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49" w:rsidRDefault="00731249" w:rsidP="00731249">
      <w:pPr>
        <w:jc w:val="center"/>
        <w:rPr>
          <w:b/>
          <w:szCs w:val="22"/>
        </w:rPr>
      </w:pPr>
      <w:bookmarkStart w:id="0" w:name="_GoBack"/>
      <w:bookmarkEnd w:id="0"/>
      <w:r>
        <w:rPr>
          <w:b/>
          <w:szCs w:val="22"/>
        </w:rPr>
        <w:t>Before the</w:t>
      </w:r>
    </w:p>
    <w:p w:rsidR="00731249" w:rsidRDefault="00731249" w:rsidP="00731249">
      <w:pPr>
        <w:jc w:val="center"/>
        <w:rPr>
          <w:b/>
          <w:szCs w:val="22"/>
        </w:rPr>
      </w:pPr>
      <w:r>
        <w:rPr>
          <w:b/>
          <w:szCs w:val="22"/>
        </w:rPr>
        <w:t>Federal Communications Commission</w:t>
      </w:r>
    </w:p>
    <w:p w:rsidR="00731249" w:rsidRDefault="00731249" w:rsidP="00731249">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731249" w:rsidRDefault="00731249" w:rsidP="00731249">
      <w:pPr>
        <w:jc w:val="center"/>
        <w:rPr>
          <w:szCs w:val="22"/>
        </w:rPr>
      </w:pPr>
    </w:p>
    <w:p w:rsidR="00731249" w:rsidRDefault="00731249" w:rsidP="00731249">
      <w:pPr>
        <w:rPr>
          <w:szCs w:val="22"/>
        </w:rPr>
      </w:pPr>
    </w:p>
    <w:p w:rsidR="00731249" w:rsidRDefault="00731249" w:rsidP="00731249">
      <w:pPr>
        <w:tabs>
          <w:tab w:val="left" w:pos="4680"/>
        </w:tabs>
        <w:rPr>
          <w:szCs w:val="22"/>
        </w:rPr>
      </w:pPr>
      <w:r>
        <w:rPr>
          <w:szCs w:val="22"/>
        </w:rPr>
        <w:t>In the Matter of</w:t>
      </w:r>
      <w:r>
        <w:rPr>
          <w:szCs w:val="22"/>
        </w:rPr>
        <w:tab/>
        <w:t>)</w:t>
      </w:r>
    </w:p>
    <w:p w:rsidR="00731249" w:rsidRDefault="00731249" w:rsidP="00731249">
      <w:pPr>
        <w:tabs>
          <w:tab w:val="left" w:pos="4680"/>
        </w:tabs>
        <w:rPr>
          <w:szCs w:val="22"/>
        </w:rPr>
      </w:pPr>
      <w:r>
        <w:rPr>
          <w:szCs w:val="22"/>
        </w:rPr>
        <w:tab/>
        <w:t>)</w:t>
      </w:r>
    </w:p>
    <w:p w:rsidR="00731249" w:rsidRDefault="00731249" w:rsidP="00731249">
      <w:pPr>
        <w:tabs>
          <w:tab w:val="left" w:pos="4680"/>
        </w:tabs>
        <w:rPr>
          <w:szCs w:val="22"/>
        </w:rPr>
      </w:pPr>
      <w:r>
        <w:rPr>
          <w:szCs w:val="22"/>
        </w:rPr>
        <w:t xml:space="preserve">MT. WILSON FM BROADCASTERS, INC. </w:t>
      </w:r>
      <w:r>
        <w:rPr>
          <w:szCs w:val="22"/>
        </w:rPr>
        <w:tab/>
        <w:t>)</w:t>
      </w:r>
      <w:r>
        <w:rPr>
          <w:szCs w:val="22"/>
        </w:rPr>
        <w:tab/>
      </w:r>
      <w:r>
        <w:rPr>
          <w:szCs w:val="22"/>
        </w:rPr>
        <w:tab/>
        <w:t>File No. BNP-20040129AQF</w:t>
      </w:r>
      <w:r>
        <w:rPr>
          <w:szCs w:val="22"/>
        </w:rPr>
        <w:tab/>
      </w:r>
    </w:p>
    <w:p w:rsidR="00731249" w:rsidRDefault="00731249" w:rsidP="00731249">
      <w:pPr>
        <w:tabs>
          <w:tab w:val="left" w:pos="4680"/>
        </w:tabs>
        <w:rPr>
          <w:szCs w:val="22"/>
        </w:rPr>
      </w:pPr>
      <w:r>
        <w:rPr>
          <w:szCs w:val="22"/>
        </w:rPr>
        <w:tab/>
        <w:t>)</w:t>
      </w:r>
      <w:r>
        <w:rPr>
          <w:szCs w:val="22"/>
        </w:rPr>
        <w:tab/>
      </w:r>
      <w:r>
        <w:rPr>
          <w:szCs w:val="22"/>
        </w:rPr>
        <w:tab/>
        <w:t>Facility ID No. 160776</w:t>
      </w:r>
    </w:p>
    <w:p w:rsidR="00731249" w:rsidRDefault="00731249" w:rsidP="00731249">
      <w:pPr>
        <w:tabs>
          <w:tab w:val="left" w:pos="4680"/>
        </w:tabs>
        <w:rPr>
          <w:szCs w:val="22"/>
        </w:rPr>
      </w:pPr>
      <w:r>
        <w:rPr>
          <w:szCs w:val="22"/>
        </w:rPr>
        <w:t>Application for a New AM Broadcast Station</w:t>
      </w:r>
      <w:r>
        <w:rPr>
          <w:szCs w:val="22"/>
        </w:rPr>
        <w:tab/>
        <w:t>)</w:t>
      </w:r>
    </w:p>
    <w:p w:rsidR="00731249" w:rsidRDefault="00731249" w:rsidP="00731249">
      <w:pPr>
        <w:tabs>
          <w:tab w:val="left" w:pos="4680"/>
        </w:tabs>
        <w:rPr>
          <w:szCs w:val="22"/>
        </w:rPr>
      </w:pPr>
      <w:r>
        <w:rPr>
          <w:szCs w:val="22"/>
        </w:rPr>
        <w:t xml:space="preserve">at </w:t>
      </w:r>
      <w:smartTag w:uri="urn:schemas-microsoft-com:office:smarttags" w:element="place">
        <w:smartTag w:uri="urn:schemas-microsoft-com:office:smarttags" w:element="City">
          <w:r>
            <w:rPr>
              <w:szCs w:val="22"/>
            </w:rPr>
            <w:t>Whitney</w:t>
          </w:r>
        </w:smartTag>
        <w:r>
          <w:rPr>
            <w:szCs w:val="22"/>
          </w:rPr>
          <w:t xml:space="preserve">, </w:t>
        </w:r>
        <w:smartTag w:uri="urn:schemas-microsoft-com:office:smarttags" w:element="State">
          <w:r>
            <w:rPr>
              <w:szCs w:val="22"/>
            </w:rPr>
            <w:t>Nevada</w:t>
          </w:r>
        </w:smartTag>
      </w:smartTag>
      <w:r>
        <w:rPr>
          <w:szCs w:val="22"/>
        </w:rPr>
        <w:tab/>
        <w:t>)</w:t>
      </w:r>
    </w:p>
    <w:p w:rsidR="00731249" w:rsidRDefault="00731249" w:rsidP="00731249">
      <w:pPr>
        <w:tabs>
          <w:tab w:val="left" w:pos="4680"/>
        </w:tabs>
        <w:rPr>
          <w:szCs w:val="22"/>
        </w:rPr>
      </w:pPr>
      <w:r>
        <w:rPr>
          <w:szCs w:val="22"/>
        </w:rPr>
        <w:tab/>
        <w:t>)</w:t>
      </w:r>
      <w:r>
        <w:rPr>
          <w:szCs w:val="22"/>
        </w:rPr>
        <w:tab/>
      </w:r>
      <w:r>
        <w:rPr>
          <w:szCs w:val="22"/>
        </w:rPr>
        <w:tab/>
      </w:r>
    </w:p>
    <w:p w:rsidR="00731249" w:rsidRDefault="00731249" w:rsidP="00731249">
      <w:pPr>
        <w:tabs>
          <w:tab w:val="left" w:pos="4680"/>
        </w:tabs>
        <w:rPr>
          <w:szCs w:val="22"/>
        </w:rPr>
      </w:pPr>
      <w:r>
        <w:rPr>
          <w:szCs w:val="22"/>
        </w:rPr>
        <w:tab/>
      </w:r>
    </w:p>
    <w:p w:rsidR="00731249" w:rsidRDefault="00731249" w:rsidP="00731249">
      <w:pPr>
        <w:pStyle w:val="Heading1"/>
        <w:rPr>
          <w:szCs w:val="22"/>
        </w:rPr>
      </w:pPr>
      <w:r>
        <w:rPr>
          <w:szCs w:val="22"/>
        </w:rPr>
        <w:t>MEMORANDUM OPINION AND ORDER</w:t>
      </w:r>
    </w:p>
    <w:p w:rsidR="00731249" w:rsidRDefault="00731249" w:rsidP="00731249">
      <w:pPr>
        <w:pStyle w:val="Heading1"/>
        <w:rPr>
          <w:szCs w:val="22"/>
        </w:rPr>
      </w:pPr>
      <w:r>
        <w:rPr>
          <w:szCs w:val="22"/>
        </w:rPr>
        <w:t xml:space="preserve"> </w:t>
      </w:r>
    </w:p>
    <w:p w:rsidR="00731249" w:rsidRDefault="00731249" w:rsidP="00731249">
      <w:pPr>
        <w:tabs>
          <w:tab w:val="left" w:pos="770"/>
          <w:tab w:val="left" w:pos="1430"/>
          <w:tab w:val="left" w:pos="4680"/>
        </w:tabs>
        <w:rPr>
          <w:szCs w:val="22"/>
        </w:rPr>
      </w:pPr>
    </w:p>
    <w:tbl>
      <w:tblPr>
        <w:tblW w:w="0" w:type="auto"/>
        <w:tblLook w:val="0000" w:firstRow="0" w:lastRow="0" w:firstColumn="0" w:lastColumn="0" w:noHBand="0" w:noVBand="0"/>
      </w:tblPr>
      <w:tblGrid>
        <w:gridCol w:w="4788"/>
        <w:gridCol w:w="4788"/>
      </w:tblGrid>
      <w:tr w:rsidR="00731249" w:rsidTr="006275BE">
        <w:tc>
          <w:tcPr>
            <w:tcW w:w="4788" w:type="dxa"/>
          </w:tcPr>
          <w:p w:rsidR="00731249" w:rsidRDefault="00731249" w:rsidP="006275BE">
            <w:pPr>
              <w:tabs>
                <w:tab w:val="left" w:pos="770"/>
                <w:tab w:val="left" w:pos="1430"/>
                <w:tab w:val="left" w:pos="4680"/>
              </w:tabs>
              <w:rPr>
                <w:b/>
              </w:rPr>
            </w:pPr>
            <w:r>
              <w:rPr>
                <w:b/>
              </w:rPr>
              <w:t>Adopted:  March 22, 2013</w:t>
            </w:r>
          </w:p>
        </w:tc>
        <w:tc>
          <w:tcPr>
            <w:tcW w:w="4788" w:type="dxa"/>
          </w:tcPr>
          <w:p w:rsidR="00731249" w:rsidRDefault="005720CC" w:rsidP="00963B77">
            <w:pPr>
              <w:tabs>
                <w:tab w:val="left" w:pos="770"/>
                <w:tab w:val="left" w:pos="1430"/>
                <w:tab w:val="left" w:pos="4680"/>
              </w:tabs>
              <w:ind w:left="972"/>
              <w:rPr>
                <w:b/>
              </w:rPr>
            </w:pPr>
            <w:r>
              <w:rPr>
                <w:b/>
              </w:rPr>
              <w:t xml:space="preserve">                    </w:t>
            </w:r>
            <w:r w:rsidR="00731249">
              <w:rPr>
                <w:b/>
              </w:rPr>
              <w:t>Released:  March 2</w:t>
            </w:r>
            <w:r w:rsidR="00963B77">
              <w:rPr>
                <w:b/>
              </w:rPr>
              <w:t>6</w:t>
            </w:r>
            <w:r w:rsidR="00731249">
              <w:rPr>
                <w:b/>
              </w:rPr>
              <w:t>, 2013</w:t>
            </w:r>
          </w:p>
        </w:tc>
      </w:tr>
    </w:tbl>
    <w:p w:rsidR="00731249" w:rsidRDefault="00731249" w:rsidP="00731249">
      <w:pPr>
        <w:pStyle w:val="Header"/>
        <w:tabs>
          <w:tab w:val="clear" w:pos="4320"/>
          <w:tab w:val="clear" w:pos="8640"/>
          <w:tab w:val="left" w:pos="4680"/>
        </w:tabs>
        <w:rPr>
          <w:szCs w:val="22"/>
        </w:rPr>
      </w:pPr>
    </w:p>
    <w:p w:rsidR="00731249" w:rsidRDefault="00731249" w:rsidP="00731249">
      <w:pPr>
        <w:tabs>
          <w:tab w:val="left" w:pos="1980"/>
          <w:tab w:val="left" w:pos="4680"/>
        </w:tabs>
        <w:jc w:val="both"/>
        <w:rPr>
          <w:szCs w:val="22"/>
        </w:rPr>
      </w:pPr>
      <w:r>
        <w:rPr>
          <w:szCs w:val="22"/>
        </w:rPr>
        <w:t>By the Commission:</w:t>
      </w:r>
      <w:r>
        <w:rPr>
          <w:szCs w:val="22"/>
        </w:rPr>
        <w:tab/>
        <w:t xml:space="preserve"> </w:t>
      </w:r>
    </w:p>
    <w:p w:rsidR="00731249" w:rsidRDefault="00731249" w:rsidP="00731249">
      <w:pPr>
        <w:tabs>
          <w:tab w:val="left" w:pos="720"/>
          <w:tab w:val="left" w:pos="4680"/>
        </w:tabs>
        <w:spacing w:line="480" w:lineRule="auto"/>
        <w:jc w:val="both"/>
        <w:rPr>
          <w:b/>
          <w:szCs w:val="22"/>
        </w:rPr>
      </w:pPr>
    </w:p>
    <w:p w:rsidR="00731249" w:rsidRDefault="00731249" w:rsidP="00731249">
      <w:pPr>
        <w:pStyle w:val="BodyText"/>
        <w:tabs>
          <w:tab w:val="left" w:pos="1430"/>
        </w:tabs>
      </w:pPr>
      <w:r>
        <w:rPr>
          <w:szCs w:val="22"/>
        </w:rPr>
        <w:tab/>
      </w:r>
      <w:r>
        <w:t xml:space="preserve">1.  </w:t>
      </w:r>
      <w:r>
        <w:tab/>
        <w:t>We have before us an Application for Review, filed May 28, 2008, by Mt. Wilson FM Broadcasters, Inc. (“</w:t>
      </w:r>
      <w:smartTag w:uri="urn:schemas-microsoft-com:office:smarttags" w:element="PlaceType">
        <w:r>
          <w:t>Mt.</w:t>
        </w:r>
      </w:smartTag>
      <w:r>
        <w:t xml:space="preserve"> Wilson”), seeking review of the denial of its request for waiver of Section 73.3568 of the Commission’s Rules,</w:t>
      </w:r>
      <w:r>
        <w:rPr>
          <w:rStyle w:val="FootnoteReference"/>
        </w:rPr>
        <w:footnoteReference w:id="2"/>
      </w:r>
      <w:r>
        <w:t xml:space="preserve"> and the dismissal by the Media Bureau, Audio Division (“Bureau”),</w:t>
      </w:r>
      <w:r>
        <w:rPr>
          <w:rStyle w:val="FootnoteReference"/>
        </w:rPr>
        <w:footnoteReference w:id="3"/>
      </w:r>
      <w:r>
        <w:t xml:space="preserve"> of its application for a construction permit for a new AM broadcast station at Whitney, Nevada.</w:t>
      </w:r>
      <w:r>
        <w:rPr>
          <w:rStyle w:val="FootnoteReference"/>
        </w:rPr>
        <w:footnoteReference w:id="4"/>
      </w:r>
      <w:r>
        <w:t xml:space="preserve">  In the dismissal letter, the Bureau denied Mt. Wilson’s request to waive the deadline to submit </w:t>
      </w:r>
    </w:p>
    <w:p w:rsidR="00731249" w:rsidRDefault="00731249" w:rsidP="00731249">
      <w:pPr>
        <w:pStyle w:val="BodyText"/>
        <w:tabs>
          <w:tab w:val="left" w:pos="1430"/>
        </w:tabs>
      </w:pPr>
      <w:r>
        <w:t>a showing under Section 307(b) of the Communications Act.</w:t>
      </w:r>
      <w:r>
        <w:rPr>
          <w:rStyle w:val="FootnoteReference"/>
        </w:rPr>
        <w:footnoteReference w:id="5"/>
      </w:r>
    </w:p>
    <w:p w:rsidR="00731249" w:rsidRDefault="00731249" w:rsidP="00731249">
      <w:pPr>
        <w:pStyle w:val="BodyText"/>
        <w:tabs>
          <w:tab w:val="left" w:pos="1430"/>
        </w:tabs>
      </w:pPr>
    </w:p>
    <w:p w:rsidR="00731249" w:rsidRDefault="00731249" w:rsidP="00731249">
      <w:pPr>
        <w:pStyle w:val="BodyText"/>
        <w:tabs>
          <w:tab w:val="left" w:pos="1430"/>
        </w:tabs>
      </w:pPr>
      <w:r>
        <w:tab/>
        <w:t>2.</w:t>
      </w:r>
      <w:r>
        <w:tab/>
        <w:t xml:space="preserve">Upon review of the Application for Review and the entire record, we conclude that </w:t>
      </w:r>
      <w:smartTag w:uri="urn:schemas-microsoft-com:office:smarttags" w:element="PlaceType">
        <w:r>
          <w:t>Mt.</w:t>
        </w:r>
      </w:smartTag>
      <w:r>
        <w:t xml:space="preserve"> Wilson has failed to demonstrate that the Bureau erred.  </w:t>
      </w:r>
      <w:r w:rsidRPr="0011082E">
        <w:t>Mt. Wilson made a decision not to submit a timely Section 307(b) showing, and thus not to participate further in the auction process, and seeks waiver of the filing deadline only because its sole competitor subsequently requested dismissal of its application.  An applicant’s calculated business decision to forego further participation in the auction process does not constitute unusual or special circumstances sufficient to justify waiver of a filing deadline.</w:t>
      </w:r>
      <w:r w:rsidRPr="0011082E">
        <w:rPr>
          <w:rStyle w:val="FootnoteReference"/>
        </w:rPr>
        <w:footnoteReference w:id="6"/>
      </w:r>
      <w:r w:rsidRPr="0011082E">
        <w:t xml:space="preserve">  As a general matter, the integrity of the auction process requires strict adherence to procedural requirements, and therefore where, as here, an applicant purposely disregards a filing deadline, waiver is particularly unwarranted.</w:t>
      </w:r>
      <w:r w:rsidRPr="0011082E">
        <w:rPr>
          <w:rStyle w:val="FootnoteReference"/>
        </w:rPr>
        <w:footnoteReference w:id="7"/>
      </w:r>
      <w:r>
        <w:t xml:space="preserve"> </w:t>
      </w:r>
      <w:r w:rsidRPr="00D75DAE">
        <w:t xml:space="preserve"> </w:t>
      </w:r>
      <w:r>
        <w:t xml:space="preserve">The Bureau properly decided the matters raised, and we therefore uphold the </w:t>
      </w:r>
      <w:r w:rsidRPr="002131A3">
        <w:rPr>
          <w:i/>
        </w:rPr>
        <w:t>Staff Decision</w:t>
      </w:r>
      <w:r>
        <w:t>.</w:t>
      </w:r>
    </w:p>
    <w:p w:rsidR="00731249" w:rsidRDefault="00731249" w:rsidP="00731249">
      <w:pPr>
        <w:tabs>
          <w:tab w:val="left" w:pos="720"/>
          <w:tab w:val="left" w:pos="1430"/>
          <w:tab w:val="left" w:pos="4680"/>
        </w:tabs>
        <w:jc w:val="both"/>
      </w:pPr>
    </w:p>
    <w:p w:rsidR="00731249" w:rsidRDefault="00731249" w:rsidP="00731249">
      <w:pPr>
        <w:tabs>
          <w:tab w:val="left" w:pos="720"/>
          <w:tab w:val="left" w:pos="1430"/>
          <w:tab w:val="left" w:pos="4680"/>
        </w:tabs>
        <w:jc w:val="both"/>
        <w:rPr>
          <w:szCs w:val="22"/>
        </w:rPr>
      </w:pPr>
      <w:r>
        <w:tab/>
        <w:t>3.</w:t>
      </w:r>
      <w:r>
        <w:tab/>
        <w:t>Accordingly</w:t>
      </w:r>
      <w:r>
        <w:rPr>
          <w:szCs w:val="22"/>
        </w:rPr>
        <w:t xml:space="preserve">, IT IS ORDERED that the Application for Review filed by Mt. Wilson FM Broadcasters, Inc., IS DENIED.  </w:t>
      </w:r>
    </w:p>
    <w:p w:rsidR="00731249" w:rsidRDefault="00731249" w:rsidP="00731249">
      <w:pPr>
        <w:tabs>
          <w:tab w:val="left" w:pos="720"/>
          <w:tab w:val="left" w:pos="1430"/>
          <w:tab w:val="left" w:pos="4680"/>
        </w:tabs>
        <w:jc w:val="both"/>
        <w:rPr>
          <w:szCs w:val="22"/>
        </w:rPr>
      </w:pPr>
    </w:p>
    <w:p w:rsidR="00731249" w:rsidRDefault="00731249" w:rsidP="00731249">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731249" w:rsidRDefault="00731249" w:rsidP="00731249">
      <w:pPr>
        <w:tabs>
          <w:tab w:val="left" w:pos="0"/>
        </w:tabs>
        <w:suppressAutoHyphens/>
        <w:ind w:firstLine="990"/>
        <w:jc w:val="both"/>
        <w:rPr>
          <w:szCs w:val="22"/>
        </w:rPr>
      </w:pPr>
    </w:p>
    <w:p w:rsidR="00731249" w:rsidRDefault="00731249" w:rsidP="00731249">
      <w:pPr>
        <w:tabs>
          <w:tab w:val="left" w:pos="0"/>
        </w:tabs>
        <w:suppressAutoHyphens/>
        <w:ind w:firstLine="990"/>
        <w:jc w:val="both"/>
        <w:rPr>
          <w:szCs w:val="22"/>
        </w:rPr>
      </w:pPr>
    </w:p>
    <w:p w:rsidR="00731249" w:rsidRDefault="00731249" w:rsidP="00731249">
      <w:pPr>
        <w:tabs>
          <w:tab w:val="left" w:pos="0"/>
        </w:tabs>
        <w:suppressAutoHyphens/>
        <w:ind w:firstLine="990"/>
        <w:jc w:val="both"/>
        <w:rPr>
          <w:szCs w:val="22"/>
        </w:rPr>
      </w:pPr>
    </w:p>
    <w:p w:rsidR="00731249" w:rsidRDefault="00731249" w:rsidP="00731249">
      <w:pPr>
        <w:tabs>
          <w:tab w:val="left" w:pos="0"/>
        </w:tabs>
        <w:suppressAutoHyphens/>
        <w:ind w:firstLine="990"/>
        <w:jc w:val="both"/>
        <w:rPr>
          <w:szCs w:val="22"/>
        </w:rPr>
      </w:pPr>
    </w:p>
    <w:p w:rsidR="00731249" w:rsidRDefault="00731249" w:rsidP="00731249">
      <w:pPr>
        <w:tabs>
          <w:tab w:val="left" w:pos="4320"/>
        </w:tabs>
        <w:suppressAutoHyphens/>
        <w:ind w:firstLine="990"/>
        <w:jc w:val="both"/>
        <w:rPr>
          <w:szCs w:val="22"/>
        </w:rPr>
      </w:pPr>
      <w:r>
        <w:rPr>
          <w:szCs w:val="22"/>
        </w:rPr>
        <w:tab/>
        <w:t xml:space="preserve">Marlene H. Dortch  </w:t>
      </w:r>
    </w:p>
    <w:p w:rsidR="00731249" w:rsidRDefault="00731249" w:rsidP="00731249">
      <w:pPr>
        <w:pStyle w:val="ParaNum"/>
        <w:numPr>
          <w:ilvl w:val="0"/>
          <w:numId w:val="0"/>
        </w:numPr>
        <w:spacing w:after="0"/>
      </w:pPr>
      <w:r>
        <w:t xml:space="preserve">                    </w:t>
      </w:r>
      <w:r>
        <w:tab/>
      </w:r>
      <w:r>
        <w:tab/>
      </w:r>
      <w:r>
        <w:tab/>
      </w:r>
      <w:r>
        <w:tab/>
      </w:r>
      <w:r>
        <w:tab/>
        <w:t>Secretary</w:t>
      </w:r>
    </w:p>
    <w:p w:rsidR="00731249" w:rsidRDefault="00731249" w:rsidP="00731249"/>
    <w:p w:rsidR="00731249" w:rsidRDefault="00731249" w:rsidP="00731249"/>
    <w:p w:rsidR="00731249" w:rsidRDefault="00731249" w:rsidP="00731249"/>
    <w:p w:rsidR="00D816DA" w:rsidRDefault="00D816DA"/>
    <w:sectPr w:rsidR="00D816DA" w:rsidSect="00D075E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5" w:rsidRDefault="00CD4AC5" w:rsidP="00731249">
      <w:r>
        <w:separator/>
      </w:r>
    </w:p>
  </w:endnote>
  <w:endnote w:type="continuationSeparator" w:id="0">
    <w:p w:rsidR="00CD4AC5" w:rsidRDefault="00CD4AC5" w:rsidP="007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C" w:rsidRDefault="00C72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9" w:rsidRDefault="000F2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D85">
      <w:rPr>
        <w:rStyle w:val="PageNumber"/>
        <w:noProof/>
      </w:rPr>
      <w:t>2</w:t>
    </w:r>
    <w:r>
      <w:rPr>
        <w:rStyle w:val="PageNumber"/>
      </w:rPr>
      <w:fldChar w:fldCharType="end"/>
    </w:r>
  </w:p>
  <w:p w:rsidR="007338D9" w:rsidRDefault="009D2D85">
    <w:pPr>
      <w:pStyle w:val="Footer"/>
      <w:jc w:val="center"/>
      <w:rPr>
        <w:rStyle w:val="PageNumber"/>
      </w:rPr>
    </w:pPr>
  </w:p>
  <w:p w:rsidR="007338D9" w:rsidRDefault="009D2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9" w:rsidRDefault="009D2D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5" w:rsidRDefault="00CD4AC5" w:rsidP="00731249">
      <w:r>
        <w:separator/>
      </w:r>
    </w:p>
  </w:footnote>
  <w:footnote w:type="continuationSeparator" w:id="0">
    <w:p w:rsidR="00CD4AC5" w:rsidRDefault="00CD4AC5" w:rsidP="00731249">
      <w:r>
        <w:continuationSeparator/>
      </w:r>
    </w:p>
    <w:p w:rsidR="00CD4AC5" w:rsidRDefault="00CD4AC5" w:rsidP="00731249">
      <w:pPr>
        <w:rPr>
          <w:sz w:val="20"/>
        </w:rPr>
      </w:pPr>
      <w:r>
        <w:rPr>
          <w:sz w:val="20"/>
        </w:rPr>
        <w:t>(continued from previous page)</w:t>
      </w:r>
    </w:p>
    <w:p w:rsidR="00CD4AC5" w:rsidRPr="00731249" w:rsidRDefault="00CD4AC5" w:rsidP="00731249">
      <w:pPr>
        <w:rPr>
          <w:sz w:val="20"/>
        </w:rPr>
      </w:pPr>
    </w:p>
  </w:footnote>
  <w:footnote w:type="continuationNotice" w:id="1">
    <w:p w:rsidR="00CD4AC5" w:rsidRPr="00731249" w:rsidRDefault="00CD4AC5">
      <w:pPr>
        <w:rPr>
          <w:sz w:val="20"/>
        </w:rPr>
      </w:pPr>
      <w:r>
        <w:rPr>
          <w:sz w:val="20"/>
        </w:rPr>
        <w:t>(continued . . .)</w:t>
      </w:r>
    </w:p>
  </w:footnote>
  <w:footnote w:id="2">
    <w:p w:rsidR="00731249" w:rsidRPr="008E597D" w:rsidRDefault="00731249" w:rsidP="00731249">
      <w:pPr>
        <w:pStyle w:val="FootnoteText"/>
        <w:spacing w:after="120"/>
        <w:rPr>
          <w:sz w:val="20"/>
        </w:rPr>
      </w:pPr>
      <w:r>
        <w:rPr>
          <w:rStyle w:val="FootnoteReference"/>
        </w:rPr>
        <w:footnoteRef/>
      </w:r>
      <w:r>
        <w:t xml:space="preserve"> </w:t>
      </w:r>
      <w:r w:rsidRPr="008E597D">
        <w:rPr>
          <w:sz w:val="20"/>
        </w:rPr>
        <w:t>47 C.F.R. § 73.3568.</w:t>
      </w:r>
    </w:p>
  </w:footnote>
  <w:footnote w:id="3">
    <w:p w:rsidR="00731249" w:rsidRPr="008E597D" w:rsidRDefault="00731249" w:rsidP="00731249">
      <w:pPr>
        <w:pStyle w:val="FootnoteText"/>
        <w:spacing w:after="120"/>
        <w:rPr>
          <w:sz w:val="20"/>
        </w:rPr>
      </w:pPr>
      <w:r w:rsidRPr="008E597D">
        <w:rPr>
          <w:rStyle w:val="FootnoteReference"/>
          <w:sz w:val="20"/>
        </w:rPr>
        <w:footnoteRef/>
      </w:r>
      <w:r w:rsidRPr="008E597D">
        <w:rPr>
          <w:sz w:val="20"/>
        </w:rPr>
        <w:t xml:space="preserve"> </w:t>
      </w:r>
      <w:r w:rsidRPr="008E597D">
        <w:rPr>
          <w:i/>
          <w:sz w:val="20"/>
        </w:rPr>
        <w:t>Mt. Wilson FM Broadcasters, Inc.</w:t>
      </w:r>
      <w:r w:rsidRPr="008E597D">
        <w:rPr>
          <w:sz w:val="20"/>
        </w:rPr>
        <w:t>, Letter, Ref. No. 1800B3-JP/LAS (MB Apr. 28, 2008) (“</w:t>
      </w:r>
      <w:r w:rsidRPr="008E597D">
        <w:rPr>
          <w:i/>
          <w:sz w:val="20"/>
        </w:rPr>
        <w:t>Staff Decision</w:t>
      </w:r>
      <w:r w:rsidRPr="008E597D">
        <w:rPr>
          <w:sz w:val="20"/>
        </w:rPr>
        <w:t>”).</w:t>
      </w:r>
    </w:p>
  </w:footnote>
  <w:footnote w:id="4">
    <w:p w:rsidR="00731249" w:rsidRPr="008E597D" w:rsidRDefault="00731249" w:rsidP="00731249">
      <w:pPr>
        <w:pStyle w:val="FootnoteText"/>
        <w:spacing w:after="120"/>
        <w:rPr>
          <w:sz w:val="20"/>
        </w:rPr>
      </w:pPr>
      <w:r w:rsidRPr="008E597D">
        <w:rPr>
          <w:rStyle w:val="FootnoteReference"/>
          <w:sz w:val="20"/>
        </w:rPr>
        <w:footnoteRef/>
      </w:r>
      <w:r w:rsidRPr="008E597D">
        <w:rPr>
          <w:sz w:val="20"/>
        </w:rPr>
        <w:t xml:space="preserve"> File No. BNP-20040129AQF.</w:t>
      </w:r>
    </w:p>
  </w:footnote>
  <w:footnote w:id="5">
    <w:p w:rsidR="00731249" w:rsidRPr="008E597D" w:rsidRDefault="00731249" w:rsidP="00731249">
      <w:pPr>
        <w:pStyle w:val="FootnoteText"/>
        <w:spacing w:after="120"/>
        <w:rPr>
          <w:sz w:val="20"/>
        </w:rPr>
      </w:pPr>
      <w:r w:rsidRPr="008E597D">
        <w:rPr>
          <w:rStyle w:val="FootnoteReference"/>
          <w:sz w:val="20"/>
        </w:rPr>
        <w:footnoteRef/>
      </w:r>
      <w:r w:rsidRPr="008E597D">
        <w:rPr>
          <w:sz w:val="20"/>
        </w:rPr>
        <w:t xml:space="preserve"> 47 U.S.C. § 307(b) (“Section 307(b)”).</w:t>
      </w:r>
    </w:p>
  </w:footnote>
  <w:footnote w:id="6">
    <w:p w:rsidR="00731249" w:rsidRPr="008E597D" w:rsidRDefault="00731249" w:rsidP="00731249">
      <w:pPr>
        <w:pStyle w:val="FootnoteText"/>
        <w:spacing w:after="120"/>
        <w:rPr>
          <w:sz w:val="20"/>
        </w:rPr>
      </w:pPr>
      <w:r w:rsidRPr="008E597D">
        <w:rPr>
          <w:rStyle w:val="FootnoteReference"/>
          <w:sz w:val="20"/>
        </w:rPr>
        <w:footnoteRef/>
      </w:r>
      <w:r w:rsidRPr="008E597D">
        <w:rPr>
          <w:sz w:val="20"/>
        </w:rPr>
        <w:t xml:space="preserve"> </w:t>
      </w:r>
      <w:r w:rsidRPr="008E597D">
        <w:rPr>
          <w:i/>
          <w:sz w:val="20"/>
        </w:rPr>
        <w:t>See NetworkIP, LLC v. FCC</w:t>
      </w:r>
      <w:r w:rsidRPr="008E597D">
        <w:rPr>
          <w:sz w:val="20"/>
        </w:rPr>
        <w:t xml:space="preserve">, 548 F.3d 116, 127 (D.C. Cir. 2008) (citing </w:t>
      </w:r>
      <w:r w:rsidRPr="008E597D">
        <w:rPr>
          <w:i/>
          <w:sz w:val="20"/>
        </w:rPr>
        <w:t>BDPCS, Inc. v. FCC</w:t>
      </w:r>
      <w:r w:rsidRPr="008E597D">
        <w:rPr>
          <w:sz w:val="20"/>
        </w:rPr>
        <w:t xml:space="preserve">, 351 F.3d 1177, 1184 (D.C. Cir. 2003), quoting </w:t>
      </w:r>
      <w:r w:rsidRPr="008E597D">
        <w:rPr>
          <w:i/>
          <w:sz w:val="20"/>
        </w:rPr>
        <w:t>21</w:t>
      </w:r>
      <w:r w:rsidRPr="008E597D">
        <w:rPr>
          <w:i/>
          <w:sz w:val="20"/>
          <w:vertAlign w:val="superscript"/>
        </w:rPr>
        <w:t>st</w:t>
      </w:r>
      <w:r w:rsidRPr="008E597D">
        <w:rPr>
          <w:i/>
          <w:sz w:val="20"/>
        </w:rPr>
        <w:t xml:space="preserve"> Century Telesis Joint Venture v. FCC</w:t>
      </w:r>
      <w:r w:rsidRPr="008E597D">
        <w:rPr>
          <w:sz w:val="20"/>
        </w:rPr>
        <w:t>, 318 F.3d 192, 200 (D.C. Cir. 2003)) (discouraging the Commission from entertaining late-filed pleadings in the absence of extremely unusual circumstances).</w:t>
      </w:r>
    </w:p>
  </w:footnote>
  <w:footnote w:id="7">
    <w:p w:rsidR="00731249" w:rsidRDefault="00731249" w:rsidP="00731249">
      <w:pPr>
        <w:pStyle w:val="FootnoteText"/>
        <w:spacing w:after="120"/>
      </w:pPr>
      <w:r w:rsidRPr="008E597D">
        <w:rPr>
          <w:rStyle w:val="FootnoteReference"/>
          <w:sz w:val="20"/>
        </w:rPr>
        <w:footnoteRef/>
      </w:r>
      <w:r w:rsidRPr="008E597D">
        <w:rPr>
          <w:sz w:val="20"/>
        </w:rPr>
        <w:t xml:space="preserve"> While Mt. Wilson cites</w:t>
      </w:r>
      <w:r w:rsidRPr="008E597D">
        <w:rPr>
          <w:i/>
          <w:sz w:val="20"/>
        </w:rPr>
        <w:t xml:space="preserve"> Gulf Coast Community College</w:t>
      </w:r>
      <w:r w:rsidRPr="008E597D">
        <w:rPr>
          <w:sz w:val="20"/>
        </w:rPr>
        <w:t>, Letter, 20 FCC Rcd 17157 (MB 2005) (“</w:t>
      </w:r>
      <w:r w:rsidRPr="008E597D">
        <w:rPr>
          <w:i/>
          <w:sz w:val="20"/>
        </w:rPr>
        <w:t>GCCC</w:t>
      </w:r>
      <w:r w:rsidRPr="008E597D">
        <w:rPr>
          <w:sz w:val="20"/>
        </w:rPr>
        <w:t xml:space="preserve">”), in support of its waiver request, that case is inapposite.  In </w:t>
      </w:r>
      <w:r w:rsidRPr="008E597D">
        <w:rPr>
          <w:i/>
          <w:sz w:val="20"/>
        </w:rPr>
        <w:t>GCCC</w:t>
      </w:r>
      <w:r w:rsidRPr="008E597D">
        <w:rPr>
          <w:sz w:val="20"/>
        </w:rPr>
        <w:t xml:space="preserve">, the applicant initiated filing of a long-form application shortly before expiration of the filing deadline, but failed to submit it before the deadline.  In granting </w:t>
      </w:r>
      <w:r w:rsidRPr="004A454E">
        <w:rPr>
          <w:sz w:val="20"/>
        </w:rPr>
        <w:t xml:space="preserve">waiver of the filing deadline, the Commission emphasized the applicant’s prompt remedial action (contacting staff and filing a paper application the following day) and lack of disruption to the auction process.  20 FCC Rcd at 17158-60.  Here, on the other hand, Mt. Wilson made a business decision not to submit its Section 307(b) showing by the filing deadline, choosing to submit the showing 30 days later only after its circumstances changed.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EC" w:rsidRDefault="00C72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ED" w:rsidRPr="00E609ED" w:rsidRDefault="000F2D16" w:rsidP="00E609ED">
    <w:pPr>
      <w:pStyle w:val="Header"/>
      <w:rPr>
        <w:szCs w:val="22"/>
      </w:rPr>
    </w:pPr>
    <w:r w:rsidRPr="00E609ED">
      <w:rPr>
        <w:b/>
        <w:szCs w:val="22"/>
        <w:u w:val="single"/>
      </w:rPr>
      <w:t xml:space="preserve">                                           </w:t>
    </w:r>
    <w:r>
      <w:rPr>
        <w:b/>
        <w:szCs w:val="22"/>
        <w:u w:val="single"/>
      </w:rPr>
      <w:t xml:space="preserve">         </w:t>
    </w:r>
    <w:r w:rsidRPr="00E609ED">
      <w:rPr>
        <w:b/>
        <w:szCs w:val="22"/>
        <w:u w:val="single"/>
      </w:rPr>
      <w:t xml:space="preserve">Federal Communications Commission           </w:t>
    </w:r>
    <w:r>
      <w:rPr>
        <w:b/>
        <w:szCs w:val="22"/>
        <w:u w:val="single"/>
      </w:rPr>
      <w:t xml:space="preserve">  </w:t>
    </w:r>
    <w:r w:rsidR="00731249">
      <w:rPr>
        <w:b/>
        <w:szCs w:val="22"/>
        <w:u w:val="single"/>
      </w:rPr>
      <w:t xml:space="preserve">  </w:t>
    </w:r>
    <w:r>
      <w:rPr>
        <w:b/>
        <w:szCs w:val="22"/>
        <w:u w:val="single"/>
      </w:rPr>
      <w:t xml:space="preserve">   </w:t>
    </w:r>
    <w:r w:rsidRPr="00E609ED">
      <w:rPr>
        <w:b/>
        <w:szCs w:val="22"/>
        <w:u w:val="single"/>
      </w:rPr>
      <w:t xml:space="preserve">                FCC 13-</w:t>
    </w:r>
    <w:r w:rsidR="00731249">
      <w:rPr>
        <w:b/>
        <w:szCs w:val="22"/>
        <w:u w:val="single"/>
      </w:rPr>
      <w:t>37</w:t>
    </w:r>
  </w:p>
  <w:p w:rsidR="007338D9" w:rsidRPr="00E609ED" w:rsidRDefault="009D2D85" w:rsidP="00E60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D9" w:rsidRPr="00E609ED" w:rsidRDefault="000F2D16">
    <w:pPr>
      <w:pStyle w:val="Header"/>
      <w:rPr>
        <w:szCs w:val="22"/>
      </w:rPr>
    </w:pPr>
    <w:r w:rsidRPr="00E609ED">
      <w:rPr>
        <w:b/>
        <w:szCs w:val="22"/>
        <w:u w:val="single"/>
      </w:rPr>
      <w:t xml:space="preserve">                                           </w:t>
    </w:r>
    <w:r>
      <w:rPr>
        <w:b/>
        <w:szCs w:val="22"/>
        <w:u w:val="single"/>
      </w:rPr>
      <w:t xml:space="preserve">         </w:t>
    </w:r>
    <w:r w:rsidRPr="00E609ED">
      <w:rPr>
        <w:b/>
        <w:szCs w:val="22"/>
        <w:u w:val="single"/>
      </w:rPr>
      <w:t xml:space="preserve">Federal Communications Commission           </w:t>
    </w:r>
    <w:r>
      <w:rPr>
        <w:b/>
        <w:szCs w:val="22"/>
        <w:u w:val="single"/>
      </w:rPr>
      <w:t xml:space="preserve">     </w:t>
    </w:r>
    <w:r w:rsidRPr="00E609ED">
      <w:rPr>
        <w:b/>
        <w:szCs w:val="22"/>
        <w:u w:val="single"/>
      </w:rPr>
      <w:t xml:space="preserve">  </w:t>
    </w:r>
    <w:r w:rsidR="00731249">
      <w:rPr>
        <w:b/>
        <w:szCs w:val="22"/>
        <w:u w:val="single"/>
      </w:rPr>
      <w:t xml:space="preserve">  </w:t>
    </w:r>
    <w:r w:rsidRPr="00E609ED">
      <w:rPr>
        <w:b/>
        <w:szCs w:val="22"/>
        <w:u w:val="single"/>
      </w:rPr>
      <w:t xml:space="preserve">              FCC 13-</w:t>
    </w:r>
    <w:r w:rsidR="00731249">
      <w:rPr>
        <w:b/>
        <w:szCs w:val="22"/>
        <w:u w:val="single"/>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49"/>
    <w:rsid w:val="000F2D16"/>
    <w:rsid w:val="004A454E"/>
    <w:rsid w:val="005720CC"/>
    <w:rsid w:val="00731249"/>
    <w:rsid w:val="00793F60"/>
    <w:rsid w:val="008E597D"/>
    <w:rsid w:val="00963B77"/>
    <w:rsid w:val="009D2D85"/>
    <w:rsid w:val="00C72DEC"/>
    <w:rsid w:val="00CD4AC5"/>
    <w:rsid w:val="00D816DA"/>
    <w:rsid w:val="00E4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4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31249"/>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249"/>
    <w:rPr>
      <w:rFonts w:ascii="Times New Roman" w:eastAsia="Times New Roman" w:hAnsi="Times New Roman" w:cs="Times New Roman"/>
      <w:b/>
      <w:szCs w:val="20"/>
    </w:rPr>
  </w:style>
  <w:style w:type="paragraph" w:styleId="Header">
    <w:name w:val="header"/>
    <w:basedOn w:val="Normal"/>
    <w:link w:val="HeaderChar"/>
    <w:rsid w:val="00731249"/>
    <w:pPr>
      <w:tabs>
        <w:tab w:val="center" w:pos="4320"/>
        <w:tab w:val="right" w:pos="8640"/>
      </w:tabs>
    </w:pPr>
  </w:style>
  <w:style w:type="character" w:customStyle="1" w:styleId="HeaderChar">
    <w:name w:val="Header Char"/>
    <w:basedOn w:val="DefaultParagraphFont"/>
    <w:link w:val="Header"/>
    <w:rsid w:val="00731249"/>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semiHidden/>
    <w:rsid w:val="00731249"/>
    <w:rPr>
      <w:vertAlign w:val="superscript"/>
    </w:rPr>
  </w:style>
  <w:style w:type="paragraph" w:styleId="BodyText">
    <w:name w:val="Body Text"/>
    <w:basedOn w:val="Normal"/>
    <w:link w:val="BodyTextChar"/>
    <w:rsid w:val="00731249"/>
    <w:pPr>
      <w:tabs>
        <w:tab w:val="left" w:pos="720"/>
        <w:tab w:val="left" w:pos="4680"/>
      </w:tabs>
      <w:jc w:val="both"/>
    </w:pPr>
  </w:style>
  <w:style w:type="character" w:customStyle="1" w:styleId="BodyTextChar">
    <w:name w:val="Body Text Char"/>
    <w:basedOn w:val="DefaultParagraphFont"/>
    <w:link w:val="BodyText"/>
    <w:rsid w:val="00731249"/>
    <w:rPr>
      <w:rFonts w:ascii="Times New Roman" w:eastAsia="Times New Roman" w:hAnsi="Times New Roman" w:cs="Times New Roman"/>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731249"/>
  </w:style>
  <w:style w:type="character" w:customStyle="1" w:styleId="FootnoteTextChar">
    <w:name w:val="Footnote Text Char"/>
    <w:basedOn w:val="DefaultParagraphFont"/>
    <w:uiPriority w:val="99"/>
    <w:semiHidden/>
    <w:rsid w:val="00731249"/>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731249"/>
    <w:rPr>
      <w:rFonts w:ascii="Times New Roman" w:eastAsia="Times New Roman" w:hAnsi="Times New Roman" w:cs="Times New Roman"/>
      <w:szCs w:val="20"/>
    </w:rPr>
  </w:style>
  <w:style w:type="character" w:styleId="PageNumber">
    <w:name w:val="page number"/>
    <w:basedOn w:val="DefaultParagraphFont"/>
    <w:rsid w:val="00731249"/>
  </w:style>
  <w:style w:type="paragraph" w:styleId="Footer">
    <w:name w:val="footer"/>
    <w:basedOn w:val="Normal"/>
    <w:link w:val="FooterChar"/>
    <w:rsid w:val="00731249"/>
    <w:pPr>
      <w:tabs>
        <w:tab w:val="center" w:pos="4320"/>
        <w:tab w:val="right" w:pos="8640"/>
      </w:tabs>
    </w:pPr>
  </w:style>
  <w:style w:type="character" w:customStyle="1" w:styleId="FooterChar">
    <w:name w:val="Footer Char"/>
    <w:basedOn w:val="DefaultParagraphFont"/>
    <w:link w:val="Footer"/>
    <w:rsid w:val="00731249"/>
    <w:rPr>
      <w:rFonts w:ascii="Times New Roman" w:eastAsia="Times New Roman" w:hAnsi="Times New Roman" w:cs="Times New Roman"/>
      <w:szCs w:val="20"/>
    </w:rPr>
  </w:style>
  <w:style w:type="paragraph" w:customStyle="1" w:styleId="ParaNum">
    <w:name w:val="ParaNum"/>
    <w:basedOn w:val="Normal"/>
    <w:rsid w:val="00731249"/>
    <w:pPr>
      <w:widowControl w:val="0"/>
      <w:numPr>
        <w:numId w:val="1"/>
      </w:numPr>
      <w:tabs>
        <w:tab w:val="left" w:pos="1440"/>
      </w:tabs>
      <w:spacing w:after="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4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731249"/>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249"/>
    <w:rPr>
      <w:rFonts w:ascii="Times New Roman" w:eastAsia="Times New Roman" w:hAnsi="Times New Roman" w:cs="Times New Roman"/>
      <w:b/>
      <w:szCs w:val="20"/>
    </w:rPr>
  </w:style>
  <w:style w:type="paragraph" w:styleId="Header">
    <w:name w:val="header"/>
    <w:basedOn w:val="Normal"/>
    <w:link w:val="HeaderChar"/>
    <w:rsid w:val="00731249"/>
    <w:pPr>
      <w:tabs>
        <w:tab w:val="center" w:pos="4320"/>
        <w:tab w:val="right" w:pos="8640"/>
      </w:tabs>
    </w:pPr>
  </w:style>
  <w:style w:type="character" w:customStyle="1" w:styleId="HeaderChar">
    <w:name w:val="Header Char"/>
    <w:basedOn w:val="DefaultParagraphFont"/>
    <w:link w:val="Header"/>
    <w:rsid w:val="00731249"/>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semiHidden/>
    <w:rsid w:val="00731249"/>
    <w:rPr>
      <w:vertAlign w:val="superscript"/>
    </w:rPr>
  </w:style>
  <w:style w:type="paragraph" w:styleId="BodyText">
    <w:name w:val="Body Text"/>
    <w:basedOn w:val="Normal"/>
    <w:link w:val="BodyTextChar"/>
    <w:rsid w:val="00731249"/>
    <w:pPr>
      <w:tabs>
        <w:tab w:val="left" w:pos="720"/>
        <w:tab w:val="left" w:pos="4680"/>
      </w:tabs>
      <w:jc w:val="both"/>
    </w:pPr>
  </w:style>
  <w:style w:type="character" w:customStyle="1" w:styleId="BodyTextChar">
    <w:name w:val="Body Text Char"/>
    <w:basedOn w:val="DefaultParagraphFont"/>
    <w:link w:val="BodyText"/>
    <w:rsid w:val="00731249"/>
    <w:rPr>
      <w:rFonts w:ascii="Times New Roman" w:eastAsia="Times New Roman" w:hAnsi="Times New Roman" w:cs="Times New Roman"/>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731249"/>
  </w:style>
  <w:style w:type="character" w:customStyle="1" w:styleId="FootnoteTextChar">
    <w:name w:val="Footnote Text Char"/>
    <w:basedOn w:val="DefaultParagraphFont"/>
    <w:uiPriority w:val="99"/>
    <w:semiHidden/>
    <w:rsid w:val="00731249"/>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semiHidden/>
    <w:rsid w:val="00731249"/>
    <w:rPr>
      <w:rFonts w:ascii="Times New Roman" w:eastAsia="Times New Roman" w:hAnsi="Times New Roman" w:cs="Times New Roman"/>
      <w:szCs w:val="20"/>
    </w:rPr>
  </w:style>
  <w:style w:type="character" w:styleId="PageNumber">
    <w:name w:val="page number"/>
    <w:basedOn w:val="DefaultParagraphFont"/>
    <w:rsid w:val="00731249"/>
  </w:style>
  <w:style w:type="paragraph" w:styleId="Footer">
    <w:name w:val="footer"/>
    <w:basedOn w:val="Normal"/>
    <w:link w:val="FooterChar"/>
    <w:rsid w:val="00731249"/>
    <w:pPr>
      <w:tabs>
        <w:tab w:val="center" w:pos="4320"/>
        <w:tab w:val="right" w:pos="8640"/>
      </w:tabs>
    </w:pPr>
  </w:style>
  <w:style w:type="character" w:customStyle="1" w:styleId="FooterChar">
    <w:name w:val="Footer Char"/>
    <w:basedOn w:val="DefaultParagraphFont"/>
    <w:link w:val="Footer"/>
    <w:rsid w:val="00731249"/>
    <w:rPr>
      <w:rFonts w:ascii="Times New Roman" w:eastAsia="Times New Roman" w:hAnsi="Times New Roman" w:cs="Times New Roman"/>
      <w:szCs w:val="20"/>
    </w:rPr>
  </w:style>
  <w:style w:type="paragraph" w:customStyle="1" w:styleId="ParaNum">
    <w:name w:val="ParaNum"/>
    <w:basedOn w:val="Normal"/>
    <w:rsid w:val="00731249"/>
    <w:pPr>
      <w:widowControl w:val="0"/>
      <w:numPr>
        <w:numId w:val="1"/>
      </w:numPr>
      <w:tabs>
        <w:tab w:val="left" w:pos="1440"/>
      </w:tabs>
      <w:spacing w:after="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1680</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2013-03-26T13:11:00Z</dcterms:created>
  <dcterms:modified xsi:type="dcterms:W3CDTF">2013-03-26T13:11:00Z</dcterms:modified>
  <cp:category> </cp:category>
  <cp:contentStatus> </cp:contentStatus>
</cp:coreProperties>
</file>