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76" w:rsidRPr="00B572C6" w:rsidRDefault="004919CE" w:rsidP="00B572C6">
      <w:pPr>
        <w:spacing w:after="0" w:line="240" w:lineRule="auto"/>
        <w:jc w:val="center"/>
        <w:rPr>
          <w:rFonts w:ascii="Times New Roman" w:eastAsia="Times New Roman" w:hAnsi="Times New Roman" w:cs="Times New Roman"/>
          <w:b/>
        </w:rPr>
      </w:pPr>
      <w:bookmarkStart w:id="0" w:name="_GoBack"/>
      <w:bookmarkEnd w:id="0"/>
      <w:r w:rsidRPr="00B572C6">
        <w:rPr>
          <w:rFonts w:ascii="Times New Roman" w:eastAsia="Times New Roman" w:hAnsi="Times New Roman" w:cs="Times New Roman"/>
          <w:b/>
        </w:rPr>
        <w:t>STATEMENT OF</w:t>
      </w:r>
    </w:p>
    <w:p w:rsidR="00A432CA" w:rsidRDefault="004919CE" w:rsidP="00B572C6">
      <w:pPr>
        <w:spacing w:after="0" w:line="240" w:lineRule="auto"/>
        <w:jc w:val="center"/>
        <w:rPr>
          <w:rFonts w:ascii="Times New Roman" w:eastAsia="Times New Roman" w:hAnsi="Times New Roman" w:cs="Times New Roman"/>
          <w:b/>
        </w:rPr>
      </w:pPr>
      <w:r w:rsidRPr="00B572C6">
        <w:rPr>
          <w:rFonts w:ascii="Times New Roman" w:eastAsia="Times New Roman" w:hAnsi="Times New Roman" w:cs="Times New Roman"/>
          <w:b/>
        </w:rPr>
        <w:t>COMMISSIONER AJIT PAI</w:t>
      </w:r>
    </w:p>
    <w:p w:rsidR="00B572C6" w:rsidRPr="00B572C6" w:rsidRDefault="00B572C6" w:rsidP="00B572C6">
      <w:pPr>
        <w:spacing w:after="0" w:line="240" w:lineRule="auto"/>
        <w:jc w:val="center"/>
        <w:rPr>
          <w:rFonts w:ascii="Times New Roman" w:eastAsia="Times New Roman" w:hAnsi="Times New Roman" w:cs="Times New Roman"/>
          <w:b/>
        </w:rPr>
      </w:pPr>
    </w:p>
    <w:p w:rsidR="00DB7683" w:rsidRPr="00C703DA" w:rsidRDefault="00DB7683" w:rsidP="00DB7683">
      <w:pPr>
        <w:ind w:left="720" w:hanging="720"/>
      </w:pPr>
      <w:r w:rsidRPr="00C703DA">
        <w:t>Re:</w:t>
      </w:r>
      <w:r w:rsidRPr="00C703DA">
        <w:rPr>
          <w:i/>
        </w:rPr>
        <w:t xml:space="preserve"> </w:t>
      </w:r>
      <w:r w:rsidRPr="00C703DA">
        <w:rPr>
          <w:i/>
        </w:rPr>
        <w:tab/>
      </w:r>
      <w:r w:rsidRPr="00C703DA">
        <w:rPr>
          <w:rFonts w:ascii="Times New Roman" w:hAnsi="Times New Roman" w:cs="Times New Roman"/>
          <w:i/>
          <w:iCs/>
          <w:spacing w:val="-2"/>
        </w:rPr>
        <w:t>Accessible Emergency Information, and Apparatus Requirements for Emergency Information and Video Description:  Implementation of the Twenty-First Century Communications and Video Accessibility Act of 2010</w:t>
      </w:r>
      <w:r w:rsidRPr="00C703DA">
        <w:rPr>
          <w:rFonts w:ascii="Times New Roman" w:hAnsi="Times New Roman" w:cs="Times New Roman"/>
          <w:spacing w:val="-2"/>
        </w:rPr>
        <w:t xml:space="preserve">, MB Docket No. 12-107; </w:t>
      </w:r>
      <w:r w:rsidRPr="00C703DA">
        <w:rPr>
          <w:rFonts w:ascii="Times New Roman" w:hAnsi="Times New Roman" w:cs="Times New Roman"/>
          <w:i/>
          <w:iCs/>
          <w:spacing w:val="-2"/>
        </w:rPr>
        <w:t xml:space="preserve">Video Description:  Implementation of the </w:t>
      </w:r>
      <w:r w:rsidRPr="00C703DA">
        <w:rPr>
          <w:rFonts w:ascii="Times New Roman" w:hAnsi="Times New Roman" w:cs="Times New Roman"/>
          <w:i/>
          <w:iCs/>
        </w:rPr>
        <w:t xml:space="preserve">Twenty-First Century </w:t>
      </w:r>
      <w:r w:rsidRPr="00C703DA">
        <w:rPr>
          <w:rFonts w:ascii="Times New Roman" w:hAnsi="Times New Roman" w:cs="Times New Roman"/>
          <w:i/>
          <w:iCs/>
          <w:spacing w:val="-2"/>
        </w:rPr>
        <w:t xml:space="preserve">Communications </w:t>
      </w:r>
      <w:r w:rsidRPr="00C703DA">
        <w:rPr>
          <w:rFonts w:ascii="Times New Roman" w:hAnsi="Times New Roman" w:cs="Times New Roman"/>
          <w:i/>
          <w:iCs/>
        </w:rPr>
        <w:t xml:space="preserve">and Video </w:t>
      </w:r>
      <w:r w:rsidRPr="00C703DA">
        <w:rPr>
          <w:rFonts w:ascii="Times New Roman" w:hAnsi="Times New Roman" w:cs="Times New Roman"/>
          <w:i/>
          <w:iCs/>
          <w:spacing w:val="-2"/>
        </w:rPr>
        <w:t>Accessibility Act of 2010</w:t>
      </w:r>
      <w:r w:rsidRPr="00C703DA">
        <w:rPr>
          <w:rFonts w:ascii="Times New Roman" w:hAnsi="Times New Roman" w:cs="Times New Roman"/>
          <w:spacing w:val="-2"/>
        </w:rPr>
        <w:t>, MB Docket No. 11-43</w:t>
      </w:r>
    </w:p>
    <w:p w:rsidR="00EB0281" w:rsidRPr="00EC6A99" w:rsidRDefault="00EC6A99" w:rsidP="00EC6A99">
      <w:pPr>
        <w:spacing w:after="120" w:line="240" w:lineRule="auto"/>
        <w:ind w:firstLine="720"/>
        <w:rPr>
          <w:rFonts w:ascii="Times New Roman" w:hAnsi="Times New Roman" w:cs="Times New Roman"/>
        </w:rPr>
      </w:pPr>
      <w:r>
        <w:rPr>
          <w:rFonts w:ascii="Times New Roman" w:hAnsi="Times New Roman" w:cs="Times New Roman"/>
        </w:rPr>
        <w:t>I</w:t>
      </w:r>
      <w:r w:rsidR="00EB0281" w:rsidRPr="00EC6A99">
        <w:rPr>
          <w:rFonts w:ascii="Times New Roman" w:hAnsi="Times New Roman" w:cs="Times New Roman"/>
        </w:rPr>
        <w:t>t</w:t>
      </w:r>
      <w:r w:rsidR="004919CE" w:rsidRPr="00EC6A99">
        <w:rPr>
          <w:rFonts w:ascii="Times New Roman" w:hAnsi="Times New Roman" w:cs="Times New Roman"/>
        </w:rPr>
        <w:t xml:space="preserve"> is a Commission priority</w:t>
      </w:r>
      <w:r w:rsidR="00EB0281" w:rsidRPr="00EC6A99">
        <w:rPr>
          <w:rFonts w:ascii="Times New Roman" w:hAnsi="Times New Roman" w:cs="Times New Roman"/>
        </w:rPr>
        <w:t xml:space="preserve"> to make </w:t>
      </w:r>
      <w:r w:rsidR="00C50981" w:rsidRPr="00EC6A99">
        <w:rPr>
          <w:rFonts w:ascii="Times New Roman" w:hAnsi="Times New Roman" w:cs="Times New Roman"/>
        </w:rPr>
        <w:t>a broad range of</w:t>
      </w:r>
      <w:r w:rsidR="00EB0281" w:rsidRPr="00EC6A99">
        <w:rPr>
          <w:rFonts w:ascii="Times New Roman" w:hAnsi="Times New Roman" w:cs="Times New Roman"/>
        </w:rPr>
        <w:t xml:space="preserve"> information accessible to individuals with disabilities</w:t>
      </w:r>
      <w:r w:rsidR="004919CE" w:rsidRPr="00EC6A99">
        <w:rPr>
          <w:rFonts w:ascii="Times New Roman" w:hAnsi="Times New Roman" w:cs="Times New Roman"/>
        </w:rPr>
        <w:t xml:space="preserve">, </w:t>
      </w:r>
      <w:r>
        <w:rPr>
          <w:rFonts w:ascii="Times New Roman" w:hAnsi="Times New Roman" w:cs="Times New Roman"/>
        </w:rPr>
        <w:t xml:space="preserve">and </w:t>
      </w:r>
      <w:r w:rsidR="00EB0281" w:rsidRPr="00EC6A99">
        <w:rPr>
          <w:rFonts w:ascii="Times New Roman" w:hAnsi="Times New Roman" w:cs="Times New Roman"/>
        </w:rPr>
        <w:t xml:space="preserve">emergency information is the most critical because it </w:t>
      </w:r>
      <w:r w:rsidR="004919CE" w:rsidRPr="00EC6A99">
        <w:rPr>
          <w:rFonts w:ascii="Times New Roman" w:hAnsi="Times New Roman" w:cs="Times New Roman"/>
        </w:rPr>
        <w:t xml:space="preserve">can make the difference between life and death.  </w:t>
      </w:r>
      <w:r>
        <w:rPr>
          <w:rFonts w:ascii="Times New Roman" w:hAnsi="Times New Roman" w:cs="Times New Roman"/>
        </w:rPr>
        <w:t>The</w:t>
      </w:r>
      <w:r w:rsidR="00EB0281" w:rsidRPr="00EC6A99">
        <w:rPr>
          <w:rFonts w:ascii="Times New Roman" w:hAnsi="Times New Roman" w:cs="Times New Roman"/>
        </w:rPr>
        <w:t xml:space="preserve"> steps </w:t>
      </w:r>
      <w:r>
        <w:rPr>
          <w:rFonts w:ascii="Times New Roman" w:hAnsi="Times New Roman" w:cs="Times New Roman"/>
        </w:rPr>
        <w:t xml:space="preserve">we take today </w:t>
      </w:r>
      <w:r w:rsidR="00EB0281" w:rsidRPr="00EC6A99">
        <w:rPr>
          <w:rFonts w:ascii="Times New Roman" w:hAnsi="Times New Roman" w:cs="Times New Roman"/>
        </w:rPr>
        <w:t xml:space="preserve">to make </w:t>
      </w:r>
      <w:r w:rsidR="004919CE" w:rsidRPr="00EC6A99">
        <w:rPr>
          <w:rFonts w:ascii="Times New Roman" w:hAnsi="Times New Roman" w:cs="Times New Roman"/>
        </w:rPr>
        <w:t xml:space="preserve">emergency information </w:t>
      </w:r>
      <w:r w:rsidR="00EB0281" w:rsidRPr="00EC6A99">
        <w:rPr>
          <w:rFonts w:ascii="Times New Roman" w:hAnsi="Times New Roman" w:cs="Times New Roman"/>
        </w:rPr>
        <w:t xml:space="preserve">more </w:t>
      </w:r>
      <w:r w:rsidR="004919CE" w:rsidRPr="00EC6A99">
        <w:rPr>
          <w:rFonts w:ascii="Times New Roman" w:hAnsi="Times New Roman" w:cs="Times New Roman"/>
        </w:rPr>
        <w:t>accessible to those who are blind or visually impaired</w:t>
      </w:r>
      <w:r>
        <w:rPr>
          <w:rFonts w:ascii="Times New Roman" w:hAnsi="Times New Roman" w:cs="Times New Roman"/>
        </w:rPr>
        <w:t xml:space="preserve"> </w:t>
      </w:r>
      <w:r w:rsidR="007A6B07">
        <w:rPr>
          <w:rFonts w:ascii="Times New Roman" w:hAnsi="Times New Roman" w:cs="Times New Roman"/>
        </w:rPr>
        <w:t>continue our implementation of the Twenty-First Century Communications and Video Accessibility Act of 2010</w:t>
      </w:r>
      <w:r w:rsidR="00005850">
        <w:rPr>
          <w:rFonts w:ascii="Times New Roman" w:hAnsi="Times New Roman" w:cs="Times New Roman"/>
        </w:rPr>
        <w:t xml:space="preserve">. </w:t>
      </w:r>
      <w:r w:rsidR="004919CE" w:rsidRPr="00EC6A99">
        <w:rPr>
          <w:rFonts w:ascii="Times New Roman" w:hAnsi="Times New Roman" w:cs="Times New Roman"/>
        </w:rPr>
        <w:t xml:space="preserve"> I am therefore pleased to support this </w:t>
      </w:r>
      <w:r w:rsidR="00DD0E92" w:rsidRPr="00EC6A99">
        <w:rPr>
          <w:rFonts w:ascii="Times New Roman" w:hAnsi="Times New Roman" w:cs="Times New Roman"/>
        </w:rPr>
        <w:t>item</w:t>
      </w:r>
      <w:r w:rsidR="0004164A" w:rsidRPr="00EC6A99">
        <w:rPr>
          <w:rFonts w:ascii="Times New Roman" w:hAnsi="Times New Roman" w:cs="Times New Roman"/>
        </w:rPr>
        <w:t>.  Three points, how</w:t>
      </w:r>
      <w:r w:rsidR="00592B25">
        <w:rPr>
          <w:rFonts w:ascii="Times New Roman" w:hAnsi="Times New Roman" w:cs="Times New Roman"/>
        </w:rPr>
        <w:t>ever, deserve further comment.</w:t>
      </w:r>
    </w:p>
    <w:p w:rsidR="00CD01A4" w:rsidRPr="00EC6A99" w:rsidRDefault="009261F0" w:rsidP="00EC6A99">
      <w:pPr>
        <w:spacing w:after="120" w:line="240" w:lineRule="auto"/>
        <w:ind w:firstLine="720"/>
        <w:rPr>
          <w:rFonts w:ascii="Times New Roman" w:hAnsi="Times New Roman" w:cs="Times New Roman"/>
        </w:rPr>
      </w:pPr>
      <w:r w:rsidRPr="00EC6A99">
        <w:rPr>
          <w:rFonts w:ascii="Times New Roman" w:hAnsi="Times New Roman" w:cs="Times New Roman"/>
          <w:i/>
        </w:rPr>
        <w:t>First</w:t>
      </w:r>
      <w:r w:rsidRPr="00EC6A99">
        <w:rPr>
          <w:rFonts w:ascii="Times New Roman" w:hAnsi="Times New Roman" w:cs="Times New Roman"/>
        </w:rPr>
        <w:t xml:space="preserve">, we leave for another day the question of whether to grant waivers to </w:t>
      </w:r>
      <w:r w:rsidR="00DD0E92" w:rsidRPr="00EC6A99">
        <w:rPr>
          <w:rFonts w:ascii="Times New Roman" w:hAnsi="Times New Roman" w:cs="Times New Roman"/>
        </w:rPr>
        <w:t>small</w:t>
      </w:r>
      <w:r w:rsidRPr="00EC6A99">
        <w:rPr>
          <w:rFonts w:ascii="Times New Roman" w:hAnsi="Times New Roman" w:cs="Times New Roman"/>
        </w:rPr>
        <w:t xml:space="preserve"> cable systems that lack the equipment to pass through emergency information on secondary audio streams</w:t>
      </w:r>
      <w:r w:rsidR="00DD0E92" w:rsidRPr="00EC6A99">
        <w:rPr>
          <w:rFonts w:ascii="Times New Roman" w:hAnsi="Times New Roman" w:cs="Times New Roman"/>
        </w:rPr>
        <w:t xml:space="preserve"> for analog channels</w:t>
      </w:r>
      <w:r w:rsidRPr="00EC6A99">
        <w:rPr>
          <w:rFonts w:ascii="Times New Roman" w:hAnsi="Times New Roman" w:cs="Times New Roman"/>
        </w:rPr>
        <w:t>.</w:t>
      </w:r>
      <w:r w:rsidR="00DD0E92" w:rsidRPr="00EC6A99">
        <w:rPr>
          <w:rFonts w:ascii="Times New Roman" w:hAnsi="Times New Roman" w:cs="Times New Roman"/>
        </w:rPr>
        <w:t xml:space="preserve">  I hope that the Media Bureau will look favorably </w:t>
      </w:r>
      <w:r w:rsidR="0004164A" w:rsidRPr="00EC6A99">
        <w:rPr>
          <w:rFonts w:ascii="Times New Roman" w:hAnsi="Times New Roman" w:cs="Times New Roman"/>
        </w:rPr>
        <w:t>up</w:t>
      </w:r>
      <w:r w:rsidR="00DD0E92" w:rsidRPr="00EC6A99">
        <w:rPr>
          <w:rFonts w:ascii="Times New Roman" w:hAnsi="Times New Roman" w:cs="Times New Roman"/>
        </w:rPr>
        <w:t>on such waiver reque</w:t>
      </w:r>
      <w:r w:rsidR="00CD01A4" w:rsidRPr="00EC6A99">
        <w:rPr>
          <w:rFonts w:ascii="Times New Roman" w:hAnsi="Times New Roman" w:cs="Times New Roman"/>
        </w:rPr>
        <w:t xml:space="preserve">sts; otherwise, there is a real risk that many small cable systems will shut down rather than bear the cost of complying with our rules.  Such an outcome would be especially unfortunate for those living in rural America, </w:t>
      </w:r>
      <w:r w:rsidR="00CD01A4" w:rsidRPr="00EC6A99">
        <w:rPr>
          <w:rFonts w:ascii="Times New Roman" w:hAnsi="Times New Roman" w:cs="Times New Roman"/>
          <w:i/>
        </w:rPr>
        <w:t>including</w:t>
      </w:r>
      <w:r w:rsidR="00CD01A4" w:rsidRPr="00EC6A99">
        <w:rPr>
          <w:rFonts w:ascii="Times New Roman" w:hAnsi="Times New Roman" w:cs="Times New Roman"/>
        </w:rPr>
        <w:t xml:space="preserve"> those who are blind or visually impaired.</w:t>
      </w:r>
    </w:p>
    <w:p w:rsidR="009261F0" w:rsidRPr="00EC6A99" w:rsidRDefault="00CD01A4" w:rsidP="00EC6A99">
      <w:pPr>
        <w:spacing w:after="120" w:line="240" w:lineRule="auto"/>
        <w:ind w:firstLine="720"/>
        <w:rPr>
          <w:rFonts w:ascii="Times New Roman" w:hAnsi="Times New Roman" w:cs="Times New Roman"/>
        </w:rPr>
      </w:pPr>
      <w:r w:rsidRPr="00EC6A99">
        <w:rPr>
          <w:rFonts w:ascii="Times New Roman" w:hAnsi="Times New Roman" w:cs="Times New Roman"/>
          <w:i/>
        </w:rPr>
        <w:t>Second</w:t>
      </w:r>
      <w:r w:rsidRPr="00EC6A99">
        <w:rPr>
          <w:rFonts w:ascii="Times New Roman" w:hAnsi="Times New Roman" w:cs="Times New Roman"/>
        </w:rPr>
        <w:t xml:space="preserve">, my vote today should not be interpreted as an endorsement of the scope of the apparatus requirements set forth in our rules.  In this item, we interpret Section 303(u)(1) </w:t>
      </w:r>
      <w:r w:rsidR="00C50981" w:rsidRPr="00EC6A99">
        <w:rPr>
          <w:rFonts w:ascii="Times New Roman" w:hAnsi="Times New Roman" w:cs="Times New Roman"/>
        </w:rPr>
        <w:t xml:space="preserve">of the Communications Act </w:t>
      </w:r>
      <w:r w:rsidRPr="00EC6A99">
        <w:rPr>
          <w:rFonts w:ascii="Times New Roman" w:hAnsi="Times New Roman" w:cs="Times New Roman"/>
        </w:rPr>
        <w:t xml:space="preserve">in the same manner as did the Commission in the </w:t>
      </w:r>
      <w:r w:rsidRPr="00EC6A99">
        <w:rPr>
          <w:rFonts w:ascii="Times New Roman" w:hAnsi="Times New Roman" w:cs="Times New Roman"/>
          <w:i/>
        </w:rPr>
        <w:t>IP Closed Captioning Order</w:t>
      </w:r>
      <w:r w:rsidRPr="00EC6A99">
        <w:rPr>
          <w:rFonts w:ascii="Times New Roman" w:hAnsi="Times New Roman" w:cs="Times New Roman"/>
        </w:rPr>
        <w:t xml:space="preserve">.  Such consistency makes sense since the same </w:t>
      </w:r>
      <w:r w:rsidR="00FA3901" w:rsidRPr="00EC6A99">
        <w:rPr>
          <w:rFonts w:ascii="Times New Roman" w:hAnsi="Times New Roman" w:cs="Times New Roman"/>
        </w:rPr>
        <w:t xml:space="preserve">statutory </w:t>
      </w:r>
      <w:r w:rsidRPr="00EC6A99">
        <w:rPr>
          <w:rFonts w:ascii="Times New Roman" w:hAnsi="Times New Roman" w:cs="Times New Roman"/>
        </w:rPr>
        <w:t>language should not mean one thing in the closed captioning context and another thing in the emergency information and video description context.</w:t>
      </w:r>
      <w:r w:rsidR="007A6B07">
        <w:rPr>
          <w:rStyle w:val="FootnoteReference"/>
          <w:rFonts w:ascii="Times New Roman" w:hAnsi="Times New Roman" w:cs="Times New Roman"/>
        </w:rPr>
        <w:footnoteReference w:id="1"/>
      </w:r>
      <w:r w:rsidRPr="00EC6A99">
        <w:rPr>
          <w:rFonts w:ascii="Times New Roman" w:hAnsi="Times New Roman" w:cs="Times New Roman"/>
        </w:rPr>
        <w:t xml:space="preserve">  That having been said, a petition for reconsideration of the </w:t>
      </w:r>
      <w:r w:rsidRPr="00EC6A99">
        <w:rPr>
          <w:rFonts w:ascii="Times New Roman" w:hAnsi="Times New Roman" w:cs="Times New Roman"/>
          <w:i/>
        </w:rPr>
        <w:t>IP Closed Captioning Order</w:t>
      </w:r>
      <w:r w:rsidRPr="00EC6A99">
        <w:rPr>
          <w:rFonts w:ascii="Times New Roman" w:hAnsi="Times New Roman" w:cs="Times New Roman"/>
        </w:rPr>
        <w:t xml:space="preserve"> remains pending at the Commission that </w:t>
      </w:r>
      <w:r w:rsidR="00FA3901" w:rsidRPr="00EC6A99">
        <w:rPr>
          <w:rFonts w:ascii="Times New Roman" w:hAnsi="Times New Roman" w:cs="Times New Roman"/>
        </w:rPr>
        <w:t>addresses whether removable media players are covered by Section 303(u)(1) and whether we should look only to a device’s capabilities to determine whether it falls with</w:t>
      </w:r>
      <w:r w:rsidR="00A5320B">
        <w:rPr>
          <w:rFonts w:ascii="Times New Roman" w:hAnsi="Times New Roman" w:cs="Times New Roman"/>
        </w:rPr>
        <w:t>in</w:t>
      </w:r>
      <w:r w:rsidR="00FA3901" w:rsidRPr="00EC6A99">
        <w:rPr>
          <w:rFonts w:ascii="Times New Roman" w:hAnsi="Times New Roman" w:cs="Times New Roman"/>
        </w:rPr>
        <w:t xml:space="preserve"> the scope of that statutory provision.</w:t>
      </w:r>
      <w:r w:rsidR="007A6B07">
        <w:rPr>
          <w:rStyle w:val="FootnoteReference"/>
          <w:rFonts w:ascii="Times New Roman" w:hAnsi="Times New Roman" w:cs="Times New Roman"/>
        </w:rPr>
        <w:footnoteReference w:id="2"/>
      </w:r>
      <w:r w:rsidR="00FA3901" w:rsidRPr="00EC6A99">
        <w:rPr>
          <w:rFonts w:ascii="Times New Roman" w:hAnsi="Times New Roman" w:cs="Times New Roman"/>
        </w:rPr>
        <w:t xml:space="preserve">  I believe that petition for reconsideration is the appropriate vehicle for </w:t>
      </w:r>
      <w:r w:rsidR="00C50981" w:rsidRPr="00EC6A99">
        <w:rPr>
          <w:rFonts w:ascii="Times New Roman" w:hAnsi="Times New Roman" w:cs="Times New Roman"/>
        </w:rPr>
        <w:t>reassessing the scope of the apparatus requirements</w:t>
      </w:r>
      <w:r w:rsidR="00FA3901" w:rsidRPr="00EC6A99">
        <w:rPr>
          <w:rFonts w:ascii="Times New Roman" w:hAnsi="Times New Roman" w:cs="Times New Roman"/>
        </w:rPr>
        <w:t xml:space="preserve"> and</w:t>
      </w:r>
      <w:r w:rsidR="0004164A" w:rsidRPr="00EC6A99">
        <w:rPr>
          <w:rFonts w:ascii="Times New Roman" w:hAnsi="Times New Roman" w:cs="Times New Roman"/>
        </w:rPr>
        <w:t xml:space="preserve">, especially since I was not serving at the Commission at the time of the </w:t>
      </w:r>
      <w:r w:rsidR="0004164A" w:rsidRPr="00EC6A99">
        <w:rPr>
          <w:rFonts w:ascii="Times New Roman" w:hAnsi="Times New Roman" w:cs="Times New Roman"/>
          <w:i/>
        </w:rPr>
        <w:t>IP Closed Captioning Order</w:t>
      </w:r>
      <w:r w:rsidR="0004164A" w:rsidRPr="00EC6A99">
        <w:rPr>
          <w:rFonts w:ascii="Times New Roman" w:hAnsi="Times New Roman" w:cs="Times New Roman"/>
        </w:rPr>
        <w:t>, I</w:t>
      </w:r>
      <w:r w:rsidR="00FA3901" w:rsidRPr="00EC6A99">
        <w:rPr>
          <w:rFonts w:ascii="Times New Roman" w:hAnsi="Times New Roman" w:cs="Times New Roman"/>
        </w:rPr>
        <w:t xml:space="preserve"> will approach it with an open mind</w:t>
      </w:r>
      <w:r w:rsidR="0004164A" w:rsidRPr="00EC6A99">
        <w:rPr>
          <w:rFonts w:ascii="Times New Roman" w:hAnsi="Times New Roman" w:cs="Times New Roman"/>
        </w:rPr>
        <w:t>.  Additionally, we</w:t>
      </w:r>
      <w:r w:rsidR="00FA3901" w:rsidRPr="00EC6A99">
        <w:rPr>
          <w:rFonts w:ascii="Times New Roman" w:hAnsi="Times New Roman" w:cs="Times New Roman"/>
        </w:rPr>
        <w:t xml:space="preserve"> should rule on that peti</w:t>
      </w:r>
      <w:r w:rsidR="00592B25">
        <w:rPr>
          <w:rFonts w:ascii="Times New Roman" w:hAnsi="Times New Roman" w:cs="Times New Roman"/>
        </w:rPr>
        <w:t>tion sooner rather than later.</w:t>
      </w:r>
    </w:p>
    <w:p w:rsidR="004919CE" w:rsidRPr="00EC6A99" w:rsidRDefault="00FA3901" w:rsidP="00EC6A99">
      <w:pPr>
        <w:spacing w:after="120" w:line="240" w:lineRule="auto"/>
        <w:ind w:firstLine="720"/>
        <w:rPr>
          <w:rFonts w:ascii="Times New Roman" w:hAnsi="Times New Roman" w:cs="Times New Roman"/>
        </w:rPr>
      </w:pPr>
      <w:r w:rsidRPr="00EC6A99">
        <w:rPr>
          <w:rFonts w:ascii="Times New Roman" w:hAnsi="Times New Roman" w:cs="Times New Roman"/>
          <w:i/>
        </w:rPr>
        <w:t>Third</w:t>
      </w:r>
      <w:r w:rsidRPr="00EC6A99">
        <w:rPr>
          <w:rFonts w:ascii="Times New Roman" w:hAnsi="Times New Roman" w:cs="Times New Roman"/>
        </w:rPr>
        <w:t xml:space="preserve">, I am pleased that the Further Notice of Proposed Rulemaking does not reach any tentative conclusions </w:t>
      </w:r>
      <w:r w:rsidR="007A6B07">
        <w:rPr>
          <w:rFonts w:ascii="Times New Roman" w:hAnsi="Times New Roman" w:cs="Times New Roman"/>
        </w:rPr>
        <w:t>about how</w:t>
      </w:r>
      <w:r w:rsidRPr="00EC6A99">
        <w:rPr>
          <w:rFonts w:ascii="Times New Roman" w:hAnsi="Times New Roman" w:cs="Times New Roman"/>
        </w:rPr>
        <w:t xml:space="preserve"> our emergency information rules </w:t>
      </w:r>
      <w:r w:rsidR="007A6B07">
        <w:rPr>
          <w:rFonts w:ascii="Times New Roman" w:hAnsi="Times New Roman" w:cs="Times New Roman"/>
        </w:rPr>
        <w:t>apply</w:t>
      </w:r>
      <w:r w:rsidR="00C50981" w:rsidRPr="00EC6A99">
        <w:rPr>
          <w:rFonts w:ascii="Times New Roman" w:hAnsi="Times New Roman" w:cs="Times New Roman"/>
        </w:rPr>
        <w:t xml:space="preserve"> </w:t>
      </w:r>
      <w:r w:rsidR="0004164A" w:rsidRPr="00EC6A99">
        <w:rPr>
          <w:rFonts w:ascii="Times New Roman" w:hAnsi="Times New Roman" w:cs="Times New Roman"/>
        </w:rPr>
        <w:t>where an MVPD permits</w:t>
      </w:r>
      <w:r w:rsidRPr="00EC6A99">
        <w:rPr>
          <w:rFonts w:ascii="Times New Roman" w:hAnsi="Times New Roman" w:cs="Times New Roman"/>
        </w:rPr>
        <w:t xml:space="preserve"> subscribers to access linear video programming via devices such as tablets and smartphones.  Any such tentative conclusion</w:t>
      </w:r>
      <w:r w:rsidR="007A6B07">
        <w:rPr>
          <w:rFonts w:ascii="Times New Roman" w:hAnsi="Times New Roman" w:cs="Times New Roman"/>
        </w:rPr>
        <w:t>s</w:t>
      </w:r>
      <w:r w:rsidRPr="00EC6A99">
        <w:rPr>
          <w:rFonts w:ascii="Times New Roman" w:hAnsi="Times New Roman" w:cs="Times New Roman"/>
        </w:rPr>
        <w:t xml:space="preserve"> would have been premature</w:t>
      </w:r>
      <w:r w:rsidR="009C7AC7" w:rsidRPr="00EC6A99">
        <w:rPr>
          <w:rFonts w:ascii="Times New Roman" w:hAnsi="Times New Roman" w:cs="Times New Roman"/>
        </w:rPr>
        <w:t xml:space="preserve">.  </w:t>
      </w:r>
      <w:r w:rsidRPr="00EC6A99">
        <w:rPr>
          <w:rFonts w:ascii="Times New Roman" w:hAnsi="Times New Roman" w:cs="Times New Roman"/>
        </w:rPr>
        <w:t xml:space="preserve">I look forward to reviewing the record that will be compiled on this </w:t>
      </w:r>
      <w:r w:rsidR="0004164A" w:rsidRPr="00EC6A99">
        <w:rPr>
          <w:rFonts w:ascii="Times New Roman" w:hAnsi="Times New Roman" w:cs="Times New Roman"/>
        </w:rPr>
        <w:t xml:space="preserve">difficult </w:t>
      </w:r>
      <w:r w:rsidRPr="00EC6A99">
        <w:rPr>
          <w:rFonts w:ascii="Times New Roman" w:hAnsi="Times New Roman" w:cs="Times New Roman"/>
        </w:rPr>
        <w:t>issue ove</w:t>
      </w:r>
      <w:r w:rsidR="00EC6A99">
        <w:rPr>
          <w:rFonts w:ascii="Times New Roman" w:hAnsi="Times New Roman" w:cs="Times New Roman"/>
        </w:rPr>
        <w:t>r the next few months.</w:t>
      </w:r>
    </w:p>
    <w:sectPr w:rsidR="004919CE" w:rsidRPr="00EC6A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2" w:rsidRDefault="00A43872" w:rsidP="007A6B07">
      <w:pPr>
        <w:spacing w:after="0" w:line="240" w:lineRule="auto"/>
      </w:pPr>
      <w:r>
        <w:separator/>
      </w:r>
    </w:p>
  </w:endnote>
  <w:endnote w:type="continuationSeparator" w:id="0">
    <w:p w:rsidR="00A43872" w:rsidRDefault="00A43872" w:rsidP="007A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46" w:rsidRDefault="00577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46" w:rsidRDefault="00577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46" w:rsidRDefault="0057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2" w:rsidRDefault="00A43872" w:rsidP="007A6B07">
      <w:pPr>
        <w:spacing w:after="0" w:line="240" w:lineRule="auto"/>
      </w:pPr>
      <w:r>
        <w:separator/>
      </w:r>
    </w:p>
  </w:footnote>
  <w:footnote w:type="continuationSeparator" w:id="0">
    <w:p w:rsidR="00A43872" w:rsidRDefault="00A43872" w:rsidP="007A6B07">
      <w:pPr>
        <w:spacing w:after="0" w:line="240" w:lineRule="auto"/>
      </w:pPr>
      <w:r>
        <w:continuationSeparator/>
      </w:r>
    </w:p>
  </w:footnote>
  <w:footnote w:id="1">
    <w:p w:rsidR="007A6B07" w:rsidRPr="007A6B07" w:rsidRDefault="007A6B07" w:rsidP="007A6B07">
      <w:pPr>
        <w:pStyle w:val="FootnoteText"/>
        <w:spacing w:after="120"/>
        <w:rPr>
          <w:rFonts w:ascii="Times New Roman" w:hAnsi="Times New Roman" w:cs="Times New Roman"/>
        </w:rPr>
      </w:pPr>
      <w:r w:rsidRPr="007A6B07">
        <w:rPr>
          <w:rStyle w:val="FootnoteReference"/>
          <w:rFonts w:ascii="Times New Roman" w:hAnsi="Times New Roman" w:cs="Times New Roman"/>
        </w:rPr>
        <w:footnoteRef/>
      </w:r>
      <w:r w:rsidRPr="007A6B07">
        <w:rPr>
          <w:rFonts w:ascii="Times New Roman" w:hAnsi="Times New Roman" w:cs="Times New Roman"/>
        </w:rPr>
        <w:t xml:space="preserve"> </w:t>
      </w:r>
      <w:r w:rsidRPr="007A6B07">
        <w:rPr>
          <w:rFonts w:ascii="Times New Roman" w:hAnsi="Times New Roman" w:cs="Times New Roman"/>
          <w:i/>
        </w:rPr>
        <w:t>Cf.</w:t>
      </w:r>
      <w:r w:rsidRPr="007A6B07">
        <w:rPr>
          <w:rFonts w:ascii="Times New Roman" w:hAnsi="Times New Roman" w:cs="Times New Roman"/>
        </w:rPr>
        <w:t xml:space="preserve"> </w:t>
      </w:r>
      <w:r w:rsidRPr="007A6B07">
        <w:rPr>
          <w:rFonts w:ascii="Times New Roman" w:hAnsi="Times New Roman" w:cs="Times New Roman"/>
          <w:i/>
        </w:rPr>
        <w:t>Clark v. Martinez</w:t>
      </w:r>
      <w:r w:rsidRPr="007A6B07">
        <w:rPr>
          <w:rFonts w:ascii="Times New Roman" w:hAnsi="Times New Roman" w:cs="Times New Roman"/>
        </w:rPr>
        <w:t>, 543 U.S. 371, 378 (2005) (“To give these same words a different meaning for each category would be to invent a statute rather than interpret one.”).</w:t>
      </w:r>
    </w:p>
  </w:footnote>
  <w:footnote w:id="2">
    <w:p w:rsidR="007A6B07" w:rsidRPr="007A6B07" w:rsidRDefault="007A6B07" w:rsidP="007A6B07">
      <w:pPr>
        <w:pStyle w:val="FootnoteText"/>
        <w:spacing w:after="120"/>
        <w:rPr>
          <w:rFonts w:ascii="Times New Roman" w:hAnsi="Times New Roman" w:cs="Times New Roman"/>
        </w:rPr>
      </w:pPr>
      <w:r w:rsidRPr="007A6B07">
        <w:rPr>
          <w:rStyle w:val="FootnoteReference"/>
          <w:rFonts w:ascii="Times New Roman" w:hAnsi="Times New Roman" w:cs="Times New Roman"/>
        </w:rPr>
        <w:footnoteRef/>
      </w:r>
      <w:r w:rsidRPr="007A6B07">
        <w:rPr>
          <w:rFonts w:ascii="Times New Roman" w:hAnsi="Times New Roman" w:cs="Times New Roman"/>
        </w:rPr>
        <w:t xml:space="preserve"> Petition for Reconsideration of the Consumer Electronics Association, MB Docket No. 11-15</w:t>
      </w:r>
      <w:r>
        <w:rPr>
          <w:rFonts w:ascii="Times New Roman" w:hAnsi="Times New Roman" w:cs="Times New Roman"/>
        </w:rPr>
        <w:t xml:space="preserve">4 </w:t>
      </w:r>
      <w:r w:rsidRPr="007A6B07">
        <w:rPr>
          <w:rFonts w:ascii="Times New Roman" w:hAnsi="Times New Roman" w:cs="Times New Roman"/>
        </w:rPr>
        <w:t>(filed Apr. 30, 2012)</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46" w:rsidRDefault="0057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46" w:rsidRDefault="00577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46" w:rsidRDefault="00577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CE"/>
    <w:rsid w:val="00005850"/>
    <w:rsid w:val="0004164A"/>
    <w:rsid w:val="00076B20"/>
    <w:rsid w:val="00253568"/>
    <w:rsid w:val="004919CE"/>
    <w:rsid w:val="00577846"/>
    <w:rsid w:val="00592B25"/>
    <w:rsid w:val="005C0371"/>
    <w:rsid w:val="005C6BF9"/>
    <w:rsid w:val="006260AD"/>
    <w:rsid w:val="006C1746"/>
    <w:rsid w:val="007A6B07"/>
    <w:rsid w:val="0082676E"/>
    <w:rsid w:val="008F2183"/>
    <w:rsid w:val="0091684B"/>
    <w:rsid w:val="009261F0"/>
    <w:rsid w:val="009C7AC7"/>
    <w:rsid w:val="009D6F16"/>
    <w:rsid w:val="009E6076"/>
    <w:rsid w:val="00A432CA"/>
    <w:rsid w:val="00A43872"/>
    <w:rsid w:val="00A5320B"/>
    <w:rsid w:val="00AB6192"/>
    <w:rsid w:val="00B572C6"/>
    <w:rsid w:val="00BE6138"/>
    <w:rsid w:val="00C50981"/>
    <w:rsid w:val="00C703DA"/>
    <w:rsid w:val="00CD01A4"/>
    <w:rsid w:val="00CE21E2"/>
    <w:rsid w:val="00DB7683"/>
    <w:rsid w:val="00DD0E92"/>
    <w:rsid w:val="00EB0281"/>
    <w:rsid w:val="00EC6A99"/>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9"/>
    <w:rPr>
      <w:rFonts w:ascii="Tahoma" w:hAnsi="Tahoma" w:cs="Tahoma"/>
      <w:sz w:val="16"/>
      <w:szCs w:val="16"/>
    </w:rPr>
  </w:style>
  <w:style w:type="paragraph" w:styleId="FootnoteText">
    <w:name w:val="footnote text"/>
    <w:basedOn w:val="Normal"/>
    <w:link w:val="FootnoteTextChar"/>
    <w:uiPriority w:val="99"/>
    <w:semiHidden/>
    <w:unhideWhenUsed/>
    <w:rsid w:val="007A6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B07"/>
    <w:rPr>
      <w:sz w:val="20"/>
      <w:szCs w:val="20"/>
    </w:rPr>
  </w:style>
  <w:style w:type="character" w:styleId="FootnoteReference">
    <w:name w:val="footnote reference"/>
    <w:basedOn w:val="DefaultParagraphFont"/>
    <w:uiPriority w:val="99"/>
    <w:semiHidden/>
    <w:unhideWhenUsed/>
    <w:rsid w:val="007A6B07"/>
    <w:rPr>
      <w:vertAlign w:val="superscript"/>
    </w:rPr>
  </w:style>
  <w:style w:type="paragraph" w:styleId="NoSpacing">
    <w:name w:val="No Spacing"/>
    <w:uiPriority w:val="1"/>
    <w:qFormat/>
    <w:rsid w:val="009E6076"/>
    <w:pPr>
      <w:spacing w:after="0" w:line="240" w:lineRule="auto"/>
    </w:pPr>
  </w:style>
  <w:style w:type="paragraph" w:styleId="Header">
    <w:name w:val="header"/>
    <w:basedOn w:val="Normal"/>
    <w:link w:val="HeaderChar"/>
    <w:uiPriority w:val="99"/>
    <w:unhideWhenUsed/>
    <w:rsid w:val="0057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46"/>
  </w:style>
  <w:style w:type="paragraph" w:styleId="Footer">
    <w:name w:val="footer"/>
    <w:basedOn w:val="Normal"/>
    <w:link w:val="FooterChar"/>
    <w:uiPriority w:val="99"/>
    <w:unhideWhenUsed/>
    <w:rsid w:val="0057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9"/>
    <w:rPr>
      <w:rFonts w:ascii="Tahoma" w:hAnsi="Tahoma" w:cs="Tahoma"/>
      <w:sz w:val="16"/>
      <w:szCs w:val="16"/>
    </w:rPr>
  </w:style>
  <w:style w:type="paragraph" w:styleId="FootnoteText">
    <w:name w:val="footnote text"/>
    <w:basedOn w:val="Normal"/>
    <w:link w:val="FootnoteTextChar"/>
    <w:uiPriority w:val="99"/>
    <w:semiHidden/>
    <w:unhideWhenUsed/>
    <w:rsid w:val="007A6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B07"/>
    <w:rPr>
      <w:sz w:val="20"/>
      <w:szCs w:val="20"/>
    </w:rPr>
  </w:style>
  <w:style w:type="character" w:styleId="FootnoteReference">
    <w:name w:val="footnote reference"/>
    <w:basedOn w:val="DefaultParagraphFont"/>
    <w:uiPriority w:val="99"/>
    <w:semiHidden/>
    <w:unhideWhenUsed/>
    <w:rsid w:val="007A6B07"/>
    <w:rPr>
      <w:vertAlign w:val="superscript"/>
    </w:rPr>
  </w:style>
  <w:style w:type="paragraph" w:styleId="NoSpacing">
    <w:name w:val="No Spacing"/>
    <w:uiPriority w:val="1"/>
    <w:qFormat/>
    <w:rsid w:val="009E6076"/>
    <w:pPr>
      <w:spacing w:after="0" w:line="240" w:lineRule="auto"/>
    </w:pPr>
  </w:style>
  <w:style w:type="paragraph" w:styleId="Header">
    <w:name w:val="header"/>
    <w:basedOn w:val="Normal"/>
    <w:link w:val="HeaderChar"/>
    <w:uiPriority w:val="99"/>
    <w:unhideWhenUsed/>
    <w:rsid w:val="0057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46"/>
  </w:style>
  <w:style w:type="paragraph" w:styleId="Footer">
    <w:name w:val="footer"/>
    <w:basedOn w:val="Normal"/>
    <w:link w:val="FooterChar"/>
    <w:uiPriority w:val="99"/>
    <w:unhideWhenUsed/>
    <w:rsid w:val="0057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2601</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2013-04-11T17:05:00Z</dcterms:created>
  <dcterms:modified xsi:type="dcterms:W3CDTF">2013-04-11T17:05:00Z</dcterms:modified>
  <cp:category> </cp:category>
  <cp:contentStatus> </cp:contentStatus>
</cp:coreProperties>
</file>