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3D" w:rsidRDefault="00A5563D" w:rsidP="00A5563D">
      <w:pPr>
        <w:jc w:val="center"/>
        <w:rPr>
          <w:b/>
          <w:szCs w:val="22"/>
        </w:rPr>
      </w:pPr>
      <w:bookmarkStart w:id="0" w:name="_GoBack"/>
      <w:bookmarkEnd w:id="0"/>
      <w:r>
        <w:rPr>
          <w:b/>
          <w:szCs w:val="22"/>
        </w:rPr>
        <w:t>Before the</w:t>
      </w:r>
    </w:p>
    <w:p w:rsidR="00A5563D" w:rsidRDefault="00A5563D" w:rsidP="00A5563D">
      <w:pPr>
        <w:jc w:val="center"/>
        <w:rPr>
          <w:b/>
          <w:szCs w:val="22"/>
        </w:rPr>
      </w:pPr>
      <w:r>
        <w:rPr>
          <w:b/>
          <w:szCs w:val="22"/>
        </w:rPr>
        <w:t>Federal Communications Commission</w:t>
      </w:r>
    </w:p>
    <w:p w:rsidR="00A5563D" w:rsidRDefault="00A5563D" w:rsidP="00A5563D">
      <w:pPr>
        <w:jc w:val="center"/>
        <w:rPr>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smartTag>
      <w:r>
        <w:rPr>
          <w:b/>
          <w:szCs w:val="22"/>
        </w:rPr>
        <w:t xml:space="preserve">  20554</w:t>
      </w:r>
    </w:p>
    <w:p w:rsidR="00A5563D" w:rsidRDefault="00A5563D" w:rsidP="00A5563D">
      <w:pPr>
        <w:jc w:val="center"/>
        <w:rPr>
          <w:szCs w:val="22"/>
        </w:rPr>
      </w:pPr>
    </w:p>
    <w:p w:rsidR="00A5563D" w:rsidRDefault="00A5563D" w:rsidP="00A5563D">
      <w:pPr>
        <w:tabs>
          <w:tab w:val="left" w:pos="4680"/>
        </w:tabs>
        <w:rPr>
          <w:szCs w:val="22"/>
        </w:rPr>
      </w:pPr>
      <w:r>
        <w:rPr>
          <w:szCs w:val="22"/>
        </w:rPr>
        <w:t>In the Matter of</w:t>
      </w:r>
      <w:r>
        <w:rPr>
          <w:szCs w:val="22"/>
        </w:rPr>
        <w:tab/>
        <w:t>)</w:t>
      </w:r>
    </w:p>
    <w:p w:rsidR="00A5563D" w:rsidRDefault="00A5563D" w:rsidP="00A5563D">
      <w:pPr>
        <w:tabs>
          <w:tab w:val="left" w:pos="4680"/>
        </w:tabs>
        <w:rPr>
          <w:szCs w:val="22"/>
        </w:rPr>
      </w:pPr>
      <w:r>
        <w:rPr>
          <w:szCs w:val="22"/>
        </w:rPr>
        <w:tab/>
        <w:t>)</w:t>
      </w:r>
    </w:p>
    <w:p w:rsidR="00A5563D" w:rsidRDefault="00A5563D" w:rsidP="00A5563D">
      <w:pPr>
        <w:tabs>
          <w:tab w:val="left" w:pos="4680"/>
        </w:tabs>
        <w:rPr>
          <w:szCs w:val="22"/>
        </w:rPr>
      </w:pPr>
      <w:r>
        <w:rPr>
          <w:szCs w:val="22"/>
        </w:rPr>
        <w:t xml:space="preserve">FIRESIDE MEDIA </w:t>
      </w:r>
      <w:r>
        <w:rPr>
          <w:szCs w:val="22"/>
        </w:rPr>
        <w:tab/>
        <w:t>)</w:t>
      </w:r>
      <w:r>
        <w:rPr>
          <w:szCs w:val="22"/>
        </w:rPr>
        <w:tab/>
      </w:r>
      <w:r>
        <w:rPr>
          <w:szCs w:val="22"/>
        </w:rPr>
        <w:tab/>
        <w:t>File No. BNP-20040130APQ</w:t>
      </w:r>
      <w:r>
        <w:rPr>
          <w:szCs w:val="22"/>
        </w:rPr>
        <w:tab/>
      </w:r>
    </w:p>
    <w:p w:rsidR="00A5563D" w:rsidRDefault="00A5563D" w:rsidP="00A5563D">
      <w:pPr>
        <w:tabs>
          <w:tab w:val="left" w:pos="4680"/>
        </w:tabs>
        <w:rPr>
          <w:szCs w:val="22"/>
        </w:rPr>
      </w:pPr>
      <w:r>
        <w:rPr>
          <w:szCs w:val="22"/>
        </w:rPr>
        <w:tab/>
        <w:t>)</w:t>
      </w:r>
      <w:r>
        <w:rPr>
          <w:szCs w:val="22"/>
        </w:rPr>
        <w:tab/>
      </w:r>
      <w:r>
        <w:rPr>
          <w:szCs w:val="22"/>
        </w:rPr>
        <w:tab/>
        <w:t>Facility ID No. 161135</w:t>
      </w:r>
    </w:p>
    <w:p w:rsidR="00A5563D" w:rsidRDefault="00A5563D" w:rsidP="00A5563D">
      <w:pPr>
        <w:tabs>
          <w:tab w:val="left" w:pos="4680"/>
        </w:tabs>
        <w:rPr>
          <w:szCs w:val="22"/>
        </w:rPr>
      </w:pPr>
      <w:r>
        <w:rPr>
          <w:szCs w:val="22"/>
        </w:rPr>
        <w:t>Application for a New AM Broadcast Station</w:t>
      </w:r>
      <w:r>
        <w:rPr>
          <w:szCs w:val="22"/>
        </w:rPr>
        <w:tab/>
        <w:t>)</w:t>
      </w:r>
    </w:p>
    <w:p w:rsidR="00A5563D" w:rsidRDefault="00A5563D" w:rsidP="00A5563D">
      <w:pPr>
        <w:tabs>
          <w:tab w:val="left" w:pos="4680"/>
        </w:tabs>
        <w:rPr>
          <w:szCs w:val="22"/>
        </w:rPr>
      </w:pPr>
      <w:r>
        <w:rPr>
          <w:szCs w:val="22"/>
        </w:rPr>
        <w:t xml:space="preserve">at </w:t>
      </w:r>
      <w:smartTag w:uri="urn:schemas-microsoft-com:office:smarttags" w:element="place">
        <w:smartTag w:uri="urn:schemas-microsoft-com:office:smarttags" w:element="City">
          <w:r>
            <w:rPr>
              <w:szCs w:val="22"/>
            </w:rPr>
            <w:t>Kirbyville</w:t>
          </w:r>
        </w:smartTag>
        <w:r>
          <w:rPr>
            <w:szCs w:val="22"/>
          </w:rPr>
          <w:t xml:space="preserve">, </w:t>
        </w:r>
        <w:smartTag w:uri="urn:schemas-microsoft-com:office:smarttags" w:element="State">
          <w:r>
            <w:rPr>
              <w:szCs w:val="22"/>
            </w:rPr>
            <w:t>Missouri</w:t>
          </w:r>
        </w:smartTag>
      </w:smartTag>
      <w:r>
        <w:rPr>
          <w:szCs w:val="22"/>
        </w:rPr>
        <w:tab/>
        <w:t>)</w:t>
      </w:r>
    </w:p>
    <w:p w:rsidR="00A5563D" w:rsidRDefault="00A5563D" w:rsidP="00A5563D">
      <w:pPr>
        <w:tabs>
          <w:tab w:val="left" w:pos="4680"/>
        </w:tabs>
        <w:rPr>
          <w:szCs w:val="22"/>
        </w:rPr>
      </w:pPr>
      <w:r>
        <w:rPr>
          <w:szCs w:val="22"/>
        </w:rPr>
        <w:tab/>
        <w:t>)</w:t>
      </w:r>
    </w:p>
    <w:p w:rsidR="00A5563D" w:rsidRDefault="00A5563D" w:rsidP="00A5563D">
      <w:pPr>
        <w:tabs>
          <w:tab w:val="left" w:pos="4680"/>
        </w:tabs>
        <w:rPr>
          <w:szCs w:val="22"/>
        </w:rPr>
      </w:pPr>
      <w:r>
        <w:rPr>
          <w:szCs w:val="22"/>
        </w:rPr>
        <w:t>and</w:t>
      </w:r>
      <w:r>
        <w:rPr>
          <w:szCs w:val="22"/>
        </w:rPr>
        <w:tab/>
        <w:t>)</w:t>
      </w:r>
    </w:p>
    <w:p w:rsidR="00A5563D" w:rsidRDefault="00A5563D" w:rsidP="00A5563D">
      <w:pPr>
        <w:tabs>
          <w:tab w:val="left" w:pos="4680"/>
        </w:tabs>
        <w:rPr>
          <w:szCs w:val="22"/>
        </w:rPr>
      </w:pPr>
      <w:r>
        <w:rPr>
          <w:szCs w:val="22"/>
        </w:rPr>
        <w:tab/>
        <w:t>)</w:t>
      </w:r>
    </w:p>
    <w:p w:rsidR="00A5563D" w:rsidRDefault="00A5563D" w:rsidP="00A5563D">
      <w:pPr>
        <w:tabs>
          <w:tab w:val="left" w:pos="4680"/>
        </w:tabs>
        <w:rPr>
          <w:szCs w:val="22"/>
        </w:rPr>
      </w:pPr>
      <w:r>
        <w:rPr>
          <w:szCs w:val="22"/>
        </w:rPr>
        <w:t>COLLEEN R. MCKINNEY</w:t>
      </w:r>
      <w:r>
        <w:rPr>
          <w:szCs w:val="22"/>
        </w:rPr>
        <w:tab/>
        <w:t>)</w:t>
      </w:r>
      <w:r>
        <w:rPr>
          <w:szCs w:val="22"/>
        </w:rPr>
        <w:tab/>
      </w:r>
      <w:r>
        <w:rPr>
          <w:szCs w:val="22"/>
        </w:rPr>
        <w:tab/>
        <w:t>File No. BNP-20040130AUA</w:t>
      </w:r>
    </w:p>
    <w:p w:rsidR="00A5563D" w:rsidRDefault="00A5563D" w:rsidP="00A5563D">
      <w:pPr>
        <w:tabs>
          <w:tab w:val="left" w:pos="4680"/>
        </w:tabs>
        <w:rPr>
          <w:szCs w:val="22"/>
        </w:rPr>
      </w:pPr>
      <w:r>
        <w:rPr>
          <w:szCs w:val="22"/>
        </w:rPr>
        <w:tab/>
        <w:t>)</w:t>
      </w:r>
      <w:r>
        <w:rPr>
          <w:szCs w:val="22"/>
        </w:rPr>
        <w:tab/>
      </w:r>
      <w:r>
        <w:rPr>
          <w:szCs w:val="22"/>
        </w:rPr>
        <w:tab/>
        <w:t>File No. BNP-20091023ABH</w:t>
      </w:r>
    </w:p>
    <w:p w:rsidR="00A5563D" w:rsidRDefault="00A5563D" w:rsidP="00A5563D">
      <w:pPr>
        <w:tabs>
          <w:tab w:val="left" w:pos="4680"/>
        </w:tabs>
        <w:rPr>
          <w:szCs w:val="22"/>
        </w:rPr>
      </w:pPr>
      <w:r>
        <w:rPr>
          <w:szCs w:val="22"/>
        </w:rPr>
        <w:t>Application for a New AM Broadcast Station</w:t>
      </w:r>
      <w:r>
        <w:rPr>
          <w:szCs w:val="22"/>
        </w:rPr>
        <w:tab/>
        <w:t>)</w:t>
      </w:r>
      <w:r>
        <w:rPr>
          <w:szCs w:val="22"/>
        </w:rPr>
        <w:tab/>
      </w:r>
      <w:r>
        <w:rPr>
          <w:szCs w:val="22"/>
        </w:rPr>
        <w:tab/>
        <w:t>Facility ID No. 160612</w:t>
      </w:r>
    </w:p>
    <w:p w:rsidR="00A5563D" w:rsidRDefault="00A5563D" w:rsidP="00A5563D">
      <w:pPr>
        <w:tabs>
          <w:tab w:val="left" w:pos="4680"/>
        </w:tabs>
        <w:rPr>
          <w:szCs w:val="22"/>
        </w:rPr>
      </w:pPr>
      <w:r>
        <w:rPr>
          <w:szCs w:val="22"/>
        </w:rPr>
        <w:t xml:space="preserve">at </w:t>
      </w:r>
      <w:smartTag w:uri="urn:schemas-microsoft-com:office:smarttags" w:element="place">
        <w:smartTag w:uri="urn:schemas-microsoft-com:office:smarttags" w:element="City">
          <w:r>
            <w:rPr>
              <w:szCs w:val="22"/>
            </w:rPr>
            <w:t>Braham</w:t>
          </w:r>
        </w:smartTag>
        <w:r>
          <w:rPr>
            <w:szCs w:val="22"/>
          </w:rPr>
          <w:t xml:space="preserve">, </w:t>
        </w:r>
        <w:smartTag w:uri="urn:schemas-microsoft-com:office:smarttags" w:element="State">
          <w:r>
            <w:rPr>
              <w:szCs w:val="22"/>
            </w:rPr>
            <w:t>Minnesota</w:t>
          </w:r>
        </w:smartTag>
      </w:smartTag>
      <w:r>
        <w:rPr>
          <w:szCs w:val="22"/>
        </w:rPr>
        <w:tab/>
        <w:t>)</w:t>
      </w:r>
      <w:r>
        <w:rPr>
          <w:szCs w:val="22"/>
        </w:rPr>
        <w:tab/>
      </w:r>
    </w:p>
    <w:p w:rsidR="00A5563D" w:rsidRDefault="00A5563D" w:rsidP="00A5563D">
      <w:pPr>
        <w:tabs>
          <w:tab w:val="left" w:pos="4680"/>
        </w:tabs>
        <w:rPr>
          <w:szCs w:val="22"/>
        </w:rPr>
      </w:pPr>
      <w:r>
        <w:rPr>
          <w:szCs w:val="22"/>
        </w:rPr>
        <w:tab/>
      </w:r>
      <w:r>
        <w:rPr>
          <w:szCs w:val="22"/>
        </w:rPr>
        <w:tab/>
      </w:r>
    </w:p>
    <w:p w:rsidR="00A5563D" w:rsidRDefault="00A5563D" w:rsidP="00A5563D">
      <w:pPr>
        <w:tabs>
          <w:tab w:val="left" w:pos="4680"/>
        </w:tabs>
        <w:rPr>
          <w:szCs w:val="22"/>
        </w:rPr>
      </w:pPr>
      <w:r>
        <w:rPr>
          <w:szCs w:val="22"/>
        </w:rPr>
        <w:tab/>
      </w:r>
    </w:p>
    <w:p w:rsidR="00A5563D" w:rsidRDefault="00A5563D" w:rsidP="00A5563D">
      <w:pPr>
        <w:pStyle w:val="Heading1"/>
        <w:rPr>
          <w:szCs w:val="22"/>
        </w:rPr>
      </w:pPr>
      <w:r>
        <w:rPr>
          <w:szCs w:val="22"/>
        </w:rPr>
        <w:t>MEMORANDUM OPINION AND ORDER</w:t>
      </w:r>
    </w:p>
    <w:p w:rsidR="00A5563D" w:rsidRDefault="00A5563D" w:rsidP="00A5563D">
      <w:pPr>
        <w:tabs>
          <w:tab w:val="left" w:pos="770"/>
          <w:tab w:val="left" w:pos="1430"/>
          <w:tab w:val="left" w:pos="4680"/>
        </w:tabs>
        <w:rPr>
          <w:szCs w:val="22"/>
        </w:rPr>
      </w:pPr>
    </w:p>
    <w:tbl>
      <w:tblPr>
        <w:tblW w:w="0" w:type="auto"/>
        <w:tblLook w:val="0000" w:firstRow="0" w:lastRow="0" w:firstColumn="0" w:lastColumn="0" w:noHBand="0" w:noVBand="0"/>
      </w:tblPr>
      <w:tblGrid>
        <w:gridCol w:w="4788"/>
        <w:gridCol w:w="4788"/>
      </w:tblGrid>
      <w:tr w:rsidR="00A5563D" w:rsidTr="0029492D">
        <w:tc>
          <w:tcPr>
            <w:tcW w:w="4788" w:type="dxa"/>
          </w:tcPr>
          <w:p w:rsidR="00A5563D" w:rsidRDefault="00621C1E" w:rsidP="0029492D">
            <w:pPr>
              <w:tabs>
                <w:tab w:val="left" w:pos="770"/>
                <w:tab w:val="left" w:pos="1430"/>
                <w:tab w:val="left" w:pos="4680"/>
              </w:tabs>
              <w:rPr>
                <w:b/>
              </w:rPr>
            </w:pPr>
            <w:r>
              <w:rPr>
                <w:b/>
              </w:rPr>
              <w:t>Adopted:  April 11</w:t>
            </w:r>
            <w:r w:rsidR="00A5563D">
              <w:rPr>
                <w:b/>
              </w:rPr>
              <w:t>, 2013</w:t>
            </w:r>
          </w:p>
        </w:tc>
        <w:tc>
          <w:tcPr>
            <w:tcW w:w="4788" w:type="dxa"/>
          </w:tcPr>
          <w:p w:rsidR="00A5563D" w:rsidRDefault="00826E19" w:rsidP="00826E19">
            <w:pPr>
              <w:tabs>
                <w:tab w:val="left" w:pos="770"/>
                <w:tab w:val="left" w:pos="1430"/>
                <w:tab w:val="left" w:pos="4680"/>
              </w:tabs>
              <w:ind w:left="972"/>
              <w:rPr>
                <w:b/>
              </w:rPr>
            </w:pPr>
            <w:r>
              <w:rPr>
                <w:b/>
              </w:rPr>
              <w:t xml:space="preserve">                      </w:t>
            </w:r>
            <w:r w:rsidR="00A5563D">
              <w:rPr>
                <w:b/>
              </w:rPr>
              <w:t xml:space="preserve">Released:  </w:t>
            </w:r>
            <w:r>
              <w:rPr>
                <w:b/>
              </w:rPr>
              <w:t>April 12,</w:t>
            </w:r>
            <w:r w:rsidR="00A5563D">
              <w:rPr>
                <w:b/>
              </w:rPr>
              <w:t xml:space="preserve"> 2013</w:t>
            </w:r>
          </w:p>
        </w:tc>
      </w:tr>
    </w:tbl>
    <w:p w:rsidR="00A5563D" w:rsidRDefault="00A5563D" w:rsidP="00A5563D">
      <w:pPr>
        <w:pStyle w:val="Header"/>
        <w:tabs>
          <w:tab w:val="clear" w:pos="4320"/>
          <w:tab w:val="clear" w:pos="8640"/>
          <w:tab w:val="left" w:pos="4680"/>
        </w:tabs>
        <w:rPr>
          <w:szCs w:val="22"/>
        </w:rPr>
      </w:pPr>
    </w:p>
    <w:p w:rsidR="00A5563D" w:rsidRDefault="00A5563D" w:rsidP="00A5563D">
      <w:pPr>
        <w:tabs>
          <w:tab w:val="left" w:pos="1980"/>
          <w:tab w:val="left" w:pos="4680"/>
        </w:tabs>
        <w:jc w:val="both"/>
        <w:rPr>
          <w:szCs w:val="22"/>
        </w:rPr>
      </w:pPr>
      <w:r>
        <w:rPr>
          <w:szCs w:val="22"/>
        </w:rPr>
        <w:t>By the Commission:</w:t>
      </w:r>
      <w:r>
        <w:rPr>
          <w:szCs w:val="22"/>
        </w:rPr>
        <w:tab/>
        <w:t xml:space="preserve"> </w:t>
      </w:r>
      <w:r w:rsidR="00C24D67">
        <w:rPr>
          <w:szCs w:val="22"/>
        </w:rPr>
        <w:t>Commissioner McDowell not participating.</w:t>
      </w:r>
    </w:p>
    <w:p w:rsidR="00A5563D" w:rsidRDefault="00A5563D" w:rsidP="00A5563D">
      <w:pPr>
        <w:tabs>
          <w:tab w:val="left" w:pos="1980"/>
          <w:tab w:val="left" w:pos="4680"/>
        </w:tabs>
        <w:jc w:val="both"/>
        <w:rPr>
          <w:b/>
          <w:szCs w:val="22"/>
        </w:rPr>
      </w:pPr>
    </w:p>
    <w:p w:rsidR="00A5563D" w:rsidRDefault="00A5563D" w:rsidP="00A5563D">
      <w:pPr>
        <w:pStyle w:val="BodyText"/>
        <w:tabs>
          <w:tab w:val="left" w:pos="1430"/>
        </w:tabs>
      </w:pPr>
      <w:r>
        <w:rPr>
          <w:szCs w:val="22"/>
        </w:rPr>
        <w:tab/>
      </w:r>
      <w:r>
        <w:t xml:space="preserve">1.  </w:t>
      </w:r>
      <w:r>
        <w:tab/>
        <w:t>The Commission has before it the Application for Review (“AFR”), filed by Fireside Media (“Fireside”), applicant for a new AM broadcast station at Kirbyville, Missouri.  Fireside seeks review of the Media Bureau’s August 26, 2009, decision awarding a dispositive preference,</w:t>
      </w:r>
      <w:r>
        <w:rPr>
          <w:rStyle w:val="FootnoteReference"/>
        </w:rPr>
        <w:footnoteReference w:id="1"/>
      </w:r>
      <w:r>
        <w:t xml:space="preserve"> under Section 307(b) of the Communications Act,</w:t>
      </w:r>
      <w:r>
        <w:rPr>
          <w:rStyle w:val="FootnoteReference"/>
        </w:rPr>
        <w:footnoteReference w:id="2"/>
      </w:r>
      <w:r>
        <w:t xml:space="preserve"> to Colleen McKinney’s (“McKinney”) mutually exclusive application for a new AM broadcast station at Braham, Minnesota.</w:t>
      </w:r>
    </w:p>
    <w:p w:rsidR="00A5563D" w:rsidRDefault="00A5563D" w:rsidP="00A5563D">
      <w:pPr>
        <w:pStyle w:val="BodyText"/>
        <w:tabs>
          <w:tab w:val="left" w:pos="1430"/>
        </w:tabs>
      </w:pPr>
    </w:p>
    <w:p w:rsidR="00B27784" w:rsidRDefault="00A5563D" w:rsidP="00A5563D">
      <w:pPr>
        <w:pStyle w:val="BodyText"/>
        <w:tabs>
          <w:tab w:val="left" w:pos="1430"/>
        </w:tabs>
      </w:pPr>
      <w:r>
        <w:tab/>
        <w:t>2.</w:t>
      </w:r>
      <w:r>
        <w:tab/>
        <w:t>Fireside cites no factual or legal errors in the Bureau’s finding that Braham is more populous than Kirbyville, and thus that McKinney’s proposal merits a dispositive preference under Section 307(b).</w:t>
      </w:r>
      <w:r>
        <w:rPr>
          <w:rStyle w:val="FootnoteReference"/>
        </w:rPr>
        <w:footnoteReference w:id="3"/>
      </w:r>
      <w:r>
        <w:t xml:space="preserve">  Instead, Fireside argues that the distance between the two proposals mandates grant of both, and that the two applicants should have been allowed to resolve any interference issues.</w:t>
      </w:r>
      <w:r>
        <w:rPr>
          <w:rStyle w:val="FootnoteReference"/>
        </w:rPr>
        <w:footnoteReference w:id="4"/>
      </w:r>
      <w:r>
        <w:t xml:space="preserve">  Fireside raised these arguments in its November 21, 2007, Petition for Reconsideration of the Bureau’s October 22, 2007, letter granting a dispositive Section 307(b) preference to the then-mutually exclusive application of RAMS II for a new AM broadcast station at Wyoming, Minnesota.</w:t>
      </w:r>
      <w:r w:rsidR="00F43A40">
        <w:rPr>
          <w:rStyle w:val="FootnoteReference"/>
        </w:rPr>
        <w:footnoteReference w:id="5"/>
      </w:r>
      <w:r>
        <w:t xml:space="preserve">  As noted in the </w:t>
      </w:r>
      <w:r w:rsidRPr="00B27784">
        <w:rPr>
          <w:i/>
        </w:rPr>
        <w:t>Staff Decision</w:t>
      </w:r>
      <w:r>
        <w:t>, RAMS II subsequently withdrew its application.</w:t>
      </w:r>
      <w:r w:rsidR="004C641F">
        <w:rPr>
          <w:rStyle w:val="FootnoteReference"/>
        </w:rPr>
        <w:footnoteReference w:id="6"/>
      </w:r>
      <w:r>
        <w:t xml:space="preserve">  Accordingly, in the </w:t>
      </w:r>
      <w:r w:rsidRPr="00B27784">
        <w:rPr>
          <w:i/>
        </w:rPr>
        <w:t>Staff Decision</w:t>
      </w:r>
      <w:r>
        <w:t xml:space="preserve">, the Bureau dismissed that application and, therefore, also dismissed as moot Fireside’s Petition for </w:t>
      </w:r>
      <w:r>
        <w:lastRenderedPageBreak/>
        <w:t xml:space="preserve">Reconsideration of the </w:t>
      </w:r>
      <w:r w:rsidR="00202F63">
        <w:t>October Letter</w:t>
      </w:r>
      <w:r>
        <w:t>.</w:t>
      </w:r>
      <w:r w:rsidR="004C641F">
        <w:rPr>
          <w:rStyle w:val="FootnoteReference"/>
        </w:rPr>
        <w:footnoteReference w:id="7"/>
      </w:r>
      <w:r>
        <w:t xml:space="preserve">  Fireside failed to seek reconsideration or review of </w:t>
      </w:r>
      <w:r w:rsidR="00202F63">
        <w:t>that pleading’s dismissal</w:t>
      </w:r>
      <w:r>
        <w:t>.  For this reason, the Commission need not consider these arguments here.</w:t>
      </w:r>
      <w:r>
        <w:rPr>
          <w:rStyle w:val="FootnoteReference"/>
        </w:rPr>
        <w:footnoteReference w:id="8"/>
      </w:r>
      <w:r>
        <w:t xml:space="preserve">  </w:t>
      </w:r>
    </w:p>
    <w:p w:rsidR="00686E2D" w:rsidRDefault="00686E2D" w:rsidP="00A5563D">
      <w:pPr>
        <w:pStyle w:val="BodyText"/>
        <w:tabs>
          <w:tab w:val="left" w:pos="1430"/>
        </w:tabs>
      </w:pPr>
    </w:p>
    <w:p w:rsidR="00A5563D" w:rsidRDefault="00B27784" w:rsidP="00A5563D">
      <w:pPr>
        <w:pStyle w:val="BodyText"/>
        <w:tabs>
          <w:tab w:val="left" w:pos="1430"/>
        </w:tabs>
      </w:pPr>
      <w:r>
        <w:tab/>
        <w:t>3.</w:t>
      </w:r>
      <w:r>
        <w:tab/>
        <w:t xml:space="preserve">Even if we were to consider </w:t>
      </w:r>
      <w:r w:rsidR="00A5563D">
        <w:t>Fireside’s argument</w:t>
      </w:r>
      <w:r>
        <w:t>s on the merits, we find them to be unpersuasive as an alternative and independent basis for our decision.</w:t>
      </w:r>
      <w:r w:rsidR="00A5563D">
        <w:t xml:space="preserve">  The two</w:t>
      </w:r>
      <w:r w:rsidR="00686E2D">
        <w:t xml:space="preserve"> remaining</w:t>
      </w:r>
      <w:r w:rsidR="00A5563D">
        <w:t xml:space="preserve"> proposals would cause nighttime interference to each other under well-established Commission engineering standards</w:t>
      </w:r>
      <w:r w:rsidR="00686E2D">
        <w:t>, precluding the grant of both applications</w:t>
      </w:r>
      <w:r w:rsidR="00A5563D">
        <w:t>.</w:t>
      </w:r>
      <w:r w:rsidR="00A5563D">
        <w:rPr>
          <w:rStyle w:val="FootnoteReference"/>
        </w:rPr>
        <w:footnoteReference w:id="9"/>
      </w:r>
      <w:r w:rsidR="00A5563D">
        <w:t xml:space="preserve">  </w:t>
      </w:r>
      <w:r w:rsidR="00A5563D">
        <w:rPr>
          <w:szCs w:val="22"/>
        </w:rPr>
        <w:t>Moreover, our Rules prohibit auction filing window applicants from discussing or negotiating settlement agreements.</w:t>
      </w:r>
      <w:r w:rsidR="00A5563D">
        <w:rPr>
          <w:rStyle w:val="FootnoteReference"/>
          <w:szCs w:val="22"/>
        </w:rPr>
        <w:footnoteReference w:id="10"/>
      </w:r>
      <w:r w:rsidR="00A5563D">
        <w:rPr>
          <w:szCs w:val="22"/>
        </w:rPr>
        <w:t xml:space="preserve">  The narrow exceptions, such as that for groups containing noncommercial educational (“NCE”) applicants cited by Fireside,</w:t>
      </w:r>
      <w:r w:rsidR="00A5563D">
        <w:rPr>
          <w:rStyle w:val="FootnoteReference"/>
          <w:szCs w:val="22"/>
        </w:rPr>
        <w:footnoteReference w:id="11"/>
      </w:r>
      <w:r w:rsidR="00A5563D">
        <w:rPr>
          <w:szCs w:val="22"/>
        </w:rPr>
        <w:t xml:space="preserve"> are not likely to compromise the competitiv</w:t>
      </w:r>
      <w:r w:rsidR="00202F63">
        <w:rPr>
          <w:szCs w:val="22"/>
        </w:rPr>
        <w:t>eness of the auction process because</w:t>
      </w:r>
      <w:r w:rsidR="00A5563D">
        <w:rPr>
          <w:szCs w:val="22"/>
        </w:rPr>
        <w:t xml:space="preserve"> NCE applicants</w:t>
      </w:r>
      <w:r w:rsidR="00686E2D">
        <w:rPr>
          <w:szCs w:val="22"/>
        </w:rPr>
        <w:t>, unlike Fireside and McKinney,</w:t>
      </w:r>
      <w:r w:rsidR="00A5563D">
        <w:rPr>
          <w:szCs w:val="22"/>
        </w:rPr>
        <w:t xml:space="preserve"> may not participate in auctions.</w:t>
      </w:r>
      <w:r w:rsidR="00A5563D">
        <w:rPr>
          <w:rStyle w:val="FootnoteReference"/>
          <w:szCs w:val="22"/>
        </w:rPr>
        <w:footnoteReference w:id="12"/>
      </w:r>
      <w:r w:rsidR="00A5563D">
        <w:rPr>
          <w:szCs w:val="22"/>
        </w:rPr>
        <w:t xml:space="preserve">  Thus, prohibiting a technical resolution or settlement in a mutually exclusive application group such as this was not arbitrary and capricious, as Fireside contends.  Rather, it is based on the Commission’s due consideration </w:t>
      </w:r>
      <w:r w:rsidR="00686E2D">
        <w:rPr>
          <w:szCs w:val="22"/>
        </w:rPr>
        <w:t>of the policies underlying our c</w:t>
      </w:r>
      <w:r w:rsidR="00A5563D">
        <w:rPr>
          <w:szCs w:val="22"/>
        </w:rPr>
        <w:t>ongressionally mandate</w:t>
      </w:r>
      <w:r w:rsidR="00686E2D">
        <w:rPr>
          <w:szCs w:val="22"/>
        </w:rPr>
        <w:t>d broadcast auction authority.</w:t>
      </w:r>
      <w:r w:rsidR="00A5563D">
        <w:rPr>
          <w:rStyle w:val="FootnoteReference"/>
          <w:szCs w:val="22"/>
        </w:rPr>
        <w:footnoteReference w:id="13"/>
      </w:r>
      <w:r w:rsidR="00A5563D">
        <w:rPr>
          <w:szCs w:val="22"/>
        </w:rPr>
        <w:t xml:space="preserve">  </w:t>
      </w:r>
      <w:r w:rsidR="00A5563D">
        <w:t xml:space="preserve">Fireside’s remaining argument, </w:t>
      </w:r>
      <w:r w:rsidR="00686E2D">
        <w:t>criticizing the Bureau’s failure to consider</w:t>
      </w:r>
      <w:r w:rsidR="00A5563D">
        <w:t xml:space="preserve"> McKinney’s challenge to its financial qualifications,</w:t>
      </w:r>
      <w:r w:rsidR="00A5563D">
        <w:rPr>
          <w:rStyle w:val="FootnoteReference"/>
        </w:rPr>
        <w:footnoteReference w:id="14"/>
      </w:r>
      <w:r w:rsidR="00A5563D">
        <w:t xml:space="preserve"> is </w:t>
      </w:r>
      <w:r w:rsidR="00686E2D">
        <w:t xml:space="preserve">without merit.  As noted in the </w:t>
      </w:r>
      <w:r w:rsidR="00686E2D" w:rsidRPr="00686E2D">
        <w:rPr>
          <w:i/>
        </w:rPr>
        <w:t>Staff Decision</w:t>
      </w:r>
      <w:r w:rsidR="00686E2D">
        <w:t>, because F</w:t>
      </w:r>
      <w:r w:rsidR="00A5563D">
        <w:t>ireside did not prevail in the Section 307(b) analysis</w:t>
      </w:r>
      <w:r w:rsidR="00686E2D">
        <w:t>, its financial qualifications are not at issue</w:t>
      </w:r>
      <w:r w:rsidR="00A5563D">
        <w:t>.</w:t>
      </w:r>
      <w:r w:rsidR="004C641F">
        <w:rPr>
          <w:rStyle w:val="FootnoteReference"/>
        </w:rPr>
        <w:footnoteReference w:id="15"/>
      </w:r>
      <w:r w:rsidR="00A5563D">
        <w:t xml:space="preserve"> </w:t>
      </w:r>
    </w:p>
    <w:p w:rsidR="00A5563D" w:rsidRDefault="00A5563D" w:rsidP="00A5563D">
      <w:pPr>
        <w:pStyle w:val="BodyText"/>
        <w:tabs>
          <w:tab w:val="left" w:pos="1430"/>
        </w:tabs>
      </w:pPr>
    </w:p>
    <w:p w:rsidR="00A5563D" w:rsidRDefault="004C641F" w:rsidP="00A5563D">
      <w:pPr>
        <w:pStyle w:val="BodyText"/>
        <w:tabs>
          <w:tab w:val="left" w:pos="1430"/>
        </w:tabs>
        <w:rPr>
          <w:szCs w:val="22"/>
        </w:rPr>
      </w:pPr>
      <w:r>
        <w:tab/>
        <w:t>4</w:t>
      </w:r>
      <w:r w:rsidR="00A5563D">
        <w:t>.</w:t>
      </w:r>
      <w:r w:rsidR="00A5563D">
        <w:tab/>
        <w:t xml:space="preserve">  Upon review of the AFR and the entire record, we conclude that Fireside has failed to demonstrate that the Bureau erred.  The Media Bureau, in the </w:t>
      </w:r>
      <w:r w:rsidR="00A5563D" w:rsidRPr="00901ACB">
        <w:rPr>
          <w:i/>
        </w:rPr>
        <w:t>Staff Decision</w:t>
      </w:r>
      <w:r w:rsidR="00A5563D">
        <w:t>, properly decided the matters raised, and we uphold its decision for the reasons stated therein.</w:t>
      </w:r>
    </w:p>
    <w:p w:rsidR="00985AED" w:rsidRDefault="00985AED">
      <w:pPr>
        <w:spacing w:after="200" w:line="276" w:lineRule="auto"/>
        <w:rPr>
          <w:szCs w:val="22"/>
        </w:rPr>
      </w:pPr>
      <w:r>
        <w:rPr>
          <w:szCs w:val="22"/>
        </w:rPr>
        <w:br w:type="page"/>
      </w:r>
    </w:p>
    <w:p w:rsidR="00A5563D" w:rsidRDefault="00A5563D" w:rsidP="00A5563D">
      <w:pPr>
        <w:pStyle w:val="BodyText"/>
        <w:tabs>
          <w:tab w:val="left" w:pos="1430"/>
        </w:tabs>
        <w:rPr>
          <w:szCs w:val="22"/>
        </w:rPr>
      </w:pPr>
    </w:p>
    <w:p w:rsidR="00A5563D" w:rsidRDefault="004C641F" w:rsidP="00A5563D">
      <w:pPr>
        <w:pStyle w:val="BodyText"/>
        <w:tabs>
          <w:tab w:val="left" w:pos="1430"/>
        </w:tabs>
        <w:rPr>
          <w:szCs w:val="22"/>
        </w:rPr>
      </w:pPr>
      <w:r>
        <w:rPr>
          <w:szCs w:val="22"/>
        </w:rPr>
        <w:tab/>
        <w:t>5</w:t>
      </w:r>
      <w:r w:rsidR="00A5563D">
        <w:rPr>
          <w:szCs w:val="22"/>
        </w:rPr>
        <w:t>.</w:t>
      </w:r>
      <w:r w:rsidR="00A5563D">
        <w:rPr>
          <w:szCs w:val="22"/>
        </w:rPr>
        <w:tab/>
        <w:t>ACCORDINGLY, IT IS ORDERED that, pursuant to Section 5(c)(5) of the Communications Act of 1934, as amended,</w:t>
      </w:r>
      <w:r w:rsidR="00A5563D">
        <w:rPr>
          <w:rStyle w:val="FootnoteReference"/>
          <w:szCs w:val="22"/>
        </w:rPr>
        <w:footnoteReference w:id="16"/>
      </w:r>
      <w:r w:rsidR="00A5563D">
        <w:rPr>
          <w:szCs w:val="22"/>
        </w:rPr>
        <w:t xml:space="preserve"> and Section 1.115(g) of the Commission’s Rules,</w:t>
      </w:r>
      <w:r w:rsidR="00A5563D">
        <w:rPr>
          <w:rStyle w:val="FootnoteReference"/>
          <w:szCs w:val="22"/>
        </w:rPr>
        <w:footnoteReference w:id="17"/>
      </w:r>
      <w:r w:rsidR="00A5563D">
        <w:rPr>
          <w:szCs w:val="22"/>
        </w:rPr>
        <w:t xml:space="preserve"> the AFR IS DENIED.  </w:t>
      </w:r>
    </w:p>
    <w:p w:rsidR="00A5563D" w:rsidRDefault="00A5563D" w:rsidP="00A5563D">
      <w:pPr>
        <w:jc w:val="both"/>
        <w:rPr>
          <w:szCs w:val="22"/>
        </w:rPr>
      </w:pPr>
      <w:r>
        <w:rPr>
          <w:szCs w:val="22"/>
        </w:rPr>
        <w:tab/>
      </w:r>
      <w:r>
        <w:rPr>
          <w:szCs w:val="22"/>
        </w:rPr>
        <w:tab/>
      </w:r>
    </w:p>
    <w:p w:rsidR="00A5563D" w:rsidRDefault="00A5563D" w:rsidP="00A5563D">
      <w:pPr>
        <w:tabs>
          <w:tab w:val="left" w:pos="0"/>
        </w:tabs>
        <w:suppressAutoHyphens/>
        <w:ind w:firstLine="990"/>
        <w:jc w:val="both"/>
        <w:rPr>
          <w:szCs w:val="22"/>
        </w:rPr>
      </w:pPr>
      <w:r>
        <w:rPr>
          <w:szCs w:val="22"/>
        </w:rPr>
        <w:tab/>
      </w:r>
      <w:r>
        <w:rPr>
          <w:szCs w:val="22"/>
        </w:rPr>
        <w:tab/>
      </w:r>
      <w:r>
        <w:rPr>
          <w:szCs w:val="22"/>
        </w:rPr>
        <w:tab/>
      </w:r>
      <w:r>
        <w:rPr>
          <w:szCs w:val="22"/>
        </w:rPr>
        <w:tab/>
      </w:r>
      <w:r>
        <w:rPr>
          <w:szCs w:val="22"/>
        </w:rPr>
        <w:tab/>
        <w:t>FEDERAL COMMUNICATIONS COMMISSION</w:t>
      </w:r>
    </w:p>
    <w:p w:rsidR="00A5563D" w:rsidRDefault="00A5563D" w:rsidP="00A5563D">
      <w:pPr>
        <w:tabs>
          <w:tab w:val="left" w:pos="0"/>
        </w:tabs>
        <w:suppressAutoHyphens/>
        <w:ind w:firstLine="990"/>
        <w:jc w:val="both"/>
        <w:rPr>
          <w:szCs w:val="22"/>
        </w:rPr>
      </w:pPr>
    </w:p>
    <w:p w:rsidR="00A5563D" w:rsidRDefault="00A5563D" w:rsidP="00A5563D">
      <w:pPr>
        <w:tabs>
          <w:tab w:val="left" w:pos="0"/>
        </w:tabs>
        <w:suppressAutoHyphens/>
        <w:ind w:firstLine="990"/>
        <w:jc w:val="both"/>
        <w:rPr>
          <w:szCs w:val="22"/>
        </w:rPr>
      </w:pPr>
    </w:p>
    <w:p w:rsidR="00A5563D" w:rsidRDefault="00A5563D" w:rsidP="00A5563D">
      <w:pPr>
        <w:tabs>
          <w:tab w:val="left" w:pos="0"/>
        </w:tabs>
        <w:suppressAutoHyphens/>
        <w:ind w:firstLine="990"/>
        <w:jc w:val="both"/>
        <w:rPr>
          <w:szCs w:val="22"/>
        </w:rPr>
      </w:pPr>
    </w:p>
    <w:p w:rsidR="00A5563D" w:rsidRDefault="00A5563D" w:rsidP="00A5563D">
      <w:pPr>
        <w:tabs>
          <w:tab w:val="left" w:pos="0"/>
        </w:tabs>
        <w:suppressAutoHyphens/>
        <w:ind w:firstLine="990"/>
        <w:jc w:val="both"/>
        <w:rPr>
          <w:szCs w:val="22"/>
        </w:rPr>
      </w:pPr>
    </w:p>
    <w:p w:rsidR="00A5563D" w:rsidRDefault="00A5563D" w:rsidP="00A5563D">
      <w:pPr>
        <w:tabs>
          <w:tab w:val="left" w:pos="4320"/>
        </w:tabs>
        <w:suppressAutoHyphens/>
        <w:ind w:firstLine="990"/>
        <w:jc w:val="both"/>
        <w:rPr>
          <w:szCs w:val="22"/>
        </w:rPr>
      </w:pPr>
      <w:r>
        <w:rPr>
          <w:szCs w:val="22"/>
        </w:rPr>
        <w:tab/>
        <w:t xml:space="preserve">Marlene H. Dortch  </w:t>
      </w:r>
    </w:p>
    <w:p w:rsidR="00A5563D" w:rsidRDefault="00A5563D" w:rsidP="00A5563D">
      <w:pPr>
        <w:pStyle w:val="ParaNum"/>
        <w:numPr>
          <w:ilvl w:val="0"/>
          <w:numId w:val="0"/>
        </w:numPr>
        <w:spacing w:after="0"/>
      </w:pPr>
      <w:r>
        <w:t xml:space="preserve">                    </w:t>
      </w:r>
      <w:r>
        <w:tab/>
      </w:r>
      <w:r>
        <w:tab/>
      </w:r>
      <w:r>
        <w:tab/>
      </w:r>
      <w:r>
        <w:tab/>
      </w:r>
      <w:r>
        <w:tab/>
        <w:t>Secretary</w:t>
      </w:r>
    </w:p>
    <w:p w:rsidR="00A5563D" w:rsidRDefault="00A5563D" w:rsidP="00A5563D"/>
    <w:p w:rsidR="00D816DA" w:rsidRDefault="00D816DA"/>
    <w:sectPr w:rsidR="00D816DA" w:rsidSect="0070008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9E" w:rsidRDefault="0066739E" w:rsidP="00A5563D">
      <w:r>
        <w:separator/>
      </w:r>
    </w:p>
  </w:endnote>
  <w:endnote w:type="continuationSeparator" w:id="0">
    <w:p w:rsidR="0066739E" w:rsidRDefault="0066739E" w:rsidP="00A5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ED" w:rsidRDefault="00E60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F1" w:rsidRDefault="00985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0EA">
      <w:rPr>
        <w:rStyle w:val="PageNumber"/>
        <w:noProof/>
      </w:rPr>
      <w:t>2</w:t>
    </w:r>
    <w:r>
      <w:rPr>
        <w:rStyle w:val="PageNumber"/>
      </w:rPr>
      <w:fldChar w:fldCharType="end"/>
    </w:r>
  </w:p>
  <w:p w:rsidR="00F945F1" w:rsidRDefault="000130EA">
    <w:pPr>
      <w:pStyle w:val="Footer"/>
      <w:jc w:val="center"/>
      <w:rPr>
        <w:rStyle w:val="PageNumber"/>
      </w:rPr>
    </w:pPr>
  </w:p>
  <w:p w:rsidR="00F945F1" w:rsidRDefault="00013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F1" w:rsidRDefault="000130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9E" w:rsidRDefault="0066739E" w:rsidP="00A5563D">
      <w:r>
        <w:separator/>
      </w:r>
    </w:p>
  </w:footnote>
  <w:footnote w:type="continuationSeparator" w:id="0">
    <w:p w:rsidR="0066739E" w:rsidRDefault="0066739E" w:rsidP="00A5563D">
      <w:r>
        <w:continuationSeparator/>
      </w:r>
    </w:p>
  </w:footnote>
  <w:footnote w:id="1">
    <w:p w:rsidR="00A5563D" w:rsidRPr="00017A24" w:rsidRDefault="00A5563D" w:rsidP="009A4310">
      <w:pPr>
        <w:pStyle w:val="FootnoteText"/>
        <w:spacing w:after="120"/>
        <w:jc w:val="both"/>
        <w:rPr>
          <w:sz w:val="20"/>
        </w:rPr>
      </w:pPr>
      <w:r>
        <w:rPr>
          <w:rStyle w:val="FootnoteReference"/>
        </w:rPr>
        <w:footnoteRef/>
      </w:r>
      <w:r>
        <w:t xml:space="preserve"> </w:t>
      </w:r>
      <w:r w:rsidRPr="00017A24">
        <w:rPr>
          <w:i/>
          <w:sz w:val="20"/>
        </w:rPr>
        <w:t>Fireside Media and Colleen R. McKinney</w:t>
      </w:r>
      <w:r>
        <w:rPr>
          <w:sz w:val="20"/>
        </w:rPr>
        <w:t>, Letter, Ref. No. 1800B3-TSN (MB Aug. 26, 2009) (“</w:t>
      </w:r>
      <w:r w:rsidRPr="00017A24">
        <w:rPr>
          <w:i/>
          <w:sz w:val="20"/>
        </w:rPr>
        <w:t>Staff Decision</w:t>
      </w:r>
      <w:r>
        <w:rPr>
          <w:sz w:val="20"/>
        </w:rPr>
        <w:t>”).</w:t>
      </w:r>
    </w:p>
  </w:footnote>
  <w:footnote w:id="2">
    <w:p w:rsidR="00A5563D" w:rsidRPr="00017A24" w:rsidRDefault="00A5563D" w:rsidP="009A4310">
      <w:pPr>
        <w:pStyle w:val="FootnoteText"/>
        <w:spacing w:after="120"/>
        <w:jc w:val="both"/>
        <w:rPr>
          <w:sz w:val="20"/>
        </w:rPr>
      </w:pPr>
      <w:r>
        <w:rPr>
          <w:rStyle w:val="FootnoteReference"/>
        </w:rPr>
        <w:footnoteRef/>
      </w:r>
      <w:r>
        <w:t xml:space="preserve"> </w:t>
      </w:r>
      <w:r>
        <w:rPr>
          <w:sz w:val="20"/>
        </w:rPr>
        <w:t>47 U.S.C. § 307(b).</w:t>
      </w:r>
    </w:p>
  </w:footnote>
  <w:footnote w:id="3">
    <w:p w:rsidR="00A5563D" w:rsidRPr="00901ACB" w:rsidRDefault="00A5563D" w:rsidP="009A4310">
      <w:pPr>
        <w:pStyle w:val="FootnoteText"/>
        <w:spacing w:after="120"/>
        <w:jc w:val="both"/>
        <w:rPr>
          <w:sz w:val="20"/>
        </w:rPr>
      </w:pPr>
      <w:r>
        <w:rPr>
          <w:rStyle w:val="FootnoteReference"/>
        </w:rPr>
        <w:footnoteRef/>
      </w:r>
      <w:r>
        <w:t xml:space="preserve"> </w:t>
      </w:r>
      <w:r w:rsidRPr="00901ACB">
        <w:rPr>
          <w:i/>
          <w:sz w:val="20"/>
        </w:rPr>
        <w:t>See Staff Decision</w:t>
      </w:r>
      <w:r>
        <w:rPr>
          <w:sz w:val="20"/>
        </w:rPr>
        <w:t xml:space="preserve"> at 2-4.</w:t>
      </w:r>
    </w:p>
  </w:footnote>
  <w:footnote w:id="4">
    <w:p w:rsidR="00A5563D" w:rsidRPr="00C61FAC" w:rsidRDefault="00A5563D" w:rsidP="009A4310">
      <w:pPr>
        <w:pStyle w:val="FootnoteText"/>
        <w:spacing w:after="120"/>
        <w:jc w:val="both"/>
        <w:rPr>
          <w:sz w:val="20"/>
        </w:rPr>
      </w:pPr>
      <w:r>
        <w:rPr>
          <w:rStyle w:val="FootnoteReference"/>
        </w:rPr>
        <w:footnoteRef/>
      </w:r>
      <w:r>
        <w:t xml:space="preserve"> </w:t>
      </w:r>
      <w:r>
        <w:rPr>
          <w:sz w:val="20"/>
        </w:rPr>
        <w:t>AFR at 2-3.</w:t>
      </w:r>
    </w:p>
  </w:footnote>
  <w:footnote w:id="5">
    <w:p w:rsidR="00F43A40" w:rsidRPr="00605B1C" w:rsidRDefault="00F43A40" w:rsidP="009A4310">
      <w:pPr>
        <w:pStyle w:val="FootnoteText"/>
        <w:spacing w:after="120"/>
        <w:jc w:val="both"/>
        <w:rPr>
          <w:sz w:val="20"/>
        </w:rPr>
      </w:pPr>
      <w:r>
        <w:rPr>
          <w:rStyle w:val="FootnoteReference"/>
        </w:rPr>
        <w:footnoteRef/>
      </w:r>
      <w:r>
        <w:t xml:space="preserve"> </w:t>
      </w:r>
      <w:r w:rsidR="00202F63" w:rsidRPr="00605B1C">
        <w:rPr>
          <w:i/>
          <w:sz w:val="20"/>
        </w:rPr>
        <w:t>Rams II, Fireside Media, and Colleen R. McKinney</w:t>
      </w:r>
      <w:r w:rsidR="00202F63" w:rsidRPr="00605B1C">
        <w:rPr>
          <w:sz w:val="20"/>
        </w:rPr>
        <w:t xml:space="preserve">, Letter, Ref. No. 1800B3 LAS/JP (MB Oct. 22, 2007) (“October Letter”).  RAMS II’s application was </w:t>
      </w:r>
      <w:r w:rsidRPr="00605B1C">
        <w:rPr>
          <w:sz w:val="20"/>
        </w:rPr>
        <w:t>File No. BNP-20040130BCQ.</w:t>
      </w:r>
    </w:p>
  </w:footnote>
  <w:footnote w:id="6">
    <w:p w:rsidR="004C641F" w:rsidRPr="004C641F" w:rsidRDefault="004C641F" w:rsidP="009A4310">
      <w:pPr>
        <w:pStyle w:val="FootnoteText"/>
        <w:spacing w:after="120"/>
        <w:jc w:val="both"/>
        <w:rPr>
          <w:sz w:val="20"/>
        </w:rPr>
      </w:pPr>
      <w:r>
        <w:rPr>
          <w:rStyle w:val="FootnoteReference"/>
        </w:rPr>
        <w:footnoteRef/>
      </w:r>
      <w:r>
        <w:t xml:space="preserve"> </w:t>
      </w:r>
      <w:r w:rsidRPr="004C641F">
        <w:rPr>
          <w:i/>
          <w:sz w:val="20"/>
        </w:rPr>
        <w:t>Staff Decision</w:t>
      </w:r>
      <w:r>
        <w:rPr>
          <w:sz w:val="20"/>
        </w:rPr>
        <w:t xml:space="preserve"> at 2.</w:t>
      </w:r>
    </w:p>
  </w:footnote>
  <w:footnote w:id="7">
    <w:p w:rsidR="004C641F" w:rsidRPr="004C641F" w:rsidRDefault="004C641F" w:rsidP="009A4310">
      <w:pPr>
        <w:pStyle w:val="FootnoteText"/>
        <w:spacing w:after="120"/>
        <w:jc w:val="both"/>
        <w:rPr>
          <w:sz w:val="20"/>
        </w:rPr>
      </w:pPr>
      <w:r>
        <w:rPr>
          <w:rStyle w:val="FootnoteReference"/>
        </w:rPr>
        <w:footnoteRef/>
      </w:r>
      <w:r>
        <w:t xml:space="preserve"> </w:t>
      </w:r>
      <w:r w:rsidRPr="004C641F">
        <w:rPr>
          <w:i/>
          <w:sz w:val="20"/>
        </w:rPr>
        <w:t>Id</w:t>
      </w:r>
      <w:r>
        <w:rPr>
          <w:sz w:val="20"/>
        </w:rPr>
        <w:t>.</w:t>
      </w:r>
    </w:p>
  </w:footnote>
  <w:footnote w:id="8">
    <w:p w:rsidR="00A5563D" w:rsidRPr="00A5563D" w:rsidRDefault="00A5563D" w:rsidP="009A4310">
      <w:pPr>
        <w:pStyle w:val="FootnoteText"/>
        <w:spacing w:after="120"/>
        <w:jc w:val="both"/>
        <w:rPr>
          <w:sz w:val="20"/>
        </w:rPr>
      </w:pPr>
      <w:r>
        <w:rPr>
          <w:rStyle w:val="FootnoteReference"/>
        </w:rPr>
        <w:footnoteRef/>
      </w:r>
      <w:r>
        <w:t xml:space="preserve"> </w:t>
      </w:r>
      <w:r w:rsidRPr="004C641F">
        <w:rPr>
          <w:i/>
          <w:sz w:val="20"/>
        </w:rPr>
        <w:t>See</w:t>
      </w:r>
      <w:r>
        <w:rPr>
          <w:sz w:val="20"/>
        </w:rPr>
        <w:t xml:space="preserve"> 47 C.F.R. § 1.115(c).</w:t>
      </w:r>
    </w:p>
  </w:footnote>
  <w:footnote w:id="9">
    <w:p w:rsidR="00A5563D" w:rsidRPr="00217A13" w:rsidRDefault="00A5563D" w:rsidP="009A4310">
      <w:pPr>
        <w:pStyle w:val="FootnoteText"/>
        <w:spacing w:after="120"/>
        <w:jc w:val="both"/>
        <w:rPr>
          <w:sz w:val="20"/>
        </w:rPr>
      </w:pPr>
      <w:r>
        <w:rPr>
          <w:rStyle w:val="FootnoteReference"/>
        </w:rPr>
        <w:footnoteRef/>
      </w:r>
      <w:r>
        <w:t xml:space="preserve"> </w:t>
      </w:r>
      <w:r w:rsidRPr="00217A13">
        <w:rPr>
          <w:sz w:val="20"/>
        </w:rPr>
        <w:t>McKinney’s Braham proposal would enter the 50 percent e</w:t>
      </w:r>
      <w:r>
        <w:rPr>
          <w:sz w:val="20"/>
        </w:rPr>
        <w:t>xclusion root sum square</w:t>
      </w:r>
      <w:r w:rsidRPr="00217A13">
        <w:rPr>
          <w:sz w:val="20"/>
        </w:rPr>
        <w:t xml:space="preserve"> nighttime limit of Fireside’s proposed Kirbyville facility.  As such, McKinney’s proposal would be a high-level interferer to Fireside’s, and under the Commission’s Rules the two proposals are considered to be mutually exclusive.</w:t>
      </w:r>
      <w:r>
        <w:rPr>
          <w:sz w:val="20"/>
        </w:rPr>
        <w:t xml:space="preserve">  </w:t>
      </w:r>
      <w:r w:rsidRPr="002C58B3">
        <w:rPr>
          <w:i/>
          <w:sz w:val="20"/>
        </w:rPr>
        <w:t>See</w:t>
      </w:r>
      <w:r>
        <w:rPr>
          <w:sz w:val="20"/>
        </w:rPr>
        <w:t xml:space="preserve"> Note to 47 C.F.R. § 73.3571; </w:t>
      </w:r>
      <w:r w:rsidRPr="007066D9">
        <w:rPr>
          <w:i/>
          <w:sz w:val="20"/>
        </w:rPr>
        <w:t>Policies to Promote Rural Radio Service and to Streamline Allotment and Assignment Procedures</w:t>
      </w:r>
      <w:r w:rsidRPr="007066D9">
        <w:rPr>
          <w:sz w:val="20"/>
        </w:rPr>
        <w:t>,</w:t>
      </w:r>
      <w:r w:rsidRPr="007066D9">
        <w:rPr>
          <w:color w:val="010101"/>
          <w:sz w:val="20"/>
        </w:rPr>
        <w:t xml:space="preserve"> Second </w:t>
      </w:r>
      <w:r w:rsidRPr="007066D9">
        <w:rPr>
          <w:sz w:val="20"/>
        </w:rPr>
        <w:t>Report and Order, First Order on Reconsideration, and Second Further Notice of Proposed Rule Making, 26 FCC Rcd 2556</w:t>
      </w:r>
      <w:r>
        <w:rPr>
          <w:sz w:val="20"/>
        </w:rPr>
        <w:t>, 2580-84</w:t>
      </w:r>
      <w:r w:rsidRPr="007066D9">
        <w:rPr>
          <w:sz w:val="20"/>
        </w:rPr>
        <w:t xml:space="preserve"> (2011)</w:t>
      </w:r>
      <w:r>
        <w:rPr>
          <w:sz w:val="20"/>
        </w:rPr>
        <w:t>.</w:t>
      </w:r>
    </w:p>
  </w:footnote>
  <w:footnote w:id="10">
    <w:p w:rsidR="00A5563D" w:rsidRPr="001024AA" w:rsidRDefault="00A5563D" w:rsidP="009A4310">
      <w:pPr>
        <w:pStyle w:val="FootnoteText"/>
        <w:spacing w:after="120"/>
        <w:jc w:val="both"/>
        <w:rPr>
          <w:sz w:val="20"/>
        </w:rPr>
      </w:pPr>
      <w:r>
        <w:rPr>
          <w:rStyle w:val="FootnoteReference"/>
        </w:rPr>
        <w:footnoteRef/>
      </w:r>
      <w:r>
        <w:t xml:space="preserve"> </w:t>
      </w:r>
      <w:r>
        <w:rPr>
          <w:sz w:val="20"/>
        </w:rPr>
        <w:t>47 C.F.R. § 1.2105(c).</w:t>
      </w:r>
    </w:p>
  </w:footnote>
  <w:footnote w:id="11">
    <w:p w:rsidR="00A5563D" w:rsidRPr="009B11CA" w:rsidRDefault="00A5563D" w:rsidP="009A4310">
      <w:pPr>
        <w:pStyle w:val="FootnoteText"/>
        <w:spacing w:after="120"/>
        <w:jc w:val="both"/>
        <w:rPr>
          <w:sz w:val="20"/>
        </w:rPr>
      </w:pPr>
      <w:r>
        <w:rPr>
          <w:rStyle w:val="FootnoteReference"/>
        </w:rPr>
        <w:footnoteRef/>
      </w:r>
      <w:r>
        <w:t xml:space="preserve"> </w:t>
      </w:r>
      <w:r>
        <w:rPr>
          <w:sz w:val="20"/>
        </w:rPr>
        <w:t xml:space="preserve">AFR at 2-3; </w:t>
      </w:r>
      <w:r w:rsidRPr="00CD7CE8">
        <w:rPr>
          <w:i/>
          <w:sz w:val="20"/>
        </w:rPr>
        <w:t>s</w:t>
      </w:r>
      <w:r w:rsidRPr="009B11CA">
        <w:rPr>
          <w:i/>
          <w:sz w:val="20"/>
        </w:rPr>
        <w:t>ee</w:t>
      </w:r>
      <w:r>
        <w:rPr>
          <w:sz w:val="20"/>
        </w:rPr>
        <w:t xml:space="preserve"> 47 C.F.R. § 73.5002(d); </w:t>
      </w:r>
      <w:r w:rsidRPr="009B11CA">
        <w:rPr>
          <w:i/>
          <w:sz w:val="20"/>
        </w:rPr>
        <w:t>AM Auction No. 84 Mutually Exclusive Applicants Subject to Auction</w:t>
      </w:r>
      <w:r>
        <w:rPr>
          <w:sz w:val="20"/>
        </w:rPr>
        <w:t>, Public Notice, 20 FCC Rcd 10563, 10564-65 (MB/WTB 2005).</w:t>
      </w:r>
    </w:p>
  </w:footnote>
  <w:footnote w:id="12">
    <w:p w:rsidR="00A5563D" w:rsidRPr="00650A44" w:rsidRDefault="00A5563D" w:rsidP="009A4310">
      <w:pPr>
        <w:pStyle w:val="FootnoteText"/>
        <w:spacing w:after="120"/>
        <w:jc w:val="both"/>
        <w:rPr>
          <w:sz w:val="20"/>
        </w:rPr>
      </w:pPr>
      <w:r>
        <w:rPr>
          <w:rStyle w:val="FootnoteReference"/>
        </w:rPr>
        <w:footnoteRef/>
      </w:r>
      <w:r>
        <w:t xml:space="preserve"> </w:t>
      </w:r>
      <w:r w:rsidRPr="00650A44">
        <w:rPr>
          <w:i/>
          <w:sz w:val="20"/>
        </w:rPr>
        <w:t>See Reexamination of the Comparative Standard for Noncommercial Educational Applicants</w:t>
      </w:r>
      <w:r>
        <w:rPr>
          <w:sz w:val="20"/>
        </w:rPr>
        <w:t xml:space="preserve">, Second Report and Order, 18 FCC Rcd 6691, 6702 (2003), </w:t>
      </w:r>
      <w:r w:rsidRPr="002C2C8F">
        <w:rPr>
          <w:i/>
          <w:sz w:val="20"/>
        </w:rPr>
        <w:t>recon. granted in part on other grounds</w:t>
      </w:r>
      <w:r>
        <w:rPr>
          <w:sz w:val="20"/>
        </w:rPr>
        <w:t>, Memorandum Opinion and Third Order on Reconsideration, 23 FCC Rcd 17423 (2008).</w:t>
      </w:r>
    </w:p>
  </w:footnote>
  <w:footnote w:id="13">
    <w:p w:rsidR="00A5563D" w:rsidRPr="00C30328" w:rsidRDefault="00A5563D" w:rsidP="009A4310">
      <w:pPr>
        <w:pStyle w:val="FootnoteText"/>
        <w:spacing w:after="120"/>
        <w:jc w:val="both"/>
        <w:rPr>
          <w:sz w:val="20"/>
        </w:rPr>
      </w:pPr>
      <w:r>
        <w:rPr>
          <w:rStyle w:val="FootnoteReference"/>
        </w:rPr>
        <w:footnoteRef/>
      </w:r>
      <w:r>
        <w:t xml:space="preserve"> </w:t>
      </w:r>
      <w:r w:rsidRPr="00E1388D">
        <w:rPr>
          <w:sz w:val="20"/>
        </w:rPr>
        <w:t>AFR at 3-4.  Further, the Commission</w:t>
      </w:r>
      <w:r w:rsidRPr="00700087">
        <w:rPr>
          <w:sz w:val="20"/>
        </w:rPr>
        <w:t xml:space="preserve"> and the courts have determined that the public interest and the integrity of the auction process do not require us to allow </w:t>
      </w:r>
      <w:r>
        <w:rPr>
          <w:sz w:val="20"/>
        </w:rPr>
        <w:t xml:space="preserve">unilateral </w:t>
      </w:r>
      <w:r w:rsidRPr="00700087">
        <w:rPr>
          <w:sz w:val="20"/>
        </w:rPr>
        <w:t>post-Form 175</w:t>
      </w:r>
      <w:r>
        <w:rPr>
          <w:sz w:val="20"/>
        </w:rPr>
        <w:t xml:space="preserve"> filing deadline</w:t>
      </w:r>
      <w:r w:rsidRPr="00700087">
        <w:rPr>
          <w:sz w:val="20"/>
        </w:rPr>
        <w:t xml:space="preserve"> technical amendments designed merely to resolve mutual exclusivity, even if doing so would result in multiple awards of construction permits</w:t>
      </w:r>
      <w:r>
        <w:rPr>
          <w:sz w:val="20"/>
        </w:rPr>
        <w:t xml:space="preserve">.  </w:t>
      </w:r>
      <w:r w:rsidRPr="00C30328">
        <w:rPr>
          <w:i/>
          <w:sz w:val="20"/>
        </w:rPr>
        <w:t>Robert E. Combs</w:t>
      </w:r>
      <w:r>
        <w:rPr>
          <w:sz w:val="20"/>
        </w:rPr>
        <w:t xml:space="preserve">, Memorandum Opinion and Order, 19 FCC Rcd 13421, 13426 (2004), </w:t>
      </w:r>
      <w:r w:rsidRPr="00C30328">
        <w:rPr>
          <w:i/>
          <w:sz w:val="20"/>
        </w:rPr>
        <w:t>recon. dismissed</w:t>
      </w:r>
      <w:r>
        <w:rPr>
          <w:sz w:val="20"/>
        </w:rPr>
        <w:t xml:space="preserve">, Order on Reconsideration, 20 FCC Rcd 17238 (2005), citing </w:t>
      </w:r>
      <w:r w:rsidRPr="00C30328">
        <w:rPr>
          <w:i/>
          <w:sz w:val="20"/>
        </w:rPr>
        <w:t>Bachow Communications, Inc. v. F.C.C.</w:t>
      </w:r>
      <w:r w:rsidRPr="00C30328">
        <w:rPr>
          <w:sz w:val="20"/>
        </w:rPr>
        <w:t>, 237 F.3d 683, 691 (D.C. Cir. 2001)</w:t>
      </w:r>
      <w:r>
        <w:rPr>
          <w:sz w:val="20"/>
        </w:rPr>
        <w:t>.</w:t>
      </w:r>
    </w:p>
  </w:footnote>
  <w:footnote w:id="14">
    <w:p w:rsidR="00A5563D" w:rsidRPr="00A443FF" w:rsidRDefault="00A5563D" w:rsidP="009A4310">
      <w:pPr>
        <w:pStyle w:val="FootnoteText"/>
        <w:spacing w:after="120"/>
        <w:jc w:val="both"/>
        <w:rPr>
          <w:sz w:val="20"/>
        </w:rPr>
      </w:pPr>
      <w:r>
        <w:rPr>
          <w:rStyle w:val="FootnoteReference"/>
        </w:rPr>
        <w:footnoteRef/>
      </w:r>
      <w:r>
        <w:t xml:space="preserve"> </w:t>
      </w:r>
      <w:r>
        <w:rPr>
          <w:sz w:val="20"/>
        </w:rPr>
        <w:t>AFR at 4-5.</w:t>
      </w:r>
    </w:p>
  </w:footnote>
  <w:footnote w:id="15">
    <w:p w:rsidR="004C641F" w:rsidRPr="00686E2D" w:rsidRDefault="004C641F" w:rsidP="009A4310">
      <w:pPr>
        <w:pStyle w:val="FootnoteText"/>
        <w:spacing w:after="120"/>
        <w:jc w:val="both"/>
        <w:rPr>
          <w:sz w:val="20"/>
        </w:rPr>
      </w:pPr>
      <w:r>
        <w:rPr>
          <w:rStyle w:val="FootnoteReference"/>
        </w:rPr>
        <w:footnoteRef/>
      </w:r>
      <w:r>
        <w:t xml:space="preserve"> </w:t>
      </w:r>
      <w:r w:rsidRPr="00985AED">
        <w:rPr>
          <w:i/>
          <w:sz w:val="20"/>
        </w:rPr>
        <w:t>Staff Decision</w:t>
      </w:r>
      <w:r>
        <w:rPr>
          <w:sz w:val="20"/>
        </w:rPr>
        <w:t xml:space="preserve"> at 4 n.16.</w:t>
      </w:r>
    </w:p>
  </w:footnote>
  <w:footnote w:id="16">
    <w:p w:rsidR="00A5563D" w:rsidRPr="00901ACB" w:rsidRDefault="00A5563D" w:rsidP="009A4310">
      <w:pPr>
        <w:pStyle w:val="FootnoteText"/>
        <w:spacing w:after="120"/>
        <w:jc w:val="both"/>
        <w:rPr>
          <w:sz w:val="20"/>
        </w:rPr>
      </w:pPr>
      <w:r>
        <w:rPr>
          <w:rStyle w:val="FootnoteReference"/>
        </w:rPr>
        <w:footnoteRef/>
      </w:r>
      <w:r>
        <w:t xml:space="preserve"> </w:t>
      </w:r>
      <w:r>
        <w:rPr>
          <w:sz w:val="20"/>
        </w:rPr>
        <w:t>47 U.S.C. § 155(c)(5).</w:t>
      </w:r>
    </w:p>
  </w:footnote>
  <w:footnote w:id="17">
    <w:p w:rsidR="00A5563D" w:rsidRPr="00901ACB" w:rsidRDefault="00A5563D" w:rsidP="009A4310">
      <w:pPr>
        <w:pStyle w:val="FootnoteText"/>
        <w:spacing w:after="120"/>
        <w:jc w:val="both"/>
        <w:rPr>
          <w:sz w:val="20"/>
        </w:rPr>
      </w:pPr>
      <w:r>
        <w:rPr>
          <w:rStyle w:val="FootnoteReference"/>
        </w:rPr>
        <w:footnoteRef/>
      </w:r>
      <w:r>
        <w:t xml:space="preserve"> </w:t>
      </w:r>
      <w:r>
        <w:rPr>
          <w:sz w:val="20"/>
        </w:rPr>
        <w:t>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ED" w:rsidRDefault="00E60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13" w:rsidRPr="00017A24" w:rsidRDefault="00985AED" w:rsidP="00217A13">
    <w:pPr>
      <w:pStyle w:val="Header"/>
      <w:rPr>
        <w:szCs w:val="22"/>
      </w:rPr>
    </w:pPr>
    <w:r w:rsidRPr="00017A24">
      <w:rPr>
        <w:b/>
        <w:szCs w:val="22"/>
        <w:u w:val="single"/>
      </w:rPr>
      <w:t xml:space="preserve">                                            </w:t>
    </w:r>
    <w:r>
      <w:rPr>
        <w:b/>
        <w:szCs w:val="22"/>
        <w:u w:val="single"/>
      </w:rPr>
      <w:t xml:space="preserve">         </w:t>
    </w:r>
    <w:r w:rsidRPr="00017A24">
      <w:rPr>
        <w:b/>
        <w:szCs w:val="22"/>
        <w:u w:val="single"/>
      </w:rPr>
      <w:t xml:space="preserve">Federal Communications Commission        </w:t>
    </w:r>
    <w:r>
      <w:rPr>
        <w:b/>
        <w:szCs w:val="22"/>
        <w:u w:val="single"/>
      </w:rPr>
      <w:t xml:space="preserve">       </w:t>
    </w:r>
    <w:r w:rsidRPr="00017A24">
      <w:rPr>
        <w:b/>
        <w:szCs w:val="22"/>
        <w:u w:val="single"/>
      </w:rPr>
      <w:t xml:space="preserve">   </w:t>
    </w:r>
    <w:r w:rsidR="0025385C">
      <w:rPr>
        <w:b/>
        <w:szCs w:val="22"/>
        <w:u w:val="single"/>
      </w:rPr>
      <w:t xml:space="preserve">  </w:t>
    </w:r>
    <w:r w:rsidRPr="00017A24">
      <w:rPr>
        <w:b/>
        <w:szCs w:val="22"/>
        <w:u w:val="single"/>
      </w:rPr>
      <w:t xml:space="preserve">             FCC 13-</w:t>
    </w:r>
    <w:r w:rsidR="0025385C">
      <w:rPr>
        <w:b/>
        <w:szCs w:val="22"/>
        <w:u w:val="single"/>
      </w:rPr>
      <w:t>49</w:t>
    </w:r>
  </w:p>
  <w:p w:rsidR="00F945F1" w:rsidRPr="00017A24" w:rsidRDefault="000130EA" w:rsidP="00017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F1" w:rsidRPr="00017A24" w:rsidRDefault="00985AED">
    <w:pPr>
      <w:pStyle w:val="Header"/>
      <w:rPr>
        <w:szCs w:val="22"/>
      </w:rPr>
    </w:pPr>
    <w:r w:rsidRPr="00017A24">
      <w:rPr>
        <w:b/>
        <w:szCs w:val="22"/>
        <w:u w:val="single"/>
      </w:rPr>
      <w:t xml:space="preserve">                                            </w:t>
    </w:r>
    <w:r>
      <w:rPr>
        <w:b/>
        <w:szCs w:val="22"/>
        <w:u w:val="single"/>
      </w:rPr>
      <w:t xml:space="preserve">         </w:t>
    </w:r>
    <w:r w:rsidRPr="00017A24">
      <w:rPr>
        <w:b/>
        <w:szCs w:val="22"/>
        <w:u w:val="single"/>
      </w:rPr>
      <w:t xml:space="preserve">Federal Communications Commission        </w:t>
    </w:r>
    <w:r>
      <w:rPr>
        <w:b/>
        <w:szCs w:val="22"/>
        <w:u w:val="single"/>
      </w:rPr>
      <w:t xml:space="preserve">       </w:t>
    </w:r>
    <w:r w:rsidRPr="00017A24">
      <w:rPr>
        <w:b/>
        <w:szCs w:val="22"/>
        <w:u w:val="single"/>
      </w:rPr>
      <w:t xml:space="preserve">      </w:t>
    </w:r>
    <w:r w:rsidR="0025385C">
      <w:rPr>
        <w:b/>
        <w:szCs w:val="22"/>
        <w:u w:val="single"/>
      </w:rPr>
      <w:t xml:space="preserve">  </w:t>
    </w:r>
    <w:r w:rsidRPr="00017A24">
      <w:rPr>
        <w:b/>
        <w:szCs w:val="22"/>
        <w:u w:val="single"/>
      </w:rPr>
      <w:t xml:space="preserve">          FCC 13-</w:t>
    </w:r>
    <w:r w:rsidR="0025385C">
      <w:rPr>
        <w:b/>
        <w:szCs w:val="22"/>
        <w:u w:val="single"/>
      </w:rPr>
      <w:t>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3D"/>
    <w:rsid w:val="000130EA"/>
    <w:rsid w:val="00202F63"/>
    <w:rsid w:val="0025385C"/>
    <w:rsid w:val="004C641F"/>
    <w:rsid w:val="00605B1C"/>
    <w:rsid w:val="00621C1E"/>
    <w:rsid w:val="0066739E"/>
    <w:rsid w:val="00686E2D"/>
    <w:rsid w:val="00716BEC"/>
    <w:rsid w:val="00793F60"/>
    <w:rsid w:val="00826E19"/>
    <w:rsid w:val="00985AED"/>
    <w:rsid w:val="009A4310"/>
    <w:rsid w:val="00A5563D"/>
    <w:rsid w:val="00B27784"/>
    <w:rsid w:val="00BE6598"/>
    <w:rsid w:val="00C24D67"/>
    <w:rsid w:val="00D816DA"/>
    <w:rsid w:val="00E4320E"/>
    <w:rsid w:val="00E601ED"/>
    <w:rsid w:val="00F14CA1"/>
    <w:rsid w:val="00F4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3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A5563D"/>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3D"/>
    <w:rPr>
      <w:rFonts w:ascii="Times New Roman" w:eastAsia="Times New Roman" w:hAnsi="Times New Roman" w:cs="Times New Roman"/>
      <w:b/>
      <w:szCs w:val="20"/>
    </w:rPr>
  </w:style>
  <w:style w:type="paragraph" w:styleId="Header">
    <w:name w:val="header"/>
    <w:basedOn w:val="Normal"/>
    <w:link w:val="HeaderChar"/>
    <w:rsid w:val="00A5563D"/>
    <w:pPr>
      <w:tabs>
        <w:tab w:val="center" w:pos="4320"/>
        <w:tab w:val="right" w:pos="8640"/>
      </w:tabs>
    </w:pPr>
  </w:style>
  <w:style w:type="character" w:customStyle="1" w:styleId="HeaderChar">
    <w:name w:val="Header Char"/>
    <w:basedOn w:val="DefaultParagraphFont"/>
    <w:link w:val="Header"/>
    <w:rsid w:val="00A5563D"/>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A5563D"/>
    <w:rPr>
      <w:vertAlign w:val="superscript"/>
    </w:rPr>
  </w:style>
  <w:style w:type="paragraph" w:styleId="BodyText">
    <w:name w:val="Body Text"/>
    <w:basedOn w:val="Normal"/>
    <w:link w:val="BodyTextChar"/>
    <w:rsid w:val="00A5563D"/>
    <w:pPr>
      <w:tabs>
        <w:tab w:val="left" w:pos="720"/>
        <w:tab w:val="left" w:pos="4680"/>
      </w:tabs>
      <w:jc w:val="both"/>
    </w:pPr>
  </w:style>
  <w:style w:type="character" w:customStyle="1" w:styleId="BodyTextChar">
    <w:name w:val="Body Text Char"/>
    <w:basedOn w:val="DefaultParagraphFont"/>
    <w:link w:val="BodyText"/>
    <w:rsid w:val="00A5563D"/>
    <w:rPr>
      <w:rFonts w:ascii="Times New Roman" w:eastAsia="Times New Roman" w:hAnsi="Times New Roman" w:cs="Times New Roman"/>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A5563D"/>
  </w:style>
  <w:style w:type="character" w:customStyle="1" w:styleId="FootnoteTextChar">
    <w:name w:val="Footnote Text Char"/>
    <w:basedOn w:val="DefaultParagraphFont"/>
    <w:uiPriority w:val="99"/>
    <w:semiHidden/>
    <w:rsid w:val="00A5563D"/>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semiHidden/>
    <w:rsid w:val="00A5563D"/>
    <w:rPr>
      <w:rFonts w:ascii="Times New Roman" w:eastAsia="Times New Roman" w:hAnsi="Times New Roman" w:cs="Times New Roman"/>
      <w:szCs w:val="20"/>
    </w:rPr>
  </w:style>
  <w:style w:type="character" w:styleId="PageNumber">
    <w:name w:val="page number"/>
    <w:basedOn w:val="DefaultParagraphFont"/>
    <w:rsid w:val="00A5563D"/>
  </w:style>
  <w:style w:type="paragraph" w:styleId="Footer">
    <w:name w:val="footer"/>
    <w:basedOn w:val="Normal"/>
    <w:link w:val="FooterChar"/>
    <w:rsid w:val="00A5563D"/>
    <w:pPr>
      <w:tabs>
        <w:tab w:val="center" w:pos="4320"/>
        <w:tab w:val="right" w:pos="8640"/>
      </w:tabs>
    </w:pPr>
  </w:style>
  <w:style w:type="character" w:customStyle="1" w:styleId="FooterChar">
    <w:name w:val="Footer Char"/>
    <w:basedOn w:val="DefaultParagraphFont"/>
    <w:link w:val="Footer"/>
    <w:rsid w:val="00A5563D"/>
    <w:rPr>
      <w:rFonts w:ascii="Times New Roman" w:eastAsia="Times New Roman" w:hAnsi="Times New Roman" w:cs="Times New Roman"/>
      <w:szCs w:val="20"/>
    </w:rPr>
  </w:style>
  <w:style w:type="paragraph" w:customStyle="1" w:styleId="ParaNum">
    <w:name w:val="ParaNum"/>
    <w:basedOn w:val="Normal"/>
    <w:rsid w:val="00A5563D"/>
    <w:pPr>
      <w:widowControl w:val="0"/>
      <w:numPr>
        <w:numId w:val="1"/>
      </w:numPr>
      <w:tabs>
        <w:tab w:val="left" w:pos="1440"/>
      </w:tabs>
      <w:spacing w:after="220"/>
      <w:jc w:val="both"/>
    </w:pPr>
  </w:style>
  <w:style w:type="paragraph" w:styleId="BalloonText">
    <w:name w:val="Balloon Text"/>
    <w:basedOn w:val="Normal"/>
    <w:link w:val="BalloonTextChar"/>
    <w:uiPriority w:val="99"/>
    <w:semiHidden/>
    <w:unhideWhenUsed/>
    <w:rsid w:val="009A4310"/>
    <w:rPr>
      <w:rFonts w:ascii="Tahoma" w:hAnsi="Tahoma" w:cs="Tahoma"/>
      <w:sz w:val="16"/>
      <w:szCs w:val="16"/>
    </w:rPr>
  </w:style>
  <w:style w:type="character" w:customStyle="1" w:styleId="BalloonTextChar">
    <w:name w:val="Balloon Text Char"/>
    <w:basedOn w:val="DefaultParagraphFont"/>
    <w:link w:val="BalloonText"/>
    <w:uiPriority w:val="99"/>
    <w:semiHidden/>
    <w:rsid w:val="009A43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3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A5563D"/>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3D"/>
    <w:rPr>
      <w:rFonts w:ascii="Times New Roman" w:eastAsia="Times New Roman" w:hAnsi="Times New Roman" w:cs="Times New Roman"/>
      <w:b/>
      <w:szCs w:val="20"/>
    </w:rPr>
  </w:style>
  <w:style w:type="paragraph" w:styleId="Header">
    <w:name w:val="header"/>
    <w:basedOn w:val="Normal"/>
    <w:link w:val="HeaderChar"/>
    <w:rsid w:val="00A5563D"/>
    <w:pPr>
      <w:tabs>
        <w:tab w:val="center" w:pos="4320"/>
        <w:tab w:val="right" w:pos="8640"/>
      </w:tabs>
    </w:pPr>
  </w:style>
  <w:style w:type="character" w:customStyle="1" w:styleId="HeaderChar">
    <w:name w:val="Header Char"/>
    <w:basedOn w:val="DefaultParagraphFont"/>
    <w:link w:val="Header"/>
    <w:rsid w:val="00A5563D"/>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A5563D"/>
    <w:rPr>
      <w:vertAlign w:val="superscript"/>
    </w:rPr>
  </w:style>
  <w:style w:type="paragraph" w:styleId="BodyText">
    <w:name w:val="Body Text"/>
    <w:basedOn w:val="Normal"/>
    <w:link w:val="BodyTextChar"/>
    <w:rsid w:val="00A5563D"/>
    <w:pPr>
      <w:tabs>
        <w:tab w:val="left" w:pos="720"/>
        <w:tab w:val="left" w:pos="4680"/>
      </w:tabs>
      <w:jc w:val="both"/>
    </w:pPr>
  </w:style>
  <w:style w:type="character" w:customStyle="1" w:styleId="BodyTextChar">
    <w:name w:val="Body Text Char"/>
    <w:basedOn w:val="DefaultParagraphFont"/>
    <w:link w:val="BodyText"/>
    <w:rsid w:val="00A5563D"/>
    <w:rPr>
      <w:rFonts w:ascii="Times New Roman" w:eastAsia="Times New Roman" w:hAnsi="Times New Roman" w:cs="Times New Roman"/>
      <w:szCs w:val="20"/>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A5563D"/>
  </w:style>
  <w:style w:type="character" w:customStyle="1" w:styleId="FootnoteTextChar">
    <w:name w:val="Footnote Text Char"/>
    <w:basedOn w:val="DefaultParagraphFont"/>
    <w:uiPriority w:val="99"/>
    <w:semiHidden/>
    <w:rsid w:val="00A5563D"/>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semiHidden/>
    <w:rsid w:val="00A5563D"/>
    <w:rPr>
      <w:rFonts w:ascii="Times New Roman" w:eastAsia="Times New Roman" w:hAnsi="Times New Roman" w:cs="Times New Roman"/>
      <w:szCs w:val="20"/>
    </w:rPr>
  </w:style>
  <w:style w:type="character" w:styleId="PageNumber">
    <w:name w:val="page number"/>
    <w:basedOn w:val="DefaultParagraphFont"/>
    <w:rsid w:val="00A5563D"/>
  </w:style>
  <w:style w:type="paragraph" w:styleId="Footer">
    <w:name w:val="footer"/>
    <w:basedOn w:val="Normal"/>
    <w:link w:val="FooterChar"/>
    <w:rsid w:val="00A5563D"/>
    <w:pPr>
      <w:tabs>
        <w:tab w:val="center" w:pos="4320"/>
        <w:tab w:val="right" w:pos="8640"/>
      </w:tabs>
    </w:pPr>
  </w:style>
  <w:style w:type="character" w:customStyle="1" w:styleId="FooterChar">
    <w:name w:val="Footer Char"/>
    <w:basedOn w:val="DefaultParagraphFont"/>
    <w:link w:val="Footer"/>
    <w:rsid w:val="00A5563D"/>
    <w:rPr>
      <w:rFonts w:ascii="Times New Roman" w:eastAsia="Times New Roman" w:hAnsi="Times New Roman" w:cs="Times New Roman"/>
      <w:szCs w:val="20"/>
    </w:rPr>
  </w:style>
  <w:style w:type="paragraph" w:customStyle="1" w:styleId="ParaNum">
    <w:name w:val="ParaNum"/>
    <w:basedOn w:val="Normal"/>
    <w:rsid w:val="00A5563D"/>
    <w:pPr>
      <w:widowControl w:val="0"/>
      <w:numPr>
        <w:numId w:val="1"/>
      </w:numPr>
      <w:tabs>
        <w:tab w:val="left" w:pos="1440"/>
      </w:tabs>
      <w:spacing w:after="220"/>
      <w:jc w:val="both"/>
    </w:pPr>
  </w:style>
  <w:style w:type="paragraph" w:styleId="BalloonText">
    <w:name w:val="Balloon Text"/>
    <w:basedOn w:val="Normal"/>
    <w:link w:val="BalloonTextChar"/>
    <w:uiPriority w:val="99"/>
    <w:semiHidden/>
    <w:unhideWhenUsed/>
    <w:rsid w:val="009A4310"/>
    <w:rPr>
      <w:rFonts w:ascii="Tahoma" w:hAnsi="Tahoma" w:cs="Tahoma"/>
      <w:sz w:val="16"/>
      <w:szCs w:val="16"/>
    </w:rPr>
  </w:style>
  <w:style w:type="character" w:customStyle="1" w:styleId="BalloonTextChar">
    <w:name w:val="Balloon Text Char"/>
    <w:basedOn w:val="DefaultParagraphFont"/>
    <w:link w:val="BalloonText"/>
    <w:uiPriority w:val="99"/>
    <w:semiHidden/>
    <w:rsid w:val="009A43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3335</Characters>
  <Application>Microsoft Office Word</Application>
  <DocSecurity>0</DocSecurity>
  <Lines>76</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2013-04-12T13:36:00Z</cp:lastPrinted>
  <dcterms:created xsi:type="dcterms:W3CDTF">2013-04-12T14:13:00Z</dcterms:created>
  <dcterms:modified xsi:type="dcterms:W3CDTF">2013-04-12T14:13:00Z</dcterms:modified>
  <cp:category> </cp:category>
  <cp:contentStatus> </cp:contentStatus>
</cp:coreProperties>
</file>