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4329" w14:textId="4A064369" w:rsidR="00493042" w:rsidRPr="00EE32A2" w:rsidRDefault="00493042" w:rsidP="003002C0">
      <w:pPr>
        <w:spacing w:after="240"/>
        <w:jc w:val="center"/>
        <w:rPr>
          <w:rFonts w:cs="Times New Roman"/>
          <w:b/>
        </w:rPr>
      </w:pPr>
      <w:bookmarkStart w:id="0" w:name="_GoBack"/>
      <w:bookmarkEnd w:id="0"/>
      <w:r w:rsidRPr="00EE32A2">
        <w:rPr>
          <w:rFonts w:cs="Times New Roman"/>
          <w:b/>
        </w:rPr>
        <w:t xml:space="preserve">STATEMENT OF </w:t>
      </w:r>
      <w:r w:rsidR="006F5CD1">
        <w:rPr>
          <w:rFonts w:cs="Times New Roman"/>
          <w:b/>
        </w:rPr>
        <w:br/>
      </w:r>
      <w:r w:rsidRPr="00EE32A2">
        <w:rPr>
          <w:rFonts w:cs="Times New Roman"/>
          <w:b/>
        </w:rPr>
        <w:t>COMMISSIONER AJIT PAI,</w:t>
      </w:r>
      <w:r w:rsidRPr="00EE32A2">
        <w:rPr>
          <w:rFonts w:cs="Times New Roman"/>
          <w:b/>
        </w:rPr>
        <w:br/>
        <w:t>APPROVING IN PART AND DISSENTING IN PART</w:t>
      </w:r>
    </w:p>
    <w:p w14:paraId="62C5270D" w14:textId="77777777" w:rsidR="00493042" w:rsidRPr="005A6AC7" w:rsidRDefault="00493042" w:rsidP="00296137">
      <w:pPr>
        <w:ind w:left="720" w:hanging="720"/>
        <w:rPr>
          <w:rFonts w:cs="Times New Roman"/>
        </w:rPr>
      </w:pPr>
      <w:r w:rsidRPr="005A6AC7">
        <w:rPr>
          <w:rFonts w:cs="Times New Roman"/>
        </w:rPr>
        <w:t>Re:</w:t>
      </w:r>
      <w:r w:rsidRPr="005A6AC7">
        <w:rPr>
          <w:rFonts w:cs="Times New Roman"/>
        </w:rPr>
        <w:tab/>
      </w:r>
      <w:r w:rsidR="00296137" w:rsidRPr="005A6AC7">
        <w:rPr>
          <w:rFonts w:cs="Times New Roman"/>
          <w:i/>
        </w:rPr>
        <w:t>The Joint Petition Filed by DISH Network, LLC, the United States of America, and the States of California, Illinois</w:t>
      </w:r>
      <w:r w:rsidR="00B41F44" w:rsidRPr="005A6AC7">
        <w:rPr>
          <w:rFonts w:cs="Times New Roman"/>
          <w:i/>
        </w:rPr>
        <w:t>,</w:t>
      </w:r>
      <w:r w:rsidR="00296137" w:rsidRPr="005A6AC7">
        <w:rPr>
          <w:rFonts w:cs="Times New Roman"/>
          <w:i/>
        </w:rPr>
        <w:t xml:space="preserve"> North Carolina, and Ohio for Declaratory Ruling Concerning the Telephone Consumer Protection Act (TCPA) Rules; The Petition Filed by Philip J. Charvat for Declaratory Ruling Concerning the Telephone Consumer Protection Act (TCPA) Rules; The Petition Filed by DISH Network, LLC for Declaratory Ruling Concerning the Telephone Consumer Protection Act (TCPA) Rules</w:t>
      </w:r>
      <w:r w:rsidRPr="005A6AC7">
        <w:rPr>
          <w:rFonts w:cs="Times New Roman"/>
        </w:rPr>
        <w:t xml:space="preserve">, </w:t>
      </w:r>
      <w:r w:rsidR="00296137" w:rsidRPr="005A6AC7">
        <w:rPr>
          <w:rFonts w:cs="Times New Roman"/>
        </w:rPr>
        <w:t>CG</w:t>
      </w:r>
      <w:r w:rsidRPr="005A6AC7">
        <w:rPr>
          <w:rFonts w:cs="Times New Roman"/>
        </w:rPr>
        <w:t xml:space="preserve"> Docket No. </w:t>
      </w:r>
      <w:r w:rsidR="00296137" w:rsidRPr="005A6AC7">
        <w:rPr>
          <w:rFonts w:cs="Times New Roman"/>
        </w:rPr>
        <w:t>11-50</w:t>
      </w:r>
      <w:r w:rsidR="003002C0" w:rsidRPr="005A6AC7">
        <w:rPr>
          <w:rFonts w:cs="Times New Roman"/>
        </w:rPr>
        <w:t>.</w:t>
      </w:r>
    </w:p>
    <w:p w14:paraId="40780F8A" w14:textId="04634611" w:rsidR="001F17F7" w:rsidRPr="005A6AC7" w:rsidRDefault="001F17F7" w:rsidP="001F17F7">
      <w:pPr>
        <w:ind w:firstLine="720"/>
        <w:rPr>
          <w:rFonts w:cs="Times New Roman"/>
        </w:rPr>
      </w:pPr>
      <w:r w:rsidRPr="005A6AC7">
        <w:rPr>
          <w:rFonts w:cs="Times New Roman"/>
        </w:rPr>
        <w:t xml:space="preserve">Congress passed the Telephone Consumer Protection Act (TCPA) in the wake of increasing complaints about telemarketing from consumers and a </w:t>
      </w:r>
      <w:r w:rsidR="005D1927">
        <w:rPr>
          <w:rFonts w:cs="Times New Roman"/>
        </w:rPr>
        <w:t xml:space="preserve">ragged patchwork of </w:t>
      </w:r>
      <w:r w:rsidRPr="005A6AC7">
        <w:rPr>
          <w:rFonts w:cs="Times New Roman"/>
        </w:rPr>
        <w:t>state laws address</w:t>
      </w:r>
      <w:r w:rsidR="005D1927">
        <w:rPr>
          <w:rFonts w:cs="Times New Roman"/>
        </w:rPr>
        <w:t>ing</w:t>
      </w:r>
      <w:r w:rsidRPr="005A6AC7">
        <w:rPr>
          <w:rFonts w:cs="Times New Roman"/>
        </w:rPr>
        <w:t xml:space="preserve"> the problem.  The TCPA was a “federal intervention balancing the privacy rights of the individual and the commercial speech rights of the telemarketer.”</w:t>
      </w:r>
      <w:r w:rsidRPr="005A6AC7">
        <w:rPr>
          <w:rStyle w:val="FootnoteReference"/>
          <w:rFonts w:cs="Times New Roman"/>
        </w:rPr>
        <w:footnoteReference w:id="2"/>
      </w:r>
      <w:r w:rsidRPr="005A6AC7">
        <w:rPr>
          <w:rFonts w:cs="Times New Roman"/>
        </w:rPr>
        <w:t xml:space="preserve">  </w:t>
      </w:r>
      <w:r w:rsidR="006B794F">
        <w:rPr>
          <w:rFonts w:cs="Times New Roman"/>
        </w:rPr>
        <w:t>Therefore, i</w:t>
      </w:r>
      <w:r w:rsidRPr="005A6AC7">
        <w:rPr>
          <w:rFonts w:cs="Times New Roman"/>
        </w:rPr>
        <w:t xml:space="preserve">t is not surprising that the </w:t>
      </w:r>
      <w:r w:rsidR="006B794F">
        <w:rPr>
          <w:rFonts w:cs="Times New Roman"/>
        </w:rPr>
        <w:t xml:space="preserve">statutory </w:t>
      </w:r>
      <w:r w:rsidRPr="005A6AC7">
        <w:rPr>
          <w:rFonts w:cs="Times New Roman"/>
        </w:rPr>
        <w:t xml:space="preserve">scheme </w:t>
      </w:r>
      <w:r w:rsidR="005D1927">
        <w:rPr>
          <w:rFonts w:cs="Times New Roman"/>
        </w:rPr>
        <w:t xml:space="preserve">reflects </w:t>
      </w:r>
      <w:r w:rsidRPr="005A6AC7">
        <w:rPr>
          <w:rFonts w:cs="Times New Roman"/>
        </w:rPr>
        <w:t>a compromise (and a complicated one at that) that uses precise distinctions to effect</w:t>
      </w:r>
      <w:r w:rsidR="006B794F">
        <w:rPr>
          <w:rFonts w:cs="Times New Roman"/>
        </w:rPr>
        <w:t>uate</w:t>
      </w:r>
      <w:r w:rsidRPr="005A6AC7">
        <w:rPr>
          <w:rFonts w:cs="Times New Roman"/>
        </w:rPr>
        <w:t xml:space="preserve"> </w:t>
      </w:r>
      <w:r w:rsidR="005D1927">
        <w:rPr>
          <w:rFonts w:cs="Times New Roman"/>
        </w:rPr>
        <w:t xml:space="preserve">Congress’s </w:t>
      </w:r>
      <w:r w:rsidRPr="005A6AC7">
        <w:rPr>
          <w:rFonts w:cs="Times New Roman"/>
        </w:rPr>
        <w:t>purpose.</w:t>
      </w:r>
    </w:p>
    <w:p w14:paraId="58F8F799" w14:textId="5FFD7A85" w:rsidR="001F17F7" w:rsidRPr="005A6AC7" w:rsidRDefault="0022240B" w:rsidP="001F17F7">
      <w:pPr>
        <w:ind w:firstLine="720"/>
        <w:rPr>
          <w:rFonts w:cs="Times New Roman"/>
        </w:rPr>
      </w:pPr>
      <w:r>
        <w:rPr>
          <w:rFonts w:cs="Times New Roman"/>
        </w:rPr>
        <w:t xml:space="preserve">Our job at the Commission is to implement the laws as they are written by Congress, not to rewrite them to conform to our own policy preferences.  </w:t>
      </w:r>
      <w:r w:rsidR="005D1927">
        <w:rPr>
          <w:rFonts w:cs="Times New Roman"/>
        </w:rPr>
        <w:t>Accordingly, w</w:t>
      </w:r>
      <w:r w:rsidR="005D1927" w:rsidRPr="005A6AC7">
        <w:rPr>
          <w:rFonts w:cs="Times New Roman"/>
        </w:rPr>
        <w:t xml:space="preserve">e </w:t>
      </w:r>
      <w:r w:rsidR="001F17F7" w:rsidRPr="005A6AC7">
        <w:rPr>
          <w:rFonts w:cs="Times New Roman"/>
        </w:rPr>
        <w:t>should</w:t>
      </w:r>
      <w:r w:rsidR="004D0BAF">
        <w:rPr>
          <w:rFonts w:cs="Times New Roman"/>
        </w:rPr>
        <w:t>—</w:t>
      </w:r>
      <w:r w:rsidR="003E1A63">
        <w:rPr>
          <w:rFonts w:cs="Times New Roman"/>
        </w:rPr>
        <w:t xml:space="preserve">indeed, </w:t>
      </w:r>
      <w:r w:rsidR="004D0BAF">
        <w:rPr>
          <w:rFonts w:cs="Times New Roman"/>
        </w:rPr>
        <w:t>must—</w:t>
      </w:r>
      <w:r w:rsidR="001F17F7" w:rsidRPr="005A6AC7">
        <w:rPr>
          <w:rFonts w:cs="Times New Roman"/>
        </w:rPr>
        <w:t>respect the statute</w:t>
      </w:r>
      <w:r w:rsidR="006A3D9D">
        <w:rPr>
          <w:rFonts w:cs="Times New Roman"/>
        </w:rPr>
        <w:t xml:space="preserve">’s </w:t>
      </w:r>
      <w:r w:rsidR="008B69EF">
        <w:rPr>
          <w:rFonts w:cs="Times New Roman"/>
        </w:rPr>
        <w:t xml:space="preserve">precise </w:t>
      </w:r>
      <w:r w:rsidR="006A3D9D">
        <w:rPr>
          <w:rFonts w:cs="Times New Roman"/>
        </w:rPr>
        <w:t>boundaries</w:t>
      </w:r>
      <w:r w:rsidR="001F17F7" w:rsidRPr="005A6AC7">
        <w:rPr>
          <w:rFonts w:cs="Times New Roman"/>
        </w:rPr>
        <w:t>.</w:t>
      </w:r>
      <w:r w:rsidR="001F17F7" w:rsidRPr="005A6AC7">
        <w:rPr>
          <w:rStyle w:val="FootnoteReference"/>
          <w:rFonts w:cs="Times New Roman"/>
        </w:rPr>
        <w:footnoteReference w:id="3"/>
      </w:r>
      <w:r w:rsidR="001F17F7" w:rsidRPr="005A6AC7">
        <w:rPr>
          <w:rFonts w:cs="Times New Roman"/>
        </w:rPr>
        <w:t xml:space="preserve">  </w:t>
      </w:r>
      <w:r w:rsidR="000C12F9">
        <w:rPr>
          <w:rFonts w:cs="Times New Roman"/>
        </w:rPr>
        <w:t>Moreover, clear rules</w:t>
      </w:r>
      <w:r w:rsidR="001F17F7" w:rsidRPr="005A6AC7">
        <w:rPr>
          <w:rFonts w:cs="Times New Roman"/>
        </w:rPr>
        <w:t xml:space="preserve"> better protect consumers, better inform businesses engaged in lawful telemarketing, and better serve the courts who must handle the litigation </w:t>
      </w:r>
      <w:r w:rsidR="006A3D9D">
        <w:rPr>
          <w:rFonts w:cs="Times New Roman"/>
        </w:rPr>
        <w:t>arising under the TCPA</w:t>
      </w:r>
      <w:r w:rsidR="001F17F7" w:rsidRPr="005A6AC7">
        <w:rPr>
          <w:rFonts w:cs="Times New Roman"/>
        </w:rPr>
        <w:t xml:space="preserve">.  Because today’s declaratory ruling </w:t>
      </w:r>
      <w:r w:rsidR="006A3D9D">
        <w:rPr>
          <w:rFonts w:cs="Times New Roman"/>
        </w:rPr>
        <w:t xml:space="preserve">does not </w:t>
      </w:r>
      <w:r w:rsidR="00A24148">
        <w:rPr>
          <w:rFonts w:cs="Times New Roman"/>
        </w:rPr>
        <w:t>advance</w:t>
      </w:r>
      <w:r w:rsidR="006A3D9D">
        <w:rPr>
          <w:rFonts w:cs="Times New Roman"/>
        </w:rPr>
        <w:t xml:space="preserve"> the </w:t>
      </w:r>
      <w:r w:rsidR="00A24148">
        <w:rPr>
          <w:rFonts w:cs="Times New Roman"/>
        </w:rPr>
        <w:t xml:space="preserve">appropriate </w:t>
      </w:r>
      <w:r w:rsidR="006A3D9D">
        <w:rPr>
          <w:rFonts w:cs="Times New Roman"/>
        </w:rPr>
        <w:t>interpretation of the statute</w:t>
      </w:r>
      <w:r w:rsidR="00A24148">
        <w:rPr>
          <w:rFonts w:cs="Times New Roman"/>
        </w:rPr>
        <w:t>,</w:t>
      </w:r>
      <w:r w:rsidR="006A3D9D">
        <w:rPr>
          <w:rFonts w:cs="Times New Roman"/>
        </w:rPr>
        <w:t xml:space="preserve"> </w:t>
      </w:r>
      <w:r w:rsidR="004D0BAF">
        <w:rPr>
          <w:rFonts w:cs="Times New Roman"/>
        </w:rPr>
        <w:t>eschews</w:t>
      </w:r>
      <w:r w:rsidR="004D0BAF" w:rsidRPr="005A6AC7">
        <w:rPr>
          <w:rFonts w:cs="Times New Roman"/>
        </w:rPr>
        <w:t xml:space="preserve"> </w:t>
      </w:r>
      <w:r w:rsidR="001F17F7" w:rsidRPr="005A6AC7">
        <w:rPr>
          <w:rFonts w:cs="Times New Roman"/>
        </w:rPr>
        <w:t>clear rules</w:t>
      </w:r>
      <w:r w:rsidR="006A3D9D">
        <w:rPr>
          <w:rFonts w:cs="Times New Roman"/>
        </w:rPr>
        <w:t xml:space="preserve"> that would preclude wasteful litigation</w:t>
      </w:r>
      <w:r w:rsidR="001F17F7" w:rsidRPr="005A6AC7">
        <w:rPr>
          <w:rFonts w:cs="Times New Roman"/>
        </w:rPr>
        <w:t xml:space="preserve">, </w:t>
      </w:r>
      <w:r w:rsidR="00A24148">
        <w:rPr>
          <w:rFonts w:cs="Times New Roman"/>
        </w:rPr>
        <w:t xml:space="preserve">and expounds an area of law that we are not empowered to administer, </w:t>
      </w:r>
      <w:r w:rsidR="001F17F7" w:rsidRPr="005A6AC7">
        <w:rPr>
          <w:rFonts w:cs="Times New Roman"/>
        </w:rPr>
        <w:t>I dissent in part.</w:t>
      </w:r>
    </w:p>
    <w:p w14:paraId="623F99F2" w14:textId="77777777" w:rsidR="001F17F7" w:rsidRPr="005A6AC7" w:rsidRDefault="001F17F7" w:rsidP="001F17F7">
      <w:pPr>
        <w:jc w:val="center"/>
        <w:rPr>
          <w:rFonts w:cs="Times New Roman"/>
        </w:rPr>
      </w:pPr>
      <w:r w:rsidRPr="005A6AC7">
        <w:rPr>
          <w:rFonts w:cs="Times New Roman"/>
        </w:rPr>
        <w:t>I.</w:t>
      </w:r>
    </w:p>
    <w:p w14:paraId="3D01D24C" w14:textId="77777777" w:rsidR="00FC7734" w:rsidRPr="005A6AC7" w:rsidRDefault="001F17F7" w:rsidP="00493042">
      <w:pPr>
        <w:ind w:firstLine="720"/>
        <w:rPr>
          <w:rFonts w:cs="Times New Roman"/>
        </w:rPr>
      </w:pPr>
      <w:r w:rsidRPr="005A6AC7">
        <w:rPr>
          <w:rFonts w:cs="Times New Roman"/>
        </w:rPr>
        <w:t xml:space="preserve">Let me start with where I agree with </w:t>
      </w:r>
      <w:r w:rsidR="00FC7A42">
        <w:rPr>
          <w:rFonts w:cs="Times New Roman"/>
        </w:rPr>
        <w:t>today’s item</w:t>
      </w:r>
      <w:r w:rsidR="00FC7734" w:rsidRPr="005A6AC7">
        <w:rPr>
          <w:rFonts w:cs="Times New Roman"/>
        </w:rPr>
        <w:t xml:space="preserve">.  </w:t>
      </w:r>
      <w:r w:rsidR="00FC7734" w:rsidRPr="005A6AC7">
        <w:rPr>
          <w:rFonts w:cs="Times New Roman"/>
          <w:i/>
        </w:rPr>
        <w:t>First</w:t>
      </w:r>
      <w:r w:rsidR="00FC7734" w:rsidRPr="005A6AC7">
        <w:rPr>
          <w:rFonts w:cs="Times New Roman"/>
        </w:rPr>
        <w:t xml:space="preserve">, I agree that a person “initiates” a telephone call when he physically places </w:t>
      </w:r>
      <w:r w:rsidR="00FC7A42" w:rsidRPr="005A6AC7">
        <w:rPr>
          <w:rFonts w:cs="Times New Roman"/>
        </w:rPr>
        <w:t>th</w:t>
      </w:r>
      <w:r w:rsidR="00FC7A42">
        <w:rPr>
          <w:rFonts w:cs="Times New Roman"/>
        </w:rPr>
        <w:t>at</w:t>
      </w:r>
      <w:r w:rsidR="00FC7A42" w:rsidRPr="005A6AC7">
        <w:rPr>
          <w:rFonts w:cs="Times New Roman"/>
        </w:rPr>
        <w:t xml:space="preserve"> </w:t>
      </w:r>
      <w:r w:rsidR="00FC7734" w:rsidRPr="005A6AC7">
        <w:rPr>
          <w:rFonts w:cs="Times New Roman"/>
        </w:rPr>
        <w:t>call</w:t>
      </w:r>
      <w:r w:rsidR="00FC7A42">
        <w:rPr>
          <w:rFonts w:cs="Times New Roman"/>
        </w:rPr>
        <w:t>.</w:t>
      </w:r>
      <w:r w:rsidR="00FC7734" w:rsidRPr="005A6AC7">
        <w:rPr>
          <w:rFonts w:cs="Times New Roman"/>
        </w:rPr>
        <w:t xml:space="preserve"> </w:t>
      </w:r>
      <w:r w:rsidR="00FC7A42">
        <w:rPr>
          <w:rFonts w:cs="Times New Roman"/>
        </w:rPr>
        <w:t xml:space="preserve"> T</w:t>
      </w:r>
      <w:r w:rsidR="00FC7734" w:rsidRPr="005A6AC7">
        <w:rPr>
          <w:rFonts w:cs="Times New Roman"/>
        </w:rPr>
        <w:t xml:space="preserve">hus when a third-party telemarketer places a call on a seller’s behalf, </w:t>
      </w:r>
      <w:r w:rsidR="00FC7A42">
        <w:rPr>
          <w:rFonts w:cs="Times New Roman"/>
        </w:rPr>
        <w:t xml:space="preserve">it is </w:t>
      </w:r>
      <w:r w:rsidR="00FC7734" w:rsidRPr="005A6AC7">
        <w:rPr>
          <w:rFonts w:cs="Times New Roman"/>
        </w:rPr>
        <w:t>the telemarketer</w:t>
      </w:r>
      <w:r w:rsidR="00FC7A42">
        <w:rPr>
          <w:rFonts w:cs="Times New Roman"/>
        </w:rPr>
        <w:t>,</w:t>
      </w:r>
      <w:r w:rsidR="00FC7734" w:rsidRPr="005A6AC7">
        <w:rPr>
          <w:rFonts w:cs="Times New Roman"/>
        </w:rPr>
        <w:t xml:space="preserve"> and not the seller</w:t>
      </w:r>
      <w:r w:rsidR="00FC7A42">
        <w:rPr>
          <w:rFonts w:cs="Times New Roman"/>
        </w:rPr>
        <w:t>, who</w:t>
      </w:r>
      <w:r w:rsidR="00FC7734" w:rsidRPr="005A6AC7">
        <w:rPr>
          <w:rFonts w:cs="Times New Roman"/>
        </w:rPr>
        <w:t xml:space="preserve"> “initiates” that phone call.</w:t>
      </w:r>
      <w:r w:rsidR="00FC7734" w:rsidRPr="005A6AC7">
        <w:rPr>
          <w:rStyle w:val="FootnoteReference"/>
          <w:rFonts w:cs="Times New Roman"/>
        </w:rPr>
        <w:footnoteReference w:id="4"/>
      </w:r>
      <w:r w:rsidR="008053E9" w:rsidRPr="005A6AC7" w:rsidDel="008053E9">
        <w:rPr>
          <w:rFonts w:cs="Times New Roman"/>
        </w:rPr>
        <w:t xml:space="preserve"> </w:t>
      </w:r>
      <w:r w:rsidR="00BB6407">
        <w:rPr>
          <w:rFonts w:cs="Times New Roman"/>
        </w:rPr>
        <w:t xml:space="preserve"> </w:t>
      </w:r>
      <w:r w:rsidR="00FC7734" w:rsidRPr="005A6AC7">
        <w:rPr>
          <w:rFonts w:cs="Times New Roman"/>
          <w:i/>
        </w:rPr>
        <w:t>Second</w:t>
      </w:r>
      <w:r w:rsidR="00FC7734" w:rsidRPr="005A6AC7">
        <w:rPr>
          <w:rFonts w:cs="Times New Roman"/>
        </w:rPr>
        <w:t xml:space="preserve">, I agree that a </w:t>
      </w:r>
      <w:r w:rsidR="008053E9">
        <w:rPr>
          <w:rFonts w:cs="Times New Roman"/>
        </w:rPr>
        <w:t>seller may be held vicariously liable for TCPA violations committed</w:t>
      </w:r>
      <w:r w:rsidR="00BB6407">
        <w:rPr>
          <w:rFonts w:cs="Times New Roman"/>
        </w:rPr>
        <w:t xml:space="preserve"> by third-party telemarketers.</w:t>
      </w:r>
    </w:p>
    <w:p w14:paraId="09ED9158" w14:textId="1A52373B" w:rsidR="00D31BEC" w:rsidRPr="005A6AC7" w:rsidRDefault="00D31BEC" w:rsidP="007B0468">
      <w:pPr>
        <w:ind w:firstLine="720"/>
        <w:rPr>
          <w:rFonts w:cs="Times New Roman"/>
        </w:rPr>
      </w:pPr>
      <w:r w:rsidRPr="005A6AC7">
        <w:rPr>
          <w:rFonts w:cs="Times New Roman"/>
        </w:rPr>
        <w:t xml:space="preserve">But </w:t>
      </w:r>
      <w:r w:rsidR="001B77FA">
        <w:rPr>
          <w:rFonts w:cs="Times New Roman"/>
        </w:rPr>
        <w:t xml:space="preserve">it is </w:t>
      </w:r>
      <w:r w:rsidR="00ED5678">
        <w:rPr>
          <w:rFonts w:cs="Times New Roman"/>
        </w:rPr>
        <w:t>in defining the scope of that third-party liability</w:t>
      </w:r>
      <w:r w:rsidR="001B77FA">
        <w:rPr>
          <w:rFonts w:cs="Times New Roman"/>
        </w:rPr>
        <w:t xml:space="preserve"> that </w:t>
      </w:r>
      <w:r w:rsidR="0030497C">
        <w:rPr>
          <w:rFonts w:cs="Times New Roman"/>
        </w:rPr>
        <w:t xml:space="preserve">I part </w:t>
      </w:r>
      <w:r w:rsidR="0022240B">
        <w:rPr>
          <w:rFonts w:cs="Times New Roman"/>
        </w:rPr>
        <w:t>way</w:t>
      </w:r>
      <w:r w:rsidR="0030497C">
        <w:rPr>
          <w:rFonts w:cs="Times New Roman"/>
        </w:rPr>
        <w:t>s</w:t>
      </w:r>
      <w:r w:rsidR="003E1A63">
        <w:rPr>
          <w:rFonts w:cs="Times New Roman"/>
        </w:rPr>
        <w:t xml:space="preserve"> with my colleagues</w:t>
      </w:r>
      <w:r w:rsidR="00ED5678">
        <w:rPr>
          <w:rFonts w:cs="Times New Roman"/>
        </w:rPr>
        <w:t xml:space="preserve">.  </w:t>
      </w:r>
      <w:r w:rsidR="006C5DA8" w:rsidRPr="005A6AC7">
        <w:rPr>
          <w:rFonts w:cs="Times New Roman"/>
        </w:rPr>
        <w:t xml:space="preserve">I find implausible as a matter of statutory construction the declaratory ruling’s </w:t>
      </w:r>
      <w:r w:rsidRPr="005A6AC7">
        <w:rPr>
          <w:rFonts w:cs="Times New Roman"/>
        </w:rPr>
        <w:t xml:space="preserve">insistence on one and only one standard of third-party liability for both prerecorded call violations (governed by </w:t>
      </w:r>
      <w:r w:rsidR="00176C5A" w:rsidRPr="005A6AC7">
        <w:rPr>
          <w:rFonts w:cs="Times New Roman"/>
        </w:rPr>
        <w:t xml:space="preserve">section </w:t>
      </w:r>
      <w:r w:rsidRPr="005A6AC7">
        <w:rPr>
          <w:rFonts w:cs="Times New Roman"/>
        </w:rPr>
        <w:t xml:space="preserve">227(b)) and do-not-call violations (governed by </w:t>
      </w:r>
      <w:r w:rsidR="00176C5A" w:rsidRPr="005A6AC7">
        <w:rPr>
          <w:rFonts w:cs="Times New Roman"/>
        </w:rPr>
        <w:t xml:space="preserve">section </w:t>
      </w:r>
      <w:r w:rsidRPr="005A6AC7">
        <w:rPr>
          <w:rFonts w:cs="Times New Roman"/>
        </w:rPr>
        <w:t xml:space="preserve">227(c)).  </w:t>
      </w:r>
      <w:r w:rsidR="007B0468" w:rsidRPr="005A6AC7">
        <w:rPr>
          <w:rFonts w:cs="Times New Roman"/>
        </w:rPr>
        <w:t xml:space="preserve">Although administratively </w:t>
      </w:r>
      <w:r w:rsidR="008053E9">
        <w:rPr>
          <w:rFonts w:cs="Times New Roman"/>
        </w:rPr>
        <w:t>convenient</w:t>
      </w:r>
      <w:r w:rsidR="007B0468" w:rsidRPr="005A6AC7">
        <w:rPr>
          <w:rFonts w:cs="Times New Roman"/>
        </w:rPr>
        <w:t xml:space="preserve">, this </w:t>
      </w:r>
      <w:r w:rsidR="00FA5188" w:rsidRPr="005A6AC7">
        <w:rPr>
          <w:rFonts w:cs="Times New Roman"/>
        </w:rPr>
        <w:t xml:space="preserve">one-size-fits-all </w:t>
      </w:r>
      <w:r w:rsidR="007B0468" w:rsidRPr="005A6AC7">
        <w:rPr>
          <w:rFonts w:cs="Times New Roman"/>
        </w:rPr>
        <w:t>approach gives short shrift to the divergent language of the</w:t>
      </w:r>
      <w:r w:rsidR="0030497C">
        <w:rPr>
          <w:rFonts w:cs="Times New Roman"/>
        </w:rPr>
        <w:t>se two provisions</w:t>
      </w:r>
      <w:r w:rsidRPr="005A6AC7">
        <w:rPr>
          <w:rFonts w:cs="Times New Roman"/>
        </w:rPr>
        <w:t>.</w:t>
      </w:r>
      <w:r w:rsidR="001B77FA">
        <w:rPr>
          <w:rFonts w:cs="Times New Roman"/>
        </w:rPr>
        <w:t xml:space="preserve">  I believe instead that section</w:t>
      </w:r>
      <w:r w:rsidR="00F761EE">
        <w:rPr>
          <w:rFonts w:cs="Times New Roman"/>
        </w:rPr>
        <w:t>s</w:t>
      </w:r>
      <w:r w:rsidR="001B77FA">
        <w:rPr>
          <w:rFonts w:cs="Times New Roman"/>
        </w:rPr>
        <w:t xml:space="preserve"> 227(b) and 227(c) embrace different approaches to third-party liability.  Under section 227(b), sellers should be held vicariously liable under federal common-law agency principles for TCPA violations committed by third-party telemarketers.  </w:t>
      </w:r>
      <w:r w:rsidR="0030497C">
        <w:rPr>
          <w:rFonts w:cs="Times New Roman"/>
        </w:rPr>
        <w:t xml:space="preserve">By contrast, </w:t>
      </w:r>
      <w:r w:rsidR="001B77FA">
        <w:rPr>
          <w:rFonts w:cs="Times New Roman"/>
        </w:rPr>
        <w:t xml:space="preserve">under section 227(c), third-party liability </w:t>
      </w:r>
      <w:r w:rsidR="001B77FA">
        <w:rPr>
          <w:rFonts w:cs="Times New Roman"/>
        </w:rPr>
        <w:lastRenderedPageBreak/>
        <w:t>exists whenever a telemarketer initiates a call on a seller’s behalf, even if that telemarketer is not under the seller’s control.</w:t>
      </w:r>
    </w:p>
    <w:p w14:paraId="79ED8760" w14:textId="31E8E7C9" w:rsidR="007B0468" w:rsidRPr="005A6AC7" w:rsidRDefault="00FA5188" w:rsidP="007B0468">
      <w:pPr>
        <w:ind w:firstLine="720"/>
        <w:rPr>
          <w:rFonts w:cs="Times New Roman"/>
        </w:rPr>
      </w:pPr>
      <w:r w:rsidRPr="005A6AC7">
        <w:rPr>
          <w:rFonts w:cs="Times New Roman"/>
        </w:rPr>
        <w:t>Consider first the language the TCPA uses to confer a private right of action in each context</w:t>
      </w:r>
      <w:r w:rsidR="0030497C">
        <w:rPr>
          <w:rFonts w:cs="Times New Roman"/>
        </w:rPr>
        <w:t>.</w:t>
      </w:r>
      <w:r w:rsidRPr="005A6AC7">
        <w:rPr>
          <w:rFonts w:cs="Times New Roman"/>
        </w:rPr>
        <w:t xml:space="preserve">  On one hand, t</w:t>
      </w:r>
      <w:r w:rsidR="007B0468" w:rsidRPr="005A6AC7">
        <w:rPr>
          <w:rFonts w:cs="Times New Roman"/>
        </w:rPr>
        <w:t xml:space="preserve">he TCPA </w:t>
      </w:r>
      <w:r w:rsidRPr="005A6AC7">
        <w:rPr>
          <w:rFonts w:cs="Times New Roman"/>
        </w:rPr>
        <w:t>states</w:t>
      </w:r>
      <w:r w:rsidR="007B0468" w:rsidRPr="005A6AC7">
        <w:rPr>
          <w:rFonts w:cs="Times New Roman"/>
        </w:rPr>
        <w:t xml:space="preserve"> that a person “may . . . bring . . . an action based on a violation” of the prerecorded call rules to enjoin further calls or recover damages.</w:t>
      </w:r>
      <w:r w:rsidR="007B0468" w:rsidRPr="005A6AC7">
        <w:rPr>
          <w:rStyle w:val="FootnoteReference"/>
          <w:rFonts w:cs="Times New Roman"/>
        </w:rPr>
        <w:footnoteReference w:id="5"/>
      </w:r>
      <w:r w:rsidR="007B0468" w:rsidRPr="005A6AC7">
        <w:rPr>
          <w:rFonts w:cs="Times New Roman"/>
        </w:rPr>
        <w:t xml:space="preserve">  In </w:t>
      </w:r>
      <w:r w:rsidRPr="005A6AC7">
        <w:rPr>
          <w:rFonts w:cs="Times New Roman"/>
        </w:rPr>
        <w:t>short</w:t>
      </w:r>
      <w:r w:rsidR="007B0468" w:rsidRPr="005A6AC7">
        <w:rPr>
          <w:rFonts w:cs="Times New Roman"/>
        </w:rPr>
        <w:t xml:space="preserve">, the statute is silent on the scope of third-party liability </w:t>
      </w:r>
      <w:r w:rsidR="00912E7A" w:rsidRPr="005A6AC7">
        <w:rPr>
          <w:rFonts w:cs="Times New Roman"/>
        </w:rPr>
        <w:t>appl</w:t>
      </w:r>
      <w:r w:rsidR="00912E7A">
        <w:rPr>
          <w:rFonts w:cs="Times New Roman"/>
        </w:rPr>
        <w:t>icable</w:t>
      </w:r>
      <w:r w:rsidR="00912E7A" w:rsidRPr="005A6AC7">
        <w:rPr>
          <w:rFonts w:cs="Times New Roman"/>
        </w:rPr>
        <w:t xml:space="preserve"> </w:t>
      </w:r>
      <w:r w:rsidR="007B0468" w:rsidRPr="005A6AC7">
        <w:rPr>
          <w:rFonts w:cs="Times New Roman"/>
        </w:rPr>
        <w:t xml:space="preserve">to </w:t>
      </w:r>
      <w:r w:rsidR="00176C5A" w:rsidRPr="005A6AC7">
        <w:rPr>
          <w:rFonts w:cs="Times New Roman"/>
        </w:rPr>
        <w:t xml:space="preserve">section </w:t>
      </w:r>
      <w:r w:rsidR="007B0468" w:rsidRPr="005A6AC7">
        <w:rPr>
          <w:rFonts w:cs="Times New Roman"/>
        </w:rPr>
        <w:t>227(b) violations.</w:t>
      </w:r>
    </w:p>
    <w:p w14:paraId="286F66BC" w14:textId="093B1A71" w:rsidR="00FA5188" w:rsidRPr="005A6AC7" w:rsidRDefault="00FA5188" w:rsidP="007B0468">
      <w:pPr>
        <w:ind w:firstLine="720"/>
        <w:rPr>
          <w:rFonts w:cs="Times New Roman"/>
        </w:rPr>
      </w:pPr>
      <w:r w:rsidRPr="005A6AC7">
        <w:rPr>
          <w:rFonts w:cs="Times New Roman"/>
        </w:rPr>
        <w:t>On the other hand</w:t>
      </w:r>
      <w:r w:rsidR="007B0468" w:rsidRPr="005A6AC7">
        <w:rPr>
          <w:rFonts w:cs="Times New Roman"/>
        </w:rPr>
        <w:t xml:space="preserve">, the TCPA’s do-not-call rules specifically contemplate third-party liability.  </w:t>
      </w:r>
      <w:r w:rsidRPr="005A6AC7">
        <w:rPr>
          <w:rFonts w:cs="Times New Roman"/>
        </w:rPr>
        <w:t>The TCPA specifies that</w:t>
      </w:r>
      <w:r w:rsidR="007B0468" w:rsidRPr="005A6AC7">
        <w:rPr>
          <w:rFonts w:cs="Times New Roman"/>
        </w:rPr>
        <w:t xml:space="preserve"> a “person who has received more than one telephone call within any 12-month period by </w:t>
      </w:r>
      <w:r w:rsidR="007B0468" w:rsidRPr="005A6AC7">
        <w:rPr>
          <w:rFonts w:cs="Times New Roman"/>
          <w:i/>
        </w:rPr>
        <w:t>or on behalf of</w:t>
      </w:r>
      <w:r w:rsidR="007B0468" w:rsidRPr="005A6AC7">
        <w:rPr>
          <w:rFonts w:cs="Times New Roman"/>
        </w:rPr>
        <w:t xml:space="preserve"> the same entity in violation of the [do-not-call] regulations . . . may . . . bring . . . an action based on </w:t>
      </w:r>
      <w:r w:rsidRPr="005A6AC7">
        <w:rPr>
          <w:rFonts w:cs="Times New Roman"/>
        </w:rPr>
        <w:t xml:space="preserve">[such] </w:t>
      </w:r>
      <w:r w:rsidR="007B0468" w:rsidRPr="005A6AC7">
        <w:rPr>
          <w:rFonts w:cs="Times New Roman"/>
        </w:rPr>
        <w:t>a violation” to enjoin further calls or recover damages.</w:t>
      </w:r>
      <w:r w:rsidR="007B0468" w:rsidRPr="005A6AC7">
        <w:rPr>
          <w:rStyle w:val="FootnoteReference"/>
          <w:rFonts w:cs="Times New Roman"/>
        </w:rPr>
        <w:footnoteReference w:id="6"/>
      </w:r>
      <w:r w:rsidRPr="005A6AC7">
        <w:rPr>
          <w:rFonts w:cs="Times New Roman"/>
        </w:rPr>
        <w:t xml:space="preserve">  In other words, the statut</w:t>
      </w:r>
      <w:r w:rsidR="0030497C">
        <w:rPr>
          <w:rFonts w:cs="Times New Roman"/>
        </w:rPr>
        <w:t>ory phrase “on behalf of”</w:t>
      </w:r>
      <w:r w:rsidRPr="005A6AC7">
        <w:rPr>
          <w:rFonts w:cs="Times New Roman"/>
        </w:rPr>
        <w:t xml:space="preserve"> </w:t>
      </w:r>
      <w:r w:rsidR="0030497C">
        <w:rPr>
          <w:rFonts w:cs="Times New Roman"/>
        </w:rPr>
        <w:t xml:space="preserve">explicitly extends </w:t>
      </w:r>
      <w:r w:rsidRPr="005A6AC7">
        <w:rPr>
          <w:rFonts w:cs="Times New Roman"/>
        </w:rPr>
        <w:t xml:space="preserve">third-party liability to </w:t>
      </w:r>
      <w:r w:rsidR="00176C5A" w:rsidRPr="005A6AC7">
        <w:rPr>
          <w:rFonts w:cs="Times New Roman"/>
        </w:rPr>
        <w:t xml:space="preserve">section </w:t>
      </w:r>
      <w:r w:rsidRPr="005A6AC7">
        <w:rPr>
          <w:rFonts w:cs="Times New Roman"/>
        </w:rPr>
        <w:t>227(c) violations.</w:t>
      </w:r>
    </w:p>
    <w:p w14:paraId="54C513AF" w14:textId="6F16DBDF" w:rsidR="009A03DB" w:rsidRPr="005A6AC7" w:rsidRDefault="009A03DB" w:rsidP="007B0468">
      <w:pPr>
        <w:ind w:firstLine="720"/>
        <w:rPr>
          <w:rFonts w:cs="Times New Roman"/>
        </w:rPr>
      </w:pPr>
      <w:r w:rsidRPr="005A6AC7">
        <w:rPr>
          <w:rFonts w:cs="Times New Roman"/>
        </w:rPr>
        <w:t>Congress does not normally use differing language in two parallel provisions to mean the same thing.  Just as “[i]t cannot be presumed that any clause in the constitution is intended to be without effect,”</w:t>
      </w:r>
      <w:r w:rsidRPr="005A6AC7">
        <w:rPr>
          <w:rStyle w:val="FootnoteReference"/>
          <w:rFonts w:cs="Times New Roman"/>
        </w:rPr>
        <w:footnoteReference w:id="7"/>
      </w:r>
      <w:r w:rsidRPr="005A6AC7">
        <w:rPr>
          <w:rFonts w:cs="Times New Roman"/>
        </w:rPr>
        <w:t xml:space="preserve"> statutory language “cannot be regarded as mere surplusage; it means something.”</w:t>
      </w:r>
      <w:r w:rsidRPr="005A6AC7">
        <w:rPr>
          <w:rStyle w:val="FootnoteReference"/>
          <w:rFonts w:cs="Times New Roman"/>
        </w:rPr>
        <w:footnoteReference w:id="8"/>
      </w:r>
      <w:r w:rsidRPr="005A6AC7">
        <w:rPr>
          <w:rFonts w:cs="Times New Roman"/>
        </w:rPr>
        <w:t xml:space="preserve">  And yet the declaratory ruling would read </w:t>
      </w:r>
      <w:r w:rsidR="00176C5A" w:rsidRPr="005A6AC7">
        <w:rPr>
          <w:rFonts w:cs="Times New Roman"/>
        </w:rPr>
        <w:t xml:space="preserve">section </w:t>
      </w:r>
      <w:r w:rsidRPr="005A6AC7">
        <w:rPr>
          <w:rFonts w:cs="Times New Roman"/>
        </w:rPr>
        <w:t>227(c) no differently if the phrase “on behalf of” were excised from the text.</w:t>
      </w:r>
      <w:r w:rsidRPr="005A6AC7">
        <w:rPr>
          <w:rStyle w:val="FootnoteReference"/>
          <w:rFonts w:cs="Times New Roman"/>
        </w:rPr>
        <w:footnoteReference w:id="9"/>
      </w:r>
    </w:p>
    <w:p w14:paraId="2791152A" w14:textId="3AEBCEA0" w:rsidR="00D31BEC" w:rsidRPr="005A6AC7" w:rsidRDefault="00912E7A" w:rsidP="00D31BEC">
      <w:pPr>
        <w:ind w:firstLine="720"/>
        <w:rPr>
          <w:rFonts w:cs="Times New Roman"/>
        </w:rPr>
      </w:pPr>
      <w:r>
        <w:rPr>
          <w:rFonts w:cs="Times New Roman"/>
        </w:rPr>
        <w:t xml:space="preserve">Instead of incorporating federal common-law agency principles into section 227(c), the Commission should give meaning to “on behalf of” and </w:t>
      </w:r>
      <w:r w:rsidR="00D31BEC" w:rsidRPr="005A6AC7">
        <w:rPr>
          <w:rFonts w:cs="Times New Roman"/>
        </w:rPr>
        <w:t>impose third-party liability for do-not-call violations whenever a telemarketer initiates a call on a seller’s behalf, even if that telemarketer is not under the seller’s control.</w:t>
      </w:r>
      <w:r w:rsidR="00D31BEC" w:rsidRPr="005A6AC7">
        <w:rPr>
          <w:rStyle w:val="FootnoteReference"/>
          <w:rFonts w:cs="Times New Roman"/>
        </w:rPr>
        <w:footnoteReference w:id="10"/>
      </w:r>
      <w:r w:rsidR="003E328D" w:rsidRPr="005A6AC7">
        <w:rPr>
          <w:rFonts w:cs="Times New Roman"/>
        </w:rPr>
        <w:t xml:space="preserve">  </w:t>
      </w:r>
      <w:r>
        <w:rPr>
          <w:rFonts w:cs="Times New Roman"/>
        </w:rPr>
        <w:t xml:space="preserve">Such a standard would not only respect </w:t>
      </w:r>
      <w:r w:rsidR="003E328D" w:rsidRPr="005A6AC7">
        <w:rPr>
          <w:rFonts w:cs="Times New Roman"/>
        </w:rPr>
        <w:t>the specific language Congress used in the TCPA</w:t>
      </w:r>
      <w:r>
        <w:rPr>
          <w:rFonts w:cs="Times New Roman"/>
        </w:rPr>
        <w:t xml:space="preserve">, it would also </w:t>
      </w:r>
      <w:r w:rsidR="003E328D" w:rsidRPr="005A6AC7">
        <w:rPr>
          <w:rFonts w:cs="Times New Roman"/>
        </w:rPr>
        <w:t xml:space="preserve">better </w:t>
      </w:r>
      <w:r>
        <w:rPr>
          <w:rFonts w:cs="Times New Roman"/>
        </w:rPr>
        <w:t>implement</w:t>
      </w:r>
      <w:r w:rsidR="003E328D" w:rsidRPr="005A6AC7">
        <w:rPr>
          <w:rFonts w:cs="Times New Roman"/>
        </w:rPr>
        <w:t xml:space="preserve"> the statutory scheme.</w:t>
      </w:r>
      <w:r w:rsidR="005A6AC7" w:rsidRPr="005A6AC7">
        <w:rPr>
          <w:rStyle w:val="FootnoteReference"/>
          <w:rFonts w:cs="Times New Roman"/>
        </w:rPr>
        <w:footnoteReference w:id="11"/>
      </w:r>
    </w:p>
    <w:p w14:paraId="03E5B804" w14:textId="6E96FB04" w:rsidR="0014727F" w:rsidRPr="005A6AC7" w:rsidRDefault="00176C5A" w:rsidP="00F772C1">
      <w:pPr>
        <w:ind w:firstLine="720"/>
        <w:rPr>
          <w:rFonts w:cs="Times New Roman"/>
        </w:rPr>
      </w:pPr>
      <w:r w:rsidRPr="005A6AC7">
        <w:rPr>
          <w:rFonts w:cs="Times New Roman"/>
        </w:rPr>
        <w:t>T</w:t>
      </w:r>
      <w:r w:rsidR="003E328D" w:rsidRPr="005A6AC7">
        <w:rPr>
          <w:rFonts w:cs="Times New Roman"/>
        </w:rPr>
        <w:t xml:space="preserve">wo further distinctions </w:t>
      </w:r>
      <w:r w:rsidRPr="005A6AC7">
        <w:rPr>
          <w:rFonts w:cs="Times New Roman"/>
        </w:rPr>
        <w:t xml:space="preserve">in the statutory text confirm </w:t>
      </w:r>
      <w:r w:rsidR="0002747C">
        <w:rPr>
          <w:rFonts w:cs="Times New Roman"/>
        </w:rPr>
        <w:t>the necessity and propriety of</w:t>
      </w:r>
      <w:r w:rsidR="0002747C" w:rsidRPr="005A6AC7">
        <w:rPr>
          <w:rFonts w:cs="Times New Roman"/>
        </w:rPr>
        <w:t xml:space="preserve"> </w:t>
      </w:r>
      <w:r w:rsidR="003E328D" w:rsidRPr="005A6AC7">
        <w:rPr>
          <w:rFonts w:cs="Times New Roman"/>
        </w:rPr>
        <w:t xml:space="preserve">an </w:t>
      </w:r>
      <w:r w:rsidR="005834B5">
        <w:rPr>
          <w:rFonts w:cs="Times New Roman"/>
        </w:rPr>
        <w:t>“</w:t>
      </w:r>
      <w:r w:rsidR="0014727F" w:rsidRPr="005A6AC7">
        <w:rPr>
          <w:rFonts w:cs="Times New Roman"/>
        </w:rPr>
        <w:t>on</w:t>
      </w:r>
      <w:r w:rsidR="005834B5">
        <w:rPr>
          <w:rFonts w:cs="Times New Roman"/>
        </w:rPr>
        <w:t xml:space="preserve"> </w:t>
      </w:r>
      <w:r w:rsidR="0014727F" w:rsidRPr="005A6AC7">
        <w:rPr>
          <w:rFonts w:cs="Times New Roman"/>
        </w:rPr>
        <w:t>behalf</w:t>
      </w:r>
      <w:r w:rsidR="005834B5">
        <w:rPr>
          <w:rFonts w:cs="Times New Roman"/>
        </w:rPr>
        <w:t xml:space="preserve"> </w:t>
      </w:r>
      <w:r w:rsidR="0014727F" w:rsidRPr="005A6AC7">
        <w:rPr>
          <w:rFonts w:cs="Times New Roman"/>
        </w:rPr>
        <w:t>of</w:t>
      </w:r>
      <w:r w:rsidR="005834B5">
        <w:rPr>
          <w:rFonts w:cs="Times New Roman"/>
        </w:rPr>
        <w:t>”</w:t>
      </w:r>
      <w:r w:rsidR="003E328D" w:rsidRPr="005A6AC7">
        <w:rPr>
          <w:rFonts w:cs="Times New Roman"/>
        </w:rPr>
        <w:t xml:space="preserve"> standard </w:t>
      </w:r>
      <w:r w:rsidR="0014727F" w:rsidRPr="005A6AC7">
        <w:rPr>
          <w:rFonts w:cs="Times New Roman"/>
        </w:rPr>
        <w:t>for</w:t>
      </w:r>
      <w:r w:rsidR="003E328D" w:rsidRPr="005A6AC7">
        <w:rPr>
          <w:rFonts w:cs="Times New Roman"/>
        </w:rPr>
        <w:t xml:space="preserve"> third-party liability for do-not-call violations.  </w:t>
      </w:r>
      <w:r w:rsidR="003E328D" w:rsidRPr="005A6AC7">
        <w:rPr>
          <w:rFonts w:cs="Times New Roman"/>
          <w:i/>
        </w:rPr>
        <w:t>For one</w:t>
      </w:r>
      <w:r w:rsidR="003E328D" w:rsidRPr="005A6AC7">
        <w:rPr>
          <w:rFonts w:cs="Times New Roman"/>
        </w:rPr>
        <w:t xml:space="preserve">, </w:t>
      </w:r>
      <w:r w:rsidR="0014727F" w:rsidRPr="005A6AC7">
        <w:rPr>
          <w:rFonts w:cs="Times New Roman"/>
        </w:rPr>
        <w:t xml:space="preserve">an </w:t>
      </w:r>
      <w:r w:rsidR="007E0E09">
        <w:rPr>
          <w:rFonts w:cs="Times New Roman"/>
        </w:rPr>
        <w:t>“</w:t>
      </w:r>
      <w:r w:rsidR="0014727F" w:rsidRPr="005A6AC7">
        <w:rPr>
          <w:rFonts w:cs="Times New Roman"/>
        </w:rPr>
        <w:t>on</w:t>
      </w:r>
      <w:r w:rsidR="007E0E09">
        <w:rPr>
          <w:rFonts w:cs="Times New Roman"/>
        </w:rPr>
        <w:t xml:space="preserve"> </w:t>
      </w:r>
      <w:r w:rsidR="0014727F" w:rsidRPr="005A6AC7">
        <w:rPr>
          <w:rFonts w:cs="Times New Roman"/>
        </w:rPr>
        <w:t>behalf</w:t>
      </w:r>
      <w:r w:rsidR="007E0E09">
        <w:rPr>
          <w:rFonts w:cs="Times New Roman"/>
        </w:rPr>
        <w:t xml:space="preserve"> </w:t>
      </w:r>
      <w:r w:rsidR="0014727F" w:rsidRPr="005A6AC7">
        <w:rPr>
          <w:rFonts w:cs="Times New Roman"/>
        </w:rPr>
        <w:t>of</w:t>
      </w:r>
      <w:r w:rsidR="007E0E09">
        <w:rPr>
          <w:rFonts w:cs="Times New Roman"/>
        </w:rPr>
        <w:t>”</w:t>
      </w:r>
      <w:r w:rsidRPr="005A6AC7">
        <w:rPr>
          <w:rFonts w:cs="Times New Roman"/>
        </w:rPr>
        <w:t xml:space="preserve"> standard is necessary if consumer</w:t>
      </w:r>
      <w:r w:rsidR="007E0E09">
        <w:rPr>
          <w:rFonts w:cs="Times New Roman"/>
        </w:rPr>
        <w:t xml:space="preserve"> enforcement of </w:t>
      </w:r>
      <w:r w:rsidRPr="005A6AC7">
        <w:rPr>
          <w:rFonts w:cs="Times New Roman"/>
        </w:rPr>
        <w:t>the do-not-call provisions</w:t>
      </w:r>
      <w:r w:rsidR="007E0E09">
        <w:rPr>
          <w:rFonts w:cs="Times New Roman"/>
        </w:rPr>
        <w:t xml:space="preserve"> is to be effective</w:t>
      </w:r>
      <w:r w:rsidR="0014727F" w:rsidRPr="005A6AC7">
        <w:rPr>
          <w:rFonts w:cs="Times New Roman"/>
        </w:rPr>
        <w:t>.  S</w:t>
      </w:r>
      <w:r w:rsidRPr="005A6AC7">
        <w:rPr>
          <w:rFonts w:cs="Times New Roman"/>
        </w:rPr>
        <w:t xml:space="preserve">ection 227(c)(5) </w:t>
      </w:r>
      <w:r w:rsidR="0014727F" w:rsidRPr="005A6AC7">
        <w:rPr>
          <w:rFonts w:cs="Times New Roman"/>
        </w:rPr>
        <w:t xml:space="preserve">imposes a </w:t>
      </w:r>
      <w:r w:rsidRPr="005A6AC7">
        <w:rPr>
          <w:rFonts w:cs="Times New Roman"/>
        </w:rPr>
        <w:t>two-call rule</w:t>
      </w:r>
      <w:r w:rsidR="0014727F" w:rsidRPr="005A6AC7">
        <w:rPr>
          <w:rFonts w:cs="Times New Roman"/>
        </w:rPr>
        <w:t xml:space="preserve"> for do-not-call violations, prohibiting a consumer from bringing suit unless she has received</w:t>
      </w:r>
      <w:r w:rsidRPr="005A6AC7">
        <w:rPr>
          <w:rFonts w:cs="Times New Roman"/>
        </w:rPr>
        <w:t xml:space="preserve"> “more than one telephone call . . . by or on behalf of the same entity.”</w:t>
      </w:r>
      <w:r w:rsidRPr="005A6AC7">
        <w:rPr>
          <w:rStyle w:val="FootnoteReference"/>
          <w:rFonts w:cs="Times New Roman"/>
        </w:rPr>
        <w:footnoteReference w:id="12"/>
      </w:r>
      <w:r w:rsidRPr="005A6AC7">
        <w:rPr>
          <w:rFonts w:cs="Times New Roman"/>
        </w:rPr>
        <w:t xml:space="preserve">  </w:t>
      </w:r>
      <w:r w:rsidR="0014727F" w:rsidRPr="005A6AC7">
        <w:rPr>
          <w:rFonts w:cs="Times New Roman"/>
        </w:rPr>
        <w:t>If “on behalf of” means what it says</w:t>
      </w:r>
      <w:r w:rsidRPr="005A6AC7">
        <w:rPr>
          <w:rFonts w:cs="Times New Roman"/>
        </w:rPr>
        <w:t xml:space="preserve">, the consumer’s burden of proof </w:t>
      </w:r>
      <w:r w:rsidR="00F772C1" w:rsidRPr="005A6AC7">
        <w:rPr>
          <w:rFonts w:cs="Times New Roman"/>
        </w:rPr>
        <w:t>is</w:t>
      </w:r>
      <w:r w:rsidRPr="005A6AC7">
        <w:rPr>
          <w:rFonts w:cs="Times New Roman"/>
        </w:rPr>
        <w:t xml:space="preserve"> low:  She would only need to prove that both calls were marketing the product of a single seller</w:t>
      </w:r>
      <w:r w:rsidR="0014727F" w:rsidRPr="005A6AC7">
        <w:rPr>
          <w:rFonts w:cs="Times New Roman"/>
        </w:rPr>
        <w:t>, and she</w:t>
      </w:r>
      <w:r w:rsidRPr="005A6AC7">
        <w:rPr>
          <w:rFonts w:cs="Times New Roman"/>
        </w:rPr>
        <w:t xml:space="preserve"> could </w:t>
      </w:r>
      <w:r w:rsidR="00912E7A">
        <w:rPr>
          <w:rFonts w:cs="Times New Roman"/>
        </w:rPr>
        <w:t xml:space="preserve">then </w:t>
      </w:r>
      <w:r w:rsidRPr="005A6AC7">
        <w:rPr>
          <w:rFonts w:cs="Times New Roman"/>
        </w:rPr>
        <w:t>file suit against ei</w:t>
      </w:r>
      <w:r w:rsidR="0014727F" w:rsidRPr="005A6AC7">
        <w:rPr>
          <w:rFonts w:cs="Times New Roman"/>
        </w:rPr>
        <w:t xml:space="preserve">ther </w:t>
      </w:r>
      <w:r w:rsidR="00912E7A">
        <w:rPr>
          <w:rFonts w:cs="Times New Roman"/>
        </w:rPr>
        <w:t xml:space="preserve">the </w:t>
      </w:r>
      <w:r w:rsidR="0014727F" w:rsidRPr="005A6AC7">
        <w:rPr>
          <w:rFonts w:cs="Times New Roman"/>
        </w:rPr>
        <w:t>telemarketer or the seller.</w:t>
      </w:r>
      <w:r w:rsidR="00F772C1" w:rsidRPr="005A6AC7">
        <w:rPr>
          <w:rFonts w:cs="Times New Roman"/>
        </w:rPr>
        <w:t xml:space="preserve">  But if </w:t>
      </w:r>
      <w:r w:rsidR="0014727F" w:rsidRPr="005A6AC7">
        <w:rPr>
          <w:rFonts w:cs="Times New Roman"/>
        </w:rPr>
        <w:t>“on behalf of” merely incorporate</w:t>
      </w:r>
      <w:r w:rsidR="00F772C1" w:rsidRPr="005A6AC7">
        <w:rPr>
          <w:rFonts w:cs="Times New Roman"/>
        </w:rPr>
        <w:t>s</w:t>
      </w:r>
      <w:r w:rsidR="0014727F" w:rsidRPr="005A6AC7">
        <w:rPr>
          <w:rFonts w:cs="Times New Roman"/>
        </w:rPr>
        <w:t xml:space="preserve"> the federal common law of agency</w:t>
      </w:r>
      <w:r w:rsidR="00F772C1" w:rsidRPr="005A6AC7">
        <w:rPr>
          <w:rFonts w:cs="Times New Roman"/>
        </w:rPr>
        <w:t xml:space="preserve">, a consumer will be forced to </w:t>
      </w:r>
      <w:r w:rsidR="004230DA">
        <w:rPr>
          <w:rFonts w:cs="Times New Roman"/>
        </w:rPr>
        <w:t xml:space="preserve">navigate that legal thicket </w:t>
      </w:r>
      <w:r w:rsidR="00F772C1" w:rsidRPr="005A6AC7">
        <w:rPr>
          <w:rFonts w:cs="Times New Roman"/>
        </w:rPr>
        <w:t xml:space="preserve">even if she chooses to sue the telemarketer alone.  </w:t>
      </w:r>
      <w:r w:rsidR="0014727F" w:rsidRPr="005A6AC7">
        <w:rPr>
          <w:rFonts w:cs="Times New Roman"/>
        </w:rPr>
        <w:t xml:space="preserve">That’s because under </w:t>
      </w:r>
      <w:r w:rsidR="00F772C1" w:rsidRPr="005A6AC7">
        <w:rPr>
          <w:rFonts w:cs="Times New Roman"/>
        </w:rPr>
        <w:t>the common-law</w:t>
      </w:r>
      <w:r w:rsidR="0014727F" w:rsidRPr="005A6AC7">
        <w:rPr>
          <w:rFonts w:cs="Times New Roman"/>
        </w:rPr>
        <w:t xml:space="preserve"> standard, the </w:t>
      </w:r>
      <w:r w:rsidR="00912E7A">
        <w:rPr>
          <w:rFonts w:cs="Times New Roman"/>
        </w:rPr>
        <w:t>private cause</w:t>
      </w:r>
      <w:r w:rsidR="004230DA">
        <w:rPr>
          <w:rFonts w:cs="Times New Roman"/>
        </w:rPr>
        <w:t xml:space="preserve"> </w:t>
      </w:r>
      <w:r w:rsidR="00912E7A">
        <w:rPr>
          <w:rFonts w:cs="Times New Roman"/>
        </w:rPr>
        <w:t>of</w:t>
      </w:r>
      <w:r w:rsidR="004230DA">
        <w:rPr>
          <w:rFonts w:cs="Times New Roman"/>
        </w:rPr>
        <w:t xml:space="preserve"> </w:t>
      </w:r>
      <w:r w:rsidR="00912E7A">
        <w:rPr>
          <w:rFonts w:cs="Times New Roman"/>
        </w:rPr>
        <w:t>action</w:t>
      </w:r>
      <w:r w:rsidR="0014727F" w:rsidRPr="005A6AC7">
        <w:rPr>
          <w:rFonts w:cs="Times New Roman"/>
        </w:rPr>
        <w:t xml:space="preserve"> would depend </w:t>
      </w:r>
      <w:r w:rsidR="00912E7A">
        <w:rPr>
          <w:rFonts w:cs="Times New Roman"/>
        </w:rPr>
        <w:t>up</w:t>
      </w:r>
      <w:r w:rsidR="0014727F" w:rsidRPr="005A6AC7">
        <w:rPr>
          <w:rFonts w:cs="Times New Roman"/>
        </w:rPr>
        <w:t xml:space="preserve">on the agency relationship between the seller and every telemarketer that called the consumer.  </w:t>
      </w:r>
      <w:r w:rsidR="00BE79AA">
        <w:rPr>
          <w:rFonts w:cs="Times New Roman"/>
        </w:rPr>
        <w:t>Suppose</w:t>
      </w:r>
      <w:r w:rsidR="00912E7A">
        <w:rPr>
          <w:rFonts w:cs="Times New Roman"/>
        </w:rPr>
        <w:t>, for example,</w:t>
      </w:r>
      <w:r w:rsidR="0014727F" w:rsidRPr="005A6AC7">
        <w:rPr>
          <w:rFonts w:cs="Times New Roman"/>
        </w:rPr>
        <w:t xml:space="preserve"> </w:t>
      </w:r>
      <w:r w:rsidR="00673F63">
        <w:rPr>
          <w:rFonts w:cs="Times New Roman"/>
        </w:rPr>
        <w:t>the consumer receives</w:t>
      </w:r>
      <w:r w:rsidR="00BE79AA">
        <w:rPr>
          <w:rFonts w:cs="Times New Roman"/>
        </w:rPr>
        <w:t xml:space="preserve"> calls from two different telemarketers purporting to represent the same seller.  If </w:t>
      </w:r>
      <w:r w:rsidR="0014727F" w:rsidRPr="005A6AC7">
        <w:rPr>
          <w:rFonts w:cs="Times New Roman"/>
        </w:rPr>
        <w:t xml:space="preserve">the federal common law would impute the actions of </w:t>
      </w:r>
      <w:r w:rsidR="00912E7A">
        <w:rPr>
          <w:rFonts w:cs="Times New Roman"/>
        </w:rPr>
        <w:t xml:space="preserve">the first </w:t>
      </w:r>
      <w:r w:rsidR="0014727F" w:rsidRPr="005A6AC7">
        <w:rPr>
          <w:rFonts w:cs="Times New Roman"/>
        </w:rPr>
        <w:t xml:space="preserve">telemarketer </w:t>
      </w:r>
      <w:r w:rsidR="00912E7A">
        <w:rPr>
          <w:rFonts w:cs="Times New Roman"/>
        </w:rPr>
        <w:t xml:space="preserve">that called the consumer </w:t>
      </w:r>
      <w:r w:rsidR="0014727F" w:rsidRPr="005A6AC7">
        <w:rPr>
          <w:rFonts w:cs="Times New Roman"/>
        </w:rPr>
        <w:t xml:space="preserve">to the seller but not the </w:t>
      </w:r>
      <w:r w:rsidR="00912E7A">
        <w:rPr>
          <w:rFonts w:cs="Times New Roman"/>
        </w:rPr>
        <w:t>second</w:t>
      </w:r>
      <w:r w:rsidR="0014727F" w:rsidRPr="005A6AC7">
        <w:rPr>
          <w:rFonts w:cs="Times New Roman"/>
        </w:rPr>
        <w:t xml:space="preserve">, </w:t>
      </w:r>
      <w:r w:rsidR="00912E7A">
        <w:rPr>
          <w:rFonts w:cs="Times New Roman"/>
        </w:rPr>
        <w:t xml:space="preserve">then </w:t>
      </w:r>
      <w:r w:rsidR="0014727F" w:rsidRPr="005A6AC7">
        <w:rPr>
          <w:rFonts w:cs="Times New Roman"/>
        </w:rPr>
        <w:t xml:space="preserve">the consumer would not have </w:t>
      </w:r>
      <w:r w:rsidR="0014727F" w:rsidRPr="00EE32A2">
        <w:rPr>
          <w:rFonts w:cs="Times New Roman"/>
          <w:i/>
        </w:rPr>
        <w:t>a</w:t>
      </w:r>
      <w:r w:rsidR="00912E7A" w:rsidRPr="00EE32A2">
        <w:rPr>
          <w:rFonts w:cs="Times New Roman"/>
          <w:i/>
        </w:rPr>
        <w:t>ny</w:t>
      </w:r>
      <w:r w:rsidR="0014727F" w:rsidRPr="00EE32A2">
        <w:rPr>
          <w:rFonts w:cs="Times New Roman"/>
          <w:i/>
        </w:rPr>
        <w:t xml:space="preserve"> </w:t>
      </w:r>
      <w:r w:rsidR="0014727F" w:rsidRPr="005A6AC7">
        <w:rPr>
          <w:rFonts w:cs="Times New Roman"/>
        </w:rPr>
        <w:t>do-not-call cause of action</w:t>
      </w:r>
      <w:r w:rsidR="00EE32A2">
        <w:rPr>
          <w:rFonts w:cs="Times New Roman"/>
        </w:rPr>
        <w:t xml:space="preserve"> (let alone an action against the seller)</w:t>
      </w:r>
      <w:r w:rsidR="00BE79AA">
        <w:rPr>
          <w:rFonts w:cs="Times New Roman"/>
        </w:rPr>
        <w:t>, despite the fact that both calls were placed “on behalf of” the same seller</w:t>
      </w:r>
      <w:r w:rsidR="0014727F" w:rsidRPr="005A6AC7">
        <w:rPr>
          <w:rFonts w:cs="Times New Roman"/>
        </w:rPr>
        <w:t>.</w:t>
      </w:r>
      <w:r w:rsidR="00DC2714">
        <w:rPr>
          <w:rStyle w:val="FootnoteReference"/>
          <w:rFonts w:cs="Times New Roman"/>
        </w:rPr>
        <w:footnoteReference w:id="13"/>
      </w:r>
    </w:p>
    <w:p w14:paraId="1ED11712" w14:textId="09E0FA5B" w:rsidR="0084602A" w:rsidRPr="005A6AC7" w:rsidRDefault="003E328D" w:rsidP="00D31BEC">
      <w:pPr>
        <w:ind w:firstLine="720"/>
        <w:rPr>
          <w:rFonts w:cs="Times New Roman"/>
        </w:rPr>
      </w:pPr>
      <w:r w:rsidRPr="005A6AC7">
        <w:rPr>
          <w:rFonts w:cs="Times New Roman"/>
          <w:i/>
        </w:rPr>
        <w:t>For another</w:t>
      </w:r>
      <w:r w:rsidRPr="005A6AC7">
        <w:rPr>
          <w:rFonts w:cs="Times New Roman"/>
        </w:rPr>
        <w:t xml:space="preserve">, </w:t>
      </w:r>
      <w:r w:rsidR="00AD4BB8">
        <w:rPr>
          <w:rFonts w:cs="Times New Roman"/>
        </w:rPr>
        <w:t>section 227(c)(5) creates an affirmative defense for sellers that have “established and implemented, with due care, reasonable practices and procedures to effectively prevent telephone solicitations in violation of the regulations prescribed under this subsection</w:t>
      </w:r>
      <w:r w:rsidR="00F761EE">
        <w:rPr>
          <w:rFonts w:cs="Times New Roman"/>
        </w:rPr>
        <w:t>.</w:t>
      </w:r>
      <w:r w:rsidR="00AD4BB8">
        <w:rPr>
          <w:rFonts w:cs="Times New Roman"/>
        </w:rPr>
        <w:t xml:space="preserve">” </w:t>
      </w:r>
      <w:r w:rsidR="00F761EE">
        <w:rPr>
          <w:rFonts w:cs="Times New Roman"/>
        </w:rPr>
        <w:t xml:space="preserve"> N</w:t>
      </w:r>
      <w:r w:rsidR="00AD4BB8">
        <w:rPr>
          <w:rFonts w:cs="Times New Roman"/>
        </w:rPr>
        <w:t>o similar affirmative defense exists under section 227(b).  Th</w:t>
      </w:r>
      <w:r w:rsidR="00F761EE">
        <w:rPr>
          <w:rFonts w:cs="Times New Roman"/>
        </w:rPr>
        <w:t>is discrepancy</w:t>
      </w:r>
      <w:r w:rsidR="00AD4BB8">
        <w:rPr>
          <w:rFonts w:cs="Times New Roman"/>
        </w:rPr>
        <w:t xml:space="preserve"> lends additional weight to the argument that Congress did not intend for sections 227(b) and 227(c) to be interpreted in </w:t>
      </w:r>
      <w:r w:rsidR="0022240B">
        <w:rPr>
          <w:rFonts w:cs="Times New Roman"/>
        </w:rPr>
        <w:t xml:space="preserve">a </w:t>
      </w:r>
      <w:r w:rsidR="00AD4BB8">
        <w:rPr>
          <w:rFonts w:cs="Times New Roman"/>
        </w:rPr>
        <w:t xml:space="preserve">parallel </w:t>
      </w:r>
      <w:r w:rsidR="0022240B">
        <w:rPr>
          <w:rFonts w:cs="Times New Roman"/>
        </w:rPr>
        <w:t xml:space="preserve">manner </w:t>
      </w:r>
      <w:r w:rsidR="00AD4BB8">
        <w:rPr>
          <w:rFonts w:cs="Times New Roman"/>
        </w:rPr>
        <w:t>with respect to third-party liability.  Rather, recognizing that the third-party liability standard under section 227(c) is stricter than under section 227(b)</w:t>
      </w:r>
      <w:r w:rsidR="00C571D8">
        <w:rPr>
          <w:rFonts w:cs="Times New Roman"/>
        </w:rPr>
        <w:t xml:space="preserve"> (due to the phrase “on behalf of”)</w:t>
      </w:r>
      <w:r w:rsidR="00AD4BB8">
        <w:rPr>
          <w:rFonts w:cs="Times New Roman"/>
        </w:rPr>
        <w:t xml:space="preserve">, Congress </w:t>
      </w:r>
      <w:r w:rsidR="0022240B">
        <w:rPr>
          <w:rFonts w:cs="Times New Roman"/>
        </w:rPr>
        <w:t xml:space="preserve">understandably chose to give </w:t>
      </w:r>
      <w:r w:rsidR="00AD4BB8">
        <w:rPr>
          <w:rFonts w:cs="Times New Roman"/>
        </w:rPr>
        <w:t xml:space="preserve">sellers an affirmative defense under section 227(c) to </w:t>
      </w:r>
      <w:r w:rsidR="00C571D8">
        <w:rPr>
          <w:rFonts w:cs="Times New Roman"/>
        </w:rPr>
        <w:t>exempt sellers who had taken substantial precautions to avoid illegal solicitations made on their behalf by unaffiliated telemarketers.</w:t>
      </w:r>
    </w:p>
    <w:p w14:paraId="566EC80F" w14:textId="236121B1" w:rsidR="001A1FC9" w:rsidRPr="005A6AC7" w:rsidRDefault="001A1FC9" w:rsidP="00403CE8">
      <w:pPr>
        <w:ind w:firstLine="720"/>
        <w:rPr>
          <w:rFonts w:cs="Times New Roman"/>
        </w:rPr>
      </w:pPr>
      <w:r w:rsidRPr="005A6AC7">
        <w:rPr>
          <w:rFonts w:cs="Times New Roman"/>
        </w:rPr>
        <w:t>So w</w:t>
      </w:r>
      <w:r w:rsidR="00FB3838" w:rsidRPr="005A6AC7">
        <w:rPr>
          <w:rFonts w:cs="Times New Roman"/>
        </w:rPr>
        <w:t>hy would Congress use a different and more expansive concept of third-party liability for do-not-call violations</w:t>
      </w:r>
      <w:r w:rsidR="00837E3E">
        <w:rPr>
          <w:rFonts w:cs="Times New Roman"/>
        </w:rPr>
        <w:t xml:space="preserve"> than for prerecorded call violations</w:t>
      </w:r>
      <w:r w:rsidR="00FB3838" w:rsidRPr="005A6AC7">
        <w:rPr>
          <w:rFonts w:cs="Times New Roman"/>
        </w:rPr>
        <w:t xml:space="preserve">?  A recent letter </w:t>
      </w:r>
      <w:r w:rsidR="00AD4BB8">
        <w:rPr>
          <w:rFonts w:cs="Times New Roman"/>
        </w:rPr>
        <w:t>from</w:t>
      </w:r>
      <w:r w:rsidR="00AD4BB8" w:rsidRPr="005A6AC7">
        <w:rPr>
          <w:rFonts w:cs="Times New Roman"/>
        </w:rPr>
        <w:t xml:space="preserve"> </w:t>
      </w:r>
      <w:r w:rsidR="00FB3838" w:rsidRPr="005A6AC7">
        <w:rPr>
          <w:rFonts w:cs="Times New Roman"/>
        </w:rPr>
        <w:t xml:space="preserve">the U.S. Department of Justice lays it out succinctly:  “[B]ecause the federal government created and administers the National Do-Not-Call Registry, Congress may have determined that the federal interest in preventing violations of the Registry under </w:t>
      </w:r>
      <w:r w:rsidR="00176C5A" w:rsidRPr="005A6AC7">
        <w:rPr>
          <w:rFonts w:cs="Times New Roman"/>
        </w:rPr>
        <w:t xml:space="preserve">section </w:t>
      </w:r>
      <w:r w:rsidR="00FB3838" w:rsidRPr="005A6AC7">
        <w:rPr>
          <w:rFonts w:cs="Times New Roman"/>
        </w:rPr>
        <w:t xml:space="preserve">227(c)(5) is stronger than the federal interest in preventing robocall violations under </w:t>
      </w:r>
      <w:r w:rsidR="00176C5A" w:rsidRPr="005A6AC7">
        <w:rPr>
          <w:rFonts w:cs="Times New Roman"/>
        </w:rPr>
        <w:t xml:space="preserve">section </w:t>
      </w:r>
      <w:r w:rsidR="00FB3838" w:rsidRPr="005A6AC7">
        <w:rPr>
          <w:rFonts w:cs="Times New Roman"/>
        </w:rPr>
        <w:t>227(b)(3), which were already the subject of many state laws when the TCPA was enacted.  In addition, Congress may have determined that one set of violations was more serious or more odious to consumers than another.”</w:t>
      </w:r>
      <w:r w:rsidR="00FB3838" w:rsidRPr="005A6AC7">
        <w:rPr>
          <w:rStyle w:val="FootnoteReference"/>
          <w:rFonts w:cs="Times New Roman"/>
        </w:rPr>
        <w:footnoteReference w:id="14"/>
      </w:r>
      <w:r w:rsidR="00403CE8" w:rsidRPr="005A6AC7">
        <w:rPr>
          <w:rFonts w:cs="Times New Roman"/>
        </w:rPr>
        <w:t xml:space="preserve">  </w:t>
      </w:r>
      <w:r w:rsidR="00962FAF" w:rsidRPr="005A6AC7">
        <w:rPr>
          <w:rFonts w:cs="Times New Roman"/>
        </w:rPr>
        <w:t>On the last point,</w:t>
      </w:r>
      <w:r w:rsidR="00403CE8" w:rsidRPr="005A6AC7">
        <w:rPr>
          <w:rFonts w:cs="Times New Roman"/>
        </w:rPr>
        <w:t xml:space="preserve"> consider this:  T</w:t>
      </w:r>
      <w:r w:rsidRPr="005A6AC7">
        <w:rPr>
          <w:rFonts w:cs="Times New Roman"/>
        </w:rPr>
        <w:t xml:space="preserve">he TCPA’s prerecorded call rules apply to all consumers </w:t>
      </w:r>
      <w:r w:rsidR="00AA4F48" w:rsidRPr="005A6AC7">
        <w:rPr>
          <w:rFonts w:cs="Times New Roman"/>
        </w:rPr>
        <w:t>whereas</w:t>
      </w:r>
      <w:r w:rsidRPr="005A6AC7">
        <w:rPr>
          <w:rFonts w:cs="Times New Roman"/>
        </w:rPr>
        <w:t xml:space="preserve"> the TCPA’s do-not-call rules require consumers to opt-in by registering their phone number.  I</w:t>
      </w:r>
      <w:r w:rsidR="00403CE8" w:rsidRPr="005A6AC7">
        <w:rPr>
          <w:rFonts w:cs="Times New Roman"/>
        </w:rPr>
        <w:t>f returning some control to consumers over their phones was the purpose of the TCPA, as evidently it was,</w:t>
      </w:r>
      <w:r w:rsidR="00403CE8" w:rsidRPr="005A6AC7">
        <w:rPr>
          <w:rStyle w:val="FootnoteReference"/>
          <w:rFonts w:cs="Times New Roman"/>
        </w:rPr>
        <w:footnoteReference w:id="15"/>
      </w:r>
      <w:r w:rsidR="00403CE8" w:rsidRPr="005A6AC7">
        <w:rPr>
          <w:rFonts w:cs="Times New Roman"/>
        </w:rPr>
        <w:t xml:space="preserve"> it’s not hard to see violations that countermand the express wishes of consumers might be </w:t>
      </w:r>
      <w:r w:rsidR="003625C8">
        <w:rPr>
          <w:rFonts w:cs="Times New Roman"/>
        </w:rPr>
        <w:t>“</w:t>
      </w:r>
      <w:r w:rsidR="00403CE8" w:rsidRPr="005A6AC7">
        <w:rPr>
          <w:rFonts w:cs="Times New Roman"/>
        </w:rPr>
        <w:t>more odious</w:t>
      </w:r>
      <w:r w:rsidR="003625C8">
        <w:rPr>
          <w:rFonts w:cs="Times New Roman"/>
        </w:rPr>
        <w:t>”</w:t>
      </w:r>
      <w:r w:rsidR="00403CE8" w:rsidRPr="005A6AC7">
        <w:rPr>
          <w:rFonts w:cs="Times New Roman"/>
        </w:rPr>
        <w:t xml:space="preserve"> than other violations.</w:t>
      </w:r>
    </w:p>
    <w:p w14:paraId="1568DADE" w14:textId="77777777" w:rsidR="00EE32A2" w:rsidRDefault="00386979" w:rsidP="007B0468">
      <w:pPr>
        <w:ind w:firstLine="720"/>
        <w:rPr>
          <w:rFonts w:cs="Times New Roman"/>
        </w:rPr>
      </w:pPr>
      <w:r>
        <w:rPr>
          <w:rFonts w:cs="Times New Roman"/>
        </w:rPr>
        <w:t xml:space="preserve">The Commission does not </w:t>
      </w:r>
      <w:r w:rsidR="00923EC7">
        <w:rPr>
          <w:rFonts w:cs="Times New Roman"/>
        </w:rPr>
        <w:t>grappl</w:t>
      </w:r>
      <w:r>
        <w:rPr>
          <w:rFonts w:cs="Times New Roman"/>
        </w:rPr>
        <w:t>e</w:t>
      </w:r>
      <w:r w:rsidR="00923EC7">
        <w:rPr>
          <w:rFonts w:cs="Times New Roman"/>
        </w:rPr>
        <w:t xml:space="preserve"> in any meaningful sense with the differences between the language contained in section</w:t>
      </w:r>
      <w:r w:rsidR="0022240B">
        <w:rPr>
          <w:rFonts w:cs="Times New Roman"/>
        </w:rPr>
        <w:t>s</w:t>
      </w:r>
      <w:r w:rsidR="00923EC7">
        <w:rPr>
          <w:rFonts w:cs="Times New Roman"/>
        </w:rPr>
        <w:t xml:space="preserve"> 227(b) and 227(c)</w:t>
      </w:r>
      <w:r>
        <w:rPr>
          <w:rFonts w:cs="Times New Roman"/>
        </w:rPr>
        <w:t>.  Instead, it</w:t>
      </w:r>
      <w:r w:rsidR="00923EC7">
        <w:rPr>
          <w:rFonts w:cs="Times New Roman"/>
        </w:rPr>
        <w:t xml:space="preserve"> relies on language contained in our </w:t>
      </w:r>
      <w:r>
        <w:rPr>
          <w:rFonts w:cs="Times New Roman"/>
        </w:rPr>
        <w:t xml:space="preserve">own </w:t>
      </w:r>
      <w:r w:rsidR="00923EC7">
        <w:rPr>
          <w:rFonts w:cs="Times New Roman"/>
        </w:rPr>
        <w:t xml:space="preserve">rules for its conclusion that the two statutory provisions should mean the same thing when it comes to third-party liability.  Specifically, </w:t>
      </w:r>
      <w:r w:rsidR="0022240B">
        <w:rPr>
          <w:rFonts w:cs="Times New Roman"/>
        </w:rPr>
        <w:t>the Commission</w:t>
      </w:r>
      <w:r w:rsidR="00923EC7">
        <w:rPr>
          <w:rFonts w:cs="Times New Roman"/>
        </w:rPr>
        <w:t xml:space="preserve"> states that:</w:t>
      </w:r>
    </w:p>
    <w:p w14:paraId="72FDBBF7" w14:textId="46557731" w:rsidR="00923EC7" w:rsidRDefault="0022240B" w:rsidP="00EE32A2">
      <w:pPr>
        <w:ind w:left="720" w:right="720"/>
        <w:rPr>
          <w:rFonts w:cs="Times New Roman"/>
        </w:rPr>
      </w:pPr>
      <w:r>
        <w:rPr>
          <w:rFonts w:cs="Times New Roman"/>
        </w:rPr>
        <w:t>[</w:t>
      </w:r>
      <w:r w:rsidR="00E8362A">
        <w:rPr>
          <w:rFonts w:cs="Times New Roman"/>
        </w:rPr>
        <w:t>E]</w:t>
      </w:r>
      <w:r w:rsidR="00923EC7">
        <w:rPr>
          <w:rFonts w:cs="Times New Roman"/>
        </w:rPr>
        <w:t>xisting TCPA regulations implementing both sections 227(b) and 227(c) use the same (‘on behalf of’) phrase.  Since we find below that vicarious liability for violations of section 227(b) is available</w:t>
      </w:r>
      <w:r w:rsidR="00CD0228">
        <w:rPr>
          <w:rFonts w:cs="Times New Roman"/>
        </w:rPr>
        <w:t xml:space="preserve"> only</w:t>
      </w:r>
      <w:r w:rsidR="00923EC7">
        <w:rPr>
          <w:rFonts w:cs="Times New Roman"/>
        </w:rPr>
        <w:t xml:space="preserve"> under federal common law agency principles, reading ‘on behalf of’ to provide for more extensive vicarious liability in the context of do-not-call violations under section 227(</w:t>
      </w:r>
      <w:r w:rsidR="00CD0228">
        <w:rPr>
          <w:rFonts w:cs="Times New Roman"/>
        </w:rPr>
        <w:t>c) would implausibly require that</w:t>
      </w:r>
      <w:r w:rsidR="00923EC7">
        <w:rPr>
          <w:rFonts w:cs="Times New Roman"/>
        </w:rPr>
        <w:t xml:space="preserve"> phrase to have different meaning under our rules, depending on the particular violations at issue, without any indication in past precedent that di</w:t>
      </w:r>
      <w:r w:rsidR="00E8362A">
        <w:rPr>
          <w:rFonts w:cs="Times New Roman"/>
        </w:rPr>
        <w:t>fferent meanings were intended.</w:t>
      </w:r>
      <w:r w:rsidR="00386979">
        <w:rPr>
          <w:rStyle w:val="FootnoteReference"/>
          <w:rFonts w:cs="Times New Roman"/>
        </w:rPr>
        <w:footnoteReference w:id="16"/>
      </w:r>
    </w:p>
    <w:p w14:paraId="0B20EEBE" w14:textId="3E7D073F" w:rsidR="00923EC7" w:rsidRDefault="00923EC7" w:rsidP="007B0468">
      <w:pPr>
        <w:ind w:firstLine="720"/>
        <w:rPr>
          <w:rFonts w:cs="Times New Roman"/>
        </w:rPr>
      </w:pPr>
      <w:r>
        <w:rPr>
          <w:rFonts w:cs="Times New Roman"/>
        </w:rPr>
        <w:t>This reasoning is curious</w:t>
      </w:r>
      <w:r w:rsidR="006A4763">
        <w:rPr>
          <w:rFonts w:cs="Times New Roman"/>
        </w:rPr>
        <w:t>,</w:t>
      </w:r>
      <w:r>
        <w:rPr>
          <w:rFonts w:cs="Times New Roman"/>
        </w:rPr>
        <w:t xml:space="preserve"> to say the least.  </w:t>
      </w:r>
      <w:r w:rsidR="00093E10">
        <w:rPr>
          <w:rFonts w:cs="Times New Roman"/>
        </w:rPr>
        <w:t>It is black-letter law that</w:t>
      </w:r>
      <w:r>
        <w:rPr>
          <w:rFonts w:cs="Times New Roman"/>
        </w:rPr>
        <w:t xml:space="preserve"> </w:t>
      </w:r>
      <w:r w:rsidR="00093E10">
        <w:rPr>
          <w:rFonts w:cs="Times New Roman"/>
        </w:rPr>
        <w:t xml:space="preserve">the terms of a statute trump the terms of a rule.  Therefore, </w:t>
      </w:r>
      <w:r w:rsidR="009A07A4">
        <w:rPr>
          <w:rFonts w:cs="Times New Roman"/>
        </w:rPr>
        <w:t xml:space="preserve">our rules should be interpreted (and promulgated) </w:t>
      </w:r>
      <w:r w:rsidR="00093E10">
        <w:rPr>
          <w:rFonts w:cs="Times New Roman"/>
        </w:rPr>
        <w:t>in a manner that is consistent with the terms of statutes</w:t>
      </w:r>
      <w:r w:rsidR="009A07A4">
        <w:rPr>
          <w:rFonts w:cs="Times New Roman"/>
        </w:rPr>
        <w:t xml:space="preserve"> they implement</w:t>
      </w:r>
      <w:r w:rsidR="00093E10">
        <w:rPr>
          <w:rFonts w:cs="Times New Roman"/>
        </w:rPr>
        <w:t xml:space="preserve">.  </w:t>
      </w:r>
      <w:r w:rsidR="009A07A4">
        <w:rPr>
          <w:rFonts w:cs="Times New Roman"/>
        </w:rPr>
        <w:t>Here</w:t>
      </w:r>
      <w:r w:rsidR="00093E10">
        <w:rPr>
          <w:rFonts w:cs="Times New Roman"/>
        </w:rPr>
        <w:t xml:space="preserve">, </w:t>
      </w:r>
      <w:r w:rsidR="009A07A4">
        <w:rPr>
          <w:rFonts w:cs="Times New Roman"/>
        </w:rPr>
        <w:t xml:space="preserve">that well-established approach is </w:t>
      </w:r>
      <w:r w:rsidR="00093E10">
        <w:rPr>
          <w:rFonts w:cs="Times New Roman"/>
        </w:rPr>
        <w:t>turn</w:t>
      </w:r>
      <w:r w:rsidR="009A07A4">
        <w:rPr>
          <w:rFonts w:cs="Times New Roman"/>
        </w:rPr>
        <w:t>ed</w:t>
      </w:r>
      <w:r w:rsidR="00093E10">
        <w:rPr>
          <w:rFonts w:cs="Times New Roman"/>
        </w:rPr>
        <w:t xml:space="preserve"> on its head</w:t>
      </w:r>
      <w:r w:rsidR="009A07A4">
        <w:rPr>
          <w:rFonts w:cs="Times New Roman"/>
        </w:rPr>
        <w:t xml:space="preserve">; </w:t>
      </w:r>
      <w:r w:rsidR="00093E10">
        <w:rPr>
          <w:rFonts w:cs="Times New Roman"/>
        </w:rPr>
        <w:t xml:space="preserve">our interpretation of a statute </w:t>
      </w:r>
      <w:r w:rsidR="009A07A4">
        <w:rPr>
          <w:rFonts w:cs="Times New Roman"/>
        </w:rPr>
        <w:t xml:space="preserve">is driven </w:t>
      </w:r>
      <w:r w:rsidR="00093E10">
        <w:rPr>
          <w:rFonts w:cs="Times New Roman"/>
        </w:rPr>
        <w:t xml:space="preserve">by what the Commission sees as the most plausible interpretation of our rules.  </w:t>
      </w:r>
      <w:r w:rsidR="006A4763">
        <w:rPr>
          <w:rFonts w:cs="Times New Roman"/>
        </w:rPr>
        <w:t xml:space="preserve">And </w:t>
      </w:r>
      <w:r w:rsidR="00D81BDB">
        <w:rPr>
          <w:rFonts w:cs="Times New Roman"/>
        </w:rPr>
        <w:t>so</w:t>
      </w:r>
      <w:r w:rsidR="006A4763">
        <w:rPr>
          <w:rFonts w:cs="Times New Roman"/>
        </w:rPr>
        <w:t xml:space="preserve"> the </w:t>
      </w:r>
      <w:r w:rsidR="00093E10">
        <w:rPr>
          <w:rFonts w:cs="Times New Roman"/>
        </w:rPr>
        <w:t>tail wag</w:t>
      </w:r>
      <w:r w:rsidR="006A4763">
        <w:rPr>
          <w:rFonts w:cs="Times New Roman"/>
        </w:rPr>
        <w:t>s</w:t>
      </w:r>
      <w:r w:rsidR="00093E10">
        <w:rPr>
          <w:rFonts w:cs="Times New Roman"/>
        </w:rPr>
        <w:t xml:space="preserve"> the dog.</w:t>
      </w:r>
    </w:p>
    <w:p w14:paraId="097393D1" w14:textId="49FECA27" w:rsidR="00A55591" w:rsidRDefault="00962F71" w:rsidP="007B0468">
      <w:pPr>
        <w:ind w:firstLine="720"/>
        <w:rPr>
          <w:rFonts w:cs="Times New Roman"/>
        </w:rPr>
      </w:pPr>
      <w:r>
        <w:rPr>
          <w:rFonts w:cs="Times New Roman"/>
        </w:rPr>
        <w:t xml:space="preserve">Even if we had the leeway to adopt this approach, it’s important to note that </w:t>
      </w:r>
      <w:r w:rsidR="00093E10">
        <w:rPr>
          <w:rFonts w:cs="Times New Roman"/>
        </w:rPr>
        <w:t>the Commission’s assessment of its regulations</w:t>
      </w:r>
      <w:r>
        <w:rPr>
          <w:rFonts w:cs="Times New Roman"/>
        </w:rPr>
        <w:t xml:space="preserve"> is in error</w:t>
      </w:r>
      <w:r w:rsidR="00093E10">
        <w:rPr>
          <w:rFonts w:cs="Times New Roman"/>
        </w:rPr>
        <w:t xml:space="preserve">.  The Commission’s regulations implementing section 227(b) </w:t>
      </w:r>
      <w:r w:rsidR="00642C21">
        <w:rPr>
          <w:rFonts w:cs="Times New Roman"/>
        </w:rPr>
        <w:t xml:space="preserve">simply </w:t>
      </w:r>
      <w:r w:rsidR="00093E10">
        <w:rPr>
          <w:rFonts w:cs="Times New Roman"/>
        </w:rPr>
        <w:t xml:space="preserve">do not use the phrase “on behalf of” </w:t>
      </w:r>
      <w:r w:rsidR="00A55591">
        <w:rPr>
          <w:rFonts w:cs="Times New Roman"/>
        </w:rPr>
        <w:t>to establish the scope of third-party liability.</w:t>
      </w:r>
      <w:r w:rsidR="00AB2974">
        <w:rPr>
          <w:rStyle w:val="FootnoteReference"/>
          <w:rFonts w:cs="Times New Roman"/>
        </w:rPr>
        <w:footnoteReference w:id="17"/>
      </w:r>
      <w:r w:rsidR="00A55591">
        <w:rPr>
          <w:rFonts w:cs="Times New Roman"/>
        </w:rPr>
        <w:t xml:space="preserve">  Rather, this phase is used </w:t>
      </w:r>
      <w:r w:rsidR="00642C21">
        <w:rPr>
          <w:rFonts w:cs="Times New Roman"/>
        </w:rPr>
        <w:t xml:space="preserve">throughout our TCPA regulations </w:t>
      </w:r>
      <w:r w:rsidR="00A55591">
        <w:rPr>
          <w:rFonts w:cs="Times New Roman"/>
        </w:rPr>
        <w:t xml:space="preserve">for other purposes.  </w:t>
      </w:r>
      <w:r w:rsidR="00A55591" w:rsidRPr="00A55591">
        <w:rPr>
          <w:rFonts w:cs="Times New Roman"/>
        </w:rPr>
        <w:t>Sometimes the rules use that phrase to exempt a category of calls from liability.  Other times the rules use that phrase to define a term.  Still other times those rules use that phrase to impose liability on sellers for violations of our do-not-call rules.</w:t>
      </w:r>
    </w:p>
    <w:p w14:paraId="31FA7385" w14:textId="76719509" w:rsidR="00FB3838" w:rsidRPr="005A6AC7" w:rsidRDefault="00A55591" w:rsidP="007B0468">
      <w:pPr>
        <w:ind w:firstLine="720"/>
        <w:rPr>
          <w:rFonts w:cs="Times New Roman"/>
        </w:rPr>
      </w:pPr>
      <w:r>
        <w:rPr>
          <w:rFonts w:cs="Times New Roman"/>
        </w:rPr>
        <w:t>Indeed, b</w:t>
      </w:r>
      <w:r w:rsidRPr="00A55591">
        <w:rPr>
          <w:rFonts w:cs="Times New Roman"/>
        </w:rPr>
        <w:t xml:space="preserve">y my count, our rules implementing the TCPA (contained in 47 C.F.R. § 64.1200) use the phrases “on behalf of” or “on whose behalf” twenty separate times.  </w:t>
      </w:r>
      <w:r>
        <w:rPr>
          <w:rFonts w:cs="Times New Roman"/>
        </w:rPr>
        <w:t xml:space="preserve">And a close examination of these regulations belies the idea that </w:t>
      </w:r>
      <w:r w:rsidR="00962FAF" w:rsidRPr="005A6AC7">
        <w:rPr>
          <w:rFonts w:cs="Times New Roman"/>
        </w:rPr>
        <w:t>“on behalf of” merely incorporates the federal common law of agency</w:t>
      </w:r>
      <w:r>
        <w:rPr>
          <w:rFonts w:cs="Times New Roman"/>
        </w:rPr>
        <w:t>.</w:t>
      </w:r>
    </w:p>
    <w:p w14:paraId="702E90CD" w14:textId="2302271E" w:rsidR="00133B12" w:rsidRPr="005A6AC7" w:rsidRDefault="00A55591" w:rsidP="007B0468">
      <w:pPr>
        <w:ind w:firstLine="720"/>
        <w:rPr>
          <w:rFonts w:cs="Times New Roman"/>
        </w:rPr>
      </w:pPr>
      <w:r w:rsidRPr="00CF7E16">
        <w:rPr>
          <w:rFonts w:cs="Times New Roman"/>
          <w:i/>
        </w:rPr>
        <w:t>First</w:t>
      </w:r>
      <w:r>
        <w:rPr>
          <w:rFonts w:cs="Times New Roman"/>
        </w:rPr>
        <w:t>, t</w:t>
      </w:r>
      <w:r w:rsidR="00AA4F48" w:rsidRPr="005A6AC7">
        <w:rPr>
          <w:rFonts w:cs="Times New Roman"/>
        </w:rPr>
        <w:t xml:space="preserve">he fact that our rules use the phrase “on behalf of” in some places but not others suggests that the Commission itself has thought the phrase goes beyond the common-law standard of agency, that </w:t>
      </w:r>
      <w:r w:rsidR="001D4498" w:rsidRPr="005A6AC7">
        <w:rPr>
          <w:rFonts w:cs="Times New Roman"/>
        </w:rPr>
        <w:t xml:space="preserve">“on behalf of” actually means </w:t>
      </w:r>
      <w:r w:rsidR="00006856">
        <w:rPr>
          <w:rFonts w:cs="Times New Roman"/>
        </w:rPr>
        <w:t>as much</w:t>
      </w:r>
      <w:r w:rsidR="00AA4F48" w:rsidRPr="005A6AC7">
        <w:rPr>
          <w:rFonts w:cs="Times New Roman"/>
        </w:rPr>
        <w:t xml:space="preserve">.  </w:t>
      </w:r>
      <w:r w:rsidR="008B65B7" w:rsidRPr="005A6AC7">
        <w:rPr>
          <w:rFonts w:cs="Times New Roman"/>
        </w:rPr>
        <w:t xml:space="preserve">But the declaratory ruling </w:t>
      </w:r>
      <w:r w:rsidR="00B958FB">
        <w:rPr>
          <w:rFonts w:cs="Times New Roman"/>
        </w:rPr>
        <w:t>effectively neglects the phrase</w:t>
      </w:r>
      <w:r w:rsidR="00071622">
        <w:rPr>
          <w:rFonts w:cs="Times New Roman"/>
        </w:rPr>
        <w:t xml:space="preserve">, or at best </w:t>
      </w:r>
      <w:r w:rsidR="001D4498" w:rsidRPr="005A6AC7">
        <w:rPr>
          <w:rFonts w:cs="Times New Roman"/>
        </w:rPr>
        <w:t>reinterprets</w:t>
      </w:r>
      <w:r w:rsidR="008B65B7" w:rsidRPr="005A6AC7">
        <w:rPr>
          <w:rFonts w:cs="Times New Roman"/>
        </w:rPr>
        <w:t xml:space="preserve"> </w:t>
      </w:r>
      <w:r w:rsidR="00B958FB">
        <w:rPr>
          <w:rFonts w:cs="Times New Roman"/>
        </w:rPr>
        <w:t>it</w:t>
      </w:r>
      <w:r w:rsidR="00E8362A">
        <w:rPr>
          <w:rFonts w:cs="Times New Roman"/>
        </w:rPr>
        <w:t>,</w:t>
      </w:r>
      <w:r w:rsidR="00B958FB">
        <w:rPr>
          <w:rFonts w:cs="Times New Roman"/>
        </w:rPr>
        <w:t xml:space="preserve"> </w:t>
      </w:r>
      <w:r w:rsidR="008B65B7" w:rsidRPr="005A6AC7">
        <w:rPr>
          <w:rFonts w:cs="Times New Roman"/>
        </w:rPr>
        <w:t xml:space="preserve">to have no </w:t>
      </w:r>
      <w:r w:rsidR="001D4498" w:rsidRPr="005A6AC7">
        <w:rPr>
          <w:rFonts w:cs="Times New Roman"/>
        </w:rPr>
        <w:t xml:space="preserve">independent </w:t>
      </w:r>
      <w:r w:rsidR="008B65B7" w:rsidRPr="005A6AC7">
        <w:rPr>
          <w:rFonts w:cs="Times New Roman"/>
        </w:rPr>
        <w:t xml:space="preserve">meaning in our rules; precisely the same third-party liability will apply, the declaratory ruling states, regardless of </w:t>
      </w:r>
      <w:r w:rsidR="00B958FB">
        <w:rPr>
          <w:rFonts w:cs="Times New Roman"/>
        </w:rPr>
        <w:t xml:space="preserve">its </w:t>
      </w:r>
      <w:r w:rsidR="008B65B7" w:rsidRPr="005A6AC7">
        <w:rPr>
          <w:rFonts w:cs="Times New Roman"/>
        </w:rPr>
        <w:t>presence or absence.  This cannot be.</w:t>
      </w:r>
    </w:p>
    <w:p w14:paraId="4576005C" w14:textId="55FFDE5C" w:rsidR="00FB3838" w:rsidRPr="005A6AC7" w:rsidRDefault="00A55591" w:rsidP="007B0468">
      <w:pPr>
        <w:ind w:firstLine="720"/>
        <w:rPr>
          <w:rFonts w:cs="Times New Roman"/>
        </w:rPr>
      </w:pPr>
      <w:r w:rsidRPr="00CF7E16">
        <w:rPr>
          <w:rFonts w:cs="Times New Roman"/>
          <w:i/>
        </w:rPr>
        <w:t>Second</w:t>
      </w:r>
      <w:r>
        <w:rPr>
          <w:rFonts w:cs="Times New Roman"/>
        </w:rPr>
        <w:t xml:space="preserve">, </w:t>
      </w:r>
      <w:r w:rsidR="004663FD" w:rsidRPr="005A6AC7">
        <w:rPr>
          <w:rFonts w:cs="Times New Roman"/>
        </w:rPr>
        <w:t>ta</w:t>
      </w:r>
      <w:r w:rsidR="000B6422">
        <w:rPr>
          <w:rFonts w:cs="Times New Roman"/>
        </w:rPr>
        <w:t>king</w:t>
      </w:r>
      <w:r w:rsidR="004663FD" w:rsidRPr="005A6AC7">
        <w:rPr>
          <w:rFonts w:cs="Times New Roman"/>
        </w:rPr>
        <w:t xml:space="preserve"> this interpretation of our rules seriously</w:t>
      </w:r>
      <w:r w:rsidR="000B6422">
        <w:rPr>
          <w:rFonts w:cs="Times New Roman"/>
        </w:rPr>
        <w:t xml:space="preserve"> could have pernicious</w:t>
      </w:r>
      <w:r w:rsidR="00006856">
        <w:rPr>
          <w:rFonts w:cs="Times New Roman"/>
        </w:rPr>
        <w:t xml:space="preserve"> and</w:t>
      </w:r>
      <w:r w:rsidR="000B6422">
        <w:rPr>
          <w:rFonts w:cs="Times New Roman"/>
        </w:rPr>
        <w:t xml:space="preserve"> unintended results</w:t>
      </w:r>
      <w:r w:rsidR="004663FD" w:rsidRPr="005A6AC7">
        <w:rPr>
          <w:rFonts w:cs="Times New Roman"/>
        </w:rPr>
        <w:t>.  The charitable exemptions, for example, extend to both charities and third parties calling on a charity’s behalf certain liability protecti</w:t>
      </w:r>
      <w:r w:rsidR="001F17F7" w:rsidRPr="005A6AC7">
        <w:rPr>
          <w:rFonts w:cs="Times New Roman"/>
        </w:rPr>
        <w:t>ons from</w:t>
      </w:r>
      <w:r w:rsidR="004663FD" w:rsidRPr="005A6AC7">
        <w:rPr>
          <w:rFonts w:cs="Times New Roman"/>
        </w:rPr>
        <w:t xml:space="preserve"> the prohibition on prerecorded calls to residences.</w:t>
      </w:r>
      <w:r w:rsidR="004663FD" w:rsidRPr="005A6AC7">
        <w:rPr>
          <w:rStyle w:val="FootnoteReference"/>
          <w:rFonts w:cs="Times New Roman"/>
        </w:rPr>
        <w:footnoteReference w:id="18"/>
      </w:r>
      <w:r w:rsidR="004663FD" w:rsidRPr="005A6AC7">
        <w:rPr>
          <w:rFonts w:cs="Times New Roman"/>
        </w:rPr>
        <w:t xml:space="preserve">  Now that “on behalf of” means “as the agent of,” charities and their third-party callers must reexamine their relationship to determine if the</w:t>
      </w:r>
      <w:r w:rsidR="001F17F7" w:rsidRPr="005A6AC7">
        <w:rPr>
          <w:rFonts w:cs="Times New Roman"/>
        </w:rPr>
        <w:t xml:space="preserve"> third parties</w:t>
      </w:r>
      <w:r w:rsidR="004663FD" w:rsidRPr="005A6AC7">
        <w:rPr>
          <w:rFonts w:cs="Times New Roman"/>
        </w:rPr>
        <w:t xml:space="preserve"> qualify as agents under the federal common law of agency</w:t>
      </w:r>
      <w:r w:rsidR="000B6422">
        <w:rPr>
          <w:rFonts w:cs="Times New Roman"/>
        </w:rPr>
        <w:t xml:space="preserve">. </w:t>
      </w:r>
      <w:r w:rsidR="001F17F7" w:rsidRPr="005A6AC7">
        <w:rPr>
          <w:rFonts w:cs="Times New Roman"/>
        </w:rPr>
        <w:t xml:space="preserve"> </w:t>
      </w:r>
      <w:r w:rsidR="000B6422">
        <w:rPr>
          <w:rFonts w:cs="Times New Roman"/>
        </w:rPr>
        <w:t>I</w:t>
      </w:r>
      <w:r w:rsidR="001F17F7" w:rsidRPr="005A6AC7">
        <w:rPr>
          <w:rFonts w:cs="Times New Roman"/>
        </w:rPr>
        <w:t>f they do not, then the third parties likely have been violating our prerecorded call rules for years</w:t>
      </w:r>
      <w:r w:rsidR="004663FD" w:rsidRPr="005A6AC7">
        <w:rPr>
          <w:rFonts w:cs="Times New Roman"/>
        </w:rPr>
        <w:t>.</w:t>
      </w:r>
      <w:r w:rsidR="00E564EC">
        <w:rPr>
          <w:rStyle w:val="FootnoteReference"/>
          <w:rFonts w:cs="Times New Roman"/>
        </w:rPr>
        <w:footnoteReference w:id="19"/>
      </w:r>
      <w:r w:rsidR="004663FD" w:rsidRPr="005A6AC7">
        <w:rPr>
          <w:rFonts w:cs="Times New Roman"/>
        </w:rPr>
        <w:t xml:space="preserve">  The same goes for any third party that distributes health care</w:t>
      </w:r>
      <w:r w:rsidR="00923EC7">
        <w:rPr>
          <w:rFonts w:cs="Times New Roman"/>
        </w:rPr>
        <w:t xml:space="preserve"> message</w:t>
      </w:r>
      <w:r w:rsidR="0009111C">
        <w:rPr>
          <w:rFonts w:cs="Times New Roman"/>
        </w:rPr>
        <w:t>s</w:t>
      </w:r>
      <w:r w:rsidR="004663FD" w:rsidRPr="005A6AC7">
        <w:rPr>
          <w:rFonts w:cs="Times New Roman"/>
        </w:rPr>
        <w:t xml:space="preserve"> in compliance with the Health Insurance Portability and Accountability Act.</w:t>
      </w:r>
      <w:r w:rsidR="004663FD" w:rsidRPr="005A6AC7">
        <w:rPr>
          <w:rStyle w:val="FootnoteReference"/>
          <w:rFonts w:cs="Times New Roman"/>
        </w:rPr>
        <w:footnoteReference w:id="20"/>
      </w:r>
    </w:p>
    <w:p w14:paraId="5AF894E0" w14:textId="0C2B1BDC" w:rsidR="001F17F7" w:rsidRPr="005A6AC7" w:rsidRDefault="00006856" w:rsidP="001F17F7">
      <w:pPr>
        <w:ind w:firstLine="720"/>
        <w:rPr>
          <w:rFonts w:cs="Times New Roman"/>
        </w:rPr>
      </w:pPr>
      <w:r w:rsidRPr="00090C42">
        <w:rPr>
          <w:rFonts w:cs="Times New Roman"/>
          <w:i/>
        </w:rPr>
        <w:t>Third</w:t>
      </w:r>
      <w:r>
        <w:rPr>
          <w:rFonts w:cs="Times New Roman"/>
        </w:rPr>
        <w:t xml:space="preserve">, this approach may generate some peculiar eddies.  Consider </w:t>
      </w:r>
      <w:r w:rsidR="00526B90" w:rsidRPr="005A6AC7">
        <w:rPr>
          <w:rFonts w:cs="Times New Roman"/>
        </w:rPr>
        <w:t xml:space="preserve">the </w:t>
      </w:r>
      <w:r>
        <w:rPr>
          <w:rFonts w:cs="Times New Roman"/>
        </w:rPr>
        <w:t xml:space="preserve">application of the </w:t>
      </w:r>
      <w:r w:rsidR="00526B90" w:rsidRPr="005A6AC7">
        <w:rPr>
          <w:rFonts w:cs="Times New Roman"/>
        </w:rPr>
        <w:t>common-law standard to our definition of “seller,” which is the person “on whose behalf” a telemarketing call is initiated.</w:t>
      </w:r>
      <w:r w:rsidR="00526B90" w:rsidRPr="005A6AC7">
        <w:rPr>
          <w:rStyle w:val="FootnoteReference"/>
          <w:rFonts w:cs="Times New Roman"/>
        </w:rPr>
        <w:footnoteReference w:id="21"/>
      </w:r>
      <w:r w:rsidR="00526B90" w:rsidRPr="005A6AC7">
        <w:rPr>
          <w:rFonts w:cs="Times New Roman"/>
        </w:rPr>
        <w:t xml:space="preserve">  If there is no agency relationship between the person that hires a telemarketer and the telemarketer, does that mean there is no “seller” for purposes of our rules?  What happens to the requirement that consumers who opt-out of future telemarketing be put on the “seller’s do-not-call list”?</w:t>
      </w:r>
      <w:r w:rsidR="00526B90" w:rsidRPr="005A6AC7">
        <w:rPr>
          <w:rStyle w:val="FootnoteReference"/>
          <w:rFonts w:cs="Times New Roman"/>
        </w:rPr>
        <w:footnoteReference w:id="22"/>
      </w:r>
      <w:r w:rsidR="00526B90" w:rsidRPr="005A6AC7">
        <w:rPr>
          <w:rFonts w:cs="Times New Roman"/>
        </w:rPr>
        <w:t xml:space="preserve">  What about other </w:t>
      </w:r>
      <w:r w:rsidR="001D4498" w:rsidRPr="005A6AC7">
        <w:rPr>
          <w:rFonts w:cs="Times New Roman"/>
        </w:rPr>
        <w:t>rules</w:t>
      </w:r>
      <w:r w:rsidR="00526B90" w:rsidRPr="005A6AC7">
        <w:rPr>
          <w:rFonts w:cs="Times New Roman"/>
        </w:rPr>
        <w:t xml:space="preserve"> that </w:t>
      </w:r>
      <w:r w:rsidR="001D4498" w:rsidRPr="005A6AC7">
        <w:rPr>
          <w:rFonts w:cs="Times New Roman"/>
        </w:rPr>
        <w:t>assume a</w:t>
      </w:r>
      <w:r w:rsidR="00526B90" w:rsidRPr="005A6AC7">
        <w:rPr>
          <w:rFonts w:cs="Times New Roman"/>
        </w:rPr>
        <w:t xml:space="preserve"> “seller”</w:t>
      </w:r>
      <w:r w:rsidR="001D4498" w:rsidRPr="005A6AC7">
        <w:rPr>
          <w:rFonts w:cs="Times New Roman"/>
        </w:rPr>
        <w:t xml:space="preserve"> always exists</w:t>
      </w:r>
      <w:r w:rsidR="00526B90" w:rsidRPr="005A6AC7">
        <w:rPr>
          <w:rFonts w:cs="Times New Roman"/>
        </w:rPr>
        <w:t>?</w:t>
      </w:r>
      <w:r w:rsidR="00526B90" w:rsidRPr="005A6AC7">
        <w:rPr>
          <w:rStyle w:val="FootnoteReference"/>
          <w:rFonts w:cs="Times New Roman"/>
        </w:rPr>
        <w:footnoteReference w:id="23"/>
      </w:r>
    </w:p>
    <w:p w14:paraId="0D742BD8" w14:textId="407C2C56" w:rsidR="001F17F7" w:rsidRPr="005A6AC7" w:rsidRDefault="00006856" w:rsidP="001F17F7">
      <w:pPr>
        <w:ind w:firstLine="720"/>
        <w:rPr>
          <w:rFonts w:cs="Times New Roman"/>
        </w:rPr>
      </w:pPr>
      <w:r>
        <w:rPr>
          <w:rFonts w:cs="Times New Roman"/>
        </w:rPr>
        <w:t xml:space="preserve">We could avoid each </w:t>
      </w:r>
      <w:r w:rsidR="001F17F7" w:rsidRPr="005A6AC7">
        <w:rPr>
          <w:rFonts w:cs="Times New Roman"/>
        </w:rPr>
        <w:t xml:space="preserve">of these </w:t>
      </w:r>
      <w:r>
        <w:rPr>
          <w:rFonts w:cs="Times New Roman"/>
        </w:rPr>
        <w:t>problems</w:t>
      </w:r>
      <w:r w:rsidRPr="005A6AC7">
        <w:rPr>
          <w:rFonts w:cs="Times New Roman"/>
        </w:rPr>
        <w:t xml:space="preserve"> </w:t>
      </w:r>
      <w:r>
        <w:rPr>
          <w:rFonts w:cs="Times New Roman"/>
        </w:rPr>
        <w:t xml:space="preserve">simply by adhering to </w:t>
      </w:r>
      <w:r w:rsidR="001F17F7" w:rsidRPr="005A6AC7">
        <w:rPr>
          <w:rFonts w:cs="Times New Roman"/>
        </w:rPr>
        <w:t xml:space="preserve">the bright-line language that Congress chose to put in section 227(c)(5) and that the Commission </w:t>
      </w:r>
      <w:r>
        <w:rPr>
          <w:rFonts w:cs="Times New Roman"/>
        </w:rPr>
        <w:t xml:space="preserve">built </w:t>
      </w:r>
      <w:r w:rsidR="001F17F7" w:rsidRPr="005A6AC7">
        <w:rPr>
          <w:rFonts w:cs="Times New Roman"/>
        </w:rPr>
        <w:t>into its rules:</w:t>
      </w:r>
      <w:r w:rsidR="00BB6407">
        <w:rPr>
          <w:rFonts w:cs="Times New Roman"/>
        </w:rPr>
        <w:t xml:space="preserve"> </w:t>
      </w:r>
      <w:r w:rsidR="001F17F7" w:rsidRPr="005A6AC7">
        <w:rPr>
          <w:rFonts w:cs="Times New Roman"/>
        </w:rPr>
        <w:t xml:space="preserve"> “On behalf of” means </w:t>
      </w:r>
      <w:r w:rsidR="00090C42">
        <w:rPr>
          <w:rFonts w:cs="Times New Roman"/>
        </w:rPr>
        <w:t>“</w:t>
      </w:r>
      <w:r w:rsidR="001F17F7" w:rsidRPr="005A6AC7">
        <w:rPr>
          <w:rFonts w:cs="Times New Roman"/>
        </w:rPr>
        <w:t>on</w:t>
      </w:r>
      <w:r w:rsidR="00090C42">
        <w:rPr>
          <w:rFonts w:cs="Times New Roman"/>
        </w:rPr>
        <w:t xml:space="preserve"> </w:t>
      </w:r>
      <w:r w:rsidR="001F17F7" w:rsidRPr="005A6AC7">
        <w:rPr>
          <w:rFonts w:cs="Times New Roman"/>
        </w:rPr>
        <w:t>behalf</w:t>
      </w:r>
      <w:r w:rsidR="00090C42">
        <w:rPr>
          <w:rFonts w:cs="Times New Roman"/>
        </w:rPr>
        <w:t xml:space="preserve"> </w:t>
      </w:r>
      <w:r w:rsidR="001F17F7" w:rsidRPr="005A6AC7">
        <w:rPr>
          <w:rFonts w:cs="Times New Roman"/>
        </w:rPr>
        <w:t>of</w:t>
      </w:r>
      <w:r w:rsidR="00090C42">
        <w:rPr>
          <w:rFonts w:cs="Times New Roman"/>
        </w:rPr>
        <w:t>”</w:t>
      </w:r>
      <w:r w:rsidR="001F17F7" w:rsidRPr="005A6AC7">
        <w:rPr>
          <w:rFonts w:cs="Times New Roman"/>
        </w:rPr>
        <w:t xml:space="preserve"> liability.  It should be as easy as that.</w:t>
      </w:r>
      <w:r w:rsidR="00090C42">
        <w:rPr>
          <w:rStyle w:val="FootnoteReference"/>
          <w:rFonts w:cs="Times New Roman"/>
        </w:rPr>
        <w:footnoteReference w:id="24"/>
      </w:r>
    </w:p>
    <w:p w14:paraId="17919CFB" w14:textId="77777777" w:rsidR="007B0468" w:rsidRPr="005A6AC7" w:rsidRDefault="00875DE2" w:rsidP="001F17F7">
      <w:pPr>
        <w:keepNext/>
        <w:jc w:val="center"/>
        <w:rPr>
          <w:rFonts w:cs="Times New Roman"/>
        </w:rPr>
      </w:pPr>
      <w:r w:rsidRPr="005A6AC7">
        <w:rPr>
          <w:rFonts w:cs="Times New Roman"/>
        </w:rPr>
        <w:t>II.</w:t>
      </w:r>
    </w:p>
    <w:p w14:paraId="4840068D" w14:textId="53DB0F26" w:rsidR="001F17F7" w:rsidRPr="005A6AC7" w:rsidRDefault="001F17F7" w:rsidP="00875DE2">
      <w:pPr>
        <w:ind w:firstLine="720"/>
        <w:rPr>
          <w:rFonts w:cs="Times New Roman"/>
        </w:rPr>
      </w:pPr>
      <w:r w:rsidRPr="005A6AC7">
        <w:rPr>
          <w:rFonts w:cs="Times New Roman"/>
        </w:rPr>
        <w:t xml:space="preserve">The second problem with the declaratory ruling is its interpretation of the federal common law of agency.  Perhaps as an attempt to cure the problems caused by its interpretation of the phrase “on behalf of,” the declaratory ruling </w:t>
      </w:r>
      <w:r w:rsidR="001916DC">
        <w:rPr>
          <w:rFonts w:cs="Times New Roman"/>
        </w:rPr>
        <w:t xml:space="preserve">attempts to </w:t>
      </w:r>
      <w:r w:rsidRPr="005A6AC7">
        <w:rPr>
          <w:rFonts w:cs="Times New Roman"/>
        </w:rPr>
        <w:t xml:space="preserve">equate the federal common law of agency with a strict liability standard.  </w:t>
      </w:r>
      <w:r w:rsidR="00524F82">
        <w:rPr>
          <w:rFonts w:cs="Times New Roman"/>
        </w:rPr>
        <w:t>I</w:t>
      </w:r>
      <w:r w:rsidR="001916DC">
        <w:rPr>
          <w:rFonts w:cs="Times New Roman"/>
        </w:rPr>
        <w:t xml:space="preserve">t asserts </w:t>
      </w:r>
      <w:r w:rsidR="00830EC9">
        <w:rPr>
          <w:rFonts w:cs="Times New Roman"/>
        </w:rPr>
        <w:t>that the federal common law of agency goes beyond classical agency to include the doctrines of apparent authority and ratification</w:t>
      </w:r>
      <w:r w:rsidR="00A2407D">
        <w:rPr>
          <w:rFonts w:cs="Times New Roman"/>
        </w:rPr>
        <w:t>.</w:t>
      </w:r>
      <w:r w:rsidR="00830EC9">
        <w:rPr>
          <w:rStyle w:val="FootnoteReference"/>
          <w:rFonts w:cs="Times New Roman"/>
        </w:rPr>
        <w:footnoteReference w:id="25"/>
      </w:r>
      <w:r w:rsidR="00830EC9">
        <w:rPr>
          <w:rFonts w:cs="Times New Roman"/>
        </w:rPr>
        <w:t xml:space="preserve"> </w:t>
      </w:r>
      <w:r w:rsidR="00A2407D">
        <w:rPr>
          <w:rFonts w:cs="Times New Roman"/>
        </w:rPr>
        <w:t xml:space="preserve"> It </w:t>
      </w:r>
      <w:r w:rsidR="00366930">
        <w:rPr>
          <w:rFonts w:cs="Times New Roman"/>
        </w:rPr>
        <w:t>claims that contractual terms forbidding a third-party “</w:t>
      </w:r>
      <w:r w:rsidR="00366930" w:rsidRPr="00366930">
        <w:rPr>
          <w:rFonts w:cs="Times New Roman"/>
        </w:rPr>
        <w:t>from engaging in unlawful telemarketing activities</w:t>
      </w:r>
      <w:r w:rsidR="00366930">
        <w:rPr>
          <w:rFonts w:cs="Times New Roman"/>
        </w:rPr>
        <w:t xml:space="preserve"> would not, by themselves, absolve the seller” of third-party liability</w:t>
      </w:r>
      <w:r w:rsidR="0067744B">
        <w:rPr>
          <w:rFonts w:cs="Times New Roman"/>
        </w:rPr>
        <w:t>.</w:t>
      </w:r>
      <w:r w:rsidR="00366930">
        <w:rPr>
          <w:rStyle w:val="FootnoteReference"/>
          <w:rFonts w:cs="Times New Roman"/>
        </w:rPr>
        <w:footnoteReference w:id="26"/>
      </w:r>
      <w:r w:rsidR="00366930">
        <w:rPr>
          <w:rFonts w:cs="Times New Roman"/>
        </w:rPr>
        <w:t xml:space="preserve"> </w:t>
      </w:r>
      <w:r w:rsidR="0067744B">
        <w:rPr>
          <w:rFonts w:cs="Times New Roman"/>
        </w:rPr>
        <w:t xml:space="preserve"> It </w:t>
      </w:r>
      <w:r w:rsidR="00366930">
        <w:rPr>
          <w:rFonts w:cs="Times New Roman"/>
        </w:rPr>
        <w:t>provides a laundry list of potential evidence “</w:t>
      </w:r>
      <w:r w:rsidR="00366930">
        <w:t>that may demonstrate that the telemarketer is the seller’s authorized representative with apparent authority</w:t>
      </w:r>
      <w:r w:rsidR="0067744B">
        <w:t>.</w:t>
      </w:r>
      <w:r w:rsidR="00366930">
        <w:t>”</w:t>
      </w:r>
      <w:r w:rsidR="00366930">
        <w:rPr>
          <w:rStyle w:val="FootnoteReference"/>
        </w:rPr>
        <w:footnoteReference w:id="27"/>
      </w:r>
      <w:r w:rsidR="00366930">
        <w:t xml:space="preserve"> </w:t>
      </w:r>
      <w:r w:rsidR="0067744B">
        <w:t xml:space="preserve"> It </w:t>
      </w:r>
      <w:r w:rsidR="00366930">
        <w:t>attempts to shift the burden of proof for lack of agency onto the seller</w:t>
      </w:r>
      <w:r w:rsidR="0067744B">
        <w:t>.</w:t>
      </w:r>
      <w:r w:rsidR="00366930">
        <w:rPr>
          <w:rStyle w:val="FootnoteReference"/>
        </w:rPr>
        <w:footnoteReference w:id="28"/>
      </w:r>
      <w:r w:rsidR="00366930">
        <w:t xml:space="preserve"> </w:t>
      </w:r>
      <w:r w:rsidR="0067744B">
        <w:t xml:space="preserve"> A</w:t>
      </w:r>
      <w:r w:rsidR="00366930">
        <w:t xml:space="preserve">nd </w:t>
      </w:r>
      <w:r w:rsidR="0067744B">
        <w:t xml:space="preserve">it concludes </w:t>
      </w:r>
      <w:r w:rsidR="00366930">
        <w:t>by saying that “we see no reason that a seller should not be liable under those provisions for calls made by a third-party telemarketer when it has authorized that telemarketer to market its goods or services.”</w:t>
      </w:r>
      <w:r w:rsidR="00366930">
        <w:rPr>
          <w:rStyle w:val="FootnoteReference"/>
        </w:rPr>
        <w:footnoteReference w:id="29"/>
      </w:r>
    </w:p>
    <w:p w14:paraId="5B481FFE" w14:textId="14468413" w:rsidR="00BC0192" w:rsidRDefault="00BC0192" w:rsidP="00BC0192">
      <w:pPr>
        <w:ind w:firstLine="720"/>
        <w:rPr>
          <w:rFonts w:cs="Times New Roman"/>
        </w:rPr>
      </w:pPr>
      <w:r>
        <w:rPr>
          <w:rFonts w:cs="Times New Roman"/>
        </w:rPr>
        <w:t xml:space="preserve">I am skeptical of these claims (more on that later), </w:t>
      </w:r>
      <w:r w:rsidR="00524F82">
        <w:rPr>
          <w:rFonts w:cs="Times New Roman"/>
        </w:rPr>
        <w:t xml:space="preserve">but </w:t>
      </w:r>
      <w:r>
        <w:rPr>
          <w:rFonts w:cs="Times New Roman"/>
        </w:rPr>
        <w:t xml:space="preserve">there is a </w:t>
      </w:r>
      <w:r w:rsidR="0022240B">
        <w:rPr>
          <w:rFonts w:cs="Times New Roman"/>
        </w:rPr>
        <w:t xml:space="preserve">far more fundamental </w:t>
      </w:r>
      <w:r>
        <w:rPr>
          <w:rFonts w:cs="Times New Roman"/>
        </w:rPr>
        <w:t>problem with this “guidance</w:t>
      </w:r>
      <w:r w:rsidR="00524F82">
        <w:rPr>
          <w:rFonts w:cs="Times New Roman"/>
        </w:rPr>
        <w:t>.</w:t>
      </w:r>
      <w:r>
        <w:rPr>
          <w:rFonts w:cs="Times New Roman"/>
        </w:rPr>
        <w:t xml:space="preserve">”  </w:t>
      </w:r>
      <w:r w:rsidR="00CF7E16">
        <w:rPr>
          <w:rFonts w:cs="Times New Roman"/>
        </w:rPr>
        <w:t>I</w:t>
      </w:r>
      <w:r>
        <w:rPr>
          <w:rFonts w:cs="Times New Roman"/>
        </w:rPr>
        <w:t xml:space="preserve">t is not the Commission’s place to opine on the proper contours of the federal common law of agency.  </w:t>
      </w:r>
      <w:r w:rsidRPr="00BC0192">
        <w:rPr>
          <w:rFonts w:cs="Times New Roman"/>
        </w:rPr>
        <w:t xml:space="preserve">We must of course fill in the gap in the TCPA regarding the </w:t>
      </w:r>
      <w:r w:rsidR="003E1A63">
        <w:rPr>
          <w:rFonts w:cs="Times New Roman"/>
        </w:rPr>
        <w:t xml:space="preserve">source of </w:t>
      </w:r>
      <w:r w:rsidRPr="00BC0192">
        <w:rPr>
          <w:rFonts w:cs="Times New Roman"/>
        </w:rPr>
        <w:t xml:space="preserve">agency principles </w:t>
      </w:r>
      <w:r w:rsidR="00945670">
        <w:rPr>
          <w:rFonts w:cs="Times New Roman"/>
        </w:rPr>
        <w:t xml:space="preserve">that </w:t>
      </w:r>
      <w:r w:rsidRPr="00BC0192">
        <w:rPr>
          <w:rFonts w:cs="Times New Roman"/>
        </w:rPr>
        <w:t xml:space="preserve">apply to section 227(b)(3).  But once we have determined the applicable body of law and </w:t>
      </w:r>
      <w:r w:rsidR="007F4C3E">
        <w:rPr>
          <w:rFonts w:cs="Times New Roman"/>
        </w:rPr>
        <w:t xml:space="preserve">it is evident that </w:t>
      </w:r>
      <w:r w:rsidRPr="00BC0192">
        <w:rPr>
          <w:rFonts w:cs="Times New Roman"/>
        </w:rPr>
        <w:t xml:space="preserve">we have </w:t>
      </w:r>
      <w:r w:rsidR="007F4C3E">
        <w:rPr>
          <w:rFonts w:cs="Times New Roman"/>
        </w:rPr>
        <w:t xml:space="preserve">not </w:t>
      </w:r>
      <w:r w:rsidRPr="00BC0192">
        <w:rPr>
          <w:rFonts w:cs="Times New Roman"/>
        </w:rPr>
        <w:t xml:space="preserve">been entrusted to administer </w:t>
      </w:r>
      <w:r w:rsidR="007F4C3E">
        <w:rPr>
          <w:rFonts w:cs="Times New Roman"/>
        </w:rPr>
        <w:t xml:space="preserve">it </w:t>
      </w:r>
      <w:r w:rsidRPr="00BC0192">
        <w:rPr>
          <w:rFonts w:cs="Times New Roman"/>
        </w:rPr>
        <w:t>(</w:t>
      </w:r>
      <w:r w:rsidR="007F4C3E" w:rsidRPr="00094148">
        <w:rPr>
          <w:rFonts w:cs="Times New Roman"/>
          <w:i/>
        </w:rPr>
        <w:t xml:space="preserve">contra </w:t>
      </w:r>
      <w:r w:rsidRPr="00BC0192">
        <w:rPr>
          <w:rFonts w:cs="Times New Roman"/>
        </w:rPr>
        <w:t>the TCPA or the Communications Act), our duty and our expertise come to an end.  If we had determined, for example, that state agency law governs, there would be no question that we should not endeavor to cons</w:t>
      </w:r>
      <w:r>
        <w:rPr>
          <w:rFonts w:cs="Times New Roman"/>
        </w:rPr>
        <w:t xml:space="preserve">true each state’s agency laws.  </w:t>
      </w:r>
      <w:r w:rsidR="00094148">
        <w:rPr>
          <w:rFonts w:cs="Times New Roman"/>
        </w:rPr>
        <w:t xml:space="preserve">If we had determined that some general federal statute like the Federal Tort Claims Act governed, we would not claim expertise </w:t>
      </w:r>
      <w:r w:rsidR="00A24148">
        <w:rPr>
          <w:rFonts w:cs="Times New Roman"/>
        </w:rPr>
        <w:t>in</w:t>
      </w:r>
      <w:r w:rsidR="00094148">
        <w:rPr>
          <w:rFonts w:cs="Times New Roman"/>
        </w:rPr>
        <w:t xml:space="preserve"> its interpretation.  </w:t>
      </w:r>
      <w:r w:rsidRPr="00BC0192">
        <w:rPr>
          <w:rFonts w:cs="Times New Roman"/>
        </w:rPr>
        <w:t>So too here.  The federal common law of agency is a general body of law that covers numerous agencies</w:t>
      </w:r>
      <w:r w:rsidR="00CA5F65">
        <w:rPr>
          <w:rFonts w:cs="Times New Roman"/>
        </w:rPr>
        <w:t xml:space="preserve">.  Its ambit extends to </w:t>
      </w:r>
      <w:r w:rsidRPr="00BC0192">
        <w:rPr>
          <w:rFonts w:cs="Times New Roman"/>
        </w:rPr>
        <w:t xml:space="preserve">labor relations, patents, environmental regulation, telecommunications, and much more.  </w:t>
      </w:r>
      <w:r w:rsidR="00CA5F65">
        <w:rPr>
          <w:rFonts w:cs="Times New Roman"/>
        </w:rPr>
        <w:t>We cannot opine—at least not with the authority afforded judicial deference</w:t>
      </w:r>
      <w:r w:rsidR="007B61BB">
        <w:rPr>
          <w:rStyle w:val="FootnoteReference"/>
          <w:rFonts w:cs="Times New Roman"/>
        </w:rPr>
        <w:footnoteReference w:id="30"/>
      </w:r>
      <w:r w:rsidR="00CA5F65">
        <w:rPr>
          <w:rFonts w:cs="Times New Roman"/>
        </w:rPr>
        <w:t xml:space="preserve">—on its scope and meaning, particularly as </w:t>
      </w:r>
      <w:r w:rsidRPr="00BC0192">
        <w:rPr>
          <w:rFonts w:cs="Times New Roman"/>
        </w:rPr>
        <w:t xml:space="preserve">we </w:t>
      </w:r>
      <w:r w:rsidR="00E70E29">
        <w:rPr>
          <w:rFonts w:cs="Times New Roman"/>
        </w:rPr>
        <w:t>are announcing</w:t>
      </w:r>
      <w:r w:rsidR="00CA5F65">
        <w:rPr>
          <w:rFonts w:cs="Times New Roman"/>
        </w:rPr>
        <w:t xml:space="preserve"> its </w:t>
      </w:r>
      <w:r w:rsidR="007B61BB">
        <w:rPr>
          <w:rFonts w:cs="Times New Roman"/>
        </w:rPr>
        <w:t xml:space="preserve">incipient application </w:t>
      </w:r>
      <w:r w:rsidRPr="00BC0192">
        <w:rPr>
          <w:rFonts w:cs="Times New Roman"/>
        </w:rPr>
        <w:t xml:space="preserve">to TCPA violations </w:t>
      </w:r>
      <w:r w:rsidR="00E70E29">
        <w:rPr>
          <w:rFonts w:cs="Times New Roman"/>
        </w:rPr>
        <w:t xml:space="preserve">only </w:t>
      </w:r>
      <w:r w:rsidRPr="00BC0192">
        <w:rPr>
          <w:rFonts w:cs="Times New Roman"/>
        </w:rPr>
        <w:t>today</w:t>
      </w:r>
      <w:r w:rsidR="00094148">
        <w:rPr>
          <w:rFonts w:cs="Times New Roman"/>
        </w:rPr>
        <w:t>.</w:t>
      </w:r>
    </w:p>
    <w:p w14:paraId="79004C21" w14:textId="473D4F48" w:rsidR="005A6AC7" w:rsidRDefault="00BC0192" w:rsidP="00875DE2">
      <w:pPr>
        <w:ind w:firstLine="720"/>
        <w:rPr>
          <w:rFonts w:cs="Times New Roman"/>
        </w:rPr>
      </w:pPr>
      <w:r>
        <w:rPr>
          <w:rFonts w:cs="Times New Roman"/>
        </w:rPr>
        <w:t xml:space="preserve">Turning to the merits of the “guidance” provided by the Commission, </w:t>
      </w:r>
      <w:r w:rsidR="00B66264">
        <w:rPr>
          <w:rFonts w:cs="Times New Roman"/>
        </w:rPr>
        <w:t xml:space="preserve">the federal common law of agency </w:t>
      </w:r>
      <w:r w:rsidR="00D11A24">
        <w:rPr>
          <w:rFonts w:cs="Times New Roman"/>
        </w:rPr>
        <w:t xml:space="preserve">simply </w:t>
      </w:r>
      <w:r w:rsidR="00B66264">
        <w:rPr>
          <w:rFonts w:cs="Times New Roman"/>
        </w:rPr>
        <w:t>does not impose strict liability on sellers for the actions of their telemarketers.</w:t>
      </w:r>
      <w:r w:rsidR="00D35611">
        <w:rPr>
          <w:rFonts w:cs="Times New Roman"/>
        </w:rPr>
        <w:t xml:space="preserve">  </w:t>
      </w:r>
      <w:r w:rsidR="002D7835">
        <w:rPr>
          <w:rFonts w:cs="Times New Roman"/>
        </w:rPr>
        <w:t>And e</w:t>
      </w:r>
      <w:r w:rsidR="00D35611">
        <w:rPr>
          <w:rFonts w:cs="Times New Roman"/>
        </w:rPr>
        <w:t>ven if we were to assume that the Restatement (Third) of Agency w</w:t>
      </w:r>
      <w:r w:rsidR="002D7835">
        <w:rPr>
          <w:rFonts w:cs="Times New Roman"/>
        </w:rPr>
        <w:t>ere</w:t>
      </w:r>
      <w:r w:rsidR="00D35611">
        <w:rPr>
          <w:rFonts w:cs="Times New Roman"/>
        </w:rPr>
        <w:t xml:space="preserve"> the law of the land, its application to the relationship between a seller and its telemarketers is </w:t>
      </w:r>
      <w:r w:rsidR="00D11A24">
        <w:rPr>
          <w:rFonts w:cs="Times New Roman"/>
        </w:rPr>
        <w:t xml:space="preserve">generally </w:t>
      </w:r>
      <w:r w:rsidR="00D35611">
        <w:rPr>
          <w:rFonts w:cs="Times New Roman"/>
        </w:rPr>
        <w:t>unclear and may require fact-specific inquiries beyond the scope of the present record.</w:t>
      </w:r>
    </w:p>
    <w:p w14:paraId="1B758DAB" w14:textId="7862AAB0" w:rsidR="00EE22D6" w:rsidRDefault="00D35611" w:rsidP="00EE22D6">
      <w:pPr>
        <w:ind w:firstLine="720"/>
        <w:rPr>
          <w:rFonts w:cs="Times New Roman"/>
        </w:rPr>
      </w:pPr>
      <w:r>
        <w:rPr>
          <w:rFonts w:cs="Times New Roman"/>
        </w:rPr>
        <w:t xml:space="preserve">For example, </w:t>
      </w:r>
      <w:r w:rsidR="00AA0F8A">
        <w:rPr>
          <w:rFonts w:cs="Times New Roman"/>
        </w:rPr>
        <w:t>the black-letter law of apparent authority is that third-party liability accrues when a person “</w:t>
      </w:r>
      <w:r w:rsidR="00AA0F8A" w:rsidRPr="00AA0F8A">
        <w:rPr>
          <w:rFonts w:cs="Times New Roman"/>
        </w:rPr>
        <w:t>reasonably believes the actor has authority to act on behalf of the principal and that belief is traceable to the</w:t>
      </w:r>
      <w:r w:rsidR="00AA0F8A">
        <w:rPr>
          <w:rFonts w:cs="Times New Roman"/>
        </w:rPr>
        <w:t xml:space="preserve"> principal’</w:t>
      </w:r>
      <w:r w:rsidR="00AA0F8A" w:rsidRPr="00AA0F8A">
        <w:rPr>
          <w:rFonts w:cs="Times New Roman"/>
        </w:rPr>
        <w:t>s manifestations</w:t>
      </w:r>
      <w:r w:rsidR="000A2286">
        <w:rPr>
          <w:rFonts w:cs="Times New Roman"/>
        </w:rPr>
        <w:t>.</w:t>
      </w:r>
      <w:r w:rsidR="00AA0F8A">
        <w:rPr>
          <w:rFonts w:cs="Times New Roman"/>
        </w:rPr>
        <w:t>”</w:t>
      </w:r>
      <w:r w:rsidR="00AA0F8A">
        <w:rPr>
          <w:rStyle w:val="FootnoteReference"/>
          <w:rFonts w:cs="Times New Roman"/>
        </w:rPr>
        <w:footnoteReference w:id="31"/>
      </w:r>
      <w:r w:rsidR="00AA0F8A">
        <w:rPr>
          <w:rFonts w:cs="Times New Roman"/>
        </w:rPr>
        <w:t xml:space="preserve"> </w:t>
      </w:r>
      <w:r w:rsidR="000A2286">
        <w:rPr>
          <w:rFonts w:cs="Times New Roman"/>
        </w:rPr>
        <w:t xml:space="preserve"> T</w:t>
      </w:r>
      <w:r w:rsidR="00AA0F8A">
        <w:rPr>
          <w:rFonts w:cs="Times New Roman"/>
        </w:rPr>
        <w:t>he principal may manifest assent or intent “through written or spoken words or other conduct.”</w:t>
      </w:r>
      <w:r w:rsidR="00AA0F8A">
        <w:rPr>
          <w:rStyle w:val="FootnoteReference"/>
          <w:rFonts w:cs="Times New Roman"/>
        </w:rPr>
        <w:footnoteReference w:id="32"/>
      </w:r>
      <w:r w:rsidR="002D7835">
        <w:rPr>
          <w:rFonts w:cs="Times New Roman"/>
        </w:rPr>
        <w:t xml:space="preserve">  The key problem with this theory for victims of TCPA violations is that they interact only with the telemarketer, not the seller, and thus there are no </w:t>
      </w:r>
      <w:r w:rsidR="00DC2714">
        <w:rPr>
          <w:rFonts w:cs="Times New Roman"/>
        </w:rPr>
        <w:t xml:space="preserve">(apparent) </w:t>
      </w:r>
      <w:r w:rsidR="002D7835">
        <w:rPr>
          <w:rFonts w:cs="Times New Roman"/>
        </w:rPr>
        <w:t xml:space="preserve">manifestations </w:t>
      </w:r>
      <w:r w:rsidR="002D7835">
        <w:rPr>
          <w:rFonts w:cs="Times New Roman"/>
          <w:i/>
        </w:rPr>
        <w:t>by the seller</w:t>
      </w:r>
      <w:r w:rsidR="002D7835">
        <w:rPr>
          <w:rFonts w:cs="Times New Roman"/>
        </w:rPr>
        <w:t xml:space="preserve"> on which to hang the </w:t>
      </w:r>
      <w:r w:rsidR="000A2286">
        <w:rPr>
          <w:rFonts w:cs="Times New Roman"/>
        </w:rPr>
        <w:t xml:space="preserve">hat of </w:t>
      </w:r>
      <w:r w:rsidR="002D7835">
        <w:rPr>
          <w:rFonts w:cs="Times New Roman"/>
        </w:rPr>
        <w:t>apparent</w:t>
      </w:r>
      <w:r w:rsidR="000A2286">
        <w:rPr>
          <w:rFonts w:cs="Times New Roman"/>
        </w:rPr>
        <w:t xml:space="preserve"> </w:t>
      </w:r>
      <w:r w:rsidR="002D7835">
        <w:rPr>
          <w:rFonts w:cs="Times New Roman"/>
        </w:rPr>
        <w:t>authority.</w:t>
      </w:r>
      <w:r w:rsidR="002D7835">
        <w:rPr>
          <w:rStyle w:val="FootnoteReference"/>
          <w:rFonts w:cs="Times New Roman"/>
        </w:rPr>
        <w:footnoteReference w:id="33"/>
      </w:r>
    </w:p>
    <w:p w14:paraId="07C8A062" w14:textId="704590DC" w:rsidR="00EE22D6" w:rsidRDefault="00EE22D6" w:rsidP="00EE22D6">
      <w:pPr>
        <w:ind w:firstLine="720"/>
      </w:pPr>
      <w:r>
        <w:rPr>
          <w:rFonts w:cs="Times New Roman"/>
        </w:rPr>
        <w:t>Similarly problematic are some of the items on the laundry list</w:t>
      </w:r>
      <w:r w:rsidR="00BC0192">
        <w:rPr>
          <w:rFonts w:cs="Times New Roman"/>
        </w:rPr>
        <w:t xml:space="preserve"> set forth by the Commission</w:t>
      </w:r>
      <w:r>
        <w:rPr>
          <w:rFonts w:cs="Times New Roman"/>
        </w:rPr>
        <w:t>.  For example, the declaratory ruling claims that “</w:t>
      </w:r>
      <w:r>
        <w:t>apparent authority may be supported by evidence that the seller allows the outside sales entity access to information and systems that normally would be within the seller’s exclusive control, including: access to detailed information regarding the nature and pricing of the seller’s products and services.”</w:t>
      </w:r>
      <w:r>
        <w:rPr>
          <w:rStyle w:val="FootnoteReference"/>
        </w:rPr>
        <w:footnoteReference w:id="34"/>
      </w:r>
      <w:r>
        <w:t xml:space="preserve">  </w:t>
      </w:r>
      <w:r w:rsidR="00F46673">
        <w:t>But</w:t>
      </w:r>
      <w:r>
        <w:t xml:space="preserve"> the whole foundation of apparent authority is the reasonable beliefs of consumers, and few if any consumers will know whether or not a seller allows such access to a telemarketer at the time of the call.  And </w:t>
      </w:r>
      <w:r w:rsidR="00720DF3">
        <w:t xml:space="preserve">in any case, </w:t>
      </w:r>
      <w:r>
        <w:t>how does giving a telemarketer access to the detailed information that’s available on almost every company’s website imply agency?</w:t>
      </w:r>
      <w:r w:rsidR="00A13C79">
        <w:t xml:space="preserve">  Rather than clarifying the common law of agency, these dicta only muddy it, to the detriment of both consumers and businesses that want to </w:t>
      </w:r>
      <w:r w:rsidR="00720DF3">
        <w:t xml:space="preserve">leave or avoid the </w:t>
      </w:r>
      <w:r w:rsidR="00A13C79">
        <w:t>courtroom.</w:t>
      </w:r>
      <w:r w:rsidR="00211866">
        <w:rPr>
          <w:rStyle w:val="FootnoteReference"/>
        </w:rPr>
        <w:footnoteReference w:id="35"/>
      </w:r>
    </w:p>
    <w:p w14:paraId="1DDC1924" w14:textId="77777777" w:rsidR="00A13C79" w:rsidRDefault="00A13C79" w:rsidP="00C870C5">
      <w:pPr>
        <w:keepNext/>
        <w:jc w:val="center"/>
        <w:rPr>
          <w:rFonts w:cs="Times New Roman"/>
        </w:rPr>
      </w:pPr>
      <w:r>
        <w:rPr>
          <w:rFonts w:cs="Times New Roman"/>
        </w:rPr>
        <w:t>III.</w:t>
      </w:r>
    </w:p>
    <w:p w14:paraId="391EC006" w14:textId="4671943C" w:rsidR="00A13C79" w:rsidRPr="006B03A9" w:rsidRDefault="006B03A9" w:rsidP="00561300">
      <w:pPr>
        <w:ind w:firstLine="720"/>
        <w:rPr>
          <w:rFonts w:cs="Times New Roman"/>
        </w:rPr>
      </w:pPr>
      <w:r>
        <w:rPr>
          <w:rFonts w:cs="Times New Roman"/>
        </w:rPr>
        <w:t xml:space="preserve">Given </w:t>
      </w:r>
      <w:r w:rsidR="003E1A63">
        <w:rPr>
          <w:rFonts w:cs="Times New Roman"/>
        </w:rPr>
        <w:t xml:space="preserve">Congress’ inclusion </w:t>
      </w:r>
      <w:r>
        <w:rPr>
          <w:rFonts w:cs="Times New Roman"/>
        </w:rPr>
        <w:t>of “on behalf of” in the do-not-call provisions of the TCPA</w:t>
      </w:r>
      <w:r w:rsidR="002D776B">
        <w:rPr>
          <w:rFonts w:cs="Times New Roman"/>
        </w:rPr>
        <w:t xml:space="preserve">, </w:t>
      </w:r>
      <w:r w:rsidR="00561300">
        <w:rPr>
          <w:rFonts w:cs="Times New Roman"/>
        </w:rPr>
        <w:t xml:space="preserve">I would adopt an interpretation consistent with </w:t>
      </w:r>
      <w:r w:rsidR="00FC58B3">
        <w:rPr>
          <w:rFonts w:cs="Times New Roman"/>
        </w:rPr>
        <w:t xml:space="preserve">the terms of those provisions </w:t>
      </w:r>
      <w:r w:rsidR="00561300">
        <w:rPr>
          <w:rFonts w:cs="Times New Roman"/>
        </w:rPr>
        <w:t xml:space="preserve">and our </w:t>
      </w:r>
      <w:r w:rsidR="000424DF">
        <w:rPr>
          <w:rFonts w:cs="Times New Roman"/>
        </w:rPr>
        <w:t xml:space="preserve">corresponding </w:t>
      </w:r>
      <w:r w:rsidR="00561300">
        <w:rPr>
          <w:rFonts w:cs="Times New Roman"/>
        </w:rPr>
        <w:t xml:space="preserve">rules.  </w:t>
      </w:r>
      <w:r w:rsidR="003E1A63">
        <w:rPr>
          <w:rFonts w:cs="Times New Roman"/>
        </w:rPr>
        <w:t xml:space="preserve">And given our limited authority over and expertise in federal agency law principles, I would abstain from opining on their application here.  </w:t>
      </w:r>
      <w:r w:rsidR="003550A2">
        <w:rPr>
          <w:rFonts w:cs="Times New Roman"/>
        </w:rPr>
        <w:t xml:space="preserve">I respectfully dissent in part from the </w:t>
      </w:r>
      <w:r w:rsidR="000424DF">
        <w:rPr>
          <w:rFonts w:cs="Times New Roman"/>
        </w:rPr>
        <w:t xml:space="preserve">Commission’s </w:t>
      </w:r>
      <w:r w:rsidR="004106F5">
        <w:rPr>
          <w:rFonts w:cs="Times New Roman"/>
        </w:rPr>
        <w:t>contrary approach</w:t>
      </w:r>
      <w:r w:rsidR="00DE7205">
        <w:rPr>
          <w:rFonts w:cs="Times New Roman"/>
        </w:rPr>
        <w:t>.</w:t>
      </w:r>
      <w:r w:rsidR="00561300">
        <w:rPr>
          <w:rFonts w:cs="Times New Roman"/>
        </w:rPr>
        <w:t xml:space="preserve"> </w:t>
      </w:r>
      <w:r w:rsidR="000A4A7B">
        <w:rPr>
          <w:rFonts w:cs="Times New Roman"/>
        </w:rPr>
        <w:t xml:space="preserve"> </w:t>
      </w:r>
      <w:r w:rsidR="004106F5">
        <w:rPr>
          <w:rFonts w:cs="Times New Roman"/>
        </w:rPr>
        <w:t>This is a somewh</w:t>
      </w:r>
      <w:r w:rsidR="00F7440F">
        <w:rPr>
          <w:rFonts w:cs="Times New Roman"/>
        </w:rPr>
        <w:t>at unusual situation</w:t>
      </w:r>
      <w:r w:rsidR="000B2E2A">
        <w:rPr>
          <w:rFonts w:cs="Times New Roman"/>
        </w:rPr>
        <w:t xml:space="preserve"> in that</w:t>
      </w:r>
      <w:r w:rsidR="00F7440F">
        <w:rPr>
          <w:rFonts w:cs="Times New Roman"/>
        </w:rPr>
        <w:t xml:space="preserve"> </w:t>
      </w:r>
      <w:r w:rsidR="000B2E2A">
        <w:rPr>
          <w:rFonts w:cs="Times New Roman"/>
        </w:rPr>
        <w:t xml:space="preserve">the declaratory ruling </w:t>
      </w:r>
      <w:r w:rsidR="004106F5">
        <w:rPr>
          <w:rFonts w:cs="Times New Roman"/>
        </w:rPr>
        <w:t>is occasioned by judicial requests for assistance</w:t>
      </w:r>
      <w:r w:rsidR="000B2E2A">
        <w:rPr>
          <w:rFonts w:cs="Times New Roman"/>
        </w:rPr>
        <w:t>;</w:t>
      </w:r>
      <w:r w:rsidR="004106F5">
        <w:rPr>
          <w:rStyle w:val="FootnoteReference"/>
          <w:rFonts w:cs="Times New Roman"/>
        </w:rPr>
        <w:footnoteReference w:id="36"/>
      </w:r>
      <w:r w:rsidR="004106F5">
        <w:rPr>
          <w:rFonts w:cs="Times New Roman"/>
        </w:rPr>
        <w:t xml:space="preserve"> </w:t>
      </w:r>
      <w:r w:rsidR="00275404">
        <w:rPr>
          <w:rFonts w:cs="Times New Roman"/>
        </w:rPr>
        <w:t xml:space="preserve">thus, </w:t>
      </w:r>
      <w:r w:rsidR="004106F5">
        <w:rPr>
          <w:rFonts w:cs="Times New Roman"/>
        </w:rPr>
        <w:t xml:space="preserve">the cases that prompted our decision will return to the courts for review. </w:t>
      </w:r>
      <w:r w:rsidR="004106F5">
        <w:t xml:space="preserve"> </w:t>
      </w:r>
      <w:r w:rsidR="003E1A63">
        <w:t>Hopefully</w:t>
      </w:r>
      <w:r w:rsidR="000B2E2A">
        <w:t xml:space="preserve">, they will supply a legally sound </w:t>
      </w:r>
      <w:r w:rsidR="000B2E2A">
        <w:rPr>
          <w:rFonts w:cs="Times New Roman"/>
        </w:rPr>
        <w:t xml:space="preserve">result that </w:t>
      </w:r>
      <w:r w:rsidR="000A4A7B">
        <w:rPr>
          <w:rFonts w:cs="Times New Roman"/>
        </w:rPr>
        <w:t>will als</w:t>
      </w:r>
      <w:r w:rsidR="00797F7C">
        <w:rPr>
          <w:rFonts w:cs="Times New Roman"/>
        </w:rPr>
        <w:t xml:space="preserve">o better serve the interests of </w:t>
      </w:r>
      <w:r w:rsidR="000A4A7B">
        <w:rPr>
          <w:rFonts w:cs="Times New Roman"/>
        </w:rPr>
        <w:t xml:space="preserve">American consumers victimized by violations of </w:t>
      </w:r>
      <w:r w:rsidR="00797F7C">
        <w:rPr>
          <w:rFonts w:cs="Times New Roman"/>
        </w:rPr>
        <w:t xml:space="preserve">the </w:t>
      </w:r>
      <w:r w:rsidR="0022240B">
        <w:rPr>
          <w:rFonts w:cs="Times New Roman"/>
        </w:rPr>
        <w:t>TCPA</w:t>
      </w:r>
      <w:r w:rsidR="00797F7C">
        <w:rPr>
          <w:rFonts w:cs="Times New Roman"/>
        </w:rPr>
        <w:t xml:space="preserve"> and American businesses subject to it</w:t>
      </w:r>
      <w:r w:rsidR="0022240B">
        <w:rPr>
          <w:rFonts w:cs="Times New Roman"/>
        </w:rPr>
        <w:t>.</w:t>
      </w:r>
    </w:p>
    <w:sectPr w:rsidR="00A13C79" w:rsidRPr="006B03A9" w:rsidSect="002D78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0FF1" w14:textId="77777777" w:rsidR="000E57CE" w:rsidRDefault="000E57CE" w:rsidP="00493042">
      <w:pPr>
        <w:spacing w:after="0"/>
      </w:pPr>
      <w:r>
        <w:separator/>
      </w:r>
    </w:p>
  </w:endnote>
  <w:endnote w:type="continuationSeparator" w:id="0">
    <w:p w14:paraId="23230A92" w14:textId="77777777" w:rsidR="000E57CE" w:rsidRDefault="000E57CE" w:rsidP="00493042">
      <w:pPr>
        <w:spacing w:after="0"/>
      </w:pPr>
      <w:r>
        <w:continuationSeparator/>
      </w:r>
    </w:p>
  </w:endnote>
  <w:endnote w:type="continuationNotice" w:id="1">
    <w:p w14:paraId="064A9813" w14:textId="77777777" w:rsidR="000E57CE" w:rsidRDefault="000E57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3BD2" w14:textId="77777777" w:rsidR="004E0B29" w:rsidRDefault="004E0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56858"/>
      <w:docPartObj>
        <w:docPartGallery w:val="Page Numbers (Bottom of Page)"/>
        <w:docPartUnique/>
      </w:docPartObj>
    </w:sdtPr>
    <w:sdtEndPr>
      <w:rPr>
        <w:noProof/>
      </w:rPr>
    </w:sdtEndPr>
    <w:sdtContent>
      <w:p w14:paraId="14258A1A" w14:textId="77777777" w:rsidR="00275404" w:rsidRPr="00493042" w:rsidRDefault="00275404">
        <w:pPr>
          <w:pStyle w:val="Footer"/>
          <w:jc w:val="center"/>
        </w:pPr>
        <w:r w:rsidRPr="00493042">
          <w:fldChar w:fldCharType="begin"/>
        </w:r>
        <w:r w:rsidRPr="00493042">
          <w:instrText xml:space="preserve"> PAGE   \* MERGEFORMAT </w:instrText>
        </w:r>
        <w:r w:rsidRPr="00493042">
          <w:fldChar w:fldCharType="separate"/>
        </w:r>
        <w:r w:rsidR="003B1327">
          <w:rPr>
            <w:noProof/>
          </w:rPr>
          <w:t>1</w:t>
        </w:r>
        <w:r w:rsidRPr="00493042">
          <w:rPr>
            <w:noProof/>
          </w:rPr>
          <w:fldChar w:fldCharType="end"/>
        </w:r>
      </w:p>
    </w:sdtContent>
  </w:sdt>
  <w:p w14:paraId="7F2FC987" w14:textId="77777777" w:rsidR="00275404" w:rsidRPr="00493042" w:rsidRDefault="0027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07A4" w14:textId="77777777" w:rsidR="004E0B29" w:rsidRDefault="004E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D4471" w14:textId="77777777" w:rsidR="000E57CE" w:rsidRDefault="000E57CE" w:rsidP="00493042">
      <w:pPr>
        <w:spacing w:after="0"/>
      </w:pPr>
      <w:r>
        <w:separator/>
      </w:r>
    </w:p>
  </w:footnote>
  <w:footnote w:type="continuationSeparator" w:id="0">
    <w:p w14:paraId="450D935D" w14:textId="77777777" w:rsidR="000E57CE" w:rsidRDefault="000E57CE" w:rsidP="00493042">
      <w:pPr>
        <w:spacing w:after="0"/>
      </w:pPr>
      <w:r>
        <w:continuationSeparator/>
      </w:r>
    </w:p>
  </w:footnote>
  <w:footnote w:type="continuationNotice" w:id="1">
    <w:p w14:paraId="57F67B05" w14:textId="77777777" w:rsidR="000E57CE" w:rsidRDefault="000E57CE">
      <w:pPr>
        <w:spacing w:after="0"/>
      </w:pPr>
    </w:p>
  </w:footnote>
  <w:footnote w:id="2">
    <w:p w14:paraId="3FCC399F" w14:textId="77777777" w:rsidR="00275404" w:rsidRDefault="00275404" w:rsidP="002D776B">
      <w:pPr>
        <w:pStyle w:val="FootnoteText"/>
        <w:spacing w:after="120"/>
      </w:pPr>
      <w:r>
        <w:rPr>
          <w:rStyle w:val="FootnoteReference"/>
        </w:rPr>
        <w:footnoteRef/>
      </w:r>
      <w:r>
        <w:t xml:space="preserve"> Report of the Energy and Commerce Committee of the U.S. House of Representatives, </w:t>
      </w:r>
      <w:r w:rsidRPr="00732083">
        <w:t>H.R. Rep. 102-317</w:t>
      </w:r>
      <w:r>
        <w:t>,</w:t>
      </w:r>
      <w:r w:rsidRPr="00732083">
        <w:t xml:space="preserve"> at 10</w:t>
      </w:r>
      <w:r>
        <w:t xml:space="preserve"> </w:t>
      </w:r>
      <w:r w:rsidRPr="00732083">
        <w:t>(1991)</w:t>
      </w:r>
      <w:r>
        <w:t xml:space="preserve"> (TCPA House Report).</w:t>
      </w:r>
    </w:p>
  </w:footnote>
  <w:footnote w:id="3">
    <w:p w14:paraId="18CB5438" w14:textId="77777777" w:rsidR="00275404" w:rsidRPr="00E56EB5" w:rsidRDefault="00275404" w:rsidP="002D776B">
      <w:pPr>
        <w:pStyle w:val="FootnoteText"/>
        <w:spacing w:after="120"/>
      </w:pPr>
      <w:r>
        <w:rPr>
          <w:rStyle w:val="FootnoteReference"/>
        </w:rPr>
        <w:footnoteRef/>
      </w:r>
      <w:r>
        <w:t xml:space="preserve"> </w:t>
      </w:r>
      <w:r>
        <w:rPr>
          <w:i/>
        </w:rPr>
        <w:t>See</w:t>
      </w:r>
      <w:r>
        <w:t xml:space="preserve"> </w:t>
      </w:r>
      <w:r w:rsidRPr="00E56EB5">
        <w:rPr>
          <w:i/>
        </w:rPr>
        <w:t>Ragsdale v. Wolverine World Wide, Inc.</w:t>
      </w:r>
      <w:r w:rsidRPr="00E56EB5">
        <w:t>, 535 U.S. 81, 93</w:t>
      </w:r>
      <w:r>
        <w:t>–</w:t>
      </w:r>
      <w:r w:rsidRPr="00E56EB5">
        <w:t>94 (2002)</w:t>
      </w:r>
      <w:r>
        <w:t xml:space="preserve"> (explaining that “like </w:t>
      </w:r>
      <w:r w:rsidRPr="00E56EB5">
        <w:t xml:space="preserve">any key term in an important piece of legislation, the </w:t>
      </w:r>
      <w:r>
        <w:t>[statutory provision in question]</w:t>
      </w:r>
      <w:r w:rsidRPr="00E56EB5">
        <w:t xml:space="preserve"> was the result of compromise between groups with marked but divergent interests</w:t>
      </w:r>
      <w:r>
        <w:t xml:space="preserve"> in the contested provision” and that “[c]</w:t>
      </w:r>
      <w:r w:rsidRPr="00E56EB5">
        <w:t>ourts and agencies must respect and give effect to these sorts of compromises</w:t>
      </w:r>
      <w:r>
        <w:t xml:space="preserve">”); </w:t>
      </w:r>
      <w:r>
        <w:rPr>
          <w:i/>
        </w:rPr>
        <w:t>see also</w:t>
      </w:r>
      <w:r>
        <w:t xml:space="preserve"> John F. Manning, </w:t>
      </w:r>
      <w:r w:rsidRPr="006A1191">
        <w:rPr>
          <w:i/>
        </w:rPr>
        <w:t>Second-Generation Textualism</w:t>
      </w:r>
      <w:r>
        <w:t>, 98 Cal. L. Rev. 1287, 1309–17 (2010) (arguing that respecting legislative compromise means that courts “must respect the level of generality at which the legislature expresses its policies”).</w:t>
      </w:r>
    </w:p>
  </w:footnote>
  <w:footnote w:id="4">
    <w:p w14:paraId="4B6AA3E9" w14:textId="77777777" w:rsidR="00275404" w:rsidRPr="00FC7734"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t>, para. 26.</w:t>
      </w:r>
    </w:p>
  </w:footnote>
  <w:footnote w:id="5">
    <w:p w14:paraId="551F0AFE" w14:textId="77777777" w:rsidR="00275404" w:rsidRDefault="00275404" w:rsidP="002D776B">
      <w:pPr>
        <w:pStyle w:val="FootnoteText"/>
        <w:spacing w:after="120"/>
      </w:pPr>
      <w:r>
        <w:rPr>
          <w:rStyle w:val="FootnoteReference"/>
        </w:rPr>
        <w:footnoteRef/>
      </w:r>
      <w:r>
        <w:t xml:space="preserve"> 47 U.S.C. </w:t>
      </w:r>
      <w:r>
        <w:rPr>
          <w:rFonts w:cs="Times New Roman"/>
        </w:rPr>
        <w:t>§</w:t>
      </w:r>
      <w:r>
        <w:t> 227(b)(3).</w:t>
      </w:r>
    </w:p>
  </w:footnote>
  <w:footnote w:id="6">
    <w:p w14:paraId="22F59AF3" w14:textId="77777777" w:rsidR="00275404" w:rsidRDefault="00275404" w:rsidP="002D776B">
      <w:pPr>
        <w:pStyle w:val="FootnoteText"/>
        <w:spacing w:after="120"/>
      </w:pPr>
      <w:r>
        <w:rPr>
          <w:rStyle w:val="FootnoteReference"/>
        </w:rPr>
        <w:footnoteRef/>
      </w:r>
      <w:r>
        <w:t xml:space="preserve"> 47 U.S.C. </w:t>
      </w:r>
      <w:r>
        <w:rPr>
          <w:rFonts w:cs="Times New Roman"/>
        </w:rPr>
        <w:t>§</w:t>
      </w:r>
      <w:r>
        <w:t> 227(c)(5) (emphasis added).</w:t>
      </w:r>
    </w:p>
  </w:footnote>
  <w:footnote w:id="7">
    <w:p w14:paraId="43462C9A" w14:textId="5F1D9006" w:rsidR="00275404" w:rsidRPr="009A03DB" w:rsidRDefault="00275404" w:rsidP="002D776B">
      <w:pPr>
        <w:pStyle w:val="FootnoteText"/>
        <w:spacing w:after="120"/>
      </w:pPr>
      <w:r>
        <w:rPr>
          <w:rStyle w:val="FootnoteReference"/>
        </w:rPr>
        <w:footnoteRef/>
      </w:r>
      <w:r>
        <w:t xml:space="preserve"> </w:t>
      </w:r>
      <w:r>
        <w:rPr>
          <w:i/>
        </w:rPr>
        <w:t>Marbury v. Madison</w:t>
      </w:r>
      <w:r>
        <w:t>, 1 Cranch 137, 174 (1803)</w:t>
      </w:r>
      <w:r w:rsidR="00346227">
        <w:t xml:space="preserve">; </w:t>
      </w:r>
      <w:r w:rsidR="00346227">
        <w:rPr>
          <w:i/>
        </w:rPr>
        <w:t>id</w:t>
      </w:r>
      <w:r w:rsidR="003E1A63">
        <w:t>.</w:t>
      </w:r>
      <w:r w:rsidR="00346227">
        <w:t xml:space="preserve"> (“</w:t>
      </w:r>
      <w:r w:rsidR="00346227" w:rsidRPr="00346227">
        <w:t>Affirmative words are often, in their operation, negative of other objects than those affirmed; and in this case, a negative or exclusive sense must be given to them or they have no operation at all.</w:t>
      </w:r>
      <w:r w:rsidR="00346227">
        <w:t>”)</w:t>
      </w:r>
      <w:r>
        <w:t>.</w:t>
      </w:r>
    </w:p>
  </w:footnote>
  <w:footnote w:id="8">
    <w:p w14:paraId="7629DEFE" w14:textId="77777777" w:rsidR="00275404" w:rsidRDefault="00275404" w:rsidP="002D776B">
      <w:pPr>
        <w:pStyle w:val="FootnoteText"/>
        <w:spacing w:after="120"/>
      </w:pPr>
      <w:r>
        <w:rPr>
          <w:rStyle w:val="FootnoteReference"/>
        </w:rPr>
        <w:footnoteRef/>
      </w:r>
      <w:r>
        <w:t xml:space="preserve"> </w:t>
      </w:r>
      <w:r w:rsidRPr="009A03DB">
        <w:rPr>
          <w:i/>
        </w:rPr>
        <w:t>Potter v. United States</w:t>
      </w:r>
      <w:r w:rsidRPr="009A03DB">
        <w:t>, 155 U.S. 438, 446 (1894)</w:t>
      </w:r>
      <w:r>
        <w:t>.</w:t>
      </w:r>
    </w:p>
  </w:footnote>
  <w:footnote w:id="9">
    <w:p w14:paraId="3F5CA851" w14:textId="4EDD17D5" w:rsidR="00275404" w:rsidRPr="00C94F6B"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t xml:space="preserve">, paras. 29, </w:t>
      </w:r>
      <w:r w:rsidR="00BA05EC">
        <w:t>31–32, 40</w:t>
      </w:r>
      <w:r>
        <w:t>.</w:t>
      </w:r>
    </w:p>
  </w:footnote>
  <w:footnote w:id="10">
    <w:p w14:paraId="60B1F095" w14:textId="56ADCCA1" w:rsidR="00275404" w:rsidRPr="002C6FC9" w:rsidRDefault="00275404" w:rsidP="002D776B">
      <w:pPr>
        <w:pStyle w:val="FootnoteText"/>
        <w:spacing w:after="120"/>
      </w:pPr>
      <w:r>
        <w:rPr>
          <w:rStyle w:val="FootnoteReference"/>
        </w:rPr>
        <w:footnoteRef/>
      </w:r>
      <w:r>
        <w:t xml:space="preserve"> </w:t>
      </w:r>
      <w:r>
        <w:rPr>
          <w:i/>
        </w:rPr>
        <w:t>Compare with</w:t>
      </w:r>
      <w:r>
        <w:t xml:space="preserve"> Restatement (Third) of Agency § 1.01 (defining “agency” as “the fiduciary relationship that arises when one person (a ‘principal’) manifests assent to another person (an ‘agent’) that the agent shall act on the principal’s behalf </w:t>
      </w:r>
      <w:r w:rsidRPr="003E328D">
        <w:rPr>
          <w:i/>
        </w:rPr>
        <w:t>and subject to the principal’s control</w:t>
      </w:r>
      <w:r>
        <w:t>” (emphasis added)).  To be clear, I do not view “on behalf of” liability as entirely divorced from classical agency principles (and thus I agree with the declaratory ruling that “on behalf of” liability should not extend to resellers such as big-box retailers who are not part of an authorized chain of telemarketers), but I cannot believe Congress intended to simply incorporate agency principles either.</w:t>
      </w:r>
    </w:p>
  </w:footnote>
  <w:footnote w:id="11">
    <w:p w14:paraId="25677712" w14:textId="77777777" w:rsidR="00275404" w:rsidRPr="005A6AC7" w:rsidRDefault="00275404" w:rsidP="002D776B">
      <w:pPr>
        <w:pStyle w:val="FootnoteText"/>
        <w:spacing w:after="120"/>
      </w:pPr>
      <w:r>
        <w:rPr>
          <w:rStyle w:val="FootnoteReference"/>
        </w:rPr>
        <w:footnoteRef/>
      </w:r>
      <w:r>
        <w:t xml:space="preserve"> Curiously, the declaratory ruling appears to recognize that the phrase “on behalf of” is often used to mean something more ephemeral than a formal agency relationship—that it can mean simply “in the interest of” or “for the benefit of.”  </w:t>
      </w:r>
      <w:r>
        <w:rPr>
          <w:i/>
        </w:rPr>
        <w:t>See</w:t>
      </w:r>
      <w:r>
        <w:t xml:space="preserve"> </w:t>
      </w:r>
      <w:r>
        <w:rPr>
          <w:i/>
        </w:rPr>
        <w:t>Declaratory Ruling</w:t>
      </w:r>
      <w:r>
        <w:t xml:space="preserve">, para. 30 (citing </w:t>
      </w:r>
      <w:r>
        <w:rPr>
          <w:i/>
        </w:rPr>
        <w:t>Webster’s Third New International Dictionary</w:t>
      </w:r>
      <w:r>
        <w:t>).</w:t>
      </w:r>
    </w:p>
  </w:footnote>
  <w:footnote w:id="12">
    <w:p w14:paraId="0D4FB972" w14:textId="77777777" w:rsidR="00275404" w:rsidRDefault="00275404" w:rsidP="002D776B">
      <w:pPr>
        <w:pStyle w:val="FootnoteText"/>
        <w:spacing w:after="120"/>
      </w:pPr>
      <w:r>
        <w:rPr>
          <w:rStyle w:val="FootnoteReference"/>
        </w:rPr>
        <w:footnoteRef/>
      </w:r>
      <w:r>
        <w:t xml:space="preserve"> 47 U.S.C. </w:t>
      </w:r>
      <w:r>
        <w:rPr>
          <w:rFonts w:cs="Times New Roman"/>
        </w:rPr>
        <w:t>§</w:t>
      </w:r>
      <w:r>
        <w:t> 227(c)(5).</w:t>
      </w:r>
    </w:p>
  </w:footnote>
  <w:footnote w:id="13">
    <w:p w14:paraId="4689FDF7" w14:textId="00317A33" w:rsidR="00275404" w:rsidRDefault="00275404" w:rsidP="002D776B">
      <w:pPr>
        <w:pStyle w:val="FootnoteText"/>
        <w:spacing w:after="120"/>
      </w:pPr>
      <w:r>
        <w:rPr>
          <w:rStyle w:val="FootnoteReference"/>
        </w:rPr>
        <w:footnoteRef/>
      </w:r>
      <w:r>
        <w:t xml:space="preserve"> </w:t>
      </w:r>
      <w:r w:rsidRPr="005A6AC7">
        <w:t>It is perhaps for this reason that the U.S. Department of Justice</w:t>
      </w:r>
      <w:r>
        <w:t xml:space="preserve"> (DOJ)</w:t>
      </w:r>
      <w:r w:rsidRPr="005A6AC7">
        <w:t xml:space="preserve"> repeatedly and vehemently argues that the Commission should not confine its interpretation of section 227(c)(5) to incorporating only principles of agency law.  </w:t>
      </w:r>
      <w:r w:rsidRPr="005A6AC7">
        <w:rPr>
          <w:i/>
        </w:rPr>
        <w:t>See, e.g.</w:t>
      </w:r>
      <w:r w:rsidRPr="005A6AC7">
        <w:t xml:space="preserve">, Letter from Lisa K. Hsiao, U.S. Dep’t of Justice, to Marlene H. Dortch, Secretary, FCC, CG Docket No. 11-50, at 3 (filed Oct. 26, 2011) (Dep’t of Justice Oct. 26, 2011 </w:t>
      </w:r>
      <w:r w:rsidRPr="005A6AC7">
        <w:rPr>
          <w:i/>
        </w:rPr>
        <w:t>Ex Parte</w:t>
      </w:r>
      <w:r w:rsidRPr="005A6AC7">
        <w:t>) (“Agency Law Has No Place in the TCPA”); Letter from Patrick Runkle, Trial Attorney, U.S. Dep’t of Justice, to Marlene H. Dortch, Secretary, FCC, CG Docket No. 11-50, at 2 (filed Apr</w:t>
      </w:r>
      <w:r>
        <w:t>.</w:t>
      </w:r>
      <w:r w:rsidRPr="005A6AC7">
        <w:t xml:space="preserve"> 2, 2013) (Dep’t of Justice Apr. 2, 2013 </w:t>
      </w:r>
      <w:r w:rsidRPr="005A6AC7">
        <w:rPr>
          <w:i/>
        </w:rPr>
        <w:t>Ex Parte</w:t>
      </w:r>
      <w:r w:rsidRPr="005A6AC7">
        <w:t>) (“To be perfectly clear, DOJ’s p</w:t>
      </w:r>
      <w:r>
        <w:t>osition is that, to interpret § </w:t>
      </w:r>
      <w:r w:rsidRPr="005A6AC7">
        <w:t>227(c)(5), the Commission need not and should not import agency law under any circumstance.”); Letter from Patrick Runkle, Trial Attorney, U.S. Dep’t of Justice, to Marlene H. Dortch, Secretary, FCC, CG Docket No. 11-50, at 2 (filed Apr</w:t>
      </w:r>
      <w:r>
        <w:t>.</w:t>
      </w:r>
      <w:r w:rsidRPr="005A6AC7">
        <w:t xml:space="preserve"> 8, 2013) (“DOJ also urged that the FCC reject agency law as a rule of decision in this context, and simply confirm that ‘on behalf of’ means what it says.”).</w:t>
      </w:r>
    </w:p>
  </w:footnote>
  <w:footnote w:id="14">
    <w:p w14:paraId="36E0C55F" w14:textId="29A44BA5" w:rsidR="00275404" w:rsidRPr="00FB3838" w:rsidRDefault="00275404" w:rsidP="002D776B">
      <w:pPr>
        <w:pStyle w:val="FootnoteText"/>
        <w:spacing w:after="120"/>
      </w:pPr>
      <w:r>
        <w:rPr>
          <w:rStyle w:val="FootnoteReference"/>
        </w:rPr>
        <w:footnoteRef/>
      </w:r>
      <w:r>
        <w:t xml:space="preserve"> Dep’t of Justice Apr. 2, 2013 </w:t>
      </w:r>
      <w:r>
        <w:rPr>
          <w:i/>
        </w:rPr>
        <w:t>Ex Parte</w:t>
      </w:r>
      <w:r>
        <w:t xml:space="preserve"> at 2.</w:t>
      </w:r>
    </w:p>
  </w:footnote>
  <w:footnote w:id="15">
    <w:p w14:paraId="6800A2C7" w14:textId="77777777" w:rsidR="00275404" w:rsidRDefault="00275404" w:rsidP="002D776B">
      <w:pPr>
        <w:pStyle w:val="FootnoteText"/>
        <w:spacing w:after="120"/>
      </w:pPr>
      <w:r>
        <w:rPr>
          <w:rStyle w:val="FootnoteReference"/>
        </w:rPr>
        <w:footnoteRef/>
      </w:r>
      <w:r>
        <w:t xml:space="preserve"> TCPA House Report at 6 (describing the TCPA as “</w:t>
      </w:r>
      <w:r w:rsidRPr="00403CE8">
        <w:t>designed to return a measure of control to both individual residential telephone customers a</w:t>
      </w:r>
      <w:r>
        <w:t>nd owners of facsimile machines”).</w:t>
      </w:r>
    </w:p>
  </w:footnote>
  <w:footnote w:id="16">
    <w:p w14:paraId="72B1E246" w14:textId="79E4C8A7" w:rsidR="00275404" w:rsidRDefault="00275404" w:rsidP="00211866">
      <w:pPr>
        <w:pStyle w:val="FootnoteText"/>
        <w:spacing w:after="120"/>
      </w:pPr>
      <w:r>
        <w:rPr>
          <w:rStyle w:val="FootnoteReference"/>
        </w:rPr>
        <w:footnoteRef/>
      </w:r>
      <w:r>
        <w:t xml:space="preserve"> </w:t>
      </w:r>
      <w:r>
        <w:rPr>
          <w:i/>
        </w:rPr>
        <w:t>Declaratory Ruling</w:t>
      </w:r>
      <w:r>
        <w:t>, para. 31</w:t>
      </w:r>
      <w:r w:rsidR="00AA3C70">
        <w:t xml:space="preserve"> (footnotes omitted)</w:t>
      </w:r>
      <w:r>
        <w:t>.</w:t>
      </w:r>
    </w:p>
  </w:footnote>
  <w:footnote w:id="17">
    <w:p w14:paraId="4E9E1EB9" w14:textId="6AB7DE6D" w:rsidR="00AB2974" w:rsidRDefault="00AB2974" w:rsidP="00AB2974">
      <w:pPr>
        <w:pStyle w:val="FootnoteText"/>
        <w:spacing w:after="120"/>
      </w:pPr>
      <w:r>
        <w:rPr>
          <w:rStyle w:val="FootnoteReference"/>
        </w:rPr>
        <w:footnoteRef/>
      </w:r>
      <w:r>
        <w:t xml:space="preserve"> </w:t>
      </w:r>
      <w:r w:rsidR="007B041A">
        <w:t xml:space="preserve">In </w:t>
      </w:r>
      <w:r w:rsidR="00BA05EC">
        <w:t>claiming that we have used “on behalf of” language indiscriminately in implementing sections 227(b) and (c),</w:t>
      </w:r>
      <w:r>
        <w:t xml:space="preserve"> the declaratory ruling repeatedly cites a single paragraph discussing “on behalf of” liability.  </w:t>
      </w:r>
      <w:r>
        <w:rPr>
          <w:i/>
        </w:rPr>
        <w:t>See</w:t>
      </w:r>
      <w:r>
        <w:t xml:space="preserve"> </w:t>
      </w:r>
      <w:r>
        <w:rPr>
          <w:i/>
        </w:rPr>
        <w:t>Declaratory Ruling</w:t>
      </w:r>
      <w:r>
        <w:t>, para. 38 &amp; note</w:t>
      </w:r>
      <w:r w:rsidR="007B041A">
        <w:t>s</w:t>
      </w:r>
      <w:r>
        <w:t xml:space="preserve"> 9</w:t>
      </w:r>
      <w:r w:rsidR="00AA3C70">
        <w:t>4</w:t>
      </w:r>
      <w:r>
        <w:t>, 11</w:t>
      </w:r>
      <w:r w:rsidR="00AA3C70">
        <w:t>7</w:t>
      </w:r>
      <w:r w:rsidR="007B041A">
        <w:t>, 11</w:t>
      </w:r>
      <w:r w:rsidR="00AA3C70">
        <w:t>9</w:t>
      </w:r>
      <w:r w:rsidR="007B041A">
        <w:t xml:space="preserve"> (citing </w:t>
      </w:r>
      <w:r w:rsidR="007B041A">
        <w:rPr>
          <w:i/>
        </w:rPr>
        <w:t>Rules and Regulations Implementing the Telephone Consumer Protection Act of 1991</w:t>
      </w:r>
      <w:r w:rsidR="007B041A">
        <w:t>, CC Docket No. 92-90, Memorandum Opinion and Order, 10 FCC Rcd 12391, 12397, para. 13 (1995) (</w:t>
      </w:r>
      <w:r w:rsidR="007B041A">
        <w:rPr>
          <w:i/>
        </w:rPr>
        <w:t>TCPA 1995 Order</w:t>
      </w:r>
      <w:r w:rsidR="007B041A">
        <w:t>))</w:t>
      </w:r>
      <w:r>
        <w:t xml:space="preserve">.  </w:t>
      </w:r>
      <w:r w:rsidR="00765B6C">
        <w:t xml:space="preserve">But the citation misses the mark; </w:t>
      </w:r>
      <w:r w:rsidR="007B041A">
        <w:t>that paragraph discusses the statutory term “solicitation” (used in section 227(c)) and cites our do-not-call rules (implementing section 227(c))</w:t>
      </w:r>
      <w:r w:rsidR="00F901B5">
        <w:t xml:space="preserve">.  It </w:t>
      </w:r>
      <w:r w:rsidR="00765B6C">
        <w:t xml:space="preserve">never mentions </w:t>
      </w:r>
      <w:r w:rsidR="007B041A">
        <w:t>section 227(b).</w:t>
      </w:r>
    </w:p>
  </w:footnote>
  <w:footnote w:id="18">
    <w:p w14:paraId="7B71A141" w14:textId="77777777" w:rsidR="00275404" w:rsidRDefault="00275404" w:rsidP="002D776B">
      <w:pPr>
        <w:pStyle w:val="FootnoteText"/>
        <w:spacing w:after="120"/>
      </w:pPr>
      <w:r>
        <w:rPr>
          <w:rStyle w:val="FootnoteReference"/>
        </w:rPr>
        <w:footnoteRef/>
      </w:r>
      <w:r>
        <w:t xml:space="preserve"> </w:t>
      </w:r>
      <w:r>
        <w:rPr>
          <w:i/>
        </w:rPr>
        <w:t>See</w:t>
      </w:r>
      <w:r>
        <w:t xml:space="preserve"> 47 C.F.R. </w:t>
      </w:r>
      <w:r>
        <w:rPr>
          <w:rFonts w:cs="Times New Roman"/>
        </w:rPr>
        <w:t>§</w:t>
      </w:r>
      <w:r>
        <w:t> 64.1200(a)(3)(iv).</w:t>
      </w:r>
    </w:p>
  </w:footnote>
  <w:footnote w:id="19">
    <w:p w14:paraId="54025CAB" w14:textId="2ADCF67B" w:rsidR="00E564EC" w:rsidRPr="002E70E0" w:rsidRDefault="00E564EC" w:rsidP="00E564EC">
      <w:pPr>
        <w:pStyle w:val="FootnoteText"/>
        <w:spacing w:after="120"/>
      </w:pPr>
      <w:r>
        <w:rPr>
          <w:rStyle w:val="FootnoteReference"/>
        </w:rPr>
        <w:footnoteRef/>
      </w:r>
      <w:r>
        <w:t xml:space="preserve"> </w:t>
      </w:r>
      <w:r w:rsidR="00765B6C">
        <w:t>T</w:t>
      </w:r>
      <w:r>
        <w:t xml:space="preserve">he declaratory ruling asserts that the incorporation of federal common law principles of agency into the TCPA was “precisely the result that charities and their allied telemarketers sought and received” with the charitable exemption.  </w:t>
      </w:r>
      <w:r>
        <w:rPr>
          <w:i/>
        </w:rPr>
        <w:t>Declaratory Ruling</w:t>
      </w:r>
      <w:r>
        <w:t>,</w:t>
      </w:r>
      <w:r w:rsidR="00BA05EC">
        <w:t xml:space="preserve"> </w:t>
      </w:r>
      <w:r>
        <w:t>note 11</w:t>
      </w:r>
      <w:r w:rsidR="00AA3C70">
        <w:t>9</w:t>
      </w:r>
      <w:r>
        <w:t xml:space="preserve">.  </w:t>
      </w:r>
      <w:r w:rsidR="007B041A">
        <w:t xml:space="preserve">But charities made clear </w:t>
      </w:r>
      <w:r>
        <w:t xml:space="preserve">that </w:t>
      </w:r>
      <w:r w:rsidR="002E70E0">
        <w:t xml:space="preserve">they did not seek </w:t>
      </w:r>
      <w:r w:rsidR="007B041A">
        <w:t>to exempt</w:t>
      </w:r>
      <w:r w:rsidR="002E70E0">
        <w:t xml:space="preserve"> calls by their agents but instead</w:t>
      </w:r>
      <w:r w:rsidR="004F624B">
        <w:t xml:space="preserve"> “calls made on their behalf </w:t>
      </w:r>
      <w:r w:rsidR="004F624B" w:rsidRPr="006A1191">
        <w:rPr>
          <w:i/>
        </w:rPr>
        <w:t>by independent telemarketers</w:t>
      </w:r>
      <w:r w:rsidR="004F624B">
        <w:t xml:space="preserve">” and “those placed </w:t>
      </w:r>
      <w:r w:rsidR="004F624B" w:rsidRPr="006A1191">
        <w:rPr>
          <w:i/>
        </w:rPr>
        <w:t xml:space="preserve">by independent contractors </w:t>
      </w:r>
      <w:r w:rsidR="004F624B">
        <w:t>on behalf of</w:t>
      </w:r>
      <w:r w:rsidR="007B041A">
        <w:t>” charities.</w:t>
      </w:r>
      <w:r w:rsidR="002E70E0">
        <w:t xml:space="preserve"> </w:t>
      </w:r>
      <w:r w:rsidR="004F624B">
        <w:t xml:space="preserve"> </w:t>
      </w:r>
      <w:r w:rsidR="007B041A">
        <w:rPr>
          <w:i/>
        </w:rPr>
        <w:t>TCPA 1995 Order</w:t>
      </w:r>
      <w:r w:rsidR="004F624B">
        <w:t xml:space="preserve">, 10 FCC Rcd </w:t>
      </w:r>
      <w:r w:rsidR="007B041A">
        <w:t>at</w:t>
      </w:r>
      <w:r w:rsidR="004F624B">
        <w:t xml:space="preserve"> </w:t>
      </w:r>
      <w:r w:rsidR="002E70E0">
        <w:t>12397, para. 12</w:t>
      </w:r>
      <w:r w:rsidR="00765B6C">
        <w:t xml:space="preserve"> (emphases added)</w:t>
      </w:r>
      <w:r w:rsidR="002E70E0">
        <w:t xml:space="preserve">.  </w:t>
      </w:r>
      <w:r w:rsidR="00765B6C">
        <w:t>T</w:t>
      </w:r>
      <w:r w:rsidR="002E70E0">
        <w:t xml:space="preserve">o satisfy their request, we did not point to agency law (which would </w:t>
      </w:r>
      <w:r w:rsidR="006734FE">
        <w:t>exclude</w:t>
      </w:r>
      <w:r w:rsidR="002E70E0">
        <w:t xml:space="preserve"> independent contractors) but </w:t>
      </w:r>
      <w:r w:rsidR="00765B6C">
        <w:t xml:space="preserve">rather </w:t>
      </w:r>
      <w:r w:rsidR="002E70E0">
        <w:t>used the phrase “on behalf of” (which would not).</w:t>
      </w:r>
    </w:p>
  </w:footnote>
  <w:footnote w:id="20">
    <w:p w14:paraId="51442935" w14:textId="77777777" w:rsidR="00275404" w:rsidRDefault="00275404" w:rsidP="002D776B">
      <w:pPr>
        <w:pStyle w:val="FootnoteText"/>
        <w:spacing w:after="120"/>
      </w:pPr>
      <w:r>
        <w:rPr>
          <w:rStyle w:val="FootnoteReference"/>
        </w:rPr>
        <w:footnoteRef/>
      </w:r>
      <w:r>
        <w:t xml:space="preserve"> </w:t>
      </w:r>
      <w:r>
        <w:rPr>
          <w:i/>
        </w:rPr>
        <w:t>See</w:t>
      </w:r>
      <w:r>
        <w:t xml:space="preserve"> 47 C.F.R. </w:t>
      </w:r>
      <w:r>
        <w:rPr>
          <w:rFonts w:cs="Times New Roman"/>
        </w:rPr>
        <w:t>§</w:t>
      </w:r>
      <w:r>
        <w:t> 64.1200(a)(3)(v).</w:t>
      </w:r>
    </w:p>
  </w:footnote>
  <w:footnote w:id="21">
    <w:p w14:paraId="3EEDB3FD" w14:textId="77777777" w:rsidR="00275404" w:rsidRDefault="00275404" w:rsidP="002D776B">
      <w:pPr>
        <w:pStyle w:val="FootnoteText"/>
        <w:spacing w:after="120"/>
      </w:pPr>
      <w:r>
        <w:rPr>
          <w:rStyle w:val="FootnoteReference"/>
        </w:rPr>
        <w:footnoteRef/>
      </w:r>
      <w:r>
        <w:t xml:space="preserve"> </w:t>
      </w:r>
      <w:r>
        <w:rPr>
          <w:i/>
        </w:rPr>
        <w:t>See</w:t>
      </w:r>
      <w:r>
        <w:t xml:space="preserve"> 47 C.F.R. </w:t>
      </w:r>
      <w:r>
        <w:rPr>
          <w:rFonts w:cs="Times New Roman"/>
        </w:rPr>
        <w:t>§</w:t>
      </w:r>
      <w:r>
        <w:t> 64.1200(f)(9).</w:t>
      </w:r>
    </w:p>
  </w:footnote>
  <w:footnote w:id="22">
    <w:p w14:paraId="401ED3AA" w14:textId="77777777" w:rsidR="00275404" w:rsidRDefault="00275404" w:rsidP="002D776B">
      <w:pPr>
        <w:pStyle w:val="FootnoteText"/>
        <w:spacing w:after="120"/>
      </w:pPr>
      <w:r>
        <w:rPr>
          <w:rStyle w:val="FootnoteReference"/>
        </w:rPr>
        <w:footnoteRef/>
      </w:r>
      <w:r>
        <w:t xml:space="preserve"> 47 C.F.R. </w:t>
      </w:r>
      <w:r>
        <w:rPr>
          <w:rFonts w:cs="Times New Roman"/>
        </w:rPr>
        <w:t>§</w:t>
      </w:r>
      <w:r>
        <w:t> 64.1200(a)(7)(i)(B), (b)(3).</w:t>
      </w:r>
    </w:p>
  </w:footnote>
  <w:footnote w:id="23">
    <w:p w14:paraId="79AB0A07" w14:textId="77777777" w:rsidR="00275404" w:rsidRPr="00526B90" w:rsidRDefault="00275404" w:rsidP="002D776B">
      <w:pPr>
        <w:pStyle w:val="FootnoteText"/>
        <w:spacing w:after="120"/>
      </w:pPr>
      <w:r>
        <w:rPr>
          <w:rStyle w:val="FootnoteReference"/>
        </w:rPr>
        <w:footnoteRef/>
      </w:r>
      <w:r>
        <w:t xml:space="preserve"> </w:t>
      </w:r>
      <w:r>
        <w:rPr>
          <w:i/>
        </w:rPr>
        <w:t>See, e.g.</w:t>
      </w:r>
      <w:r>
        <w:t xml:space="preserve">, 47 C.F.R. </w:t>
      </w:r>
      <w:r>
        <w:rPr>
          <w:rFonts w:cs="Times New Roman"/>
        </w:rPr>
        <w:t>§</w:t>
      </w:r>
      <w:r>
        <w:t> 64.1200(d)(4).</w:t>
      </w:r>
    </w:p>
  </w:footnote>
  <w:footnote w:id="24">
    <w:p w14:paraId="31A7E8FE" w14:textId="79E8A253" w:rsidR="00090C42" w:rsidRDefault="00090C42" w:rsidP="00090C42">
      <w:pPr>
        <w:pStyle w:val="FootnoteText"/>
        <w:spacing w:after="120"/>
      </w:pPr>
      <w:r>
        <w:rPr>
          <w:rStyle w:val="FootnoteReference"/>
        </w:rPr>
        <w:footnoteRef/>
      </w:r>
      <w:r>
        <w:t xml:space="preserve"> </w:t>
      </w:r>
      <w:r w:rsidRPr="005A6AC7">
        <w:rPr>
          <w:rFonts w:cs="Times New Roman"/>
        </w:rPr>
        <w:t xml:space="preserve">One </w:t>
      </w:r>
      <w:r>
        <w:rPr>
          <w:rFonts w:cs="Times New Roman"/>
        </w:rPr>
        <w:t>last point</w:t>
      </w:r>
      <w:r w:rsidRPr="005A6AC7">
        <w:rPr>
          <w:rFonts w:cs="Times New Roman"/>
        </w:rPr>
        <w:t xml:space="preserve">.  </w:t>
      </w:r>
      <w:r>
        <w:rPr>
          <w:rFonts w:cs="Times New Roman"/>
        </w:rPr>
        <w:t>T</w:t>
      </w:r>
      <w:r w:rsidRPr="005A6AC7">
        <w:rPr>
          <w:rFonts w:cs="Times New Roman"/>
        </w:rPr>
        <w:t xml:space="preserve">he declaratory ruling </w:t>
      </w:r>
      <w:r>
        <w:rPr>
          <w:rFonts w:cs="Times New Roman"/>
        </w:rPr>
        <w:t>also</w:t>
      </w:r>
      <w:r w:rsidRPr="005A6AC7">
        <w:rPr>
          <w:rFonts w:cs="Times New Roman"/>
        </w:rPr>
        <w:t xml:space="preserve"> insists that construing the phrase “on behalf of” to mean “on behalf of” would require a notice-and-comment rulemaking.</w:t>
      </w:r>
      <w:r>
        <w:rPr>
          <w:rFonts w:cs="Times New Roman"/>
        </w:rPr>
        <w:t xml:space="preserve">  </w:t>
      </w:r>
      <w:r>
        <w:rPr>
          <w:i/>
        </w:rPr>
        <w:t>See</w:t>
      </w:r>
      <w:r>
        <w:t xml:space="preserve"> </w:t>
      </w:r>
      <w:r>
        <w:rPr>
          <w:i/>
        </w:rPr>
        <w:t>Declaratory Ruling</w:t>
      </w:r>
      <w:r>
        <w:t>, para</w:t>
      </w:r>
      <w:r w:rsidR="00BA05EC">
        <w:t>s</w:t>
      </w:r>
      <w:r>
        <w:t>. 31</w:t>
      </w:r>
      <w:r w:rsidR="00BA05EC">
        <w:t>–32</w:t>
      </w:r>
      <w:r>
        <w:t>.</w:t>
      </w:r>
      <w:r w:rsidRPr="005A6AC7">
        <w:rPr>
          <w:rFonts w:cs="Times New Roman"/>
        </w:rPr>
        <w:t xml:space="preserve">  But th</w:t>
      </w:r>
      <w:r>
        <w:rPr>
          <w:rFonts w:cs="Times New Roman"/>
        </w:rPr>
        <w:t>at phrase’s</w:t>
      </w:r>
      <w:r w:rsidRPr="005A6AC7">
        <w:rPr>
          <w:rFonts w:cs="Times New Roman"/>
        </w:rPr>
        <w:t xml:space="preserve"> meaning is before us </w:t>
      </w:r>
      <w:r>
        <w:rPr>
          <w:rFonts w:cs="Times New Roman"/>
        </w:rPr>
        <w:t xml:space="preserve">now </w:t>
      </w:r>
      <w:r w:rsidRPr="005A6AC7">
        <w:rPr>
          <w:rFonts w:cs="Times New Roman"/>
          <w:i/>
        </w:rPr>
        <w:t>because</w:t>
      </w:r>
      <w:r w:rsidRPr="005A6AC7">
        <w:rPr>
          <w:rFonts w:cs="Times New Roman"/>
        </w:rPr>
        <w:t xml:space="preserve"> we have not previously </w:t>
      </w:r>
      <w:r w:rsidR="00F901B5">
        <w:rPr>
          <w:rFonts w:cs="Times New Roman"/>
        </w:rPr>
        <w:t>answered the question now in front of us</w:t>
      </w:r>
      <w:r>
        <w:rPr>
          <w:rFonts w:cs="Times New Roman"/>
        </w:rPr>
        <w:t xml:space="preserve">.  </w:t>
      </w:r>
      <w:r w:rsidR="00F901B5">
        <w:rPr>
          <w:rFonts w:cs="Times New Roman"/>
        </w:rPr>
        <w:t xml:space="preserve">Neither of the rulings cited by the Commission, </w:t>
      </w:r>
      <w:r w:rsidR="00F901B5" w:rsidRPr="006A1191">
        <w:rPr>
          <w:rFonts w:cs="Times New Roman"/>
          <w:i/>
        </w:rPr>
        <w:t>see</w:t>
      </w:r>
      <w:r w:rsidR="00F901B5">
        <w:rPr>
          <w:rFonts w:cs="Times New Roman"/>
        </w:rPr>
        <w:t xml:space="preserve"> </w:t>
      </w:r>
      <w:r w:rsidR="00F901B5" w:rsidRPr="006A1191">
        <w:rPr>
          <w:rFonts w:cs="Times New Roman"/>
          <w:i/>
        </w:rPr>
        <w:t>Declaratory Ruling</w:t>
      </w:r>
      <w:r w:rsidR="006A1191">
        <w:rPr>
          <w:rFonts w:cs="Times New Roman"/>
        </w:rPr>
        <w:t>,</w:t>
      </w:r>
      <w:r w:rsidR="00F901B5">
        <w:rPr>
          <w:rFonts w:cs="Times New Roman"/>
        </w:rPr>
        <w:t xml:space="preserve"> </w:t>
      </w:r>
      <w:r w:rsidR="006A1191">
        <w:rPr>
          <w:rFonts w:cs="Times New Roman"/>
        </w:rPr>
        <w:t xml:space="preserve">note </w:t>
      </w:r>
      <w:r w:rsidR="00F901B5">
        <w:rPr>
          <w:rFonts w:cs="Times New Roman"/>
        </w:rPr>
        <w:t>9</w:t>
      </w:r>
      <w:r w:rsidR="00AA3C70">
        <w:rPr>
          <w:rFonts w:cs="Times New Roman"/>
        </w:rPr>
        <w:t>4</w:t>
      </w:r>
      <w:r w:rsidR="006A1191">
        <w:rPr>
          <w:rFonts w:cs="Times New Roman"/>
        </w:rPr>
        <w:t xml:space="preserve"> (citing </w:t>
      </w:r>
      <w:r w:rsidR="006A1191">
        <w:rPr>
          <w:i/>
        </w:rPr>
        <w:t>TCPA 1995 Order</w:t>
      </w:r>
      <w:r w:rsidR="006A1191">
        <w:t>, 10 FCC Rcd at 12397, para. 13</w:t>
      </w:r>
      <w:r w:rsidR="00032807">
        <w:t xml:space="preserve">; </w:t>
      </w:r>
      <w:r w:rsidR="00032807">
        <w:rPr>
          <w:i/>
        </w:rPr>
        <w:t>Rules and Regulations Implementing the Telephone Consumer Protection Act of 1991</w:t>
      </w:r>
      <w:r w:rsidR="00032807">
        <w:t>, Declaratory Ruling, 20 FCC Rcd 13664, 13667, para. 7 (Consumer &amp; Gov’t Affairs Bur. 2005)</w:t>
      </w:r>
      <w:r w:rsidR="006A1191">
        <w:rPr>
          <w:rFonts w:cs="Times New Roman"/>
        </w:rPr>
        <w:t>)</w:t>
      </w:r>
      <w:r w:rsidR="00F901B5">
        <w:rPr>
          <w:rFonts w:cs="Times New Roman"/>
        </w:rPr>
        <w:t>, address</w:t>
      </w:r>
      <w:r w:rsidR="00284ADB">
        <w:rPr>
          <w:rFonts w:cs="Times New Roman"/>
        </w:rPr>
        <w:t>es</w:t>
      </w:r>
      <w:r w:rsidR="00F901B5">
        <w:rPr>
          <w:rFonts w:cs="Times New Roman"/>
        </w:rPr>
        <w:t xml:space="preserve"> </w:t>
      </w:r>
      <w:r w:rsidR="00B924AE">
        <w:rPr>
          <w:rFonts w:cs="Times New Roman"/>
        </w:rPr>
        <w:t xml:space="preserve">the critical issue: </w:t>
      </w:r>
      <w:r w:rsidR="00F901B5">
        <w:rPr>
          <w:rFonts w:cs="Times New Roman"/>
        </w:rPr>
        <w:t xml:space="preserve">whether a telemarketer </w:t>
      </w:r>
      <w:r w:rsidR="00F901B5" w:rsidRPr="006A1191">
        <w:rPr>
          <w:rFonts w:cs="Times New Roman"/>
          <w:i/>
        </w:rPr>
        <w:t>must</w:t>
      </w:r>
      <w:r w:rsidR="00F901B5">
        <w:rPr>
          <w:rFonts w:cs="Times New Roman"/>
        </w:rPr>
        <w:t xml:space="preserve"> be an agent of a company in order to act “on behalf of” that company.  Rather, they merely establish the obvious proposition that an agent of a company </w:t>
      </w:r>
      <w:r w:rsidR="00B924AE">
        <w:rPr>
          <w:rFonts w:cs="Times New Roman"/>
        </w:rPr>
        <w:t>does</w:t>
      </w:r>
      <w:r w:rsidR="00F901B5">
        <w:rPr>
          <w:rFonts w:cs="Times New Roman"/>
        </w:rPr>
        <w:t xml:space="preserve"> </w:t>
      </w:r>
      <w:r w:rsidR="006A1191">
        <w:rPr>
          <w:rFonts w:cs="Times New Roman"/>
        </w:rPr>
        <w:t xml:space="preserve">act </w:t>
      </w:r>
      <w:r w:rsidR="00F901B5">
        <w:rPr>
          <w:rFonts w:cs="Times New Roman"/>
        </w:rPr>
        <w:t xml:space="preserve">“on behalf of” that company.  Moreover, one of these two rulings was issued by the Consumer &amp; Governmental Affairs Bureau and thus is not even binding on the Commission.  </w:t>
      </w:r>
      <w:r w:rsidR="00032807">
        <w:rPr>
          <w:rFonts w:cs="Times New Roman"/>
          <w:i/>
        </w:rPr>
        <w:t xml:space="preserve">Comcast </w:t>
      </w:r>
      <w:r w:rsidR="00E93177">
        <w:rPr>
          <w:rFonts w:cs="Times New Roman"/>
          <w:i/>
        </w:rPr>
        <w:t xml:space="preserve">Corp. </w:t>
      </w:r>
      <w:r w:rsidR="00032807">
        <w:rPr>
          <w:rFonts w:cs="Times New Roman"/>
          <w:i/>
        </w:rPr>
        <w:t>v. FCC</w:t>
      </w:r>
      <w:r w:rsidR="00032807">
        <w:rPr>
          <w:rFonts w:cs="Times New Roman"/>
        </w:rPr>
        <w:t>, 526 F.3d 763, 769 (D.C. Cir. 2008).</w:t>
      </w:r>
      <w:r w:rsidR="00F901B5">
        <w:rPr>
          <w:rFonts w:cs="Times New Roman"/>
        </w:rPr>
        <w:t xml:space="preserve">  </w:t>
      </w:r>
      <w:r w:rsidR="00B924AE">
        <w:t>In reality</w:t>
      </w:r>
      <w:r>
        <w:t xml:space="preserve">, </w:t>
      </w:r>
      <w:r w:rsidR="00B924AE">
        <w:t>the Commission has</w:t>
      </w:r>
      <w:r>
        <w:t xml:space="preserve"> previously refused to interpret the private-right-of-action provisions of the TCPA and thus cannot have established an interpretation of “on behalf of” in section 227(c)(5).  </w:t>
      </w:r>
      <w:r>
        <w:rPr>
          <w:i/>
        </w:rPr>
        <w:t>See</w:t>
      </w:r>
      <w:r w:rsidR="00AA3C70">
        <w:rPr>
          <w:i/>
        </w:rPr>
        <w:t>, e.g.</w:t>
      </w:r>
      <w:r w:rsidR="00AA3C70">
        <w:t>,</w:t>
      </w:r>
      <w:r>
        <w:t xml:space="preserve"> </w:t>
      </w:r>
      <w:r w:rsidRPr="00875DE2">
        <w:rPr>
          <w:i/>
        </w:rPr>
        <w:t>Rules and Regulations Implementing the Telephone Consumer Protection Act of 1991; Junk Fax Protection Act of 2005</w:t>
      </w:r>
      <w:r>
        <w:t>, CG Docket Nos. 02-278, 05-338, Report and Order and Third Order on Reconsideration, 21 FCC Rcd 3787, 3815</w:t>
      </w:r>
      <w:r w:rsidR="00AA3C70">
        <w:t>, para. 56</w:t>
      </w:r>
      <w:r>
        <w:t xml:space="preserve"> (2006).</w:t>
      </w:r>
      <w:r w:rsidRPr="005A6AC7">
        <w:rPr>
          <w:rFonts w:cs="Times New Roman"/>
        </w:rPr>
        <w:t xml:space="preserve"> </w:t>
      </w:r>
      <w:r>
        <w:rPr>
          <w:rFonts w:cs="Times New Roman"/>
        </w:rPr>
        <w:t xml:space="preserve"> </w:t>
      </w:r>
      <w:r w:rsidR="00F901B5">
        <w:rPr>
          <w:rFonts w:cs="Times New Roman"/>
        </w:rPr>
        <w:t xml:space="preserve">Indeed, </w:t>
      </w:r>
      <w:r w:rsidR="00F901B5" w:rsidRPr="00F901B5">
        <w:rPr>
          <w:rFonts w:cs="Times New Roman"/>
        </w:rPr>
        <w:t xml:space="preserve">if the Commission had already decided this question in </w:t>
      </w:r>
      <w:r w:rsidR="00F901B5">
        <w:rPr>
          <w:rFonts w:cs="Times New Roman"/>
        </w:rPr>
        <w:t xml:space="preserve">a prior </w:t>
      </w:r>
      <w:r w:rsidR="00B924AE">
        <w:rPr>
          <w:rFonts w:cs="Times New Roman"/>
        </w:rPr>
        <w:t>order</w:t>
      </w:r>
      <w:r w:rsidR="00F901B5" w:rsidRPr="00F901B5">
        <w:rPr>
          <w:rFonts w:cs="Times New Roman"/>
        </w:rPr>
        <w:t>, it is strange that</w:t>
      </w:r>
      <w:r w:rsidR="00F901B5">
        <w:rPr>
          <w:rFonts w:cs="Times New Roman"/>
        </w:rPr>
        <w:t xml:space="preserve"> it took us years to issue today’s </w:t>
      </w:r>
      <w:r w:rsidR="006D1F9A">
        <w:rPr>
          <w:rFonts w:cs="Times New Roman"/>
        </w:rPr>
        <w:t>declaratory ruling</w:t>
      </w:r>
      <w:r w:rsidR="00F901B5">
        <w:rPr>
          <w:rFonts w:cs="Times New Roman"/>
        </w:rPr>
        <w:t xml:space="preserve">.  In short, </w:t>
      </w:r>
      <w:r w:rsidRPr="005A6AC7">
        <w:rPr>
          <w:rFonts w:cs="Times New Roman"/>
        </w:rPr>
        <w:t>I do not know of any administrative law principle that would prevent us from reading the statute or our rules to mean what they say.</w:t>
      </w:r>
    </w:p>
  </w:footnote>
  <w:footnote w:id="25">
    <w:p w14:paraId="29CF325C" w14:textId="68092B43" w:rsidR="00275404" w:rsidRPr="00830EC9"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t>, para. 3</w:t>
      </w:r>
      <w:r w:rsidR="00BA05EC">
        <w:t>4</w:t>
      </w:r>
      <w:r>
        <w:t>.</w:t>
      </w:r>
    </w:p>
  </w:footnote>
  <w:footnote w:id="26">
    <w:p w14:paraId="0CCBC2A0" w14:textId="42CD9FCD" w:rsidR="00275404" w:rsidRPr="00366930"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rsidR="00BA05EC">
        <w:t xml:space="preserve">, </w:t>
      </w:r>
      <w:r>
        <w:t>note 10</w:t>
      </w:r>
      <w:r w:rsidR="00BA05EC">
        <w:t>2</w:t>
      </w:r>
      <w:r>
        <w:t>.</w:t>
      </w:r>
    </w:p>
  </w:footnote>
  <w:footnote w:id="27">
    <w:p w14:paraId="7FF6275F" w14:textId="65785BFA" w:rsidR="00275404" w:rsidRPr="00366930"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t>, para. 4</w:t>
      </w:r>
      <w:r w:rsidR="00BA05EC">
        <w:t>6</w:t>
      </w:r>
      <w:r>
        <w:t>.</w:t>
      </w:r>
    </w:p>
  </w:footnote>
  <w:footnote w:id="28">
    <w:p w14:paraId="21517102" w14:textId="657668F4" w:rsidR="00275404" w:rsidRPr="00366930" w:rsidRDefault="00275404" w:rsidP="002D776B">
      <w:pPr>
        <w:pStyle w:val="FootnoteText"/>
        <w:spacing w:after="120"/>
      </w:pPr>
      <w:r>
        <w:rPr>
          <w:rStyle w:val="FootnoteReference"/>
        </w:rPr>
        <w:footnoteRef/>
      </w:r>
      <w:r>
        <w:t xml:space="preserve"> </w:t>
      </w:r>
      <w:r w:rsidR="00E564EC">
        <w:rPr>
          <w:i/>
        </w:rPr>
        <w:t>See</w:t>
      </w:r>
      <w:r w:rsidR="00E564EC">
        <w:t xml:space="preserve"> </w:t>
      </w:r>
      <w:r w:rsidR="00E564EC">
        <w:rPr>
          <w:i/>
        </w:rPr>
        <w:t>Declaratory Ruling</w:t>
      </w:r>
      <w:r w:rsidR="00E564EC">
        <w:t>, para. 4</w:t>
      </w:r>
      <w:r w:rsidR="00BA05EC">
        <w:t>6</w:t>
      </w:r>
      <w:r>
        <w:t xml:space="preserve"> (“At a minimum, evidence of these kinds of relationships . . . should be sufficient to place upon the seller the burden of demonstrating that a reasonable consumer would not sensibly assume that the telemarketer was acting as the seller’s authorized agent.”).</w:t>
      </w:r>
    </w:p>
  </w:footnote>
  <w:footnote w:id="29">
    <w:p w14:paraId="4C691931" w14:textId="0AA54836" w:rsidR="00275404" w:rsidRPr="00366930"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t>, para. 4</w:t>
      </w:r>
      <w:r w:rsidR="00343901">
        <w:t>7</w:t>
      </w:r>
      <w:r>
        <w:t>.</w:t>
      </w:r>
    </w:p>
  </w:footnote>
  <w:footnote w:id="30">
    <w:p w14:paraId="49944315" w14:textId="36AB2ACF" w:rsidR="00275404" w:rsidRPr="00343901" w:rsidRDefault="00275404" w:rsidP="00094148">
      <w:pPr>
        <w:pStyle w:val="FootnoteText"/>
        <w:spacing w:after="120"/>
      </w:pPr>
      <w:r>
        <w:rPr>
          <w:rStyle w:val="FootnoteReference"/>
        </w:rPr>
        <w:footnoteRef/>
      </w:r>
      <w:r>
        <w:t xml:space="preserve"> </w:t>
      </w:r>
      <w:r w:rsidRPr="00094148">
        <w:rPr>
          <w:i/>
        </w:rPr>
        <w:t>See</w:t>
      </w:r>
      <w:r>
        <w:t xml:space="preserve">, </w:t>
      </w:r>
      <w:r w:rsidRPr="00094148">
        <w:rPr>
          <w:i/>
        </w:rPr>
        <w:t>e</w:t>
      </w:r>
      <w:r>
        <w:t>.</w:t>
      </w:r>
      <w:r w:rsidRPr="00094148">
        <w:rPr>
          <w:i/>
        </w:rPr>
        <w:t>g</w:t>
      </w:r>
      <w:r>
        <w:t xml:space="preserve">., </w:t>
      </w:r>
      <w:r>
        <w:rPr>
          <w:i/>
        </w:rPr>
        <w:t>Chevron, U.S.A. Inc. v. Nat’l Resources Defense Council, Inc.</w:t>
      </w:r>
      <w:r>
        <w:t>, 467 U.S. 837, 842 (1986) (</w:t>
      </w:r>
      <w:r>
        <w:rPr>
          <w:rFonts w:cs="Times New Roman"/>
        </w:rPr>
        <w:t>deference applies only “[w]</w:t>
      </w:r>
      <w:r w:rsidRPr="00087AC6">
        <w:rPr>
          <w:rFonts w:cs="Times New Roman"/>
        </w:rPr>
        <w:t>hen a court reviews an agency</w:t>
      </w:r>
      <w:r>
        <w:rPr>
          <w:rFonts w:cs="Times New Roman"/>
        </w:rPr>
        <w:t>’</w:t>
      </w:r>
      <w:r w:rsidRPr="00087AC6">
        <w:rPr>
          <w:rFonts w:cs="Times New Roman"/>
        </w:rPr>
        <w:t>s construction of the statute which it administers</w:t>
      </w:r>
      <w:r>
        <w:rPr>
          <w:rFonts w:cs="Times New Roman"/>
        </w:rPr>
        <w:t xml:space="preserve">”); </w:t>
      </w:r>
      <w:r w:rsidRPr="00094148">
        <w:rPr>
          <w:i/>
        </w:rPr>
        <w:t>Adams Fruit Co., Inc. v. Barrett</w:t>
      </w:r>
      <w:r w:rsidR="00094148">
        <w:t>, 494 U.S. 638, 649–</w:t>
      </w:r>
      <w:r>
        <w:t>50 (1990) (same)</w:t>
      </w:r>
      <w:r w:rsidR="005E6831">
        <w:t xml:space="preserve">; </w:t>
      </w:r>
      <w:r w:rsidR="005E6831">
        <w:rPr>
          <w:rFonts w:cs="Times New Roman"/>
          <w:i/>
        </w:rPr>
        <w:t>see also</w:t>
      </w:r>
      <w:r w:rsidR="005E6831">
        <w:rPr>
          <w:rFonts w:cs="Times New Roman"/>
        </w:rPr>
        <w:t xml:space="preserve"> Dep’t of Justice Apr. 2, 2013 </w:t>
      </w:r>
      <w:r w:rsidR="005E6831">
        <w:rPr>
          <w:rFonts w:cs="Times New Roman"/>
          <w:i/>
        </w:rPr>
        <w:t>Ex Parte</w:t>
      </w:r>
      <w:r w:rsidR="005E6831">
        <w:rPr>
          <w:rFonts w:cs="Times New Roman"/>
        </w:rPr>
        <w:t xml:space="preserve"> at 2 (“[T]</w:t>
      </w:r>
      <w:r w:rsidR="005E6831" w:rsidRPr="00DE7205">
        <w:rPr>
          <w:rFonts w:cs="Times New Roman"/>
        </w:rPr>
        <w:t>he Commission likely does not have the authority to</w:t>
      </w:r>
      <w:r w:rsidR="005E6831">
        <w:rPr>
          <w:rFonts w:cs="Times New Roman"/>
        </w:rPr>
        <w:t xml:space="preserve"> </w:t>
      </w:r>
      <w:r w:rsidR="005E6831" w:rsidRPr="00DE7205">
        <w:rPr>
          <w:rFonts w:cs="Times New Roman"/>
        </w:rPr>
        <w:t>state for the federal courts what the federal common law of agency is.</w:t>
      </w:r>
      <w:r w:rsidR="005E6831">
        <w:rPr>
          <w:rFonts w:cs="Times New Roman"/>
        </w:rPr>
        <w:t>”)</w:t>
      </w:r>
      <w:r>
        <w:t xml:space="preserve">.  </w:t>
      </w:r>
      <w:r>
        <w:rPr>
          <w:rFonts w:cs="Times New Roman"/>
        </w:rPr>
        <w:t xml:space="preserve">Similarly, </w:t>
      </w:r>
      <w:r>
        <w:rPr>
          <w:rFonts w:cs="Times New Roman"/>
          <w:i/>
        </w:rPr>
        <w:t>Skidmore</w:t>
      </w:r>
      <w:r>
        <w:rPr>
          <w:rFonts w:cs="Times New Roman"/>
        </w:rPr>
        <w:t xml:space="preserve"> deference makes sense only when an agency’s “specialized experience” in a particular field give its arguments added weight.  </w:t>
      </w:r>
      <w:r w:rsidRPr="006B03A9">
        <w:rPr>
          <w:i/>
        </w:rPr>
        <w:t>U.S. v. Mead Corp.</w:t>
      </w:r>
      <w:r>
        <w:t>,</w:t>
      </w:r>
      <w:r w:rsidRPr="006B03A9">
        <w:t xml:space="preserve"> 533 U.S. 218</w:t>
      </w:r>
      <w:r>
        <w:t>, 234–35 (2001)</w:t>
      </w:r>
      <w:r>
        <w:rPr>
          <w:rFonts w:cs="Times New Roman"/>
        </w:rPr>
        <w:t>.</w:t>
      </w:r>
      <w:r w:rsidR="00343901">
        <w:rPr>
          <w:rFonts w:cs="Times New Roman"/>
        </w:rPr>
        <w:t xml:space="preserve">  And </w:t>
      </w:r>
      <w:r w:rsidR="005053F7">
        <w:rPr>
          <w:rFonts w:cs="Times New Roman"/>
        </w:rPr>
        <w:t>though</w:t>
      </w:r>
      <w:r w:rsidR="00343901">
        <w:rPr>
          <w:rFonts w:cs="Times New Roman"/>
        </w:rPr>
        <w:t xml:space="preserve"> we </w:t>
      </w:r>
      <w:r w:rsidR="005053F7">
        <w:rPr>
          <w:rFonts w:cs="Times New Roman"/>
        </w:rPr>
        <w:t xml:space="preserve">may </w:t>
      </w:r>
      <w:r w:rsidR="00343901">
        <w:rPr>
          <w:rFonts w:cs="Times New Roman"/>
        </w:rPr>
        <w:t xml:space="preserve">have “decades of experience” administering the TCPA, </w:t>
      </w:r>
      <w:r w:rsidR="00343901">
        <w:rPr>
          <w:rFonts w:cs="Times New Roman"/>
          <w:i/>
        </w:rPr>
        <w:t>Declaratory Ruling</w:t>
      </w:r>
      <w:r w:rsidR="00343901">
        <w:rPr>
          <w:rFonts w:cs="Times New Roman"/>
        </w:rPr>
        <w:t>, note 137, we have none administering the federal common law of agency.</w:t>
      </w:r>
    </w:p>
  </w:footnote>
  <w:footnote w:id="31">
    <w:p w14:paraId="76F840DE" w14:textId="77777777" w:rsidR="00275404" w:rsidRDefault="00275404" w:rsidP="002D776B">
      <w:pPr>
        <w:pStyle w:val="FootnoteText"/>
        <w:spacing w:after="120"/>
      </w:pPr>
      <w:r>
        <w:rPr>
          <w:rStyle w:val="FootnoteReference"/>
        </w:rPr>
        <w:footnoteRef/>
      </w:r>
      <w:r>
        <w:t xml:space="preserve"> Restatement (Third) of Agency </w:t>
      </w:r>
      <w:r>
        <w:rPr>
          <w:rFonts w:cs="Times New Roman"/>
        </w:rPr>
        <w:t>§</w:t>
      </w:r>
      <w:r>
        <w:t> 2.03.</w:t>
      </w:r>
    </w:p>
  </w:footnote>
  <w:footnote w:id="32">
    <w:p w14:paraId="2CDD7D36" w14:textId="77777777" w:rsidR="00275404" w:rsidRDefault="00275404" w:rsidP="002D776B">
      <w:pPr>
        <w:pStyle w:val="FootnoteText"/>
        <w:spacing w:after="120"/>
      </w:pPr>
      <w:r>
        <w:rPr>
          <w:rStyle w:val="FootnoteReference"/>
        </w:rPr>
        <w:footnoteRef/>
      </w:r>
      <w:r>
        <w:t xml:space="preserve"> Restatement (Third) of Agency </w:t>
      </w:r>
      <w:r>
        <w:rPr>
          <w:rFonts w:cs="Times New Roman"/>
        </w:rPr>
        <w:t>§</w:t>
      </w:r>
      <w:r>
        <w:t> 1.03.</w:t>
      </w:r>
    </w:p>
  </w:footnote>
  <w:footnote w:id="33">
    <w:p w14:paraId="48193E22" w14:textId="5F961220" w:rsidR="00275404" w:rsidRPr="002D7835" w:rsidRDefault="00275404" w:rsidP="002D776B">
      <w:pPr>
        <w:pStyle w:val="FootnoteText"/>
        <w:spacing w:after="120"/>
      </w:pPr>
      <w:r>
        <w:rPr>
          <w:rStyle w:val="FootnoteReference"/>
        </w:rPr>
        <w:footnoteRef/>
      </w:r>
      <w:r>
        <w:t xml:space="preserve"> The declaratory</w:t>
      </w:r>
      <w:r w:rsidR="009D2987">
        <w:t xml:space="preserve"> ruling</w:t>
      </w:r>
      <w:r>
        <w:t xml:space="preserve"> tries to </w:t>
      </w:r>
      <w:r w:rsidR="00185EDC">
        <w:t xml:space="preserve">sidestep </w:t>
      </w:r>
      <w:r>
        <w:t xml:space="preserve">this issue by noting that </w:t>
      </w:r>
      <w:r w:rsidRPr="000C62E5">
        <w:t xml:space="preserve">“a principal may create apparent authority by appointing a person to </w:t>
      </w:r>
      <w:r>
        <w:t>a particular position</w:t>
      </w:r>
      <w:r w:rsidRPr="000C62E5">
        <w:t xml:space="preserve">” </w:t>
      </w:r>
      <w:r>
        <w:t>and “</w:t>
      </w:r>
      <w:r w:rsidRPr="000C62E5">
        <w:t>may permit an agent to acquire a reputation of authority in an area or endeavor by acquiescing in conduct by the agent under circumstances likely to lead to a reputation.”</w:t>
      </w:r>
      <w:r>
        <w:t xml:space="preserve">  </w:t>
      </w:r>
      <w:r>
        <w:rPr>
          <w:i/>
        </w:rPr>
        <w:t>See</w:t>
      </w:r>
      <w:r>
        <w:t xml:space="preserve"> </w:t>
      </w:r>
      <w:r>
        <w:rPr>
          <w:i/>
        </w:rPr>
        <w:t>Declaratory Ruling</w:t>
      </w:r>
      <w:r w:rsidR="005E6831">
        <w:t>,</w:t>
      </w:r>
      <w:r w:rsidR="00343901">
        <w:t xml:space="preserve"> </w:t>
      </w:r>
      <w:r>
        <w:t>note 10</w:t>
      </w:r>
      <w:r w:rsidR="00343901">
        <w:t>2</w:t>
      </w:r>
      <w:r>
        <w:t xml:space="preserve"> (citations omitted).  </w:t>
      </w:r>
      <w:r w:rsidR="00185EDC">
        <w:t xml:space="preserve">While true, this does not </w:t>
      </w:r>
      <w:r>
        <w:t xml:space="preserve">explain how a consumer is to know that a seller “appointed” a telemarketer “to a particular position” or that a particular telemarketer has “acquire[d] a reputation of authority in an area,” let alone how a consumer would know that at the time that she received the </w:t>
      </w:r>
      <w:r w:rsidR="00185EDC">
        <w:t>undesired</w:t>
      </w:r>
      <w:r>
        <w:t xml:space="preserve"> call.</w:t>
      </w:r>
    </w:p>
  </w:footnote>
  <w:footnote w:id="34">
    <w:p w14:paraId="0B717D11" w14:textId="1B42480B" w:rsidR="00275404" w:rsidRDefault="00275404" w:rsidP="002D776B">
      <w:pPr>
        <w:pStyle w:val="FootnoteText"/>
        <w:spacing w:after="120"/>
      </w:pPr>
      <w:r>
        <w:rPr>
          <w:rStyle w:val="FootnoteReference"/>
        </w:rPr>
        <w:footnoteRef/>
      </w:r>
      <w:r>
        <w:t xml:space="preserve"> </w:t>
      </w:r>
      <w:r>
        <w:rPr>
          <w:i/>
        </w:rPr>
        <w:t>See</w:t>
      </w:r>
      <w:r>
        <w:t xml:space="preserve"> </w:t>
      </w:r>
      <w:r>
        <w:rPr>
          <w:i/>
        </w:rPr>
        <w:t>Declaratory Ruling</w:t>
      </w:r>
      <w:r>
        <w:t>, para. 4</w:t>
      </w:r>
      <w:r w:rsidR="00343901">
        <w:t>6</w:t>
      </w:r>
      <w:r>
        <w:t>.</w:t>
      </w:r>
    </w:p>
  </w:footnote>
  <w:footnote w:id="35">
    <w:p w14:paraId="1E3E66FD" w14:textId="12D3860E" w:rsidR="00211866" w:rsidRDefault="00211866" w:rsidP="00211866">
      <w:pPr>
        <w:pStyle w:val="FootnoteText"/>
        <w:spacing w:after="120"/>
      </w:pPr>
      <w:r>
        <w:rPr>
          <w:rStyle w:val="FootnoteReference"/>
        </w:rPr>
        <w:footnoteRef/>
      </w:r>
      <w:r>
        <w:t xml:space="preserve"> </w:t>
      </w:r>
      <w:r>
        <w:rPr>
          <w:rFonts w:cs="Times New Roman"/>
        </w:rPr>
        <w:t>The U.S. Department of Justice, too, believes that agency law is not as clear as the declaratory ruling suggests.  “[A]</w:t>
      </w:r>
      <w:r w:rsidRPr="00DC2714">
        <w:rPr>
          <w:rFonts w:cs="Times New Roman"/>
        </w:rPr>
        <w:t>gency law is highly malleable</w:t>
      </w:r>
      <w:r>
        <w:rPr>
          <w:rFonts w:cs="Times New Roman"/>
        </w:rPr>
        <w:t>” and “is in flux, with multiple—often competing—</w:t>
      </w:r>
      <w:r w:rsidRPr="00DC2714">
        <w:rPr>
          <w:rFonts w:cs="Times New Roman"/>
        </w:rPr>
        <w:t>formulations advanced by litigants and adopted by courts</w:t>
      </w:r>
      <w:r>
        <w:rPr>
          <w:rFonts w:cs="Times New Roman"/>
        </w:rPr>
        <w:t xml:space="preserve">.”  </w:t>
      </w:r>
      <w:r>
        <w:t xml:space="preserve">Dep’t of Justice Oct. 26, 2011 </w:t>
      </w:r>
      <w:r>
        <w:rPr>
          <w:i/>
        </w:rPr>
        <w:t>Ex Parte</w:t>
      </w:r>
      <w:r>
        <w:t xml:space="preserve"> at 4.</w:t>
      </w:r>
      <w:r>
        <w:rPr>
          <w:rFonts w:cs="Times New Roman"/>
        </w:rPr>
        <w:t xml:space="preserve">  “[A]gency law has been articulated and applied inconsistently” and “</w:t>
      </w:r>
      <w:r w:rsidRPr="00364CD1">
        <w:rPr>
          <w:rFonts w:cs="Times New Roman"/>
        </w:rPr>
        <w:t>many agency law principles are</w:t>
      </w:r>
      <w:r>
        <w:rPr>
          <w:rFonts w:cs="Times New Roman"/>
        </w:rPr>
        <w:t xml:space="preserve"> </w:t>
      </w:r>
      <w:r w:rsidRPr="00364CD1">
        <w:rPr>
          <w:rFonts w:cs="Times New Roman"/>
        </w:rPr>
        <w:t xml:space="preserve">inapplicable in </w:t>
      </w:r>
      <w:r>
        <w:rPr>
          <w:rFonts w:cs="Times New Roman"/>
        </w:rPr>
        <w:t xml:space="preserve">[the context of the TCPA].”  </w:t>
      </w:r>
      <w:r>
        <w:t xml:space="preserve">Dep’t of Justice Apr. 8, 2013 </w:t>
      </w:r>
      <w:r>
        <w:rPr>
          <w:i/>
        </w:rPr>
        <w:t>Ex Parte</w:t>
      </w:r>
      <w:r>
        <w:t xml:space="preserve"> at 2.</w:t>
      </w:r>
      <w:r>
        <w:rPr>
          <w:rFonts w:cs="Times New Roman"/>
        </w:rPr>
        <w:t xml:space="preserve">  In short, the courts are still ironing out the warps and woofs of agency law, so much so that the declaratory ruling may not even be invoking the right principles, let alone applying those principles correctly.</w:t>
      </w:r>
    </w:p>
  </w:footnote>
  <w:footnote w:id="36">
    <w:p w14:paraId="12AFCCDF" w14:textId="20D75872" w:rsidR="00275404" w:rsidRDefault="00275404" w:rsidP="004106F5">
      <w:pPr>
        <w:pStyle w:val="FootnoteText"/>
        <w:spacing w:after="120"/>
      </w:pPr>
      <w:r>
        <w:rPr>
          <w:rStyle w:val="FootnoteReference"/>
        </w:rPr>
        <w:footnoteRef/>
      </w:r>
      <w:r>
        <w:t xml:space="preserve"> It bears noting that we do not answer all the questions the courts asked.  For instance, the declaratory ruling declines to resolve what the term “user” means in section 217 of the Communications Act and whether a seller might be liable under that provision, despite the invitation to do so.  </w:t>
      </w:r>
      <w:r w:rsidRPr="00B7466D">
        <w:rPr>
          <w:i/>
        </w:rPr>
        <w:t>See Charvat</w:t>
      </w:r>
      <w:r w:rsidR="00211866">
        <w:rPr>
          <w:i/>
        </w:rPr>
        <w:t xml:space="preserve"> v. Echostar Satellite</w:t>
      </w:r>
      <w:r w:rsidR="00211866">
        <w:t>, 630 F.3d 459, 4</w:t>
      </w:r>
      <w:r w:rsidR="00E564EC">
        <w:t>6</w:t>
      </w:r>
      <w:r w:rsidR="00211866">
        <w:t>5 (6th Ci</w:t>
      </w:r>
      <w:r w:rsidR="003E1A63">
        <w:t>r</w:t>
      </w:r>
      <w:r w:rsidR="00211866">
        <w:t>. 2010)</w:t>
      </w:r>
      <w:r>
        <w:t>.  While disappointing, this is understandable given the fact that we never sought comment on the issue and thus do not have a full record to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DA86" w14:textId="77777777" w:rsidR="004E0B29" w:rsidRDefault="004E0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AAC3" w14:textId="77777777" w:rsidR="004E0B29" w:rsidRDefault="004E0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F77A" w14:textId="77777777" w:rsidR="004E0B29" w:rsidRDefault="004E0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42"/>
    <w:rsid w:val="00001B1F"/>
    <w:rsid w:val="00006856"/>
    <w:rsid w:val="00020DEC"/>
    <w:rsid w:val="0002747C"/>
    <w:rsid w:val="00030D29"/>
    <w:rsid w:val="00032807"/>
    <w:rsid w:val="000328FB"/>
    <w:rsid w:val="000334D6"/>
    <w:rsid w:val="00037D37"/>
    <w:rsid w:val="000424DF"/>
    <w:rsid w:val="00071622"/>
    <w:rsid w:val="00087AC6"/>
    <w:rsid w:val="00090C42"/>
    <w:rsid w:val="0009111C"/>
    <w:rsid w:val="00092F6B"/>
    <w:rsid w:val="00093E10"/>
    <w:rsid w:val="00094148"/>
    <w:rsid w:val="000A2286"/>
    <w:rsid w:val="000A4A7B"/>
    <w:rsid w:val="000B2E2A"/>
    <w:rsid w:val="000B6422"/>
    <w:rsid w:val="000C12F9"/>
    <w:rsid w:val="000E57CE"/>
    <w:rsid w:val="00133B12"/>
    <w:rsid w:val="0014727F"/>
    <w:rsid w:val="00176C5A"/>
    <w:rsid w:val="00185EDC"/>
    <w:rsid w:val="001916DC"/>
    <w:rsid w:val="001A1FC9"/>
    <w:rsid w:val="001B77FA"/>
    <w:rsid w:val="001D4498"/>
    <w:rsid w:val="001F17F7"/>
    <w:rsid w:val="00211866"/>
    <w:rsid w:val="0022049E"/>
    <w:rsid w:val="0022240B"/>
    <w:rsid w:val="00275404"/>
    <w:rsid w:val="00280810"/>
    <w:rsid w:val="00284ADB"/>
    <w:rsid w:val="00296137"/>
    <w:rsid w:val="002C6FC9"/>
    <w:rsid w:val="002D776B"/>
    <w:rsid w:val="002D7835"/>
    <w:rsid w:val="002E70E0"/>
    <w:rsid w:val="003002C0"/>
    <w:rsid w:val="0030497C"/>
    <w:rsid w:val="00343901"/>
    <w:rsid w:val="00346227"/>
    <w:rsid w:val="00351300"/>
    <w:rsid w:val="003550A2"/>
    <w:rsid w:val="00355572"/>
    <w:rsid w:val="0035773E"/>
    <w:rsid w:val="003625C8"/>
    <w:rsid w:val="00364CD1"/>
    <w:rsid w:val="00366930"/>
    <w:rsid w:val="00380C55"/>
    <w:rsid w:val="00386979"/>
    <w:rsid w:val="003B1327"/>
    <w:rsid w:val="003D321F"/>
    <w:rsid w:val="003E1A63"/>
    <w:rsid w:val="003E328D"/>
    <w:rsid w:val="00403CE8"/>
    <w:rsid w:val="004106F5"/>
    <w:rsid w:val="00413094"/>
    <w:rsid w:val="004230DA"/>
    <w:rsid w:val="0044359B"/>
    <w:rsid w:val="00454528"/>
    <w:rsid w:val="004663FD"/>
    <w:rsid w:val="0047126D"/>
    <w:rsid w:val="00472DCB"/>
    <w:rsid w:val="004859C6"/>
    <w:rsid w:val="00493042"/>
    <w:rsid w:val="004B485A"/>
    <w:rsid w:val="004D0BAF"/>
    <w:rsid w:val="004E0B29"/>
    <w:rsid w:val="004F624B"/>
    <w:rsid w:val="005053F7"/>
    <w:rsid w:val="00524F82"/>
    <w:rsid w:val="00526B90"/>
    <w:rsid w:val="0054394E"/>
    <w:rsid w:val="00557259"/>
    <w:rsid w:val="00561300"/>
    <w:rsid w:val="00562BDA"/>
    <w:rsid w:val="00567C99"/>
    <w:rsid w:val="005834B5"/>
    <w:rsid w:val="005A35AF"/>
    <w:rsid w:val="005A6AC7"/>
    <w:rsid w:val="005D1927"/>
    <w:rsid w:val="005E6831"/>
    <w:rsid w:val="005F2507"/>
    <w:rsid w:val="00600E33"/>
    <w:rsid w:val="00612E12"/>
    <w:rsid w:val="00642C21"/>
    <w:rsid w:val="00646458"/>
    <w:rsid w:val="00662673"/>
    <w:rsid w:val="006705C5"/>
    <w:rsid w:val="006734FE"/>
    <w:rsid w:val="00673F63"/>
    <w:rsid w:val="00676E1F"/>
    <w:rsid w:val="0067744B"/>
    <w:rsid w:val="006841B5"/>
    <w:rsid w:val="0068710E"/>
    <w:rsid w:val="006A03D6"/>
    <w:rsid w:val="006A1191"/>
    <w:rsid w:val="006A3D9D"/>
    <w:rsid w:val="006A4763"/>
    <w:rsid w:val="006B03A9"/>
    <w:rsid w:val="006B794F"/>
    <w:rsid w:val="006C2F6C"/>
    <w:rsid w:val="006C5DA8"/>
    <w:rsid w:val="006D1F9A"/>
    <w:rsid w:val="006E4162"/>
    <w:rsid w:val="006F5CD1"/>
    <w:rsid w:val="00720DF3"/>
    <w:rsid w:val="00732083"/>
    <w:rsid w:val="00765B6C"/>
    <w:rsid w:val="00795016"/>
    <w:rsid w:val="00797F7C"/>
    <w:rsid w:val="007B041A"/>
    <w:rsid w:val="007B0468"/>
    <w:rsid w:val="007B1913"/>
    <w:rsid w:val="007B61BB"/>
    <w:rsid w:val="007C36BF"/>
    <w:rsid w:val="007E0E09"/>
    <w:rsid w:val="007E43D3"/>
    <w:rsid w:val="007E455F"/>
    <w:rsid w:val="007F2FA7"/>
    <w:rsid w:val="007F4C3E"/>
    <w:rsid w:val="008009E6"/>
    <w:rsid w:val="008053E9"/>
    <w:rsid w:val="00813CF9"/>
    <w:rsid w:val="00817D0A"/>
    <w:rsid w:val="00821803"/>
    <w:rsid w:val="00830EC9"/>
    <w:rsid w:val="00837E3E"/>
    <w:rsid w:val="0084602A"/>
    <w:rsid w:val="0084626A"/>
    <w:rsid w:val="00851C2A"/>
    <w:rsid w:val="00875DE2"/>
    <w:rsid w:val="0089212B"/>
    <w:rsid w:val="008B65B7"/>
    <w:rsid w:val="008B69EF"/>
    <w:rsid w:val="008D6800"/>
    <w:rsid w:val="008E69D9"/>
    <w:rsid w:val="008F6C7F"/>
    <w:rsid w:val="00907EB0"/>
    <w:rsid w:val="00911418"/>
    <w:rsid w:val="00912E7A"/>
    <w:rsid w:val="00922C06"/>
    <w:rsid w:val="00923EC7"/>
    <w:rsid w:val="0093281C"/>
    <w:rsid w:val="00945670"/>
    <w:rsid w:val="00962F71"/>
    <w:rsid w:val="00962FAF"/>
    <w:rsid w:val="009666C9"/>
    <w:rsid w:val="0096773D"/>
    <w:rsid w:val="00974FDE"/>
    <w:rsid w:val="0099034C"/>
    <w:rsid w:val="009A03DB"/>
    <w:rsid w:val="009A07A4"/>
    <w:rsid w:val="009D2987"/>
    <w:rsid w:val="009D3574"/>
    <w:rsid w:val="00A01522"/>
    <w:rsid w:val="00A13C79"/>
    <w:rsid w:val="00A2407D"/>
    <w:rsid w:val="00A24148"/>
    <w:rsid w:val="00A37763"/>
    <w:rsid w:val="00A55591"/>
    <w:rsid w:val="00A63208"/>
    <w:rsid w:val="00A94D10"/>
    <w:rsid w:val="00AA0F8A"/>
    <w:rsid w:val="00AA3C70"/>
    <w:rsid w:val="00AA4F48"/>
    <w:rsid w:val="00AB2974"/>
    <w:rsid w:val="00AD4BB8"/>
    <w:rsid w:val="00B17FF3"/>
    <w:rsid w:val="00B273F4"/>
    <w:rsid w:val="00B41F44"/>
    <w:rsid w:val="00B66264"/>
    <w:rsid w:val="00B710A8"/>
    <w:rsid w:val="00B7335E"/>
    <w:rsid w:val="00B924AE"/>
    <w:rsid w:val="00B958FB"/>
    <w:rsid w:val="00BA05EC"/>
    <w:rsid w:val="00BB45F9"/>
    <w:rsid w:val="00BB6407"/>
    <w:rsid w:val="00BB6C3F"/>
    <w:rsid w:val="00BC0130"/>
    <w:rsid w:val="00BC0192"/>
    <w:rsid w:val="00BE79AA"/>
    <w:rsid w:val="00C01279"/>
    <w:rsid w:val="00C42409"/>
    <w:rsid w:val="00C571D8"/>
    <w:rsid w:val="00C61782"/>
    <w:rsid w:val="00C70EBC"/>
    <w:rsid w:val="00C7545D"/>
    <w:rsid w:val="00C870C5"/>
    <w:rsid w:val="00C94F6B"/>
    <w:rsid w:val="00C95E8D"/>
    <w:rsid w:val="00CA5F65"/>
    <w:rsid w:val="00CD0228"/>
    <w:rsid w:val="00CF7E16"/>
    <w:rsid w:val="00D11A24"/>
    <w:rsid w:val="00D171DA"/>
    <w:rsid w:val="00D31BEC"/>
    <w:rsid w:val="00D35611"/>
    <w:rsid w:val="00D81BDB"/>
    <w:rsid w:val="00DB7EA0"/>
    <w:rsid w:val="00DC2714"/>
    <w:rsid w:val="00DE7205"/>
    <w:rsid w:val="00E04151"/>
    <w:rsid w:val="00E13613"/>
    <w:rsid w:val="00E30485"/>
    <w:rsid w:val="00E51778"/>
    <w:rsid w:val="00E564EC"/>
    <w:rsid w:val="00E56EB5"/>
    <w:rsid w:val="00E70E29"/>
    <w:rsid w:val="00E71D9B"/>
    <w:rsid w:val="00E71EF8"/>
    <w:rsid w:val="00E8099C"/>
    <w:rsid w:val="00E8362A"/>
    <w:rsid w:val="00E93177"/>
    <w:rsid w:val="00EA2F9A"/>
    <w:rsid w:val="00ED0CAB"/>
    <w:rsid w:val="00ED5678"/>
    <w:rsid w:val="00EE22D6"/>
    <w:rsid w:val="00EE32A2"/>
    <w:rsid w:val="00EF0809"/>
    <w:rsid w:val="00F22D57"/>
    <w:rsid w:val="00F305AF"/>
    <w:rsid w:val="00F46673"/>
    <w:rsid w:val="00F7440F"/>
    <w:rsid w:val="00F761EE"/>
    <w:rsid w:val="00F772C1"/>
    <w:rsid w:val="00F901B5"/>
    <w:rsid w:val="00FA5188"/>
    <w:rsid w:val="00FB3838"/>
    <w:rsid w:val="00FC58B3"/>
    <w:rsid w:val="00FC7734"/>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8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3042"/>
    <w:pPr>
      <w:spacing w:after="0"/>
    </w:pPr>
    <w:rPr>
      <w:sz w:val="20"/>
      <w:szCs w:val="20"/>
    </w:rPr>
  </w:style>
  <w:style w:type="character" w:customStyle="1" w:styleId="FootnoteTextChar">
    <w:name w:val="Footnote Text Char"/>
    <w:basedOn w:val="DefaultParagraphFont"/>
    <w:link w:val="FootnoteText"/>
    <w:uiPriority w:val="99"/>
    <w:rsid w:val="00493042"/>
    <w:rPr>
      <w:sz w:val="20"/>
      <w:szCs w:val="20"/>
    </w:rPr>
  </w:style>
  <w:style w:type="character" w:styleId="FootnoteReference">
    <w:name w:val="footnote reference"/>
    <w:basedOn w:val="DefaultParagraphFont"/>
    <w:unhideWhenUsed/>
    <w:rsid w:val="00493042"/>
    <w:rPr>
      <w:vertAlign w:val="superscript"/>
    </w:rPr>
  </w:style>
  <w:style w:type="paragraph" w:styleId="Header">
    <w:name w:val="header"/>
    <w:basedOn w:val="Normal"/>
    <w:link w:val="HeaderChar"/>
    <w:uiPriority w:val="99"/>
    <w:unhideWhenUsed/>
    <w:rsid w:val="00493042"/>
    <w:pPr>
      <w:tabs>
        <w:tab w:val="center" w:pos="4680"/>
        <w:tab w:val="right" w:pos="9360"/>
      </w:tabs>
      <w:spacing w:after="0"/>
    </w:pPr>
  </w:style>
  <w:style w:type="character" w:customStyle="1" w:styleId="HeaderChar">
    <w:name w:val="Header Char"/>
    <w:basedOn w:val="DefaultParagraphFont"/>
    <w:link w:val="Header"/>
    <w:uiPriority w:val="99"/>
    <w:rsid w:val="00493042"/>
  </w:style>
  <w:style w:type="paragraph" w:styleId="Footer">
    <w:name w:val="footer"/>
    <w:basedOn w:val="Normal"/>
    <w:link w:val="FooterChar"/>
    <w:uiPriority w:val="99"/>
    <w:unhideWhenUsed/>
    <w:rsid w:val="00493042"/>
    <w:pPr>
      <w:tabs>
        <w:tab w:val="center" w:pos="4680"/>
        <w:tab w:val="right" w:pos="9360"/>
      </w:tabs>
      <w:spacing w:after="0"/>
    </w:pPr>
  </w:style>
  <w:style w:type="character" w:customStyle="1" w:styleId="FooterChar">
    <w:name w:val="Footer Char"/>
    <w:basedOn w:val="DefaultParagraphFont"/>
    <w:link w:val="Footer"/>
    <w:uiPriority w:val="99"/>
    <w:rsid w:val="00493042"/>
  </w:style>
  <w:style w:type="paragraph" w:styleId="BalloonText">
    <w:name w:val="Balloon Text"/>
    <w:basedOn w:val="Normal"/>
    <w:link w:val="BalloonTextChar"/>
    <w:uiPriority w:val="99"/>
    <w:semiHidden/>
    <w:unhideWhenUsed/>
    <w:rsid w:val="00851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2A"/>
    <w:rPr>
      <w:rFonts w:ascii="Tahoma" w:hAnsi="Tahoma" w:cs="Tahoma"/>
      <w:sz w:val="16"/>
      <w:szCs w:val="16"/>
    </w:rPr>
  </w:style>
  <w:style w:type="character" w:styleId="CommentReference">
    <w:name w:val="annotation reference"/>
    <w:basedOn w:val="DefaultParagraphFont"/>
    <w:uiPriority w:val="99"/>
    <w:semiHidden/>
    <w:unhideWhenUsed/>
    <w:rsid w:val="00386979"/>
    <w:rPr>
      <w:sz w:val="18"/>
      <w:szCs w:val="18"/>
    </w:rPr>
  </w:style>
  <w:style w:type="paragraph" w:styleId="CommentText">
    <w:name w:val="annotation text"/>
    <w:basedOn w:val="Normal"/>
    <w:link w:val="CommentTextChar"/>
    <w:uiPriority w:val="99"/>
    <w:semiHidden/>
    <w:unhideWhenUsed/>
    <w:rsid w:val="00386979"/>
    <w:rPr>
      <w:sz w:val="24"/>
      <w:szCs w:val="24"/>
    </w:rPr>
  </w:style>
  <w:style w:type="character" w:customStyle="1" w:styleId="CommentTextChar">
    <w:name w:val="Comment Text Char"/>
    <w:basedOn w:val="DefaultParagraphFont"/>
    <w:link w:val="CommentText"/>
    <w:uiPriority w:val="99"/>
    <w:semiHidden/>
    <w:rsid w:val="0038697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86979"/>
    <w:rPr>
      <w:b/>
      <w:bCs/>
      <w:sz w:val="20"/>
      <w:szCs w:val="20"/>
    </w:rPr>
  </w:style>
  <w:style w:type="character" w:customStyle="1" w:styleId="CommentSubjectChar">
    <w:name w:val="Comment Subject Char"/>
    <w:basedOn w:val="CommentTextChar"/>
    <w:link w:val="CommentSubject"/>
    <w:uiPriority w:val="99"/>
    <w:semiHidden/>
    <w:rsid w:val="0038697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8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3042"/>
    <w:pPr>
      <w:spacing w:after="0"/>
    </w:pPr>
    <w:rPr>
      <w:sz w:val="20"/>
      <w:szCs w:val="20"/>
    </w:rPr>
  </w:style>
  <w:style w:type="character" w:customStyle="1" w:styleId="FootnoteTextChar">
    <w:name w:val="Footnote Text Char"/>
    <w:basedOn w:val="DefaultParagraphFont"/>
    <w:link w:val="FootnoteText"/>
    <w:uiPriority w:val="99"/>
    <w:rsid w:val="00493042"/>
    <w:rPr>
      <w:sz w:val="20"/>
      <w:szCs w:val="20"/>
    </w:rPr>
  </w:style>
  <w:style w:type="character" w:styleId="FootnoteReference">
    <w:name w:val="footnote reference"/>
    <w:basedOn w:val="DefaultParagraphFont"/>
    <w:unhideWhenUsed/>
    <w:rsid w:val="00493042"/>
    <w:rPr>
      <w:vertAlign w:val="superscript"/>
    </w:rPr>
  </w:style>
  <w:style w:type="paragraph" w:styleId="Header">
    <w:name w:val="header"/>
    <w:basedOn w:val="Normal"/>
    <w:link w:val="HeaderChar"/>
    <w:uiPriority w:val="99"/>
    <w:unhideWhenUsed/>
    <w:rsid w:val="00493042"/>
    <w:pPr>
      <w:tabs>
        <w:tab w:val="center" w:pos="4680"/>
        <w:tab w:val="right" w:pos="9360"/>
      </w:tabs>
      <w:spacing w:after="0"/>
    </w:pPr>
  </w:style>
  <w:style w:type="character" w:customStyle="1" w:styleId="HeaderChar">
    <w:name w:val="Header Char"/>
    <w:basedOn w:val="DefaultParagraphFont"/>
    <w:link w:val="Header"/>
    <w:uiPriority w:val="99"/>
    <w:rsid w:val="00493042"/>
  </w:style>
  <w:style w:type="paragraph" w:styleId="Footer">
    <w:name w:val="footer"/>
    <w:basedOn w:val="Normal"/>
    <w:link w:val="FooterChar"/>
    <w:uiPriority w:val="99"/>
    <w:unhideWhenUsed/>
    <w:rsid w:val="00493042"/>
    <w:pPr>
      <w:tabs>
        <w:tab w:val="center" w:pos="4680"/>
        <w:tab w:val="right" w:pos="9360"/>
      </w:tabs>
      <w:spacing w:after="0"/>
    </w:pPr>
  </w:style>
  <w:style w:type="character" w:customStyle="1" w:styleId="FooterChar">
    <w:name w:val="Footer Char"/>
    <w:basedOn w:val="DefaultParagraphFont"/>
    <w:link w:val="Footer"/>
    <w:uiPriority w:val="99"/>
    <w:rsid w:val="00493042"/>
  </w:style>
  <w:style w:type="paragraph" w:styleId="BalloonText">
    <w:name w:val="Balloon Text"/>
    <w:basedOn w:val="Normal"/>
    <w:link w:val="BalloonTextChar"/>
    <w:uiPriority w:val="99"/>
    <w:semiHidden/>
    <w:unhideWhenUsed/>
    <w:rsid w:val="00851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2A"/>
    <w:rPr>
      <w:rFonts w:ascii="Tahoma" w:hAnsi="Tahoma" w:cs="Tahoma"/>
      <w:sz w:val="16"/>
      <w:szCs w:val="16"/>
    </w:rPr>
  </w:style>
  <w:style w:type="character" w:styleId="CommentReference">
    <w:name w:val="annotation reference"/>
    <w:basedOn w:val="DefaultParagraphFont"/>
    <w:uiPriority w:val="99"/>
    <w:semiHidden/>
    <w:unhideWhenUsed/>
    <w:rsid w:val="00386979"/>
    <w:rPr>
      <w:sz w:val="18"/>
      <w:szCs w:val="18"/>
    </w:rPr>
  </w:style>
  <w:style w:type="paragraph" w:styleId="CommentText">
    <w:name w:val="annotation text"/>
    <w:basedOn w:val="Normal"/>
    <w:link w:val="CommentTextChar"/>
    <w:uiPriority w:val="99"/>
    <w:semiHidden/>
    <w:unhideWhenUsed/>
    <w:rsid w:val="00386979"/>
    <w:rPr>
      <w:sz w:val="24"/>
      <w:szCs w:val="24"/>
    </w:rPr>
  </w:style>
  <w:style w:type="character" w:customStyle="1" w:styleId="CommentTextChar">
    <w:name w:val="Comment Text Char"/>
    <w:basedOn w:val="DefaultParagraphFont"/>
    <w:link w:val="CommentText"/>
    <w:uiPriority w:val="99"/>
    <w:semiHidden/>
    <w:rsid w:val="0038697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86979"/>
    <w:rPr>
      <w:b/>
      <w:bCs/>
      <w:sz w:val="20"/>
      <w:szCs w:val="20"/>
    </w:rPr>
  </w:style>
  <w:style w:type="character" w:customStyle="1" w:styleId="CommentSubjectChar">
    <w:name w:val="Comment Subject Char"/>
    <w:basedOn w:val="CommentTextChar"/>
    <w:link w:val="CommentSubject"/>
    <w:uiPriority w:val="99"/>
    <w:semiHidden/>
    <w:rsid w:val="0038697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8399">
      <w:bodyDiv w:val="1"/>
      <w:marLeft w:val="0"/>
      <w:marRight w:val="0"/>
      <w:marTop w:val="0"/>
      <w:marBottom w:val="0"/>
      <w:divBdr>
        <w:top w:val="none" w:sz="0" w:space="0" w:color="auto"/>
        <w:left w:val="none" w:sz="0" w:space="0" w:color="auto"/>
        <w:bottom w:val="none" w:sz="0" w:space="0" w:color="auto"/>
        <w:right w:val="none" w:sz="0" w:space="0" w:color="auto"/>
      </w:divBdr>
      <w:divsChild>
        <w:div w:id="632294344">
          <w:marLeft w:val="180"/>
          <w:marRight w:val="0"/>
          <w:marTop w:val="0"/>
          <w:marBottom w:val="0"/>
          <w:divBdr>
            <w:top w:val="none" w:sz="0" w:space="0" w:color="auto"/>
            <w:left w:val="none" w:sz="0" w:space="0" w:color="auto"/>
            <w:bottom w:val="none" w:sz="0" w:space="0" w:color="auto"/>
            <w:right w:val="none" w:sz="0" w:space="0" w:color="auto"/>
          </w:divBdr>
        </w:div>
        <w:div w:id="288827820">
          <w:marLeft w:val="360"/>
          <w:marRight w:val="0"/>
          <w:marTop w:val="0"/>
          <w:marBottom w:val="0"/>
          <w:divBdr>
            <w:top w:val="none" w:sz="0" w:space="0" w:color="auto"/>
            <w:left w:val="none" w:sz="0" w:space="0" w:color="auto"/>
            <w:bottom w:val="none" w:sz="0" w:space="0" w:color="auto"/>
            <w:right w:val="none" w:sz="0" w:space="0" w:color="auto"/>
          </w:divBdr>
        </w:div>
        <w:div w:id="919219466">
          <w:marLeft w:val="360"/>
          <w:marRight w:val="0"/>
          <w:marTop w:val="0"/>
          <w:marBottom w:val="0"/>
          <w:divBdr>
            <w:top w:val="none" w:sz="0" w:space="0" w:color="auto"/>
            <w:left w:val="none" w:sz="0" w:space="0" w:color="auto"/>
            <w:bottom w:val="none" w:sz="0" w:space="0" w:color="auto"/>
            <w:right w:val="none" w:sz="0" w:space="0" w:color="auto"/>
          </w:divBdr>
        </w:div>
        <w:div w:id="1942835085">
          <w:marLeft w:val="360"/>
          <w:marRight w:val="0"/>
          <w:marTop w:val="0"/>
          <w:marBottom w:val="0"/>
          <w:divBdr>
            <w:top w:val="none" w:sz="0" w:space="0" w:color="auto"/>
            <w:left w:val="none" w:sz="0" w:space="0" w:color="auto"/>
            <w:bottom w:val="none" w:sz="0" w:space="0" w:color="auto"/>
            <w:right w:val="none" w:sz="0" w:space="0" w:color="auto"/>
          </w:divBdr>
        </w:div>
        <w:div w:id="1993751339">
          <w:marLeft w:val="360"/>
          <w:marRight w:val="0"/>
          <w:marTop w:val="0"/>
          <w:marBottom w:val="0"/>
          <w:divBdr>
            <w:top w:val="none" w:sz="0" w:space="0" w:color="auto"/>
            <w:left w:val="none" w:sz="0" w:space="0" w:color="auto"/>
            <w:bottom w:val="none" w:sz="0" w:space="0" w:color="auto"/>
            <w:right w:val="none" w:sz="0" w:space="0" w:color="auto"/>
          </w:divBdr>
        </w:div>
      </w:divsChild>
    </w:div>
    <w:div w:id="200092493">
      <w:bodyDiv w:val="1"/>
      <w:marLeft w:val="0"/>
      <w:marRight w:val="0"/>
      <w:marTop w:val="0"/>
      <w:marBottom w:val="0"/>
      <w:divBdr>
        <w:top w:val="none" w:sz="0" w:space="0" w:color="auto"/>
        <w:left w:val="none" w:sz="0" w:space="0" w:color="auto"/>
        <w:bottom w:val="none" w:sz="0" w:space="0" w:color="auto"/>
        <w:right w:val="none" w:sz="0" w:space="0" w:color="auto"/>
      </w:divBdr>
    </w:div>
    <w:div w:id="749470120">
      <w:bodyDiv w:val="1"/>
      <w:marLeft w:val="0"/>
      <w:marRight w:val="0"/>
      <w:marTop w:val="0"/>
      <w:marBottom w:val="0"/>
      <w:divBdr>
        <w:top w:val="none" w:sz="0" w:space="0" w:color="auto"/>
        <w:left w:val="none" w:sz="0" w:space="0" w:color="auto"/>
        <w:bottom w:val="none" w:sz="0" w:space="0" w:color="auto"/>
        <w:right w:val="none" w:sz="0" w:space="0" w:color="auto"/>
      </w:divBdr>
      <w:divsChild>
        <w:div w:id="1033651849">
          <w:marLeft w:val="180"/>
          <w:marRight w:val="0"/>
          <w:marTop w:val="0"/>
          <w:marBottom w:val="0"/>
          <w:divBdr>
            <w:top w:val="none" w:sz="0" w:space="0" w:color="auto"/>
            <w:left w:val="none" w:sz="0" w:space="0" w:color="auto"/>
            <w:bottom w:val="none" w:sz="0" w:space="0" w:color="auto"/>
            <w:right w:val="none" w:sz="0" w:space="0" w:color="auto"/>
          </w:divBdr>
        </w:div>
        <w:div w:id="571894791">
          <w:marLeft w:val="360"/>
          <w:marRight w:val="0"/>
          <w:marTop w:val="0"/>
          <w:marBottom w:val="0"/>
          <w:divBdr>
            <w:top w:val="none" w:sz="0" w:space="0" w:color="auto"/>
            <w:left w:val="none" w:sz="0" w:space="0" w:color="auto"/>
            <w:bottom w:val="none" w:sz="0" w:space="0" w:color="auto"/>
            <w:right w:val="none" w:sz="0" w:space="0" w:color="auto"/>
          </w:divBdr>
        </w:div>
        <w:div w:id="1609505779">
          <w:marLeft w:val="360"/>
          <w:marRight w:val="0"/>
          <w:marTop w:val="0"/>
          <w:marBottom w:val="0"/>
          <w:divBdr>
            <w:top w:val="none" w:sz="0" w:space="0" w:color="auto"/>
            <w:left w:val="none" w:sz="0" w:space="0" w:color="auto"/>
            <w:bottom w:val="none" w:sz="0" w:space="0" w:color="auto"/>
            <w:right w:val="none" w:sz="0" w:space="0" w:color="auto"/>
          </w:divBdr>
        </w:div>
        <w:div w:id="1233003024">
          <w:marLeft w:val="360"/>
          <w:marRight w:val="0"/>
          <w:marTop w:val="0"/>
          <w:marBottom w:val="0"/>
          <w:divBdr>
            <w:top w:val="none" w:sz="0" w:space="0" w:color="auto"/>
            <w:left w:val="none" w:sz="0" w:space="0" w:color="auto"/>
            <w:bottom w:val="none" w:sz="0" w:space="0" w:color="auto"/>
            <w:right w:val="none" w:sz="0" w:space="0" w:color="auto"/>
          </w:divBdr>
        </w:div>
        <w:div w:id="1330330372">
          <w:marLeft w:val="360"/>
          <w:marRight w:val="0"/>
          <w:marTop w:val="0"/>
          <w:marBottom w:val="0"/>
          <w:divBdr>
            <w:top w:val="none" w:sz="0" w:space="0" w:color="auto"/>
            <w:left w:val="none" w:sz="0" w:space="0" w:color="auto"/>
            <w:bottom w:val="none" w:sz="0" w:space="0" w:color="auto"/>
            <w:right w:val="none" w:sz="0" w:space="0" w:color="auto"/>
          </w:divBdr>
        </w:div>
      </w:divsChild>
    </w:div>
    <w:div w:id="18336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2874</Words>
  <Characters>15377</Characters>
  <Application>Microsoft Office Word</Application>
  <DocSecurity>0</DocSecurity>
  <Lines>194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2013-04-25T18:33:00Z</cp:lastPrinted>
  <dcterms:created xsi:type="dcterms:W3CDTF">2013-05-09T19:48:00Z</dcterms:created>
  <dcterms:modified xsi:type="dcterms:W3CDTF">2013-05-09T19:48:00Z</dcterms:modified>
  <cp:category> </cp:category>
  <cp:contentStatus> </cp:contentStatus>
</cp:coreProperties>
</file>