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0D" w:rsidRPr="004F4637" w:rsidRDefault="00DA5FF9" w:rsidP="004A5DA2">
      <w:pPr>
        <w:jc w:val="center"/>
        <w:rPr>
          <w:sz w:val="22"/>
        </w:rPr>
      </w:pPr>
      <w:bookmarkStart w:id="0" w:name="_GoBack"/>
      <w:bookmarkEnd w:id="0"/>
      <w:r w:rsidRPr="004F4637">
        <w:rPr>
          <w:b/>
          <w:sz w:val="22"/>
        </w:rPr>
        <w:t>STATEMENT OF</w:t>
      </w:r>
      <w:r w:rsidRPr="004F4637">
        <w:rPr>
          <w:b/>
          <w:sz w:val="22"/>
        </w:rPr>
        <w:br/>
      </w:r>
      <w:r w:rsidR="00AE660D" w:rsidRPr="004F4637">
        <w:rPr>
          <w:b/>
          <w:sz w:val="22"/>
        </w:rPr>
        <w:t>COMMISSIONER AJIT PAI</w:t>
      </w:r>
    </w:p>
    <w:p w:rsidR="00AE660D" w:rsidRPr="004F4637" w:rsidRDefault="00AE660D" w:rsidP="00A060E3">
      <w:pPr>
        <w:ind w:left="720" w:hanging="720"/>
        <w:rPr>
          <w:sz w:val="22"/>
        </w:rPr>
      </w:pPr>
      <w:r w:rsidRPr="004F4637">
        <w:rPr>
          <w:sz w:val="22"/>
        </w:rPr>
        <w:t>Re:</w:t>
      </w:r>
      <w:r w:rsidRPr="004F4637">
        <w:rPr>
          <w:sz w:val="22"/>
        </w:rPr>
        <w:tab/>
      </w:r>
      <w:r w:rsidR="00A060E3" w:rsidRPr="004F4637">
        <w:rPr>
          <w:i/>
          <w:sz w:val="22"/>
        </w:rPr>
        <w:t>Promoting Technological Solutions to Combat Contraband Wireless Device Use in Correctional Facilities</w:t>
      </w:r>
      <w:r w:rsidR="00A060E3" w:rsidRPr="004F4637">
        <w:rPr>
          <w:sz w:val="22"/>
        </w:rPr>
        <w:t>, GN Docket No. 13-</w:t>
      </w:r>
      <w:r w:rsidR="00F0535D" w:rsidRPr="004F4637">
        <w:rPr>
          <w:sz w:val="22"/>
        </w:rPr>
        <w:t>111</w:t>
      </w:r>
      <w:r w:rsidR="00DA5FF9" w:rsidRPr="004F4637">
        <w:rPr>
          <w:sz w:val="22"/>
        </w:rPr>
        <w:t>.</w:t>
      </w:r>
    </w:p>
    <w:p w:rsidR="00AE660D" w:rsidRPr="004F4637" w:rsidRDefault="00AE660D" w:rsidP="00DA5FF9">
      <w:pPr>
        <w:ind w:firstLine="720"/>
        <w:rPr>
          <w:sz w:val="22"/>
        </w:rPr>
      </w:pPr>
      <w:r w:rsidRPr="004F4637">
        <w:rPr>
          <w:sz w:val="22"/>
        </w:rPr>
        <w:t xml:space="preserve">Late last year, the Commission issued a Notice of Proposed Rulemaking to explore whether we should </w:t>
      </w:r>
      <w:r w:rsidR="00FE298B" w:rsidRPr="004F4637">
        <w:rPr>
          <w:sz w:val="22"/>
        </w:rPr>
        <w:t>take action</w:t>
      </w:r>
      <w:r w:rsidRPr="004F4637">
        <w:rPr>
          <w:sz w:val="22"/>
        </w:rPr>
        <w:t xml:space="preserve"> to ensure that rates for interstate interexchange inmate calling services are just and reasonable.</w:t>
      </w:r>
      <w:r w:rsidRPr="004F4637">
        <w:rPr>
          <w:rStyle w:val="FootnoteReference"/>
          <w:sz w:val="22"/>
        </w:rPr>
        <w:footnoteReference w:id="1"/>
      </w:r>
      <w:r w:rsidRPr="004F4637">
        <w:rPr>
          <w:sz w:val="22"/>
        </w:rPr>
        <w:t xml:space="preserve">  In that item, we noted that allowing prisoners to maintain regular contact with their family members can help reduce recidivism.</w:t>
      </w:r>
      <w:r w:rsidRPr="004F4637">
        <w:rPr>
          <w:rStyle w:val="FootnoteReference"/>
          <w:sz w:val="22"/>
        </w:rPr>
        <w:footnoteReference w:id="2"/>
      </w:r>
    </w:p>
    <w:p w:rsidR="00AE660D" w:rsidRPr="004F4637" w:rsidRDefault="00AE660D" w:rsidP="00DA5FF9">
      <w:pPr>
        <w:ind w:firstLine="720"/>
        <w:rPr>
          <w:sz w:val="22"/>
        </w:rPr>
      </w:pPr>
      <w:r w:rsidRPr="004F4637">
        <w:rPr>
          <w:sz w:val="22"/>
        </w:rPr>
        <w:t xml:space="preserve">But while </w:t>
      </w:r>
      <w:r w:rsidRPr="004F4637">
        <w:rPr>
          <w:i/>
          <w:sz w:val="22"/>
        </w:rPr>
        <w:t>authorized</w:t>
      </w:r>
      <w:r w:rsidRPr="004F4637">
        <w:rPr>
          <w:sz w:val="22"/>
        </w:rPr>
        <w:t xml:space="preserve"> phone calls placed by those who are incarcerated can produce real benefits, </w:t>
      </w:r>
      <w:r w:rsidRPr="004F4637">
        <w:rPr>
          <w:i/>
          <w:sz w:val="22"/>
        </w:rPr>
        <w:t xml:space="preserve">unauthorized </w:t>
      </w:r>
      <w:r w:rsidRPr="004F4637">
        <w:rPr>
          <w:sz w:val="22"/>
        </w:rPr>
        <w:t xml:space="preserve">phone calls between prisoners and their associates on the outside can be quite dangerous.  Take the case of Patrick Byers.  </w:t>
      </w:r>
      <w:r w:rsidR="00D133C0" w:rsidRPr="004F4637">
        <w:rPr>
          <w:sz w:val="22"/>
        </w:rPr>
        <w:t xml:space="preserve">In mid-2007, </w:t>
      </w:r>
      <w:r w:rsidRPr="004F4637">
        <w:rPr>
          <w:sz w:val="22"/>
        </w:rPr>
        <w:t xml:space="preserve">Byers was </w:t>
      </w:r>
      <w:r w:rsidR="00D133C0" w:rsidRPr="004F4637">
        <w:rPr>
          <w:sz w:val="22"/>
        </w:rPr>
        <w:t xml:space="preserve">being </w:t>
      </w:r>
      <w:r w:rsidRPr="004F4637">
        <w:rPr>
          <w:sz w:val="22"/>
        </w:rPr>
        <w:t xml:space="preserve">held </w:t>
      </w:r>
      <w:r w:rsidR="00D133C0" w:rsidRPr="004F4637">
        <w:rPr>
          <w:sz w:val="22"/>
        </w:rPr>
        <w:t xml:space="preserve">in a Baltimore detention center awaiting </w:t>
      </w:r>
      <w:r w:rsidRPr="004F4637">
        <w:rPr>
          <w:sz w:val="22"/>
        </w:rPr>
        <w:t xml:space="preserve">trial on </w:t>
      </w:r>
      <w:r w:rsidR="00D133C0" w:rsidRPr="004F4637">
        <w:rPr>
          <w:sz w:val="22"/>
        </w:rPr>
        <w:t xml:space="preserve">a </w:t>
      </w:r>
      <w:r w:rsidRPr="004F4637">
        <w:rPr>
          <w:sz w:val="22"/>
        </w:rPr>
        <w:t>murder</w:t>
      </w:r>
      <w:r w:rsidR="00D133C0" w:rsidRPr="004F4637">
        <w:rPr>
          <w:sz w:val="22"/>
        </w:rPr>
        <w:t xml:space="preserve"> charge</w:t>
      </w:r>
      <w:r w:rsidR="00A55A52" w:rsidRPr="004F4637">
        <w:rPr>
          <w:sz w:val="22"/>
        </w:rPr>
        <w:t>.  Unfortunately</w:t>
      </w:r>
      <w:r w:rsidRPr="004F4637">
        <w:rPr>
          <w:sz w:val="22"/>
        </w:rPr>
        <w:t xml:space="preserve">, like many of the inmates </w:t>
      </w:r>
      <w:r w:rsidR="00B11088" w:rsidRPr="004F4637">
        <w:rPr>
          <w:sz w:val="22"/>
        </w:rPr>
        <w:t xml:space="preserve">in </w:t>
      </w:r>
      <w:r w:rsidRPr="004F4637">
        <w:rPr>
          <w:sz w:val="22"/>
        </w:rPr>
        <w:t xml:space="preserve">that facility, Byers had access to a contraband cell phone.  With his trial </w:t>
      </w:r>
      <w:r w:rsidR="00D133C0" w:rsidRPr="004F4637">
        <w:rPr>
          <w:sz w:val="22"/>
        </w:rPr>
        <w:t xml:space="preserve">only </w:t>
      </w:r>
      <w:r w:rsidRPr="004F4637">
        <w:rPr>
          <w:sz w:val="22"/>
        </w:rPr>
        <w:t>8 days away, Byers used that cell phone to order the murder of Carl Lackl</w:t>
      </w:r>
      <w:r w:rsidR="00507708" w:rsidRPr="004F4637">
        <w:rPr>
          <w:sz w:val="22"/>
        </w:rPr>
        <w:t>, whom Byers’ associates then killed</w:t>
      </w:r>
      <w:r w:rsidR="00B11088" w:rsidRPr="004F4637">
        <w:rPr>
          <w:sz w:val="22"/>
        </w:rPr>
        <w:t xml:space="preserve"> on his front lawn</w:t>
      </w:r>
      <w:r w:rsidRPr="004F4637">
        <w:rPr>
          <w:sz w:val="22"/>
        </w:rPr>
        <w:t>.</w:t>
      </w:r>
      <w:r w:rsidR="00B11088" w:rsidRPr="004F4637">
        <w:rPr>
          <w:rStyle w:val="FootnoteReference"/>
          <w:sz w:val="22"/>
        </w:rPr>
        <w:footnoteReference w:id="3"/>
      </w:r>
      <w:r w:rsidRPr="004F4637">
        <w:rPr>
          <w:sz w:val="22"/>
        </w:rPr>
        <w:t xml:space="preserve">  Lackl, a 38 year-old father, was </w:t>
      </w:r>
      <w:r w:rsidR="00B11088" w:rsidRPr="004F4637">
        <w:rPr>
          <w:sz w:val="22"/>
        </w:rPr>
        <w:t xml:space="preserve">the prosecution’s key witness to the crime—an innocent man who suffered the sad serendipity </w:t>
      </w:r>
      <w:r w:rsidRPr="004F4637">
        <w:rPr>
          <w:sz w:val="22"/>
        </w:rPr>
        <w:t xml:space="preserve">of </w:t>
      </w:r>
      <w:r w:rsidR="00B11088" w:rsidRPr="004F4637">
        <w:rPr>
          <w:sz w:val="22"/>
        </w:rPr>
        <w:t xml:space="preserve">being </w:t>
      </w:r>
      <w:r w:rsidRPr="004F4637">
        <w:rPr>
          <w:sz w:val="22"/>
        </w:rPr>
        <w:t xml:space="preserve">in the </w:t>
      </w:r>
      <w:r w:rsidR="00DA5FF9" w:rsidRPr="004F4637">
        <w:rPr>
          <w:sz w:val="22"/>
        </w:rPr>
        <w:t>wrong place at the wrong time.</w:t>
      </w:r>
    </w:p>
    <w:p w:rsidR="00BA4EB3" w:rsidRPr="004F4637" w:rsidRDefault="00AE660D" w:rsidP="00DA5FF9">
      <w:pPr>
        <w:ind w:firstLine="720"/>
        <w:rPr>
          <w:sz w:val="22"/>
        </w:rPr>
      </w:pPr>
      <w:r w:rsidRPr="004F4637">
        <w:rPr>
          <w:sz w:val="22"/>
        </w:rPr>
        <w:t>Unfortunately, stories like this one are not uncommon,</w:t>
      </w:r>
      <w:r w:rsidR="00A138B3" w:rsidRPr="004F4637">
        <w:rPr>
          <w:rStyle w:val="FootnoteReference"/>
          <w:sz w:val="22"/>
        </w:rPr>
        <w:footnoteReference w:id="4"/>
      </w:r>
      <w:r w:rsidRPr="004F4637">
        <w:rPr>
          <w:sz w:val="22"/>
        </w:rPr>
        <w:t xml:space="preserve"> so it’s not an exaggeration to say that </w:t>
      </w:r>
      <w:r w:rsidR="00396319" w:rsidRPr="004F4637">
        <w:rPr>
          <w:sz w:val="22"/>
        </w:rPr>
        <w:t xml:space="preserve">preventing </w:t>
      </w:r>
      <w:r w:rsidRPr="004F4637">
        <w:rPr>
          <w:sz w:val="22"/>
        </w:rPr>
        <w:t xml:space="preserve">prisoners </w:t>
      </w:r>
      <w:r w:rsidR="00396319" w:rsidRPr="004F4637">
        <w:rPr>
          <w:sz w:val="22"/>
        </w:rPr>
        <w:t xml:space="preserve">from </w:t>
      </w:r>
      <w:r w:rsidRPr="004F4637">
        <w:rPr>
          <w:sz w:val="22"/>
        </w:rPr>
        <w:t>mak</w:t>
      </w:r>
      <w:r w:rsidR="00396319" w:rsidRPr="004F4637">
        <w:rPr>
          <w:sz w:val="22"/>
        </w:rPr>
        <w:t>ing</w:t>
      </w:r>
      <w:r w:rsidRPr="004F4637">
        <w:rPr>
          <w:sz w:val="22"/>
        </w:rPr>
        <w:t xml:space="preserve"> unauthorized phone calls can save lives.  Today’s item is an important step </w:t>
      </w:r>
      <w:r w:rsidR="00D426DD" w:rsidRPr="004F4637">
        <w:rPr>
          <w:sz w:val="22"/>
        </w:rPr>
        <w:t>towards</w:t>
      </w:r>
      <w:r w:rsidRPr="004F4637">
        <w:rPr>
          <w:sz w:val="22"/>
        </w:rPr>
        <w:t xml:space="preserve"> achieving that goal.  I look forward to reviewing the record that will be compiled in response to our </w:t>
      </w:r>
      <w:r w:rsidR="00DA5FF9" w:rsidRPr="004F4637">
        <w:rPr>
          <w:sz w:val="22"/>
        </w:rPr>
        <w:t xml:space="preserve">Notice </w:t>
      </w:r>
      <w:r w:rsidRPr="004F4637">
        <w:rPr>
          <w:sz w:val="22"/>
        </w:rPr>
        <w:t>and hope that we will act quickly to crack down on inmates’ use o</w:t>
      </w:r>
      <w:r w:rsidR="00DA5FF9" w:rsidRPr="004F4637">
        <w:rPr>
          <w:sz w:val="22"/>
        </w:rPr>
        <w:t>f contraband wireless devices.</w:t>
      </w:r>
    </w:p>
    <w:sectPr w:rsidR="00BA4EB3" w:rsidRPr="004F46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87" w:rsidRDefault="00AD5387" w:rsidP="00AE660D">
      <w:pPr>
        <w:spacing w:after="0"/>
      </w:pPr>
      <w:r>
        <w:separator/>
      </w:r>
    </w:p>
  </w:endnote>
  <w:endnote w:type="continuationSeparator" w:id="0">
    <w:p w:rsidR="00AD5387" w:rsidRDefault="00AD5387" w:rsidP="00AE6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8F" w:rsidRDefault="00E96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8F" w:rsidRDefault="00E96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8F" w:rsidRDefault="00E9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87" w:rsidRDefault="00AD5387" w:rsidP="00AE660D">
      <w:pPr>
        <w:spacing w:after="0"/>
      </w:pPr>
      <w:r>
        <w:separator/>
      </w:r>
    </w:p>
  </w:footnote>
  <w:footnote w:type="continuationSeparator" w:id="0">
    <w:p w:rsidR="00AD5387" w:rsidRDefault="00AD5387" w:rsidP="00AE660D">
      <w:pPr>
        <w:spacing w:after="0"/>
      </w:pPr>
      <w:r>
        <w:continuationSeparator/>
      </w:r>
    </w:p>
  </w:footnote>
  <w:footnote w:id="1">
    <w:p w:rsidR="00AE660D" w:rsidRPr="004265A6" w:rsidRDefault="00AE660D" w:rsidP="00F0535D">
      <w:pPr>
        <w:pStyle w:val="FootnoteText"/>
        <w:spacing w:after="120"/>
      </w:pPr>
      <w:r>
        <w:rPr>
          <w:rStyle w:val="FootnoteReference"/>
        </w:rPr>
        <w:footnoteRef/>
      </w:r>
      <w:r>
        <w:t xml:space="preserve"> </w:t>
      </w:r>
      <w:r w:rsidR="00123927">
        <w:rPr>
          <w:i/>
        </w:rPr>
        <w:t xml:space="preserve">See </w:t>
      </w:r>
      <w:r w:rsidR="004265A6">
        <w:rPr>
          <w:i/>
        </w:rPr>
        <w:t>Rates for Interstate Inmate Calling Services</w:t>
      </w:r>
      <w:r w:rsidR="004265A6">
        <w:t xml:space="preserve">, WC Docket No. 12-375, Notice of Proposed Rulemaking, </w:t>
      </w:r>
      <w:r w:rsidR="00DA5FF9">
        <w:t>27 FCC Rcd 16629</w:t>
      </w:r>
      <w:r w:rsidR="004265A6">
        <w:t xml:space="preserve"> (2012).</w:t>
      </w:r>
    </w:p>
  </w:footnote>
  <w:footnote w:id="2">
    <w:p w:rsidR="00AE660D" w:rsidRPr="00123927" w:rsidRDefault="00AE660D" w:rsidP="00F0535D">
      <w:pPr>
        <w:pStyle w:val="FootnoteText"/>
        <w:spacing w:after="120"/>
      </w:pPr>
      <w:r>
        <w:rPr>
          <w:rStyle w:val="FootnoteReference"/>
        </w:rPr>
        <w:footnoteRef/>
      </w:r>
      <w:r>
        <w:t xml:space="preserve"> </w:t>
      </w:r>
      <w:r w:rsidR="004034EF">
        <w:rPr>
          <w:i/>
        </w:rPr>
        <w:t>I</w:t>
      </w:r>
      <w:r w:rsidR="00123927">
        <w:rPr>
          <w:i/>
        </w:rPr>
        <w:t>d.</w:t>
      </w:r>
      <w:r w:rsidR="00123927">
        <w:t xml:space="preserve"> at </w:t>
      </w:r>
      <w:r w:rsidR="00DA5FF9">
        <w:t xml:space="preserve">16631–32, 16646, paras. </w:t>
      </w:r>
      <w:r w:rsidR="00123927">
        <w:t>3–4, 48</w:t>
      </w:r>
      <w:r w:rsidR="004F4637">
        <w:t>,</w:t>
      </w:r>
      <w:r w:rsidR="00123927">
        <w:t xml:space="preserve"> </w:t>
      </w:r>
      <w:r w:rsidR="00DA5FF9">
        <w:t xml:space="preserve">&amp; </w:t>
      </w:r>
      <w:r w:rsidR="00123927">
        <w:t>n.155.</w:t>
      </w:r>
    </w:p>
  </w:footnote>
  <w:footnote w:id="3">
    <w:p w:rsidR="00B11088" w:rsidRPr="00123927" w:rsidRDefault="00B11088" w:rsidP="00F0535D">
      <w:pPr>
        <w:pStyle w:val="FootnoteText"/>
        <w:spacing w:after="120"/>
      </w:pPr>
      <w:r>
        <w:rPr>
          <w:rStyle w:val="FootnoteReference"/>
        </w:rPr>
        <w:footnoteRef/>
      </w:r>
      <w:r>
        <w:t xml:space="preserve"> Tricia Bishop, </w:t>
      </w:r>
      <w:r>
        <w:rPr>
          <w:i/>
        </w:rPr>
        <w:t>Murder on Call</w:t>
      </w:r>
      <w:r>
        <w:t>, Balt</w:t>
      </w:r>
      <w:r w:rsidR="00DA5FF9">
        <w:t>imore</w:t>
      </w:r>
      <w:r>
        <w:t xml:space="preserve"> Sun (Apr. 26, 2009), </w:t>
      </w:r>
      <w:r>
        <w:rPr>
          <w:i/>
        </w:rPr>
        <w:t>available at</w:t>
      </w:r>
      <w:r>
        <w:t xml:space="preserve"> </w:t>
      </w:r>
      <w:r w:rsidRPr="00123927">
        <w:t>http://articles.baltimoresun.com/2009-04-26/news/bal-te.md.murder26apr26_1_marcus-antwan-pearson-trial-witness-patrick-byers</w:t>
      </w:r>
      <w:r>
        <w:t>.</w:t>
      </w:r>
    </w:p>
  </w:footnote>
  <w:footnote w:id="4">
    <w:p w:rsidR="00A138B3" w:rsidRPr="00A138B3" w:rsidRDefault="00A138B3" w:rsidP="00F0535D">
      <w:pPr>
        <w:pStyle w:val="FootnoteText"/>
        <w:spacing w:after="120"/>
      </w:pPr>
      <w:r>
        <w:rPr>
          <w:rStyle w:val="FootnoteReference"/>
        </w:rPr>
        <w:footnoteRef/>
      </w:r>
      <w:r>
        <w:t xml:space="preserve"> </w:t>
      </w:r>
      <w:r w:rsidRPr="00F0535D">
        <w:rPr>
          <w:i/>
        </w:rPr>
        <w:t>See, e.g.</w:t>
      </w:r>
      <w:r>
        <w:t xml:space="preserve">, </w:t>
      </w:r>
      <w:r>
        <w:rPr>
          <w:i/>
        </w:rPr>
        <w:t>Feds: 25 Charged in Scheme to Smuggle Drugs, Cellphones into Baltimore Jail Facility</w:t>
      </w:r>
      <w:r w:rsidR="004F4637">
        <w:t>, Washington Post (Apr.</w:t>
      </w:r>
      <w:r>
        <w:t xml:space="preserve"> 23, 2013)</w:t>
      </w:r>
      <w:r w:rsidR="004F4637">
        <w:t xml:space="preserve"> (“</w:t>
      </w:r>
      <w:r w:rsidR="004F4637" w:rsidRPr="00A138B3">
        <w:t>BGF has become the dominant gang at the prison complex, where members used the contraband cellphones to arrange drug smuggling and sexual encounters as well as to warn of investigations and order assaults and murders, according to the court documents.</w:t>
      </w:r>
      <w:r w:rsidR="004F4637">
        <w:t>”)</w:t>
      </w:r>
      <w:r>
        <w:t xml:space="preserve">, </w:t>
      </w:r>
      <w:r w:rsidRPr="00F0535D">
        <w:rPr>
          <w:i/>
        </w:rPr>
        <w:t>available at</w:t>
      </w:r>
      <w:r>
        <w:t xml:space="preserve"> </w:t>
      </w:r>
      <w:r w:rsidRPr="004F4637">
        <w:t>http://www.washingtonpost.com/local/feds-25-charged-in-scheme-to-smuggle-drugs-cellphones-into-baltimore-jail-facility/2013/04/23/ae12dfd4-ac7c-11e2-9493-2ff3bf26c4b4_story.html</w:t>
      </w:r>
      <w:r>
        <w:t xml:space="preserve">; Indictment, </w:t>
      </w:r>
      <w:r w:rsidRPr="00F0535D">
        <w:rPr>
          <w:i/>
        </w:rPr>
        <w:t>U.S. v. White</w:t>
      </w:r>
      <w:r w:rsidR="00667F3A" w:rsidRPr="00F0535D">
        <w:t xml:space="preserve"> </w:t>
      </w:r>
      <w:r w:rsidR="00667F3A">
        <w:rPr>
          <w:i/>
        </w:rPr>
        <w:t>et al.</w:t>
      </w:r>
      <w:r w:rsidR="00F0535D">
        <w:t>, at 10</w:t>
      </w:r>
      <w:r>
        <w:t xml:space="preserve"> (D. Md.) (Criminal No. ELH-13-0151, Apr. 1, 2013) (“The availability of contraband cell phones was the crucial device to link and coordinate all BGF criminal activity inside and outside the prison faci</w:t>
      </w:r>
      <w:r w:rsidR="00667F3A">
        <w:t>lities.</w:t>
      </w:r>
      <w:r w:rsidR="00F053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8F" w:rsidRDefault="00E96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8F" w:rsidRDefault="00E96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8F" w:rsidRDefault="00E96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0D"/>
    <w:rsid w:val="000C3A48"/>
    <w:rsid w:val="00123927"/>
    <w:rsid w:val="001261DE"/>
    <w:rsid w:val="001358BE"/>
    <w:rsid w:val="001F08A4"/>
    <w:rsid w:val="00396319"/>
    <w:rsid w:val="004034EF"/>
    <w:rsid w:val="004200B3"/>
    <w:rsid w:val="004265A6"/>
    <w:rsid w:val="004A5DA2"/>
    <w:rsid w:val="004E1131"/>
    <w:rsid w:val="004F4637"/>
    <w:rsid w:val="00507708"/>
    <w:rsid w:val="0052046A"/>
    <w:rsid w:val="00657BC5"/>
    <w:rsid w:val="00667F3A"/>
    <w:rsid w:val="006939A9"/>
    <w:rsid w:val="006B30C9"/>
    <w:rsid w:val="00705DBF"/>
    <w:rsid w:val="00771AA1"/>
    <w:rsid w:val="00834348"/>
    <w:rsid w:val="008D6861"/>
    <w:rsid w:val="00935CF1"/>
    <w:rsid w:val="00945655"/>
    <w:rsid w:val="00993D88"/>
    <w:rsid w:val="00A060E3"/>
    <w:rsid w:val="00A138B3"/>
    <w:rsid w:val="00A55A52"/>
    <w:rsid w:val="00AD5387"/>
    <w:rsid w:val="00AE660D"/>
    <w:rsid w:val="00B11088"/>
    <w:rsid w:val="00B85091"/>
    <w:rsid w:val="00C92EAF"/>
    <w:rsid w:val="00D133C0"/>
    <w:rsid w:val="00D35C49"/>
    <w:rsid w:val="00D426DD"/>
    <w:rsid w:val="00DA1C48"/>
    <w:rsid w:val="00DA5FF9"/>
    <w:rsid w:val="00E96D8F"/>
    <w:rsid w:val="00F0535D"/>
    <w:rsid w:val="00FE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0D"/>
    <w:pPr>
      <w:spacing w:after="120" w:line="240" w:lineRule="auto"/>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60D"/>
    <w:pPr>
      <w:spacing w:after="0"/>
    </w:pPr>
    <w:rPr>
      <w:sz w:val="20"/>
      <w:szCs w:val="20"/>
    </w:rPr>
  </w:style>
  <w:style w:type="character" w:customStyle="1" w:styleId="FootnoteTextChar">
    <w:name w:val="Footnote Text Char"/>
    <w:basedOn w:val="DefaultParagraphFont"/>
    <w:link w:val="FootnoteText"/>
    <w:uiPriority w:val="99"/>
    <w:semiHidden/>
    <w:rsid w:val="00AE660D"/>
    <w:rPr>
      <w:rFonts w:ascii="Times" w:hAnsi="Times"/>
      <w:sz w:val="20"/>
      <w:szCs w:val="20"/>
    </w:rPr>
  </w:style>
  <w:style w:type="character" w:styleId="FootnoteReference">
    <w:name w:val="footnote reference"/>
    <w:basedOn w:val="DefaultParagraphFont"/>
    <w:uiPriority w:val="99"/>
    <w:semiHidden/>
    <w:unhideWhenUsed/>
    <w:rsid w:val="00AE660D"/>
    <w:rPr>
      <w:vertAlign w:val="superscript"/>
    </w:rPr>
  </w:style>
  <w:style w:type="character" w:styleId="Hyperlink">
    <w:name w:val="Hyperlink"/>
    <w:basedOn w:val="DefaultParagraphFont"/>
    <w:uiPriority w:val="99"/>
    <w:unhideWhenUsed/>
    <w:rsid w:val="00123927"/>
    <w:rPr>
      <w:color w:val="0000FF" w:themeColor="hyperlink"/>
      <w:u w:val="single"/>
    </w:rPr>
  </w:style>
  <w:style w:type="paragraph" w:styleId="BalloonText">
    <w:name w:val="Balloon Text"/>
    <w:basedOn w:val="Normal"/>
    <w:link w:val="BalloonTextChar"/>
    <w:uiPriority w:val="99"/>
    <w:semiHidden/>
    <w:unhideWhenUsed/>
    <w:rsid w:val="00B11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88"/>
    <w:rPr>
      <w:rFonts w:ascii="Tahoma" w:hAnsi="Tahoma" w:cs="Tahoma"/>
      <w:sz w:val="16"/>
      <w:szCs w:val="16"/>
    </w:rPr>
  </w:style>
  <w:style w:type="paragraph" w:styleId="Header">
    <w:name w:val="header"/>
    <w:basedOn w:val="Normal"/>
    <w:link w:val="HeaderChar"/>
    <w:uiPriority w:val="99"/>
    <w:unhideWhenUsed/>
    <w:rsid w:val="00771AA1"/>
    <w:pPr>
      <w:tabs>
        <w:tab w:val="center" w:pos="4680"/>
        <w:tab w:val="right" w:pos="9360"/>
      </w:tabs>
      <w:spacing w:after="0"/>
    </w:pPr>
  </w:style>
  <w:style w:type="character" w:customStyle="1" w:styleId="HeaderChar">
    <w:name w:val="Header Char"/>
    <w:basedOn w:val="DefaultParagraphFont"/>
    <w:link w:val="Header"/>
    <w:uiPriority w:val="99"/>
    <w:rsid w:val="00771AA1"/>
    <w:rPr>
      <w:rFonts w:ascii="Times" w:hAnsi="Times"/>
      <w:sz w:val="24"/>
    </w:rPr>
  </w:style>
  <w:style w:type="paragraph" w:styleId="Footer">
    <w:name w:val="footer"/>
    <w:basedOn w:val="Normal"/>
    <w:link w:val="FooterChar"/>
    <w:uiPriority w:val="99"/>
    <w:unhideWhenUsed/>
    <w:rsid w:val="00771AA1"/>
    <w:pPr>
      <w:tabs>
        <w:tab w:val="center" w:pos="4680"/>
        <w:tab w:val="right" w:pos="9360"/>
      </w:tabs>
      <w:spacing w:after="0"/>
    </w:pPr>
  </w:style>
  <w:style w:type="character" w:customStyle="1" w:styleId="FooterChar">
    <w:name w:val="Footer Char"/>
    <w:basedOn w:val="DefaultParagraphFont"/>
    <w:link w:val="Footer"/>
    <w:uiPriority w:val="99"/>
    <w:rsid w:val="00771AA1"/>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0D"/>
    <w:pPr>
      <w:spacing w:after="120" w:line="240" w:lineRule="auto"/>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60D"/>
    <w:pPr>
      <w:spacing w:after="0"/>
    </w:pPr>
    <w:rPr>
      <w:sz w:val="20"/>
      <w:szCs w:val="20"/>
    </w:rPr>
  </w:style>
  <w:style w:type="character" w:customStyle="1" w:styleId="FootnoteTextChar">
    <w:name w:val="Footnote Text Char"/>
    <w:basedOn w:val="DefaultParagraphFont"/>
    <w:link w:val="FootnoteText"/>
    <w:uiPriority w:val="99"/>
    <w:semiHidden/>
    <w:rsid w:val="00AE660D"/>
    <w:rPr>
      <w:rFonts w:ascii="Times" w:hAnsi="Times"/>
      <w:sz w:val="20"/>
      <w:szCs w:val="20"/>
    </w:rPr>
  </w:style>
  <w:style w:type="character" w:styleId="FootnoteReference">
    <w:name w:val="footnote reference"/>
    <w:basedOn w:val="DefaultParagraphFont"/>
    <w:uiPriority w:val="99"/>
    <w:semiHidden/>
    <w:unhideWhenUsed/>
    <w:rsid w:val="00AE660D"/>
    <w:rPr>
      <w:vertAlign w:val="superscript"/>
    </w:rPr>
  </w:style>
  <w:style w:type="character" w:styleId="Hyperlink">
    <w:name w:val="Hyperlink"/>
    <w:basedOn w:val="DefaultParagraphFont"/>
    <w:uiPriority w:val="99"/>
    <w:unhideWhenUsed/>
    <w:rsid w:val="00123927"/>
    <w:rPr>
      <w:color w:val="0000FF" w:themeColor="hyperlink"/>
      <w:u w:val="single"/>
    </w:rPr>
  </w:style>
  <w:style w:type="paragraph" w:styleId="BalloonText">
    <w:name w:val="Balloon Text"/>
    <w:basedOn w:val="Normal"/>
    <w:link w:val="BalloonTextChar"/>
    <w:uiPriority w:val="99"/>
    <w:semiHidden/>
    <w:unhideWhenUsed/>
    <w:rsid w:val="00B11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88"/>
    <w:rPr>
      <w:rFonts w:ascii="Tahoma" w:hAnsi="Tahoma" w:cs="Tahoma"/>
      <w:sz w:val="16"/>
      <w:szCs w:val="16"/>
    </w:rPr>
  </w:style>
  <w:style w:type="paragraph" w:styleId="Header">
    <w:name w:val="header"/>
    <w:basedOn w:val="Normal"/>
    <w:link w:val="HeaderChar"/>
    <w:uiPriority w:val="99"/>
    <w:unhideWhenUsed/>
    <w:rsid w:val="00771AA1"/>
    <w:pPr>
      <w:tabs>
        <w:tab w:val="center" w:pos="4680"/>
        <w:tab w:val="right" w:pos="9360"/>
      </w:tabs>
      <w:spacing w:after="0"/>
    </w:pPr>
  </w:style>
  <w:style w:type="character" w:customStyle="1" w:styleId="HeaderChar">
    <w:name w:val="Header Char"/>
    <w:basedOn w:val="DefaultParagraphFont"/>
    <w:link w:val="Header"/>
    <w:uiPriority w:val="99"/>
    <w:rsid w:val="00771AA1"/>
    <w:rPr>
      <w:rFonts w:ascii="Times" w:hAnsi="Times"/>
      <w:sz w:val="24"/>
    </w:rPr>
  </w:style>
  <w:style w:type="paragraph" w:styleId="Footer">
    <w:name w:val="footer"/>
    <w:basedOn w:val="Normal"/>
    <w:link w:val="FooterChar"/>
    <w:uiPriority w:val="99"/>
    <w:unhideWhenUsed/>
    <w:rsid w:val="00771AA1"/>
    <w:pPr>
      <w:tabs>
        <w:tab w:val="center" w:pos="4680"/>
        <w:tab w:val="right" w:pos="9360"/>
      </w:tabs>
      <w:spacing w:after="0"/>
    </w:pPr>
  </w:style>
  <w:style w:type="character" w:customStyle="1" w:styleId="FooterChar">
    <w:name w:val="Footer Char"/>
    <w:basedOn w:val="DefaultParagraphFont"/>
    <w:link w:val="Footer"/>
    <w:uiPriority w:val="99"/>
    <w:rsid w:val="00771AA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1408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2013-05-02T15:51:00Z</dcterms:created>
  <dcterms:modified xsi:type="dcterms:W3CDTF">2013-05-02T15:51:00Z</dcterms:modified>
  <cp:category> </cp:category>
  <cp:contentStatus> </cp:contentStatus>
</cp:coreProperties>
</file>