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8AD" w:rsidRDefault="009918AD">
      <w:pPr>
        <w:jc w:val="center"/>
        <w:rPr>
          <w:b/>
        </w:rPr>
      </w:pPr>
      <w:bookmarkStart w:id="0" w:name="_GoBack"/>
      <w:bookmarkEnd w:id="0"/>
      <w:r>
        <w:rPr>
          <w:b/>
        </w:rPr>
        <w:t>Before the</w:t>
      </w:r>
    </w:p>
    <w:p w:rsidR="009918AD" w:rsidRDefault="009918AD">
      <w:pPr>
        <w:jc w:val="center"/>
        <w:rPr>
          <w:b/>
        </w:rPr>
      </w:pPr>
      <w:r>
        <w:rPr>
          <w:b/>
        </w:rPr>
        <w:t>Federal Communications Commission</w:t>
      </w:r>
    </w:p>
    <w:p w:rsidR="009918AD" w:rsidRDefault="009918AD">
      <w:pPr>
        <w:jc w:val="center"/>
        <w:rPr>
          <w:b/>
        </w:rPr>
      </w:pPr>
      <w:smartTag w:uri="urn:schemas-microsoft-com:office:smarttags" w:element="City">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smartTag w:uri="urn:schemas-microsoft-com:office:smarttags" w:element="PostalCode">
              <w:r>
                <w:rPr>
                  <w:b/>
                </w:rPr>
                <w:t>D.C.</w:t>
              </w:r>
            </w:smartTag>
          </w:smartTag>
          <w:r>
            <w:rPr>
              <w:b/>
            </w:rPr>
            <w:t xml:space="preserve"> </w:t>
          </w:r>
          <w:smartTag w:uri="urn:schemas-microsoft-com:office:smarttags" w:element="PostalCode">
            <w:r>
              <w:rPr>
                <w:b/>
              </w:rPr>
              <w:t>20554</w:t>
            </w:r>
          </w:smartTag>
        </w:smartTag>
      </w:smartTag>
    </w:p>
    <w:p w:rsidR="009918AD" w:rsidRDefault="009918AD"/>
    <w:p w:rsidR="009918AD" w:rsidRDefault="009918AD"/>
    <w:tbl>
      <w:tblPr>
        <w:tblW w:w="0" w:type="auto"/>
        <w:tblLayout w:type="fixed"/>
        <w:tblLook w:val="0000" w:firstRow="0" w:lastRow="0" w:firstColumn="0" w:lastColumn="0" w:noHBand="0" w:noVBand="0"/>
      </w:tblPr>
      <w:tblGrid>
        <w:gridCol w:w="4698"/>
        <w:gridCol w:w="720"/>
        <w:gridCol w:w="4230"/>
      </w:tblGrid>
      <w:tr w:rsidR="009918AD">
        <w:tc>
          <w:tcPr>
            <w:tcW w:w="4698" w:type="dxa"/>
          </w:tcPr>
          <w:p w:rsidR="009918AD" w:rsidRDefault="009918AD">
            <w:pPr>
              <w:ind w:right="-18"/>
            </w:pPr>
          </w:p>
          <w:p w:rsidR="009918AD" w:rsidRDefault="009918AD">
            <w:pPr>
              <w:ind w:right="-18"/>
            </w:pPr>
            <w:r>
              <w:t>In the Matter of</w:t>
            </w:r>
          </w:p>
          <w:p w:rsidR="009918AD" w:rsidRDefault="009918AD">
            <w:pPr>
              <w:ind w:right="-18"/>
            </w:pPr>
          </w:p>
          <w:p w:rsidR="000118B4" w:rsidRPr="000118B4" w:rsidRDefault="000118B4" w:rsidP="000118B4">
            <w:pPr>
              <w:ind w:right="-18"/>
              <w:rPr>
                <w:color w:val="000000"/>
                <w:szCs w:val="22"/>
              </w:rPr>
            </w:pPr>
            <w:r w:rsidRPr="000118B4">
              <w:rPr>
                <w:color w:val="000000"/>
                <w:szCs w:val="22"/>
              </w:rPr>
              <w:t>Tim Gibbons</w:t>
            </w:r>
          </w:p>
          <w:p w:rsidR="000118B4" w:rsidRPr="000118B4" w:rsidRDefault="000118B4" w:rsidP="000118B4">
            <w:pPr>
              <w:ind w:right="-18"/>
              <w:rPr>
                <w:color w:val="000000"/>
                <w:szCs w:val="22"/>
              </w:rPr>
            </w:pPr>
          </w:p>
          <w:p w:rsidR="000118B4" w:rsidRDefault="000118B4" w:rsidP="000118B4">
            <w:pPr>
              <w:ind w:right="-18"/>
              <w:rPr>
                <w:color w:val="000000"/>
                <w:szCs w:val="22"/>
              </w:rPr>
            </w:pPr>
            <w:r w:rsidRPr="000118B4">
              <w:rPr>
                <w:color w:val="000000"/>
                <w:szCs w:val="22"/>
              </w:rPr>
              <w:t>United Employee Benefits Group, United Employee Benefits, United Benefits,</w:t>
            </w:r>
            <w:r w:rsidR="0025131B">
              <w:rPr>
                <w:color w:val="000000"/>
                <w:szCs w:val="22"/>
              </w:rPr>
              <w:t xml:space="preserve"> </w:t>
            </w:r>
            <w:r w:rsidRPr="000118B4">
              <w:rPr>
                <w:color w:val="000000"/>
                <w:szCs w:val="22"/>
              </w:rPr>
              <w:t xml:space="preserve"> f/k/a Benchmark Mortgage, National Employee Benefits Group</w:t>
            </w:r>
          </w:p>
          <w:p w:rsidR="0025131B" w:rsidRDefault="0025131B" w:rsidP="000118B4">
            <w:pPr>
              <w:ind w:right="-18"/>
              <w:rPr>
                <w:color w:val="000000"/>
                <w:szCs w:val="22"/>
              </w:rPr>
            </w:pPr>
          </w:p>
          <w:p w:rsidR="009918AD" w:rsidRDefault="0025131B" w:rsidP="004A32F1">
            <w:pPr>
              <w:ind w:right="-18"/>
            </w:pPr>
            <w:r w:rsidRPr="004129FC">
              <w:t>United Employee Benefits, LLC</w:t>
            </w:r>
          </w:p>
        </w:tc>
        <w:tc>
          <w:tcPr>
            <w:tcW w:w="720" w:type="dxa"/>
          </w:tcPr>
          <w:p w:rsidR="009918AD" w:rsidRDefault="009918AD">
            <w:pPr>
              <w:rPr>
                <w:b/>
              </w:rPr>
            </w:pPr>
            <w:r>
              <w:rPr>
                <w:b/>
              </w:rPr>
              <w:t>)</w:t>
            </w:r>
          </w:p>
          <w:p w:rsidR="009918AD" w:rsidRDefault="009918AD">
            <w:pPr>
              <w:rPr>
                <w:b/>
              </w:rPr>
            </w:pPr>
            <w:r>
              <w:rPr>
                <w:b/>
              </w:rPr>
              <w:t>)</w:t>
            </w:r>
          </w:p>
          <w:p w:rsidR="009918AD" w:rsidRDefault="009918AD">
            <w:pPr>
              <w:rPr>
                <w:b/>
              </w:rPr>
            </w:pPr>
            <w:r>
              <w:rPr>
                <w:b/>
              </w:rPr>
              <w:t>)</w:t>
            </w:r>
          </w:p>
          <w:p w:rsidR="009918AD" w:rsidRDefault="009918AD">
            <w:pPr>
              <w:rPr>
                <w:b/>
              </w:rPr>
            </w:pPr>
            <w:r>
              <w:rPr>
                <w:b/>
              </w:rPr>
              <w:t>)</w:t>
            </w:r>
          </w:p>
          <w:p w:rsidR="009918AD" w:rsidRDefault="009918AD">
            <w:pPr>
              <w:rPr>
                <w:b/>
              </w:rPr>
            </w:pPr>
            <w:r>
              <w:rPr>
                <w:b/>
              </w:rPr>
              <w:t>)</w:t>
            </w:r>
          </w:p>
          <w:p w:rsidR="009918AD" w:rsidRDefault="009918AD">
            <w:pPr>
              <w:rPr>
                <w:b/>
              </w:rPr>
            </w:pPr>
            <w:r>
              <w:rPr>
                <w:b/>
              </w:rPr>
              <w:t>)</w:t>
            </w:r>
          </w:p>
          <w:p w:rsidR="009918AD" w:rsidRDefault="00873DB9">
            <w:pPr>
              <w:rPr>
                <w:b/>
              </w:rPr>
            </w:pPr>
            <w:r>
              <w:rPr>
                <w:b/>
              </w:rPr>
              <w:t>)</w:t>
            </w:r>
          </w:p>
          <w:p w:rsidR="00873DB9" w:rsidRDefault="00873DB9">
            <w:pPr>
              <w:rPr>
                <w:b/>
              </w:rPr>
            </w:pPr>
            <w:r>
              <w:rPr>
                <w:b/>
              </w:rPr>
              <w:t>)</w:t>
            </w:r>
          </w:p>
          <w:p w:rsidR="00873DB9" w:rsidRDefault="00873DB9">
            <w:pPr>
              <w:rPr>
                <w:b/>
              </w:rPr>
            </w:pPr>
            <w:r>
              <w:rPr>
                <w:b/>
              </w:rPr>
              <w:t>)</w:t>
            </w:r>
          </w:p>
          <w:p w:rsidR="00873DB9" w:rsidRDefault="00873DB9">
            <w:pPr>
              <w:rPr>
                <w:b/>
              </w:rPr>
            </w:pPr>
            <w:r>
              <w:rPr>
                <w:b/>
              </w:rPr>
              <w:t>)</w:t>
            </w:r>
          </w:p>
          <w:p w:rsidR="00873DB9" w:rsidRDefault="00873DB9">
            <w:pPr>
              <w:rPr>
                <w:b/>
              </w:rPr>
            </w:pPr>
            <w:r>
              <w:rPr>
                <w:b/>
              </w:rPr>
              <w:t>)</w:t>
            </w:r>
          </w:p>
        </w:tc>
        <w:tc>
          <w:tcPr>
            <w:tcW w:w="4230" w:type="dxa"/>
          </w:tcPr>
          <w:p w:rsidR="009F53D7" w:rsidRDefault="009F53D7" w:rsidP="000118B4"/>
          <w:p w:rsidR="00632EAF" w:rsidRDefault="00632EAF" w:rsidP="000118B4"/>
          <w:p w:rsidR="00632EAF" w:rsidRDefault="00632EAF" w:rsidP="000118B4"/>
          <w:p w:rsidR="000118B4" w:rsidRDefault="000118B4" w:rsidP="000118B4">
            <w:r>
              <w:t xml:space="preserve">File No.:  EB-TCD-12-00000234  </w:t>
            </w:r>
          </w:p>
          <w:p w:rsidR="000118B4" w:rsidRDefault="000118B4" w:rsidP="000118B4"/>
          <w:p w:rsidR="000118B4" w:rsidRDefault="000118B4" w:rsidP="000118B4">
            <w:r>
              <w:t>NAL/Acct. No.:  201232170005</w:t>
            </w:r>
          </w:p>
          <w:p w:rsidR="000118B4" w:rsidRDefault="000118B4" w:rsidP="000118B4"/>
          <w:p w:rsidR="009918AD" w:rsidRDefault="000118B4">
            <w:pPr>
              <w:rPr>
                <w:lang w:val="es-ES"/>
              </w:rPr>
            </w:pPr>
            <w:r>
              <w:t>FRN:  0021538509</w:t>
            </w:r>
          </w:p>
        </w:tc>
      </w:tr>
    </w:tbl>
    <w:p w:rsidR="009918AD" w:rsidRDefault="009918AD">
      <w:pPr>
        <w:rPr>
          <w:lang w:val="es-ES"/>
        </w:rPr>
      </w:pPr>
    </w:p>
    <w:p w:rsidR="00873DB9" w:rsidRDefault="00873DB9">
      <w:pPr>
        <w:rPr>
          <w:lang w:val="es-ES"/>
        </w:rPr>
      </w:pPr>
    </w:p>
    <w:p w:rsidR="009918AD" w:rsidRDefault="009918AD">
      <w:pPr>
        <w:spacing w:before="120"/>
        <w:jc w:val="center"/>
        <w:rPr>
          <w:b/>
        </w:rPr>
      </w:pPr>
      <w:r>
        <w:rPr>
          <w:b/>
          <w:spacing w:val="-2"/>
        </w:rPr>
        <w:t>FORFEITURE ORDER</w:t>
      </w:r>
    </w:p>
    <w:p w:rsidR="009918AD" w:rsidRDefault="009918AD"/>
    <w:p w:rsidR="009918AD" w:rsidRDefault="009918AD">
      <w:pPr>
        <w:tabs>
          <w:tab w:val="left" w:pos="5760"/>
        </w:tabs>
        <w:rPr>
          <w:b/>
        </w:rPr>
      </w:pPr>
      <w:r>
        <w:rPr>
          <w:b/>
        </w:rPr>
        <w:t xml:space="preserve">Adopted:  </w:t>
      </w:r>
      <w:r w:rsidR="00FC2E86">
        <w:rPr>
          <w:b/>
        </w:rPr>
        <w:t>May 3</w:t>
      </w:r>
      <w:r>
        <w:rPr>
          <w:b/>
        </w:rPr>
        <w:t>, 201</w:t>
      </w:r>
      <w:r w:rsidR="00B20B6B">
        <w:rPr>
          <w:b/>
        </w:rPr>
        <w:t>3</w:t>
      </w:r>
      <w:r>
        <w:rPr>
          <w:b/>
        </w:rPr>
        <w:t xml:space="preserve"> </w:t>
      </w:r>
      <w:r>
        <w:rPr>
          <w:b/>
        </w:rPr>
        <w:tab/>
      </w:r>
      <w:r>
        <w:rPr>
          <w:b/>
        </w:rPr>
        <w:tab/>
        <w:t xml:space="preserve">     </w:t>
      </w:r>
      <w:r w:rsidR="00FC2E86">
        <w:rPr>
          <w:b/>
        </w:rPr>
        <w:t xml:space="preserve">    </w:t>
      </w:r>
      <w:r>
        <w:rPr>
          <w:b/>
        </w:rPr>
        <w:t xml:space="preserve"> Released:  </w:t>
      </w:r>
      <w:r w:rsidR="00A47FD2">
        <w:rPr>
          <w:b/>
        </w:rPr>
        <w:t>May 7</w:t>
      </w:r>
      <w:r>
        <w:rPr>
          <w:b/>
        </w:rPr>
        <w:t>, 201</w:t>
      </w:r>
      <w:r w:rsidR="00B20B6B">
        <w:rPr>
          <w:b/>
        </w:rPr>
        <w:t>3</w:t>
      </w:r>
      <w:r>
        <w:rPr>
          <w:b/>
        </w:rPr>
        <w:t xml:space="preserve">   </w:t>
      </w:r>
    </w:p>
    <w:p w:rsidR="009918AD" w:rsidRDefault="009918AD">
      <w:pPr>
        <w:tabs>
          <w:tab w:val="left" w:pos="5760"/>
        </w:tabs>
        <w:rPr>
          <w:b/>
        </w:rPr>
      </w:pPr>
    </w:p>
    <w:p w:rsidR="009918AD" w:rsidRDefault="009918AD">
      <w:pPr>
        <w:tabs>
          <w:tab w:val="left" w:pos="5760"/>
        </w:tabs>
      </w:pPr>
      <w:r>
        <w:t>By the Commission:</w:t>
      </w:r>
      <w:r w:rsidR="00FC2E86">
        <w:t xml:space="preserve"> </w:t>
      </w:r>
      <w:r w:rsidR="00FC2E86" w:rsidRPr="00B515F0">
        <w:rPr>
          <w:szCs w:val="22"/>
        </w:rPr>
        <w:t>Commissioner McDowell not participating.</w:t>
      </w:r>
    </w:p>
    <w:p w:rsidR="009918AD" w:rsidRDefault="009918AD">
      <w:pPr>
        <w:tabs>
          <w:tab w:val="left" w:pos="5760"/>
        </w:tabs>
        <w:rPr>
          <w:b/>
        </w:rPr>
      </w:pPr>
    </w:p>
    <w:p w:rsidR="009918AD" w:rsidRDefault="009918AD">
      <w:pPr>
        <w:pStyle w:val="Heading1"/>
      </w:pPr>
      <w:r>
        <w:t>introduction</w:t>
      </w:r>
    </w:p>
    <w:p w:rsidR="009918AD" w:rsidRDefault="009918AD" w:rsidP="0010297C">
      <w:pPr>
        <w:pStyle w:val="ParaNum"/>
        <w:tabs>
          <w:tab w:val="clear" w:pos="1080"/>
          <w:tab w:val="num" w:pos="1440"/>
        </w:tabs>
        <w:jc w:val="left"/>
      </w:pPr>
      <w:r>
        <w:t xml:space="preserve">In this </w:t>
      </w:r>
      <w:r w:rsidRPr="001B1DE6">
        <w:t>Forfeiture Order</w:t>
      </w:r>
      <w:r>
        <w:t xml:space="preserve"> (</w:t>
      </w:r>
      <w:r w:rsidRPr="001B1DE6">
        <w:t>Order</w:t>
      </w:r>
      <w:r>
        <w:t xml:space="preserve">), we issue a </w:t>
      </w:r>
      <w:r w:rsidR="00117839">
        <w:t>f</w:t>
      </w:r>
      <w:r>
        <w:t xml:space="preserve">orfeiture </w:t>
      </w:r>
      <w:r w:rsidRPr="004A32F1">
        <w:t>of $</w:t>
      </w:r>
      <w:r w:rsidR="004129FC" w:rsidRPr="00EB093C">
        <w:t>2,187</w:t>
      </w:r>
      <w:r w:rsidRPr="004A32F1">
        <w:t>,000 against</w:t>
      </w:r>
      <w:r w:rsidR="004129FC" w:rsidRPr="00EB093C">
        <w:t xml:space="preserve"> </w:t>
      </w:r>
      <w:r w:rsidR="004129FC" w:rsidRPr="004A32F1">
        <w:t>Tim</w:t>
      </w:r>
      <w:r w:rsidR="004129FC" w:rsidRPr="004129FC">
        <w:t xml:space="preserve"> Gibbons, operating as United Benefits, United Employee Benefits (UEB)</w:t>
      </w:r>
      <w:r w:rsidR="00C1735F">
        <w:t xml:space="preserve"> (including United Employee Benefits, LLC)</w:t>
      </w:r>
      <w:r w:rsidR="004129FC" w:rsidRPr="004129FC">
        <w:t>, and United Employee Benefits Group (UEBG), all formerly known as Benchmark Mortgage or National Employee Benefits Group (NEBG)</w:t>
      </w:r>
      <w:r w:rsidR="004129FC">
        <w:t xml:space="preserve"> </w:t>
      </w:r>
      <w:r>
        <w:t xml:space="preserve">for willful and repeated violations of </w:t>
      </w:r>
      <w:r w:rsidR="004D246B">
        <w:t>S</w:t>
      </w:r>
      <w:r>
        <w:t>ection 227(b)(1)(C) of the Communications Act of 1934, as amended (Act),</w:t>
      </w:r>
      <w:r w:rsidRPr="001B1DE6">
        <w:rPr>
          <w:rStyle w:val="FootnoteReference"/>
          <w:szCs w:val="22"/>
        </w:rPr>
        <w:footnoteReference w:id="2"/>
      </w:r>
      <w:r w:rsidRPr="001B1DE6">
        <w:rPr>
          <w:rStyle w:val="FootnoteReference"/>
          <w:szCs w:val="22"/>
        </w:rPr>
        <w:t xml:space="preserve"> </w:t>
      </w:r>
      <w:r>
        <w:t xml:space="preserve">and </w:t>
      </w:r>
      <w:r w:rsidR="00F5390E">
        <w:t>S</w:t>
      </w:r>
      <w:r>
        <w:t>ection 64.1200(a)(</w:t>
      </w:r>
      <w:r w:rsidR="005E0B51">
        <w:t>4</w:t>
      </w:r>
      <w:r>
        <w:t>) of the Commission’s rules,</w:t>
      </w:r>
      <w:r w:rsidR="001B1DE6">
        <w:rPr>
          <w:szCs w:val="22"/>
        </w:rPr>
        <w:t xml:space="preserve"> </w:t>
      </w:r>
      <w:r>
        <w:t xml:space="preserve">by delivering </w:t>
      </w:r>
      <w:r w:rsidR="004129FC">
        <w:t>196</w:t>
      </w:r>
      <w:r>
        <w:t xml:space="preserve"> unsolicited advertisements, or “junk faxes,” to the telephone facsimile machines of </w:t>
      </w:r>
      <w:r w:rsidR="000A1473">
        <w:t>1</w:t>
      </w:r>
      <w:r w:rsidR="00117839">
        <w:t>5</w:t>
      </w:r>
      <w:r w:rsidR="000A1473">
        <w:t xml:space="preserve">6 </w:t>
      </w:r>
      <w:r>
        <w:t xml:space="preserve">consumers.    </w:t>
      </w:r>
    </w:p>
    <w:p w:rsidR="009918AD" w:rsidRDefault="009918AD">
      <w:pPr>
        <w:pStyle w:val="Heading1"/>
        <w:jc w:val="left"/>
      </w:pPr>
      <w:r>
        <w:t>background</w:t>
      </w:r>
    </w:p>
    <w:p w:rsidR="009918AD" w:rsidRPr="00185A9F" w:rsidRDefault="008A6A76" w:rsidP="0010297C">
      <w:pPr>
        <w:pStyle w:val="ParaNum"/>
        <w:tabs>
          <w:tab w:val="clear" w:pos="1080"/>
          <w:tab w:val="num" w:pos="1440"/>
        </w:tabs>
        <w:jc w:val="left"/>
        <w:rPr>
          <w:color w:val="000000"/>
          <w:szCs w:val="22"/>
        </w:rPr>
      </w:pPr>
      <w:r>
        <w:rPr>
          <w:szCs w:val="22"/>
        </w:rPr>
        <w:t>Congress enacted the T</w:t>
      </w:r>
      <w:r w:rsidR="009918AD">
        <w:rPr>
          <w:szCs w:val="22"/>
        </w:rPr>
        <w:t xml:space="preserve">elephone Consumer Protection Act of 1991 (TCPA) to address problems of abusive telemarketing, </w:t>
      </w:r>
      <w:r w:rsidR="007808AE">
        <w:rPr>
          <w:szCs w:val="22"/>
        </w:rPr>
        <w:t>including unsolicited facsimile advertisements or “junk faxes</w:t>
      </w:r>
      <w:r w:rsidR="00117839">
        <w:rPr>
          <w:szCs w:val="22"/>
        </w:rPr>
        <w:t xml:space="preserve">.  </w:t>
      </w:r>
      <w:r w:rsidR="000A1473">
        <w:rPr>
          <w:szCs w:val="22"/>
        </w:rPr>
        <w:t xml:space="preserve">As a result of the TCPA, </w:t>
      </w:r>
      <w:r w:rsidR="009918AD">
        <w:t xml:space="preserve">Section 227(b)(1)(C) of the Act makes it “unlawful for any person within the United States, or any person outside the United States if the recipient is within the United States . . . </w:t>
      </w:r>
      <w:r w:rsidR="009918AD" w:rsidRPr="00185A9F">
        <w:t>to use any telephone facsimile machine, computer, or other device to send, to a telephone facsimile machine, an unsolicited advertisement</w:t>
      </w:r>
      <w:r w:rsidR="009918AD" w:rsidRPr="00185A9F">
        <w:rPr>
          <w:color w:val="000000"/>
        </w:rPr>
        <w:t>.”</w:t>
      </w:r>
      <w:r w:rsidR="009918AD" w:rsidRPr="00185A9F">
        <w:rPr>
          <w:rStyle w:val="FootnoteReference"/>
          <w:color w:val="000000"/>
          <w:szCs w:val="22"/>
        </w:rPr>
        <w:footnoteReference w:id="3"/>
      </w:r>
      <w:r w:rsidR="009918AD" w:rsidRPr="00185A9F">
        <w:rPr>
          <w:color w:val="000000"/>
        </w:rPr>
        <w:t xml:space="preserve">  </w:t>
      </w:r>
      <w:r w:rsidR="009918AD" w:rsidRPr="00185A9F">
        <w:t xml:space="preserve"> </w:t>
      </w:r>
      <w:r w:rsidR="009918AD" w:rsidRPr="00185A9F">
        <w:rPr>
          <w:color w:val="000000"/>
          <w:szCs w:val="22"/>
        </w:rPr>
        <w:t xml:space="preserve">        </w:t>
      </w:r>
    </w:p>
    <w:p w:rsidR="00177B97" w:rsidRDefault="009918AD" w:rsidP="0010297C">
      <w:pPr>
        <w:pStyle w:val="ParaNum"/>
        <w:widowControl/>
        <w:tabs>
          <w:tab w:val="clear" w:pos="1080"/>
          <w:tab w:val="num" w:pos="1440"/>
        </w:tabs>
        <w:jc w:val="left"/>
        <w:rPr>
          <w:szCs w:val="22"/>
        </w:rPr>
      </w:pPr>
      <w:r w:rsidRPr="00185A9F">
        <w:lastRenderedPageBreak/>
        <w:t xml:space="preserve">Pursuant to </w:t>
      </w:r>
      <w:r w:rsidR="00800781">
        <w:t>S</w:t>
      </w:r>
      <w:r w:rsidRPr="00185A9F">
        <w:t>ection 503(b)(5) of the Act,</w:t>
      </w:r>
      <w:r w:rsidRPr="00185A9F">
        <w:rPr>
          <w:rStyle w:val="FootnoteReference"/>
        </w:rPr>
        <w:footnoteReference w:id="4"/>
      </w:r>
      <w:r w:rsidRPr="00185A9F">
        <w:t xml:space="preserve"> the Enforcement Bureau (Bureau) issued a junk fax citation</w:t>
      </w:r>
      <w:r w:rsidRPr="00185A9F">
        <w:rPr>
          <w:rStyle w:val="FootnoteReference"/>
          <w:color w:val="000000"/>
          <w:szCs w:val="22"/>
        </w:rPr>
        <w:footnoteReference w:id="5"/>
      </w:r>
      <w:r w:rsidRPr="00185A9F">
        <w:t xml:space="preserve"> to </w:t>
      </w:r>
      <w:r w:rsidR="0018172D">
        <w:t>NEBG</w:t>
      </w:r>
      <w:r w:rsidR="004129FC" w:rsidRPr="004129FC">
        <w:t xml:space="preserve"> and Benchmark Mortgage d</w:t>
      </w:r>
      <w:r w:rsidR="003E4483">
        <w:t>/</w:t>
      </w:r>
      <w:r w:rsidR="004129FC" w:rsidRPr="004129FC">
        <w:t>b</w:t>
      </w:r>
      <w:r w:rsidR="003E4483">
        <w:t>/</w:t>
      </w:r>
      <w:r w:rsidR="004129FC" w:rsidRPr="004129FC">
        <w:t xml:space="preserve">a </w:t>
      </w:r>
      <w:r w:rsidR="0018172D">
        <w:t>NEBG</w:t>
      </w:r>
      <w:r w:rsidR="004129FC" w:rsidRPr="004129FC">
        <w:t xml:space="preserve"> </w:t>
      </w:r>
      <w:r w:rsidRPr="00185A9F">
        <w:t xml:space="preserve">on </w:t>
      </w:r>
      <w:r w:rsidR="004129FC">
        <w:t>October 22</w:t>
      </w:r>
      <w:r w:rsidR="00B8129D" w:rsidRPr="00185A9F">
        <w:t xml:space="preserve">, 2010 </w:t>
      </w:r>
      <w:r w:rsidRPr="00185A9F">
        <w:t xml:space="preserve">in response to </w:t>
      </w:r>
      <w:r w:rsidR="00097047">
        <w:t>a</w:t>
      </w:r>
      <w:r w:rsidRPr="00185A9F">
        <w:t xml:space="preserve"> consumer complaint alleging that </w:t>
      </w:r>
      <w:r w:rsidR="0018172D">
        <w:t>NEBG</w:t>
      </w:r>
      <w:r w:rsidR="004129FC" w:rsidRPr="004129FC">
        <w:t xml:space="preserve"> </w:t>
      </w:r>
      <w:r w:rsidRPr="00185A9F">
        <w:t>had faxed unsolicited advertisements.</w:t>
      </w:r>
      <w:r w:rsidR="003E4483">
        <w:t xml:space="preserve">  The citation was directed to the attention of Tim Gibbons, president and contact person for NEBG, and expressly warned him that future violations of the Act and the Commission’s rules governing telephone solicitations and unsolicited advertisements “may subject you and your company to monetary forfeitures.”</w:t>
      </w:r>
      <w:r w:rsidR="003E4483">
        <w:rPr>
          <w:rStyle w:val="FootnoteReference"/>
        </w:rPr>
        <w:footnoteReference w:id="6"/>
      </w:r>
      <w:r w:rsidR="003E4483">
        <w:t xml:space="preserve"> </w:t>
      </w:r>
      <w:r w:rsidR="00177B97">
        <w:rPr>
          <w:color w:val="000000"/>
          <w:szCs w:val="22"/>
        </w:rPr>
        <w:t>The Commission never received any response.</w:t>
      </w:r>
      <w:bookmarkStart w:id="1" w:name="_Ref330224175"/>
      <w:r w:rsidR="00177B97">
        <w:rPr>
          <w:rStyle w:val="FootnoteReference"/>
          <w:color w:val="000000"/>
          <w:szCs w:val="22"/>
        </w:rPr>
        <w:footnoteReference w:id="7"/>
      </w:r>
      <w:bookmarkEnd w:id="1"/>
      <w:r w:rsidR="00177B97">
        <w:rPr>
          <w:color w:val="000000"/>
          <w:szCs w:val="22"/>
        </w:rPr>
        <w:t xml:space="preserve">  </w:t>
      </w:r>
    </w:p>
    <w:p w:rsidR="0018172D" w:rsidRDefault="009918AD" w:rsidP="0010297C">
      <w:pPr>
        <w:pStyle w:val="ParaNum"/>
        <w:tabs>
          <w:tab w:val="clear" w:pos="1080"/>
          <w:tab w:val="num" w:pos="1440"/>
        </w:tabs>
        <w:jc w:val="left"/>
      </w:pPr>
      <w:r>
        <w:t xml:space="preserve">Subsequently, </w:t>
      </w:r>
      <w:r w:rsidR="00906104">
        <w:t xml:space="preserve">between </w:t>
      </w:r>
      <w:r w:rsidR="004129FC">
        <w:t xml:space="preserve">March </w:t>
      </w:r>
      <w:r w:rsidR="00906104">
        <w:t xml:space="preserve">and </w:t>
      </w:r>
      <w:r w:rsidR="004129FC">
        <w:t xml:space="preserve">September 2011, </w:t>
      </w:r>
      <w:r>
        <w:t xml:space="preserve">the Commission received </w:t>
      </w:r>
      <w:r w:rsidR="007433DB">
        <w:t>numerous</w:t>
      </w:r>
      <w:r>
        <w:t xml:space="preserve"> complaints </w:t>
      </w:r>
      <w:r w:rsidR="00141C45">
        <w:t xml:space="preserve">from </w:t>
      </w:r>
      <w:r>
        <w:t>consumers alleging that</w:t>
      </w:r>
      <w:r w:rsidR="00906104">
        <w:t xml:space="preserve"> they had received unsolicited facsimile advertisements from</w:t>
      </w:r>
      <w:r>
        <w:t xml:space="preserve"> </w:t>
      </w:r>
      <w:r w:rsidR="004A32F1">
        <w:t>NEBG</w:t>
      </w:r>
      <w:r w:rsidR="00906104" w:rsidRPr="00EB093C">
        <w:rPr>
          <w:color w:val="000000"/>
          <w:szCs w:val="22"/>
        </w:rPr>
        <w:t xml:space="preserve">.  </w:t>
      </w:r>
      <w:r w:rsidR="00141C45">
        <w:t>Based on t</w:t>
      </w:r>
      <w:r>
        <w:t xml:space="preserve">hese violations, which occurred after the Bureau’s citation, </w:t>
      </w:r>
      <w:r w:rsidR="00141C45">
        <w:t xml:space="preserve">the Commission </w:t>
      </w:r>
      <w:r>
        <w:t>issu</w:t>
      </w:r>
      <w:r w:rsidR="00141C45">
        <w:t xml:space="preserve">ed </w:t>
      </w:r>
      <w:r>
        <w:t xml:space="preserve">a </w:t>
      </w:r>
      <w:r w:rsidR="00141C45">
        <w:t xml:space="preserve">Notice of Apparent Liability of Forfeiture </w:t>
      </w:r>
      <w:r w:rsidR="00141C45" w:rsidRPr="00AF3CF5">
        <w:t>(</w:t>
      </w:r>
      <w:r w:rsidRPr="00AF3CF5">
        <w:t>NA</w:t>
      </w:r>
      <w:r w:rsidR="00141C45" w:rsidRPr="00AF3CF5">
        <w:t>L)</w:t>
      </w:r>
      <w:r w:rsidRPr="004A32F1">
        <w:rPr>
          <w:i/>
        </w:rPr>
        <w:t xml:space="preserve"> </w:t>
      </w:r>
      <w:r w:rsidR="004A32F1">
        <w:t>o</w:t>
      </w:r>
      <w:r w:rsidR="004A32F1" w:rsidRPr="004A32F1">
        <w:t>n February 29, 2012</w:t>
      </w:r>
      <w:r w:rsidR="004A32F1">
        <w:t xml:space="preserve"> </w:t>
      </w:r>
      <w:r w:rsidR="00B715F3">
        <w:t>for</w:t>
      </w:r>
      <w:r w:rsidR="004A32F1" w:rsidRPr="004A32F1">
        <w:t xml:space="preserve"> $603,000 against NEBG, and Mr. Gibbons in his personal capacity, based on 79 consumer</w:t>
      </w:r>
      <w:r w:rsidR="00177CF9">
        <w:t xml:space="preserve"> complaints</w:t>
      </w:r>
      <w:r w:rsidR="004A32F1" w:rsidRPr="004A32F1">
        <w:t xml:space="preserve"> alleging 97 violations of our junk fax rules.</w:t>
      </w:r>
      <w:r w:rsidR="007433DB">
        <w:rPr>
          <w:rStyle w:val="FootnoteReference"/>
        </w:rPr>
        <w:footnoteReference w:id="8"/>
      </w:r>
      <w:r w:rsidR="007433DB">
        <w:t xml:space="preserve">  </w:t>
      </w:r>
    </w:p>
    <w:p w:rsidR="00BA34BE" w:rsidRDefault="0018172D" w:rsidP="0010297C">
      <w:pPr>
        <w:pStyle w:val="ParaNum"/>
        <w:tabs>
          <w:tab w:val="clear" w:pos="1080"/>
          <w:tab w:val="num" w:pos="1440"/>
        </w:tabs>
        <w:jc w:val="left"/>
      </w:pPr>
      <w:r>
        <w:t>As the Commission neared the release of the</w:t>
      </w:r>
      <w:r w:rsidR="007433DB">
        <w:t xml:space="preserve"> </w:t>
      </w:r>
      <w:r w:rsidR="007433DB" w:rsidRPr="00EB093C">
        <w:rPr>
          <w:i/>
        </w:rPr>
        <w:t>February 2012 NAL</w:t>
      </w:r>
      <w:r w:rsidR="007433DB">
        <w:t xml:space="preserve">, </w:t>
      </w:r>
      <w:r>
        <w:t xml:space="preserve">the Bureau determined that it had received </w:t>
      </w:r>
      <w:r w:rsidR="007433DB">
        <w:t xml:space="preserve">complaints </w:t>
      </w:r>
      <w:r>
        <w:t>against</w:t>
      </w:r>
      <w:r w:rsidR="0084488F">
        <w:t xml:space="preserve"> </w:t>
      </w:r>
      <w:r w:rsidR="00354114">
        <w:t>UEB</w:t>
      </w:r>
      <w:r>
        <w:t xml:space="preserve"> and </w:t>
      </w:r>
      <w:r w:rsidR="00354114">
        <w:t>U</w:t>
      </w:r>
      <w:r w:rsidR="00AE5C7B">
        <w:t>EBG</w:t>
      </w:r>
      <w:r w:rsidR="007433DB">
        <w:t xml:space="preserve">.  </w:t>
      </w:r>
      <w:r>
        <w:t>On September 4, 2012, t</w:t>
      </w:r>
      <w:r w:rsidR="007433DB">
        <w:t>he Commission issued another NAL</w:t>
      </w:r>
      <w:r>
        <w:t xml:space="preserve"> </w:t>
      </w:r>
      <w:r w:rsidR="00B715F3">
        <w:t xml:space="preserve">for </w:t>
      </w:r>
      <w:r w:rsidR="007433DB">
        <w:t xml:space="preserve">$1,584,000 </w:t>
      </w:r>
      <w:r w:rsidR="00CA6F9B">
        <w:t xml:space="preserve">against Mr. Gibbons, as well as UEB and UEBG, among others, </w:t>
      </w:r>
      <w:r w:rsidR="007433DB">
        <w:t>based on 87 consumer</w:t>
      </w:r>
      <w:r w:rsidR="00B715F3">
        <w:t xml:space="preserve"> complaints</w:t>
      </w:r>
      <w:r w:rsidR="007433DB">
        <w:t xml:space="preserve"> alleging 99 violations of our junk fax violations</w:t>
      </w:r>
      <w:r w:rsidR="00481E52">
        <w:t xml:space="preserve"> from September 2011 through June 2012</w:t>
      </w:r>
      <w:r w:rsidR="007433DB">
        <w:t>.</w:t>
      </w:r>
      <w:r w:rsidR="007433DB">
        <w:rPr>
          <w:rStyle w:val="FootnoteReference"/>
        </w:rPr>
        <w:footnoteReference w:id="9"/>
      </w:r>
      <w:r w:rsidR="007433DB">
        <w:t xml:space="preserve"> </w:t>
      </w:r>
      <w:r w:rsidR="00177B97">
        <w:t xml:space="preserve"> </w:t>
      </w:r>
      <w:r w:rsidR="00CA6F9B">
        <w:t>The NAL found that Benchmark Mortgage, NEBG, UEB, and UEBG appeared to</w:t>
      </w:r>
      <w:r w:rsidR="0084488F">
        <w:t xml:space="preserve"> use</w:t>
      </w:r>
      <w:r w:rsidR="00CA6F9B">
        <w:t xml:space="preserve"> different names for the same business.  </w:t>
      </w:r>
    </w:p>
    <w:p w:rsidR="004A32F1" w:rsidRDefault="007433DB" w:rsidP="0010297C">
      <w:pPr>
        <w:pStyle w:val="ParaNum"/>
        <w:tabs>
          <w:tab w:val="clear" w:pos="1080"/>
          <w:tab w:val="num" w:pos="1440"/>
        </w:tabs>
        <w:jc w:val="left"/>
      </w:pPr>
      <w:r>
        <w:t xml:space="preserve">Both the </w:t>
      </w:r>
      <w:r w:rsidR="004A32F1" w:rsidRPr="004A32F1">
        <w:rPr>
          <w:i/>
        </w:rPr>
        <w:t>February 2012 NAL</w:t>
      </w:r>
      <w:r w:rsidR="004A32F1">
        <w:t xml:space="preserve"> </w:t>
      </w:r>
      <w:r w:rsidR="00AF3CF5" w:rsidRPr="003C1913">
        <w:t>and</w:t>
      </w:r>
      <w:r w:rsidR="00AF3CF5" w:rsidRPr="00AF3CF5">
        <w:rPr>
          <w:i/>
        </w:rPr>
        <w:t xml:space="preserve"> September 2012 NAL</w:t>
      </w:r>
      <w:r w:rsidR="00AF3CF5">
        <w:t xml:space="preserve"> </w:t>
      </w:r>
      <w:r w:rsidR="004A32F1">
        <w:t>ordered the respondents either to pay the proposed forfeiture amount within 30 days or to submit evidence or arguments to show that no forfeiture should be imposed or that some lesser amount should be assessed.</w:t>
      </w:r>
      <w:r w:rsidR="00AF3CF5">
        <w:rPr>
          <w:rStyle w:val="FootnoteReference"/>
        </w:rPr>
        <w:footnoteReference w:id="10"/>
      </w:r>
      <w:r w:rsidR="004A32F1">
        <w:t xml:space="preserve"> </w:t>
      </w:r>
      <w:r w:rsidR="003E4483">
        <w:t xml:space="preserve">On </w:t>
      </w:r>
      <w:r w:rsidR="009D65B0">
        <w:t xml:space="preserve">March 29, 2012, on </w:t>
      </w:r>
      <w:r w:rsidR="003E4483">
        <w:lastRenderedPageBreak/>
        <w:t xml:space="preserve">behalf of </w:t>
      </w:r>
      <w:r w:rsidR="009D65B0">
        <w:t xml:space="preserve">his client, </w:t>
      </w:r>
      <w:r w:rsidR="003E4483">
        <w:t xml:space="preserve">Tim Gibbons, </w:t>
      </w:r>
      <w:r w:rsidR="00BA34BE">
        <w:t xml:space="preserve">Robert </w:t>
      </w:r>
      <w:r w:rsidR="009D65B0">
        <w:t xml:space="preserve">Ungar </w:t>
      </w:r>
      <w:r w:rsidR="003E4483">
        <w:t xml:space="preserve">requested an extension of time within which to file a response to the </w:t>
      </w:r>
      <w:r w:rsidR="003E4483" w:rsidRPr="004A32F1">
        <w:rPr>
          <w:i/>
        </w:rPr>
        <w:t>February 2012 NAL</w:t>
      </w:r>
      <w:r w:rsidR="003E4483">
        <w:t>.</w:t>
      </w:r>
      <w:r w:rsidR="003E4483" w:rsidRPr="003E4483">
        <w:rPr>
          <w:rStyle w:val="FootnoteReference"/>
        </w:rPr>
        <w:t xml:space="preserve"> </w:t>
      </w:r>
      <w:r w:rsidR="003E4483">
        <w:rPr>
          <w:rStyle w:val="FootnoteReference"/>
        </w:rPr>
        <w:footnoteReference w:id="11"/>
      </w:r>
      <w:r w:rsidR="003E4483">
        <w:t xml:space="preserve">  The Bureau granted the extension of time to respond to the NAL.</w:t>
      </w:r>
      <w:r w:rsidR="003E4483">
        <w:rPr>
          <w:rStyle w:val="FootnoteReference"/>
        </w:rPr>
        <w:footnoteReference w:id="12"/>
      </w:r>
      <w:r w:rsidR="003E4483">
        <w:t xml:space="preserve">  </w:t>
      </w:r>
      <w:r w:rsidR="009D65B0">
        <w:t xml:space="preserve">Subsequently, </w:t>
      </w:r>
      <w:r w:rsidR="003E4483">
        <w:t xml:space="preserve">Attorney Ungar </w:t>
      </w:r>
      <w:r w:rsidR="009D65B0">
        <w:t xml:space="preserve">informed the Bureau that </w:t>
      </w:r>
      <w:r w:rsidR="003E4483">
        <w:t xml:space="preserve">despite the request for an extension </w:t>
      </w:r>
      <w:r w:rsidR="009D65B0">
        <w:t xml:space="preserve">of time to </w:t>
      </w:r>
      <w:r w:rsidR="003E4483">
        <w:t>respond to the NAL, a formal response would not be submitted.</w:t>
      </w:r>
      <w:r w:rsidR="009D65B0">
        <w:rPr>
          <w:rStyle w:val="FootnoteReference"/>
        </w:rPr>
        <w:footnoteReference w:id="13"/>
      </w:r>
      <w:r w:rsidR="009D65B0">
        <w:t xml:space="preserve">  </w:t>
      </w:r>
      <w:r w:rsidR="00710E4A">
        <w:t xml:space="preserve">The Bureau, in fact, never received a substantive response to the </w:t>
      </w:r>
      <w:r w:rsidR="00710E4A" w:rsidRPr="007C3D8D">
        <w:rPr>
          <w:i/>
        </w:rPr>
        <w:t>February 2012 NAL</w:t>
      </w:r>
      <w:r w:rsidR="00710E4A">
        <w:t xml:space="preserve">, nor did it receive a response of any kind to the </w:t>
      </w:r>
      <w:r w:rsidR="00710E4A" w:rsidRPr="007C3D8D">
        <w:rPr>
          <w:i/>
        </w:rPr>
        <w:t>September 2012</w:t>
      </w:r>
      <w:r w:rsidR="00710E4A">
        <w:t xml:space="preserve"> NAL.</w:t>
      </w:r>
      <w:r w:rsidR="00710E4A">
        <w:rPr>
          <w:rStyle w:val="FootnoteReference"/>
        </w:rPr>
        <w:footnoteReference w:id="14"/>
      </w:r>
      <w:r w:rsidR="00710E4A">
        <w:t xml:space="preserve">  </w:t>
      </w:r>
    </w:p>
    <w:p w:rsidR="009918AD" w:rsidRPr="007B6354" w:rsidRDefault="009918AD">
      <w:pPr>
        <w:pStyle w:val="ParaNum"/>
        <w:numPr>
          <w:ilvl w:val="0"/>
          <w:numId w:val="0"/>
        </w:numPr>
        <w:jc w:val="left"/>
      </w:pPr>
      <w:r w:rsidRPr="007B6354">
        <w:rPr>
          <w:b/>
        </w:rPr>
        <w:t>III.        DISCUSSION</w:t>
      </w:r>
    </w:p>
    <w:p w:rsidR="008E75AF" w:rsidRDefault="00FA662D" w:rsidP="0010297C">
      <w:pPr>
        <w:pStyle w:val="ParaNum"/>
        <w:tabs>
          <w:tab w:val="clear" w:pos="1080"/>
          <w:tab w:val="num" w:pos="1440"/>
        </w:tabs>
        <w:jc w:val="left"/>
      </w:pPr>
      <w:r w:rsidRPr="007B6354">
        <w:t>Section 503(b)(2)(D) authorizes the Commission to assess a maximum forfeiture of $16,000 per violation against an entity such as Tim Gibbons and UEB/UEBG.</w:t>
      </w:r>
      <w:r w:rsidR="00B33BDF">
        <w:rPr>
          <w:rStyle w:val="FootnoteReference"/>
        </w:rPr>
        <w:footnoteReference w:id="15"/>
      </w:r>
      <w:r w:rsidRPr="007B6354">
        <w:t xml:space="preserve">  In exercising such authority, the Commission must consider “the nature, circumstances, extent, and gravity of the violation and, with respect to the violator, the degree of culpability, any history of prior offenses, ability to pay, and such other matters as justice may require.”</w:t>
      </w:r>
      <w:r w:rsidR="00B33BDF">
        <w:rPr>
          <w:rStyle w:val="FootnoteReference"/>
        </w:rPr>
        <w:footnoteReference w:id="16"/>
      </w:r>
      <w:r w:rsidRPr="007B6354">
        <w:t xml:space="preserve">    </w:t>
      </w:r>
    </w:p>
    <w:p w:rsidR="00A15DC1" w:rsidRPr="008E75AF" w:rsidRDefault="00B67292" w:rsidP="0010297C">
      <w:pPr>
        <w:pStyle w:val="ParaNum"/>
        <w:tabs>
          <w:tab w:val="clear" w:pos="1080"/>
          <w:tab w:val="num" w:pos="1440"/>
        </w:tabs>
        <w:jc w:val="left"/>
      </w:pPr>
      <w:r w:rsidRPr="00773F8A">
        <w:t>Tim Gibbons and UEB/UEBG</w:t>
      </w:r>
      <w:r w:rsidR="00FA662D" w:rsidRPr="00773F8A">
        <w:t xml:space="preserve"> did not respond to </w:t>
      </w:r>
      <w:r w:rsidRPr="00773F8A">
        <w:t xml:space="preserve">either the </w:t>
      </w:r>
      <w:r w:rsidR="00FA662D" w:rsidRPr="00773F8A">
        <w:rPr>
          <w:i/>
        </w:rPr>
        <w:t>February 2012 NAL</w:t>
      </w:r>
      <w:r w:rsidRPr="00773F8A">
        <w:t xml:space="preserve"> </w:t>
      </w:r>
      <w:r w:rsidR="007461B7" w:rsidRPr="00773F8A">
        <w:t>or</w:t>
      </w:r>
      <w:r w:rsidRPr="00773F8A">
        <w:t xml:space="preserve"> the </w:t>
      </w:r>
      <w:r w:rsidRPr="00773F8A">
        <w:rPr>
          <w:i/>
        </w:rPr>
        <w:t>September 2012 NAL</w:t>
      </w:r>
      <w:r w:rsidR="00FA662D" w:rsidRPr="00773F8A">
        <w:t>.</w:t>
      </w:r>
      <w:r w:rsidR="007B6354" w:rsidRPr="00773F8A">
        <w:rPr>
          <w:rStyle w:val="FootnoteReference"/>
        </w:rPr>
        <w:footnoteReference w:id="17"/>
      </w:r>
      <w:r w:rsidR="00FA662D" w:rsidRPr="00773F8A">
        <w:t xml:space="preserve">  We, therefore, </w:t>
      </w:r>
      <w:r w:rsidR="00ED07D7">
        <w:t xml:space="preserve">are </w:t>
      </w:r>
      <w:r w:rsidR="00FA662D" w:rsidRPr="00773F8A">
        <w:t>unaware of any mitigating circumstances t</w:t>
      </w:r>
      <w:r w:rsidR="00ED07D7">
        <w:t xml:space="preserve">hat </w:t>
      </w:r>
      <w:r w:rsidR="00FA662D" w:rsidRPr="00773F8A">
        <w:t xml:space="preserve">warrant a cancellation or reduction of the forfeiture penalty.  </w:t>
      </w:r>
      <w:r w:rsidR="00C1735F">
        <w:t xml:space="preserve">For the reasons described in the </w:t>
      </w:r>
      <w:r w:rsidR="00C1735F" w:rsidRPr="007C3D8D">
        <w:rPr>
          <w:i/>
        </w:rPr>
        <w:t>September 2012 NAL</w:t>
      </w:r>
      <w:r w:rsidR="00C1735F">
        <w:t>,</w:t>
      </w:r>
      <w:r w:rsidR="00C1735F">
        <w:rPr>
          <w:rStyle w:val="FootnoteReference"/>
        </w:rPr>
        <w:footnoteReference w:id="18"/>
      </w:r>
      <w:r w:rsidR="00C1735F">
        <w:t xml:space="preserve"> we find that the names Benchmark Mortgage, National Employee Benefits Group, United Employee Benefits (including United Employee Benefits, LLC), and United Employee Benefits Group, are one and the same business operated by Tim Gibbons.  </w:t>
      </w:r>
      <w:r w:rsidR="00FA662D" w:rsidRPr="00773F8A">
        <w:t xml:space="preserve">Accordingly, we </w:t>
      </w:r>
      <w:r w:rsidR="0088153E">
        <w:t xml:space="preserve">find </w:t>
      </w:r>
      <w:r w:rsidR="00FA662D" w:rsidRPr="00773F8A">
        <w:t xml:space="preserve">that </w:t>
      </w:r>
      <w:r w:rsidR="00B33BDF" w:rsidRPr="00773F8A">
        <w:t>Tim Gibbons,</w:t>
      </w:r>
      <w:r w:rsidR="00596E37">
        <w:t xml:space="preserve"> </w:t>
      </w:r>
      <w:r w:rsidR="00B33BDF" w:rsidRPr="00773F8A">
        <w:t>United Benefits, United Employee Benefits</w:t>
      </w:r>
      <w:r w:rsidR="00C1735F">
        <w:t xml:space="preserve"> (including United Employee Benefits, LLC)</w:t>
      </w:r>
      <w:r w:rsidR="00B33BDF" w:rsidRPr="00773F8A">
        <w:t xml:space="preserve">, </w:t>
      </w:r>
      <w:r w:rsidR="00383BA1">
        <w:t>and</w:t>
      </w:r>
      <w:r w:rsidR="00383BA1" w:rsidRPr="00773F8A">
        <w:t xml:space="preserve"> </w:t>
      </w:r>
      <w:r w:rsidR="00B33BDF" w:rsidRPr="00773F8A">
        <w:t>United Employee Benefits Group, all formerly known as Benchmark Mortgage or National Employee Benefits Group</w:t>
      </w:r>
      <w:r w:rsidR="00BA34BE">
        <w:t xml:space="preserve"> </w:t>
      </w:r>
      <w:r w:rsidR="009844C5">
        <w:t xml:space="preserve">willfully and repeatedly violated </w:t>
      </w:r>
      <w:r w:rsidR="00BA34BE" w:rsidRPr="00773F8A">
        <w:t>Section 227(b)(1)(C) of the Act</w:t>
      </w:r>
      <w:r w:rsidR="009844C5">
        <w:rPr>
          <w:rStyle w:val="FootnoteReference"/>
        </w:rPr>
        <w:footnoteReference w:id="19"/>
      </w:r>
      <w:r w:rsidR="00BA34BE" w:rsidRPr="00773F8A">
        <w:t xml:space="preserve"> and Section 64.1200(a)(4)</w:t>
      </w:r>
      <w:r w:rsidR="009844C5">
        <w:rPr>
          <w:rStyle w:val="FootnoteReference"/>
        </w:rPr>
        <w:footnoteReference w:id="20"/>
      </w:r>
      <w:r w:rsidR="00BA34BE" w:rsidRPr="00773F8A">
        <w:t xml:space="preserve"> of the Commission’s rules </w:t>
      </w:r>
      <w:r w:rsidR="00FA662D" w:rsidRPr="00773F8A">
        <w:t xml:space="preserve">on </w:t>
      </w:r>
      <w:r w:rsidR="00773F8A" w:rsidRPr="00773F8A">
        <w:t xml:space="preserve">196 </w:t>
      </w:r>
      <w:r w:rsidR="00FA662D" w:rsidRPr="00773F8A">
        <w:t>separate occasions</w:t>
      </w:r>
      <w:r w:rsidR="00E143E3">
        <w:t>, and impose a forfeiture penalty of $2,187,000 as a result</w:t>
      </w:r>
      <w:r w:rsidR="00FA662D" w:rsidRPr="00773F8A">
        <w:t>.</w:t>
      </w:r>
      <w:r w:rsidR="00117839">
        <w:t xml:space="preserve">  </w:t>
      </w:r>
      <w:r w:rsidR="00BA34BE" w:rsidRPr="00773F8A">
        <w:t xml:space="preserve">In imposing the penalty, we emphasize that for the reasons articulated in the </w:t>
      </w:r>
      <w:r w:rsidR="00BA34BE" w:rsidRPr="00773F8A">
        <w:rPr>
          <w:i/>
        </w:rPr>
        <w:t>September 2012 NAL</w:t>
      </w:r>
      <w:r w:rsidR="00BA34BE" w:rsidRPr="00773F8A">
        <w:t>, the forfeiture penalty attach</w:t>
      </w:r>
      <w:r w:rsidR="00BA34BE">
        <w:t>es</w:t>
      </w:r>
      <w:r w:rsidR="00BA34BE" w:rsidRPr="00773F8A">
        <w:t xml:space="preserve"> to Mr. Gibbons</w:t>
      </w:r>
      <w:r w:rsidR="00BA34BE">
        <w:t xml:space="preserve"> personally</w:t>
      </w:r>
      <w:r w:rsidR="00BA34BE" w:rsidRPr="00773F8A">
        <w:t>.</w:t>
      </w:r>
      <w:r w:rsidR="00710E4A">
        <w:rPr>
          <w:rStyle w:val="FootnoteReference"/>
        </w:rPr>
        <w:footnoteReference w:id="21"/>
      </w:r>
      <w:r w:rsidR="00710E4A">
        <w:t xml:space="preserve">  </w:t>
      </w:r>
      <w:r w:rsidR="00FA662D" w:rsidRPr="00773F8A">
        <w:t xml:space="preserve">   </w:t>
      </w:r>
      <w:r w:rsidR="00A15DC1" w:rsidRPr="00773F8A">
        <w:rPr>
          <w:i/>
        </w:rPr>
        <w:t xml:space="preserve">  </w:t>
      </w:r>
    </w:p>
    <w:p w:rsidR="009918AD" w:rsidRPr="00773F8A" w:rsidRDefault="009918AD" w:rsidP="003769FE">
      <w:pPr>
        <w:pStyle w:val="Heading1"/>
        <w:numPr>
          <w:ilvl w:val="0"/>
          <w:numId w:val="44"/>
        </w:numPr>
        <w:jc w:val="left"/>
      </w:pPr>
      <w:r w:rsidRPr="00773F8A">
        <w:t>ordering clauses</w:t>
      </w:r>
    </w:p>
    <w:p w:rsidR="009918AD" w:rsidRPr="005E0B51" w:rsidRDefault="009918AD" w:rsidP="0010297C">
      <w:pPr>
        <w:pStyle w:val="ParaNum"/>
        <w:tabs>
          <w:tab w:val="clear" w:pos="1080"/>
          <w:tab w:val="num" w:pos="1440"/>
        </w:tabs>
        <w:jc w:val="left"/>
        <w:rPr>
          <w:b/>
          <w:szCs w:val="22"/>
        </w:rPr>
      </w:pPr>
      <w:r w:rsidRPr="00773F8A">
        <w:t xml:space="preserve">Accordingly, </w:t>
      </w:r>
      <w:r w:rsidRPr="00773F8A">
        <w:rPr>
          <w:b/>
        </w:rPr>
        <w:t>IT IS ORDERED</w:t>
      </w:r>
      <w:r w:rsidRPr="00773F8A">
        <w:t xml:space="preserve">, pursuant to </w:t>
      </w:r>
      <w:r w:rsidR="000F56C6" w:rsidRPr="00773F8A">
        <w:t>S</w:t>
      </w:r>
      <w:r w:rsidRPr="00773F8A">
        <w:t>ection 503(b) of the Communications</w:t>
      </w:r>
      <w:r>
        <w:t xml:space="preserve"> Act of 1934, as amended, 47 U.S.C. § 503(b), and </w:t>
      </w:r>
      <w:r w:rsidR="000F56C6">
        <w:t>S</w:t>
      </w:r>
      <w:r>
        <w:t xml:space="preserve">ection 1.80(f)(4) of the Commission’s rules, 47 C.F.R. </w:t>
      </w:r>
      <w:r w:rsidR="002F5ACF">
        <w:br/>
      </w:r>
      <w:r>
        <w:t xml:space="preserve">§1.80(f)(4), that </w:t>
      </w:r>
      <w:r w:rsidR="00CB4D98">
        <w:rPr>
          <w:szCs w:val="22"/>
        </w:rPr>
        <w:t xml:space="preserve">Tim Gibbons, </w:t>
      </w:r>
      <w:r w:rsidR="00CB4D98">
        <w:rPr>
          <w:color w:val="000000"/>
          <w:szCs w:val="22"/>
        </w:rPr>
        <w:t xml:space="preserve">operating as United Benefits, United Employee Benefits, or United Employee Benefits Group, all formerly known as Benchmark Mortgage or National Employee Benefits Group, independently and together with United Employee Benefits, LLC, </w:t>
      </w:r>
      <w:r w:rsidR="00557A30">
        <w:rPr>
          <w:b/>
        </w:rPr>
        <w:t>ARE JOINTLY AND SEVERALLY</w:t>
      </w:r>
      <w:r w:rsidR="00557A30" w:rsidRPr="005E0B51">
        <w:rPr>
          <w:b/>
        </w:rPr>
        <w:t xml:space="preserve"> </w:t>
      </w:r>
      <w:r w:rsidRPr="005E0B51">
        <w:rPr>
          <w:b/>
        </w:rPr>
        <w:t>LIABLE FOR A MONETARY FORFEITURE</w:t>
      </w:r>
      <w:r w:rsidRPr="005E0B51">
        <w:t xml:space="preserve"> to the United States Government in the sum of $</w:t>
      </w:r>
      <w:r w:rsidR="004B1E89">
        <w:t>2,187,000</w:t>
      </w:r>
      <w:r w:rsidRPr="005E0B51">
        <w:t xml:space="preserve"> for willfully and repeatedly violating </w:t>
      </w:r>
      <w:r w:rsidR="000F56C6">
        <w:t>S</w:t>
      </w:r>
      <w:r w:rsidRPr="005E0B51">
        <w:t>ection 227(b)(1)(</w:t>
      </w:r>
      <w:r w:rsidR="00624D99">
        <w:t>C</w:t>
      </w:r>
      <w:r w:rsidRPr="005E0B51">
        <w:t>) of the Communications Act, 47 U.S.C. § 227(b)(1)(</w:t>
      </w:r>
      <w:r w:rsidR="00624D99">
        <w:t>C</w:t>
      </w:r>
      <w:r w:rsidRPr="005E0B51">
        <w:t xml:space="preserve">), and </w:t>
      </w:r>
      <w:r w:rsidR="000F56C6">
        <w:t>S</w:t>
      </w:r>
      <w:r w:rsidRPr="005E0B51">
        <w:t>ection 64.1200(a)(</w:t>
      </w:r>
      <w:r w:rsidR="005E0B51" w:rsidRPr="005E0B51">
        <w:t>4</w:t>
      </w:r>
      <w:r w:rsidRPr="005E0B51">
        <w:t>) of the Commission’s rules, 47 C.F.R. § 64.1200(a)(</w:t>
      </w:r>
      <w:r w:rsidR="005E0B51" w:rsidRPr="005E0B51">
        <w:t>4</w:t>
      </w:r>
      <w:r w:rsidRPr="005E0B51">
        <w:t>).</w:t>
      </w:r>
    </w:p>
    <w:p w:rsidR="000C60E5" w:rsidRPr="00BF0439" w:rsidRDefault="000C60E5" w:rsidP="0010297C">
      <w:pPr>
        <w:pStyle w:val="ParaNum"/>
        <w:tabs>
          <w:tab w:val="clear" w:pos="1080"/>
        </w:tabs>
        <w:spacing w:after="120"/>
        <w:jc w:val="left"/>
        <w:rPr>
          <w:rFonts w:eastAsia="MS Mincho"/>
          <w:color w:val="000000"/>
          <w:szCs w:val="22"/>
        </w:rPr>
      </w:pPr>
      <w:r w:rsidRPr="00626BA2">
        <w:rPr>
          <w:rFonts w:eastAsia="MS Mincho" w:cs="Arial"/>
        </w:rPr>
        <w:t>Payment of the forfeiture shall be made in the manner provided for in Section 1.80 of the Rules within thirty (30) calendar days after the release date of this Forfeiture Order.</w:t>
      </w:r>
      <w:r>
        <w:rPr>
          <w:rStyle w:val="FootnoteReference"/>
          <w:rFonts w:eastAsia="MS Mincho" w:cs="Arial"/>
        </w:rPr>
        <w:footnoteReference w:id="22"/>
      </w:r>
      <w:r w:rsidRPr="00626BA2">
        <w:rPr>
          <w:rFonts w:eastAsia="MS Mincho" w:cs="Arial"/>
        </w:rPr>
        <w:t xml:space="preserve">  If the forfeiture is not paid within the period specified, the case may be referred to the U.S. Department of Justice for enforcement of the forfeiture pursuant to Section 504(a) of the Act.</w:t>
      </w:r>
      <w:r>
        <w:rPr>
          <w:rStyle w:val="FootnoteReference"/>
          <w:rFonts w:eastAsia="MS Mincho" w:cs="Arial"/>
        </w:rPr>
        <w:footnoteReference w:id="23"/>
      </w:r>
      <w:r w:rsidRPr="00626BA2">
        <w:rPr>
          <w:rFonts w:eastAsia="MS Mincho" w:cs="Arial"/>
        </w:rPr>
        <w:t xml:space="preserve">  </w:t>
      </w:r>
      <w:r w:rsidR="0025085D">
        <w:rPr>
          <w:rFonts w:eastAsia="MS Mincho" w:cs="Arial"/>
        </w:rPr>
        <w:t xml:space="preserve">Tim Gibbons </w:t>
      </w:r>
      <w:r w:rsidRPr="00D72D84">
        <w:rPr>
          <w:rFonts w:eastAsia="MS Mincho" w:cs="Arial"/>
        </w:rPr>
        <w:t xml:space="preserve">shall send electronic notification </w:t>
      </w:r>
      <w:r>
        <w:rPr>
          <w:rFonts w:eastAsia="MS Mincho" w:cs="Arial"/>
        </w:rPr>
        <w:t xml:space="preserve">of payment </w:t>
      </w:r>
      <w:r w:rsidRPr="00D72D84">
        <w:rPr>
          <w:rFonts w:eastAsia="MS Mincho" w:cs="Arial"/>
        </w:rPr>
        <w:t xml:space="preserve">to </w:t>
      </w:r>
      <w:r w:rsidR="000F56C6">
        <w:rPr>
          <w:rFonts w:eastAsia="MS Mincho" w:cs="Arial"/>
        </w:rPr>
        <w:t xml:space="preserve">Johnny Drake at </w:t>
      </w:r>
      <w:r w:rsidR="000F56C6" w:rsidRPr="000F56C6">
        <w:rPr>
          <w:rFonts w:eastAsia="MS Mincho" w:cs="Arial"/>
          <w:color w:val="0000FF"/>
          <w:u w:val="single"/>
        </w:rPr>
        <w:t>Johnny</w:t>
      </w:r>
      <w:r w:rsidR="001B482F">
        <w:rPr>
          <w:rFonts w:eastAsia="MS Mincho" w:cs="Arial"/>
          <w:color w:val="0000FF"/>
          <w:u w:val="single"/>
        </w:rPr>
        <w:t>.</w:t>
      </w:r>
      <w:hyperlink r:id="rId8" w:history="1">
        <w:r w:rsidR="000F56C6" w:rsidRPr="00E243BB">
          <w:rPr>
            <w:rStyle w:val="Hyperlink"/>
            <w:rFonts w:eastAsia="MS Mincho" w:cs="Arial"/>
          </w:rPr>
          <w:t>Drake@fcc.gov</w:t>
        </w:r>
      </w:hyperlink>
      <w:r w:rsidR="00A36210">
        <w:rPr>
          <w:rFonts w:eastAsia="MS Mincho" w:cs="Arial"/>
        </w:rPr>
        <w:t xml:space="preserve">, </w:t>
      </w:r>
      <w:r w:rsidR="000F56C6">
        <w:rPr>
          <w:rFonts w:eastAsia="MS Mincho" w:cs="Arial"/>
        </w:rPr>
        <w:t xml:space="preserve">Rosemary Cabral at </w:t>
      </w:r>
      <w:hyperlink r:id="rId9" w:history="1">
        <w:r w:rsidR="000F56C6" w:rsidRPr="00E243BB">
          <w:rPr>
            <w:rStyle w:val="Hyperlink"/>
            <w:rFonts w:eastAsia="MS Mincho" w:cs="Arial"/>
          </w:rPr>
          <w:t>Rosemary.Cabral@fcc.gov</w:t>
        </w:r>
      </w:hyperlink>
      <w:r w:rsidR="00A36210">
        <w:rPr>
          <w:rFonts w:eastAsia="MS Mincho" w:cs="Arial"/>
        </w:rPr>
        <w:t xml:space="preserve">, and Phillip Priesman at </w:t>
      </w:r>
      <w:hyperlink r:id="rId10" w:history="1">
        <w:r w:rsidR="00A36210" w:rsidRPr="00D626E0">
          <w:rPr>
            <w:rStyle w:val="Hyperlink"/>
            <w:rFonts w:eastAsia="MS Mincho" w:cs="Arial"/>
          </w:rPr>
          <w:t>Phillip</w:t>
        </w:r>
        <w:r w:rsidR="001B482F" w:rsidRPr="00D626E0">
          <w:rPr>
            <w:rStyle w:val="Hyperlink"/>
            <w:rFonts w:eastAsia="MS Mincho" w:cs="Arial"/>
          </w:rPr>
          <w:t>.</w:t>
        </w:r>
        <w:r w:rsidR="00A36210" w:rsidRPr="00D626E0">
          <w:rPr>
            <w:rStyle w:val="Hyperlink"/>
            <w:rFonts w:eastAsia="MS Mincho" w:cs="Arial"/>
          </w:rPr>
          <w:t>Priesman@fcc.gov</w:t>
        </w:r>
      </w:hyperlink>
      <w:r w:rsidR="000F56C6" w:rsidRPr="007B6354">
        <w:rPr>
          <w:rFonts w:eastAsia="MS Mincho" w:cs="Arial"/>
          <w:color w:val="0000FF"/>
        </w:rPr>
        <w:t xml:space="preserve"> </w:t>
      </w:r>
      <w:r w:rsidRPr="007B6354">
        <w:rPr>
          <w:rFonts w:eastAsia="MS Mincho" w:cs="Arial"/>
        </w:rPr>
        <w:t>on</w:t>
      </w:r>
      <w:r w:rsidRPr="00D72D84">
        <w:rPr>
          <w:rFonts w:eastAsia="MS Mincho" w:cs="Arial"/>
        </w:rPr>
        <w:t xml:space="preserve"> the date said payment is made.</w:t>
      </w:r>
    </w:p>
    <w:p w:rsidR="000C60E5" w:rsidRPr="00626BA2" w:rsidRDefault="000C60E5" w:rsidP="0010297C">
      <w:pPr>
        <w:pStyle w:val="ParaNum"/>
        <w:tabs>
          <w:tab w:val="clear" w:pos="1080"/>
          <w:tab w:val="num" w:pos="1440"/>
          <w:tab w:val="left" w:pos="1620"/>
        </w:tabs>
        <w:spacing w:after="120"/>
        <w:jc w:val="left"/>
        <w:rPr>
          <w:rFonts w:eastAsia="MS Mincho" w:cs="Arial"/>
        </w:rPr>
      </w:pPr>
      <w:r w:rsidRPr="00626BA2">
        <w:rPr>
          <w:rFonts w:eastAsia="MS Mincho" w:cs="Arial"/>
        </w:rPr>
        <w:t>The payment must be made by check or similar instrument, wire transfer, or credit card, and must include the NAL/Account number and FRN referenced above.</w:t>
      </w:r>
      <w:r>
        <w:rPr>
          <w:rFonts w:eastAsia="MS Mincho" w:cs="Arial"/>
        </w:rPr>
        <w:t xml:space="preserve">  </w:t>
      </w:r>
      <w:r w:rsidRPr="00626BA2">
        <w:rPr>
          <w:rFonts w:eastAsia="MS Mincho" w:cs="Arial"/>
        </w:rPr>
        <w:t xml:space="preserve">Regardless of the form of payment, a completed FCC Form 159 (Remittance Advice) must </w:t>
      </w:r>
      <w:r>
        <w:rPr>
          <w:rFonts w:eastAsia="MS Mincho" w:cs="Arial"/>
        </w:rPr>
        <w:t>be submitted.</w:t>
      </w:r>
      <w:r>
        <w:rPr>
          <w:rStyle w:val="FootnoteReference"/>
          <w:rFonts w:eastAsia="MS Mincho" w:cs="Arial"/>
        </w:rPr>
        <w:footnoteReference w:id="24"/>
      </w:r>
      <w:r>
        <w:rPr>
          <w:rFonts w:eastAsia="MS Mincho" w:cs="Arial"/>
        </w:rPr>
        <w:t xml:space="preserve">  </w:t>
      </w:r>
      <w:r w:rsidRPr="00626BA2">
        <w:rPr>
          <w:rFonts w:eastAsia="MS Mincho" w:cs="Arial"/>
        </w:rPr>
        <w:t>When completing the FCC Form 159, enter the Account Number in block number 23A (call sign/other ID) and enter the letters “FORF” in block number 24A (payment type code).  </w:t>
      </w:r>
      <w:r>
        <w:rPr>
          <w:rFonts w:eastAsia="MS Mincho" w:cs="Arial"/>
        </w:rPr>
        <w:t xml:space="preserve"> </w:t>
      </w:r>
      <w:r>
        <w:rPr>
          <w:color w:val="000000"/>
          <w:szCs w:val="22"/>
        </w:rPr>
        <w:t>Below are additional instructions you should follow based on the form of payment you select:</w:t>
      </w:r>
    </w:p>
    <w:p w:rsidR="000C60E5" w:rsidRPr="00626BA2" w:rsidRDefault="000C60E5" w:rsidP="000C60E5">
      <w:pPr>
        <w:pStyle w:val="ParaNum"/>
        <w:numPr>
          <w:ilvl w:val="0"/>
          <w:numId w:val="23"/>
        </w:numPr>
        <w:tabs>
          <w:tab w:val="clear" w:pos="1440"/>
        </w:tabs>
        <w:spacing w:after="120"/>
        <w:jc w:val="left"/>
        <w:rPr>
          <w:rFonts w:eastAsia="MS Mincho"/>
        </w:rPr>
      </w:pPr>
      <w:r>
        <w:rPr>
          <w:rFonts w:eastAsia="MS Mincho"/>
        </w:rPr>
        <w:t>P</w:t>
      </w:r>
      <w:r w:rsidRPr="00626BA2">
        <w:rPr>
          <w:rFonts w:eastAsia="MS Mincho"/>
        </w:rPr>
        <w:t>ayment by check or money order must be made payable to the order of the Federal Communications Commission.  Such payments (along with the completed Form 159) </w:t>
      </w:r>
      <w:r>
        <w:rPr>
          <w:rFonts w:eastAsia="MS Mincho"/>
        </w:rPr>
        <w:t>must</w:t>
      </w:r>
      <w:r w:rsidRPr="00626BA2">
        <w:rPr>
          <w:rFonts w:eastAsia="MS Mincho"/>
        </w:rPr>
        <w:t xml:space="preserve"> be mailed to Federal Communications Commission,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626BA2">
                <w:rPr>
                  <w:rFonts w:eastAsia="MS Mincho"/>
                </w:rPr>
                <w:t>P.O. Box 979088</w:t>
              </w:r>
            </w:smartTag>
          </w:smartTag>
          <w:r w:rsidRPr="00626BA2">
            <w:rPr>
              <w:rFonts w:eastAsia="MS Mincho"/>
            </w:rPr>
            <w:t xml:space="preserve">, </w:t>
          </w:r>
          <w:smartTag w:uri="urn:schemas-microsoft-com:office:smarttags" w:element="City">
            <w:r w:rsidRPr="00626BA2">
              <w:rPr>
                <w:rFonts w:eastAsia="MS Mincho"/>
              </w:rPr>
              <w:t>St. Louis</w:t>
            </w:r>
          </w:smartTag>
          <w:r w:rsidRPr="00626BA2">
            <w:rPr>
              <w:rFonts w:eastAsia="MS Mincho"/>
            </w:rPr>
            <w:t xml:space="preserve">, </w:t>
          </w:r>
          <w:smartTag w:uri="urn:schemas-microsoft-com:office:smarttags" w:element="State">
            <w:r w:rsidRPr="00626BA2">
              <w:rPr>
                <w:rFonts w:eastAsia="MS Mincho"/>
              </w:rPr>
              <w:t>MO</w:t>
            </w:r>
          </w:smartTag>
          <w:r w:rsidRPr="00626BA2">
            <w:rPr>
              <w:rFonts w:eastAsia="MS Mincho"/>
            </w:rPr>
            <w:t xml:space="preserve"> </w:t>
          </w:r>
          <w:smartTag w:uri="urn:schemas-microsoft-com:office:smarttags" w:element="PostalCode">
            <w:r w:rsidRPr="00626BA2">
              <w:rPr>
                <w:rFonts w:eastAsia="MS Mincho"/>
              </w:rPr>
              <w:t>63197-9000</w:t>
            </w:r>
          </w:smartTag>
        </w:smartTag>
      </w:smartTag>
      <w:r w:rsidRPr="00626BA2">
        <w:rPr>
          <w:rFonts w:eastAsia="MS Mincho"/>
        </w:rPr>
        <w:t xml:space="preserve">, or sent via overnight mail to U.S. Bank – Government Lockbox #979088, SL-MO-C2-GL, 1005 </w:t>
      </w:r>
      <w:smartTag w:uri="urn:schemas-microsoft-com:office:smarttags" w:element="PlaceName">
        <w:r w:rsidRPr="00626BA2">
          <w:rPr>
            <w:rFonts w:eastAsia="MS Mincho"/>
          </w:rPr>
          <w:t>Convention</w:t>
        </w:r>
      </w:smartTag>
      <w:r w:rsidRPr="00626BA2">
        <w:rPr>
          <w:rFonts w:eastAsia="MS Mincho"/>
        </w:rPr>
        <w:t xml:space="preserve"> </w:t>
      </w:r>
      <w:smartTag w:uri="urn:schemas-microsoft-com:office:smarttags" w:element="PlaceType">
        <w:r w:rsidRPr="00626BA2">
          <w:rPr>
            <w:rFonts w:eastAsia="MS Mincho"/>
          </w:rPr>
          <w:t>Plaza</w:t>
        </w:r>
      </w:smartTag>
      <w:r w:rsidRPr="00626BA2">
        <w:rPr>
          <w:rFonts w:eastAsia="MS Mincho"/>
        </w:rPr>
        <w:t xml:space="preserve">, </w:t>
      </w:r>
      <w:smartTag w:uri="urn:schemas-microsoft-com:office:smarttags" w:element="City">
        <w:smartTag w:uri="urn:schemas-microsoft-com:office:smarttags" w:element="place">
          <w:smartTag w:uri="urn:schemas-microsoft-com:office:smarttags" w:element="City">
            <w:r w:rsidRPr="00626BA2">
              <w:rPr>
                <w:rFonts w:eastAsia="MS Mincho"/>
              </w:rPr>
              <w:t>St. Louis</w:t>
            </w:r>
          </w:smartTag>
          <w:r w:rsidRPr="00626BA2">
            <w:rPr>
              <w:rFonts w:eastAsia="MS Mincho"/>
            </w:rPr>
            <w:t xml:space="preserve">, </w:t>
          </w:r>
          <w:smartTag w:uri="urn:schemas-microsoft-com:office:smarttags" w:element="PostalCode">
            <w:r w:rsidRPr="00626BA2">
              <w:rPr>
                <w:rFonts w:eastAsia="MS Mincho"/>
              </w:rPr>
              <w:t>MO</w:t>
            </w:r>
          </w:smartTag>
          <w:r w:rsidRPr="00626BA2">
            <w:rPr>
              <w:rFonts w:eastAsia="MS Mincho"/>
            </w:rPr>
            <w:t xml:space="preserve"> </w:t>
          </w:r>
          <w:smartTag w:uri="urn:schemas-microsoft-com:office:smarttags" w:element="PostalCode">
            <w:r w:rsidRPr="00626BA2">
              <w:rPr>
                <w:rFonts w:eastAsia="MS Mincho"/>
              </w:rPr>
              <w:t>63101</w:t>
            </w:r>
          </w:smartTag>
        </w:smartTag>
      </w:smartTag>
      <w:r w:rsidRPr="00626BA2">
        <w:rPr>
          <w:rFonts w:eastAsia="MS Mincho"/>
        </w:rPr>
        <w:t xml:space="preserve">.  </w:t>
      </w:r>
    </w:p>
    <w:p w:rsidR="000C60E5" w:rsidRDefault="000C60E5" w:rsidP="000C60E5">
      <w:pPr>
        <w:pStyle w:val="ParaNum"/>
        <w:numPr>
          <w:ilvl w:val="0"/>
          <w:numId w:val="23"/>
        </w:numPr>
        <w:tabs>
          <w:tab w:val="clear" w:pos="1440"/>
        </w:tabs>
        <w:spacing w:after="120"/>
        <w:jc w:val="left"/>
        <w:rPr>
          <w:rFonts w:eastAsia="MS Mincho"/>
        </w:rPr>
      </w:pPr>
      <w:r>
        <w:rPr>
          <w:rFonts w:eastAsia="MS Mincho"/>
        </w:rPr>
        <w:t>Payment by wire transfer must</w:t>
      </w:r>
      <w:r w:rsidRPr="00626BA2">
        <w:rPr>
          <w:rFonts w:eastAsia="MS Mincho"/>
        </w:rPr>
        <w:t xml:space="preserve"> be made to ABA Number 021030004, receiving bank TREAS/NYC, and Account Number 27000001.  </w:t>
      </w:r>
      <w:r>
        <w:rPr>
          <w:rFonts w:eastAsia="MS Mincho"/>
        </w:rPr>
        <w:t xml:space="preserve">To complete the wire transfer and ensure appropriate crediting of the wired funds, a </w:t>
      </w:r>
      <w:r w:rsidRPr="00626BA2">
        <w:rPr>
          <w:rFonts w:eastAsia="MS Mincho"/>
        </w:rPr>
        <w:t>completed Form 159 must be faxed to U.S. Bank at (314) 418-4232</w:t>
      </w:r>
      <w:r>
        <w:rPr>
          <w:rFonts w:eastAsia="MS Mincho"/>
        </w:rPr>
        <w:t xml:space="preserve"> on</w:t>
      </w:r>
      <w:r w:rsidRPr="00626BA2">
        <w:rPr>
          <w:rFonts w:eastAsia="MS Mincho"/>
        </w:rPr>
        <w:t xml:space="preserve"> the same business day </w:t>
      </w:r>
      <w:r>
        <w:rPr>
          <w:rFonts w:eastAsia="MS Mincho"/>
        </w:rPr>
        <w:t>the wire transfer is initiated</w:t>
      </w:r>
      <w:r w:rsidRPr="00626BA2">
        <w:rPr>
          <w:rFonts w:eastAsia="MS Mincho"/>
        </w:rPr>
        <w:t xml:space="preserve">.  </w:t>
      </w:r>
    </w:p>
    <w:p w:rsidR="000C60E5" w:rsidRPr="00626BA2" w:rsidRDefault="000C60E5" w:rsidP="000C60E5">
      <w:pPr>
        <w:pStyle w:val="ParaNum"/>
        <w:numPr>
          <w:ilvl w:val="0"/>
          <w:numId w:val="23"/>
        </w:numPr>
        <w:tabs>
          <w:tab w:val="clear" w:pos="1440"/>
        </w:tabs>
        <w:spacing w:after="120"/>
        <w:jc w:val="left"/>
        <w:rPr>
          <w:rFonts w:eastAsia="MS Mincho"/>
        </w:rPr>
      </w:pPr>
      <w:r>
        <w:rPr>
          <w:rFonts w:eastAsia="MS Mincho"/>
        </w:rPr>
        <w:t>Payment by credit card must</w:t>
      </w:r>
      <w:r w:rsidRPr="00626BA2">
        <w:rPr>
          <w:rFonts w:eastAsia="MS Mincho"/>
        </w:rPr>
        <w:t xml:space="preserve"> be made by providing the required credit card information on FCC Form 159 and signing and dating the Form 159 to authorize the credit card payment.</w:t>
      </w:r>
      <w:r>
        <w:rPr>
          <w:rFonts w:eastAsia="MS Mincho"/>
        </w:rPr>
        <w:t xml:space="preserve">   </w:t>
      </w:r>
      <w:r w:rsidRPr="00626BA2">
        <w:rPr>
          <w:rFonts w:eastAsia="MS Mincho"/>
        </w:rPr>
        <w:t xml:space="preserve">The completed Form 159 </w:t>
      </w:r>
      <w:r>
        <w:rPr>
          <w:rFonts w:eastAsia="MS Mincho"/>
        </w:rPr>
        <w:t>must</w:t>
      </w:r>
      <w:r w:rsidRPr="00626BA2">
        <w:rPr>
          <w:rFonts w:eastAsia="MS Mincho"/>
        </w:rPr>
        <w:t xml:space="preserve"> then be mailed to Federal Communications Commission, P.O. Box 979088, St. Louis, MO 63197-9000, </w:t>
      </w:r>
      <w:r>
        <w:rPr>
          <w:rFonts w:eastAsia="MS Mincho"/>
        </w:rPr>
        <w:t xml:space="preserve">or </w:t>
      </w:r>
      <w:r w:rsidRPr="00626BA2">
        <w:rPr>
          <w:rFonts w:eastAsia="MS Mincho"/>
        </w:rPr>
        <w:t xml:space="preserve">sent via overnight mail to U.S. Bank – Government Lockbox #979088, SL-MO-C2-GL, 1005 Convention Plaza, St. Louis, MO 63101.  </w:t>
      </w:r>
    </w:p>
    <w:p w:rsidR="00FF191F" w:rsidRPr="007C3D8D" w:rsidRDefault="000C60E5" w:rsidP="007C3D8D">
      <w:pPr>
        <w:pStyle w:val="ParaNum"/>
        <w:numPr>
          <w:ilvl w:val="0"/>
          <w:numId w:val="0"/>
        </w:numPr>
        <w:tabs>
          <w:tab w:val="clear" w:pos="1440"/>
        </w:tabs>
        <w:spacing w:after="120"/>
        <w:jc w:val="left"/>
        <w:rPr>
          <w:rFonts w:eastAsia="MS Mincho"/>
        </w:rPr>
      </w:pPr>
      <w:r>
        <w:rPr>
          <w:rFonts w:eastAsia="MS Mincho"/>
        </w:rPr>
        <w:t>Any r</w:t>
      </w:r>
      <w:r w:rsidRPr="00626BA2">
        <w:rPr>
          <w:rFonts w:eastAsia="MS Mincho"/>
        </w:rPr>
        <w:t xml:space="preserve">equest for full payment under an installment plan should be sent to:  Chief Financial Officer—Financial Operations, </w:t>
      </w:r>
      <w:r w:rsidRPr="00BF0439">
        <w:rPr>
          <w:rFonts w:eastAsia="MS Mincho" w:cs="Arial"/>
        </w:rPr>
        <w:t>Federal</w:t>
      </w:r>
      <w:r w:rsidRPr="00626BA2">
        <w:rPr>
          <w:rFonts w:eastAsia="MS Mincho"/>
        </w:rPr>
        <w:t xml:space="preserve"> Communications Commission, 445 12th Street, S.W., Room 1-A625, Washington, D.C.  20554.</w:t>
      </w:r>
      <w:r>
        <w:rPr>
          <w:rStyle w:val="FootnoteReference"/>
          <w:rFonts w:eastAsia="MS Mincho"/>
        </w:rPr>
        <w:footnoteReference w:id="25"/>
      </w:r>
      <w:r w:rsidRPr="00626BA2">
        <w:rPr>
          <w:rFonts w:eastAsia="MS Mincho"/>
        </w:rPr>
        <w:t>  If you have questions regarding payment procedures, please contact the Financial Operations Group Help Desk by phone, 1-877-480-3201, or by e</w:t>
      </w:r>
      <w:r>
        <w:rPr>
          <w:rFonts w:eastAsia="MS Mincho"/>
        </w:rPr>
        <w:noBreakHyphen/>
      </w:r>
      <w:r w:rsidRPr="00626BA2">
        <w:rPr>
          <w:rFonts w:eastAsia="MS Mincho"/>
        </w:rPr>
        <w:t>mail,</w:t>
      </w:r>
      <w:r>
        <w:rPr>
          <w:rFonts w:eastAsia="MS Mincho"/>
        </w:rPr>
        <w:t xml:space="preserve"> </w:t>
      </w:r>
      <w:hyperlink r:id="rId11" w:history="1">
        <w:r w:rsidR="00303A90" w:rsidRPr="003A3ED9">
          <w:rPr>
            <w:rStyle w:val="Hyperlink"/>
            <w:rFonts w:eastAsia="MS Mincho" w:cs="Arial"/>
          </w:rPr>
          <w:t>ARINQUIRIES@fcc.gov</w:t>
        </w:r>
      </w:hyperlink>
      <w:r w:rsidRPr="00626BA2">
        <w:rPr>
          <w:rFonts w:eastAsia="MS Mincho"/>
        </w:rPr>
        <w:t>.</w:t>
      </w:r>
    </w:p>
    <w:p w:rsidR="009918AD" w:rsidRPr="00CF2B62" w:rsidRDefault="009918AD" w:rsidP="0010297C">
      <w:pPr>
        <w:pStyle w:val="ParaNum"/>
        <w:tabs>
          <w:tab w:val="clear" w:pos="1080"/>
          <w:tab w:val="num" w:pos="1440"/>
          <w:tab w:val="left" w:pos="1710"/>
        </w:tabs>
        <w:spacing w:after="120"/>
        <w:jc w:val="left"/>
        <w:rPr>
          <w:rFonts w:eastAsia="MS Mincho"/>
          <w:szCs w:val="22"/>
        </w:rPr>
      </w:pPr>
      <w:r>
        <w:rPr>
          <w:b/>
        </w:rPr>
        <w:t>IT IS FURTHER ORDERED</w:t>
      </w:r>
      <w:r>
        <w:t xml:space="preserve"> that a copy of this </w:t>
      </w:r>
      <w:r w:rsidRPr="00D2079E">
        <w:rPr>
          <w:rFonts w:eastAsia="MS Mincho" w:cs="Arial"/>
        </w:rPr>
        <w:t>Order</w:t>
      </w:r>
      <w:r>
        <w:rPr>
          <w:i/>
        </w:rPr>
        <w:t xml:space="preserve"> </w:t>
      </w:r>
      <w:r>
        <w:t>shall be sent by First Class Mail and Certified Mail Return Receipt Requested to</w:t>
      </w:r>
      <w:r w:rsidR="0025085D">
        <w:t xml:space="preserve"> </w:t>
      </w:r>
      <w:r w:rsidR="0025085D" w:rsidRPr="0025085D">
        <w:t>Tim Gibbons and United Employee Benefits, LLC, 8871 West Flamingo Road, Suite 202, Las Vegas, NV 89147; National Employee Benefits Group, United Employee Benefits Group, and Tim Gibbons, 2800 Post Oak Blvd, Suite 4100, Houston, TX 77056; Registered Agent for Service: Silver Shield Services, Inc., United Employee Benefits, LLC, P.O. Box 3540, 3315 Highway 50, Silver Springs, NV 89429</w:t>
      </w:r>
      <w:r w:rsidR="00CB4D98">
        <w:t xml:space="preserve">, and Tim Gibbons and United Benefits, </w:t>
      </w:r>
      <w:r w:rsidR="00CB4D98" w:rsidRPr="00CF2B62">
        <w:rPr>
          <w:szCs w:val="22"/>
        </w:rPr>
        <w:t>101 California Street, Suite 2710, San</w:t>
      </w:r>
      <w:r w:rsidR="00CB4D98" w:rsidRPr="00CD7F91">
        <w:rPr>
          <w:szCs w:val="22"/>
        </w:rPr>
        <w:t xml:space="preserve"> Francisco, CA 94111-5818; and </w:t>
      </w:r>
      <w:r w:rsidR="00CB4D98">
        <w:t>A</w:t>
      </w:r>
      <w:r w:rsidR="0025085D" w:rsidRPr="0025085D">
        <w:t>ttorney Robert Ungar, counsel for Mr. Gibbons, 14724 Ventura Boulevard, Penthouse, Sherman Oaks, CA 91403</w:t>
      </w:r>
      <w:r w:rsidR="00B172CF">
        <w:t>.</w:t>
      </w:r>
      <w:r w:rsidR="00303A90">
        <w:t xml:space="preserve"> </w:t>
      </w:r>
    </w:p>
    <w:p w:rsidR="009C24C7" w:rsidRDefault="009C24C7" w:rsidP="009C24C7">
      <w:pPr>
        <w:ind w:right="-18"/>
      </w:pPr>
    </w:p>
    <w:p w:rsidR="009C24C7" w:rsidRDefault="009C24C7" w:rsidP="009C24C7">
      <w:pPr>
        <w:ind w:right="-18"/>
      </w:pPr>
    </w:p>
    <w:p w:rsidR="009918AD" w:rsidRDefault="009918AD">
      <w:pPr>
        <w:pStyle w:val="ParaNum"/>
        <w:numPr>
          <w:ilvl w:val="0"/>
          <w:numId w:val="0"/>
        </w:numPr>
        <w:jc w:val="left"/>
      </w:pPr>
      <w:r>
        <w:tab/>
      </w:r>
      <w:r>
        <w:tab/>
      </w:r>
      <w:r>
        <w:tab/>
      </w:r>
      <w:r>
        <w:tab/>
      </w:r>
      <w:r>
        <w:tab/>
        <w:t>FEDERAL COMMUNICATIONS COMMISSION</w:t>
      </w:r>
    </w:p>
    <w:p w:rsidR="009918AD" w:rsidRDefault="009918AD">
      <w:pPr>
        <w:tabs>
          <w:tab w:val="left" w:pos="0"/>
        </w:tabs>
        <w:rPr>
          <w:b/>
        </w:rPr>
      </w:pPr>
    </w:p>
    <w:p w:rsidR="009918AD" w:rsidRDefault="009918AD">
      <w:pPr>
        <w:tabs>
          <w:tab w:val="left" w:pos="0"/>
        </w:tabs>
        <w:rPr>
          <w:b/>
        </w:rPr>
      </w:pPr>
    </w:p>
    <w:p w:rsidR="009918AD" w:rsidRDefault="009918AD">
      <w:pPr>
        <w:tabs>
          <w:tab w:val="left" w:pos="0"/>
        </w:tabs>
      </w:pPr>
      <w:r>
        <w:rPr>
          <w:b/>
        </w:rPr>
        <w:tab/>
      </w:r>
      <w:r>
        <w:rPr>
          <w:b/>
        </w:rPr>
        <w:tab/>
      </w:r>
      <w:r>
        <w:rPr>
          <w:b/>
        </w:rPr>
        <w:tab/>
      </w:r>
      <w:r>
        <w:rPr>
          <w:b/>
        </w:rPr>
        <w:tab/>
      </w:r>
      <w:r>
        <w:rPr>
          <w:b/>
        </w:rPr>
        <w:tab/>
      </w:r>
      <w:r>
        <w:rPr>
          <w:b/>
        </w:rPr>
        <w:tab/>
      </w:r>
      <w:r>
        <w:t xml:space="preserve"> </w:t>
      </w:r>
    </w:p>
    <w:p w:rsidR="009918AD" w:rsidRDefault="009918AD">
      <w:pPr>
        <w:tabs>
          <w:tab w:val="left" w:pos="0"/>
        </w:tabs>
      </w:pPr>
      <w:r>
        <w:tab/>
      </w:r>
      <w:r>
        <w:tab/>
      </w:r>
      <w:r>
        <w:tab/>
      </w:r>
      <w:r>
        <w:tab/>
      </w:r>
      <w:r>
        <w:tab/>
      </w:r>
      <w:r>
        <w:tab/>
        <w:t>Marlene H. Dortch</w:t>
      </w:r>
      <w:r>
        <w:tab/>
      </w:r>
      <w:r>
        <w:tab/>
      </w:r>
      <w:r>
        <w:tab/>
      </w:r>
      <w:r>
        <w:tab/>
      </w:r>
      <w:r>
        <w:tab/>
      </w:r>
      <w:r>
        <w:tab/>
      </w:r>
      <w:r>
        <w:tab/>
      </w:r>
      <w:r>
        <w:tab/>
      </w:r>
      <w:r>
        <w:tab/>
      </w:r>
      <w:r>
        <w:tab/>
      </w:r>
      <w:r>
        <w:tab/>
        <w:t>Secretary</w:t>
      </w:r>
      <w:r>
        <w:tab/>
      </w:r>
      <w:r>
        <w:tab/>
      </w:r>
    </w:p>
    <w:sectPr w:rsidR="009918A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118" w:rsidRDefault="000D0118">
      <w:r>
        <w:separator/>
      </w:r>
    </w:p>
  </w:endnote>
  <w:endnote w:type="continuationSeparator" w:id="0">
    <w:p w:rsidR="000D0118" w:rsidRDefault="000D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E1" w:rsidRDefault="00DB71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1D" w:rsidRDefault="00ED501D">
    <w:pPr>
      <w:pStyle w:val="Footer"/>
      <w:jc w:val="center"/>
    </w:pPr>
    <w:r>
      <w:rPr>
        <w:rStyle w:val="PageNumber"/>
      </w:rPr>
      <w:fldChar w:fldCharType="begin"/>
    </w:r>
    <w:r>
      <w:rPr>
        <w:rStyle w:val="PageNumber"/>
      </w:rPr>
      <w:instrText xml:space="preserve"> PAGE </w:instrText>
    </w:r>
    <w:r>
      <w:rPr>
        <w:rStyle w:val="PageNumber"/>
      </w:rPr>
      <w:fldChar w:fldCharType="separate"/>
    </w:r>
    <w:r w:rsidR="00EB3D9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E1" w:rsidRDefault="00DB7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118" w:rsidRDefault="000D0118">
      <w:pPr>
        <w:rPr>
          <w:sz w:val="20"/>
        </w:rPr>
      </w:pPr>
      <w:r>
        <w:rPr>
          <w:sz w:val="20"/>
        </w:rPr>
        <w:separator/>
      </w:r>
    </w:p>
  </w:footnote>
  <w:footnote w:type="continuationSeparator" w:id="0">
    <w:p w:rsidR="000D0118" w:rsidRDefault="000D0118">
      <w:pPr>
        <w:rPr>
          <w:sz w:val="20"/>
        </w:rPr>
      </w:pPr>
      <w:r>
        <w:rPr>
          <w:sz w:val="20"/>
        </w:rPr>
        <w:separator/>
      </w:r>
    </w:p>
    <w:p w:rsidR="000D0118" w:rsidRDefault="000D0118">
      <w:pPr>
        <w:rPr>
          <w:sz w:val="20"/>
        </w:rPr>
      </w:pPr>
      <w:r>
        <w:rPr>
          <w:sz w:val="20"/>
        </w:rPr>
        <w:t>(...continued from previous page)</w:t>
      </w:r>
    </w:p>
  </w:footnote>
  <w:footnote w:type="continuationNotice" w:id="1">
    <w:p w:rsidR="000D0118" w:rsidRDefault="000D0118">
      <w:pPr>
        <w:jc w:val="right"/>
        <w:rPr>
          <w:sz w:val="20"/>
        </w:rPr>
      </w:pPr>
      <w:r>
        <w:rPr>
          <w:sz w:val="20"/>
        </w:rPr>
        <w:t>(continued....)</w:t>
      </w:r>
    </w:p>
  </w:footnote>
  <w:footnote w:id="2">
    <w:p w:rsidR="00CE5550" w:rsidRDefault="00ED501D">
      <w:pPr>
        <w:pStyle w:val="FootnoteText"/>
        <w:jc w:val="left"/>
      </w:pPr>
      <w:r>
        <w:rPr>
          <w:rStyle w:val="FootnoteReference"/>
        </w:rPr>
        <w:footnoteRef/>
      </w:r>
      <w:r>
        <w:t xml:space="preserve"> </w:t>
      </w:r>
      <w:r>
        <w:rPr>
          <w:i/>
        </w:rPr>
        <w:t xml:space="preserve">See </w:t>
      </w:r>
      <w:r>
        <w:t xml:space="preserve">47 U.S.C. § 227(b)(1)(C); 47 </w:t>
      </w:r>
      <w:r w:rsidRPr="005E0B51">
        <w:t>C.F.R. §</w:t>
      </w:r>
      <w:r>
        <w:t xml:space="preserve"> </w:t>
      </w:r>
      <w:r w:rsidRPr="005E0B51">
        <w:t>64.1200(a)(4)</w:t>
      </w:r>
      <w:r>
        <w:t xml:space="preserve">.  </w:t>
      </w:r>
    </w:p>
  </w:footnote>
  <w:footnote w:id="3">
    <w:p w:rsidR="00CE5550" w:rsidRDefault="00ED501D">
      <w:pPr>
        <w:pStyle w:val="FootnoteText"/>
        <w:jc w:val="left"/>
      </w:pPr>
      <w:r>
        <w:rPr>
          <w:rStyle w:val="FootnoteReference"/>
        </w:rPr>
        <w:footnoteRef/>
      </w:r>
      <w:r>
        <w:t xml:space="preserve"> </w:t>
      </w:r>
      <w:r>
        <w:rPr>
          <w:color w:val="000000"/>
        </w:rPr>
        <w:t xml:space="preserve">47 U.S.C. § 227(b)(1)(C).  The prohibition is subject to certain exceptions, such as if the sender has an “established business relationship” (EBR) with the recipient, and the sender obtained the facsimile number from the recipient through voluntary communication in the context of an EBR, or from a directory, advertisement, or website which  the recipient voluntarily agreed to make its facsimile number available for public distribution.  In addition, the unsolicited ad must notify the recipient how to opt out of receiving future such ads, and do so in compliance with certain requirements.  The Commission adopted implementing rules.  </w:t>
      </w:r>
      <w:r w:rsidRPr="00800781">
        <w:rPr>
          <w:i/>
          <w:color w:val="000000"/>
        </w:rPr>
        <w:t>See also</w:t>
      </w:r>
      <w:r>
        <w:rPr>
          <w:color w:val="000000"/>
        </w:rPr>
        <w:t xml:space="preserve"> 47 C.F.R. § 64.1200(a)(4).</w:t>
      </w:r>
    </w:p>
  </w:footnote>
  <w:footnote w:id="4">
    <w:p w:rsidR="00CE5550" w:rsidRDefault="00ED501D">
      <w:pPr>
        <w:pStyle w:val="FootnoteText"/>
        <w:jc w:val="left"/>
      </w:pPr>
      <w:r>
        <w:rPr>
          <w:rStyle w:val="FootnoteReference"/>
        </w:rPr>
        <w:footnoteRef/>
      </w:r>
      <w:r>
        <w:t xml:space="preserve"> 47 U.S.C. § 503(b)(5). </w:t>
      </w:r>
    </w:p>
  </w:footnote>
  <w:footnote w:id="5">
    <w:p w:rsidR="00CE5550" w:rsidRDefault="00ED501D">
      <w:pPr>
        <w:pStyle w:val="FootnoteText"/>
        <w:jc w:val="left"/>
      </w:pPr>
      <w:r>
        <w:rPr>
          <w:rStyle w:val="FootnoteReference"/>
        </w:rPr>
        <w:footnoteRef/>
      </w:r>
      <w:r>
        <w:t xml:space="preserve"> </w:t>
      </w:r>
      <w:r w:rsidRPr="004129FC">
        <w:t>Citation from Joshua P. Zeldis, Assistant Division Chief, Telecommunications Consumers Division, Enforcement Bureau, File No. EB-10-TC-478</w:t>
      </w:r>
      <w:r>
        <w:t xml:space="preserve">, </w:t>
      </w:r>
      <w:r w:rsidRPr="004129FC">
        <w:t xml:space="preserve">issued to National Employee Benefits Group and Benchmark Mortgage dba National Employee Benefits Group, on October 22, 2010. </w:t>
      </w:r>
      <w:r>
        <w:t xml:space="preserve"> (The File No. in this case was formerly </w:t>
      </w:r>
      <w:r w:rsidRPr="004129FC">
        <w:t>EB-10-TC-478</w:t>
      </w:r>
      <w:r>
        <w:t xml:space="preserve">.  In January </w:t>
      </w:r>
      <w:r w:rsidR="00792E38">
        <w:t>2011</w:t>
      </w:r>
      <w:r>
        <w:t>, The Telecommunications Consumers Division reassigned this case the number set forth in the caption.)</w:t>
      </w:r>
      <w:r w:rsidRPr="004129FC">
        <w:t xml:space="preserve">  </w:t>
      </w:r>
    </w:p>
  </w:footnote>
  <w:footnote w:id="6">
    <w:p w:rsidR="00CE5550" w:rsidRDefault="003E4483">
      <w:pPr>
        <w:pStyle w:val="FootnoteText"/>
      </w:pPr>
      <w:r>
        <w:rPr>
          <w:rStyle w:val="FootnoteReference"/>
        </w:rPr>
        <w:footnoteRef/>
      </w:r>
      <w:r>
        <w:t xml:space="preserve"> </w:t>
      </w:r>
      <w:smartTag w:uri="urn:schemas-microsoft-com:office:smarttags" w:element="place">
        <w:smartTag w:uri="urn:schemas-microsoft-com:office:smarttags" w:element="State">
          <w:r w:rsidRPr="003E4483">
            <w:rPr>
              <w:i/>
            </w:rPr>
            <w:t>Id.</w:t>
          </w:r>
        </w:smartTag>
      </w:smartTag>
    </w:p>
  </w:footnote>
  <w:footnote w:id="7">
    <w:p w:rsidR="00CE5550" w:rsidRDefault="00ED501D" w:rsidP="00177B97">
      <w:pPr>
        <w:pStyle w:val="FootnoteText"/>
        <w:jc w:val="left"/>
      </w:pPr>
      <w:r>
        <w:rPr>
          <w:rStyle w:val="FootnoteReference"/>
        </w:rPr>
        <w:footnoteRef/>
      </w:r>
      <w:r>
        <w:t xml:space="preserve"> National Employee Benefits Group acknowledged receipt of the citation, as evidenced by a signed United States Postal Service return receipt, Article Number 7008 0500 0000 9339 3528 (National Employee Benefits Group, Attn.: Tim Gibbons, President, 795 Folsom Street, 1</w:t>
      </w:r>
      <w:r>
        <w:rPr>
          <w:vertAlign w:val="superscript"/>
        </w:rPr>
        <w:t>st</w:t>
      </w:r>
      <w:r>
        <w:t xml:space="preserve"> Floor, San Francisco, CA 94107). </w:t>
      </w:r>
    </w:p>
  </w:footnote>
  <w:footnote w:id="8">
    <w:p w:rsidR="00CE5550" w:rsidRDefault="00ED501D" w:rsidP="007461B7">
      <w:pPr>
        <w:pStyle w:val="FootnoteText"/>
        <w:jc w:val="left"/>
      </w:pPr>
      <w:r w:rsidRPr="00EB093C">
        <w:rPr>
          <w:rStyle w:val="FootnoteReference"/>
        </w:rPr>
        <w:footnoteRef/>
      </w:r>
      <w:r w:rsidRPr="00EB093C">
        <w:t xml:space="preserve"> </w:t>
      </w:r>
      <w:r w:rsidRPr="00EB093C">
        <w:rPr>
          <w:i/>
        </w:rPr>
        <w:t>National Employee Benefits Group</w:t>
      </w:r>
      <w:r w:rsidRPr="00EB093C">
        <w:t xml:space="preserve">, Notice of Apparent Liability for Forfeiture, </w:t>
      </w:r>
      <w:r w:rsidRPr="00EB093C">
        <w:rPr>
          <w:iCs/>
        </w:rPr>
        <w:t>27 FCC Rcd 2734 (2012)</w:t>
      </w:r>
      <w:r>
        <w:rPr>
          <w:iCs/>
        </w:rPr>
        <w:t xml:space="preserve"> (</w:t>
      </w:r>
      <w:r w:rsidRPr="00EB093C">
        <w:rPr>
          <w:i/>
          <w:iCs/>
        </w:rPr>
        <w:t>February 2012 NAL</w:t>
      </w:r>
      <w:r>
        <w:rPr>
          <w:iCs/>
        </w:rPr>
        <w:t>).</w:t>
      </w:r>
    </w:p>
  </w:footnote>
  <w:footnote w:id="9">
    <w:p w:rsidR="00CE5550" w:rsidRDefault="00ED501D" w:rsidP="00EB093C">
      <w:pPr>
        <w:pStyle w:val="FootnoteText"/>
        <w:jc w:val="left"/>
      </w:pPr>
      <w:r>
        <w:rPr>
          <w:rStyle w:val="FootnoteReference"/>
        </w:rPr>
        <w:footnoteRef/>
      </w:r>
      <w:r>
        <w:t xml:space="preserve"> </w:t>
      </w:r>
      <w:r w:rsidRPr="00EB093C">
        <w:rPr>
          <w:i/>
          <w:color w:val="000000"/>
        </w:rPr>
        <w:t xml:space="preserve">Tim Gibbons, United Employee Benefits Group, United Employee Benefits, United Benefits, f/k/a Benchmark Mortgage, National Employee Benefits Group, </w:t>
      </w:r>
      <w:r w:rsidR="00710E4A">
        <w:rPr>
          <w:color w:val="000000"/>
        </w:rPr>
        <w:t>Notice of Apparent Liability</w:t>
      </w:r>
      <w:r w:rsidR="00057281">
        <w:rPr>
          <w:color w:val="000000"/>
        </w:rPr>
        <w:t xml:space="preserve"> </w:t>
      </w:r>
      <w:r w:rsidR="00710E4A">
        <w:rPr>
          <w:color w:val="000000"/>
        </w:rPr>
        <w:t xml:space="preserve">for Forfeiture, </w:t>
      </w:r>
      <w:r w:rsidRPr="00EB093C">
        <w:rPr>
          <w:color w:val="000000"/>
        </w:rPr>
        <w:t>27 FCC Rcd 11432</w:t>
      </w:r>
      <w:r w:rsidRPr="00EB093C">
        <w:t xml:space="preserve"> (2012)</w:t>
      </w:r>
      <w:r>
        <w:t xml:space="preserve"> (</w:t>
      </w:r>
      <w:r w:rsidRPr="00EB093C">
        <w:rPr>
          <w:i/>
        </w:rPr>
        <w:t>September 2012 NAL</w:t>
      </w:r>
      <w:r>
        <w:t>)</w:t>
      </w:r>
      <w:r w:rsidRPr="00EB093C">
        <w:t>.</w:t>
      </w:r>
      <w:r>
        <w:t xml:space="preserve"> (The faxes referred to UEB and UEBG, but identified Tim Gibbons and the same contact number for NEBG.)</w:t>
      </w:r>
    </w:p>
  </w:footnote>
  <w:footnote w:id="10">
    <w:p w:rsidR="00CE5550" w:rsidRDefault="00ED501D" w:rsidP="00AF3CF5">
      <w:pPr>
        <w:pStyle w:val="FootnoteText"/>
        <w:jc w:val="left"/>
      </w:pPr>
      <w:r>
        <w:rPr>
          <w:rStyle w:val="FootnoteReference"/>
        </w:rPr>
        <w:footnoteRef/>
      </w:r>
      <w:r>
        <w:t xml:space="preserve"> National Employee Benefits Group acknowledged receipt of the </w:t>
      </w:r>
      <w:r>
        <w:rPr>
          <w:i/>
        </w:rPr>
        <w:t>February 2012 NAL</w:t>
      </w:r>
      <w:r>
        <w:t xml:space="preserve">, as evidenced by a signed United States Postal Service return receipts: Article Number 7007 2560 001 6093 7751 (2800 Post Oak Blvd., Suite 4100, Houston, TX 77056), and </w:t>
      </w:r>
      <w:r w:rsidRPr="00303A90">
        <w:t>Article Number 7007 2560 001 7744 (</w:t>
      </w:r>
      <w:r w:rsidRPr="00303A90">
        <w:rPr>
          <w:color w:val="000000"/>
          <w:szCs w:val="22"/>
        </w:rPr>
        <w:t>8871 West Flamingo Road, Suite 202, Las Vegas, NV 89147).</w:t>
      </w:r>
      <w:r w:rsidRPr="00303A90">
        <w:t xml:space="preserve">  Our records also indicate that National Employee Benefits Group acknowledged receipt of the </w:t>
      </w:r>
      <w:r w:rsidRPr="00303A90">
        <w:rPr>
          <w:i/>
        </w:rPr>
        <w:t>September</w:t>
      </w:r>
      <w:r w:rsidRPr="00303A90">
        <w:t xml:space="preserve"> </w:t>
      </w:r>
      <w:r w:rsidRPr="00303A90">
        <w:rPr>
          <w:i/>
        </w:rPr>
        <w:t>2012 NAL</w:t>
      </w:r>
      <w:r w:rsidRPr="00303A90">
        <w:t>, as evidenced by a signed United States Postal Service return receipt</w:t>
      </w:r>
      <w:r>
        <w:t xml:space="preserve">s:  </w:t>
      </w:r>
      <w:r w:rsidRPr="00303A90">
        <w:t>Article Number 7007 2560 001 6093 7898 (2800 Post Oak Blvd., Suite 4100, Houston, TX 77056);  Article Number 7007 2560 001 6093 7904 (</w:t>
      </w:r>
      <w:r w:rsidRPr="00303A90">
        <w:rPr>
          <w:color w:val="000000"/>
          <w:szCs w:val="22"/>
        </w:rPr>
        <w:t>8871 West Flamingo Road, Suite 202, Las Vegas, NV 89147), Article Number 7007 2560 001 6093 7881 (United Employee Benefits, LLC c/o Registered Agent for Service: Silver Shield Services, Inc., P.O. Box 3540, 3315 Highway 50, Si</w:t>
      </w:r>
      <w:r w:rsidR="007F2F46">
        <w:rPr>
          <w:color w:val="000000"/>
          <w:szCs w:val="22"/>
        </w:rPr>
        <w:t>l</w:t>
      </w:r>
      <w:r w:rsidRPr="00303A90">
        <w:rPr>
          <w:color w:val="000000"/>
          <w:szCs w:val="22"/>
        </w:rPr>
        <w:t>ver Springs, NV 89429</w:t>
      </w:r>
      <w:r>
        <w:rPr>
          <w:color w:val="000000"/>
          <w:szCs w:val="22"/>
        </w:rPr>
        <w:t>)</w:t>
      </w:r>
      <w:r w:rsidRPr="00303A90">
        <w:rPr>
          <w:color w:val="000000"/>
          <w:szCs w:val="22"/>
        </w:rPr>
        <w:t xml:space="preserve">; </w:t>
      </w:r>
      <w:r>
        <w:rPr>
          <w:color w:val="000000"/>
          <w:szCs w:val="22"/>
        </w:rPr>
        <w:t xml:space="preserve">and </w:t>
      </w:r>
      <w:r w:rsidRPr="00303A90">
        <w:t xml:space="preserve">Article Number </w:t>
      </w:r>
      <w:r>
        <w:rPr>
          <w:color w:val="000000"/>
          <w:szCs w:val="22"/>
        </w:rPr>
        <w:t>7007 2560 0001 6093 7874 (Attorney Robert Ungar, 14724 Ventura Boulevard, Penthouse, Sherman Oaks, CA 91403).</w:t>
      </w:r>
      <w:r>
        <w:t xml:space="preserve">  </w:t>
      </w:r>
    </w:p>
  </w:footnote>
  <w:footnote w:id="11">
    <w:p w:rsidR="00CE5550" w:rsidRDefault="003E4483" w:rsidP="003E4483">
      <w:pPr>
        <w:pStyle w:val="FootnoteText"/>
        <w:jc w:val="left"/>
      </w:pPr>
      <w:r>
        <w:rPr>
          <w:rStyle w:val="FootnoteReference"/>
        </w:rPr>
        <w:footnoteRef/>
      </w:r>
      <w:r>
        <w:t xml:space="preserve"> </w:t>
      </w:r>
      <w:r>
        <w:rPr>
          <w:i/>
        </w:rPr>
        <w:t xml:space="preserve">See </w:t>
      </w:r>
      <w:r>
        <w:t xml:space="preserve">Letter from Robert M. Ungar, attorney representing Tim Gibbons, to Marlene H. Dortch, Secretary, Federal Communications Commission (March 29, 2012) (on file in EB-10-TC-478). </w:t>
      </w:r>
      <w:r w:rsidR="009D65B0">
        <w:t xml:space="preserve">  </w:t>
      </w:r>
    </w:p>
  </w:footnote>
  <w:footnote w:id="12">
    <w:p w:rsidR="00CE5550" w:rsidRDefault="003E4483" w:rsidP="003E4483">
      <w:pPr>
        <w:pStyle w:val="FootnoteText"/>
        <w:jc w:val="left"/>
      </w:pPr>
      <w:r>
        <w:rPr>
          <w:rStyle w:val="FootnoteReference"/>
        </w:rPr>
        <w:footnoteRef/>
      </w:r>
      <w:r>
        <w:t xml:space="preserve"> </w:t>
      </w:r>
      <w:r>
        <w:rPr>
          <w:i/>
        </w:rPr>
        <w:t>See</w:t>
      </w:r>
      <w:r>
        <w:t xml:space="preserve"> e-mail from </w:t>
      </w:r>
      <w:smartTag w:uri="urn:schemas-microsoft-com:office:smarttags" w:element="PersonName">
        <w:r>
          <w:t>Rosemary Cabral</w:t>
        </w:r>
      </w:smartTag>
      <w:r>
        <w:t xml:space="preserve"> , Staff Attorney, Telecommunications Consumers Division, Enforcement Bureau, Federal Communications Commission, to Attorney Robert M. Ungar (April 11, 2012, 2:19 p.m. E.D.T.).  </w:t>
      </w:r>
    </w:p>
  </w:footnote>
  <w:footnote w:id="13">
    <w:p w:rsidR="00CE5550" w:rsidRDefault="009D65B0" w:rsidP="009D65B0">
      <w:pPr>
        <w:pStyle w:val="FootnoteText"/>
        <w:jc w:val="left"/>
      </w:pPr>
      <w:r>
        <w:rPr>
          <w:rStyle w:val="FootnoteReference"/>
        </w:rPr>
        <w:footnoteRef/>
      </w:r>
      <w:r>
        <w:t xml:space="preserve"> </w:t>
      </w:r>
      <w:r>
        <w:rPr>
          <w:i/>
        </w:rPr>
        <w:t>See</w:t>
      </w:r>
      <w:r>
        <w:t xml:space="preserve"> e-mail from Attorney Robert Ungar to </w:t>
      </w:r>
      <w:smartTag w:uri="urn:schemas-microsoft-com:office:smarttags" w:element="PersonName">
        <w:r>
          <w:t>Rosemary Cabral</w:t>
        </w:r>
      </w:smartTag>
      <w:r>
        <w:t>, Staff Attorney, Telecommunications Consumers Division, Enforcement Bureau, Federal Communications Commission  (May 9, 2012, 11:01 a.m. E.D.T.).</w:t>
      </w:r>
    </w:p>
  </w:footnote>
  <w:footnote w:id="14">
    <w:p w:rsidR="00710E4A" w:rsidRDefault="00710E4A">
      <w:pPr>
        <w:pStyle w:val="FootnoteText"/>
      </w:pPr>
      <w:r>
        <w:rPr>
          <w:rStyle w:val="FootnoteReference"/>
        </w:rPr>
        <w:footnoteRef/>
      </w:r>
      <w:r>
        <w:t xml:space="preserve"> </w:t>
      </w:r>
      <w:r w:rsidRPr="007C3D8D">
        <w:rPr>
          <w:i/>
        </w:rPr>
        <w:t>See supra</w:t>
      </w:r>
      <w:r>
        <w:t xml:space="preserve"> note 9, noting acknowledged receipt of the </w:t>
      </w:r>
      <w:r w:rsidRPr="007C3D8D">
        <w:rPr>
          <w:i/>
        </w:rPr>
        <w:t>September 2012 NAL</w:t>
      </w:r>
      <w:r>
        <w:t xml:space="preserve">.  </w:t>
      </w:r>
    </w:p>
  </w:footnote>
  <w:footnote w:id="15">
    <w:p w:rsidR="00CE5550" w:rsidRDefault="00ED501D" w:rsidP="007B6354">
      <w:pPr>
        <w:pStyle w:val="FootnoteText"/>
        <w:jc w:val="left"/>
      </w:pPr>
      <w:r>
        <w:rPr>
          <w:rStyle w:val="FootnoteReference"/>
        </w:rPr>
        <w:footnoteRef/>
      </w:r>
      <w:r>
        <w:t xml:space="preserve"> </w:t>
      </w:r>
      <w:r w:rsidRPr="00B33BDF">
        <w:t xml:space="preserve">47 U.S.C. § 503(b)(2)(D).  Section 503(b)(2)(D) provides for forfeitures of up to $10,000 for each </w:t>
      </w:r>
      <w:r>
        <w:t xml:space="preserve">violation if </w:t>
      </w:r>
      <w:r w:rsidRPr="00B33BDF">
        <w:t xml:space="preserve">the violation does not involve a Commission licensee or common carriers, among others.  </w:t>
      </w:r>
      <w:r w:rsidRPr="00596E37">
        <w:rPr>
          <w:i/>
        </w:rPr>
        <w:t xml:space="preserve">See </w:t>
      </w:r>
      <w:r w:rsidRPr="00B33BDF">
        <w:t xml:space="preserve">47 U.S.C. § 503(b)(2)(C).  In accordance with the inflation adjustment requirements contained in the Debt Collection Improvement Act of 1996, Pub. L. No. 104-134, Sec. 31001, 110 Stat. 1321, the Commission increased the maximum statutory forfeiture under Section 503(b)(2)(C) to $16,000.  See 47 C.F.R. §1.80(b).  </w:t>
      </w:r>
      <w:r w:rsidR="00BC7B39" w:rsidRPr="00596E37">
        <w:rPr>
          <w:i/>
        </w:rPr>
        <w:t>See also</w:t>
      </w:r>
      <w:r w:rsidR="00BC7B39" w:rsidRPr="00B33BDF">
        <w:t xml:space="preserve"> Amendment of Section 1.80(b) of the Commission’s Rules, Adjustment of Forfeiture Maxima to Reflect Inflation, 23 FCC Rcd 9845 (2008) (amendment of section 1.80(b) to reflect an increase in the maximum forfeiture for this type of violation to $16,000). </w:t>
      </w:r>
    </w:p>
  </w:footnote>
  <w:footnote w:id="16">
    <w:p w:rsidR="00CE5550" w:rsidRDefault="00ED501D" w:rsidP="007F2F46">
      <w:pPr>
        <w:pStyle w:val="FootnoteText"/>
        <w:tabs>
          <w:tab w:val="left" w:pos="2832"/>
        </w:tabs>
      </w:pPr>
      <w:r>
        <w:rPr>
          <w:rStyle w:val="FootnoteReference"/>
        </w:rPr>
        <w:footnoteRef/>
      </w:r>
      <w:r>
        <w:t xml:space="preserve"> </w:t>
      </w:r>
      <w:r w:rsidRPr="00B33BDF">
        <w:t xml:space="preserve">47 U.S.C. § 503(b)(2)(E).  </w:t>
      </w:r>
      <w:r w:rsidR="007F2F46">
        <w:tab/>
      </w:r>
    </w:p>
  </w:footnote>
  <w:footnote w:id="17">
    <w:p w:rsidR="00CE5550" w:rsidRDefault="00ED501D">
      <w:pPr>
        <w:pStyle w:val="FootnoteText"/>
      </w:pPr>
      <w:r>
        <w:rPr>
          <w:rStyle w:val="FootnoteReference"/>
        </w:rPr>
        <w:footnoteRef/>
      </w:r>
      <w:r>
        <w:t xml:space="preserve"> </w:t>
      </w:r>
      <w:r w:rsidRPr="00303A90">
        <w:rPr>
          <w:i/>
        </w:rPr>
        <w:t>See supra</w:t>
      </w:r>
      <w:r>
        <w:t xml:space="preserve"> note 1</w:t>
      </w:r>
      <w:r w:rsidR="00C11C3D">
        <w:t>3</w:t>
      </w:r>
      <w:r>
        <w:t>.</w:t>
      </w:r>
    </w:p>
  </w:footnote>
  <w:footnote w:id="18">
    <w:p w:rsidR="00C1735F" w:rsidRDefault="00C1735F">
      <w:pPr>
        <w:pStyle w:val="FootnoteText"/>
      </w:pPr>
      <w:r>
        <w:rPr>
          <w:rStyle w:val="FootnoteReference"/>
        </w:rPr>
        <w:footnoteRef/>
      </w:r>
      <w:r>
        <w:t xml:space="preserve"> 27 FCC Rcd at 11437, para. 12.  </w:t>
      </w:r>
    </w:p>
  </w:footnote>
  <w:footnote w:id="19">
    <w:p w:rsidR="009844C5" w:rsidRDefault="009844C5">
      <w:pPr>
        <w:pStyle w:val="FootnoteText"/>
      </w:pPr>
      <w:r>
        <w:rPr>
          <w:rStyle w:val="FootnoteReference"/>
        </w:rPr>
        <w:footnoteRef/>
      </w:r>
      <w:r>
        <w:t xml:space="preserve"> 47 U.S.C. § 227(b)(1)(C).</w:t>
      </w:r>
    </w:p>
  </w:footnote>
  <w:footnote w:id="20">
    <w:p w:rsidR="009844C5" w:rsidRDefault="009844C5">
      <w:pPr>
        <w:pStyle w:val="FootnoteText"/>
      </w:pPr>
      <w:r>
        <w:rPr>
          <w:rStyle w:val="FootnoteReference"/>
        </w:rPr>
        <w:footnoteRef/>
      </w:r>
      <w:r>
        <w:t xml:space="preserve"> 47 C.F.R. § 64.1200(a)(4).  </w:t>
      </w:r>
    </w:p>
  </w:footnote>
  <w:footnote w:id="21">
    <w:p w:rsidR="00710E4A" w:rsidRDefault="00710E4A">
      <w:pPr>
        <w:pStyle w:val="FootnoteText"/>
      </w:pPr>
      <w:r>
        <w:rPr>
          <w:rStyle w:val="FootnoteReference"/>
        </w:rPr>
        <w:footnoteRef/>
      </w:r>
      <w:r>
        <w:t xml:space="preserve"> </w:t>
      </w:r>
      <w:r w:rsidRPr="007C3D8D">
        <w:rPr>
          <w:i/>
        </w:rPr>
        <w:t>See February 2012 NAL</w:t>
      </w:r>
      <w:r>
        <w:t xml:space="preserve">, 27 FCC Rcd at 2734, n.1; </w:t>
      </w:r>
      <w:r w:rsidRPr="007C3D8D">
        <w:rPr>
          <w:i/>
        </w:rPr>
        <w:t>September 2012 NAL</w:t>
      </w:r>
      <w:r>
        <w:t xml:space="preserve"> 27 FCC Rcd at 11433, para. 4.  </w:t>
      </w:r>
    </w:p>
  </w:footnote>
  <w:footnote w:id="22">
    <w:p w:rsidR="00CE5550" w:rsidRDefault="00ED501D" w:rsidP="000C60E5">
      <w:pPr>
        <w:pStyle w:val="FootnoteText"/>
      </w:pPr>
      <w:r>
        <w:rPr>
          <w:rStyle w:val="FootnoteReference"/>
        </w:rPr>
        <w:footnoteRef/>
      </w:r>
      <w:r>
        <w:t xml:space="preserve"> 47 C.F.R. § 1.80.</w:t>
      </w:r>
    </w:p>
  </w:footnote>
  <w:footnote w:id="23">
    <w:p w:rsidR="00CE5550" w:rsidRDefault="00ED501D" w:rsidP="000C60E5">
      <w:pPr>
        <w:pStyle w:val="FootnoteText"/>
      </w:pPr>
      <w:r>
        <w:rPr>
          <w:rStyle w:val="FootnoteReference"/>
        </w:rPr>
        <w:footnoteRef/>
      </w:r>
      <w:r>
        <w:t xml:space="preserve"> 47 U.S.C. § 504(a).</w:t>
      </w:r>
    </w:p>
  </w:footnote>
  <w:footnote w:id="24">
    <w:p w:rsidR="00CE5550" w:rsidRDefault="00ED501D" w:rsidP="000C60E5">
      <w:pPr>
        <w:pStyle w:val="FootnoteText"/>
        <w:jc w:val="left"/>
      </w:pPr>
      <w:r>
        <w:rPr>
          <w:rStyle w:val="FootnoteReference"/>
        </w:rPr>
        <w:footnoteRef/>
      </w:r>
      <w:r>
        <w:t xml:space="preserve"> </w:t>
      </w:r>
      <w:r w:rsidRPr="00626BA2">
        <w:rPr>
          <w:rFonts w:eastAsia="MS Mincho" w:cs="Arial"/>
        </w:rPr>
        <w:t>FCC Form 159 </w:t>
      </w:r>
      <w:r>
        <w:rPr>
          <w:rFonts w:eastAsia="MS Mincho" w:cs="Arial"/>
        </w:rPr>
        <w:t>and</w:t>
      </w:r>
      <w:r w:rsidRPr="00626BA2">
        <w:rPr>
          <w:rFonts w:eastAsia="MS Mincho" w:cs="Arial"/>
        </w:rPr>
        <w:t> </w:t>
      </w:r>
      <w:r>
        <w:rPr>
          <w:rFonts w:eastAsia="MS Mincho" w:cs="Arial"/>
        </w:rPr>
        <w:t xml:space="preserve">detailed </w:t>
      </w:r>
      <w:r w:rsidRPr="00626BA2">
        <w:rPr>
          <w:rFonts w:eastAsia="MS Mincho" w:cs="Arial"/>
        </w:rPr>
        <w:t xml:space="preserve">instructions for completing the form may be obtained at </w:t>
      </w:r>
      <w:hyperlink r:id="rId1" w:history="1">
        <w:r w:rsidRPr="00D626E0">
          <w:rPr>
            <w:rStyle w:val="Hyperlink"/>
            <w:rFonts w:eastAsia="MS Mincho" w:cs="Arial"/>
          </w:rPr>
          <w:t>http://www.fcc.gov/Forms/Form159/159.pdf</w:t>
        </w:r>
      </w:hyperlink>
      <w:r w:rsidRPr="00626BA2">
        <w:rPr>
          <w:rFonts w:eastAsia="MS Mincho" w:cs="Arial"/>
        </w:rPr>
        <w:t>.</w:t>
      </w:r>
    </w:p>
  </w:footnote>
  <w:footnote w:id="25">
    <w:p w:rsidR="00CE5550" w:rsidRDefault="00ED501D" w:rsidP="000C60E5">
      <w:pPr>
        <w:pStyle w:val="FootnoteText"/>
      </w:pPr>
      <w:r>
        <w:rPr>
          <w:rStyle w:val="FootnoteReference"/>
        </w:rPr>
        <w:footnoteRef/>
      </w:r>
      <w:r>
        <w:t xml:space="preserve"> </w:t>
      </w:r>
      <w:r w:rsidRPr="00D70F1F">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E1" w:rsidRDefault="00DB7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1D" w:rsidRDefault="00ED501D">
    <w:pPr>
      <w:pStyle w:val="Header"/>
      <w:tabs>
        <w:tab w:val="clear" w:pos="4320"/>
        <w:tab w:val="clear" w:pos="8640"/>
        <w:tab w:val="center" w:pos="4680"/>
        <w:tab w:val="right" w:pos="9360"/>
      </w:tabs>
      <w:jc w:val="right"/>
      <w:rPr>
        <w:b/>
      </w:rPr>
    </w:pPr>
    <w:r>
      <w:rPr>
        <w:b/>
      </w:rPr>
      <w:tab/>
      <w:t>Federal Communications Commission</w:t>
    </w:r>
    <w:r>
      <w:rPr>
        <w:b/>
      </w:rPr>
      <w:tab/>
      <w:t>FCC 1</w:t>
    </w:r>
    <w:r w:rsidR="009F53D7">
      <w:rPr>
        <w:b/>
      </w:rPr>
      <w:t>3</w:t>
    </w:r>
    <w:r>
      <w:rPr>
        <w:b/>
      </w:rPr>
      <w:t>-</w:t>
    </w:r>
    <w:r w:rsidR="00FC2E86">
      <w:rPr>
        <w:b/>
      </w:rPr>
      <w:t>60</w:t>
    </w:r>
    <w:r>
      <w:rPr>
        <w:b/>
      </w:rPr>
      <w:t xml:space="preserve"> </w:t>
    </w:r>
  </w:p>
  <w:p w:rsidR="00ED501D" w:rsidRDefault="002E0DB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35A412A" wp14:editId="6882F007">
              <wp:simplePos x="0" y="0"/>
              <wp:positionH relativeFrom="column">
                <wp:posOffset>0</wp:posOffset>
              </wp:positionH>
              <wp:positionV relativeFrom="paragraph">
                <wp:posOffset>22225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mpD7MSAgAA&#10;KQQAAA4AAAAAAAAAAAAAAAAALgIAAGRycy9lMm9Eb2MueG1sUEsBAi0AFAAGAAgAAAAhAO4pKK7Y&#10;AAAABAEAAA8AAAAAAAAAAAAAAAAAbAQAAGRycy9kb3ducmV2LnhtbFBLBQYAAAAABAAEAPMAAABx&#10;BQAAAAA=&#10;" o:allowincell="f" strokeweight="1.5pt"/>
          </w:pict>
        </mc:Fallback>
      </mc:AlternateContent>
    </w:r>
  </w:p>
  <w:p w:rsidR="00ED501D" w:rsidRDefault="00ED50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1D" w:rsidRDefault="00ED501D">
    <w:pPr>
      <w:pStyle w:val="Header"/>
      <w:tabs>
        <w:tab w:val="clear" w:pos="4320"/>
        <w:tab w:val="clear" w:pos="8640"/>
        <w:tab w:val="center" w:pos="4680"/>
        <w:tab w:val="right" w:pos="9360"/>
      </w:tabs>
      <w:jc w:val="right"/>
      <w:rPr>
        <w:b/>
      </w:rPr>
    </w:pPr>
    <w:r>
      <w:rPr>
        <w:b/>
      </w:rPr>
      <w:tab/>
      <w:t>Federal Communications Commission</w:t>
    </w:r>
    <w:r>
      <w:rPr>
        <w:b/>
      </w:rPr>
      <w:tab/>
      <w:t>FCC 1</w:t>
    </w:r>
    <w:r w:rsidR="00B20B6B">
      <w:rPr>
        <w:b/>
      </w:rPr>
      <w:t>3</w:t>
    </w:r>
    <w:r>
      <w:rPr>
        <w:b/>
      </w:rPr>
      <w:t>-</w:t>
    </w:r>
    <w:r w:rsidR="00FC2E86">
      <w:rPr>
        <w:b/>
      </w:rPr>
      <w:t>60</w:t>
    </w:r>
  </w:p>
  <w:p w:rsidR="00ED501D" w:rsidRDefault="002E0DB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61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Kq3utR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1">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7">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11">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15">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1"/>
  </w:num>
  <w:num w:numId="23">
    <w:abstractNumId w:val="12"/>
  </w:num>
  <w:num w:numId="24">
    <w:abstractNumId w:val="11"/>
  </w:num>
  <w:num w:numId="25">
    <w:abstractNumId w:val="11"/>
  </w:num>
  <w:num w:numId="26">
    <w:abstractNumId w:val="11"/>
  </w:num>
  <w:num w:numId="27">
    <w:abstractNumId w:val="11"/>
  </w:num>
  <w:num w:numId="28">
    <w:abstractNumId w:val="11"/>
    <w:lvlOverride w:ilvl="0">
      <w:startOverride w:val="1"/>
    </w:lvlOverride>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6"/>
  </w:num>
  <w:num w:numId="43">
    <w:abstractNumId w:val="16"/>
  </w:num>
  <w:num w:numId="44">
    <w:abstractNumId w:val="16"/>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E1D"/>
    <w:rsid w:val="000011E3"/>
    <w:rsid w:val="000056BC"/>
    <w:rsid w:val="00007FD8"/>
    <w:rsid w:val="000118B4"/>
    <w:rsid w:val="00016840"/>
    <w:rsid w:val="00052543"/>
    <w:rsid w:val="00057281"/>
    <w:rsid w:val="000600C8"/>
    <w:rsid w:val="0007388F"/>
    <w:rsid w:val="0009556C"/>
    <w:rsid w:val="00097047"/>
    <w:rsid w:val="000A0EBB"/>
    <w:rsid w:val="000A1473"/>
    <w:rsid w:val="000C60E5"/>
    <w:rsid w:val="000D0118"/>
    <w:rsid w:val="000D2150"/>
    <w:rsid w:val="000D2D75"/>
    <w:rsid w:val="000E1278"/>
    <w:rsid w:val="000E19B7"/>
    <w:rsid w:val="000E31BF"/>
    <w:rsid w:val="000E66AC"/>
    <w:rsid w:val="000F56C6"/>
    <w:rsid w:val="0010297C"/>
    <w:rsid w:val="00110815"/>
    <w:rsid w:val="001118F2"/>
    <w:rsid w:val="00117839"/>
    <w:rsid w:val="001226DD"/>
    <w:rsid w:val="001268F6"/>
    <w:rsid w:val="00132A86"/>
    <w:rsid w:val="0013308B"/>
    <w:rsid w:val="00137579"/>
    <w:rsid w:val="00141C45"/>
    <w:rsid w:val="0014525F"/>
    <w:rsid w:val="00156803"/>
    <w:rsid w:val="001755B0"/>
    <w:rsid w:val="00175E5A"/>
    <w:rsid w:val="00177B97"/>
    <w:rsid w:val="00177CF9"/>
    <w:rsid w:val="0018172D"/>
    <w:rsid w:val="00185A9F"/>
    <w:rsid w:val="00187A71"/>
    <w:rsid w:val="00191BAE"/>
    <w:rsid w:val="001978D7"/>
    <w:rsid w:val="001B1DE6"/>
    <w:rsid w:val="001B482F"/>
    <w:rsid w:val="001B7D7F"/>
    <w:rsid w:val="001E2B67"/>
    <w:rsid w:val="001E4516"/>
    <w:rsid w:val="001F7F08"/>
    <w:rsid w:val="00232668"/>
    <w:rsid w:val="00234D9D"/>
    <w:rsid w:val="0025085D"/>
    <w:rsid w:val="0025131B"/>
    <w:rsid w:val="00271A24"/>
    <w:rsid w:val="002836C2"/>
    <w:rsid w:val="00284DAA"/>
    <w:rsid w:val="00285DB5"/>
    <w:rsid w:val="00295A6D"/>
    <w:rsid w:val="002E0DB6"/>
    <w:rsid w:val="002E4CEF"/>
    <w:rsid w:val="002F1C51"/>
    <w:rsid w:val="002F5ACF"/>
    <w:rsid w:val="00303A90"/>
    <w:rsid w:val="003108CE"/>
    <w:rsid w:val="00327E53"/>
    <w:rsid w:val="003361B6"/>
    <w:rsid w:val="00354114"/>
    <w:rsid w:val="003769FE"/>
    <w:rsid w:val="00383BA1"/>
    <w:rsid w:val="003A3ED9"/>
    <w:rsid w:val="003C1913"/>
    <w:rsid w:val="003D47DE"/>
    <w:rsid w:val="003E0CF2"/>
    <w:rsid w:val="003E3DE0"/>
    <w:rsid w:val="003E4483"/>
    <w:rsid w:val="00406624"/>
    <w:rsid w:val="004129FC"/>
    <w:rsid w:val="00424DE7"/>
    <w:rsid w:val="00426EE3"/>
    <w:rsid w:val="00440483"/>
    <w:rsid w:val="004408C6"/>
    <w:rsid w:val="00450107"/>
    <w:rsid w:val="00450EE5"/>
    <w:rsid w:val="00481E52"/>
    <w:rsid w:val="0049388A"/>
    <w:rsid w:val="00497B08"/>
    <w:rsid w:val="004A32F1"/>
    <w:rsid w:val="004B1E89"/>
    <w:rsid w:val="004B466E"/>
    <w:rsid w:val="004C29B9"/>
    <w:rsid w:val="004D1B81"/>
    <w:rsid w:val="004D246B"/>
    <w:rsid w:val="004F44F0"/>
    <w:rsid w:val="005031FA"/>
    <w:rsid w:val="00510D3F"/>
    <w:rsid w:val="00515BB2"/>
    <w:rsid w:val="00516AD7"/>
    <w:rsid w:val="00520AD7"/>
    <w:rsid w:val="00520BAC"/>
    <w:rsid w:val="00535893"/>
    <w:rsid w:val="00540B60"/>
    <w:rsid w:val="00546FF5"/>
    <w:rsid w:val="00557A30"/>
    <w:rsid w:val="005629A4"/>
    <w:rsid w:val="005679C0"/>
    <w:rsid w:val="00596E37"/>
    <w:rsid w:val="005A1AE0"/>
    <w:rsid w:val="005A50DF"/>
    <w:rsid w:val="005A6809"/>
    <w:rsid w:val="005B143C"/>
    <w:rsid w:val="005B4D6E"/>
    <w:rsid w:val="005C16B2"/>
    <w:rsid w:val="005D04EB"/>
    <w:rsid w:val="005E0B51"/>
    <w:rsid w:val="005F34D0"/>
    <w:rsid w:val="00601E50"/>
    <w:rsid w:val="006249F1"/>
    <w:rsid w:val="00624D99"/>
    <w:rsid w:val="00626BA2"/>
    <w:rsid w:val="00630075"/>
    <w:rsid w:val="00632EAF"/>
    <w:rsid w:val="0064159A"/>
    <w:rsid w:val="00641678"/>
    <w:rsid w:val="006513DA"/>
    <w:rsid w:val="006541F2"/>
    <w:rsid w:val="006B563B"/>
    <w:rsid w:val="006B6326"/>
    <w:rsid w:val="006B6D57"/>
    <w:rsid w:val="006C66F3"/>
    <w:rsid w:val="006C7379"/>
    <w:rsid w:val="006E3009"/>
    <w:rsid w:val="00710E4A"/>
    <w:rsid w:val="00723A0D"/>
    <w:rsid w:val="00740406"/>
    <w:rsid w:val="007433DB"/>
    <w:rsid w:val="007461B7"/>
    <w:rsid w:val="007475CF"/>
    <w:rsid w:val="00754A34"/>
    <w:rsid w:val="00764ADE"/>
    <w:rsid w:val="00770D91"/>
    <w:rsid w:val="00773F8A"/>
    <w:rsid w:val="007808AE"/>
    <w:rsid w:val="00792E38"/>
    <w:rsid w:val="007B6354"/>
    <w:rsid w:val="007C3D8D"/>
    <w:rsid w:val="007C4913"/>
    <w:rsid w:val="007C7B3B"/>
    <w:rsid w:val="007E60A8"/>
    <w:rsid w:val="007F294E"/>
    <w:rsid w:val="007F2F46"/>
    <w:rsid w:val="00800781"/>
    <w:rsid w:val="008036AC"/>
    <w:rsid w:val="00826D31"/>
    <w:rsid w:val="00834393"/>
    <w:rsid w:val="0084488F"/>
    <w:rsid w:val="00854E1D"/>
    <w:rsid w:val="00865D65"/>
    <w:rsid w:val="00873DB9"/>
    <w:rsid w:val="00876D37"/>
    <w:rsid w:val="00881017"/>
    <w:rsid w:val="0088153E"/>
    <w:rsid w:val="008908FF"/>
    <w:rsid w:val="008952A1"/>
    <w:rsid w:val="008A6A76"/>
    <w:rsid w:val="008B15B0"/>
    <w:rsid w:val="008E646A"/>
    <w:rsid w:val="008E75AF"/>
    <w:rsid w:val="008F2880"/>
    <w:rsid w:val="00901B2B"/>
    <w:rsid w:val="00906104"/>
    <w:rsid w:val="009118BC"/>
    <w:rsid w:val="00921374"/>
    <w:rsid w:val="00945605"/>
    <w:rsid w:val="009668D8"/>
    <w:rsid w:val="0097727F"/>
    <w:rsid w:val="009844C5"/>
    <w:rsid w:val="009918AD"/>
    <w:rsid w:val="00995378"/>
    <w:rsid w:val="009C18FB"/>
    <w:rsid w:val="009C24C7"/>
    <w:rsid w:val="009D65B0"/>
    <w:rsid w:val="009F1299"/>
    <w:rsid w:val="009F53D7"/>
    <w:rsid w:val="00A004B9"/>
    <w:rsid w:val="00A011AD"/>
    <w:rsid w:val="00A01800"/>
    <w:rsid w:val="00A15DC1"/>
    <w:rsid w:val="00A17386"/>
    <w:rsid w:val="00A24148"/>
    <w:rsid w:val="00A2531B"/>
    <w:rsid w:val="00A276F8"/>
    <w:rsid w:val="00A32CEA"/>
    <w:rsid w:val="00A36210"/>
    <w:rsid w:val="00A47FD2"/>
    <w:rsid w:val="00A73E82"/>
    <w:rsid w:val="00AC3362"/>
    <w:rsid w:val="00AD74AC"/>
    <w:rsid w:val="00AE5C7B"/>
    <w:rsid w:val="00AE5D39"/>
    <w:rsid w:val="00AE7A10"/>
    <w:rsid w:val="00AF3CF5"/>
    <w:rsid w:val="00AF5948"/>
    <w:rsid w:val="00B0460A"/>
    <w:rsid w:val="00B172CF"/>
    <w:rsid w:val="00B20B6B"/>
    <w:rsid w:val="00B3192D"/>
    <w:rsid w:val="00B33BDF"/>
    <w:rsid w:val="00B34AE5"/>
    <w:rsid w:val="00B542F1"/>
    <w:rsid w:val="00B6010B"/>
    <w:rsid w:val="00B67292"/>
    <w:rsid w:val="00B715F3"/>
    <w:rsid w:val="00B802FF"/>
    <w:rsid w:val="00B8129D"/>
    <w:rsid w:val="00B96422"/>
    <w:rsid w:val="00B976ED"/>
    <w:rsid w:val="00BA34BE"/>
    <w:rsid w:val="00BA4D38"/>
    <w:rsid w:val="00BC7B39"/>
    <w:rsid w:val="00BD580E"/>
    <w:rsid w:val="00BF0439"/>
    <w:rsid w:val="00BF25C6"/>
    <w:rsid w:val="00C11C3D"/>
    <w:rsid w:val="00C1735F"/>
    <w:rsid w:val="00C17533"/>
    <w:rsid w:val="00C21F2E"/>
    <w:rsid w:val="00C224E8"/>
    <w:rsid w:val="00C23A63"/>
    <w:rsid w:val="00C313B9"/>
    <w:rsid w:val="00C44A58"/>
    <w:rsid w:val="00C54910"/>
    <w:rsid w:val="00C55B5C"/>
    <w:rsid w:val="00C60D20"/>
    <w:rsid w:val="00C63EBA"/>
    <w:rsid w:val="00C86313"/>
    <w:rsid w:val="00C8744A"/>
    <w:rsid w:val="00C9719D"/>
    <w:rsid w:val="00CA31B2"/>
    <w:rsid w:val="00CA38CB"/>
    <w:rsid w:val="00CA6F9B"/>
    <w:rsid w:val="00CB4D98"/>
    <w:rsid w:val="00CD7F91"/>
    <w:rsid w:val="00CE0DFF"/>
    <w:rsid w:val="00CE16C0"/>
    <w:rsid w:val="00CE3935"/>
    <w:rsid w:val="00CE5550"/>
    <w:rsid w:val="00CF2B62"/>
    <w:rsid w:val="00CF6744"/>
    <w:rsid w:val="00D2079E"/>
    <w:rsid w:val="00D252F8"/>
    <w:rsid w:val="00D5083D"/>
    <w:rsid w:val="00D626E0"/>
    <w:rsid w:val="00D67FE6"/>
    <w:rsid w:val="00D70F1F"/>
    <w:rsid w:val="00D72D84"/>
    <w:rsid w:val="00D80A4A"/>
    <w:rsid w:val="00DB71E1"/>
    <w:rsid w:val="00DC0E36"/>
    <w:rsid w:val="00DF6D71"/>
    <w:rsid w:val="00E02FC2"/>
    <w:rsid w:val="00E06780"/>
    <w:rsid w:val="00E143E3"/>
    <w:rsid w:val="00E204EF"/>
    <w:rsid w:val="00E23364"/>
    <w:rsid w:val="00E243BB"/>
    <w:rsid w:val="00E31CF1"/>
    <w:rsid w:val="00E41C06"/>
    <w:rsid w:val="00E4770B"/>
    <w:rsid w:val="00E53C31"/>
    <w:rsid w:val="00E546E4"/>
    <w:rsid w:val="00E54E2E"/>
    <w:rsid w:val="00E5756A"/>
    <w:rsid w:val="00E77785"/>
    <w:rsid w:val="00E93B08"/>
    <w:rsid w:val="00E94F8D"/>
    <w:rsid w:val="00EA3845"/>
    <w:rsid w:val="00EB093C"/>
    <w:rsid w:val="00EB3D93"/>
    <w:rsid w:val="00EC5D8D"/>
    <w:rsid w:val="00EC7C73"/>
    <w:rsid w:val="00ED07D7"/>
    <w:rsid w:val="00ED501D"/>
    <w:rsid w:val="00ED5D83"/>
    <w:rsid w:val="00EE6D4B"/>
    <w:rsid w:val="00F323F6"/>
    <w:rsid w:val="00F5390E"/>
    <w:rsid w:val="00F90CA2"/>
    <w:rsid w:val="00FA662D"/>
    <w:rsid w:val="00FB4D79"/>
    <w:rsid w:val="00FC1CEB"/>
    <w:rsid w:val="00FC2E86"/>
    <w:rsid w:val="00FC46EE"/>
    <w:rsid w:val="00FD0491"/>
    <w:rsid w:val="00FE25F3"/>
    <w:rsid w:val="00FF191F"/>
    <w:rsid w:val="00FF2720"/>
    <w:rsid w:val="00FF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hapeDefaults>
    <o:shapedefaults v:ext="edit" spidmax="1024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link w:val="Heading1Char"/>
    <w:uiPriority w:val="99"/>
    <w:qFormat/>
    <w:pPr>
      <w:keepNext/>
      <w:widowControl w:val="0"/>
      <w:numPr>
        <w:numId w:val="4"/>
      </w:numPr>
      <w:tabs>
        <w:tab w:val="clear" w:pos="810"/>
        <w:tab w:val="num" w:pos="720"/>
      </w:tabs>
      <w:suppressAutoHyphens/>
      <w:spacing w:after="220"/>
      <w:ind w:left="720"/>
      <w:jc w:val="both"/>
      <w:outlineLvl w:val="0"/>
    </w:pPr>
    <w:rPr>
      <w:b/>
      <w:caps/>
    </w:rPr>
  </w:style>
  <w:style w:type="paragraph" w:styleId="Heading2">
    <w:name w:val="heading 2"/>
    <w:basedOn w:val="Normal"/>
    <w:next w:val="ParaNum"/>
    <w:link w:val="Heading2Char"/>
    <w:uiPriority w:val="99"/>
    <w:qFormat/>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semiHidden/>
    <w:locked/>
    <w:rPr>
      <w:rFonts w:ascii="Calibri" w:eastAsia="Times New Roman" w:hAnsi="Calibri"/>
      <w:sz w:val="24"/>
    </w:rPr>
  </w:style>
  <w:style w:type="character" w:customStyle="1" w:styleId="ALTSFOOTNOTEChar">
    <w:name w:val="ALTS FOOTNOTE Char"/>
    <w:aliases w:val="rrfootnote Char Char,rrfootnote Char,Footnote Text Cha Char Char"/>
    <w:uiPriority w:val="99"/>
    <w:semiHidden/>
    <w:locked/>
    <w:rPr>
      <w:lang w:val="en-US" w:eastAsia="en-US"/>
    </w:rPr>
  </w:style>
  <w:style w:type="character" w:styleId="FollowedHyperlink">
    <w:name w:val="FollowedHyperlink"/>
    <w:uiPriority w:val="99"/>
    <w:rsid w:val="00B172CF"/>
    <w:rPr>
      <w:rFonts w:cs="Times New Roman"/>
      <w:color w:val="800080"/>
      <w:u w:val="single"/>
    </w:rPr>
  </w:style>
  <w:style w:type="character" w:customStyle="1" w:styleId="CommentTextChar1">
    <w:name w:val="Comment Text Char1"/>
    <w:link w:val="CommentText"/>
    <w:uiPriority w:val="99"/>
    <w:semiHidden/>
    <w:locked/>
    <w:rPr>
      <w:sz w:val="20"/>
    </w:rPr>
  </w:style>
  <w:style w:type="character" w:customStyle="1" w:styleId="Heading2Char">
    <w:name w:val="Heading 2 Char"/>
    <w:link w:val="Heading2"/>
    <w:uiPriority w:val="99"/>
    <w:semiHidden/>
    <w:locked/>
    <w:rPr>
      <w:rFonts w:ascii="Cambria" w:eastAsia="Times New Roman" w:hAnsi="Cambria"/>
      <w:b/>
      <w:i/>
      <w:sz w:val="28"/>
    </w:rPr>
  </w:style>
  <w:style w:type="character" w:customStyle="1" w:styleId="Heading8Char">
    <w:name w:val="Heading 8 Char"/>
    <w:link w:val="Heading8"/>
    <w:uiPriority w:val="99"/>
    <w:semiHidden/>
    <w:locked/>
    <w:rPr>
      <w:rFonts w:ascii="Calibri" w:eastAsia="Times New Roman" w:hAnsi="Calibri"/>
      <w:i/>
      <w:sz w:val="24"/>
    </w:rPr>
  </w:style>
  <w:style w:type="character" w:customStyle="1" w:styleId="Heading9Char">
    <w:name w:val="Heading 9 Char"/>
    <w:link w:val="Heading9"/>
    <w:uiPriority w:val="99"/>
    <w:semiHidden/>
    <w:locked/>
    <w:rPr>
      <w:rFonts w:ascii="Cambria" w:eastAsia="Times New Roman" w:hAnsi="Cambria"/>
    </w:rPr>
  </w:style>
  <w:style w:type="paragraph" w:styleId="Caption">
    <w:name w:val="caption"/>
    <w:basedOn w:val="Normal"/>
    <w:next w:val="Normal"/>
    <w:uiPriority w:val="99"/>
    <w:qFormat/>
    <w:pPr>
      <w:spacing w:before="120" w:after="120"/>
    </w:pPr>
    <w:rPr>
      <w:b/>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ParaNumChar">
    <w:name w:val="ParaNum Char"/>
    <w:basedOn w:val="Normal"/>
    <w:uiPriority w:val="99"/>
    <w:pPr>
      <w:widowControl w:val="0"/>
      <w:tabs>
        <w:tab w:val="left" w:pos="1440"/>
        <w:tab w:val="num" w:pos="9270"/>
      </w:tabs>
      <w:spacing w:after="220"/>
      <w:ind w:left="8190" w:firstLine="720"/>
      <w:jc w:val="both"/>
    </w:pPr>
  </w:style>
  <w:style w:type="paragraph" w:styleId="FootnoteText">
    <w:name w:val="footnote text"/>
    <w:aliases w:val="Footnote Text Char,Footnote Text Char2 Char,Footnote Text Char Char Char,Footnote Text Char1 Char Char1 Char,Footnote Text Char Char1 Char Char Char,Footnote Text Char3 Char Char Char Char Char,fn Char,ALTS FOOTNOTE,fn,rrfootnote,f"/>
    <w:basedOn w:val="Normal"/>
    <w:link w:val="FootnoteTextChar1"/>
    <w:uiPriority w:val="99"/>
    <w:semiHidden/>
    <w:pPr>
      <w:tabs>
        <w:tab w:val="left" w:pos="180"/>
        <w:tab w:val="left" w:pos="720"/>
        <w:tab w:val="left" w:pos="1440"/>
        <w:tab w:val="left" w:pos="2160"/>
      </w:tabs>
      <w:spacing w:after="120"/>
      <w:jc w:val="both"/>
    </w:pPr>
    <w:rPr>
      <w:sz w:val="20"/>
    </w:rPr>
  </w:style>
  <w:style w:type="character" w:customStyle="1" w:styleId="TitleChar">
    <w:name w:val="Title Char"/>
    <w:link w:val="Title"/>
    <w:uiPriority w:val="99"/>
    <w:locked/>
    <w:rPr>
      <w:rFonts w:ascii="Cambria" w:eastAsia="Times New Roman" w:hAnsi="Cambria"/>
      <w:b/>
      <w:kern w:val="28"/>
      <w:sz w:val="32"/>
    </w:rPr>
  </w:style>
  <w:style w:type="character" w:customStyle="1" w:styleId="Heading5Char">
    <w:name w:val="Heading 5 Char"/>
    <w:link w:val="Heading5"/>
    <w:uiPriority w:val="99"/>
    <w:semiHidden/>
    <w:locked/>
    <w:rPr>
      <w:rFonts w:ascii="Calibri" w:eastAsia="Times New Roman" w:hAnsi="Calibri"/>
      <w:b/>
      <w:i/>
      <w:sz w:val="26"/>
    </w:rPr>
  </w:style>
  <w:style w:type="character" w:customStyle="1" w:styleId="ParaNumChar1">
    <w:name w:val="ParaNum Char1"/>
    <w:link w:val="ParaNum"/>
    <w:uiPriority w:val="99"/>
    <w:locked/>
    <w:rsid w:val="00770D91"/>
    <w:rPr>
      <w:sz w:val="22"/>
    </w:rPr>
  </w:style>
  <w:style w:type="character" w:customStyle="1" w:styleId="Heading1Char">
    <w:name w:val="Heading 1 Char"/>
    <w:link w:val="Heading1"/>
    <w:uiPriority w:val="99"/>
    <w:locked/>
    <w:rPr>
      <w:b/>
      <w:caps/>
      <w:sz w:val="22"/>
    </w:rPr>
  </w:style>
  <w:style w:type="character" w:styleId="Hyperlink">
    <w:name w:val="Hyperlink"/>
    <w:uiPriority w:val="99"/>
    <w:rPr>
      <w:rFonts w:cs="Times New Roman"/>
      <w:color w:val="0000FF"/>
      <w:u w:val="single"/>
    </w:rPr>
  </w:style>
  <w:style w:type="character" w:customStyle="1" w:styleId="Heading4Char">
    <w:name w:val="Heading 4 Char"/>
    <w:link w:val="Heading4"/>
    <w:uiPriority w:val="99"/>
    <w:semiHidden/>
    <w:locked/>
    <w:rPr>
      <w:rFonts w:ascii="Calibri" w:eastAsia="Times New Roman" w:hAnsi="Calibri"/>
      <w:b/>
      <w:sz w:val="28"/>
    </w:rPr>
  </w:style>
  <w:style w:type="paragraph" w:customStyle="1" w:styleId="ParaNum">
    <w:name w:val="ParaNum"/>
    <w:basedOn w:val="Normal"/>
    <w:link w:val="ParaNumChar1"/>
    <w:uiPriority w:val="99"/>
    <w:pPr>
      <w:widowControl w:val="0"/>
      <w:numPr>
        <w:numId w:val="13"/>
      </w:numPr>
      <w:tabs>
        <w:tab w:val="left" w:pos="1440"/>
      </w:tabs>
      <w:spacing w:after="220"/>
      <w:jc w:val="both"/>
    </w:pPr>
  </w:style>
  <w:style w:type="character" w:customStyle="1" w:styleId="Heading6Char">
    <w:name w:val="Heading 6 Char"/>
    <w:link w:val="Heading6"/>
    <w:uiPriority w:val="99"/>
    <w:semiHidden/>
    <w:locked/>
    <w:rPr>
      <w:rFonts w:ascii="Calibri" w:eastAsia="Times New Roman" w:hAnsi="Calibri"/>
      <w:b/>
    </w:rPr>
  </w:style>
  <w:style w:type="character" w:customStyle="1" w:styleId="BalloonTextChar">
    <w:name w:val="Balloon Text Char"/>
    <w:link w:val="BalloonText"/>
    <w:uiPriority w:val="99"/>
    <w:semiHidden/>
    <w:locked/>
    <w:rPr>
      <w:rFonts w:ascii="Tahoma" w:hAnsi="Tahoma"/>
      <w:sz w:val="16"/>
    </w:rPr>
  </w:style>
  <w:style w:type="paragraph" w:customStyle="1" w:styleId="Bullet">
    <w:name w:val="Bullet"/>
    <w:basedOn w:val="Normal"/>
    <w:uiPriority w:val="99"/>
    <w:pPr>
      <w:widowControl w:val="0"/>
      <w:numPr>
        <w:numId w:val="9"/>
      </w:numPr>
      <w:spacing w:after="220"/>
      <w:ind w:left="2160" w:hanging="720"/>
      <w:jc w:val="both"/>
    </w:pPr>
  </w:style>
  <w:style w:type="paragraph" w:styleId="BlockText">
    <w:name w:val="Block Text"/>
    <w:basedOn w:val="Normal"/>
    <w:uiPriority w:val="99"/>
    <w:pPr>
      <w:widowControl w:val="0"/>
      <w:spacing w:after="220"/>
      <w:ind w:left="1440" w:right="1440"/>
      <w:jc w:val="both"/>
    </w:pPr>
  </w:style>
  <w:style w:type="paragraph" w:customStyle="1" w:styleId="TableFormat">
    <w:name w:val="TableFormat"/>
    <w:basedOn w:val="Normal"/>
    <w:uiPriority w:val="99"/>
    <w:pPr>
      <w:widowControl w:val="0"/>
      <w:tabs>
        <w:tab w:val="left" w:pos="5040"/>
      </w:tabs>
      <w:spacing w:after="220"/>
      <w:ind w:left="5040" w:hanging="3600"/>
      <w:jc w:val="both"/>
    </w:pPr>
  </w:style>
  <w:style w:type="character" w:styleId="FootnoteReference">
    <w:name w:val="footnote reference"/>
    <w:aliases w:val="Style 4,Appel note de bas de p,Style 12,(NECG) Footnote Reference,Style 124,Style 13,o,fr,Style 3"/>
    <w:uiPriority w:val="99"/>
    <w:semiHidden/>
    <w:rPr>
      <w:rFonts w:cs="Times New Roman"/>
      <w:vertAlign w:val="superscript"/>
    </w:rPr>
  </w:style>
  <w:style w:type="paragraph" w:styleId="Header">
    <w:name w:val="header"/>
    <w:basedOn w:val="Normal"/>
    <w:link w:val="HeaderChar"/>
    <w:uiPriority w:val="99"/>
    <w:pPr>
      <w:tabs>
        <w:tab w:val="center" w:pos="4320"/>
        <w:tab w:val="right" w:pos="8640"/>
      </w:tabs>
    </w:pPr>
  </w:style>
  <w:style w:type="paragraph" w:styleId="TOC3">
    <w:name w:val="toc 3"/>
    <w:basedOn w:val="Normal"/>
    <w:next w:val="Normal"/>
    <w:uiPriority w:val="99"/>
    <w:semiHidden/>
    <w:pPr>
      <w:widowControl w:val="0"/>
      <w:tabs>
        <w:tab w:val="left" w:pos="2160"/>
        <w:tab w:val="right" w:leader="dot" w:pos="9360"/>
      </w:tabs>
      <w:suppressAutoHyphens/>
      <w:ind w:left="2160" w:right="720" w:hanging="720"/>
      <w:jc w:val="both"/>
    </w:pPr>
  </w:style>
  <w:style w:type="character" w:customStyle="1" w:styleId="FooterChar1">
    <w:name w:val="Footer Char1"/>
    <w:link w:val="Footer"/>
    <w:uiPriority w:val="99"/>
    <w:semiHidden/>
    <w:locked/>
    <w:rPr>
      <w:sz w:val="20"/>
    </w:rPr>
  </w:style>
  <w:style w:type="paragraph" w:styleId="TOC2">
    <w:name w:val="toc 2"/>
    <w:basedOn w:val="Normal"/>
    <w:next w:val="Normal"/>
    <w:uiPriority w:val="99"/>
    <w:semiHidden/>
    <w:pPr>
      <w:widowControl w:val="0"/>
      <w:tabs>
        <w:tab w:val="left" w:pos="1440"/>
        <w:tab w:val="right" w:leader="dot" w:pos="9360"/>
      </w:tabs>
      <w:suppressAutoHyphens/>
      <w:spacing w:before="220"/>
      <w:ind w:left="1440" w:right="720" w:hanging="720"/>
      <w:jc w:val="both"/>
    </w:pPr>
  </w:style>
  <w:style w:type="paragraph" w:styleId="Footer">
    <w:name w:val="footer"/>
    <w:basedOn w:val="Normal"/>
    <w:link w:val="FooterChar1"/>
    <w:uiPriority w:val="99"/>
    <w:pPr>
      <w:tabs>
        <w:tab w:val="center" w:pos="4320"/>
        <w:tab w:val="right" w:pos="8640"/>
      </w:tabs>
    </w:pPr>
  </w:style>
  <w:style w:type="character" w:customStyle="1" w:styleId="FooterChar">
    <w:name w:val="Footer Char"/>
    <w:uiPriority w:val="99"/>
    <w:semiHidden/>
    <w:rPr>
      <w:szCs w:val="20"/>
    </w:rPr>
  </w:style>
  <w:style w:type="paragraph" w:styleId="TOC1">
    <w:name w:val="toc 1"/>
    <w:basedOn w:val="Normal"/>
    <w:next w:val="Normal"/>
    <w:uiPriority w:val="99"/>
    <w:semiHidden/>
    <w:pPr>
      <w:widowControl w:val="0"/>
      <w:tabs>
        <w:tab w:val="right" w:leader="dot" w:pos="9360"/>
      </w:tabs>
      <w:suppressAutoHyphens/>
      <w:spacing w:before="220"/>
      <w:ind w:left="720" w:right="720" w:hanging="720"/>
      <w:jc w:val="both"/>
    </w:pPr>
    <w:rPr>
      <w:caps/>
    </w:rPr>
  </w:style>
  <w:style w:type="paragraph" w:customStyle="1" w:styleId="NumberedList">
    <w:name w:val="Numbered List"/>
    <w:basedOn w:val="Normal"/>
    <w:uiPriority w:val="99"/>
    <w:pPr>
      <w:numPr>
        <w:numId w:val="21"/>
      </w:numPr>
      <w:spacing w:after="220"/>
    </w:pPr>
  </w:style>
  <w:style w:type="character" w:customStyle="1" w:styleId="HeaderChar">
    <w:name w:val="Header Char"/>
    <w:link w:val="Header"/>
    <w:uiPriority w:val="99"/>
    <w:semiHidden/>
    <w:locked/>
    <w:rPr>
      <w:sz w:val="20"/>
    </w:rPr>
  </w:style>
  <w:style w:type="paragraph" w:styleId="TOC4">
    <w:name w:val="toc 4"/>
    <w:basedOn w:val="Normal"/>
    <w:next w:val="Normal"/>
    <w:uiPriority w:val="99"/>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pPr>
      <w:widowControl w:val="0"/>
      <w:tabs>
        <w:tab w:val="left" w:leader="dot" w:pos="9360"/>
      </w:tabs>
      <w:suppressAutoHyphens/>
      <w:ind w:left="720" w:hanging="720"/>
      <w:jc w:val="both"/>
    </w:pPr>
  </w:style>
  <w:style w:type="paragraph" w:styleId="TOC7">
    <w:name w:val="toc 7"/>
    <w:basedOn w:val="Normal"/>
    <w:next w:val="Normal"/>
    <w:uiPriority w:val="99"/>
    <w:semiHidden/>
    <w:pPr>
      <w:widowControl w:val="0"/>
      <w:tabs>
        <w:tab w:val="left" w:leader="dot" w:pos="9360"/>
      </w:tabs>
      <w:suppressAutoHyphens/>
      <w:ind w:left="720" w:hanging="720"/>
      <w:jc w:val="both"/>
    </w:pPr>
  </w:style>
  <w:style w:type="paragraph" w:styleId="TOC8">
    <w:name w:val="toc 8"/>
    <w:basedOn w:val="Normal"/>
    <w:next w:val="Normal"/>
    <w:uiPriority w:val="99"/>
    <w:semiHidden/>
    <w:pPr>
      <w:widowControl w:val="0"/>
      <w:tabs>
        <w:tab w:val="left" w:leader="dot" w:pos="9360"/>
      </w:tabs>
      <w:suppressAutoHyphens/>
      <w:ind w:left="720" w:hanging="720"/>
      <w:jc w:val="both"/>
    </w:pPr>
  </w:style>
  <w:style w:type="paragraph" w:styleId="TOC9">
    <w:name w:val="toc 9"/>
    <w:basedOn w:val="Normal"/>
    <w:next w:val="Normal"/>
    <w:uiPriority w:val="99"/>
    <w:semiHidden/>
    <w:pPr>
      <w:tabs>
        <w:tab w:val="left" w:leader="dot" w:pos="9360"/>
      </w:tabs>
      <w:ind w:left="720" w:hanging="720"/>
      <w:jc w:val="both"/>
    </w:p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b/>
    </w:rPr>
  </w:style>
  <w:style w:type="paragraph" w:styleId="CommentText">
    <w:name w:val="annotation text"/>
    <w:basedOn w:val="Normal"/>
    <w:link w:val="CommentTextChar1"/>
    <w:uiPriority w:val="99"/>
    <w:semiHidden/>
    <w:rPr>
      <w:sz w:val="20"/>
    </w:rPr>
  </w:style>
  <w:style w:type="character" w:styleId="CommentReference">
    <w:name w:val="annotation reference"/>
    <w:uiPriority w:val="99"/>
    <w:semiHidden/>
    <w:rPr>
      <w:rFonts w:cs="Times New Roman"/>
      <w:sz w:val="16"/>
    </w:rPr>
  </w:style>
  <w:style w:type="character" w:customStyle="1" w:styleId="FootnoteTextChar1">
    <w:name w:val="Footnote Text Char1"/>
    <w:aliases w:val="Footnote Text Char Char,Footnote Text Char2 Char Char,Footnote Text Char Char Char Char,Footnote Text Char1 Char Char1 Char Char,Footnote Text Char Char1 Char Char Char Char,Footnote Text Char3 Char Char Char Char Char Char,fn Char1"/>
    <w:link w:val="FootnoteText"/>
    <w:uiPriority w:val="99"/>
    <w:locked/>
    <w:rPr>
      <w:lang w:val="en-US" w:eastAsia="en-US"/>
    </w:rPr>
  </w:style>
  <w:style w:type="character" w:customStyle="1" w:styleId="CommentTextChar">
    <w:name w:val="Comment Text Char"/>
    <w:uiPriority w:val="99"/>
    <w:semiHidden/>
    <w:rPr>
      <w:sz w:val="20"/>
      <w:szCs w:val="20"/>
    </w:rPr>
  </w:style>
  <w:style w:type="character" w:customStyle="1" w:styleId="CommentSubjectChar1">
    <w:name w:val="Comment Subject Char1"/>
    <w:link w:val="CommentSubject"/>
    <w:uiPriority w:val="99"/>
    <w:semiHidden/>
    <w:locked/>
    <w:rsid w:val="003361B6"/>
    <w:rPr>
      <w:b/>
      <w:sz w:val="20"/>
    </w:rPr>
  </w:style>
  <w:style w:type="character" w:styleId="Strong">
    <w:name w:val="Strong"/>
    <w:uiPriority w:val="99"/>
    <w:qFormat/>
    <w:rsid w:val="00770D91"/>
    <w:rPr>
      <w:rFonts w:cs="Times New Roman"/>
      <w:b/>
    </w:rPr>
  </w:style>
  <w:style w:type="paragraph" w:styleId="CommentSubject">
    <w:name w:val="annotation subject"/>
    <w:basedOn w:val="CommentText"/>
    <w:next w:val="CommentText"/>
    <w:link w:val="CommentSubjectChar1"/>
    <w:uiPriority w:val="99"/>
    <w:semiHidden/>
    <w:rPr>
      <w:b/>
      <w:bCs/>
      <w:noProof/>
    </w:rPr>
  </w:style>
  <w:style w:type="character" w:customStyle="1" w:styleId="CommentSubjectChar">
    <w:name w:val="Comment Subject Char"/>
    <w:uiPriority w:val="99"/>
    <w:semiHidden/>
    <w:rPr>
      <w:b/>
      <w:bCs/>
      <w:sz w:val="20"/>
      <w:szCs w:val="20"/>
    </w:rPr>
  </w:style>
  <w:style w:type="character" w:customStyle="1" w:styleId="Heading3Char">
    <w:name w:val="Heading 3 Char"/>
    <w:link w:val="Heading3"/>
    <w:uiPriority w:val="99"/>
    <w:locked/>
    <w:rsid w:val="00770D91"/>
    <w:rPr>
      <w:b/>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link w:val="Heading1Char"/>
    <w:uiPriority w:val="99"/>
    <w:qFormat/>
    <w:pPr>
      <w:keepNext/>
      <w:widowControl w:val="0"/>
      <w:numPr>
        <w:numId w:val="4"/>
      </w:numPr>
      <w:tabs>
        <w:tab w:val="clear" w:pos="810"/>
        <w:tab w:val="num" w:pos="720"/>
      </w:tabs>
      <w:suppressAutoHyphens/>
      <w:spacing w:after="220"/>
      <w:ind w:left="720"/>
      <w:jc w:val="both"/>
      <w:outlineLvl w:val="0"/>
    </w:pPr>
    <w:rPr>
      <w:b/>
      <w:caps/>
    </w:rPr>
  </w:style>
  <w:style w:type="paragraph" w:styleId="Heading2">
    <w:name w:val="heading 2"/>
    <w:basedOn w:val="Normal"/>
    <w:next w:val="ParaNum"/>
    <w:link w:val="Heading2Char"/>
    <w:uiPriority w:val="99"/>
    <w:qFormat/>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semiHidden/>
    <w:locked/>
    <w:rPr>
      <w:rFonts w:ascii="Calibri" w:eastAsia="Times New Roman" w:hAnsi="Calibri"/>
      <w:sz w:val="24"/>
    </w:rPr>
  </w:style>
  <w:style w:type="character" w:customStyle="1" w:styleId="ALTSFOOTNOTEChar">
    <w:name w:val="ALTS FOOTNOTE Char"/>
    <w:aliases w:val="rrfootnote Char Char,rrfootnote Char,Footnote Text Cha Char Char"/>
    <w:uiPriority w:val="99"/>
    <w:semiHidden/>
    <w:locked/>
    <w:rPr>
      <w:lang w:val="en-US" w:eastAsia="en-US"/>
    </w:rPr>
  </w:style>
  <w:style w:type="character" w:styleId="FollowedHyperlink">
    <w:name w:val="FollowedHyperlink"/>
    <w:uiPriority w:val="99"/>
    <w:rsid w:val="00B172CF"/>
    <w:rPr>
      <w:rFonts w:cs="Times New Roman"/>
      <w:color w:val="800080"/>
      <w:u w:val="single"/>
    </w:rPr>
  </w:style>
  <w:style w:type="character" w:customStyle="1" w:styleId="CommentTextChar1">
    <w:name w:val="Comment Text Char1"/>
    <w:link w:val="CommentText"/>
    <w:uiPriority w:val="99"/>
    <w:semiHidden/>
    <w:locked/>
    <w:rPr>
      <w:sz w:val="20"/>
    </w:rPr>
  </w:style>
  <w:style w:type="character" w:customStyle="1" w:styleId="Heading2Char">
    <w:name w:val="Heading 2 Char"/>
    <w:link w:val="Heading2"/>
    <w:uiPriority w:val="99"/>
    <w:semiHidden/>
    <w:locked/>
    <w:rPr>
      <w:rFonts w:ascii="Cambria" w:eastAsia="Times New Roman" w:hAnsi="Cambria"/>
      <w:b/>
      <w:i/>
      <w:sz w:val="28"/>
    </w:rPr>
  </w:style>
  <w:style w:type="character" w:customStyle="1" w:styleId="Heading8Char">
    <w:name w:val="Heading 8 Char"/>
    <w:link w:val="Heading8"/>
    <w:uiPriority w:val="99"/>
    <w:semiHidden/>
    <w:locked/>
    <w:rPr>
      <w:rFonts w:ascii="Calibri" w:eastAsia="Times New Roman" w:hAnsi="Calibri"/>
      <w:i/>
      <w:sz w:val="24"/>
    </w:rPr>
  </w:style>
  <w:style w:type="character" w:customStyle="1" w:styleId="Heading9Char">
    <w:name w:val="Heading 9 Char"/>
    <w:link w:val="Heading9"/>
    <w:uiPriority w:val="99"/>
    <w:semiHidden/>
    <w:locked/>
    <w:rPr>
      <w:rFonts w:ascii="Cambria" w:eastAsia="Times New Roman" w:hAnsi="Cambria"/>
    </w:rPr>
  </w:style>
  <w:style w:type="paragraph" w:styleId="Caption">
    <w:name w:val="caption"/>
    <w:basedOn w:val="Normal"/>
    <w:next w:val="Normal"/>
    <w:uiPriority w:val="99"/>
    <w:qFormat/>
    <w:pPr>
      <w:spacing w:before="120" w:after="120"/>
    </w:pPr>
    <w:rPr>
      <w:b/>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ParaNumChar">
    <w:name w:val="ParaNum Char"/>
    <w:basedOn w:val="Normal"/>
    <w:uiPriority w:val="99"/>
    <w:pPr>
      <w:widowControl w:val="0"/>
      <w:tabs>
        <w:tab w:val="left" w:pos="1440"/>
        <w:tab w:val="num" w:pos="9270"/>
      </w:tabs>
      <w:spacing w:after="220"/>
      <w:ind w:left="8190" w:firstLine="720"/>
      <w:jc w:val="both"/>
    </w:pPr>
  </w:style>
  <w:style w:type="paragraph" w:styleId="FootnoteText">
    <w:name w:val="footnote text"/>
    <w:aliases w:val="Footnote Text Char,Footnote Text Char2 Char,Footnote Text Char Char Char,Footnote Text Char1 Char Char1 Char,Footnote Text Char Char1 Char Char Char,Footnote Text Char3 Char Char Char Char Char,fn Char,ALTS FOOTNOTE,fn,rrfootnote,f"/>
    <w:basedOn w:val="Normal"/>
    <w:link w:val="FootnoteTextChar1"/>
    <w:uiPriority w:val="99"/>
    <w:semiHidden/>
    <w:pPr>
      <w:tabs>
        <w:tab w:val="left" w:pos="180"/>
        <w:tab w:val="left" w:pos="720"/>
        <w:tab w:val="left" w:pos="1440"/>
        <w:tab w:val="left" w:pos="2160"/>
      </w:tabs>
      <w:spacing w:after="120"/>
      <w:jc w:val="both"/>
    </w:pPr>
    <w:rPr>
      <w:sz w:val="20"/>
    </w:rPr>
  </w:style>
  <w:style w:type="character" w:customStyle="1" w:styleId="TitleChar">
    <w:name w:val="Title Char"/>
    <w:link w:val="Title"/>
    <w:uiPriority w:val="99"/>
    <w:locked/>
    <w:rPr>
      <w:rFonts w:ascii="Cambria" w:eastAsia="Times New Roman" w:hAnsi="Cambria"/>
      <w:b/>
      <w:kern w:val="28"/>
      <w:sz w:val="32"/>
    </w:rPr>
  </w:style>
  <w:style w:type="character" w:customStyle="1" w:styleId="Heading5Char">
    <w:name w:val="Heading 5 Char"/>
    <w:link w:val="Heading5"/>
    <w:uiPriority w:val="99"/>
    <w:semiHidden/>
    <w:locked/>
    <w:rPr>
      <w:rFonts w:ascii="Calibri" w:eastAsia="Times New Roman" w:hAnsi="Calibri"/>
      <w:b/>
      <w:i/>
      <w:sz w:val="26"/>
    </w:rPr>
  </w:style>
  <w:style w:type="character" w:customStyle="1" w:styleId="ParaNumChar1">
    <w:name w:val="ParaNum Char1"/>
    <w:link w:val="ParaNum"/>
    <w:uiPriority w:val="99"/>
    <w:locked/>
    <w:rsid w:val="00770D91"/>
    <w:rPr>
      <w:sz w:val="22"/>
    </w:rPr>
  </w:style>
  <w:style w:type="character" w:customStyle="1" w:styleId="Heading1Char">
    <w:name w:val="Heading 1 Char"/>
    <w:link w:val="Heading1"/>
    <w:uiPriority w:val="99"/>
    <w:locked/>
    <w:rPr>
      <w:b/>
      <w:caps/>
      <w:sz w:val="22"/>
    </w:rPr>
  </w:style>
  <w:style w:type="character" w:styleId="Hyperlink">
    <w:name w:val="Hyperlink"/>
    <w:uiPriority w:val="99"/>
    <w:rPr>
      <w:rFonts w:cs="Times New Roman"/>
      <w:color w:val="0000FF"/>
      <w:u w:val="single"/>
    </w:rPr>
  </w:style>
  <w:style w:type="character" w:customStyle="1" w:styleId="Heading4Char">
    <w:name w:val="Heading 4 Char"/>
    <w:link w:val="Heading4"/>
    <w:uiPriority w:val="99"/>
    <w:semiHidden/>
    <w:locked/>
    <w:rPr>
      <w:rFonts w:ascii="Calibri" w:eastAsia="Times New Roman" w:hAnsi="Calibri"/>
      <w:b/>
      <w:sz w:val="28"/>
    </w:rPr>
  </w:style>
  <w:style w:type="paragraph" w:customStyle="1" w:styleId="ParaNum">
    <w:name w:val="ParaNum"/>
    <w:basedOn w:val="Normal"/>
    <w:link w:val="ParaNumChar1"/>
    <w:uiPriority w:val="99"/>
    <w:pPr>
      <w:widowControl w:val="0"/>
      <w:numPr>
        <w:numId w:val="13"/>
      </w:numPr>
      <w:tabs>
        <w:tab w:val="left" w:pos="1440"/>
      </w:tabs>
      <w:spacing w:after="220"/>
      <w:jc w:val="both"/>
    </w:pPr>
  </w:style>
  <w:style w:type="character" w:customStyle="1" w:styleId="Heading6Char">
    <w:name w:val="Heading 6 Char"/>
    <w:link w:val="Heading6"/>
    <w:uiPriority w:val="99"/>
    <w:semiHidden/>
    <w:locked/>
    <w:rPr>
      <w:rFonts w:ascii="Calibri" w:eastAsia="Times New Roman" w:hAnsi="Calibri"/>
      <w:b/>
    </w:rPr>
  </w:style>
  <w:style w:type="character" w:customStyle="1" w:styleId="BalloonTextChar">
    <w:name w:val="Balloon Text Char"/>
    <w:link w:val="BalloonText"/>
    <w:uiPriority w:val="99"/>
    <w:semiHidden/>
    <w:locked/>
    <w:rPr>
      <w:rFonts w:ascii="Tahoma" w:hAnsi="Tahoma"/>
      <w:sz w:val="16"/>
    </w:rPr>
  </w:style>
  <w:style w:type="paragraph" w:customStyle="1" w:styleId="Bullet">
    <w:name w:val="Bullet"/>
    <w:basedOn w:val="Normal"/>
    <w:uiPriority w:val="99"/>
    <w:pPr>
      <w:widowControl w:val="0"/>
      <w:numPr>
        <w:numId w:val="9"/>
      </w:numPr>
      <w:spacing w:after="220"/>
      <w:ind w:left="2160" w:hanging="720"/>
      <w:jc w:val="both"/>
    </w:pPr>
  </w:style>
  <w:style w:type="paragraph" w:styleId="BlockText">
    <w:name w:val="Block Text"/>
    <w:basedOn w:val="Normal"/>
    <w:uiPriority w:val="99"/>
    <w:pPr>
      <w:widowControl w:val="0"/>
      <w:spacing w:after="220"/>
      <w:ind w:left="1440" w:right="1440"/>
      <w:jc w:val="both"/>
    </w:pPr>
  </w:style>
  <w:style w:type="paragraph" w:customStyle="1" w:styleId="TableFormat">
    <w:name w:val="TableFormat"/>
    <w:basedOn w:val="Normal"/>
    <w:uiPriority w:val="99"/>
    <w:pPr>
      <w:widowControl w:val="0"/>
      <w:tabs>
        <w:tab w:val="left" w:pos="5040"/>
      </w:tabs>
      <w:spacing w:after="220"/>
      <w:ind w:left="5040" w:hanging="3600"/>
      <w:jc w:val="both"/>
    </w:pPr>
  </w:style>
  <w:style w:type="character" w:styleId="FootnoteReference">
    <w:name w:val="footnote reference"/>
    <w:aliases w:val="Style 4,Appel note de bas de p,Style 12,(NECG) Footnote Reference,Style 124,Style 13,o,fr,Style 3"/>
    <w:uiPriority w:val="99"/>
    <w:semiHidden/>
    <w:rPr>
      <w:rFonts w:cs="Times New Roman"/>
      <w:vertAlign w:val="superscript"/>
    </w:rPr>
  </w:style>
  <w:style w:type="paragraph" w:styleId="Header">
    <w:name w:val="header"/>
    <w:basedOn w:val="Normal"/>
    <w:link w:val="HeaderChar"/>
    <w:uiPriority w:val="99"/>
    <w:pPr>
      <w:tabs>
        <w:tab w:val="center" w:pos="4320"/>
        <w:tab w:val="right" w:pos="8640"/>
      </w:tabs>
    </w:pPr>
  </w:style>
  <w:style w:type="paragraph" w:styleId="TOC3">
    <w:name w:val="toc 3"/>
    <w:basedOn w:val="Normal"/>
    <w:next w:val="Normal"/>
    <w:uiPriority w:val="99"/>
    <w:semiHidden/>
    <w:pPr>
      <w:widowControl w:val="0"/>
      <w:tabs>
        <w:tab w:val="left" w:pos="2160"/>
        <w:tab w:val="right" w:leader="dot" w:pos="9360"/>
      </w:tabs>
      <w:suppressAutoHyphens/>
      <w:ind w:left="2160" w:right="720" w:hanging="720"/>
      <w:jc w:val="both"/>
    </w:pPr>
  </w:style>
  <w:style w:type="character" w:customStyle="1" w:styleId="FooterChar1">
    <w:name w:val="Footer Char1"/>
    <w:link w:val="Footer"/>
    <w:uiPriority w:val="99"/>
    <w:semiHidden/>
    <w:locked/>
    <w:rPr>
      <w:sz w:val="20"/>
    </w:rPr>
  </w:style>
  <w:style w:type="paragraph" w:styleId="TOC2">
    <w:name w:val="toc 2"/>
    <w:basedOn w:val="Normal"/>
    <w:next w:val="Normal"/>
    <w:uiPriority w:val="99"/>
    <w:semiHidden/>
    <w:pPr>
      <w:widowControl w:val="0"/>
      <w:tabs>
        <w:tab w:val="left" w:pos="1440"/>
        <w:tab w:val="right" w:leader="dot" w:pos="9360"/>
      </w:tabs>
      <w:suppressAutoHyphens/>
      <w:spacing w:before="220"/>
      <w:ind w:left="1440" w:right="720" w:hanging="720"/>
      <w:jc w:val="both"/>
    </w:pPr>
  </w:style>
  <w:style w:type="paragraph" w:styleId="Footer">
    <w:name w:val="footer"/>
    <w:basedOn w:val="Normal"/>
    <w:link w:val="FooterChar1"/>
    <w:uiPriority w:val="99"/>
    <w:pPr>
      <w:tabs>
        <w:tab w:val="center" w:pos="4320"/>
        <w:tab w:val="right" w:pos="8640"/>
      </w:tabs>
    </w:pPr>
  </w:style>
  <w:style w:type="character" w:customStyle="1" w:styleId="FooterChar">
    <w:name w:val="Footer Char"/>
    <w:uiPriority w:val="99"/>
    <w:semiHidden/>
    <w:rPr>
      <w:szCs w:val="20"/>
    </w:rPr>
  </w:style>
  <w:style w:type="paragraph" w:styleId="TOC1">
    <w:name w:val="toc 1"/>
    <w:basedOn w:val="Normal"/>
    <w:next w:val="Normal"/>
    <w:uiPriority w:val="99"/>
    <w:semiHidden/>
    <w:pPr>
      <w:widowControl w:val="0"/>
      <w:tabs>
        <w:tab w:val="right" w:leader="dot" w:pos="9360"/>
      </w:tabs>
      <w:suppressAutoHyphens/>
      <w:spacing w:before="220"/>
      <w:ind w:left="720" w:right="720" w:hanging="720"/>
      <w:jc w:val="both"/>
    </w:pPr>
    <w:rPr>
      <w:caps/>
    </w:rPr>
  </w:style>
  <w:style w:type="paragraph" w:customStyle="1" w:styleId="NumberedList">
    <w:name w:val="Numbered List"/>
    <w:basedOn w:val="Normal"/>
    <w:uiPriority w:val="99"/>
    <w:pPr>
      <w:numPr>
        <w:numId w:val="21"/>
      </w:numPr>
      <w:spacing w:after="220"/>
    </w:pPr>
  </w:style>
  <w:style w:type="character" w:customStyle="1" w:styleId="HeaderChar">
    <w:name w:val="Header Char"/>
    <w:link w:val="Header"/>
    <w:uiPriority w:val="99"/>
    <w:semiHidden/>
    <w:locked/>
    <w:rPr>
      <w:sz w:val="20"/>
    </w:rPr>
  </w:style>
  <w:style w:type="paragraph" w:styleId="TOC4">
    <w:name w:val="toc 4"/>
    <w:basedOn w:val="Normal"/>
    <w:next w:val="Normal"/>
    <w:uiPriority w:val="99"/>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pPr>
      <w:widowControl w:val="0"/>
      <w:tabs>
        <w:tab w:val="left" w:leader="dot" w:pos="9360"/>
      </w:tabs>
      <w:suppressAutoHyphens/>
      <w:ind w:left="720" w:hanging="720"/>
      <w:jc w:val="both"/>
    </w:pPr>
  </w:style>
  <w:style w:type="paragraph" w:styleId="TOC7">
    <w:name w:val="toc 7"/>
    <w:basedOn w:val="Normal"/>
    <w:next w:val="Normal"/>
    <w:uiPriority w:val="99"/>
    <w:semiHidden/>
    <w:pPr>
      <w:widowControl w:val="0"/>
      <w:tabs>
        <w:tab w:val="left" w:leader="dot" w:pos="9360"/>
      </w:tabs>
      <w:suppressAutoHyphens/>
      <w:ind w:left="720" w:hanging="720"/>
      <w:jc w:val="both"/>
    </w:pPr>
  </w:style>
  <w:style w:type="paragraph" w:styleId="TOC8">
    <w:name w:val="toc 8"/>
    <w:basedOn w:val="Normal"/>
    <w:next w:val="Normal"/>
    <w:uiPriority w:val="99"/>
    <w:semiHidden/>
    <w:pPr>
      <w:widowControl w:val="0"/>
      <w:tabs>
        <w:tab w:val="left" w:leader="dot" w:pos="9360"/>
      </w:tabs>
      <w:suppressAutoHyphens/>
      <w:ind w:left="720" w:hanging="720"/>
      <w:jc w:val="both"/>
    </w:pPr>
  </w:style>
  <w:style w:type="paragraph" w:styleId="TOC9">
    <w:name w:val="toc 9"/>
    <w:basedOn w:val="Normal"/>
    <w:next w:val="Normal"/>
    <w:uiPriority w:val="99"/>
    <w:semiHidden/>
    <w:pPr>
      <w:tabs>
        <w:tab w:val="left" w:leader="dot" w:pos="9360"/>
      </w:tabs>
      <w:ind w:left="720" w:hanging="720"/>
      <w:jc w:val="both"/>
    </w:p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b/>
    </w:rPr>
  </w:style>
  <w:style w:type="paragraph" w:styleId="CommentText">
    <w:name w:val="annotation text"/>
    <w:basedOn w:val="Normal"/>
    <w:link w:val="CommentTextChar1"/>
    <w:uiPriority w:val="99"/>
    <w:semiHidden/>
    <w:rPr>
      <w:sz w:val="20"/>
    </w:rPr>
  </w:style>
  <w:style w:type="character" w:styleId="CommentReference">
    <w:name w:val="annotation reference"/>
    <w:uiPriority w:val="99"/>
    <w:semiHidden/>
    <w:rPr>
      <w:rFonts w:cs="Times New Roman"/>
      <w:sz w:val="16"/>
    </w:rPr>
  </w:style>
  <w:style w:type="character" w:customStyle="1" w:styleId="FootnoteTextChar1">
    <w:name w:val="Footnote Text Char1"/>
    <w:aliases w:val="Footnote Text Char Char,Footnote Text Char2 Char Char,Footnote Text Char Char Char Char,Footnote Text Char1 Char Char1 Char Char,Footnote Text Char Char1 Char Char Char Char,Footnote Text Char3 Char Char Char Char Char Char,fn Char1"/>
    <w:link w:val="FootnoteText"/>
    <w:uiPriority w:val="99"/>
    <w:locked/>
    <w:rPr>
      <w:lang w:val="en-US" w:eastAsia="en-US"/>
    </w:rPr>
  </w:style>
  <w:style w:type="character" w:customStyle="1" w:styleId="CommentTextChar">
    <w:name w:val="Comment Text Char"/>
    <w:uiPriority w:val="99"/>
    <w:semiHidden/>
    <w:rPr>
      <w:sz w:val="20"/>
      <w:szCs w:val="20"/>
    </w:rPr>
  </w:style>
  <w:style w:type="character" w:customStyle="1" w:styleId="CommentSubjectChar1">
    <w:name w:val="Comment Subject Char1"/>
    <w:link w:val="CommentSubject"/>
    <w:uiPriority w:val="99"/>
    <w:semiHidden/>
    <w:locked/>
    <w:rsid w:val="003361B6"/>
    <w:rPr>
      <w:b/>
      <w:sz w:val="20"/>
    </w:rPr>
  </w:style>
  <w:style w:type="character" w:styleId="Strong">
    <w:name w:val="Strong"/>
    <w:uiPriority w:val="99"/>
    <w:qFormat/>
    <w:rsid w:val="00770D91"/>
    <w:rPr>
      <w:rFonts w:cs="Times New Roman"/>
      <w:b/>
    </w:rPr>
  </w:style>
  <w:style w:type="paragraph" w:styleId="CommentSubject">
    <w:name w:val="annotation subject"/>
    <w:basedOn w:val="CommentText"/>
    <w:next w:val="CommentText"/>
    <w:link w:val="CommentSubjectChar1"/>
    <w:uiPriority w:val="99"/>
    <w:semiHidden/>
    <w:rPr>
      <w:b/>
      <w:bCs/>
      <w:noProof/>
    </w:rPr>
  </w:style>
  <w:style w:type="character" w:customStyle="1" w:styleId="CommentSubjectChar">
    <w:name w:val="Comment Subject Char"/>
    <w:uiPriority w:val="99"/>
    <w:semiHidden/>
    <w:rPr>
      <w:b/>
      <w:bCs/>
      <w:sz w:val="20"/>
      <w:szCs w:val="20"/>
    </w:rPr>
  </w:style>
  <w:style w:type="character" w:customStyle="1" w:styleId="Heading3Char">
    <w:name w:val="Heading 3 Char"/>
    <w:link w:val="Heading3"/>
    <w:uiPriority w:val="99"/>
    <w:locked/>
    <w:rsid w:val="00770D91"/>
    <w:rPr>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60675">
      <w:marLeft w:val="0"/>
      <w:marRight w:val="0"/>
      <w:marTop w:val="0"/>
      <w:marBottom w:val="0"/>
      <w:divBdr>
        <w:top w:val="none" w:sz="0" w:space="0" w:color="auto"/>
        <w:left w:val="none" w:sz="0" w:space="0" w:color="auto"/>
        <w:bottom w:val="none" w:sz="0" w:space="0" w:color="auto"/>
        <w:right w:val="none" w:sz="0" w:space="0" w:color="auto"/>
      </w:divBdr>
    </w:div>
    <w:div w:id="583760680">
      <w:marLeft w:val="0"/>
      <w:marRight w:val="0"/>
      <w:marTop w:val="0"/>
      <w:marBottom w:val="0"/>
      <w:divBdr>
        <w:top w:val="none" w:sz="0" w:space="0" w:color="auto"/>
        <w:left w:val="none" w:sz="0" w:space="0" w:color="auto"/>
        <w:bottom w:val="none" w:sz="0" w:space="0" w:color="auto"/>
        <w:right w:val="none" w:sz="0" w:space="0" w:color="auto"/>
      </w:divBdr>
    </w:div>
    <w:div w:id="583760681">
      <w:marLeft w:val="0"/>
      <w:marRight w:val="0"/>
      <w:marTop w:val="0"/>
      <w:marBottom w:val="0"/>
      <w:divBdr>
        <w:top w:val="none" w:sz="0" w:space="0" w:color="auto"/>
        <w:left w:val="none" w:sz="0" w:space="0" w:color="auto"/>
        <w:bottom w:val="none" w:sz="0" w:space="0" w:color="auto"/>
        <w:right w:val="none" w:sz="0" w:space="0" w:color="auto"/>
      </w:divBdr>
      <w:divsChild>
        <w:div w:id="583760678">
          <w:marLeft w:val="0"/>
          <w:marRight w:val="0"/>
          <w:marTop w:val="0"/>
          <w:marBottom w:val="0"/>
          <w:divBdr>
            <w:top w:val="none" w:sz="0" w:space="0" w:color="auto"/>
            <w:left w:val="none" w:sz="0" w:space="0" w:color="auto"/>
            <w:bottom w:val="none" w:sz="0" w:space="0" w:color="auto"/>
            <w:right w:val="none" w:sz="0" w:space="0" w:color="auto"/>
          </w:divBdr>
          <w:divsChild>
            <w:div w:id="583760679">
              <w:marLeft w:val="0"/>
              <w:marRight w:val="0"/>
              <w:marTop w:val="0"/>
              <w:marBottom w:val="0"/>
              <w:divBdr>
                <w:top w:val="none" w:sz="0" w:space="0" w:color="auto"/>
                <w:left w:val="none" w:sz="0" w:space="0" w:color="auto"/>
                <w:bottom w:val="none" w:sz="0" w:space="0" w:color="auto"/>
                <w:right w:val="none" w:sz="0" w:space="0" w:color="auto"/>
              </w:divBdr>
              <w:divsChild>
                <w:div w:id="583760676">
                  <w:marLeft w:val="0"/>
                  <w:marRight w:val="0"/>
                  <w:marTop w:val="0"/>
                  <w:marBottom w:val="0"/>
                  <w:divBdr>
                    <w:top w:val="none" w:sz="0" w:space="0" w:color="auto"/>
                    <w:left w:val="none" w:sz="0" w:space="0" w:color="auto"/>
                    <w:bottom w:val="none" w:sz="0" w:space="0" w:color="auto"/>
                    <w:right w:val="none" w:sz="0" w:space="0" w:color="auto"/>
                  </w:divBdr>
                  <w:divsChild>
                    <w:div w:id="583760677">
                      <w:marLeft w:val="0"/>
                      <w:marRight w:val="0"/>
                      <w:marTop w:val="0"/>
                      <w:marBottom w:val="0"/>
                      <w:divBdr>
                        <w:top w:val="none" w:sz="0" w:space="0" w:color="auto"/>
                        <w:left w:val="none" w:sz="0" w:space="0" w:color="auto"/>
                        <w:bottom w:val="none" w:sz="0" w:space="0" w:color="auto"/>
                        <w:right w:val="none" w:sz="0" w:space="0" w:color="auto"/>
                      </w:divBdr>
                      <w:divsChild>
                        <w:div w:id="583760672">
                          <w:marLeft w:val="0"/>
                          <w:marRight w:val="0"/>
                          <w:marTop w:val="0"/>
                          <w:marBottom w:val="0"/>
                          <w:divBdr>
                            <w:top w:val="none" w:sz="0" w:space="0" w:color="auto"/>
                            <w:left w:val="none" w:sz="0" w:space="0" w:color="auto"/>
                            <w:bottom w:val="none" w:sz="0" w:space="0" w:color="auto"/>
                            <w:right w:val="none" w:sz="0" w:space="0" w:color="auto"/>
                          </w:divBdr>
                        </w:div>
                        <w:div w:id="583760673">
                          <w:marLeft w:val="0"/>
                          <w:marRight w:val="0"/>
                          <w:marTop w:val="0"/>
                          <w:marBottom w:val="0"/>
                          <w:divBdr>
                            <w:top w:val="none" w:sz="0" w:space="0" w:color="auto"/>
                            <w:left w:val="none" w:sz="0" w:space="0" w:color="auto"/>
                            <w:bottom w:val="none" w:sz="0" w:space="0" w:color="auto"/>
                            <w:right w:val="none" w:sz="0" w:space="0" w:color="auto"/>
                          </w:divBdr>
                        </w:div>
                        <w:div w:id="5837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ke@fc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INQUIRIE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Angela.Robinson\AppData\Local\Microsoft\Windows\Temporary%20Internet%20Files\Content.Outlook\J3GWUHAP\Phillip.Priesman@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semary.Cabral@fcc.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Form159/15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1520</Words>
  <Characters>8362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9966</CharactersWithSpaces>
  <SharedDoc>false</SharedDoc>
  <HyperlinkBase> </HyperlinkBase>
  <HLinks>
    <vt:vector size="18" baseType="variant">
      <vt:variant>
        <vt:i4>8126550</vt:i4>
      </vt:variant>
      <vt:variant>
        <vt:i4>6</vt:i4>
      </vt:variant>
      <vt:variant>
        <vt:i4>0</vt:i4>
      </vt:variant>
      <vt:variant>
        <vt:i4>5</vt:i4>
      </vt:variant>
      <vt:variant>
        <vt:lpwstr>mailto:ARINQUIRIES@fcc.gov</vt:lpwstr>
      </vt:variant>
      <vt:variant>
        <vt:lpwstr/>
      </vt:variant>
      <vt:variant>
        <vt:i4>3735642</vt:i4>
      </vt:variant>
      <vt:variant>
        <vt:i4>3</vt:i4>
      </vt:variant>
      <vt:variant>
        <vt:i4>0</vt:i4>
      </vt:variant>
      <vt:variant>
        <vt:i4>5</vt:i4>
      </vt:variant>
      <vt:variant>
        <vt:lpwstr>mailto:Rosemary.Cabral@fcc.gov</vt:lpwstr>
      </vt:variant>
      <vt:variant>
        <vt:lpwstr/>
      </vt:variant>
      <vt:variant>
        <vt:i4>1441841</vt:i4>
      </vt:variant>
      <vt:variant>
        <vt:i4>0</vt:i4>
      </vt:variant>
      <vt:variant>
        <vt:i4>0</vt:i4>
      </vt:variant>
      <vt:variant>
        <vt:i4>5</vt:i4>
      </vt:variant>
      <vt:variant>
        <vt:lpwstr>mailto:Drake@fcc.gov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2013-01-23T13:00:00Z</cp:lastPrinted>
  <dcterms:created xsi:type="dcterms:W3CDTF">2013-05-07T15:54:00Z</dcterms:created>
  <dcterms:modified xsi:type="dcterms:W3CDTF">2013-05-07T15:54:00Z</dcterms:modified>
  <cp:category> </cp:category>
  <cp:contentStatus> </cp:contentStatus>
</cp:coreProperties>
</file>