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AD" w:rsidRDefault="00FB6EDD">
      <w:pPr>
        <w:jc w:val="center"/>
        <w:rPr>
          <w:b/>
        </w:rPr>
      </w:pPr>
      <w:bookmarkStart w:id="0" w:name="_GoBack"/>
      <w:bookmarkEnd w:id="0"/>
      <w:r>
        <w:rPr>
          <w:b/>
        </w:rPr>
        <w:t>Befo</w:t>
      </w:r>
      <w:r w:rsidR="006B6CAD">
        <w:rPr>
          <w:b/>
        </w:rPr>
        <w:t>re the</w:t>
      </w:r>
    </w:p>
    <w:p w:rsidR="006B6CAD" w:rsidRDefault="006B6CAD">
      <w:pPr>
        <w:jc w:val="center"/>
        <w:rPr>
          <w:b/>
        </w:rPr>
      </w:pPr>
      <w:r>
        <w:rPr>
          <w:b/>
        </w:rPr>
        <w:t>Federal Communications Commission</w:t>
      </w:r>
    </w:p>
    <w:p w:rsidR="006B6CAD" w:rsidRDefault="006B6CAD">
      <w:pPr>
        <w:jc w:val="center"/>
        <w:rPr>
          <w:b/>
        </w:rPr>
      </w:pPr>
      <w:r>
        <w:rPr>
          <w:b/>
        </w:rPr>
        <w:t>Washington, DC 20554</w:t>
      </w:r>
    </w:p>
    <w:p w:rsidR="006B6CAD" w:rsidRDefault="006B6CAD"/>
    <w:tbl>
      <w:tblPr>
        <w:tblW w:w="9648" w:type="dxa"/>
        <w:tblLayout w:type="fixed"/>
        <w:tblLook w:val="0000" w:firstRow="0" w:lastRow="0" w:firstColumn="0" w:lastColumn="0" w:noHBand="0" w:noVBand="0"/>
      </w:tblPr>
      <w:tblGrid>
        <w:gridCol w:w="4698"/>
        <w:gridCol w:w="720"/>
        <w:gridCol w:w="4230"/>
      </w:tblGrid>
      <w:tr w:rsidR="006B6CAD" w:rsidTr="003849F2">
        <w:tc>
          <w:tcPr>
            <w:tcW w:w="4698" w:type="dxa"/>
          </w:tcPr>
          <w:p w:rsidR="006B6CAD" w:rsidRDefault="006B6CAD">
            <w:pPr>
              <w:ind w:right="-18"/>
            </w:pPr>
            <w:r>
              <w:t>In the Matter of</w:t>
            </w:r>
          </w:p>
          <w:p w:rsidR="006B6CAD" w:rsidRDefault="006B6CAD">
            <w:pPr>
              <w:ind w:right="-18"/>
            </w:pPr>
          </w:p>
          <w:p w:rsidR="005C028D" w:rsidRDefault="005C028D">
            <w:pPr>
              <w:ind w:right="-18"/>
            </w:pPr>
            <w:r>
              <w:t>Patrick Keane</w:t>
            </w:r>
          </w:p>
          <w:p w:rsidR="00D813EA" w:rsidRDefault="00D03FEF">
            <w:pPr>
              <w:ind w:right="-18"/>
            </w:pPr>
            <w:r>
              <w:t>a/k/a T</w:t>
            </w:r>
            <w:r w:rsidR="00D813EA">
              <w:t xml:space="preserve">he Street Map </w:t>
            </w:r>
            <w:r>
              <w:t xml:space="preserve">Co., Accurate Map Co., </w:t>
            </w:r>
          </w:p>
          <w:p w:rsidR="006B6CAD" w:rsidRDefault="00D03FEF" w:rsidP="00656EB2">
            <w:pPr>
              <w:ind w:right="-18"/>
            </w:pPr>
            <w:r>
              <w:t xml:space="preserve">Data World, Map World, Map. </w:t>
            </w:r>
            <w:smartTag w:uri="urn:schemas-microsoft-com:office:smarttags" w:element="place">
              <w:r>
                <w:t>Co.</w:t>
              </w:r>
            </w:smartTag>
            <w:r>
              <w:t xml:space="preserve"> </w:t>
            </w:r>
          </w:p>
        </w:tc>
        <w:tc>
          <w:tcPr>
            <w:tcW w:w="720" w:type="dxa"/>
          </w:tcPr>
          <w:p w:rsidR="006B6CAD" w:rsidRDefault="00BC1583">
            <w:pPr>
              <w:rPr>
                <w:b/>
              </w:rPr>
            </w:pPr>
            <w:r>
              <w:rPr>
                <w:b/>
              </w:rPr>
              <w:t>)</w:t>
            </w:r>
          </w:p>
          <w:p w:rsidR="006B6CAD" w:rsidRDefault="006B6CAD">
            <w:pPr>
              <w:rPr>
                <w:b/>
              </w:rPr>
            </w:pPr>
            <w:r>
              <w:rPr>
                <w:b/>
              </w:rPr>
              <w:t>)</w:t>
            </w:r>
          </w:p>
          <w:p w:rsidR="006B6CAD" w:rsidRDefault="006B6CAD">
            <w:pPr>
              <w:rPr>
                <w:b/>
              </w:rPr>
            </w:pPr>
            <w:r>
              <w:rPr>
                <w:b/>
              </w:rPr>
              <w:t>)</w:t>
            </w:r>
          </w:p>
          <w:p w:rsidR="006B6CAD" w:rsidRDefault="006B6CAD">
            <w:pPr>
              <w:rPr>
                <w:b/>
              </w:rPr>
            </w:pPr>
            <w:r>
              <w:rPr>
                <w:b/>
              </w:rPr>
              <w:t>)</w:t>
            </w:r>
          </w:p>
          <w:p w:rsidR="006B6CAD" w:rsidRDefault="006B6CAD">
            <w:pPr>
              <w:rPr>
                <w:b/>
              </w:rPr>
            </w:pPr>
            <w:r>
              <w:rPr>
                <w:b/>
              </w:rPr>
              <w:t>)</w:t>
            </w:r>
          </w:p>
          <w:p w:rsidR="006B6CAD" w:rsidRDefault="006B6CAD">
            <w:pPr>
              <w:rPr>
                <w:b/>
              </w:rPr>
            </w:pPr>
            <w:r>
              <w:rPr>
                <w:b/>
              </w:rPr>
              <w:t>)</w:t>
            </w:r>
          </w:p>
          <w:p w:rsidR="006B6CAD" w:rsidRDefault="00D813EA">
            <w:pPr>
              <w:rPr>
                <w:b/>
              </w:rPr>
            </w:pPr>
            <w:r>
              <w:rPr>
                <w:b/>
              </w:rPr>
              <w:t>)</w:t>
            </w:r>
          </w:p>
          <w:p w:rsidR="00947382" w:rsidRDefault="00E436A2">
            <w:pPr>
              <w:rPr>
                <w:b/>
              </w:rPr>
            </w:pPr>
            <w:r>
              <w:rPr>
                <w:b/>
              </w:rPr>
              <w:t>)</w:t>
            </w:r>
          </w:p>
          <w:p w:rsidR="00D3048C" w:rsidRDefault="00D3048C">
            <w:pPr>
              <w:rPr>
                <w:b/>
              </w:rPr>
            </w:pPr>
            <w:r>
              <w:rPr>
                <w:b/>
              </w:rPr>
              <w:t>)</w:t>
            </w:r>
          </w:p>
          <w:p w:rsidR="00D3048C" w:rsidRDefault="00D3048C">
            <w:pPr>
              <w:rPr>
                <w:b/>
              </w:rPr>
            </w:pPr>
            <w:r>
              <w:rPr>
                <w:b/>
              </w:rPr>
              <w:t>)</w:t>
            </w:r>
          </w:p>
          <w:p w:rsidR="00D3048C" w:rsidRDefault="00D3048C">
            <w:pPr>
              <w:rPr>
                <w:b/>
              </w:rPr>
            </w:pPr>
            <w:r>
              <w:rPr>
                <w:b/>
              </w:rPr>
              <w:t>)</w:t>
            </w:r>
          </w:p>
          <w:p w:rsidR="00C23515" w:rsidRDefault="00C23515">
            <w:pPr>
              <w:rPr>
                <w:b/>
              </w:rPr>
            </w:pPr>
            <w:r>
              <w:rPr>
                <w:b/>
              </w:rPr>
              <w:t>)</w:t>
            </w:r>
          </w:p>
          <w:p w:rsidR="00C23515" w:rsidRDefault="00A0484B">
            <w:pPr>
              <w:rPr>
                <w:b/>
              </w:rPr>
            </w:pPr>
            <w:r>
              <w:rPr>
                <w:b/>
              </w:rPr>
              <w:t>)</w:t>
            </w:r>
          </w:p>
          <w:p w:rsidR="00A0484B" w:rsidRDefault="00A0484B">
            <w:pPr>
              <w:rPr>
                <w:b/>
              </w:rPr>
            </w:pPr>
            <w:r>
              <w:rPr>
                <w:b/>
              </w:rPr>
              <w:t>)</w:t>
            </w:r>
          </w:p>
        </w:tc>
        <w:tc>
          <w:tcPr>
            <w:tcW w:w="4230" w:type="dxa"/>
          </w:tcPr>
          <w:p w:rsidR="0004053A" w:rsidRDefault="0004053A" w:rsidP="00C23515">
            <w:pPr>
              <w:rPr>
                <w:spacing w:val="-2"/>
              </w:rPr>
            </w:pPr>
          </w:p>
          <w:p w:rsidR="0004053A" w:rsidRDefault="0004053A" w:rsidP="00C23515">
            <w:pPr>
              <w:rPr>
                <w:spacing w:val="-2"/>
              </w:rPr>
            </w:pPr>
          </w:p>
          <w:p w:rsidR="00C23515" w:rsidRDefault="00C23515" w:rsidP="00C23515">
            <w:pPr>
              <w:rPr>
                <w:spacing w:val="-2"/>
              </w:rPr>
            </w:pPr>
            <w:r>
              <w:rPr>
                <w:spacing w:val="-2"/>
              </w:rPr>
              <w:t>File No.: EB-08-TC-998</w:t>
            </w:r>
          </w:p>
          <w:p w:rsidR="00C23515" w:rsidRDefault="00C23515" w:rsidP="00C23515">
            <w:pPr>
              <w:rPr>
                <w:spacing w:val="-2"/>
                <w:szCs w:val="22"/>
              </w:rPr>
            </w:pPr>
            <w:r>
              <w:rPr>
                <w:spacing w:val="-2"/>
              </w:rPr>
              <w:t>NAL/Acct. No</w:t>
            </w:r>
            <w:r>
              <w:rPr>
                <w:spacing w:val="-2"/>
                <w:szCs w:val="22"/>
              </w:rPr>
              <w:t>.: 201132170002</w:t>
            </w:r>
          </w:p>
          <w:p w:rsidR="00E436A2" w:rsidRDefault="00C23515" w:rsidP="00D813EA">
            <w:pPr>
              <w:rPr>
                <w:spacing w:val="-2"/>
                <w:lang w:val="es-ES"/>
              </w:rPr>
            </w:pPr>
            <w:r>
              <w:rPr>
                <w:spacing w:val="-2"/>
                <w:szCs w:val="22"/>
              </w:rPr>
              <w:t xml:space="preserve">FRN: </w:t>
            </w:r>
            <w:r>
              <w:rPr>
                <w:spacing w:val="-2"/>
              </w:rPr>
              <w:t>0020318242</w:t>
            </w:r>
          </w:p>
          <w:p w:rsidR="00C23515" w:rsidRDefault="00C23515" w:rsidP="009F5F66">
            <w:pPr>
              <w:rPr>
                <w:spacing w:val="-2"/>
                <w:lang w:val="es-ES"/>
              </w:rPr>
            </w:pPr>
          </w:p>
          <w:p w:rsidR="009F5F66" w:rsidRDefault="009F5F66" w:rsidP="009F5F66">
            <w:pPr>
              <w:rPr>
                <w:spacing w:val="-2"/>
                <w:lang w:val="es-ES"/>
              </w:rPr>
            </w:pPr>
            <w:r>
              <w:rPr>
                <w:spacing w:val="-2"/>
                <w:lang w:val="es-ES"/>
              </w:rPr>
              <w:t xml:space="preserve">File Nos. : </w:t>
            </w:r>
            <w:r w:rsidR="00C23515">
              <w:rPr>
                <w:spacing w:val="-2"/>
                <w:lang w:val="es-ES"/>
              </w:rPr>
              <w:t>EB-</w:t>
            </w:r>
            <w:r>
              <w:rPr>
                <w:spacing w:val="-2"/>
                <w:lang w:val="es-ES"/>
              </w:rPr>
              <w:t>08-TC-998</w:t>
            </w:r>
          </w:p>
          <w:p w:rsidR="009F5F66" w:rsidRDefault="009F5F66" w:rsidP="009F5F66">
            <w:pPr>
              <w:rPr>
                <w:spacing w:val="-2"/>
                <w:lang w:val="es-ES"/>
              </w:rPr>
            </w:pPr>
            <w:r>
              <w:rPr>
                <w:spacing w:val="-2"/>
                <w:lang w:val="es-ES"/>
              </w:rPr>
              <w:t xml:space="preserve">                  </w:t>
            </w:r>
            <w:r w:rsidR="00C23515">
              <w:rPr>
                <w:spacing w:val="-2"/>
                <w:lang w:val="es-ES"/>
              </w:rPr>
              <w:t>EB-</w:t>
            </w:r>
            <w:r>
              <w:rPr>
                <w:spacing w:val="-2"/>
                <w:lang w:val="es-ES"/>
              </w:rPr>
              <w:t>07-TC-5233</w:t>
            </w:r>
          </w:p>
          <w:p w:rsidR="009F5F66" w:rsidRDefault="009F5F66" w:rsidP="009F5F66">
            <w:pPr>
              <w:rPr>
                <w:spacing w:val="-2"/>
                <w:szCs w:val="22"/>
              </w:rPr>
            </w:pPr>
            <w:r>
              <w:rPr>
                <w:spacing w:val="-2"/>
              </w:rPr>
              <w:t>NAL/Acct. No</w:t>
            </w:r>
            <w:r>
              <w:rPr>
                <w:spacing w:val="-2"/>
                <w:szCs w:val="22"/>
              </w:rPr>
              <w:t>.:  20113217000</w:t>
            </w:r>
            <w:r w:rsidR="002C227C">
              <w:rPr>
                <w:spacing w:val="-2"/>
                <w:szCs w:val="22"/>
              </w:rPr>
              <w:t>2</w:t>
            </w:r>
          </w:p>
          <w:p w:rsidR="009F5F66" w:rsidRDefault="009F5F66" w:rsidP="009F5F66">
            <w:pPr>
              <w:rPr>
                <w:spacing w:val="-2"/>
                <w:szCs w:val="22"/>
              </w:rPr>
            </w:pPr>
            <w:r>
              <w:rPr>
                <w:spacing w:val="-2"/>
                <w:szCs w:val="22"/>
              </w:rPr>
              <w:t>FRN:  0020318242</w:t>
            </w:r>
          </w:p>
          <w:p w:rsidR="009F5F66" w:rsidRDefault="009F5F66" w:rsidP="009F5F66">
            <w:pPr>
              <w:rPr>
                <w:spacing w:val="-2"/>
                <w:lang w:val="es-ES"/>
              </w:rPr>
            </w:pPr>
          </w:p>
          <w:p w:rsidR="009F5F66" w:rsidRDefault="009F5F66" w:rsidP="009F5F66">
            <w:pPr>
              <w:rPr>
                <w:spacing w:val="-2"/>
                <w:lang w:val="es-ES"/>
              </w:rPr>
            </w:pPr>
            <w:r>
              <w:rPr>
                <w:spacing w:val="-2"/>
                <w:lang w:val="es-ES"/>
              </w:rPr>
              <w:t xml:space="preserve">File No.:  EB-12-TCD-00000305                </w:t>
            </w:r>
          </w:p>
          <w:p w:rsidR="009F5F66" w:rsidRDefault="009F5F66" w:rsidP="009F5F66">
            <w:pPr>
              <w:rPr>
                <w:spacing w:val="-2"/>
                <w:szCs w:val="22"/>
              </w:rPr>
            </w:pPr>
            <w:r>
              <w:rPr>
                <w:spacing w:val="-2"/>
              </w:rPr>
              <w:t>NAL/Acct. No</w:t>
            </w:r>
            <w:r>
              <w:rPr>
                <w:spacing w:val="-2"/>
                <w:szCs w:val="22"/>
              </w:rPr>
              <w:t>.:  201</w:t>
            </w:r>
            <w:r w:rsidR="00C23515">
              <w:rPr>
                <w:spacing w:val="-2"/>
                <w:szCs w:val="22"/>
              </w:rPr>
              <w:t>3</w:t>
            </w:r>
            <w:r>
              <w:rPr>
                <w:spacing w:val="-2"/>
                <w:szCs w:val="22"/>
              </w:rPr>
              <w:t>32170001</w:t>
            </w:r>
          </w:p>
          <w:p w:rsidR="009F5F66" w:rsidRDefault="009F5F66" w:rsidP="009F5F66">
            <w:pPr>
              <w:rPr>
                <w:spacing w:val="-2"/>
                <w:szCs w:val="22"/>
              </w:rPr>
            </w:pPr>
            <w:r>
              <w:rPr>
                <w:spacing w:val="-2"/>
                <w:szCs w:val="22"/>
              </w:rPr>
              <w:t>FRN:  0020318242</w:t>
            </w:r>
          </w:p>
          <w:p w:rsidR="006B6CAD" w:rsidRDefault="006B6CAD" w:rsidP="009F5F66"/>
        </w:tc>
      </w:tr>
    </w:tbl>
    <w:p w:rsidR="006B6CAD" w:rsidRDefault="006B6CAD">
      <w:pPr>
        <w:spacing w:before="120"/>
        <w:jc w:val="center"/>
        <w:rPr>
          <w:b/>
        </w:rPr>
      </w:pPr>
      <w:r>
        <w:rPr>
          <w:b/>
          <w:spacing w:val="-2"/>
        </w:rPr>
        <w:t>FORFEITURE ORDER</w:t>
      </w:r>
    </w:p>
    <w:p w:rsidR="006B6CAD" w:rsidRDefault="006B6CAD"/>
    <w:p w:rsidR="006B6CAD" w:rsidRDefault="006B6CAD">
      <w:pPr>
        <w:tabs>
          <w:tab w:val="left" w:pos="5760"/>
        </w:tabs>
        <w:rPr>
          <w:b/>
        </w:rPr>
      </w:pPr>
      <w:r>
        <w:rPr>
          <w:b/>
        </w:rPr>
        <w:t>Adopted:</w:t>
      </w:r>
      <w:r w:rsidR="0027223A">
        <w:rPr>
          <w:b/>
        </w:rPr>
        <w:t xml:space="preserve">  </w:t>
      </w:r>
      <w:r w:rsidR="005F32CB">
        <w:rPr>
          <w:b/>
        </w:rPr>
        <w:t>May 3, 2013</w:t>
      </w:r>
      <w:r>
        <w:rPr>
          <w:b/>
        </w:rPr>
        <w:tab/>
        <w:t xml:space="preserve">                 </w:t>
      </w:r>
      <w:r w:rsidR="005F32CB">
        <w:rPr>
          <w:b/>
        </w:rPr>
        <w:t xml:space="preserve">      </w:t>
      </w:r>
      <w:r>
        <w:rPr>
          <w:b/>
        </w:rPr>
        <w:t xml:space="preserve">Released: </w:t>
      </w:r>
      <w:r w:rsidR="0027223A">
        <w:rPr>
          <w:b/>
        </w:rPr>
        <w:t xml:space="preserve">  </w:t>
      </w:r>
      <w:r w:rsidR="005F32CB">
        <w:rPr>
          <w:b/>
        </w:rPr>
        <w:t xml:space="preserve">May </w:t>
      </w:r>
      <w:r w:rsidR="00C669F7">
        <w:rPr>
          <w:b/>
        </w:rPr>
        <w:t>7</w:t>
      </w:r>
      <w:r w:rsidR="005F32CB">
        <w:rPr>
          <w:b/>
        </w:rPr>
        <w:t>, 2013</w:t>
      </w:r>
    </w:p>
    <w:p w:rsidR="006B6CAD" w:rsidRDefault="006B6CAD">
      <w:pPr>
        <w:tabs>
          <w:tab w:val="left" w:pos="5760"/>
        </w:tabs>
        <w:rPr>
          <w:b/>
        </w:rPr>
      </w:pPr>
    </w:p>
    <w:p w:rsidR="006B6CAD" w:rsidRDefault="006B6CAD">
      <w:pPr>
        <w:tabs>
          <w:tab w:val="left" w:pos="5760"/>
        </w:tabs>
      </w:pPr>
      <w:r>
        <w:t>By the C</w:t>
      </w:r>
      <w:r w:rsidR="00D813EA">
        <w:t>ommission</w:t>
      </w:r>
      <w:r>
        <w:t>:</w:t>
      </w:r>
      <w:r w:rsidR="005F32CB">
        <w:t xml:space="preserve"> </w:t>
      </w:r>
      <w:r w:rsidR="005F32CB">
        <w:rPr>
          <w:szCs w:val="22"/>
        </w:rPr>
        <w:t>Commissioner McDowell not participating.</w:t>
      </w:r>
    </w:p>
    <w:p w:rsidR="006B6CAD" w:rsidRDefault="006B6CAD">
      <w:pPr>
        <w:tabs>
          <w:tab w:val="left" w:pos="5760"/>
        </w:tabs>
        <w:rPr>
          <w:b/>
        </w:rPr>
      </w:pPr>
    </w:p>
    <w:p w:rsidR="006B6CAD" w:rsidRDefault="006B6CAD">
      <w:pPr>
        <w:pStyle w:val="Heading1"/>
        <w:jc w:val="left"/>
      </w:pPr>
      <w:r>
        <w:t>introduction</w:t>
      </w:r>
    </w:p>
    <w:p w:rsidR="006B6CAD" w:rsidRDefault="006B6CAD" w:rsidP="00570420">
      <w:pPr>
        <w:pStyle w:val="ParaNum"/>
        <w:widowControl/>
        <w:tabs>
          <w:tab w:val="clear" w:pos="1080"/>
          <w:tab w:val="num" w:pos="1440"/>
        </w:tabs>
        <w:jc w:val="left"/>
      </w:pPr>
      <w:r>
        <w:t xml:space="preserve">In this </w:t>
      </w:r>
      <w:r w:rsidRPr="00615172">
        <w:t>Forfeiture Order</w:t>
      </w:r>
      <w:r w:rsidR="00883170">
        <w:t xml:space="preserve"> (</w:t>
      </w:r>
      <w:r w:rsidRPr="00DC4D0D">
        <w:t>Orde</w:t>
      </w:r>
      <w:r w:rsidR="00DC4D0D" w:rsidRPr="00DC4D0D">
        <w:t>r</w:t>
      </w:r>
      <w:r w:rsidR="00883170">
        <w:t>)</w:t>
      </w:r>
      <w:r>
        <w:t xml:space="preserve">, we issue a monetary forfeiture </w:t>
      </w:r>
      <w:r w:rsidR="00115302">
        <w:t>for</w:t>
      </w:r>
      <w:r>
        <w:t xml:space="preserve"> $</w:t>
      </w:r>
      <w:r w:rsidR="00D03FEF">
        <w:t>978,</w:t>
      </w:r>
      <w:r w:rsidR="00D813EA">
        <w:t>500</w:t>
      </w:r>
      <w:r w:rsidR="0076050C">
        <w:t xml:space="preserve"> </w:t>
      </w:r>
      <w:r>
        <w:t xml:space="preserve">against </w:t>
      </w:r>
      <w:r w:rsidR="00EF4DD3">
        <w:t>Patrick Keane</w:t>
      </w:r>
      <w:r w:rsidR="003E2615" w:rsidRPr="00BB1AD4">
        <w:rPr>
          <w:spacing w:val="-2"/>
          <w:szCs w:val="22"/>
        </w:rPr>
        <w:t xml:space="preserve"> a/k/a Street Map</w:t>
      </w:r>
      <w:r w:rsidR="003E2615" w:rsidRPr="00A40743">
        <w:rPr>
          <w:spacing w:val="-2"/>
          <w:szCs w:val="22"/>
        </w:rPr>
        <w:t xml:space="preserve">, </w:t>
      </w:r>
      <w:r w:rsidR="003E2615" w:rsidRPr="0091672E">
        <w:rPr>
          <w:i/>
          <w:spacing w:val="-2"/>
          <w:szCs w:val="22"/>
        </w:rPr>
        <w:t>et</w:t>
      </w:r>
      <w:r w:rsidR="003E2615">
        <w:rPr>
          <w:i/>
          <w:spacing w:val="-2"/>
          <w:szCs w:val="22"/>
        </w:rPr>
        <w:t>.</w:t>
      </w:r>
      <w:r w:rsidR="003E2615" w:rsidRPr="0091672E">
        <w:rPr>
          <w:i/>
          <w:spacing w:val="-2"/>
          <w:szCs w:val="22"/>
        </w:rPr>
        <w:t>al</w:t>
      </w:r>
      <w:r w:rsidR="003E2615">
        <w:rPr>
          <w:i/>
          <w:spacing w:val="-2"/>
          <w:szCs w:val="22"/>
        </w:rPr>
        <w:t>.</w:t>
      </w:r>
      <w:r w:rsidR="003E2615">
        <w:rPr>
          <w:spacing w:val="-2"/>
          <w:szCs w:val="22"/>
        </w:rPr>
        <w:t xml:space="preserve">, </w:t>
      </w:r>
      <w:r>
        <w:t xml:space="preserve">for willful </w:t>
      </w:r>
      <w:r w:rsidR="008B2594">
        <w:t>and</w:t>
      </w:r>
      <w:r>
        <w:t xml:space="preserve"> repeated violations of </w:t>
      </w:r>
      <w:r w:rsidR="00CD3283">
        <w:t>S</w:t>
      </w:r>
      <w:r>
        <w:t>ection 227</w:t>
      </w:r>
      <w:r w:rsidR="00883170" w:rsidRPr="00EF60C0">
        <w:t xml:space="preserve">(b)(1)(C) </w:t>
      </w:r>
      <w:r>
        <w:t>of the Communication</w:t>
      </w:r>
      <w:r w:rsidR="003200A1">
        <w:t>s Ac</w:t>
      </w:r>
      <w:r w:rsidR="00AB5D63">
        <w:t>t of 1934, as amended</w:t>
      </w:r>
      <w:r w:rsidR="00883170">
        <w:t xml:space="preserve"> (</w:t>
      </w:r>
      <w:r w:rsidRPr="00615172">
        <w:t>Act</w:t>
      </w:r>
      <w:r w:rsidR="00883170">
        <w:t>)</w:t>
      </w:r>
      <w:r w:rsidR="00F339D0">
        <w:t>,</w:t>
      </w:r>
      <w:r>
        <w:rPr>
          <w:vertAlign w:val="superscript"/>
        </w:rPr>
        <w:footnoteReference w:id="2"/>
      </w:r>
      <w:r>
        <w:t xml:space="preserve"> and </w:t>
      </w:r>
      <w:r w:rsidR="00CD3283">
        <w:t>S</w:t>
      </w:r>
      <w:r w:rsidR="00FB6EDD">
        <w:t>ection 64.1200(a)(</w:t>
      </w:r>
      <w:r w:rsidR="00CE1795">
        <w:t>4</w:t>
      </w:r>
      <w:r w:rsidR="00FB6EDD">
        <w:t xml:space="preserve">) of </w:t>
      </w:r>
      <w:r>
        <w:t>the Commission’s</w:t>
      </w:r>
      <w:r w:rsidR="00883170">
        <w:t xml:space="preserve"> </w:t>
      </w:r>
      <w:r>
        <w:t>rules,</w:t>
      </w:r>
      <w:r>
        <w:rPr>
          <w:vertAlign w:val="superscript"/>
        </w:rPr>
        <w:footnoteReference w:id="3"/>
      </w:r>
      <w:r>
        <w:t xml:space="preserve"> by delivering </w:t>
      </w:r>
      <w:r w:rsidR="00D03FEF">
        <w:t>100</w:t>
      </w:r>
      <w:r w:rsidR="008B2594">
        <w:t xml:space="preserve"> </w:t>
      </w:r>
      <w:r>
        <w:t>unsolicited advertisements</w:t>
      </w:r>
      <w:r w:rsidR="00B91FBB">
        <w:t>, or “junk faxes,”</w:t>
      </w:r>
      <w:r w:rsidR="00337327">
        <w:t xml:space="preserve"> </w:t>
      </w:r>
      <w:r>
        <w:t xml:space="preserve">to the telephone facsimile machines of </w:t>
      </w:r>
      <w:r w:rsidR="00D03FEF">
        <w:t>90</w:t>
      </w:r>
      <w:r w:rsidR="008B2594">
        <w:t xml:space="preserve"> </w:t>
      </w:r>
      <w:r>
        <w:t xml:space="preserve">consumers.    </w:t>
      </w:r>
    </w:p>
    <w:p w:rsidR="006B6CAD" w:rsidRDefault="006B6CAD" w:rsidP="00570420">
      <w:pPr>
        <w:pStyle w:val="Heading1"/>
        <w:widowControl/>
        <w:jc w:val="left"/>
      </w:pPr>
      <w:r>
        <w:t>background</w:t>
      </w:r>
    </w:p>
    <w:p w:rsidR="006B6CAD" w:rsidRDefault="00CE1795" w:rsidP="00570420">
      <w:pPr>
        <w:pStyle w:val="ParaNum"/>
        <w:widowControl/>
        <w:tabs>
          <w:tab w:val="clear" w:pos="1080"/>
          <w:tab w:val="num" w:pos="1440"/>
        </w:tabs>
        <w:jc w:val="left"/>
        <w:rPr>
          <w:color w:val="000000"/>
        </w:rPr>
      </w:pPr>
      <w:r>
        <w:t xml:space="preserve">Congress enacted </w:t>
      </w:r>
      <w:r w:rsidR="007274C3">
        <w:t>t</w:t>
      </w:r>
      <w:r w:rsidR="00B130EB" w:rsidRPr="00EF60C0">
        <w:t>he Telephone C</w:t>
      </w:r>
      <w:r w:rsidR="00A9316A">
        <w:t xml:space="preserve">onsumer Protection Act of 1991 </w:t>
      </w:r>
      <w:r w:rsidR="00B130EB" w:rsidRPr="00EF60C0">
        <w:t>to address problems of abusive telemarketing, in</w:t>
      </w:r>
      <w:r w:rsidR="00B130EB">
        <w:t xml:space="preserve">cluding </w:t>
      </w:r>
      <w:r w:rsidR="00B130EB" w:rsidRPr="00EF60C0">
        <w:t>junk</w:t>
      </w:r>
      <w:r w:rsidR="00B130EB">
        <w:t xml:space="preserve"> </w:t>
      </w:r>
      <w:r w:rsidR="00B130EB" w:rsidRPr="00EF60C0">
        <w:t>faxes.</w:t>
      </w:r>
      <w:r w:rsidR="00B130EB" w:rsidRPr="00EF60C0">
        <w:rPr>
          <w:vertAlign w:val="superscript"/>
        </w:rPr>
        <w:footnoteReference w:id="4"/>
      </w:r>
      <w:r w:rsidR="00B130EB" w:rsidRPr="00EF60C0">
        <w:t xml:space="preserve">  </w:t>
      </w:r>
      <w:r w:rsidR="00FB6EDD">
        <w:t>U</w:t>
      </w:r>
      <w:r w:rsidR="005136A9" w:rsidRPr="00EF60C0">
        <w:t xml:space="preserve">nsolicited faxes often impose unwanted burdens on the called party, including costs of paper and ink, </w:t>
      </w:r>
      <w:r>
        <w:t xml:space="preserve">while </w:t>
      </w:r>
      <w:r w:rsidR="005136A9" w:rsidRPr="00EF60C0">
        <w:t>making fax machines unavailable for legitimate messages</w:t>
      </w:r>
      <w:r w:rsidR="004207C5">
        <w:t xml:space="preserve">.  </w:t>
      </w:r>
      <w:r w:rsidR="005136A9" w:rsidRPr="00EF60C0">
        <w:t>Section 227 of the Act makes it “unlawful for any person within the United States, or any person outside the United States if the recipient is within the United States . . . to use any telephone facsimile machine, computer, or other device to send, to a telephone facsimile machine, an unsolicited advertisement</w:t>
      </w:r>
      <w:r w:rsidR="00E7142C">
        <w:t> . . . </w:t>
      </w:r>
      <w:r w:rsidR="00FB6EDD">
        <w:t>.</w:t>
      </w:r>
      <w:r w:rsidR="00FB6EDD">
        <w:rPr>
          <w:color w:val="000000"/>
        </w:rPr>
        <w:t>”</w:t>
      </w:r>
      <w:r w:rsidR="005136A9" w:rsidRPr="00EF60C0">
        <w:rPr>
          <w:color w:val="000000"/>
          <w:vertAlign w:val="superscript"/>
        </w:rPr>
        <w:footnoteReference w:id="5"/>
      </w:r>
      <w:r w:rsidR="00D325B6">
        <w:rPr>
          <w:color w:val="000000"/>
        </w:rPr>
        <w:t xml:space="preserve">  </w:t>
      </w:r>
      <w:r w:rsidR="006B6CAD">
        <w:rPr>
          <w:color w:val="000000"/>
        </w:rPr>
        <w:t xml:space="preserve">       </w:t>
      </w:r>
    </w:p>
    <w:p w:rsidR="00554BB2" w:rsidRDefault="00220B10" w:rsidP="00570420">
      <w:pPr>
        <w:pStyle w:val="ParaNum"/>
        <w:widowControl/>
        <w:tabs>
          <w:tab w:val="clear" w:pos="1080"/>
          <w:tab w:val="num" w:pos="1440"/>
        </w:tabs>
        <w:jc w:val="left"/>
      </w:pPr>
      <w:r>
        <w:lastRenderedPageBreak/>
        <w:t>Pursuant to S</w:t>
      </w:r>
      <w:r w:rsidR="009A1729">
        <w:t xml:space="preserve">ection 503(b)(5) of the </w:t>
      </w:r>
      <w:r w:rsidR="009A1729" w:rsidRPr="00615172">
        <w:t>Act</w:t>
      </w:r>
      <w:r w:rsidR="009A1729" w:rsidRPr="00A40743">
        <w:t>,</w:t>
      </w:r>
      <w:r w:rsidR="009A1729">
        <w:rPr>
          <w:rStyle w:val="FootnoteReference"/>
          <w:color w:val="000000"/>
          <w:szCs w:val="22"/>
        </w:rPr>
        <w:footnoteReference w:id="6"/>
      </w:r>
      <w:r w:rsidR="009A1729">
        <w:rPr>
          <w:color w:val="000000"/>
          <w:szCs w:val="22"/>
        </w:rPr>
        <w:t xml:space="preserve"> </w:t>
      </w:r>
      <w:r w:rsidR="00654CE0">
        <w:rPr>
          <w:color w:val="000000"/>
        </w:rPr>
        <w:t>the</w:t>
      </w:r>
      <w:r w:rsidR="00615172">
        <w:rPr>
          <w:color w:val="000000"/>
        </w:rPr>
        <w:t xml:space="preserve"> </w:t>
      </w:r>
      <w:r w:rsidR="00654CE0">
        <w:rPr>
          <w:color w:val="000000"/>
        </w:rPr>
        <w:t xml:space="preserve">Enforcement Bureau </w:t>
      </w:r>
      <w:r w:rsidR="00883170">
        <w:rPr>
          <w:color w:val="000000"/>
        </w:rPr>
        <w:t>(</w:t>
      </w:r>
      <w:r w:rsidR="005136A9" w:rsidRPr="000D0AAE">
        <w:t>Bureau</w:t>
      </w:r>
      <w:r w:rsidR="00883170">
        <w:t>)</w:t>
      </w:r>
      <w:r w:rsidR="005136A9" w:rsidRPr="000D0AAE">
        <w:t xml:space="preserve"> issued a </w:t>
      </w:r>
      <w:r w:rsidR="005136A9">
        <w:t xml:space="preserve">junk fax </w:t>
      </w:r>
      <w:r w:rsidR="005136A9" w:rsidRPr="000D0AAE">
        <w:t>citation</w:t>
      </w:r>
      <w:r w:rsidR="005136A9" w:rsidRPr="000D0AAE">
        <w:rPr>
          <w:rStyle w:val="FootnoteReference"/>
          <w:color w:val="000000"/>
          <w:szCs w:val="22"/>
        </w:rPr>
        <w:footnoteReference w:id="7"/>
      </w:r>
      <w:r w:rsidR="005136A9" w:rsidRPr="000D0AAE">
        <w:t xml:space="preserve"> to</w:t>
      </w:r>
      <w:r w:rsidR="005136A9">
        <w:t xml:space="preserve"> </w:t>
      </w:r>
      <w:r w:rsidR="00D3048C">
        <w:t>The Street Map Company (</w:t>
      </w:r>
      <w:r w:rsidR="002D7F50">
        <w:t>Street Map</w:t>
      </w:r>
      <w:r w:rsidR="00D3048C">
        <w:t>)</w:t>
      </w:r>
      <w:r w:rsidR="00C07EC7">
        <w:t xml:space="preserve"> </w:t>
      </w:r>
      <w:r w:rsidR="00E56A8A">
        <w:t xml:space="preserve">and Mr. Keane </w:t>
      </w:r>
      <w:r w:rsidR="009A1729">
        <w:t xml:space="preserve">on </w:t>
      </w:r>
      <w:r w:rsidR="002D7F50">
        <w:t>February 5, 2008</w:t>
      </w:r>
      <w:r w:rsidR="009A1729">
        <w:t xml:space="preserve">, </w:t>
      </w:r>
      <w:r w:rsidR="005136A9">
        <w:t>in response to consumer complaints alleging</w:t>
      </w:r>
      <w:r w:rsidR="00DC6DF8">
        <w:t xml:space="preserve"> t</w:t>
      </w:r>
      <w:r w:rsidR="005136A9">
        <w:t xml:space="preserve">hat </w:t>
      </w:r>
      <w:r w:rsidR="002D7F50">
        <w:t xml:space="preserve">Street Map </w:t>
      </w:r>
      <w:r w:rsidR="005136A9">
        <w:t>had faxed unsolicited adv</w:t>
      </w:r>
      <w:r w:rsidR="009A1729">
        <w:t xml:space="preserve">ertisements.  </w:t>
      </w:r>
      <w:r w:rsidR="00E56A8A">
        <w:t>The Bureau</w:t>
      </w:r>
      <w:r w:rsidR="00C07EC7">
        <w:t xml:space="preserve"> </w:t>
      </w:r>
      <w:r w:rsidR="002D7F50">
        <w:t xml:space="preserve">did not </w:t>
      </w:r>
      <w:r w:rsidR="00E56A8A">
        <w:t>receive any response</w:t>
      </w:r>
      <w:r w:rsidR="002D7F50">
        <w:t xml:space="preserve"> to this citation. </w:t>
      </w:r>
    </w:p>
    <w:p w:rsidR="00D851EA" w:rsidRPr="00ED7C77" w:rsidRDefault="009A1729" w:rsidP="00570420">
      <w:pPr>
        <w:pStyle w:val="ParaNum"/>
        <w:widowControl/>
        <w:tabs>
          <w:tab w:val="clear" w:pos="1080"/>
          <w:tab w:val="num" w:pos="1440"/>
        </w:tabs>
        <w:jc w:val="left"/>
      </w:pPr>
      <w:r>
        <w:t xml:space="preserve">Thereafter, </w:t>
      </w:r>
      <w:r w:rsidR="006E6B36">
        <w:t xml:space="preserve">from December 2009 through </w:t>
      </w:r>
      <w:r w:rsidR="00D03FEF">
        <w:t>September 2012,</w:t>
      </w:r>
      <w:r w:rsidR="006E6B36">
        <w:t xml:space="preserve"> </w:t>
      </w:r>
      <w:r w:rsidR="005136A9" w:rsidRPr="000D0AAE">
        <w:t xml:space="preserve">the Commission received </w:t>
      </w:r>
      <w:r w:rsidR="002D7F50">
        <w:t xml:space="preserve">numerous </w:t>
      </w:r>
      <w:r>
        <w:t xml:space="preserve">additional </w:t>
      </w:r>
      <w:r w:rsidR="00871A53">
        <w:t>complaint</w:t>
      </w:r>
      <w:r>
        <w:t>s</w:t>
      </w:r>
      <w:r w:rsidR="005136A9">
        <w:t xml:space="preserve"> from consumer</w:t>
      </w:r>
      <w:r>
        <w:t>s</w:t>
      </w:r>
      <w:r w:rsidR="005136A9">
        <w:t xml:space="preserve"> alleging that </w:t>
      </w:r>
      <w:r w:rsidR="002D7F50">
        <w:t xml:space="preserve">Street Map </w:t>
      </w:r>
      <w:r w:rsidR="005136A9">
        <w:t>had faxed</w:t>
      </w:r>
      <w:r w:rsidR="00871A53">
        <w:t xml:space="preserve"> </w:t>
      </w:r>
      <w:r w:rsidR="009729DE">
        <w:t xml:space="preserve">them </w:t>
      </w:r>
      <w:r w:rsidR="00871A53">
        <w:t>unsolicited advertisement</w:t>
      </w:r>
      <w:r>
        <w:t>s</w:t>
      </w:r>
      <w:r w:rsidR="005136A9">
        <w:t>.</w:t>
      </w:r>
      <w:r w:rsidR="007B10FD">
        <w:t xml:space="preserve">  </w:t>
      </w:r>
      <w:r w:rsidR="00E87F02">
        <w:t>Based on these</w:t>
      </w:r>
      <w:r w:rsidR="00013534">
        <w:t xml:space="preserve"> violation</w:t>
      </w:r>
      <w:r>
        <w:t>s</w:t>
      </w:r>
      <w:r w:rsidR="005136A9" w:rsidRPr="000D0AAE">
        <w:t xml:space="preserve">, which occurred after the </w:t>
      </w:r>
      <w:r w:rsidR="000D1AFD">
        <w:t>Bureau’s</w:t>
      </w:r>
      <w:r w:rsidR="005136A9">
        <w:t xml:space="preserve"> </w:t>
      </w:r>
      <w:r w:rsidR="005136A9" w:rsidRPr="000D0AAE">
        <w:t xml:space="preserve">citation, </w:t>
      </w:r>
      <w:r w:rsidR="00E87F02">
        <w:t>the Commission issued</w:t>
      </w:r>
      <w:r w:rsidR="005136A9" w:rsidRPr="000D0AAE">
        <w:t xml:space="preserve"> </w:t>
      </w:r>
      <w:r>
        <w:t>t</w:t>
      </w:r>
      <w:r w:rsidR="00D03FEF">
        <w:t xml:space="preserve">hree </w:t>
      </w:r>
      <w:r w:rsidR="006E6B36" w:rsidRPr="00B30F4D">
        <w:t>N</w:t>
      </w:r>
      <w:r w:rsidR="002608AF" w:rsidRPr="00B30F4D">
        <w:t>otices of Apparent Liability for Forfeiture</w:t>
      </w:r>
      <w:r w:rsidR="002608AF">
        <w:rPr>
          <w:i/>
        </w:rPr>
        <w:t xml:space="preserve"> </w:t>
      </w:r>
      <w:r w:rsidR="002608AF">
        <w:rPr>
          <w:rStyle w:val="FootnoteReference"/>
          <w:color w:val="000000"/>
          <w:szCs w:val="22"/>
        </w:rPr>
        <w:footnoteReference w:id="8"/>
      </w:r>
      <w:r w:rsidR="006E6B36">
        <w:rPr>
          <w:i/>
        </w:rPr>
        <w:t xml:space="preserve"> </w:t>
      </w:r>
      <w:r>
        <w:t xml:space="preserve">against </w:t>
      </w:r>
      <w:r w:rsidR="002D7F50">
        <w:t>Street Map</w:t>
      </w:r>
      <w:r w:rsidR="00DA5AD5">
        <w:t xml:space="preserve"> and Mr. </w:t>
      </w:r>
      <w:r w:rsidR="00014053">
        <w:t>Keane</w:t>
      </w:r>
      <w:r w:rsidR="007274C3">
        <w:t xml:space="preserve">.  The Commission issued </w:t>
      </w:r>
      <w:r w:rsidR="00E87F02">
        <w:t xml:space="preserve">the first </w:t>
      </w:r>
      <w:r w:rsidR="007274C3" w:rsidRPr="00FC283D">
        <w:t>NAL</w:t>
      </w:r>
      <w:r w:rsidR="007274C3">
        <w:t xml:space="preserve"> </w:t>
      </w:r>
      <w:r w:rsidR="002D7F50">
        <w:t xml:space="preserve">on November </w:t>
      </w:r>
      <w:r w:rsidR="000F597B">
        <w:t>10</w:t>
      </w:r>
      <w:r w:rsidR="002D7F50">
        <w:t xml:space="preserve">, 2010 </w:t>
      </w:r>
      <w:r w:rsidR="007274C3">
        <w:t>for</w:t>
      </w:r>
      <w:r w:rsidR="002D7F50">
        <w:t xml:space="preserve"> $55,000, </w:t>
      </w:r>
      <w:r w:rsidR="00E87F02">
        <w:t>another</w:t>
      </w:r>
      <w:r w:rsidR="002D7F50">
        <w:t xml:space="preserve"> on June 1, 2011 </w:t>
      </w:r>
      <w:r w:rsidR="007274C3">
        <w:t>for</w:t>
      </w:r>
      <w:r w:rsidR="002D7F50">
        <w:t xml:space="preserve"> $315,500</w:t>
      </w:r>
      <w:r w:rsidR="00DA5AD5">
        <w:t xml:space="preserve">, </w:t>
      </w:r>
      <w:r w:rsidR="00D03FEF">
        <w:t xml:space="preserve">and the third on October 23, 2012 </w:t>
      </w:r>
      <w:r w:rsidR="007274C3">
        <w:t>for</w:t>
      </w:r>
      <w:r w:rsidR="00D03FEF">
        <w:t xml:space="preserve"> of $608,000.</w:t>
      </w:r>
      <w:bookmarkStart w:id="1" w:name="_Ref300761901"/>
      <w:r w:rsidR="00DA5AD5" w:rsidRPr="000D0AAE">
        <w:rPr>
          <w:rStyle w:val="FootnoteReference"/>
        </w:rPr>
        <w:footnoteReference w:id="9"/>
      </w:r>
      <w:bookmarkEnd w:id="1"/>
      <w:r w:rsidR="00DA5AD5">
        <w:t xml:space="preserve"> </w:t>
      </w:r>
      <w:r w:rsidR="00D03FEF">
        <w:t xml:space="preserve"> </w:t>
      </w:r>
      <w:r w:rsidR="00352CD0">
        <w:t xml:space="preserve">The </w:t>
      </w:r>
      <w:r w:rsidR="00352CD0" w:rsidRPr="00FC283D">
        <w:t>NALs</w:t>
      </w:r>
      <w:r w:rsidR="00352CD0">
        <w:rPr>
          <w:i/>
        </w:rPr>
        <w:t xml:space="preserve"> </w:t>
      </w:r>
      <w:r w:rsidR="00352CD0">
        <w:t>were served on Street Map to the attention of Mr. Kean</w:t>
      </w:r>
      <w:r w:rsidR="00481035">
        <w:t>e</w:t>
      </w:r>
      <w:r w:rsidR="00D03FEF">
        <w:t xml:space="preserve"> or directly to Mr. Keane</w:t>
      </w:r>
      <w:r w:rsidR="00DA5AD5">
        <w:t xml:space="preserve"> and </w:t>
      </w:r>
      <w:r w:rsidR="00352CD0">
        <w:t xml:space="preserve">gave </w:t>
      </w:r>
      <w:r w:rsidR="00D03FEF">
        <w:t xml:space="preserve">Mr. Keane </w:t>
      </w:r>
      <w:r w:rsidR="00352CD0">
        <w:t xml:space="preserve">30 days to pay </w:t>
      </w:r>
      <w:r w:rsidR="00DA5AD5">
        <w:t xml:space="preserve">each </w:t>
      </w:r>
      <w:r w:rsidR="00352CD0">
        <w:t xml:space="preserve">proposed forfeiture or file a written statement seeking </w:t>
      </w:r>
      <w:r w:rsidR="00DA5AD5">
        <w:t xml:space="preserve">a </w:t>
      </w:r>
      <w:r w:rsidR="00352CD0">
        <w:t>reduction or cancellation.</w:t>
      </w:r>
      <w:r w:rsidR="00352CD0">
        <w:rPr>
          <w:rStyle w:val="FootnoteReference"/>
        </w:rPr>
        <w:footnoteReference w:id="10"/>
      </w:r>
      <w:r w:rsidR="005747A8">
        <w:t xml:space="preserve">  </w:t>
      </w:r>
      <w:r w:rsidR="00E56A8A">
        <w:t xml:space="preserve">Although the Bureau confirmed through certified mail that the </w:t>
      </w:r>
      <w:r w:rsidR="000D1AFD">
        <w:t xml:space="preserve">respondents received the </w:t>
      </w:r>
      <w:r w:rsidR="00E56A8A" w:rsidRPr="00FC283D">
        <w:t>NALs</w:t>
      </w:r>
      <w:r w:rsidR="00E56A8A">
        <w:t>, the forfeiture</w:t>
      </w:r>
      <w:r w:rsidR="00DA5AD5">
        <w:t>s</w:t>
      </w:r>
      <w:r w:rsidR="00E56A8A">
        <w:t xml:space="preserve"> ha</w:t>
      </w:r>
      <w:r w:rsidR="00DA5AD5">
        <w:t>ve</w:t>
      </w:r>
      <w:r w:rsidR="00E56A8A">
        <w:t xml:space="preserve"> not been paid, and the Commission has not received any</w:t>
      </w:r>
      <w:r w:rsidR="004E6AD2">
        <w:t xml:space="preserve"> responsive pleading.</w:t>
      </w:r>
      <w:r w:rsidR="00237896" w:rsidRPr="009729DE">
        <w:rPr>
          <w:rStyle w:val="FootnoteReference"/>
        </w:rPr>
        <w:footnoteReference w:id="11"/>
      </w:r>
    </w:p>
    <w:p w:rsidR="00C3759D" w:rsidRPr="00C3759D" w:rsidRDefault="00FB7A48" w:rsidP="00570420">
      <w:pPr>
        <w:pStyle w:val="Heading1"/>
        <w:widowControl/>
        <w:tabs>
          <w:tab w:val="left" w:pos="720"/>
        </w:tabs>
        <w:spacing w:after="120"/>
        <w:jc w:val="left"/>
      </w:pPr>
      <w:r w:rsidRPr="000D0AAE">
        <w:t xml:space="preserve">discussion   </w:t>
      </w:r>
    </w:p>
    <w:p w:rsidR="007B41D5" w:rsidRDefault="00411CAA" w:rsidP="00570420">
      <w:pPr>
        <w:pStyle w:val="ParaNum"/>
        <w:widowControl/>
        <w:tabs>
          <w:tab w:val="clear" w:pos="1080"/>
          <w:tab w:val="num" w:pos="1440"/>
        </w:tabs>
        <w:jc w:val="left"/>
      </w:pPr>
      <w:r w:rsidRPr="00F73C6E">
        <w:t xml:space="preserve">Section 503(b)(2)(D) authorizes the Commission to assess a maximum forfeiture of $16,000 per violation against an entity such as </w:t>
      </w:r>
      <w:r w:rsidR="005934FA">
        <w:t xml:space="preserve">Patrick Keane </w:t>
      </w:r>
      <w:r w:rsidR="003E2615" w:rsidRPr="00BB1AD4">
        <w:rPr>
          <w:spacing w:val="-2"/>
          <w:szCs w:val="22"/>
        </w:rPr>
        <w:t>a/k/a Street Map</w:t>
      </w:r>
      <w:r w:rsidR="003E2615" w:rsidRPr="0091672E">
        <w:rPr>
          <w:i/>
          <w:spacing w:val="-2"/>
          <w:szCs w:val="22"/>
        </w:rPr>
        <w:t>, et</w:t>
      </w:r>
      <w:r w:rsidR="003E2615">
        <w:rPr>
          <w:i/>
          <w:spacing w:val="-2"/>
          <w:szCs w:val="22"/>
        </w:rPr>
        <w:t>.</w:t>
      </w:r>
      <w:r w:rsidR="003E2615" w:rsidRPr="0091672E">
        <w:rPr>
          <w:i/>
          <w:spacing w:val="-2"/>
          <w:szCs w:val="22"/>
        </w:rPr>
        <w:t>al</w:t>
      </w:r>
      <w:r w:rsidR="003E2615">
        <w:rPr>
          <w:i/>
          <w:spacing w:val="-2"/>
          <w:szCs w:val="22"/>
        </w:rPr>
        <w:t>.</w:t>
      </w:r>
      <w:r>
        <w:rPr>
          <w:rStyle w:val="FootnoteReference"/>
        </w:rPr>
        <w:footnoteReference w:id="12"/>
      </w:r>
      <w:r w:rsidRPr="00F73C6E">
        <w:t xml:space="preserve">  In exercising such </w:t>
      </w:r>
      <w:r w:rsidRPr="00F73C6E">
        <w:lastRenderedPageBreak/>
        <w:t xml:space="preserve">authority, the Commission must consider </w:t>
      </w:r>
      <w:r w:rsidR="002F1C51">
        <w:t>“the nature, circumstances, extent, and gravity of the violation and, with respect to the violator, the degree of culpability, any history of prior offenses, ability to pay, and such other matters as justice may require.”</w:t>
      </w:r>
      <w:r w:rsidR="002F1C51">
        <w:rPr>
          <w:rStyle w:val="FootnoteReference"/>
          <w:color w:val="000000"/>
          <w:szCs w:val="22"/>
        </w:rPr>
        <w:footnoteReference w:id="13"/>
      </w:r>
      <w:r w:rsidR="002F1C51">
        <w:t xml:space="preserve">  </w:t>
      </w:r>
    </w:p>
    <w:p w:rsidR="00ED7C77" w:rsidRDefault="00926B75" w:rsidP="00570420">
      <w:pPr>
        <w:pStyle w:val="ParaNum"/>
        <w:widowControl/>
        <w:tabs>
          <w:tab w:val="clear" w:pos="1080"/>
          <w:tab w:val="num" w:pos="1440"/>
        </w:tabs>
        <w:jc w:val="left"/>
      </w:pPr>
      <w:r>
        <w:t xml:space="preserve">We find that, for the reasons explained in the </w:t>
      </w:r>
      <w:r>
        <w:rPr>
          <w:i/>
        </w:rPr>
        <w:t>NAL</w:t>
      </w:r>
      <w:r>
        <w:t>s, Patrick Keane</w:t>
      </w:r>
      <w:r w:rsidRPr="00BB1AD4">
        <w:rPr>
          <w:spacing w:val="-2"/>
          <w:szCs w:val="22"/>
        </w:rPr>
        <w:t xml:space="preserve"> a/k/a Street Map</w:t>
      </w:r>
      <w:r w:rsidRPr="00887F2D">
        <w:rPr>
          <w:spacing w:val="-2"/>
          <w:szCs w:val="22"/>
        </w:rPr>
        <w:t xml:space="preserve">, </w:t>
      </w:r>
      <w:r w:rsidRPr="0091672E">
        <w:rPr>
          <w:i/>
          <w:spacing w:val="-2"/>
          <w:szCs w:val="22"/>
        </w:rPr>
        <w:t>et</w:t>
      </w:r>
      <w:r>
        <w:rPr>
          <w:i/>
          <w:spacing w:val="-2"/>
          <w:szCs w:val="22"/>
        </w:rPr>
        <w:t>.</w:t>
      </w:r>
      <w:r w:rsidRPr="0091672E">
        <w:rPr>
          <w:i/>
          <w:spacing w:val="-2"/>
          <w:szCs w:val="22"/>
        </w:rPr>
        <w:t>al</w:t>
      </w:r>
      <w:r>
        <w:rPr>
          <w:i/>
          <w:spacing w:val="-2"/>
          <w:szCs w:val="22"/>
        </w:rPr>
        <w:t>.</w:t>
      </w:r>
      <w:r>
        <w:rPr>
          <w:spacing w:val="-2"/>
          <w:szCs w:val="22"/>
        </w:rPr>
        <w:t xml:space="preserve">, </w:t>
      </w:r>
      <w:r>
        <w:t>willfully and repeatedly violated Section 227</w:t>
      </w:r>
      <w:r w:rsidRPr="00EF60C0">
        <w:t xml:space="preserve">(b)(1)(C) </w:t>
      </w:r>
      <w:r>
        <w:t xml:space="preserve">of the </w:t>
      </w:r>
      <w:r w:rsidRPr="00615172">
        <w:t>Act</w:t>
      </w:r>
      <w:r>
        <w:rPr>
          <w:vertAlign w:val="superscript"/>
        </w:rPr>
        <w:footnoteReference w:id="14"/>
      </w:r>
      <w:r>
        <w:t xml:space="preserve"> and Section 64.1200(a)(4) of the Commission’s rules,</w:t>
      </w:r>
      <w:r>
        <w:rPr>
          <w:vertAlign w:val="superscript"/>
        </w:rPr>
        <w:footnoteReference w:id="15"/>
      </w:r>
      <w:r>
        <w:t xml:space="preserve"> by delivering 100 junk faxes to the telephone facsimile machines of 90 consumers.  Because </w:t>
      </w:r>
      <w:r w:rsidR="00014053">
        <w:t>Mr. Keane</w:t>
      </w:r>
      <w:r w:rsidR="003B4846">
        <w:t xml:space="preserve">, operating as </w:t>
      </w:r>
      <w:r w:rsidR="003B4846" w:rsidRPr="00652F2C">
        <w:rPr>
          <w:szCs w:val="22"/>
        </w:rPr>
        <w:t>The Street Map Co.,</w:t>
      </w:r>
      <w:r w:rsidR="003B4846" w:rsidRPr="00BB1AD4">
        <w:rPr>
          <w:i/>
          <w:szCs w:val="22"/>
        </w:rPr>
        <w:t xml:space="preserve"> </w:t>
      </w:r>
      <w:r w:rsidR="003B4846">
        <w:rPr>
          <w:i/>
          <w:szCs w:val="22"/>
        </w:rPr>
        <w:t>et.al.</w:t>
      </w:r>
      <w:r w:rsidR="003B4846" w:rsidRPr="00A40743">
        <w:rPr>
          <w:szCs w:val="22"/>
        </w:rPr>
        <w:t>,</w:t>
      </w:r>
      <w:r w:rsidR="003B4846">
        <w:rPr>
          <w:i/>
          <w:szCs w:val="22"/>
        </w:rPr>
        <w:t xml:space="preserve"> </w:t>
      </w:r>
      <w:r w:rsidR="002F1C51" w:rsidRPr="002F1C51">
        <w:t xml:space="preserve">failed </w:t>
      </w:r>
      <w:r w:rsidR="00014053">
        <w:t xml:space="preserve">to </w:t>
      </w:r>
      <w:r w:rsidR="002F1C51" w:rsidRPr="002F1C51">
        <w:t xml:space="preserve">answer </w:t>
      </w:r>
      <w:r w:rsidR="00FD51C9">
        <w:t xml:space="preserve">any of our three </w:t>
      </w:r>
      <w:r w:rsidR="002F1C51" w:rsidRPr="00FC283D">
        <w:t>NALs</w:t>
      </w:r>
      <w:r>
        <w:t>,</w:t>
      </w:r>
      <w:r w:rsidR="002F1C51" w:rsidRPr="002F1C51">
        <w:t xml:space="preserve"> </w:t>
      </w:r>
      <w:r>
        <w:t>w</w:t>
      </w:r>
      <w:r w:rsidR="002F1C51" w:rsidRPr="002F1C51">
        <w:t xml:space="preserve">e are not aware of any mitigating circumstances to warrant a cancellation or reduction of the forfeiture penalty.  </w:t>
      </w:r>
      <w:r w:rsidR="00BA676C">
        <w:t>In imposing the penalty, w</w:t>
      </w:r>
      <w:r w:rsidR="00696348">
        <w:t xml:space="preserve">e </w:t>
      </w:r>
      <w:r w:rsidR="00BA676C">
        <w:t>emphasize</w:t>
      </w:r>
      <w:r w:rsidR="007B41D5">
        <w:t xml:space="preserve"> </w:t>
      </w:r>
      <w:r w:rsidR="00BA676C">
        <w:t>that it</w:t>
      </w:r>
      <w:r w:rsidR="00696348">
        <w:t xml:space="preserve"> </w:t>
      </w:r>
      <w:r w:rsidR="007B41D5">
        <w:t xml:space="preserve">attaches </w:t>
      </w:r>
      <w:r w:rsidR="00BA676C">
        <w:t xml:space="preserve">to </w:t>
      </w:r>
      <w:r w:rsidR="00696348">
        <w:t>Mr. Kean</w:t>
      </w:r>
      <w:r w:rsidR="00481035">
        <w:t>e</w:t>
      </w:r>
      <w:r w:rsidR="00696348">
        <w:t xml:space="preserve"> </w:t>
      </w:r>
      <w:r w:rsidR="007B41D5">
        <w:t>individually</w:t>
      </w:r>
      <w:r w:rsidR="00AD4B70">
        <w:t xml:space="preserve"> as well as to</w:t>
      </w:r>
      <w:r w:rsidR="00ED7C77">
        <w:t xml:space="preserve"> Street Map</w:t>
      </w:r>
      <w:r w:rsidR="00E82989">
        <w:t>, and any other name through which he does business</w:t>
      </w:r>
      <w:r w:rsidR="00ED7C77">
        <w:t>.</w:t>
      </w:r>
      <w:r w:rsidR="00014053">
        <w:rPr>
          <w:rStyle w:val="FootnoteReference"/>
        </w:rPr>
        <w:footnoteReference w:id="16"/>
      </w:r>
      <w:r w:rsidR="00ED7C77">
        <w:t xml:space="preserve"> </w:t>
      </w:r>
    </w:p>
    <w:p w:rsidR="00D025D7" w:rsidRPr="00D025D7" w:rsidRDefault="00570420" w:rsidP="00570420">
      <w:pPr>
        <w:pStyle w:val="ParaNum"/>
        <w:widowControl/>
        <w:tabs>
          <w:tab w:val="clear" w:pos="1080"/>
          <w:tab w:val="num" w:pos="1440"/>
        </w:tabs>
        <w:jc w:val="left"/>
      </w:pPr>
      <w:r>
        <w:t>Because</w:t>
      </w:r>
      <w:r w:rsidR="00D025D7" w:rsidRPr="00D025D7">
        <w:t xml:space="preserve"> we have no evidence to suggest that the proposed forfeitures should be reduced or cancelled, we her</w:t>
      </w:r>
      <w:r w:rsidR="00173EF3">
        <w:t>e</w:t>
      </w:r>
      <w:r w:rsidR="00D025D7" w:rsidRPr="00D025D7">
        <w:t>by impose a total forfeiture of $</w:t>
      </w:r>
      <w:r w:rsidR="00FD51C9">
        <w:t>978,500</w:t>
      </w:r>
      <w:r w:rsidR="00D025D7" w:rsidRPr="00D025D7">
        <w:t xml:space="preserve"> </w:t>
      </w:r>
      <w:r w:rsidR="004F372C">
        <w:t xml:space="preserve">against Mr. </w:t>
      </w:r>
      <w:r w:rsidR="00C07EC7">
        <w:t>Keane</w:t>
      </w:r>
      <w:r w:rsidR="009E1412">
        <w:t xml:space="preserve"> operating as </w:t>
      </w:r>
      <w:r w:rsidR="009E1412" w:rsidRPr="00B30F4D">
        <w:rPr>
          <w:szCs w:val="22"/>
        </w:rPr>
        <w:t>The Street Map Co.,</w:t>
      </w:r>
      <w:r w:rsidR="009E1412" w:rsidRPr="00BB1AD4">
        <w:rPr>
          <w:i/>
          <w:szCs w:val="22"/>
        </w:rPr>
        <w:t xml:space="preserve"> </w:t>
      </w:r>
      <w:r w:rsidR="009E1412">
        <w:rPr>
          <w:i/>
          <w:szCs w:val="22"/>
        </w:rPr>
        <w:t>et.al.</w:t>
      </w:r>
      <w:r w:rsidR="00926B75">
        <w:rPr>
          <w:szCs w:val="22"/>
        </w:rPr>
        <w:t>,</w:t>
      </w:r>
      <w:r w:rsidR="009E1412" w:rsidRPr="00BB1AD4">
        <w:rPr>
          <w:i/>
          <w:szCs w:val="22"/>
        </w:rPr>
        <w:t xml:space="preserve"> </w:t>
      </w:r>
      <w:r w:rsidR="004F372C">
        <w:t xml:space="preserve">for </w:t>
      </w:r>
      <w:r w:rsidR="00D025D7" w:rsidRPr="00D025D7">
        <w:t xml:space="preserve">willful and repeated violations of </w:t>
      </w:r>
      <w:r w:rsidR="004F372C">
        <w:t>Section 227(b)(1)(C) of the Act and S</w:t>
      </w:r>
      <w:r w:rsidR="00D025D7">
        <w:t>ection 64.1200(a)(</w:t>
      </w:r>
      <w:r w:rsidR="00004CDD">
        <w:t>4</w:t>
      </w:r>
      <w:r w:rsidR="00D025D7">
        <w:t xml:space="preserve">) of the Commission’s rules, as set forth in the </w:t>
      </w:r>
      <w:r w:rsidR="00D025D7" w:rsidRPr="004F372C">
        <w:rPr>
          <w:i/>
        </w:rPr>
        <w:t>NALs.</w:t>
      </w:r>
      <w:r w:rsidR="00D025D7">
        <w:t xml:space="preserve"> </w:t>
      </w:r>
    </w:p>
    <w:p w:rsidR="002B26AA" w:rsidRDefault="002B26AA" w:rsidP="00570420">
      <w:pPr>
        <w:pStyle w:val="Heading1"/>
        <w:widowControl/>
        <w:jc w:val="left"/>
      </w:pPr>
      <w:r>
        <w:t>ordering clauses</w:t>
      </w:r>
    </w:p>
    <w:p w:rsidR="002B26AA" w:rsidRDefault="002B26AA" w:rsidP="00570420">
      <w:pPr>
        <w:pStyle w:val="ParaNum"/>
        <w:widowControl/>
        <w:tabs>
          <w:tab w:val="clear" w:pos="1080"/>
          <w:tab w:val="num" w:pos="1440"/>
        </w:tabs>
        <w:jc w:val="left"/>
        <w:rPr>
          <w:b/>
          <w:szCs w:val="22"/>
        </w:rPr>
      </w:pPr>
      <w:r>
        <w:t xml:space="preserve">Accordingly, </w:t>
      </w:r>
      <w:r w:rsidRPr="0007037A">
        <w:rPr>
          <w:b/>
        </w:rPr>
        <w:t>IT IS ORDERED</w:t>
      </w:r>
      <w:r w:rsidR="00DC4D0D">
        <w:t>, pursuant to S</w:t>
      </w:r>
      <w:r>
        <w:t>ection 503(b) of the Communications Act of 1934, as ame</w:t>
      </w:r>
      <w:r w:rsidR="00DC4D0D">
        <w:t>nded, 47 U.S.C. § 503(b), and S</w:t>
      </w:r>
      <w:r>
        <w:t>ection 1.80(f)(4) of the Commission’s rules, 47 C.F.R. §</w:t>
      </w:r>
      <w:r w:rsidR="009C2026">
        <w:t> </w:t>
      </w:r>
      <w:r>
        <w:t xml:space="preserve">1.80(f)(4), that </w:t>
      </w:r>
      <w:r w:rsidR="00C07EC7">
        <w:t xml:space="preserve">Patrick Keane </w:t>
      </w:r>
      <w:r w:rsidR="009E1412">
        <w:t xml:space="preserve">operating as </w:t>
      </w:r>
      <w:r w:rsidR="009E1412" w:rsidRPr="00652F2C">
        <w:rPr>
          <w:szCs w:val="22"/>
        </w:rPr>
        <w:t>The Street Map Co.,</w:t>
      </w:r>
      <w:r w:rsidR="009E1412" w:rsidRPr="00BB1AD4">
        <w:rPr>
          <w:i/>
          <w:szCs w:val="22"/>
        </w:rPr>
        <w:t xml:space="preserve"> </w:t>
      </w:r>
      <w:r w:rsidR="009E1412">
        <w:rPr>
          <w:i/>
          <w:szCs w:val="22"/>
        </w:rPr>
        <w:t>et.al.</w:t>
      </w:r>
      <w:r w:rsidR="009E1412" w:rsidRPr="00BB1AD4">
        <w:rPr>
          <w:i/>
          <w:szCs w:val="22"/>
        </w:rPr>
        <w:t xml:space="preserve"> </w:t>
      </w:r>
      <w:r w:rsidR="009E1412">
        <w:rPr>
          <w:b/>
        </w:rPr>
        <w:t xml:space="preserve">IS </w:t>
      </w:r>
      <w:r w:rsidRPr="0007037A">
        <w:rPr>
          <w:b/>
        </w:rPr>
        <w:t>LIABLE FOR A MONETARY FORFEITURE</w:t>
      </w:r>
      <w:r>
        <w:t xml:space="preserve"> to the United States Government in the sum of $</w:t>
      </w:r>
      <w:r w:rsidR="006807A6">
        <w:t>978,500</w:t>
      </w:r>
      <w:r>
        <w:t xml:space="preserve"> for will</w:t>
      </w:r>
      <w:r w:rsidR="00DC4D0D">
        <w:t>fully and repeatedly violating S</w:t>
      </w:r>
      <w:r>
        <w:t>ection 227(b)(1)(</w:t>
      </w:r>
      <w:r w:rsidR="00AD48E3">
        <w:t>C</w:t>
      </w:r>
      <w:r>
        <w:t>) of the Communications Act, 47 U.S.C. § 227(b)(1)(</w:t>
      </w:r>
      <w:r w:rsidR="00AD48E3">
        <w:t>C</w:t>
      </w:r>
      <w:r>
        <w:t xml:space="preserve">), </w:t>
      </w:r>
      <w:r w:rsidR="00941339">
        <w:t xml:space="preserve">and </w:t>
      </w:r>
      <w:r w:rsidR="00DC4D0D">
        <w:t>S</w:t>
      </w:r>
      <w:r>
        <w:t>ection 64.1200(a)(</w:t>
      </w:r>
      <w:r w:rsidR="00004CDD">
        <w:t>4</w:t>
      </w:r>
      <w:r>
        <w:t>) of the Commission’s</w:t>
      </w:r>
      <w:r w:rsidR="00004CDD">
        <w:t xml:space="preserve"> rules, 47 C.F.R. § 64.1200(a)(4</w:t>
      </w:r>
      <w:r>
        <w:t>).</w:t>
      </w:r>
    </w:p>
    <w:p w:rsidR="00E14C3E" w:rsidRDefault="002B26AA" w:rsidP="000A2BE0">
      <w:pPr>
        <w:pStyle w:val="ParaNum"/>
        <w:tabs>
          <w:tab w:val="clear" w:pos="1080"/>
          <w:tab w:val="num" w:pos="1440"/>
        </w:tabs>
        <w:spacing w:after="120"/>
        <w:jc w:val="left"/>
        <w:rPr>
          <w:rFonts w:eastAsia="MS Mincho" w:cs="Arial"/>
        </w:rPr>
      </w:pPr>
      <w:r>
        <w:t xml:space="preserve">Payment of the forfeiture shall be made in the manner provided for in </w:t>
      </w:r>
      <w:r w:rsidR="008822B6">
        <w:t>S</w:t>
      </w:r>
      <w:r>
        <w:t xml:space="preserve">ection 1.80 of the Commission’s rules within thirty (30) </w:t>
      </w:r>
      <w:r w:rsidR="00570420">
        <w:t xml:space="preserve">calendar </w:t>
      </w:r>
      <w:r>
        <w:t>days of the release of this Order.  If the forfeiture is not paid within the period specified, the case may be referred to the Department of Just</w:t>
      </w:r>
      <w:r w:rsidR="00DC4D0D">
        <w:t xml:space="preserve">ice for </w:t>
      </w:r>
      <w:r w:rsidR="00570420">
        <w:t>enforcement</w:t>
      </w:r>
      <w:r w:rsidR="00DC4D0D">
        <w:t xml:space="preserve"> pursuant to S</w:t>
      </w:r>
      <w:r>
        <w:t xml:space="preserve">ection 504(a) of the </w:t>
      </w:r>
      <w:r w:rsidRPr="00615172">
        <w:t>Act</w:t>
      </w:r>
      <w:r w:rsidR="0083110D">
        <w:rPr>
          <w:i/>
        </w:rPr>
        <w:t xml:space="preserve">, </w:t>
      </w:r>
      <w:r w:rsidR="0083110D">
        <w:t xml:space="preserve">47 U.S.C. § 504(a).  </w:t>
      </w:r>
      <w:r w:rsidR="00E11A77">
        <w:t xml:space="preserve">Patrick </w:t>
      </w:r>
      <w:r w:rsidR="008822B6">
        <w:t>Keane</w:t>
      </w:r>
      <w:r w:rsidR="00C44D60">
        <w:t xml:space="preserve"> individually or together with The Street Map Company</w:t>
      </w:r>
      <w:r w:rsidR="00E540B3">
        <w:t xml:space="preserve"> </w:t>
      </w:r>
      <w:r w:rsidR="00E60DF1">
        <w:t>sha</w:t>
      </w:r>
      <w:r>
        <w:t xml:space="preserve">ll send electronic notification </w:t>
      </w:r>
      <w:r w:rsidR="00570420">
        <w:t xml:space="preserve">to </w:t>
      </w:r>
      <w:hyperlink r:id="rId8" w:history="1">
        <w:r w:rsidR="00570420" w:rsidRPr="00F745E7">
          <w:rPr>
            <w:szCs w:val="22"/>
          </w:rPr>
          <w:t>Johnny.Drake@fcc.gov</w:t>
        </w:r>
      </w:hyperlink>
      <w:r w:rsidR="00AC20B7">
        <w:rPr>
          <w:szCs w:val="22"/>
        </w:rPr>
        <w:t xml:space="preserve"> </w:t>
      </w:r>
      <w:r w:rsidR="00DE464A">
        <w:rPr>
          <w:szCs w:val="22"/>
        </w:rPr>
        <w:t xml:space="preserve">, </w:t>
      </w:r>
      <w:hyperlink r:id="rId9" w:history="1">
        <w:r w:rsidR="001E2C81" w:rsidRPr="0090576A">
          <w:rPr>
            <w:szCs w:val="22"/>
          </w:rPr>
          <w:t>Daniel.Grosh@fcc.gov</w:t>
        </w:r>
      </w:hyperlink>
      <w:r w:rsidR="00570420">
        <w:rPr>
          <w:szCs w:val="22"/>
        </w:rPr>
        <w:t xml:space="preserve"> </w:t>
      </w:r>
      <w:r w:rsidR="00DE464A">
        <w:rPr>
          <w:rFonts w:eastAsia="MS Mincho" w:cs="Arial"/>
        </w:rPr>
        <w:t xml:space="preserve">and Phillip.Priesman@fcc.gov </w:t>
      </w:r>
      <w:r>
        <w:t>on the date said payment is made</w:t>
      </w:r>
      <w:r w:rsidR="00470D9A">
        <w:rPr>
          <w:szCs w:val="22"/>
        </w:rPr>
        <w:t xml:space="preserve">. </w:t>
      </w:r>
      <w:r w:rsidR="000A2BE0" w:rsidRPr="00626BA2">
        <w:rPr>
          <w:rFonts w:eastAsia="MS Mincho" w:cs="Arial"/>
        </w:rPr>
        <w:t>  </w:t>
      </w:r>
    </w:p>
    <w:p w:rsidR="000A2BE0" w:rsidRPr="00626BA2" w:rsidRDefault="00E14C3E" w:rsidP="000A2BE0">
      <w:pPr>
        <w:pStyle w:val="ParaNum"/>
        <w:tabs>
          <w:tab w:val="clear" w:pos="1080"/>
          <w:tab w:val="num" w:pos="1440"/>
        </w:tabs>
        <w:spacing w:after="120"/>
        <w:jc w:val="left"/>
        <w:rPr>
          <w:rFonts w:eastAsia="MS Mincho" w:cs="Arial"/>
        </w:rPr>
      </w:pPr>
      <w:r w:rsidRPr="00626BA2">
        <w:rPr>
          <w:rFonts w:eastAsia="MS Mincho" w:cs="Arial"/>
        </w:rPr>
        <w:t>The payment must be made by check or similar instrument, wire transfer, or credit card, and must include the NAL/Account number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17"/>
      </w:r>
      <w:r>
        <w:rPr>
          <w:rFonts w:eastAsia="MS Mincho" w:cs="Arial"/>
        </w:rPr>
        <w:t xml:space="preserve">  </w:t>
      </w:r>
      <w:r w:rsidRPr="00626BA2">
        <w:rPr>
          <w:rFonts w:eastAsia="MS Mincho" w:cs="Arial"/>
        </w:rPr>
        <w:t>When completing the FCC Form 159, enter the Account Number</w:t>
      </w:r>
      <w:r w:rsidR="00B305B7">
        <w:rPr>
          <w:rFonts w:eastAsia="MS Mincho" w:cs="Arial"/>
        </w:rPr>
        <w:t>s</w:t>
      </w:r>
      <w:r w:rsidRPr="00626BA2">
        <w:rPr>
          <w:rFonts w:eastAsia="MS Mincho" w:cs="Arial"/>
        </w:rPr>
        <w:t xml:space="preserve"> in block number 23A (call sign/other ID) and enter the letters “FORF” in block number 24A (payment type code).  </w:t>
      </w:r>
      <w:r w:rsidR="000A2BE0">
        <w:rPr>
          <w:color w:val="000000"/>
          <w:szCs w:val="22"/>
        </w:rPr>
        <w:t>Below are additional instructions you should follow based on the form of payment you select:</w:t>
      </w:r>
    </w:p>
    <w:p w:rsidR="000A2BE0" w:rsidRPr="00626BA2" w:rsidRDefault="000A2BE0" w:rsidP="000A2BE0">
      <w:pPr>
        <w:pStyle w:val="ParaNum"/>
        <w:numPr>
          <w:ilvl w:val="0"/>
          <w:numId w:val="34"/>
        </w:numPr>
        <w:tabs>
          <w:tab w:val="clear" w:pos="1440"/>
        </w:tabs>
        <w:spacing w:after="120"/>
        <w:jc w:val="left"/>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or 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0A2BE0" w:rsidRPr="00626BA2" w:rsidRDefault="000A2BE0" w:rsidP="000A2BE0">
      <w:pPr>
        <w:pStyle w:val="ParaNum"/>
        <w:numPr>
          <w:ilvl w:val="0"/>
          <w:numId w:val="34"/>
        </w:numPr>
        <w:tabs>
          <w:tab w:val="clear" w:pos="1440"/>
        </w:tabs>
        <w:spacing w:after="120"/>
        <w:jc w:val="left"/>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0A2BE0" w:rsidRPr="00626BA2" w:rsidRDefault="000A2BE0" w:rsidP="000A2BE0">
      <w:pPr>
        <w:pStyle w:val="ParaNum"/>
        <w:numPr>
          <w:ilvl w:val="0"/>
          <w:numId w:val="34"/>
        </w:numPr>
        <w:tabs>
          <w:tab w:val="clear" w:pos="1440"/>
        </w:tabs>
        <w:spacing w:after="120"/>
        <w:jc w:val="left"/>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w:t>
      </w:r>
      <w:r>
        <w:rPr>
          <w:rFonts w:eastAsia="MS Mincho"/>
        </w:rPr>
        <w:t xml:space="preserve">or </w:t>
      </w:r>
      <w:r w:rsidRPr="00626BA2">
        <w:rPr>
          <w:rFonts w:eastAsia="MS Mincho"/>
        </w:rPr>
        <w:t xml:space="preserve">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795D7E" w:rsidRPr="006F333D" w:rsidRDefault="000A2BE0" w:rsidP="006F333D">
      <w:pPr>
        <w:pStyle w:val="ParaNum"/>
        <w:widowControl/>
        <w:tabs>
          <w:tab w:val="clear" w:pos="1080"/>
          <w:tab w:val="num" w:pos="1440"/>
        </w:tabs>
        <w:jc w:val="left"/>
        <w:rPr>
          <w:szCs w:val="22"/>
        </w:rPr>
      </w:pPr>
      <w:r w:rsidRPr="006F333D">
        <w:rPr>
          <w:rFonts w:eastAsia="MS Mincho"/>
        </w:rPr>
        <w:t xml:space="preserve">Any request for full payment under an installment plan should be sent to:  Chief Financial Officer—Financial Operations, </w:t>
      </w:r>
      <w:r w:rsidRPr="006F333D">
        <w:rPr>
          <w:rFonts w:eastAsia="MS Mincho" w:cs="Arial"/>
        </w:rPr>
        <w:t>Federal</w:t>
      </w:r>
      <w:r w:rsidRPr="006F333D">
        <w:rPr>
          <w:rFonts w:eastAsia="MS Mincho"/>
        </w:rPr>
        <w:t xml:space="preserve"> Communications Commission, 445 12th Street, S.W., Room 1-A625, Washington, DC  20554.</w:t>
      </w:r>
      <w:r>
        <w:rPr>
          <w:rStyle w:val="FootnoteReference"/>
          <w:rFonts w:eastAsia="MS Mincho"/>
        </w:rPr>
        <w:footnoteReference w:id="18"/>
      </w:r>
      <w:r w:rsidRPr="006F333D">
        <w:rPr>
          <w:rFonts w:eastAsia="MS Mincho"/>
        </w:rPr>
        <w:t>  If you have questions regarding payment procedures, please contact the Financial Operations Group Help Desk by phone, 1-877-480-3201, or by e</w:t>
      </w:r>
      <w:r w:rsidRPr="006F333D">
        <w:rPr>
          <w:rFonts w:eastAsia="MS Mincho"/>
        </w:rPr>
        <w:noBreakHyphen/>
        <w:t xml:space="preserve">mail, </w:t>
      </w:r>
      <w:r w:rsidRPr="006F333D">
        <w:rPr>
          <w:rFonts w:eastAsia="MS Mincho" w:cs="Arial"/>
        </w:rPr>
        <w:t>ARINQUIRIES@fcc.gov</w:t>
      </w:r>
      <w:r w:rsidRPr="006F333D">
        <w:rPr>
          <w:rFonts w:eastAsia="MS Mincho"/>
        </w:rPr>
        <w:t xml:space="preserve">.  </w:t>
      </w:r>
      <w:r w:rsidR="00470D9A" w:rsidRPr="006F333D">
        <w:rPr>
          <w:szCs w:val="22"/>
        </w:rPr>
        <w:t xml:space="preserve"> </w:t>
      </w:r>
    </w:p>
    <w:p w:rsidR="00512EF9" w:rsidRDefault="00512EF9" w:rsidP="00512EF9">
      <w:pPr>
        <w:pStyle w:val="ParaNum"/>
        <w:widowControl/>
        <w:tabs>
          <w:tab w:val="clear" w:pos="1080"/>
          <w:tab w:val="num" w:pos="1440"/>
        </w:tabs>
        <w:jc w:val="left"/>
      </w:pPr>
      <w:r w:rsidRPr="00570420">
        <w:rPr>
          <w:b/>
        </w:rPr>
        <w:t>IT IS FURTHER ORDERED</w:t>
      </w:r>
      <w:r w:rsidRPr="00570420">
        <w:t xml:space="preserve"> that a copy of this Forfeiture Order </w:t>
      </w:r>
      <w:r>
        <w:t xml:space="preserve">shall be sent by Certified Mail Return Receipt Requested and First Class mail to Mr. Patrick Keane, </w:t>
      </w:r>
      <w:smartTag w:uri="urn:schemas-microsoft-com:office:smarttags" w:element="address">
        <w:smartTag w:uri="urn:schemas-microsoft-com:office:smarttags" w:element="Street">
          <w:r>
            <w:t>24-A Trolley Square</w:t>
          </w:r>
        </w:smartTag>
        <w:r>
          <w:t xml:space="preserve">, </w:t>
        </w:r>
        <w:smartTag w:uri="urn:schemas-microsoft-com:office:smarttags" w:element="City">
          <w:r>
            <w:t>Wilmington</w:t>
          </w:r>
        </w:smartTag>
        <w:r>
          <w:t xml:space="preserve">, </w:t>
        </w:r>
        <w:smartTag w:uri="urn:schemas-microsoft-com:office:smarttags" w:element="State">
          <w:r>
            <w:t>DE</w:t>
          </w:r>
        </w:smartTag>
        <w:r>
          <w:t xml:space="preserve"> </w:t>
        </w:r>
        <w:smartTag w:uri="urn:schemas-microsoft-com:office:smarttags" w:element="PostalCode">
          <w:r>
            <w:t>19806</w:t>
          </w:r>
        </w:smartTag>
      </w:smartTag>
      <w:r>
        <w:t xml:space="preserve">; Mr. Patrick Keane, </w:t>
      </w:r>
      <w:smartTag w:uri="urn:schemas-microsoft-com:office:smarttags" w:element="Street">
        <w:r>
          <w:t>1800 Lovering Ave.</w:t>
        </w:r>
      </w:smartTag>
      <w:r>
        <w:t xml:space="preserve">, Wilmington, DE 19806-2122; Mr. Patrick Keane, </w:t>
      </w:r>
      <w:smartTag w:uri="urn:schemas-microsoft-com:office:smarttags" w:element="Street">
        <w:r>
          <w:t>717 N. Union St.</w:t>
        </w:r>
      </w:smartTag>
      <w:r>
        <w:t xml:space="preserve">, Wilmington, DE 19805, and Mr. Patrick Keane, 1522 Gilpin </w:t>
      </w:r>
      <w:r w:rsidR="00852CC0">
        <w:t>Ave., Apt</w:t>
      </w:r>
      <w:r>
        <w:t xml:space="preserve">. 2, </w:t>
      </w:r>
      <w:smartTag w:uri="urn:schemas-microsoft-com:office:smarttags" w:element="place">
        <w:smartTag w:uri="urn:schemas-microsoft-com:office:smarttags" w:element="City">
          <w:r>
            <w:t>Wilmington</w:t>
          </w:r>
        </w:smartTag>
        <w:r>
          <w:t xml:space="preserve">, </w:t>
        </w:r>
        <w:smartTag w:uri="urn:schemas-microsoft-com:office:smarttags" w:element="State">
          <w:r>
            <w:t>DE</w:t>
          </w:r>
        </w:smartTag>
        <w:r>
          <w:t xml:space="preserve"> </w:t>
        </w:r>
        <w:smartTag w:uri="urn:schemas-microsoft-com:office:smarttags" w:element="PostalCode">
          <w:r>
            <w:t>19806-3016</w:t>
          </w:r>
        </w:smartTag>
      </w:smartTag>
      <w:r>
        <w:t>.</w:t>
      </w:r>
    </w:p>
    <w:p w:rsidR="002B26AA" w:rsidRDefault="002B26AA" w:rsidP="00570420">
      <w:pPr>
        <w:tabs>
          <w:tab w:val="left" w:pos="0"/>
        </w:tabs>
      </w:pPr>
    </w:p>
    <w:p w:rsidR="002B26AA" w:rsidRDefault="002B26AA" w:rsidP="00570420">
      <w:pPr>
        <w:tabs>
          <w:tab w:val="left" w:pos="0"/>
        </w:tabs>
      </w:pPr>
      <w:r>
        <w:tab/>
      </w:r>
      <w:r>
        <w:tab/>
      </w:r>
      <w:r>
        <w:tab/>
      </w:r>
      <w:r>
        <w:tab/>
      </w:r>
      <w:r>
        <w:tab/>
      </w:r>
      <w:r>
        <w:tab/>
        <w:t>FEDERAL COMMUNICATIONS COMMISSION</w:t>
      </w:r>
    </w:p>
    <w:p w:rsidR="002B26AA" w:rsidRDefault="002B26AA" w:rsidP="00570420">
      <w:pPr>
        <w:tabs>
          <w:tab w:val="left" w:pos="0"/>
        </w:tabs>
        <w:rPr>
          <w:b/>
        </w:rPr>
      </w:pPr>
    </w:p>
    <w:p w:rsidR="002B26AA" w:rsidRDefault="002B26AA" w:rsidP="00570420">
      <w:pPr>
        <w:tabs>
          <w:tab w:val="left" w:pos="0"/>
        </w:tabs>
        <w:rPr>
          <w:b/>
        </w:rPr>
      </w:pPr>
    </w:p>
    <w:p w:rsidR="002B26AA" w:rsidRDefault="002B26AA" w:rsidP="00570420">
      <w:pPr>
        <w:tabs>
          <w:tab w:val="left" w:pos="0"/>
        </w:tabs>
        <w:rPr>
          <w:b/>
        </w:rPr>
      </w:pPr>
    </w:p>
    <w:p w:rsidR="002B26AA" w:rsidRDefault="002B26AA" w:rsidP="00570420">
      <w:pPr>
        <w:tabs>
          <w:tab w:val="left" w:pos="0"/>
        </w:tabs>
        <w:rPr>
          <w:b/>
        </w:rPr>
      </w:pPr>
    </w:p>
    <w:p w:rsidR="00C63457" w:rsidRDefault="002B26AA" w:rsidP="00570420">
      <w:pPr>
        <w:rPr>
          <w:szCs w:val="22"/>
        </w:rPr>
      </w:pPr>
      <w:r>
        <w:rPr>
          <w:b/>
        </w:rPr>
        <w:tab/>
      </w:r>
      <w:r>
        <w:rPr>
          <w:b/>
        </w:rPr>
        <w:tab/>
      </w:r>
      <w:r>
        <w:rPr>
          <w:b/>
        </w:rPr>
        <w:tab/>
      </w:r>
      <w:r>
        <w:rPr>
          <w:b/>
        </w:rPr>
        <w:tab/>
      </w:r>
      <w:r>
        <w:rPr>
          <w:b/>
        </w:rPr>
        <w:tab/>
      </w:r>
      <w:r>
        <w:rPr>
          <w:b/>
        </w:rPr>
        <w:tab/>
      </w:r>
      <w:r w:rsidR="00C63457">
        <w:rPr>
          <w:szCs w:val="22"/>
        </w:rPr>
        <w:t>Marlene H. Dortch</w:t>
      </w:r>
    </w:p>
    <w:p w:rsidR="00C63457" w:rsidRDefault="00C63457" w:rsidP="00570420">
      <w:pPr>
        <w:rPr>
          <w:szCs w:val="22"/>
        </w:rPr>
      </w:pPr>
      <w:r>
        <w:rPr>
          <w:szCs w:val="22"/>
        </w:rPr>
        <w:tab/>
      </w:r>
      <w:r>
        <w:rPr>
          <w:szCs w:val="22"/>
        </w:rPr>
        <w:tab/>
      </w:r>
      <w:r>
        <w:rPr>
          <w:szCs w:val="22"/>
        </w:rPr>
        <w:tab/>
      </w:r>
      <w:r>
        <w:rPr>
          <w:szCs w:val="22"/>
        </w:rPr>
        <w:tab/>
      </w:r>
      <w:r>
        <w:rPr>
          <w:szCs w:val="22"/>
        </w:rPr>
        <w:tab/>
      </w:r>
      <w:r>
        <w:rPr>
          <w:szCs w:val="22"/>
        </w:rPr>
        <w:tab/>
        <w:t>Secretary</w:t>
      </w:r>
    </w:p>
    <w:p w:rsidR="006B6CAD" w:rsidRDefault="002B26AA" w:rsidP="00570420">
      <w:pPr>
        <w:tabs>
          <w:tab w:val="left" w:pos="0"/>
        </w:tabs>
      </w:pPr>
      <w:r>
        <w:tab/>
      </w:r>
      <w:r>
        <w:tab/>
      </w:r>
      <w:r>
        <w:tab/>
      </w:r>
      <w:r>
        <w:tab/>
      </w:r>
      <w:r>
        <w:tab/>
      </w:r>
      <w:r>
        <w:tab/>
      </w:r>
      <w:r>
        <w:tab/>
      </w:r>
    </w:p>
    <w:sectPr w:rsidR="006B6CAD" w:rsidSect="00863C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A3" w:rsidRDefault="008760A3">
      <w:r>
        <w:separator/>
      </w:r>
    </w:p>
  </w:endnote>
  <w:endnote w:type="continuationSeparator" w:id="0">
    <w:p w:rsidR="008760A3" w:rsidRDefault="008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4D" w:rsidRDefault="00755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5F" w:rsidRDefault="0042795F">
    <w:pPr>
      <w:pStyle w:val="Footer"/>
      <w:jc w:val="center"/>
    </w:pPr>
    <w:r>
      <w:rPr>
        <w:rStyle w:val="PageNumber"/>
      </w:rPr>
      <w:fldChar w:fldCharType="begin"/>
    </w:r>
    <w:r>
      <w:rPr>
        <w:rStyle w:val="PageNumber"/>
      </w:rPr>
      <w:instrText xml:space="preserve"> PAGE </w:instrText>
    </w:r>
    <w:r>
      <w:rPr>
        <w:rStyle w:val="PageNumber"/>
      </w:rPr>
      <w:fldChar w:fldCharType="separate"/>
    </w:r>
    <w:r w:rsidR="0052330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4D" w:rsidRDefault="007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A3" w:rsidRDefault="008760A3">
      <w:pPr>
        <w:rPr>
          <w:sz w:val="20"/>
        </w:rPr>
      </w:pPr>
      <w:r>
        <w:rPr>
          <w:sz w:val="20"/>
        </w:rPr>
        <w:separator/>
      </w:r>
    </w:p>
  </w:footnote>
  <w:footnote w:type="continuationSeparator" w:id="0">
    <w:p w:rsidR="008760A3" w:rsidRDefault="008760A3">
      <w:pPr>
        <w:rPr>
          <w:sz w:val="20"/>
        </w:rPr>
      </w:pPr>
      <w:r>
        <w:rPr>
          <w:sz w:val="20"/>
        </w:rPr>
        <w:separator/>
      </w:r>
    </w:p>
    <w:p w:rsidR="008760A3" w:rsidRDefault="008760A3">
      <w:pPr>
        <w:rPr>
          <w:sz w:val="20"/>
        </w:rPr>
      </w:pPr>
      <w:r>
        <w:rPr>
          <w:sz w:val="20"/>
        </w:rPr>
        <w:t>(Continued from previous page)</w:t>
      </w:r>
    </w:p>
  </w:footnote>
  <w:footnote w:type="continuationNotice" w:id="1">
    <w:p w:rsidR="008760A3" w:rsidRDefault="008760A3">
      <w:pPr>
        <w:jc w:val="right"/>
        <w:rPr>
          <w:sz w:val="20"/>
        </w:rPr>
      </w:pPr>
      <w:r>
        <w:rPr>
          <w:sz w:val="20"/>
        </w:rPr>
        <w:t>(continued....)</w:t>
      </w:r>
    </w:p>
  </w:footnote>
  <w:footnote w:id="2">
    <w:p w:rsidR="0042795F" w:rsidRDefault="0042795F" w:rsidP="00807E1F">
      <w:pPr>
        <w:pStyle w:val="FootnoteText"/>
        <w:jc w:val="left"/>
      </w:pPr>
      <w:r>
        <w:rPr>
          <w:rStyle w:val="FootnoteReference"/>
        </w:rPr>
        <w:footnoteRef/>
      </w:r>
      <w:r>
        <w:t xml:space="preserve"> 47 U.S.C. § 227(b)(1)(C).</w:t>
      </w:r>
    </w:p>
  </w:footnote>
  <w:footnote w:id="3">
    <w:p w:rsidR="0042795F" w:rsidRDefault="0042795F" w:rsidP="00807E1F">
      <w:pPr>
        <w:pStyle w:val="FootnoteText"/>
        <w:jc w:val="left"/>
      </w:pPr>
      <w:r>
        <w:rPr>
          <w:rStyle w:val="FootnoteReference"/>
        </w:rPr>
        <w:footnoteRef/>
      </w:r>
      <w:r>
        <w:t xml:space="preserve"> 47 C.F.R. § 64.1200(a)(4).  </w:t>
      </w:r>
    </w:p>
  </w:footnote>
  <w:footnote w:id="4">
    <w:p w:rsidR="0042795F" w:rsidRPr="002F012F" w:rsidRDefault="0042795F" w:rsidP="00807E1F">
      <w:pPr>
        <w:pStyle w:val="FootnoteText"/>
        <w:jc w:val="left"/>
      </w:pPr>
      <w:r>
        <w:rPr>
          <w:rStyle w:val="FootnoteReference"/>
        </w:rPr>
        <w:footnoteRef/>
      </w:r>
      <w:r>
        <w:t xml:space="preserve"> Telephone Consumer Protection Act of 1991, Pub. L. No. 102</w:t>
      </w:r>
      <w:r w:rsidR="009C2026">
        <w:t>-</w:t>
      </w:r>
      <w:r>
        <w:t>243, 105 Stat. 2394 (</w:t>
      </w:r>
      <w:r w:rsidRPr="00DC4D0D">
        <w:t>codified at</w:t>
      </w:r>
      <w:r>
        <w:rPr>
          <w:i/>
        </w:rPr>
        <w:t xml:space="preserve"> </w:t>
      </w:r>
      <w:r>
        <w:t xml:space="preserve">47 U.S.C. § 227).  </w:t>
      </w:r>
      <w:r>
        <w:rPr>
          <w:i/>
        </w:rPr>
        <w:t xml:space="preserve">See also </w:t>
      </w:r>
      <w:r>
        <w:t xml:space="preserve">Junk Fax Prevention Act of 2005, Pub. L. No. 109-21, 119 Stat. 359 (2005).  </w:t>
      </w:r>
    </w:p>
  </w:footnote>
  <w:footnote w:id="5">
    <w:p w:rsidR="0042795F" w:rsidRDefault="0042795F" w:rsidP="00807E1F">
      <w:pPr>
        <w:pStyle w:val="FootnoteText"/>
        <w:jc w:val="left"/>
      </w:pPr>
      <w:r>
        <w:rPr>
          <w:rStyle w:val="FootnoteReference"/>
        </w:rPr>
        <w:footnoteRef/>
      </w:r>
      <w:r>
        <w:t xml:space="preserve"> </w:t>
      </w:r>
      <w:r>
        <w:rPr>
          <w:color w:val="000000"/>
        </w:rPr>
        <w:t>47 U.S.C. §</w:t>
      </w:r>
      <w:r w:rsidR="003B4846">
        <w:rPr>
          <w:color w:val="000000"/>
        </w:rPr>
        <w:t xml:space="preserve">§ </w:t>
      </w:r>
      <w:r>
        <w:rPr>
          <w:color w:val="000000"/>
        </w:rPr>
        <w:t>227(b)(1)</w:t>
      </w:r>
      <w:r w:rsidR="003B4846">
        <w:rPr>
          <w:color w:val="000000"/>
        </w:rPr>
        <w:t>; 227(b)(1)</w:t>
      </w:r>
      <w:r>
        <w:rPr>
          <w:color w:val="000000"/>
        </w:rPr>
        <w:t xml:space="preserve">(C).  The prohibition is subject to certain exceptions.  For example, a person may fax an unsolicited advertisement if that person has an “established business relationship” (EBR) with the recipient, and the sender obtained the facsimile number from the recipient through voluntary communications in the context of an EBR, or from a directory, advertisement, or website through which the recipient voluntary agreed to make its facsimile number available for public distribution.  In addition, the unsolicited ad must notify the recipient how to opt out of receiving future such ads, subject to certain requirements.  </w:t>
      </w:r>
      <w:smartTag w:uri="urn:schemas-microsoft-com:office:smarttags" w:element="place">
        <w:smartTag w:uri="urn:schemas-microsoft-com:office:smarttags" w:element="State">
          <w:r w:rsidRPr="00115302">
            <w:rPr>
              <w:i/>
              <w:color w:val="000000"/>
            </w:rPr>
            <w:t>Id</w:t>
          </w:r>
          <w:r>
            <w:rPr>
              <w:color w:val="000000"/>
            </w:rPr>
            <w:t>.</w:t>
          </w:r>
        </w:smartTag>
      </w:smartTag>
      <w:r>
        <w:rPr>
          <w:color w:val="000000"/>
        </w:rPr>
        <w:t xml:space="preserve">  The Commission has adopted implementing rules.  </w:t>
      </w:r>
      <w:r>
        <w:rPr>
          <w:i/>
          <w:color w:val="000000"/>
        </w:rPr>
        <w:t xml:space="preserve">See </w:t>
      </w:r>
      <w:r>
        <w:t xml:space="preserve">47 C.F.R. § 64.1200(a)(4).  </w:t>
      </w:r>
      <w:r>
        <w:rPr>
          <w:color w:val="000000"/>
        </w:rPr>
        <w:t xml:space="preserve"> </w:t>
      </w:r>
    </w:p>
  </w:footnote>
  <w:footnote w:id="6">
    <w:p w:rsidR="0042795F" w:rsidRDefault="0042795F" w:rsidP="00807E1F">
      <w:pPr>
        <w:pStyle w:val="FootnoteText"/>
        <w:jc w:val="left"/>
      </w:pPr>
      <w:r>
        <w:rPr>
          <w:rStyle w:val="FootnoteReference"/>
        </w:rPr>
        <w:footnoteRef/>
      </w:r>
      <w:r>
        <w:t xml:space="preserve"> 47 U.S.C. § 503(b)(5).</w:t>
      </w:r>
    </w:p>
  </w:footnote>
  <w:footnote w:id="7">
    <w:p w:rsidR="0042795F" w:rsidRPr="00797ADC" w:rsidRDefault="0042795F" w:rsidP="00807E1F">
      <w:pPr>
        <w:pStyle w:val="FootnoteText"/>
        <w:jc w:val="left"/>
      </w:pPr>
      <w:r w:rsidRPr="00797ADC">
        <w:rPr>
          <w:rStyle w:val="FootnoteReference"/>
        </w:rPr>
        <w:footnoteRef/>
      </w:r>
      <w:r w:rsidRPr="00797ADC">
        <w:t xml:space="preserve"> Citation from Kurt A. Schroeder, Deputy Chief, </w:t>
      </w:r>
      <w:smartTag w:uri="urn:schemas-microsoft-com:office:smarttags" w:element="PersonName">
        <w:r w:rsidRPr="00797ADC">
          <w:t>Telecommunications</w:t>
        </w:r>
      </w:smartTag>
      <w:r w:rsidRPr="00797ADC">
        <w:t xml:space="preserve"> Consumers Division, </w:t>
      </w:r>
      <w:r>
        <w:t xml:space="preserve">FCC </w:t>
      </w:r>
      <w:r w:rsidRPr="00797ADC">
        <w:t>Enforcement Bureau,</w:t>
      </w:r>
      <w:r>
        <w:t xml:space="preserve"> to The Street Map Company (Feb. 5, 2008) (on file in </w:t>
      </w:r>
      <w:r w:rsidRPr="00953876">
        <w:rPr>
          <w:spacing w:val="-2"/>
        </w:rPr>
        <w:t>EB-12-TCD-00000305</w:t>
      </w:r>
      <w:r>
        <w:t>)</w:t>
      </w:r>
      <w:r w:rsidRPr="00797ADC">
        <w:t>.</w:t>
      </w:r>
      <w:r>
        <w:t xml:space="preserve">  The citation was addressed to “The Street Map Company” and directed to the attention of Mr. Keane, and expressly warned that future violations of the Act and the Commission’s rules governing telephone solicitations and unsolicited advertisements “may subject you and your company to monetary forfeitures.”  </w:t>
      </w:r>
      <w:r w:rsidRPr="00797ADC">
        <w:t xml:space="preserve"> </w:t>
      </w:r>
      <w:r>
        <w:t xml:space="preserve">   </w:t>
      </w:r>
    </w:p>
  </w:footnote>
  <w:footnote w:id="8">
    <w:p w:rsidR="0042795F" w:rsidRDefault="0042795F" w:rsidP="00807E1F">
      <w:pPr>
        <w:pStyle w:val="FootnoteText"/>
        <w:jc w:val="left"/>
      </w:pPr>
      <w:r>
        <w:rPr>
          <w:rStyle w:val="FootnoteReference"/>
        </w:rPr>
        <w:footnoteRef/>
      </w:r>
      <w:r w:rsidR="00E7142C">
        <w:t xml:space="preserve"> </w:t>
      </w:r>
      <w:r>
        <w:rPr>
          <w:i/>
        </w:rPr>
        <w:t>The Street Map Company</w:t>
      </w:r>
      <w:r>
        <w:t>, Notice of Apparent Liability for Forfeiture, 25 FCC Rcd 16371 (2010) (</w:t>
      </w:r>
      <w:r w:rsidRPr="00F51F23">
        <w:rPr>
          <w:i/>
        </w:rPr>
        <w:t>NAL 1</w:t>
      </w:r>
      <w:r>
        <w:t xml:space="preserve">); </w:t>
      </w:r>
      <w:r>
        <w:rPr>
          <w:i/>
        </w:rPr>
        <w:t>The Street Map Company</w:t>
      </w:r>
      <w:r>
        <w:t>, Notice of Apparent Liability for Forfeiture, 26 FCC Rcd 8318 (2011) (</w:t>
      </w:r>
      <w:r w:rsidRPr="00F51F23">
        <w:rPr>
          <w:i/>
        </w:rPr>
        <w:t>NAL 2</w:t>
      </w:r>
      <w:r>
        <w:t xml:space="preserve">); </w:t>
      </w:r>
      <w:r w:rsidRPr="00F504E3">
        <w:rPr>
          <w:i/>
        </w:rPr>
        <w:t>Patrick Keane a</w:t>
      </w:r>
      <w:r w:rsidR="009E1412">
        <w:rPr>
          <w:i/>
        </w:rPr>
        <w:t>/</w:t>
      </w:r>
      <w:r w:rsidRPr="00F504E3">
        <w:rPr>
          <w:i/>
        </w:rPr>
        <w:t>k</w:t>
      </w:r>
      <w:r w:rsidR="009E1412">
        <w:rPr>
          <w:i/>
        </w:rPr>
        <w:t>/</w:t>
      </w:r>
      <w:r w:rsidRPr="00F504E3">
        <w:rPr>
          <w:i/>
        </w:rPr>
        <w:t>a Street Map et</w:t>
      </w:r>
      <w:r w:rsidR="003E2615">
        <w:rPr>
          <w:i/>
        </w:rPr>
        <w:t>.</w:t>
      </w:r>
      <w:r w:rsidRPr="00F504E3">
        <w:rPr>
          <w:i/>
        </w:rPr>
        <w:t xml:space="preserve"> </w:t>
      </w:r>
      <w:r w:rsidRPr="003E2615">
        <w:rPr>
          <w:i/>
        </w:rPr>
        <w:t>a</w:t>
      </w:r>
      <w:r w:rsidRPr="00B30F4D">
        <w:rPr>
          <w:i/>
        </w:rPr>
        <w:t>l</w:t>
      </w:r>
      <w:r>
        <w:t xml:space="preserve">., </w:t>
      </w:r>
      <w:r w:rsidR="009C2026">
        <w:t xml:space="preserve">Notice of Apparent Liability for Forfeiture, </w:t>
      </w:r>
      <w:r>
        <w:t>27 FCC Rcd 13757 (2012) (</w:t>
      </w:r>
      <w:r>
        <w:rPr>
          <w:i/>
        </w:rPr>
        <w:t>NAL 3</w:t>
      </w:r>
      <w:r w:rsidRPr="00A40743">
        <w:t xml:space="preserve">) </w:t>
      </w:r>
      <w:r>
        <w:t xml:space="preserve">(collectively </w:t>
      </w:r>
      <w:r w:rsidRPr="00FC283D">
        <w:t>NALs</w:t>
      </w:r>
      <w:r w:rsidRPr="00A40743">
        <w:t>)</w:t>
      </w:r>
      <w:r>
        <w:t xml:space="preserve">.  </w:t>
      </w:r>
    </w:p>
  </w:footnote>
  <w:footnote w:id="9">
    <w:p w:rsidR="0042795F" w:rsidRPr="002008E1" w:rsidRDefault="0042795F" w:rsidP="00DA5AD5">
      <w:pPr>
        <w:pStyle w:val="FootnoteText"/>
        <w:jc w:val="left"/>
      </w:pPr>
      <w:r>
        <w:rPr>
          <w:rStyle w:val="FootnoteReference"/>
        </w:rPr>
        <w:footnoteRef/>
      </w:r>
      <w:r>
        <w:t xml:space="preserve"> We directed the first two </w:t>
      </w:r>
      <w:r w:rsidRPr="00FC283D">
        <w:t>NALs</w:t>
      </w:r>
      <w:r w:rsidRPr="00F504E3">
        <w:rPr>
          <w:i/>
        </w:rPr>
        <w:t xml:space="preserve"> </w:t>
      </w:r>
      <w:r>
        <w:t xml:space="preserve">to “The Street Map Company,” the name listed as the sender of the faxes in the complaints.  We defined this to include Patrick Keane, and thus by reference averred his personal liability for the actions of Street Map.  </w:t>
      </w:r>
      <w:r>
        <w:rPr>
          <w:i/>
        </w:rPr>
        <w:t>See NAL 1</w:t>
      </w:r>
      <w:r w:rsidRPr="00A40743">
        <w:t xml:space="preserve">, </w:t>
      </w:r>
      <w:r>
        <w:t xml:space="preserve">25 FCC Rcd at 16371 n.1; </w:t>
      </w:r>
      <w:r>
        <w:rPr>
          <w:i/>
        </w:rPr>
        <w:t>NAL 2</w:t>
      </w:r>
      <w:r w:rsidRPr="00A40743">
        <w:t xml:space="preserve">, </w:t>
      </w:r>
      <w:r>
        <w:t xml:space="preserve">26 FCC Rcd at 8318 n.1.  In </w:t>
      </w:r>
      <w:r>
        <w:rPr>
          <w:i/>
        </w:rPr>
        <w:t>NAL 3</w:t>
      </w:r>
      <w:r w:rsidRPr="00A40743">
        <w:t xml:space="preserve">, </w:t>
      </w:r>
      <w:r>
        <w:t>we noted that Mr. Keane had apparently used a variety of different business names on the junk faxes in later complaints, names that were neither actual companies nor registered trade names.  27 FCC Rcd</w:t>
      </w:r>
      <w:r>
        <w:rPr>
          <w:i/>
        </w:rPr>
        <w:t xml:space="preserve">. </w:t>
      </w:r>
      <w:r>
        <w:t xml:space="preserve">at 13759, para. 6.  We accordingly directed </w:t>
      </w:r>
      <w:r>
        <w:rPr>
          <w:i/>
        </w:rPr>
        <w:t xml:space="preserve">NAL 3 </w:t>
      </w:r>
      <w:r>
        <w:t xml:space="preserve">to Mr. Keane personally.      </w:t>
      </w:r>
    </w:p>
  </w:footnote>
  <w:footnote w:id="10">
    <w:p w:rsidR="0042795F" w:rsidRDefault="0042795F" w:rsidP="00807E1F">
      <w:pPr>
        <w:pStyle w:val="FootnoteText"/>
        <w:jc w:val="left"/>
      </w:pPr>
      <w:r>
        <w:rPr>
          <w:rStyle w:val="FootnoteReference"/>
        </w:rPr>
        <w:footnoteRef/>
      </w:r>
      <w:r>
        <w:t xml:space="preserve"> </w:t>
      </w:r>
      <w:r>
        <w:rPr>
          <w:i/>
        </w:rPr>
        <w:t>See NAL 1</w:t>
      </w:r>
      <w:r w:rsidRPr="00A40743">
        <w:t>,</w:t>
      </w:r>
      <w:r w:rsidRPr="00E7142C">
        <w:t xml:space="preserve"> </w:t>
      </w:r>
      <w:r>
        <w:t xml:space="preserve">25 FCC Rcd at 16373 para. 9; </w:t>
      </w:r>
      <w:r>
        <w:rPr>
          <w:i/>
        </w:rPr>
        <w:t>NAL 2</w:t>
      </w:r>
      <w:r w:rsidRPr="00A40743">
        <w:t xml:space="preserve">, </w:t>
      </w:r>
      <w:r>
        <w:t>26 FCC Rcd at 8323</w:t>
      </w:r>
      <w:r w:rsidR="009C2026">
        <w:t>,</w:t>
      </w:r>
      <w:r>
        <w:t xml:space="preserve"> para. 14; </w:t>
      </w:r>
      <w:r w:rsidR="005934FA">
        <w:rPr>
          <w:i/>
        </w:rPr>
        <w:t>NAL 3</w:t>
      </w:r>
      <w:r w:rsidR="005934FA" w:rsidRPr="00A40743">
        <w:t xml:space="preserve">, </w:t>
      </w:r>
      <w:r w:rsidR="005934FA">
        <w:t xml:space="preserve">27 FCC Rcd at </w:t>
      </w:r>
      <w:r w:rsidR="00BB1CA5">
        <w:t>13763</w:t>
      </w:r>
      <w:r w:rsidR="009C2026">
        <w:t>,</w:t>
      </w:r>
      <w:r w:rsidR="00BB1CA5">
        <w:t xml:space="preserve"> para. 16. </w:t>
      </w:r>
    </w:p>
  </w:footnote>
  <w:footnote w:id="11">
    <w:p w:rsidR="0042795F" w:rsidRDefault="0042795F" w:rsidP="00807E1F">
      <w:pPr>
        <w:pStyle w:val="FootnoteText"/>
        <w:jc w:val="left"/>
      </w:pPr>
      <w:r>
        <w:rPr>
          <w:rStyle w:val="FootnoteReference"/>
        </w:rPr>
        <w:footnoteRef/>
      </w:r>
      <w:r>
        <w:t xml:space="preserve"> To ensure that Mr. Keane had clear notice of the </w:t>
      </w:r>
      <w:r w:rsidRPr="00FC283D">
        <w:t>NALs</w:t>
      </w:r>
      <w:r>
        <w:t xml:space="preserve"> and an opportunity to respond, Bureau staff sent him copies of both </w:t>
      </w:r>
      <w:r w:rsidRPr="009729DE">
        <w:rPr>
          <w:i/>
        </w:rPr>
        <w:t>NAL</w:t>
      </w:r>
      <w:r>
        <w:rPr>
          <w:i/>
        </w:rPr>
        <w:t xml:space="preserve"> 1 </w:t>
      </w:r>
      <w:r>
        <w:t xml:space="preserve">and </w:t>
      </w:r>
      <w:r w:rsidRPr="00F504E3">
        <w:rPr>
          <w:i/>
        </w:rPr>
        <w:t>NAL</w:t>
      </w:r>
      <w:r>
        <w:rPr>
          <w:i/>
        </w:rPr>
        <w:t xml:space="preserve"> </w:t>
      </w:r>
      <w:r w:rsidRPr="00F504E3">
        <w:rPr>
          <w:i/>
        </w:rPr>
        <w:t>2</w:t>
      </w:r>
      <w:r>
        <w:t xml:space="preserve"> a second time, on October 21, 2011, and allowed additional time for any response.  The Bureau also sent copies of </w:t>
      </w:r>
      <w:r>
        <w:rPr>
          <w:i/>
        </w:rPr>
        <w:t>NAL 3</w:t>
      </w:r>
      <w:r>
        <w:t xml:space="preserve"> to four separate addresses associated with Mr. Keane, all by first class and certified mail.  Again, Mr. Keane did not pay the proposed forfeiture or respond to the </w:t>
      </w:r>
      <w:r w:rsidRPr="00FC283D">
        <w:t>NALs</w:t>
      </w:r>
      <w:r>
        <w:t xml:space="preserve">. </w:t>
      </w:r>
    </w:p>
  </w:footnote>
  <w:footnote w:id="12">
    <w:p w:rsidR="0042795F" w:rsidRDefault="0042795F" w:rsidP="00411CAA">
      <w:pPr>
        <w:pStyle w:val="FootnoteText"/>
        <w:jc w:val="left"/>
      </w:pPr>
      <w:r w:rsidRPr="005E3128">
        <w:rPr>
          <w:rStyle w:val="FootnoteReference"/>
        </w:rPr>
        <w:footnoteRef/>
      </w:r>
      <w:r w:rsidRPr="005E3128">
        <w:rPr>
          <w:rStyle w:val="FootnoteReference"/>
        </w:rPr>
        <w:t xml:space="preserve"> </w:t>
      </w:r>
      <w:r w:rsidRPr="005E3128">
        <w:t>47 U.S.C. § 503(b)(2)(D).  Section 503(b)(2)(D) provides for forfeitures of up to $10,000 for each in cases where the</w:t>
      </w:r>
      <w:r w:rsidRPr="006F44A9">
        <w:t xml:space="preserve"> violation</w:t>
      </w:r>
      <w:r w:rsidRPr="005E3128">
        <w:t xml:space="preserve"> does not involve a Commission licensee or common carriers, among others.  </w:t>
      </w:r>
      <w:r w:rsidRPr="00A40743">
        <w:rPr>
          <w:i/>
        </w:rPr>
        <w:t>See</w:t>
      </w:r>
      <w:r w:rsidRPr="005E3128">
        <w:t xml:space="preserve"> 47 U.S.C. §</w:t>
      </w:r>
      <w:r w:rsidR="009C2026">
        <w:t> </w:t>
      </w:r>
      <w:r w:rsidRPr="005E3128">
        <w:t xml:space="preserve">503(b)(2)(C).  In accordance with the inflation adjustment requirements contained in the Debt Collection Improvement Act of 1996, Pub. L. No. 104-134, Sec. 31001, 110 Stat. 1321, the Commission increased the maximum statutory forfeiture under Section 503(b)(2)(C) to $16,000.  </w:t>
      </w:r>
      <w:r w:rsidRPr="00A40743">
        <w:rPr>
          <w:i/>
        </w:rPr>
        <w:t>See</w:t>
      </w:r>
      <w:r w:rsidRPr="005E3128">
        <w:t xml:space="preserve"> 47 C.F.R. §1.80(b)(7)</w:t>
      </w:r>
      <w:r w:rsidR="009C2026">
        <w:t>;</w:t>
      </w:r>
      <w:r w:rsidRPr="005E3128">
        <w:t xml:space="preserve"> </w:t>
      </w:r>
      <w:r w:rsidR="009C2026">
        <w:rPr>
          <w:i/>
        </w:rPr>
        <w:t>s</w:t>
      </w:r>
      <w:r w:rsidRPr="0078561F">
        <w:rPr>
          <w:i/>
        </w:rPr>
        <w:t>ee also</w:t>
      </w:r>
      <w:r w:rsidRPr="005E3128">
        <w:t xml:space="preserve"> Amendment of Section 1.80(b) of the Commission’s Rules, Adjustment of Forfeiture Maxima to Reflect Inflation, 23 FCC Rcd 9845 (2008) (amendment of section 1.80(b) to reflect an increase in the maximum forfeiture for this type of violation to $16,000).</w:t>
      </w:r>
    </w:p>
  </w:footnote>
  <w:footnote w:id="13">
    <w:p w:rsidR="0042795F" w:rsidRDefault="0042795F" w:rsidP="00807E1F">
      <w:pPr>
        <w:pStyle w:val="FootnoteText"/>
        <w:jc w:val="left"/>
      </w:pPr>
      <w:r>
        <w:rPr>
          <w:rStyle w:val="FootnoteReference"/>
        </w:rPr>
        <w:footnoteRef/>
      </w:r>
      <w:r>
        <w:t xml:space="preserve"> </w:t>
      </w:r>
      <w:r>
        <w:rPr>
          <w:i/>
        </w:rPr>
        <w:t xml:space="preserve">See </w:t>
      </w:r>
      <w:r>
        <w:t>47 U.S.C. § 503(b)(2)(E)</w:t>
      </w:r>
      <w:r w:rsidR="00851B69">
        <w:t xml:space="preserve">.  </w:t>
      </w:r>
      <w:r>
        <w:t xml:space="preserve"> </w:t>
      </w:r>
    </w:p>
  </w:footnote>
  <w:footnote w:id="14">
    <w:p w:rsidR="00926B75" w:rsidRDefault="00926B75" w:rsidP="00926B75">
      <w:pPr>
        <w:pStyle w:val="FootnoteText"/>
        <w:jc w:val="left"/>
      </w:pPr>
      <w:r>
        <w:rPr>
          <w:rStyle w:val="FootnoteReference"/>
        </w:rPr>
        <w:footnoteRef/>
      </w:r>
      <w:r>
        <w:t xml:space="preserve"> 47 U.S.C. § 227(b)(1)(C).</w:t>
      </w:r>
    </w:p>
  </w:footnote>
  <w:footnote w:id="15">
    <w:p w:rsidR="00926B75" w:rsidRDefault="00926B75" w:rsidP="00926B75">
      <w:pPr>
        <w:pStyle w:val="FootnoteText"/>
        <w:jc w:val="left"/>
      </w:pPr>
      <w:r>
        <w:rPr>
          <w:rStyle w:val="FootnoteReference"/>
        </w:rPr>
        <w:footnoteRef/>
      </w:r>
      <w:r>
        <w:t xml:space="preserve"> 47 C.F.R. § 64.1200(a)(4).  </w:t>
      </w:r>
    </w:p>
  </w:footnote>
  <w:footnote w:id="16">
    <w:p w:rsidR="0042795F" w:rsidRDefault="0042795F" w:rsidP="00807E1F">
      <w:pPr>
        <w:pStyle w:val="FootnoteText"/>
        <w:jc w:val="left"/>
      </w:pPr>
      <w:r>
        <w:rPr>
          <w:rStyle w:val="FootnoteReference"/>
        </w:rPr>
        <w:footnoteRef/>
      </w:r>
      <w:r>
        <w:t xml:space="preserve"> “The Street Map Company” may only be a name used by Mr. Keane to conduct business and not an actual legal entity.  Based on staff research, it appears that Mr. Keane carries out the same business as “The Street Map Company” through a host of other names, including but not limited to, Accurate Map Co., Data World, Map World, Thomas Map Co., and Trump Map Co.  According to the Delaware Department of State, Division of Corporations, he also appears to have organized the limited liability company “Rockford Map Gallery LLC” in 2005.  </w:t>
      </w:r>
    </w:p>
  </w:footnote>
  <w:footnote w:id="17">
    <w:p w:rsidR="0042795F" w:rsidRDefault="0042795F" w:rsidP="00E14C3E">
      <w:pPr>
        <w:pStyle w:val="FootnoteText"/>
        <w:jc w:val="left"/>
      </w:pPr>
      <w:r>
        <w:rPr>
          <w:rStyle w:val="FootnoteReference"/>
        </w:rPr>
        <w:footnoteRef/>
      </w:r>
      <w:r>
        <w:t xml:space="preserve"> </w:t>
      </w:r>
      <w:r w:rsidRPr="00626BA2">
        <w:rPr>
          <w:rFonts w:eastAsia="MS Mincho" w:cs="Arial"/>
        </w:rPr>
        <w:t>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 xml:space="preserve">instructions for completing the form may be obtained at </w:t>
      </w:r>
      <w:r w:rsidRPr="000F56C6">
        <w:rPr>
          <w:rFonts w:eastAsia="MS Mincho" w:cs="Arial"/>
          <w:color w:val="0000FF"/>
          <w:u w:val="single"/>
        </w:rPr>
        <w:t>http://www.fcc.gov/Forms/Form159/159.pdf</w:t>
      </w:r>
      <w:r w:rsidRPr="00626BA2">
        <w:rPr>
          <w:rFonts w:eastAsia="MS Mincho" w:cs="Arial"/>
        </w:rPr>
        <w:t>.</w:t>
      </w:r>
    </w:p>
  </w:footnote>
  <w:footnote w:id="18">
    <w:p w:rsidR="0042795F" w:rsidRDefault="0042795F" w:rsidP="000A2BE0">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4D" w:rsidRDefault="0075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5F" w:rsidRDefault="0042795F">
    <w:pPr>
      <w:pStyle w:val="Header"/>
      <w:tabs>
        <w:tab w:val="clear" w:pos="4320"/>
        <w:tab w:val="clear" w:pos="8640"/>
        <w:tab w:val="center" w:pos="4680"/>
        <w:tab w:val="right" w:pos="9360"/>
      </w:tabs>
      <w:jc w:val="right"/>
      <w:rPr>
        <w:b/>
      </w:rPr>
    </w:pPr>
    <w:r>
      <w:rPr>
        <w:b/>
      </w:rPr>
      <w:tab/>
      <w:t>Federal Communications Commission</w:t>
    </w:r>
    <w:r>
      <w:rPr>
        <w:b/>
      </w:rPr>
      <w:tab/>
      <w:t>FCC 1</w:t>
    </w:r>
    <w:r w:rsidR="00240AE6">
      <w:rPr>
        <w:b/>
      </w:rPr>
      <w:t>3</w:t>
    </w:r>
    <w:r>
      <w:rPr>
        <w:b/>
      </w:rPr>
      <w:t>-</w:t>
    </w:r>
    <w:r w:rsidR="005F32CB">
      <w:rPr>
        <w:b/>
      </w:rPr>
      <w:t>62</w:t>
    </w:r>
  </w:p>
  <w:p w:rsidR="0042795F" w:rsidRDefault="000E28C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49E6CFB" wp14:editId="5CC7AD54">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42795F" w:rsidRDefault="00427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5F" w:rsidRDefault="0042795F">
    <w:pPr>
      <w:pStyle w:val="Header"/>
      <w:tabs>
        <w:tab w:val="clear" w:pos="4320"/>
        <w:tab w:val="clear" w:pos="8640"/>
        <w:tab w:val="center" w:pos="4680"/>
        <w:tab w:val="right" w:pos="9360"/>
      </w:tabs>
      <w:jc w:val="right"/>
      <w:rPr>
        <w:b/>
      </w:rPr>
    </w:pPr>
    <w:r>
      <w:rPr>
        <w:b/>
      </w:rPr>
      <w:tab/>
      <w:t>Federal Communications Commission</w:t>
    </w:r>
    <w:r>
      <w:rPr>
        <w:b/>
      </w:rPr>
      <w:tab/>
      <w:t>FCC 13-</w:t>
    </w:r>
    <w:r w:rsidR="005F32CB">
      <w:rPr>
        <w:b/>
      </w:rPr>
      <w:t>62</w:t>
    </w:r>
  </w:p>
  <w:p w:rsidR="0042795F" w:rsidRDefault="000E28C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28D8539" wp14:editId="6A3CCF65">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FE606DE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3"/>
  </w:num>
  <w:num w:numId="4">
    <w:abstractNumId w:val="17"/>
  </w:num>
  <w:num w:numId="5">
    <w:abstractNumId w:val="4"/>
  </w:num>
  <w:num w:numId="6">
    <w:abstractNumId w:val="20"/>
  </w:num>
  <w:num w:numId="7">
    <w:abstractNumId w:val="13"/>
  </w:num>
  <w:num w:numId="8">
    <w:abstractNumId w:val="5"/>
  </w:num>
  <w:num w:numId="9">
    <w:abstractNumId w:val="19"/>
  </w:num>
  <w:num w:numId="10">
    <w:abstractNumId w:val="10"/>
  </w:num>
  <w:num w:numId="11">
    <w:abstractNumId w:val="9"/>
  </w:num>
  <w:num w:numId="12">
    <w:abstractNumId w:val="6"/>
  </w:num>
  <w:num w:numId="13">
    <w:abstractNumId w:val="11"/>
  </w:num>
  <w:num w:numId="14">
    <w:abstractNumId w:val="18"/>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6"/>
  </w:num>
  <w:num w:numId="22">
    <w:abstractNumId w:val="15"/>
  </w:num>
  <w:num w:numId="23">
    <w:abstractNumId w:val="11"/>
  </w:num>
  <w:num w:numId="24">
    <w:abstractNumId w:val="11"/>
    <w:lvlOverride w:ilvl="0">
      <w:startOverride w:val="1"/>
    </w:lvlOverride>
  </w:num>
  <w:num w:numId="25">
    <w:abstractNumId w:val="11"/>
  </w:num>
  <w:num w:numId="26">
    <w:abstractNumId w:val="11"/>
  </w:num>
  <w:num w:numId="27">
    <w:abstractNumId w:val="11"/>
  </w:num>
  <w:num w:numId="28">
    <w:abstractNumId w:val="11"/>
  </w:num>
  <w:num w:numId="29">
    <w:abstractNumId w:val="11"/>
    <w:lvlOverride w:ilvl="0">
      <w:startOverride w:val="1"/>
    </w:lvlOverride>
  </w:num>
  <w:num w:numId="30">
    <w:abstractNumId w:val="11"/>
  </w:num>
  <w:num w:numId="31">
    <w:abstractNumId w:val="11"/>
  </w:num>
  <w:num w:numId="32">
    <w:abstractNumId w:val="11"/>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AD"/>
    <w:rsid w:val="00002511"/>
    <w:rsid w:val="00004CDD"/>
    <w:rsid w:val="0000773E"/>
    <w:rsid w:val="00013534"/>
    <w:rsid w:val="00013A0B"/>
    <w:rsid w:val="00014053"/>
    <w:rsid w:val="000140B2"/>
    <w:rsid w:val="00017044"/>
    <w:rsid w:val="000230DC"/>
    <w:rsid w:val="00024946"/>
    <w:rsid w:val="000303B5"/>
    <w:rsid w:val="0004053A"/>
    <w:rsid w:val="000430E9"/>
    <w:rsid w:val="00057F28"/>
    <w:rsid w:val="00061E93"/>
    <w:rsid w:val="00062342"/>
    <w:rsid w:val="00062AAF"/>
    <w:rsid w:val="000637C8"/>
    <w:rsid w:val="0007037A"/>
    <w:rsid w:val="000703C7"/>
    <w:rsid w:val="000710FB"/>
    <w:rsid w:val="00071BDB"/>
    <w:rsid w:val="00073F17"/>
    <w:rsid w:val="00077A3D"/>
    <w:rsid w:val="0008489A"/>
    <w:rsid w:val="000854C4"/>
    <w:rsid w:val="000913A7"/>
    <w:rsid w:val="00092B64"/>
    <w:rsid w:val="000931F9"/>
    <w:rsid w:val="00096098"/>
    <w:rsid w:val="00096AD9"/>
    <w:rsid w:val="000A2BE0"/>
    <w:rsid w:val="000A6154"/>
    <w:rsid w:val="000B02EA"/>
    <w:rsid w:val="000B2669"/>
    <w:rsid w:val="000B53C0"/>
    <w:rsid w:val="000B5C07"/>
    <w:rsid w:val="000C58C3"/>
    <w:rsid w:val="000D0902"/>
    <w:rsid w:val="000D0F1F"/>
    <w:rsid w:val="000D1AFD"/>
    <w:rsid w:val="000D7C32"/>
    <w:rsid w:val="000E1402"/>
    <w:rsid w:val="000E2772"/>
    <w:rsid w:val="000E28CF"/>
    <w:rsid w:val="000E5CEA"/>
    <w:rsid w:val="000F101F"/>
    <w:rsid w:val="000F597B"/>
    <w:rsid w:val="00106756"/>
    <w:rsid w:val="00110555"/>
    <w:rsid w:val="001105EA"/>
    <w:rsid w:val="00113082"/>
    <w:rsid w:val="00113CA8"/>
    <w:rsid w:val="00115302"/>
    <w:rsid w:val="00127E12"/>
    <w:rsid w:val="00135587"/>
    <w:rsid w:val="00143FEE"/>
    <w:rsid w:val="00145134"/>
    <w:rsid w:val="00145430"/>
    <w:rsid w:val="00147070"/>
    <w:rsid w:val="00147D69"/>
    <w:rsid w:val="0015194A"/>
    <w:rsid w:val="00154B18"/>
    <w:rsid w:val="00160002"/>
    <w:rsid w:val="001604DA"/>
    <w:rsid w:val="00171591"/>
    <w:rsid w:val="00173EF3"/>
    <w:rsid w:val="0017571E"/>
    <w:rsid w:val="00176B3C"/>
    <w:rsid w:val="00176E2E"/>
    <w:rsid w:val="00185104"/>
    <w:rsid w:val="001922C4"/>
    <w:rsid w:val="00193DF3"/>
    <w:rsid w:val="001A2403"/>
    <w:rsid w:val="001A52FB"/>
    <w:rsid w:val="001A57BD"/>
    <w:rsid w:val="001B0FA7"/>
    <w:rsid w:val="001B4687"/>
    <w:rsid w:val="001B56CC"/>
    <w:rsid w:val="001B6510"/>
    <w:rsid w:val="001B6923"/>
    <w:rsid w:val="001C256D"/>
    <w:rsid w:val="001C3162"/>
    <w:rsid w:val="001C6B49"/>
    <w:rsid w:val="001D021C"/>
    <w:rsid w:val="001E0BEE"/>
    <w:rsid w:val="001E10EE"/>
    <w:rsid w:val="001E2C81"/>
    <w:rsid w:val="001E5842"/>
    <w:rsid w:val="001F1C8C"/>
    <w:rsid w:val="002008E1"/>
    <w:rsid w:val="00202681"/>
    <w:rsid w:val="00220B10"/>
    <w:rsid w:val="00237896"/>
    <w:rsid w:val="00240800"/>
    <w:rsid w:val="00240AE6"/>
    <w:rsid w:val="0025353D"/>
    <w:rsid w:val="00256D36"/>
    <w:rsid w:val="002608AF"/>
    <w:rsid w:val="002614D5"/>
    <w:rsid w:val="00263411"/>
    <w:rsid w:val="0027223A"/>
    <w:rsid w:val="002747F4"/>
    <w:rsid w:val="002773F1"/>
    <w:rsid w:val="00291754"/>
    <w:rsid w:val="002939FA"/>
    <w:rsid w:val="00295D8D"/>
    <w:rsid w:val="002975DE"/>
    <w:rsid w:val="002A0492"/>
    <w:rsid w:val="002A29D0"/>
    <w:rsid w:val="002A62BE"/>
    <w:rsid w:val="002B146D"/>
    <w:rsid w:val="002B26AA"/>
    <w:rsid w:val="002B3E97"/>
    <w:rsid w:val="002C2260"/>
    <w:rsid w:val="002C227C"/>
    <w:rsid w:val="002D14C1"/>
    <w:rsid w:val="002D1A83"/>
    <w:rsid w:val="002D7F50"/>
    <w:rsid w:val="002E2783"/>
    <w:rsid w:val="002E5CB0"/>
    <w:rsid w:val="002E5DD2"/>
    <w:rsid w:val="002F16FC"/>
    <w:rsid w:val="002F1C51"/>
    <w:rsid w:val="002F7254"/>
    <w:rsid w:val="002F7BBF"/>
    <w:rsid w:val="0030155D"/>
    <w:rsid w:val="0031225F"/>
    <w:rsid w:val="003144B7"/>
    <w:rsid w:val="003200A1"/>
    <w:rsid w:val="00320D21"/>
    <w:rsid w:val="0032416D"/>
    <w:rsid w:val="00326E11"/>
    <w:rsid w:val="00327C83"/>
    <w:rsid w:val="003329B9"/>
    <w:rsid w:val="003330BE"/>
    <w:rsid w:val="00337327"/>
    <w:rsid w:val="003406BB"/>
    <w:rsid w:val="003476FE"/>
    <w:rsid w:val="003508BC"/>
    <w:rsid w:val="00352CD0"/>
    <w:rsid w:val="00354540"/>
    <w:rsid w:val="00355148"/>
    <w:rsid w:val="00356B3B"/>
    <w:rsid w:val="003573C8"/>
    <w:rsid w:val="00357CEA"/>
    <w:rsid w:val="00360FE1"/>
    <w:rsid w:val="003610A2"/>
    <w:rsid w:val="00361860"/>
    <w:rsid w:val="003704A0"/>
    <w:rsid w:val="00384741"/>
    <w:rsid w:val="003849F2"/>
    <w:rsid w:val="00385035"/>
    <w:rsid w:val="0038523D"/>
    <w:rsid w:val="003953D8"/>
    <w:rsid w:val="003A1EEB"/>
    <w:rsid w:val="003A2D34"/>
    <w:rsid w:val="003A6C98"/>
    <w:rsid w:val="003A7D8D"/>
    <w:rsid w:val="003B171C"/>
    <w:rsid w:val="003B4846"/>
    <w:rsid w:val="003C1171"/>
    <w:rsid w:val="003C27D8"/>
    <w:rsid w:val="003C573C"/>
    <w:rsid w:val="003C71EA"/>
    <w:rsid w:val="003C7D27"/>
    <w:rsid w:val="003D1904"/>
    <w:rsid w:val="003D31E2"/>
    <w:rsid w:val="003D44FF"/>
    <w:rsid w:val="003D7F4F"/>
    <w:rsid w:val="003E20F7"/>
    <w:rsid w:val="003E2615"/>
    <w:rsid w:val="003E2934"/>
    <w:rsid w:val="003E3EBA"/>
    <w:rsid w:val="003E7D9C"/>
    <w:rsid w:val="003F148F"/>
    <w:rsid w:val="003F296B"/>
    <w:rsid w:val="004002E4"/>
    <w:rsid w:val="0040141B"/>
    <w:rsid w:val="00405EEF"/>
    <w:rsid w:val="00407A46"/>
    <w:rsid w:val="00411CAA"/>
    <w:rsid w:val="004132AF"/>
    <w:rsid w:val="004203A8"/>
    <w:rsid w:val="004207C5"/>
    <w:rsid w:val="00421139"/>
    <w:rsid w:val="004226FB"/>
    <w:rsid w:val="0042795F"/>
    <w:rsid w:val="00434BA6"/>
    <w:rsid w:val="00435AF4"/>
    <w:rsid w:val="00442F99"/>
    <w:rsid w:val="00445545"/>
    <w:rsid w:val="00450CC1"/>
    <w:rsid w:val="004561B3"/>
    <w:rsid w:val="00470D9A"/>
    <w:rsid w:val="00481035"/>
    <w:rsid w:val="00482191"/>
    <w:rsid w:val="00483C8E"/>
    <w:rsid w:val="0048700E"/>
    <w:rsid w:val="00495B35"/>
    <w:rsid w:val="00497CE0"/>
    <w:rsid w:val="004A279F"/>
    <w:rsid w:val="004B0576"/>
    <w:rsid w:val="004B433A"/>
    <w:rsid w:val="004B5ADC"/>
    <w:rsid w:val="004C7CEA"/>
    <w:rsid w:val="004D0957"/>
    <w:rsid w:val="004D2242"/>
    <w:rsid w:val="004D6D0E"/>
    <w:rsid w:val="004E5A63"/>
    <w:rsid w:val="004E5F2B"/>
    <w:rsid w:val="004E6AD2"/>
    <w:rsid w:val="004F17BD"/>
    <w:rsid w:val="004F28C0"/>
    <w:rsid w:val="004F372C"/>
    <w:rsid w:val="00504670"/>
    <w:rsid w:val="00512EF9"/>
    <w:rsid w:val="005136A9"/>
    <w:rsid w:val="005208E3"/>
    <w:rsid w:val="00523304"/>
    <w:rsid w:val="00524FC0"/>
    <w:rsid w:val="00532A4C"/>
    <w:rsid w:val="00534BA5"/>
    <w:rsid w:val="00536BA5"/>
    <w:rsid w:val="0053750D"/>
    <w:rsid w:val="005417A8"/>
    <w:rsid w:val="00550E5E"/>
    <w:rsid w:val="00554BB2"/>
    <w:rsid w:val="00557108"/>
    <w:rsid w:val="005628D0"/>
    <w:rsid w:val="00563228"/>
    <w:rsid w:val="0056379C"/>
    <w:rsid w:val="00566FEA"/>
    <w:rsid w:val="00570420"/>
    <w:rsid w:val="00571C3F"/>
    <w:rsid w:val="00573E79"/>
    <w:rsid w:val="005747A8"/>
    <w:rsid w:val="00575D7B"/>
    <w:rsid w:val="00581B3E"/>
    <w:rsid w:val="00581E08"/>
    <w:rsid w:val="005837A3"/>
    <w:rsid w:val="0059020A"/>
    <w:rsid w:val="005913E5"/>
    <w:rsid w:val="005934FA"/>
    <w:rsid w:val="0059773B"/>
    <w:rsid w:val="005A056E"/>
    <w:rsid w:val="005A395D"/>
    <w:rsid w:val="005A5F94"/>
    <w:rsid w:val="005B2399"/>
    <w:rsid w:val="005B7168"/>
    <w:rsid w:val="005C028D"/>
    <w:rsid w:val="005C4A39"/>
    <w:rsid w:val="005C65ED"/>
    <w:rsid w:val="005D1022"/>
    <w:rsid w:val="005D7A33"/>
    <w:rsid w:val="005E143B"/>
    <w:rsid w:val="005E3215"/>
    <w:rsid w:val="005E33E5"/>
    <w:rsid w:val="005E5C91"/>
    <w:rsid w:val="005F233E"/>
    <w:rsid w:val="005F32CB"/>
    <w:rsid w:val="005F790E"/>
    <w:rsid w:val="00602BD3"/>
    <w:rsid w:val="0060660E"/>
    <w:rsid w:val="006150F3"/>
    <w:rsid w:val="00615172"/>
    <w:rsid w:val="00621298"/>
    <w:rsid w:val="0062270D"/>
    <w:rsid w:val="006234CD"/>
    <w:rsid w:val="00630DDB"/>
    <w:rsid w:val="00631455"/>
    <w:rsid w:val="00632315"/>
    <w:rsid w:val="00635CD0"/>
    <w:rsid w:val="00644702"/>
    <w:rsid w:val="006510EA"/>
    <w:rsid w:val="006515D6"/>
    <w:rsid w:val="00654CE0"/>
    <w:rsid w:val="006563F6"/>
    <w:rsid w:val="00656EB2"/>
    <w:rsid w:val="00660412"/>
    <w:rsid w:val="00661847"/>
    <w:rsid w:val="00661A89"/>
    <w:rsid w:val="00666532"/>
    <w:rsid w:val="006671EB"/>
    <w:rsid w:val="006807A6"/>
    <w:rsid w:val="0068702B"/>
    <w:rsid w:val="00696348"/>
    <w:rsid w:val="006A6708"/>
    <w:rsid w:val="006B1699"/>
    <w:rsid w:val="006B3E55"/>
    <w:rsid w:val="006B6326"/>
    <w:rsid w:val="006B6CAD"/>
    <w:rsid w:val="006B7221"/>
    <w:rsid w:val="006C6E0F"/>
    <w:rsid w:val="006D373A"/>
    <w:rsid w:val="006D61BD"/>
    <w:rsid w:val="006D71DC"/>
    <w:rsid w:val="006E6B36"/>
    <w:rsid w:val="006E7425"/>
    <w:rsid w:val="006E7D4F"/>
    <w:rsid w:val="006F333D"/>
    <w:rsid w:val="006F40FD"/>
    <w:rsid w:val="006F6189"/>
    <w:rsid w:val="00707CC8"/>
    <w:rsid w:val="007100AA"/>
    <w:rsid w:val="00713F54"/>
    <w:rsid w:val="0071414A"/>
    <w:rsid w:val="00715B72"/>
    <w:rsid w:val="00724887"/>
    <w:rsid w:val="007274C3"/>
    <w:rsid w:val="00736749"/>
    <w:rsid w:val="00743103"/>
    <w:rsid w:val="00744499"/>
    <w:rsid w:val="007448FC"/>
    <w:rsid w:val="0074646A"/>
    <w:rsid w:val="00755B4D"/>
    <w:rsid w:val="00755E99"/>
    <w:rsid w:val="00757073"/>
    <w:rsid w:val="0076050C"/>
    <w:rsid w:val="00766185"/>
    <w:rsid w:val="007736D6"/>
    <w:rsid w:val="0077712F"/>
    <w:rsid w:val="00784296"/>
    <w:rsid w:val="00791060"/>
    <w:rsid w:val="00795CE8"/>
    <w:rsid w:val="00795D7E"/>
    <w:rsid w:val="007A181A"/>
    <w:rsid w:val="007A3DCD"/>
    <w:rsid w:val="007A72DC"/>
    <w:rsid w:val="007A7C40"/>
    <w:rsid w:val="007B0C19"/>
    <w:rsid w:val="007B10FD"/>
    <w:rsid w:val="007B24E2"/>
    <w:rsid w:val="007B3849"/>
    <w:rsid w:val="007B39D2"/>
    <w:rsid w:val="007B41D5"/>
    <w:rsid w:val="007B4CC7"/>
    <w:rsid w:val="007B54B1"/>
    <w:rsid w:val="007B5825"/>
    <w:rsid w:val="007B77A4"/>
    <w:rsid w:val="007C1D87"/>
    <w:rsid w:val="007C51AD"/>
    <w:rsid w:val="007D4DDB"/>
    <w:rsid w:val="007E1B05"/>
    <w:rsid w:val="007E3071"/>
    <w:rsid w:val="007E5A11"/>
    <w:rsid w:val="007F0A41"/>
    <w:rsid w:val="007F513D"/>
    <w:rsid w:val="0080063A"/>
    <w:rsid w:val="008031B9"/>
    <w:rsid w:val="00804D0E"/>
    <w:rsid w:val="00804ECA"/>
    <w:rsid w:val="00805890"/>
    <w:rsid w:val="0080747B"/>
    <w:rsid w:val="00807E1F"/>
    <w:rsid w:val="008147D0"/>
    <w:rsid w:val="00826599"/>
    <w:rsid w:val="0083110D"/>
    <w:rsid w:val="00832DCD"/>
    <w:rsid w:val="00835A12"/>
    <w:rsid w:val="008409FB"/>
    <w:rsid w:val="008436B5"/>
    <w:rsid w:val="00845512"/>
    <w:rsid w:val="0085166B"/>
    <w:rsid w:val="00851B69"/>
    <w:rsid w:val="00852CC0"/>
    <w:rsid w:val="00852F32"/>
    <w:rsid w:val="008547E5"/>
    <w:rsid w:val="008575E0"/>
    <w:rsid w:val="00861A8D"/>
    <w:rsid w:val="008637F6"/>
    <w:rsid w:val="00863C99"/>
    <w:rsid w:val="00864AE3"/>
    <w:rsid w:val="00865361"/>
    <w:rsid w:val="00865D0C"/>
    <w:rsid w:val="008665B4"/>
    <w:rsid w:val="008673C1"/>
    <w:rsid w:val="008678D4"/>
    <w:rsid w:val="00871A53"/>
    <w:rsid w:val="008720A1"/>
    <w:rsid w:val="008760A3"/>
    <w:rsid w:val="00877820"/>
    <w:rsid w:val="00877CA1"/>
    <w:rsid w:val="0088194E"/>
    <w:rsid w:val="008822B6"/>
    <w:rsid w:val="00883170"/>
    <w:rsid w:val="008B2594"/>
    <w:rsid w:val="008C0732"/>
    <w:rsid w:val="008C70F1"/>
    <w:rsid w:val="008D1077"/>
    <w:rsid w:val="008D30AA"/>
    <w:rsid w:val="008D4840"/>
    <w:rsid w:val="008D52CB"/>
    <w:rsid w:val="008D556B"/>
    <w:rsid w:val="008E0CC1"/>
    <w:rsid w:val="008E2818"/>
    <w:rsid w:val="008E7A4A"/>
    <w:rsid w:val="008F159B"/>
    <w:rsid w:val="008F4D56"/>
    <w:rsid w:val="008F58D1"/>
    <w:rsid w:val="008F7B99"/>
    <w:rsid w:val="00907C2D"/>
    <w:rsid w:val="00923BA3"/>
    <w:rsid w:val="00926B75"/>
    <w:rsid w:val="0093365A"/>
    <w:rsid w:val="00937C89"/>
    <w:rsid w:val="00941339"/>
    <w:rsid w:val="009424E7"/>
    <w:rsid w:val="0094459C"/>
    <w:rsid w:val="00947382"/>
    <w:rsid w:val="00953876"/>
    <w:rsid w:val="00955844"/>
    <w:rsid w:val="009578D8"/>
    <w:rsid w:val="00963508"/>
    <w:rsid w:val="0096531B"/>
    <w:rsid w:val="00971D27"/>
    <w:rsid w:val="009729DE"/>
    <w:rsid w:val="00977CDC"/>
    <w:rsid w:val="00984BA7"/>
    <w:rsid w:val="00984FFD"/>
    <w:rsid w:val="00994719"/>
    <w:rsid w:val="009965A7"/>
    <w:rsid w:val="009A1729"/>
    <w:rsid w:val="009B5056"/>
    <w:rsid w:val="009C2026"/>
    <w:rsid w:val="009C2A12"/>
    <w:rsid w:val="009C5755"/>
    <w:rsid w:val="009D203C"/>
    <w:rsid w:val="009D20F5"/>
    <w:rsid w:val="009D40A6"/>
    <w:rsid w:val="009D47C7"/>
    <w:rsid w:val="009E1412"/>
    <w:rsid w:val="009F2756"/>
    <w:rsid w:val="009F5F66"/>
    <w:rsid w:val="00A00DDE"/>
    <w:rsid w:val="00A0484B"/>
    <w:rsid w:val="00A20246"/>
    <w:rsid w:val="00A226D7"/>
    <w:rsid w:val="00A22C5D"/>
    <w:rsid w:val="00A22ED2"/>
    <w:rsid w:val="00A233B3"/>
    <w:rsid w:val="00A251B3"/>
    <w:rsid w:val="00A26680"/>
    <w:rsid w:val="00A3069E"/>
    <w:rsid w:val="00A333D8"/>
    <w:rsid w:val="00A333FC"/>
    <w:rsid w:val="00A33C46"/>
    <w:rsid w:val="00A34E88"/>
    <w:rsid w:val="00A35E50"/>
    <w:rsid w:val="00A3688A"/>
    <w:rsid w:val="00A3754B"/>
    <w:rsid w:val="00A40743"/>
    <w:rsid w:val="00A47C5B"/>
    <w:rsid w:val="00A5054D"/>
    <w:rsid w:val="00A64AF9"/>
    <w:rsid w:val="00A64D00"/>
    <w:rsid w:val="00A67B32"/>
    <w:rsid w:val="00A71136"/>
    <w:rsid w:val="00A8635D"/>
    <w:rsid w:val="00A9316A"/>
    <w:rsid w:val="00A97612"/>
    <w:rsid w:val="00AB14BE"/>
    <w:rsid w:val="00AB2254"/>
    <w:rsid w:val="00AB5143"/>
    <w:rsid w:val="00AB5D63"/>
    <w:rsid w:val="00AB63E3"/>
    <w:rsid w:val="00AC20B7"/>
    <w:rsid w:val="00AC2A96"/>
    <w:rsid w:val="00AD48E3"/>
    <w:rsid w:val="00AD4B70"/>
    <w:rsid w:val="00AD7C6E"/>
    <w:rsid w:val="00AE479E"/>
    <w:rsid w:val="00AE4FF9"/>
    <w:rsid w:val="00AF029D"/>
    <w:rsid w:val="00AF2F89"/>
    <w:rsid w:val="00AF3572"/>
    <w:rsid w:val="00AF68CF"/>
    <w:rsid w:val="00AF753B"/>
    <w:rsid w:val="00AF77D1"/>
    <w:rsid w:val="00B01723"/>
    <w:rsid w:val="00B0351A"/>
    <w:rsid w:val="00B07860"/>
    <w:rsid w:val="00B12E0A"/>
    <w:rsid w:val="00B130EB"/>
    <w:rsid w:val="00B13D55"/>
    <w:rsid w:val="00B140B9"/>
    <w:rsid w:val="00B14E1D"/>
    <w:rsid w:val="00B169A4"/>
    <w:rsid w:val="00B17523"/>
    <w:rsid w:val="00B23B52"/>
    <w:rsid w:val="00B305B7"/>
    <w:rsid w:val="00B30F4D"/>
    <w:rsid w:val="00B34009"/>
    <w:rsid w:val="00B340F8"/>
    <w:rsid w:val="00B35889"/>
    <w:rsid w:val="00B4106F"/>
    <w:rsid w:val="00B41CCE"/>
    <w:rsid w:val="00B52081"/>
    <w:rsid w:val="00B61CAB"/>
    <w:rsid w:val="00B63BB1"/>
    <w:rsid w:val="00B6551E"/>
    <w:rsid w:val="00B67BE3"/>
    <w:rsid w:val="00B704F8"/>
    <w:rsid w:val="00B732B1"/>
    <w:rsid w:val="00B77119"/>
    <w:rsid w:val="00B77E7D"/>
    <w:rsid w:val="00B83D4F"/>
    <w:rsid w:val="00B84708"/>
    <w:rsid w:val="00B856C5"/>
    <w:rsid w:val="00B91FBB"/>
    <w:rsid w:val="00B955EC"/>
    <w:rsid w:val="00BA1E2E"/>
    <w:rsid w:val="00BA676C"/>
    <w:rsid w:val="00BA7E2D"/>
    <w:rsid w:val="00BB1CA5"/>
    <w:rsid w:val="00BB2198"/>
    <w:rsid w:val="00BB38AA"/>
    <w:rsid w:val="00BC01DA"/>
    <w:rsid w:val="00BC034F"/>
    <w:rsid w:val="00BC132C"/>
    <w:rsid w:val="00BC1583"/>
    <w:rsid w:val="00BC6E72"/>
    <w:rsid w:val="00BD17BA"/>
    <w:rsid w:val="00BD1A22"/>
    <w:rsid w:val="00BD3EC2"/>
    <w:rsid w:val="00BD5DC9"/>
    <w:rsid w:val="00BE2212"/>
    <w:rsid w:val="00BE3C13"/>
    <w:rsid w:val="00BF067F"/>
    <w:rsid w:val="00BF6933"/>
    <w:rsid w:val="00BF7274"/>
    <w:rsid w:val="00C01A19"/>
    <w:rsid w:val="00C01C98"/>
    <w:rsid w:val="00C07EC7"/>
    <w:rsid w:val="00C07F0A"/>
    <w:rsid w:val="00C11D79"/>
    <w:rsid w:val="00C131F7"/>
    <w:rsid w:val="00C16465"/>
    <w:rsid w:val="00C21763"/>
    <w:rsid w:val="00C23515"/>
    <w:rsid w:val="00C24746"/>
    <w:rsid w:val="00C265EB"/>
    <w:rsid w:val="00C30CE9"/>
    <w:rsid w:val="00C31BD2"/>
    <w:rsid w:val="00C31C37"/>
    <w:rsid w:val="00C3372C"/>
    <w:rsid w:val="00C3759D"/>
    <w:rsid w:val="00C4451A"/>
    <w:rsid w:val="00C44D60"/>
    <w:rsid w:val="00C50E6E"/>
    <w:rsid w:val="00C51C3F"/>
    <w:rsid w:val="00C52A7E"/>
    <w:rsid w:val="00C60A36"/>
    <w:rsid w:val="00C628FB"/>
    <w:rsid w:val="00C63457"/>
    <w:rsid w:val="00C64957"/>
    <w:rsid w:val="00C669F7"/>
    <w:rsid w:val="00C72BF1"/>
    <w:rsid w:val="00C74E5D"/>
    <w:rsid w:val="00C772C5"/>
    <w:rsid w:val="00C911CA"/>
    <w:rsid w:val="00C96F8E"/>
    <w:rsid w:val="00CA1A20"/>
    <w:rsid w:val="00CA2273"/>
    <w:rsid w:val="00CC1B57"/>
    <w:rsid w:val="00CC2111"/>
    <w:rsid w:val="00CC3B4C"/>
    <w:rsid w:val="00CD0D39"/>
    <w:rsid w:val="00CD3283"/>
    <w:rsid w:val="00CD46C2"/>
    <w:rsid w:val="00CE1795"/>
    <w:rsid w:val="00CE3802"/>
    <w:rsid w:val="00CE5C03"/>
    <w:rsid w:val="00CE7C6A"/>
    <w:rsid w:val="00CF0F78"/>
    <w:rsid w:val="00CF1BED"/>
    <w:rsid w:val="00CF20D1"/>
    <w:rsid w:val="00CF6192"/>
    <w:rsid w:val="00CF7557"/>
    <w:rsid w:val="00D0134C"/>
    <w:rsid w:val="00D0141E"/>
    <w:rsid w:val="00D025D7"/>
    <w:rsid w:val="00D03FEF"/>
    <w:rsid w:val="00D041D0"/>
    <w:rsid w:val="00D057E6"/>
    <w:rsid w:val="00D15EB9"/>
    <w:rsid w:val="00D173B4"/>
    <w:rsid w:val="00D239C9"/>
    <w:rsid w:val="00D3048C"/>
    <w:rsid w:val="00D304B9"/>
    <w:rsid w:val="00D31DF8"/>
    <w:rsid w:val="00D325B6"/>
    <w:rsid w:val="00D3343C"/>
    <w:rsid w:val="00D34AEA"/>
    <w:rsid w:val="00D36181"/>
    <w:rsid w:val="00D3622B"/>
    <w:rsid w:val="00D446E8"/>
    <w:rsid w:val="00D519EA"/>
    <w:rsid w:val="00D64F55"/>
    <w:rsid w:val="00D71110"/>
    <w:rsid w:val="00D74110"/>
    <w:rsid w:val="00D76537"/>
    <w:rsid w:val="00D77DF8"/>
    <w:rsid w:val="00D813EA"/>
    <w:rsid w:val="00D851EA"/>
    <w:rsid w:val="00D9462A"/>
    <w:rsid w:val="00D949A6"/>
    <w:rsid w:val="00D96442"/>
    <w:rsid w:val="00DA057D"/>
    <w:rsid w:val="00DA4DE9"/>
    <w:rsid w:val="00DA5AD5"/>
    <w:rsid w:val="00DB3F38"/>
    <w:rsid w:val="00DB5C7D"/>
    <w:rsid w:val="00DB5D7D"/>
    <w:rsid w:val="00DB7D37"/>
    <w:rsid w:val="00DC290C"/>
    <w:rsid w:val="00DC33D6"/>
    <w:rsid w:val="00DC3E34"/>
    <w:rsid w:val="00DC4D0D"/>
    <w:rsid w:val="00DC6DF8"/>
    <w:rsid w:val="00DD0913"/>
    <w:rsid w:val="00DD1343"/>
    <w:rsid w:val="00DE3139"/>
    <w:rsid w:val="00DE464A"/>
    <w:rsid w:val="00DE5640"/>
    <w:rsid w:val="00DE5F05"/>
    <w:rsid w:val="00DF6F63"/>
    <w:rsid w:val="00E002ED"/>
    <w:rsid w:val="00E11A77"/>
    <w:rsid w:val="00E14C3E"/>
    <w:rsid w:val="00E16A75"/>
    <w:rsid w:val="00E17AE8"/>
    <w:rsid w:val="00E217A0"/>
    <w:rsid w:val="00E227B4"/>
    <w:rsid w:val="00E235F1"/>
    <w:rsid w:val="00E3758B"/>
    <w:rsid w:val="00E436A2"/>
    <w:rsid w:val="00E46B04"/>
    <w:rsid w:val="00E540B3"/>
    <w:rsid w:val="00E550EC"/>
    <w:rsid w:val="00E56A8A"/>
    <w:rsid w:val="00E60DF1"/>
    <w:rsid w:val="00E65FFB"/>
    <w:rsid w:val="00E67135"/>
    <w:rsid w:val="00E7142C"/>
    <w:rsid w:val="00E73E1E"/>
    <w:rsid w:val="00E82989"/>
    <w:rsid w:val="00E83E34"/>
    <w:rsid w:val="00E87F02"/>
    <w:rsid w:val="00EA1F9A"/>
    <w:rsid w:val="00EB02B3"/>
    <w:rsid w:val="00EC0DA4"/>
    <w:rsid w:val="00EC5DDF"/>
    <w:rsid w:val="00ED0F2F"/>
    <w:rsid w:val="00ED1F90"/>
    <w:rsid w:val="00ED422D"/>
    <w:rsid w:val="00ED672D"/>
    <w:rsid w:val="00ED69E4"/>
    <w:rsid w:val="00ED7C77"/>
    <w:rsid w:val="00ED7EA4"/>
    <w:rsid w:val="00EE18F9"/>
    <w:rsid w:val="00EE2486"/>
    <w:rsid w:val="00EE4C56"/>
    <w:rsid w:val="00EF4DD3"/>
    <w:rsid w:val="00F00D23"/>
    <w:rsid w:val="00F13C02"/>
    <w:rsid w:val="00F32062"/>
    <w:rsid w:val="00F339D0"/>
    <w:rsid w:val="00F36099"/>
    <w:rsid w:val="00F40F49"/>
    <w:rsid w:val="00F44080"/>
    <w:rsid w:val="00F46AF3"/>
    <w:rsid w:val="00F472A8"/>
    <w:rsid w:val="00F504E3"/>
    <w:rsid w:val="00F51F23"/>
    <w:rsid w:val="00F562E9"/>
    <w:rsid w:val="00F57BFC"/>
    <w:rsid w:val="00F61AB6"/>
    <w:rsid w:val="00F61B1D"/>
    <w:rsid w:val="00F6228E"/>
    <w:rsid w:val="00F6653F"/>
    <w:rsid w:val="00F66CE5"/>
    <w:rsid w:val="00F66EAC"/>
    <w:rsid w:val="00F67E1F"/>
    <w:rsid w:val="00F701A0"/>
    <w:rsid w:val="00F703A8"/>
    <w:rsid w:val="00F80CFB"/>
    <w:rsid w:val="00F812A4"/>
    <w:rsid w:val="00F82E88"/>
    <w:rsid w:val="00F865CA"/>
    <w:rsid w:val="00F877E5"/>
    <w:rsid w:val="00F9133B"/>
    <w:rsid w:val="00F94301"/>
    <w:rsid w:val="00FA506B"/>
    <w:rsid w:val="00FB194D"/>
    <w:rsid w:val="00FB1C86"/>
    <w:rsid w:val="00FB5219"/>
    <w:rsid w:val="00FB6EDD"/>
    <w:rsid w:val="00FB7A48"/>
    <w:rsid w:val="00FC022F"/>
    <w:rsid w:val="00FC283D"/>
    <w:rsid w:val="00FC528A"/>
    <w:rsid w:val="00FD22EC"/>
    <w:rsid w:val="00FD34BC"/>
    <w:rsid w:val="00FD51C9"/>
    <w:rsid w:val="00FD7E53"/>
    <w:rsid w:val="00FE0B7E"/>
    <w:rsid w:val="00FE162E"/>
    <w:rsid w:val="00FE5A05"/>
    <w:rsid w:val="00FF10AA"/>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left" w:pos="1440"/>
      </w:tabs>
      <w:spacing w:after="220"/>
      <w:jc w:val="both"/>
    </w:p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rPr>
      <w:lang w:val="en-US" w:eastAsia="en-US" w:bidi="ar-SA"/>
    </w:rPr>
  </w:style>
  <w:style w:type="paragraph" w:customStyle="1" w:styleId="ParaNumChar">
    <w:name w:val="ParaNum Char"/>
    <w:basedOn w:val="Normal"/>
    <w:pPr>
      <w:widowControl w:val="0"/>
      <w:tabs>
        <w:tab w:val="left" w:pos="1440"/>
        <w:tab w:val="num" w:pos="9270"/>
      </w:tabs>
      <w:spacing w:after="220"/>
      <w:ind w:left="8190" w:firstLine="720"/>
      <w:jc w:val="both"/>
    </w:pPr>
  </w:style>
  <w:style w:type="character" w:styleId="Hyperlink">
    <w:name w:val="Hyperlink"/>
    <w:rPr>
      <w:color w:val="0000FF"/>
      <w:u w:val="single"/>
    </w:rPr>
  </w:style>
  <w:style w:type="character" w:customStyle="1" w:styleId="ALTSFOOTNOTEChar">
    <w:name w:val="ALTS FOOTNOTE Char"/>
    <w:aliases w:val="rrfootnote Char Char,rrfootnote Char"/>
    <w:semiHidden/>
    <w:locked/>
    <w:rsid w:val="005136A9"/>
    <w:rPr>
      <w:lang w:val="en-US" w:eastAsia="en-US" w:bidi="ar-SA"/>
    </w:rPr>
  </w:style>
  <w:style w:type="character" w:styleId="CommentReference">
    <w:name w:val="annotation reference"/>
    <w:semiHidden/>
    <w:rsid w:val="004561B3"/>
    <w:rPr>
      <w:sz w:val="16"/>
      <w:szCs w:val="16"/>
    </w:rPr>
  </w:style>
  <w:style w:type="paragraph" w:styleId="CommentText">
    <w:name w:val="annotation text"/>
    <w:basedOn w:val="Normal"/>
    <w:semiHidden/>
    <w:rsid w:val="004561B3"/>
    <w:rPr>
      <w:sz w:val="20"/>
    </w:rPr>
  </w:style>
  <w:style w:type="paragraph" w:styleId="CommentSubject">
    <w:name w:val="annotation subject"/>
    <w:basedOn w:val="CommentText"/>
    <w:next w:val="CommentText"/>
    <w:semiHidden/>
    <w:rsid w:val="004561B3"/>
    <w:rPr>
      <w:b/>
      <w:bCs/>
    </w:rPr>
  </w:style>
  <w:style w:type="character" w:customStyle="1" w:styleId="apple-converted-space">
    <w:name w:val="apple-converted-space"/>
    <w:rsid w:val="00E235F1"/>
  </w:style>
  <w:style w:type="character" w:customStyle="1" w:styleId="ParaNumChar1">
    <w:name w:val="ParaNum Char1"/>
    <w:link w:val="ParaNum"/>
    <w:locked/>
    <w:rsid w:val="001604DA"/>
    <w:rPr>
      <w:sz w:val="22"/>
      <w:lang w:val="en-US" w:eastAsia="en-US" w:bidi="ar-SA"/>
    </w:rPr>
  </w:style>
  <w:style w:type="character" w:styleId="FollowedHyperlink">
    <w:name w:val="FollowedHyperlink"/>
    <w:rsid w:val="000B5C07"/>
    <w:rPr>
      <w:color w:val="800080"/>
      <w:u w:val="single"/>
    </w:rPr>
  </w:style>
  <w:style w:type="paragraph" w:styleId="Revision">
    <w:name w:val="Revision"/>
    <w:hidden/>
    <w:uiPriority w:val="99"/>
    <w:semiHidden/>
    <w:rsid w:val="004821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left" w:pos="1440"/>
      </w:tabs>
      <w:spacing w:after="220"/>
      <w:jc w:val="both"/>
    </w:p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rPr>
      <w:lang w:val="en-US" w:eastAsia="en-US" w:bidi="ar-SA"/>
    </w:rPr>
  </w:style>
  <w:style w:type="paragraph" w:customStyle="1" w:styleId="ParaNumChar">
    <w:name w:val="ParaNum Char"/>
    <w:basedOn w:val="Normal"/>
    <w:pPr>
      <w:widowControl w:val="0"/>
      <w:tabs>
        <w:tab w:val="left" w:pos="1440"/>
        <w:tab w:val="num" w:pos="9270"/>
      </w:tabs>
      <w:spacing w:after="220"/>
      <w:ind w:left="8190" w:firstLine="720"/>
      <w:jc w:val="both"/>
    </w:pPr>
  </w:style>
  <w:style w:type="character" w:styleId="Hyperlink">
    <w:name w:val="Hyperlink"/>
    <w:rPr>
      <w:color w:val="0000FF"/>
      <w:u w:val="single"/>
    </w:rPr>
  </w:style>
  <w:style w:type="character" w:customStyle="1" w:styleId="ALTSFOOTNOTEChar">
    <w:name w:val="ALTS FOOTNOTE Char"/>
    <w:aliases w:val="rrfootnote Char Char,rrfootnote Char"/>
    <w:semiHidden/>
    <w:locked/>
    <w:rsid w:val="005136A9"/>
    <w:rPr>
      <w:lang w:val="en-US" w:eastAsia="en-US" w:bidi="ar-SA"/>
    </w:rPr>
  </w:style>
  <w:style w:type="character" w:styleId="CommentReference">
    <w:name w:val="annotation reference"/>
    <w:semiHidden/>
    <w:rsid w:val="004561B3"/>
    <w:rPr>
      <w:sz w:val="16"/>
      <w:szCs w:val="16"/>
    </w:rPr>
  </w:style>
  <w:style w:type="paragraph" w:styleId="CommentText">
    <w:name w:val="annotation text"/>
    <w:basedOn w:val="Normal"/>
    <w:semiHidden/>
    <w:rsid w:val="004561B3"/>
    <w:rPr>
      <w:sz w:val="20"/>
    </w:rPr>
  </w:style>
  <w:style w:type="paragraph" w:styleId="CommentSubject">
    <w:name w:val="annotation subject"/>
    <w:basedOn w:val="CommentText"/>
    <w:next w:val="CommentText"/>
    <w:semiHidden/>
    <w:rsid w:val="004561B3"/>
    <w:rPr>
      <w:b/>
      <w:bCs/>
    </w:rPr>
  </w:style>
  <w:style w:type="character" w:customStyle="1" w:styleId="apple-converted-space">
    <w:name w:val="apple-converted-space"/>
    <w:rsid w:val="00E235F1"/>
  </w:style>
  <w:style w:type="character" w:customStyle="1" w:styleId="ParaNumChar1">
    <w:name w:val="ParaNum Char1"/>
    <w:link w:val="ParaNum"/>
    <w:locked/>
    <w:rsid w:val="001604DA"/>
    <w:rPr>
      <w:sz w:val="22"/>
      <w:lang w:val="en-US" w:eastAsia="en-US" w:bidi="ar-SA"/>
    </w:rPr>
  </w:style>
  <w:style w:type="character" w:styleId="FollowedHyperlink">
    <w:name w:val="FollowedHyperlink"/>
    <w:rsid w:val="000B5C07"/>
    <w:rPr>
      <w:color w:val="800080"/>
      <w:u w:val="single"/>
    </w:rPr>
  </w:style>
  <w:style w:type="paragraph" w:styleId="Revision">
    <w:name w:val="Revision"/>
    <w:hidden/>
    <w:uiPriority w:val="99"/>
    <w:semiHidden/>
    <w:rsid w:val="004821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ny.Drak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Grosh@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6780</Characters>
  <Application>Microsoft Office Word</Application>
  <DocSecurity>0</DocSecurity>
  <Lines>142</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8138</CharactersWithSpaces>
  <SharedDoc>false</SharedDoc>
  <HyperlinkBase> </HyperlinkBase>
  <HLinks>
    <vt:vector size="12" baseType="variant">
      <vt:variant>
        <vt:i4>4194348</vt:i4>
      </vt:variant>
      <vt:variant>
        <vt:i4>3</vt:i4>
      </vt:variant>
      <vt:variant>
        <vt:i4>0</vt:i4>
      </vt:variant>
      <vt:variant>
        <vt:i4>5</vt:i4>
      </vt:variant>
      <vt:variant>
        <vt:lpwstr>mailto:Daniel.Grosh@fcc.gov</vt:lpwstr>
      </vt:variant>
      <vt:variant>
        <vt:lpwstr/>
      </vt:variant>
      <vt:variant>
        <vt:i4>5963824</vt:i4>
      </vt:variant>
      <vt:variant>
        <vt:i4>0</vt:i4>
      </vt:variant>
      <vt:variant>
        <vt:i4>0</vt:i4>
      </vt:variant>
      <vt:variant>
        <vt:i4>5</vt:i4>
      </vt:variant>
      <vt:variant>
        <vt:lpwstr>mailto:Johnny.Drake@fcc.gov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2012-12-17T21:14:00Z</cp:lastPrinted>
  <dcterms:created xsi:type="dcterms:W3CDTF">2013-05-07T16:25:00Z</dcterms:created>
  <dcterms:modified xsi:type="dcterms:W3CDTF">2013-05-07T16:25:00Z</dcterms:modified>
  <cp:category> </cp:category>
  <cp:contentStatus> </cp:contentStatus>
</cp:coreProperties>
</file>