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F1" w:rsidRDefault="00377DF1" w:rsidP="00377DF1">
      <w:pPr>
        <w:spacing w:after="120"/>
        <w:jc w:val="center"/>
        <w:rPr>
          <w:b/>
          <w:szCs w:val="22"/>
        </w:rPr>
      </w:pPr>
      <w:bookmarkStart w:id="0" w:name="_GoBack"/>
      <w:bookmarkEnd w:id="0"/>
      <w:r w:rsidRPr="0049500D">
        <w:rPr>
          <w:b/>
          <w:szCs w:val="22"/>
        </w:rPr>
        <w:t>CONCURRING STATEMENT OF</w:t>
      </w:r>
      <w:r w:rsidRPr="0049500D">
        <w:rPr>
          <w:b/>
          <w:szCs w:val="22"/>
        </w:rPr>
        <w:br/>
        <w:t>COMMISSIONER PAI</w:t>
      </w:r>
    </w:p>
    <w:p w:rsidR="00377DF1" w:rsidRPr="00FB0CA8" w:rsidRDefault="00377DF1" w:rsidP="00377DF1">
      <w:pPr>
        <w:spacing w:after="120"/>
        <w:jc w:val="center"/>
        <w:rPr>
          <w:b/>
          <w:szCs w:val="22"/>
        </w:rPr>
      </w:pPr>
    </w:p>
    <w:p w:rsidR="00377DF1" w:rsidRPr="00D62351" w:rsidRDefault="00377DF1" w:rsidP="00377DF1">
      <w:pPr>
        <w:rPr>
          <w:i/>
          <w:szCs w:val="22"/>
        </w:rPr>
      </w:pPr>
      <w:r w:rsidRPr="00D62351">
        <w:rPr>
          <w:szCs w:val="22"/>
        </w:rPr>
        <w:t>RE:  Facilitating the Deployment of Text-to-911 and Other Next Generation 911 Applications, PS Docket No. 11-153; Framework for</w:t>
      </w:r>
      <w:r>
        <w:rPr>
          <w:szCs w:val="22"/>
        </w:rPr>
        <w:t xml:space="preserve"> Next Generation 911 Deployment,</w:t>
      </w:r>
      <w:r w:rsidRPr="00D62351">
        <w:rPr>
          <w:szCs w:val="22"/>
        </w:rPr>
        <w:t xml:space="preserve"> PS Docket No. 10-255.</w:t>
      </w:r>
    </w:p>
    <w:p w:rsidR="00377DF1" w:rsidRPr="00FB0CA8" w:rsidRDefault="00377DF1" w:rsidP="00377DF1">
      <w:pPr>
        <w:rPr>
          <w:szCs w:val="22"/>
        </w:rPr>
      </w:pPr>
    </w:p>
    <w:p w:rsidR="00377DF1" w:rsidRPr="00FB0CA8" w:rsidRDefault="00377DF1" w:rsidP="00377DF1">
      <w:pPr>
        <w:spacing w:after="120"/>
        <w:rPr>
          <w:szCs w:val="22"/>
        </w:rPr>
      </w:pPr>
      <w:r w:rsidRPr="00FB0CA8">
        <w:rPr>
          <w:szCs w:val="22"/>
        </w:rPr>
        <w:t xml:space="preserve">People in need of emergency assistance should not be left with the false impression that first responders are on the way, when in fact they are not.  That is why I support the automatic “bounce-back” text message requirement set forth in this Report and Order.  If Americans send an emergency text to 911 in a location where text-to-911 capability is not yet available, they should be notified immediately that they must contact public safety personnel in another way, such as by calling 911.  This “bounce-back” requirement that we adopt today is of particular importance to deaf and hard-of-hearing Americans, who disproportionately rely on texting as a means of communication.    </w:t>
      </w:r>
    </w:p>
    <w:p w:rsidR="00F42F06" w:rsidRPr="00377DF1" w:rsidRDefault="00377DF1" w:rsidP="00377DF1">
      <w:r w:rsidRPr="00FB0CA8">
        <w:rPr>
          <w:szCs w:val="22"/>
        </w:rPr>
        <w:t>I also believe that the Commission possesses the legal authority to issue these rules.  But I cannot support the lengthy legal analysis contained in this item, which offers a grab bag of theories, some far-reaching and questionable.  For example, the Commission today claims sweeping authority to prescribe “rules that prevent the transmission of potentially misleading text messages.”</w:t>
      </w:r>
      <w:r w:rsidRPr="0049500D">
        <w:rPr>
          <w:rStyle w:val="FootnoteReference"/>
          <w:szCs w:val="22"/>
        </w:rPr>
        <w:footnoteReference w:id="1"/>
      </w:r>
      <w:r w:rsidRPr="0049500D">
        <w:rPr>
          <w:szCs w:val="22"/>
        </w:rPr>
        <w:t xml:space="preserve">  This remarkable assertion of power raises serious First Amendment </w:t>
      </w:r>
      <w:r w:rsidRPr="00E81AD3">
        <w:rPr>
          <w:szCs w:val="22"/>
        </w:rPr>
        <w:t>questions and should give pause to anyone who has ever sent a “potentially misleading” text message.  Similarly, the reliance on a statutory provision that empowers the Commission to implement policy recommendations made by non-governmental actors</w:t>
      </w:r>
      <w:r w:rsidRPr="0049500D">
        <w:rPr>
          <w:rStyle w:val="FootnoteReference"/>
          <w:szCs w:val="22"/>
        </w:rPr>
        <w:footnoteReference w:id="2"/>
      </w:r>
      <w:r w:rsidRPr="0049500D">
        <w:rPr>
          <w:szCs w:val="22"/>
        </w:rPr>
        <w:t xml:space="preserve"> evokes constitutional doubts dating back to the Great Depression.</w:t>
      </w:r>
      <w:r w:rsidRPr="0049500D">
        <w:rPr>
          <w:rStyle w:val="FootnoteReference"/>
          <w:szCs w:val="22"/>
        </w:rPr>
        <w:footnoteReference w:id="3"/>
      </w:r>
      <w:r w:rsidRPr="0049500D">
        <w:rPr>
          <w:szCs w:val="22"/>
        </w:rPr>
        <w:t xml:space="preserve">  Law and prudence suggest we go no further than necessary in justifying otherwise </w:t>
      </w:r>
      <w:r w:rsidRPr="00E81AD3">
        <w:rPr>
          <w:szCs w:val="22"/>
        </w:rPr>
        <w:t>worthwhile policy choices.</w:t>
      </w:r>
    </w:p>
    <w:sectPr w:rsidR="00F42F06" w:rsidRPr="00377D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0C" w:rsidRDefault="0068150C" w:rsidP="009311F3">
      <w:r>
        <w:separator/>
      </w:r>
    </w:p>
  </w:endnote>
  <w:endnote w:type="continuationSeparator" w:id="0">
    <w:p w:rsidR="0068150C" w:rsidRDefault="0068150C" w:rsidP="0093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A" w:rsidRDefault="00C10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A" w:rsidRDefault="00C10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A" w:rsidRDefault="00C10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0C" w:rsidRDefault="0068150C" w:rsidP="009311F3">
      <w:r>
        <w:separator/>
      </w:r>
    </w:p>
  </w:footnote>
  <w:footnote w:type="continuationSeparator" w:id="0">
    <w:p w:rsidR="0068150C" w:rsidRDefault="0068150C" w:rsidP="009311F3">
      <w:r>
        <w:continuationSeparator/>
      </w:r>
    </w:p>
  </w:footnote>
  <w:footnote w:id="1">
    <w:p w:rsidR="00377DF1" w:rsidRPr="00733881" w:rsidRDefault="00377DF1" w:rsidP="00377DF1">
      <w:pPr>
        <w:pStyle w:val="FootnoteText"/>
      </w:pPr>
      <w:r w:rsidRPr="00733881">
        <w:rPr>
          <w:rStyle w:val="FootnoteReference"/>
        </w:rPr>
        <w:footnoteRef/>
      </w:r>
      <w:r w:rsidRPr="00733881">
        <w:t xml:space="preserve"> Report and Order, para. 129.  </w:t>
      </w:r>
    </w:p>
  </w:footnote>
  <w:footnote w:id="2">
    <w:p w:rsidR="00377DF1" w:rsidRPr="003359A1" w:rsidRDefault="00377DF1" w:rsidP="00377DF1">
      <w:pPr>
        <w:pStyle w:val="FootnoteText"/>
      </w:pPr>
      <w:r w:rsidRPr="00733881">
        <w:rPr>
          <w:rStyle w:val="FootnoteReference"/>
        </w:rPr>
        <w:footnoteRef/>
      </w:r>
      <w:r w:rsidRPr="003359A1">
        <w:t xml:space="preserve"> </w:t>
      </w:r>
      <w:r w:rsidRPr="003359A1">
        <w:rPr>
          <w:i/>
        </w:rPr>
        <w:t>Id</w:t>
      </w:r>
      <w:r w:rsidRPr="003359A1">
        <w:t>., para. 97 (</w:t>
      </w:r>
      <w:r w:rsidRPr="00963DD6">
        <w:rPr>
          <w:szCs w:val="22"/>
        </w:rPr>
        <w:t>citing</w:t>
      </w:r>
      <w:r w:rsidRPr="00733881">
        <w:rPr>
          <w:szCs w:val="22"/>
        </w:rPr>
        <w:t xml:space="preserve"> </w:t>
      </w:r>
      <w:r w:rsidRPr="00733881">
        <w:t xml:space="preserve">47 U.S.C. § 615c(g) (“The Commission shall have the authority to promulgate regulations to implement the recommendations proposed by the </w:t>
      </w:r>
      <w:r w:rsidRPr="003359A1">
        <w:t>[Emergency Access] Advisory Committee[.]”)</w:t>
      </w:r>
      <w:r>
        <w:t>)</w:t>
      </w:r>
      <w:r w:rsidRPr="003359A1">
        <w:rPr>
          <w:szCs w:val="22"/>
        </w:rPr>
        <w:t xml:space="preserve">.  </w:t>
      </w:r>
    </w:p>
  </w:footnote>
  <w:footnote w:id="3">
    <w:p w:rsidR="00377DF1" w:rsidRPr="00733881" w:rsidRDefault="00377DF1" w:rsidP="00377DF1">
      <w:pPr>
        <w:pStyle w:val="FootnoteText"/>
      </w:pPr>
      <w:r w:rsidRPr="00733881">
        <w:rPr>
          <w:rStyle w:val="FootnoteReference"/>
        </w:rPr>
        <w:footnoteRef/>
      </w:r>
      <w:r w:rsidRPr="00733881">
        <w:t xml:space="preserve"> </w:t>
      </w:r>
      <w:r w:rsidRPr="003359A1">
        <w:rPr>
          <w:i/>
        </w:rPr>
        <w:t>See</w:t>
      </w:r>
      <w:r w:rsidRPr="00963DD6">
        <w:rPr>
          <w:i/>
        </w:rPr>
        <w:t>,</w:t>
      </w:r>
      <w:r w:rsidRPr="00733881">
        <w:t xml:space="preserve"> </w:t>
      </w:r>
      <w:r w:rsidRPr="003359A1">
        <w:rPr>
          <w:i/>
        </w:rPr>
        <w:t>e</w:t>
      </w:r>
      <w:r w:rsidRPr="00733881">
        <w:t>.</w:t>
      </w:r>
      <w:r w:rsidRPr="003359A1">
        <w:rPr>
          <w:i/>
        </w:rPr>
        <w:t>g</w:t>
      </w:r>
      <w:r w:rsidRPr="00733881">
        <w:t xml:space="preserve">., </w:t>
      </w:r>
      <w:r w:rsidRPr="00733881">
        <w:rPr>
          <w:i/>
        </w:rPr>
        <w:t>A.L.A. Schechter Poultry Corp. v. U</w:t>
      </w:r>
      <w:r>
        <w:rPr>
          <w:i/>
        </w:rPr>
        <w:t>nited States</w:t>
      </w:r>
      <w:r>
        <w:t>, 295 U.S. 495, 541–</w:t>
      </w:r>
      <w:r w:rsidRPr="00733881">
        <w:t>42</w:t>
      </w:r>
      <w:r>
        <w:t xml:space="preserve"> (1935)</w:t>
      </w:r>
      <w:r w:rsidRPr="00733881">
        <w:t xml:space="preserve"> (striking down </w:t>
      </w:r>
      <w:r>
        <w:t xml:space="preserve">as an unconstitutional delegation of authority </w:t>
      </w:r>
      <w:r w:rsidRPr="00733881">
        <w:t xml:space="preserve">provision of National Industrial Recovery Act giving President </w:t>
      </w:r>
      <w:r>
        <w:t>power</w:t>
      </w:r>
      <w:r w:rsidRPr="00733881">
        <w:t xml:space="preserve"> to approve “codes of fair competition” as recommended by trade or industrial associations or groups); </w:t>
      </w:r>
      <w:r w:rsidRPr="003359A1">
        <w:rPr>
          <w:i/>
        </w:rPr>
        <w:t>Carter v. Carter Coal Co.</w:t>
      </w:r>
      <w:r>
        <w:t>, 298 U.S. 238, 310–</w:t>
      </w:r>
      <w:r w:rsidRPr="00733881">
        <w:t>11 (1936) (holding unconstitutional statutory provision granting private entities the authority to set certain labor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A" w:rsidRDefault="00C10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F3" w:rsidRPr="009311F3" w:rsidRDefault="009311F3" w:rsidP="009311F3">
    <w:pPr>
      <w:pBdr>
        <w:bottom w:val="single" w:sz="12" w:space="1" w:color="auto"/>
      </w:pBdr>
      <w:tabs>
        <w:tab w:val="center" w:pos="4680"/>
        <w:tab w:val="right" w:pos="9360"/>
      </w:tabs>
    </w:pPr>
    <w:r>
      <w:rPr>
        <w:b/>
      </w:rPr>
      <w:tab/>
    </w:r>
    <w:r w:rsidRPr="009311F3">
      <w:rPr>
        <w:b/>
      </w:rPr>
      <w:t>Federal Communications Commission</w:t>
    </w:r>
    <w:r w:rsidRPr="009311F3">
      <w:rPr>
        <w:b/>
      </w:rPr>
      <w:tab/>
      <w:t>FCC 13-64</w:t>
    </w:r>
  </w:p>
  <w:p w:rsidR="009311F3" w:rsidRPr="009311F3" w:rsidRDefault="009311F3" w:rsidP="009311F3">
    <w:pPr>
      <w:tabs>
        <w:tab w:val="left" w:pos="-720"/>
      </w:tabs>
      <w:suppressAutoHyphens/>
      <w:spacing w:line="19" w:lineRule="exact"/>
      <w:rPr>
        <w:spacing w:val="-2"/>
      </w:rPr>
    </w:pPr>
  </w:p>
  <w:p w:rsidR="009311F3" w:rsidRPr="009311F3" w:rsidRDefault="009311F3" w:rsidP="009311F3">
    <w:pPr>
      <w:spacing w:after="389" w:line="100" w:lineRule="exact"/>
      <w:rPr>
        <w:sz w:val="10"/>
      </w:rPr>
    </w:pPr>
  </w:p>
  <w:p w:rsidR="009311F3" w:rsidRDefault="00931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A" w:rsidRDefault="00C10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F3"/>
    <w:rsid w:val="00377DF1"/>
    <w:rsid w:val="00655964"/>
    <w:rsid w:val="0068150C"/>
    <w:rsid w:val="009311F3"/>
    <w:rsid w:val="00BE5E9F"/>
    <w:rsid w:val="00BF5021"/>
    <w:rsid w:val="00C10E7A"/>
    <w:rsid w:val="00F4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F3"/>
    <w:pPr>
      <w:widowControl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F3"/>
    <w:pPr>
      <w:tabs>
        <w:tab w:val="center" w:pos="4680"/>
        <w:tab w:val="right" w:pos="9360"/>
      </w:tabs>
    </w:pPr>
  </w:style>
  <w:style w:type="character" w:customStyle="1" w:styleId="HeaderChar">
    <w:name w:val="Header Char"/>
    <w:basedOn w:val="DefaultParagraphFont"/>
    <w:link w:val="Header"/>
    <w:uiPriority w:val="99"/>
    <w:rsid w:val="009311F3"/>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9311F3"/>
    <w:pPr>
      <w:tabs>
        <w:tab w:val="center" w:pos="4680"/>
        <w:tab w:val="right" w:pos="9360"/>
      </w:tabs>
    </w:pPr>
  </w:style>
  <w:style w:type="character" w:customStyle="1" w:styleId="FooterChar">
    <w:name w:val="Footer Char"/>
    <w:basedOn w:val="DefaultParagraphFont"/>
    <w:link w:val="Footer"/>
    <w:uiPriority w:val="99"/>
    <w:rsid w:val="009311F3"/>
    <w:rPr>
      <w:rFonts w:ascii="Times New Roman" w:eastAsia="Times New Roman" w:hAnsi="Times New Roman" w:cs="Times New Roman"/>
      <w:kern w:val="28"/>
      <w:szCs w:val="20"/>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uiPriority w:val="99"/>
    <w:rsid w:val="00377DF1"/>
    <w:pPr>
      <w:widowControl/>
      <w:spacing w:after="120"/>
    </w:pPr>
    <w:rPr>
      <w:kern w:val="0"/>
      <w:sz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rsid w:val="00377DF1"/>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basedOn w:val="DefaultParagraphFont"/>
    <w:uiPriority w:val="99"/>
    <w:rsid w:val="00377DF1"/>
    <w:rPr>
      <w:rFonts w:ascii="Times New Roman" w:hAnsi="Times New Roman" w:cs="Times New Roman"/>
      <w:color w:val="auto"/>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F3"/>
    <w:pPr>
      <w:widowControl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F3"/>
    <w:pPr>
      <w:tabs>
        <w:tab w:val="center" w:pos="4680"/>
        <w:tab w:val="right" w:pos="9360"/>
      </w:tabs>
    </w:pPr>
  </w:style>
  <w:style w:type="character" w:customStyle="1" w:styleId="HeaderChar">
    <w:name w:val="Header Char"/>
    <w:basedOn w:val="DefaultParagraphFont"/>
    <w:link w:val="Header"/>
    <w:uiPriority w:val="99"/>
    <w:rsid w:val="009311F3"/>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9311F3"/>
    <w:pPr>
      <w:tabs>
        <w:tab w:val="center" w:pos="4680"/>
        <w:tab w:val="right" w:pos="9360"/>
      </w:tabs>
    </w:pPr>
  </w:style>
  <w:style w:type="character" w:customStyle="1" w:styleId="FooterChar">
    <w:name w:val="Footer Char"/>
    <w:basedOn w:val="DefaultParagraphFont"/>
    <w:link w:val="Footer"/>
    <w:uiPriority w:val="99"/>
    <w:rsid w:val="009311F3"/>
    <w:rPr>
      <w:rFonts w:ascii="Times New Roman" w:eastAsia="Times New Roman" w:hAnsi="Times New Roman" w:cs="Times New Roman"/>
      <w:kern w:val="28"/>
      <w:szCs w:val="20"/>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uiPriority w:val="99"/>
    <w:rsid w:val="00377DF1"/>
    <w:pPr>
      <w:widowControl/>
      <w:spacing w:after="120"/>
    </w:pPr>
    <w:rPr>
      <w:kern w:val="0"/>
      <w:sz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rsid w:val="00377DF1"/>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basedOn w:val="DefaultParagraphFont"/>
    <w:uiPriority w:val="99"/>
    <w:rsid w:val="00377DF1"/>
    <w:rPr>
      <w:rFonts w:ascii="Times New Roman" w:hAnsi="Times New Roman" w:cs="Times New Roman"/>
      <w:color w:val="auto"/>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1507</Characters>
  <Application>Microsoft Office Word</Application>
  <DocSecurity>0</DocSecurity>
  <Lines>22</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2013-05-17T20:27:00Z</dcterms:created>
  <dcterms:modified xsi:type="dcterms:W3CDTF">2013-05-17T20:27:00Z</dcterms:modified>
  <cp:category> </cp:category>
  <cp:contentStatus> </cp:contentStatus>
</cp:coreProperties>
</file>