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A6" w:rsidRDefault="007545A6" w:rsidP="007545A6">
      <w:pPr>
        <w:jc w:val="center"/>
        <w:rPr>
          <w:b/>
          <w:szCs w:val="22"/>
        </w:rPr>
      </w:pPr>
      <w:bookmarkStart w:id="0" w:name="_GoBack"/>
      <w:bookmarkEnd w:id="0"/>
      <w:r>
        <w:rPr>
          <w:b/>
          <w:szCs w:val="22"/>
        </w:rPr>
        <w:t>Before the</w:t>
      </w:r>
    </w:p>
    <w:p w:rsidR="007545A6" w:rsidRDefault="007545A6" w:rsidP="007545A6">
      <w:pPr>
        <w:jc w:val="center"/>
        <w:rPr>
          <w:b/>
          <w:szCs w:val="22"/>
        </w:rPr>
      </w:pPr>
      <w:r>
        <w:rPr>
          <w:b/>
          <w:szCs w:val="22"/>
        </w:rPr>
        <w:t>Federal Communications Commission</w:t>
      </w:r>
    </w:p>
    <w:p w:rsidR="007545A6" w:rsidRDefault="007545A6" w:rsidP="007545A6">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7545A6" w:rsidRDefault="007545A6" w:rsidP="007545A6">
      <w:pPr>
        <w:rPr>
          <w:szCs w:val="22"/>
        </w:rPr>
      </w:pPr>
    </w:p>
    <w:p w:rsidR="007545A6" w:rsidRPr="00E42BDA" w:rsidRDefault="007545A6" w:rsidP="007545A6">
      <w:pPr>
        <w:rPr>
          <w:szCs w:val="22"/>
        </w:rPr>
      </w:pPr>
      <w:r>
        <w:rPr>
          <w:szCs w:val="22"/>
        </w:rPr>
        <w:t>In the Matter of</w:t>
      </w:r>
      <w:r w:rsidRPr="00E42BDA">
        <w:rPr>
          <w:szCs w:val="22"/>
        </w:rPr>
        <w:tab/>
      </w:r>
      <w:r w:rsidRPr="00E42BDA">
        <w:rPr>
          <w:szCs w:val="22"/>
        </w:rPr>
        <w:tab/>
      </w:r>
      <w:r w:rsidRPr="00E42BDA">
        <w:rPr>
          <w:szCs w:val="22"/>
        </w:rPr>
        <w:tab/>
      </w:r>
      <w:r>
        <w:rPr>
          <w:szCs w:val="22"/>
        </w:rPr>
        <w:tab/>
      </w:r>
      <w:r>
        <w:rPr>
          <w:szCs w:val="22"/>
        </w:rPr>
        <w:tab/>
      </w:r>
      <w:r>
        <w:rPr>
          <w:szCs w:val="22"/>
        </w:rPr>
        <w:tab/>
      </w:r>
      <w:r w:rsidRPr="00E42BDA">
        <w:rPr>
          <w:szCs w:val="22"/>
        </w:rPr>
        <w:t>)</w:t>
      </w:r>
    </w:p>
    <w:p w:rsidR="007545A6" w:rsidRPr="00E42BDA" w:rsidRDefault="007545A6" w:rsidP="007545A6">
      <w:pPr>
        <w:rPr>
          <w:szCs w:val="22"/>
        </w:rPr>
      </w:pP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p>
    <w:p w:rsidR="007545A6" w:rsidRPr="00E42BDA" w:rsidRDefault="007545A6" w:rsidP="007545A6">
      <w:pPr>
        <w:rPr>
          <w:szCs w:val="22"/>
        </w:rPr>
      </w:pPr>
      <w:r>
        <w:rPr>
          <w:szCs w:val="22"/>
        </w:rPr>
        <w:t>HOPE RADIO OF ROLLA, INC.</w:t>
      </w:r>
      <w:r>
        <w:rPr>
          <w:b/>
          <w:szCs w:val="22"/>
        </w:rPr>
        <w:tab/>
      </w:r>
      <w:r>
        <w:rPr>
          <w:b/>
          <w:szCs w:val="22"/>
        </w:rPr>
        <w:tab/>
      </w:r>
      <w:r w:rsidRPr="00E42BDA">
        <w:rPr>
          <w:szCs w:val="22"/>
        </w:rPr>
        <w:tab/>
        <w:t>)</w:t>
      </w:r>
      <w:r>
        <w:rPr>
          <w:szCs w:val="22"/>
        </w:rPr>
        <w:tab/>
      </w:r>
      <w:r w:rsidRPr="00E42BDA">
        <w:rPr>
          <w:szCs w:val="22"/>
        </w:rPr>
        <w:t xml:space="preserve">File No. </w:t>
      </w:r>
      <w:r w:rsidRPr="004869B7">
        <w:rPr>
          <w:color w:val="000000"/>
          <w:spacing w:val="1"/>
          <w:szCs w:val="22"/>
        </w:rPr>
        <w:t>BNPL-20010122AKZ</w:t>
      </w:r>
    </w:p>
    <w:p w:rsidR="007545A6" w:rsidRDefault="007545A6" w:rsidP="007545A6">
      <w:pPr>
        <w:rPr>
          <w:b/>
        </w:rPr>
      </w:pPr>
      <w:r>
        <w:rPr>
          <w:szCs w:val="22"/>
        </w:rPr>
        <w:tab/>
      </w:r>
      <w:r>
        <w:rPr>
          <w:szCs w:val="22"/>
        </w:rPr>
        <w:tab/>
      </w:r>
      <w:r>
        <w:rPr>
          <w:szCs w:val="22"/>
        </w:rPr>
        <w:tab/>
      </w:r>
      <w:r>
        <w:rPr>
          <w:szCs w:val="22"/>
        </w:rPr>
        <w:tab/>
      </w:r>
      <w:r>
        <w:rPr>
          <w:szCs w:val="22"/>
        </w:rPr>
        <w:tab/>
      </w:r>
      <w:r>
        <w:rPr>
          <w:szCs w:val="22"/>
        </w:rPr>
        <w:tab/>
      </w:r>
      <w:r>
        <w:rPr>
          <w:szCs w:val="22"/>
        </w:rPr>
        <w:tab/>
      </w:r>
      <w:r w:rsidRPr="00E42BDA">
        <w:rPr>
          <w:szCs w:val="22"/>
        </w:rPr>
        <w:t>)</w:t>
      </w:r>
      <w:r w:rsidRPr="0023614C">
        <w:rPr>
          <w:b/>
        </w:rPr>
        <w:t xml:space="preserve"> </w:t>
      </w:r>
      <w:r>
        <w:rPr>
          <w:b/>
        </w:rPr>
        <w:tab/>
      </w:r>
      <w:r w:rsidRPr="00E42BDA">
        <w:rPr>
          <w:szCs w:val="22"/>
        </w:rPr>
        <w:t xml:space="preserve">Facility ID No. </w:t>
      </w:r>
      <w:r w:rsidRPr="004869B7">
        <w:rPr>
          <w:color w:val="000000"/>
          <w:spacing w:val="2"/>
          <w:szCs w:val="22"/>
        </w:rPr>
        <w:t>132462</w:t>
      </w:r>
    </w:p>
    <w:p w:rsidR="007545A6" w:rsidRDefault="007545A6" w:rsidP="007545A6">
      <w:pPr>
        <w:rPr>
          <w:szCs w:val="22"/>
        </w:rPr>
      </w:pPr>
      <w:r>
        <w:rPr>
          <w:szCs w:val="22"/>
        </w:rPr>
        <w:t xml:space="preserve">Application </w:t>
      </w:r>
      <w:r w:rsidRPr="00E42BDA">
        <w:rPr>
          <w:szCs w:val="22"/>
        </w:rPr>
        <w:t xml:space="preserve">for </w:t>
      </w:r>
      <w:r>
        <w:rPr>
          <w:szCs w:val="22"/>
        </w:rPr>
        <w:t>a New Low Power FM Station at</w:t>
      </w:r>
      <w:r>
        <w:rPr>
          <w:szCs w:val="22"/>
        </w:rPr>
        <w:tab/>
      </w:r>
      <w:r>
        <w:rPr>
          <w:szCs w:val="22"/>
        </w:rPr>
        <w:tab/>
        <w:t>)</w:t>
      </w:r>
    </w:p>
    <w:p w:rsidR="007545A6" w:rsidRPr="00E42BDA" w:rsidRDefault="007545A6" w:rsidP="007545A6">
      <w:pPr>
        <w:rPr>
          <w:szCs w:val="22"/>
        </w:rPr>
      </w:pPr>
      <w:smartTag w:uri="urn:schemas-microsoft-com:office:smarttags" w:element="place">
        <w:smartTag w:uri="urn:schemas-microsoft-com:office:smarttags" w:element="City">
          <w:r>
            <w:rPr>
              <w:szCs w:val="22"/>
            </w:rPr>
            <w:t>Rolla</w:t>
          </w:r>
        </w:smartTag>
        <w:r>
          <w:rPr>
            <w:szCs w:val="22"/>
          </w:rPr>
          <w:t xml:space="preserve">, </w:t>
        </w:r>
        <w:smartTag w:uri="urn:schemas-microsoft-com:office:smarttags" w:element="State">
          <w:r>
            <w:rPr>
              <w:szCs w:val="22"/>
            </w:rPr>
            <w:t>Missouri</w:t>
          </w:r>
        </w:smartTag>
      </w:smartTag>
      <w:r>
        <w:rPr>
          <w:szCs w:val="22"/>
        </w:rPr>
        <w:tab/>
      </w:r>
      <w:r>
        <w:rPr>
          <w:szCs w:val="22"/>
        </w:rPr>
        <w:tab/>
      </w:r>
      <w:r>
        <w:rPr>
          <w:szCs w:val="22"/>
        </w:rPr>
        <w:tab/>
      </w:r>
      <w:r>
        <w:rPr>
          <w:szCs w:val="22"/>
        </w:rPr>
        <w:tab/>
      </w:r>
      <w:r>
        <w:rPr>
          <w:szCs w:val="22"/>
        </w:rPr>
        <w:tab/>
      </w:r>
      <w:r>
        <w:rPr>
          <w:szCs w:val="22"/>
        </w:rPr>
        <w:tab/>
      </w:r>
      <w:r w:rsidRPr="00E42BDA">
        <w:rPr>
          <w:szCs w:val="22"/>
        </w:rPr>
        <w:t>)</w:t>
      </w:r>
    </w:p>
    <w:p w:rsidR="007545A6" w:rsidRPr="00E42BDA" w:rsidRDefault="007545A6" w:rsidP="007545A6">
      <w:pPr>
        <w:rPr>
          <w:szCs w:val="22"/>
        </w:rPr>
      </w:pPr>
    </w:p>
    <w:p w:rsidR="007545A6" w:rsidRPr="00AC615F" w:rsidRDefault="007545A6" w:rsidP="00712D33">
      <w:pPr>
        <w:tabs>
          <w:tab w:val="left" w:pos="4680"/>
        </w:tabs>
        <w:jc w:val="center"/>
        <w:rPr>
          <w:b/>
          <w:szCs w:val="22"/>
        </w:rPr>
      </w:pPr>
      <w:r w:rsidRPr="00AC615F">
        <w:rPr>
          <w:b/>
          <w:szCs w:val="22"/>
        </w:rPr>
        <w:t>MEMORANDUM OPINION AND ORDER</w:t>
      </w:r>
    </w:p>
    <w:p w:rsidR="007545A6" w:rsidRDefault="007545A6" w:rsidP="007545A6">
      <w:pPr>
        <w:tabs>
          <w:tab w:val="left" w:pos="770"/>
          <w:tab w:val="left" w:pos="1430"/>
          <w:tab w:val="left" w:pos="4680"/>
        </w:tabs>
        <w:rPr>
          <w:szCs w:val="22"/>
        </w:rPr>
      </w:pPr>
    </w:p>
    <w:tbl>
      <w:tblPr>
        <w:tblW w:w="0" w:type="auto"/>
        <w:tblLook w:val="0000" w:firstRow="0" w:lastRow="0" w:firstColumn="0" w:lastColumn="0" w:noHBand="0" w:noVBand="0"/>
      </w:tblPr>
      <w:tblGrid>
        <w:gridCol w:w="4788"/>
        <w:gridCol w:w="4788"/>
      </w:tblGrid>
      <w:tr w:rsidR="007545A6" w:rsidTr="00877FD0">
        <w:tc>
          <w:tcPr>
            <w:tcW w:w="4788" w:type="dxa"/>
          </w:tcPr>
          <w:p w:rsidR="007545A6" w:rsidRDefault="00860F29" w:rsidP="006361C7">
            <w:pPr>
              <w:tabs>
                <w:tab w:val="left" w:pos="770"/>
                <w:tab w:val="left" w:pos="1430"/>
                <w:tab w:val="left" w:pos="4680"/>
              </w:tabs>
              <w:jc w:val="both"/>
              <w:rPr>
                <w:b/>
              </w:rPr>
            </w:pPr>
            <w:r>
              <w:rPr>
                <w:b/>
              </w:rPr>
              <w:t>Adopted:  May 13</w:t>
            </w:r>
            <w:r w:rsidR="007545A6">
              <w:rPr>
                <w:b/>
              </w:rPr>
              <w:t>, 2013</w:t>
            </w:r>
          </w:p>
        </w:tc>
        <w:tc>
          <w:tcPr>
            <w:tcW w:w="4788" w:type="dxa"/>
          </w:tcPr>
          <w:p w:rsidR="007545A6" w:rsidRDefault="00860F29" w:rsidP="006361C7">
            <w:pPr>
              <w:tabs>
                <w:tab w:val="left" w:pos="770"/>
                <w:tab w:val="left" w:pos="1430"/>
                <w:tab w:val="left" w:pos="4680"/>
              </w:tabs>
              <w:ind w:left="972"/>
              <w:jc w:val="right"/>
              <w:rPr>
                <w:b/>
              </w:rPr>
            </w:pPr>
            <w:r>
              <w:rPr>
                <w:b/>
              </w:rPr>
              <w:t>Released:  May 14</w:t>
            </w:r>
            <w:r w:rsidR="007545A6">
              <w:rPr>
                <w:b/>
              </w:rPr>
              <w:t>, 2013</w:t>
            </w:r>
          </w:p>
        </w:tc>
      </w:tr>
    </w:tbl>
    <w:p w:rsidR="007545A6" w:rsidRDefault="007545A6" w:rsidP="007545A6">
      <w:pPr>
        <w:pStyle w:val="Header"/>
        <w:tabs>
          <w:tab w:val="clear" w:pos="4320"/>
          <w:tab w:val="clear" w:pos="8640"/>
          <w:tab w:val="left" w:pos="4680"/>
        </w:tabs>
        <w:rPr>
          <w:szCs w:val="22"/>
        </w:rPr>
      </w:pPr>
    </w:p>
    <w:p w:rsidR="007545A6" w:rsidRDefault="00BB472E" w:rsidP="007545A6">
      <w:pPr>
        <w:tabs>
          <w:tab w:val="left" w:pos="1980"/>
          <w:tab w:val="left" w:pos="4680"/>
        </w:tabs>
        <w:jc w:val="both"/>
        <w:rPr>
          <w:szCs w:val="22"/>
        </w:rPr>
      </w:pPr>
      <w:r>
        <w:rPr>
          <w:szCs w:val="22"/>
        </w:rPr>
        <w:t>By the Commission:  Commissioner McDowell not participating.</w:t>
      </w:r>
    </w:p>
    <w:p w:rsidR="007545A6" w:rsidRDefault="007545A6" w:rsidP="007545A6">
      <w:pPr>
        <w:tabs>
          <w:tab w:val="left" w:pos="1980"/>
          <w:tab w:val="left" w:pos="4680"/>
        </w:tabs>
        <w:jc w:val="both"/>
        <w:rPr>
          <w:b/>
          <w:szCs w:val="22"/>
        </w:rPr>
      </w:pPr>
    </w:p>
    <w:p w:rsidR="007545A6" w:rsidRDefault="007545A6" w:rsidP="007545A6">
      <w:pPr>
        <w:pStyle w:val="ParaNum"/>
        <w:widowControl/>
        <w:tabs>
          <w:tab w:val="clear" w:pos="900"/>
          <w:tab w:val="num" w:pos="1440"/>
        </w:tabs>
        <w:ind w:left="0"/>
      </w:pPr>
      <w:r w:rsidRPr="004869B7">
        <w:t xml:space="preserve">The Commission has before it an </w:t>
      </w:r>
      <w:r w:rsidRPr="004869B7">
        <w:rPr>
          <w:spacing w:val="1"/>
        </w:rPr>
        <w:t>Application for Review</w:t>
      </w:r>
      <w:r>
        <w:rPr>
          <w:spacing w:val="1"/>
        </w:rPr>
        <w:t xml:space="preserve"> (“AFR”)</w:t>
      </w:r>
      <w:r w:rsidRPr="004869B7">
        <w:rPr>
          <w:spacing w:val="1"/>
        </w:rPr>
        <w:t xml:space="preserve"> filed by Hope Radio of Roll</w:t>
      </w:r>
      <w:r w:rsidRPr="00B25B52">
        <w:rPr>
          <w:spacing w:val="1"/>
        </w:rPr>
        <w:t xml:space="preserve">a, Inc. (“HRR”), </w:t>
      </w:r>
      <w:r>
        <w:rPr>
          <w:spacing w:val="1"/>
        </w:rPr>
        <w:t>applicant</w:t>
      </w:r>
      <w:r w:rsidRPr="00B25B52">
        <w:t xml:space="preserve"> for a new </w:t>
      </w:r>
      <w:r>
        <w:t xml:space="preserve">low power FM (“LPFM”) broadcast </w:t>
      </w:r>
      <w:r w:rsidRPr="00B25B52">
        <w:t>statio</w:t>
      </w:r>
      <w:r>
        <w:t xml:space="preserve">n </w:t>
      </w:r>
      <w:r w:rsidRPr="00B25B52">
        <w:t>in Rolla, Missouri</w:t>
      </w:r>
      <w:r w:rsidRPr="00B25B52">
        <w:rPr>
          <w:spacing w:val="1"/>
        </w:rPr>
        <w:t>.</w:t>
      </w:r>
      <w:r>
        <w:rPr>
          <w:rStyle w:val="FootnoteReference"/>
          <w:spacing w:val="1"/>
        </w:rPr>
        <w:footnoteReference w:id="1"/>
      </w:r>
      <w:r w:rsidRPr="00B25B52">
        <w:rPr>
          <w:spacing w:val="1"/>
        </w:rPr>
        <w:t xml:space="preserve">  HRR </w:t>
      </w:r>
      <w:r w:rsidRPr="005C2F23">
        <w:rPr>
          <w:spacing w:val="1"/>
          <w:szCs w:val="22"/>
        </w:rPr>
        <w:t>seeks review of the March 12, 2007,</w:t>
      </w:r>
      <w:r w:rsidRPr="005C2F23">
        <w:rPr>
          <w:szCs w:val="22"/>
        </w:rPr>
        <w:t xml:space="preserve"> </w:t>
      </w:r>
      <w:r>
        <w:rPr>
          <w:szCs w:val="22"/>
        </w:rPr>
        <w:t>decision</w:t>
      </w:r>
      <w:r w:rsidRPr="005C2F23">
        <w:rPr>
          <w:szCs w:val="22"/>
        </w:rPr>
        <w:t xml:space="preserve"> of the Chief, Audio Division, Media Bureau</w:t>
      </w:r>
      <w:r>
        <w:rPr>
          <w:szCs w:val="22"/>
        </w:rPr>
        <w:t xml:space="preserve"> (“Bureau”)</w:t>
      </w:r>
      <w:r w:rsidRPr="005C2F23">
        <w:rPr>
          <w:szCs w:val="22"/>
        </w:rPr>
        <w:t xml:space="preserve">, which denied </w:t>
      </w:r>
      <w:r w:rsidRPr="005C2F23">
        <w:rPr>
          <w:spacing w:val="2"/>
          <w:szCs w:val="22"/>
        </w:rPr>
        <w:t>HRR's Petition for Reconsideration of the Bureau's dismissal of its a</w:t>
      </w:r>
      <w:r w:rsidRPr="005C2F23">
        <w:rPr>
          <w:szCs w:val="22"/>
        </w:rPr>
        <w:t>pplication.</w:t>
      </w:r>
      <w:r w:rsidRPr="005C2F23">
        <w:rPr>
          <w:rStyle w:val="FootnoteReference"/>
          <w:color w:val="000000"/>
          <w:szCs w:val="22"/>
        </w:rPr>
        <w:footnoteReference w:id="2"/>
      </w:r>
    </w:p>
    <w:p w:rsidR="007545A6" w:rsidRDefault="007545A6" w:rsidP="007545A6">
      <w:pPr>
        <w:pStyle w:val="ParaNum"/>
        <w:tabs>
          <w:tab w:val="clear" w:pos="900"/>
          <w:tab w:val="num" w:pos="1440"/>
        </w:tabs>
        <w:ind w:left="0"/>
      </w:pPr>
      <w:r w:rsidRPr="005C2F23">
        <w:t xml:space="preserve">Upon review of the </w:t>
      </w:r>
      <w:r>
        <w:t>AFR</w:t>
      </w:r>
      <w:r w:rsidRPr="005C2F23">
        <w:t xml:space="preserve"> and the entire record, we conclude that HRR has failed to demonstrate that the Bureau erred.  </w:t>
      </w:r>
      <w:r>
        <w:t>The Bureau dismissed the Application because LPFM i</w:t>
      </w:r>
      <w:r w:rsidRPr="005C2F23">
        <w:t xml:space="preserve">s a noncommercial educational </w:t>
      </w:r>
      <w:r>
        <w:t xml:space="preserve">(“NCE”) </w:t>
      </w:r>
      <w:r w:rsidRPr="005C2F23">
        <w:t>service</w:t>
      </w:r>
      <w:r>
        <w:t xml:space="preserve">, and to be eligible to hold such an authorization, </w:t>
      </w:r>
      <w:r w:rsidRPr="005C2F23">
        <w:t>a</w:t>
      </w:r>
      <w:r>
        <w:t>n LPFM</w:t>
      </w:r>
      <w:r w:rsidRPr="005C2F23">
        <w:t xml:space="preserve"> </w:t>
      </w:r>
      <w:r>
        <w:t>applicant</w:t>
      </w:r>
      <w:r w:rsidRPr="005C2F23">
        <w:t xml:space="preserve"> </w:t>
      </w:r>
      <w:r>
        <w:t xml:space="preserve">must </w:t>
      </w:r>
      <w:r w:rsidRPr="005C2F23">
        <w:t xml:space="preserve">be a public agency or non-profit </w:t>
      </w:r>
      <w:r>
        <w:t xml:space="preserve">private foundation, corporation, or association </w:t>
      </w:r>
      <w:r w:rsidRPr="005C2F23">
        <w:rPr>
          <w:color w:val="000000"/>
        </w:rPr>
        <w:t xml:space="preserve">that is recognized </w:t>
      </w:r>
      <w:r>
        <w:rPr>
          <w:color w:val="000000"/>
        </w:rPr>
        <w:t>by the laws of the state in which it proposes to operate at the time it submits its application</w:t>
      </w:r>
      <w:r w:rsidRPr="005C2F23">
        <w:t>.</w:t>
      </w:r>
      <w:r w:rsidRPr="005C2F23">
        <w:rPr>
          <w:rStyle w:val="FootnoteReference"/>
          <w:szCs w:val="22"/>
        </w:rPr>
        <w:footnoteReference w:id="3"/>
      </w:r>
      <w:r w:rsidRPr="005C2F23">
        <w:t xml:space="preserve">  The record </w:t>
      </w:r>
      <w:r>
        <w:t xml:space="preserve">in this case </w:t>
      </w:r>
      <w:r w:rsidRPr="005C2F23">
        <w:t>establishes</w:t>
      </w:r>
      <w:r>
        <w:t xml:space="preserve"> that HRR, which represented in its original A</w:t>
      </w:r>
      <w:r w:rsidRPr="005C2F23">
        <w:t xml:space="preserve">pplication that it was a </w:t>
      </w:r>
      <w:r>
        <w:t>“</w:t>
      </w:r>
      <w:r w:rsidRPr="005C2F23">
        <w:t>non-stock, not-for-profit corporation organized under the laws of the</w:t>
      </w:r>
      <w:r>
        <w:t xml:space="preserve"> </w:t>
      </w:r>
      <w:r w:rsidRPr="005C2F23">
        <w:t>state of Missouri in January 2001</w:t>
      </w:r>
      <w:r>
        <w:t>,”</w:t>
      </w:r>
      <w:r>
        <w:rPr>
          <w:rStyle w:val="FootnoteReference"/>
        </w:rPr>
        <w:footnoteReference w:id="4"/>
      </w:r>
      <w:r>
        <w:t xml:space="preserve"> </w:t>
      </w:r>
      <w:r w:rsidRPr="005C2F23">
        <w:t>was not incorporated as of January 22, 2001, the date it</w:t>
      </w:r>
      <w:r>
        <w:t>s President so certified and</w:t>
      </w:r>
      <w:r w:rsidRPr="005C2F23">
        <w:t xml:space="preserve"> filed the </w:t>
      </w:r>
      <w:r>
        <w:t>Application.  In fact, HRR</w:t>
      </w:r>
      <w:r w:rsidRPr="005C2F23">
        <w:t xml:space="preserve"> did not validly incorporate in Missouri until February 15, 2001.  </w:t>
      </w:r>
      <w:r>
        <w:t xml:space="preserve">The Bureau noted in the </w:t>
      </w:r>
      <w:r w:rsidRPr="00AA0E31">
        <w:rPr>
          <w:i/>
        </w:rPr>
        <w:t>Staff Decision</w:t>
      </w:r>
      <w:r>
        <w:t xml:space="preserve"> that an LPFM applicant’s corporate existence at the time of filing is crucial because of the above-noted statutory eligibility requirements for non-profit LPFM licensees.</w:t>
      </w:r>
      <w:r>
        <w:rPr>
          <w:rStyle w:val="FootnoteReference"/>
        </w:rPr>
        <w:footnoteReference w:id="5"/>
      </w:r>
      <w:r>
        <w:t xml:space="preserve">  </w:t>
      </w:r>
    </w:p>
    <w:p w:rsidR="007545A6" w:rsidRDefault="007545A6" w:rsidP="007545A6">
      <w:pPr>
        <w:pStyle w:val="ParaNum"/>
        <w:tabs>
          <w:tab w:val="clear" w:pos="900"/>
          <w:tab w:val="num" w:pos="1440"/>
        </w:tabs>
        <w:ind w:left="0"/>
      </w:pPr>
      <w:r>
        <w:t>On review, HRR challenges this finding, citing one case in which the Commission granted an application for consent to assignment of a non-reserved band NCE FM station despite the fact that the non-profit assignor had not continuously maintained its corporate existence.</w:t>
      </w:r>
      <w:r>
        <w:rPr>
          <w:rStyle w:val="FootnoteReference"/>
        </w:rPr>
        <w:footnoteReference w:id="6"/>
      </w:r>
      <w:r>
        <w:t xml:space="preserve">  </w:t>
      </w:r>
      <w:r w:rsidRPr="00F279F8">
        <w:rPr>
          <w:i/>
        </w:rPr>
        <w:t>FRI</w:t>
      </w:r>
      <w:r>
        <w:t xml:space="preserve">, however, involved an assignment from the allegedly non-compliant non-profit corporation to an individual who then operated the station commercially.  Thus, the party whose non-profit status was in question, which </w:t>
      </w:r>
      <w:r>
        <w:lastRenderedPageBreak/>
        <w:t>had been validly incorporated but purportedly was subsequently dissolved by the State of Oregon for failing to pay annual filing fees, sought Commission approval to relinquish control of the station.  Where, as here, the issue is whether to award an LPFM authorization to HRR, which can only qualify for an LPFM authorization by being a valid non-profit educational organization,</w:t>
      </w:r>
      <w:r>
        <w:rPr>
          <w:rStyle w:val="FootnoteReference"/>
        </w:rPr>
        <w:footnoteReference w:id="7"/>
      </w:r>
      <w:r>
        <w:t xml:space="preserve"> the question of HRR’s adherence to organizational formalities in its formation is of paramount importance.</w:t>
      </w:r>
      <w:r>
        <w:rPr>
          <w:rStyle w:val="FootnoteReference"/>
        </w:rPr>
        <w:footnoteReference w:id="8"/>
      </w:r>
      <w:r>
        <w:t xml:space="preserve">  We therefore find </w:t>
      </w:r>
      <w:r w:rsidRPr="00056512">
        <w:rPr>
          <w:i/>
        </w:rPr>
        <w:t>FRI</w:t>
      </w:r>
      <w:r>
        <w:t xml:space="preserve"> to be inapposite, and affirm the Bureau’s holding that an LPFM applicant’s status as a valid non-profit organization at the time it files its application is fundamental to our determination of the applicant’s qualifications to hold an LPFM authorization.</w:t>
      </w:r>
      <w:r>
        <w:rPr>
          <w:rStyle w:val="FootnoteReference"/>
        </w:rPr>
        <w:footnoteReference w:id="9"/>
      </w:r>
    </w:p>
    <w:p w:rsidR="007545A6" w:rsidRDefault="007545A6" w:rsidP="007545A6">
      <w:pPr>
        <w:pStyle w:val="ParaNum"/>
        <w:tabs>
          <w:tab w:val="clear" w:pos="900"/>
          <w:tab w:val="num" w:pos="1440"/>
        </w:tabs>
        <w:ind w:left="0"/>
      </w:pPr>
      <w:r>
        <w:t>For the first time on review, HRR purports to cite Missouri law pertaining to unincorporated non-profit associations, now claiming that its pre-incorporation planning activities and intentions satisfied the requirements of that law.</w:t>
      </w:r>
      <w:r>
        <w:rPr>
          <w:rStyle w:val="FootnoteReference"/>
        </w:rPr>
        <w:footnoteReference w:id="10"/>
      </w:r>
      <w:r>
        <w:t xml:space="preserve">  Because HRR did not make this argument in its Petition for Reconsideration, the Bureau was not afforded an opportunity to pass on those arguments and facts and thus we need not consider them here.</w:t>
      </w:r>
      <w:r>
        <w:rPr>
          <w:rStyle w:val="FootnoteReference"/>
        </w:rPr>
        <w:footnoteReference w:id="11"/>
      </w:r>
      <w:r>
        <w:t xml:space="preserve">  Even were we to consider the substance of the argument, as an alternative and independent basis for our decision here, we find it without merit.  HRR’s </w:t>
      </w:r>
      <w:r w:rsidRPr="00794BB6">
        <w:rPr>
          <w:i/>
        </w:rPr>
        <w:t>post hoc</w:t>
      </w:r>
      <w:r>
        <w:t xml:space="preserve"> attempt to recast itself as an unincorporated association prior to its belated incorporation consists solely of its citation of three Missouri statutes that contain the words “unincorporated association” without setting forth the law pertaining to the creation of such an entity or a demonstration that HRR complied with those requirements as of the date it filed its Application.</w:t>
      </w:r>
      <w:r>
        <w:rPr>
          <w:rStyle w:val="FootnoteReference"/>
        </w:rPr>
        <w:footnoteReference w:id="12"/>
      </w:r>
      <w:r>
        <w:t xml:space="preserve">  The Bureau properly decided the matters raised, and we uphold its decision for the reasons stated in the </w:t>
      </w:r>
      <w:r w:rsidRPr="006E682D">
        <w:rPr>
          <w:i/>
        </w:rPr>
        <w:t>Staff Decision</w:t>
      </w:r>
      <w:r>
        <w:t>.</w:t>
      </w:r>
    </w:p>
    <w:p w:rsidR="007545A6" w:rsidRDefault="007545A6" w:rsidP="007545A6">
      <w:pPr>
        <w:tabs>
          <w:tab w:val="left" w:pos="720"/>
          <w:tab w:val="left" w:pos="1430"/>
          <w:tab w:val="left" w:pos="4680"/>
        </w:tabs>
        <w:jc w:val="both"/>
        <w:rPr>
          <w:szCs w:val="22"/>
        </w:rPr>
      </w:pPr>
      <w:r>
        <w:rPr>
          <w:szCs w:val="22"/>
        </w:rPr>
        <w:tab/>
        <w:t>5.</w:t>
      </w:r>
      <w:r>
        <w:rPr>
          <w:szCs w:val="22"/>
        </w:rPr>
        <w:tab/>
        <w:t>ACCORDINGLY, IT IS ORDERED that, pursuant to Section 5(c)(5) of the Communications Act of 1934, as amended,</w:t>
      </w:r>
      <w:r>
        <w:rPr>
          <w:rStyle w:val="FootnoteReference"/>
          <w:szCs w:val="22"/>
        </w:rPr>
        <w:footnoteReference w:id="13"/>
      </w:r>
      <w:r>
        <w:rPr>
          <w:szCs w:val="22"/>
        </w:rPr>
        <w:t xml:space="preserve"> and Section 1.115(g) of the Commission’s rules,</w:t>
      </w:r>
      <w:r>
        <w:rPr>
          <w:rStyle w:val="FootnoteReference"/>
          <w:szCs w:val="22"/>
        </w:rPr>
        <w:footnoteReference w:id="14"/>
      </w:r>
      <w:r>
        <w:rPr>
          <w:szCs w:val="22"/>
        </w:rPr>
        <w:t xml:space="preserve"> the Application for Review IS DENIED.  </w:t>
      </w:r>
    </w:p>
    <w:p w:rsidR="007545A6" w:rsidRDefault="007545A6" w:rsidP="007545A6">
      <w:pPr>
        <w:tabs>
          <w:tab w:val="left" w:pos="720"/>
          <w:tab w:val="left" w:pos="1430"/>
          <w:tab w:val="left" w:pos="4680"/>
        </w:tabs>
        <w:jc w:val="both"/>
        <w:rPr>
          <w:szCs w:val="22"/>
        </w:rPr>
      </w:pPr>
    </w:p>
    <w:p w:rsidR="007545A6" w:rsidRDefault="007545A6" w:rsidP="007545A6">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7545A6" w:rsidRDefault="007545A6" w:rsidP="007545A6">
      <w:pPr>
        <w:tabs>
          <w:tab w:val="left" w:pos="0"/>
        </w:tabs>
        <w:suppressAutoHyphens/>
        <w:ind w:firstLine="990"/>
        <w:jc w:val="both"/>
        <w:rPr>
          <w:szCs w:val="22"/>
        </w:rPr>
      </w:pPr>
    </w:p>
    <w:p w:rsidR="007545A6" w:rsidRDefault="007545A6" w:rsidP="007545A6">
      <w:pPr>
        <w:tabs>
          <w:tab w:val="left" w:pos="0"/>
        </w:tabs>
        <w:suppressAutoHyphens/>
        <w:ind w:firstLine="990"/>
        <w:jc w:val="both"/>
        <w:rPr>
          <w:szCs w:val="22"/>
        </w:rPr>
      </w:pPr>
    </w:p>
    <w:p w:rsidR="007545A6" w:rsidRDefault="007545A6" w:rsidP="007545A6">
      <w:pPr>
        <w:tabs>
          <w:tab w:val="left" w:pos="0"/>
        </w:tabs>
        <w:suppressAutoHyphens/>
        <w:ind w:firstLine="990"/>
        <w:jc w:val="both"/>
        <w:rPr>
          <w:szCs w:val="22"/>
        </w:rPr>
      </w:pPr>
    </w:p>
    <w:p w:rsidR="00C22C09" w:rsidRDefault="00C22C09" w:rsidP="007545A6">
      <w:pPr>
        <w:tabs>
          <w:tab w:val="left" w:pos="0"/>
        </w:tabs>
        <w:suppressAutoHyphens/>
        <w:ind w:firstLine="990"/>
        <w:jc w:val="both"/>
        <w:rPr>
          <w:szCs w:val="22"/>
        </w:rPr>
      </w:pPr>
    </w:p>
    <w:p w:rsidR="007545A6" w:rsidRDefault="007545A6" w:rsidP="007545A6">
      <w:pPr>
        <w:tabs>
          <w:tab w:val="left" w:pos="4320"/>
        </w:tabs>
        <w:suppressAutoHyphens/>
        <w:ind w:firstLine="990"/>
        <w:jc w:val="both"/>
        <w:rPr>
          <w:szCs w:val="22"/>
        </w:rPr>
      </w:pPr>
      <w:r>
        <w:rPr>
          <w:szCs w:val="22"/>
        </w:rPr>
        <w:tab/>
        <w:t xml:space="preserve">Marlene H. Dortch  </w:t>
      </w:r>
    </w:p>
    <w:p w:rsidR="00D816DA" w:rsidRDefault="007545A6" w:rsidP="00B14D78">
      <w:pPr>
        <w:pStyle w:val="ParaNum"/>
        <w:numPr>
          <w:ilvl w:val="0"/>
          <w:numId w:val="0"/>
        </w:numPr>
        <w:spacing w:after="0"/>
      </w:pPr>
      <w:r>
        <w:t xml:space="preserve">                    </w:t>
      </w:r>
      <w:r>
        <w:tab/>
      </w:r>
      <w:r>
        <w:tab/>
      </w:r>
      <w:r>
        <w:tab/>
      </w:r>
      <w:r>
        <w:tab/>
      </w:r>
      <w:r>
        <w:tab/>
        <w:t>Secretary</w:t>
      </w:r>
    </w:p>
    <w:sectPr w:rsidR="00D816DA" w:rsidSect="00446AF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97" w:rsidRDefault="00D36F97" w:rsidP="007545A6">
      <w:r>
        <w:separator/>
      </w:r>
    </w:p>
  </w:endnote>
  <w:endnote w:type="continuationSeparator" w:id="0">
    <w:p w:rsidR="00D36F97" w:rsidRDefault="00D36F97" w:rsidP="0075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8" w:rsidRDefault="00DB3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EF" w:rsidRDefault="00F36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D66">
      <w:rPr>
        <w:rStyle w:val="PageNumber"/>
        <w:noProof/>
      </w:rPr>
      <w:t>2</w:t>
    </w:r>
    <w:r>
      <w:rPr>
        <w:rStyle w:val="PageNumber"/>
      </w:rPr>
      <w:fldChar w:fldCharType="end"/>
    </w:r>
  </w:p>
  <w:p w:rsidR="008747EF" w:rsidRDefault="007D6D66">
    <w:pPr>
      <w:pStyle w:val="Footer"/>
      <w:jc w:val="center"/>
      <w:rPr>
        <w:rStyle w:val="PageNumber"/>
      </w:rPr>
    </w:pPr>
  </w:p>
  <w:p w:rsidR="008747EF" w:rsidRDefault="007D6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EF" w:rsidRDefault="007D6D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97" w:rsidRDefault="00D36F97" w:rsidP="007545A6">
      <w:r>
        <w:separator/>
      </w:r>
    </w:p>
  </w:footnote>
  <w:footnote w:type="continuationSeparator" w:id="0">
    <w:p w:rsidR="00D36F97" w:rsidRDefault="00D36F97" w:rsidP="007545A6">
      <w:r>
        <w:continuationSeparator/>
      </w:r>
    </w:p>
  </w:footnote>
  <w:footnote w:id="1">
    <w:p w:rsidR="007545A6" w:rsidRPr="00803DC7" w:rsidRDefault="007545A6" w:rsidP="004C30CE">
      <w:pPr>
        <w:pStyle w:val="FootnoteText"/>
        <w:spacing w:after="120"/>
        <w:jc w:val="both"/>
        <w:rPr>
          <w:sz w:val="20"/>
        </w:rPr>
      </w:pPr>
      <w:r>
        <w:rPr>
          <w:rStyle w:val="FootnoteReference"/>
        </w:rPr>
        <w:footnoteRef/>
      </w:r>
      <w:r>
        <w:t xml:space="preserve"> </w:t>
      </w:r>
      <w:r>
        <w:rPr>
          <w:sz w:val="20"/>
        </w:rPr>
        <w:t>File No. BNPL-20010122AKZ (“Application”).</w:t>
      </w:r>
    </w:p>
  </w:footnote>
  <w:footnote w:id="2">
    <w:p w:rsidR="007545A6" w:rsidRPr="00DD460C" w:rsidRDefault="007545A6" w:rsidP="004C30CE">
      <w:pPr>
        <w:pStyle w:val="FootnoteText"/>
        <w:spacing w:after="120"/>
        <w:jc w:val="both"/>
        <w:rPr>
          <w:sz w:val="20"/>
        </w:rPr>
      </w:pPr>
      <w:r w:rsidRPr="00DD460C">
        <w:rPr>
          <w:rStyle w:val="FootnoteReference"/>
          <w:sz w:val="20"/>
        </w:rPr>
        <w:footnoteRef/>
      </w:r>
      <w:r w:rsidRPr="00DD460C">
        <w:rPr>
          <w:sz w:val="20"/>
        </w:rPr>
        <w:t xml:space="preserve"> </w:t>
      </w:r>
      <w:r w:rsidRPr="00DD460C">
        <w:rPr>
          <w:i/>
          <w:sz w:val="20"/>
        </w:rPr>
        <w:t>Hope Radio of Rolla, Inc</w:t>
      </w:r>
      <w:r>
        <w:rPr>
          <w:i/>
          <w:sz w:val="20"/>
        </w:rPr>
        <w:t>.,</w:t>
      </w:r>
      <w:r w:rsidRPr="00DD460C">
        <w:rPr>
          <w:i/>
          <w:sz w:val="20"/>
        </w:rPr>
        <w:t xml:space="preserve"> and National Lawyers Guild Center on Democratic Communications,</w:t>
      </w:r>
      <w:r w:rsidRPr="00DD460C">
        <w:rPr>
          <w:sz w:val="20"/>
        </w:rPr>
        <w:t xml:space="preserve"> </w:t>
      </w:r>
      <w:r>
        <w:rPr>
          <w:sz w:val="20"/>
        </w:rPr>
        <w:t xml:space="preserve">Letter, </w:t>
      </w:r>
      <w:r w:rsidRPr="00DD460C">
        <w:rPr>
          <w:sz w:val="20"/>
        </w:rPr>
        <w:t>22 FCC Rcd 4822 (MB 2007) (“</w:t>
      </w:r>
      <w:r w:rsidRPr="00DD460C">
        <w:rPr>
          <w:i/>
          <w:sz w:val="20"/>
        </w:rPr>
        <w:t>Staff Decision</w:t>
      </w:r>
      <w:r w:rsidRPr="00DD460C">
        <w:rPr>
          <w:sz w:val="20"/>
        </w:rPr>
        <w:t>”).</w:t>
      </w:r>
    </w:p>
  </w:footnote>
  <w:footnote w:id="3">
    <w:p w:rsidR="007545A6" w:rsidRPr="00DD460C" w:rsidRDefault="007545A6" w:rsidP="004C30CE">
      <w:pPr>
        <w:pStyle w:val="FootnoteText"/>
        <w:spacing w:after="120"/>
        <w:jc w:val="both"/>
        <w:rPr>
          <w:sz w:val="20"/>
        </w:rPr>
      </w:pPr>
      <w:r w:rsidRPr="00DD460C">
        <w:rPr>
          <w:rStyle w:val="FootnoteReference"/>
          <w:sz w:val="20"/>
        </w:rPr>
        <w:footnoteRef/>
      </w:r>
      <w:r w:rsidRPr="00DD460C">
        <w:rPr>
          <w:sz w:val="20"/>
        </w:rPr>
        <w:t xml:space="preserve"> 47 U.S.C. § 397(6)(A).  </w:t>
      </w:r>
      <w:r w:rsidRPr="00DD460C">
        <w:rPr>
          <w:i/>
          <w:sz w:val="20"/>
        </w:rPr>
        <w:t>See also</w:t>
      </w:r>
      <w:r>
        <w:rPr>
          <w:sz w:val="20"/>
        </w:rPr>
        <w:t xml:space="preserve"> 47 C.F.R. §§ 73.503(a), 73.801;</w:t>
      </w:r>
      <w:r w:rsidRPr="00DD460C">
        <w:rPr>
          <w:i/>
          <w:sz w:val="20"/>
        </w:rPr>
        <w:t xml:space="preserve"> Creation of a Low Power Radio Service, </w:t>
      </w:r>
      <w:r w:rsidRPr="00DD460C">
        <w:rPr>
          <w:sz w:val="20"/>
        </w:rPr>
        <w:t>Report and Orde</w:t>
      </w:r>
      <w:r>
        <w:rPr>
          <w:sz w:val="20"/>
        </w:rPr>
        <w:t>r, 15 FCC Rcd 2205, 2215 (2000) (“</w:t>
      </w:r>
      <w:r w:rsidRPr="00145F20">
        <w:rPr>
          <w:i/>
          <w:sz w:val="20"/>
        </w:rPr>
        <w:t>LPFM R&amp;O</w:t>
      </w:r>
      <w:r>
        <w:rPr>
          <w:sz w:val="20"/>
        </w:rPr>
        <w:t>”);</w:t>
      </w:r>
      <w:r w:rsidRPr="00DD460C">
        <w:rPr>
          <w:i/>
          <w:sz w:val="20"/>
        </w:rPr>
        <w:t xml:space="preserve"> </w:t>
      </w:r>
      <w:r w:rsidRPr="00DD460C">
        <w:rPr>
          <w:bCs/>
          <w:i/>
          <w:sz w:val="20"/>
        </w:rPr>
        <w:t>Public</w:t>
      </w:r>
      <w:r w:rsidRPr="00DD460C">
        <w:rPr>
          <w:i/>
          <w:sz w:val="20"/>
        </w:rPr>
        <w:t xml:space="preserve"> Radio of Camp Dennison</w:t>
      </w:r>
      <w:r w:rsidRPr="00DD460C">
        <w:rPr>
          <w:sz w:val="20"/>
        </w:rPr>
        <w:t>, Memorandum Opinion and Orde</w:t>
      </w:r>
      <w:r>
        <w:rPr>
          <w:sz w:val="20"/>
        </w:rPr>
        <w:t>r, 23 FCC Rcd 2481, 2485 (2008);</w:t>
      </w:r>
      <w:r w:rsidRPr="00DD460C">
        <w:rPr>
          <w:sz w:val="20"/>
        </w:rPr>
        <w:t xml:space="preserve"> and </w:t>
      </w:r>
      <w:r w:rsidRPr="00DD460C">
        <w:rPr>
          <w:i/>
          <w:sz w:val="20"/>
        </w:rPr>
        <w:t>Sonido Internacional Cristiano, Inc</w:t>
      </w:r>
      <w:r w:rsidRPr="00DD460C">
        <w:rPr>
          <w:sz w:val="20"/>
        </w:rPr>
        <w:t>., Memorandum Opinion and Order, 23 FCC 2444, 2449 (2008)</w:t>
      </w:r>
      <w:r>
        <w:rPr>
          <w:sz w:val="20"/>
        </w:rPr>
        <w:t xml:space="preserve"> (“</w:t>
      </w:r>
      <w:r w:rsidRPr="00A74426">
        <w:rPr>
          <w:i/>
          <w:sz w:val="20"/>
        </w:rPr>
        <w:t>Sonido</w:t>
      </w:r>
      <w:r>
        <w:rPr>
          <w:sz w:val="20"/>
        </w:rPr>
        <w:t>”)</w:t>
      </w:r>
      <w:r w:rsidRPr="00DD460C">
        <w:rPr>
          <w:sz w:val="20"/>
        </w:rPr>
        <w:t>.</w:t>
      </w:r>
    </w:p>
  </w:footnote>
  <w:footnote w:id="4">
    <w:p w:rsidR="007545A6" w:rsidRPr="00DD460C" w:rsidRDefault="007545A6" w:rsidP="004C30CE">
      <w:pPr>
        <w:pStyle w:val="FootnoteText"/>
        <w:spacing w:after="120"/>
        <w:jc w:val="both"/>
        <w:rPr>
          <w:sz w:val="20"/>
        </w:rPr>
      </w:pPr>
      <w:r w:rsidRPr="00DD460C">
        <w:rPr>
          <w:rStyle w:val="FootnoteReference"/>
          <w:sz w:val="20"/>
        </w:rPr>
        <w:footnoteRef/>
      </w:r>
      <w:r w:rsidRPr="00DD460C">
        <w:rPr>
          <w:sz w:val="20"/>
        </w:rPr>
        <w:t xml:space="preserve"> Application, Exhibit 2.</w:t>
      </w:r>
    </w:p>
  </w:footnote>
  <w:footnote w:id="5">
    <w:p w:rsidR="007545A6" w:rsidRPr="00E03901" w:rsidRDefault="007545A6" w:rsidP="004C30CE">
      <w:pPr>
        <w:pStyle w:val="FootnoteText"/>
        <w:spacing w:after="120"/>
        <w:jc w:val="both"/>
        <w:rPr>
          <w:sz w:val="20"/>
        </w:rPr>
      </w:pPr>
      <w:r>
        <w:rPr>
          <w:rStyle w:val="FootnoteReference"/>
        </w:rPr>
        <w:footnoteRef/>
      </w:r>
      <w:r>
        <w:t xml:space="preserve"> </w:t>
      </w:r>
      <w:r w:rsidRPr="0023681E">
        <w:rPr>
          <w:i/>
          <w:sz w:val="20"/>
        </w:rPr>
        <w:t>Staff Decision</w:t>
      </w:r>
      <w:r>
        <w:rPr>
          <w:sz w:val="20"/>
        </w:rPr>
        <w:t xml:space="preserve"> at 2-3.  </w:t>
      </w:r>
      <w:r w:rsidRPr="003F0C24">
        <w:rPr>
          <w:i/>
          <w:sz w:val="20"/>
        </w:rPr>
        <w:t>See</w:t>
      </w:r>
      <w:r>
        <w:rPr>
          <w:sz w:val="20"/>
        </w:rPr>
        <w:t xml:space="preserve"> 47 U.S.C. § 397(6)(A).</w:t>
      </w:r>
    </w:p>
  </w:footnote>
  <w:footnote w:id="6">
    <w:p w:rsidR="007545A6" w:rsidRPr="00367507" w:rsidRDefault="007545A6" w:rsidP="004C30CE">
      <w:pPr>
        <w:pStyle w:val="FootnoteText"/>
        <w:spacing w:after="120"/>
        <w:jc w:val="both"/>
        <w:rPr>
          <w:sz w:val="20"/>
        </w:rPr>
      </w:pPr>
      <w:r>
        <w:rPr>
          <w:rStyle w:val="FootnoteReference"/>
        </w:rPr>
        <w:footnoteRef/>
      </w:r>
      <w:r>
        <w:t xml:space="preserve"> </w:t>
      </w:r>
      <w:r w:rsidRPr="00367507">
        <w:rPr>
          <w:i/>
          <w:sz w:val="20"/>
        </w:rPr>
        <w:t>Fatima Response, Inc.</w:t>
      </w:r>
      <w:r>
        <w:rPr>
          <w:sz w:val="20"/>
        </w:rPr>
        <w:t>, Memorandum Opinion and Order, 14 FCC Rcd 18543, 18544 (1999) (“</w:t>
      </w:r>
      <w:r w:rsidRPr="00367507">
        <w:rPr>
          <w:i/>
          <w:sz w:val="20"/>
        </w:rPr>
        <w:t>FRI</w:t>
      </w:r>
      <w:r>
        <w:rPr>
          <w:sz w:val="20"/>
        </w:rPr>
        <w:t>”).</w:t>
      </w:r>
    </w:p>
  </w:footnote>
  <w:footnote w:id="7">
    <w:p w:rsidR="007545A6" w:rsidRPr="00F279F8" w:rsidRDefault="007545A6" w:rsidP="004C30CE">
      <w:pPr>
        <w:pStyle w:val="FootnoteText"/>
        <w:spacing w:after="120"/>
        <w:jc w:val="both"/>
        <w:rPr>
          <w:sz w:val="20"/>
        </w:rPr>
      </w:pPr>
      <w:r>
        <w:rPr>
          <w:rStyle w:val="FootnoteReference"/>
        </w:rPr>
        <w:footnoteRef/>
      </w:r>
      <w:r>
        <w:t xml:space="preserve"> </w:t>
      </w:r>
      <w:r>
        <w:rPr>
          <w:sz w:val="20"/>
        </w:rPr>
        <w:t>47 C.F.R. § 73.853(a); 47 U.S.C. § 397(6)(A).</w:t>
      </w:r>
    </w:p>
  </w:footnote>
  <w:footnote w:id="8">
    <w:p w:rsidR="007545A6" w:rsidRPr="00145F20" w:rsidRDefault="007545A6" w:rsidP="004C30CE">
      <w:pPr>
        <w:pStyle w:val="FootnoteText"/>
        <w:spacing w:after="120"/>
        <w:jc w:val="both"/>
        <w:rPr>
          <w:sz w:val="20"/>
        </w:rPr>
      </w:pPr>
      <w:r>
        <w:rPr>
          <w:rStyle w:val="FootnoteReference"/>
        </w:rPr>
        <w:footnoteRef/>
      </w:r>
      <w:r>
        <w:t xml:space="preserve"> </w:t>
      </w:r>
      <w:r>
        <w:rPr>
          <w:sz w:val="20"/>
        </w:rPr>
        <w:t xml:space="preserve">Unlike a non-reserved band FM station, an LPFM station must operate as an NCE station, and thus an LPFM licensee must maintain NCE eligibility at all times.  </w:t>
      </w:r>
      <w:r w:rsidRPr="004D79F3">
        <w:rPr>
          <w:i/>
          <w:sz w:val="20"/>
        </w:rPr>
        <w:t>LPFM R&amp;O</w:t>
      </w:r>
      <w:r>
        <w:rPr>
          <w:sz w:val="20"/>
        </w:rPr>
        <w:t>, 15 FCC Rcd at 2213 and n.33.</w:t>
      </w:r>
    </w:p>
  </w:footnote>
  <w:footnote w:id="9">
    <w:p w:rsidR="007545A6" w:rsidRPr="00A74426" w:rsidRDefault="007545A6" w:rsidP="004C30CE">
      <w:pPr>
        <w:pStyle w:val="FootnoteText"/>
        <w:spacing w:after="120"/>
        <w:jc w:val="both"/>
        <w:rPr>
          <w:sz w:val="20"/>
        </w:rPr>
      </w:pPr>
      <w:r>
        <w:rPr>
          <w:rStyle w:val="FootnoteReference"/>
        </w:rPr>
        <w:footnoteRef/>
      </w:r>
      <w:r>
        <w:t xml:space="preserve"> </w:t>
      </w:r>
      <w:r w:rsidRPr="006D4398">
        <w:rPr>
          <w:i/>
          <w:sz w:val="20"/>
        </w:rPr>
        <w:t xml:space="preserve">Accord </w:t>
      </w:r>
      <w:r w:rsidRPr="003D3E22">
        <w:rPr>
          <w:i/>
          <w:sz w:val="20"/>
        </w:rPr>
        <w:t>Sonido,</w:t>
      </w:r>
      <w:r>
        <w:rPr>
          <w:sz w:val="20"/>
        </w:rPr>
        <w:t xml:space="preserve"> 23 FCC Rcd at 2449.</w:t>
      </w:r>
    </w:p>
  </w:footnote>
  <w:footnote w:id="10">
    <w:p w:rsidR="007545A6" w:rsidRPr="002F18B7" w:rsidRDefault="007545A6" w:rsidP="004C30CE">
      <w:pPr>
        <w:pStyle w:val="FootnoteText"/>
        <w:spacing w:after="120"/>
        <w:jc w:val="both"/>
        <w:rPr>
          <w:sz w:val="20"/>
        </w:rPr>
      </w:pPr>
      <w:r>
        <w:rPr>
          <w:rStyle w:val="FootnoteReference"/>
        </w:rPr>
        <w:footnoteRef/>
      </w:r>
      <w:r>
        <w:t xml:space="preserve"> </w:t>
      </w:r>
      <w:r>
        <w:rPr>
          <w:sz w:val="20"/>
        </w:rPr>
        <w:t xml:space="preserve">AFR at 2, 5-6.  Over two years after it filed its Petition for Reconsideration of the Bureau’s dismissal of its Application, and over five years after filing the Application, HRR purported to amend its Application to state for the first time that it “first operated as an unincorporated association . . . [that] was organized and began planning and preparing its application” in November 2000.  Application (amended July 24, 2006), Exhibit 2. </w:t>
      </w:r>
    </w:p>
  </w:footnote>
  <w:footnote w:id="11">
    <w:p w:rsidR="007545A6" w:rsidRPr="00F279F8" w:rsidRDefault="007545A6" w:rsidP="004C30CE">
      <w:pPr>
        <w:pStyle w:val="FootnoteText"/>
        <w:spacing w:after="120"/>
        <w:jc w:val="both"/>
        <w:rPr>
          <w:sz w:val="20"/>
        </w:rPr>
      </w:pPr>
      <w:r>
        <w:rPr>
          <w:rStyle w:val="FootnoteReference"/>
        </w:rPr>
        <w:footnoteRef/>
      </w:r>
      <w:r>
        <w:t xml:space="preserve"> </w:t>
      </w:r>
      <w:r>
        <w:rPr>
          <w:sz w:val="20"/>
        </w:rPr>
        <w:t xml:space="preserve">47 C.F.R. § 1.115(c).  </w:t>
      </w:r>
      <w:r w:rsidRPr="00A552E7">
        <w:rPr>
          <w:i/>
          <w:sz w:val="20"/>
        </w:rPr>
        <w:t>See supra</w:t>
      </w:r>
      <w:r>
        <w:rPr>
          <w:sz w:val="20"/>
        </w:rPr>
        <w:t xml:space="preserve"> note 10.</w:t>
      </w:r>
    </w:p>
  </w:footnote>
  <w:footnote w:id="12">
    <w:p w:rsidR="007545A6" w:rsidRPr="00794BB6" w:rsidRDefault="007545A6" w:rsidP="004C30CE">
      <w:pPr>
        <w:pStyle w:val="FootnoteText"/>
        <w:spacing w:after="120"/>
        <w:jc w:val="both"/>
        <w:rPr>
          <w:sz w:val="20"/>
        </w:rPr>
      </w:pPr>
      <w:r>
        <w:rPr>
          <w:rStyle w:val="FootnoteReference"/>
        </w:rPr>
        <w:footnoteRef/>
      </w:r>
      <w:r>
        <w:t xml:space="preserve"> </w:t>
      </w:r>
      <w:r>
        <w:rPr>
          <w:sz w:val="20"/>
        </w:rPr>
        <w:t>Mo. Ann. Stat. §§ 355.066(14), 482.310(1), 527.130.</w:t>
      </w:r>
    </w:p>
  </w:footnote>
  <w:footnote w:id="13">
    <w:p w:rsidR="007545A6" w:rsidRPr="00DD460C" w:rsidRDefault="007545A6" w:rsidP="004C30CE">
      <w:pPr>
        <w:pStyle w:val="FootnoteText"/>
        <w:spacing w:after="120"/>
        <w:jc w:val="both"/>
        <w:rPr>
          <w:sz w:val="20"/>
        </w:rPr>
      </w:pPr>
      <w:r w:rsidRPr="00DD460C">
        <w:rPr>
          <w:rStyle w:val="FootnoteReference"/>
          <w:sz w:val="20"/>
        </w:rPr>
        <w:footnoteRef/>
      </w:r>
      <w:r w:rsidRPr="00DD460C">
        <w:rPr>
          <w:sz w:val="20"/>
        </w:rPr>
        <w:t xml:space="preserve"> 47 U.S.C. § 155(c)(5).</w:t>
      </w:r>
    </w:p>
  </w:footnote>
  <w:footnote w:id="14">
    <w:p w:rsidR="007545A6" w:rsidRPr="00C03064" w:rsidRDefault="007545A6" w:rsidP="004C30CE">
      <w:pPr>
        <w:pStyle w:val="FootnoteText"/>
        <w:spacing w:after="120"/>
        <w:jc w:val="both"/>
        <w:rPr>
          <w:sz w:val="20"/>
        </w:rPr>
      </w:pPr>
      <w:r w:rsidRPr="00DD460C">
        <w:rPr>
          <w:rStyle w:val="FootnoteReference"/>
          <w:sz w:val="20"/>
        </w:rPr>
        <w:footnoteRef/>
      </w:r>
      <w:r w:rsidRPr="00DD460C">
        <w:rPr>
          <w:sz w:val="20"/>
        </w:rP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8" w:rsidRDefault="00DB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44" w:rsidRPr="00FE1144" w:rsidRDefault="00F36FFD" w:rsidP="00FE1144">
    <w:pPr>
      <w:pStyle w:val="Header"/>
      <w:rPr>
        <w:szCs w:val="22"/>
      </w:rPr>
    </w:pPr>
    <w:r w:rsidRPr="00FE1144">
      <w:rPr>
        <w:b/>
        <w:szCs w:val="22"/>
        <w:u w:val="single"/>
      </w:rPr>
      <w:t xml:space="preserve">                                    </w:t>
    </w:r>
    <w:r>
      <w:rPr>
        <w:b/>
        <w:szCs w:val="22"/>
        <w:u w:val="single"/>
      </w:rPr>
      <w:t xml:space="preserve">         </w:t>
    </w:r>
    <w:r w:rsidRPr="00FE1144">
      <w:rPr>
        <w:b/>
        <w:szCs w:val="22"/>
        <w:u w:val="single"/>
      </w:rPr>
      <w:t xml:space="preserve">       Federal Communications Commissi</w:t>
    </w:r>
    <w:r>
      <w:rPr>
        <w:b/>
        <w:szCs w:val="22"/>
        <w:u w:val="single"/>
      </w:rPr>
      <w:t xml:space="preserve">on                     </w:t>
    </w:r>
    <w:r w:rsidR="007545A6">
      <w:rPr>
        <w:b/>
        <w:szCs w:val="22"/>
        <w:u w:val="single"/>
      </w:rPr>
      <w:t xml:space="preserve">  </w:t>
    </w:r>
    <w:r>
      <w:rPr>
        <w:b/>
        <w:szCs w:val="22"/>
        <w:u w:val="single"/>
      </w:rPr>
      <w:t xml:space="preserve">           FCC 13</w:t>
    </w:r>
    <w:r w:rsidRPr="00FE1144">
      <w:rPr>
        <w:b/>
        <w:szCs w:val="22"/>
        <w:u w:val="single"/>
      </w:rPr>
      <w:t>-</w:t>
    </w:r>
    <w:r w:rsidR="007545A6">
      <w:rPr>
        <w:b/>
        <w:szCs w:val="22"/>
        <w:u w:val="single"/>
      </w:rPr>
      <w:t>70</w:t>
    </w:r>
  </w:p>
  <w:p w:rsidR="008747EF" w:rsidRPr="00FE1144" w:rsidRDefault="007D6D66" w:rsidP="00FE1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EF" w:rsidRPr="00FE1144" w:rsidRDefault="00F36FFD">
    <w:pPr>
      <w:pStyle w:val="Header"/>
      <w:rPr>
        <w:szCs w:val="22"/>
      </w:rPr>
    </w:pPr>
    <w:r w:rsidRPr="00FE1144">
      <w:rPr>
        <w:b/>
        <w:szCs w:val="22"/>
        <w:u w:val="single"/>
      </w:rPr>
      <w:t xml:space="preserve">                                    </w:t>
    </w:r>
    <w:r>
      <w:rPr>
        <w:b/>
        <w:szCs w:val="22"/>
        <w:u w:val="single"/>
      </w:rPr>
      <w:t xml:space="preserve">         </w:t>
    </w:r>
    <w:r w:rsidRPr="00FE1144">
      <w:rPr>
        <w:b/>
        <w:szCs w:val="22"/>
        <w:u w:val="single"/>
      </w:rPr>
      <w:t xml:space="preserve">       Federal Communications Commissi</w:t>
    </w:r>
    <w:r>
      <w:rPr>
        <w:b/>
        <w:szCs w:val="22"/>
        <w:u w:val="single"/>
      </w:rPr>
      <w:t xml:space="preserve">on                               </w:t>
    </w:r>
    <w:r w:rsidR="007545A6">
      <w:rPr>
        <w:b/>
        <w:szCs w:val="22"/>
        <w:u w:val="single"/>
      </w:rPr>
      <w:t xml:space="preserve">  </w:t>
    </w:r>
    <w:r>
      <w:rPr>
        <w:b/>
        <w:szCs w:val="22"/>
        <w:u w:val="single"/>
      </w:rPr>
      <w:t xml:space="preserve"> FCC 13</w:t>
    </w:r>
    <w:r w:rsidRPr="00FE1144">
      <w:rPr>
        <w:b/>
        <w:szCs w:val="22"/>
        <w:u w:val="single"/>
      </w:rPr>
      <w:t>-</w:t>
    </w:r>
    <w:r w:rsidR="007545A6">
      <w:rPr>
        <w:b/>
        <w:szCs w:val="22"/>
        <w:u w:val="single"/>
      </w:rPr>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A6"/>
    <w:rsid w:val="00037E85"/>
    <w:rsid w:val="000A7C95"/>
    <w:rsid w:val="000B5C3C"/>
    <w:rsid w:val="004C30CE"/>
    <w:rsid w:val="006361C7"/>
    <w:rsid w:val="00712D33"/>
    <w:rsid w:val="007545A6"/>
    <w:rsid w:val="00793F60"/>
    <w:rsid w:val="007D6D66"/>
    <w:rsid w:val="00860F29"/>
    <w:rsid w:val="00975254"/>
    <w:rsid w:val="00AC615F"/>
    <w:rsid w:val="00B14D78"/>
    <w:rsid w:val="00BB472E"/>
    <w:rsid w:val="00C22C09"/>
    <w:rsid w:val="00C50B43"/>
    <w:rsid w:val="00CB713A"/>
    <w:rsid w:val="00D36F97"/>
    <w:rsid w:val="00D816DA"/>
    <w:rsid w:val="00DB32F8"/>
    <w:rsid w:val="00E4320E"/>
    <w:rsid w:val="00F3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A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545A6"/>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5A6"/>
    <w:rPr>
      <w:rFonts w:ascii="Times New Roman" w:eastAsia="Times New Roman" w:hAnsi="Times New Roman" w:cs="Times New Roman"/>
      <w:b/>
      <w:szCs w:val="20"/>
    </w:rPr>
  </w:style>
  <w:style w:type="paragraph" w:styleId="Header">
    <w:name w:val="header"/>
    <w:basedOn w:val="Normal"/>
    <w:link w:val="HeaderChar"/>
    <w:rsid w:val="007545A6"/>
    <w:pPr>
      <w:tabs>
        <w:tab w:val="center" w:pos="4320"/>
        <w:tab w:val="right" w:pos="8640"/>
      </w:tabs>
    </w:pPr>
  </w:style>
  <w:style w:type="character" w:customStyle="1" w:styleId="HeaderChar">
    <w:name w:val="Header Char"/>
    <w:basedOn w:val="DefaultParagraphFont"/>
    <w:link w:val="Header"/>
    <w:rsid w:val="007545A6"/>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7545A6"/>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7545A6"/>
  </w:style>
  <w:style w:type="character" w:customStyle="1" w:styleId="FootnoteTextChar">
    <w:name w:val="Footnote Text Char"/>
    <w:basedOn w:val="DefaultParagraphFont"/>
    <w:uiPriority w:val="99"/>
    <w:semiHidden/>
    <w:rsid w:val="007545A6"/>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7545A6"/>
    <w:rPr>
      <w:rFonts w:ascii="Times New Roman" w:eastAsia="Times New Roman" w:hAnsi="Times New Roman" w:cs="Times New Roman"/>
      <w:szCs w:val="20"/>
    </w:rPr>
  </w:style>
  <w:style w:type="character" w:styleId="PageNumber">
    <w:name w:val="page number"/>
    <w:basedOn w:val="DefaultParagraphFont"/>
    <w:rsid w:val="007545A6"/>
  </w:style>
  <w:style w:type="paragraph" w:styleId="Footer">
    <w:name w:val="footer"/>
    <w:basedOn w:val="Normal"/>
    <w:link w:val="FooterChar"/>
    <w:rsid w:val="007545A6"/>
    <w:pPr>
      <w:tabs>
        <w:tab w:val="center" w:pos="4320"/>
        <w:tab w:val="right" w:pos="8640"/>
      </w:tabs>
    </w:pPr>
  </w:style>
  <w:style w:type="character" w:customStyle="1" w:styleId="FooterChar">
    <w:name w:val="Footer Char"/>
    <w:basedOn w:val="DefaultParagraphFont"/>
    <w:link w:val="Footer"/>
    <w:rsid w:val="007545A6"/>
    <w:rPr>
      <w:rFonts w:ascii="Times New Roman" w:eastAsia="Times New Roman" w:hAnsi="Times New Roman" w:cs="Times New Roman"/>
      <w:szCs w:val="20"/>
    </w:rPr>
  </w:style>
  <w:style w:type="paragraph" w:customStyle="1" w:styleId="ParaNum">
    <w:name w:val="ParaNum"/>
    <w:basedOn w:val="Normal"/>
    <w:rsid w:val="007545A6"/>
    <w:pPr>
      <w:widowControl w:val="0"/>
      <w:numPr>
        <w:numId w:val="1"/>
      </w:numPr>
      <w:tabs>
        <w:tab w:val="left" w:pos="1440"/>
      </w:tabs>
      <w:spacing w:after="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A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545A6"/>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5A6"/>
    <w:rPr>
      <w:rFonts w:ascii="Times New Roman" w:eastAsia="Times New Roman" w:hAnsi="Times New Roman" w:cs="Times New Roman"/>
      <w:b/>
      <w:szCs w:val="20"/>
    </w:rPr>
  </w:style>
  <w:style w:type="paragraph" w:styleId="Header">
    <w:name w:val="header"/>
    <w:basedOn w:val="Normal"/>
    <w:link w:val="HeaderChar"/>
    <w:rsid w:val="007545A6"/>
    <w:pPr>
      <w:tabs>
        <w:tab w:val="center" w:pos="4320"/>
        <w:tab w:val="right" w:pos="8640"/>
      </w:tabs>
    </w:pPr>
  </w:style>
  <w:style w:type="character" w:customStyle="1" w:styleId="HeaderChar">
    <w:name w:val="Header Char"/>
    <w:basedOn w:val="DefaultParagraphFont"/>
    <w:link w:val="Header"/>
    <w:rsid w:val="007545A6"/>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7545A6"/>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7545A6"/>
  </w:style>
  <w:style w:type="character" w:customStyle="1" w:styleId="FootnoteTextChar">
    <w:name w:val="Footnote Text Char"/>
    <w:basedOn w:val="DefaultParagraphFont"/>
    <w:uiPriority w:val="99"/>
    <w:semiHidden/>
    <w:rsid w:val="007545A6"/>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7545A6"/>
    <w:rPr>
      <w:rFonts w:ascii="Times New Roman" w:eastAsia="Times New Roman" w:hAnsi="Times New Roman" w:cs="Times New Roman"/>
      <w:szCs w:val="20"/>
    </w:rPr>
  </w:style>
  <w:style w:type="character" w:styleId="PageNumber">
    <w:name w:val="page number"/>
    <w:basedOn w:val="DefaultParagraphFont"/>
    <w:rsid w:val="007545A6"/>
  </w:style>
  <w:style w:type="paragraph" w:styleId="Footer">
    <w:name w:val="footer"/>
    <w:basedOn w:val="Normal"/>
    <w:link w:val="FooterChar"/>
    <w:rsid w:val="007545A6"/>
    <w:pPr>
      <w:tabs>
        <w:tab w:val="center" w:pos="4320"/>
        <w:tab w:val="right" w:pos="8640"/>
      </w:tabs>
    </w:pPr>
  </w:style>
  <w:style w:type="character" w:customStyle="1" w:styleId="FooterChar">
    <w:name w:val="Footer Char"/>
    <w:basedOn w:val="DefaultParagraphFont"/>
    <w:link w:val="Footer"/>
    <w:rsid w:val="007545A6"/>
    <w:rPr>
      <w:rFonts w:ascii="Times New Roman" w:eastAsia="Times New Roman" w:hAnsi="Times New Roman" w:cs="Times New Roman"/>
      <w:szCs w:val="20"/>
    </w:rPr>
  </w:style>
  <w:style w:type="paragraph" w:customStyle="1" w:styleId="ParaNum">
    <w:name w:val="ParaNum"/>
    <w:basedOn w:val="Normal"/>
    <w:rsid w:val="007545A6"/>
    <w:pPr>
      <w:widowControl w:val="0"/>
      <w:numPr>
        <w:numId w:val="1"/>
      </w:numPr>
      <w:tabs>
        <w:tab w:val="left" w:pos="1440"/>
      </w:tabs>
      <w:spacing w:after="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3775</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2013-05-14T13:19:00Z</cp:lastPrinted>
  <dcterms:created xsi:type="dcterms:W3CDTF">2013-05-14T15:41:00Z</dcterms:created>
  <dcterms:modified xsi:type="dcterms:W3CDTF">2013-05-14T15:41:00Z</dcterms:modified>
  <cp:category> </cp:category>
  <cp:contentStatus> </cp:contentStatus>
</cp:coreProperties>
</file>