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A7" w:rsidRDefault="00394CA7" w:rsidP="00A1103B">
      <w:pPr>
        <w:jc w:val="center"/>
        <w:rPr>
          <w:b/>
        </w:rPr>
      </w:pPr>
      <w:bookmarkStart w:id="0" w:name="_GoBack"/>
      <w:bookmarkEnd w:id="0"/>
      <w:r>
        <w:rPr>
          <w:b/>
        </w:rPr>
        <w:t>Before the</w:t>
      </w:r>
    </w:p>
    <w:p w:rsidR="00394CA7" w:rsidRDefault="00394CA7" w:rsidP="00A1103B">
      <w:pPr>
        <w:jc w:val="center"/>
        <w:rPr>
          <w:b/>
        </w:rPr>
      </w:pPr>
      <w:r>
        <w:rPr>
          <w:b/>
        </w:rPr>
        <w:t>Federal Communications Commission</w:t>
      </w:r>
    </w:p>
    <w:p w:rsidR="00394CA7" w:rsidRDefault="00394CA7" w:rsidP="00A1103B">
      <w:pPr>
        <w:jc w:val="center"/>
        <w:rPr>
          <w:b/>
        </w:rPr>
      </w:pPr>
      <w:r>
        <w:rPr>
          <w:b/>
        </w:rPr>
        <w:t>Washington, D.C. 20554</w:t>
      </w:r>
    </w:p>
    <w:p w:rsidR="00394CA7" w:rsidRDefault="00394CA7" w:rsidP="00A1103B"/>
    <w:p w:rsidR="00394CA7" w:rsidRDefault="00394CA7" w:rsidP="00A1103B"/>
    <w:tbl>
      <w:tblPr>
        <w:tblW w:w="9707" w:type="dxa"/>
        <w:tblLayout w:type="fixed"/>
        <w:tblLook w:val="0000" w:firstRow="0" w:lastRow="0" w:firstColumn="0" w:lastColumn="0" w:noHBand="0" w:noVBand="0"/>
      </w:tblPr>
      <w:tblGrid>
        <w:gridCol w:w="4727"/>
        <w:gridCol w:w="724"/>
        <w:gridCol w:w="4256"/>
      </w:tblGrid>
      <w:tr w:rsidR="00394CA7">
        <w:trPr>
          <w:trHeight w:val="2896"/>
        </w:trPr>
        <w:tc>
          <w:tcPr>
            <w:tcW w:w="4727" w:type="dxa"/>
          </w:tcPr>
          <w:p w:rsidR="00394CA7" w:rsidRDefault="00394CA7" w:rsidP="00A1103B">
            <w:pPr>
              <w:ind w:right="-18"/>
            </w:pPr>
            <w:r>
              <w:t xml:space="preserve">In the </w:t>
            </w:r>
            <w:r w:rsidR="004849EA">
              <w:t>M</w:t>
            </w:r>
            <w:r>
              <w:t>atter of</w:t>
            </w:r>
          </w:p>
          <w:p w:rsidR="00394CA7" w:rsidRDefault="00394CA7" w:rsidP="00A1103B">
            <w:pPr>
              <w:ind w:right="-18"/>
            </w:pPr>
          </w:p>
          <w:p w:rsidR="004777BD" w:rsidRPr="00A96021" w:rsidRDefault="00191604" w:rsidP="00A1103B">
            <w:pPr>
              <w:tabs>
                <w:tab w:val="center" w:pos="4680"/>
              </w:tabs>
              <w:suppressAutoHyphens/>
              <w:rPr>
                <w:spacing w:val="-2"/>
                <w:szCs w:val="22"/>
              </w:rPr>
            </w:pPr>
            <w:r w:rsidRPr="00A96021">
              <w:rPr>
                <w:szCs w:val="22"/>
              </w:rPr>
              <w:t>Assessment and Collection of Regulatory Fees    for Fiscal Year 2013</w:t>
            </w:r>
          </w:p>
          <w:p w:rsidR="004777BD" w:rsidRPr="00A96021" w:rsidRDefault="004777BD" w:rsidP="00A1103B">
            <w:pPr>
              <w:tabs>
                <w:tab w:val="center" w:pos="4680"/>
              </w:tabs>
              <w:suppressAutoHyphens/>
              <w:rPr>
                <w:spacing w:val="-2"/>
                <w:szCs w:val="22"/>
              </w:rPr>
            </w:pPr>
          </w:p>
          <w:p w:rsidR="004777BD" w:rsidRPr="00A96021" w:rsidRDefault="00191604" w:rsidP="00A1103B">
            <w:pPr>
              <w:ind w:right="-18"/>
              <w:rPr>
                <w:szCs w:val="22"/>
              </w:rPr>
            </w:pPr>
            <w:r>
              <w:rPr>
                <w:szCs w:val="22"/>
              </w:rPr>
              <w:t xml:space="preserve">Procedures for </w:t>
            </w:r>
            <w:r w:rsidR="004777BD" w:rsidRPr="00A96021">
              <w:rPr>
                <w:szCs w:val="22"/>
              </w:rPr>
              <w:t>Assessment and Collection of Regulatory Fees</w:t>
            </w:r>
          </w:p>
          <w:p w:rsidR="004777BD" w:rsidRPr="00A96021" w:rsidRDefault="004777BD" w:rsidP="00A1103B">
            <w:pPr>
              <w:tabs>
                <w:tab w:val="center" w:pos="4680"/>
              </w:tabs>
              <w:suppressAutoHyphens/>
              <w:rPr>
                <w:spacing w:val="-2"/>
                <w:szCs w:val="22"/>
              </w:rPr>
            </w:pPr>
          </w:p>
          <w:p w:rsidR="004777BD" w:rsidRPr="00A96021" w:rsidRDefault="004777BD" w:rsidP="00A1103B">
            <w:pPr>
              <w:ind w:right="-18"/>
              <w:rPr>
                <w:spacing w:val="-2"/>
                <w:szCs w:val="22"/>
              </w:rPr>
            </w:pPr>
            <w:r w:rsidRPr="00A96021">
              <w:rPr>
                <w:spacing w:val="-2"/>
                <w:szCs w:val="22"/>
              </w:rPr>
              <w:t>Assessment and Collection of Regulatory Fees for</w:t>
            </w:r>
          </w:p>
          <w:p w:rsidR="004777BD" w:rsidRPr="00A96021" w:rsidRDefault="004777BD" w:rsidP="00A1103B">
            <w:pPr>
              <w:tabs>
                <w:tab w:val="center" w:pos="4680"/>
              </w:tabs>
              <w:suppressAutoHyphens/>
              <w:rPr>
                <w:spacing w:val="-2"/>
                <w:szCs w:val="22"/>
              </w:rPr>
            </w:pPr>
            <w:r w:rsidRPr="00A96021">
              <w:rPr>
                <w:spacing w:val="-2"/>
                <w:szCs w:val="22"/>
              </w:rPr>
              <w:t>Fiscal Year 2008</w:t>
            </w:r>
          </w:p>
          <w:p w:rsidR="00394CA7" w:rsidRDefault="00394CA7" w:rsidP="00A1103B">
            <w:pPr>
              <w:ind w:right="-18"/>
            </w:pPr>
          </w:p>
        </w:tc>
        <w:tc>
          <w:tcPr>
            <w:tcW w:w="724" w:type="dxa"/>
          </w:tcPr>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394CA7" w:rsidP="00A1103B">
            <w:pPr>
              <w:rPr>
                <w:b/>
              </w:rPr>
            </w:pPr>
            <w:r>
              <w:rPr>
                <w:b/>
              </w:rPr>
              <w:t>)</w:t>
            </w:r>
          </w:p>
          <w:p w:rsidR="00394CA7" w:rsidRDefault="004777BD" w:rsidP="00A1103B">
            <w:pPr>
              <w:rPr>
                <w:b/>
              </w:rPr>
            </w:pPr>
            <w:r>
              <w:rPr>
                <w:b/>
              </w:rPr>
              <w:t>)</w:t>
            </w:r>
          </w:p>
        </w:tc>
        <w:tc>
          <w:tcPr>
            <w:tcW w:w="4256" w:type="dxa"/>
          </w:tcPr>
          <w:p w:rsidR="00394CA7" w:rsidRDefault="00394CA7" w:rsidP="00A1103B"/>
          <w:p w:rsidR="00394CA7" w:rsidRDefault="00394CA7" w:rsidP="00A1103B"/>
          <w:p w:rsidR="004777BD" w:rsidRPr="00A96021" w:rsidRDefault="004777BD" w:rsidP="00A1103B">
            <w:pPr>
              <w:tabs>
                <w:tab w:val="center" w:pos="4680"/>
              </w:tabs>
              <w:suppressAutoHyphens/>
              <w:rPr>
                <w:spacing w:val="-2"/>
                <w:szCs w:val="22"/>
              </w:rPr>
            </w:pPr>
            <w:r w:rsidRPr="00A96021">
              <w:rPr>
                <w:spacing w:val="-2"/>
                <w:szCs w:val="22"/>
              </w:rPr>
              <w:t>MD Docket No. 1</w:t>
            </w:r>
            <w:r w:rsidR="00191604">
              <w:rPr>
                <w:spacing w:val="-2"/>
                <w:szCs w:val="22"/>
              </w:rPr>
              <w:t>3</w:t>
            </w:r>
            <w:r w:rsidRPr="00A96021">
              <w:rPr>
                <w:spacing w:val="-2"/>
                <w:szCs w:val="22"/>
              </w:rPr>
              <w:t>-</w:t>
            </w:r>
            <w:r w:rsidR="00191604">
              <w:rPr>
                <w:spacing w:val="-2"/>
                <w:szCs w:val="22"/>
              </w:rPr>
              <w:t>140</w:t>
            </w:r>
          </w:p>
          <w:p w:rsidR="00394CA7" w:rsidRDefault="00394CA7" w:rsidP="00A1103B"/>
          <w:p w:rsidR="004777BD" w:rsidRDefault="004777BD" w:rsidP="00A1103B"/>
          <w:p w:rsidR="004777BD" w:rsidRPr="00A96021" w:rsidRDefault="004777BD" w:rsidP="00A1103B">
            <w:pPr>
              <w:tabs>
                <w:tab w:val="center" w:pos="4680"/>
              </w:tabs>
              <w:suppressAutoHyphens/>
              <w:rPr>
                <w:spacing w:val="-2"/>
                <w:szCs w:val="22"/>
              </w:rPr>
            </w:pPr>
            <w:r w:rsidRPr="00A96021">
              <w:rPr>
                <w:spacing w:val="-2"/>
                <w:szCs w:val="22"/>
              </w:rPr>
              <w:t>MD Docket No. 1</w:t>
            </w:r>
            <w:r w:rsidR="00191604">
              <w:rPr>
                <w:spacing w:val="-2"/>
                <w:szCs w:val="22"/>
              </w:rPr>
              <w:t>2</w:t>
            </w:r>
            <w:r w:rsidRPr="00A96021">
              <w:rPr>
                <w:spacing w:val="-2"/>
                <w:szCs w:val="22"/>
              </w:rPr>
              <w:t>-</w:t>
            </w:r>
            <w:r w:rsidR="00191604">
              <w:rPr>
                <w:spacing w:val="-2"/>
                <w:szCs w:val="22"/>
              </w:rPr>
              <w:t>201</w:t>
            </w:r>
          </w:p>
          <w:p w:rsidR="004777BD" w:rsidRDefault="004777BD" w:rsidP="00A1103B"/>
          <w:p w:rsidR="004777BD" w:rsidRDefault="004777BD" w:rsidP="00A1103B"/>
          <w:p w:rsidR="004777BD" w:rsidRDefault="004777BD" w:rsidP="00A1103B">
            <w:r w:rsidRPr="00A96021">
              <w:rPr>
                <w:spacing w:val="-2"/>
                <w:szCs w:val="22"/>
              </w:rPr>
              <w:t>MD Docket No. 08-65</w:t>
            </w:r>
          </w:p>
        </w:tc>
      </w:tr>
    </w:tbl>
    <w:p w:rsidR="00394CA7" w:rsidRDefault="00394CA7" w:rsidP="00A1103B"/>
    <w:p w:rsidR="004777BD" w:rsidRDefault="004777BD" w:rsidP="00A1103B">
      <w:pPr>
        <w:pStyle w:val="StyleBoldCentered"/>
        <w:rPr>
          <w:rFonts w:ascii="Times New Roman" w:hAnsi="Times New Roman"/>
        </w:rPr>
      </w:pPr>
      <w:r w:rsidRPr="00A96021">
        <w:rPr>
          <w:rFonts w:ascii="Times New Roman" w:hAnsi="Times New Roman"/>
        </w:rPr>
        <w:t>Notice of Proposed Rulemaking and</w:t>
      </w:r>
    </w:p>
    <w:p w:rsidR="004777BD" w:rsidRPr="00A96021" w:rsidRDefault="004777BD" w:rsidP="00A1103B">
      <w:pPr>
        <w:pStyle w:val="StyleBoldCentered"/>
        <w:rPr>
          <w:rFonts w:ascii="Times New Roman" w:hAnsi="Times New Roman"/>
        </w:rPr>
      </w:pPr>
      <w:r w:rsidRPr="00A96021">
        <w:rPr>
          <w:rFonts w:ascii="Times New Roman" w:hAnsi="Times New Roman"/>
        </w:rPr>
        <w:t>further notice of proposed rulemaking</w:t>
      </w:r>
    </w:p>
    <w:p w:rsidR="00394CA7" w:rsidRDefault="00394CA7" w:rsidP="00A1103B">
      <w:pPr>
        <w:spacing w:before="120"/>
        <w:rPr>
          <w:b/>
        </w:rPr>
      </w:pPr>
    </w:p>
    <w:p w:rsidR="00394CA7" w:rsidRDefault="00394CA7" w:rsidP="00A1103B"/>
    <w:p w:rsidR="00394CA7" w:rsidRDefault="00394CA7" w:rsidP="00A1103B">
      <w:pPr>
        <w:tabs>
          <w:tab w:val="left" w:pos="5760"/>
        </w:tabs>
        <w:rPr>
          <w:b/>
          <w:spacing w:val="-2"/>
        </w:rPr>
      </w:pPr>
      <w:r>
        <w:rPr>
          <w:b/>
        </w:rPr>
        <w:t xml:space="preserve">Adopted:  </w:t>
      </w:r>
      <w:r w:rsidR="0000787A">
        <w:rPr>
          <w:b/>
          <w:spacing w:val="-2"/>
        </w:rPr>
        <w:t xml:space="preserve">May </w:t>
      </w:r>
      <w:r w:rsidR="009E0189">
        <w:rPr>
          <w:b/>
          <w:spacing w:val="-2"/>
        </w:rPr>
        <w:t>22</w:t>
      </w:r>
      <w:r w:rsidR="0000787A">
        <w:rPr>
          <w:b/>
          <w:spacing w:val="-2"/>
        </w:rPr>
        <w:t>, 2013</w:t>
      </w:r>
      <w:r>
        <w:rPr>
          <w:b/>
        </w:rPr>
        <w:tab/>
      </w:r>
      <w:r w:rsidR="00E0266B">
        <w:rPr>
          <w:b/>
        </w:rPr>
        <w:t xml:space="preserve">           </w:t>
      </w:r>
      <w:r>
        <w:rPr>
          <w:b/>
        </w:rPr>
        <w:t xml:space="preserve">Released:  </w:t>
      </w:r>
      <w:r w:rsidR="0000787A">
        <w:rPr>
          <w:b/>
          <w:spacing w:val="-2"/>
        </w:rPr>
        <w:t xml:space="preserve">May </w:t>
      </w:r>
      <w:r w:rsidR="009E0189">
        <w:rPr>
          <w:b/>
          <w:spacing w:val="-2"/>
        </w:rPr>
        <w:t>23</w:t>
      </w:r>
      <w:r w:rsidR="0000787A">
        <w:rPr>
          <w:b/>
          <w:spacing w:val="-2"/>
        </w:rPr>
        <w:t>, 2013</w:t>
      </w:r>
    </w:p>
    <w:p w:rsidR="003545BC" w:rsidRDefault="003545BC" w:rsidP="00A1103B">
      <w:pPr>
        <w:tabs>
          <w:tab w:val="left" w:pos="5760"/>
        </w:tabs>
        <w:rPr>
          <w:b/>
          <w:spacing w:val="-2"/>
        </w:rPr>
      </w:pPr>
    </w:p>
    <w:p w:rsidR="003545BC" w:rsidRDefault="003545BC" w:rsidP="003545BC">
      <w:pPr>
        <w:tabs>
          <w:tab w:val="left" w:pos="5760"/>
        </w:tabs>
      </w:pPr>
      <w:r>
        <w:t xml:space="preserve">By the </w:t>
      </w:r>
      <w:r>
        <w:rPr>
          <w:spacing w:val="-2"/>
        </w:rPr>
        <w:t>Commission:</w:t>
      </w:r>
    </w:p>
    <w:p w:rsidR="00394CA7" w:rsidRDefault="00394CA7" w:rsidP="00A1103B">
      <w:pPr>
        <w:tabs>
          <w:tab w:val="left" w:pos="5760"/>
        </w:tabs>
        <w:rPr>
          <w:b/>
        </w:rPr>
      </w:pPr>
    </w:p>
    <w:p w:rsidR="00BE7CAA" w:rsidRDefault="004777BD" w:rsidP="00A1103B">
      <w:pPr>
        <w:tabs>
          <w:tab w:val="left" w:pos="720"/>
          <w:tab w:val="left" w:pos="5760"/>
        </w:tabs>
        <w:suppressAutoHyphens/>
        <w:spacing w:line="227" w:lineRule="auto"/>
        <w:rPr>
          <w:b/>
          <w:spacing w:val="-2"/>
          <w:szCs w:val="22"/>
        </w:rPr>
      </w:pPr>
      <w:r w:rsidRPr="00A96021">
        <w:rPr>
          <w:b/>
          <w:spacing w:val="-2"/>
          <w:szCs w:val="22"/>
        </w:rPr>
        <w:t xml:space="preserve">Comment Date:  </w:t>
      </w:r>
      <w:r w:rsidR="00824884">
        <w:rPr>
          <w:spacing w:val="-2"/>
          <w:szCs w:val="22"/>
        </w:rPr>
        <w:t xml:space="preserve">June </w:t>
      </w:r>
      <w:r w:rsidR="00601113">
        <w:rPr>
          <w:spacing w:val="-2"/>
          <w:szCs w:val="22"/>
        </w:rPr>
        <w:t>1</w:t>
      </w:r>
      <w:r w:rsidR="00C70E38">
        <w:rPr>
          <w:spacing w:val="-2"/>
          <w:szCs w:val="22"/>
        </w:rPr>
        <w:t>9</w:t>
      </w:r>
      <w:r w:rsidR="005F5C89" w:rsidRPr="00EB0AA7">
        <w:rPr>
          <w:spacing w:val="-2"/>
          <w:szCs w:val="22"/>
        </w:rPr>
        <w:t>, 2013</w:t>
      </w:r>
    </w:p>
    <w:p w:rsidR="004E657F" w:rsidRDefault="004777BD" w:rsidP="004E657F">
      <w:pPr>
        <w:tabs>
          <w:tab w:val="left" w:pos="720"/>
          <w:tab w:val="left" w:pos="5760"/>
        </w:tabs>
        <w:suppressAutoHyphens/>
        <w:spacing w:line="227" w:lineRule="auto"/>
        <w:rPr>
          <w:spacing w:val="-2"/>
          <w:szCs w:val="22"/>
        </w:rPr>
      </w:pPr>
      <w:r w:rsidRPr="00A96021">
        <w:rPr>
          <w:b/>
          <w:spacing w:val="-2"/>
          <w:szCs w:val="22"/>
        </w:rPr>
        <w:t xml:space="preserve">Reply Comment Date:  </w:t>
      </w:r>
      <w:r w:rsidR="00824884">
        <w:rPr>
          <w:spacing w:val="-2"/>
          <w:szCs w:val="22"/>
        </w:rPr>
        <w:t xml:space="preserve">June </w:t>
      </w:r>
      <w:r w:rsidR="00601113">
        <w:rPr>
          <w:spacing w:val="-2"/>
          <w:szCs w:val="22"/>
        </w:rPr>
        <w:t>2</w:t>
      </w:r>
      <w:r w:rsidR="00C70E38">
        <w:rPr>
          <w:spacing w:val="-2"/>
          <w:szCs w:val="22"/>
        </w:rPr>
        <w:t>6</w:t>
      </w:r>
      <w:r w:rsidR="005F5C89" w:rsidRPr="00EB0AA7">
        <w:rPr>
          <w:spacing w:val="-2"/>
          <w:szCs w:val="22"/>
        </w:rPr>
        <w:t>, 2013</w:t>
      </w:r>
    </w:p>
    <w:sdt>
      <w:sdtPr>
        <w:rPr>
          <w:rFonts w:ascii="Times New Roman" w:eastAsia="Times New Roman" w:hAnsi="Times New Roman" w:cs="Times New Roman"/>
          <w:b w:val="0"/>
          <w:bCs w:val="0"/>
          <w:color w:val="auto"/>
          <w:sz w:val="22"/>
          <w:szCs w:val="20"/>
          <w:lang w:eastAsia="en-US"/>
        </w:rPr>
        <w:id w:val="-1113674780"/>
        <w:docPartObj>
          <w:docPartGallery w:val="Table of Contents"/>
          <w:docPartUnique/>
        </w:docPartObj>
      </w:sdtPr>
      <w:sdtEndPr>
        <w:rPr>
          <w:noProof/>
        </w:rPr>
      </w:sdtEndPr>
      <w:sdtContent>
        <w:p w:rsidR="004E657F" w:rsidRDefault="00E57949" w:rsidP="00E57949">
          <w:pPr>
            <w:pStyle w:val="TOCHeading"/>
            <w:jc w:val="center"/>
            <w:rPr>
              <w:rFonts w:ascii="Times New Roman" w:eastAsia="Times New Roman" w:hAnsi="Times New Roman" w:cs="Times New Roman"/>
              <w:b w:val="0"/>
              <w:bCs w:val="0"/>
              <w:color w:val="auto"/>
              <w:sz w:val="22"/>
              <w:szCs w:val="20"/>
              <w:lang w:eastAsia="en-US"/>
            </w:rPr>
          </w:pPr>
          <w:r w:rsidRPr="00E82A9E">
            <w:rPr>
              <w:rFonts w:ascii="Times New Roman" w:eastAsia="Times New Roman" w:hAnsi="Times New Roman" w:cs="Times New Roman"/>
              <w:bCs w:val="0"/>
              <w:color w:val="auto"/>
              <w:sz w:val="22"/>
              <w:szCs w:val="20"/>
              <w:lang w:eastAsia="en-US"/>
            </w:rPr>
            <w:t>TABLE OF CONTENTS</w:t>
          </w:r>
        </w:p>
        <w:p w:rsidR="00E57949" w:rsidRDefault="00E43A45" w:rsidP="00E43A45">
          <w:r>
            <w:t>Heading</w:t>
          </w:r>
          <w:r>
            <w:tab/>
          </w:r>
          <w:r>
            <w:tab/>
          </w:r>
          <w:r>
            <w:tab/>
            <w:t xml:space="preserve">      </w:t>
          </w:r>
          <w:r>
            <w:tab/>
          </w:r>
          <w:r>
            <w:tab/>
          </w:r>
          <w:r>
            <w:tab/>
          </w:r>
          <w:r>
            <w:tab/>
          </w:r>
          <w:r>
            <w:tab/>
          </w:r>
          <w:r>
            <w:tab/>
          </w:r>
          <w:r>
            <w:tab/>
            <w:t xml:space="preserve">      Paragraph #</w:t>
          </w:r>
        </w:p>
        <w:p w:rsidR="00E43A45" w:rsidRPr="00E57949" w:rsidRDefault="00E43A45" w:rsidP="00E57949"/>
        <w:p w:rsidR="004E657F" w:rsidRDefault="00C33D99">
          <w:pPr>
            <w:pStyle w:val="TOC1"/>
            <w:rPr>
              <w:rFonts w:asciiTheme="minorHAnsi" w:eastAsiaTheme="minorEastAsia" w:hAnsiTheme="minorHAnsi" w:cstheme="minorBidi"/>
              <w:caps w:val="0"/>
              <w:snapToGrid/>
              <w:kern w:val="0"/>
              <w:szCs w:val="22"/>
            </w:rPr>
          </w:pPr>
          <w:r>
            <w:fldChar w:fldCharType="begin"/>
          </w:r>
          <w:r w:rsidR="004E657F">
            <w:instrText xml:space="preserve"> TOC \o "1-3" \h \z \u </w:instrText>
          </w:r>
          <w:r>
            <w:fldChar w:fldCharType="separate"/>
          </w:r>
          <w:hyperlink w:anchor="_Toc353988036" w:history="1">
            <w:r w:rsidR="004E657F" w:rsidRPr="004C0F07">
              <w:rPr>
                <w:rStyle w:val="Hyperlink"/>
                <w:bCs/>
              </w:rPr>
              <w:t>I.</w:t>
            </w:r>
            <w:r w:rsidR="004E657F">
              <w:rPr>
                <w:rFonts w:asciiTheme="minorHAnsi" w:eastAsiaTheme="minorEastAsia" w:hAnsiTheme="minorHAnsi" w:cstheme="minorBidi"/>
                <w:caps w:val="0"/>
                <w:snapToGrid/>
                <w:kern w:val="0"/>
                <w:szCs w:val="22"/>
              </w:rPr>
              <w:tab/>
            </w:r>
            <w:r w:rsidR="004E657F" w:rsidRPr="004C0F07">
              <w:rPr>
                <w:rStyle w:val="Hyperlink"/>
                <w:bCs/>
              </w:rPr>
              <w:t>introduction and executive summary</w:t>
            </w:r>
            <w:r w:rsidR="004E657F">
              <w:rPr>
                <w:webHidden/>
              </w:rPr>
              <w:tab/>
            </w:r>
            <w:r w:rsidR="00B25CF1">
              <w:rPr>
                <w:webHidden/>
              </w:rPr>
              <w:t>1</w:t>
            </w:r>
          </w:hyperlink>
        </w:p>
        <w:p w:rsidR="004E657F" w:rsidRDefault="0003450C">
          <w:pPr>
            <w:pStyle w:val="TOC1"/>
            <w:rPr>
              <w:rFonts w:asciiTheme="minorHAnsi" w:eastAsiaTheme="minorEastAsia" w:hAnsiTheme="minorHAnsi" w:cstheme="minorBidi"/>
              <w:caps w:val="0"/>
              <w:snapToGrid/>
              <w:kern w:val="0"/>
              <w:szCs w:val="22"/>
            </w:rPr>
          </w:pPr>
          <w:hyperlink w:anchor="_Toc353988037" w:history="1">
            <w:r w:rsidR="004E657F" w:rsidRPr="004C0F07">
              <w:rPr>
                <w:rStyle w:val="Hyperlink"/>
              </w:rPr>
              <w:t>II.</w:t>
            </w:r>
            <w:r w:rsidR="004E657F">
              <w:rPr>
                <w:rFonts w:asciiTheme="minorHAnsi" w:eastAsiaTheme="minorEastAsia" w:hAnsiTheme="minorHAnsi" w:cstheme="minorBidi"/>
                <w:caps w:val="0"/>
                <w:snapToGrid/>
                <w:kern w:val="0"/>
                <w:szCs w:val="22"/>
              </w:rPr>
              <w:tab/>
            </w:r>
            <w:r w:rsidR="004E657F" w:rsidRPr="004C0F07">
              <w:rPr>
                <w:rStyle w:val="Hyperlink"/>
              </w:rPr>
              <w:t>BACKGROUND</w:t>
            </w:r>
            <w:r w:rsidR="004E657F">
              <w:rPr>
                <w:webHidden/>
              </w:rPr>
              <w:tab/>
              <w:t>6</w:t>
            </w:r>
          </w:hyperlink>
        </w:p>
        <w:p w:rsidR="004E657F" w:rsidRDefault="0003450C">
          <w:pPr>
            <w:pStyle w:val="TOC1"/>
            <w:rPr>
              <w:rFonts w:asciiTheme="minorHAnsi" w:eastAsiaTheme="minorEastAsia" w:hAnsiTheme="minorHAnsi" w:cstheme="minorBidi"/>
              <w:caps w:val="0"/>
              <w:snapToGrid/>
              <w:kern w:val="0"/>
              <w:szCs w:val="22"/>
            </w:rPr>
          </w:pPr>
          <w:hyperlink w:anchor="_Toc353988038" w:history="1">
            <w:r w:rsidR="004E657F" w:rsidRPr="004C0F07">
              <w:rPr>
                <w:rStyle w:val="Hyperlink"/>
              </w:rPr>
              <w:t>III.</w:t>
            </w:r>
            <w:r w:rsidR="004E657F">
              <w:rPr>
                <w:rFonts w:asciiTheme="minorHAnsi" w:eastAsiaTheme="minorEastAsia" w:hAnsiTheme="minorHAnsi" w:cstheme="minorBidi"/>
                <w:caps w:val="0"/>
                <w:snapToGrid/>
                <w:kern w:val="0"/>
                <w:szCs w:val="22"/>
              </w:rPr>
              <w:tab/>
            </w:r>
            <w:r w:rsidR="004E657F" w:rsidRPr="004C0F07">
              <w:rPr>
                <w:rStyle w:val="Hyperlink"/>
              </w:rPr>
              <w:t>Notice of proposed rulemaking</w:t>
            </w:r>
            <w:r w:rsidR="004E657F">
              <w:rPr>
                <w:webHidden/>
              </w:rPr>
              <w:tab/>
            </w:r>
            <w:r w:rsidR="00DB78A4">
              <w:rPr>
                <w:webHidden/>
              </w:rPr>
              <w:t>7</w:t>
            </w:r>
          </w:hyperlink>
        </w:p>
        <w:p w:rsidR="004E657F" w:rsidRDefault="0003450C">
          <w:pPr>
            <w:pStyle w:val="TOC2"/>
            <w:rPr>
              <w:rFonts w:asciiTheme="minorHAnsi" w:eastAsiaTheme="minorEastAsia" w:hAnsiTheme="minorHAnsi" w:cstheme="minorBidi"/>
              <w:snapToGrid/>
              <w:kern w:val="0"/>
              <w:szCs w:val="22"/>
            </w:rPr>
          </w:pPr>
          <w:hyperlink w:anchor="_Toc353988039" w:history="1">
            <w:r w:rsidR="004E657F" w:rsidRPr="004C0F07">
              <w:rPr>
                <w:rStyle w:val="Hyperlink"/>
              </w:rPr>
              <w:t>A.</w:t>
            </w:r>
            <w:r w:rsidR="004E657F">
              <w:rPr>
                <w:rFonts w:asciiTheme="minorHAnsi" w:eastAsiaTheme="minorEastAsia" w:hAnsiTheme="minorHAnsi" w:cstheme="minorBidi"/>
                <w:snapToGrid/>
                <w:kern w:val="0"/>
                <w:szCs w:val="22"/>
              </w:rPr>
              <w:tab/>
            </w:r>
            <w:r w:rsidR="004E657F" w:rsidRPr="004C0F07">
              <w:rPr>
                <w:rStyle w:val="Hyperlink"/>
              </w:rPr>
              <w:t>Regulatory Fee Allocation Process and Need for Reform.</w:t>
            </w:r>
            <w:r w:rsidR="004E657F">
              <w:rPr>
                <w:webHidden/>
              </w:rPr>
              <w:tab/>
            </w:r>
            <w:r w:rsidR="00DB78A4">
              <w:rPr>
                <w:webHidden/>
              </w:rPr>
              <w:t>7</w:t>
            </w:r>
          </w:hyperlink>
        </w:p>
        <w:p w:rsidR="004E657F" w:rsidRDefault="0003450C">
          <w:pPr>
            <w:pStyle w:val="TOC2"/>
            <w:rPr>
              <w:rFonts w:asciiTheme="minorHAnsi" w:eastAsiaTheme="minorEastAsia" w:hAnsiTheme="minorHAnsi" w:cstheme="minorBidi"/>
              <w:snapToGrid/>
              <w:kern w:val="0"/>
              <w:szCs w:val="22"/>
            </w:rPr>
          </w:pPr>
          <w:hyperlink w:anchor="_Toc353988040" w:history="1">
            <w:r w:rsidR="004E657F" w:rsidRPr="004C0F07">
              <w:rPr>
                <w:rStyle w:val="Hyperlink"/>
                <w:spacing w:val="-2"/>
              </w:rPr>
              <w:t>B.</w:t>
            </w:r>
            <w:r w:rsidR="004E657F">
              <w:rPr>
                <w:rFonts w:asciiTheme="minorHAnsi" w:eastAsiaTheme="minorEastAsia" w:hAnsiTheme="minorHAnsi" w:cstheme="minorBidi"/>
                <w:snapToGrid/>
                <w:kern w:val="0"/>
                <w:szCs w:val="22"/>
              </w:rPr>
              <w:tab/>
            </w:r>
            <w:r w:rsidR="004E657F" w:rsidRPr="004C0F07">
              <w:rPr>
                <w:rStyle w:val="Hyperlink"/>
                <w:spacing w:val="-2"/>
              </w:rPr>
              <w:t>Discussion</w:t>
            </w:r>
            <w:r w:rsidR="004E657F">
              <w:rPr>
                <w:webHidden/>
              </w:rPr>
              <w:tab/>
            </w:r>
            <w:r w:rsidR="00DB78A4">
              <w:rPr>
                <w:webHidden/>
              </w:rPr>
              <w:t>11</w:t>
            </w:r>
          </w:hyperlink>
        </w:p>
        <w:p w:rsidR="004E657F" w:rsidRDefault="0003450C">
          <w:pPr>
            <w:pStyle w:val="TOC3"/>
            <w:rPr>
              <w:rFonts w:asciiTheme="minorHAnsi" w:eastAsiaTheme="minorEastAsia" w:hAnsiTheme="minorHAnsi" w:cstheme="minorBidi"/>
              <w:snapToGrid/>
              <w:kern w:val="0"/>
              <w:szCs w:val="22"/>
            </w:rPr>
          </w:pPr>
          <w:hyperlink w:anchor="_Toc353988041" w:history="1">
            <w:r w:rsidR="004E657F" w:rsidRPr="004C0F07">
              <w:rPr>
                <w:rStyle w:val="Hyperlink"/>
                <w:spacing w:val="-2"/>
              </w:rPr>
              <w:t>1.</w:t>
            </w:r>
            <w:r w:rsidR="004E657F">
              <w:rPr>
                <w:rFonts w:asciiTheme="minorHAnsi" w:eastAsiaTheme="minorEastAsia" w:hAnsiTheme="minorHAnsi" w:cstheme="minorBidi"/>
                <w:snapToGrid/>
                <w:kern w:val="0"/>
                <w:szCs w:val="22"/>
              </w:rPr>
              <w:tab/>
            </w:r>
            <w:r w:rsidR="004E657F" w:rsidRPr="004C0F07">
              <w:rPr>
                <w:rStyle w:val="Hyperlink"/>
                <w:spacing w:val="-2"/>
              </w:rPr>
              <w:t>Changes to the Interstate Telecommunications Service Providers (ITSPs) Fe</w:t>
            </w:r>
            <w:r w:rsidR="004E657F" w:rsidRPr="004C0F07">
              <w:rPr>
                <w:rStyle w:val="Hyperlink"/>
              </w:rPr>
              <w:t xml:space="preserve">e </w:t>
            </w:r>
            <w:r w:rsidR="004E657F" w:rsidRPr="004C0F07">
              <w:rPr>
                <w:rStyle w:val="Hyperlink"/>
                <w:spacing w:val="-2"/>
              </w:rPr>
              <w:t>Category</w:t>
            </w:r>
            <w:r w:rsidR="004E657F">
              <w:rPr>
                <w:webHidden/>
              </w:rPr>
              <w:tab/>
            </w:r>
            <w:r w:rsidR="00DB78A4">
              <w:rPr>
                <w:webHidden/>
              </w:rPr>
              <w:t>11</w:t>
            </w:r>
          </w:hyperlink>
        </w:p>
        <w:p w:rsidR="004E657F" w:rsidRDefault="0003450C">
          <w:pPr>
            <w:pStyle w:val="TOC3"/>
            <w:rPr>
              <w:rFonts w:asciiTheme="minorHAnsi" w:eastAsiaTheme="minorEastAsia" w:hAnsiTheme="minorHAnsi" w:cstheme="minorBidi"/>
              <w:snapToGrid/>
              <w:kern w:val="0"/>
              <w:szCs w:val="22"/>
            </w:rPr>
          </w:pPr>
          <w:hyperlink w:anchor="_Toc353988042" w:history="1">
            <w:r w:rsidR="004E657F" w:rsidRPr="004C0F07">
              <w:rPr>
                <w:rStyle w:val="Hyperlink"/>
              </w:rPr>
              <w:t>2.</w:t>
            </w:r>
            <w:r w:rsidR="004E657F">
              <w:rPr>
                <w:rFonts w:asciiTheme="minorHAnsi" w:eastAsiaTheme="minorEastAsia" w:hAnsiTheme="minorHAnsi" w:cstheme="minorBidi"/>
                <w:snapToGrid/>
                <w:kern w:val="0"/>
                <w:szCs w:val="22"/>
              </w:rPr>
              <w:tab/>
            </w:r>
            <w:r w:rsidR="004E657F" w:rsidRPr="004C0F07">
              <w:rPr>
                <w:rStyle w:val="Hyperlink"/>
              </w:rPr>
              <w:t>Reallocation of FTEs</w:t>
            </w:r>
            <w:r w:rsidR="004E657F">
              <w:rPr>
                <w:webHidden/>
              </w:rPr>
              <w:tab/>
            </w:r>
            <w:r w:rsidR="00DB78A4">
              <w:rPr>
                <w:webHidden/>
              </w:rPr>
              <w:t>15</w:t>
            </w:r>
          </w:hyperlink>
        </w:p>
        <w:p w:rsidR="004E657F" w:rsidRDefault="0003450C">
          <w:pPr>
            <w:pStyle w:val="TOC3"/>
            <w:rPr>
              <w:rFonts w:asciiTheme="minorHAnsi" w:eastAsiaTheme="minorEastAsia" w:hAnsiTheme="minorHAnsi" w:cstheme="minorBidi"/>
              <w:snapToGrid/>
              <w:kern w:val="0"/>
              <w:szCs w:val="22"/>
            </w:rPr>
          </w:pPr>
          <w:hyperlink w:anchor="_Toc353988043" w:history="1">
            <w:r w:rsidR="004E657F" w:rsidRPr="004C0F07">
              <w:rPr>
                <w:rStyle w:val="Hyperlink"/>
              </w:rPr>
              <w:t>3.</w:t>
            </w:r>
            <w:r w:rsidR="004E657F">
              <w:rPr>
                <w:rFonts w:asciiTheme="minorHAnsi" w:eastAsiaTheme="minorEastAsia" w:hAnsiTheme="minorHAnsi" w:cstheme="minorBidi"/>
                <w:snapToGrid/>
                <w:kern w:val="0"/>
                <w:szCs w:val="22"/>
              </w:rPr>
              <w:tab/>
            </w:r>
            <w:r w:rsidR="004E657F" w:rsidRPr="004C0F07">
              <w:rPr>
                <w:rStyle w:val="Hyperlink"/>
              </w:rPr>
              <w:t>Limitation on Increases of Regulatory Fees</w:t>
            </w:r>
            <w:r w:rsidR="004E657F">
              <w:rPr>
                <w:webHidden/>
              </w:rPr>
              <w:tab/>
            </w:r>
            <w:r w:rsidR="0080394C">
              <w:rPr>
                <w:webHidden/>
              </w:rPr>
              <w:t>30</w:t>
            </w:r>
          </w:hyperlink>
        </w:p>
        <w:p w:rsidR="004E657F" w:rsidRDefault="0003450C">
          <w:pPr>
            <w:pStyle w:val="TOC3"/>
            <w:rPr>
              <w:rFonts w:asciiTheme="minorHAnsi" w:eastAsiaTheme="minorEastAsia" w:hAnsiTheme="minorHAnsi" w:cstheme="minorBidi"/>
              <w:snapToGrid/>
              <w:kern w:val="0"/>
              <w:szCs w:val="22"/>
            </w:rPr>
          </w:pPr>
          <w:hyperlink w:anchor="_Toc353988044" w:history="1">
            <w:r w:rsidR="004E657F" w:rsidRPr="004C0F07">
              <w:rPr>
                <w:rStyle w:val="Hyperlink"/>
              </w:rPr>
              <w:t>4.</w:t>
            </w:r>
            <w:r w:rsidR="004E657F">
              <w:rPr>
                <w:rFonts w:asciiTheme="minorHAnsi" w:eastAsiaTheme="minorEastAsia" w:hAnsiTheme="minorHAnsi" w:cstheme="minorBidi"/>
                <w:snapToGrid/>
                <w:kern w:val="0"/>
                <w:szCs w:val="22"/>
              </w:rPr>
              <w:tab/>
            </w:r>
            <w:r w:rsidR="004E657F" w:rsidRPr="004C0F07">
              <w:rPr>
                <w:rStyle w:val="Hyperlink"/>
              </w:rPr>
              <w:t>Interim Measures for FY 2013</w:t>
            </w:r>
            <w:r w:rsidR="004E657F">
              <w:rPr>
                <w:webHidden/>
              </w:rPr>
              <w:tab/>
            </w:r>
            <w:r w:rsidR="00DB78A4">
              <w:rPr>
                <w:webHidden/>
              </w:rPr>
              <w:t>32</w:t>
            </w:r>
          </w:hyperlink>
        </w:p>
        <w:p w:rsidR="004E657F" w:rsidRDefault="0003450C">
          <w:pPr>
            <w:pStyle w:val="TOC3"/>
            <w:rPr>
              <w:rFonts w:asciiTheme="minorHAnsi" w:eastAsiaTheme="minorEastAsia" w:hAnsiTheme="minorHAnsi" w:cstheme="minorBidi"/>
              <w:snapToGrid/>
              <w:kern w:val="0"/>
              <w:szCs w:val="22"/>
            </w:rPr>
          </w:pPr>
          <w:hyperlink w:anchor="_Toc353988045" w:history="1">
            <w:r w:rsidR="004E657F" w:rsidRPr="004C0F07">
              <w:rPr>
                <w:rStyle w:val="Hyperlink"/>
              </w:rPr>
              <w:t>5.</w:t>
            </w:r>
            <w:r w:rsidR="004E657F">
              <w:rPr>
                <w:rFonts w:asciiTheme="minorHAnsi" w:eastAsiaTheme="minorEastAsia" w:hAnsiTheme="minorHAnsi" w:cstheme="minorBidi"/>
                <w:snapToGrid/>
                <w:kern w:val="0"/>
                <w:szCs w:val="22"/>
              </w:rPr>
              <w:tab/>
            </w:r>
            <w:r w:rsidR="004E657F" w:rsidRPr="004C0F07">
              <w:rPr>
                <w:rStyle w:val="Hyperlink"/>
              </w:rPr>
              <w:t>Revenue Based Regulatory Fee Assessments</w:t>
            </w:r>
            <w:r w:rsidR="004E657F">
              <w:rPr>
                <w:webHidden/>
              </w:rPr>
              <w:tab/>
            </w:r>
            <w:r w:rsidR="00DB78A4">
              <w:rPr>
                <w:webHidden/>
              </w:rPr>
              <w:t>33</w:t>
            </w:r>
          </w:hyperlink>
        </w:p>
        <w:p w:rsidR="004E657F" w:rsidRDefault="0003450C">
          <w:pPr>
            <w:pStyle w:val="TOC2"/>
            <w:rPr>
              <w:rFonts w:asciiTheme="minorHAnsi" w:eastAsiaTheme="minorEastAsia" w:hAnsiTheme="minorHAnsi" w:cstheme="minorBidi"/>
              <w:snapToGrid/>
              <w:kern w:val="0"/>
              <w:szCs w:val="22"/>
            </w:rPr>
          </w:pPr>
          <w:hyperlink w:anchor="_Toc353988046" w:history="1">
            <w:r w:rsidR="004E657F" w:rsidRPr="004C0F07">
              <w:rPr>
                <w:rStyle w:val="Hyperlink"/>
              </w:rPr>
              <w:t>C.</w:t>
            </w:r>
            <w:r w:rsidR="004E657F">
              <w:rPr>
                <w:rFonts w:asciiTheme="minorHAnsi" w:eastAsiaTheme="minorEastAsia" w:hAnsiTheme="minorHAnsi" w:cstheme="minorBidi"/>
                <w:snapToGrid/>
                <w:kern w:val="0"/>
                <w:szCs w:val="22"/>
              </w:rPr>
              <w:tab/>
            </w:r>
            <w:r w:rsidR="004E657F" w:rsidRPr="004C0F07">
              <w:rPr>
                <w:rStyle w:val="Hyperlink"/>
              </w:rPr>
              <w:t>Other Telecommunications Regulatory Fee Issues</w:t>
            </w:r>
            <w:r w:rsidR="004E657F">
              <w:rPr>
                <w:webHidden/>
              </w:rPr>
              <w:tab/>
            </w:r>
            <w:r w:rsidR="00DB78A4">
              <w:rPr>
                <w:webHidden/>
              </w:rPr>
              <w:t>34</w:t>
            </w:r>
          </w:hyperlink>
        </w:p>
        <w:p w:rsidR="004E657F" w:rsidRDefault="0003450C">
          <w:pPr>
            <w:pStyle w:val="TOC3"/>
            <w:rPr>
              <w:rFonts w:asciiTheme="minorHAnsi" w:eastAsiaTheme="minorEastAsia" w:hAnsiTheme="minorHAnsi" w:cstheme="minorBidi"/>
              <w:snapToGrid/>
              <w:kern w:val="0"/>
              <w:szCs w:val="22"/>
            </w:rPr>
          </w:pPr>
          <w:hyperlink w:anchor="_Toc353988047" w:history="1">
            <w:r w:rsidR="004E657F" w:rsidRPr="004C0F07">
              <w:rPr>
                <w:rStyle w:val="Hyperlink"/>
              </w:rPr>
              <w:t>1.</w:t>
            </w:r>
            <w:r w:rsidR="004E657F">
              <w:rPr>
                <w:rFonts w:asciiTheme="minorHAnsi" w:eastAsiaTheme="minorEastAsia" w:hAnsiTheme="minorHAnsi" w:cstheme="minorBidi"/>
                <w:snapToGrid/>
                <w:kern w:val="0"/>
                <w:szCs w:val="22"/>
              </w:rPr>
              <w:tab/>
            </w:r>
            <w:r w:rsidR="004E657F" w:rsidRPr="004C0F07">
              <w:rPr>
                <w:rStyle w:val="Hyperlink"/>
              </w:rPr>
              <w:t>Regulatory Fee Obligations for Digital Low Power, Class A, and TV Translators/Boosters</w:t>
            </w:r>
            <w:r w:rsidR="004E657F">
              <w:rPr>
                <w:webHidden/>
              </w:rPr>
              <w:tab/>
            </w:r>
            <w:r w:rsidR="00DB78A4">
              <w:rPr>
                <w:webHidden/>
              </w:rPr>
              <w:t>34</w:t>
            </w:r>
          </w:hyperlink>
        </w:p>
        <w:p w:rsidR="004E657F" w:rsidRDefault="0003450C">
          <w:pPr>
            <w:pStyle w:val="TOC3"/>
            <w:rPr>
              <w:rFonts w:asciiTheme="minorHAnsi" w:eastAsiaTheme="minorEastAsia" w:hAnsiTheme="minorHAnsi" w:cstheme="minorBidi"/>
              <w:snapToGrid/>
              <w:kern w:val="0"/>
              <w:szCs w:val="22"/>
            </w:rPr>
          </w:pPr>
          <w:hyperlink w:anchor="_Toc353988048" w:history="1">
            <w:r w:rsidR="004E657F" w:rsidRPr="004C0F07">
              <w:rPr>
                <w:rStyle w:val="Hyperlink"/>
              </w:rPr>
              <w:t>2.</w:t>
            </w:r>
            <w:r w:rsidR="004E657F">
              <w:rPr>
                <w:rFonts w:asciiTheme="minorHAnsi" w:eastAsiaTheme="minorEastAsia" w:hAnsiTheme="minorHAnsi" w:cstheme="minorBidi"/>
                <w:snapToGrid/>
                <w:kern w:val="0"/>
                <w:szCs w:val="22"/>
              </w:rPr>
              <w:tab/>
            </w:r>
            <w:r w:rsidR="004E657F" w:rsidRPr="004C0F07">
              <w:rPr>
                <w:rStyle w:val="Hyperlink"/>
              </w:rPr>
              <w:t>Combining UHF/VHF Television Media Regulatory Fees</w:t>
            </w:r>
            <w:r w:rsidR="004E657F">
              <w:rPr>
                <w:webHidden/>
              </w:rPr>
              <w:tab/>
            </w:r>
            <w:r w:rsidR="00DB78A4">
              <w:rPr>
                <w:webHidden/>
              </w:rPr>
              <w:t>35</w:t>
            </w:r>
          </w:hyperlink>
        </w:p>
        <w:p w:rsidR="004E657F" w:rsidRDefault="0003450C">
          <w:pPr>
            <w:pStyle w:val="TOC3"/>
            <w:rPr>
              <w:rFonts w:asciiTheme="minorHAnsi" w:eastAsiaTheme="minorEastAsia" w:hAnsiTheme="minorHAnsi" w:cstheme="minorBidi"/>
              <w:snapToGrid/>
              <w:kern w:val="0"/>
              <w:szCs w:val="22"/>
            </w:rPr>
          </w:pPr>
          <w:hyperlink w:anchor="_Toc353988049" w:history="1">
            <w:r w:rsidR="004E657F" w:rsidRPr="004C0F07">
              <w:rPr>
                <w:rStyle w:val="Hyperlink"/>
                <w:bCs/>
              </w:rPr>
              <w:t>3.</w:t>
            </w:r>
            <w:r w:rsidR="004E657F">
              <w:rPr>
                <w:rFonts w:asciiTheme="minorHAnsi" w:eastAsiaTheme="minorEastAsia" w:hAnsiTheme="minorHAnsi" w:cstheme="minorBidi"/>
                <w:snapToGrid/>
                <w:kern w:val="0"/>
                <w:szCs w:val="22"/>
              </w:rPr>
              <w:tab/>
            </w:r>
            <w:r w:rsidR="004E657F" w:rsidRPr="004C0F07">
              <w:rPr>
                <w:rStyle w:val="Hyperlink"/>
                <w:bCs/>
              </w:rPr>
              <w:t>Internet Protocol TV (IPTV)</w:t>
            </w:r>
            <w:r w:rsidR="004E657F">
              <w:rPr>
                <w:webHidden/>
              </w:rPr>
              <w:tab/>
            </w:r>
            <w:r w:rsidR="00DB78A4">
              <w:rPr>
                <w:webHidden/>
              </w:rPr>
              <w:t>37</w:t>
            </w:r>
          </w:hyperlink>
        </w:p>
        <w:p w:rsidR="004E657F" w:rsidRDefault="0003450C">
          <w:pPr>
            <w:pStyle w:val="TOC3"/>
            <w:rPr>
              <w:rFonts w:asciiTheme="minorHAnsi" w:eastAsiaTheme="minorEastAsia" w:hAnsiTheme="minorHAnsi" w:cstheme="minorBidi"/>
              <w:snapToGrid/>
              <w:kern w:val="0"/>
              <w:szCs w:val="22"/>
            </w:rPr>
          </w:pPr>
          <w:hyperlink w:anchor="_Toc353988050" w:history="1">
            <w:r w:rsidR="004E657F" w:rsidRPr="004C0F07">
              <w:rPr>
                <w:rStyle w:val="Hyperlink"/>
              </w:rPr>
              <w:t>4.</w:t>
            </w:r>
            <w:r w:rsidR="004E657F">
              <w:rPr>
                <w:rFonts w:asciiTheme="minorHAnsi" w:eastAsiaTheme="minorEastAsia" w:hAnsiTheme="minorHAnsi" w:cstheme="minorBidi"/>
                <w:snapToGrid/>
                <w:kern w:val="0"/>
                <w:szCs w:val="22"/>
              </w:rPr>
              <w:tab/>
            </w:r>
            <w:r w:rsidR="004E657F" w:rsidRPr="004C0F07">
              <w:rPr>
                <w:rStyle w:val="Hyperlink"/>
              </w:rPr>
              <w:t>Multi-Year Wireless Services</w:t>
            </w:r>
            <w:r w:rsidR="004E657F">
              <w:rPr>
                <w:webHidden/>
              </w:rPr>
              <w:tab/>
            </w:r>
            <w:r w:rsidR="00DB78A4">
              <w:rPr>
                <w:webHidden/>
              </w:rPr>
              <w:t>38</w:t>
            </w:r>
          </w:hyperlink>
        </w:p>
        <w:p w:rsidR="004E657F" w:rsidRDefault="0003450C">
          <w:pPr>
            <w:pStyle w:val="TOC3"/>
            <w:rPr>
              <w:rFonts w:asciiTheme="minorHAnsi" w:eastAsiaTheme="minorEastAsia" w:hAnsiTheme="minorHAnsi" w:cstheme="minorBidi"/>
              <w:snapToGrid/>
              <w:kern w:val="0"/>
              <w:szCs w:val="22"/>
            </w:rPr>
          </w:pPr>
          <w:hyperlink w:anchor="_Toc353988051" w:history="1">
            <w:r w:rsidR="004E657F" w:rsidRPr="004C0F07">
              <w:rPr>
                <w:rStyle w:val="Hyperlink"/>
              </w:rPr>
              <w:t>5.</w:t>
            </w:r>
            <w:r w:rsidR="004E657F">
              <w:rPr>
                <w:rFonts w:asciiTheme="minorHAnsi" w:eastAsiaTheme="minorEastAsia" w:hAnsiTheme="minorHAnsi" w:cstheme="minorBidi"/>
                <w:snapToGrid/>
                <w:kern w:val="0"/>
                <w:szCs w:val="22"/>
              </w:rPr>
              <w:tab/>
            </w:r>
            <w:r w:rsidR="004E657F" w:rsidRPr="004C0F07">
              <w:rPr>
                <w:rStyle w:val="Hyperlink"/>
              </w:rPr>
              <w:t>Commercial Mobile Radio Service (CMRS) Messaging</w:t>
            </w:r>
            <w:r w:rsidR="004E657F">
              <w:rPr>
                <w:webHidden/>
              </w:rPr>
              <w:tab/>
            </w:r>
            <w:r w:rsidR="00DB78A4">
              <w:rPr>
                <w:webHidden/>
              </w:rPr>
              <w:t>39</w:t>
            </w:r>
          </w:hyperlink>
        </w:p>
        <w:p w:rsidR="004E657F" w:rsidRDefault="004E657F">
          <w:pPr>
            <w:pStyle w:val="TOC2"/>
            <w:rPr>
              <w:rStyle w:val="Hyperlink"/>
            </w:rPr>
          </w:pPr>
        </w:p>
        <w:p w:rsidR="004E657F" w:rsidRDefault="0003450C">
          <w:pPr>
            <w:pStyle w:val="TOC2"/>
            <w:rPr>
              <w:rFonts w:asciiTheme="minorHAnsi" w:eastAsiaTheme="minorEastAsia" w:hAnsiTheme="minorHAnsi" w:cstheme="minorBidi"/>
              <w:snapToGrid/>
              <w:kern w:val="0"/>
              <w:szCs w:val="22"/>
            </w:rPr>
          </w:pPr>
          <w:hyperlink w:anchor="_Toc353988052" w:history="1">
            <w:r w:rsidR="004E657F" w:rsidRPr="004C0F07">
              <w:rPr>
                <w:rStyle w:val="Hyperlink"/>
              </w:rPr>
              <w:t>D.</w:t>
            </w:r>
            <w:r w:rsidR="004E657F">
              <w:rPr>
                <w:rFonts w:asciiTheme="minorHAnsi" w:eastAsiaTheme="minorEastAsia" w:hAnsiTheme="minorHAnsi" w:cstheme="minorBidi"/>
                <w:snapToGrid/>
                <w:kern w:val="0"/>
                <w:szCs w:val="22"/>
              </w:rPr>
              <w:tab/>
            </w:r>
            <w:r w:rsidR="004E657F" w:rsidRPr="004C0F07">
              <w:rPr>
                <w:rStyle w:val="Hyperlink"/>
              </w:rPr>
              <w:t>Administrative Issues</w:t>
            </w:r>
            <w:r w:rsidR="004E657F">
              <w:rPr>
                <w:webHidden/>
              </w:rPr>
              <w:tab/>
            </w:r>
            <w:r w:rsidR="00DB78A4">
              <w:rPr>
                <w:webHidden/>
              </w:rPr>
              <w:t>41</w:t>
            </w:r>
          </w:hyperlink>
        </w:p>
        <w:p w:rsidR="004E657F" w:rsidRDefault="0003450C">
          <w:pPr>
            <w:pStyle w:val="TOC3"/>
            <w:rPr>
              <w:rFonts w:asciiTheme="minorHAnsi" w:eastAsiaTheme="minorEastAsia" w:hAnsiTheme="minorHAnsi" w:cstheme="minorBidi"/>
              <w:snapToGrid/>
              <w:kern w:val="0"/>
              <w:szCs w:val="22"/>
            </w:rPr>
          </w:pPr>
          <w:hyperlink w:anchor="_Toc353988053" w:history="1">
            <w:r w:rsidR="004E657F" w:rsidRPr="004C0F07">
              <w:rPr>
                <w:rStyle w:val="Hyperlink"/>
              </w:rPr>
              <w:t>1.</w:t>
            </w:r>
            <w:r w:rsidR="004E657F">
              <w:rPr>
                <w:rFonts w:asciiTheme="minorHAnsi" w:eastAsiaTheme="minorEastAsia" w:hAnsiTheme="minorHAnsi" w:cstheme="minorBidi"/>
                <w:snapToGrid/>
                <w:kern w:val="0"/>
                <w:szCs w:val="22"/>
              </w:rPr>
              <w:tab/>
            </w:r>
            <w:r w:rsidR="004E657F" w:rsidRPr="004C0F07">
              <w:rPr>
                <w:rStyle w:val="Hyperlink"/>
              </w:rPr>
              <w:t>Electronic Filing and Payment System</w:t>
            </w:r>
            <w:r w:rsidR="004E657F">
              <w:rPr>
                <w:webHidden/>
              </w:rPr>
              <w:tab/>
            </w:r>
            <w:r w:rsidR="00DB78A4">
              <w:rPr>
                <w:webHidden/>
              </w:rPr>
              <w:t>41</w:t>
            </w:r>
          </w:hyperlink>
        </w:p>
        <w:p w:rsidR="004E657F" w:rsidRDefault="0003450C">
          <w:pPr>
            <w:pStyle w:val="TOC3"/>
            <w:rPr>
              <w:rFonts w:asciiTheme="minorHAnsi" w:eastAsiaTheme="minorEastAsia" w:hAnsiTheme="minorHAnsi" w:cstheme="minorBidi"/>
              <w:snapToGrid/>
              <w:kern w:val="0"/>
              <w:szCs w:val="22"/>
            </w:rPr>
          </w:pPr>
          <w:hyperlink w:anchor="_Toc353988054" w:history="1">
            <w:r w:rsidR="004E657F" w:rsidRPr="004C0F07">
              <w:rPr>
                <w:rStyle w:val="Hyperlink"/>
              </w:rPr>
              <w:t>2.</w:t>
            </w:r>
            <w:r w:rsidR="004E657F">
              <w:rPr>
                <w:rFonts w:asciiTheme="minorHAnsi" w:eastAsiaTheme="minorEastAsia" w:hAnsiTheme="minorHAnsi" w:cstheme="minorBidi"/>
                <w:snapToGrid/>
                <w:kern w:val="0"/>
                <w:szCs w:val="22"/>
              </w:rPr>
              <w:tab/>
            </w:r>
            <w:r w:rsidR="004E657F" w:rsidRPr="004C0F07">
              <w:rPr>
                <w:rStyle w:val="Hyperlink"/>
              </w:rPr>
              <w:t>Discontinuation of Mail Outs of Initial CMRS Assessments</w:t>
            </w:r>
            <w:r w:rsidR="004E657F">
              <w:rPr>
                <w:webHidden/>
              </w:rPr>
              <w:tab/>
            </w:r>
            <w:r w:rsidR="00DB78A4">
              <w:rPr>
                <w:webHidden/>
              </w:rPr>
              <w:t>43</w:t>
            </w:r>
          </w:hyperlink>
        </w:p>
        <w:p w:rsidR="004E657F" w:rsidRDefault="0003450C">
          <w:pPr>
            <w:pStyle w:val="TOC3"/>
            <w:rPr>
              <w:rFonts w:asciiTheme="minorHAnsi" w:eastAsiaTheme="minorEastAsia" w:hAnsiTheme="minorHAnsi" w:cstheme="minorBidi"/>
              <w:snapToGrid/>
              <w:kern w:val="0"/>
              <w:szCs w:val="22"/>
            </w:rPr>
          </w:pPr>
          <w:hyperlink w:anchor="_Toc353988055" w:history="1">
            <w:r w:rsidR="004E657F" w:rsidRPr="004C0F07">
              <w:rPr>
                <w:rStyle w:val="Hyperlink"/>
              </w:rPr>
              <w:t>3.</w:t>
            </w:r>
            <w:r w:rsidR="004E657F">
              <w:rPr>
                <w:rFonts w:asciiTheme="minorHAnsi" w:eastAsiaTheme="minorEastAsia" w:hAnsiTheme="minorHAnsi" w:cstheme="minorBidi"/>
                <w:snapToGrid/>
                <w:kern w:val="0"/>
                <w:szCs w:val="22"/>
              </w:rPr>
              <w:tab/>
            </w:r>
            <w:r w:rsidR="004E657F" w:rsidRPr="004C0F07">
              <w:rPr>
                <w:rStyle w:val="Hyperlink"/>
              </w:rPr>
              <w:t>Discontinuation of Paper and Check Transactions Beginning October 1, 2013</w:t>
            </w:r>
            <w:r w:rsidR="004E657F">
              <w:rPr>
                <w:webHidden/>
              </w:rPr>
              <w:tab/>
            </w:r>
            <w:r w:rsidR="00DB78A4">
              <w:rPr>
                <w:webHidden/>
              </w:rPr>
              <w:t>44</w:t>
            </w:r>
          </w:hyperlink>
        </w:p>
        <w:p w:rsidR="004E657F" w:rsidRDefault="0003450C">
          <w:pPr>
            <w:pStyle w:val="TOC1"/>
            <w:rPr>
              <w:rFonts w:asciiTheme="minorHAnsi" w:eastAsiaTheme="minorEastAsia" w:hAnsiTheme="minorHAnsi" w:cstheme="minorBidi"/>
              <w:caps w:val="0"/>
              <w:snapToGrid/>
              <w:kern w:val="0"/>
              <w:szCs w:val="22"/>
            </w:rPr>
          </w:pPr>
          <w:hyperlink w:anchor="_Toc353988056" w:history="1">
            <w:r w:rsidR="004E657F" w:rsidRPr="004C0F07">
              <w:rPr>
                <w:rStyle w:val="Hyperlink"/>
              </w:rPr>
              <w:t>IV.</w:t>
            </w:r>
            <w:r w:rsidR="004E657F">
              <w:rPr>
                <w:rFonts w:asciiTheme="minorHAnsi" w:eastAsiaTheme="minorEastAsia" w:hAnsiTheme="minorHAnsi" w:cstheme="minorBidi"/>
                <w:caps w:val="0"/>
                <w:snapToGrid/>
                <w:kern w:val="0"/>
                <w:szCs w:val="22"/>
              </w:rPr>
              <w:tab/>
            </w:r>
            <w:r w:rsidR="004E657F" w:rsidRPr="004C0F07">
              <w:rPr>
                <w:rStyle w:val="Hyperlink"/>
              </w:rPr>
              <w:t>Further Notice of Proposed Rulemaking</w:t>
            </w:r>
            <w:r w:rsidR="004E657F">
              <w:rPr>
                <w:webHidden/>
              </w:rPr>
              <w:tab/>
            </w:r>
            <w:r w:rsidR="00DB78A4">
              <w:rPr>
                <w:webHidden/>
              </w:rPr>
              <w:t>46</w:t>
            </w:r>
          </w:hyperlink>
        </w:p>
        <w:p w:rsidR="004E657F" w:rsidRDefault="0003450C">
          <w:pPr>
            <w:pStyle w:val="TOC2"/>
            <w:rPr>
              <w:rFonts w:asciiTheme="minorHAnsi" w:eastAsiaTheme="minorEastAsia" w:hAnsiTheme="minorHAnsi" w:cstheme="minorBidi"/>
              <w:snapToGrid/>
              <w:kern w:val="0"/>
              <w:szCs w:val="22"/>
            </w:rPr>
          </w:pPr>
          <w:hyperlink w:anchor="_Toc353988057" w:history="1">
            <w:r w:rsidR="004E657F" w:rsidRPr="004C0F07">
              <w:rPr>
                <w:rStyle w:val="Hyperlink"/>
              </w:rPr>
              <w:t>A.</w:t>
            </w:r>
            <w:r w:rsidR="004E657F">
              <w:rPr>
                <w:rFonts w:asciiTheme="minorHAnsi" w:eastAsiaTheme="minorEastAsia" w:hAnsiTheme="minorHAnsi" w:cstheme="minorBidi"/>
                <w:snapToGrid/>
                <w:kern w:val="0"/>
                <w:szCs w:val="22"/>
              </w:rPr>
              <w:tab/>
            </w:r>
            <w:r w:rsidR="004E657F" w:rsidRPr="004C0F07">
              <w:rPr>
                <w:rStyle w:val="Hyperlink"/>
              </w:rPr>
              <w:t>Non-U.S.-Licensed Space Stations Serving the United States</w:t>
            </w:r>
            <w:r w:rsidR="004E657F">
              <w:rPr>
                <w:webHidden/>
              </w:rPr>
              <w:tab/>
            </w:r>
            <w:r w:rsidR="00DB78A4">
              <w:rPr>
                <w:webHidden/>
              </w:rPr>
              <w:t>47</w:t>
            </w:r>
          </w:hyperlink>
        </w:p>
        <w:p w:rsidR="004E657F" w:rsidRDefault="0003450C">
          <w:pPr>
            <w:pStyle w:val="TOC2"/>
            <w:rPr>
              <w:rFonts w:asciiTheme="minorHAnsi" w:eastAsiaTheme="minorEastAsia" w:hAnsiTheme="minorHAnsi" w:cstheme="minorBidi"/>
              <w:snapToGrid/>
              <w:kern w:val="0"/>
              <w:szCs w:val="22"/>
            </w:rPr>
          </w:pPr>
          <w:hyperlink w:anchor="_Toc353988058" w:history="1">
            <w:r w:rsidR="004E657F" w:rsidRPr="004C0F07">
              <w:rPr>
                <w:rStyle w:val="Hyperlink"/>
              </w:rPr>
              <w:t>B.</w:t>
            </w:r>
            <w:r w:rsidR="004E657F">
              <w:rPr>
                <w:rFonts w:asciiTheme="minorHAnsi" w:eastAsiaTheme="minorEastAsia" w:hAnsiTheme="minorHAnsi" w:cstheme="minorBidi"/>
                <w:snapToGrid/>
                <w:kern w:val="0"/>
                <w:szCs w:val="22"/>
              </w:rPr>
              <w:tab/>
            </w:r>
            <w:r w:rsidR="004E657F" w:rsidRPr="004C0F07">
              <w:rPr>
                <w:rStyle w:val="Hyperlink"/>
              </w:rPr>
              <w:t>Video Services--Direct Broadcast Satellite (DBS)</w:t>
            </w:r>
            <w:r w:rsidR="004E657F">
              <w:rPr>
                <w:webHidden/>
              </w:rPr>
              <w:tab/>
            </w:r>
            <w:r w:rsidR="00DB78A4">
              <w:rPr>
                <w:webHidden/>
              </w:rPr>
              <w:t>50</w:t>
            </w:r>
          </w:hyperlink>
        </w:p>
        <w:p w:rsidR="004E657F" w:rsidRDefault="0003450C">
          <w:pPr>
            <w:pStyle w:val="TOC2"/>
            <w:rPr>
              <w:rFonts w:asciiTheme="minorHAnsi" w:eastAsiaTheme="minorEastAsia" w:hAnsiTheme="minorHAnsi" w:cstheme="minorBidi"/>
              <w:snapToGrid/>
              <w:kern w:val="0"/>
              <w:szCs w:val="22"/>
            </w:rPr>
          </w:pPr>
          <w:hyperlink w:anchor="_Toc353988059" w:history="1">
            <w:r w:rsidR="004E657F" w:rsidRPr="004C0F07">
              <w:rPr>
                <w:rStyle w:val="Hyperlink"/>
              </w:rPr>
              <w:t>C.</w:t>
            </w:r>
            <w:r w:rsidR="004E657F">
              <w:rPr>
                <w:rFonts w:asciiTheme="minorHAnsi" w:eastAsiaTheme="minorEastAsia" w:hAnsiTheme="minorHAnsi" w:cstheme="minorBidi"/>
                <w:snapToGrid/>
                <w:kern w:val="0"/>
                <w:szCs w:val="22"/>
              </w:rPr>
              <w:tab/>
            </w:r>
            <w:r w:rsidR="004E657F" w:rsidRPr="004C0F07">
              <w:rPr>
                <w:rStyle w:val="Hyperlink"/>
              </w:rPr>
              <w:t>Other Services</w:t>
            </w:r>
            <w:r w:rsidR="004E657F">
              <w:rPr>
                <w:webHidden/>
              </w:rPr>
              <w:tab/>
            </w:r>
            <w:r w:rsidR="00DB78A4">
              <w:rPr>
                <w:webHidden/>
              </w:rPr>
              <w:t>53</w:t>
            </w:r>
          </w:hyperlink>
        </w:p>
        <w:p w:rsidR="004E657F" w:rsidRDefault="0003450C">
          <w:pPr>
            <w:pStyle w:val="TOC1"/>
          </w:pPr>
          <w:hyperlink w:anchor="_Toc353988060" w:history="1">
            <w:r w:rsidR="004E657F" w:rsidRPr="004C0F07">
              <w:rPr>
                <w:rStyle w:val="Hyperlink"/>
              </w:rPr>
              <w:t>V.</w:t>
            </w:r>
            <w:r w:rsidR="004E657F">
              <w:rPr>
                <w:rFonts w:asciiTheme="minorHAnsi" w:eastAsiaTheme="minorEastAsia" w:hAnsiTheme="minorHAnsi" w:cstheme="minorBidi"/>
                <w:caps w:val="0"/>
                <w:snapToGrid/>
                <w:kern w:val="0"/>
                <w:szCs w:val="22"/>
              </w:rPr>
              <w:tab/>
            </w:r>
            <w:r w:rsidR="004E657F" w:rsidRPr="004C0F07">
              <w:rPr>
                <w:rStyle w:val="Hyperlink"/>
              </w:rPr>
              <w:t>Conclusion</w:t>
            </w:r>
            <w:r w:rsidR="004E657F">
              <w:rPr>
                <w:webHidden/>
              </w:rPr>
              <w:tab/>
            </w:r>
            <w:r w:rsidR="00DB78A4">
              <w:rPr>
                <w:webHidden/>
              </w:rPr>
              <w:t>54</w:t>
            </w:r>
          </w:hyperlink>
        </w:p>
        <w:p w:rsidR="00A77371" w:rsidRPr="00547927" w:rsidRDefault="00A77371">
          <w:pPr>
            <w:pStyle w:val="TOC1"/>
          </w:pPr>
          <w:r>
            <w:rPr>
              <w:rFonts w:eastAsiaTheme="minorEastAsia"/>
            </w:rPr>
            <w:t xml:space="preserve">VI. </w:t>
          </w:r>
          <w:hyperlink w:anchor="_Toc353988060" w:history="1">
            <w:r w:rsidR="002715A9">
              <w:rPr>
                <w:rFonts w:eastAsiaTheme="minorEastAsia"/>
              </w:rPr>
              <w:t>PROCEDURAL MATTERS</w:t>
            </w:r>
            <w:r w:rsidR="002715A9">
              <w:rPr>
                <w:rFonts w:asciiTheme="minorHAnsi" w:eastAsiaTheme="minorEastAsia" w:hAnsiTheme="minorHAnsi" w:cstheme="minorBidi"/>
                <w:caps w:val="0"/>
                <w:snapToGrid/>
                <w:kern w:val="0"/>
                <w:szCs w:val="22"/>
              </w:rPr>
              <w:tab/>
            </w:r>
          </w:hyperlink>
          <w:r w:rsidR="00A3233A">
            <w:t>55</w:t>
          </w:r>
        </w:p>
        <w:p w:rsidR="004E657F" w:rsidRDefault="0003450C">
          <w:pPr>
            <w:pStyle w:val="TOC1"/>
            <w:rPr>
              <w:rFonts w:asciiTheme="minorHAnsi" w:eastAsiaTheme="minorEastAsia" w:hAnsiTheme="minorHAnsi" w:cstheme="minorBidi"/>
              <w:caps w:val="0"/>
              <w:snapToGrid/>
              <w:kern w:val="0"/>
              <w:szCs w:val="22"/>
            </w:rPr>
          </w:pPr>
          <w:hyperlink w:anchor="_Toc353988062" w:history="1">
            <w:r w:rsidR="004E657F" w:rsidRPr="004C0F07">
              <w:rPr>
                <w:rStyle w:val="Hyperlink"/>
              </w:rPr>
              <w:t>V</w:t>
            </w:r>
            <w:r w:rsidR="00A77371">
              <w:rPr>
                <w:rStyle w:val="Hyperlink"/>
              </w:rPr>
              <w:t>i</w:t>
            </w:r>
            <w:r w:rsidR="004E657F" w:rsidRPr="004C0F07">
              <w:rPr>
                <w:rStyle w:val="Hyperlink"/>
              </w:rPr>
              <w:t>I.ORDERING CLAUSES</w:t>
            </w:r>
            <w:r w:rsidR="004E657F">
              <w:rPr>
                <w:webHidden/>
              </w:rPr>
              <w:tab/>
            </w:r>
            <w:r w:rsidR="00DB78A4">
              <w:rPr>
                <w:webHidden/>
              </w:rPr>
              <w:t>60</w:t>
            </w:r>
          </w:hyperlink>
        </w:p>
        <w:p w:rsidR="00881F70" w:rsidRPr="00A70141" w:rsidRDefault="00C33D99" w:rsidP="007E1A50">
          <w:pPr>
            <w:rPr>
              <w:rStyle w:val="Hyperlink"/>
            </w:rPr>
          </w:pPr>
          <w:r>
            <w:rPr>
              <w:b/>
              <w:bCs/>
              <w:noProof/>
            </w:rPr>
            <w:fldChar w:fldCharType="end"/>
          </w:r>
          <w:r w:rsidR="00881F70" w:rsidRPr="00A70141">
            <w:rPr>
              <w:rStyle w:val="Hyperlink"/>
              <w:color w:val="auto"/>
              <w:u w:val="none"/>
            </w:rPr>
            <w:t>A</w:t>
          </w:r>
          <w:r w:rsidR="007E1A50">
            <w:rPr>
              <w:rStyle w:val="Hyperlink"/>
              <w:color w:val="auto"/>
              <w:u w:val="none"/>
            </w:rPr>
            <w:t>TTACHMENT A</w:t>
          </w:r>
          <w:r w:rsidR="00881F70" w:rsidRPr="00A70141">
            <w:rPr>
              <w:rStyle w:val="Hyperlink"/>
              <w:color w:val="auto"/>
              <w:u w:val="none"/>
            </w:rPr>
            <w:t>1</w:t>
          </w:r>
          <w:r w:rsidR="00881F70">
            <w:rPr>
              <w:rStyle w:val="Hyperlink"/>
              <w:color w:val="auto"/>
              <w:u w:val="none"/>
            </w:rPr>
            <w:t>-Calculation of FY 2013 Revenue Requirements and Pro-Rata Fees (unchanged allocation)</w:t>
          </w:r>
        </w:p>
        <w:p w:rsidR="00881F70" w:rsidRPr="00A70141" w:rsidRDefault="00881F70" w:rsidP="00881F70">
          <w:pPr>
            <w:pStyle w:val="TOC1"/>
            <w:rPr>
              <w:rStyle w:val="Hyperlink"/>
            </w:rPr>
          </w:pPr>
          <w:r w:rsidRPr="00A70141">
            <w:rPr>
              <w:rStyle w:val="Hyperlink"/>
              <w:color w:val="auto"/>
              <w:u w:val="none"/>
            </w:rPr>
            <w:t xml:space="preserve">attachment </w:t>
          </w:r>
          <w:r>
            <w:rPr>
              <w:rStyle w:val="Hyperlink"/>
              <w:color w:val="auto"/>
              <w:u w:val="none"/>
            </w:rPr>
            <w:t>B1-FY 2013 S</w:t>
          </w:r>
          <w:r>
            <w:rPr>
              <w:rStyle w:val="Hyperlink"/>
              <w:caps w:val="0"/>
              <w:color w:val="auto"/>
              <w:u w:val="none"/>
            </w:rPr>
            <w:t>chedule of Regulatory Fees (unchanged allocation)</w:t>
          </w:r>
        </w:p>
        <w:p w:rsidR="00881F70" w:rsidRPr="00A70141" w:rsidRDefault="00881F70" w:rsidP="00881F70">
          <w:pPr>
            <w:pStyle w:val="TOC1"/>
            <w:rPr>
              <w:rStyle w:val="Hyperlink"/>
            </w:rPr>
          </w:pPr>
          <w:r>
            <w:rPr>
              <w:rStyle w:val="Hyperlink"/>
              <w:color w:val="auto"/>
              <w:u w:val="none"/>
            </w:rPr>
            <w:t>attachment A2-</w:t>
          </w:r>
          <w:r w:rsidRPr="00CF47A7">
            <w:rPr>
              <w:rStyle w:val="Hyperlink"/>
              <w:color w:val="auto"/>
              <w:u w:val="none"/>
            </w:rPr>
            <w:t xml:space="preserve"> </w:t>
          </w:r>
          <w:r>
            <w:rPr>
              <w:rStyle w:val="Hyperlink"/>
              <w:color w:val="auto"/>
              <w:u w:val="none"/>
            </w:rPr>
            <w:t>C</w:t>
          </w:r>
          <w:r>
            <w:rPr>
              <w:rStyle w:val="Hyperlink"/>
              <w:caps w:val="0"/>
              <w:color w:val="auto"/>
              <w:u w:val="none"/>
            </w:rPr>
            <w:t>alculation of FY 2013 Revenue Requirements and Pro-Rata Fees (revised allocation)</w:t>
          </w:r>
        </w:p>
        <w:p w:rsidR="00881F70" w:rsidRPr="00A70141" w:rsidRDefault="00881F70" w:rsidP="00881F70">
          <w:pPr>
            <w:pStyle w:val="TOC1"/>
            <w:rPr>
              <w:rStyle w:val="Hyperlink"/>
            </w:rPr>
          </w:pPr>
          <w:r w:rsidRPr="00A70141">
            <w:rPr>
              <w:rStyle w:val="Hyperlink"/>
              <w:color w:val="auto"/>
              <w:u w:val="none"/>
            </w:rPr>
            <w:t>attachment b2</w:t>
          </w:r>
          <w:r>
            <w:rPr>
              <w:rStyle w:val="Hyperlink"/>
              <w:color w:val="auto"/>
              <w:u w:val="none"/>
            </w:rPr>
            <w:t>-FY 2013 S</w:t>
          </w:r>
          <w:r>
            <w:rPr>
              <w:rStyle w:val="Hyperlink"/>
              <w:caps w:val="0"/>
              <w:color w:val="auto"/>
              <w:u w:val="none"/>
            </w:rPr>
            <w:t>chedule of Regulatory Fees (revised allocation)</w:t>
          </w:r>
        </w:p>
        <w:p w:rsidR="00881F70" w:rsidRPr="00A70141" w:rsidRDefault="00881F70" w:rsidP="00881F70">
          <w:pPr>
            <w:pStyle w:val="TOC1"/>
            <w:rPr>
              <w:rStyle w:val="Hyperlink"/>
            </w:rPr>
          </w:pPr>
          <w:r w:rsidRPr="00A70141">
            <w:rPr>
              <w:rStyle w:val="Hyperlink"/>
              <w:color w:val="auto"/>
              <w:u w:val="none"/>
            </w:rPr>
            <w:t>attachment c</w:t>
          </w:r>
          <w:r>
            <w:rPr>
              <w:rStyle w:val="Hyperlink"/>
              <w:color w:val="auto"/>
              <w:u w:val="none"/>
            </w:rPr>
            <w:t>-</w:t>
          </w:r>
          <w:r>
            <w:rPr>
              <w:rStyle w:val="Hyperlink"/>
              <w:caps w:val="0"/>
              <w:color w:val="auto"/>
              <w:u w:val="none"/>
            </w:rPr>
            <w:t>Sources of Payment Unit Estimates for FY 2013</w:t>
          </w:r>
        </w:p>
        <w:p w:rsidR="00881F70" w:rsidRPr="00A70141" w:rsidRDefault="00881F70" w:rsidP="00881F70">
          <w:pPr>
            <w:pStyle w:val="TOC1"/>
            <w:rPr>
              <w:rStyle w:val="Hyperlink"/>
            </w:rPr>
          </w:pPr>
          <w:r w:rsidRPr="00A70141">
            <w:rPr>
              <w:rStyle w:val="Hyperlink"/>
              <w:color w:val="auto"/>
              <w:u w:val="none"/>
            </w:rPr>
            <w:t>attachment d</w:t>
          </w:r>
          <w:r>
            <w:rPr>
              <w:rStyle w:val="Hyperlink"/>
              <w:caps w:val="0"/>
              <w:color w:val="auto"/>
              <w:u w:val="none"/>
            </w:rPr>
            <w:t>-Signal Contours and Associated Population Coverage</w:t>
          </w:r>
        </w:p>
        <w:p w:rsidR="00881F70" w:rsidRPr="00A70141" w:rsidRDefault="00881F70" w:rsidP="00881F70">
          <w:pPr>
            <w:pStyle w:val="TOC1"/>
            <w:rPr>
              <w:rStyle w:val="Hyperlink"/>
            </w:rPr>
          </w:pPr>
          <w:r w:rsidRPr="00A70141">
            <w:rPr>
              <w:rStyle w:val="Hyperlink"/>
              <w:color w:val="auto"/>
              <w:u w:val="none"/>
            </w:rPr>
            <w:t>attachment e</w:t>
          </w:r>
          <w:r>
            <w:rPr>
              <w:rStyle w:val="Hyperlink"/>
              <w:caps w:val="0"/>
              <w:color w:val="auto"/>
              <w:u w:val="none"/>
            </w:rPr>
            <w:t>-Initial Regulatory Flexibility Analysis</w:t>
          </w:r>
        </w:p>
        <w:p w:rsidR="00881F70" w:rsidRPr="00A70141" w:rsidRDefault="00881F70" w:rsidP="00881F70">
          <w:pPr>
            <w:pStyle w:val="TOC1"/>
          </w:pPr>
          <w:r w:rsidRPr="00A70141">
            <w:rPr>
              <w:rStyle w:val="Hyperlink"/>
              <w:color w:val="auto"/>
              <w:u w:val="none"/>
            </w:rPr>
            <w:t>attachment f</w:t>
          </w:r>
          <w:r>
            <w:rPr>
              <w:rStyle w:val="Hyperlink"/>
              <w:color w:val="auto"/>
              <w:u w:val="none"/>
            </w:rPr>
            <w:t>-</w:t>
          </w:r>
          <w:r w:rsidRPr="00BB382B">
            <w:t xml:space="preserve"> </w:t>
          </w:r>
          <w:r w:rsidRPr="00BB382B">
            <w:rPr>
              <w:rStyle w:val="Hyperlink"/>
              <w:color w:val="auto"/>
              <w:u w:val="none"/>
            </w:rPr>
            <w:t xml:space="preserve">FY 2012 </w:t>
          </w:r>
          <w:r>
            <w:rPr>
              <w:rStyle w:val="Hyperlink"/>
              <w:caps w:val="0"/>
              <w:color w:val="auto"/>
              <w:u w:val="none"/>
            </w:rPr>
            <w:t>Schedule of Regulatory Fees</w:t>
          </w:r>
        </w:p>
        <w:p w:rsidR="004E657F" w:rsidRDefault="0003450C"/>
      </w:sdtContent>
    </w:sdt>
    <w:p w:rsidR="007764D3" w:rsidRDefault="007764D3" w:rsidP="006D0856">
      <w:pPr>
        <w:rPr>
          <w:b/>
        </w:rPr>
      </w:pPr>
    </w:p>
    <w:p w:rsidR="004777BD" w:rsidRDefault="004777BD" w:rsidP="00A1103B">
      <w:pPr>
        <w:pStyle w:val="Heading1"/>
        <w:rPr>
          <w:bCs/>
          <w:szCs w:val="22"/>
        </w:rPr>
      </w:pPr>
      <w:bookmarkStart w:id="1" w:name="_Toc351484741"/>
      <w:bookmarkStart w:id="2" w:name="_Toc351484787"/>
      <w:bookmarkStart w:id="3" w:name="_Toc351484929"/>
      <w:bookmarkStart w:id="4" w:name="_Toc351571044"/>
      <w:bookmarkStart w:id="5" w:name="_Toc351572409"/>
      <w:bookmarkStart w:id="6" w:name="_Toc353032038"/>
      <w:bookmarkStart w:id="7" w:name="_Toc352943171"/>
      <w:bookmarkStart w:id="8" w:name="_Toc352943620"/>
      <w:bookmarkStart w:id="9" w:name="_Toc353987715"/>
      <w:bookmarkStart w:id="10" w:name="_Toc353988036"/>
      <w:r w:rsidRPr="008A4C06">
        <w:rPr>
          <w:bCs/>
          <w:szCs w:val="22"/>
        </w:rPr>
        <w:t>introduction</w:t>
      </w:r>
      <w:bookmarkEnd w:id="1"/>
      <w:bookmarkEnd w:id="2"/>
      <w:bookmarkEnd w:id="3"/>
      <w:bookmarkEnd w:id="4"/>
      <w:bookmarkEnd w:id="5"/>
      <w:r w:rsidR="005F0CAD">
        <w:rPr>
          <w:bCs/>
          <w:szCs w:val="22"/>
        </w:rPr>
        <w:t xml:space="preserve"> and executive summary</w:t>
      </w:r>
      <w:bookmarkEnd w:id="6"/>
      <w:bookmarkEnd w:id="7"/>
      <w:bookmarkEnd w:id="8"/>
      <w:bookmarkEnd w:id="9"/>
      <w:bookmarkEnd w:id="10"/>
    </w:p>
    <w:p w:rsidR="00F6184B" w:rsidRDefault="004777BD" w:rsidP="00547927">
      <w:pPr>
        <w:pStyle w:val="ParaNum"/>
        <w:tabs>
          <w:tab w:val="num" w:pos="1350"/>
        </w:tabs>
        <w:ind w:left="-90"/>
        <w:rPr>
          <w:szCs w:val="22"/>
        </w:rPr>
      </w:pPr>
      <w:r w:rsidRPr="00A1103B">
        <w:rPr>
          <w:szCs w:val="22"/>
        </w:rPr>
        <w:t xml:space="preserve">In this </w:t>
      </w:r>
      <w:r w:rsidRPr="00A1103B">
        <w:rPr>
          <w:i/>
          <w:szCs w:val="22"/>
        </w:rPr>
        <w:t xml:space="preserve">Notice of Proposed Rulemaking </w:t>
      </w:r>
      <w:r w:rsidRPr="00A1103B">
        <w:rPr>
          <w:szCs w:val="22"/>
        </w:rPr>
        <w:t>(</w:t>
      </w:r>
      <w:r w:rsidRPr="00A1103B">
        <w:rPr>
          <w:i/>
          <w:szCs w:val="22"/>
        </w:rPr>
        <w:t>FY 2013 NPRM</w:t>
      </w:r>
      <w:r w:rsidRPr="00A1103B">
        <w:rPr>
          <w:szCs w:val="22"/>
        </w:rPr>
        <w:t xml:space="preserve">) </w:t>
      </w:r>
      <w:r w:rsidRPr="00A1103B">
        <w:rPr>
          <w:i/>
          <w:szCs w:val="22"/>
        </w:rPr>
        <w:t>and Further Notice of Proposed Rulemaking</w:t>
      </w:r>
      <w:r w:rsidRPr="00A1103B">
        <w:rPr>
          <w:szCs w:val="22"/>
        </w:rPr>
        <w:t xml:space="preserve"> (</w:t>
      </w:r>
      <w:r w:rsidRPr="00A1103B">
        <w:rPr>
          <w:i/>
          <w:szCs w:val="22"/>
        </w:rPr>
        <w:t>FNPRM</w:t>
      </w:r>
      <w:r w:rsidR="002C71E0">
        <w:rPr>
          <w:i/>
          <w:szCs w:val="22"/>
        </w:rPr>
        <w:t xml:space="preserve"> </w:t>
      </w:r>
      <w:r w:rsidR="002C71E0">
        <w:rPr>
          <w:szCs w:val="22"/>
        </w:rPr>
        <w:t xml:space="preserve">or </w:t>
      </w:r>
      <w:r w:rsidR="00F6184B" w:rsidRPr="00C5052D">
        <w:rPr>
          <w:i/>
          <w:szCs w:val="22"/>
        </w:rPr>
        <w:t>Further Notice</w:t>
      </w:r>
      <w:r w:rsidRPr="00A1103B">
        <w:rPr>
          <w:szCs w:val="22"/>
        </w:rPr>
        <w:t xml:space="preserve">), </w:t>
      </w:r>
      <w:r w:rsidR="00D11531">
        <w:rPr>
          <w:szCs w:val="22"/>
        </w:rPr>
        <w:t xml:space="preserve">two interrelated proceedings, </w:t>
      </w:r>
      <w:r w:rsidRPr="00A1103B">
        <w:rPr>
          <w:szCs w:val="22"/>
        </w:rPr>
        <w:t xml:space="preserve">we seek comment on </w:t>
      </w:r>
      <w:r w:rsidR="009C5579">
        <w:rPr>
          <w:szCs w:val="22"/>
        </w:rPr>
        <w:t xml:space="preserve">the collection of regulatory fees in </w:t>
      </w:r>
      <w:r w:rsidR="009F20C6">
        <w:rPr>
          <w:szCs w:val="22"/>
        </w:rPr>
        <w:t>Fiscal Year (</w:t>
      </w:r>
      <w:r w:rsidR="009C5579">
        <w:rPr>
          <w:szCs w:val="22"/>
        </w:rPr>
        <w:t>FY</w:t>
      </w:r>
      <w:r w:rsidR="009F20C6">
        <w:rPr>
          <w:szCs w:val="22"/>
        </w:rPr>
        <w:t>)</w:t>
      </w:r>
      <w:r w:rsidR="009C5579">
        <w:rPr>
          <w:szCs w:val="22"/>
        </w:rPr>
        <w:t xml:space="preserve"> 2013 and on </w:t>
      </w:r>
      <w:r w:rsidRPr="00A1103B">
        <w:rPr>
          <w:szCs w:val="22"/>
        </w:rPr>
        <w:t xml:space="preserve">proposals to </w:t>
      </w:r>
      <w:r w:rsidR="009C5579">
        <w:rPr>
          <w:szCs w:val="22"/>
        </w:rPr>
        <w:t xml:space="preserve">more generally </w:t>
      </w:r>
      <w:r w:rsidRPr="00A1103B">
        <w:rPr>
          <w:szCs w:val="22"/>
        </w:rPr>
        <w:t xml:space="preserve">reform the Commission’s policies and procedures for assessing and collecting regulatory fees.  </w:t>
      </w:r>
      <w:r w:rsidR="00D11531">
        <w:rPr>
          <w:szCs w:val="22"/>
        </w:rPr>
        <w:t xml:space="preserve">Specifically, </w:t>
      </w:r>
      <w:r w:rsidR="00735A78">
        <w:rPr>
          <w:szCs w:val="22"/>
        </w:rPr>
        <w:t xml:space="preserve">in the </w:t>
      </w:r>
      <w:r w:rsidR="00735A78" w:rsidRPr="000A348F">
        <w:rPr>
          <w:i/>
          <w:szCs w:val="22"/>
        </w:rPr>
        <w:t>FY 2013 NPRM</w:t>
      </w:r>
      <w:r w:rsidR="00735A78">
        <w:rPr>
          <w:szCs w:val="22"/>
        </w:rPr>
        <w:t xml:space="preserve">, </w:t>
      </w:r>
      <w:r w:rsidR="00D11531">
        <w:rPr>
          <w:szCs w:val="22"/>
        </w:rPr>
        <w:t xml:space="preserve">we seek comment </w:t>
      </w:r>
      <w:r w:rsidR="0060717E">
        <w:rPr>
          <w:szCs w:val="22"/>
        </w:rPr>
        <w:t>o</w:t>
      </w:r>
      <w:r w:rsidR="00D11531">
        <w:rPr>
          <w:szCs w:val="22"/>
        </w:rPr>
        <w:t>n our annual process of assessing regulatory fees to offset the Commission’s F</w:t>
      </w:r>
      <w:r w:rsidR="00E57FF7">
        <w:rPr>
          <w:szCs w:val="22"/>
        </w:rPr>
        <w:t>Y</w:t>
      </w:r>
      <w:r w:rsidR="00D11531">
        <w:rPr>
          <w:szCs w:val="22"/>
        </w:rPr>
        <w:t xml:space="preserve"> 2013 appropriation, as directed by Congress.  </w:t>
      </w:r>
      <w:r w:rsidR="000A2105">
        <w:rPr>
          <w:szCs w:val="22"/>
        </w:rPr>
        <w:t xml:space="preserve">We propose several reforms to the process </w:t>
      </w:r>
      <w:r w:rsidR="00EB137A">
        <w:rPr>
          <w:szCs w:val="22"/>
        </w:rPr>
        <w:t>for</w:t>
      </w:r>
      <w:r w:rsidR="000A2105">
        <w:rPr>
          <w:szCs w:val="22"/>
        </w:rPr>
        <w:t xml:space="preserve"> calculating and collecting the FY 2013 fees.  </w:t>
      </w:r>
      <w:r w:rsidR="00D11531">
        <w:rPr>
          <w:szCs w:val="22"/>
        </w:rPr>
        <w:t xml:space="preserve">The regulatory fees calculated in response to the </w:t>
      </w:r>
      <w:r w:rsidR="00D11531" w:rsidRPr="00B32272">
        <w:rPr>
          <w:i/>
          <w:szCs w:val="22"/>
        </w:rPr>
        <w:t>FY 2013 NPRM</w:t>
      </w:r>
      <w:r w:rsidR="00D11531">
        <w:rPr>
          <w:szCs w:val="22"/>
        </w:rPr>
        <w:t xml:space="preserve"> will be collected later this year.  W</w:t>
      </w:r>
      <w:r w:rsidRPr="00A1103B">
        <w:rPr>
          <w:szCs w:val="22"/>
        </w:rPr>
        <w:t xml:space="preserve">e </w:t>
      </w:r>
      <w:r w:rsidR="00C1416B">
        <w:rPr>
          <w:szCs w:val="22"/>
        </w:rPr>
        <w:t xml:space="preserve">also </w:t>
      </w:r>
      <w:r w:rsidRPr="00A1103B">
        <w:rPr>
          <w:szCs w:val="22"/>
        </w:rPr>
        <w:t xml:space="preserve">seek comment on </w:t>
      </w:r>
      <w:r w:rsidR="00CA4AFF">
        <w:rPr>
          <w:szCs w:val="22"/>
        </w:rPr>
        <w:t xml:space="preserve">more long-range proposals to </w:t>
      </w:r>
      <w:r w:rsidRPr="00A1103B">
        <w:rPr>
          <w:szCs w:val="22"/>
        </w:rPr>
        <w:t>reform and revis</w:t>
      </w:r>
      <w:r w:rsidR="00CA4AFF">
        <w:rPr>
          <w:szCs w:val="22"/>
        </w:rPr>
        <w:t>e</w:t>
      </w:r>
      <w:r w:rsidRPr="00A1103B">
        <w:rPr>
          <w:szCs w:val="22"/>
        </w:rPr>
        <w:t xml:space="preserve"> our regulatory fee schedule </w:t>
      </w:r>
      <w:r w:rsidR="00D30C25">
        <w:rPr>
          <w:szCs w:val="22"/>
        </w:rPr>
        <w:t xml:space="preserve">after </w:t>
      </w:r>
      <w:r w:rsidR="00CA4AFF">
        <w:rPr>
          <w:szCs w:val="22"/>
        </w:rPr>
        <w:t xml:space="preserve">FY 2013 </w:t>
      </w:r>
      <w:r w:rsidR="00D30C25">
        <w:rPr>
          <w:szCs w:val="22"/>
        </w:rPr>
        <w:t xml:space="preserve">(for FY 2014 and beyond) </w:t>
      </w:r>
      <w:r w:rsidR="00D4618C">
        <w:rPr>
          <w:szCs w:val="22"/>
        </w:rPr>
        <w:t>to take into account changes in the communications industry and in the Commission’s regulatory processes and staffing in recent years</w:t>
      </w:r>
      <w:r w:rsidRPr="00A1103B">
        <w:rPr>
          <w:szCs w:val="22"/>
        </w:rPr>
        <w:t>.</w:t>
      </w:r>
      <w:r w:rsidR="00766D31">
        <w:rPr>
          <w:szCs w:val="22"/>
        </w:rPr>
        <w:t xml:space="preserve"> </w:t>
      </w:r>
      <w:r w:rsidRPr="00A1103B">
        <w:rPr>
          <w:szCs w:val="22"/>
        </w:rPr>
        <w:t xml:space="preserve">  </w:t>
      </w:r>
    </w:p>
    <w:p w:rsidR="00F6184B" w:rsidRDefault="007F12DF" w:rsidP="00547927">
      <w:pPr>
        <w:pStyle w:val="ParaNum"/>
        <w:tabs>
          <w:tab w:val="num" w:pos="1350"/>
        </w:tabs>
        <w:ind w:left="-90"/>
        <w:rPr>
          <w:szCs w:val="22"/>
        </w:rPr>
      </w:pPr>
      <w:r>
        <w:rPr>
          <w:szCs w:val="22"/>
        </w:rPr>
        <w:t xml:space="preserve">This </w:t>
      </w:r>
      <w:r w:rsidRPr="00B32272">
        <w:rPr>
          <w:i/>
          <w:szCs w:val="22"/>
        </w:rPr>
        <w:t>FY 2013 NPRM</w:t>
      </w:r>
      <w:r>
        <w:rPr>
          <w:szCs w:val="22"/>
        </w:rPr>
        <w:t xml:space="preserve"> seeks comment concerning adoption and implementation of proposals</w:t>
      </w:r>
      <w:r w:rsidR="0082791F">
        <w:rPr>
          <w:szCs w:val="22"/>
        </w:rPr>
        <w:t xml:space="preserve"> to reallocate regulatory fees to more accurately reflect the subject areas worked on by current Commission </w:t>
      </w:r>
      <w:r w:rsidR="003B4F39">
        <w:rPr>
          <w:szCs w:val="22"/>
        </w:rPr>
        <w:t>f</w:t>
      </w:r>
      <w:r w:rsidR="0082791F">
        <w:rPr>
          <w:szCs w:val="22"/>
        </w:rPr>
        <w:t xml:space="preserve">ull </w:t>
      </w:r>
      <w:r w:rsidR="003B4F39">
        <w:rPr>
          <w:szCs w:val="22"/>
        </w:rPr>
        <w:t>t</w:t>
      </w:r>
      <w:r w:rsidR="0082791F">
        <w:rPr>
          <w:szCs w:val="22"/>
        </w:rPr>
        <w:t xml:space="preserve">ime </w:t>
      </w:r>
      <w:r w:rsidR="003B4F39">
        <w:rPr>
          <w:szCs w:val="22"/>
        </w:rPr>
        <w:t>e</w:t>
      </w:r>
      <w:r w:rsidR="00C240A9">
        <w:rPr>
          <w:szCs w:val="22"/>
        </w:rPr>
        <w:t>mployees</w:t>
      </w:r>
      <w:r w:rsidR="0069598D">
        <w:rPr>
          <w:szCs w:val="22"/>
        </w:rPr>
        <w:t xml:space="preserve"> </w:t>
      </w:r>
      <w:r w:rsidR="0082791F">
        <w:rPr>
          <w:szCs w:val="22"/>
        </w:rPr>
        <w:t>(FTEs)</w:t>
      </w:r>
      <w:r w:rsidR="002D1590">
        <w:rPr>
          <w:rStyle w:val="FootnoteReference"/>
          <w:szCs w:val="22"/>
        </w:rPr>
        <w:footnoteReference w:id="2"/>
      </w:r>
      <w:r w:rsidR="002D1590" w:rsidRPr="00A1103B">
        <w:rPr>
          <w:szCs w:val="22"/>
        </w:rPr>
        <w:t xml:space="preserve"> </w:t>
      </w:r>
      <w:r>
        <w:rPr>
          <w:szCs w:val="22"/>
        </w:rPr>
        <w:t>for FY 2013</w:t>
      </w:r>
      <w:r w:rsidR="0082791F">
        <w:rPr>
          <w:szCs w:val="22"/>
        </w:rPr>
        <w:t xml:space="preserve">.  </w:t>
      </w:r>
      <w:r w:rsidR="006D7CC2">
        <w:rPr>
          <w:szCs w:val="22"/>
        </w:rPr>
        <w:t>W</w:t>
      </w:r>
      <w:r w:rsidR="0082791F">
        <w:rPr>
          <w:szCs w:val="22"/>
        </w:rPr>
        <w:t>e seek comment on</w:t>
      </w:r>
      <w:r w:rsidR="005E574D">
        <w:rPr>
          <w:szCs w:val="22"/>
        </w:rPr>
        <w:t>, among other things,</w:t>
      </w:r>
      <w:r w:rsidR="005E574D">
        <w:t xml:space="preserve"> </w:t>
      </w:r>
      <w:r w:rsidR="005E574D">
        <w:rPr>
          <w:szCs w:val="22"/>
        </w:rPr>
        <w:t>reallocating</w:t>
      </w:r>
      <w:r w:rsidR="00CA7EEC">
        <w:rPr>
          <w:szCs w:val="22"/>
        </w:rPr>
        <w:t xml:space="preserve"> for purposes of regulatory fee calculations</w:t>
      </w:r>
      <w:r w:rsidR="005E574D">
        <w:rPr>
          <w:szCs w:val="22"/>
        </w:rPr>
        <w:t xml:space="preserve">: </w:t>
      </w:r>
      <w:r w:rsidR="005E574D" w:rsidRPr="00477D82">
        <w:rPr>
          <w:szCs w:val="22"/>
        </w:rPr>
        <w:t xml:space="preserve">direct FTEs </w:t>
      </w:r>
      <w:r w:rsidR="005E574D">
        <w:rPr>
          <w:szCs w:val="22"/>
        </w:rPr>
        <w:t xml:space="preserve">working on </w:t>
      </w:r>
      <w:r w:rsidR="005E574D" w:rsidRPr="00477D82">
        <w:rPr>
          <w:szCs w:val="22"/>
        </w:rPr>
        <w:t>I</w:t>
      </w:r>
      <w:r w:rsidR="005E574D">
        <w:rPr>
          <w:szCs w:val="22"/>
        </w:rPr>
        <w:t>nterstate Telecommunications Service Providers (I</w:t>
      </w:r>
      <w:r w:rsidR="005E574D" w:rsidRPr="00477D82">
        <w:rPr>
          <w:szCs w:val="22"/>
        </w:rPr>
        <w:t>TSP</w:t>
      </w:r>
      <w:r w:rsidR="005E574D">
        <w:rPr>
          <w:szCs w:val="22"/>
        </w:rPr>
        <w:t>s)</w:t>
      </w:r>
      <w:r w:rsidR="00333ED2">
        <w:rPr>
          <w:szCs w:val="22"/>
        </w:rPr>
        <w:t xml:space="preserve"> and other fee categories</w:t>
      </w:r>
      <w:r w:rsidR="005E574D">
        <w:rPr>
          <w:szCs w:val="22"/>
        </w:rPr>
        <w:t xml:space="preserve"> to reflect c</w:t>
      </w:r>
      <w:r w:rsidR="00333ED2">
        <w:rPr>
          <w:szCs w:val="22"/>
        </w:rPr>
        <w:t>urrent workloads devoted to these</w:t>
      </w:r>
      <w:r w:rsidR="005E574D">
        <w:rPr>
          <w:szCs w:val="22"/>
        </w:rPr>
        <w:t xml:space="preserve"> subject area</w:t>
      </w:r>
      <w:r w:rsidR="00333ED2">
        <w:rPr>
          <w:szCs w:val="22"/>
        </w:rPr>
        <w:t>s</w:t>
      </w:r>
      <w:r w:rsidR="00337306">
        <w:rPr>
          <w:szCs w:val="22"/>
        </w:rPr>
        <w:t xml:space="preserve"> and </w:t>
      </w:r>
      <w:r w:rsidR="0082791F">
        <w:rPr>
          <w:szCs w:val="22"/>
        </w:rPr>
        <w:t>FTEs in the International Bureau to more accurately reflect the Commission’s regulation and oversight of the International Bureau regulat</w:t>
      </w:r>
      <w:r w:rsidR="005E574D">
        <w:rPr>
          <w:szCs w:val="22"/>
        </w:rPr>
        <w:t>e</w:t>
      </w:r>
      <w:r w:rsidR="0082791F">
        <w:rPr>
          <w:szCs w:val="22"/>
        </w:rPr>
        <w:t>es</w:t>
      </w:r>
      <w:r w:rsidR="00337306">
        <w:rPr>
          <w:szCs w:val="22"/>
        </w:rPr>
        <w:t xml:space="preserve">.  </w:t>
      </w:r>
      <w:r w:rsidR="00CA7EEC">
        <w:rPr>
          <w:szCs w:val="22"/>
        </w:rPr>
        <w:t>We</w:t>
      </w:r>
      <w:r w:rsidR="0082791F">
        <w:rPr>
          <w:szCs w:val="22"/>
        </w:rPr>
        <w:t xml:space="preserve"> </w:t>
      </w:r>
      <w:r w:rsidR="00337306">
        <w:rPr>
          <w:szCs w:val="22"/>
        </w:rPr>
        <w:t xml:space="preserve">also </w:t>
      </w:r>
      <w:r w:rsidR="0082791F">
        <w:rPr>
          <w:szCs w:val="22"/>
        </w:rPr>
        <w:t xml:space="preserve">seek comment on </w:t>
      </w:r>
      <w:r w:rsidR="00CA7EEC">
        <w:rPr>
          <w:szCs w:val="22"/>
        </w:rPr>
        <w:t>whether, if these proposals are adopted, we should l</w:t>
      </w:r>
      <w:r w:rsidR="00496C86">
        <w:rPr>
          <w:szCs w:val="22"/>
        </w:rPr>
        <w:t>imit an</w:t>
      </w:r>
      <w:r w:rsidR="0082791F">
        <w:rPr>
          <w:szCs w:val="22"/>
        </w:rPr>
        <w:t xml:space="preserve">y increase in </w:t>
      </w:r>
      <w:r w:rsidR="00CA7EEC">
        <w:rPr>
          <w:szCs w:val="22"/>
        </w:rPr>
        <w:t xml:space="preserve">regulatory fee </w:t>
      </w:r>
      <w:r w:rsidR="0082791F">
        <w:rPr>
          <w:szCs w:val="22"/>
        </w:rPr>
        <w:t xml:space="preserve">assessments to industry segments </w:t>
      </w:r>
      <w:r w:rsidR="00CA7EEC">
        <w:rPr>
          <w:szCs w:val="22"/>
        </w:rPr>
        <w:t>resulting from such</w:t>
      </w:r>
      <w:r w:rsidR="0082791F">
        <w:rPr>
          <w:szCs w:val="22"/>
        </w:rPr>
        <w:t xml:space="preserve"> reallocation</w:t>
      </w:r>
      <w:r w:rsidR="00926BF5">
        <w:rPr>
          <w:szCs w:val="22"/>
        </w:rPr>
        <w:t xml:space="preserve">.  In addition, we seek comment </w:t>
      </w:r>
      <w:r w:rsidR="005E3BCF">
        <w:rPr>
          <w:szCs w:val="22"/>
        </w:rPr>
        <w:t xml:space="preserve">generally </w:t>
      </w:r>
      <w:r w:rsidR="00926BF5">
        <w:rPr>
          <w:szCs w:val="22"/>
        </w:rPr>
        <w:t>on whether direct</w:t>
      </w:r>
      <w:r w:rsidR="001C5345">
        <w:rPr>
          <w:szCs w:val="22"/>
        </w:rPr>
        <w:t xml:space="preserve"> and </w:t>
      </w:r>
      <w:r w:rsidR="00337306">
        <w:rPr>
          <w:szCs w:val="22"/>
        </w:rPr>
        <w:t xml:space="preserve">indirect FTEs should be allocated </w:t>
      </w:r>
      <w:r w:rsidR="00127B0F">
        <w:rPr>
          <w:szCs w:val="22"/>
        </w:rPr>
        <w:t>differently as described below</w:t>
      </w:r>
      <w:r w:rsidR="0082791F">
        <w:rPr>
          <w:szCs w:val="22"/>
        </w:rPr>
        <w:t xml:space="preserve">.  </w:t>
      </w:r>
      <w:r w:rsidR="00CA7EEC">
        <w:rPr>
          <w:szCs w:val="22"/>
        </w:rPr>
        <w:t>Further, we</w:t>
      </w:r>
      <w:r w:rsidR="00967D5E">
        <w:rPr>
          <w:szCs w:val="22"/>
        </w:rPr>
        <w:t xml:space="preserve"> </w:t>
      </w:r>
      <w:r w:rsidR="0082791F">
        <w:rPr>
          <w:szCs w:val="22"/>
        </w:rPr>
        <w:t xml:space="preserve">seek comment on whether to </w:t>
      </w:r>
      <w:r w:rsidR="005E574D">
        <w:rPr>
          <w:szCs w:val="22"/>
        </w:rPr>
        <w:t>delay our proposal to reallocate FTEs</w:t>
      </w:r>
      <w:r w:rsidR="0082791F">
        <w:rPr>
          <w:szCs w:val="22"/>
        </w:rPr>
        <w:t xml:space="preserve"> </w:t>
      </w:r>
      <w:r w:rsidR="0056266B">
        <w:rPr>
          <w:szCs w:val="22"/>
        </w:rPr>
        <w:t xml:space="preserve">for regulatory fee purposes </w:t>
      </w:r>
      <w:r w:rsidR="0082791F">
        <w:rPr>
          <w:szCs w:val="22"/>
        </w:rPr>
        <w:t>and</w:t>
      </w:r>
      <w:r w:rsidR="005E574D">
        <w:rPr>
          <w:szCs w:val="22"/>
        </w:rPr>
        <w:t>, in the interim,</w:t>
      </w:r>
      <w:r w:rsidR="0082791F">
        <w:rPr>
          <w:szCs w:val="22"/>
        </w:rPr>
        <w:t xml:space="preserve"> maintain the same allocation percentages from last year for FY 2013.</w:t>
      </w:r>
      <w:r w:rsidR="00967D5E">
        <w:rPr>
          <w:szCs w:val="22"/>
        </w:rPr>
        <w:t xml:space="preserve">  </w:t>
      </w:r>
      <w:r w:rsidR="0082791F">
        <w:rPr>
          <w:szCs w:val="22"/>
        </w:rPr>
        <w:t xml:space="preserve">   </w:t>
      </w:r>
    </w:p>
    <w:p w:rsidR="00F6184B" w:rsidRDefault="007F12DF" w:rsidP="00547927">
      <w:pPr>
        <w:pStyle w:val="ParaNum"/>
        <w:tabs>
          <w:tab w:val="num" w:pos="1350"/>
        </w:tabs>
        <w:ind w:left="-90"/>
        <w:rPr>
          <w:szCs w:val="22"/>
        </w:rPr>
      </w:pPr>
      <w:r>
        <w:rPr>
          <w:szCs w:val="22"/>
        </w:rPr>
        <w:t xml:space="preserve">In addition, </w:t>
      </w:r>
      <w:r w:rsidR="00140CBD">
        <w:rPr>
          <w:szCs w:val="22"/>
        </w:rPr>
        <w:t xml:space="preserve">we </w:t>
      </w:r>
      <w:r w:rsidR="005E574D">
        <w:rPr>
          <w:szCs w:val="22"/>
        </w:rPr>
        <w:t>seek comment c</w:t>
      </w:r>
      <w:r>
        <w:rPr>
          <w:szCs w:val="22"/>
        </w:rPr>
        <w:t>oncerning adop</w:t>
      </w:r>
      <w:r w:rsidR="005E574D">
        <w:rPr>
          <w:szCs w:val="22"/>
        </w:rPr>
        <w:t xml:space="preserve">tion and implementation of </w:t>
      </w:r>
      <w:r>
        <w:rPr>
          <w:szCs w:val="22"/>
        </w:rPr>
        <w:t>proposals for FY 2014 and beyond</w:t>
      </w:r>
      <w:r w:rsidR="00DB620D">
        <w:rPr>
          <w:szCs w:val="22"/>
        </w:rPr>
        <w:t>, which include</w:t>
      </w:r>
      <w:r>
        <w:rPr>
          <w:szCs w:val="22"/>
        </w:rPr>
        <w:t>:</w:t>
      </w:r>
      <w:r w:rsidR="00B53718">
        <w:rPr>
          <w:szCs w:val="22"/>
        </w:rPr>
        <w:t xml:space="preserve"> (1) combining ITSPs with wireless telecommunications services</w:t>
      </w:r>
      <w:r w:rsidR="00832C31">
        <w:rPr>
          <w:szCs w:val="22"/>
        </w:rPr>
        <w:t xml:space="preserve"> into one regulatory fee category and </w:t>
      </w:r>
      <w:r w:rsidR="002A5F7C">
        <w:rPr>
          <w:szCs w:val="22"/>
        </w:rPr>
        <w:t xml:space="preserve">using revenues as the basis for calculating </w:t>
      </w:r>
      <w:r w:rsidR="009549AB">
        <w:rPr>
          <w:szCs w:val="22"/>
        </w:rPr>
        <w:t xml:space="preserve">the resulting </w:t>
      </w:r>
      <w:r w:rsidR="002A5F7C">
        <w:rPr>
          <w:szCs w:val="22"/>
        </w:rPr>
        <w:t>regulatory fees</w:t>
      </w:r>
      <w:r w:rsidR="00B53718">
        <w:rPr>
          <w:szCs w:val="22"/>
        </w:rPr>
        <w:t xml:space="preserve">; (2) using revenues to calculate regulatory fees for </w:t>
      </w:r>
      <w:r w:rsidR="00160E5B">
        <w:rPr>
          <w:szCs w:val="22"/>
        </w:rPr>
        <w:t xml:space="preserve">other </w:t>
      </w:r>
      <w:r w:rsidR="00B53718">
        <w:rPr>
          <w:szCs w:val="22"/>
        </w:rPr>
        <w:t>industries that now use subscribers</w:t>
      </w:r>
      <w:r w:rsidR="00140CBD">
        <w:rPr>
          <w:szCs w:val="22"/>
        </w:rPr>
        <w:t xml:space="preserve"> as the basis for regulatory fee calculations</w:t>
      </w:r>
      <w:r w:rsidR="00B53718">
        <w:rPr>
          <w:szCs w:val="22"/>
        </w:rPr>
        <w:t>, such as the cable industr</w:t>
      </w:r>
      <w:r w:rsidR="00160E5B">
        <w:rPr>
          <w:szCs w:val="22"/>
        </w:rPr>
        <w:t>y</w:t>
      </w:r>
      <w:r w:rsidR="00B53718">
        <w:rPr>
          <w:szCs w:val="22"/>
        </w:rPr>
        <w:t xml:space="preserve">; </w:t>
      </w:r>
      <w:r w:rsidR="00D93BA1">
        <w:rPr>
          <w:szCs w:val="22"/>
        </w:rPr>
        <w:t>(</w:t>
      </w:r>
      <w:r w:rsidR="00CB5CA9">
        <w:rPr>
          <w:szCs w:val="22"/>
        </w:rPr>
        <w:t>3</w:t>
      </w:r>
      <w:r w:rsidR="002A5F7C">
        <w:rPr>
          <w:szCs w:val="22"/>
        </w:rPr>
        <w:t>) consolidat</w:t>
      </w:r>
      <w:r w:rsidR="00CC56FF">
        <w:rPr>
          <w:szCs w:val="22"/>
        </w:rPr>
        <w:t>ing</w:t>
      </w:r>
      <w:r w:rsidR="002A5F7C">
        <w:rPr>
          <w:szCs w:val="22"/>
        </w:rPr>
        <w:t xml:space="preserve"> </w:t>
      </w:r>
      <w:r w:rsidR="00B53718">
        <w:rPr>
          <w:szCs w:val="22"/>
        </w:rPr>
        <w:t xml:space="preserve">UHF and VHF </w:t>
      </w:r>
      <w:r w:rsidR="00E57FF7">
        <w:rPr>
          <w:szCs w:val="22"/>
        </w:rPr>
        <w:t>t</w:t>
      </w:r>
      <w:r w:rsidR="00B53718">
        <w:rPr>
          <w:szCs w:val="22"/>
        </w:rPr>
        <w:t>elevision</w:t>
      </w:r>
      <w:r w:rsidR="002A5F7C">
        <w:rPr>
          <w:szCs w:val="22"/>
        </w:rPr>
        <w:t xml:space="preserve"> stations into one </w:t>
      </w:r>
      <w:r w:rsidR="00140CBD">
        <w:rPr>
          <w:szCs w:val="22"/>
        </w:rPr>
        <w:t xml:space="preserve">regulatory </w:t>
      </w:r>
      <w:r w:rsidR="002A5F7C">
        <w:rPr>
          <w:szCs w:val="22"/>
        </w:rPr>
        <w:t>fee category</w:t>
      </w:r>
      <w:r w:rsidR="00B53718">
        <w:rPr>
          <w:szCs w:val="22"/>
        </w:rPr>
        <w:t xml:space="preserve">; </w:t>
      </w:r>
      <w:r w:rsidR="00D93BA1">
        <w:rPr>
          <w:szCs w:val="22"/>
        </w:rPr>
        <w:t>(</w:t>
      </w:r>
      <w:r w:rsidR="00CB5CA9">
        <w:rPr>
          <w:szCs w:val="22"/>
        </w:rPr>
        <w:t>4</w:t>
      </w:r>
      <w:r w:rsidR="002A5F7C">
        <w:rPr>
          <w:szCs w:val="22"/>
        </w:rPr>
        <w:t>) propos</w:t>
      </w:r>
      <w:r w:rsidR="00CC56FF">
        <w:rPr>
          <w:szCs w:val="22"/>
        </w:rPr>
        <w:t>ing</w:t>
      </w:r>
      <w:r w:rsidR="002A5F7C">
        <w:rPr>
          <w:szCs w:val="22"/>
        </w:rPr>
        <w:t xml:space="preserve"> </w:t>
      </w:r>
      <w:r w:rsidR="0086014F">
        <w:rPr>
          <w:szCs w:val="22"/>
        </w:rPr>
        <w:t>a</w:t>
      </w:r>
      <w:r w:rsidR="002A5F7C">
        <w:rPr>
          <w:szCs w:val="22"/>
        </w:rPr>
        <w:t xml:space="preserve"> </w:t>
      </w:r>
      <w:r w:rsidR="00D377C6">
        <w:rPr>
          <w:szCs w:val="22"/>
        </w:rPr>
        <w:t xml:space="preserve">regulatory </w:t>
      </w:r>
      <w:r w:rsidR="002A5F7C">
        <w:rPr>
          <w:szCs w:val="22"/>
        </w:rPr>
        <w:t xml:space="preserve">fee </w:t>
      </w:r>
      <w:r w:rsidR="0086014F">
        <w:rPr>
          <w:szCs w:val="22"/>
        </w:rPr>
        <w:t>for</w:t>
      </w:r>
      <w:r w:rsidR="0086014F">
        <w:t xml:space="preserve"> </w:t>
      </w:r>
      <w:r w:rsidR="00B53718">
        <w:rPr>
          <w:szCs w:val="22"/>
        </w:rPr>
        <w:t>Internet Protocol TV</w:t>
      </w:r>
      <w:r w:rsidR="002A5F7C">
        <w:rPr>
          <w:szCs w:val="22"/>
        </w:rPr>
        <w:t xml:space="preserve"> (IPTV) at </w:t>
      </w:r>
      <w:r w:rsidR="0086014F">
        <w:rPr>
          <w:szCs w:val="22"/>
        </w:rPr>
        <w:t>the rate of c</w:t>
      </w:r>
      <w:r w:rsidR="002A5F7C">
        <w:rPr>
          <w:szCs w:val="22"/>
        </w:rPr>
        <w:t xml:space="preserve">able </w:t>
      </w:r>
      <w:r w:rsidR="0086014F">
        <w:rPr>
          <w:szCs w:val="22"/>
        </w:rPr>
        <w:t>fees</w:t>
      </w:r>
      <w:r w:rsidR="00B53718">
        <w:rPr>
          <w:szCs w:val="22"/>
        </w:rPr>
        <w:t xml:space="preserve">; </w:t>
      </w:r>
      <w:r w:rsidR="00D93BA1">
        <w:rPr>
          <w:szCs w:val="22"/>
        </w:rPr>
        <w:t>(</w:t>
      </w:r>
      <w:r w:rsidR="00CB5CA9">
        <w:rPr>
          <w:szCs w:val="22"/>
        </w:rPr>
        <w:t>5</w:t>
      </w:r>
      <w:r w:rsidR="0086014F">
        <w:rPr>
          <w:szCs w:val="22"/>
        </w:rPr>
        <w:t>) alleviat</w:t>
      </w:r>
      <w:r w:rsidR="00CC56FF">
        <w:rPr>
          <w:szCs w:val="22"/>
        </w:rPr>
        <w:t>ing</w:t>
      </w:r>
      <w:r w:rsidR="0086014F">
        <w:rPr>
          <w:szCs w:val="22"/>
        </w:rPr>
        <w:t xml:space="preserve"> large fluctuations in the fee rate of</w:t>
      </w:r>
      <w:r w:rsidR="0086014F">
        <w:t xml:space="preserve"> </w:t>
      </w:r>
      <w:r w:rsidR="00B53718">
        <w:rPr>
          <w:szCs w:val="22"/>
        </w:rPr>
        <w:t xml:space="preserve">Multiyear Wireless Services; and </w:t>
      </w:r>
      <w:r w:rsidR="00D93BA1">
        <w:rPr>
          <w:szCs w:val="22"/>
        </w:rPr>
        <w:t>(</w:t>
      </w:r>
      <w:r w:rsidR="00CB5CA9">
        <w:rPr>
          <w:szCs w:val="22"/>
        </w:rPr>
        <w:t>6</w:t>
      </w:r>
      <w:r w:rsidR="0086014F">
        <w:rPr>
          <w:szCs w:val="22"/>
        </w:rPr>
        <w:t xml:space="preserve">) </w:t>
      </w:r>
      <w:r w:rsidR="006D5D0C">
        <w:rPr>
          <w:szCs w:val="22"/>
        </w:rPr>
        <w:t xml:space="preserve">determining </w:t>
      </w:r>
      <w:r w:rsidR="009549AB" w:rsidRPr="00804BD9">
        <w:t xml:space="preserve">whether the Commission should </w:t>
      </w:r>
      <w:r w:rsidR="009549AB" w:rsidRPr="00BD4E10">
        <w:t xml:space="preserve">modify </w:t>
      </w:r>
      <w:r w:rsidR="009549AB">
        <w:t>the</w:t>
      </w:r>
      <w:r w:rsidR="009549AB" w:rsidRPr="00804BD9">
        <w:t xml:space="preserve"> methodology in collecting </w:t>
      </w:r>
      <w:r w:rsidR="009549AB" w:rsidRPr="00BD4E10">
        <w:t>regulatory fee</w:t>
      </w:r>
      <w:r w:rsidR="009549AB" w:rsidRPr="0051124E">
        <w:t xml:space="preserve">s for </w:t>
      </w:r>
      <w:r w:rsidR="009549AB">
        <w:t>regulatees</w:t>
      </w:r>
      <w:r w:rsidR="009549AB" w:rsidRPr="0051124E">
        <w:t xml:space="preserve"> in </w:t>
      </w:r>
      <w:r w:rsidR="009549AB" w:rsidRPr="00D4618C">
        <w:t>declining industries</w:t>
      </w:r>
      <w:r w:rsidR="0086014F">
        <w:rPr>
          <w:szCs w:val="22"/>
        </w:rPr>
        <w:t xml:space="preserve"> (e.g.</w:t>
      </w:r>
      <w:r w:rsidR="00EC089F">
        <w:rPr>
          <w:szCs w:val="22"/>
        </w:rPr>
        <w:t>,</w:t>
      </w:r>
      <w:r w:rsidR="0086014F">
        <w:rPr>
          <w:szCs w:val="22"/>
        </w:rPr>
        <w:t xml:space="preserve"> </w:t>
      </w:r>
      <w:r w:rsidR="00B53718">
        <w:rPr>
          <w:szCs w:val="22"/>
        </w:rPr>
        <w:t>CMRS Messaging</w:t>
      </w:r>
      <w:r w:rsidR="0086014F">
        <w:rPr>
          <w:szCs w:val="22"/>
        </w:rPr>
        <w:t>)</w:t>
      </w:r>
      <w:r w:rsidR="00B53718">
        <w:rPr>
          <w:szCs w:val="22"/>
        </w:rPr>
        <w:t>.</w:t>
      </w:r>
      <w:r w:rsidR="001E1FE6">
        <w:rPr>
          <w:szCs w:val="22"/>
        </w:rPr>
        <w:t xml:space="preserve"> </w:t>
      </w:r>
      <w:r w:rsidR="00E8609D">
        <w:rPr>
          <w:szCs w:val="22"/>
        </w:rPr>
        <w:t xml:space="preserve"> </w:t>
      </w:r>
      <w:r w:rsidR="00A12DDE">
        <w:rPr>
          <w:szCs w:val="22"/>
        </w:rPr>
        <w:t>We also clarify that licensees of Digital Low Power, Class A, and TV Translators/Boosters should pay only one regulatory fee on their analog or digital station, but not on both.</w:t>
      </w:r>
      <w:r w:rsidR="00B729C2">
        <w:rPr>
          <w:szCs w:val="22"/>
        </w:rPr>
        <w:t xml:space="preserve">  As required by Treasury and O</w:t>
      </w:r>
      <w:r w:rsidR="00E57FF7">
        <w:rPr>
          <w:szCs w:val="22"/>
        </w:rPr>
        <w:t>ffice of Management and Budget (O</w:t>
      </w:r>
      <w:r w:rsidR="00B729C2">
        <w:rPr>
          <w:szCs w:val="22"/>
        </w:rPr>
        <w:t>MB</w:t>
      </w:r>
      <w:r w:rsidR="00E57FF7">
        <w:rPr>
          <w:szCs w:val="22"/>
        </w:rPr>
        <w:t>)</w:t>
      </w:r>
      <w:r w:rsidR="00B729C2">
        <w:rPr>
          <w:szCs w:val="22"/>
        </w:rPr>
        <w:t xml:space="preserve"> initiatives, we also announce and seek comment on our proposal to require that all re</w:t>
      </w:r>
      <w:r w:rsidR="00337306">
        <w:rPr>
          <w:szCs w:val="22"/>
        </w:rPr>
        <w:t>g</w:t>
      </w:r>
      <w:r w:rsidR="00B729C2">
        <w:rPr>
          <w:szCs w:val="22"/>
        </w:rPr>
        <w:t>ulatory fee payments be made electronically beginning in FY 2014.</w:t>
      </w:r>
      <w:r w:rsidR="00A12DDE">
        <w:rPr>
          <w:szCs w:val="22"/>
        </w:rPr>
        <w:t xml:space="preserve">  </w:t>
      </w:r>
      <w:r w:rsidR="00502CCD">
        <w:rPr>
          <w:szCs w:val="22"/>
        </w:rPr>
        <w:t>Finally</w:t>
      </w:r>
      <w:r w:rsidR="00A12DDE">
        <w:rPr>
          <w:szCs w:val="22"/>
        </w:rPr>
        <w:t>, w</w:t>
      </w:r>
      <w:r w:rsidR="001E1FE6">
        <w:rPr>
          <w:szCs w:val="22"/>
        </w:rPr>
        <w:t xml:space="preserve">e state that beginning in FY 2014 the Commission will no longer mail out initial regulatory fee assessments to CMRS licensees, and we propose to </w:t>
      </w:r>
      <w:r w:rsidR="00337306">
        <w:rPr>
          <w:szCs w:val="22"/>
        </w:rPr>
        <w:t>transfer unpaid regulatory fee</w:t>
      </w:r>
      <w:r w:rsidR="00104A93">
        <w:rPr>
          <w:szCs w:val="22"/>
        </w:rPr>
        <w:t xml:space="preserve">s for collection by </w:t>
      </w:r>
      <w:r w:rsidR="001E1FE6">
        <w:rPr>
          <w:szCs w:val="22"/>
        </w:rPr>
        <w:t xml:space="preserve">the Department of the Treasury </w:t>
      </w:r>
      <w:r w:rsidR="00337306">
        <w:rPr>
          <w:szCs w:val="22"/>
        </w:rPr>
        <w:t>at the end of the payment period (instead of waiting 180 days) b</w:t>
      </w:r>
      <w:r w:rsidR="001E1FE6">
        <w:rPr>
          <w:szCs w:val="22"/>
        </w:rPr>
        <w:t xml:space="preserve">eginning in FY 2014.  </w:t>
      </w:r>
    </w:p>
    <w:p w:rsidR="00F6184B" w:rsidRDefault="00232C73" w:rsidP="00547927">
      <w:pPr>
        <w:pStyle w:val="ParaNum"/>
        <w:tabs>
          <w:tab w:val="num" w:pos="1350"/>
        </w:tabs>
        <w:ind w:left="-90"/>
        <w:rPr>
          <w:szCs w:val="22"/>
        </w:rPr>
      </w:pPr>
      <w:r>
        <w:rPr>
          <w:szCs w:val="22"/>
        </w:rPr>
        <w:t>T</w:t>
      </w:r>
      <w:r w:rsidR="00C20F31">
        <w:rPr>
          <w:szCs w:val="22"/>
        </w:rPr>
        <w:t xml:space="preserve">he attached </w:t>
      </w:r>
      <w:r w:rsidR="00C20F31" w:rsidRPr="00B32272">
        <w:rPr>
          <w:i/>
          <w:szCs w:val="22"/>
        </w:rPr>
        <w:t>Further Notice</w:t>
      </w:r>
      <w:r w:rsidR="007F12DF">
        <w:rPr>
          <w:szCs w:val="22"/>
        </w:rPr>
        <w:t xml:space="preserve"> </w:t>
      </w:r>
      <w:r w:rsidR="00C20F31">
        <w:rPr>
          <w:szCs w:val="22"/>
        </w:rPr>
        <w:t>seek</w:t>
      </w:r>
      <w:r w:rsidR="005E574D">
        <w:rPr>
          <w:szCs w:val="22"/>
        </w:rPr>
        <w:t>s</w:t>
      </w:r>
      <w:r w:rsidR="00C20F31">
        <w:rPr>
          <w:szCs w:val="22"/>
        </w:rPr>
        <w:t xml:space="preserve"> comment on </w:t>
      </w:r>
      <w:r w:rsidR="007F12DF">
        <w:rPr>
          <w:szCs w:val="22"/>
        </w:rPr>
        <w:t>the treatment of n</w:t>
      </w:r>
      <w:r w:rsidR="00C20F31">
        <w:rPr>
          <w:szCs w:val="22"/>
        </w:rPr>
        <w:t>on-U.S.-Licensed Space Stations; Direct Broadcast Satellite</w:t>
      </w:r>
      <w:r w:rsidR="0086014F">
        <w:rPr>
          <w:szCs w:val="22"/>
        </w:rPr>
        <w:t>s</w:t>
      </w:r>
      <w:r w:rsidR="00C20F31">
        <w:rPr>
          <w:szCs w:val="22"/>
        </w:rPr>
        <w:t xml:space="preserve">; </w:t>
      </w:r>
      <w:r w:rsidR="00535A9C" w:rsidRPr="0047253D">
        <w:rPr>
          <w:szCs w:val="22"/>
        </w:rPr>
        <w:t xml:space="preserve">and </w:t>
      </w:r>
      <w:r w:rsidR="000B15F0">
        <w:rPr>
          <w:szCs w:val="22"/>
        </w:rPr>
        <w:t>other services, such as b</w:t>
      </w:r>
      <w:r w:rsidR="00535A9C" w:rsidRPr="0047253D">
        <w:rPr>
          <w:szCs w:val="22"/>
        </w:rPr>
        <w:t>roadband</w:t>
      </w:r>
      <w:r w:rsidR="0080394C">
        <w:rPr>
          <w:szCs w:val="22"/>
        </w:rPr>
        <w:t>,</w:t>
      </w:r>
      <w:r w:rsidR="00535A9C" w:rsidRPr="0047253D">
        <w:rPr>
          <w:szCs w:val="22"/>
        </w:rPr>
        <w:t xml:space="preserve"> </w:t>
      </w:r>
      <w:r w:rsidR="007F12DF">
        <w:rPr>
          <w:szCs w:val="22"/>
        </w:rPr>
        <w:t xml:space="preserve">in our regulatory fee process.  We invite comment on these topics to better inform the Commission </w:t>
      </w:r>
      <w:r w:rsidR="00002595">
        <w:rPr>
          <w:szCs w:val="22"/>
        </w:rPr>
        <w:t>on</w:t>
      </w:r>
      <w:r w:rsidR="007F12DF">
        <w:rPr>
          <w:szCs w:val="22"/>
        </w:rPr>
        <w:t xml:space="preserve"> whether and</w:t>
      </w:r>
      <w:r w:rsidR="00B53718">
        <w:rPr>
          <w:szCs w:val="22"/>
        </w:rPr>
        <w:t>/or</w:t>
      </w:r>
      <w:r w:rsidR="007F12DF">
        <w:rPr>
          <w:szCs w:val="22"/>
        </w:rPr>
        <w:t xml:space="preserve"> how these services should be assessed under our regulatory fee methodology in future years.</w:t>
      </w:r>
    </w:p>
    <w:p w:rsidR="00F6184B" w:rsidRDefault="00232C73" w:rsidP="00547927">
      <w:pPr>
        <w:pStyle w:val="ParaNum"/>
        <w:tabs>
          <w:tab w:val="num" w:pos="1350"/>
        </w:tabs>
        <w:ind w:left="-90"/>
        <w:rPr>
          <w:szCs w:val="22"/>
        </w:rPr>
      </w:pPr>
      <w:r w:rsidRPr="00836FF4">
        <w:rPr>
          <w:szCs w:val="22"/>
        </w:rPr>
        <w:t>We propose to collect $339,844,000 in regulatory fees for Fiscal Year (FY) 2013, pursuant to Section 9 of the Communications Act of 1934, as amended (the Act or Communications Act)</w:t>
      </w:r>
      <w:r w:rsidR="00572A9A" w:rsidRPr="00F73A42">
        <w:rPr>
          <w:szCs w:val="22"/>
        </w:rPr>
        <w:t xml:space="preserve"> </w:t>
      </w:r>
      <w:r w:rsidR="00F6184B" w:rsidRPr="00C5052D">
        <w:rPr>
          <w:szCs w:val="22"/>
        </w:rPr>
        <w:t>and the FY 2013 Continuing Appropriations Resolution.</w:t>
      </w:r>
      <w:r w:rsidRPr="00836FF4">
        <w:rPr>
          <w:szCs w:val="22"/>
        </w:rPr>
        <w:t xml:space="preserve">  Section 9 regulatory fees are mandated by Congress</w:t>
      </w:r>
      <w:r w:rsidR="00963102" w:rsidRPr="00963102">
        <w:rPr>
          <w:szCs w:val="22"/>
        </w:rPr>
        <w:t xml:space="preserve"> and collected to recover the regulatory costs associated with the Commission’s enforcement, policy and rulemaking, user information, and international activities.</w:t>
      </w:r>
      <w:r w:rsidR="00963102" w:rsidRPr="00963102">
        <w:rPr>
          <w:rStyle w:val="FootnoteReference"/>
          <w:szCs w:val="22"/>
        </w:rPr>
        <w:footnoteReference w:id="3"/>
      </w:r>
      <w:r w:rsidR="00F6184B" w:rsidRPr="00C5052D">
        <w:rPr>
          <w:szCs w:val="22"/>
        </w:rPr>
        <w:t xml:space="preserve">  </w:t>
      </w:r>
      <w:r w:rsidR="00B729C2">
        <w:rPr>
          <w:szCs w:val="22"/>
        </w:rPr>
        <w:t>Further, a</w:t>
      </w:r>
      <w:r w:rsidR="00F6184B" w:rsidRPr="00C5052D">
        <w:rPr>
          <w:szCs w:val="22"/>
        </w:rPr>
        <w:t xml:space="preserve">s provided by </w:t>
      </w:r>
      <w:r w:rsidR="00E8609D" w:rsidRPr="00836FF4">
        <w:rPr>
          <w:szCs w:val="22"/>
        </w:rPr>
        <w:t>section</w:t>
      </w:r>
      <w:r w:rsidR="00F6184B" w:rsidRPr="00C5052D">
        <w:rPr>
          <w:szCs w:val="22"/>
        </w:rPr>
        <w:t xml:space="preserve"> 9(a)(2), t</w:t>
      </w:r>
      <w:r w:rsidRPr="00836FF4">
        <w:rPr>
          <w:szCs w:val="22"/>
        </w:rPr>
        <w:t xml:space="preserve">he amount of regulatory fees to be collected is established each year </w:t>
      </w:r>
      <w:r w:rsidR="00160E5B" w:rsidRPr="00836FF4">
        <w:rPr>
          <w:szCs w:val="22"/>
        </w:rPr>
        <w:t>by Congress</w:t>
      </w:r>
      <w:r w:rsidR="00E44439" w:rsidRPr="00F73A42">
        <w:rPr>
          <w:szCs w:val="22"/>
        </w:rPr>
        <w:t>,</w:t>
      </w:r>
      <w:r w:rsidR="00963102" w:rsidRPr="00963102">
        <w:rPr>
          <w:rStyle w:val="FootnoteReference"/>
          <w:szCs w:val="22"/>
        </w:rPr>
        <w:footnoteReference w:id="4"/>
      </w:r>
      <w:r w:rsidR="00F6184B" w:rsidRPr="00C5052D">
        <w:rPr>
          <w:szCs w:val="22"/>
        </w:rPr>
        <w:t xml:space="preserve"> which directs the Commission to use the fees to offset its</w:t>
      </w:r>
      <w:r w:rsidR="00B729C2">
        <w:rPr>
          <w:szCs w:val="22"/>
        </w:rPr>
        <w:t xml:space="preserve"> entire</w:t>
      </w:r>
      <w:r w:rsidR="00F6184B" w:rsidRPr="00C5052D">
        <w:rPr>
          <w:szCs w:val="22"/>
        </w:rPr>
        <w:t xml:space="preserve"> appropriation.  For FY 2013, the sequester effectuated by the Budget Control Act of 2011</w:t>
      </w:r>
      <w:r w:rsidR="00F6184B" w:rsidRPr="00C5052D">
        <w:rPr>
          <w:vertAlign w:val="superscript"/>
        </w:rPr>
        <w:footnoteReference w:id="5"/>
      </w:r>
      <w:r w:rsidR="00F6184B" w:rsidRPr="00C5052D">
        <w:rPr>
          <w:szCs w:val="22"/>
        </w:rPr>
        <w:t xml:space="preserve"> reduces the agency’s permitted FY 2013 salary and expenses expenditures by $17M to $322,844,000.  However, that Act does not alter the congressional directive set out in the FY</w:t>
      </w:r>
      <w:r w:rsidR="00E8609D" w:rsidRPr="00836FF4">
        <w:rPr>
          <w:szCs w:val="22"/>
        </w:rPr>
        <w:t xml:space="preserve"> </w:t>
      </w:r>
      <w:r w:rsidR="00F6184B" w:rsidRPr="00F6184B">
        <w:rPr>
          <w:szCs w:val="22"/>
        </w:rPr>
        <w:t>2012 appropriation</w:t>
      </w:r>
      <w:r w:rsidR="00F6184B" w:rsidRPr="00F6184B">
        <w:rPr>
          <w:vertAlign w:val="superscript"/>
        </w:rPr>
        <w:footnoteReference w:id="6"/>
      </w:r>
      <w:r w:rsidR="00F6184B" w:rsidRPr="00F6184B">
        <w:rPr>
          <w:szCs w:val="22"/>
        </w:rPr>
        <w:t xml:space="preserve"> (and continued in effect in FY 2013 by virtue of the Further Continuing Appropriations Act, 2013) to collect $339,844,000 in regulatory fees.</w:t>
      </w:r>
      <w:r w:rsidR="00F6184B" w:rsidRPr="00F6184B">
        <w:rPr>
          <w:vertAlign w:val="superscript"/>
        </w:rPr>
        <w:footnoteReference w:id="7"/>
      </w:r>
      <w:r w:rsidR="004B53B8" w:rsidRPr="00836FF4">
        <w:rPr>
          <w:szCs w:val="22"/>
        </w:rPr>
        <w:t xml:space="preserve">  </w:t>
      </w:r>
    </w:p>
    <w:p w:rsidR="00356D85" w:rsidRPr="00836FF4" w:rsidRDefault="00356D85" w:rsidP="00836FF4">
      <w:pPr>
        <w:pStyle w:val="Heading1"/>
        <w:rPr>
          <w:szCs w:val="22"/>
        </w:rPr>
      </w:pPr>
      <w:bookmarkStart w:id="11" w:name="_Toc353032039"/>
      <w:bookmarkStart w:id="12" w:name="_Toc352943172"/>
      <w:bookmarkStart w:id="13" w:name="_Toc352943621"/>
      <w:bookmarkStart w:id="14" w:name="_Toc353987716"/>
      <w:bookmarkStart w:id="15" w:name="_Toc353988037"/>
      <w:r w:rsidRPr="00836FF4">
        <w:rPr>
          <w:szCs w:val="22"/>
        </w:rPr>
        <w:t>BACKGROUND</w:t>
      </w:r>
      <w:bookmarkEnd w:id="11"/>
      <w:bookmarkEnd w:id="12"/>
      <w:bookmarkEnd w:id="13"/>
      <w:bookmarkEnd w:id="14"/>
      <w:bookmarkEnd w:id="15"/>
    </w:p>
    <w:p w:rsidR="006B5AE6" w:rsidRDefault="004777BD" w:rsidP="00547927">
      <w:pPr>
        <w:pStyle w:val="ParaNum"/>
        <w:tabs>
          <w:tab w:val="num" w:pos="1350"/>
        </w:tabs>
        <w:ind w:left="-90"/>
        <w:rPr>
          <w:szCs w:val="22"/>
        </w:rPr>
      </w:pPr>
      <w:r w:rsidRPr="00A1103B">
        <w:t>We began this</w:t>
      </w:r>
      <w:r w:rsidR="0032026D">
        <w:t xml:space="preserve"> regulatory fee reform</w:t>
      </w:r>
      <w:r w:rsidRPr="00A1103B">
        <w:t xml:space="preserve"> analysis in the </w:t>
      </w:r>
      <w:r w:rsidRPr="00A1103B">
        <w:rPr>
          <w:i/>
        </w:rPr>
        <w:t>Fiscal Year (FY) 2008 Further Notice of Propose</w:t>
      </w:r>
      <w:r w:rsidRPr="00C21178">
        <w:rPr>
          <w:i/>
        </w:rPr>
        <w:t xml:space="preserve">d </w:t>
      </w:r>
      <w:r w:rsidRPr="009D0104">
        <w:rPr>
          <w:i/>
        </w:rPr>
        <w:t>Rulemaking</w:t>
      </w:r>
      <w:r w:rsidR="009D1650" w:rsidRPr="000A348F">
        <w:rPr>
          <w:i/>
        </w:rPr>
        <w:t>.</w:t>
      </w:r>
      <w:r w:rsidRPr="00A1103B">
        <w:rPr>
          <w:rStyle w:val="FootnoteReference"/>
          <w:szCs w:val="22"/>
        </w:rPr>
        <w:footnoteReference w:id="8"/>
      </w:r>
      <w:r w:rsidRPr="00A1103B">
        <w:t xml:space="preserve">  </w:t>
      </w:r>
      <w:r w:rsidR="0032026D" w:rsidRPr="0032026D">
        <w:rPr>
          <w:szCs w:val="22"/>
        </w:rPr>
        <w:t xml:space="preserve">In 2012, a report on the Commission’s regulatory fee program issued by the Government Accountability Office (GAO Report) provided </w:t>
      </w:r>
      <w:r w:rsidR="00160E5B">
        <w:rPr>
          <w:szCs w:val="22"/>
        </w:rPr>
        <w:t>further support</w:t>
      </w:r>
      <w:r w:rsidR="0032026D" w:rsidRPr="0032026D">
        <w:rPr>
          <w:szCs w:val="22"/>
        </w:rPr>
        <w:t xml:space="preserve"> for a more fundamental reevaluation of how to align regulatory fees more clos</w:t>
      </w:r>
      <w:r w:rsidR="0032026D">
        <w:rPr>
          <w:szCs w:val="22"/>
        </w:rPr>
        <w:t>ely with regulatory costs</w:t>
      </w:r>
      <w:r w:rsidR="0032026D" w:rsidRPr="0032026D">
        <w:rPr>
          <w:szCs w:val="22"/>
        </w:rPr>
        <w:t>.</w:t>
      </w:r>
      <w:r w:rsidR="0032026D" w:rsidRPr="00A1103B">
        <w:rPr>
          <w:rStyle w:val="FootnoteReference"/>
          <w:szCs w:val="22"/>
        </w:rPr>
        <w:footnoteReference w:id="9"/>
      </w:r>
      <w:r w:rsidR="0032026D" w:rsidRPr="0032026D">
        <w:rPr>
          <w:szCs w:val="22"/>
        </w:rPr>
        <w:t xml:space="preserve">  In </w:t>
      </w:r>
      <w:r w:rsidR="00160E5B">
        <w:rPr>
          <w:szCs w:val="22"/>
        </w:rPr>
        <w:t>our</w:t>
      </w:r>
      <w:r w:rsidR="0032026D">
        <w:rPr>
          <w:szCs w:val="22"/>
        </w:rPr>
        <w:t xml:space="preserve"> </w:t>
      </w:r>
      <w:r w:rsidR="0032026D" w:rsidRPr="00A1103B">
        <w:rPr>
          <w:i/>
        </w:rPr>
        <w:t>FY 2012 N</w:t>
      </w:r>
      <w:r w:rsidR="0032026D">
        <w:rPr>
          <w:i/>
        </w:rPr>
        <w:t>PRM</w:t>
      </w:r>
      <w:r w:rsidR="0032026D" w:rsidRPr="0032026D">
        <w:rPr>
          <w:szCs w:val="22"/>
        </w:rPr>
        <w:t xml:space="preserve"> proposing basic changes to the current fee assessment process, </w:t>
      </w:r>
      <w:r w:rsidR="00160E5B">
        <w:rPr>
          <w:szCs w:val="22"/>
        </w:rPr>
        <w:t xml:space="preserve">we </w:t>
      </w:r>
      <w:r w:rsidR="0032026D" w:rsidRPr="0032026D">
        <w:rPr>
          <w:szCs w:val="22"/>
        </w:rPr>
        <w:t>incorporat</w:t>
      </w:r>
      <w:r w:rsidR="00160E5B">
        <w:rPr>
          <w:szCs w:val="22"/>
        </w:rPr>
        <w:t>ed</w:t>
      </w:r>
      <w:r w:rsidR="0032026D" w:rsidRPr="0032026D">
        <w:rPr>
          <w:szCs w:val="22"/>
        </w:rPr>
        <w:t xml:space="preserve"> the GA</w:t>
      </w:r>
      <w:r w:rsidR="0032026D">
        <w:rPr>
          <w:szCs w:val="22"/>
        </w:rPr>
        <w:t>O Report into the record and s</w:t>
      </w:r>
      <w:r w:rsidR="00160E5B">
        <w:rPr>
          <w:szCs w:val="22"/>
        </w:rPr>
        <w:t>ought</w:t>
      </w:r>
      <w:r w:rsidR="0032026D" w:rsidRPr="0032026D">
        <w:rPr>
          <w:szCs w:val="22"/>
        </w:rPr>
        <w:t xml:space="preserve"> comment on it.</w:t>
      </w:r>
      <w:r w:rsidR="00DF0800" w:rsidRPr="00A1103B">
        <w:rPr>
          <w:rStyle w:val="FootnoteReference"/>
          <w:szCs w:val="22"/>
        </w:rPr>
        <w:footnoteReference w:id="10"/>
      </w:r>
      <w:r w:rsidR="0032026D" w:rsidRPr="0032026D">
        <w:rPr>
          <w:szCs w:val="22"/>
        </w:rPr>
        <w:t xml:space="preserve"> </w:t>
      </w:r>
      <w:r w:rsidR="004D5872">
        <w:rPr>
          <w:szCs w:val="22"/>
        </w:rPr>
        <w:t xml:space="preserve"> </w:t>
      </w:r>
      <w:r w:rsidR="0032026D" w:rsidRPr="0032026D">
        <w:rPr>
          <w:szCs w:val="22"/>
        </w:rPr>
        <w:t xml:space="preserve">To encourage a more robust discussion of the record in this docket, </w:t>
      </w:r>
      <w:r w:rsidR="005D7588">
        <w:rPr>
          <w:szCs w:val="22"/>
        </w:rPr>
        <w:t xml:space="preserve">the </w:t>
      </w:r>
      <w:r w:rsidR="0032026D" w:rsidRPr="0032026D">
        <w:rPr>
          <w:szCs w:val="22"/>
        </w:rPr>
        <w:t xml:space="preserve">Commission invited all the parties who filed comments to the </w:t>
      </w:r>
      <w:r w:rsidR="00E42A48" w:rsidRPr="00B32272">
        <w:rPr>
          <w:i/>
          <w:szCs w:val="22"/>
        </w:rPr>
        <w:t>FY 2012 NPRM</w:t>
      </w:r>
      <w:r w:rsidR="00E42A48">
        <w:rPr>
          <w:szCs w:val="22"/>
        </w:rPr>
        <w:t xml:space="preserve"> </w:t>
      </w:r>
      <w:r w:rsidR="0032026D" w:rsidRPr="0032026D">
        <w:rPr>
          <w:szCs w:val="22"/>
        </w:rPr>
        <w:t>to further discuss their comments and any other regulatory fee reform issues they wished to raise with Commission staff.  Staff has met with commenters representing the wireline, wireless, broadcast, cable, satellite, and submarine cable industries. Their additional comments have been summarized in ex parte filings and placed in the record of the proceeding in compliance wit</w:t>
      </w:r>
      <w:r w:rsidR="00E42A48">
        <w:rPr>
          <w:szCs w:val="22"/>
        </w:rPr>
        <w:t>h the Commission’s rules.</w:t>
      </w:r>
      <w:r w:rsidR="00E42A48">
        <w:rPr>
          <w:rStyle w:val="FootnoteReference"/>
          <w:szCs w:val="22"/>
        </w:rPr>
        <w:footnoteReference w:id="11"/>
      </w:r>
      <w:r w:rsidR="0028665A" w:rsidRPr="0028665A">
        <w:rPr>
          <w:szCs w:val="22"/>
        </w:rPr>
        <w:t xml:space="preserve"> </w:t>
      </w:r>
      <w:r w:rsidR="004D5872">
        <w:rPr>
          <w:szCs w:val="22"/>
        </w:rPr>
        <w:t xml:space="preserve"> </w:t>
      </w:r>
      <w:r w:rsidR="00232C73">
        <w:rPr>
          <w:szCs w:val="22"/>
        </w:rPr>
        <w:t>To facilitate a more robust record to better inform the Commission as it contemplates further reform of our regulatory fee policies and procedures for FY 2013 and beyond, w</w:t>
      </w:r>
      <w:r w:rsidR="0028665A">
        <w:rPr>
          <w:szCs w:val="22"/>
        </w:rPr>
        <w:t xml:space="preserve">e </w:t>
      </w:r>
      <w:r w:rsidR="0028665A" w:rsidRPr="00A1103B">
        <w:rPr>
          <w:szCs w:val="22"/>
        </w:rPr>
        <w:t xml:space="preserve">seek comment </w:t>
      </w:r>
      <w:r w:rsidR="0028665A">
        <w:rPr>
          <w:szCs w:val="22"/>
        </w:rPr>
        <w:t>not only on the</w:t>
      </w:r>
      <w:r w:rsidR="0028665A" w:rsidRPr="00A1103B">
        <w:rPr>
          <w:szCs w:val="22"/>
        </w:rPr>
        <w:t xml:space="preserve"> </w:t>
      </w:r>
      <w:r w:rsidR="0028665A">
        <w:rPr>
          <w:szCs w:val="22"/>
        </w:rPr>
        <w:t xml:space="preserve">issues raised herein, but also on the </w:t>
      </w:r>
      <w:r w:rsidR="0028665A" w:rsidRPr="00A1103B">
        <w:rPr>
          <w:szCs w:val="22"/>
        </w:rPr>
        <w:t>concerns</w:t>
      </w:r>
      <w:r w:rsidR="0028665A">
        <w:rPr>
          <w:szCs w:val="22"/>
        </w:rPr>
        <w:t xml:space="preserve"> and comments</w:t>
      </w:r>
      <w:r w:rsidR="0028665A" w:rsidRPr="00A1103B">
        <w:rPr>
          <w:szCs w:val="22"/>
        </w:rPr>
        <w:t xml:space="preserve"> raised by the GAO</w:t>
      </w:r>
      <w:r w:rsidR="00232C73">
        <w:rPr>
          <w:szCs w:val="22"/>
        </w:rPr>
        <w:t xml:space="preserve"> Report</w:t>
      </w:r>
      <w:r w:rsidR="0028665A" w:rsidRPr="00A1103B">
        <w:rPr>
          <w:szCs w:val="22"/>
        </w:rPr>
        <w:t xml:space="preserve">, </w:t>
      </w:r>
      <w:r w:rsidR="00460895">
        <w:rPr>
          <w:szCs w:val="22"/>
        </w:rPr>
        <w:t xml:space="preserve">the issues presented and </w:t>
      </w:r>
      <w:r w:rsidR="0028665A" w:rsidRPr="00A1103B">
        <w:rPr>
          <w:szCs w:val="22"/>
        </w:rPr>
        <w:t xml:space="preserve">comments filed in response to </w:t>
      </w:r>
      <w:r w:rsidR="00DD1E99">
        <w:rPr>
          <w:szCs w:val="22"/>
        </w:rPr>
        <w:t xml:space="preserve">the </w:t>
      </w:r>
      <w:r w:rsidR="00DD1E99" w:rsidRPr="00B32272">
        <w:rPr>
          <w:i/>
          <w:szCs w:val="22"/>
        </w:rPr>
        <w:t>FY 2012</w:t>
      </w:r>
      <w:r w:rsidR="0028665A" w:rsidRPr="00B32272">
        <w:rPr>
          <w:i/>
          <w:szCs w:val="22"/>
        </w:rPr>
        <w:t xml:space="preserve"> NPRM</w:t>
      </w:r>
      <w:r w:rsidR="0028665A">
        <w:rPr>
          <w:szCs w:val="22"/>
        </w:rPr>
        <w:t xml:space="preserve"> and any issues raised in ex parte </w:t>
      </w:r>
      <w:r w:rsidR="00232C73">
        <w:rPr>
          <w:szCs w:val="22"/>
        </w:rPr>
        <w:t xml:space="preserve">filings by </w:t>
      </w:r>
      <w:r w:rsidR="0028665A" w:rsidRPr="00A1103B">
        <w:rPr>
          <w:szCs w:val="22"/>
        </w:rPr>
        <w:t>industry representatives</w:t>
      </w:r>
      <w:r w:rsidR="0028665A">
        <w:rPr>
          <w:szCs w:val="22"/>
        </w:rPr>
        <w:t>.</w:t>
      </w:r>
      <w:r w:rsidR="00460895">
        <w:rPr>
          <w:szCs w:val="22"/>
        </w:rPr>
        <w:t xml:space="preserve">  We anticipate that in </w:t>
      </w:r>
      <w:r w:rsidR="00232C73">
        <w:rPr>
          <w:szCs w:val="22"/>
        </w:rPr>
        <w:t xml:space="preserve">the </w:t>
      </w:r>
      <w:r w:rsidR="00460895">
        <w:rPr>
          <w:szCs w:val="22"/>
        </w:rPr>
        <w:t xml:space="preserve">Report and Order we will adopt certain proposals </w:t>
      </w:r>
      <w:r w:rsidR="005C58B7">
        <w:rPr>
          <w:szCs w:val="22"/>
        </w:rPr>
        <w:t xml:space="preserve">discussed herein </w:t>
      </w:r>
      <w:r w:rsidR="00460895">
        <w:rPr>
          <w:szCs w:val="22"/>
        </w:rPr>
        <w:t xml:space="preserve">for FY 2013 and other proposals for implementation </w:t>
      </w:r>
      <w:r w:rsidR="00766D31">
        <w:rPr>
          <w:szCs w:val="22"/>
        </w:rPr>
        <w:t>in FY 2014</w:t>
      </w:r>
      <w:r w:rsidR="00B53718">
        <w:rPr>
          <w:szCs w:val="22"/>
        </w:rPr>
        <w:t xml:space="preserve"> and beyond</w:t>
      </w:r>
      <w:r w:rsidR="00460895">
        <w:rPr>
          <w:szCs w:val="22"/>
        </w:rPr>
        <w:t xml:space="preserve">. </w:t>
      </w:r>
    </w:p>
    <w:p w:rsidR="006B5AE6" w:rsidRPr="006B5AE6" w:rsidRDefault="00F55AB2" w:rsidP="006B5AE6">
      <w:pPr>
        <w:pStyle w:val="Heading1"/>
      </w:pPr>
      <w:bookmarkStart w:id="16" w:name="_Toc353987717"/>
      <w:bookmarkStart w:id="17" w:name="_Toc353988038"/>
      <w:r>
        <w:t>Notice of proposed rulemaking</w:t>
      </w:r>
      <w:bookmarkEnd w:id="16"/>
      <w:bookmarkEnd w:id="17"/>
    </w:p>
    <w:p w:rsidR="006B5AE6" w:rsidRDefault="006B5AE6" w:rsidP="006B5AE6">
      <w:pPr>
        <w:pStyle w:val="Heading2"/>
      </w:pPr>
      <w:bookmarkStart w:id="18" w:name="_Toc353987718"/>
      <w:bookmarkStart w:id="19" w:name="_Toc353988039"/>
      <w:r>
        <w:t>Regulatory Fee Allocation Process and Need for Reform.</w:t>
      </w:r>
      <w:bookmarkEnd w:id="18"/>
      <w:bookmarkEnd w:id="19"/>
    </w:p>
    <w:p w:rsidR="00520A17" w:rsidRDefault="006B5AE6" w:rsidP="00547927">
      <w:pPr>
        <w:pStyle w:val="ParaNum"/>
        <w:tabs>
          <w:tab w:val="num" w:pos="1350"/>
        </w:tabs>
        <w:ind w:left="-90"/>
        <w:rPr>
          <w:szCs w:val="22"/>
        </w:rPr>
      </w:pPr>
      <w:r>
        <w:rPr>
          <w:szCs w:val="22"/>
        </w:rPr>
        <w:t xml:space="preserve">Each </w:t>
      </w:r>
      <w:r w:rsidR="005C3850">
        <w:rPr>
          <w:szCs w:val="22"/>
        </w:rPr>
        <w:t>y</w:t>
      </w:r>
      <w:r>
        <w:rPr>
          <w:szCs w:val="22"/>
        </w:rPr>
        <w:t xml:space="preserve">ear </w:t>
      </w:r>
      <w:r w:rsidRPr="006B5AE6">
        <w:rPr>
          <w:szCs w:val="22"/>
        </w:rPr>
        <w:t xml:space="preserve">the </w:t>
      </w:r>
      <w:r w:rsidR="005C3850">
        <w:rPr>
          <w:szCs w:val="22"/>
        </w:rPr>
        <w:t>C</w:t>
      </w:r>
      <w:r w:rsidRPr="006B5AE6">
        <w:rPr>
          <w:szCs w:val="22"/>
        </w:rPr>
        <w:t>o</w:t>
      </w:r>
      <w:r w:rsidR="009A5CF0">
        <w:rPr>
          <w:szCs w:val="22"/>
        </w:rPr>
        <w:t>mmission derives the fees that C</w:t>
      </w:r>
      <w:r w:rsidRPr="006B5AE6">
        <w:rPr>
          <w:szCs w:val="22"/>
        </w:rPr>
        <w:t xml:space="preserve">ongress requires it to collect “by determining the full-time equivalent number of employees performing” these activities “adjusted to take into account factors that are reasonably related to the benefits provided to the payer of the fee by the </w:t>
      </w:r>
      <w:r w:rsidR="005C3850">
        <w:rPr>
          <w:szCs w:val="22"/>
        </w:rPr>
        <w:t>C</w:t>
      </w:r>
      <w:r w:rsidRPr="006B5AE6">
        <w:rPr>
          <w:szCs w:val="22"/>
        </w:rPr>
        <w:t>ommission’s activities</w:t>
      </w:r>
      <w:r w:rsidRPr="006B5AE6">
        <w:rPr>
          <w:caps/>
          <w:szCs w:val="22"/>
        </w:rPr>
        <w:t>….”</w:t>
      </w:r>
      <w:r w:rsidRPr="006B5AE6">
        <w:rPr>
          <w:rStyle w:val="FootnoteReference"/>
          <w:szCs w:val="22"/>
        </w:rPr>
        <w:footnoteReference w:id="12"/>
      </w:r>
      <w:r w:rsidRPr="006B5AE6">
        <w:rPr>
          <w:szCs w:val="22"/>
        </w:rPr>
        <w:t xml:space="preserve">  </w:t>
      </w:r>
      <w:r w:rsidR="005C3850">
        <w:rPr>
          <w:szCs w:val="22"/>
        </w:rPr>
        <w:t>T</w:t>
      </w:r>
      <w:r w:rsidRPr="006B5AE6">
        <w:rPr>
          <w:szCs w:val="22"/>
        </w:rPr>
        <w:t xml:space="preserve">o calculate regulatory fees, the </w:t>
      </w:r>
      <w:r w:rsidR="005C3850">
        <w:rPr>
          <w:szCs w:val="22"/>
        </w:rPr>
        <w:t>C</w:t>
      </w:r>
      <w:r w:rsidRPr="006B5AE6">
        <w:rPr>
          <w:szCs w:val="22"/>
        </w:rPr>
        <w:t>ommission allocates the total amount to be collected, among the various regulatory fee categories.  Each regulatee within a fee category must pay its proportionate share based on an objective measure, e.g., revenues, subscribers, or licenses.  The first step, allocating fees to f</w:t>
      </w:r>
      <w:r w:rsidR="009A5CF0">
        <w:rPr>
          <w:szCs w:val="22"/>
        </w:rPr>
        <w:t>ee categories, is based on the C</w:t>
      </w:r>
      <w:r w:rsidRPr="006B5AE6">
        <w:rPr>
          <w:szCs w:val="22"/>
        </w:rPr>
        <w:t xml:space="preserve">ommission’s calculation of the number of </w:t>
      </w:r>
      <w:r>
        <w:rPr>
          <w:szCs w:val="22"/>
        </w:rPr>
        <w:t>FTEs</w:t>
      </w:r>
      <w:r w:rsidRPr="006B5AE6">
        <w:rPr>
          <w:szCs w:val="22"/>
        </w:rPr>
        <w:t xml:space="preserve"> devoted to each regulatory fee category.  </w:t>
      </w:r>
      <w:r>
        <w:rPr>
          <w:szCs w:val="22"/>
        </w:rPr>
        <w:t>F</w:t>
      </w:r>
      <w:r w:rsidR="001D5F72">
        <w:rPr>
          <w:szCs w:val="22"/>
        </w:rPr>
        <w:t>T</w:t>
      </w:r>
      <w:r>
        <w:rPr>
          <w:szCs w:val="22"/>
        </w:rPr>
        <w:t>Es</w:t>
      </w:r>
      <w:r w:rsidRPr="006B5AE6">
        <w:rPr>
          <w:szCs w:val="22"/>
        </w:rPr>
        <w:t xml:space="preserve"> are categorized as either “direct” or “indirect.” An </w:t>
      </w:r>
      <w:r>
        <w:rPr>
          <w:szCs w:val="22"/>
        </w:rPr>
        <w:t>FTE</w:t>
      </w:r>
      <w:r w:rsidRPr="006B5AE6">
        <w:rPr>
          <w:szCs w:val="22"/>
        </w:rPr>
        <w:t xml:space="preserve"> is considered “direct” if the employee is in one of the core bureaus, i.e., the </w:t>
      </w:r>
      <w:r w:rsidR="001D5F72">
        <w:rPr>
          <w:szCs w:val="22"/>
        </w:rPr>
        <w:t>W</w:t>
      </w:r>
      <w:r w:rsidRPr="006B5AE6">
        <w:rPr>
          <w:szCs w:val="22"/>
        </w:rPr>
        <w:t xml:space="preserve">ireless </w:t>
      </w:r>
      <w:r w:rsidR="001D5F72">
        <w:rPr>
          <w:szCs w:val="22"/>
        </w:rPr>
        <w:t>T</w:t>
      </w:r>
      <w:r w:rsidRPr="006B5AE6">
        <w:rPr>
          <w:szCs w:val="22"/>
        </w:rPr>
        <w:t xml:space="preserve">elecommunications </w:t>
      </w:r>
      <w:r w:rsidR="001D5F72">
        <w:rPr>
          <w:szCs w:val="22"/>
        </w:rPr>
        <w:t>B</w:t>
      </w:r>
      <w:r w:rsidRPr="006B5AE6">
        <w:rPr>
          <w:szCs w:val="22"/>
        </w:rPr>
        <w:t xml:space="preserve">ureau, </w:t>
      </w:r>
      <w:r w:rsidR="001D5F72">
        <w:rPr>
          <w:szCs w:val="22"/>
        </w:rPr>
        <w:t>M</w:t>
      </w:r>
      <w:r w:rsidRPr="006B5AE6">
        <w:rPr>
          <w:szCs w:val="22"/>
        </w:rPr>
        <w:t xml:space="preserve">edia </w:t>
      </w:r>
      <w:r w:rsidR="001D5F72">
        <w:rPr>
          <w:szCs w:val="22"/>
        </w:rPr>
        <w:t>B</w:t>
      </w:r>
      <w:r w:rsidRPr="006B5AE6">
        <w:rPr>
          <w:szCs w:val="22"/>
        </w:rPr>
        <w:t xml:space="preserve">ureau, </w:t>
      </w:r>
      <w:r w:rsidR="001D5F72">
        <w:rPr>
          <w:szCs w:val="22"/>
        </w:rPr>
        <w:t>W</w:t>
      </w:r>
      <w:r w:rsidRPr="006B5AE6">
        <w:rPr>
          <w:szCs w:val="22"/>
        </w:rPr>
        <w:t xml:space="preserve">ireline </w:t>
      </w:r>
      <w:r w:rsidR="001D5F72">
        <w:rPr>
          <w:szCs w:val="22"/>
        </w:rPr>
        <w:t>C</w:t>
      </w:r>
      <w:r w:rsidRPr="006B5AE6">
        <w:rPr>
          <w:szCs w:val="22"/>
        </w:rPr>
        <w:t xml:space="preserve">ompetition </w:t>
      </w:r>
      <w:r w:rsidR="001D5F72">
        <w:rPr>
          <w:szCs w:val="22"/>
        </w:rPr>
        <w:t>B</w:t>
      </w:r>
      <w:r w:rsidRPr="006B5AE6">
        <w:rPr>
          <w:szCs w:val="22"/>
        </w:rPr>
        <w:t xml:space="preserve">ureau, or </w:t>
      </w:r>
      <w:r w:rsidR="001D5F72">
        <w:rPr>
          <w:szCs w:val="22"/>
        </w:rPr>
        <w:t>I</w:t>
      </w:r>
      <w:r w:rsidRPr="006B5AE6">
        <w:rPr>
          <w:szCs w:val="22"/>
        </w:rPr>
        <w:t xml:space="preserve">nternational </w:t>
      </w:r>
      <w:r w:rsidR="001D5F72">
        <w:rPr>
          <w:szCs w:val="22"/>
        </w:rPr>
        <w:t>B</w:t>
      </w:r>
      <w:r w:rsidRPr="006B5AE6">
        <w:rPr>
          <w:szCs w:val="22"/>
        </w:rPr>
        <w:t>ureau.</w:t>
      </w:r>
      <w:r w:rsidRPr="006B5AE6">
        <w:rPr>
          <w:rStyle w:val="FootnoteReference"/>
          <w:szCs w:val="22"/>
        </w:rPr>
        <w:footnoteReference w:id="13"/>
      </w:r>
      <w:r w:rsidRPr="006B5AE6">
        <w:rPr>
          <w:szCs w:val="22"/>
        </w:rPr>
        <w:t xml:space="preserve">  </w:t>
      </w:r>
      <w:r w:rsidR="001D5F72">
        <w:rPr>
          <w:szCs w:val="22"/>
        </w:rPr>
        <w:t>I</w:t>
      </w:r>
      <w:r w:rsidRPr="006B5AE6">
        <w:rPr>
          <w:szCs w:val="22"/>
        </w:rPr>
        <w:t xml:space="preserve">f an employee is not assigned to one of those four bureaus, that employee is considered an “indirect” </w:t>
      </w:r>
      <w:r w:rsidR="00C114D1">
        <w:rPr>
          <w:szCs w:val="22"/>
        </w:rPr>
        <w:t>FTE</w:t>
      </w:r>
      <w:r w:rsidRPr="006B5AE6">
        <w:rPr>
          <w:szCs w:val="22"/>
        </w:rPr>
        <w:t>.</w:t>
      </w:r>
      <w:r w:rsidRPr="006B5AE6">
        <w:rPr>
          <w:rStyle w:val="FootnoteReference"/>
          <w:szCs w:val="22"/>
        </w:rPr>
        <w:footnoteReference w:id="14"/>
      </w:r>
      <w:r w:rsidRPr="006B5AE6">
        <w:rPr>
          <w:szCs w:val="22"/>
        </w:rPr>
        <w:t xml:space="preserve">  </w:t>
      </w:r>
      <w:r w:rsidR="00B161F6">
        <w:rPr>
          <w:szCs w:val="22"/>
        </w:rPr>
        <w:t>T</w:t>
      </w:r>
      <w:r w:rsidRPr="006B5AE6">
        <w:rPr>
          <w:szCs w:val="22"/>
        </w:rPr>
        <w:t xml:space="preserve">hus, the total </w:t>
      </w:r>
      <w:r w:rsidR="00C114D1">
        <w:rPr>
          <w:szCs w:val="22"/>
        </w:rPr>
        <w:t>FTEs</w:t>
      </w:r>
      <w:r w:rsidRPr="006B5AE6">
        <w:rPr>
          <w:szCs w:val="22"/>
        </w:rPr>
        <w:t xml:space="preserve"> for each fee category includes the direct </w:t>
      </w:r>
      <w:r w:rsidR="00C114D1">
        <w:rPr>
          <w:szCs w:val="22"/>
        </w:rPr>
        <w:t>FTEs</w:t>
      </w:r>
      <w:r w:rsidRPr="006B5AE6">
        <w:rPr>
          <w:szCs w:val="22"/>
        </w:rPr>
        <w:t xml:space="preserve"> associated with that category (i.e., the </w:t>
      </w:r>
      <w:r w:rsidR="00C114D1">
        <w:rPr>
          <w:szCs w:val="22"/>
        </w:rPr>
        <w:t>FTEs</w:t>
      </w:r>
      <w:r w:rsidRPr="006B5AE6">
        <w:rPr>
          <w:szCs w:val="22"/>
        </w:rPr>
        <w:t xml:space="preserve"> in the bureau associated with that category), plus a proportional allocation of the indirect </w:t>
      </w:r>
      <w:r w:rsidR="00C114D1">
        <w:rPr>
          <w:szCs w:val="22"/>
        </w:rPr>
        <w:t>FTEs</w:t>
      </w:r>
      <w:r w:rsidRPr="006B5AE6">
        <w:rPr>
          <w:szCs w:val="22"/>
        </w:rPr>
        <w:t xml:space="preserve">.  This preliminary allocation has been based on the concept that the </w:t>
      </w:r>
      <w:r w:rsidR="00B161F6">
        <w:rPr>
          <w:szCs w:val="22"/>
        </w:rPr>
        <w:t>FTE</w:t>
      </w:r>
      <w:r w:rsidRPr="006B5AE6">
        <w:rPr>
          <w:szCs w:val="22"/>
        </w:rPr>
        <w:t>s in each of those four bureaus perform activities related to the service providers regulated by those bureaus.</w:t>
      </w:r>
    </w:p>
    <w:p w:rsidR="00F6184B" w:rsidRPr="006B5AE6" w:rsidRDefault="006B5AE6" w:rsidP="00547927">
      <w:pPr>
        <w:pStyle w:val="ParaNum"/>
        <w:tabs>
          <w:tab w:val="num" w:pos="1350"/>
        </w:tabs>
        <w:ind w:left="-90"/>
        <w:rPr>
          <w:szCs w:val="22"/>
        </w:rPr>
      </w:pPr>
      <w:r w:rsidRPr="006B5AE6">
        <w:rPr>
          <w:szCs w:val="22"/>
        </w:rPr>
        <w:t xml:space="preserve">The current allocations of direct and indirect </w:t>
      </w:r>
      <w:r w:rsidR="00C114D1">
        <w:rPr>
          <w:szCs w:val="22"/>
        </w:rPr>
        <w:t>FTEs</w:t>
      </w:r>
      <w:r w:rsidRPr="006B5AE6">
        <w:rPr>
          <w:szCs w:val="22"/>
        </w:rPr>
        <w:t xml:space="preserve"> are taken from </w:t>
      </w:r>
      <w:r w:rsidR="00C114D1">
        <w:rPr>
          <w:szCs w:val="22"/>
        </w:rPr>
        <w:t>FTE</w:t>
      </w:r>
      <w:r w:rsidRPr="006B5AE6">
        <w:rPr>
          <w:szCs w:val="22"/>
        </w:rPr>
        <w:t xml:space="preserve"> data compiled in </w:t>
      </w:r>
      <w:r w:rsidR="00C114D1">
        <w:rPr>
          <w:szCs w:val="22"/>
        </w:rPr>
        <w:t>FY</w:t>
      </w:r>
      <w:r w:rsidRPr="006B5AE6">
        <w:rPr>
          <w:szCs w:val="22"/>
        </w:rPr>
        <w:t xml:space="preserve"> 1998.</w:t>
      </w:r>
      <w:r w:rsidRPr="006B5AE6">
        <w:rPr>
          <w:rStyle w:val="FootnoteReference"/>
          <w:szCs w:val="22"/>
        </w:rPr>
        <w:footnoteReference w:id="15"/>
      </w:r>
      <w:r w:rsidRPr="006B5AE6">
        <w:rPr>
          <w:szCs w:val="22"/>
        </w:rPr>
        <w:t xml:space="preserve">  </w:t>
      </w:r>
      <w:r w:rsidR="00B161F6">
        <w:rPr>
          <w:szCs w:val="22"/>
        </w:rPr>
        <w:t>A</w:t>
      </w:r>
      <w:r w:rsidRPr="006B5AE6">
        <w:rPr>
          <w:szCs w:val="22"/>
        </w:rPr>
        <w:t xml:space="preserve"> comparison of current </w:t>
      </w:r>
      <w:r w:rsidR="00B161F6">
        <w:rPr>
          <w:szCs w:val="22"/>
        </w:rPr>
        <w:t>FTE</w:t>
      </w:r>
      <w:r w:rsidRPr="006B5AE6">
        <w:rPr>
          <w:szCs w:val="22"/>
        </w:rPr>
        <w:t xml:space="preserve"> numbers in the various bureaus to their respective share of the overall regulatory fee burden illustrates </w:t>
      </w:r>
      <w:r w:rsidR="00AE5970">
        <w:rPr>
          <w:color w:val="1F497D"/>
        </w:rPr>
        <w:t>the need to reexamine the FTE data used</w:t>
      </w:r>
      <w:r w:rsidRPr="006B5AE6">
        <w:rPr>
          <w:szCs w:val="22"/>
        </w:rPr>
        <w:t xml:space="preserve">.  For example, </w:t>
      </w:r>
      <w:r w:rsidRPr="006B5AE6">
        <w:rPr>
          <w:spacing w:val="-2"/>
          <w:szCs w:val="22"/>
        </w:rPr>
        <w:t xml:space="preserve">the </w:t>
      </w:r>
      <w:r w:rsidR="00B161F6">
        <w:rPr>
          <w:spacing w:val="-2"/>
          <w:szCs w:val="22"/>
        </w:rPr>
        <w:t>I</w:t>
      </w:r>
      <w:r w:rsidRPr="006B5AE6">
        <w:rPr>
          <w:spacing w:val="-2"/>
          <w:szCs w:val="22"/>
        </w:rPr>
        <w:t xml:space="preserve">nternational </w:t>
      </w:r>
      <w:r w:rsidR="00B161F6">
        <w:rPr>
          <w:spacing w:val="-2"/>
          <w:szCs w:val="22"/>
        </w:rPr>
        <w:t>B</w:t>
      </w:r>
      <w:r w:rsidRPr="006B5AE6">
        <w:rPr>
          <w:spacing w:val="-2"/>
          <w:szCs w:val="22"/>
        </w:rPr>
        <w:t xml:space="preserve">ureau currently employs 22 percent of the </w:t>
      </w:r>
      <w:r w:rsidR="00B161F6">
        <w:rPr>
          <w:spacing w:val="-2"/>
          <w:szCs w:val="22"/>
        </w:rPr>
        <w:t>C</w:t>
      </w:r>
      <w:r w:rsidRPr="006B5AE6">
        <w:rPr>
          <w:spacing w:val="-2"/>
          <w:szCs w:val="22"/>
        </w:rPr>
        <w:t xml:space="preserve">ommission’s direct </w:t>
      </w:r>
      <w:r w:rsidR="00C114D1">
        <w:rPr>
          <w:spacing w:val="-2"/>
          <w:szCs w:val="22"/>
        </w:rPr>
        <w:t>FTEs</w:t>
      </w:r>
      <w:r w:rsidRPr="006B5AE6">
        <w:rPr>
          <w:spacing w:val="-2"/>
          <w:szCs w:val="22"/>
        </w:rPr>
        <w:t xml:space="preserve">, yet </w:t>
      </w:r>
      <w:r w:rsidR="00B161F6">
        <w:rPr>
          <w:spacing w:val="-2"/>
          <w:szCs w:val="22"/>
        </w:rPr>
        <w:t>I</w:t>
      </w:r>
      <w:r w:rsidRPr="006B5AE6">
        <w:rPr>
          <w:spacing w:val="-2"/>
          <w:szCs w:val="22"/>
        </w:rPr>
        <w:t xml:space="preserve">nternational </w:t>
      </w:r>
      <w:r w:rsidR="00B161F6">
        <w:rPr>
          <w:spacing w:val="-2"/>
          <w:szCs w:val="22"/>
        </w:rPr>
        <w:t xml:space="preserve">Bureau </w:t>
      </w:r>
      <w:r w:rsidRPr="006B5AE6">
        <w:rPr>
          <w:spacing w:val="-2"/>
          <w:szCs w:val="22"/>
        </w:rPr>
        <w:t>regulatees contribute 6.3 percent of the total regulatory fee collection.</w:t>
      </w:r>
      <w:r w:rsidRPr="006B5AE6">
        <w:rPr>
          <w:rStyle w:val="FootnoteReference"/>
          <w:szCs w:val="22"/>
        </w:rPr>
        <w:t xml:space="preserve"> </w:t>
      </w:r>
      <w:r w:rsidRPr="006B5AE6">
        <w:rPr>
          <w:rStyle w:val="FootnoteReference"/>
          <w:szCs w:val="22"/>
        </w:rPr>
        <w:footnoteReference w:id="16"/>
      </w:r>
      <w:r w:rsidRPr="006B5AE6">
        <w:rPr>
          <w:spacing w:val="-2"/>
          <w:szCs w:val="22"/>
        </w:rPr>
        <w:t xml:space="preserve">  </w:t>
      </w:r>
      <w:r w:rsidR="00E57FF7">
        <w:rPr>
          <w:spacing w:val="-2"/>
          <w:szCs w:val="22"/>
        </w:rPr>
        <w:t>On the other hand,</w:t>
      </w:r>
      <w:r w:rsidRPr="006B5AE6">
        <w:rPr>
          <w:spacing w:val="-2"/>
          <w:szCs w:val="22"/>
        </w:rPr>
        <w:t xml:space="preserve"> </w:t>
      </w:r>
      <w:r w:rsidR="00C114D1">
        <w:rPr>
          <w:spacing w:val="-2"/>
          <w:szCs w:val="22"/>
        </w:rPr>
        <w:t>ITSPs</w:t>
      </w:r>
      <w:r w:rsidRPr="006B5AE6">
        <w:rPr>
          <w:spacing w:val="-2"/>
          <w:szCs w:val="22"/>
        </w:rPr>
        <w:t xml:space="preserve">, regulated by the </w:t>
      </w:r>
      <w:r w:rsidR="00B161F6">
        <w:rPr>
          <w:spacing w:val="-2"/>
          <w:szCs w:val="22"/>
        </w:rPr>
        <w:t>W</w:t>
      </w:r>
      <w:r w:rsidRPr="006B5AE6">
        <w:rPr>
          <w:spacing w:val="-2"/>
          <w:szCs w:val="22"/>
        </w:rPr>
        <w:t xml:space="preserve">ireline </w:t>
      </w:r>
      <w:r w:rsidR="00B161F6">
        <w:rPr>
          <w:spacing w:val="-2"/>
          <w:szCs w:val="22"/>
        </w:rPr>
        <w:t>C</w:t>
      </w:r>
      <w:r w:rsidRPr="006B5AE6">
        <w:rPr>
          <w:spacing w:val="-2"/>
          <w:szCs w:val="22"/>
        </w:rPr>
        <w:t xml:space="preserve">ompetition </w:t>
      </w:r>
      <w:r w:rsidR="00B161F6">
        <w:rPr>
          <w:spacing w:val="-2"/>
          <w:szCs w:val="22"/>
        </w:rPr>
        <w:t>B</w:t>
      </w:r>
      <w:r w:rsidRPr="006B5AE6">
        <w:rPr>
          <w:spacing w:val="-2"/>
          <w:szCs w:val="22"/>
        </w:rPr>
        <w:t xml:space="preserve">ureau, pay 47 percent of the total annual regulatory fee collection, while the </w:t>
      </w:r>
      <w:r w:rsidR="00B161F6">
        <w:rPr>
          <w:spacing w:val="-2"/>
          <w:szCs w:val="22"/>
        </w:rPr>
        <w:t>W</w:t>
      </w:r>
      <w:r w:rsidRPr="006B5AE6">
        <w:rPr>
          <w:spacing w:val="-2"/>
          <w:szCs w:val="22"/>
        </w:rPr>
        <w:t xml:space="preserve">ireline </w:t>
      </w:r>
      <w:r w:rsidR="00B161F6">
        <w:rPr>
          <w:spacing w:val="-2"/>
          <w:szCs w:val="22"/>
        </w:rPr>
        <w:t>C</w:t>
      </w:r>
      <w:r w:rsidRPr="006B5AE6">
        <w:rPr>
          <w:spacing w:val="-2"/>
          <w:szCs w:val="22"/>
        </w:rPr>
        <w:t xml:space="preserve">ompetition </w:t>
      </w:r>
      <w:r w:rsidR="00B161F6">
        <w:rPr>
          <w:spacing w:val="-2"/>
          <w:szCs w:val="22"/>
        </w:rPr>
        <w:t>B</w:t>
      </w:r>
      <w:r w:rsidRPr="006B5AE6">
        <w:rPr>
          <w:spacing w:val="-2"/>
          <w:szCs w:val="22"/>
        </w:rPr>
        <w:t xml:space="preserve">ureau employs only 29.2 percent of the </w:t>
      </w:r>
      <w:r w:rsidR="00B161F6">
        <w:rPr>
          <w:spacing w:val="-2"/>
          <w:szCs w:val="22"/>
        </w:rPr>
        <w:t>C</w:t>
      </w:r>
      <w:r w:rsidRPr="006B5AE6">
        <w:rPr>
          <w:spacing w:val="-2"/>
          <w:szCs w:val="22"/>
        </w:rPr>
        <w:t xml:space="preserve">ommission’s direct </w:t>
      </w:r>
      <w:r w:rsidR="00C114D1">
        <w:rPr>
          <w:spacing w:val="-2"/>
          <w:szCs w:val="22"/>
        </w:rPr>
        <w:t>FTE</w:t>
      </w:r>
      <w:r w:rsidRPr="006B5AE6">
        <w:rPr>
          <w:spacing w:val="-2"/>
          <w:szCs w:val="22"/>
        </w:rPr>
        <w:t>s.  The proposals herein seek not only to address this issue, but also to make the allocation of regulatory fee burden more transparent.</w:t>
      </w:r>
      <w:r w:rsidRPr="006B5AE6">
        <w:rPr>
          <w:rStyle w:val="FootnoteReference"/>
          <w:spacing w:val="-2"/>
          <w:szCs w:val="22"/>
        </w:rPr>
        <w:footnoteReference w:id="17"/>
      </w:r>
      <w:r w:rsidRPr="006B5AE6">
        <w:rPr>
          <w:spacing w:val="-2"/>
          <w:szCs w:val="22"/>
        </w:rPr>
        <w:t xml:space="preserve">  </w:t>
      </w:r>
      <w:r w:rsidR="00B161F6">
        <w:rPr>
          <w:szCs w:val="22"/>
        </w:rPr>
        <w:t>A</w:t>
      </w:r>
      <w:r w:rsidRPr="006B5AE6">
        <w:rPr>
          <w:szCs w:val="22"/>
        </w:rPr>
        <w:t>lthough we seek to better align regulatory fees with the level of current regulation, it is important to note that</w:t>
      </w:r>
      <w:r w:rsidRPr="006B5AE6">
        <w:rPr>
          <w:caps/>
          <w:szCs w:val="22"/>
        </w:rPr>
        <w:t xml:space="preserve"> </w:t>
      </w:r>
      <w:r w:rsidRPr="006B5AE6">
        <w:rPr>
          <w:szCs w:val="22"/>
        </w:rPr>
        <w:t>there is no statutory requirement that regulatory fees offset only the actual costs of regulating each service</w:t>
      </w:r>
      <w:r w:rsidR="00854822">
        <w:rPr>
          <w:szCs w:val="22"/>
        </w:rPr>
        <w:t xml:space="preserve">.  In fact, </w:t>
      </w:r>
      <w:r w:rsidRPr="006B5AE6">
        <w:rPr>
          <w:szCs w:val="22"/>
        </w:rPr>
        <w:t xml:space="preserve">the </w:t>
      </w:r>
      <w:r w:rsidR="00C114D1">
        <w:rPr>
          <w:szCs w:val="22"/>
        </w:rPr>
        <w:t>FY</w:t>
      </w:r>
      <w:r w:rsidR="00B161F6">
        <w:rPr>
          <w:szCs w:val="22"/>
        </w:rPr>
        <w:t xml:space="preserve"> </w:t>
      </w:r>
      <w:r w:rsidRPr="006B5AE6">
        <w:rPr>
          <w:szCs w:val="22"/>
        </w:rPr>
        <w:t xml:space="preserve">2013 </w:t>
      </w:r>
      <w:r w:rsidR="00C114D1">
        <w:rPr>
          <w:szCs w:val="22"/>
        </w:rPr>
        <w:t>F</w:t>
      </w:r>
      <w:r w:rsidRPr="006B5AE6">
        <w:rPr>
          <w:szCs w:val="22"/>
        </w:rPr>
        <w:t xml:space="preserve">urther </w:t>
      </w:r>
      <w:r w:rsidR="00C114D1">
        <w:rPr>
          <w:szCs w:val="22"/>
        </w:rPr>
        <w:t>C</w:t>
      </w:r>
      <w:r w:rsidRPr="006B5AE6">
        <w:rPr>
          <w:szCs w:val="22"/>
        </w:rPr>
        <w:t xml:space="preserve">ontinuing </w:t>
      </w:r>
      <w:r w:rsidR="00C114D1">
        <w:rPr>
          <w:szCs w:val="22"/>
        </w:rPr>
        <w:t>R</w:t>
      </w:r>
      <w:r w:rsidRPr="006B5AE6">
        <w:rPr>
          <w:szCs w:val="22"/>
        </w:rPr>
        <w:t xml:space="preserve">esolution </w:t>
      </w:r>
      <w:r w:rsidR="00454629">
        <w:rPr>
          <w:szCs w:val="22"/>
        </w:rPr>
        <w:t xml:space="preserve">requires </w:t>
      </w:r>
      <w:r w:rsidRPr="006B5AE6">
        <w:rPr>
          <w:szCs w:val="22"/>
        </w:rPr>
        <w:t xml:space="preserve">that the </w:t>
      </w:r>
      <w:r w:rsidR="00B161F6">
        <w:rPr>
          <w:szCs w:val="22"/>
        </w:rPr>
        <w:t>C</w:t>
      </w:r>
      <w:r w:rsidRPr="006B5AE6">
        <w:rPr>
          <w:szCs w:val="22"/>
        </w:rPr>
        <w:t xml:space="preserve">ommission collect an amount of regulatory fees sufficient to offset its entire appropriation.  Thus the total benefit received by any particular regulatee from </w:t>
      </w:r>
      <w:r w:rsidR="00B161F6">
        <w:rPr>
          <w:szCs w:val="22"/>
        </w:rPr>
        <w:t>C</w:t>
      </w:r>
      <w:r w:rsidRPr="006B5AE6">
        <w:rPr>
          <w:szCs w:val="22"/>
        </w:rPr>
        <w:t xml:space="preserve">ommission actions will not necessarily correlate directly with the quantity of </w:t>
      </w:r>
      <w:r w:rsidR="00B161F6">
        <w:rPr>
          <w:szCs w:val="22"/>
        </w:rPr>
        <w:t>C</w:t>
      </w:r>
      <w:r w:rsidRPr="006B5AE6">
        <w:rPr>
          <w:szCs w:val="22"/>
        </w:rPr>
        <w:t>ommission resources used for that regulatee’s benefit.</w:t>
      </w:r>
      <w:r w:rsidRPr="00C5052D">
        <w:rPr>
          <w:rStyle w:val="FootnoteReference"/>
          <w:szCs w:val="22"/>
        </w:rPr>
        <w:footnoteReference w:id="18"/>
      </w:r>
      <w:r w:rsidRPr="00C5052D">
        <w:rPr>
          <w:szCs w:val="22"/>
        </w:rPr>
        <w:t xml:space="preserve">  </w:t>
      </w:r>
      <w:r w:rsidR="00854822">
        <w:rPr>
          <w:szCs w:val="22"/>
        </w:rPr>
        <w:t>For example, r</w:t>
      </w:r>
      <w:r w:rsidRPr="006B5AE6">
        <w:rPr>
          <w:szCs w:val="22"/>
        </w:rPr>
        <w:t xml:space="preserve">egulatory fees also cover the costs the </w:t>
      </w:r>
      <w:r w:rsidR="00B161F6">
        <w:rPr>
          <w:szCs w:val="22"/>
        </w:rPr>
        <w:t>C</w:t>
      </w:r>
      <w:r w:rsidRPr="006B5AE6">
        <w:rPr>
          <w:szCs w:val="22"/>
        </w:rPr>
        <w:t>ommission incurs in regulating entities that are statutorily exempt from paying regulatory fees,</w:t>
      </w:r>
      <w:r w:rsidRPr="006B5AE6">
        <w:rPr>
          <w:rStyle w:val="FootnoteReference"/>
          <w:szCs w:val="22"/>
        </w:rPr>
        <w:footnoteReference w:id="19"/>
      </w:r>
      <w:r w:rsidRPr="006B5AE6">
        <w:rPr>
          <w:szCs w:val="22"/>
        </w:rPr>
        <w:t xml:space="preserve"> entities whose regulatory fees are waived,</w:t>
      </w:r>
      <w:r w:rsidRPr="006B5AE6">
        <w:rPr>
          <w:rStyle w:val="FootnoteReference"/>
          <w:szCs w:val="22"/>
        </w:rPr>
        <w:footnoteReference w:id="20"/>
      </w:r>
      <w:r w:rsidRPr="006B5AE6">
        <w:rPr>
          <w:szCs w:val="22"/>
        </w:rPr>
        <w:t xml:space="preserve"> and entities that provide nonregulated services, as well other </w:t>
      </w:r>
      <w:r w:rsidR="00B161F6">
        <w:rPr>
          <w:szCs w:val="22"/>
        </w:rPr>
        <w:t>C</w:t>
      </w:r>
      <w:r w:rsidRPr="006B5AE6">
        <w:rPr>
          <w:szCs w:val="22"/>
        </w:rPr>
        <w:t xml:space="preserve">ommission activities, such as consumer-related services.  </w:t>
      </w:r>
    </w:p>
    <w:p w:rsidR="00F6184B" w:rsidRPr="00441BD3" w:rsidRDefault="004777BD" w:rsidP="00547927">
      <w:pPr>
        <w:pStyle w:val="ParaNum"/>
        <w:tabs>
          <w:tab w:val="num" w:pos="1350"/>
        </w:tabs>
        <w:ind w:left="-90"/>
        <w:rPr>
          <w:szCs w:val="22"/>
        </w:rPr>
      </w:pPr>
      <w:r w:rsidRPr="00441BD3">
        <w:rPr>
          <w:szCs w:val="22"/>
        </w:rPr>
        <w:t xml:space="preserve">As discussed in the </w:t>
      </w:r>
      <w:r w:rsidRPr="00441BD3">
        <w:rPr>
          <w:i/>
          <w:szCs w:val="22"/>
        </w:rPr>
        <w:t>FY 2012 NPRM</w:t>
      </w:r>
      <w:r w:rsidRPr="00441BD3">
        <w:rPr>
          <w:szCs w:val="22"/>
        </w:rPr>
        <w:t xml:space="preserve">, the FY 1998 FTE data may no longer fairly and accurately reflect the </w:t>
      </w:r>
      <w:r w:rsidR="0056453C" w:rsidRPr="00441BD3">
        <w:rPr>
          <w:szCs w:val="22"/>
        </w:rPr>
        <w:t xml:space="preserve">time that </w:t>
      </w:r>
      <w:r w:rsidRPr="00441BD3">
        <w:rPr>
          <w:szCs w:val="22"/>
        </w:rPr>
        <w:t>Commission employees</w:t>
      </w:r>
      <w:r w:rsidR="0056453C" w:rsidRPr="00441BD3">
        <w:rPr>
          <w:szCs w:val="22"/>
        </w:rPr>
        <w:t xml:space="preserve"> devote to </w:t>
      </w:r>
      <w:r w:rsidRPr="00441BD3">
        <w:rPr>
          <w:szCs w:val="22"/>
        </w:rPr>
        <w:t>these activities.</w:t>
      </w:r>
      <w:r w:rsidRPr="00441BD3">
        <w:rPr>
          <w:rStyle w:val="FootnoteReference"/>
          <w:szCs w:val="22"/>
        </w:rPr>
        <w:footnoteReference w:id="21"/>
      </w:r>
      <w:r w:rsidRPr="00441BD3">
        <w:rPr>
          <w:szCs w:val="22"/>
        </w:rPr>
        <w:t xml:space="preserve">  Using updated</w:t>
      </w:r>
      <w:r w:rsidR="004F7FDA" w:rsidRPr="00441BD3">
        <w:rPr>
          <w:rStyle w:val="FootnoteReference"/>
          <w:szCs w:val="22"/>
        </w:rPr>
        <w:footnoteReference w:id="22"/>
      </w:r>
      <w:r w:rsidRPr="00441BD3">
        <w:rPr>
          <w:szCs w:val="22"/>
        </w:rPr>
        <w:t xml:space="preserve"> FTE </w:t>
      </w:r>
      <w:r w:rsidR="007F20A6" w:rsidRPr="00441BD3">
        <w:rPr>
          <w:szCs w:val="22"/>
        </w:rPr>
        <w:t xml:space="preserve">data </w:t>
      </w:r>
      <w:r w:rsidRPr="00441BD3">
        <w:rPr>
          <w:szCs w:val="22"/>
        </w:rPr>
        <w:t>(without other significant changes in our methodology) would reduce the percentage of regulatory fees allocated to Wireline Competition Bureau regulatees from 4</w:t>
      </w:r>
      <w:r w:rsidR="000D19F6" w:rsidRPr="00441BD3">
        <w:rPr>
          <w:szCs w:val="22"/>
        </w:rPr>
        <w:t>7</w:t>
      </w:r>
      <w:r w:rsidRPr="00441BD3">
        <w:rPr>
          <w:szCs w:val="22"/>
        </w:rPr>
        <w:t xml:space="preserve"> percent to 2</w:t>
      </w:r>
      <w:r w:rsidR="000D19F6" w:rsidRPr="00441BD3">
        <w:rPr>
          <w:szCs w:val="22"/>
        </w:rPr>
        <w:t>9</w:t>
      </w:r>
      <w:r w:rsidRPr="00441BD3">
        <w:rPr>
          <w:szCs w:val="22"/>
        </w:rPr>
        <w:t>.</w:t>
      </w:r>
      <w:r w:rsidR="000D19F6" w:rsidRPr="00441BD3">
        <w:rPr>
          <w:szCs w:val="22"/>
        </w:rPr>
        <w:t>2</w:t>
      </w:r>
      <w:r w:rsidRPr="00441BD3">
        <w:rPr>
          <w:szCs w:val="22"/>
        </w:rPr>
        <w:t xml:space="preserve"> percent and increase the percentage of fees allocated to International Bureau regulatees from 6.</w:t>
      </w:r>
      <w:r w:rsidR="000D19F6" w:rsidRPr="00441BD3">
        <w:rPr>
          <w:szCs w:val="22"/>
        </w:rPr>
        <w:t>3</w:t>
      </w:r>
      <w:r w:rsidRPr="00441BD3">
        <w:rPr>
          <w:szCs w:val="22"/>
        </w:rPr>
        <w:t xml:space="preserve"> percent to 22 percent.</w:t>
      </w:r>
      <w:r w:rsidRPr="00441BD3">
        <w:rPr>
          <w:rStyle w:val="FootnoteReference"/>
          <w:szCs w:val="22"/>
        </w:rPr>
        <w:footnoteReference w:id="23"/>
      </w:r>
      <w:r w:rsidRPr="00441BD3">
        <w:rPr>
          <w:szCs w:val="22"/>
        </w:rPr>
        <w:t xml:space="preserve">  </w:t>
      </w:r>
      <w:r w:rsidR="0056453C" w:rsidRPr="00441BD3">
        <w:rPr>
          <w:szCs w:val="22"/>
        </w:rPr>
        <w:t>Therefore, s</w:t>
      </w:r>
      <w:r w:rsidRPr="00441BD3">
        <w:rPr>
          <w:szCs w:val="22"/>
        </w:rPr>
        <w:t xml:space="preserve">ubstituting current FTE data for FY 1998 FTE data would subject some </w:t>
      </w:r>
      <w:r w:rsidR="0056453C" w:rsidRPr="00441BD3">
        <w:rPr>
          <w:szCs w:val="22"/>
        </w:rPr>
        <w:t>international service providers</w:t>
      </w:r>
      <w:r w:rsidRPr="00441BD3">
        <w:rPr>
          <w:szCs w:val="22"/>
        </w:rPr>
        <w:t xml:space="preserve"> to significant fee increases.</w:t>
      </w:r>
      <w:r w:rsidRPr="00441BD3">
        <w:rPr>
          <w:rStyle w:val="FootnoteReference"/>
          <w:szCs w:val="22"/>
        </w:rPr>
        <w:footnoteReference w:id="24"/>
      </w:r>
      <w:r w:rsidRPr="00441BD3">
        <w:rPr>
          <w:szCs w:val="22"/>
        </w:rPr>
        <w:t xml:space="preserve">  </w:t>
      </w:r>
      <w:r w:rsidR="0056453C" w:rsidRPr="00441BD3">
        <w:rPr>
          <w:szCs w:val="22"/>
        </w:rPr>
        <w:t>In determining how to update the FTE data to m</w:t>
      </w:r>
      <w:r w:rsidR="0056453C">
        <w:rPr>
          <w:szCs w:val="22"/>
        </w:rPr>
        <w:t>o</w:t>
      </w:r>
      <w:r w:rsidR="0056453C" w:rsidRPr="00441BD3">
        <w:rPr>
          <w:szCs w:val="22"/>
        </w:rPr>
        <w:t>re accurately reflect the current composition of the Commission, w</w:t>
      </w:r>
      <w:r w:rsidRPr="00441BD3">
        <w:rPr>
          <w:szCs w:val="22"/>
        </w:rPr>
        <w:t xml:space="preserve">e </w:t>
      </w:r>
      <w:r w:rsidR="008E4F8A" w:rsidRPr="00441BD3">
        <w:rPr>
          <w:szCs w:val="22"/>
        </w:rPr>
        <w:t>recognize that</w:t>
      </w:r>
      <w:r w:rsidR="003B0941" w:rsidRPr="00441BD3">
        <w:rPr>
          <w:szCs w:val="22"/>
        </w:rPr>
        <w:t xml:space="preserve"> not only can</w:t>
      </w:r>
      <w:r w:rsidR="008E4F8A" w:rsidRPr="00441BD3">
        <w:rPr>
          <w:szCs w:val="22"/>
        </w:rPr>
        <w:t xml:space="preserve"> the regulator</w:t>
      </w:r>
      <w:r w:rsidR="008E4F8A">
        <w:rPr>
          <w:szCs w:val="22"/>
        </w:rPr>
        <w:t>y</w:t>
      </w:r>
      <w:r w:rsidR="008E4F8A" w:rsidRPr="00441BD3">
        <w:rPr>
          <w:szCs w:val="22"/>
        </w:rPr>
        <w:t xml:space="preserve"> fees </w:t>
      </w:r>
      <w:r w:rsidR="003B0941" w:rsidRPr="00441BD3">
        <w:rPr>
          <w:szCs w:val="22"/>
        </w:rPr>
        <w:t xml:space="preserve">not </w:t>
      </w:r>
      <w:r w:rsidR="008E4F8A" w:rsidRPr="00441BD3">
        <w:rPr>
          <w:szCs w:val="22"/>
        </w:rPr>
        <w:t>be calculated to</w:t>
      </w:r>
      <w:r w:rsidR="00CB2112" w:rsidRPr="00441BD3">
        <w:rPr>
          <w:szCs w:val="22"/>
        </w:rPr>
        <w:t xml:space="preserve"> reflect</w:t>
      </w:r>
      <w:r w:rsidR="008E4F8A" w:rsidRPr="00441BD3">
        <w:rPr>
          <w:szCs w:val="22"/>
        </w:rPr>
        <w:t xml:space="preserve"> the exact costs of each regulated industry</w:t>
      </w:r>
      <w:r w:rsidR="003B0941" w:rsidRPr="00441BD3">
        <w:rPr>
          <w:szCs w:val="22"/>
        </w:rPr>
        <w:t xml:space="preserve">, but such direct relationship of costs to each industry is not consistent with the statutory mandate to allocate based on the FTEs performing the enumerated functions in each </w:t>
      </w:r>
      <w:r w:rsidR="003C0F0B" w:rsidRPr="00441BD3">
        <w:rPr>
          <w:szCs w:val="22"/>
        </w:rPr>
        <w:t>named</w:t>
      </w:r>
      <w:r w:rsidR="003B0941" w:rsidRPr="00441BD3">
        <w:rPr>
          <w:szCs w:val="22"/>
        </w:rPr>
        <w:t xml:space="preserve"> bureau.  </w:t>
      </w:r>
      <w:r w:rsidR="00AE5970">
        <w:rPr>
          <w:szCs w:val="22"/>
        </w:rPr>
        <w:t>Nevertheless, w</w:t>
      </w:r>
      <w:r w:rsidR="003B0941" w:rsidRPr="00441BD3">
        <w:rPr>
          <w:szCs w:val="22"/>
        </w:rPr>
        <w:t>e find</w:t>
      </w:r>
      <w:r w:rsidR="009F7275" w:rsidRPr="00441BD3">
        <w:rPr>
          <w:szCs w:val="22"/>
        </w:rPr>
        <w:t xml:space="preserve"> that</w:t>
      </w:r>
      <w:r w:rsidR="008E4F8A" w:rsidRPr="00441BD3">
        <w:rPr>
          <w:szCs w:val="22"/>
        </w:rPr>
        <w:t xml:space="preserve"> </w:t>
      </w:r>
      <w:r w:rsidRPr="00441BD3">
        <w:rPr>
          <w:szCs w:val="22"/>
        </w:rPr>
        <w:t xml:space="preserve">it is consistent with </w:t>
      </w:r>
      <w:r w:rsidR="001A1DC5" w:rsidRPr="00441BD3">
        <w:rPr>
          <w:szCs w:val="22"/>
        </w:rPr>
        <w:t>s</w:t>
      </w:r>
      <w:r w:rsidRPr="00441BD3">
        <w:rPr>
          <w:szCs w:val="22"/>
        </w:rPr>
        <w:t>ection 9 of the Act to better align</w:t>
      </w:r>
      <w:r w:rsidR="003B0941" w:rsidRPr="00441BD3">
        <w:rPr>
          <w:szCs w:val="22"/>
        </w:rPr>
        <w:t>, to the extent feasible,</w:t>
      </w:r>
      <w:r w:rsidRPr="00441BD3">
        <w:rPr>
          <w:szCs w:val="22"/>
        </w:rPr>
        <w:t xml:space="preserve"> </w:t>
      </w:r>
      <w:r w:rsidR="009F7275" w:rsidRPr="00441BD3">
        <w:rPr>
          <w:szCs w:val="22"/>
        </w:rPr>
        <w:t xml:space="preserve">these </w:t>
      </w:r>
      <w:r w:rsidRPr="00441BD3">
        <w:rPr>
          <w:szCs w:val="22"/>
        </w:rPr>
        <w:t xml:space="preserve">regulatory </w:t>
      </w:r>
      <w:r w:rsidR="009F7275" w:rsidRPr="00441BD3">
        <w:rPr>
          <w:szCs w:val="22"/>
        </w:rPr>
        <w:t xml:space="preserve">fees with the current </w:t>
      </w:r>
      <w:r w:rsidRPr="00441BD3">
        <w:rPr>
          <w:szCs w:val="22"/>
        </w:rPr>
        <w:t xml:space="preserve">costs </w:t>
      </w:r>
      <w:r w:rsidR="003B0941" w:rsidRPr="00441BD3">
        <w:rPr>
          <w:szCs w:val="22"/>
        </w:rPr>
        <w:t xml:space="preserve">of </w:t>
      </w:r>
      <w:r w:rsidRPr="00441BD3">
        <w:rPr>
          <w:szCs w:val="22"/>
        </w:rPr>
        <w:t>Commission oversight and regulation</w:t>
      </w:r>
      <w:r w:rsidR="003B0941" w:rsidRPr="00441BD3">
        <w:rPr>
          <w:szCs w:val="22"/>
        </w:rPr>
        <w:t xml:space="preserve"> of each industry group</w:t>
      </w:r>
      <w:r w:rsidRPr="00441BD3">
        <w:rPr>
          <w:szCs w:val="22"/>
        </w:rPr>
        <w:t>.</w:t>
      </w:r>
      <w:r w:rsidR="00AE5970">
        <w:rPr>
          <w:szCs w:val="22"/>
        </w:rPr>
        <w:t xml:space="preserve">  Specifically, </w:t>
      </w:r>
      <w:r w:rsidR="00E12B0C">
        <w:rPr>
          <w:szCs w:val="22"/>
        </w:rPr>
        <w:t xml:space="preserve">a more </w:t>
      </w:r>
      <w:r w:rsidR="00AE5970">
        <w:rPr>
          <w:szCs w:val="22"/>
        </w:rPr>
        <w:t xml:space="preserve">accurate alignment of FTE work to subject matter promotes the requirement in section 9 to ensure the </w:t>
      </w:r>
      <w:r w:rsidR="00AE5970" w:rsidRPr="00E12EE1">
        <w:rPr>
          <w:szCs w:val="22"/>
        </w:rPr>
        <w:t>benefits provided to the payor of the fee</w:t>
      </w:r>
      <w:r w:rsidR="009A78B4">
        <w:rPr>
          <w:szCs w:val="22"/>
        </w:rPr>
        <w:t xml:space="preserve"> are</w:t>
      </w:r>
      <w:r w:rsidR="00AE5970">
        <w:rPr>
          <w:szCs w:val="22"/>
        </w:rPr>
        <w:t xml:space="preserve"> consistent with</w:t>
      </w:r>
      <w:r w:rsidR="00AE5970" w:rsidRPr="00E12EE1">
        <w:rPr>
          <w:szCs w:val="22"/>
        </w:rPr>
        <w:t xml:space="preserve"> the Commission’s activities</w:t>
      </w:r>
      <w:r w:rsidR="00AE5970">
        <w:rPr>
          <w:szCs w:val="22"/>
        </w:rPr>
        <w:t>.</w:t>
      </w:r>
      <w:r w:rsidR="00AE5970">
        <w:rPr>
          <w:rStyle w:val="FootnoteReference"/>
          <w:szCs w:val="22"/>
        </w:rPr>
        <w:footnoteReference w:id="25"/>
      </w:r>
    </w:p>
    <w:p w:rsidR="00F6184B" w:rsidRPr="00C5052D" w:rsidRDefault="00B00C2E" w:rsidP="00547927">
      <w:pPr>
        <w:pStyle w:val="ParaNum"/>
        <w:tabs>
          <w:tab w:val="num" w:pos="1350"/>
        </w:tabs>
        <w:ind w:left="-90"/>
        <w:rPr>
          <w:b/>
          <w:spacing w:val="-2"/>
          <w:szCs w:val="22"/>
        </w:rPr>
      </w:pPr>
      <w:r w:rsidRPr="00441BD3">
        <w:rPr>
          <w:szCs w:val="22"/>
        </w:rPr>
        <w:t>The GAO Report concluded that, due to changes in the communications industry and in the Commission during the past 15 years, the Commission should perform an updated FTE analysis, determine whether the fee categories should be revised, and increase</w:t>
      </w:r>
      <w:r w:rsidRPr="00836FF4">
        <w:rPr>
          <w:szCs w:val="22"/>
        </w:rPr>
        <w:t xml:space="preserve"> </w:t>
      </w:r>
      <w:r w:rsidRPr="00441BD3">
        <w:rPr>
          <w:szCs w:val="22"/>
        </w:rPr>
        <w:t>the transparency of the regulatory fee process.</w:t>
      </w:r>
      <w:r w:rsidR="00B161F6">
        <w:rPr>
          <w:rStyle w:val="FootnoteReference"/>
          <w:szCs w:val="22"/>
        </w:rPr>
        <w:footnoteReference w:id="26"/>
      </w:r>
      <w:r w:rsidRPr="00441BD3">
        <w:rPr>
          <w:szCs w:val="22"/>
        </w:rPr>
        <w:t xml:space="preserve">  For this purpose, </w:t>
      </w:r>
      <w:r w:rsidR="004777BD" w:rsidRPr="00441BD3">
        <w:rPr>
          <w:szCs w:val="22"/>
        </w:rPr>
        <w:t xml:space="preserve">we examine whether these functions and </w:t>
      </w:r>
      <w:r w:rsidR="00F6184B" w:rsidRPr="00C5052D">
        <w:rPr>
          <w:szCs w:val="22"/>
        </w:rPr>
        <w:t>activities performed by FTEs in the International Bureau, often to the benefit of multiple categories of regula</w:t>
      </w:r>
      <w:r w:rsidR="00701642">
        <w:rPr>
          <w:spacing w:val="-2"/>
          <w:szCs w:val="22"/>
        </w:rPr>
        <w:t xml:space="preserve">tees, </w:t>
      </w:r>
      <w:r w:rsidR="00F6184B" w:rsidRPr="00C5052D">
        <w:rPr>
          <w:spacing w:val="-2"/>
          <w:szCs w:val="22"/>
        </w:rPr>
        <w:t xml:space="preserve">warrant considering only a portion of the International Bureau as a “core bureau.” </w:t>
      </w:r>
      <w:r w:rsidR="00361F7A">
        <w:rPr>
          <w:spacing w:val="-2"/>
          <w:szCs w:val="22"/>
        </w:rPr>
        <w:t xml:space="preserve"> We also examine whether wireline and wireless telecommunications services should be combined into a single new category.</w:t>
      </w:r>
      <w:r w:rsidR="004777BD" w:rsidRPr="00C5052D">
        <w:rPr>
          <w:spacing w:val="-2"/>
          <w:szCs w:val="22"/>
        </w:rPr>
        <w:t xml:space="preserve">   </w:t>
      </w:r>
    </w:p>
    <w:p w:rsidR="007764D3" w:rsidRPr="00C5052D" w:rsidRDefault="00863A53" w:rsidP="007764D3">
      <w:pPr>
        <w:pStyle w:val="Heading2"/>
        <w:rPr>
          <w:spacing w:val="-2"/>
          <w:szCs w:val="22"/>
        </w:rPr>
      </w:pPr>
      <w:bookmarkStart w:id="20" w:name="_Toc351484745"/>
      <w:bookmarkStart w:id="21" w:name="_Toc351484791"/>
      <w:bookmarkStart w:id="22" w:name="_Toc351484933"/>
      <w:bookmarkStart w:id="23" w:name="_Toc351571048"/>
      <w:bookmarkStart w:id="24" w:name="_Toc353032042"/>
      <w:bookmarkStart w:id="25" w:name="_Toc351572413"/>
      <w:bookmarkStart w:id="26" w:name="_Toc352943175"/>
      <w:bookmarkStart w:id="27" w:name="_Toc352943624"/>
      <w:bookmarkStart w:id="28" w:name="_Toc353987719"/>
      <w:bookmarkStart w:id="29" w:name="_Toc353988040"/>
      <w:r w:rsidRPr="00C5052D">
        <w:rPr>
          <w:spacing w:val="-2"/>
          <w:szCs w:val="22"/>
        </w:rPr>
        <w:t>D</w:t>
      </w:r>
      <w:r w:rsidR="007764D3" w:rsidRPr="00C5052D">
        <w:rPr>
          <w:spacing w:val="-2"/>
          <w:szCs w:val="22"/>
        </w:rPr>
        <w:t>iscussion</w:t>
      </w:r>
      <w:bookmarkStart w:id="30" w:name="_Toc351484746"/>
      <w:bookmarkStart w:id="31" w:name="_Toc351484792"/>
      <w:bookmarkEnd w:id="20"/>
      <w:bookmarkEnd w:id="21"/>
      <w:bookmarkEnd w:id="22"/>
      <w:bookmarkEnd w:id="23"/>
      <w:bookmarkEnd w:id="24"/>
      <w:bookmarkEnd w:id="25"/>
      <w:bookmarkEnd w:id="26"/>
      <w:bookmarkEnd w:id="27"/>
      <w:bookmarkEnd w:id="28"/>
      <w:bookmarkEnd w:id="29"/>
    </w:p>
    <w:p w:rsidR="0093762B" w:rsidRPr="00C5052D" w:rsidRDefault="002339E8" w:rsidP="007764D3">
      <w:pPr>
        <w:pStyle w:val="Heading3"/>
        <w:rPr>
          <w:spacing w:val="-2"/>
          <w:szCs w:val="22"/>
        </w:rPr>
      </w:pPr>
      <w:bookmarkStart w:id="32" w:name="_Toc351484934"/>
      <w:bookmarkStart w:id="33" w:name="_Toc351571049"/>
      <w:bookmarkStart w:id="34" w:name="_Toc351572414"/>
      <w:bookmarkStart w:id="35" w:name="_Toc353032043"/>
      <w:bookmarkStart w:id="36" w:name="_Toc352943176"/>
      <w:bookmarkStart w:id="37" w:name="_Toc352943625"/>
      <w:bookmarkStart w:id="38" w:name="_Toc353987720"/>
      <w:bookmarkStart w:id="39" w:name="_Toc353988041"/>
      <w:r w:rsidRPr="00C5052D">
        <w:rPr>
          <w:spacing w:val="-2"/>
          <w:szCs w:val="22"/>
        </w:rPr>
        <w:t xml:space="preserve">Changes to the </w:t>
      </w:r>
      <w:r w:rsidR="0093762B" w:rsidRPr="00C5052D">
        <w:rPr>
          <w:spacing w:val="-2"/>
          <w:szCs w:val="22"/>
        </w:rPr>
        <w:t>Interstate Telecommunications Service Providers (ITSPs)</w:t>
      </w:r>
      <w:bookmarkEnd w:id="30"/>
      <w:bookmarkEnd w:id="31"/>
      <w:bookmarkEnd w:id="32"/>
      <w:bookmarkEnd w:id="33"/>
      <w:bookmarkEnd w:id="34"/>
      <w:r w:rsidRPr="00C5052D">
        <w:rPr>
          <w:spacing w:val="-2"/>
          <w:szCs w:val="22"/>
        </w:rPr>
        <w:t xml:space="preserve"> Fe</w:t>
      </w:r>
      <w:r w:rsidRPr="00441BD3">
        <w:rPr>
          <w:szCs w:val="22"/>
        </w:rPr>
        <w:t>e</w:t>
      </w:r>
      <w:r>
        <w:t xml:space="preserve"> </w:t>
      </w:r>
      <w:r w:rsidRPr="00C5052D">
        <w:rPr>
          <w:spacing w:val="-2"/>
          <w:szCs w:val="22"/>
        </w:rPr>
        <w:t>Category</w:t>
      </w:r>
      <w:bookmarkEnd w:id="35"/>
      <w:bookmarkEnd w:id="36"/>
      <w:bookmarkEnd w:id="37"/>
      <w:bookmarkEnd w:id="38"/>
      <w:bookmarkEnd w:id="39"/>
      <w:r w:rsidR="00D066AB" w:rsidRPr="00C5052D">
        <w:rPr>
          <w:spacing w:val="-2"/>
          <w:szCs w:val="22"/>
        </w:rPr>
        <w:t xml:space="preserve"> </w:t>
      </w:r>
    </w:p>
    <w:p w:rsidR="00F6184B" w:rsidRPr="00441BD3" w:rsidRDefault="0093762B" w:rsidP="00547927">
      <w:pPr>
        <w:pStyle w:val="ParaNum"/>
        <w:tabs>
          <w:tab w:val="num" w:pos="1350"/>
        </w:tabs>
        <w:ind w:left="-90"/>
        <w:rPr>
          <w:szCs w:val="22"/>
        </w:rPr>
      </w:pPr>
      <w:r w:rsidRPr="00C5052D">
        <w:rPr>
          <w:spacing w:val="-2"/>
          <w:szCs w:val="22"/>
        </w:rPr>
        <w:t xml:space="preserve">One of the primary issues discussed in the </w:t>
      </w:r>
      <w:r w:rsidRPr="00C5052D">
        <w:rPr>
          <w:i/>
          <w:spacing w:val="-2"/>
          <w:szCs w:val="22"/>
        </w:rPr>
        <w:t>FY 2012 NPRM</w:t>
      </w:r>
      <w:r w:rsidRPr="00C5052D">
        <w:rPr>
          <w:spacing w:val="-2"/>
          <w:szCs w:val="22"/>
        </w:rPr>
        <w:t xml:space="preserve"> is how to fairly allocate the FTEs for </w:t>
      </w:r>
      <w:r w:rsidR="008933BE" w:rsidRPr="00C5052D">
        <w:rPr>
          <w:spacing w:val="-2"/>
          <w:szCs w:val="22"/>
        </w:rPr>
        <w:t xml:space="preserve">ITSPs, </w:t>
      </w:r>
      <w:r w:rsidR="00880682" w:rsidRPr="00C5052D">
        <w:rPr>
          <w:spacing w:val="-2"/>
          <w:szCs w:val="22"/>
        </w:rPr>
        <w:t xml:space="preserve">which are </w:t>
      </w:r>
      <w:r w:rsidR="008933BE" w:rsidRPr="00C5052D">
        <w:rPr>
          <w:spacing w:val="-2"/>
          <w:szCs w:val="22"/>
        </w:rPr>
        <w:t xml:space="preserve">the </w:t>
      </w:r>
      <w:r w:rsidRPr="00C5052D">
        <w:rPr>
          <w:spacing w:val="-2"/>
          <w:szCs w:val="22"/>
        </w:rPr>
        <w:t>Wireline Competition Bureau fee payors.</w:t>
      </w:r>
      <w:r w:rsidRPr="00C5052D">
        <w:rPr>
          <w:rStyle w:val="FootnoteReference"/>
          <w:spacing w:val="-2"/>
          <w:szCs w:val="22"/>
        </w:rPr>
        <w:footnoteReference w:id="27"/>
      </w:r>
      <w:r w:rsidRPr="00C5052D">
        <w:rPr>
          <w:spacing w:val="-2"/>
          <w:szCs w:val="22"/>
        </w:rPr>
        <w:t xml:space="preserve">  ITSPs—interexchange carriers (IXCs), incumbent </w:t>
      </w:r>
      <w:r w:rsidR="001A1DC5" w:rsidRPr="00C5052D">
        <w:rPr>
          <w:spacing w:val="-2"/>
          <w:szCs w:val="22"/>
        </w:rPr>
        <w:t>local exchange carriers (LECs)</w:t>
      </w:r>
      <w:r w:rsidRPr="00C5052D">
        <w:rPr>
          <w:spacing w:val="-2"/>
          <w:szCs w:val="22"/>
        </w:rPr>
        <w:t>, toll resellers, and other IXC service providers—use end-user revenues to calculate regulatory fee assessments bas</w:t>
      </w:r>
      <w:r w:rsidRPr="00A1103B">
        <w:t>e</w:t>
      </w:r>
      <w:r w:rsidRPr="00C5052D">
        <w:rPr>
          <w:spacing w:val="-2"/>
          <w:szCs w:val="22"/>
        </w:rPr>
        <w:t xml:space="preserve">d </w:t>
      </w:r>
      <w:r w:rsidRPr="00441BD3">
        <w:rPr>
          <w:szCs w:val="22"/>
        </w:rPr>
        <w:t xml:space="preserve">on the reported revenue in the </w:t>
      </w:r>
      <w:r w:rsidR="002E6389" w:rsidRPr="00441BD3">
        <w:rPr>
          <w:szCs w:val="22"/>
        </w:rPr>
        <w:t xml:space="preserve">FCC </w:t>
      </w:r>
      <w:r w:rsidRPr="00441BD3">
        <w:rPr>
          <w:szCs w:val="22"/>
        </w:rPr>
        <w:t>Form 499-A, filed April 1 of each year with the prior year’s interstate and international revenue.</w:t>
      </w:r>
      <w:r w:rsidRPr="00441BD3">
        <w:rPr>
          <w:rStyle w:val="FootnoteReference"/>
          <w:szCs w:val="22"/>
        </w:rPr>
        <w:footnoteReference w:id="28"/>
      </w:r>
      <w:r w:rsidRPr="00441BD3">
        <w:rPr>
          <w:szCs w:val="22"/>
        </w:rPr>
        <w:t xml:space="preserve">  </w:t>
      </w:r>
      <w:r w:rsidR="00880682" w:rsidRPr="00441BD3">
        <w:rPr>
          <w:szCs w:val="22"/>
        </w:rPr>
        <w:t>As stated previously, i</w:t>
      </w:r>
      <w:r w:rsidR="008933BE" w:rsidRPr="00441BD3">
        <w:rPr>
          <w:spacing w:val="-2"/>
          <w:szCs w:val="22"/>
        </w:rPr>
        <w:t xml:space="preserve">n </w:t>
      </w:r>
      <w:r w:rsidR="006F0D93" w:rsidRPr="00441BD3">
        <w:rPr>
          <w:spacing w:val="-2"/>
          <w:szCs w:val="22"/>
        </w:rPr>
        <w:t xml:space="preserve">FY </w:t>
      </w:r>
      <w:r w:rsidR="008933BE" w:rsidRPr="00441BD3">
        <w:rPr>
          <w:spacing w:val="-2"/>
          <w:szCs w:val="22"/>
        </w:rPr>
        <w:t>2012, ITSP</w:t>
      </w:r>
      <w:r w:rsidR="006F0D93" w:rsidRPr="00441BD3">
        <w:rPr>
          <w:spacing w:val="-2"/>
          <w:szCs w:val="22"/>
        </w:rPr>
        <w:t xml:space="preserve">s paid </w:t>
      </w:r>
      <w:r w:rsidRPr="00441BD3">
        <w:rPr>
          <w:spacing w:val="-2"/>
          <w:szCs w:val="22"/>
        </w:rPr>
        <w:t>4</w:t>
      </w:r>
      <w:r w:rsidR="006F0D93" w:rsidRPr="00441BD3">
        <w:rPr>
          <w:spacing w:val="-2"/>
          <w:szCs w:val="22"/>
        </w:rPr>
        <w:t>7</w:t>
      </w:r>
      <w:r w:rsidRPr="00441BD3">
        <w:rPr>
          <w:spacing w:val="-2"/>
          <w:szCs w:val="22"/>
        </w:rPr>
        <w:t xml:space="preserve"> percent of the total regulatory fees</w:t>
      </w:r>
      <w:r w:rsidR="008933BE" w:rsidRPr="00441BD3">
        <w:rPr>
          <w:spacing w:val="-2"/>
          <w:szCs w:val="22"/>
        </w:rPr>
        <w:t xml:space="preserve"> collection,</w:t>
      </w:r>
      <w:r w:rsidRPr="00441BD3">
        <w:rPr>
          <w:spacing w:val="-2"/>
          <w:szCs w:val="22"/>
        </w:rPr>
        <w:t xml:space="preserve"> </w:t>
      </w:r>
      <w:r w:rsidR="001A1DC5" w:rsidRPr="00441BD3">
        <w:rPr>
          <w:spacing w:val="-2"/>
          <w:szCs w:val="22"/>
        </w:rPr>
        <w:t xml:space="preserve">even though </w:t>
      </w:r>
      <w:r w:rsidRPr="00441BD3">
        <w:rPr>
          <w:spacing w:val="-2"/>
          <w:szCs w:val="22"/>
        </w:rPr>
        <w:t xml:space="preserve">the </w:t>
      </w:r>
      <w:r w:rsidR="00B161F6">
        <w:rPr>
          <w:spacing w:val="-2"/>
          <w:szCs w:val="22"/>
        </w:rPr>
        <w:t>Wireline Competition B</w:t>
      </w:r>
      <w:r w:rsidRPr="00441BD3">
        <w:rPr>
          <w:spacing w:val="-2"/>
          <w:szCs w:val="22"/>
        </w:rPr>
        <w:t xml:space="preserve">ureau </w:t>
      </w:r>
      <w:r w:rsidR="008933BE" w:rsidRPr="00441BD3">
        <w:rPr>
          <w:spacing w:val="-2"/>
          <w:szCs w:val="22"/>
        </w:rPr>
        <w:t>employe</w:t>
      </w:r>
      <w:r w:rsidR="006F0D93" w:rsidRPr="00441BD3">
        <w:rPr>
          <w:spacing w:val="-2"/>
          <w:szCs w:val="22"/>
        </w:rPr>
        <w:t>e</w:t>
      </w:r>
      <w:r w:rsidR="008933BE" w:rsidRPr="00441BD3">
        <w:rPr>
          <w:spacing w:val="-2"/>
          <w:szCs w:val="22"/>
        </w:rPr>
        <w:t>s</w:t>
      </w:r>
      <w:r w:rsidRPr="00441BD3">
        <w:rPr>
          <w:spacing w:val="-2"/>
          <w:szCs w:val="22"/>
        </w:rPr>
        <w:t xml:space="preserve"> </w:t>
      </w:r>
      <w:r w:rsidR="006F0D93" w:rsidRPr="00441BD3">
        <w:rPr>
          <w:spacing w:val="-2"/>
          <w:szCs w:val="22"/>
        </w:rPr>
        <w:t xml:space="preserve">comprised </w:t>
      </w:r>
      <w:r w:rsidRPr="00441BD3">
        <w:rPr>
          <w:spacing w:val="-2"/>
          <w:szCs w:val="22"/>
        </w:rPr>
        <w:t>2</w:t>
      </w:r>
      <w:r w:rsidR="006F0D93" w:rsidRPr="00441BD3">
        <w:rPr>
          <w:spacing w:val="-2"/>
          <w:szCs w:val="22"/>
        </w:rPr>
        <w:t>9</w:t>
      </w:r>
      <w:r w:rsidRPr="00441BD3">
        <w:rPr>
          <w:spacing w:val="-2"/>
          <w:szCs w:val="22"/>
        </w:rPr>
        <w:t>.</w:t>
      </w:r>
      <w:r w:rsidR="006F0D93" w:rsidRPr="00441BD3">
        <w:rPr>
          <w:spacing w:val="-2"/>
          <w:szCs w:val="22"/>
        </w:rPr>
        <w:t>2</w:t>
      </w:r>
      <w:r w:rsidRPr="00441BD3">
        <w:rPr>
          <w:spacing w:val="-2"/>
          <w:szCs w:val="22"/>
        </w:rPr>
        <w:t xml:space="preserve"> percent of the </w:t>
      </w:r>
      <w:r w:rsidR="008933BE" w:rsidRPr="00441BD3">
        <w:rPr>
          <w:spacing w:val="-2"/>
          <w:szCs w:val="22"/>
        </w:rPr>
        <w:t xml:space="preserve">Commission’s </w:t>
      </w:r>
      <w:r w:rsidRPr="00441BD3">
        <w:rPr>
          <w:spacing w:val="-2"/>
          <w:szCs w:val="22"/>
        </w:rPr>
        <w:t>direct FTEs.  In addition,</w:t>
      </w:r>
      <w:r w:rsidR="008933BE" w:rsidRPr="00441BD3">
        <w:rPr>
          <w:spacing w:val="-2"/>
          <w:szCs w:val="22"/>
        </w:rPr>
        <w:t xml:space="preserve"> since ITSPs pay regulatory fees based on revenues,</w:t>
      </w:r>
      <w:r w:rsidRPr="00AC02C7">
        <w:rPr>
          <w:spacing w:val="-2"/>
          <w:szCs w:val="22"/>
        </w:rPr>
        <w:t xml:space="preserve"> t</w:t>
      </w:r>
      <w:r w:rsidRPr="00AC02C7">
        <w:rPr>
          <w:szCs w:val="22"/>
        </w:rPr>
        <w:t>he</w:t>
      </w:r>
      <w:r w:rsidR="008933BE" w:rsidRPr="00AC02C7">
        <w:rPr>
          <w:szCs w:val="22"/>
        </w:rPr>
        <w:t xml:space="preserve"> regulatory fee assessment rates for</w:t>
      </w:r>
      <w:r w:rsidRPr="00AC02C7">
        <w:rPr>
          <w:szCs w:val="22"/>
        </w:rPr>
        <w:t xml:space="preserve"> ITSP</w:t>
      </w:r>
      <w:r w:rsidR="008933BE" w:rsidRPr="00AC02C7">
        <w:rPr>
          <w:szCs w:val="22"/>
        </w:rPr>
        <w:t>s generally have increased over time due to a declining</w:t>
      </w:r>
      <w:r w:rsidRPr="00AC02C7">
        <w:rPr>
          <w:szCs w:val="22"/>
        </w:rPr>
        <w:t xml:space="preserve"> revenue base</w:t>
      </w:r>
      <w:r w:rsidR="008933BE" w:rsidRPr="00AC02C7">
        <w:rPr>
          <w:szCs w:val="22"/>
        </w:rPr>
        <w:t xml:space="preserve"> in that industry segment.</w:t>
      </w:r>
      <w:r w:rsidR="008933BE" w:rsidRPr="00441BD3">
        <w:rPr>
          <w:rStyle w:val="FootnoteReference"/>
          <w:szCs w:val="22"/>
        </w:rPr>
        <w:footnoteReference w:id="29"/>
      </w:r>
      <w:r w:rsidRPr="00441BD3">
        <w:rPr>
          <w:szCs w:val="22"/>
        </w:rPr>
        <w:t xml:space="preserve">  </w:t>
      </w:r>
      <w:r w:rsidR="00535A9C" w:rsidRPr="0047253D">
        <w:rPr>
          <w:szCs w:val="22"/>
        </w:rPr>
        <w:t>At the same time, wireless revenues have increased significantly, in part due to substitution</w:t>
      </w:r>
      <w:r w:rsidR="00535A9C" w:rsidRPr="0047253D">
        <w:t xml:space="preserve"> </w:t>
      </w:r>
      <w:r w:rsidR="00535A9C" w:rsidRPr="0047253D">
        <w:rPr>
          <w:szCs w:val="22"/>
        </w:rPr>
        <w:t>of</w:t>
      </w:r>
      <w:r w:rsidR="00535A9C" w:rsidRPr="0047253D">
        <w:t xml:space="preserve"> </w:t>
      </w:r>
      <w:r w:rsidR="00535A9C" w:rsidRPr="0047253D">
        <w:rPr>
          <w:szCs w:val="22"/>
        </w:rPr>
        <w:t>wireless services for wireline services</w:t>
      </w:r>
      <w:r w:rsidR="000B15F0">
        <w:rPr>
          <w:szCs w:val="22"/>
        </w:rPr>
        <w:t>.</w:t>
      </w:r>
      <w:r w:rsidR="00535A9C" w:rsidRPr="0047253D">
        <w:rPr>
          <w:szCs w:val="22"/>
        </w:rPr>
        <w:t xml:space="preserve">  Nevertheless, as wireless revenues have increased, the proportion of all regulatory fees paid by wireless providers has not significantly increased. </w:t>
      </w:r>
      <w:r w:rsidR="005F15FE" w:rsidRPr="00441BD3">
        <w:rPr>
          <w:szCs w:val="22"/>
        </w:rPr>
        <w:t xml:space="preserve"> </w:t>
      </w:r>
      <w:r w:rsidR="002339E8" w:rsidRPr="00441BD3">
        <w:rPr>
          <w:szCs w:val="22"/>
        </w:rPr>
        <w:t xml:space="preserve">Thus, our regulatory fee methodology has not kept pace with the changes in both the communications industry and within the Commission.  </w:t>
      </w:r>
      <w:r w:rsidR="00477D82" w:rsidRPr="00441BD3">
        <w:rPr>
          <w:szCs w:val="22"/>
        </w:rPr>
        <w:t xml:space="preserve">We seek comment on reallocating the direct FTEs for ITSP for FY 2013, </w:t>
      </w:r>
      <w:r w:rsidR="00F6184B" w:rsidRPr="00C5052D">
        <w:rPr>
          <w:szCs w:val="22"/>
        </w:rPr>
        <w:t>based on current FTEs in the core bureaus,</w:t>
      </w:r>
      <w:r w:rsidR="00477D82" w:rsidRPr="00441BD3">
        <w:rPr>
          <w:szCs w:val="22"/>
        </w:rPr>
        <w:t xml:space="preserve"> </w:t>
      </w:r>
      <w:r w:rsidR="0035164D" w:rsidRPr="00441BD3">
        <w:rPr>
          <w:szCs w:val="22"/>
        </w:rPr>
        <w:t>which</w:t>
      </w:r>
      <w:r w:rsidR="00477D82" w:rsidRPr="00441BD3">
        <w:rPr>
          <w:szCs w:val="22"/>
        </w:rPr>
        <w:t xml:space="preserve"> w</w:t>
      </w:r>
      <w:r w:rsidR="00F6184B" w:rsidRPr="00C5052D">
        <w:rPr>
          <w:szCs w:val="22"/>
        </w:rPr>
        <w:t>ould significantly decrease the regulatory fee allocation for ITSPs.  We propose this reallocation in conjunction</w:t>
      </w:r>
      <w:r w:rsidR="003860A8" w:rsidRPr="00441BD3">
        <w:rPr>
          <w:szCs w:val="22"/>
        </w:rPr>
        <w:t xml:space="preserve"> with </w:t>
      </w:r>
      <w:r w:rsidR="00477D82" w:rsidRPr="00441BD3">
        <w:rPr>
          <w:szCs w:val="22"/>
        </w:rPr>
        <w:t>a reallocation of International Bureau FTEs</w:t>
      </w:r>
      <w:r w:rsidR="001A1DC5" w:rsidRPr="00441BD3">
        <w:rPr>
          <w:szCs w:val="22"/>
        </w:rPr>
        <w:t>, as explained in more detail below</w:t>
      </w:r>
      <w:r w:rsidR="00477D82" w:rsidRPr="00441BD3">
        <w:rPr>
          <w:szCs w:val="22"/>
        </w:rPr>
        <w:t>.  We also seek comment on revising our methodology to account for changes in the wireless and wireline industries by making additional changes to the ITSP fee category for FY</w:t>
      </w:r>
      <w:r w:rsidR="009975E1" w:rsidRPr="00441BD3">
        <w:rPr>
          <w:szCs w:val="22"/>
        </w:rPr>
        <w:t xml:space="preserve"> 2014</w:t>
      </w:r>
      <w:r w:rsidR="00C01861" w:rsidRPr="00441BD3">
        <w:rPr>
          <w:szCs w:val="22"/>
        </w:rPr>
        <w:t>, such as combining wireless and wireline into a new ITSP category, as discussed below</w:t>
      </w:r>
      <w:r w:rsidR="008E6600" w:rsidRPr="00441BD3">
        <w:rPr>
          <w:szCs w:val="22"/>
        </w:rPr>
        <w:t>.</w:t>
      </w:r>
    </w:p>
    <w:p w:rsidR="00F6184B" w:rsidRDefault="0093762B" w:rsidP="00547927">
      <w:pPr>
        <w:pStyle w:val="ParaNum"/>
        <w:tabs>
          <w:tab w:val="num" w:pos="1350"/>
        </w:tabs>
        <w:ind w:left="-90"/>
        <w:rPr>
          <w:szCs w:val="22"/>
        </w:rPr>
      </w:pPr>
      <w:r w:rsidRPr="00441BD3">
        <w:rPr>
          <w:szCs w:val="22"/>
        </w:rPr>
        <w:t xml:space="preserve">Currently wireless and wireline telecommunications services are in separate </w:t>
      </w:r>
      <w:r w:rsidR="00524D9A" w:rsidRPr="00441BD3">
        <w:rPr>
          <w:szCs w:val="22"/>
        </w:rPr>
        <w:t xml:space="preserve">regulatory fee </w:t>
      </w:r>
      <w:r w:rsidRPr="00441BD3">
        <w:rPr>
          <w:szCs w:val="22"/>
        </w:rPr>
        <w:t>categories</w:t>
      </w:r>
      <w:r w:rsidR="00D542BE" w:rsidRPr="00441BD3">
        <w:rPr>
          <w:szCs w:val="22"/>
        </w:rPr>
        <w:t xml:space="preserve">.  </w:t>
      </w:r>
      <w:r w:rsidRPr="00441BD3">
        <w:rPr>
          <w:szCs w:val="22"/>
        </w:rPr>
        <w:t xml:space="preserve">The Independent Telephone and Telecommunications Alliance (ITTA) proposes that the Commission assess all voice service providers on the basis </w:t>
      </w:r>
      <w:r w:rsidRPr="00524431">
        <w:rPr>
          <w:szCs w:val="22"/>
        </w:rPr>
        <w:t>of revenues to ensure that like services are treated in a similar manner.</w:t>
      </w:r>
      <w:r w:rsidRPr="00A1103B">
        <w:rPr>
          <w:rStyle w:val="FootnoteReference"/>
          <w:szCs w:val="22"/>
        </w:rPr>
        <w:footnoteReference w:id="30"/>
      </w:r>
      <w:r w:rsidRPr="009D0104">
        <w:rPr>
          <w:szCs w:val="22"/>
        </w:rPr>
        <w:t xml:space="preserve">  We agree </w:t>
      </w:r>
      <w:r w:rsidR="004D4EC1">
        <w:rPr>
          <w:szCs w:val="22"/>
        </w:rPr>
        <w:t xml:space="preserve">with ITTA </w:t>
      </w:r>
      <w:r w:rsidRPr="009D0104">
        <w:rPr>
          <w:szCs w:val="22"/>
        </w:rPr>
        <w:t xml:space="preserve">that </w:t>
      </w:r>
      <w:r w:rsidR="004F28CB" w:rsidRPr="009D0104">
        <w:rPr>
          <w:szCs w:val="22"/>
        </w:rPr>
        <w:t>wirel</w:t>
      </w:r>
      <w:r w:rsidR="004F28CB" w:rsidRPr="00021046">
        <w:rPr>
          <w:szCs w:val="22"/>
        </w:rPr>
        <w:t>ess</w:t>
      </w:r>
      <w:r w:rsidR="004F28CB" w:rsidRPr="005D7588">
        <w:rPr>
          <w:szCs w:val="22"/>
        </w:rPr>
        <w:t xml:space="preserve"> </w:t>
      </w:r>
      <w:r w:rsidRPr="005D7588">
        <w:rPr>
          <w:szCs w:val="22"/>
        </w:rPr>
        <w:t xml:space="preserve">services are comparable to </w:t>
      </w:r>
      <w:r w:rsidR="004F28CB" w:rsidRPr="00524431">
        <w:rPr>
          <w:szCs w:val="22"/>
        </w:rPr>
        <w:t xml:space="preserve">wireline </w:t>
      </w:r>
      <w:r w:rsidRPr="00524431">
        <w:rPr>
          <w:szCs w:val="22"/>
        </w:rPr>
        <w:t>services in many ways and therefore both encompass similar regulatory policies and programs, such as universal service and number portability.</w:t>
      </w:r>
      <w:r w:rsidRPr="00A1103B">
        <w:rPr>
          <w:rStyle w:val="FootnoteReference"/>
          <w:szCs w:val="22"/>
        </w:rPr>
        <w:footnoteReference w:id="31"/>
      </w:r>
      <w:r w:rsidRPr="009D0104">
        <w:rPr>
          <w:szCs w:val="22"/>
        </w:rPr>
        <w:t xml:space="preserve">  </w:t>
      </w:r>
      <w:r w:rsidR="004D4EC1" w:rsidRPr="00FF6BDF">
        <w:rPr>
          <w:szCs w:val="22"/>
        </w:rPr>
        <w:t xml:space="preserve">As wireless services </w:t>
      </w:r>
      <w:r w:rsidR="004D4EC1">
        <w:rPr>
          <w:szCs w:val="22"/>
        </w:rPr>
        <w:t>are</w:t>
      </w:r>
      <w:r w:rsidR="004D4EC1" w:rsidRPr="00FF6BDF">
        <w:rPr>
          <w:szCs w:val="22"/>
        </w:rPr>
        <w:t xml:space="preserve"> increasingly displac</w:t>
      </w:r>
      <w:r w:rsidR="004D4EC1">
        <w:rPr>
          <w:szCs w:val="22"/>
        </w:rPr>
        <w:t>ing</w:t>
      </w:r>
      <w:r w:rsidR="004D4EC1" w:rsidRPr="00FF6BDF">
        <w:rPr>
          <w:szCs w:val="22"/>
        </w:rPr>
        <w:t xml:space="preserve"> wireline services, we seek comment on whether </w:t>
      </w:r>
      <w:r w:rsidR="004D4EC1">
        <w:rPr>
          <w:szCs w:val="22"/>
        </w:rPr>
        <w:t>it would be fair</w:t>
      </w:r>
      <w:r w:rsidR="00B13597">
        <w:rPr>
          <w:szCs w:val="22"/>
        </w:rPr>
        <w:t xml:space="preserve"> </w:t>
      </w:r>
      <w:r w:rsidR="001F60FD">
        <w:rPr>
          <w:szCs w:val="22"/>
        </w:rPr>
        <w:t xml:space="preserve">to </w:t>
      </w:r>
      <w:r w:rsidR="00B13597" w:rsidRPr="00FF6BDF">
        <w:rPr>
          <w:szCs w:val="22"/>
        </w:rPr>
        <w:t>combin</w:t>
      </w:r>
      <w:r w:rsidR="00B13597">
        <w:rPr>
          <w:szCs w:val="22"/>
        </w:rPr>
        <w:t>e</w:t>
      </w:r>
      <w:r w:rsidR="00B13597" w:rsidRPr="00FF6BDF">
        <w:rPr>
          <w:szCs w:val="22"/>
        </w:rPr>
        <w:t xml:space="preserve"> both services into one category</w:t>
      </w:r>
      <w:r w:rsidR="00B13597">
        <w:rPr>
          <w:szCs w:val="22"/>
        </w:rPr>
        <w:t xml:space="preserve"> by including </w:t>
      </w:r>
      <w:r w:rsidR="004D4EC1" w:rsidRPr="00FF6BDF">
        <w:rPr>
          <w:szCs w:val="22"/>
        </w:rPr>
        <w:t>all wireless and wireline FTEs in the same allocation to arrive at one uniform regulatory fee rate for ITSP and wireless providers</w:t>
      </w:r>
      <w:r w:rsidR="00705095">
        <w:rPr>
          <w:szCs w:val="22"/>
        </w:rPr>
        <w:t>, assessed based on revenues.</w:t>
      </w:r>
      <w:r w:rsidR="004D4EC1" w:rsidRPr="00FF6BDF">
        <w:rPr>
          <w:szCs w:val="22"/>
        </w:rPr>
        <w:t xml:space="preserve"> </w:t>
      </w:r>
      <w:r w:rsidR="001F60FD">
        <w:rPr>
          <w:szCs w:val="22"/>
        </w:rPr>
        <w:t xml:space="preserve"> </w:t>
      </w:r>
    </w:p>
    <w:p w:rsidR="00F6184B" w:rsidRDefault="003F09CE" w:rsidP="00547927">
      <w:pPr>
        <w:pStyle w:val="ParaNum"/>
        <w:tabs>
          <w:tab w:val="num" w:pos="1350"/>
        </w:tabs>
        <w:ind w:left="-90"/>
        <w:rPr>
          <w:szCs w:val="22"/>
        </w:rPr>
      </w:pPr>
      <w:r w:rsidRPr="00A1103B">
        <w:t>Under section 9 of the Communications Act, the Commission must make certain changes to the regulatory fee schedule if it “determines that the Schedule requires amendment to comply with the requirements” of section 9(b)(1)(A).</w:t>
      </w:r>
      <w:r w:rsidRPr="00A1103B">
        <w:rPr>
          <w:rStyle w:val="FootnoteReference"/>
          <w:szCs w:val="22"/>
        </w:rPr>
        <w:footnoteReference w:id="32"/>
      </w:r>
      <w:r w:rsidRPr="00A1103B">
        <w:t xml:space="preserve">  The Commission must add, delete, or reclassify services in the fee schedule to reflect additions, deletions, or changes in the nature of its services “as a consequence of Commission rulemaking proceedings or changes in law.”</w:t>
      </w:r>
      <w:r w:rsidRPr="00A1103B">
        <w:rPr>
          <w:rStyle w:val="FootnoteReference"/>
          <w:szCs w:val="22"/>
        </w:rPr>
        <w:footnoteReference w:id="33"/>
      </w:r>
      <w:r w:rsidRPr="00A1103B">
        <w:t xml:space="preserve">  These “permitted amendments” require Congressional notification</w:t>
      </w:r>
      <w:r w:rsidRPr="00A1103B">
        <w:rPr>
          <w:rStyle w:val="FootnoteReference"/>
          <w:szCs w:val="22"/>
        </w:rPr>
        <w:footnoteReference w:id="34"/>
      </w:r>
      <w:r w:rsidRPr="00A1103B">
        <w:t xml:space="preserve"> and resulting changes in fees are not subject to judicial review.</w:t>
      </w:r>
      <w:r w:rsidRPr="00A1103B">
        <w:rPr>
          <w:rStyle w:val="FootnoteReference"/>
          <w:szCs w:val="22"/>
        </w:rPr>
        <w:footnoteReference w:id="35"/>
      </w:r>
      <w:r w:rsidRPr="00A1103B">
        <w:t xml:space="preserve">  </w:t>
      </w:r>
      <w:r>
        <w:t>Combining wireless and wireline FTEs in the same allocation, for a new ITSP category, would be such a “permitted amendment” requiring Congressional notification</w:t>
      </w:r>
      <w:r w:rsidR="00524D9A">
        <w:t>.  Therefore,</w:t>
      </w:r>
      <w:r>
        <w:t xml:space="preserve"> if adopted, this allocation change would not </w:t>
      </w:r>
      <w:r w:rsidR="00524D9A">
        <w:t>take</w:t>
      </w:r>
      <w:r>
        <w:t xml:space="preserve"> effect until FY 2014.</w:t>
      </w:r>
    </w:p>
    <w:p w:rsidR="00F6184B" w:rsidRPr="00B70DA4" w:rsidRDefault="00C703FF" w:rsidP="00B70DA4">
      <w:pPr>
        <w:pStyle w:val="ParaNum"/>
        <w:tabs>
          <w:tab w:val="num" w:pos="1350"/>
        </w:tabs>
        <w:ind w:left="-90"/>
        <w:rPr>
          <w:szCs w:val="22"/>
        </w:rPr>
      </w:pPr>
      <w:r>
        <w:rPr>
          <w:szCs w:val="22"/>
        </w:rPr>
        <w:t xml:space="preserve"> </w:t>
      </w:r>
      <w:r w:rsidR="00524D9A">
        <w:rPr>
          <w:szCs w:val="22"/>
        </w:rPr>
        <w:t>We recognize, however, that</w:t>
      </w:r>
      <w:r w:rsidR="0093762B" w:rsidRPr="00A1103B">
        <w:rPr>
          <w:szCs w:val="22"/>
        </w:rPr>
        <w:t xml:space="preserve"> </w:t>
      </w:r>
      <w:r w:rsidR="00524D9A">
        <w:rPr>
          <w:szCs w:val="22"/>
        </w:rPr>
        <w:t>c</w:t>
      </w:r>
      <w:r w:rsidR="00E3150D">
        <w:rPr>
          <w:szCs w:val="22"/>
        </w:rPr>
        <w:t xml:space="preserve">arriers whose </w:t>
      </w:r>
      <w:r w:rsidR="0093762B" w:rsidRPr="00A1103B">
        <w:rPr>
          <w:szCs w:val="22"/>
        </w:rPr>
        <w:t xml:space="preserve">regulatory fees are calculated on </w:t>
      </w:r>
      <w:r w:rsidR="0003175B">
        <w:rPr>
          <w:szCs w:val="22"/>
        </w:rPr>
        <w:t xml:space="preserve">the basis of </w:t>
      </w:r>
      <w:r w:rsidR="0093762B" w:rsidRPr="00A1103B">
        <w:rPr>
          <w:szCs w:val="22"/>
        </w:rPr>
        <w:t xml:space="preserve">revenues, instead of subscribers, may have an incentive to </w:t>
      </w:r>
      <w:r w:rsidR="00E3150D">
        <w:rPr>
          <w:szCs w:val="22"/>
        </w:rPr>
        <w:t>allocate more of their revenues to data service</w:t>
      </w:r>
      <w:r w:rsidR="0096145B">
        <w:rPr>
          <w:szCs w:val="22"/>
        </w:rPr>
        <w:t>s</w:t>
      </w:r>
      <w:r w:rsidR="00E3150D">
        <w:rPr>
          <w:szCs w:val="22"/>
        </w:rPr>
        <w:t xml:space="preserve"> </w:t>
      </w:r>
      <w:r w:rsidR="0093762B" w:rsidRPr="00A1103B">
        <w:rPr>
          <w:szCs w:val="22"/>
        </w:rPr>
        <w:t>in order to reduce their regulatory fees.</w:t>
      </w:r>
      <w:r w:rsidR="0093762B" w:rsidRPr="00A1103B">
        <w:rPr>
          <w:rStyle w:val="FootnoteReference"/>
          <w:szCs w:val="22"/>
        </w:rPr>
        <w:footnoteReference w:id="36"/>
      </w:r>
      <w:r w:rsidR="0093762B" w:rsidRPr="00A1103B">
        <w:rPr>
          <w:szCs w:val="22"/>
        </w:rPr>
        <w:t xml:space="preserve">  </w:t>
      </w:r>
      <w:r w:rsidR="00524D9A">
        <w:rPr>
          <w:szCs w:val="22"/>
        </w:rPr>
        <w:t>Therefore, w</w:t>
      </w:r>
      <w:r w:rsidR="00524D9A" w:rsidRPr="00A1103B">
        <w:rPr>
          <w:szCs w:val="22"/>
        </w:rPr>
        <w:t xml:space="preserve">e invite commenters to also discuss whether </w:t>
      </w:r>
      <w:r w:rsidR="00524D9A">
        <w:rPr>
          <w:szCs w:val="22"/>
        </w:rPr>
        <w:t xml:space="preserve">there are alternate ways to </w:t>
      </w:r>
      <w:r w:rsidR="00524D9A" w:rsidRPr="00A1103B">
        <w:rPr>
          <w:szCs w:val="22"/>
        </w:rPr>
        <w:t xml:space="preserve">assess regulatory fees for wireless and wireline telecommunications services </w:t>
      </w:r>
      <w:r w:rsidR="00524D9A">
        <w:rPr>
          <w:szCs w:val="22"/>
        </w:rPr>
        <w:t>to achieve fair, sustainable, and predictable results</w:t>
      </w:r>
      <w:r w:rsidR="001A1DC5">
        <w:rPr>
          <w:szCs w:val="22"/>
        </w:rPr>
        <w:t xml:space="preserve">, such as moving both industry groups to another common objective measure as the basis for calculating regulatory fees, and what such common measure </w:t>
      </w:r>
      <w:r w:rsidR="00705095">
        <w:rPr>
          <w:szCs w:val="22"/>
        </w:rPr>
        <w:t>should</w:t>
      </w:r>
      <w:r w:rsidR="001A1DC5">
        <w:rPr>
          <w:szCs w:val="22"/>
        </w:rPr>
        <w:t xml:space="preserve"> be.</w:t>
      </w:r>
      <w:r w:rsidR="00E3150D" w:rsidRPr="00B70DA4">
        <w:rPr>
          <w:szCs w:val="22"/>
        </w:rPr>
        <w:t xml:space="preserve"> </w:t>
      </w:r>
      <w:r w:rsidR="0093762B" w:rsidRPr="00B70DA4">
        <w:rPr>
          <w:szCs w:val="22"/>
        </w:rPr>
        <w:t xml:space="preserve"> </w:t>
      </w:r>
    </w:p>
    <w:p w:rsidR="00EE6CEB" w:rsidRPr="00EE6CEB" w:rsidRDefault="00C7307E" w:rsidP="00EE6CEB">
      <w:pPr>
        <w:pStyle w:val="Heading3"/>
        <w:rPr>
          <w:szCs w:val="22"/>
        </w:rPr>
      </w:pPr>
      <w:bookmarkStart w:id="40" w:name="_Toc351484748"/>
      <w:bookmarkStart w:id="41" w:name="_Toc351484794"/>
      <w:bookmarkStart w:id="42" w:name="_Toc351484936"/>
      <w:bookmarkStart w:id="43" w:name="_Toc351571050"/>
      <w:bookmarkStart w:id="44" w:name="_Toc353032044"/>
      <w:bookmarkStart w:id="45" w:name="_Toc351572415"/>
      <w:bookmarkStart w:id="46" w:name="_Toc352943177"/>
      <w:bookmarkStart w:id="47" w:name="_Toc352943626"/>
      <w:bookmarkStart w:id="48" w:name="_Toc353987721"/>
      <w:bookmarkStart w:id="49" w:name="_Toc353988042"/>
      <w:r w:rsidRPr="00A1103B">
        <w:rPr>
          <w:szCs w:val="22"/>
        </w:rPr>
        <w:t xml:space="preserve">Reallocation of </w:t>
      </w:r>
      <w:bookmarkEnd w:id="40"/>
      <w:bookmarkEnd w:id="41"/>
      <w:bookmarkEnd w:id="42"/>
      <w:bookmarkEnd w:id="43"/>
      <w:bookmarkEnd w:id="44"/>
      <w:bookmarkEnd w:id="45"/>
      <w:bookmarkEnd w:id="46"/>
      <w:bookmarkEnd w:id="47"/>
      <w:r w:rsidR="00160E5B">
        <w:rPr>
          <w:szCs w:val="22"/>
        </w:rPr>
        <w:t>FTEs</w:t>
      </w:r>
      <w:bookmarkEnd w:id="48"/>
      <w:bookmarkEnd w:id="49"/>
    </w:p>
    <w:p w:rsidR="00F6184B" w:rsidRDefault="003E4462" w:rsidP="00547927">
      <w:pPr>
        <w:pStyle w:val="ParaNum"/>
        <w:tabs>
          <w:tab w:val="num" w:pos="1350"/>
        </w:tabs>
        <w:ind w:left="-90"/>
        <w:rPr>
          <w:szCs w:val="22"/>
        </w:rPr>
      </w:pPr>
      <w:r>
        <w:rPr>
          <w:szCs w:val="22"/>
        </w:rPr>
        <w:t xml:space="preserve">The GAO Report </w:t>
      </w:r>
      <w:r w:rsidR="006D1967">
        <w:rPr>
          <w:szCs w:val="22"/>
        </w:rPr>
        <w:t xml:space="preserve">recommended that the Commission </w:t>
      </w:r>
      <w:r w:rsidR="00135F32">
        <w:rPr>
          <w:szCs w:val="22"/>
        </w:rPr>
        <w:t>reexamine th</w:t>
      </w:r>
      <w:r w:rsidR="006D1967">
        <w:rPr>
          <w:szCs w:val="22"/>
        </w:rPr>
        <w:t>e activities performed by FTEs in the various bureaus.</w:t>
      </w:r>
      <w:r w:rsidR="006D1967">
        <w:rPr>
          <w:rStyle w:val="FootnoteReference"/>
          <w:szCs w:val="22"/>
        </w:rPr>
        <w:footnoteReference w:id="37"/>
      </w:r>
      <w:r w:rsidR="006D1967">
        <w:rPr>
          <w:szCs w:val="22"/>
        </w:rPr>
        <w:t xml:space="preserve">  This Notice of Proposed Rulemaking </w:t>
      </w:r>
      <w:r w:rsidR="00705095">
        <w:rPr>
          <w:szCs w:val="22"/>
        </w:rPr>
        <w:t xml:space="preserve">is </w:t>
      </w:r>
      <w:r w:rsidR="00135F32">
        <w:rPr>
          <w:szCs w:val="22"/>
        </w:rPr>
        <w:t>respon</w:t>
      </w:r>
      <w:r w:rsidR="00705095">
        <w:rPr>
          <w:szCs w:val="22"/>
        </w:rPr>
        <w:t>sive</w:t>
      </w:r>
      <w:r w:rsidR="00135F32">
        <w:rPr>
          <w:szCs w:val="22"/>
        </w:rPr>
        <w:t xml:space="preserve"> to </w:t>
      </w:r>
      <w:r w:rsidR="006D1967">
        <w:rPr>
          <w:szCs w:val="22"/>
        </w:rPr>
        <w:t xml:space="preserve">the GAO’s recommendation.  </w:t>
      </w:r>
      <w:r w:rsidR="005723A5">
        <w:rPr>
          <w:szCs w:val="22"/>
        </w:rPr>
        <w:t xml:space="preserve">Adjusting </w:t>
      </w:r>
      <w:r w:rsidR="00756BD2">
        <w:t xml:space="preserve">the allocation fee category percentages and rates </w:t>
      </w:r>
      <w:r w:rsidR="00135F32">
        <w:t xml:space="preserve">to reflect </w:t>
      </w:r>
      <w:r w:rsidR="005723A5">
        <w:t xml:space="preserve">current FTEs, without further </w:t>
      </w:r>
      <w:r w:rsidR="00135F32">
        <w:t xml:space="preserve">examining precisely what regulatory functions these FTEs are performing </w:t>
      </w:r>
      <w:r w:rsidR="00756BD2">
        <w:t xml:space="preserve">would </w:t>
      </w:r>
      <w:r w:rsidR="00135F32">
        <w:t xml:space="preserve">result in an incomplete reexamination </w:t>
      </w:r>
      <w:r w:rsidR="00756BD2">
        <w:t xml:space="preserve">of the issues involved in </w:t>
      </w:r>
      <w:r w:rsidR="00135F32">
        <w:t xml:space="preserve">updating our FTE </w:t>
      </w:r>
      <w:r w:rsidR="00756BD2">
        <w:t>allocation</w:t>
      </w:r>
      <w:r w:rsidR="00135F32">
        <w:t>s</w:t>
      </w:r>
      <w:r w:rsidR="00756BD2">
        <w:t>.</w:t>
      </w:r>
      <w:r w:rsidR="00135F32">
        <w:t xml:space="preserve">  Moreover, using updated FTE calculations without other significant changes in our methodology would subject some classes of regulatees to significant fee increases.  </w:t>
      </w:r>
      <w:r w:rsidR="00756BD2">
        <w:t xml:space="preserve">  </w:t>
      </w:r>
      <w:r w:rsidR="009168A8">
        <w:rPr>
          <w:szCs w:val="22"/>
        </w:rPr>
        <w:t xml:space="preserve">  </w:t>
      </w:r>
    </w:p>
    <w:p w:rsidR="00817464" w:rsidRPr="00191C64" w:rsidRDefault="002339E8" w:rsidP="00191C64">
      <w:pPr>
        <w:pStyle w:val="ParaNum"/>
        <w:widowControl/>
        <w:tabs>
          <w:tab w:val="num" w:pos="1350"/>
        </w:tabs>
        <w:ind w:left="-90"/>
        <w:rPr>
          <w:szCs w:val="22"/>
        </w:rPr>
      </w:pPr>
      <w:r w:rsidRPr="00191C64">
        <w:rPr>
          <w:szCs w:val="22"/>
        </w:rPr>
        <w:t xml:space="preserve">While we are required </w:t>
      </w:r>
      <w:r w:rsidR="00454342" w:rsidRPr="00191C64">
        <w:rPr>
          <w:szCs w:val="22"/>
        </w:rPr>
        <w:t>by</w:t>
      </w:r>
      <w:r w:rsidRPr="00191C64">
        <w:rPr>
          <w:szCs w:val="22"/>
        </w:rPr>
        <w:t xml:space="preserve"> section 9 of the Act to calculate regulatory fees</w:t>
      </w:r>
      <w:r w:rsidR="00623D7C" w:rsidRPr="00191C64">
        <w:rPr>
          <w:szCs w:val="22"/>
        </w:rPr>
        <w:t xml:space="preserve"> based on an allocation of FTEs</w:t>
      </w:r>
      <w:r w:rsidRPr="00191C64">
        <w:rPr>
          <w:szCs w:val="22"/>
        </w:rPr>
        <w:t xml:space="preserve">, we are not required to use the same methodology </w:t>
      </w:r>
      <w:r w:rsidR="00454342" w:rsidRPr="00191C64">
        <w:rPr>
          <w:szCs w:val="22"/>
        </w:rPr>
        <w:t xml:space="preserve">year after year.  We </w:t>
      </w:r>
      <w:r w:rsidR="00BD5F33" w:rsidRPr="00191C64">
        <w:rPr>
          <w:szCs w:val="22"/>
        </w:rPr>
        <w:t xml:space="preserve">tentatively conclude that </w:t>
      </w:r>
      <w:r w:rsidR="00C7307E" w:rsidRPr="00191C64">
        <w:rPr>
          <w:szCs w:val="22"/>
        </w:rPr>
        <w:t>our methodology</w:t>
      </w:r>
      <w:r w:rsidR="00454342" w:rsidRPr="00191C64">
        <w:rPr>
          <w:szCs w:val="22"/>
        </w:rPr>
        <w:t xml:space="preserve"> of</w:t>
      </w:r>
      <w:r w:rsidR="00C7307E" w:rsidRPr="00191C64">
        <w:rPr>
          <w:szCs w:val="22"/>
        </w:rPr>
        <w:t xml:space="preserve"> using the direct and indirect FTEs based on </w:t>
      </w:r>
      <w:r w:rsidR="00776C17" w:rsidRPr="00191C64">
        <w:rPr>
          <w:szCs w:val="22"/>
        </w:rPr>
        <w:t xml:space="preserve">the </w:t>
      </w:r>
      <w:r w:rsidR="00C7307E" w:rsidRPr="00191C64">
        <w:rPr>
          <w:szCs w:val="22"/>
        </w:rPr>
        <w:t>four</w:t>
      </w:r>
      <w:r w:rsidR="007E6CEC" w:rsidRPr="00191C64">
        <w:rPr>
          <w:szCs w:val="22"/>
        </w:rPr>
        <w:t xml:space="preserve"> </w:t>
      </w:r>
      <w:r w:rsidR="00776C17" w:rsidRPr="00191C64">
        <w:rPr>
          <w:szCs w:val="22"/>
        </w:rPr>
        <w:t>core</w:t>
      </w:r>
      <w:r w:rsidR="00C7307E" w:rsidRPr="00191C64">
        <w:rPr>
          <w:szCs w:val="22"/>
        </w:rPr>
        <w:t xml:space="preserve"> bureaus and supporting bureaus and offices should be revised to more accurately </w:t>
      </w:r>
      <w:r w:rsidR="00524D9A" w:rsidRPr="00191C64">
        <w:rPr>
          <w:szCs w:val="22"/>
        </w:rPr>
        <w:t>reflect</w:t>
      </w:r>
      <w:r w:rsidR="00C7307E" w:rsidRPr="00191C64">
        <w:rPr>
          <w:szCs w:val="22"/>
        </w:rPr>
        <w:t xml:space="preserve"> the direct and indirect costs for </w:t>
      </w:r>
      <w:r w:rsidR="00454342" w:rsidRPr="00191C64">
        <w:rPr>
          <w:szCs w:val="22"/>
        </w:rPr>
        <w:t>those r</w:t>
      </w:r>
      <w:r w:rsidR="00C7307E" w:rsidRPr="00191C64">
        <w:rPr>
          <w:szCs w:val="22"/>
        </w:rPr>
        <w:t xml:space="preserve">egulatees.  </w:t>
      </w:r>
      <w:r w:rsidR="00454342" w:rsidRPr="00191C64">
        <w:rPr>
          <w:szCs w:val="22"/>
        </w:rPr>
        <w:t>Such revisions should take into account the impact on all regulat</w:t>
      </w:r>
      <w:r w:rsidR="007C1C06" w:rsidRPr="00191C64">
        <w:rPr>
          <w:szCs w:val="22"/>
        </w:rPr>
        <w:t>e</w:t>
      </w:r>
      <w:r w:rsidR="00454342" w:rsidRPr="00191C64">
        <w:rPr>
          <w:szCs w:val="22"/>
        </w:rPr>
        <w:t>es</w:t>
      </w:r>
      <w:r w:rsidR="00705095" w:rsidRPr="00191C64">
        <w:rPr>
          <w:szCs w:val="22"/>
        </w:rPr>
        <w:t>,</w:t>
      </w:r>
      <w:r w:rsidR="000D65F2" w:rsidRPr="00191C64">
        <w:rPr>
          <w:szCs w:val="22"/>
        </w:rPr>
        <w:t xml:space="preserve"> because a</w:t>
      </w:r>
      <w:r w:rsidR="00C7307E" w:rsidRPr="00191C64">
        <w:rPr>
          <w:szCs w:val="22"/>
        </w:rPr>
        <w:t xml:space="preserve">ny change </w:t>
      </w:r>
      <w:r w:rsidR="000D65F2" w:rsidRPr="00191C64">
        <w:rPr>
          <w:szCs w:val="22"/>
        </w:rPr>
        <w:t xml:space="preserve">in the allocation of the total regulatory fee amount </w:t>
      </w:r>
      <w:r w:rsidR="00C7307E" w:rsidRPr="00191C64">
        <w:rPr>
          <w:szCs w:val="22"/>
        </w:rPr>
        <w:t xml:space="preserve">for one </w:t>
      </w:r>
      <w:r w:rsidR="000D65F2" w:rsidRPr="00191C64">
        <w:rPr>
          <w:szCs w:val="22"/>
        </w:rPr>
        <w:t>category</w:t>
      </w:r>
      <w:r w:rsidR="00C7307E" w:rsidRPr="00191C64">
        <w:rPr>
          <w:szCs w:val="22"/>
        </w:rPr>
        <w:t xml:space="preserve"> of </w:t>
      </w:r>
      <w:r w:rsidR="000D65F2" w:rsidRPr="00191C64">
        <w:rPr>
          <w:szCs w:val="22"/>
        </w:rPr>
        <w:t xml:space="preserve">fee payors necessarily </w:t>
      </w:r>
      <w:r w:rsidR="00C7307E" w:rsidRPr="00191C64">
        <w:rPr>
          <w:szCs w:val="22"/>
        </w:rPr>
        <w:t>affect</w:t>
      </w:r>
      <w:r w:rsidR="000D65F2" w:rsidRPr="00191C64">
        <w:rPr>
          <w:szCs w:val="22"/>
        </w:rPr>
        <w:t xml:space="preserve">s the fees paid by </w:t>
      </w:r>
      <w:r w:rsidR="00C7307E" w:rsidRPr="00191C64">
        <w:rPr>
          <w:szCs w:val="22"/>
        </w:rPr>
        <w:t>pa</w:t>
      </w:r>
      <w:r w:rsidR="00454342" w:rsidRPr="00191C64">
        <w:rPr>
          <w:szCs w:val="22"/>
        </w:rPr>
        <w:t>yors</w:t>
      </w:r>
      <w:r w:rsidR="000D65F2" w:rsidRPr="00191C64">
        <w:rPr>
          <w:szCs w:val="22"/>
        </w:rPr>
        <w:t xml:space="preserve"> in all the other fee categories</w:t>
      </w:r>
      <w:r w:rsidR="00454342" w:rsidRPr="00191C64">
        <w:rPr>
          <w:szCs w:val="22"/>
        </w:rPr>
        <w:t>.</w:t>
      </w:r>
      <w:r w:rsidR="005E1110" w:rsidRPr="00191C64">
        <w:rPr>
          <w:szCs w:val="22"/>
        </w:rPr>
        <w:t xml:space="preserve">  </w:t>
      </w:r>
      <w:r w:rsidR="00C7307E" w:rsidRPr="00191C64">
        <w:rPr>
          <w:szCs w:val="22"/>
        </w:rPr>
        <w:t xml:space="preserve">The GAO Report </w:t>
      </w:r>
      <w:r w:rsidR="00454342" w:rsidRPr="00191C64">
        <w:rPr>
          <w:szCs w:val="22"/>
        </w:rPr>
        <w:t>noted the</w:t>
      </w:r>
      <w:r w:rsidR="002E6389" w:rsidRPr="00191C64">
        <w:rPr>
          <w:szCs w:val="22"/>
        </w:rPr>
        <w:t xml:space="preserve"> disparity in </w:t>
      </w:r>
      <w:r w:rsidR="00C7307E" w:rsidRPr="00191C64">
        <w:rPr>
          <w:szCs w:val="22"/>
        </w:rPr>
        <w:t>the allocation for the International Bureau</w:t>
      </w:r>
      <w:r w:rsidR="008206A7" w:rsidRPr="00191C64">
        <w:rPr>
          <w:szCs w:val="22"/>
        </w:rPr>
        <w:t>,</w:t>
      </w:r>
      <w:r w:rsidR="00C7307E" w:rsidRPr="00191C64">
        <w:rPr>
          <w:szCs w:val="22"/>
        </w:rPr>
        <w:t xml:space="preserve"> the Wireline Competition Bureau</w:t>
      </w:r>
      <w:r w:rsidR="008206A7" w:rsidRPr="00191C64">
        <w:rPr>
          <w:szCs w:val="22"/>
        </w:rPr>
        <w:t>, and the Wireless Telecommunications Bureau</w:t>
      </w:r>
      <w:r w:rsidR="00C7307E" w:rsidRPr="00191C64">
        <w:rPr>
          <w:szCs w:val="22"/>
        </w:rPr>
        <w:t>.</w:t>
      </w:r>
      <w:r w:rsidR="008206A7">
        <w:rPr>
          <w:rStyle w:val="FootnoteReference"/>
          <w:szCs w:val="22"/>
        </w:rPr>
        <w:footnoteReference w:id="38"/>
      </w:r>
      <w:r w:rsidR="00C7307E" w:rsidRPr="00191C64">
        <w:rPr>
          <w:szCs w:val="22"/>
        </w:rPr>
        <w:t xml:space="preserve">  The current FTE allocations</w:t>
      </w:r>
      <w:r w:rsidR="00FD5FEE" w:rsidRPr="00191C64">
        <w:rPr>
          <w:szCs w:val="22"/>
        </w:rPr>
        <w:t xml:space="preserve">, </w:t>
      </w:r>
      <w:r w:rsidR="00C7307E" w:rsidRPr="00191C64">
        <w:rPr>
          <w:szCs w:val="22"/>
        </w:rPr>
        <w:t xml:space="preserve">as of </w:t>
      </w:r>
      <w:r w:rsidR="00D538E9" w:rsidRPr="00191C64">
        <w:rPr>
          <w:szCs w:val="22"/>
        </w:rPr>
        <w:t>September 30</w:t>
      </w:r>
      <w:r w:rsidR="00FD5FEE" w:rsidRPr="00191C64">
        <w:rPr>
          <w:szCs w:val="22"/>
        </w:rPr>
        <w:t>, 20</w:t>
      </w:r>
      <w:r w:rsidR="00C7307E" w:rsidRPr="00191C64">
        <w:rPr>
          <w:szCs w:val="22"/>
        </w:rPr>
        <w:t>12</w:t>
      </w:r>
      <w:r w:rsidR="00FD5FEE" w:rsidRPr="00191C64">
        <w:rPr>
          <w:szCs w:val="22"/>
        </w:rPr>
        <w:t>,</w:t>
      </w:r>
      <w:r w:rsidR="00C7307E" w:rsidRPr="00191C64">
        <w:rPr>
          <w:szCs w:val="22"/>
        </w:rPr>
        <w:t xml:space="preserve"> </w:t>
      </w:r>
      <w:r w:rsidR="00705095" w:rsidRPr="00191C64">
        <w:rPr>
          <w:szCs w:val="22"/>
        </w:rPr>
        <w:t xml:space="preserve">and the FTE allocations what would result from our reallocation proposals </w:t>
      </w:r>
      <w:r w:rsidR="00C7307E" w:rsidRPr="00191C64">
        <w:rPr>
          <w:szCs w:val="22"/>
        </w:rPr>
        <w:t>are shown in the table below.</w:t>
      </w:r>
      <w:r w:rsidR="00191C64">
        <w:rPr>
          <w:szCs w:val="22"/>
        </w:rPr>
        <w:t xml:space="preserve"> </w:t>
      </w:r>
      <w:r w:rsidR="00817464" w:rsidRPr="00191C64">
        <w:rPr>
          <w:szCs w:val="22"/>
        </w:rPr>
        <w:br w:type="page"/>
      </w:r>
    </w:p>
    <w:p w:rsidR="007970A3" w:rsidRPr="000F7E16" w:rsidRDefault="007970A3" w:rsidP="007970A3">
      <w:pPr>
        <w:pStyle w:val="ParaNum"/>
        <w:numPr>
          <w:ilvl w:val="0"/>
          <w:numId w:val="0"/>
        </w:numPr>
        <w:ind w:left="720"/>
        <w:jc w:val="center"/>
        <w:rPr>
          <w:b/>
          <w:u w:val="single"/>
        </w:rPr>
      </w:pPr>
      <w:r>
        <w:rPr>
          <w:b/>
          <w:szCs w:val="22"/>
          <w:u w:val="single"/>
        </w:rPr>
        <w:t>Direct and Indirect FTE Allocation/Current</w:t>
      </w:r>
      <w:r w:rsidR="00B70DA4">
        <w:rPr>
          <w:b/>
          <w:szCs w:val="22"/>
          <w:u w:val="single"/>
        </w:rPr>
        <w:t xml:space="preserve"> </w:t>
      </w:r>
      <w:r>
        <w:rPr>
          <w:b/>
          <w:szCs w:val="22"/>
          <w:u w:val="single"/>
        </w:rPr>
        <w:t xml:space="preserve">and Proposed </w:t>
      </w:r>
    </w:p>
    <w:p w:rsidR="00B80535" w:rsidRDefault="00B80535" w:rsidP="00817464">
      <w:pPr>
        <w:pStyle w:val="ParaNum"/>
        <w:numPr>
          <w:ilvl w:val="0"/>
          <w:numId w:val="0"/>
        </w:numPr>
        <w:ind w:left="630"/>
        <w:rPr>
          <w:szCs w:val="22"/>
        </w:rPr>
      </w:pPr>
    </w:p>
    <w:p w:rsidR="007970A3" w:rsidRDefault="007970A3" w:rsidP="00817464">
      <w:pPr>
        <w:pStyle w:val="ParaNum"/>
        <w:numPr>
          <w:ilvl w:val="0"/>
          <w:numId w:val="0"/>
        </w:numPr>
        <w:ind w:left="630"/>
        <w:rPr>
          <w:szCs w:val="22"/>
        </w:rPr>
      </w:pPr>
    </w:p>
    <w:tbl>
      <w:tblPr>
        <w:tblpPr w:leftFromText="180" w:rightFromText="180" w:vertAnchor="page" w:horzAnchor="margin" w:tblpXSpec="center" w:tblpY="2506"/>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20"/>
        <w:gridCol w:w="2880"/>
      </w:tblGrid>
      <w:tr w:rsidR="007970A3" w:rsidRPr="00A1103B">
        <w:tc>
          <w:tcPr>
            <w:tcW w:w="2178"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rPr>
                <w:b/>
                <w:szCs w:val="22"/>
              </w:rPr>
            </w:pPr>
            <w:r w:rsidRPr="00AE7E28">
              <w:rPr>
                <w:b/>
                <w:szCs w:val="22"/>
              </w:rPr>
              <w:t>Bureau</w:t>
            </w:r>
          </w:p>
          <w:p w:rsidR="007970A3" w:rsidRPr="00AE7E28" w:rsidRDefault="007970A3" w:rsidP="007970A3">
            <w:pPr>
              <w:pStyle w:val="ParaNum"/>
              <w:numPr>
                <w:ilvl w:val="0"/>
                <w:numId w:val="0"/>
              </w:numPr>
              <w:tabs>
                <w:tab w:val="left" w:pos="720"/>
              </w:tabs>
              <w:rPr>
                <w:b/>
                <w:szCs w:val="22"/>
              </w:rPr>
            </w:pPr>
            <w:r w:rsidRPr="00AE7E28">
              <w:rPr>
                <w:szCs w:val="22"/>
              </w:rPr>
              <w:t>(all FTE amounts shown exclude Auctions</w:t>
            </w:r>
            <w:r>
              <w:rPr>
                <w:szCs w:val="22"/>
              </w:rPr>
              <w:t>-funded</w:t>
            </w:r>
            <w:r w:rsidRPr="00AE7E28">
              <w:rPr>
                <w:szCs w:val="22"/>
              </w:rPr>
              <w:t xml:space="preserve"> employees)</w:t>
            </w:r>
          </w:p>
        </w:tc>
        <w:tc>
          <w:tcPr>
            <w:tcW w:w="2520" w:type="dxa"/>
            <w:tcBorders>
              <w:top w:val="single" w:sz="4" w:space="0" w:color="auto"/>
              <w:left w:val="single" w:sz="4" w:space="0" w:color="auto"/>
              <w:bottom w:val="single" w:sz="4" w:space="0" w:color="auto"/>
              <w:right w:val="single" w:sz="4" w:space="0" w:color="auto"/>
            </w:tcBorders>
          </w:tcPr>
          <w:p w:rsidR="007970A3" w:rsidRDefault="007970A3" w:rsidP="007970A3">
            <w:pPr>
              <w:pStyle w:val="ParaNum"/>
              <w:numPr>
                <w:ilvl w:val="0"/>
                <w:numId w:val="0"/>
              </w:numPr>
              <w:tabs>
                <w:tab w:val="left" w:pos="720"/>
              </w:tabs>
              <w:jc w:val="center"/>
              <w:rPr>
                <w:b/>
                <w:szCs w:val="22"/>
              </w:rPr>
            </w:pPr>
            <w:r>
              <w:rPr>
                <w:b/>
                <w:szCs w:val="22"/>
              </w:rPr>
              <w:t xml:space="preserve">Current Allocation </w:t>
            </w:r>
          </w:p>
          <w:p w:rsidR="007970A3" w:rsidRPr="00AE7E28" w:rsidRDefault="007970A3" w:rsidP="007970A3">
            <w:pPr>
              <w:pStyle w:val="ParaNum"/>
              <w:numPr>
                <w:ilvl w:val="0"/>
                <w:numId w:val="0"/>
              </w:numPr>
              <w:tabs>
                <w:tab w:val="left" w:pos="720"/>
              </w:tabs>
              <w:jc w:val="center"/>
              <w:rPr>
                <w:b/>
                <w:szCs w:val="22"/>
              </w:rPr>
            </w:pPr>
            <w:r>
              <w:rPr>
                <w:b/>
                <w:szCs w:val="22"/>
              </w:rPr>
              <w:t xml:space="preserve">Based on 1998 Direct </w:t>
            </w:r>
            <w:r w:rsidRPr="00AE7E28">
              <w:rPr>
                <w:b/>
                <w:szCs w:val="22"/>
              </w:rPr>
              <w:t>FTE</w:t>
            </w:r>
            <w:r>
              <w:rPr>
                <w:b/>
                <w:szCs w:val="22"/>
              </w:rPr>
              <w:t xml:space="preserve"> analysis</w:t>
            </w:r>
          </w:p>
          <w:p w:rsidR="007970A3" w:rsidRPr="00AE7E28" w:rsidRDefault="007970A3" w:rsidP="007970A3">
            <w:pPr>
              <w:pStyle w:val="ParaNum"/>
              <w:numPr>
                <w:ilvl w:val="0"/>
                <w:numId w:val="0"/>
              </w:numPr>
              <w:tabs>
                <w:tab w:val="left" w:pos="720"/>
              </w:tabs>
              <w:jc w:val="center"/>
              <w:rPr>
                <w:b/>
                <w:szCs w:val="22"/>
              </w:rPr>
            </w:pPr>
          </w:p>
        </w:tc>
        <w:tc>
          <w:tcPr>
            <w:tcW w:w="2880" w:type="dxa"/>
            <w:tcBorders>
              <w:top w:val="single" w:sz="4" w:space="0" w:color="auto"/>
              <w:left w:val="single" w:sz="4" w:space="0" w:color="auto"/>
              <w:bottom w:val="single" w:sz="4" w:space="0" w:color="auto"/>
              <w:right w:val="single" w:sz="4" w:space="0" w:color="auto"/>
            </w:tcBorders>
          </w:tcPr>
          <w:p w:rsidR="007970A3" w:rsidRPr="00AE7E28" w:rsidRDefault="007970A3" w:rsidP="00C36D16">
            <w:pPr>
              <w:pStyle w:val="ParaNum"/>
              <w:numPr>
                <w:ilvl w:val="0"/>
                <w:numId w:val="0"/>
              </w:numPr>
              <w:tabs>
                <w:tab w:val="left" w:pos="720"/>
              </w:tabs>
              <w:jc w:val="center"/>
              <w:rPr>
                <w:b/>
                <w:szCs w:val="22"/>
              </w:rPr>
            </w:pPr>
            <w:r>
              <w:rPr>
                <w:b/>
                <w:szCs w:val="22"/>
              </w:rPr>
              <w:t xml:space="preserve">Effective FY 2013 Allocation </w:t>
            </w:r>
            <w:r w:rsidR="0080394C">
              <w:rPr>
                <w:b/>
                <w:szCs w:val="22"/>
              </w:rPr>
              <w:t>R</w:t>
            </w:r>
            <w:r>
              <w:rPr>
                <w:b/>
                <w:szCs w:val="22"/>
              </w:rPr>
              <w:t xml:space="preserve">esulting from the </w:t>
            </w:r>
            <w:r w:rsidR="0080394C">
              <w:rPr>
                <w:b/>
                <w:szCs w:val="22"/>
              </w:rPr>
              <w:t>R</w:t>
            </w:r>
            <w:r>
              <w:rPr>
                <w:b/>
                <w:szCs w:val="22"/>
              </w:rPr>
              <w:t xml:space="preserve">eallocation </w:t>
            </w:r>
            <w:r w:rsidR="0080394C">
              <w:rPr>
                <w:b/>
                <w:szCs w:val="22"/>
              </w:rPr>
              <w:t>P</w:t>
            </w:r>
            <w:r>
              <w:rPr>
                <w:b/>
                <w:szCs w:val="22"/>
              </w:rPr>
              <w:t xml:space="preserve">roposal in this NPRM, </w:t>
            </w:r>
            <w:r w:rsidR="0080394C">
              <w:rPr>
                <w:b/>
                <w:szCs w:val="22"/>
              </w:rPr>
              <w:t>A</w:t>
            </w:r>
            <w:r w:rsidR="00EE6CEB">
              <w:rPr>
                <w:b/>
                <w:szCs w:val="22"/>
              </w:rPr>
              <w:t>pplying</w:t>
            </w:r>
            <w:r>
              <w:rPr>
                <w:b/>
                <w:szCs w:val="22"/>
              </w:rPr>
              <w:t xml:space="preserve"> </w:t>
            </w:r>
            <w:r w:rsidR="0080394C">
              <w:rPr>
                <w:b/>
                <w:szCs w:val="22"/>
              </w:rPr>
              <w:t>P</w:t>
            </w:r>
            <w:r>
              <w:rPr>
                <w:b/>
                <w:szCs w:val="22"/>
              </w:rPr>
              <w:t xml:space="preserve">roposed </w:t>
            </w:r>
            <w:r w:rsidR="0080394C">
              <w:rPr>
                <w:b/>
                <w:szCs w:val="22"/>
              </w:rPr>
              <w:t>C</w:t>
            </w:r>
            <w:r>
              <w:rPr>
                <w:b/>
                <w:szCs w:val="22"/>
              </w:rPr>
              <w:t xml:space="preserve">ap </w:t>
            </w:r>
            <w:r w:rsidR="00C36D16">
              <w:rPr>
                <w:b/>
                <w:szCs w:val="22"/>
              </w:rPr>
              <w:t xml:space="preserve">of 7.5 % </w:t>
            </w:r>
            <w:r>
              <w:rPr>
                <w:b/>
                <w:szCs w:val="22"/>
              </w:rPr>
              <w:t xml:space="preserve">on </w:t>
            </w:r>
            <w:r w:rsidR="0080394C">
              <w:rPr>
                <w:b/>
                <w:szCs w:val="22"/>
              </w:rPr>
              <w:t>F</w:t>
            </w:r>
            <w:r>
              <w:rPr>
                <w:b/>
                <w:szCs w:val="22"/>
              </w:rPr>
              <w:t xml:space="preserve">ee </w:t>
            </w:r>
            <w:r w:rsidR="0080394C">
              <w:rPr>
                <w:b/>
                <w:szCs w:val="22"/>
              </w:rPr>
              <w:t>R</w:t>
            </w:r>
            <w:r>
              <w:rPr>
                <w:b/>
                <w:szCs w:val="22"/>
              </w:rPr>
              <w:t xml:space="preserve">ate </w:t>
            </w:r>
            <w:r w:rsidR="0080394C">
              <w:rPr>
                <w:b/>
                <w:szCs w:val="22"/>
              </w:rPr>
              <w:t>I</w:t>
            </w:r>
            <w:r>
              <w:rPr>
                <w:b/>
                <w:szCs w:val="22"/>
              </w:rPr>
              <w:t xml:space="preserve">ncreases </w:t>
            </w:r>
            <w:r>
              <w:rPr>
                <w:rStyle w:val="FootnoteReference"/>
                <w:b/>
                <w:szCs w:val="22"/>
              </w:rPr>
              <w:footnoteReference w:id="39"/>
            </w:r>
          </w:p>
        </w:tc>
      </w:tr>
      <w:tr w:rsidR="007970A3" w:rsidRPr="00A1103B">
        <w:tc>
          <w:tcPr>
            <w:tcW w:w="2178"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rPr>
                <w:szCs w:val="22"/>
              </w:rPr>
            </w:pPr>
            <w:r w:rsidRPr="00AE7E28">
              <w:t>International</w:t>
            </w:r>
            <w:r>
              <w:t xml:space="preserve"> Bureau</w:t>
            </w:r>
          </w:p>
        </w:tc>
        <w:tc>
          <w:tcPr>
            <w:tcW w:w="2520"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jc w:val="center"/>
              <w:rPr>
                <w:szCs w:val="22"/>
              </w:rPr>
            </w:pPr>
            <w:r>
              <w:t>6.3%</w:t>
            </w:r>
          </w:p>
        </w:tc>
        <w:tc>
          <w:tcPr>
            <w:tcW w:w="2880"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jc w:val="center"/>
              <w:rPr>
                <w:szCs w:val="22"/>
              </w:rPr>
            </w:pPr>
            <w:r>
              <w:t>5.99%</w:t>
            </w:r>
          </w:p>
        </w:tc>
      </w:tr>
      <w:tr w:rsidR="007970A3" w:rsidRPr="00A1103B">
        <w:tc>
          <w:tcPr>
            <w:tcW w:w="2178"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rPr>
                <w:szCs w:val="22"/>
              </w:rPr>
            </w:pPr>
            <w:r w:rsidRPr="00AE7E28">
              <w:t xml:space="preserve">Media </w:t>
            </w:r>
            <w:r>
              <w:t>Bureau</w:t>
            </w:r>
          </w:p>
        </w:tc>
        <w:tc>
          <w:tcPr>
            <w:tcW w:w="2520"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jc w:val="center"/>
              <w:rPr>
                <w:szCs w:val="22"/>
              </w:rPr>
            </w:pPr>
            <w:r>
              <w:t>30.2%</w:t>
            </w:r>
          </w:p>
        </w:tc>
        <w:tc>
          <w:tcPr>
            <w:tcW w:w="2880"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jc w:val="center"/>
              <w:rPr>
                <w:szCs w:val="22"/>
              </w:rPr>
            </w:pPr>
            <w:r>
              <w:t>33.33%</w:t>
            </w:r>
          </w:p>
        </w:tc>
      </w:tr>
      <w:tr w:rsidR="007970A3" w:rsidRPr="00A1103B">
        <w:tc>
          <w:tcPr>
            <w:tcW w:w="2178"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rPr>
                <w:szCs w:val="22"/>
              </w:rPr>
            </w:pPr>
            <w:r w:rsidRPr="00AE7E28">
              <w:t>Wireline Competition Bureau</w:t>
            </w:r>
          </w:p>
        </w:tc>
        <w:tc>
          <w:tcPr>
            <w:tcW w:w="2520"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jc w:val="center"/>
              <w:rPr>
                <w:szCs w:val="22"/>
              </w:rPr>
            </w:pPr>
            <w:r>
              <w:t>46.7%</w:t>
            </w:r>
          </w:p>
        </w:tc>
        <w:tc>
          <w:tcPr>
            <w:tcW w:w="2880"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jc w:val="center"/>
              <w:rPr>
                <w:szCs w:val="22"/>
              </w:rPr>
            </w:pPr>
            <w:r>
              <w:t>41.26%</w:t>
            </w:r>
            <w:r>
              <w:rPr>
                <w:rStyle w:val="FootnoteReference"/>
              </w:rPr>
              <w:footnoteReference w:id="40"/>
            </w:r>
          </w:p>
        </w:tc>
      </w:tr>
      <w:tr w:rsidR="007970A3" w:rsidRPr="00A1103B">
        <w:trPr>
          <w:trHeight w:val="530"/>
        </w:trPr>
        <w:tc>
          <w:tcPr>
            <w:tcW w:w="2178"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rPr>
                <w:szCs w:val="22"/>
              </w:rPr>
            </w:pPr>
            <w:r w:rsidRPr="00AE7E28">
              <w:t xml:space="preserve">Wireless Telecommunications Bureau </w:t>
            </w:r>
          </w:p>
        </w:tc>
        <w:tc>
          <w:tcPr>
            <w:tcW w:w="2520"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jc w:val="center"/>
              <w:rPr>
                <w:szCs w:val="22"/>
              </w:rPr>
            </w:pPr>
            <w:r>
              <w:t>16.8%</w:t>
            </w:r>
          </w:p>
        </w:tc>
        <w:tc>
          <w:tcPr>
            <w:tcW w:w="2880" w:type="dxa"/>
            <w:tcBorders>
              <w:top w:val="single" w:sz="4" w:space="0" w:color="auto"/>
              <w:left w:val="single" w:sz="4" w:space="0" w:color="auto"/>
              <w:bottom w:val="single" w:sz="4" w:space="0" w:color="auto"/>
              <w:right w:val="single" w:sz="4" w:space="0" w:color="auto"/>
            </w:tcBorders>
          </w:tcPr>
          <w:p w:rsidR="007970A3" w:rsidRPr="00AE7E28" w:rsidRDefault="007970A3" w:rsidP="007970A3">
            <w:pPr>
              <w:pStyle w:val="ParaNum"/>
              <w:numPr>
                <w:ilvl w:val="0"/>
                <w:numId w:val="0"/>
              </w:numPr>
              <w:tabs>
                <w:tab w:val="left" w:pos="720"/>
              </w:tabs>
              <w:jc w:val="center"/>
              <w:rPr>
                <w:szCs w:val="22"/>
              </w:rPr>
            </w:pPr>
            <w:r>
              <w:t>19.42%</w:t>
            </w:r>
          </w:p>
        </w:tc>
      </w:tr>
    </w:tbl>
    <w:p w:rsidR="000F7E16" w:rsidRPr="000F7E16" w:rsidRDefault="000F7E16" w:rsidP="000F7E16">
      <w:pPr>
        <w:pStyle w:val="ParaNum"/>
        <w:numPr>
          <w:ilvl w:val="0"/>
          <w:numId w:val="0"/>
        </w:numPr>
        <w:ind w:left="720"/>
        <w:rPr>
          <w:szCs w:val="22"/>
        </w:rPr>
      </w:pPr>
    </w:p>
    <w:p w:rsidR="007970A3" w:rsidRPr="007970A3" w:rsidRDefault="007970A3" w:rsidP="007970A3">
      <w:pPr>
        <w:pStyle w:val="ParaNum"/>
        <w:numPr>
          <w:ilvl w:val="0"/>
          <w:numId w:val="0"/>
        </w:numPr>
        <w:tabs>
          <w:tab w:val="num" w:pos="1440"/>
        </w:tabs>
        <w:rPr>
          <w:szCs w:val="22"/>
        </w:rPr>
      </w:pPr>
    </w:p>
    <w:p w:rsidR="007970A3" w:rsidRDefault="007970A3" w:rsidP="007970A3">
      <w:pPr>
        <w:pStyle w:val="ParaNum"/>
        <w:numPr>
          <w:ilvl w:val="0"/>
          <w:numId w:val="0"/>
        </w:numPr>
        <w:tabs>
          <w:tab w:val="num" w:pos="1440"/>
        </w:tabs>
        <w:rPr>
          <w:spacing w:val="-2"/>
          <w:szCs w:val="22"/>
        </w:rPr>
      </w:pPr>
    </w:p>
    <w:p w:rsidR="007970A3" w:rsidRDefault="007970A3" w:rsidP="007970A3">
      <w:pPr>
        <w:pStyle w:val="ParaNum"/>
        <w:numPr>
          <w:ilvl w:val="0"/>
          <w:numId w:val="0"/>
        </w:numPr>
        <w:tabs>
          <w:tab w:val="num" w:pos="1440"/>
        </w:tabs>
        <w:rPr>
          <w:spacing w:val="-2"/>
          <w:szCs w:val="22"/>
        </w:rPr>
      </w:pPr>
    </w:p>
    <w:p w:rsidR="00EE6CEB" w:rsidRDefault="00EE6CEB" w:rsidP="007970A3">
      <w:pPr>
        <w:pStyle w:val="ParaNum"/>
        <w:numPr>
          <w:ilvl w:val="0"/>
          <w:numId w:val="0"/>
        </w:numPr>
        <w:tabs>
          <w:tab w:val="num" w:pos="1440"/>
        </w:tabs>
        <w:rPr>
          <w:spacing w:val="-2"/>
          <w:szCs w:val="22"/>
        </w:rPr>
      </w:pPr>
    </w:p>
    <w:p w:rsidR="00EE6CEB" w:rsidRDefault="00EE6CEB" w:rsidP="007970A3">
      <w:pPr>
        <w:pStyle w:val="ParaNum"/>
        <w:numPr>
          <w:ilvl w:val="0"/>
          <w:numId w:val="0"/>
        </w:numPr>
        <w:tabs>
          <w:tab w:val="num" w:pos="1440"/>
        </w:tabs>
        <w:rPr>
          <w:spacing w:val="-2"/>
          <w:szCs w:val="22"/>
        </w:rPr>
      </w:pPr>
    </w:p>
    <w:p w:rsidR="00EE6CEB" w:rsidRDefault="00EE6CEB" w:rsidP="007970A3">
      <w:pPr>
        <w:pStyle w:val="ParaNum"/>
        <w:numPr>
          <w:ilvl w:val="0"/>
          <w:numId w:val="0"/>
        </w:numPr>
        <w:tabs>
          <w:tab w:val="num" w:pos="1440"/>
        </w:tabs>
        <w:rPr>
          <w:spacing w:val="-2"/>
          <w:szCs w:val="22"/>
        </w:rPr>
      </w:pPr>
    </w:p>
    <w:p w:rsidR="00EE6CEB" w:rsidRDefault="00EE6CEB" w:rsidP="007970A3">
      <w:pPr>
        <w:pStyle w:val="ParaNum"/>
        <w:numPr>
          <w:ilvl w:val="0"/>
          <w:numId w:val="0"/>
        </w:numPr>
        <w:tabs>
          <w:tab w:val="num" w:pos="1440"/>
        </w:tabs>
        <w:rPr>
          <w:spacing w:val="-2"/>
          <w:szCs w:val="22"/>
        </w:rPr>
      </w:pPr>
    </w:p>
    <w:p w:rsidR="00EE6CEB" w:rsidRDefault="00EE6CEB" w:rsidP="007970A3">
      <w:pPr>
        <w:pStyle w:val="ParaNum"/>
        <w:numPr>
          <w:ilvl w:val="0"/>
          <w:numId w:val="0"/>
        </w:numPr>
        <w:tabs>
          <w:tab w:val="num" w:pos="1440"/>
        </w:tabs>
        <w:rPr>
          <w:spacing w:val="-2"/>
          <w:szCs w:val="22"/>
        </w:rPr>
      </w:pPr>
    </w:p>
    <w:p w:rsidR="00EE6CEB" w:rsidRDefault="00EE6CEB" w:rsidP="007970A3">
      <w:pPr>
        <w:pStyle w:val="ParaNum"/>
        <w:numPr>
          <w:ilvl w:val="0"/>
          <w:numId w:val="0"/>
        </w:numPr>
        <w:tabs>
          <w:tab w:val="num" w:pos="1440"/>
        </w:tabs>
        <w:rPr>
          <w:spacing w:val="-2"/>
          <w:szCs w:val="22"/>
        </w:rPr>
      </w:pPr>
    </w:p>
    <w:p w:rsidR="00EE6CEB" w:rsidRDefault="00EE6CEB" w:rsidP="007970A3">
      <w:pPr>
        <w:pStyle w:val="ParaNum"/>
        <w:numPr>
          <w:ilvl w:val="0"/>
          <w:numId w:val="0"/>
        </w:numPr>
        <w:tabs>
          <w:tab w:val="num" w:pos="1440"/>
        </w:tabs>
        <w:rPr>
          <w:spacing w:val="-2"/>
          <w:szCs w:val="22"/>
        </w:rPr>
      </w:pPr>
    </w:p>
    <w:p w:rsidR="00EE6CEB" w:rsidRDefault="00EE6CEB" w:rsidP="007970A3">
      <w:pPr>
        <w:pStyle w:val="ParaNum"/>
        <w:numPr>
          <w:ilvl w:val="0"/>
          <w:numId w:val="0"/>
        </w:numPr>
        <w:tabs>
          <w:tab w:val="num" w:pos="1440"/>
        </w:tabs>
        <w:rPr>
          <w:spacing w:val="-2"/>
          <w:szCs w:val="22"/>
        </w:rPr>
      </w:pPr>
    </w:p>
    <w:p w:rsidR="00EE6CEB" w:rsidRPr="00817464" w:rsidRDefault="00EE6CEB" w:rsidP="00547927">
      <w:pPr>
        <w:pStyle w:val="ParaNum"/>
        <w:tabs>
          <w:tab w:val="num" w:pos="1350"/>
        </w:tabs>
        <w:ind w:left="-90"/>
      </w:pPr>
      <w:r>
        <w:t>We propose to update our FTE analysis using data from September 30, 2012.  T</w:t>
      </w:r>
      <w:r w:rsidRPr="00454342">
        <w:t>he International Bureau</w:t>
      </w:r>
      <w:r>
        <w:t>, which</w:t>
      </w:r>
      <w:r w:rsidRPr="00454342">
        <w:t xml:space="preserve"> employs 22 percent of the Commission’s </w:t>
      </w:r>
      <w:r>
        <w:t xml:space="preserve">direct </w:t>
      </w:r>
      <w:r w:rsidRPr="00454342">
        <w:t xml:space="preserve">FTEs, </w:t>
      </w:r>
      <w:r>
        <w:t>currently</w:t>
      </w:r>
      <w:r w:rsidRPr="00454342">
        <w:t xml:space="preserve"> pay</w:t>
      </w:r>
      <w:r>
        <w:t>s, as illustrated in the table above,</w:t>
      </w:r>
      <w:r w:rsidRPr="00454342">
        <w:t xml:space="preserve"> 6.</w:t>
      </w:r>
      <w:r>
        <w:t>3</w:t>
      </w:r>
      <w:r w:rsidRPr="00454342">
        <w:t xml:space="preserve"> percent of the total regulatory fees.</w:t>
      </w:r>
      <w:r w:rsidRPr="00454342">
        <w:rPr>
          <w:rStyle w:val="FootnoteReference"/>
          <w:szCs w:val="22"/>
        </w:rPr>
        <w:t xml:space="preserve"> </w:t>
      </w:r>
      <w:r w:rsidRPr="007764D3">
        <w:rPr>
          <w:rStyle w:val="FootnoteReference"/>
          <w:szCs w:val="22"/>
        </w:rPr>
        <w:footnoteReference w:id="41"/>
      </w:r>
      <w:r w:rsidRPr="00454342">
        <w:t xml:space="preserve">  Conversely, ITSPs</w:t>
      </w:r>
      <w:r>
        <w:t xml:space="preserve">, based on the current allocation, would </w:t>
      </w:r>
      <w:r w:rsidRPr="00454342">
        <w:t>pay</w:t>
      </w:r>
      <w:r>
        <w:t xml:space="preserve"> almost</w:t>
      </w:r>
      <w:r w:rsidRPr="00454342">
        <w:t xml:space="preserve"> 4</w:t>
      </w:r>
      <w:r>
        <w:t>7</w:t>
      </w:r>
      <w:r w:rsidRPr="00454342">
        <w:t xml:space="preserve"> percent of the total regulatory fees while the</w:t>
      </w:r>
      <w:r w:rsidRPr="00F3625E">
        <w:t xml:space="preserve"> Wireline Competition Bureau employs </w:t>
      </w:r>
      <w:r>
        <w:t>roughly 30</w:t>
      </w:r>
      <w:r w:rsidRPr="00F3625E">
        <w:t xml:space="preserve"> percent of the </w:t>
      </w:r>
      <w:r>
        <w:t xml:space="preserve">Commission’s </w:t>
      </w:r>
      <w:r w:rsidRPr="00F3625E">
        <w:t>direct FTEs.</w:t>
      </w:r>
      <w:r w:rsidRPr="00454342">
        <w:t xml:space="preserve">  </w:t>
      </w:r>
      <w:r>
        <w:t>W</w:t>
      </w:r>
      <w:r w:rsidRPr="00454342">
        <w:t xml:space="preserve">e seek comment on </w:t>
      </w:r>
      <w:r>
        <w:t>how</w:t>
      </w:r>
      <w:r w:rsidRPr="00454342">
        <w:t xml:space="preserve"> to revise the apportionment of direct and indirect FTEs to reach a fair and equitable regulatory fee allocation</w:t>
      </w:r>
      <w:r>
        <w:t>, under proposals including, but not limited to</w:t>
      </w:r>
      <w:r w:rsidR="0080394C">
        <w:t>,</w:t>
      </w:r>
      <w:r>
        <w:t xml:space="preserve"> those described herein.  </w:t>
      </w:r>
      <w:r w:rsidRPr="00817464">
        <w:t>Our proposed reallocation, without further reforms or adjustments (such as the caps discussed herein at para</w:t>
      </w:r>
      <w:r>
        <w:t>graphs 30 and 31</w:t>
      </w:r>
      <w:r w:rsidRPr="00817464">
        <w:t>) would result in allocation of 5.92 percent to the International Bureau, 37.50 percent to the Media Bureau, 35.09 percent to the Wireline Competition Bureau, and 21.49 percent to the Wireless Telecommunications Bureau.  When these figures are adjusted to reflect the proposed 7.5</w:t>
      </w:r>
      <w:r w:rsidR="0080394C">
        <w:t xml:space="preserve"> percent</w:t>
      </w:r>
      <w:r w:rsidRPr="00817464">
        <w:t xml:space="preserve"> cap on rate increases for FY</w:t>
      </w:r>
      <w:r w:rsidR="0080394C">
        <w:t xml:space="preserve"> </w:t>
      </w:r>
      <w:r w:rsidRPr="00817464">
        <w:t>2013, the resulting effective allocations for FY</w:t>
      </w:r>
      <w:r w:rsidR="0080394C">
        <w:t xml:space="preserve"> </w:t>
      </w:r>
      <w:r w:rsidRPr="00817464">
        <w:t xml:space="preserve">2013 are as set forth in the far right column in the table above.  </w:t>
      </w:r>
    </w:p>
    <w:p w:rsidR="00F6184B" w:rsidRPr="0047253D" w:rsidRDefault="00C7307E" w:rsidP="00547927">
      <w:pPr>
        <w:pStyle w:val="ParaNum"/>
        <w:tabs>
          <w:tab w:val="num" w:pos="1350"/>
        </w:tabs>
        <w:ind w:left="-90"/>
        <w:rPr>
          <w:szCs w:val="22"/>
        </w:rPr>
      </w:pPr>
      <w:r w:rsidRPr="00454342">
        <w:rPr>
          <w:szCs w:val="22"/>
        </w:rPr>
        <w:t xml:space="preserve">We </w:t>
      </w:r>
      <w:r w:rsidR="00E559C8">
        <w:rPr>
          <w:szCs w:val="22"/>
        </w:rPr>
        <w:t xml:space="preserve">had </w:t>
      </w:r>
      <w:r w:rsidRPr="00454342">
        <w:rPr>
          <w:szCs w:val="22"/>
        </w:rPr>
        <w:t xml:space="preserve">previously sought comment on </w:t>
      </w:r>
      <w:r w:rsidR="00757AE3">
        <w:rPr>
          <w:szCs w:val="22"/>
        </w:rPr>
        <w:t xml:space="preserve">revising </w:t>
      </w:r>
      <w:r w:rsidRPr="00454342">
        <w:rPr>
          <w:szCs w:val="22"/>
        </w:rPr>
        <w:t>the regulatory fee schedule, which would thereby increase the amount</w:t>
      </w:r>
      <w:r w:rsidR="00757AE3">
        <w:rPr>
          <w:szCs w:val="22"/>
        </w:rPr>
        <w:t xml:space="preserve"> paid by</w:t>
      </w:r>
      <w:r w:rsidRPr="00F3625E">
        <w:rPr>
          <w:szCs w:val="22"/>
        </w:rPr>
        <w:t xml:space="preserve"> the International Bureau</w:t>
      </w:r>
      <w:r w:rsidR="00757AE3">
        <w:rPr>
          <w:szCs w:val="22"/>
        </w:rPr>
        <w:t>’s</w:t>
      </w:r>
      <w:r w:rsidRPr="00F3625E">
        <w:rPr>
          <w:szCs w:val="22"/>
        </w:rPr>
        <w:t xml:space="preserve"> regulatees to 22 percent of the total.</w:t>
      </w:r>
      <w:r w:rsidRPr="00A1103B">
        <w:rPr>
          <w:rStyle w:val="FootnoteReference"/>
          <w:szCs w:val="22"/>
        </w:rPr>
        <w:footnoteReference w:id="42"/>
      </w:r>
      <w:r w:rsidRPr="00454342">
        <w:rPr>
          <w:szCs w:val="22"/>
        </w:rPr>
        <w:t xml:space="preserve">  </w:t>
      </w:r>
      <w:r w:rsidR="00E559C8">
        <w:rPr>
          <w:szCs w:val="22"/>
        </w:rPr>
        <w:t>Although</w:t>
      </w:r>
      <w:r w:rsidR="00C6228A">
        <w:rPr>
          <w:szCs w:val="22"/>
        </w:rPr>
        <w:t xml:space="preserve"> our proposals in this proceeding are based, in part, on such a reallocation</w:t>
      </w:r>
      <w:r w:rsidR="00E559C8">
        <w:rPr>
          <w:szCs w:val="22"/>
        </w:rPr>
        <w:t xml:space="preserve">, </w:t>
      </w:r>
      <w:r w:rsidRPr="00F3625E">
        <w:rPr>
          <w:szCs w:val="22"/>
        </w:rPr>
        <w:t>we believe that</w:t>
      </w:r>
      <w:r w:rsidR="00E559C8">
        <w:rPr>
          <w:szCs w:val="22"/>
        </w:rPr>
        <w:t xml:space="preserve">, as discussed below, </w:t>
      </w:r>
      <w:r w:rsidRPr="00F3625E">
        <w:rPr>
          <w:szCs w:val="22"/>
        </w:rPr>
        <w:t xml:space="preserve">fairness warrants </w:t>
      </w:r>
      <w:r w:rsidR="00454342">
        <w:rPr>
          <w:szCs w:val="22"/>
        </w:rPr>
        <w:t>an allocation that more closely reflects the appropriate proportion of direct costs required for regulation and oversight of</w:t>
      </w:r>
      <w:r w:rsidRPr="00454342">
        <w:rPr>
          <w:szCs w:val="22"/>
        </w:rPr>
        <w:t xml:space="preserve"> International Bureau </w:t>
      </w:r>
      <w:r w:rsidR="009549AB">
        <w:rPr>
          <w:szCs w:val="22"/>
        </w:rPr>
        <w:t>regulatees</w:t>
      </w:r>
      <w:r w:rsidR="00454342">
        <w:rPr>
          <w:szCs w:val="22"/>
        </w:rPr>
        <w:t xml:space="preserve">.  </w:t>
      </w:r>
      <w:r w:rsidR="00E559C8">
        <w:rPr>
          <w:szCs w:val="22"/>
        </w:rPr>
        <w:t xml:space="preserve">Under such an analysis, the regulatory fee allocation of these </w:t>
      </w:r>
      <w:r w:rsidR="009549AB">
        <w:rPr>
          <w:szCs w:val="22"/>
        </w:rPr>
        <w:t>regulatees</w:t>
      </w:r>
      <w:r w:rsidR="00E559C8">
        <w:rPr>
          <w:szCs w:val="22"/>
        </w:rPr>
        <w:t>, should be decreased, rather than</w:t>
      </w:r>
      <w:r w:rsidRPr="00454342">
        <w:rPr>
          <w:szCs w:val="22"/>
        </w:rPr>
        <w:t xml:space="preserve"> significantly increas</w:t>
      </w:r>
      <w:r w:rsidR="00E559C8">
        <w:rPr>
          <w:szCs w:val="22"/>
        </w:rPr>
        <w:t>ed, for the reasons stated herein</w:t>
      </w:r>
      <w:r w:rsidRPr="00454342">
        <w:rPr>
          <w:szCs w:val="22"/>
        </w:rPr>
        <w:t xml:space="preserve">.  </w:t>
      </w:r>
      <w:r w:rsidRPr="00754D4D">
        <w:rPr>
          <w:szCs w:val="22"/>
        </w:rPr>
        <w:t xml:space="preserve">When section 9 was adopted, </w:t>
      </w:r>
      <w:r w:rsidR="00E428C8" w:rsidRPr="00754D4D">
        <w:rPr>
          <w:szCs w:val="22"/>
        </w:rPr>
        <w:t xml:space="preserve">the total FTEs were to be calculated based on the number of FTEs in the </w:t>
      </w:r>
      <w:r w:rsidRPr="00754D4D">
        <w:rPr>
          <w:szCs w:val="22"/>
        </w:rPr>
        <w:t>Private Radio Bureau,</w:t>
      </w:r>
      <w:r w:rsidRPr="00754D4D">
        <w:rPr>
          <w:rStyle w:val="FootnoteReference"/>
          <w:szCs w:val="22"/>
        </w:rPr>
        <w:footnoteReference w:id="43"/>
      </w:r>
      <w:r w:rsidRPr="00754D4D">
        <w:rPr>
          <w:szCs w:val="22"/>
        </w:rPr>
        <w:t xml:space="preserve"> Mass Media Bureau,</w:t>
      </w:r>
      <w:r w:rsidRPr="00754D4D">
        <w:rPr>
          <w:rStyle w:val="FootnoteReference"/>
          <w:szCs w:val="22"/>
        </w:rPr>
        <w:footnoteReference w:id="44"/>
      </w:r>
      <w:r w:rsidRPr="00754D4D">
        <w:rPr>
          <w:szCs w:val="22"/>
        </w:rPr>
        <w:t xml:space="preserve"> and Common Carrier Bureau.</w:t>
      </w:r>
      <w:r w:rsidRPr="00754D4D">
        <w:rPr>
          <w:rStyle w:val="FootnoteReference"/>
          <w:szCs w:val="22"/>
        </w:rPr>
        <w:footnoteReference w:id="45"/>
      </w:r>
      <w:r w:rsidRPr="00754D4D">
        <w:rPr>
          <w:szCs w:val="22"/>
        </w:rPr>
        <w:t xml:space="preserve">  Satellites and submarine cable were regulated through the Common Carrier Bureau before the International Bureau was created.  As discuss</w:t>
      </w:r>
      <w:r w:rsidR="00D578D6" w:rsidRPr="00754D4D">
        <w:rPr>
          <w:szCs w:val="22"/>
        </w:rPr>
        <w:t>ed</w:t>
      </w:r>
      <w:r w:rsidRPr="00754D4D">
        <w:rPr>
          <w:szCs w:val="22"/>
        </w:rPr>
        <w:t xml:space="preserve"> below,</w:t>
      </w:r>
      <w:r w:rsidR="00DD0200" w:rsidRPr="00754D4D">
        <w:rPr>
          <w:szCs w:val="22"/>
        </w:rPr>
        <w:t xml:space="preserve"> the services offered by regulatees in the</w:t>
      </w:r>
      <w:r w:rsidRPr="00754D4D">
        <w:rPr>
          <w:szCs w:val="22"/>
        </w:rPr>
        <w:t xml:space="preserve"> Wireline Competition Bureau, Wireless Telecommunications Bureau, and Media Bureau have </w:t>
      </w:r>
      <w:r w:rsidR="00454342" w:rsidRPr="00754D4D">
        <w:rPr>
          <w:szCs w:val="22"/>
        </w:rPr>
        <w:t xml:space="preserve">evolved </w:t>
      </w:r>
      <w:r w:rsidR="00DD0200" w:rsidRPr="00754D4D">
        <w:rPr>
          <w:szCs w:val="22"/>
        </w:rPr>
        <w:t xml:space="preserve">and converged </w:t>
      </w:r>
      <w:r w:rsidR="00454342" w:rsidRPr="00754D4D">
        <w:rPr>
          <w:szCs w:val="22"/>
        </w:rPr>
        <w:t>over time</w:t>
      </w:r>
      <w:r w:rsidRPr="00754D4D">
        <w:rPr>
          <w:szCs w:val="22"/>
        </w:rPr>
        <w:t xml:space="preserve"> and, </w:t>
      </w:r>
      <w:r w:rsidR="00DD0200" w:rsidRPr="00754D4D">
        <w:rPr>
          <w:szCs w:val="22"/>
        </w:rPr>
        <w:t xml:space="preserve">therefore their regulation involves many similar </w:t>
      </w:r>
      <w:r w:rsidRPr="00754D4D">
        <w:rPr>
          <w:szCs w:val="22"/>
        </w:rPr>
        <w:t xml:space="preserve">issues and </w:t>
      </w:r>
      <w:r w:rsidR="00DD0200" w:rsidRPr="00754D4D">
        <w:rPr>
          <w:szCs w:val="22"/>
        </w:rPr>
        <w:t xml:space="preserve">generates </w:t>
      </w:r>
      <w:r w:rsidRPr="00754D4D">
        <w:rPr>
          <w:szCs w:val="22"/>
        </w:rPr>
        <w:t xml:space="preserve">common Commission costs.  </w:t>
      </w:r>
      <w:r w:rsidR="00DD0200" w:rsidRPr="00754D4D">
        <w:rPr>
          <w:szCs w:val="22"/>
        </w:rPr>
        <w:t>To cite but one example, w</w:t>
      </w:r>
      <w:r w:rsidRPr="00754D4D">
        <w:rPr>
          <w:szCs w:val="22"/>
        </w:rPr>
        <w:t>ireline, wireless, and cable companies compete with each other for customers.</w:t>
      </w:r>
      <w:r w:rsidRPr="00754D4D">
        <w:rPr>
          <w:rStyle w:val="FootnoteReference"/>
          <w:szCs w:val="22"/>
        </w:rPr>
        <w:footnoteReference w:id="46"/>
      </w:r>
      <w:r w:rsidRPr="00754D4D">
        <w:rPr>
          <w:szCs w:val="22"/>
        </w:rPr>
        <w:t xml:space="preserve">  </w:t>
      </w:r>
      <w:r w:rsidRPr="0047253D">
        <w:rPr>
          <w:szCs w:val="22"/>
        </w:rPr>
        <w:t xml:space="preserve">  </w:t>
      </w:r>
    </w:p>
    <w:p w:rsidR="00F6184B" w:rsidRDefault="00D3540C" w:rsidP="00547927">
      <w:pPr>
        <w:pStyle w:val="ParaNum"/>
        <w:tabs>
          <w:tab w:val="num" w:pos="1350"/>
        </w:tabs>
        <w:ind w:left="-90"/>
        <w:rPr>
          <w:szCs w:val="22"/>
        </w:rPr>
      </w:pPr>
      <w:r>
        <w:rPr>
          <w:szCs w:val="22"/>
        </w:rPr>
        <w:t>During</w:t>
      </w:r>
      <w:r w:rsidR="00C7307E" w:rsidRPr="009D0104">
        <w:rPr>
          <w:szCs w:val="22"/>
        </w:rPr>
        <w:t xml:space="preserve"> this technological convergence among wireline, wireless, and cable</w:t>
      </w:r>
      <w:r w:rsidR="009F1268" w:rsidRPr="000A348F">
        <w:rPr>
          <w:szCs w:val="22"/>
        </w:rPr>
        <w:t xml:space="preserve"> services</w:t>
      </w:r>
      <w:r w:rsidR="00C7307E" w:rsidRPr="009D0104">
        <w:rPr>
          <w:szCs w:val="22"/>
        </w:rPr>
        <w:t>, the International Bureau</w:t>
      </w:r>
      <w:r w:rsidR="000406D0">
        <w:rPr>
          <w:szCs w:val="22"/>
        </w:rPr>
        <w:t>’s</w:t>
      </w:r>
      <w:r w:rsidR="005B7F17">
        <w:rPr>
          <w:szCs w:val="22"/>
        </w:rPr>
        <w:t xml:space="preserve"> </w:t>
      </w:r>
      <w:r w:rsidR="000406D0">
        <w:rPr>
          <w:szCs w:val="22"/>
        </w:rPr>
        <w:t xml:space="preserve">work </w:t>
      </w:r>
      <w:r>
        <w:rPr>
          <w:szCs w:val="22"/>
        </w:rPr>
        <w:t>has expanded beyond</w:t>
      </w:r>
      <w:r w:rsidR="00852248">
        <w:rPr>
          <w:szCs w:val="22"/>
        </w:rPr>
        <w:t xml:space="preserve"> its regulation of international </w:t>
      </w:r>
      <w:r w:rsidR="00705095">
        <w:rPr>
          <w:szCs w:val="22"/>
        </w:rPr>
        <w:t>licensees</w:t>
      </w:r>
      <w:r w:rsidR="000406D0" w:rsidRPr="00836FF4">
        <w:rPr>
          <w:szCs w:val="22"/>
        </w:rPr>
        <w:t xml:space="preserve">.  </w:t>
      </w:r>
      <w:r w:rsidR="00F6184B" w:rsidRPr="00C5052D">
        <w:rPr>
          <w:szCs w:val="22"/>
        </w:rPr>
        <w:t xml:space="preserve">It also has unique duties to assist bureaus and their regulatees throughout the Commission, and represent the Commission on a variety of international issues affecting those regulatees.  In discharging these duties, </w:t>
      </w:r>
      <w:r w:rsidR="006C7057">
        <w:rPr>
          <w:szCs w:val="22"/>
        </w:rPr>
        <w:t>the International Bureau</w:t>
      </w:r>
      <w:r w:rsidR="00F6184B" w:rsidRPr="00C5052D">
        <w:rPr>
          <w:szCs w:val="22"/>
        </w:rPr>
        <w:t xml:space="preserve"> works on matters including but not limited</w:t>
      </w:r>
      <w:r w:rsidR="000406D0" w:rsidRPr="00836FF4">
        <w:rPr>
          <w:szCs w:val="22"/>
        </w:rPr>
        <w:t xml:space="preserve"> to </w:t>
      </w:r>
      <w:r w:rsidR="00F6184B" w:rsidRPr="00C5052D">
        <w:rPr>
          <w:szCs w:val="22"/>
        </w:rPr>
        <w:t>spectrum use, cross-border coordination, broadband deployment, and foreign ownership.  At the same time,</w:t>
      </w:r>
      <w:r w:rsidR="006C7057">
        <w:rPr>
          <w:szCs w:val="22"/>
        </w:rPr>
        <w:t xml:space="preserve"> </w:t>
      </w:r>
      <w:r w:rsidR="00B246AB">
        <w:rPr>
          <w:szCs w:val="22"/>
        </w:rPr>
        <w:t>I</w:t>
      </w:r>
      <w:r w:rsidR="009F1268" w:rsidRPr="00836FF4">
        <w:rPr>
          <w:szCs w:val="22"/>
        </w:rPr>
        <w:t xml:space="preserve">nternational </w:t>
      </w:r>
      <w:r w:rsidR="00B246AB">
        <w:rPr>
          <w:szCs w:val="22"/>
        </w:rPr>
        <w:t xml:space="preserve">Bureau </w:t>
      </w:r>
      <w:r w:rsidR="00705095" w:rsidRPr="00836FF4">
        <w:rPr>
          <w:szCs w:val="22"/>
        </w:rPr>
        <w:t>licensees</w:t>
      </w:r>
      <w:r w:rsidR="009F1268" w:rsidRPr="00836FF4">
        <w:rPr>
          <w:szCs w:val="22"/>
        </w:rPr>
        <w:t xml:space="preserve"> have </w:t>
      </w:r>
      <w:r w:rsidR="00C7307E" w:rsidRPr="00F73A42">
        <w:rPr>
          <w:szCs w:val="22"/>
        </w:rPr>
        <w:t>required less</w:t>
      </w:r>
      <w:r w:rsidR="00C7307E" w:rsidRPr="009D0104">
        <w:rPr>
          <w:szCs w:val="22"/>
        </w:rPr>
        <w:t xml:space="preserve"> Commiss</w:t>
      </w:r>
      <w:r w:rsidR="00C7307E" w:rsidRPr="00021046">
        <w:rPr>
          <w:szCs w:val="22"/>
        </w:rPr>
        <w:t>ion oversight and regulation.</w:t>
      </w:r>
      <w:r w:rsidR="00C7307E" w:rsidRPr="005D7588">
        <w:rPr>
          <w:szCs w:val="22"/>
        </w:rPr>
        <w:t xml:space="preserve">  </w:t>
      </w:r>
      <w:r w:rsidR="00457770">
        <w:rPr>
          <w:szCs w:val="22"/>
        </w:rPr>
        <w:t>Thus</w:t>
      </w:r>
      <w:r w:rsidR="006C7057">
        <w:rPr>
          <w:szCs w:val="22"/>
        </w:rPr>
        <w:t>,</w:t>
      </w:r>
      <w:r w:rsidR="00457770">
        <w:rPr>
          <w:szCs w:val="22"/>
        </w:rPr>
        <w:t xml:space="preserve"> t</w:t>
      </w:r>
      <w:r w:rsidR="00C7307E" w:rsidRPr="009D0104">
        <w:rPr>
          <w:szCs w:val="22"/>
        </w:rPr>
        <w:t>he</w:t>
      </w:r>
      <w:r w:rsidR="00C7307E" w:rsidRPr="00A1103B">
        <w:rPr>
          <w:szCs w:val="22"/>
        </w:rPr>
        <w:t xml:space="preserve"> International Bureau</w:t>
      </w:r>
      <w:r w:rsidR="00457770">
        <w:rPr>
          <w:szCs w:val="22"/>
        </w:rPr>
        <w:t xml:space="preserve"> now</w:t>
      </w:r>
      <w:r w:rsidR="00C7307E" w:rsidRPr="00A1103B">
        <w:rPr>
          <w:szCs w:val="22"/>
        </w:rPr>
        <w:t xml:space="preserve"> serves the entire Commission’s international needs, not just the specific requirements of the International Bureau regulatees.  For these reasons, we propose that the International Bureau should </w:t>
      </w:r>
      <w:r w:rsidR="00454342">
        <w:rPr>
          <w:szCs w:val="22"/>
        </w:rPr>
        <w:t>no longer</w:t>
      </w:r>
      <w:r w:rsidR="00C7307E" w:rsidRPr="00A1103B">
        <w:rPr>
          <w:szCs w:val="22"/>
        </w:rPr>
        <w:t xml:space="preserve"> be </w:t>
      </w:r>
      <w:r w:rsidR="0012692F">
        <w:rPr>
          <w:szCs w:val="22"/>
        </w:rPr>
        <w:t xml:space="preserve">entirely </w:t>
      </w:r>
      <w:r w:rsidR="00C7307E" w:rsidRPr="00A1103B">
        <w:rPr>
          <w:szCs w:val="22"/>
        </w:rPr>
        <w:t>classified as a “core bureau” in the way that the Wireline Competition Bureau, Wireless Telecommunications Bureau, and Media Bureau are classified today.</w:t>
      </w:r>
      <w:r w:rsidR="006C7057">
        <w:rPr>
          <w:szCs w:val="22"/>
        </w:rPr>
        <w:t xml:space="preserve">  Below, we seek c</w:t>
      </w:r>
      <w:r w:rsidR="00484942">
        <w:rPr>
          <w:szCs w:val="22"/>
        </w:rPr>
        <w:t>omment on proposal</w:t>
      </w:r>
      <w:r w:rsidR="006C7057">
        <w:rPr>
          <w:szCs w:val="22"/>
        </w:rPr>
        <w:t>s to realloca</w:t>
      </w:r>
      <w:r w:rsidR="006A3395">
        <w:rPr>
          <w:szCs w:val="22"/>
        </w:rPr>
        <w:t>te</w:t>
      </w:r>
      <w:r w:rsidR="006C7057">
        <w:rPr>
          <w:szCs w:val="22"/>
        </w:rPr>
        <w:t xml:space="preserve"> the International Bureau FTEs for regulatory fee purposes</w:t>
      </w:r>
      <w:r w:rsidR="00484942">
        <w:rPr>
          <w:szCs w:val="22"/>
        </w:rPr>
        <w:t>.</w:t>
      </w:r>
    </w:p>
    <w:p w:rsidR="00863A53" w:rsidRPr="00A1103B" w:rsidRDefault="00863A53" w:rsidP="00A1103B">
      <w:pPr>
        <w:pStyle w:val="Heading4"/>
        <w:rPr>
          <w:szCs w:val="22"/>
        </w:rPr>
      </w:pPr>
      <w:bookmarkStart w:id="50" w:name="_Toc351484749"/>
      <w:bookmarkStart w:id="51" w:name="_Toc351484795"/>
      <w:bookmarkStart w:id="52" w:name="_Toc351484937"/>
      <w:r w:rsidRPr="00A1103B">
        <w:rPr>
          <w:szCs w:val="22"/>
        </w:rPr>
        <w:t>Strategic Analysis and Negotiations Division, International Bureau</w:t>
      </w:r>
      <w:bookmarkEnd w:id="50"/>
      <w:bookmarkEnd w:id="51"/>
      <w:bookmarkEnd w:id="52"/>
      <w:r w:rsidRPr="00A1103B">
        <w:rPr>
          <w:szCs w:val="22"/>
        </w:rPr>
        <w:t xml:space="preserve"> </w:t>
      </w:r>
    </w:p>
    <w:p w:rsidR="00F6184B" w:rsidRDefault="00863A53" w:rsidP="00547927">
      <w:pPr>
        <w:pStyle w:val="ParaNum"/>
        <w:tabs>
          <w:tab w:val="num" w:pos="1350"/>
        </w:tabs>
        <w:ind w:left="-90"/>
        <w:rPr>
          <w:szCs w:val="22"/>
        </w:rPr>
      </w:pPr>
      <w:r w:rsidRPr="00A1103B">
        <w:rPr>
          <w:szCs w:val="22"/>
        </w:rPr>
        <w:t xml:space="preserve">Consistent with section 9(b) of the Act, any reallocation methodology we adopt must </w:t>
      </w:r>
      <w:r w:rsidR="00A97C01" w:rsidRPr="00A1103B">
        <w:rPr>
          <w:szCs w:val="22"/>
        </w:rPr>
        <w:t>be reasonably</w:t>
      </w:r>
      <w:r w:rsidRPr="00A1103B">
        <w:rPr>
          <w:szCs w:val="22"/>
        </w:rPr>
        <w:t xml:space="preserve"> related to the benefits provided to the payor of the fee by the Commission’s activities.</w:t>
      </w:r>
      <w:r w:rsidR="009C0D81">
        <w:rPr>
          <w:szCs w:val="22"/>
        </w:rPr>
        <w:t xml:space="preserve"> </w:t>
      </w:r>
      <w:r w:rsidR="00A97C01">
        <w:rPr>
          <w:szCs w:val="22"/>
        </w:rPr>
        <w:t xml:space="preserve"> </w:t>
      </w:r>
      <w:r w:rsidR="009C0D81">
        <w:rPr>
          <w:szCs w:val="22"/>
        </w:rPr>
        <w:t>A reallocation that reflects benefits provided to the fee payor will also meet our objectives of being fair and sustainable.</w:t>
      </w:r>
      <w:r w:rsidRPr="00A1103B">
        <w:rPr>
          <w:szCs w:val="22"/>
        </w:rPr>
        <w:t xml:space="preserve">  Revising the percentage of the </w:t>
      </w:r>
      <w:r w:rsidR="00A02100">
        <w:rPr>
          <w:szCs w:val="22"/>
        </w:rPr>
        <w:t xml:space="preserve">total </w:t>
      </w:r>
      <w:r w:rsidRPr="00A1103B">
        <w:rPr>
          <w:szCs w:val="22"/>
        </w:rPr>
        <w:t>regulatory fee</w:t>
      </w:r>
      <w:r w:rsidR="00D41036">
        <w:rPr>
          <w:szCs w:val="22"/>
        </w:rPr>
        <w:t>s</w:t>
      </w:r>
      <w:r w:rsidRPr="00A1103B">
        <w:rPr>
          <w:szCs w:val="22"/>
        </w:rPr>
        <w:t xml:space="preserve"> </w:t>
      </w:r>
      <w:r w:rsidR="00A02100">
        <w:rPr>
          <w:szCs w:val="22"/>
        </w:rPr>
        <w:t>paid by i</w:t>
      </w:r>
      <w:r w:rsidRPr="00A1103B">
        <w:rPr>
          <w:szCs w:val="22"/>
        </w:rPr>
        <w:t xml:space="preserve">nternational </w:t>
      </w:r>
      <w:r w:rsidR="00A02100">
        <w:rPr>
          <w:szCs w:val="22"/>
        </w:rPr>
        <w:t>service providers to re</w:t>
      </w:r>
      <w:r w:rsidR="00E67EEF">
        <w:rPr>
          <w:szCs w:val="22"/>
        </w:rPr>
        <w:t xml:space="preserve">flect </w:t>
      </w:r>
      <w:r w:rsidRPr="00A1103B">
        <w:rPr>
          <w:szCs w:val="22"/>
        </w:rPr>
        <w:t xml:space="preserve">the </w:t>
      </w:r>
      <w:r w:rsidR="00E67EEF">
        <w:rPr>
          <w:szCs w:val="22"/>
        </w:rPr>
        <w:t xml:space="preserve">full </w:t>
      </w:r>
      <w:r w:rsidRPr="00A1103B">
        <w:rPr>
          <w:szCs w:val="22"/>
        </w:rPr>
        <w:t xml:space="preserve">percentage of </w:t>
      </w:r>
      <w:r w:rsidR="00E67EEF">
        <w:rPr>
          <w:szCs w:val="22"/>
        </w:rPr>
        <w:t xml:space="preserve">direct FTEs in the </w:t>
      </w:r>
      <w:r w:rsidRPr="00A1103B">
        <w:rPr>
          <w:szCs w:val="22"/>
        </w:rPr>
        <w:t xml:space="preserve">International Bureau </w:t>
      </w:r>
      <w:r w:rsidR="00A02100">
        <w:rPr>
          <w:szCs w:val="22"/>
        </w:rPr>
        <w:t xml:space="preserve">would </w:t>
      </w:r>
      <w:r w:rsidRPr="00A1103B">
        <w:rPr>
          <w:szCs w:val="22"/>
        </w:rPr>
        <w:t>promote fairness if we determine</w:t>
      </w:r>
      <w:r w:rsidR="007E15AB">
        <w:rPr>
          <w:szCs w:val="22"/>
        </w:rPr>
        <w:t>d</w:t>
      </w:r>
      <w:r w:rsidRPr="00A1103B">
        <w:rPr>
          <w:szCs w:val="22"/>
        </w:rPr>
        <w:t xml:space="preserve"> that the increase in International Bureau FTEs is due to a corresponding increase in FTEs working on regulation and oversight of </w:t>
      </w:r>
      <w:r w:rsidR="007E15AB">
        <w:rPr>
          <w:szCs w:val="22"/>
        </w:rPr>
        <w:t>international service providers</w:t>
      </w:r>
      <w:r w:rsidRPr="00A1103B">
        <w:rPr>
          <w:szCs w:val="22"/>
        </w:rPr>
        <w:t>.  If</w:t>
      </w:r>
      <w:r w:rsidR="00E67EEF">
        <w:rPr>
          <w:szCs w:val="22"/>
        </w:rPr>
        <w:t xml:space="preserve">, </w:t>
      </w:r>
      <w:r w:rsidR="00F20622">
        <w:rPr>
          <w:szCs w:val="22"/>
        </w:rPr>
        <w:t xml:space="preserve">instead, the </w:t>
      </w:r>
      <w:r w:rsidR="00E67EEF">
        <w:rPr>
          <w:szCs w:val="22"/>
        </w:rPr>
        <w:t xml:space="preserve">increase is attributable to the increasing number of </w:t>
      </w:r>
      <w:r w:rsidRPr="00A1103B">
        <w:rPr>
          <w:szCs w:val="22"/>
        </w:rPr>
        <w:t>International Bureau FTEs perform</w:t>
      </w:r>
      <w:r w:rsidR="00E67EEF">
        <w:rPr>
          <w:szCs w:val="22"/>
        </w:rPr>
        <w:t>ing</w:t>
      </w:r>
      <w:r w:rsidRPr="00A1103B">
        <w:rPr>
          <w:szCs w:val="22"/>
        </w:rPr>
        <w:t xml:space="preserve"> duties </w:t>
      </w:r>
      <w:r w:rsidR="00520FA6">
        <w:rPr>
          <w:szCs w:val="22"/>
        </w:rPr>
        <w:t>that</w:t>
      </w:r>
      <w:r w:rsidR="00F20622">
        <w:rPr>
          <w:szCs w:val="22"/>
        </w:rPr>
        <w:t xml:space="preserve"> are </w:t>
      </w:r>
      <w:r w:rsidR="00F20622" w:rsidRPr="00A1103B">
        <w:rPr>
          <w:szCs w:val="22"/>
        </w:rPr>
        <w:t>related to the Commission as a whole</w:t>
      </w:r>
      <w:r w:rsidR="00F20622">
        <w:rPr>
          <w:szCs w:val="22"/>
        </w:rPr>
        <w:t xml:space="preserve"> or </w:t>
      </w:r>
      <w:r w:rsidR="00E67EEF">
        <w:rPr>
          <w:szCs w:val="22"/>
        </w:rPr>
        <w:t>benefi</w:t>
      </w:r>
      <w:r w:rsidR="00520FA6">
        <w:rPr>
          <w:szCs w:val="22"/>
        </w:rPr>
        <w:t>t service providers regulated by other Bureaus</w:t>
      </w:r>
      <w:r w:rsidRPr="00A1103B">
        <w:rPr>
          <w:szCs w:val="22"/>
        </w:rPr>
        <w:t xml:space="preserve">, </w:t>
      </w:r>
      <w:r w:rsidR="00520FA6">
        <w:rPr>
          <w:szCs w:val="22"/>
        </w:rPr>
        <w:t xml:space="preserve">the fee increase </w:t>
      </w:r>
      <w:r w:rsidR="00E67EEF">
        <w:rPr>
          <w:szCs w:val="22"/>
        </w:rPr>
        <w:t xml:space="preserve">should not be </w:t>
      </w:r>
      <w:r w:rsidR="00520FA6">
        <w:rPr>
          <w:szCs w:val="22"/>
        </w:rPr>
        <w:t xml:space="preserve">imposed </w:t>
      </w:r>
      <w:r w:rsidR="00E67EEF">
        <w:rPr>
          <w:szCs w:val="22"/>
        </w:rPr>
        <w:t xml:space="preserve">solely on </w:t>
      </w:r>
      <w:r w:rsidR="008A6B42">
        <w:rPr>
          <w:szCs w:val="22"/>
        </w:rPr>
        <w:t>i</w:t>
      </w:r>
      <w:r w:rsidR="00E67EEF">
        <w:rPr>
          <w:szCs w:val="22"/>
        </w:rPr>
        <w:t xml:space="preserve">nternational </w:t>
      </w:r>
      <w:r w:rsidR="008A6B42">
        <w:rPr>
          <w:szCs w:val="22"/>
        </w:rPr>
        <w:t>service providers</w:t>
      </w:r>
      <w:r w:rsidR="00F20622">
        <w:rPr>
          <w:szCs w:val="22"/>
        </w:rPr>
        <w:t xml:space="preserve">.  Rather, it </w:t>
      </w:r>
      <w:r w:rsidR="00B52F19">
        <w:rPr>
          <w:szCs w:val="22"/>
        </w:rPr>
        <w:t>should</w:t>
      </w:r>
      <w:r w:rsidR="00F20622">
        <w:rPr>
          <w:szCs w:val="22"/>
        </w:rPr>
        <w:t xml:space="preserve"> also</w:t>
      </w:r>
      <w:r w:rsidR="00B52F19">
        <w:rPr>
          <w:szCs w:val="22"/>
        </w:rPr>
        <w:t xml:space="preserve"> be a</w:t>
      </w:r>
      <w:r w:rsidRPr="00A1103B">
        <w:rPr>
          <w:szCs w:val="22"/>
        </w:rPr>
        <w:t>llocat</w:t>
      </w:r>
      <w:r w:rsidR="00B26431">
        <w:rPr>
          <w:szCs w:val="22"/>
        </w:rPr>
        <w:t>ed</w:t>
      </w:r>
      <w:r w:rsidRPr="00A1103B">
        <w:rPr>
          <w:szCs w:val="22"/>
        </w:rPr>
        <w:t xml:space="preserve"> to</w:t>
      </w:r>
      <w:r w:rsidR="00F20622">
        <w:rPr>
          <w:szCs w:val="22"/>
        </w:rPr>
        <w:t xml:space="preserve"> the</w:t>
      </w:r>
      <w:r w:rsidRPr="00A1103B">
        <w:rPr>
          <w:szCs w:val="22"/>
        </w:rPr>
        <w:t xml:space="preserve"> </w:t>
      </w:r>
      <w:r w:rsidR="00B52F19">
        <w:rPr>
          <w:szCs w:val="22"/>
        </w:rPr>
        <w:t xml:space="preserve">other </w:t>
      </w:r>
      <w:r w:rsidRPr="00A1103B">
        <w:rPr>
          <w:szCs w:val="22"/>
        </w:rPr>
        <w:t>regulatory fee categories</w:t>
      </w:r>
      <w:r w:rsidR="00E67EEF">
        <w:rPr>
          <w:szCs w:val="22"/>
        </w:rPr>
        <w:t xml:space="preserve"> </w:t>
      </w:r>
      <w:r w:rsidR="00B52F19">
        <w:rPr>
          <w:szCs w:val="22"/>
        </w:rPr>
        <w:t xml:space="preserve">whose fee payors </w:t>
      </w:r>
      <w:r w:rsidR="00E67EEF">
        <w:rPr>
          <w:szCs w:val="22"/>
        </w:rPr>
        <w:t xml:space="preserve">benefit from </w:t>
      </w:r>
      <w:r w:rsidR="00F20622">
        <w:rPr>
          <w:szCs w:val="22"/>
        </w:rPr>
        <w:t xml:space="preserve">that </w:t>
      </w:r>
      <w:r w:rsidR="00E67EEF">
        <w:rPr>
          <w:szCs w:val="22"/>
        </w:rPr>
        <w:t>work</w:t>
      </w:r>
      <w:r w:rsidRPr="00A1103B">
        <w:rPr>
          <w:szCs w:val="22"/>
        </w:rPr>
        <w:t>.</w:t>
      </w:r>
    </w:p>
    <w:p w:rsidR="00F6184B" w:rsidRDefault="00E67EEF" w:rsidP="00547927">
      <w:pPr>
        <w:pStyle w:val="ParaNum"/>
        <w:tabs>
          <w:tab w:val="num" w:pos="1350"/>
        </w:tabs>
        <w:ind w:left="-90"/>
        <w:rPr>
          <w:szCs w:val="22"/>
        </w:rPr>
      </w:pPr>
      <w:r>
        <w:rPr>
          <w:szCs w:val="22"/>
        </w:rPr>
        <w:t>For example</w:t>
      </w:r>
      <w:r w:rsidR="00863A53" w:rsidRPr="00A1103B">
        <w:rPr>
          <w:szCs w:val="22"/>
        </w:rPr>
        <w:t xml:space="preserve">, the largest </w:t>
      </w:r>
      <w:r>
        <w:rPr>
          <w:szCs w:val="22"/>
        </w:rPr>
        <w:t xml:space="preserve">division in the </w:t>
      </w:r>
      <w:r w:rsidR="00863A53" w:rsidRPr="00A1103B">
        <w:rPr>
          <w:szCs w:val="22"/>
        </w:rPr>
        <w:t>International Bureau is the Strategic Analysis and Negotiations Division (SAND), w</w:t>
      </w:r>
      <w:r>
        <w:rPr>
          <w:szCs w:val="22"/>
        </w:rPr>
        <w:t xml:space="preserve">hich </w:t>
      </w:r>
      <w:r w:rsidR="00863A53" w:rsidRPr="00A1103B">
        <w:rPr>
          <w:szCs w:val="22"/>
        </w:rPr>
        <w:t xml:space="preserve">is not </w:t>
      </w:r>
      <w:r w:rsidR="00D41036">
        <w:rPr>
          <w:szCs w:val="22"/>
        </w:rPr>
        <w:t xml:space="preserve">significantly </w:t>
      </w:r>
      <w:r w:rsidR="00863A53" w:rsidRPr="00A1103B">
        <w:rPr>
          <w:szCs w:val="22"/>
        </w:rPr>
        <w:t xml:space="preserve">involved in regulation or oversight of International Bureau </w:t>
      </w:r>
      <w:r w:rsidR="009549AB">
        <w:rPr>
          <w:szCs w:val="22"/>
        </w:rPr>
        <w:t>regulatees</w:t>
      </w:r>
      <w:r w:rsidR="00863A53" w:rsidRPr="00A1103B">
        <w:rPr>
          <w:szCs w:val="22"/>
        </w:rPr>
        <w:t>.  Instead</w:t>
      </w:r>
      <w:r w:rsidR="00A56581">
        <w:rPr>
          <w:szCs w:val="22"/>
        </w:rPr>
        <w:t>,</w:t>
      </w:r>
      <w:r w:rsidR="00863A53" w:rsidRPr="00A1103B">
        <w:rPr>
          <w:szCs w:val="22"/>
        </w:rPr>
        <w:t xml:space="preserve"> SAND is responsible for intergovernmental and regional leadership, negotiating, and planning—processes that </w:t>
      </w:r>
      <w:r w:rsidR="00A56581">
        <w:rPr>
          <w:szCs w:val="22"/>
        </w:rPr>
        <w:t xml:space="preserve">benefit offices and bureaus throughout the </w:t>
      </w:r>
      <w:r w:rsidR="00863A53" w:rsidRPr="00A1103B">
        <w:rPr>
          <w:szCs w:val="22"/>
        </w:rPr>
        <w:t xml:space="preserve">Commission.  SAND oversees the Commission’s global participation in international forums such as the </w:t>
      </w:r>
      <w:r w:rsidR="004D4943">
        <w:rPr>
          <w:szCs w:val="22"/>
        </w:rPr>
        <w:t>International Telecommunication</w:t>
      </w:r>
      <w:r w:rsidR="00863A53" w:rsidRPr="00A1103B">
        <w:rPr>
          <w:szCs w:val="22"/>
        </w:rPr>
        <w:t xml:space="preserve"> Union (ITU), including World Radio</w:t>
      </w:r>
      <w:r w:rsidR="00D1686A">
        <w:rPr>
          <w:szCs w:val="22"/>
        </w:rPr>
        <w:t>-</w:t>
      </w:r>
      <w:r w:rsidR="00863A53" w:rsidRPr="00A1103B">
        <w:rPr>
          <w:szCs w:val="22"/>
        </w:rPr>
        <w:t xml:space="preserve">communication Conferences; various regional organizations, such as the Asia-Pacific Economic Cooperation, the Inter-American Telecommunications Conference, and the Organization for Economic Cooperation and Development; and cross-border negotiations with Canada and Mexico.  </w:t>
      </w:r>
      <w:r w:rsidR="00A56581">
        <w:rPr>
          <w:szCs w:val="22"/>
        </w:rPr>
        <w:t>These</w:t>
      </w:r>
      <w:r w:rsidR="00863A53" w:rsidRPr="00A1103B">
        <w:rPr>
          <w:szCs w:val="22"/>
        </w:rPr>
        <w:t xml:space="preserve"> activities cover telecommunications services outside of the bureau’s direct oversight and regulatory activities, e.g., coordination of wireless services with Canada and Mexico.</w:t>
      </w:r>
      <w:r w:rsidR="00863A53" w:rsidRPr="00A1103B">
        <w:rPr>
          <w:rStyle w:val="FootnoteReference"/>
          <w:szCs w:val="22"/>
        </w:rPr>
        <w:footnoteReference w:id="47"/>
      </w:r>
      <w:r w:rsidR="00863A53" w:rsidRPr="00A1103B">
        <w:rPr>
          <w:szCs w:val="22"/>
        </w:rPr>
        <w:t xml:space="preserve">  SAND also performs oversight to enable the International Bureau to integrate international and bilateral meetings with visits to the Commission by foreign regulators and other government officials.  SAND is responsible for performing economic and policy analyses for the International Bureau concerning trends in the international communications markets and services.  Finally, SAND conducts research and studies concerning international regulatory trends, as well as their implications on U.S. policy.  </w:t>
      </w:r>
      <w:r w:rsidR="00157425">
        <w:rPr>
          <w:szCs w:val="22"/>
        </w:rPr>
        <w:t>For these reasons w</w:t>
      </w:r>
      <w:r w:rsidR="00863A53" w:rsidRPr="00A1103B">
        <w:rPr>
          <w:szCs w:val="22"/>
        </w:rPr>
        <w:t>e propose</w:t>
      </w:r>
      <w:r w:rsidR="0056416C">
        <w:rPr>
          <w:szCs w:val="22"/>
        </w:rPr>
        <w:t xml:space="preserve"> </w:t>
      </w:r>
      <w:r w:rsidR="00863A53" w:rsidRPr="00A1103B">
        <w:rPr>
          <w:szCs w:val="22"/>
        </w:rPr>
        <w:t>excluding the</w:t>
      </w:r>
      <w:r w:rsidR="0056416C">
        <w:rPr>
          <w:szCs w:val="22"/>
        </w:rPr>
        <w:t xml:space="preserve"> SAND</w:t>
      </w:r>
      <w:r w:rsidR="00863A53" w:rsidRPr="00A1103B">
        <w:rPr>
          <w:szCs w:val="22"/>
        </w:rPr>
        <w:t xml:space="preserve"> FTEs from the International Bureau for regulatory fee purposes and instead allocating them as indirect FTEs.</w:t>
      </w:r>
      <w:r w:rsidR="00863A53" w:rsidRPr="00A1103B">
        <w:rPr>
          <w:rStyle w:val="FootnoteReference"/>
          <w:szCs w:val="22"/>
        </w:rPr>
        <w:footnoteReference w:id="48"/>
      </w:r>
      <w:r w:rsidR="00863A53" w:rsidRPr="00A1103B">
        <w:rPr>
          <w:szCs w:val="22"/>
        </w:rPr>
        <w:t xml:space="preserve">  </w:t>
      </w:r>
      <w:r>
        <w:rPr>
          <w:szCs w:val="22"/>
        </w:rPr>
        <w:t>We seek comment on this proposal.</w:t>
      </w:r>
    </w:p>
    <w:p w:rsidR="00863A53" w:rsidRPr="00A1103B" w:rsidRDefault="00863A53" w:rsidP="00A1103B">
      <w:pPr>
        <w:pStyle w:val="Heading4"/>
        <w:rPr>
          <w:szCs w:val="22"/>
        </w:rPr>
      </w:pPr>
      <w:bookmarkStart w:id="53" w:name="_Toc351484750"/>
      <w:bookmarkStart w:id="54" w:name="_Toc351484796"/>
      <w:bookmarkStart w:id="55" w:name="_Toc351484938"/>
      <w:r w:rsidRPr="00A1103B">
        <w:rPr>
          <w:szCs w:val="22"/>
        </w:rPr>
        <w:t>Satellite Division, International Bureau</w:t>
      </w:r>
      <w:bookmarkEnd w:id="53"/>
      <w:bookmarkEnd w:id="54"/>
      <w:bookmarkEnd w:id="55"/>
    </w:p>
    <w:p w:rsidR="00F6184B" w:rsidRDefault="00E67EEF" w:rsidP="00547927">
      <w:pPr>
        <w:pStyle w:val="ParaNum"/>
        <w:tabs>
          <w:tab w:val="num" w:pos="1350"/>
        </w:tabs>
        <w:ind w:left="-90"/>
        <w:rPr>
          <w:szCs w:val="22"/>
        </w:rPr>
      </w:pPr>
      <w:r>
        <w:rPr>
          <w:szCs w:val="22"/>
        </w:rPr>
        <w:t xml:space="preserve">In contrast to SAND, </w:t>
      </w:r>
      <w:r w:rsidR="00863A53" w:rsidRPr="00A1103B">
        <w:rPr>
          <w:szCs w:val="22"/>
        </w:rPr>
        <w:t xml:space="preserve">the </w:t>
      </w:r>
      <w:r w:rsidR="00CC3CF9">
        <w:rPr>
          <w:szCs w:val="22"/>
        </w:rPr>
        <w:t xml:space="preserve">International Bureau’s </w:t>
      </w:r>
      <w:r w:rsidR="00863A53" w:rsidRPr="00A1103B">
        <w:rPr>
          <w:szCs w:val="22"/>
        </w:rPr>
        <w:t xml:space="preserve">Satellite Division is responsible for the regulation and oversight of </w:t>
      </w:r>
      <w:r w:rsidR="00D41036">
        <w:rPr>
          <w:szCs w:val="22"/>
        </w:rPr>
        <w:t>satellite system licensee</w:t>
      </w:r>
      <w:r w:rsidR="00CC3CF9">
        <w:rPr>
          <w:szCs w:val="22"/>
        </w:rPr>
        <w:t xml:space="preserve">s, specifically operators of </w:t>
      </w:r>
      <w:r w:rsidR="00D41036">
        <w:rPr>
          <w:szCs w:val="22"/>
        </w:rPr>
        <w:t xml:space="preserve">space stations </w:t>
      </w:r>
      <w:r w:rsidR="00863A53" w:rsidRPr="00A1103B">
        <w:rPr>
          <w:szCs w:val="22"/>
        </w:rPr>
        <w:t>and earth stations</w:t>
      </w:r>
      <w:r w:rsidR="00CC3CF9">
        <w:rPr>
          <w:szCs w:val="22"/>
        </w:rPr>
        <w:t>,</w:t>
      </w:r>
      <w:r w:rsidR="00863A53" w:rsidRPr="00A1103B">
        <w:rPr>
          <w:szCs w:val="22"/>
        </w:rPr>
        <w:t xml:space="preserve"> by authorizing satellite systems to facilitate deployment of satellite services and fostering efficient use of the radio frequency spectrum and orbital resources.  In addition to the application and licensing process</w:t>
      </w:r>
      <w:r w:rsidR="00295980">
        <w:rPr>
          <w:szCs w:val="22"/>
        </w:rPr>
        <w:t>,</w:t>
      </w:r>
      <w:r w:rsidR="00863A53" w:rsidRPr="00A1103B">
        <w:rPr>
          <w:szCs w:val="22"/>
        </w:rPr>
        <w:t xml:space="preserve"> the Satellite Division provides expertise about the commercial satellite industry in the domestic spectrum management process and advocates U.S. satellite radiocommunication interests in international coordinations and negotiations.  The Satellite Division is also responsible for </w:t>
      </w:r>
      <w:r w:rsidR="00B80535">
        <w:rPr>
          <w:szCs w:val="22"/>
        </w:rPr>
        <w:t xml:space="preserve">the process of </w:t>
      </w:r>
      <w:r w:rsidR="00863A53" w:rsidRPr="00A1103B">
        <w:rPr>
          <w:szCs w:val="22"/>
        </w:rPr>
        <w:t>placing non-U.S.-licensed space stations on a “Permitted List</w:t>
      </w:r>
      <w:r w:rsidR="00B80535">
        <w:rPr>
          <w:szCs w:val="22"/>
        </w:rPr>
        <w:t>,</w:t>
      </w:r>
      <w:r w:rsidR="00863A53" w:rsidRPr="00A1103B">
        <w:rPr>
          <w:szCs w:val="22"/>
        </w:rPr>
        <w:t>”</w:t>
      </w:r>
      <w:r w:rsidR="00863A53" w:rsidRPr="00A1103B">
        <w:rPr>
          <w:rStyle w:val="FootnoteReference"/>
          <w:szCs w:val="22"/>
        </w:rPr>
        <w:footnoteReference w:id="49"/>
      </w:r>
      <w:r w:rsidR="00E57FF7">
        <w:rPr>
          <w:szCs w:val="22"/>
        </w:rPr>
        <w:t xml:space="preserve"> </w:t>
      </w:r>
      <w:r w:rsidR="00863A53" w:rsidRPr="00A1103B">
        <w:rPr>
          <w:szCs w:val="22"/>
        </w:rPr>
        <w:t xml:space="preserve">a process that is similar to the application process and allows access to the U.S. market for </w:t>
      </w:r>
      <w:r w:rsidR="00D41036">
        <w:rPr>
          <w:szCs w:val="22"/>
        </w:rPr>
        <w:t xml:space="preserve">certain </w:t>
      </w:r>
      <w:r w:rsidR="00863A53" w:rsidRPr="00A1103B">
        <w:rPr>
          <w:szCs w:val="22"/>
        </w:rPr>
        <w:t>non-U.S.</w:t>
      </w:r>
      <w:r w:rsidR="00E57FF7">
        <w:rPr>
          <w:szCs w:val="22"/>
        </w:rPr>
        <w:t xml:space="preserve"> </w:t>
      </w:r>
      <w:r w:rsidR="00863A53" w:rsidRPr="00A1103B">
        <w:rPr>
          <w:szCs w:val="22"/>
        </w:rPr>
        <w:t>licensed satellites.</w:t>
      </w:r>
      <w:r w:rsidR="00863A53" w:rsidRPr="00A1103B">
        <w:rPr>
          <w:rStyle w:val="FootnoteReference"/>
          <w:szCs w:val="22"/>
        </w:rPr>
        <w:footnoteReference w:id="50"/>
      </w:r>
      <w:r w:rsidR="00D41036">
        <w:rPr>
          <w:szCs w:val="22"/>
        </w:rPr>
        <w:t xml:space="preserve">  The Satellite Division also reviews market access requests that are not eligible for inclusion on a Permitted List.</w:t>
      </w:r>
    </w:p>
    <w:p w:rsidR="00F6184B" w:rsidRDefault="002063C6" w:rsidP="00547927">
      <w:pPr>
        <w:pStyle w:val="ParaNum"/>
        <w:tabs>
          <w:tab w:val="num" w:pos="1350"/>
        </w:tabs>
        <w:ind w:left="-90"/>
        <w:rPr>
          <w:szCs w:val="22"/>
        </w:rPr>
      </w:pPr>
      <w:r>
        <w:rPr>
          <w:szCs w:val="22"/>
        </w:rPr>
        <w:t>We</w:t>
      </w:r>
      <w:r w:rsidR="00863A53" w:rsidRPr="00A1103B">
        <w:rPr>
          <w:szCs w:val="22"/>
        </w:rPr>
        <w:t xml:space="preserve"> propose that </w:t>
      </w:r>
      <w:r w:rsidR="00AD7310">
        <w:rPr>
          <w:szCs w:val="22"/>
        </w:rPr>
        <w:t xml:space="preserve">of </w:t>
      </w:r>
      <w:r w:rsidR="00A44CC8">
        <w:rPr>
          <w:szCs w:val="22"/>
        </w:rPr>
        <w:t xml:space="preserve">all </w:t>
      </w:r>
      <w:r w:rsidR="00863A53" w:rsidRPr="00A1103B">
        <w:rPr>
          <w:szCs w:val="22"/>
        </w:rPr>
        <w:t xml:space="preserve">the </w:t>
      </w:r>
      <w:r>
        <w:rPr>
          <w:szCs w:val="22"/>
        </w:rPr>
        <w:t xml:space="preserve">International Bureau’s </w:t>
      </w:r>
      <w:r w:rsidR="00863A53" w:rsidRPr="00A1103B">
        <w:rPr>
          <w:szCs w:val="22"/>
        </w:rPr>
        <w:t>Satellite Division</w:t>
      </w:r>
      <w:r w:rsidR="00F01A04">
        <w:rPr>
          <w:szCs w:val="22"/>
        </w:rPr>
        <w:t xml:space="preserve"> </w:t>
      </w:r>
      <w:r w:rsidR="00AD7310">
        <w:rPr>
          <w:szCs w:val="22"/>
        </w:rPr>
        <w:t xml:space="preserve">employees whose work involves regulation of International Bureau regulatees, </w:t>
      </w:r>
      <w:r w:rsidR="00A44CC8">
        <w:rPr>
          <w:szCs w:val="22"/>
        </w:rPr>
        <w:t xml:space="preserve">we </w:t>
      </w:r>
      <w:r w:rsidR="00E57FF7">
        <w:rPr>
          <w:szCs w:val="22"/>
        </w:rPr>
        <w:t>use</w:t>
      </w:r>
      <w:r w:rsidR="00A44CC8">
        <w:rPr>
          <w:szCs w:val="22"/>
        </w:rPr>
        <w:t xml:space="preserve"> 25 </w:t>
      </w:r>
      <w:r w:rsidR="00863A53" w:rsidRPr="00A1103B">
        <w:rPr>
          <w:szCs w:val="22"/>
        </w:rPr>
        <w:t>direct FTEs</w:t>
      </w:r>
      <w:r w:rsidR="00863A53" w:rsidRPr="00A1103B">
        <w:rPr>
          <w:rStyle w:val="FootnoteReference"/>
          <w:szCs w:val="22"/>
        </w:rPr>
        <w:footnoteReference w:id="51"/>
      </w:r>
      <w:r w:rsidR="00863A53" w:rsidRPr="00A1103B">
        <w:rPr>
          <w:szCs w:val="22"/>
        </w:rPr>
        <w:t xml:space="preserve"> </w:t>
      </w:r>
      <w:r w:rsidR="00A44CC8">
        <w:rPr>
          <w:szCs w:val="22"/>
        </w:rPr>
        <w:t xml:space="preserve">to </w:t>
      </w:r>
      <w:r w:rsidR="00863A53" w:rsidRPr="00A1103B">
        <w:rPr>
          <w:szCs w:val="22"/>
        </w:rPr>
        <w:t xml:space="preserve">determine the regulatory fees for both satellite </w:t>
      </w:r>
      <w:r w:rsidR="004D4943">
        <w:rPr>
          <w:szCs w:val="22"/>
        </w:rPr>
        <w:t xml:space="preserve">space stations </w:t>
      </w:r>
      <w:r w:rsidR="00863A53" w:rsidRPr="00A1103B">
        <w:rPr>
          <w:szCs w:val="22"/>
        </w:rPr>
        <w:t>and earth stations.</w:t>
      </w:r>
      <w:r w:rsidR="00863A53" w:rsidRPr="00A1103B">
        <w:rPr>
          <w:rStyle w:val="FootnoteReference"/>
          <w:szCs w:val="22"/>
        </w:rPr>
        <w:footnoteReference w:id="52"/>
      </w:r>
      <w:r w:rsidR="00863A53" w:rsidRPr="00A1103B">
        <w:rPr>
          <w:szCs w:val="22"/>
        </w:rPr>
        <w:t xml:space="preserve"> </w:t>
      </w:r>
      <w:r w:rsidR="00863A53" w:rsidRPr="00A1103B">
        <w:rPr>
          <w:b/>
          <w:szCs w:val="22"/>
        </w:rPr>
        <w:t xml:space="preserve"> </w:t>
      </w:r>
      <w:r w:rsidR="00863A53" w:rsidRPr="00A1103B">
        <w:rPr>
          <w:szCs w:val="22"/>
        </w:rPr>
        <w:t>We seek comment on this proposal.</w:t>
      </w:r>
    </w:p>
    <w:p w:rsidR="00863A53" w:rsidRPr="00A1103B" w:rsidRDefault="00863A53" w:rsidP="00A1103B">
      <w:pPr>
        <w:pStyle w:val="Heading4"/>
        <w:rPr>
          <w:szCs w:val="22"/>
        </w:rPr>
      </w:pPr>
      <w:bookmarkStart w:id="56" w:name="_Toc351484751"/>
      <w:bookmarkStart w:id="57" w:name="_Toc351484797"/>
      <w:bookmarkStart w:id="58" w:name="_Toc351484939"/>
      <w:r w:rsidRPr="00A1103B">
        <w:rPr>
          <w:szCs w:val="22"/>
        </w:rPr>
        <w:t>Policy Division, International Bureau</w:t>
      </w:r>
      <w:bookmarkEnd w:id="56"/>
      <w:bookmarkEnd w:id="57"/>
      <w:bookmarkEnd w:id="58"/>
    </w:p>
    <w:p w:rsidR="00F6184B" w:rsidRDefault="00863A53" w:rsidP="00547927">
      <w:pPr>
        <w:pStyle w:val="ParaNum"/>
        <w:tabs>
          <w:tab w:val="num" w:pos="1350"/>
        </w:tabs>
        <w:ind w:left="-90"/>
        <w:rPr>
          <w:szCs w:val="22"/>
        </w:rPr>
      </w:pPr>
      <w:r w:rsidRPr="00A1103B">
        <w:rPr>
          <w:szCs w:val="22"/>
        </w:rPr>
        <w:t>The</w:t>
      </w:r>
      <w:r w:rsidR="009D2EE8">
        <w:rPr>
          <w:szCs w:val="22"/>
        </w:rPr>
        <w:t xml:space="preserve"> work of the </w:t>
      </w:r>
      <w:r w:rsidRPr="00A1103B">
        <w:rPr>
          <w:szCs w:val="22"/>
        </w:rPr>
        <w:t xml:space="preserve">third division in the International Bureau, the Policy Division, </w:t>
      </w:r>
      <w:r w:rsidR="00385E88">
        <w:rPr>
          <w:szCs w:val="22"/>
        </w:rPr>
        <w:t xml:space="preserve">is multifaceted.  The Policy Division work involves development of polices in connection with </w:t>
      </w:r>
      <w:r w:rsidRPr="00A1103B">
        <w:rPr>
          <w:szCs w:val="22"/>
        </w:rPr>
        <w:t>regulat</w:t>
      </w:r>
      <w:r w:rsidR="009D2EE8">
        <w:rPr>
          <w:szCs w:val="22"/>
        </w:rPr>
        <w:t>ion</w:t>
      </w:r>
      <w:r w:rsidRPr="00A1103B">
        <w:rPr>
          <w:szCs w:val="22"/>
        </w:rPr>
        <w:t xml:space="preserve"> and </w:t>
      </w:r>
      <w:r w:rsidR="00385E88">
        <w:rPr>
          <w:szCs w:val="22"/>
        </w:rPr>
        <w:t xml:space="preserve">licensing </w:t>
      </w:r>
      <w:r w:rsidR="009D2EE8">
        <w:rPr>
          <w:szCs w:val="22"/>
        </w:rPr>
        <w:t>of</w:t>
      </w:r>
      <w:r w:rsidRPr="00A1103B">
        <w:rPr>
          <w:szCs w:val="22"/>
        </w:rPr>
        <w:t xml:space="preserve"> </w:t>
      </w:r>
      <w:r w:rsidR="00385E88">
        <w:rPr>
          <w:szCs w:val="22"/>
        </w:rPr>
        <w:t xml:space="preserve">international facilities and services </w:t>
      </w:r>
      <w:r w:rsidRPr="00A1103B">
        <w:rPr>
          <w:szCs w:val="22"/>
        </w:rPr>
        <w:t>(including submarine cable systems</w:t>
      </w:r>
      <w:r w:rsidR="00385E88">
        <w:rPr>
          <w:szCs w:val="22"/>
        </w:rPr>
        <w:t>, which provide bearer circuits</w:t>
      </w:r>
      <w:r w:rsidR="009D2EE8">
        <w:rPr>
          <w:szCs w:val="22"/>
        </w:rPr>
        <w:t>).</w:t>
      </w:r>
      <w:r w:rsidRPr="00A1103B">
        <w:rPr>
          <w:szCs w:val="22"/>
        </w:rPr>
        <w:t xml:space="preserve">  </w:t>
      </w:r>
      <w:r w:rsidR="009D2EE8">
        <w:rPr>
          <w:szCs w:val="22"/>
        </w:rPr>
        <w:t>The</w:t>
      </w:r>
      <w:r w:rsidRPr="00A1103B">
        <w:rPr>
          <w:szCs w:val="22"/>
        </w:rPr>
        <w:t xml:space="preserve"> Policy Division conducts international spectrum rulemakings, </w:t>
      </w:r>
      <w:r w:rsidR="00385E88">
        <w:rPr>
          <w:szCs w:val="22"/>
        </w:rPr>
        <w:t>handles applications for transfer and assignment of international service providers and implements Commission policies designed to protect competition in international telecommunications</w:t>
      </w:r>
      <w:r w:rsidR="008F7A2E">
        <w:rPr>
          <w:szCs w:val="22"/>
        </w:rPr>
        <w:t>,</w:t>
      </w:r>
      <w:r w:rsidR="00385E88">
        <w:rPr>
          <w:szCs w:val="22"/>
        </w:rPr>
        <w:t xml:space="preserve"> and promotes lower international calling rates for U.S. consumers.  It coordinates and </w:t>
      </w:r>
      <w:r w:rsidRPr="00A1103B">
        <w:rPr>
          <w:szCs w:val="22"/>
        </w:rPr>
        <w:t xml:space="preserve">provides guidance to and shares its expertise with the Commission and other agencies.  </w:t>
      </w:r>
      <w:r w:rsidR="00385E88">
        <w:rPr>
          <w:szCs w:val="22"/>
        </w:rPr>
        <w:t xml:space="preserve">For example, the Policy Division oversees Commission policies involving foreign ownership of U.S. telecommunications providers, and in this connection, coordinates major mergers and other </w:t>
      </w:r>
      <w:r w:rsidR="00412EDE">
        <w:rPr>
          <w:szCs w:val="22"/>
        </w:rPr>
        <w:t xml:space="preserve">license </w:t>
      </w:r>
      <w:r w:rsidR="00385E88">
        <w:rPr>
          <w:szCs w:val="22"/>
        </w:rPr>
        <w:t xml:space="preserve">applications with U.S. agencies on matters relating to national security, law enforcement, foreign policy, and trade policy.  </w:t>
      </w:r>
      <w:r w:rsidR="009D2EE8">
        <w:rPr>
          <w:szCs w:val="22"/>
        </w:rPr>
        <w:t>Many of t</w:t>
      </w:r>
      <w:r w:rsidRPr="00A1103B">
        <w:rPr>
          <w:szCs w:val="22"/>
        </w:rPr>
        <w:t>he</w:t>
      </w:r>
      <w:r w:rsidR="00A851C7">
        <w:rPr>
          <w:szCs w:val="22"/>
        </w:rPr>
        <w:t>se</w:t>
      </w:r>
      <w:r w:rsidRPr="00A1103B">
        <w:rPr>
          <w:szCs w:val="22"/>
        </w:rPr>
        <w:t xml:space="preserve"> functions </w:t>
      </w:r>
      <w:r w:rsidR="006D37F0">
        <w:rPr>
          <w:szCs w:val="22"/>
        </w:rPr>
        <w:t xml:space="preserve">involve wireless and wireline issues and therefore </w:t>
      </w:r>
      <w:r w:rsidRPr="00A1103B">
        <w:rPr>
          <w:szCs w:val="22"/>
        </w:rPr>
        <w:t xml:space="preserve">benefit regulatees </w:t>
      </w:r>
      <w:r w:rsidR="006D37F0">
        <w:rPr>
          <w:szCs w:val="22"/>
        </w:rPr>
        <w:t>in other Bureaus.</w:t>
      </w:r>
      <w:r w:rsidRPr="00A1103B">
        <w:rPr>
          <w:rStyle w:val="FootnoteReference"/>
          <w:szCs w:val="22"/>
        </w:rPr>
        <w:footnoteReference w:id="53"/>
      </w:r>
      <w:r w:rsidR="00BB45D4">
        <w:rPr>
          <w:szCs w:val="22"/>
        </w:rPr>
        <w:t xml:space="preserve"> </w:t>
      </w:r>
      <w:r w:rsidRPr="00A1103B">
        <w:rPr>
          <w:szCs w:val="22"/>
        </w:rPr>
        <w:t xml:space="preserve"> Commenters to the </w:t>
      </w:r>
      <w:r w:rsidRPr="00A1103B">
        <w:rPr>
          <w:i/>
          <w:szCs w:val="22"/>
        </w:rPr>
        <w:t>FY 2012 NPRM</w:t>
      </w:r>
      <w:r w:rsidRPr="00A1103B">
        <w:rPr>
          <w:szCs w:val="22"/>
        </w:rPr>
        <w:t xml:space="preserve"> </w:t>
      </w:r>
      <w:r w:rsidR="009D2EE8">
        <w:rPr>
          <w:szCs w:val="22"/>
        </w:rPr>
        <w:t xml:space="preserve">argued that the Policy Division’s limited </w:t>
      </w:r>
      <w:r w:rsidRPr="00A1103B">
        <w:rPr>
          <w:szCs w:val="22"/>
        </w:rPr>
        <w:t>regulation and oversight</w:t>
      </w:r>
      <w:r w:rsidR="009D2EE8">
        <w:rPr>
          <w:szCs w:val="22"/>
        </w:rPr>
        <w:t xml:space="preserve"> of</w:t>
      </w:r>
      <w:r w:rsidR="00295980">
        <w:rPr>
          <w:szCs w:val="22"/>
        </w:rPr>
        <w:t xml:space="preserve"> </w:t>
      </w:r>
      <w:r w:rsidRPr="00A1103B">
        <w:rPr>
          <w:szCs w:val="22"/>
        </w:rPr>
        <w:t>submarine cable systems</w:t>
      </w:r>
      <w:r w:rsidR="009D2EE8">
        <w:rPr>
          <w:szCs w:val="22"/>
        </w:rPr>
        <w:t xml:space="preserve"> does not support the </w:t>
      </w:r>
      <w:r w:rsidRPr="00A1103B">
        <w:rPr>
          <w:szCs w:val="22"/>
        </w:rPr>
        <w:t>current</w:t>
      </w:r>
      <w:r w:rsidR="009D2EE8">
        <w:rPr>
          <w:szCs w:val="22"/>
        </w:rPr>
        <w:t xml:space="preserve"> allocation of </w:t>
      </w:r>
      <w:r w:rsidRPr="00A1103B">
        <w:rPr>
          <w:szCs w:val="22"/>
        </w:rPr>
        <w:t>36.08 percent of all the International Bureau regulatory fees or 2.28 percent of all regulatory fees</w:t>
      </w:r>
      <w:r w:rsidR="009D2EE8">
        <w:rPr>
          <w:szCs w:val="22"/>
        </w:rPr>
        <w:t xml:space="preserve"> to the submarine cable industry</w:t>
      </w:r>
      <w:r w:rsidRPr="00A1103B">
        <w:rPr>
          <w:szCs w:val="22"/>
        </w:rPr>
        <w:t>.</w:t>
      </w:r>
      <w:r w:rsidRPr="00A1103B">
        <w:rPr>
          <w:rStyle w:val="FootnoteReference"/>
          <w:szCs w:val="22"/>
        </w:rPr>
        <w:footnoteReference w:id="54"/>
      </w:r>
    </w:p>
    <w:p w:rsidR="00F6184B" w:rsidRDefault="0083660F" w:rsidP="00547927">
      <w:pPr>
        <w:pStyle w:val="ParaNum"/>
        <w:tabs>
          <w:tab w:val="num" w:pos="1350"/>
        </w:tabs>
        <w:ind w:left="-90"/>
      </w:pPr>
      <w:r>
        <w:t>Sixty</w:t>
      </w:r>
      <w:r w:rsidR="00863A53" w:rsidRPr="00A1103B">
        <w:t xml:space="preserve"> submarine cable systems are licensed by the Commission, including </w:t>
      </w:r>
      <w:r w:rsidR="00863A53" w:rsidRPr="00B32272">
        <w:t>4</w:t>
      </w:r>
      <w:r>
        <w:t>3</w:t>
      </w:r>
      <w:r w:rsidR="00863A53" w:rsidRPr="00A1103B">
        <w:t xml:space="preserve"> international submarine cable systems.</w:t>
      </w:r>
      <w:r w:rsidR="00863A53" w:rsidRPr="00A1103B">
        <w:rPr>
          <w:rStyle w:val="FootnoteReference"/>
          <w:szCs w:val="22"/>
        </w:rPr>
        <w:footnoteReference w:id="55"/>
      </w:r>
      <w:r w:rsidR="00863A53" w:rsidRPr="00A1103B">
        <w:t xml:space="preserve">  Submarine cable systems transport most of the U.S. international traffic,</w:t>
      </w:r>
      <w:r w:rsidR="008D3542">
        <w:rPr>
          <w:rStyle w:val="FootnoteReference"/>
          <w:szCs w:val="22"/>
        </w:rPr>
        <w:footnoteReference w:id="56"/>
      </w:r>
      <w:r w:rsidR="00863A53" w:rsidRPr="00A1103B">
        <w:t xml:space="preserve"> including </w:t>
      </w:r>
      <w:r>
        <w:t xml:space="preserve">Internet </w:t>
      </w:r>
      <w:r w:rsidR="00863A53" w:rsidRPr="00A1103B">
        <w:t xml:space="preserve">broadband, video, other high bandwidth applications, voice services </w:t>
      </w:r>
      <w:r>
        <w:t xml:space="preserve">(public switched and interconnected VoIP), and non-public, private traffic </w:t>
      </w:r>
      <w:r w:rsidR="00863A53" w:rsidRPr="00A1103B">
        <w:t xml:space="preserve">for various </w:t>
      </w:r>
      <w:r>
        <w:t xml:space="preserve">international carriers, content and Internet providers, </w:t>
      </w:r>
      <w:r w:rsidR="00863A53" w:rsidRPr="00A1103B">
        <w:t>corporations, wholesale operators, and governments.  Large corporate customers include financial and news companies and other content providers.  Cable capacity is generally sold on an indefeasible right of use (IRU) basis for 10-15 year terms</w:t>
      </w:r>
      <w:r>
        <w:t xml:space="preserve"> and also on a long-term lease basis</w:t>
      </w:r>
      <w:r w:rsidR="00863A53" w:rsidRPr="00A1103B">
        <w:t>;</w:t>
      </w:r>
      <w:r w:rsidR="00863A53" w:rsidRPr="00A1103B">
        <w:rPr>
          <w:rStyle w:val="FootnoteReference"/>
          <w:szCs w:val="22"/>
        </w:rPr>
        <w:footnoteReference w:id="57"/>
      </w:r>
      <w:r w:rsidR="00863A53" w:rsidRPr="00A1103B">
        <w:t xml:space="preserve"> </w:t>
      </w:r>
      <w:r w:rsidR="009E3BC1">
        <w:t xml:space="preserve">therefore, </w:t>
      </w:r>
      <w:r w:rsidR="00863A53" w:rsidRPr="00A1103B">
        <w:t>a large increase in regulatory fees is likely difficult to recover from customers as a “pass-through” charge.</w:t>
      </w:r>
      <w:r w:rsidR="00863A53" w:rsidRPr="00A1103B">
        <w:rPr>
          <w:rStyle w:val="FootnoteReference"/>
          <w:szCs w:val="22"/>
        </w:rPr>
        <w:footnoteReference w:id="58"/>
      </w:r>
      <w:r w:rsidR="00863A53" w:rsidRPr="00A1103B">
        <w:t xml:space="preserve"> </w:t>
      </w:r>
      <w:r w:rsidR="00542264">
        <w:t xml:space="preserve"> </w:t>
      </w:r>
      <w:r w:rsidR="00332429">
        <w:rPr>
          <w:szCs w:val="22"/>
        </w:rPr>
        <w:t>C</w:t>
      </w:r>
      <w:r w:rsidR="00542264" w:rsidRPr="00542264">
        <w:rPr>
          <w:szCs w:val="22"/>
        </w:rPr>
        <w:t xml:space="preserve">ommenters </w:t>
      </w:r>
      <w:r w:rsidR="00332429">
        <w:rPr>
          <w:szCs w:val="22"/>
        </w:rPr>
        <w:t xml:space="preserve">responding to the </w:t>
      </w:r>
      <w:r w:rsidR="00332429" w:rsidRPr="000A348F">
        <w:rPr>
          <w:i/>
          <w:szCs w:val="22"/>
        </w:rPr>
        <w:t>FY 2012 NPRM</w:t>
      </w:r>
      <w:r w:rsidR="00332429">
        <w:rPr>
          <w:szCs w:val="22"/>
        </w:rPr>
        <w:t xml:space="preserve"> </w:t>
      </w:r>
      <w:r w:rsidR="00542264" w:rsidRPr="00542264">
        <w:rPr>
          <w:szCs w:val="22"/>
        </w:rPr>
        <w:t>noted</w:t>
      </w:r>
      <w:r w:rsidR="00542264">
        <w:t xml:space="preserve"> that</w:t>
      </w:r>
      <w:r w:rsidR="00863A53" w:rsidRPr="00A1103B">
        <w:t xml:space="preserve"> regulatory fee charges in the U.S. are much higher than those charged by other countries.</w:t>
      </w:r>
      <w:r w:rsidR="008C742A">
        <w:rPr>
          <w:rStyle w:val="FootnoteReference"/>
          <w:szCs w:val="22"/>
        </w:rPr>
        <w:footnoteReference w:id="59"/>
      </w:r>
      <w:r w:rsidR="00863A53" w:rsidRPr="00A1103B">
        <w:t xml:space="preserve">  Therefore, substantially increas</w:t>
      </w:r>
      <w:r w:rsidR="00332429">
        <w:t xml:space="preserve">ing the regulatory fees paid by submarine cable service providers </w:t>
      </w:r>
      <w:r w:rsidR="00863A53" w:rsidRPr="00A1103B">
        <w:t>would serve as a disincentive for carriers to land new cables in the U.S. and an incentive to land new cables in Mexico and Canada instead.  Over time, this would result in increased costs to American consumers as well as potential national security issues.</w:t>
      </w:r>
      <w:r w:rsidR="00863A53" w:rsidRPr="00A1103B">
        <w:rPr>
          <w:rStyle w:val="FootnoteReference"/>
          <w:szCs w:val="22"/>
        </w:rPr>
        <w:footnoteReference w:id="60"/>
      </w:r>
      <w:r w:rsidR="00863A53" w:rsidRPr="00A1103B">
        <w:t xml:space="preserve">  These commenters contend that if the newer submarine cable systems choose to land in Canada or Mexico to avoid our high regulatory fees, eventually almost all international traffic will leave from (or arrive into) Canada or Mexico instead of the U.S.</w:t>
      </w:r>
      <w:r w:rsidR="00A851C7">
        <w:rPr>
          <w:rStyle w:val="FootnoteReference"/>
          <w:szCs w:val="22"/>
        </w:rPr>
        <w:footnoteReference w:id="61"/>
      </w:r>
      <w:r w:rsidR="00863A53" w:rsidRPr="00A1103B">
        <w:t xml:space="preserve">  </w:t>
      </w:r>
    </w:p>
    <w:p w:rsidR="00F6184B" w:rsidRDefault="00863A53" w:rsidP="00547927">
      <w:pPr>
        <w:pStyle w:val="ParaNum"/>
        <w:tabs>
          <w:tab w:val="num" w:pos="1350"/>
        </w:tabs>
        <w:ind w:left="-90"/>
        <w:rPr>
          <w:szCs w:val="22"/>
        </w:rPr>
      </w:pPr>
      <w:r w:rsidRPr="00A1103B">
        <w:rPr>
          <w:szCs w:val="22"/>
        </w:rPr>
        <w:t>We recognize that submarine cable systems have been subject to significant regulatory fee reform recently.</w:t>
      </w:r>
      <w:r w:rsidRPr="00A1103B">
        <w:rPr>
          <w:rStyle w:val="FootnoteReference"/>
          <w:szCs w:val="22"/>
        </w:rPr>
        <w:footnoteReference w:id="62"/>
      </w:r>
      <w:r w:rsidRPr="00A1103B">
        <w:rPr>
          <w:szCs w:val="22"/>
        </w:rPr>
        <w:t xml:space="preserve">  In the </w:t>
      </w:r>
      <w:r w:rsidRPr="00A1103B">
        <w:rPr>
          <w:i/>
          <w:szCs w:val="22"/>
        </w:rPr>
        <w:t>Submarine Cable Order</w:t>
      </w:r>
      <w:r w:rsidRPr="00A1103B">
        <w:rPr>
          <w:szCs w:val="22"/>
        </w:rPr>
        <w:t xml:space="preserve">, the Commission adopted a new submarine cable bearer circuit methodology to assess regulatory fees on a cable landing license basis, based on </w:t>
      </w:r>
      <w:r w:rsidR="008F7A2E">
        <w:rPr>
          <w:szCs w:val="22"/>
        </w:rPr>
        <w:t>the</w:t>
      </w:r>
      <w:r w:rsidRPr="00A1103B">
        <w:rPr>
          <w:szCs w:val="22"/>
        </w:rPr>
        <w:t xml:space="preserve"> proposal (the “Consensus Proposal”) </w:t>
      </w:r>
      <w:r w:rsidR="008F7A2E">
        <w:rPr>
          <w:szCs w:val="22"/>
        </w:rPr>
        <w:t>of</w:t>
      </w:r>
      <w:r w:rsidRPr="00A1103B">
        <w:rPr>
          <w:szCs w:val="22"/>
        </w:rPr>
        <w:t xml:space="preserve"> a large group of submarine cable operators representing both common carriers and non-common carriers with both large and small submarine cable systems.</w:t>
      </w:r>
      <w:r w:rsidRPr="00A1103B">
        <w:rPr>
          <w:rStyle w:val="FootnoteReference"/>
          <w:szCs w:val="22"/>
        </w:rPr>
        <w:footnoteReference w:id="63"/>
      </w:r>
      <w:r w:rsidRPr="00A1103B">
        <w:rPr>
          <w:szCs w:val="22"/>
        </w:rPr>
        <w:t xml:space="preserve">  This methodology allocates international bearer circuit (IBC) costs among service providers without distinguishing between common carriers and non-common carriers, by assessing a flat per cable landing license fee for all submarine cable systems, with higher fees for larger submarine cable systems and lower fees for smaller systems.  The </w:t>
      </w:r>
      <w:r w:rsidRPr="00A1103B">
        <w:rPr>
          <w:i/>
          <w:szCs w:val="22"/>
        </w:rPr>
        <w:t>Submarine Cable Order</w:t>
      </w:r>
      <w:r w:rsidRPr="00A1103B">
        <w:rPr>
          <w:szCs w:val="22"/>
        </w:rPr>
        <w:t xml:space="preserve"> did not assess a particular regulatory fee for the submarine cable systems but instead it adopted a new methodology that was considered fairer and easier to administer than the previous method of assessing regulatory fees.  This recent in-depth review and revision of the regulatory fee methodology for submarine cable serves as another important factor to consider in determining the appropriate allocation of regulatory fees in this proceeding.</w:t>
      </w:r>
    </w:p>
    <w:p w:rsidR="00F6184B" w:rsidRDefault="008F7A2E" w:rsidP="00547927">
      <w:pPr>
        <w:pStyle w:val="ParaNum"/>
        <w:tabs>
          <w:tab w:val="num" w:pos="1350"/>
        </w:tabs>
        <w:ind w:left="-90"/>
        <w:rPr>
          <w:szCs w:val="22"/>
        </w:rPr>
      </w:pPr>
      <w:r>
        <w:rPr>
          <w:szCs w:val="22"/>
        </w:rPr>
        <w:t>T</w:t>
      </w:r>
      <w:r w:rsidR="0067357D">
        <w:rPr>
          <w:szCs w:val="22"/>
        </w:rPr>
        <w:t xml:space="preserve">he </w:t>
      </w:r>
      <w:r w:rsidR="00863A53" w:rsidRPr="00A1103B">
        <w:rPr>
          <w:szCs w:val="22"/>
        </w:rPr>
        <w:t>2.28 percent of all regulatory fees</w:t>
      </w:r>
      <w:r w:rsidR="0067357D">
        <w:rPr>
          <w:szCs w:val="22"/>
        </w:rPr>
        <w:t xml:space="preserve"> submarine cable service providers now pay </w:t>
      </w:r>
      <w:r w:rsidR="00863A53" w:rsidRPr="00A1103B">
        <w:rPr>
          <w:szCs w:val="22"/>
        </w:rPr>
        <w:t xml:space="preserve">is the sixth highest regulatory fee percentage </w:t>
      </w:r>
      <w:r w:rsidR="0067357D">
        <w:rPr>
          <w:szCs w:val="22"/>
        </w:rPr>
        <w:t>among all f</w:t>
      </w:r>
      <w:r w:rsidR="00863A53" w:rsidRPr="00A1103B">
        <w:rPr>
          <w:szCs w:val="22"/>
        </w:rPr>
        <w:t>ee categories</w:t>
      </w:r>
      <w:r>
        <w:rPr>
          <w:szCs w:val="22"/>
        </w:rPr>
        <w:t>,</w:t>
      </w:r>
      <w:r w:rsidR="00863A53" w:rsidRPr="00A1103B">
        <w:rPr>
          <w:rStyle w:val="FootnoteReference"/>
          <w:szCs w:val="22"/>
        </w:rPr>
        <w:footnoteReference w:id="64"/>
      </w:r>
      <w:r>
        <w:rPr>
          <w:szCs w:val="22"/>
        </w:rPr>
        <w:t xml:space="preserve"> notwithstanding the fact that the provision of international submarine cable service involves little regulation and oversight from the Commission after the initial licensing process.  </w:t>
      </w:r>
      <w:r w:rsidR="00863A53" w:rsidRPr="00A1103B">
        <w:rPr>
          <w:szCs w:val="22"/>
        </w:rPr>
        <w:t xml:space="preserve">Under </w:t>
      </w:r>
      <w:r w:rsidR="00AF5460">
        <w:rPr>
          <w:szCs w:val="22"/>
        </w:rPr>
        <w:t>Part 43</w:t>
      </w:r>
      <w:r w:rsidR="00863A53" w:rsidRPr="00A1103B">
        <w:rPr>
          <w:szCs w:val="22"/>
        </w:rPr>
        <w:t xml:space="preserve"> of the Commission’s rules, common carriers must file Traffic and Revenue Reports regarding international services and, for U</w:t>
      </w:r>
      <w:r w:rsidR="005824CA">
        <w:rPr>
          <w:szCs w:val="22"/>
        </w:rPr>
        <w:t>.</w:t>
      </w:r>
      <w:r w:rsidR="00863A53" w:rsidRPr="00A1103B">
        <w:rPr>
          <w:szCs w:val="22"/>
        </w:rPr>
        <w:t>S</w:t>
      </w:r>
      <w:r w:rsidR="005824CA">
        <w:rPr>
          <w:szCs w:val="22"/>
        </w:rPr>
        <w:t>.</w:t>
      </w:r>
      <w:r w:rsidR="00863A53" w:rsidRPr="00A1103B">
        <w:rPr>
          <w:szCs w:val="22"/>
        </w:rPr>
        <w:t xml:space="preserve"> facilities-based international common carriers, Circuit Status Reports for information concerning leased or owned circuits.</w:t>
      </w:r>
      <w:r w:rsidR="00863A53" w:rsidRPr="00A1103B">
        <w:rPr>
          <w:rStyle w:val="FootnoteReference"/>
          <w:szCs w:val="22"/>
        </w:rPr>
        <w:footnoteReference w:id="65"/>
      </w:r>
      <w:r w:rsidR="00863A53" w:rsidRPr="00A1103B">
        <w:rPr>
          <w:szCs w:val="22"/>
        </w:rPr>
        <w:t xml:space="preserve">  Within the Policy Division, submarine cable licensing, regulation, and oversight </w:t>
      </w:r>
      <w:r w:rsidR="005B53DC">
        <w:rPr>
          <w:szCs w:val="22"/>
        </w:rPr>
        <w:t xml:space="preserve">is handled by a small number of </w:t>
      </w:r>
      <w:r w:rsidR="00863A53" w:rsidRPr="00A1103B">
        <w:rPr>
          <w:szCs w:val="22"/>
        </w:rPr>
        <w:t>FTEs</w:t>
      </w:r>
      <w:r w:rsidR="00BB45D4">
        <w:rPr>
          <w:szCs w:val="22"/>
        </w:rPr>
        <w:t xml:space="preserve"> </w:t>
      </w:r>
      <w:r w:rsidR="00863A53" w:rsidRPr="00A1103B">
        <w:rPr>
          <w:szCs w:val="22"/>
        </w:rPr>
        <w:t>during each fiscal year.</w:t>
      </w:r>
      <w:r w:rsidR="00A43F07" w:rsidRPr="00A1103B">
        <w:rPr>
          <w:rStyle w:val="FootnoteReference"/>
          <w:szCs w:val="22"/>
        </w:rPr>
        <w:footnoteReference w:id="66"/>
      </w:r>
      <w:r w:rsidR="00863A53" w:rsidRPr="00A1103B">
        <w:rPr>
          <w:szCs w:val="22"/>
        </w:rPr>
        <w:t xml:space="preserve"> </w:t>
      </w:r>
      <w:r w:rsidR="00FA3CF4">
        <w:rPr>
          <w:szCs w:val="22"/>
        </w:rPr>
        <w:t xml:space="preserve"> The Policy Division employees whose work involves the regulation of submarine cable systems and bearer circuits, equates to only two FTEs.  </w:t>
      </w:r>
      <w:r w:rsidR="00863A53" w:rsidRPr="00A1103B">
        <w:rPr>
          <w:szCs w:val="22"/>
        </w:rPr>
        <w:t xml:space="preserve">The remaining </w:t>
      </w:r>
      <w:r w:rsidR="00BB45D4">
        <w:rPr>
          <w:szCs w:val="22"/>
        </w:rPr>
        <w:t xml:space="preserve">Policy Division </w:t>
      </w:r>
      <w:r w:rsidR="00863A53" w:rsidRPr="00A1103B">
        <w:rPr>
          <w:szCs w:val="22"/>
        </w:rPr>
        <w:t xml:space="preserve">FTEs handle other matters involving international issues and, like the SAND FTEs, should more accurately be considered indirect FTEs, together with the remaining bureau level employees.  </w:t>
      </w:r>
    </w:p>
    <w:p w:rsidR="00F6184B" w:rsidRDefault="00645B25" w:rsidP="00547927">
      <w:pPr>
        <w:pStyle w:val="ParaNum"/>
        <w:tabs>
          <w:tab w:val="num" w:pos="1350"/>
        </w:tabs>
        <w:ind w:left="-90"/>
        <w:rPr>
          <w:szCs w:val="22"/>
        </w:rPr>
      </w:pPr>
      <w:r w:rsidRPr="00645B25">
        <w:rPr>
          <w:szCs w:val="22"/>
        </w:rPr>
        <w:t xml:space="preserve">To summarize, we propose </w:t>
      </w:r>
      <w:r w:rsidR="009C0D81">
        <w:rPr>
          <w:szCs w:val="22"/>
        </w:rPr>
        <w:t xml:space="preserve">to </w:t>
      </w:r>
      <w:r w:rsidRPr="00645B25">
        <w:rPr>
          <w:szCs w:val="22"/>
        </w:rPr>
        <w:t xml:space="preserve">reclassify SAND’s FTEs as indirect FTEs </w:t>
      </w:r>
      <w:r w:rsidR="005A7239">
        <w:rPr>
          <w:szCs w:val="22"/>
        </w:rPr>
        <w:t>and reallocat</w:t>
      </w:r>
      <w:r w:rsidR="008F7A2E">
        <w:rPr>
          <w:szCs w:val="22"/>
        </w:rPr>
        <w:t>e</w:t>
      </w:r>
      <w:r w:rsidR="005A7239">
        <w:rPr>
          <w:szCs w:val="22"/>
        </w:rPr>
        <w:t xml:space="preserve"> them a</w:t>
      </w:r>
      <w:r w:rsidRPr="00645B25">
        <w:rPr>
          <w:szCs w:val="22"/>
        </w:rPr>
        <w:t xml:space="preserve">mong the remaining core bureaus. </w:t>
      </w:r>
      <w:r>
        <w:rPr>
          <w:szCs w:val="22"/>
        </w:rPr>
        <w:t xml:space="preserve"> </w:t>
      </w:r>
      <w:r w:rsidR="0055306C">
        <w:rPr>
          <w:color w:val="000000"/>
          <w:szCs w:val="22"/>
        </w:rPr>
        <w:t xml:space="preserve">In light of the </w:t>
      </w:r>
      <w:r w:rsidR="0055306C" w:rsidRPr="004C09DA">
        <w:rPr>
          <w:color w:val="000000"/>
          <w:szCs w:val="22"/>
        </w:rPr>
        <w:t>number of employees in the Satellite Division who work on satellite and earth station issues, the number of employees in the Policy Division who work on bearer circ</w:t>
      </w:r>
      <w:r w:rsidR="0055306C">
        <w:rPr>
          <w:color w:val="000000"/>
          <w:szCs w:val="22"/>
        </w:rPr>
        <w:t>uits and submarine cable issues,</w:t>
      </w:r>
      <w:r w:rsidR="0055306C" w:rsidRPr="004C09DA">
        <w:rPr>
          <w:color w:val="000000"/>
          <w:szCs w:val="22"/>
        </w:rPr>
        <w:t xml:space="preserve"> and the amount of time Satellite Division and Policy Division employees spend on other issues that are not specific to the International Bureau </w:t>
      </w:r>
      <w:r w:rsidR="0055306C">
        <w:rPr>
          <w:color w:val="000000"/>
          <w:szCs w:val="22"/>
        </w:rPr>
        <w:t xml:space="preserve">regulatees, </w:t>
      </w:r>
      <w:r w:rsidR="0055306C" w:rsidRPr="004C09DA">
        <w:rPr>
          <w:color w:val="000000"/>
          <w:szCs w:val="22"/>
        </w:rPr>
        <w:t>we estimate that the appropriate number of FTEs to allocate as direct for regulatory fee purposes is 27</w:t>
      </w:r>
      <w:r w:rsidR="0055306C">
        <w:rPr>
          <w:color w:val="000000"/>
          <w:szCs w:val="22"/>
        </w:rPr>
        <w:t xml:space="preserve">.  This calculation factors in </w:t>
      </w:r>
      <w:r w:rsidR="0055306C" w:rsidRPr="004C09DA">
        <w:rPr>
          <w:color w:val="000000"/>
          <w:szCs w:val="22"/>
        </w:rPr>
        <w:t>25</w:t>
      </w:r>
      <w:r w:rsidR="0055306C">
        <w:rPr>
          <w:color w:val="000000"/>
          <w:szCs w:val="22"/>
        </w:rPr>
        <w:t xml:space="preserve"> FTEs</w:t>
      </w:r>
      <w:r w:rsidR="0055306C" w:rsidRPr="004C09DA">
        <w:rPr>
          <w:color w:val="000000"/>
          <w:szCs w:val="22"/>
        </w:rPr>
        <w:t xml:space="preserve"> from the Satellite Division </w:t>
      </w:r>
      <w:r w:rsidR="0055306C">
        <w:rPr>
          <w:color w:val="000000"/>
          <w:szCs w:val="22"/>
        </w:rPr>
        <w:t xml:space="preserve">and 2 from the Policy Division.  </w:t>
      </w:r>
      <w:r w:rsidR="0055306C" w:rsidRPr="004C09DA">
        <w:rPr>
          <w:color w:val="000000"/>
          <w:szCs w:val="22"/>
        </w:rPr>
        <w:t xml:space="preserve">We recognize in reaching this estimate that most of the </w:t>
      </w:r>
      <w:r w:rsidR="0055306C" w:rsidRPr="00600DFD">
        <w:rPr>
          <w:szCs w:val="22"/>
        </w:rPr>
        <w:t>International Bureau FTEs should be considered indirect because their activities benefit the Commission as a whole and are not specifically focused on International Bureau regulat</w:t>
      </w:r>
      <w:r w:rsidR="0055306C">
        <w:rPr>
          <w:szCs w:val="22"/>
        </w:rPr>
        <w:t>e</w:t>
      </w:r>
      <w:r w:rsidR="0055306C" w:rsidRPr="00600DFD">
        <w:rPr>
          <w:szCs w:val="22"/>
        </w:rPr>
        <w:t xml:space="preserve">es.  </w:t>
      </w:r>
      <w:r w:rsidR="0055306C">
        <w:rPr>
          <w:szCs w:val="22"/>
        </w:rPr>
        <w:t>Therefore, we</w:t>
      </w:r>
      <w:r w:rsidRPr="00645B25">
        <w:rPr>
          <w:szCs w:val="22"/>
        </w:rPr>
        <w:t xml:space="preserve"> also propose </w:t>
      </w:r>
      <w:r w:rsidR="008F7A2E">
        <w:rPr>
          <w:szCs w:val="22"/>
        </w:rPr>
        <w:t>that</w:t>
      </w:r>
      <w:r w:rsidR="008F7A2E" w:rsidRPr="00645B25">
        <w:rPr>
          <w:szCs w:val="22"/>
        </w:rPr>
        <w:t xml:space="preserve"> </w:t>
      </w:r>
      <w:r w:rsidRPr="00645B25">
        <w:rPr>
          <w:szCs w:val="22"/>
        </w:rPr>
        <w:t xml:space="preserve">only </w:t>
      </w:r>
      <w:r w:rsidR="00A44CC8">
        <w:rPr>
          <w:szCs w:val="22"/>
        </w:rPr>
        <w:t xml:space="preserve">a total of </w:t>
      </w:r>
      <w:r w:rsidR="00535A9C" w:rsidRPr="0047253D">
        <w:rPr>
          <w:szCs w:val="22"/>
        </w:rPr>
        <w:t>27</w:t>
      </w:r>
      <w:r w:rsidR="00A44CC8">
        <w:rPr>
          <w:szCs w:val="22"/>
        </w:rPr>
        <w:t xml:space="preserve"> of </w:t>
      </w:r>
      <w:r w:rsidRPr="00645B25">
        <w:rPr>
          <w:szCs w:val="22"/>
        </w:rPr>
        <w:t xml:space="preserve">the </w:t>
      </w:r>
      <w:r w:rsidR="00A44CC8">
        <w:rPr>
          <w:szCs w:val="22"/>
        </w:rPr>
        <w:t xml:space="preserve">FTEs in the </w:t>
      </w:r>
      <w:r w:rsidRPr="00645B25">
        <w:rPr>
          <w:szCs w:val="22"/>
        </w:rPr>
        <w:t xml:space="preserve">Satellite Division </w:t>
      </w:r>
      <w:r w:rsidR="00A44CC8">
        <w:rPr>
          <w:szCs w:val="22"/>
        </w:rPr>
        <w:t xml:space="preserve">and </w:t>
      </w:r>
      <w:r w:rsidRPr="00645B25">
        <w:rPr>
          <w:szCs w:val="22"/>
        </w:rPr>
        <w:t xml:space="preserve">the Policy Division </w:t>
      </w:r>
      <w:r>
        <w:rPr>
          <w:szCs w:val="22"/>
        </w:rPr>
        <w:t xml:space="preserve">involved in regulation and oversight of </w:t>
      </w:r>
      <w:r w:rsidR="00FA3CF4">
        <w:rPr>
          <w:szCs w:val="22"/>
        </w:rPr>
        <w:t xml:space="preserve">International Bureau regulatees, i.e., </w:t>
      </w:r>
      <w:r w:rsidR="00A44CC8">
        <w:rPr>
          <w:szCs w:val="22"/>
        </w:rPr>
        <w:t xml:space="preserve">satellites, earth stations, </w:t>
      </w:r>
      <w:r w:rsidR="00751D31">
        <w:rPr>
          <w:szCs w:val="22"/>
        </w:rPr>
        <w:t>submarine cable</w:t>
      </w:r>
      <w:r w:rsidR="00A44CC8">
        <w:rPr>
          <w:szCs w:val="22"/>
        </w:rPr>
        <w:t>,</w:t>
      </w:r>
      <w:r w:rsidR="00751D31">
        <w:rPr>
          <w:szCs w:val="22"/>
        </w:rPr>
        <w:t xml:space="preserve"> and </w:t>
      </w:r>
      <w:r w:rsidRPr="00645B25">
        <w:rPr>
          <w:szCs w:val="22"/>
        </w:rPr>
        <w:t>bearer circuit</w:t>
      </w:r>
      <w:r>
        <w:rPr>
          <w:szCs w:val="22"/>
        </w:rPr>
        <w:t>s</w:t>
      </w:r>
      <w:r w:rsidR="00801A5C">
        <w:rPr>
          <w:szCs w:val="22"/>
        </w:rPr>
        <w:t>,</w:t>
      </w:r>
      <w:r>
        <w:rPr>
          <w:szCs w:val="22"/>
        </w:rPr>
        <w:t xml:space="preserve"> </w:t>
      </w:r>
      <w:r w:rsidR="008F7A2E">
        <w:rPr>
          <w:szCs w:val="22"/>
        </w:rPr>
        <w:t xml:space="preserve">be considered </w:t>
      </w:r>
      <w:r w:rsidR="00D44E18">
        <w:rPr>
          <w:szCs w:val="22"/>
        </w:rPr>
        <w:t>in the direc</w:t>
      </w:r>
      <w:r w:rsidR="006D6C14">
        <w:rPr>
          <w:szCs w:val="22"/>
        </w:rPr>
        <w:t xml:space="preserve">t International Bureau </w:t>
      </w:r>
      <w:r w:rsidR="00D44E18">
        <w:rPr>
          <w:szCs w:val="22"/>
        </w:rPr>
        <w:t>FTE allocation</w:t>
      </w:r>
      <w:r w:rsidR="00D44E18">
        <w:t xml:space="preserve"> </w:t>
      </w:r>
      <w:r>
        <w:rPr>
          <w:szCs w:val="22"/>
        </w:rPr>
        <w:t>for regulatory fee</w:t>
      </w:r>
      <w:r w:rsidR="00D44E18">
        <w:rPr>
          <w:szCs w:val="22"/>
        </w:rPr>
        <w:t xml:space="preserve"> purposes</w:t>
      </w:r>
      <w:r>
        <w:rPr>
          <w:szCs w:val="22"/>
        </w:rPr>
        <w:t xml:space="preserve">.  </w:t>
      </w:r>
      <w:r w:rsidR="00FF254A">
        <w:rPr>
          <w:szCs w:val="22"/>
        </w:rPr>
        <w:t>All</w:t>
      </w:r>
      <w:r w:rsidRPr="00645B25">
        <w:rPr>
          <w:szCs w:val="22"/>
        </w:rPr>
        <w:t xml:space="preserve"> remaining </w:t>
      </w:r>
      <w:r>
        <w:rPr>
          <w:szCs w:val="22"/>
        </w:rPr>
        <w:t>International Bureau</w:t>
      </w:r>
      <w:r w:rsidRPr="00645B25">
        <w:rPr>
          <w:szCs w:val="22"/>
        </w:rPr>
        <w:t xml:space="preserve"> FTEs would be indirect because their activities benefit the Commission as a whole and are not focused on International Bureau regulatees.  </w:t>
      </w:r>
      <w:r w:rsidR="00455671">
        <w:rPr>
          <w:szCs w:val="22"/>
        </w:rPr>
        <w:t xml:space="preserve">This proposal, if adopted, would be </w:t>
      </w:r>
      <w:r w:rsidR="005A7239">
        <w:rPr>
          <w:szCs w:val="22"/>
        </w:rPr>
        <w:t xml:space="preserve">implemented in </w:t>
      </w:r>
      <w:r w:rsidR="00455671">
        <w:rPr>
          <w:szCs w:val="22"/>
        </w:rPr>
        <w:t xml:space="preserve">FY 2013.  </w:t>
      </w:r>
      <w:r w:rsidR="005A7239">
        <w:rPr>
          <w:szCs w:val="22"/>
        </w:rPr>
        <w:t>We ask commenters to address the substance and timing of this proposal.</w:t>
      </w:r>
    </w:p>
    <w:p w:rsidR="00600C9F" w:rsidRPr="00C03290" w:rsidRDefault="00600C9F" w:rsidP="004A33E7">
      <w:pPr>
        <w:pStyle w:val="Heading4"/>
        <w:rPr>
          <w:szCs w:val="22"/>
        </w:rPr>
      </w:pPr>
      <w:r w:rsidRPr="00C03290">
        <w:rPr>
          <w:szCs w:val="22"/>
        </w:rPr>
        <w:t>Reallocation of Other FTEs</w:t>
      </w:r>
    </w:p>
    <w:p w:rsidR="00715A77" w:rsidRPr="00715A77" w:rsidRDefault="00715A77" w:rsidP="00547927">
      <w:pPr>
        <w:pStyle w:val="ParaNum"/>
        <w:tabs>
          <w:tab w:val="num" w:pos="1350"/>
        </w:tabs>
        <w:ind w:left="-90"/>
        <w:rPr>
          <w:szCs w:val="22"/>
        </w:rPr>
      </w:pPr>
      <w:r w:rsidRPr="00715A77">
        <w:rPr>
          <w:szCs w:val="22"/>
        </w:rPr>
        <w:t xml:space="preserve">Many Commission functions are not directly attributable to only one specific regulated industry; the regulatory fee allocation, therefore, has a large number of FTEs that we currently consider indirect. </w:t>
      </w:r>
      <w:r w:rsidR="00D94EB8">
        <w:rPr>
          <w:szCs w:val="22"/>
        </w:rPr>
        <w:t xml:space="preserve"> </w:t>
      </w:r>
      <w:r w:rsidRPr="00715A77">
        <w:rPr>
          <w:szCs w:val="22"/>
        </w:rPr>
        <w:t xml:space="preserve">As explained in the </w:t>
      </w:r>
      <w:r w:rsidRPr="004A33E7">
        <w:rPr>
          <w:i/>
          <w:szCs w:val="22"/>
        </w:rPr>
        <w:t>FY 2012 NPRM</w:t>
      </w:r>
      <w:r w:rsidRPr="00715A77">
        <w:rPr>
          <w:szCs w:val="22"/>
        </w:rPr>
        <w:t>, our current approach is to distribute these indirect FTEs proportionally across the core burea</w:t>
      </w:r>
      <w:r>
        <w:rPr>
          <w:szCs w:val="22"/>
        </w:rPr>
        <w:t xml:space="preserve">us according to these bureaus’ </w:t>
      </w:r>
      <w:r w:rsidRPr="00715A77">
        <w:rPr>
          <w:szCs w:val="22"/>
        </w:rPr>
        <w:t xml:space="preserve">respective percentages of the Commission’s total direct FTE costs.  As we also noted, this approach is based on the view that “the work of the FTEs in the support bureaus and offices is not primarily focused on any one bureau or regulatory fee category, but instead services the needs of all four core bureaus.” </w:t>
      </w:r>
      <w:r>
        <w:rPr>
          <w:szCs w:val="22"/>
        </w:rPr>
        <w:t xml:space="preserve"> </w:t>
      </w:r>
      <w:r w:rsidRPr="00715A77">
        <w:rPr>
          <w:szCs w:val="22"/>
        </w:rPr>
        <w:t xml:space="preserve">Further analysis indicates, however, that work of the FTEs in a support bureau </w:t>
      </w:r>
      <w:r w:rsidR="000C1F78">
        <w:rPr>
          <w:szCs w:val="22"/>
        </w:rPr>
        <w:t>may</w:t>
      </w:r>
      <w:r>
        <w:rPr>
          <w:szCs w:val="22"/>
        </w:rPr>
        <w:t xml:space="preserve"> tend to focus </w:t>
      </w:r>
      <w:r w:rsidR="00AE5970">
        <w:rPr>
          <w:szCs w:val="22"/>
        </w:rPr>
        <w:t xml:space="preserve">disproportionately </w:t>
      </w:r>
      <w:r>
        <w:rPr>
          <w:szCs w:val="22"/>
        </w:rPr>
        <w:t xml:space="preserve">more </w:t>
      </w:r>
      <w:r w:rsidRPr="00715A77">
        <w:rPr>
          <w:szCs w:val="22"/>
        </w:rPr>
        <w:t xml:space="preserve">on some of the core bureaus than others and that this focus may shift over time.  It might be difficult to allocate </w:t>
      </w:r>
      <w:r>
        <w:rPr>
          <w:szCs w:val="22"/>
        </w:rPr>
        <w:t>these indirect FTEs</w:t>
      </w:r>
      <w:r w:rsidRPr="00715A77">
        <w:rPr>
          <w:szCs w:val="22"/>
        </w:rPr>
        <w:t xml:space="preserve"> on a task-by-task basis.  </w:t>
      </w:r>
      <w:r w:rsidR="000C1F78">
        <w:rPr>
          <w:szCs w:val="22"/>
        </w:rPr>
        <w:t>We seek comment on</w:t>
      </w:r>
      <w:r w:rsidRPr="00715A77">
        <w:rPr>
          <w:szCs w:val="22"/>
        </w:rPr>
        <w:t xml:space="preserve"> whether the work of indirect FTEs is</w:t>
      </w:r>
      <w:r w:rsidR="007D23C3">
        <w:rPr>
          <w:szCs w:val="22"/>
        </w:rPr>
        <w:t xml:space="preserve"> </w:t>
      </w:r>
      <w:r w:rsidR="00AE5970">
        <w:rPr>
          <w:color w:val="1F497D"/>
        </w:rPr>
        <w:t>focused disproportionately on one or more core bureaus</w:t>
      </w:r>
      <w:r w:rsidR="00AE5970">
        <w:rPr>
          <w:szCs w:val="22"/>
        </w:rPr>
        <w:t xml:space="preserve"> </w:t>
      </w:r>
      <w:r w:rsidRPr="00715A77">
        <w:rPr>
          <w:szCs w:val="22"/>
        </w:rPr>
        <w:t xml:space="preserve"> and </w:t>
      </w:r>
      <w:r w:rsidR="000C1F78">
        <w:rPr>
          <w:szCs w:val="22"/>
        </w:rPr>
        <w:t xml:space="preserve">if we should </w:t>
      </w:r>
      <w:r w:rsidRPr="00715A77">
        <w:rPr>
          <w:szCs w:val="22"/>
        </w:rPr>
        <w:t>allocate indirect FTEs among the core</w:t>
      </w:r>
      <w:r>
        <w:rPr>
          <w:szCs w:val="22"/>
        </w:rPr>
        <w:t xml:space="preserve"> bureaus on this basis</w:t>
      </w:r>
      <w:r w:rsidR="009D1E04">
        <w:rPr>
          <w:szCs w:val="22"/>
        </w:rPr>
        <w:t xml:space="preserve">.  For example, if a particular support bureau or office </w:t>
      </w:r>
      <w:r w:rsidR="00AE5970">
        <w:rPr>
          <w:szCs w:val="22"/>
        </w:rPr>
        <w:t xml:space="preserve"> </w:t>
      </w:r>
      <w:r w:rsidR="00AE5970">
        <w:rPr>
          <w:color w:val="1F497D"/>
        </w:rPr>
        <w:t>routinely does a disproportionate amount of work</w:t>
      </w:r>
      <w:r w:rsidR="009D1E04">
        <w:rPr>
          <w:szCs w:val="22"/>
        </w:rPr>
        <w:t xml:space="preserve"> on matters affecting the regulatees of a particular core bureau or bureaus, should the allocation of its indirect F</w:t>
      </w:r>
      <w:r w:rsidR="00127B0F">
        <w:rPr>
          <w:szCs w:val="22"/>
        </w:rPr>
        <w:t xml:space="preserve">TEs be adjusted to reflect such focus in </w:t>
      </w:r>
      <w:r w:rsidR="0042039F">
        <w:rPr>
          <w:szCs w:val="22"/>
        </w:rPr>
        <w:t xml:space="preserve">its </w:t>
      </w:r>
      <w:r w:rsidR="00127B0F">
        <w:rPr>
          <w:szCs w:val="22"/>
        </w:rPr>
        <w:t>work</w:t>
      </w:r>
      <w:r w:rsidR="009D1E04">
        <w:rPr>
          <w:szCs w:val="22"/>
        </w:rPr>
        <w:t xml:space="preserve">? </w:t>
      </w:r>
      <w:r w:rsidR="000C1F78">
        <w:rPr>
          <w:szCs w:val="22"/>
        </w:rPr>
        <w:t xml:space="preserve"> </w:t>
      </w:r>
      <w:r>
        <w:rPr>
          <w:szCs w:val="22"/>
        </w:rPr>
        <w:t>We seek comment on</w:t>
      </w:r>
      <w:r w:rsidRPr="004D201E">
        <w:t xml:space="preserve"> </w:t>
      </w:r>
      <w:r>
        <w:t>whether</w:t>
      </w:r>
      <w:r w:rsidRPr="004D201E">
        <w:t xml:space="preserve"> there are any divisions in non-core bureaus that should be </w:t>
      </w:r>
      <w:r>
        <w:t xml:space="preserve">assigned as indirect FTEs in a different manner or </w:t>
      </w:r>
      <w:r w:rsidRPr="004D201E">
        <w:t>assigned as direct FTEs for a particular group of regulatees</w:t>
      </w:r>
      <w:r>
        <w:t xml:space="preserve">.  We also seek comment on </w:t>
      </w:r>
      <w:r w:rsidRPr="004D201E">
        <w:t xml:space="preserve">whether there are other divisions within </w:t>
      </w:r>
      <w:r>
        <w:t>the core bureaus</w:t>
      </w:r>
      <w:r w:rsidRPr="004D201E">
        <w:t xml:space="preserve"> that should be treated as indirect FTEs instead of as direct FTEs</w:t>
      </w:r>
      <w:r>
        <w:t xml:space="preserve"> and reassigned proportionally among the bureaus</w:t>
      </w:r>
      <w:r w:rsidRPr="004D201E">
        <w:t xml:space="preserve">.    </w:t>
      </w:r>
      <w:r>
        <w:t xml:space="preserve">  </w:t>
      </w:r>
    </w:p>
    <w:p w:rsidR="00CB0C49" w:rsidRPr="009D2AD3" w:rsidRDefault="00167EF6" w:rsidP="00B32272">
      <w:pPr>
        <w:pStyle w:val="Heading3"/>
      </w:pPr>
      <w:bookmarkStart w:id="59" w:name="_Toc352943178"/>
      <w:bookmarkStart w:id="60" w:name="_Toc352943627"/>
      <w:bookmarkStart w:id="61" w:name="_Toc353032045"/>
      <w:bookmarkStart w:id="62" w:name="_Toc353987722"/>
      <w:bookmarkStart w:id="63" w:name="_Toc353988043"/>
      <w:r>
        <w:t xml:space="preserve">Limitation on </w:t>
      </w:r>
      <w:r w:rsidR="00EE32A8">
        <w:t>I</w:t>
      </w:r>
      <w:r w:rsidR="003F3351" w:rsidRPr="00300AAB">
        <w:t>ncreases</w:t>
      </w:r>
      <w:r w:rsidR="003F3351" w:rsidRPr="00CF1212">
        <w:t xml:space="preserve"> of </w:t>
      </w:r>
      <w:bookmarkEnd w:id="59"/>
      <w:bookmarkEnd w:id="60"/>
      <w:r w:rsidR="00EE32A8">
        <w:t>Regulatory F</w:t>
      </w:r>
      <w:r w:rsidR="003F3351" w:rsidRPr="00CF1212">
        <w:t>ees</w:t>
      </w:r>
      <w:bookmarkEnd w:id="61"/>
      <w:bookmarkEnd w:id="62"/>
      <w:bookmarkEnd w:id="63"/>
    </w:p>
    <w:p w:rsidR="00817464" w:rsidRPr="00817464" w:rsidRDefault="005832F6" w:rsidP="00547927">
      <w:pPr>
        <w:pStyle w:val="ParaNum"/>
        <w:tabs>
          <w:tab w:val="num" w:pos="1350"/>
        </w:tabs>
        <w:ind w:left="-90"/>
        <w:rPr>
          <w:szCs w:val="22"/>
        </w:rPr>
      </w:pPr>
      <w:r>
        <w:rPr>
          <w:spacing w:val="-2"/>
          <w:szCs w:val="22"/>
        </w:rPr>
        <w:t>The</w:t>
      </w:r>
      <w:r w:rsidR="00C400A4" w:rsidRPr="009D0104">
        <w:rPr>
          <w:spacing w:val="-2"/>
          <w:szCs w:val="22"/>
        </w:rPr>
        <w:t xml:space="preserve"> proposals set forth above </w:t>
      </w:r>
      <w:r w:rsidR="00B65E74" w:rsidRPr="009D0104">
        <w:rPr>
          <w:spacing w:val="-2"/>
          <w:szCs w:val="22"/>
        </w:rPr>
        <w:t xml:space="preserve">will likely </w:t>
      </w:r>
      <w:r w:rsidR="00C400A4" w:rsidRPr="00021046">
        <w:rPr>
          <w:spacing w:val="-2"/>
          <w:szCs w:val="22"/>
        </w:rPr>
        <w:t>reduce the regulatory fee assessment f</w:t>
      </w:r>
      <w:r w:rsidR="00C400A4" w:rsidRPr="005D7588">
        <w:rPr>
          <w:spacing w:val="-2"/>
          <w:szCs w:val="22"/>
        </w:rPr>
        <w:t xml:space="preserve">or </w:t>
      </w:r>
      <w:r w:rsidR="006D6C14">
        <w:rPr>
          <w:spacing w:val="-2"/>
          <w:szCs w:val="22"/>
        </w:rPr>
        <w:t xml:space="preserve">some regulatory fee categories, such as </w:t>
      </w:r>
      <w:r w:rsidR="00B65E74" w:rsidRPr="005D7588">
        <w:rPr>
          <w:spacing w:val="-2"/>
          <w:szCs w:val="22"/>
        </w:rPr>
        <w:t>ITSPs</w:t>
      </w:r>
      <w:r w:rsidR="00591870">
        <w:rPr>
          <w:spacing w:val="-2"/>
          <w:szCs w:val="22"/>
        </w:rPr>
        <w:t xml:space="preserve"> and </w:t>
      </w:r>
      <w:r w:rsidR="00591870" w:rsidRPr="00817464">
        <w:rPr>
          <w:spacing w:val="-2"/>
          <w:szCs w:val="22"/>
        </w:rPr>
        <w:t>regulate</w:t>
      </w:r>
      <w:r w:rsidR="003A40F2" w:rsidRPr="00817464">
        <w:rPr>
          <w:spacing w:val="-2"/>
          <w:szCs w:val="22"/>
        </w:rPr>
        <w:t>e</w:t>
      </w:r>
      <w:r w:rsidR="00591870" w:rsidRPr="00817464">
        <w:rPr>
          <w:spacing w:val="-2"/>
          <w:szCs w:val="22"/>
        </w:rPr>
        <w:t>s of the International Bureau</w:t>
      </w:r>
      <w:r w:rsidR="006D6C14" w:rsidRPr="00817464">
        <w:rPr>
          <w:spacing w:val="-2"/>
          <w:szCs w:val="22"/>
        </w:rPr>
        <w:t>,</w:t>
      </w:r>
      <w:r w:rsidR="00B65E74" w:rsidRPr="00817464">
        <w:rPr>
          <w:spacing w:val="-2"/>
          <w:szCs w:val="22"/>
        </w:rPr>
        <w:t xml:space="preserve"> </w:t>
      </w:r>
      <w:r w:rsidR="00C400A4" w:rsidRPr="00817464">
        <w:rPr>
          <w:spacing w:val="-2"/>
          <w:szCs w:val="22"/>
        </w:rPr>
        <w:t>significantly</w:t>
      </w:r>
      <w:r w:rsidR="00B65E74" w:rsidRPr="00817464">
        <w:rPr>
          <w:spacing w:val="-2"/>
          <w:szCs w:val="22"/>
        </w:rPr>
        <w:t xml:space="preserve">, while increasing the </w:t>
      </w:r>
      <w:r w:rsidR="00C400A4" w:rsidRPr="00817464">
        <w:rPr>
          <w:spacing w:val="-2"/>
          <w:szCs w:val="22"/>
        </w:rPr>
        <w:t xml:space="preserve">assessment for </w:t>
      </w:r>
      <w:r w:rsidR="00B65E74" w:rsidRPr="00817464">
        <w:rPr>
          <w:spacing w:val="-2"/>
          <w:szCs w:val="22"/>
        </w:rPr>
        <w:t xml:space="preserve">many other </w:t>
      </w:r>
      <w:r w:rsidR="006D6C14" w:rsidRPr="00817464">
        <w:rPr>
          <w:spacing w:val="-2"/>
          <w:szCs w:val="22"/>
        </w:rPr>
        <w:t>fee categories</w:t>
      </w:r>
      <w:r w:rsidR="00C400A4" w:rsidRPr="00817464">
        <w:rPr>
          <w:spacing w:val="-2"/>
          <w:szCs w:val="22"/>
        </w:rPr>
        <w:t xml:space="preserve">.  </w:t>
      </w:r>
      <w:r w:rsidR="007322B6" w:rsidRPr="00817464">
        <w:rPr>
          <w:spacing w:val="-2"/>
          <w:szCs w:val="22"/>
        </w:rPr>
        <w:t>In order to provide a reasonable transition to our new allocations and because there are unresolved regulatory fee reform issues that may be adopted in FY 2014</w:t>
      </w:r>
      <w:r w:rsidR="00001B55" w:rsidRPr="00817464">
        <w:rPr>
          <w:spacing w:val="-2"/>
          <w:szCs w:val="22"/>
        </w:rPr>
        <w:t xml:space="preserve"> that could further impact these allocations</w:t>
      </w:r>
      <w:r w:rsidR="007322B6" w:rsidRPr="00817464">
        <w:rPr>
          <w:spacing w:val="-2"/>
          <w:szCs w:val="22"/>
        </w:rPr>
        <w:t>, we propose limiting any</w:t>
      </w:r>
      <w:r w:rsidR="00591870" w:rsidRPr="00817464">
        <w:rPr>
          <w:spacing w:val="-2"/>
          <w:szCs w:val="22"/>
        </w:rPr>
        <w:t xml:space="preserve"> rate</w:t>
      </w:r>
      <w:r w:rsidR="007322B6" w:rsidRPr="00817464">
        <w:rPr>
          <w:spacing w:val="-2"/>
          <w:szCs w:val="22"/>
        </w:rPr>
        <w:t xml:space="preserve"> increases resulting from our reallocations</w:t>
      </w:r>
      <w:r w:rsidR="00001B55" w:rsidRPr="00817464">
        <w:rPr>
          <w:spacing w:val="-2"/>
          <w:szCs w:val="22"/>
        </w:rPr>
        <w:t xml:space="preserve"> for this fiscal year</w:t>
      </w:r>
      <w:r w:rsidR="007322B6" w:rsidRPr="00817464">
        <w:rPr>
          <w:spacing w:val="-2"/>
          <w:szCs w:val="22"/>
        </w:rPr>
        <w:t>.  Such a limitation of</w:t>
      </w:r>
      <w:r w:rsidR="00001B55" w:rsidRPr="00817464">
        <w:rPr>
          <w:spacing w:val="-2"/>
          <w:szCs w:val="22"/>
        </w:rPr>
        <w:t xml:space="preserve">, for example, </w:t>
      </w:r>
      <w:r w:rsidR="001632AE" w:rsidRPr="00817464">
        <w:rPr>
          <w:spacing w:val="-2"/>
          <w:szCs w:val="22"/>
        </w:rPr>
        <w:t>7.5</w:t>
      </w:r>
      <w:r w:rsidR="00001B55" w:rsidRPr="00817464">
        <w:rPr>
          <w:spacing w:val="-2"/>
          <w:szCs w:val="22"/>
        </w:rPr>
        <w:t xml:space="preserve"> percent</w:t>
      </w:r>
      <w:r w:rsidR="007322B6" w:rsidRPr="00817464">
        <w:rPr>
          <w:spacing w:val="-2"/>
          <w:szCs w:val="22"/>
        </w:rPr>
        <w:t xml:space="preserve">, would </w:t>
      </w:r>
      <w:r w:rsidR="00C400A4" w:rsidRPr="00817464">
        <w:rPr>
          <w:spacing w:val="-2"/>
          <w:szCs w:val="22"/>
        </w:rPr>
        <w:t>prevent “unexpected, substantial increases which could severely impact the economic wellbeing of these licensees</w:t>
      </w:r>
      <w:r w:rsidR="000251CF" w:rsidRPr="00817464">
        <w:rPr>
          <w:spacing w:val="-2"/>
          <w:szCs w:val="22"/>
        </w:rPr>
        <w:t xml:space="preserve"> </w:t>
      </w:r>
      <w:r w:rsidR="009549AB" w:rsidRPr="00817464">
        <w:rPr>
          <w:spacing w:val="-2"/>
          <w:szCs w:val="22"/>
        </w:rPr>
        <w:t>[regulatees]</w:t>
      </w:r>
      <w:r w:rsidR="007322B6" w:rsidRPr="00817464">
        <w:rPr>
          <w:spacing w:val="-2"/>
          <w:szCs w:val="22"/>
        </w:rPr>
        <w:t>.</w:t>
      </w:r>
      <w:r w:rsidR="00C400A4" w:rsidRPr="00817464">
        <w:rPr>
          <w:spacing w:val="-2"/>
          <w:szCs w:val="22"/>
        </w:rPr>
        <w:t>”</w:t>
      </w:r>
      <w:r w:rsidR="00C400A4" w:rsidRPr="00817464">
        <w:rPr>
          <w:rStyle w:val="FootnoteReference"/>
          <w:spacing w:val="-2"/>
          <w:szCs w:val="22"/>
        </w:rPr>
        <w:footnoteReference w:id="67"/>
      </w:r>
      <w:r w:rsidR="00C400A4" w:rsidRPr="00817464">
        <w:rPr>
          <w:spacing w:val="-2"/>
          <w:szCs w:val="22"/>
        </w:rPr>
        <w:t xml:space="preserve"> </w:t>
      </w:r>
      <w:r w:rsidR="007322B6" w:rsidRPr="00817464">
        <w:rPr>
          <w:spacing w:val="-2"/>
          <w:szCs w:val="22"/>
        </w:rPr>
        <w:t xml:space="preserve"> W</w:t>
      </w:r>
      <w:r w:rsidR="00C400A4" w:rsidRPr="00817464">
        <w:rPr>
          <w:spacing w:val="-2"/>
          <w:szCs w:val="22"/>
        </w:rPr>
        <w:t xml:space="preserve">e propose </w:t>
      </w:r>
      <w:r w:rsidR="007322B6" w:rsidRPr="00817464">
        <w:rPr>
          <w:spacing w:val="-2"/>
          <w:szCs w:val="22"/>
        </w:rPr>
        <w:t>implementing such a limitation</w:t>
      </w:r>
      <w:r w:rsidR="00C400A4" w:rsidRPr="00817464">
        <w:rPr>
          <w:spacing w:val="-2"/>
          <w:szCs w:val="22"/>
        </w:rPr>
        <w:t xml:space="preserve"> on the </w:t>
      </w:r>
      <w:r w:rsidR="00591870" w:rsidRPr="00817464">
        <w:rPr>
          <w:spacing w:val="-2"/>
          <w:szCs w:val="22"/>
        </w:rPr>
        <w:t xml:space="preserve">increase in </w:t>
      </w:r>
      <w:r w:rsidR="00C400A4" w:rsidRPr="00817464">
        <w:rPr>
          <w:spacing w:val="-2"/>
          <w:szCs w:val="22"/>
        </w:rPr>
        <w:t>regulatory fee rate</w:t>
      </w:r>
      <w:r w:rsidR="00591870" w:rsidRPr="00817464">
        <w:rPr>
          <w:spacing w:val="-2"/>
          <w:szCs w:val="22"/>
        </w:rPr>
        <w:t>s</w:t>
      </w:r>
      <w:r w:rsidR="00504F2F" w:rsidRPr="00817464">
        <w:rPr>
          <w:spacing w:val="-2"/>
          <w:szCs w:val="22"/>
        </w:rPr>
        <w:t xml:space="preserve">, before </w:t>
      </w:r>
      <w:r w:rsidR="00EA0392" w:rsidRPr="00817464">
        <w:rPr>
          <w:spacing w:val="-2"/>
          <w:szCs w:val="22"/>
        </w:rPr>
        <w:t xml:space="preserve">any </w:t>
      </w:r>
      <w:r w:rsidR="00504F2F" w:rsidRPr="00817464">
        <w:rPr>
          <w:spacing w:val="-2"/>
          <w:szCs w:val="22"/>
        </w:rPr>
        <w:t>rounding</w:t>
      </w:r>
      <w:r w:rsidR="00EA0392" w:rsidRPr="00817464">
        <w:rPr>
          <w:spacing w:val="-2"/>
          <w:szCs w:val="22"/>
        </w:rPr>
        <w:t xml:space="preserve"> to the nearest applicable dollar unit as set forth in our rules</w:t>
      </w:r>
      <w:r w:rsidR="00504F2F" w:rsidRPr="00817464">
        <w:rPr>
          <w:spacing w:val="-2"/>
          <w:szCs w:val="22"/>
        </w:rPr>
        <w:t>,</w:t>
      </w:r>
      <w:r w:rsidR="00C400A4" w:rsidRPr="00817464">
        <w:rPr>
          <w:spacing w:val="-2"/>
          <w:szCs w:val="22"/>
        </w:rPr>
        <w:t xml:space="preserve"> </w:t>
      </w:r>
      <w:r w:rsidR="003A40F2" w:rsidRPr="00817464">
        <w:rPr>
          <w:spacing w:val="-2"/>
          <w:szCs w:val="22"/>
        </w:rPr>
        <w:t xml:space="preserve">above </w:t>
      </w:r>
      <w:r w:rsidR="00C400A4" w:rsidRPr="00817464">
        <w:rPr>
          <w:spacing w:val="-2"/>
          <w:szCs w:val="22"/>
        </w:rPr>
        <w:t>FY 2012</w:t>
      </w:r>
      <w:r w:rsidR="007113B2" w:rsidRPr="00817464">
        <w:rPr>
          <w:spacing w:val="-2"/>
          <w:szCs w:val="22"/>
        </w:rPr>
        <w:t xml:space="preserve"> fee rates</w:t>
      </w:r>
      <w:r w:rsidR="00C400A4" w:rsidRPr="00817464">
        <w:rPr>
          <w:spacing w:val="-2"/>
          <w:szCs w:val="22"/>
        </w:rPr>
        <w:t>.</w:t>
      </w:r>
      <w:r w:rsidR="00565191" w:rsidRPr="00817464">
        <w:rPr>
          <w:rStyle w:val="FootnoteReference"/>
          <w:spacing w:val="-2"/>
          <w:szCs w:val="22"/>
        </w:rPr>
        <w:footnoteReference w:id="68"/>
      </w:r>
      <w:r w:rsidR="00C400A4" w:rsidRPr="00817464">
        <w:rPr>
          <w:spacing w:val="-2"/>
          <w:szCs w:val="22"/>
        </w:rPr>
        <w:t xml:space="preserve">  </w:t>
      </w:r>
      <w:r w:rsidR="007322B6" w:rsidRPr="00817464">
        <w:rPr>
          <w:spacing w:val="-2"/>
          <w:szCs w:val="22"/>
        </w:rPr>
        <w:t>Th</w:t>
      </w:r>
      <w:r w:rsidR="0016301B" w:rsidRPr="00817464">
        <w:rPr>
          <w:spacing w:val="-2"/>
          <w:szCs w:val="22"/>
        </w:rPr>
        <w:t>is</w:t>
      </w:r>
      <w:r w:rsidR="007322B6" w:rsidRPr="00817464">
        <w:rPr>
          <w:spacing w:val="-2"/>
          <w:szCs w:val="22"/>
        </w:rPr>
        <w:t xml:space="preserve"> limitation, if adopted, would be effective in FY 2013.  </w:t>
      </w:r>
      <w:r w:rsidR="003061EF" w:rsidRPr="00817464">
        <w:rPr>
          <w:szCs w:val="22"/>
        </w:rPr>
        <w:t>Attachment A2 is a table illustrating</w:t>
      </w:r>
      <w:r w:rsidR="003061EF" w:rsidRPr="00021046">
        <w:rPr>
          <w:szCs w:val="22"/>
        </w:rPr>
        <w:t xml:space="preserve"> the impact of </w:t>
      </w:r>
      <w:r w:rsidR="002A1C00">
        <w:rPr>
          <w:szCs w:val="22"/>
        </w:rPr>
        <w:t xml:space="preserve">limiting the increase to </w:t>
      </w:r>
      <w:r w:rsidR="001632AE">
        <w:rPr>
          <w:szCs w:val="22"/>
        </w:rPr>
        <w:t>7.5</w:t>
      </w:r>
      <w:r w:rsidR="002A1C00">
        <w:rPr>
          <w:szCs w:val="22"/>
        </w:rPr>
        <w:t xml:space="preserve"> percent on </w:t>
      </w:r>
      <w:r w:rsidR="003061EF" w:rsidRPr="005D7588">
        <w:rPr>
          <w:szCs w:val="22"/>
        </w:rPr>
        <w:t>regulatory fee collection</w:t>
      </w:r>
      <w:r w:rsidR="0016301B">
        <w:rPr>
          <w:szCs w:val="22"/>
        </w:rPr>
        <w:t xml:space="preserve"> </w:t>
      </w:r>
      <w:r w:rsidR="003061EF" w:rsidRPr="005D7588">
        <w:rPr>
          <w:szCs w:val="22"/>
        </w:rPr>
        <w:t>and its associated Schedule of Fees is located in Attachment B2.</w:t>
      </w:r>
      <w:r w:rsidR="00700F36" w:rsidRPr="005D7588">
        <w:rPr>
          <w:spacing w:val="-2"/>
          <w:szCs w:val="22"/>
        </w:rPr>
        <w:t xml:space="preserve">  </w:t>
      </w:r>
      <w:r w:rsidR="00104A93">
        <w:rPr>
          <w:spacing w:val="-2"/>
          <w:szCs w:val="22"/>
        </w:rPr>
        <w:t xml:space="preserve">This will allow us to begin the transition toward </w:t>
      </w:r>
      <w:r w:rsidR="00184CC8" w:rsidRPr="009D0104">
        <w:rPr>
          <w:spacing w:val="-2"/>
          <w:szCs w:val="22"/>
        </w:rPr>
        <w:t>better align</w:t>
      </w:r>
      <w:r w:rsidR="00104A93">
        <w:rPr>
          <w:spacing w:val="-2"/>
          <w:szCs w:val="22"/>
        </w:rPr>
        <w:t xml:space="preserve">ment of </w:t>
      </w:r>
      <w:r w:rsidR="00184CC8" w:rsidRPr="009D0104">
        <w:rPr>
          <w:spacing w:val="-2"/>
          <w:szCs w:val="22"/>
        </w:rPr>
        <w:t>regulatory fees with Commission work performed</w:t>
      </w:r>
      <w:r w:rsidR="00104A93">
        <w:rPr>
          <w:spacing w:val="-2"/>
          <w:szCs w:val="22"/>
        </w:rPr>
        <w:t>, permitting necessary downward adjustment of regulatory fees in some sectors without imposing undue economic hardship on regulates in other sectors</w:t>
      </w:r>
      <w:r w:rsidR="00184CC8" w:rsidRPr="00524431">
        <w:rPr>
          <w:spacing w:val="-2"/>
          <w:szCs w:val="22"/>
        </w:rPr>
        <w:t xml:space="preserve">. </w:t>
      </w:r>
      <w:r w:rsidR="00C400A4" w:rsidRPr="00524431">
        <w:rPr>
          <w:spacing w:val="-2"/>
          <w:szCs w:val="22"/>
        </w:rPr>
        <w:t xml:space="preserve"> </w:t>
      </w:r>
      <w:r w:rsidR="009D1E04">
        <w:rPr>
          <w:spacing w:val="-2"/>
          <w:szCs w:val="22"/>
        </w:rPr>
        <w:t xml:space="preserve">Limiting increases will, necessarily, </w:t>
      </w:r>
      <w:r w:rsidR="00591870">
        <w:rPr>
          <w:spacing w:val="-2"/>
          <w:szCs w:val="22"/>
        </w:rPr>
        <w:t>limit the</w:t>
      </w:r>
      <w:r w:rsidR="009D1E04">
        <w:rPr>
          <w:spacing w:val="-2"/>
          <w:szCs w:val="22"/>
        </w:rPr>
        <w:t xml:space="preserve"> decrease in fees for other regulatory fee categories, since the overall fee collection amount does not change.  </w:t>
      </w:r>
    </w:p>
    <w:p w:rsidR="00F6184B" w:rsidRDefault="00F954B2" w:rsidP="00547927">
      <w:pPr>
        <w:pStyle w:val="ParaNum"/>
        <w:tabs>
          <w:tab w:val="num" w:pos="1350"/>
        </w:tabs>
        <w:ind w:left="-90"/>
        <w:rPr>
          <w:szCs w:val="22"/>
        </w:rPr>
      </w:pPr>
      <w:r w:rsidRPr="00524431">
        <w:rPr>
          <w:spacing w:val="-2"/>
          <w:szCs w:val="22"/>
        </w:rPr>
        <w:t>We seek comment on the</w:t>
      </w:r>
      <w:r w:rsidR="00184CC8" w:rsidRPr="00524431">
        <w:rPr>
          <w:spacing w:val="-2"/>
          <w:szCs w:val="22"/>
        </w:rPr>
        <w:t xml:space="preserve"> reasonableness of </w:t>
      </w:r>
      <w:r w:rsidR="00001B55">
        <w:rPr>
          <w:spacing w:val="-2"/>
          <w:szCs w:val="22"/>
        </w:rPr>
        <w:t>this proposed</w:t>
      </w:r>
      <w:r w:rsidR="00167EF6">
        <w:rPr>
          <w:spacing w:val="-2"/>
          <w:szCs w:val="22"/>
        </w:rPr>
        <w:t xml:space="preserve"> limitation</w:t>
      </w:r>
      <w:r w:rsidRPr="00021046">
        <w:rPr>
          <w:spacing w:val="-2"/>
          <w:szCs w:val="22"/>
        </w:rPr>
        <w:t xml:space="preserve"> for FY</w:t>
      </w:r>
      <w:r w:rsidR="00CF1212" w:rsidRPr="005D7588">
        <w:rPr>
          <w:spacing w:val="-2"/>
          <w:szCs w:val="22"/>
        </w:rPr>
        <w:t xml:space="preserve"> </w:t>
      </w:r>
      <w:r w:rsidRPr="005D7588">
        <w:rPr>
          <w:spacing w:val="-2"/>
          <w:szCs w:val="22"/>
        </w:rPr>
        <w:t xml:space="preserve">2013.  </w:t>
      </w:r>
      <w:r w:rsidR="00184CC8" w:rsidRPr="00524431">
        <w:rPr>
          <w:spacing w:val="-2"/>
          <w:szCs w:val="22"/>
        </w:rPr>
        <w:t>We also invite comment on high</w:t>
      </w:r>
      <w:r w:rsidR="005832F6">
        <w:rPr>
          <w:spacing w:val="-2"/>
          <w:szCs w:val="22"/>
        </w:rPr>
        <w:t>er</w:t>
      </w:r>
      <w:r w:rsidR="00184CC8" w:rsidRPr="00524431">
        <w:rPr>
          <w:spacing w:val="-2"/>
          <w:szCs w:val="22"/>
        </w:rPr>
        <w:t xml:space="preserve"> or lower percentages</w:t>
      </w:r>
      <w:r w:rsidR="00001B55">
        <w:rPr>
          <w:spacing w:val="-2"/>
          <w:szCs w:val="22"/>
        </w:rPr>
        <w:t xml:space="preserve">, and whether, rather than a uniform limitation for increases to all regulatory fee categories resulting solely from the reallocations proposed herein, we should consider different limitations for certain industry groups in light of other reform proposals and the likely impact on the regulatory fees of such groups.  For example, as </w:t>
      </w:r>
      <w:r w:rsidR="00167EF6">
        <w:rPr>
          <w:spacing w:val="-2"/>
          <w:szCs w:val="22"/>
        </w:rPr>
        <w:t>we seek to combine regulatory fees for ITSP and wireless services into one category</w:t>
      </w:r>
      <w:r w:rsidR="00001B55">
        <w:rPr>
          <w:spacing w:val="-2"/>
          <w:szCs w:val="22"/>
        </w:rPr>
        <w:t xml:space="preserve">, should we consider a limitation that brings the allocation </w:t>
      </w:r>
      <w:r w:rsidR="005832F6">
        <w:rPr>
          <w:spacing w:val="-2"/>
          <w:szCs w:val="22"/>
        </w:rPr>
        <w:t>of</w:t>
      </w:r>
      <w:r w:rsidR="00001B55">
        <w:rPr>
          <w:spacing w:val="-2"/>
          <w:szCs w:val="22"/>
        </w:rPr>
        <w:t xml:space="preserve"> </w:t>
      </w:r>
      <w:r w:rsidR="006D6C14">
        <w:rPr>
          <w:spacing w:val="-2"/>
          <w:szCs w:val="22"/>
        </w:rPr>
        <w:t xml:space="preserve">FTEs for </w:t>
      </w:r>
      <w:r w:rsidR="00001B55">
        <w:rPr>
          <w:spacing w:val="-2"/>
          <w:szCs w:val="22"/>
        </w:rPr>
        <w:t>these two groups closer to equal</w:t>
      </w:r>
      <w:r w:rsidR="006D6C14">
        <w:rPr>
          <w:spacing w:val="-2"/>
          <w:szCs w:val="22"/>
        </w:rPr>
        <w:t xml:space="preserve"> in this fiscal year</w:t>
      </w:r>
      <w:r w:rsidR="00001B55">
        <w:rPr>
          <w:spacing w:val="-2"/>
          <w:szCs w:val="22"/>
        </w:rPr>
        <w:t xml:space="preserve">?  </w:t>
      </w:r>
      <w:r w:rsidR="006D6C14">
        <w:rPr>
          <w:spacing w:val="-2"/>
          <w:szCs w:val="22"/>
        </w:rPr>
        <w:t xml:space="preserve">Without such limitation, would </w:t>
      </w:r>
      <w:r w:rsidR="003019DC">
        <w:rPr>
          <w:spacing w:val="-2"/>
          <w:szCs w:val="22"/>
        </w:rPr>
        <w:t xml:space="preserve">increases for certain regulatory fee categories </w:t>
      </w:r>
      <w:r w:rsidR="006D6C14">
        <w:rPr>
          <w:spacing w:val="-2"/>
          <w:szCs w:val="22"/>
        </w:rPr>
        <w:t>still be fair</w:t>
      </w:r>
      <w:r w:rsidR="003019DC">
        <w:rPr>
          <w:spacing w:val="-2"/>
          <w:szCs w:val="22"/>
        </w:rPr>
        <w:t>, taking into account the work of the Commission benefiting such payors?</w:t>
      </w:r>
      <w:r w:rsidR="00167EF6">
        <w:rPr>
          <w:spacing w:val="-2"/>
          <w:szCs w:val="22"/>
        </w:rPr>
        <w:t xml:space="preserve">  </w:t>
      </w:r>
      <w:r w:rsidRPr="00524431">
        <w:rPr>
          <w:spacing w:val="-2"/>
          <w:szCs w:val="22"/>
        </w:rPr>
        <w:t xml:space="preserve">Commenters suggesting a different </w:t>
      </w:r>
      <w:r w:rsidR="00184CC8" w:rsidRPr="00524431">
        <w:rPr>
          <w:spacing w:val="-2"/>
          <w:szCs w:val="22"/>
        </w:rPr>
        <w:t>percentage</w:t>
      </w:r>
      <w:r w:rsidR="003019DC">
        <w:rPr>
          <w:spacing w:val="-2"/>
          <w:szCs w:val="22"/>
        </w:rPr>
        <w:t xml:space="preserve"> for regulatory fee increases</w:t>
      </w:r>
      <w:r w:rsidR="005832F6">
        <w:rPr>
          <w:spacing w:val="-2"/>
          <w:szCs w:val="22"/>
        </w:rPr>
        <w:t xml:space="preserve"> applicable to</w:t>
      </w:r>
      <w:r w:rsidR="006D6C14">
        <w:rPr>
          <w:spacing w:val="-2"/>
          <w:szCs w:val="22"/>
        </w:rPr>
        <w:t xml:space="preserve"> any or </w:t>
      </w:r>
      <w:r w:rsidR="006D6C14" w:rsidRPr="00836FF4">
        <w:rPr>
          <w:spacing w:val="-2"/>
          <w:szCs w:val="22"/>
        </w:rPr>
        <w:t>all fee categories</w:t>
      </w:r>
      <w:r w:rsidR="003019DC" w:rsidRPr="00836FF4">
        <w:rPr>
          <w:spacing w:val="-2"/>
          <w:szCs w:val="22"/>
        </w:rPr>
        <w:t xml:space="preserve"> </w:t>
      </w:r>
      <w:r w:rsidR="00F6184B" w:rsidRPr="00C5052D">
        <w:rPr>
          <w:spacing w:val="-2"/>
          <w:szCs w:val="22"/>
        </w:rPr>
        <w:t>should explain how their proposals would prevent a severe impact on the economic wellbeing of regulatees, be consistent with the goals of</w:t>
      </w:r>
      <w:r w:rsidR="00970FDA" w:rsidRPr="00836FF4">
        <w:rPr>
          <w:spacing w:val="-2"/>
          <w:szCs w:val="22"/>
        </w:rPr>
        <w:t xml:space="preserve"> </w:t>
      </w:r>
      <w:r w:rsidR="00184CC8" w:rsidRPr="00836FF4">
        <w:rPr>
          <w:spacing w:val="-2"/>
          <w:szCs w:val="22"/>
        </w:rPr>
        <w:t>more accurately align</w:t>
      </w:r>
      <w:r w:rsidR="00F6184B" w:rsidRPr="00C5052D">
        <w:rPr>
          <w:spacing w:val="-2"/>
          <w:szCs w:val="22"/>
        </w:rPr>
        <w:t>ing</w:t>
      </w:r>
      <w:r w:rsidR="00184CC8" w:rsidRPr="00836FF4">
        <w:rPr>
          <w:spacing w:val="-2"/>
          <w:szCs w:val="22"/>
        </w:rPr>
        <w:t xml:space="preserve"> FTEs with their areas of work</w:t>
      </w:r>
      <w:r w:rsidR="007322B6" w:rsidRPr="00836FF4">
        <w:rPr>
          <w:spacing w:val="-2"/>
          <w:szCs w:val="22"/>
        </w:rPr>
        <w:t xml:space="preserve">, </w:t>
      </w:r>
      <w:r w:rsidR="00F6184B" w:rsidRPr="00C5052D">
        <w:rPr>
          <w:spacing w:val="-2"/>
          <w:szCs w:val="22"/>
        </w:rPr>
        <w:t>promoting</w:t>
      </w:r>
      <w:r w:rsidR="003019DC" w:rsidRPr="00836FF4">
        <w:rPr>
          <w:spacing w:val="-2"/>
          <w:szCs w:val="22"/>
        </w:rPr>
        <w:t xml:space="preserve"> fairness, </w:t>
      </w:r>
      <w:r w:rsidR="007322B6" w:rsidRPr="00836FF4">
        <w:rPr>
          <w:spacing w:val="-2"/>
          <w:szCs w:val="22"/>
        </w:rPr>
        <w:t>and allow</w:t>
      </w:r>
      <w:r w:rsidR="00F6184B" w:rsidRPr="00C5052D">
        <w:rPr>
          <w:spacing w:val="-2"/>
          <w:szCs w:val="22"/>
        </w:rPr>
        <w:t>ing</w:t>
      </w:r>
      <w:r w:rsidR="007322B6" w:rsidRPr="00836FF4">
        <w:rPr>
          <w:spacing w:val="-2"/>
          <w:szCs w:val="22"/>
        </w:rPr>
        <w:t xml:space="preserve"> the Commission to recover </w:t>
      </w:r>
      <w:r w:rsidR="00F6184B" w:rsidRPr="00C5052D">
        <w:rPr>
          <w:spacing w:val="-2"/>
          <w:szCs w:val="22"/>
        </w:rPr>
        <w:t>its</w:t>
      </w:r>
      <w:r w:rsidR="007322B6" w:rsidRPr="00836FF4">
        <w:rPr>
          <w:spacing w:val="-2"/>
          <w:szCs w:val="22"/>
        </w:rPr>
        <w:t xml:space="preserve"> regulatory costs as Congress has directe</w:t>
      </w:r>
      <w:r w:rsidR="00F6184B" w:rsidRPr="00C5052D">
        <w:rPr>
          <w:spacing w:val="-2"/>
          <w:szCs w:val="22"/>
        </w:rPr>
        <w:t>d.  As we continue with regulatory fee reform in the future, we will consider the need for similar limits if significant increases in regulatory fee rates occur in any one year as a result of our adoption of further reform measures</w:t>
      </w:r>
      <w:r w:rsidR="00565191" w:rsidRPr="005D7588">
        <w:rPr>
          <w:spacing w:val="-2"/>
          <w:szCs w:val="22"/>
        </w:rPr>
        <w:t>.</w:t>
      </w:r>
      <w:r w:rsidR="00EA49E0" w:rsidRPr="005D7588">
        <w:rPr>
          <w:spacing w:val="-2"/>
          <w:szCs w:val="22"/>
        </w:rPr>
        <w:t xml:space="preserve">  </w:t>
      </w:r>
      <w:r w:rsidR="00565191" w:rsidRPr="00524431">
        <w:rPr>
          <w:spacing w:val="-2"/>
          <w:szCs w:val="22"/>
        </w:rPr>
        <w:t xml:space="preserve"> </w:t>
      </w:r>
      <w:r w:rsidR="00F416BE">
        <w:rPr>
          <w:spacing w:val="-2"/>
          <w:szCs w:val="22"/>
        </w:rPr>
        <w:t>We, therefore, seek comment on the appropriate timeline for fully implementing the reallocation proposed herein and whether similar limits to increases in regulatory fee rates resulting from such reallocation should be used in FY</w:t>
      </w:r>
      <w:r w:rsidR="00A13E19">
        <w:rPr>
          <w:spacing w:val="-2"/>
          <w:szCs w:val="22"/>
        </w:rPr>
        <w:t xml:space="preserve"> </w:t>
      </w:r>
      <w:r w:rsidR="00F416BE">
        <w:rPr>
          <w:spacing w:val="-2"/>
          <w:szCs w:val="22"/>
        </w:rPr>
        <w:t>2014 and beyond.</w:t>
      </w:r>
      <w:r w:rsidR="00C400A4" w:rsidRPr="00524431">
        <w:rPr>
          <w:spacing w:val="-2"/>
          <w:szCs w:val="22"/>
        </w:rPr>
        <w:t xml:space="preserve"> </w:t>
      </w:r>
    </w:p>
    <w:p w:rsidR="007F2747" w:rsidRDefault="00035821" w:rsidP="00B32272">
      <w:pPr>
        <w:pStyle w:val="Heading3"/>
      </w:pPr>
      <w:bookmarkStart w:id="64" w:name="_Toc353032046"/>
      <w:bookmarkStart w:id="65" w:name="_Toc352943179"/>
      <w:bookmarkStart w:id="66" w:name="_Toc352943628"/>
      <w:bookmarkStart w:id="67" w:name="_Toc353987723"/>
      <w:bookmarkStart w:id="68" w:name="_Toc353988044"/>
      <w:r>
        <w:t>Interim M</w:t>
      </w:r>
      <w:r w:rsidR="007F2747">
        <w:t>easures</w:t>
      </w:r>
      <w:r w:rsidR="00FB3584">
        <w:t xml:space="preserve"> </w:t>
      </w:r>
      <w:r w:rsidR="00032720">
        <w:t>for FY 2013</w:t>
      </w:r>
      <w:bookmarkEnd w:id="64"/>
      <w:bookmarkEnd w:id="65"/>
      <w:bookmarkEnd w:id="66"/>
      <w:bookmarkEnd w:id="67"/>
      <w:bookmarkEnd w:id="68"/>
    </w:p>
    <w:p w:rsidR="00F6184B" w:rsidRDefault="007F2747" w:rsidP="00547927">
      <w:pPr>
        <w:pStyle w:val="ParaNum"/>
        <w:tabs>
          <w:tab w:val="num" w:pos="1350"/>
        </w:tabs>
        <w:ind w:left="-90"/>
        <w:rPr>
          <w:szCs w:val="22"/>
        </w:rPr>
      </w:pPr>
      <w:r w:rsidRPr="00A1103B">
        <w:rPr>
          <w:szCs w:val="22"/>
        </w:rPr>
        <w:t xml:space="preserve">We seek comment </w:t>
      </w:r>
      <w:r w:rsidR="00565191">
        <w:rPr>
          <w:szCs w:val="22"/>
        </w:rPr>
        <w:t xml:space="preserve">on </w:t>
      </w:r>
      <w:r w:rsidRPr="00A1103B">
        <w:rPr>
          <w:szCs w:val="22"/>
        </w:rPr>
        <w:t>whether</w:t>
      </w:r>
      <w:r>
        <w:rPr>
          <w:szCs w:val="22"/>
        </w:rPr>
        <w:t>,</w:t>
      </w:r>
      <w:r w:rsidRPr="00A1103B">
        <w:rPr>
          <w:szCs w:val="22"/>
        </w:rPr>
        <w:t xml:space="preserve"> </w:t>
      </w:r>
      <w:r w:rsidR="009D2AD3">
        <w:rPr>
          <w:szCs w:val="22"/>
        </w:rPr>
        <w:t xml:space="preserve">in lieu of </w:t>
      </w:r>
      <w:r w:rsidR="00257EEE">
        <w:rPr>
          <w:szCs w:val="22"/>
        </w:rPr>
        <w:t xml:space="preserve">using updated FTE data and implementing </w:t>
      </w:r>
      <w:r w:rsidR="009D2AD3">
        <w:rPr>
          <w:szCs w:val="22"/>
        </w:rPr>
        <w:t xml:space="preserve">the </w:t>
      </w:r>
      <w:r w:rsidR="00257EEE">
        <w:rPr>
          <w:szCs w:val="22"/>
        </w:rPr>
        <w:t>FTE reallocations proposed above in</w:t>
      </w:r>
      <w:r w:rsidR="009D2AD3">
        <w:rPr>
          <w:szCs w:val="22"/>
        </w:rPr>
        <w:t xml:space="preserve"> FY 2013, </w:t>
      </w:r>
      <w:r>
        <w:rPr>
          <w:szCs w:val="22"/>
        </w:rPr>
        <w:t xml:space="preserve">we should </w:t>
      </w:r>
      <w:r w:rsidR="00895DED">
        <w:rPr>
          <w:szCs w:val="22"/>
        </w:rPr>
        <w:t xml:space="preserve">maintain the allocation percentages </w:t>
      </w:r>
      <w:r w:rsidR="00257EEE">
        <w:rPr>
          <w:szCs w:val="22"/>
        </w:rPr>
        <w:t xml:space="preserve">we now use </w:t>
      </w:r>
      <w:r w:rsidR="00895DED">
        <w:rPr>
          <w:szCs w:val="22"/>
        </w:rPr>
        <w:t xml:space="preserve">for all fee categories </w:t>
      </w:r>
      <w:r w:rsidR="00257EEE">
        <w:rPr>
          <w:szCs w:val="22"/>
        </w:rPr>
        <w:t>in</w:t>
      </w:r>
      <w:r w:rsidR="00B87F40">
        <w:rPr>
          <w:szCs w:val="22"/>
        </w:rPr>
        <w:t xml:space="preserve"> FY 2013</w:t>
      </w:r>
      <w:r w:rsidR="00257EEE">
        <w:rPr>
          <w:szCs w:val="22"/>
        </w:rPr>
        <w:t xml:space="preserve"> </w:t>
      </w:r>
      <w:r w:rsidR="00B87F40">
        <w:rPr>
          <w:szCs w:val="22"/>
        </w:rPr>
        <w:t>and</w:t>
      </w:r>
      <w:r w:rsidR="006D6C14">
        <w:rPr>
          <w:szCs w:val="22"/>
        </w:rPr>
        <w:t xml:space="preserve"> </w:t>
      </w:r>
      <w:r w:rsidR="00565191">
        <w:rPr>
          <w:szCs w:val="22"/>
        </w:rPr>
        <w:t>maintain the</w:t>
      </w:r>
      <w:r w:rsidR="00895DED">
        <w:rPr>
          <w:szCs w:val="22"/>
        </w:rPr>
        <w:t xml:space="preserve"> ITSP fee rate </w:t>
      </w:r>
      <w:r w:rsidR="00565191">
        <w:rPr>
          <w:szCs w:val="22"/>
        </w:rPr>
        <w:t>for FY</w:t>
      </w:r>
      <w:r w:rsidR="00E86D88">
        <w:rPr>
          <w:szCs w:val="22"/>
        </w:rPr>
        <w:t xml:space="preserve"> </w:t>
      </w:r>
      <w:r w:rsidR="00565191">
        <w:rPr>
          <w:szCs w:val="22"/>
        </w:rPr>
        <w:t xml:space="preserve">2013 </w:t>
      </w:r>
      <w:r w:rsidR="00895DED">
        <w:rPr>
          <w:szCs w:val="22"/>
        </w:rPr>
        <w:t xml:space="preserve">at .00375 per revenue dollar for the third consecutive year.  </w:t>
      </w:r>
      <w:r w:rsidR="003061EF">
        <w:rPr>
          <w:szCs w:val="22"/>
        </w:rPr>
        <w:t xml:space="preserve">The table in </w:t>
      </w:r>
      <w:r w:rsidR="00895DED">
        <w:rPr>
          <w:szCs w:val="22"/>
        </w:rPr>
        <w:t xml:space="preserve">Attachment </w:t>
      </w:r>
      <w:r w:rsidR="00C400A4">
        <w:rPr>
          <w:szCs w:val="22"/>
        </w:rPr>
        <w:t>A1</w:t>
      </w:r>
      <w:r w:rsidR="00895DED">
        <w:rPr>
          <w:szCs w:val="22"/>
        </w:rPr>
        <w:t xml:space="preserve"> </w:t>
      </w:r>
      <w:r w:rsidR="003061EF">
        <w:rPr>
          <w:szCs w:val="22"/>
        </w:rPr>
        <w:t>illustrates</w:t>
      </w:r>
      <w:r w:rsidR="003061EF">
        <w:t xml:space="preserve"> </w:t>
      </w:r>
      <w:r w:rsidR="00895DED">
        <w:rPr>
          <w:szCs w:val="22"/>
        </w:rPr>
        <w:t>the impact of this proposal on regulatory fee collection</w:t>
      </w:r>
      <w:r w:rsidR="003061EF">
        <w:rPr>
          <w:szCs w:val="22"/>
        </w:rPr>
        <w:t>, and its associated Schedule of Fees is located in Attachment B1</w:t>
      </w:r>
      <w:r w:rsidR="00895DED">
        <w:rPr>
          <w:szCs w:val="22"/>
        </w:rPr>
        <w:t>.</w:t>
      </w:r>
      <w:r w:rsidR="00B67408" w:rsidRPr="00B67408">
        <w:rPr>
          <w:szCs w:val="22"/>
        </w:rPr>
        <w:t xml:space="preserve"> </w:t>
      </w:r>
      <w:r w:rsidR="003019DC">
        <w:rPr>
          <w:szCs w:val="22"/>
        </w:rPr>
        <w:t xml:space="preserve"> If we </w:t>
      </w:r>
      <w:r w:rsidR="006D6C14">
        <w:rPr>
          <w:szCs w:val="22"/>
        </w:rPr>
        <w:t xml:space="preserve">maintained the allocation percentages we now use, but </w:t>
      </w:r>
      <w:r w:rsidR="003019DC">
        <w:rPr>
          <w:szCs w:val="22"/>
        </w:rPr>
        <w:t xml:space="preserve">did not maintain the ITSP fee rate for FY 2013 at .00375, </w:t>
      </w:r>
      <w:r w:rsidR="00B67408">
        <w:rPr>
          <w:szCs w:val="22"/>
        </w:rPr>
        <w:t>the FY 2013 ITSP fee rate would increase to .00409.</w:t>
      </w:r>
      <w:r w:rsidR="00B67408">
        <w:rPr>
          <w:rStyle w:val="FootnoteReference"/>
          <w:szCs w:val="22"/>
        </w:rPr>
        <w:footnoteReference w:id="69"/>
      </w:r>
      <w:r w:rsidR="00B67408">
        <w:rPr>
          <w:szCs w:val="22"/>
        </w:rPr>
        <w:t xml:space="preserve">  </w:t>
      </w:r>
      <w:r w:rsidR="00B67408">
        <w:rPr>
          <w:spacing w:val="-2"/>
          <w:szCs w:val="22"/>
        </w:rPr>
        <w:t xml:space="preserve">      </w:t>
      </w:r>
    </w:p>
    <w:p w:rsidR="0093762B" w:rsidRPr="006D0856" w:rsidRDefault="0093762B" w:rsidP="00B32272">
      <w:pPr>
        <w:pStyle w:val="Heading3"/>
      </w:pPr>
      <w:bookmarkStart w:id="69" w:name="_Toc351572416"/>
      <w:bookmarkStart w:id="70" w:name="_Toc351484753"/>
      <w:bookmarkStart w:id="71" w:name="_Toc351484799"/>
      <w:bookmarkStart w:id="72" w:name="_Toc351484941"/>
      <w:bookmarkStart w:id="73" w:name="_Toc351571051"/>
      <w:bookmarkStart w:id="74" w:name="_Toc353032047"/>
      <w:bookmarkStart w:id="75" w:name="_Toc351572417"/>
      <w:bookmarkStart w:id="76" w:name="_Toc352943180"/>
      <w:bookmarkStart w:id="77" w:name="_Toc352943629"/>
      <w:bookmarkStart w:id="78" w:name="_Toc353987724"/>
      <w:bookmarkStart w:id="79" w:name="_Toc353988045"/>
      <w:bookmarkStart w:id="80" w:name="_Toc189743263"/>
      <w:bookmarkEnd w:id="69"/>
      <w:r w:rsidRPr="006D0856">
        <w:t>Revenue Based Regulatory Fee Assessments</w:t>
      </w:r>
      <w:bookmarkEnd w:id="70"/>
      <w:bookmarkEnd w:id="71"/>
      <w:bookmarkEnd w:id="72"/>
      <w:bookmarkEnd w:id="73"/>
      <w:bookmarkEnd w:id="74"/>
      <w:bookmarkEnd w:id="75"/>
      <w:bookmarkEnd w:id="76"/>
      <w:bookmarkEnd w:id="77"/>
      <w:bookmarkEnd w:id="78"/>
      <w:bookmarkEnd w:id="79"/>
    </w:p>
    <w:p w:rsidR="00F6184B" w:rsidRPr="0047253D" w:rsidRDefault="0093762B" w:rsidP="00547927">
      <w:pPr>
        <w:pStyle w:val="ParaNum"/>
        <w:tabs>
          <w:tab w:val="num" w:pos="1350"/>
        </w:tabs>
        <w:ind w:left="-90"/>
        <w:rPr>
          <w:szCs w:val="22"/>
        </w:rPr>
      </w:pPr>
      <w:r w:rsidRPr="00754D4D">
        <w:rPr>
          <w:szCs w:val="22"/>
        </w:rPr>
        <w:t>In addition to using revenues to calculate regulatory fees for the wireless industry, discussed above, we invite comment on whether revenues would be a more appropriate measure for other industries</w:t>
      </w:r>
      <w:r w:rsidR="00BE0885" w:rsidRPr="00754D4D">
        <w:rPr>
          <w:szCs w:val="22"/>
        </w:rPr>
        <w:t xml:space="preserve"> </w:t>
      </w:r>
      <w:r w:rsidR="00AC39D1" w:rsidRPr="00754D4D">
        <w:rPr>
          <w:szCs w:val="22"/>
        </w:rPr>
        <w:t>in</w:t>
      </w:r>
      <w:r w:rsidR="00BE0885" w:rsidRPr="00754D4D">
        <w:rPr>
          <w:szCs w:val="22"/>
        </w:rPr>
        <w:t xml:space="preserve"> FY 2014 or future years</w:t>
      </w:r>
      <w:r w:rsidRPr="00754D4D">
        <w:rPr>
          <w:szCs w:val="22"/>
        </w:rPr>
        <w:t xml:space="preserve">.  For example, should the Commission use revenues instead of </w:t>
      </w:r>
      <w:r w:rsidR="00AC39D1" w:rsidRPr="00754D4D">
        <w:rPr>
          <w:szCs w:val="22"/>
        </w:rPr>
        <w:t xml:space="preserve">number of </w:t>
      </w:r>
      <w:r w:rsidRPr="00754D4D">
        <w:rPr>
          <w:szCs w:val="22"/>
        </w:rPr>
        <w:t xml:space="preserve">subscribers in determining the regulatory fee for the cable industry?  Would revenues be a more appropriate measure for calculating regulatory fees for the satellite industry?  If so, how should the Commission account for satellite revenue from foreign sources?  Commenters should address </w:t>
      </w:r>
      <w:r w:rsidR="00032720" w:rsidRPr="00754D4D">
        <w:rPr>
          <w:szCs w:val="22"/>
        </w:rPr>
        <w:t xml:space="preserve">whether </w:t>
      </w:r>
      <w:r w:rsidRPr="00754D4D">
        <w:rPr>
          <w:szCs w:val="22"/>
        </w:rPr>
        <w:t xml:space="preserve">foreign revenues </w:t>
      </w:r>
      <w:r w:rsidR="00032720" w:rsidRPr="00754D4D">
        <w:rPr>
          <w:szCs w:val="22"/>
        </w:rPr>
        <w:t>would</w:t>
      </w:r>
      <w:r w:rsidRPr="00754D4D">
        <w:rPr>
          <w:szCs w:val="22"/>
        </w:rPr>
        <w:t xml:space="preserve"> be relevant if we assessed fees in that manner</w:t>
      </w:r>
      <w:r w:rsidR="003019DC" w:rsidRPr="00754D4D">
        <w:rPr>
          <w:szCs w:val="22"/>
        </w:rPr>
        <w:t xml:space="preserve">. </w:t>
      </w:r>
      <w:r w:rsidRPr="00754D4D">
        <w:rPr>
          <w:szCs w:val="22"/>
        </w:rPr>
        <w:t xml:space="preserve">  </w:t>
      </w:r>
      <w:r w:rsidR="003019DC" w:rsidRPr="00754D4D">
        <w:rPr>
          <w:szCs w:val="22"/>
        </w:rPr>
        <w:t>C</w:t>
      </w:r>
      <w:r w:rsidRPr="00754D4D">
        <w:rPr>
          <w:szCs w:val="22"/>
        </w:rPr>
        <w:t xml:space="preserve">ommenters </w:t>
      </w:r>
      <w:r w:rsidR="003019DC" w:rsidRPr="00754D4D">
        <w:rPr>
          <w:szCs w:val="22"/>
        </w:rPr>
        <w:t xml:space="preserve">also </w:t>
      </w:r>
      <w:r w:rsidRPr="00754D4D">
        <w:rPr>
          <w:szCs w:val="22"/>
        </w:rPr>
        <w:t xml:space="preserve">should discuss how we would determine the revenues for companies that do not file a </w:t>
      </w:r>
      <w:r w:rsidR="00032720" w:rsidRPr="00754D4D">
        <w:rPr>
          <w:szCs w:val="22"/>
        </w:rPr>
        <w:t xml:space="preserve">FCC </w:t>
      </w:r>
      <w:r w:rsidRPr="00754D4D">
        <w:rPr>
          <w:szCs w:val="22"/>
        </w:rPr>
        <w:t xml:space="preserve">Form 499-A, what information should be provided </w:t>
      </w:r>
      <w:r w:rsidR="00AC39D1" w:rsidRPr="00754D4D">
        <w:rPr>
          <w:szCs w:val="22"/>
        </w:rPr>
        <w:t xml:space="preserve">to </w:t>
      </w:r>
      <w:r w:rsidRPr="00754D4D">
        <w:rPr>
          <w:szCs w:val="22"/>
        </w:rPr>
        <w:t>the Commission</w:t>
      </w:r>
      <w:r w:rsidR="00EA0392">
        <w:rPr>
          <w:szCs w:val="22"/>
        </w:rPr>
        <w:t>, and whether such information would require confidential treatment</w:t>
      </w:r>
      <w:r w:rsidR="00535A9C" w:rsidRPr="0047253D">
        <w:rPr>
          <w:szCs w:val="22"/>
        </w:rPr>
        <w:t>.   Conversely, we seek comment on whether it would be fairer and more sustainable to assess more fee categories on some other basis, such as subscribers.</w:t>
      </w:r>
    </w:p>
    <w:p w:rsidR="00863A53" w:rsidRDefault="00863A53" w:rsidP="00A1103B">
      <w:pPr>
        <w:pStyle w:val="Heading2"/>
        <w:rPr>
          <w:szCs w:val="22"/>
        </w:rPr>
      </w:pPr>
      <w:bookmarkStart w:id="81" w:name="_Toc351572418"/>
      <w:bookmarkStart w:id="82" w:name="_Toc351484754"/>
      <w:bookmarkStart w:id="83" w:name="_Toc351484800"/>
      <w:bookmarkStart w:id="84" w:name="_Toc351484942"/>
      <w:bookmarkStart w:id="85" w:name="_Toc351571052"/>
      <w:bookmarkStart w:id="86" w:name="_Toc353032048"/>
      <w:bookmarkStart w:id="87" w:name="_Toc351572419"/>
      <w:bookmarkStart w:id="88" w:name="_Toc352943181"/>
      <w:bookmarkStart w:id="89" w:name="_Toc352943630"/>
      <w:bookmarkStart w:id="90" w:name="_Toc353987725"/>
      <w:bookmarkStart w:id="91" w:name="_Toc353988046"/>
      <w:bookmarkEnd w:id="81"/>
      <w:r w:rsidRPr="00A1103B">
        <w:rPr>
          <w:szCs w:val="22"/>
        </w:rPr>
        <w:t xml:space="preserve">Other Telecommunications </w:t>
      </w:r>
      <w:r w:rsidR="00205444">
        <w:rPr>
          <w:szCs w:val="22"/>
        </w:rPr>
        <w:t>Regulatory Fee Issues</w:t>
      </w:r>
      <w:bookmarkEnd w:id="80"/>
      <w:bookmarkEnd w:id="82"/>
      <w:bookmarkEnd w:id="83"/>
      <w:bookmarkEnd w:id="84"/>
      <w:bookmarkEnd w:id="85"/>
      <w:bookmarkEnd w:id="86"/>
      <w:bookmarkEnd w:id="87"/>
      <w:bookmarkEnd w:id="88"/>
      <w:bookmarkEnd w:id="89"/>
      <w:bookmarkEnd w:id="90"/>
      <w:bookmarkEnd w:id="91"/>
      <w:r w:rsidRPr="00A1103B">
        <w:rPr>
          <w:szCs w:val="22"/>
        </w:rPr>
        <w:t xml:space="preserve"> </w:t>
      </w:r>
    </w:p>
    <w:p w:rsidR="00F6184B" w:rsidRDefault="00FA04DD" w:rsidP="00C5052D">
      <w:pPr>
        <w:pStyle w:val="Heading3"/>
        <w:tabs>
          <w:tab w:val="num" w:pos="2160"/>
        </w:tabs>
        <w:rPr>
          <w:szCs w:val="22"/>
        </w:rPr>
      </w:pPr>
      <w:bookmarkStart w:id="92" w:name="_Toc285458154"/>
      <w:bookmarkStart w:id="93" w:name="_Toc289263514"/>
      <w:bookmarkStart w:id="94" w:name="_Toc292177302"/>
      <w:bookmarkStart w:id="95" w:name="_Toc296691740"/>
      <w:bookmarkStart w:id="96" w:name="_Toc297116960"/>
      <w:bookmarkStart w:id="97" w:name="_Toc298752188"/>
      <w:bookmarkStart w:id="98" w:name="_Toc299091553"/>
      <w:bookmarkStart w:id="99" w:name="_Toc319681868"/>
      <w:bookmarkStart w:id="100" w:name="_Toc320103175"/>
      <w:bookmarkStart w:id="101" w:name="_Toc320615926"/>
      <w:bookmarkStart w:id="102" w:name="_Toc320616344"/>
      <w:bookmarkStart w:id="103" w:name="_Toc320616483"/>
      <w:bookmarkStart w:id="104" w:name="_Toc320632305"/>
      <w:bookmarkStart w:id="105" w:name="_Toc320632338"/>
      <w:bookmarkStart w:id="106" w:name="_Toc320639445"/>
      <w:bookmarkStart w:id="107" w:name="_Toc321130244"/>
      <w:bookmarkStart w:id="108" w:name="_Toc321301147"/>
      <w:bookmarkStart w:id="109" w:name="_Toc351571054"/>
      <w:bookmarkStart w:id="110" w:name="_Toc353032050"/>
      <w:bookmarkStart w:id="111" w:name="_Toc351572421"/>
      <w:bookmarkStart w:id="112" w:name="_Toc352943183"/>
      <w:bookmarkStart w:id="113" w:name="_Toc352943632"/>
      <w:bookmarkStart w:id="114" w:name="_Toc353987726"/>
      <w:bookmarkStart w:id="115" w:name="_Toc353988047"/>
      <w:r w:rsidRPr="00836FF4">
        <w:rPr>
          <w:szCs w:val="22"/>
        </w:rPr>
        <w:t>Regulatory Fee Obligations for Digital Low Pow</w:t>
      </w:r>
      <w:r w:rsidR="00633265" w:rsidRPr="00836FF4">
        <w:rPr>
          <w:szCs w:val="22"/>
        </w:rPr>
        <w:t>er, Class A, and TV Translators</w:t>
      </w:r>
      <w:r w:rsidR="00F6184B" w:rsidRPr="00C5052D">
        <w:rPr>
          <w:szCs w:val="22"/>
        </w:rPr>
        <w:t>/Boosters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F6184B" w:rsidRDefault="00FA04DD" w:rsidP="00547927">
      <w:pPr>
        <w:pStyle w:val="ParaNum"/>
        <w:tabs>
          <w:tab w:val="num" w:pos="1350"/>
        </w:tabs>
        <w:ind w:left="-90"/>
        <w:rPr>
          <w:szCs w:val="22"/>
        </w:rPr>
      </w:pPr>
      <w:r w:rsidRPr="00AC36DB">
        <w:rPr>
          <w:rStyle w:val="documentbody1"/>
          <w:rFonts w:ascii="Times New Roman" w:hAnsi="Times New Roman"/>
          <w:sz w:val="22"/>
          <w:szCs w:val="22"/>
        </w:rPr>
        <w:t xml:space="preserve">The digital transition to full-service television stations was completed on June 12, 2009, but the digital transition for Low Power, Class A, and TV Translators/Boosters still remains voluntary with a transition date of September 1, 2015.  Historically, we have considered the digital transition </w:t>
      </w:r>
      <w:r w:rsidR="00FE59A8">
        <w:rPr>
          <w:rStyle w:val="documentbody1"/>
          <w:rFonts w:ascii="Times New Roman" w:hAnsi="Times New Roman"/>
          <w:sz w:val="22"/>
          <w:szCs w:val="22"/>
        </w:rPr>
        <w:t xml:space="preserve">only </w:t>
      </w:r>
      <w:r w:rsidRPr="00AC36DB">
        <w:rPr>
          <w:rStyle w:val="documentbody1"/>
          <w:rFonts w:ascii="Times New Roman" w:hAnsi="Times New Roman"/>
          <w:sz w:val="22"/>
          <w:szCs w:val="22"/>
        </w:rPr>
        <w:t>in the context of regulatory fees applicable to full-service television stations, and not to Low Power, Class A, and TV Translators/Boosters.  B</w:t>
      </w:r>
      <w:r w:rsidRPr="00AC36DB">
        <w:rPr>
          <w:bCs/>
          <w:szCs w:val="22"/>
        </w:rPr>
        <w:t>ecause the digital transition in the Low Power, Class A, and TV Translator/Booster facilities is still voluntary, some of these facilities may transition from analog to digital service more rapidly than others.  During this period of transition, licensees of Low Power, Class A, and TV Translator/Booster facilities may be operating in analog mode, in digital mode, or in an analog and digital simulcast mode.</w:t>
      </w:r>
      <w:r w:rsidR="00C545DE">
        <w:rPr>
          <w:bCs/>
          <w:szCs w:val="22"/>
        </w:rPr>
        <w:t xml:space="preserve">  </w:t>
      </w:r>
      <w:r w:rsidRPr="00AC36DB">
        <w:rPr>
          <w:bCs/>
          <w:szCs w:val="22"/>
        </w:rPr>
        <w:t xml:space="preserve">Therefore, for regulatory fee purposes, we </w:t>
      </w:r>
      <w:r w:rsidR="00470FCC">
        <w:rPr>
          <w:bCs/>
          <w:szCs w:val="22"/>
        </w:rPr>
        <w:t xml:space="preserve">clarify that we are assessing </w:t>
      </w:r>
      <w:r w:rsidRPr="00AC36DB">
        <w:rPr>
          <w:bCs/>
          <w:szCs w:val="22"/>
        </w:rPr>
        <w:t>a fee for each facility operating either in an analog or digital mode.  In instances in which a licensee is simulcasting in both analog and digital modes, a single regulatory fee will be assessed for the analog facility and its corresponding digital component.  As greater numbers of facilities convert to digital mode, the Commission will provide revised instructions on how regulatory fees will be assessed.</w:t>
      </w:r>
      <w:r w:rsidRPr="00AC36DB">
        <w:rPr>
          <w:szCs w:val="22"/>
        </w:rPr>
        <w:t xml:space="preserve"> </w:t>
      </w:r>
      <w:r w:rsidR="008F7991">
        <w:rPr>
          <w:szCs w:val="22"/>
        </w:rPr>
        <w:t xml:space="preserve"> </w:t>
      </w:r>
      <w:r w:rsidR="008F7991" w:rsidRPr="00AC36DB">
        <w:rPr>
          <w:szCs w:val="22"/>
        </w:rPr>
        <w:t xml:space="preserve"> </w:t>
      </w:r>
      <w:r w:rsidR="008F7991">
        <w:rPr>
          <w:szCs w:val="22"/>
        </w:rPr>
        <w:t xml:space="preserve"> </w:t>
      </w:r>
    </w:p>
    <w:p w:rsidR="00F6184B" w:rsidRDefault="00FA04DD" w:rsidP="00C5052D">
      <w:pPr>
        <w:pStyle w:val="Heading3"/>
        <w:tabs>
          <w:tab w:val="num" w:pos="2160"/>
        </w:tabs>
        <w:rPr>
          <w:szCs w:val="22"/>
        </w:rPr>
      </w:pPr>
      <w:bookmarkStart w:id="116" w:name="_Toc320639447"/>
      <w:bookmarkStart w:id="117" w:name="_Toc321130246"/>
      <w:bookmarkStart w:id="118" w:name="_Toc321301149"/>
      <w:bookmarkStart w:id="119" w:name="_Toc351571055"/>
      <w:bookmarkStart w:id="120" w:name="_Toc353032051"/>
      <w:bookmarkStart w:id="121" w:name="_Toc351572422"/>
      <w:bookmarkStart w:id="122" w:name="_Toc352943184"/>
      <w:bookmarkStart w:id="123" w:name="_Toc352943633"/>
      <w:bookmarkStart w:id="124" w:name="_Toc353987727"/>
      <w:bookmarkStart w:id="125" w:name="_Toc353988048"/>
      <w:r w:rsidRPr="00836FF4">
        <w:rPr>
          <w:szCs w:val="22"/>
        </w:rPr>
        <w:t>Combining UHF/VHF Television Media Regulatory Fees</w:t>
      </w:r>
      <w:bookmarkEnd w:id="116"/>
      <w:bookmarkEnd w:id="117"/>
      <w:bookmarkEnd w:id="118"/>
      <w:bookmarkEnd w:id="119"/>
      <w:bookmarkEnd w:id="120"/>
      <w:bookmarkEnd w:id="121"/>
      <w:bookmarkEnd w:id="122"/>
      <w:bookmarkEnd w:id="123"/>
      <w:bookmarkEnd w:id="124"/>
      <w:bookmarkEnd w:id="125"/>
    </w:p>
    <w:p w:rsidR="00F6184B" w:rsidRDefault="00FA04DD" w:rsidP="00547927">
      <w:pPr>
        <w:pStyle w:val="ParaNum"/>
        <w:tabs>
          <w:tab w:val="num" w:pos="1350"/>
        </w:tabs>
        <w:ind w:left="-90"/>
        <w:rPr>
          <w:rStyle w:val="documentbody1"/>
          <w:b/>
        </w:rPr>
      </w:pPr>
      <w:r w:rsidRPr="00AC36DB">
        <w:rPr>
          <w:rStyle w:val="documentbody1"/>
          <w:rFonts w:ascii="Times New Roman" w:hAnsi="Times New Roman"/>
          <w:sz w:val="22"/>
          <w:szCs w:val="22"/>
        </w:rPr>
        <w:t xml:space="preserve">Regulatory fees for full-service television stations are calculated based on two, </w:t>
      </w:r>
      <w:r w:rsidR="004A454B">
        <w:rPr>
          <w:rStyle w:val="documentbody1"/>
          <w:rFonts w:ascii="Times New Roman" w:hAnsi="Times New Roman"/>
          <w:sz w:val="22"/>
          <w:szCs w:val="22"/>
        </w:rPr>
        <w:t>five</w:t>
      </w:r>
      <w:r w:rsidRPr="00AC36DB">
        <w:rPr>
          <w:rStyle w:val="documentbody1"/>
          <w:rFonts w:ascii="Times New Roman" w:hAnsi="Times New Roman"/>
          <w:sz w:val="22"/>
          <w:szCs w:val="22"/>
        </w:rPr>
        <w:t>-tiered market segments for Ultra High Frequency (UHF) and Very High Frequency (VHF) television stations, respectively.  There is also a construction permit fee category for UHF and VHF.  After the transition to digital television on June 12, 2009, we received comment</w:t>
      </w:r>
      <w:r w:rsidR="00F6185D">
        <w:rPr>
          <w:rStyle w:val="documentbody1"/>
          <w:rFonts w:ascii="Times New Roman" w:hAnsi="Times New Roman"/>
          <w:sz w:val="22"/>
          <w:szCs w:val="22"/>
        </w:rPr>
        <w:t xml:space="preserve"> on this issue, </w:t>
      </w:r>
      <w:r w:rsidRPr="00AC36DB">
        <w:rPr>
          <w:rStyle w:val="documentbody1"/>
          <w:rFonts w:ascii="Times New Roman" w:hAnsi="Times New Roman"/>
          <w:sz w:val="22"/>
          <w:szCs w:val="22"/>
        </w:rPr>
        <w:t>suggesting that the Commission combine the UHF and VHF regulatory fee</w:t>
      </w:r>
      <w:r w:rsidR="006F6C55">
        <w:rPr>
          <w:rStyle w:val="documentbody1"/>
          <w:rFonts w:ascii="Times New Roman" w:hAnsi="Times New Roman"/>
          <w:sz w:val="22"/>
          <w:szCs w:val="22"/>
        </w:rPr>
        <w:t xml:space="preserve"> categories</w:t>
      </w:r>
      <w:r w:rsidRPr="00AC36DB">
        <w:rPr>
          <w:rStyle w:val="documentbody1"/>
          <w:rFonts w:ascii="Times New Roman" w:hAnsi="Times New Roman"/>
          <w:sz w:val="22"/>
          <w:szCs w:val="22"/>
        </w:rPr>
        <w:t>.</w:t>
      </w:r>
      <w:r w:rsidRPr="00AC36DB">
        <w:rPr>
          <w:rStyle w:val="FootnoteReference"/>
          <w:szCs w:val="22"/>
        </w:rPr>
        <w:footnoteReference w:id="70"/>
      </w:r>
      <w:r w:rsidRPr="00AC36DB">
        <w:rPr>
          <w:rStyle w:val="documentbody1"/>
          <w:rFonts w:ascii="Times New Roman" w:hAnsi="Times New Roman"/>
          <w:sz w:val="22"/>
          <w:szCs w:val="22"/>
        </w:rPr>
        <w:t xml:space="preserve">  Combining UHF and VHF full-service television stations into a single </w:t>
      </w:r>
      <w:r w:rsidR="004A454B">
        <w:rPr>
          <w:rStyle w:val="documentbody1"/>
          <w:rFonts w:ascii="Times New Roman" w:hAnsi="Times New Roman"/>
          <w:sz w:val="22"/>
          <w:szCs w:val="22"/>
        </w:rPr>
        <w:t>five</w:t>
      </w:r>
      <w:r w:rsidRPr="00AC36DB">
        <w:rPr>
          <w:rStyle w:val="documentbody1"/>
          <w:rFonts w:ascii="Times New Roman" w:hAnsi="Times New Roman"/>
          <w:sz w:val="22"/>
          <w:szCs w:val="22"/>
        </w:rPr>
        <w:t xml:space="preserve">-tiered fee category (by market size) would in effect eliminate any distinctions between UHF and VHF services.  </w:t>
      </w:r>
    </w:p>
    <w:p w:rsidR="00F6184B" w:rsidRPr="00C5052D" w:rsidRDefault="00FA04DD" w:rsidP="00547927">
      <w:pPr>
        <w:pStyle w:val="ParaNum"/>
        <w:tabs>
          <w:tab w:val="num" w:pos="1350"/>
        </w:tabs>
        <w:ind w:left="-90"/>
        <w:rPr>
          <w:rStyle w:val="documentbody1"/>
        </w:rPr>
      </w:pPr>
      <w:r w:rsidRPr="006D6C14">
        <w:rPr>
          <w:rStyle w:val="documentbody1"/>
          <w:rFonts w:ascii="Times New Roman" w:hAnsi="Times New Roman"/>
          <w:sz w:val="22"/>
          <w:szCs w:val="22"/>
        </w:rPr>
        <w:t xml:space="preserve">Historically, </w:t>
      </w:r>
      <w:r w:rsidR="008F7991" w:rsidRPr="006D6C14">
        <w:rPr>
          <w:rStyle w:val="documentbody1"/>
          <w:rFonts w:ascii="Times New Roman" w:hAnsi="Times New Roman"/>
          <w:sz w:val="22"/>
          <w:szCs w:val="22"/>
        </w:rPr>
        <w:t xml:space="preserve">analog </w:t>
      </w:r>
      <w:r w:rsidRPr="006D6C14">
        <w:rPr>
          <w:rStyle w:val="documentbody1"/>
          <w:rFonts w:ascii="Times New Roman" w:hAnsi="Times New Roman"/>
          <w:sz w:val="22"/>
          <w:szCs w:val="22"/>
        </w:rPr>
        <w:t xml:space="preserve">VHF channels (channels 1-13) have been coveted for </w:t>
      </w:r>
      <w:r w:rsidR="008F7991" w:rsidRPr="006D6C14">
        <w:rPr>
          <w:rStyle w:val="documentbody1"/>
          <w:rFonts w:ascii="Times New Roman" w:hAnsi="Times New Roman"/>
          <w:sz w:val="22"/>
          <w:szCs w:val="22"/>
        </w:rPr>
        <w:t>their</w:t>
      </w:r>
      <w:r w:rsidRPr="006D6C14">
        <w:rPr>
          <w:rStyle w:val="documentbody1"/>
          <w:rFonts w:ascii="Times New Roman" w:hAnsi="Times New Roman"/>
          <w:sz w:val="22"/>
          <w:szCs w:val="22"/>
        </w:rPr>
        <w:t xml:space="preserve"> greater prestige and larger audience, and </w:t>
      </w:r>
      <w:r w:rsidR="008F7991" w:rsidRPr="00EC03F6">
        <w:rPr>
          <w:rStyle w:val="documentbody1"/>
          <w:rFonts w:ascii="Times New Roman" w:hAnsi="Times New Roman"/>
          <w:sz w:val="22"/>
          <w:szCs w:val="22"/>
        </w:rPr>
        <w:t xml:space="preserve">thus the </w:t>
      </w:r>
      <w:r w:rsidRPr="00EC03F6">
        <w:rPr>
          <w:rStyle w:val="documentbody1"/>
          <w:rFonts w:ascii="Times New Roman" w:hAnsi="Times New Roman"/>
          <w:sz w:val="22"/>
          <w:szCs w:val="22"/>
        </w:rPr>
        <w:t xml:space="preserve">regulatory fees </w:t>
      </w:r>
      <w:r w:rsidR="008F7991" w:rsidRPr="008F6D14">
        <w:rPr>
          <w:rStyle w:val="documentbody1"/>
          <w:rFonts w:ascii="Times New Roman" w:hAnsi="Times New Roman"/>
          <w:sz w:val="22"/>
          <w:szCs w:val="22"/>
        </w:rPr>
        <w:t>assessed on VHF stations ha</w:t>
      </w:r>
      <w:r w:rsidR="00470FCC">
        <w:rPr>
          <w:rStyle w:val="documentbody1"/>
          <w:rFonts w:ascii="Times New Roman" w:hAnsi="Times New Roman"/>
          <w:sz w:val="22"/>
          <w:szCs w:val="22"/>
        </w:rPr>
        <w:t>ve</w:t>
      </w:r>
      <w:r w:rsidR="008F7991" w:rsidRPr="008F6D14">
        <w:rPr>
          <w:rStyle w:val="documentbody1"/>
          <w:rFonts w:ascii="Times New Roman" w:hAnsi="Times New Roman"/>
          <w:sz w:val="22"/>
          <w:szCs w:val="22"/>
        </w:rPr>
        <w:t xml:space="preserve"> been higher than the regulatory fees </w:t>
      </w:r>
      <w:r w:rsidRPr="006D6C14">
        <w:rPr>
          <w:rStyle w:val="documentbody1"/>
          <w:rFonts w:ascii="Times New Roman" w:hAnsi="Times New Roman"/>
          <w:sz w:val="22"/>
          <w:szCs w:val="22"/>
        </w:rPr>
        <w:t xml:space="preserve">assessed for UHF (channels 14 and above) stations in the same market area.  </w:t>
      </w:r>
      <w:r w:rsidR="000A3F97" w:rsidRPr="006D6C14">
        <w:rPr>
          <w:rStyle w:val="documentbody1"/>
          <w:rFonts w:ascii="Times New Roman" w:hAnsi="Times New Roman"/>
          <w:sz w:val="22"/>
          <w:szCs w:val="22"/>
        </w:rPr>
        <w:t>Conversely, d</w:t>
      </w:r>
      <w:r w:rsidR="006F6C55" w:rsidRPr="006D6C14">
        <w:rPr>
          <w:rStyle w:val="documentbody1"/>
          <w:rFonts w:ascii="Times New Roman" w:hAnsi="Times New Roman"/>
          <w:sz w:val="22"/>
          <w:szCs w:val="22"/>
        </w:rPr>
        <w:t>igital VHF channels are less desirable than digital UHF channels, and</w:t>
      </w:r>
      <w:r w:rsidR="000A3F97" w:rsidRPr="006D6C14">
        <w:rPr>
          <w:rStyle w:val="documentbody1"/>
          <w:rFonts w:ascii="Times New Roman" w:hAnsi="Times New Roman"/>
          <w:sz w:val="22"/>
          <w:szCs w:val="22"/>
        </w:rPr>
        <w:t xml:space="preserve"> thus</w:t>
      </w:r>
      <w:r w:rsidR="006F6C55" w:rsidRPr="006D6C14">
        <w:rPr>
          <w:rStyle w:val="documentbody1"/>
          <w:rFonts w:ascii="Times New Roman" w:hAnsi="Times New Roman"/>
          <w:sz w:val="22"/>
          <w:szCs w:val="22"/>
        </w:rPr>
        <w:t xml:space="preserve"> there may no longer be </w:t>
      </w:r>
      <w:r w:rsidR="000A3F97" w:rsidRPr="006D6C14">
        <w:rPr>
          <w:rStyle w:val="documentbody1"/>
          <w:rFonts w:ascii="Times New Roman" w:hAnsi="Times New Roman"/>
          <w:sz w:val="22"/>
          <w:szCs w:val="22"/>
        </w:rPr>
        <w:t xml:space="preserve">a basis on which to assess </w:t>
      </w:r>
      <w:r w:rsidR="006F6C55" w:rsidRPr="006D6C14">
        <w:rPr>
          <w:rStyle w:val="documentbody1"/>
          <w:rFonts w:ascii="Times New Roman" w:hAnsi="Times New Roman"/>
          <w:sz w:val="22"/>
          <w:szCs w:val="22"/>
        </w:rPr>
        <w:t xml:space="preserve">higher regulatory fees for VHF channels.  </w:t>
      </w:r>
      <w:r w:rsidR="000A3F97" w:rsidRPr="006D6C14">
        <w:rPr>
          <w:rStyle w:val="documentbody1"/>
          <w:rFonts w:ascii="Times New Roman" w:hAnsi="Times New Roman"/>
          <w:sz w:val="22"/>
          <w:szCs w:val="22"/>
        </w:rPr>
        <w:t>C</w:t>
      </w:r>
      <w:r w:rsidRPr="006D6C14">
        <w:rPr>
          <w:rStyle w:val="documentbody1"/>
          <w:rFonts w:ascii="Times New Roman" w:hAnsi="Times New Roman"/>
          <w:sz w:val="22"/>
          <w:szCs w:val="22"/>
        </w:rPr>
        <w:t>ombining VHF and UHF into one fee category</w:t>
      </w:r>
      <w:r w:rsidR="000A3F97" w:rsidRPr="006D6C14">
        <w:rPr>
          <w:rStyle w:val="documentbody1"/>
          <w:rFonts w:ascii="Times New Roman" w:hAnsi="Times New Roman"/>
          <w:sz w:val="22"/>
          <w:szCs w:val="22"/>
        </w:rPr>
        <w:t xml:space="preserve"> would eliminate the current</w:t>
      </w:r>
      <w:r w:rsidRPr="006D6C14">
        <w:rPr>
          <w:rStyle w:val="documentbody1"/>
          <w:rFonts w:ascii="Times New Roman" w:hAnsi="Times New Roman"/>
          <w:sz w:val="22"/>
          <w:szCs w:val="22"/>
        </w:rPr>
        <w:t xml:space="preserve"> fee disparity between UHF and VHF television stations.  We </w:t>
      </w:r>
      <w:r w:rsidR="004A454B" w:rsidRPr="006D6C14">
        <w:rPr>
          <w:rStyle w:val="documentbody1"/>
          <w:rFonts w:ascii="Times New Roman" w:hAnsi="Times New Roman"/>
          <w:sz w:val="22"/>
          <w:szCs w:val="22"/>
        </w:rPr>
        <w:t>propose</w:t>
      </w:r>
      <w:r w:rsidRPr="006D6C14">
        <w:rPr>
          <w:rStyle w:val="documentbody1"/>
          <w:rFonts w:ascii="Times New Roman" w:hAnsi="Times New Roman"/>
          <w:sz w:val="22"/>
          <w:szCs w:val="22"/>
        </w:rPr>
        <w:t xml:space="preserve"> that the UHF and VHF full service television station categor</w:t>
      </w:r>
      <w:r w:rsidR="000A3F97" w:rsidRPr="006D6C14">
        <w:rPr>
          <w:rStyle w:val="documentbody1"/>
          <w:rFonts w:ascii="Times New Roman" w:hAnsi="Times New Roman"/>
          <w:sz w:val="22"/>
          <w:szCs w:val="22"/>
        </w:rPr>
        <w:t>ies</w:t>
      </w:r>
      <w:r w:rsidRPr="006D6C14">
        <w:rPr>
          <w:rStyle w:val="documentbody1"/>
          <w:rFonts w:ascii="Times New Roman" w:hAnsi="Times New Roman"/>
          <w:sz w:val="22"/>
          <w:szCs w:val="22"/>
        </w:rPr>
        <w:t xml:space="preserve"> be combined into one fee category, </w:t>
      </w:r>
      <w:r w:rsidR="000A3F97" w:rsidRPr="006D6C14">
        <w:rPr>
          <w:rStyle w:val="documentbody1"/>
          <w:rFonts w:ascii="Times New Roman" w:hAnsi="Times New Roman"/>
          <w:sz w:val="22"/>
          <w:szCs w:val="22"/>
        </w:rPr>
        <w:t xml:space="preserve">divided into tiers based on </w:t>
      </w:r>
      <w:r w:rsidRPr="006D6C14">
        <w:rPr>
          <w:rStyle w:val="documentbody1"/>
          <w:rFonts w:ascii="Times New Roman" w:hAnsi="Times New Roman"/>
          <w:sz w:val="22"/>
          <w:szCs w:val="22"/>
        </w:rPr>
        <w:t xml:space="preserve">market size, with one resulting rate.  </w:t>
      </w:r>
      <w:r w:rsidR="00BB5B4D" w:rsidRPr="006D6C14">
        <w:rPr>
          <w:szCs w:val="22"/>
        </w:rPr>
        <w:t>T</w:t>
      </w:r>
      <w:r w:rsidRPr="006D6C14">
        <w:rPr>
          <w:szCs w:val="22"/>
        </w:rPr>
        <w:t xml:space="preserve">his proposal, if adopted, will be implemented </w:t>
      </w:r>
      <w:r w:rsidR="00476495" w:rsidRPr="006D6C14">
        <w:rPr>
          <w:szCs w:val="22"/>
        </w:rPr>
        <w:t>in</w:t>
      </w:r>
      <w:r w:rsidRPr="006D6C14">
        <w:rPr>
          <w:szCs w:val="22"/>
        </w:rPr>
        <w:t xml:space="preserve"> FY 2014.  </w:t>
      </w:r>
      <w:r w:rsidRPr="006D6C14">
        <w:rPr>
          <w:rStyle w:val="documentbody1"/>
          <w:rFonts w:ascii="Times New Roman" w:hAnsi="Times New Roman"/>
          <w:sz w:val="22"/>
          <w:szCs w:val="22"/>
        </w:rPr>
        <w:t xml:space="preserve">We seek comment on this proposal. </w:t>
      </w:r>
    </w:p>
    <w:p w:rsidR="00F6184B" w:rsidRDefault="00F6184B" w:rsidP="00C5052D">
      <w:pPr>
        <w:pStyle w:val="ParaNum"/>
        <w:numPr>
          <w:ilvl w:val="0"/>
          <w:numId w:val="0"/>
        </w:numPr>
        <w:tabs>
          <w:tab w:val="num" w:pos="1890"/>
        </w:tabs>
        <w:ind w:left="630"/>
        <w:rPr>
          <w:rStyle w:val="documentbody1"/>
        </w:rPr>
      </w:pPr>
    </w:p>
    <w:p w:rsidR="00831057" w:rsidRDefault="00831057">
      <w:pPr>
        <w:widowControl/>
        <w:rPr>
          <w:rStyle w:val="documentbody1"/>
          <w:rFonts w:ascii="Times New Roman" w:hAnsi="Times New Roman"/>
          <w:b/>
          <w:sz w:val="22"/>
          <w:szCs w:val="22"/>
        </w:rPr>
      </w:pPr>
      <w:r>
        <w:rPr>
          <w:rStyle w:val="documentbody1"/>
          <w:rFonts w:ascii="Times New Roman" w:hAnsi="Times New Roman"/>
          <w:b/>
          <w:sz w:val="22"/>
          <w:szCs w:val="22"/>
        </w:rPr>
        <w:br w:type="page"/>
      </w:r>
    </w:p>
    <w:p w:rsidR="00F6184B" w:rsidRDefault="00B670A5" w:rsidP="00C5052D">
      <w:pPr>
        <w:pStyle w:val="ParaNum"/>
        <w:numPr>
          <w:ilvl w:val="0"/>
          <w:numId w:val="0"/>
        </w:numPr>
        <w:ind w:left="1530"/>
        <w:rPr>
          <w:rStyle w:val="documentbody1"/>
        </w:rPr>
      </w:pPr>
      <w:r w:rsidRPr="006D6C14">
        <w:rPr>
          <w:rStyle w:val="documentbody1"/>
          <w:rFonts w:ascii="Times New Roman" w:hAnsi="Times New Roman"/>
          <w:b/>
          <w:sz w:val="22"/>
          <w:szCs w:val="22"/>
        </w:rPr>
        <w:t>Proposed Combined UHF/VHF Digital Television Fee</w:t>
      </w:r>
    </w:p>
    <w:p w:rsidR="00B670A5" w:rsidRPr="00CA1ACA" w:rsidRDefault="00B670A5" w:rsidP="00B670A5">
      <w:pPr>
        <w:pStyle w:val="ParaNum"/>
        <w:numPr>
          <w:ilvl w:val="0"/>
          <w:numId w:val="0"/>
        </w:numPr>
        <w:tabs>
          <w:tab w:val="num" w:pos="1440"/>
        </w:tabs>
        <w:jc w:val="center"/>
        <w:rPr>
          <w:rStyle w:val="documentbody1"/>
        </w:rPr>
      </w:pPr>
      <w:r w:rsidRPr="00CA1ACA">
        <w:rPr>
          <w:rStyle w:val="documentbody1"/>
          <w:rFonts w:ascii="Times New Roman" w:hAnsi="Times New Roman"/>
          <w:b/>
          <w:sz w:val="22"/>
          <w:szCs w:val="22"/>
        </w:rPr>
        <w:t xml:space="preserve">(Based on Figures from Attachment </w:t>
      </w:r>
      <w:r w:rsidRPr="00CA1ACA">
        <w:rPr>
          <w:b/>
          <w:szCs w:val="22"/>
        </w:rPr>
        <w:t>A1, Allocation % Same as in Prior Years)</w:t>
      </w:r>
    </w:p>
    <w:p w:rsidR="00B670A5" w:rsidRPr="00CA1ACA" w:rsidRDefault="00B670A5" w:rsidP="00B670A5">
      <w:pPr>
        <w:pStyle w:val="ParaNum"/>
        <w:numPr>
          <w:ilvl w:val="0"/>
          <w:numId w:val="0"/>
        </w:numPr>
        <w:tabs>
          <w:tab w:val="num" w:pos="1440"/>
        </w:tabs>
        <w:rPr>
          <w:rStyle w:val="documentbody1"/>
        </w:rPr>
      </w:pP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t>Pro-Rated</w:t>
      </w:r>
      <w:r w:rsidRPr="00CA1ACA">
        <w:rPr>
          <w:rStyle w:val="documentbody1"/>
          <w:rFonts w:ascii="Times New Roman" w:hAnsi="Times New Roman"/>
          <w:sz w:val="22"/>
          <w:szCs w:val="22"/>
        </w:rPr>
        <w:tab/>
        <w:t>Rounded</w:t>
      </w:r>
      <w:r w:rsidRPr="00CA1ACA">
        <w:rPr>
          <w:rStyle w:val="documentbody1"/>
          <w:rFonts w:ascii="Times New Roman" w:hAnsi="Times New Roman"/>
          <w:sz w:val="22"/>
          <w:szCs w:val="22"/>
        </w:rPr>
        <w:tab/>
        <w:t>Expected</w:t>
      </w:r>
    </w:p>
    <w:p w:rsidR="00B670A5" w:rsidRPr="00CA1ACA" w:rsidRDefault="00B670A5" w:rsidP="00B670A5">
      <w:pPr>
        <w:pStyle w:val="ParaNum"/>
        <w:numPr>
          <w:ilvl w:val="0"/>
          <w:numId w:val="0"/>
        </w:numPr>
        <w:tabs>
          <w:tab w:val="num" w:pos="1440"/>
        </w:tabs>
        <w:rPr>
          <w:rStyle w:val="documentbody1"/>
        </w:rPr>
      </w:pPr>
      <w:r w:rsidRPr="00CA1ACA">
        <w:rPr>
          <w:rStyle w:val="documentbody1"/>
          <w:rFonts w:ascii="Times New Roman" w:hAnsi="Times New Roman"/>
          <w:sz w:val="22"/>
          <w:szCs w:val="22"/>
          <w:u w:val="single"/>
        </w:rPr>
        <w:t>Combined Fee Category</w:t>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r>
      <w:r w:rsidRPr="00CA1ACA">
        <w:rPr>
          <w:rStyle w:val="documentbody1"/>
          <w:rFonts w:ascii="Times New Roman" w:hAnsi="Times New Roman"/>
          <w:sz w:val="22"/>
          <w:szCs w:val="22"/>
          <w:u w:val="single"/>
        </w:rPr>
        <w:t>Units</w:t>
      </w:r>
      <w:r w:rsidRPr="00CA1ACA">
        <w:rPr>
          <w:rStyle w:val="documentbody1"/>
          <w:rFonts w:ascii="Times New Roman" w:hAnsi="Times New Roman"/>
          <w:sz w:val="22"/>
          <w:szCs w:val="22"/>
        </w:rPr>
        <w:tab/>
      </w:r>
      <w:r w:rsidRPr="00CA1ACA">
        <w:rPr>
          <w:rStyle w:val="documentbody1"/>
          <w:rFonts w:ascii="Times New Roman" w:hAnsi="Times New Roman"/>
          <w:sz w:val="22"/>
          <w:szCs w:val="22"/>
          <w:u w:val="single"/>
        </w:rPr>
        <w:t>Rev. Req.</w:t>
      </w:r>
      <w:r w:rsidRPr="00CA1ACA">
        <w:rPr>
          <w:rStyle w:val="documentbody1"/>
          <w:rFonts w:ascii="Times New Roman" w:hAnsi="Times New Roman"/>
          <w:sz w:val="22"/>
          <w:szCs w:val="22"/>
        </w:rPr>
        <w:tab/>
        <w:t xml:space="preserve"> </w:t>
      </w:r>
      <w:r w:rsidRPr="00CA1ACA">
        <w:rPr>
          <w:rStyle w:val="documentbody1"/>
          <w:rFonts w:ascii="Times New Roman" w:hAnsi="Times New Roman"/>
          <w:sz w:val="22"/>
          <w:szCs w:val="22"/>
          <w:u w:val="single"/>
        </w:rPr>
        <w:t>FY12 Fee</w:t>
      </w:r>
      <w:r w:rsidRPr="00CA1ACA">
        <w:rPr>
          <w:rStyle w:val="documentbody1"/>
          <w:rFonts w:ascii="Times New Roman" w:hAnsi="Times New Roman"/>
          <w:sz w:val="22"/>
          <w:szCs w:val="22"/>
        </w:rPr>
        <w:tab/>
      </w:r>
      <w:r w:rsidRPr="00CA1ACA">
        <w:rPr>
          <w:rStyle w:val="documentbody1"/>
          <w:rFonts w:ascii="Times New Roman" w:hAnsi="Times New Roman"/>
          <w:sz w:val="22"/>
          <w:szCs w:val="22"/>
          <w:u w:val="single"/>
        </w:rPr>
        <w:t>Revenue</w:t>
      </w:r>
      <w:r w:rsidRPr="00CA1ACA">
        <w:rPr>
          <w:rStyle w:val="documentbody1"/>
          <w:rFonts w:ascii="Times New Roman" w:hAnsi="Times New Roman"/>
          <w:sz w:val="22"/>
          <w:szCs w:val="22"/>
        </w:rPr>
        <w:t xml:space="preserve"> </w:t>
      </w:r>
    </w:p>
    <w:p w:rsidR="00B670A5" w:rsidRPr="00CA1ACA" w:rsidRDefault="00B670A5" w:rsidP="00B670A5">
      <w:pPr>
        <w:pStyle w:val="ParaNum"/>
        <w:numPr>
          <w:ilvl w:val="0"/>
          <w:numId w:val="0"/>
        </w:numPr>
        <w:tabs>
          <w:tab w:val="num" w:pos="1440"/>
        </w:tabs>
        <w:rPr>
          <w:rStyle w:val="documentbody1"/>
        </w:rPr>
      </w:pPr>
      <w:r w:rsidRPr="00CA1ACA">
        <w:rPr>
          <w:rStyle w:val="documentbody1"/>
          <w:rFonts w:ascii="Times New Roman" w:hAnsi="Times New Roman"/>
          <w:sz w:val="22"/>
          <w:szCs w:val="22"/>
        </w:rPr>
        <w:t>Digital Television Markets 1-10</w:t>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t>131</w:t>
      </w:r>
      <w:r w:rsidRPr="00CA1ACA">
        <w:rPr>
          <w:rStyle w:val="documentbody1"/>
          <w:rFonts w:ascii="Times New Roman" w:hAnsi="Times New Roman"/>
          <w:sz w:val="22"/>
          <w:szCs w:val="22"/>
        </w:rPr>
        <w:tab/>
        <w:t>$5,</w:t>
      </w:r>
      <w:r>
        <w:rPr>
          <w:rStyle w:val="documentbody1"/>
          <w:rFonts w:ascii="Times New Roman" w:hAnsi="Times New Roman"/>
          <w:sz w:val="22"/>
          <w:szCs w:val="22"/>
        </w:rPr>
        <w:t>685</w:t>
      </w:r>
      <w:r w:rsidRPr="00CA1ACA">
        <w:rPr>
          <w:rStyle w:val="documentbody1"/>
          <w:rFonts w:ascii="Times New Roman" w:hAnsi="Times New Roman"/>
          <w:sz w:val="22"/>
          <w:szCs w:val="22"/>
        </w:rPr>
        <w:t>,</w:t>
      </w:r>
      <w:r>
        <w:rPr>
          <w:rStyle w:val="documentbody1"/>
          <w:rFonts w:ascii="Times New Roman" w:hAnsi="Times New Roman"/>
          <w:sz w:val="22"/>
          <w:szCs w:val="22"/>
        </w:rPr>
        <w:t>446</w:t>
      </w:r>
      <w:r w:rsidRPr="00CA1ACA">
        <w:rPr>
          <w:rStyle w:val="documentbody1"/>
          <w:rFonts w:ascii="Times New Roman" w:hAnsi="Times New Roman"/>
          <w:sz w:val="22"/>
          <w:szCs w:val="22"/>
        </w:rPr>
        <w:tab/>
        <w:t xml:space="preserve">  $43,400</w:t>
      </w:r>
      <w:r w:rsidRPr="00CA1ACA">
        <w:rPr>
          <w:rStyle w:val="documentbody1"/>
          <w:rFonts w:ascii="Times New Roman" w:hAnsi="Times New Roman"/>
          <w:sz w:val="22"/>
          <w:szCs w:val="22"/>
        </w:rPr>
        <w:tab/>
        <w:t>$5,685,400</w:t>
      </w:r>
    </w:p>
    <w:p w:rsidR="00B670A5" w:rsidRPr="00CA1ACA" w:rsidRDefault="00B670A5" w:rsidP="00B670A5">
      <w:pPr>
        <w:pStyle w:val="ParaNum"/>
        <w:numPr>
          <w:ilvl w:val="0"/>
          <w:numId w:val="0"/>
        </w:numPr>
        <w:tabs>
          <w:tab w:val="num" w:pos="1440"/>
        </w:tabs>
        <w:rPr>
          <w:rStyle w:val="documentbody1"/>
        </w:rPr>
      </w:pPr>
      <w:r w:rsidRPr="00CA1ACA">
        <w:rPr>
          <w:rStyle w:val="documentbody1"/>
          <w:rFonts w:ascii="Times New Roman" w:hAnsi="Times New Roman"/>
          <w:sz w:val="22"/>
          <w:szCs w:val="22"/>
        </w:rPr>
        <w:t>Digital Television Markets 11-25</w:t>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t>129</w:t>
      </w:r>
      <w:r w:rsidRPr="00CA1ACA">
        <w:rPr>
          <w:rStyle w:val="documentbody1"/>
          <w:rFonts w:ascii="Times New Roman" w:hAnsi="Times New Roman"/>
          <w:sz w:val="22"/>
          <w:szCs w:val="22"/>
        </w:rPr>
        <w:tab/>
        <w:t>$5,</w:t>
      </w:r>
      <w:r>
        <w:rPr>
          <w:rStyle w:val="documentbody1"/>
          <w:rFonts w:ascii="Times New Roman" w:hAnsi="Times New Roman"/>
          <w:sz w:val="22"/>
          <w:szCs w:val="22"/>
        </w:rPr>
        <w:t>359</w:t>
      </w:r>
      <w:r w:rsidRPr="00CA1ACA">
        <w:rPr>
          <w:rStyle w:val="documentbody1"/>
          <w:rFonts w:ascii="Times New Roman" w:hAnsi="Times New Roman"/>
          <w:sz w:val="22"/>
          <w:szCs w:val="22"/>
        </w:rPr>
        <w:t>,</w:t>
      </w:r>
      <w:r>
        <w:rPr>
          <w:rStyle w:val="documentbody1"/>
          <w:rFonts w:ascii="Times New Roman" w:hAnsi="Times New Roman"/>
          <w:sz w:val="22"/>
          <w:szCs w:val="22"/>
        </w:rPr>
        <w:t>471</w:t>
      </w:r>
      <w:r w:rsidRPr="00CA1ACA">
        <w:rPr>
          <w:rStyle w:val="documentbody1"/>
          <w:rFonts w:ascii="Times New Roman" w:hAnsi="Times New Roman"/>
          <w:sz w:val="22"/>
          <w:szCs w:val="22"/>
        </w:rPr>
        <w:tab/>
        <w:t xml:space="preserve">  $41,5</w:t>
      </w:r>
      <w:r>
        <w:rPr>
          <w:rStyle w:val="documentbody1"/>
          <w:rFonts w:ascii="Times New Roman" w:hAnsi="Times New Roman"/>
          <w:sz w:val="22"/>
          <w:szCs w:val="22"/>
        </w:rPr>
        <w:t>50</w:t>
      </w:r>
      <w:r w:rsidRPr="00CA1ACA">
        <w:rPr>
          <w:rStyle w:val="documentbody1"/>
          <w:rFonts w:ascii="Times New Roman" w:hAnsi="Times New Roman"/>
          <w:sz w:val="22"/>
          <w:szCs w:val="22"/>
        </w:rPr>
        <w:tab/>
        <w:t>$5,35</w:t>
      </w:r>
      <w:r>
        <w:rPr>
          <w:rStyle w:val="documentbody1"/>
          <w:rFonts w:ascii="Times New Roman" w:hAnsi="Times New Roman"/>
          <w:sz w:val="22"/>
          <w:szCs w:val="22"/>
        </w:rPr>
        <w:t>9</w:t>
      </w:r>
      <w:r w:rsidRPr="00CA1ACA">
        <w:rPr>
          <w:rStyle w:val="documentbody1"/>
          <w:rFonts w:ascii="Times New Roman" w:hAnsi="Times New Roman"/>
          <w:sz w:val="22"/>
          <w:szCs w:val="22"/>
        </w:rPr>
        <w:t>,</w:t>
      </w:r>
      <w:r>
        <w:rPr>
          <w:rStyle w:val="documentbody1"/>
          <w:rFonts w:ascii="Times New Roman" w:hAnsi="Times New Roman"/>
          <w:sz w:val="22"/>
          <w:szCs w:val="22"/>
        </w:rPr>
        <w:t>950</w:t>
      </w:r>
    </w:p>
    <w:p w:rsidR="00B670A5" w:rsidRPr="00CA1ACA" w:rsidRDefault="00B670A5" w:rsidP="00B670A5">
      <w:pPr>
        <w:pStyle w:val="ParaNum"/>
        <w:numPr>
          <w:ilvl w:val="0"/>
          <w:numId w:val="0"/>
        </w:numPr>
        <w:tabs>
          <w:tab w:val="num" w:pos="1440"/>
        </w:tabs>
        <w:rPr>
          <w:rStyle w:val="documentbody1"/>
        </w:rPr>
      </w:pPr>
      <w:r w:rsidRPr="00CA1ACA">
        <w:rPr>
          <w:rStyle w:val="documentbody1"/>
          <w:rFonts w:ascii="Times New Roman" w:hAnsi="Times New Roman"/>
          <w:sz w:val="22"/>
          <w:szCs w:val="22"/>
        </w:rPr>
        <w:t>Digital Television Markets 26-50</w:t>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t>174</w:t>
      </w:r>
      <w:r w:rsidRPr="00CA1ACA">
        <w:rPr>
          <w:rStyle w:val="documentbody1"/>
          <w:rFonts w:ascii="Times New Roman" w:hAnsi="Times New Roman"/>
          <w:sz w:val="22"/>
          <w:szCs w:val="22"/>
        </w:rPr>
        <w:tab/>
        <w:t>$4,5</w:t>
      </w:r>
      <w:r>
        <w:rPr>
          <w:rStyle w:val="documentbody1"/>
          <w:rFonts w:ascii="Times New Roman" w:hAnsi="Times New Roman"/>
          <w:sz w:val="22"/>
          <w:szCs w:val="22"/>
        </w:rPr>
        <w:t>26</w:t>
      </w:r>
      <w:r w:rsidRPr="00CA1ACA">
        <w:rPr>
          <w:rStyle w:val="documentbody1"/>
          <w:rFonts w:ascii="Times New Roman" w:hAnsi="Times New Roman"/>
          <w:sz w:val="22"/>
          <w:szCs w:val="22"/>
        </w:rPr>
        <w:t>,</w:t>
      </w:r>
      <w:r>
        <w:rPr>
          <w:rStyle w:val="documentbody1"/>
          <w:rFonts w:ascii="Times New Roman" w:hAnsi="Times New Roman"/>
          <w:sz w:val="22"/>
          <w:szCs w:val="22"/>
        </w:rPr>
        <w:t>425</w:t>
      </w:r>
      <w:r w:rsidRPr="00CA1ACA">
        <w:rPr>
          <w:rStyle w:val="documentbody1"/>
          <w:rFonts w:ascii="Times New Roman" w:hAnsi="Times New Roman"/>
          <w:sz w:val="22"/>
          <w:szCs w:val="22"/>
        </w:rPr>
        <w:tab/>
        <w:t xml:space="preserve">  $2</w:t>
      </w:r>
      <w:r>
        <w:rPr>
          <w:rStyle w:val="documentbody1"/>
          <w:rFonts w:ascii="Times New Roman" w:hAnsi="Times New Roman"/>
          <w:sz w:val="22"/>
          <w:szCs w:val="22"/>
        </w:rPr>
        <w:t>6</w:t>
      </w:r>
      <w:r w:rsidRPr="00CA1ACA">
        <w:rPr>
          <w:rStyle w:val="documentbody1"/>
          <w:rFonts w:ascii="Times New Roman" w:hAnsi="Times New Roman"/>
          <w:sz w:val="22"/>
          <w:szCs w:val="22"/>
        </w:rPr>
        <w:t>,</w:t>
      </w:r>
      <w:r>
        <w:rPr>
          <w:rStyle w:val="documentbody1"/>
          <w:rFonts w:ascii="Times New Roman" w:hAnsi="Times New Roman"/>
          <w:sz w:val="22"/>
          <w:szCs w:val="22"/>
        </w:rPr>
        <w:t>025</w:t>
      </w:r>
      <w:r w:rsidRPr="00CA1ACA">
        <w:rPr>
          <w:rStyle w:val="documentbody1"/>
          <w:rFonts w:ascii="Times New Roman" w:hAnsi="Times New Roman"/>
          <w:sz w:val="22"/>
          <w:szCs w:val="22"/>
        </w:rPr>
        <w:tab/>
        <w:t>$4,5</w:t>
      </w:r>
      <w:r>
        <w:rPr>
          <w:rStyle w:val="documentbody1"/>
          <w:rFonts w:ascii="Times New Roman" w:hAnsi="Times New Roman"/>
          <w:sz w:val="22"/>
          <w:szCs w:val="22"/>
        </w:rPr>
        <w:t>28</w:t>
      </w:r>
      <w:r w:rsidRPr="00CA1ACA">
        <w:rPr>
          <w:rStyle w:val="documentbody1"/>
          <w:rFonts w:ascii="Times New Roman" w:hAnsi="Times New Roman"/>
          <w:sz w:val="22"/>
          <w:szCs w:val="22"/>
        </w:rPr>
        <w:t>,</w:t>
      </w:r>
      <w:r>
        <w:rPr>
          <w:rStyle w:val="documentbody1"/>
          <w:rFonts w:ascii="Times New Roman" w:hAnsi="Times New Roman"/>
          <w:sz w:val="22"/>
          <w:szCs w:val="22"/>
        </w:rPr>
        <w:t>3</w:t>
      </w:r>
      <w:r w:rsidRPr="00CA1ACA">
        <w:rPr>
          <w:rStyle w:val="documentbody1"/>
          <w:rFonts w:ascii="Times New Roman" w:hAnsi="Times New Roman"/>
          <w:sz w:val="22"/>
          <w:szCs w:val="22"/>
        </w:rPr>
        <w:t>50</w:t>
      </w:r>
    </w:p>
    <w:p w:rsidR="00B670A5" w:rsidRPr="00CA1ACA" w:rsidRDefault="00B670A5" w:rsidP="00B670A5">
      <w:pPr>
        <w:pStyle w:val="ParaNum"/>
        <w:numPr>
          <w:ilvl w:val="0"/>
          <w:numId w:val="0"/>
        </w:numPr>
        <w:tabs>
          <w:tab w:val="num" w:pos="1440"/>
        </w:tabs>
        <w:rPr>
          <w:rStyle w:val="documentbody1"/>
        </w:rPr>
      </w:pPr>
      <w:r w:rsidRPr="00CA1ACA">
        <w:rPr>
          <w:rStyle w:val="documentbody1"/>
          <w:rFonts w:ascii="Times New Roman" w:hAnsi="Times New Roman"/>
          <w:sz w:val="22"/>
          <w:szCs w:val="22"/>
        </w:rPr>
        <w:t>Digital Television Markets 51-100</w:t>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t>286</w:t>
      </w:r>
      <w:r w:rsidRPr="00CA1ACA">
        <w:rPr>
          <w:rStyle w:val="documentbody1"/>
          <w:rFonts w:ascii="Times New Roman" w:hAnsi="Times New Roman"/>
          <w:sz w:val="22"/>
          <w:szCs w:val="22"/>
        </w:rPr>
        <w:tab/>
        <w:t>$4,</w:t>
      </w:r>
      <w:r>
        <w:rPr>
          <w:rStyle w:val="documentbody1"/>
          <w:rFonts w:ascii="Times New Roman" w:hAnsi="Times New Roman"/>
          <w:sz w:val="22"/>
          <w:szCs w:val="22"/>
        </w:rPr>
        <w:t>174</w:t>
      </w:r>
      <w:r w:rsidRPr="00CA1ACA">
        <w:rPr>
          <w:rStyle w:val="documentbody1"/>
          <w:rFonts w:ascii="Times New Roman" w:hAnsi="Times New Roman"/>
          <w:sz w:val="22"/>
          <w:szCs w:val="22"/>
        </w:rPr>
        <w:t>,</w:t>
      </w:r>
      <w:r>
        <w:rPr>
          <w:rStyle w:val="documentbody1"/>
          <w:rFonts w:ascii="Times New Roman" w:hAnsi="Times New Roman"/>
          <w:sz w:val="22"/>
          <w:szCs w:val="22"/>
        </w:rPr>
        <w:t>475</w:t>
      </w:r>
      <w:r w:rsidRPr="00CA1ACA">
        <w:rPr>
          <w:rStyle w:val="documentbody1"/>
          <w:rFonts w:ascii="Times New Roman" w:hAnsi="Times New Roman"/>
          <w:sz w:val="22"/>
          <w:szCs w:val="22"/>
        </w:rPr>
        <w:tab/>
        <w:t xml:space="preserve">  $14,6</w:t>
      </w:r>
      <w:r>
        <w:rPr>
          <w:rStyle w:val="documentbody1"/>
          <w:rFonts w:ascii="Times New Roman" w:hAnsi="Times New Roman"/>
          <w:sz w:val="22"/>
          <w:szCs w:val="22"/>
        </w:rPr>
        <w:t>00</w:t>
      </w:r>
      <w:r w:rsidRPr="00CA1ACA">
        <w:rPr>
          <w:rStyle w:val="documentbody1"/>
          <w:rFonts w:ascii="Times New Roman" w:hAnsi="Times New Roman"/>
          <w:sz w:val="22"/>
          <w:szCs w:val="22"/>
        </w:rPr>
        <w:tab/>
        <w:t>$4,1</w:t>
      </w:r>
      <w:r>
        <w:rPr>
          <w:rStyle w:val="documentbody1"/>
          <w:rFonts w:ascii="Times New Roman" w:hAnsi="Times New Roman"/>
          <w:sz w:val="22"/>
          <w:szCs w:val="22"/>
        </w:rPr>
        <w:t>75</w:t>
      </w:r>
      <w:r w:rsidRPr="00CA1ACA">
        <w:rPr>
          <w:rStyle w:val="documentbody1"/>
          <w:rFonts w:ascii="Times New Roman" w:hAnsi="Times New Roman"/>
          <w:sz w:val="22"/>
          <w:szCs w:val="22"/>
        </w:rPr>
        <w:t>,</w:t>
      </w:r>
      <w:r>
        <w:rPr>
          <w:rStyle w:val="documentbody1"/>
          <w:rFonts w:ascii="Times New Roman" w:hAnsi="Times New Roman"/>
          <w:sz w:val="22"/>
          <w:szCs w:val="22"/>
        </w:rPr>
        <w:t>600</w:t>
      </w:r>
    </w:p>
    <w:p w:rsidR="00B670A5" w:rsidRPr="00CA1ACA" w:rsidRDefault="00B670A5" w:rsidP="00B670A5">
      <w:pPr>
        <w:pStyle w:val="ParaNum"/>
        <w:numPr>
          <w:ilvl w:val="0"/>
          <w:numId w:val="0"/>
        </w:numPr>
        <w:tabs>
          <w:tab w:val="num" w:pos="1440"/>
        </w:tabs>
        <w:rPr>
          <w:rStyle w:val="documentbody1"/>
        </w:rPr>
      </w:pPr>
      <w:r w:rsidRPr="00CA1ACA">
        <w:rPr>
          <w:rStyle w:val="documentbody1"/>
          <w:rFonts w:ascii="Times New Roman" w:hAnsi="Times New Roman"/>
          <w:sz w:val="22"/>
          <w:szCs w:val="22"/>
        </w:rPr>
        <w:t>Digital Television Remaining Markets</w:t>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t>387</w:t>
      </w:r>
      <w:r w:rsidRPr="00CA1ACA">
        <w:rPr>
          <w:rStyle w:val="documentbody1"/>
          <w:rFonts w:ascii="Times New Roman" w:hAnsi="Times New Roman"/>
          <w:sz w:val="22"/>
          <w:szCs w:val="22"/>
        </w:rPr>
        <w:tab/>
        <w:t>$1,6</w:t>
      </w:r>
      <w:r>
        <w:rPr>
          <w:rStyle w:val="documentbody1"/>
          <w:rFonts w:ascii="Times New Roman" w:hAnsi="Times New Roman"/>
          <w:sz w:val="22"/>
          <w:szCs w:val="22"/>
        </w:rPr>
        <w:t>66</w:t>
      </w:r>
      <w:r w:rsidRPr="00CA1ACA">
        <w:rPr>
          <w:rStyle w:val="documentbody1"/>
          <w:rFonts w:ascii="Times New Roman" w:hAnsi="Times New Roman"/>
          <w:sz w:val="22"/>
          <w:szCs w:val="22"/>
        </w:rPr>
        <w:t>,</w:t>
      </w:r>
      <w:r>
        <w:rPr>
          <w:rStyle w:val="documentbody1"/>
          <w:rFonts w:ascii="Times New Roman" w:hAnsi="Times New Roman"/>
          <w:sz w:val="22"/>
          <w:szCs w:val="22"/>
        </w:rPr>
        <w:t>092</w:t>
      </w:r>
      <w:r w:rsidRPr="00CA1ACA">
        <w:rPr>
          <w:rStyle w:val="documentbody1"/>
          <w:rFonts w:ascii="Times New Roman" w:hAnsi="Times New Roman"/>
          <w:sz w:val="22"/>
          <w:szCs w:val="22"/>
        </w:rPr>
        <w:tab/>
        <w:t xml:space="preserve">    $4,3</w:t>
      </w:r>
      <w:r>
        <w:rPr>
          <w:rStyle w:val="documentbody1"/>
          <w:rFonts w:ascii="Times New Roman" w:hAnsi="Times New Roman"/>
          <w:sz w:val="22"/>
          <w:szCs w:val="22"/>
        </w:rPr>
        <w:t>00</w:t>
      </w:r>
      <w:r w:rsidRPr="00CA1ACA">
        <w:rPr>
          <w:rStyle w:val="documentbody1"/>
          <w:rFonts w:ascii="Times New Roman" w:hAnsi="Times New Roman"/>
          <w:sz w:val="22"/>
          <w:szCs w:val="22"/>
        </w:rPr>
        <w:tab/>
        <w:t>$1,6</w:t>
      </w:r>
      <w:r>
        <w:rPr>
          <w:rStyle w:val="documentbody1"/>
          <w:rFonts w:ascii="Times New Roman" w:hAnsi="Times New Roman"/>
          <w:sz w:val="22"/>
          <w:szCs w:val="22"/>
        </w:rPr>
        <w:t>64</w:t>
      </w:r>
      <w:r w:rsidRPr="00CA1ACA">
        <w:rPr>
          <w:rStyle w:val="documentbody1"/>
          <w:rFonts w:ascii="Times New Roman" w:hAnsi="Times New Roman"/>
          <w:sz w:val="22"/>
          <w:szCs w:val="22"/>
        </w:rPr>
        <w:t>,</w:t>
      </w:r>
      <w:r>
        <w:rPr>
          <w:rStyle w:val="documentbody1"/>
          <w:rFonts w:ascii="Times New Roman" w:hAnsi="Times New Roman"/>
          <w:sz w:val="22"/>
          <w:szCs w:val="22"/>
        </w:rPr>
        <w:t>100</w:t>
      </w:r>
    </w:p>
    <w:p w:rsidR="00B670A5" w:rsidRDefault="00B670A5" w:rsidP="00B670A5">
      <w:pPr>
        <w:rPr>
          <w:rStyle w:val="documentbody1"/>
        </w:rPr>
      </w:pPr>
      <w:r w:rsidRPr="00CA1ACA">
        <w:rPr>
          <w:rStyle w:val="documentbody1"/>
          <w:rFonts w:ascii="Times New Roman" w:hAnsi="Times New Roman"/>
          <w:sz w:val="22"/>
          <w:szCs w:val="22"/>
        </w:rPr>
        <w:t>Digital Television Construction Permits</w:t>
      </w:r>
      <w:r w:rsidRPr="00CA1ACA">
        <w:rPr>
          <w:rStyle w:val="documentbody1"/>
          <w:rFonts w:ascii="Times New Roman" w:hAnsi="Times New Roman"/>
          <w:sz w:val="22"/>
          <w:szCs w:val="22"/>
        </w:rPr>
        <w:tab/>
      </w:r>
      <w:r w:rsidRPr="00CA1ACA">
        <w:rPr>
          <w:rStyle w:val="documentbody1"/>
          <w:rFonts w:ascii="Times New Roman" w:hAnsi="Times New Roman"/>
          <w:sz w:val="22"/>
          <w:szCs w:val="22"/>
        </w:rPr>
        <w:tab/>
        <w:t xml:space="preserve">    8</w:t>
      </w:r>
      <w:r w:rsidRPr="00CA1ACA">
        <w:rPr>
          <w:rStyle w:val="documentbody1"/>
          <w:rFonts w:ascii="Times New Roman" w:hAnsi="Times New Roman"/>
          <w:sz w:val="22"/>
          <w:szCs w:val="22"/>
        </w:rPr>
        <w:tab/>
        <w:t xml:space="preserve">     $34,</w:t>
      </w:r>
      <w:r>
        <w:rPr>
          <w:rStyle w:val="documentbody1"/>
          <w:rFonts w:ascii="Times New Roman" w:hAnsi="Times New Roman"/>
          <w:sz w:val="22"/>
          <w:szCs w:val="22"/>
        </w:rPr>
        <w:t>4</w:t>
      </w:r>
      <w:r w:rsidRPr="00CA1ACA">
        <w:rPr>
          <w:rStyle w:val="documentbody1"/>
          <w:rFonts w:ascii="Times New Roman" w:hAnsi="Times New Roman"/>
          <w:sz w:val="22"/>
          <w:szCs w:val="22"/>
        </w:rPr>
        <w:t>00</w:t>
      </w:r>
      <w:r w:rsidRPr="00CA1ACA">
        <w:rPr>
          <w:rStyle w:val="documentbody1"/>
          <w:rFonts w:ascii="Times New Roman" w:hAnsi="Times New Roman"/>
          <w:sz w:val="22"/>
          <w:szCs w:val="22"/>
        </w:rPr>
        <w:tab/>
        <w:t xml:space="preserve">    $4,3</w:t>
      </w:r>
      <w:r>
        <w:rPr>
          <w:rStyle w:val="documentbody1"/>
          <w:rFonts w:ascii="Times New Roman" w:hAnsi="Times New Roman"/>
          <w:sz w:val="22"/>
          <w:szCs w:val="22"/>
        </w:rPr>
        <w:t>0</w:t>
      </w:r>
      <w:r w:rsidRPr="00CA1ACA">
        <w:rPr>
          <w:rStyle w:val="documentbody1"/>
          <w:rFonts w:ascii="Times New Roman" w:hAnsi="Times New Roman"/>
          <w:sz w:val="22"/>
          <w:szCs w:val="22"/>
        </w:rPr>
        <w:t>0</w:t>
      </w:r>
      <w:r w:rsidRPr="00CA1ACA">
        <w:rPr>
          <w:rStyle w:val="documentbody1"/>
          <w:rFonts w:ascii="Times New Roman" w:hAnsi="Times New Roman"/>
          <w:sz w:val="22"/>
          <w:szCs w:val="22"/>
        </w:rPr>
        <w:tab/>
        <w:t xml:space="preserve">     $34,</w:t>
      </w:r>
      <w:r>
        <w:rPr>
          <w:rStyle w:val="documentbody1"/>
          <w:rFonts w:ascii="Times New Roman" w:hAnsi="Times New Roman"/>
          <w:sz w:val="22"/>
          <w:szCs w:val="22"/>
        </w:rPr>
        <w:t>4</w:t>
      </w:r>
      <w:r w:rsidRPr="00CA1ACA">
        <w:rPr>
          <w:rStyle w:val="documentbody1"/>
          <w:rFonts w:ascii="Times New Roman" w:hAnsi="Times New Roman"/>
          <w:sz w:val="22"/>
          <w:szCs w:val="22"/>
        </w:rPr>
        <w:t>00</w:t>
      </w:r>
    </w:p>
    <w:p w:rsidR="006D6C14" w:rsidRDefault="006D6C14" w:rsidP="000A348F">
      <w:pPr>
        <w:rPr>
          <w:rStyle w:val="documentbody1"/>
        </w:rPr>
      </w:pPr>
    </w:p>
    <w:p w:rsidR="0001128D" w:rsidRDefault="00FA04DD" w:rsidP="000A348F">
      <w:pPr>
        <w:rPr>
          <w:rStyle w:val="documentbody1"/>
        </w:rPr>
      </w:pPr>
      <w:r w:rsidRPr="00AC36DB">
        <w:rPr>
          <w:rStyle w:val="documentbody1"/>
          <w:rFonts w:ascii="Times New Roman" w:hAnsi="Times New Roman"/>
          <w:sz w:val="22"/>
          <w:szCs w:val="22"/>
        </w:rPr>
        <w:tab/>
      </w:r>
    </w:p>
    <w:p w:rsidR="0001128D" w:rsidRPr="00A1103B" w:rsidRDefault="0001128D" w:rsidP="00B32272">
      <w:pPr>
        <w:pStyle w:val="Heading3"/>
        <w:rPr>
          <w:bCs/>
          <w:szCs w:val="22"/>
        </w:rPr>
      </w:pPr>
      <w:bookmarkStart w:id="126" w:name="_Toc353032052"/>
      <w:bookmarkStart w:id="127" w:name="_Toc352943185"/>
      <w:bookmarkStart w:id="128" w:name="_Toc352943634"/>
      <w:bookmarkStart w:id="129" w:name="_Toc353987728"/>
      <w:bookmarkStart w:id="130" w:name="_Toc353988049"/>
      <w:r w:rsidRPr="00A1103B">
        <w:rPr>
          <w:bCs/>
          <w:szCs w:val="22"/>
        </w:rPr>
        <w:t>Internet Protocol TV (IPTV)</w:t>
      </w:r>
      <w:bookmarkEnd w:id="126"/>
      <w:bookmarkEnd w:id="127"/>
      <w:bookmarkEnd w:id="128"/>
      <w:bookmarkEnd w:id="129"/>
      <w:bookmarkEnd w:id="130"/>
    </w:p>
    <w:p w:rsidR="00F6184B" w:rsidRDefault="0001128D" w:rsidP="00547927">
      <w:pPr>
        <w:pStyle w:val="ParaNum"/>
        <w:tabs>
          <w:tab w:val="num" w:pos="1350"/>
        </w:tabs>
        <w:ind w:left="-90"/>
        <w:rPr>
          <w:szCs w:val="22"/>
        </w:rPr>
      </w:pPr>
      <w:r w:rsidRPr="00A1103B">
        <w:rPr>
          <w:szCs w:val="22"/>
        </w:rPr>
        <w:t xml:space="preserve">IPTV is digital television delivered through a high speed </w:t>
      </w:r>
      <w:r w:rsidR="0036742D">
        <w:rPr>
          <w:szCs w:val="22"/>
        </w:rPr>
        <w:t>Internet</w:t>
      </w:r>
      <w:r w:rsidRPr="00A1103B">
        <w:rPr>
          <w:szCs w:val="22"/>
        </w:rPr>
        <w:t xml:space="preserve"> connection, instead of through traditional formats such as cable or terrestrial broadcast.  IPTV service generally</w:t>
      </w:r>
      <w:r w:rsidR="00ED4D6F">
        <w:rPr>
          <w:szCs w:val="22"/>
        </w:rPr>
        <w:t xml:space="preserve"> is</w:t>
      </w:r>
      <w:r w:rsidRPr="00A1103B">
        <w:rPr>
          <w:szCs w:val="22"/>
        </w:rPr>
        <w:t xml:space="preserve"> offered bundled with the customer’s </w:t>
      </w:r>
      <w:r w:rsidR="0036742D">
        <w:rPr>
          <w:szCs w:val="22"/>
        </w:rPr>
        <w:t>Internet</w:t>
      </w:r>
      <w:r w:rsidRPr="00A1103B">
        <w:rPr>
          <w:szCs w:val="22"/>
        </w:rPr>
        <w:t xml:space="preserve"> and telephone or VoIP services.  In the </w:t>
      </w:r>
      <w:r w:rsidRPr="00A1103B">
        <w:rPr>
          <w:i/>
          <w:szCs w:val="22"/>
        </w:rPr>
        <w:t>FY 2008 Report and Order</w:t>
      </w:r>
      <w:r w:rsidRPr="00A1103B">
        <w:rPr>
          <w:szCs w:val="22"/>
        </w:rPr>
        <w:t xml:space="preserve"> we sought comment on whether this video service should be subject to regulatory fees, and if so, should the IPTV provider count this service for regulatory fee purposes in the same manner as cable services, which is on a per subscriber basis.</w:t>
      </w:r>
      <w:r w:rsidRPr="00A1103B">
        <w:rPr>
          <w:rStyle w:val="FootnoteReference"/>
          <w:szCs w:val="22"/>
        </w:rPr>
        <w:footnoteReference w:id="71"/>
      </w:r>
      <w:r w:rsidRPr="00A1103B">
        <w:rPr>
          <w:szCs w:val="22"/>
        </w:rPr>
        <w:t xml:space="preserve">  By assessing regulatory fees on cable services but not on IPTV, we may place cable providers at a competitive disadvantage.  Commenters should discuss whether IPTV is sufficiently similar to cable services </w:t>
      </w:r>
      <w:r w:rsidR="00AB7614">
        <w:rPr>
          <w:szCs w:val="22"/>
        </w:rPr>
        <w:t xml:space="preserve">to be included </w:t>
      </w:r>
      <w:r w:rsidRPr="00A1103B">
        <w:rPr>
          <w:szCs w:val="22"/>
        </w:rPr>
        <w:t xml:space="preserve">in the same </w:t>
      </w:r>
      <w:r w:rsidR="00ED4D6F">
        <w:rPr>
          <w:szCs w:val="22"/>
        </w:rPr>
        <w:t xml:space="preserve">regulatory </w:t>
      </w:r>
      <w:r w:rsidRPr="00A1103B">
        <w:rPr>
          <w:szCs w:val="22"/>
        </w:rPr>
        <w:t xml:space="preserve">fee category and </w:t>
      </w:r>
      <w:r w:rsidR="00AB7614">
        <w:rPr>
          <w:szCs w:val="22"/>
        </w:rPr>
        <w:t xml:space="preserve">to be </w:t>
      </w:r>
      <w:r w:rsidRPr="00A1103B">
        <w:rPr>
          <w:szCs w:val="22"/>
        </w:rPr>
        <w:t>assessed regulatory fees in the same manner.</w:t>
      </w:r>
      <w:r w:rsidR="007B3D6F" w:rsidRPr="007B3D6F">
        <w:rPr>
          <w:szCs w:val="22"/>
        </w:rPr>
        <w:t xml:space="preserve"> </w:t>
      </w:r>
      <w:r w:rsidR="007B3D6F">
        <w:rPr>
          <w:szCs w:val="22"/>
        </w:rPr>
        <w:t xml:space="preserve"> T</w:t>
      </w:r>
      <w:r w:rsidR="007B3D6F" w:rsidRPr="00AC36DB">
        <w:rPr>
          <w:szCs w:val="22"/>
        </w:rPr>
        <w:t xml:space="preserve">his proposal, if adopted, </w:t>
      </w:r>
      <w:r w:rsidR="00476495">
        <w:rPr>
          <w:szCs w:val="22"/>
        </w:rPr>
        <w:t>would</w:t>
      </w:r>
      <w:r w:rsidR="007B3D6F" w:rsidRPr="00AC36DB">
        <w:rPr>
          <w:szCs w:val="22"/>
        </w:rPr>
        <w:t xml:space="preserve"> be implemented </w:t>
      </w:r>
      <w:r w:rsidR="00476495">
        <w:rPr>
          <w:szCs w:val="22"/>
        </w:rPr>
        <w:t>in</w:t>
      </w:r>
      <w:r w:rsidR="007B3D6F" w:rsidRPr="00AC36DB">
        <w:rPr>
          <w:szCs w:val="22"/>
        </w:rPr>
        <w:t xml:space="preserve"> FY 2014.</w:t>
      </w:r>
    </w:p>
    <w:p w:rsidR="00863A53" w:rsidRPr="00A1103B" w:rsidRDefault="00863A53" w:rsidP="00300AAB">
      <w:pPr>
        <w:pStyle w:val="Heading3"/>
      </w:pPr>
      <w:bookmarkStart w:id="131" w:name="_Toc351572423"/>
      <w:bookmarkStart w:id="132" w:name="_Toc189743264"/>
      <w:bookmarkStart w:id="133" w:name="_Toc351484755"/>
      <w:bookmarkStart w:id="134" w:name="_Toc351484801"/>
      <w:bookmarkStart w:id="135" w:name="_Toc351484943"/>
      <w:bookmarkStart w:id="136" w:name="_Toc351571056"/>
      <w:bookmarkStart w:id="137" w:name="_Toc353032053"/>
      <w:bookmarkStart w:id="138" w:name="_Toc351572424"/>
      <w:bookmarkStart w:id="139" w:name="_Toc352943186"/>
      <w:bookmarkStart w:id="140" w:name="_Toc352943635"/>
      <w:bookmarkStart w:id="141" w:name="_Toc353987729"/>
      <w:bookmarkStart w:id="142" w:name="_Toc353988050"/>
      <w:bookmarkEnd w:id="131"/>
      <w:r w:rsidRPr="00A1103B">
        <w:t>M</w:t>
      </w:r>
      <w:bookmarkEnd w:id="132"/>
      <w:r w:rsidRPr="00A1103B">
        <w:t>ulti-Year Wireless Services</w:t>
      </w:r>
      <w:bookmarkEnd w:id="133"/>
      <w:bookmarkEnd w:id="134"/>
      <w:bookmarkEnd w:id="135"/>
      <w:bookmarkEnd w:id="136"/>
      <w:bookmarkEnd w:id="137"/>
      <w:bookmarkEnd w:id="138"/>
      <w:bookmarkEnd w:id="139"/>
      <w:bookmarkEnd w:id="140"/>
      <w:bookmarkEnd w:id="141"/>
      <w:bookmarkEnd w:id="142"/>
    </w:p>
    <w:p w:rsidR="00F6184B" w:rsidRDefault="00863A53" w:rsidP="00547927">
      <w:pPr>
        <w:pStyle w:val="ParaNum"/>
        <w:tabs>
          <w:tab w:val="num" w:pos="1350"/>
        </w:tabs>
        <w:ind w:left="-90"/>
        <w:rPr>
          <w:b/>
          <w:szCs w:val="22"/>
        </w:rPr>
      </w:pPr>
      <w:bookmarkStart w:id="143" w:name="_Toc205949904"/>
      <w:bookmarkStart w:id="144" w:name="_Toc214443152"/>
      <w:bookmarkStart w:id="145" w:name="_Toc214695263"/>
      <w:bookmarkStart w:id="146" w:name="_Toc214700155"/>
      <w:bookmarkStart w:id="147" w:name="_Toc189623116"/>
      <w:bookmarkStart w:id="148" w:name="_Toc190825775"/>
      <w:bookmarkStart w:id="149" w:name="_Toc202776154"/>
      <w:bookmarkStart w:id="150" w:name="_Toc203194031"/>
      <w:r w:rsidRPr="00A1103B">
        <w:rPr>
          <w:szCs w:val="22"/>
        </w:rPr>
        <w:t xml:space="preserve">Multi-year wireless services is a fee category that encompasses </w:t>
      </w:r>
      <w:r w:rsidR="007B3D6F">
        <w:rPr>
          <w:szCs w:val="22"/>
        </w:rPr>
        <w:t xml:space="preserve">various </w:t>
      </w:r>
      <w:r w:rsidRPr="00A1103B">
        <w:rPr>
          <w:szCs w:val="22"/>
        </w:rPr>
        <w:t xml:space="preserve">different wireless services (e.g., microwave, land mobile) whose regulatory fees are paid up front </w:t>
      </w:r>
      <w:r w:rsidR="00EC13EC">
        <w:rPr>
          <w:szCs w:val="22"/>
        </w:rPr>
        <w:t xml:space="preserve">only </w:t>
      </w:r>
      <w:r w:rsidRPr="00A1103B">
        <w:rPr>
          <w:szCs w:val="22"/>
        </w:rPr>
        <w:t xml:space="preserve">at the time </w:t>
      </w:r>
      <w:r w:rsidR="00EC13EC">
        <w:rPr>
          <w:szCs w:val="22"/>
        </w:rPr>
        <w:t xml:space="preserve">that </w:t>
      </w:r>
      <w:r w:rsidRPr="00A1103B">
        <w:rPr>
          <w:szCs w:val="22"/>
        </w:rPr>
        <w:t>the five-year or 10-year license</w:t>
      </w:r>
      <w:r w:rsidR="00EC13EC">
        <w:rPr>
          <w:szCs w:val="22"/>
        </w:rPr>
        <w:t xml:space="preserve"> is renewed</w:t>
      </w:r>
      <w:r w:rsidRPr="00A1103B">
        <w:rPr>
          <w:szCs w:val="22"/>
        </w:rPr>
        <w:t xml:space="preserve">.  Most of these multi-year wireless licenses are 10-year licenses.  The number of licensees seeking renewal or </w:t>
      </w:r>
      <w:r w:rsidR="00F568E1">
        <w:rPr>
          <w:szCs w:val="22"/>
        </w:rPr>
        <w:t xml:space="preserve">filing </w:t>
      </w:r>
      <w:r w:rsidRPr="00A1103B">
        <w:rPr>
          <w:szCs w:val="22"/>
        </w:rPr>
        <w:t xml:space="preserve">new applications for licenses (the unit count) could fluctuate dramatically from one year to the next </w:t>
      </w:r>
      <w:r w:rsidR="00F568E1">
        <w:rPr>
          <w:szCs w:val="22"/>
        </w:rPr>
        <w:t>as</w:t>
      </w:r>
      <w:r w:rsidRPr="00A1103B">
        <w:rPr>
          <w:szCs w:val="22"/>
        </w:rPr>
        <w:t xml:space="preserve"> companies </w:t>
      </w:r>
      <w:r w:rsidR="00F568E1">
        <w:rPr>
          <w:szCs w:val="22"/>
        </w:rPr>
        <w:t>go</w:t>
      </w:r>
      <w:r w:rsidRPr="00A1103B">
        <w:rPr>
          <w:szCs w:val="22"/>
        </w:rPr>
        <w:t xml:space="preserve"> out of business, directly impacting the fee rate for that year.  Further, because the time between license renewals is 10 years, the regulatory fee amount paid can also increase or decrease substantially </w:t>
      </w:r>
      <w:r w:rsidR="00BE09F5">
        <w:rPr>
          <w:szCs w:val="22"/>
        </w:rPr>
        <w:t xml:space="preserve">from one renewal to the next </w:t>
      </w:r>
      <w:r w:rsidRPr="00A1103B">
        <w:rPr>
          <w:szCs w:val="22"/>
        </w:rPr>
        <w:t>because of unit fluctuations and changes in the annual appropriation from one year to the next.  We seek comment on appropriate steps to take</w:t>
      </w:r>
      <w:r w:rsidR="003A7249">
        <w:rPr>
          <w:szCs w:val="22"/>
        </w:rPr>
        <w:t>, if any,</w:t>
      </w:r>
      <w:r w:rsidRPr="00A1103B">
        <w:rPr>
          <w:szCs w:val="22"/>
        </w:rPr>
        <w:t xml:space="preserve"> when the fee rate in this fee category fluctuates dramatically from one year to the next because of changes in the unit count.</w:t>
      </w:r>
      <w:r w:rsidR="00902F52" w:rsidRPr="00902F52">
        <w:rPr>
          <w:szCs w:val="22"/>
        </w:rPr>
        <w:t xml:space="preserve"> </w:t>
      </w:r>
      <w:r w:rsidR="00902F52">
        <w:rPr>
          <w:szCs w:val="22"/>
        </w:rPr>
        <w:t xml:space="preserve"> </w:t>
      </w:r>
      <w:r w:rsidR="00476495">
        <w:rPr>
          <w:szCs w:val="22"/>
        </w:rPr>
        <w:t>These p</w:t>
      </w:r>
      <w:r w:rsidR="00902F52" w:rsidRPr="00AC36DB">
        <w:rPr>
          <w:szCs w:val="22"/>
        </w:rPr>
        <w:t>roposal</w:t>
      </w:r>
      <w:r w:rsidR="00902F52">
        <w:rPr>
          <w:szCs w:val="22"/>
        </w:rPr>
        <w:t>s</w:t>
      </w:r>
      <w:r w:rsidR="00902F52" w:rsidRPr="00AC36DB">
        <w:rPr>
          <w:szCs w:val="22"/>
        </w:rPr>
        <w:t xml:space="preserve">, if adopted, </w:t>
      </w:r>
      <w:r w:rsidR="00476495">
        <w:rPr>
          <w:szCs w:val="22"/>
        </w:rPr>
        <w:t>would</w:t>
      </w:r>
      <w:r w:rsidR="00902F52" w:rsidRPr="00AC36DB">
        <w:rPr>
          <w:szCs w:val="22"/>
        </w:rPr>
        <w:t xml:space="preserve"> be implemented </w:t>
      </w:r>
      <w:r w:rsidR="00476495">
        <w:rPr>
          <w:szCs w:val="22"/>
        </w:rPr>
        <w:t xml:space="preserve">in </w:t>
      </w:r>
      <w:r w:rsidR="00902F52" w:rsidRPr="00AC36DB">
        <w:rPr>
          <w:szCs w:val="22"/>
        </w:rPr>
        <w:t>FY 2014</w:t>
      </w:r>
      <w:r w:rsidR="00902F52">
        <w:rPr>
          <w:szCs w:val="22"/>
        </w:rPr>
        <w:t>.</w:t>
      </w:r>
    </w:p>
    <w:p w:rsidR="00863A53" w:rsidRPr="00A1103B" w:rsidRDefault="00863A53" w:rsidP="00FA04DD">
      <w:pPr>
        <w:pStyle w:val="Heading3"/>
        <w:rPr>
          <w:b w:val="0"/>
          <w:szCs w:val="22"/>
        </w:rPr>
      </w:pPr>
      <w:bookmarkStart w:id="151" w:name="_Toc189743265"/>
      <w:bookmarkStart w:id="152" w:name="_Toc351484756"/>
      <w:bookmarkStart w:id="153" w:name="_Toc351484802"/>
      <w:bookmarkStart w:id="154" w:name="_Toc351484944"/>
      <w:bookmarkStart w:id="155" w:name="_Toc351571057"/>
      <w:bookmarkStart w:id="156" w:name="_Toc353032054"/>
      <w:bookmarkStart w:id="157" w:name="_Toc351572425"/>
      <w:bookmarkStart w:id="158" w:name="_Toc352943187"/>
      <w:bookmarkStart w:id="159" w:name="_Toc352943636"/>
      <w:bookmarkStart w:id="160" w:name="_Toc353987730"/>
      <w:bookmarkStart w:id="161" w:name="_Toc353988051"/>
      <w:bookmarkEnd w:id="143"/>
      <w:bookmarkEnd w:id="144"/>
      <w:bookmarkEnd w:id="145"/>
      <w:bookmarkEnd w:id="146"/>
      <w:bookmarkEnd w:id="147"/>
      <w:bookmarkEnd w:id="148"/>
      <w:bookmarkEnd w:id="149"/>
      <w:bookmarkEnd w:id="150"/>
      <w:r w:rsidRPr="00A1103B">
        <w:rPr>
          <w:szCs w:val="22"/>
        </w:rPr>
        <w:t>Commercial Mobile Radio Service (CMRS) Messaging</w:t>
      </w:r>
      <w:bookmarkEnd w:id="151"/>
      <w:bookmarkEnd w:id="152"/>
      <w:bookmarkEnd w:id="153"/>
      <w:bookmarkEnd w:id="154"/>
      <w:bookmarkEnd w:id="155"/>
      <w:bookmarkEnd w:id="156"/>
      <w:bookmarkEnd w:id="157"/>
      <w:bookmarkEnd w:id="158"/>
      <w:bookmarkEnd w:id="159"/>
      <w:bookmarkEnd w:id="160"/>
      <w:bookmarkEnd w:id="161"/>
    </w:p>
    <w:p w:rsidR="00F6184B" w:rsidRDefault="00863A53" w:rsidP="00547927">
      <w:pPr>
        <w:pStyle w:val="ParaNum"/>
        <w:tabs>
          <w:tab w:val="num" w:pos="1350"/>
        </w:tabs>
        <w:ind w:left="-90"/>
      </w:pPr>
      <w:r w:rsidRPr="003F6CDB">
        <w:t>CMRS Messaging Service, which replaced the CMRS One-Way Paging fee category in 1997, includes all narrowband services.</w:t>
      </w:r>
      <w:r w:rsidRPr="005F5C89">
        <w:rPr>
          <w:rStyle w:val="FootnoteReference"/>
          <w:bCs/>
          <w:szCs w:val="22"/>
        </w:rPr>
        <w:footnoteReference w:id="72"/>
      </w:r>
      <w:r w:rsidRPr="003F6CDB">
        <w:t xml:space="preserve"> </w:t>
      </w:r>
      <w:r w:rsidR="00CB6D12">
        <w:t xml:space="preserve"> </w:t>
      </w:r>
      <w:r w:rsidRPr="003F6CDB">
        <w:t xml:space="preserve">Initially, as a measure </w:t>
      </w:r>
      <w:r w:rsidR="00866463">
        <w:t>to</w:t>
      </w:r>
      <w:r w:rsidRPr="003F6CDB">
        <w:t xml:space="preserve"> provid</w:t>
      </w:r>
      <w:r w:rsidR="00866463">
        <w:t>e</w:t>
      </w:r>
      <w:r w:rsidRPr="003F6CDB">
        <w:t xml:space="preserve"> relief to the paging industry, the Commission froze the regulatory fee for this fee category at the FY 2002 level, setting an applicable rate at $0.08 per subscriber beginning in FY 2003.</w:t>
      </w:r>
      <w:r w:rsidRPr="005F5C89">
        <w:rPr>
          <w:rStyle w:val="FootnoteReference"/>
          <w:bCs/>
          <w:szCs w:val="22"/>
        </w:rPr>
        <w:footnoteReference w:id="73"/>
      </w:r>
      <w:r w:rsidRPr="00804BD9">
        <w:t xml:space="preserve">  </w:t>
      </w:r>
      <w:r w:rsidRPr="003F6CDB">
        <w:t xml:space="preserve">At that time we noted that </w:t>
      </w:r>
      <w:r w:rsidRPr="00804BD9">
        <w:t>CMRS Messaging units</w:t>
      </w:r>
      <w:r w:rsidR="00866463">
        <w:t xml:space="preserve"> had significantly declined </w:t>
      </w:r>
      <w:r w:rsidRPr="00804BD9">
        <w:t>from 40.8 million in FY 1997 to 19.7 million in FY 2003—a decline of 51.7 percent.</w:t>
      </w:r>
      <w:r w:rsidRPr="005F5C89">
        <w:rPr>
          <w:rStyle w:val="FootnoteReference"/>
          <w:bCs/>
          <w:szCs w:val="22"/>
        </w:rPr>
        <w:footnoteReference w:id="74"/>
      </w:r>
      <w:r w:rsidRPr="00804BD9">
        <w:t xml:space="preserve">  Commenters argued this decline in subscribership was not just a temporary phenomenon, but a lasting one.  Commenters further argue</w:t>
      </w:r>
      <w:r w:rsidRPr="00BD4E10">
        <w:t>d that, because the messaging ind</w:t>
      </w:r>
      <w:r w:rsidRPr="0051124E">
        <w:t>ustry is spectrum-limited, geographically localized, and very cost sensitive, it is difficult for this industry to pass on increases in costs to its subscribers.</w:t>
      </w:r>
      <w:r w:rsidRPr="005F5C89">
        <w:rPr>
          <w:rStyle w:val="FootnoteReference"/>
          <w:bCs/>
          <w:szCs w:val="22"/>
        </w:rPr>
        <w:footnoteReference w:id="75"/>
      </w:r>
      <w:r w:rsidRPr="00804BD9">
        <w:t xml:space="preserve">    </w:t>
      </w:r>
    </w:p>
    <w:p w:rsidR="00F6184B" w:rsidRDefault="00863A53" w:rsidP="00547927">
      <w:pPr>
        <w:pStyle w:val="ParaNum"/>
        <w:tabs>
          <w:tab w:val="num" w:pos="1350"/>
        </w:tabs>
        <w:ind w:left="-90"/>
      </w:pPr>
      <w:r w:rsidRPr="00804BD9">
        <w:t>The decline in subscribership for this industry raises</w:t>
      </w:r>
      <w:r w:rsidR="00AE5970">
        <w:t xml:space="preserve"> a</w:t>
      </w:r>
      <w:r w:rsidRPr="00804BD9">
        <w:t xml:space="preserve"> more </w:t>
      </w:r>
      <w:r w:rsidR="00B91089">
        <w:t>fundamental</w:t>
      </w:r>
      <w:r w:rsidRPr="00804BD9">
        <w:t xml:space="preserve"> issue</w:t>
      </w:r>
      <w:r w:rsidR="00582B05">
        <w:t xml:space="preserve">:  </w:t>
      </w:r>
      <w:r w:rsidRPr="00804BD9">
        <w:t xml:space="preserve">whether the Commission should </w:t>
      </w:r>
      <w:r w:rsidR="00646724" w:rsidRPr="00BD4E10">
        <w:t xml:space="preserve">modify </w:t>
      </w:r>
      <w:r w:rsidR="00582B05">
        <w:t>the</w:t>
      </w:r>
      <w:r w:rsidR="00646724" w:rsidRPr="00804BD9">
        <w:t xml:space="preserve"> methodology in collecting </w:t>
      </w:r>
      <w:r w:rsidRPr="00BD4E10">
        <w:t>regulatory fee</w:t>
      </w:r>
      <w:r w:rsidR="00646724" w:rsidRPr="0051124E">
        <w:t xml:space="preserve">s </w:t>
      </w:r>
      <w:r w:rsidR="006D6C14">
        <w:t>from entities</w:t>
      </w:r>
      <w:r w:rsidR="00646724" w:rsidRPr="0051124E">
        <w:t xml:space="preserve"> in </w:t>
      </w:r>
      <w:r w:rsidRPr="00D4618C">
        <w:t xml:space="preserve">declining industries.  For industries such as paging, </w:t>
      </w:r>
      <w:r w:rsidR="00A16414" w:rsidRPr="00D4618C">
        <w:t xml:space="preserve">our methodology </w:t>
      </w:r>
      <w:r w:rsidRPr="00B74901">
        <w:t>may be burdensome on the industry and of negligible value to the Commission, due to t</w:t>
      </w:r>
      <w:r w:rsidRPr="008110DA">
        <w:t xml:space="preserve">he administrative burden of assessing the fee on many very small companies.  We seek comment on whether to </w:t>
      </w:r>
      <w:r w:rsidR="00A16414" w:rsidRPr="008875BB">
        <w:t xml:space="preserve">modify the way in which we assess fees from </w:t>
      </w:r>
      <w:r w:rsidRPr="003B0941">
        <w:t>providers in declining industries</w:t>
      </w:r>
      <w:r w:rsidR="007454B2" w:rsidRPr="003B0941">
        <w:t xml:space="preserve"> and how to define a declining industry</w:t>
      </w:r>
      <w:r w:rsidRPr="008933BE">
        <w:t xml:space="preserve">.  Commenters should discuss </w:t>
      </w:r>
      <w:r w:rsidR="00B91089">
        <w:t>whether</w:t>
      </w:r>
      <w:r w:rsidRPr="008933BE">
        <w:t xml:space="preserve"> there are other </w:t>
      </w:r>
      <w:r w:rsidR="00B91089">
        <w:t xml:space="preserve">similarly situated </w:t>
      </w:r>
      <w:r w:rsidRPr="008933BE">
        <w:t xml:space="preserve">categories that need regulatory fee </w:t>
      </w:r>
      <w:r w:rsidR="000F3D95" w:rsidRPr="002339E8">
        <w:t>relief.</w:t>
      </w:r>
      <w:bookmarkStart w:id="162" w:name="_Toc351484758"/>
      <w:bookmarkStart w:id="163" w:name="_Toc351484804"/>
      <w:bookmarkStart w:id="164" w:name="_Toc351484946"/>
      <w:bookmarkStart w:id="165" w:name="_Toc351571062"/>
      <w:r w:rsidR="00B91089" w:rsidRPr="00B91089">
        <w:rPr>
          <w:szCs w:val="22"/>
        </w:rPr>
        <w:t xml:space="preserve"> </w:t>
      </w:r>
      <w:r w:rsidR="00D847C2">
        <w:rPr>
          <w:szCs w:val="22"/>
        </w:rPr>
        <w:t xml:space="preserve"> </w:t>
      </w:r>
      <w:r w:rsidR="00B91089">
        <w:rPr>
          <w:szCs w:val="22"/>
        </w:rPr>
        <w:t>P</w:t>
      </w:r>
      <w:r w:rsidR="00B91089" w:rsidRPr="00AC36DB">
        <w:rPr>
          <w:szCs w:val="22"/>
        </w:rPr>
        <w:t>roposal</w:t>
      </w:r>
      <w:r w:rsidR="00B91089">
        <w:rPr>
          <w:szCs w:val="22"/>
        </w:rPr>
        <w:t>s</w:t>
      </w:r>
      <w:r w:rsidR="00B91089" w:rsidRPr="00AC36DB">
        <w:rPr>
          <w:szCs w:val="22"/>
        </w:rPr>
        <w:t xml:space="preserve">, if adopted, </w:t>
      </w:r>
      <w:r w:rsidR="00D847C2">
        <w:rPr>
          <w:szCs w:val="22"/>
        </w:rPr>
        <w:t xml:space="preserve">would </w:t>
      </w:r>
      <w:r w:rsidR="00B91089">
        <w:rPr>
          <w:szCs w:val="22"/>
        </w:rPr>
        <w:t xml:space="preserve">be implemented </w:t>
      </w:r>
      <w:r w:rsidR="00D847C2">
        <w:rPr>
          <w:szCs w:val="22"/>
        </w:rPr>
        <w:t>in</w:t>
      </w:r>
      <w:r w:rsidR="00B91089" w:rsidRPr="00AC36DB">
        <w:rPr>
          <w:szCs w:val="22"/>
        </w:rPr>
        <w:t xml:space="preserve"> FY 2014</w:t>
      </w:r>
      <w:r w:rsidR="00B91089">
        <w:rPr>
          <w:szCs w:val="22"/>
        </w:rPr>
        <w:t>.</w:t>
      </w:r>
    </w:p>
    <w:p w:rsidR="00A25315" w:rsidRPr="009D0104" w:rsidRDefault="00A25315" w:rsidP="000A348F">
      <w:pPr>
        <w:pStyle w:val="Heading2"/>
      </w:pPr>
      <w:bookmarkStart w:id="166" w:name="_Toc353987731"/>
      <w:bookmarkStart w:id="167" w:name="_Toc353988052"/>
      <w:r>
        <w:rPr>
          <w:szCs w:val="22"/>
        </w:rPr>
        <w:t>Administrative Issues</w:t>
      </w:r>
      <w:bookmarkEnd w:id="166"/>
      <w:bookmarkEnd w:id="167"/>
    </w:p>
    <w:p w:rsidR="00A25315" w:rsidRPr="00A1103B" w:rsidRDefault="00A25315" w:rsidP="00A25315">
      <w:pPr>
        <w:pStyle w:val="Heading3"/>
        <w:rPr>
          <w:szCs w:val="22"/>
        </w:rPr>
      </w:pPr>
      <w:bookmarkStart w:id="168" w:name="_Toc353987732"/>
      <w:bookmarkStart w:id="169" w:name="_Toc353988053"/>
      <w:r w:rsidRPr="00A1103B">
        <w:rPr>
          <w:szCs w:val="22"/>
        </w:rPr>
        <w:t>Electronic Filing and Payment System</w:t>
      </w:r>
      <w:bookmarkEnd w:id="168"/>
      <w:bookmarkEnd w:id="169"/>
    </w:p>
    <w:p w:rsidR="00F6184B" w:rsidRDefault="00A25315" w:rsidP="00547927">
      <w:pPr>
        <w:pStyle w:val="ParaNum"/>
        <w:tabs>
          <w:tab w:val="num" w:pos="1350"/>
        </w:tabs>
        <w:ind w:left="-90"/>
        <w:rPr>
          <w:szCs w:val="22"/>
        </w:rPr>
      </w:pPr>
      <w:r w:rsidRPr="00A1103B">
        <w:rPr>
          <w:szCs w:val="22"/>
        </w:rPr>
        <w:t>In FY 2009, the Commission implemented several</w:t>
      </w:r>
      <w:r>
        <w:rPr>
          <w:szCs w:val="22"/>
        </w:rPr>
        <w:t xml:space="preserve"> procedural</w:t>
      </w:r>
      <w:r w:rsidRPr="00A1103B">
        <w:rPr>
          <w:szCs w:val="22"/>
        </w:rPr>
        <w:t xml:space="preserve"> changes that simplified the payment and reconciliation processes </w:t>
      </w:r>
      <w:r>
        <w:rPr>
          <w:szCs w:val="22"/>
        </w:rPr>
        <w:t>for</w:t>
      </w:r>
      <w:r w:rsidRPr="00A1103B">
        <w:rPr>
          <w:szCs w:val="22"/>
        </w:rPr>
        <w:t xml:space="preserve"> FY 2009 regulatory fees.  </w:t>
      </w:r>
      <w:r>
        <w:rPr>
          <w:szCs w:val="22"/>
        </w:rPr>
        <w:t xml:space="preserve">The Commission’s current regulatory fee collection procedures can be found in the </w:t>
      </w:r>
      <w:r w:rsidRPr="00B32272">
        <w:rPr>
          <w:i/>
          <w:szCs w:val="22"/>
        </w:rPr>
        <w:t>Report and Order on Assessment and Collection of Regulatory Fees for FY 2012</w:t>
      </w:r>
      <w:r>
        <w:rPr>
          <w:szCs w:val="22"/>
        </w:rPr>
        <w:t>.</w:t>
      </w:r>
      <w:r>
        <w:rPr>
          <w:rStyle w:val="FootnoteReference"/>
          <w:szCs w:val="22"/>
        </w:rPr>
        <w:footnoteReference w:id="76"/>
      </w:r>
      <w:r>
        <w:rPr>
          <w:szCs w:val="22"/>
        </w:rPr>
        <w:t xml:space="preserve"> </w:t>
      </w:r>
    </w:p>
    <w:p w:rsidR="00F6184B" w:rsidRDefault="00A25315" w:rsidP="00547927">
      <w:pPr>
        <w:pStyle w:val="ParaNum"/>
        <w:tabs>
          <w:tab w:val="num" w:pos="1350"/>
        </w:tabs>
        <w:ind w:left="-90"/>
        <w:rPr>
          <w:szCs w:val="22"/>
        </w:rPr>
      </w:pPr>
      <w:r w:rsidRPr="009D0104">
        <w:rPr>
          <w:szCs w:val="22"/>
        </w:rPr>
        <w:t xml:space="preserve"> </w:t>
      </w:r>
      <w:r w:rsidRPr="00021046">
        <w:rPr>
          <w:szCs w:val="22"/>
        </w:rPr>
        <w:t>In FY 2013, the Co</w:t>
      </w:r>
      <w:r w:rsidRPr="005D7588">
        <w:rPr>
          <w:szCs w:val="22"/>
        </w:rPr>
        <w:t>mmission will continue to promote greater use of technology (and less use of paper) in improving our regulatory fee notification and collection process.  These changes, and the dates on which they will take place, are discussed in more detail below.  Specifically, as of October 1, 2013, we will no longer accept paper and transfer electronic invoicing and receivables collection to the Treasury in FY 2014.  Finally, in FY 2014, we will no longer mail out initial CMRS assessments, and will instead require lice</w:t>
      </w:r>
      <w:r w:rsidRPr="00524431">
        <w:rPr>
          <w:szCs w:val="22"/>
        </w:rPr>
        <w:t xml:space="preserve">nsees to log into the Commission’s website to view and revise their subscriber counts.  </w:t>
      </w:r>
    </w:p>
    <w:p w:rsidR="00F6184B" w:rsidRDefault="00BC08B1" w:rsidP="00C5052D">
      <w:pPr>
        <w:pStyle w:val="Heading3"/>
        <w:rPr>
          <w:szCs w:val="22"/>
        </w:rPr>
      </w:pPr>
      <w:bookmarkStart w:id="170" w:name="_Toc353987733"/>
      <w:bookmarkStart w:id="171" w:name="_Toc353988054"/>
      <w:r w:rsidRPr="00836FF4">
        <w:rPr>
          <w:szCs w:val="22"/>
        </w:rPr>
        <w:t>Discontinuation of Mai</w:t>
      </w:r>
      <w:r w:rsidR="00F6184B" w:rsidRPr="00C5052D">
        <w:rPr>
          <w:szCs w:val="22"/>
        </w:rPr>
        <w:t>l Outs of Initial CMRS Assessments</w:t>
      </w:r>
      <w:bookmarkEnd w:id="170"/>
      <w:bookmarkEnd w:id="171"/>
      <w:r w:rsidR="00F6184B" w:rsidRPr="00C5052D">
        <w:rPr>
          <w:szCs w:val="22"/>
        </w:rPr>
        <w:t xml:space="preserve"> </w:t>
      </w:r>
    </w:p>
    <w:p w:rsidR="00F6184B" w:rsidRDefault="00BC08B1" w:rsidP="00547927">
      <w:pPr>
        <w:pStyle w:val="ParaNum"/>
        <w:tabs>
          <w:tab w:val="num" w:pos="1350"/>
        </w:tabs>
        <w:ind w:left="-90"/>
        <w:rPr>
          <w:szCs w:val="22"/>
        </w:rPr>
      </w:pPr>
      <w:r w:rsidRPr="00A1103B">
        <w:rPr>
          <w:szCs w:val="22"/>
        </w:rPr>
        <w:t>In FY 2014, as part of the Commission’s effort to become more “paperless</w:t>
      </w:r>
      <w:r>
        <w:rPr>
          <w:szCs w:val="22"/>
        </w:rPr>
        <w:t>,</w:t>
      </w:r>
      <w:r w:rsidRPr="00A1103B">
        <w:rPr>
          <w:szCs w:val="22"/>
        </w:rPr>
        <w:t xml:space="preserve">” the Commission will no longer mail out its initial CMRS assessments, but will require licensees to log into the Commission’s website to view and revise their subscriber counts.  A system currently exists for providers to revise their CMRS subscriber counts electronically, and it is possible that this system can be expanded to include letters that can be downloaded to serve as the initial CMRS assessment letter.  The Commission will provide more details in future announcements as this system is developed.     </w:t>
      </w:r>
    </w:p>
    <w:p w:rsidR="00831057" w:rsidRDefault="00831057">
      <w:pPr>
        <w:widowControl/>
        <w:rPr>
          <w:b/>
        </w:rPr>
      </w:pPr>
      <w:bookmarkStart w:id="172" w:name="_Toc353987734"/>
      <w:bookmarkStart w:id="173" w:name="_Toc353988055"/>
      <w:r>
        <w:br w:type="page"/>
      </w:r>
    </w:p>
    <w:p w:rsidR="00F6184B" w:rsidRDefault="006E5530" w:rsidP="00C5052D">
      <w:pPr>
        <w:pStyle w:val="Heading3"/>
        <w:rPr>
          <w:szCs w:val="22"/>
        </w:rPr>
      </w:pPr>
      <w:r w:rsidRPr="00836FF4">
        <w:t>Discontinuation of Paper and Ch</w:t>
      </w:r>
      <w:r w:rsidRPr="00F73A42">
        <w:t>eck Transactions Beginning October 1, 2013</w:t>
      </w:r>
      <w:bookmarkEnd w:id="172"/>
      <w:bookmarkEnd w:id="173"/>
    </w:p>
    <w:p w:rsidR="00F6184B" w:rsidRDefault="006E5530" w:rsidP="00547927">
      <w:pPr>
        <w:pStyle w:val="ParaNum"/>
        <w:tabs>
          <w:tab w:val="num" w:pos="1350"/>
        </w:tabs>
        <w:ind w:left="-90"/>
        <w:rPr>
          <w:szCs w:val="22"/>
        </w:rPr>
      </w:pPr>
      <w:r>
        <w:rPr>
          <w:szCs w:val="22"/>
        </w:rPr>
        <w:t>Together with the U.S. Department of Treasury, the Commission is taking further steps to meet the OMB Open Government Directive.</w:t>
      </w:r>
      <w:r>
        <w:rPr>
          <w:rStyle w:val="FootnoteReference"/>
          <w:szCs w:val="22"/>
        </w:rPr>
        <w:footnoteReference w:id="77"/>
      </w:r>
      <w:r>
        <w:rPr>
          <w:szCs w:val="22"/>
        </w:rPr>
        <w:t xml:space="preserve">  A component part of the Treasury’s current flagship initiative pursuant to this Directive is moving to a paperless Treasury, which includes related activities in both disbursing and collecting select federal government payments and receipts.</w:t>
      </w:r>
      <w:r>
        <w:rPr>
          <w:rStyle w:val="FootnoteReference"/>
          <w:szCs w:val="22"/>
        </w:rPr>
        <w:footnoteReference w:id="78"/>
      </w:r>
      <w:r>
        <w:rPr>
          <w:szCs w:val="22"/>
        </w:rPr>
        <w:t xml:space="preserve">  Going paperless is expected to produce cost savings, reduce errors, and improve efficiencies across government.  Accordingly, b</w:t>
      </w:r>
      <w:r w:rsidRPr="00A1103B">
        <w:rPr>
          <w:szCs w:val="22"/>
        </w:rPr>
        <w:t xml:space="preserve">eginning on October 1, 2013, the Commission will no longer accept checks </w:t>
      </w:r>
      <w:r>
        <w:rPr>
          <w:szCs w:val="22"/>
        </w:rPr>
        <w:t xml:space="preserve">(including cashier’s checks) </w:t>
      </w:r>
      <w:r w:rsidRPr="00A1103B">
        <w:rPr>
          <w:szCs w:val="22"/>
        </w:rPr>
        <w:t>and</w:t>
      </w:r>
      <w:r>
        <w:rPr>
          <w:szCs w:val="22"/>
        </w:rPr>
        <w:t xml:space="preserve"> the accompanying</w:t>
      </w:r>
      <w:r w:rsidRPr="00A1103B">
        <w:rPr>
          <w:szCs w:val="22"/>
        </w:rPr>
        <w:t xml:space="preserve"> hardcopy forms (e.g.</w:t>
      </w:r>
      <w:r>
        <w:rPr>
          <w:szCs w:val="22"/>
        </w:rPr>
        <w:t>,</w:t>
      </w:r>
      <w:r w:rsidRPr="00A1103B">
        <w:rPr>
          <w:szCs w:val="22"/>
        </w:rPr>
        <w:t xml:space="preserve"> Form 159’s, Form 159-B’s, Form 159-E’s, Form 159-W’s) for the </w:t>
      </w:r>
      <w:r w:rsidRPr="00FF6BDF">
        <w:rPr>
          <w:szCs w:val="22"/>
        </w:rPr>
        <w:t>payment of regulatory fees</w:t>
      </w:r>
      <w:r w:rsidRPr="00D1686A">
        <w:rPr>
          <w:szCs w:val="22"/>
        </w:rPr>
        <w:t>.</w:t>
      </w:r>
      <w:r w:rsidRPr="00A1103B">
        <w:rPr>
          <w:szCs w:val="22"/>
        </w:rPr>
        <w:t xml:space="preserve">  </w:t>
      </w:r>
      <w:r>
        <w:rPr>
          <w:szCs w:val="22"/>
        </w:rPr>
        <w:t>This new paperless procedure will require that all payments be made by credit card, wire transfer, or ACH payment.  Any other form of payment (</w:t>
      </w:r>
      <w:r w:rsidRPr="00547927">
        <w:rPr>
          <w:szCs w:val="22"/>
        </w:rPr>
        <w:t>e.g</w:t>
      </w:r>
      <w:r>
        <w:rPr>
          <w:szCs w:val="22"/>
        </w:rPr>
        <w:t>., checks) will be rejected and sent back to the payor.  This</w:t>
      </w:r>
      <w:r>
        <w:t xml:space="preserve"> </w:t>
      </w:r>
      <w:r>
        <w:rPr>
          <w:szCs w:val="22"/>
        </w:rPr>
        <w:t>change will affect all payments for regulatory fees made on or after that October 1, 2013.</w:t>
      </w:r>
      <w:r w:rsidR="00EC03F6">
        <w:rPr>
          <w:rStyle w:val="FootnoteReference"/>
          <w:szCs w:val="22"/>
        </w:rPr>
        <w:footnoteReference w:id="79"/>
      </w:r>
    </w:p>
    <w:p w:rsidR="00F6184B" w:rsidRDefault="006E5530" w:rsidP="00547927">
      <w:pPr>
        <w:pStyle w:val="ParaNum"/>
        <w:tabs>
          <w:tab w:val="num" w:pos="1350"/>
        </w:tabs>
        <w:ind w:left="-90"/>
        <w:rPr>
          <w:szCs w:val="22"/>
        </w:rPr>
      </w:pPr>
      <w:r w:rsidRPr="009D0104">
        <w:rPr>
          <w:szCs w:val="22"/>
        </w:rPr>
        <w:t>Currently, the Commission is working with Treasur</w:t>
      </w:r>
      <w:r w:rsidRPr="005D7588">
        <w:rPr>
          <w:szCs w:val="22"/>
        </w:rPr>
        <w:t>y to implement procedures that will reduce manual and subscale accounts receivables, reduce hidden costs associated with coll</w:t>
      </w:r>
      <w:r w:rsidRPr="00524431">
        <w:rPr>
          <w:szCs w:val="22"/>
        </w:rPr>
        <w:t>ections, and increase recoveries.  We anticipate measurable enhancements in our program achieved by reducing our delinquency rate, increasing collections, and reducing costs.  Under section 9 of the Act, Commissi</w:t>
      </w:r>
      <w:r w:rsidRPr="00FF6BDF">
        <w:rPr>
          <w:szCs w:val="22"/>
        </w:rPr>
        <w:t>on rules, and the debt col</w:t>
      </w:r>
      <w:r w:rsidRPr="009D0104">
        <w:rPr>
          <w:szCs w:val="22"/>
        </w:rPr>
        <w:t>lection</w:t>
      </w:r>
      <w:r w:rsidRPr="005D7588">
        <w:rPr>
          <w:szCs w:val="22"/>
        </w:rPr>
        <w:t xml:space="preserve"> laws, a licensee’s regulatory fee is due on the first day of the fiscal year and payable at a d</w:t>
      </w:r>
      <w:r w:rsidR="00EC03F6">
        <w:rPr>
          <w:szCs w:val="22"/>
        </w:rPr>
        <w:t>ate</w:t>
      </w:r>
      <w:r w:rsidRPr="005D7588">
        <w:rPr>
          <w:szCs w:val="22"/>
        </w:rPr>
        <w:t xml:space="preserve"> established by our annual regulatory </w:t>
      </w:r>
      <w:r w:rsidRPr="00524431">
        <w:rPr>
          <w:szCs w:val="22"/>
        </w:rPr>
        <w:t>fe</w:t>
      </w:r>
      <w:r w:rsidRPr="00D1686A">
        <w:t>e</w:t>
      </w:r>
      <w:r w:rsidRPr="00FF6BDF">
        <w:rPr>
          <w:szCs w:val="22"/>
        </w:rPr>
        <w:t xml:space="preserve"> R</w:t>
      </w:r>
      <w:r w:rsidRPr="009D0104">
        <w:rPr>
          <w:szCs w:val="22"/>
        </w:rPr>
        <w:t>eport</w:t>
      </w:r>
      <w:r w:rsidRPr="005D7588">
        <w:rPr>
          <w:szCs w:val="22"/>
        </w:rPr>
        <w:t xml:space="preserve"> and Order. T</w:t>
      </w:r>
      <w:r w:rsidRPr="00524431">
        <w:rPr>
          <w:szCs w:val="22"/>
        </w:rPr>
        <w:t>he Commission will work with Treasury to facilitate end-to-end billing and collections capabilities for our receivables in the pre-delinquency stage and seeks to implement these changes in FY 2014.  Under these revised procedures, the Commission will begin transferring appropriate receivables (unpaid regulatory fees) to Treasury at the end of the payment period instead of waiting for a period of 180 days from the date of delinquency to transfer a delinquent debt to Treasury for further collection action.</w:t>
      </w:r>
      <w:r>
        <w:rPr>
          <w:rStyle w:val="FootnoteReference"/>
          <w:szCs w:val="22"/>
        </w:rPr>
        <w:footnoteReference w:id="80"/>
      </w:r>
      <w:r w:rsidRPr="009D0104">
        <w:rPr>
          <w:szCs w:val="22"/>
        </w:rPr>
        <w:t xml:space="preserve"> </w:t>
      </w:r>
      <w:r w:rsidRPr="005D7588">
        <w:rPr>
          <w:szCs w:val="22"/>
        </w:rPr>
        <w:t xml:space="preserve"> Accordingly, we</w:t>
      </w:r>
      <w:r w:rsidRPr="00524431">
        <w:rPr>
          <w:szCs w:val="22"/>
        </w:rPr>
        <w:t xml:space="preserve"> anticipate that transfer to Treasury will occur much earlier than it now does</w:t>
      </w:r>
      <w:r w:rsidR="00EC03F6">
        <w:rPr>
          <w:szCs w:val="22"/>
        </w:rPr>
        <w:t>.  Regulatees, however, likely</w:t>
      </w:r>
      <w:r w:rsidRPr="00524431">
        <w:rPr>
          <w:szCs w:val="22"/>
        </w:rPr>
        <w:t xml:space="preserve"> will not see substantial change in the current procedures of how they are required to pay the fee </w:t>
      </w:r>
      <w:r w:rsidR="00EC03F6">
        <w:rPr>
          <w:szCs w:val="22"/>
        </w:rPr>
        <w:t xml:space="preserve">for FY 2013 and FY 2014.  After </w:t>
      </w:r>
      <w:r w:rsidRPr="00524431">
        <w:rPr>
          <w:szCs w:val="22"/>
        </w:rPr>
        <w:t>the date on which the FY 2014 payment fee window closes</w:t>
      </w:r>
      <w:r w:rsidR="00642D1B">
        <w:rPr>
          <w:szCs w:val="22"/>
        </w:rPr>
        <w:t>;</w:t>
      </w:r>
      <w:r w:rsidRPr="00524431">
        <w:rPr>
          <w:szCs w:val="22"/>
        </w:rPr>
        <w:t xml:space="preserve"> however, </w:t>
      </w:r>
      <w:r w:rsidR="00642D1B">
        <w:rPr>
          <w:szCs w:val="22"/>
        </w:rPr>
        <w:t>if a FY 2013</w:t>
      </w:r>
      <w:r w:rsidRPr="00524431">
        <w:rPr>
          <w:szCs w:val="22"/>
        </w:rPr>
        <w:t xml:space="preserve"> receivable is past due, we expect some change</w:t>
      </w:r>
      <w:r w:rsidR="00642D1B">
        <w:rPr>
          <w:szCs w:val="22"/>
        </w:rPr>
        <w:t>s</w:t>
      </w:r>
      <w:r w:rsidRPr="00524431">
        <w:rPr>
          <w:szCs w:val="22"/>
        </w:rPr>
        <w:t xml:space="preserve"> in notification procedures and </w:t>
      </w:r>
      <w:r w:rsidR="00642D1B">
        <w:rPr>
          <w:szCs w:val="22"/>
        </w:rPr>
        <w:t xml:space="preserve">in </w:t>
      </w:r>
      <w:r w:rsidRPr="00524431">
        <w:rPr>
          <w:szCs w:val="22"/>
        </w:rPr>
        <w:t xml:space="preserve">the process </w:t>
      </w:r>
      <w:r w:rsidR="00642D1B">
        <w:rPr>
          <w:szCs w:val="22"/>
        </w:rPr>
        <w:t xml:space="preserve">by which </w:t>
      </w:r>
      <w:r w:rsidRPr="00524431">
        <w:rPr>
          <w:szCs w:val="22"/>
        </w:rPr>
        <w:t>to submit payments to Treasury or its designated financial agent.  Consistent with those anticipated modifications and any future Treasury procedure, the Commission expects it will modify its informative guidance and amend its rules. We invite comments on this proposed change</w:t>
      </w:r>
    </w:p>
    <w:p w:rsidR="00F6184B" w:rsidRDefault="00D847C2" w:rsidP="00C5052D">
      <w:pPr>
        <w:pStyle w:val="Heading1"/>
        <w:widowControl/>
      </w:pPr>
      <w:bookmarkStart w:id="174" w:name="_Toc353987735"/>
      <w:bookmarkStart w:id="175" w:name="_Toc353988056"/>
      <w:r>
        <w:t>Further Notice of Proposed Rulemaking</w:t>
      </w:r>
      <w:bookmarkEnd w:id="174"/>
      <w:bookmarkEnd w:id="175"/>
      <w:r>
        <w:t xml:space="preserve"> </w:t>
      </w:r>
    </w:p>
    <w:p w:rsidR="00F6184B" w:rsidRDefault="00D847C2" w:rsidP="00547927">
      <w:pPr>
        <w:pStyle w:val="ParaNum"/>
        <w:tabs>
          <w:tab w:val="num" w:pos="1350"/>
        </w:tabs>
        <w:ind w:left="-90"/>
        <w:rPr>
          <w:szCs w:val="22"/>
        </w:rPr>
      </w:pPr>
      <w:r w:rsidRPr="00A1103B">
        <w:rPr>
          <w:szCs w:val="22"/>
        </w:rPr>
        <w:t>Above we seek comment concerning regulatory reforms we believe may potentially be adopted in FY 2013</w:t>
      </w:r>
      <w:r w:rsidR="00EC03F6">
        <w:rPr>
          <w:szCs w:val="22"/>
        </w:rPr>
        <w:t xml:space="preserve"> </w:t>
      </w:r>
      <w:r w:rsidR="005832F6">
        <w:rPr>
          <w:szCs w:val="22"/>
        </w:rPr>
        <w:t>or FY 2014.</w:t>
      </w:r>
      <w:r>
        <w:rPr>
          <w:rStyle w:val="FootnoteReference"/>
          <w:szCs w:val="22"/>
        </w:rPr>
        <w:footnoteReference w:id="81"/>
      </w:r>
      <w:r w:rsidRPr="00A1103B">
        <w:rPr>
          <w:szCs w:val="22"/>
        </w:rPr>
        <w:t xml:space="preserve">  The </w:t>
      </w:r>
      <w:r w:rsidR="00F6184B" w:rsidRPr="00C5052D">
        <w:rPr>
          <w:i/>
          <w:szCs w:val="22"/>
        </w:rPr>
        <w:t>Further Notice</w:t>
      </w:r>
      <w:r w:rsidRPr="00A1103B">
        <w:rPr>
          <w:szCs w:val="22"/>
        </w:rPr>
        <w:t xml:space="preserve"> below invites comment on proposals and issues that require additional time for consideration and implementation.  Accordingly, we seek comment on the viability of these proposals and whether they should be implemented in future years.</w:t>
      </w:r>
    </w:p>
    <w:p w:rsidR="00F6184B" w:rsidRDefault="00D847C2" w:rsidP="00C5052D">
      <w:pPr>
        <w:pStyle w:val="Heading2"/>
        <w:rPr>
          <w:szCs w:val="22"/>
        </w:rPr>
      </w:pPr>
      <w:bookmarkStart w:id="176" w:name="_Toc353987736"/>
      <w:bookmarkStart w:id="177" w:name="_Toc353988057"/>
      <w:r w:rsidRPr="00A1103B">
        <w:rPr>
          <w:szCs w:val="22"/>
        </w:rPr>
        <w:t>Non-U.S.-Licensed Space Stations Serving the United States</w:t>
      </w:r>
      <w:bookmarkEnd w:id="176"/>
      <w:bookmarkEnd w:id="177"/>
      <w:r w:rsidRPr="00A1103B">
        <w:rPr>
          <w:szCs w:val="22"/>
        </w:rPr>
        <w:t xml:space="preserve"> </w:t>
      </w:r>
    </w:p>
    <w:p w:rsidR="00F6184B" w:rsidRDefault="00D847C2" w:rsidP="00547927">
      <w:pPr>
        <w:pStyle w:val="ParaNum"/>
        <w:tabs>
          <w:tab w:val="num" w:pos="1350"/>
        </w:tabs>
        <w:ind w:left="-90"/>
        <w:rPr>
          <w:szCs w:val="22"/>
        </w:rPr>
      </w:pPr>
      <w:r w:rsidRPr="00A1103B">
        <w:rPr>
          <w:szCs w:val="22"/>
        </w:rPr>
        <w:t>The Commission’s goal in assessing satellite regulatory fees is to recover all of the costs associated with satellite regulatory activities and to distribute these costs fairly among fee payers.  To recover the costs associated with policy and rulemaking activities associated with space stations, section 1.1156 of the Commission’s rules includes “Space Station (Geostationary Orbit)” and “Space Stations (Non-Geostationary Orbit)” in the regulatory fee schedule.</w:t>
      </w:r>
      <w:r w:rsidRPr="00A1103B">
        <w:rPr>
          <w:rStyle w:val="FootnoteReference"/>
          <w:szCs w:val="22"/>
        </w:rPr>
        <w:footnoteReference w:id="82"/>
      </w:r>
      <w:r w:rsidRPr="00A1103B">
        <w:rPr>
          <w:szCs w:val="22"/>
        </w:rPr>
        <w:t xml:space="preserve">  These fees are assessed only for U.S.-licensed space stations.  Regulatory fees are not assessed for non-U.S.-licensed </w:t>
      </w:r>
      <w:r>
        <w:rPr>
          <w:szCs w:val="22"/>
        </w:rPr>
        <w:t>space stations</w:t>
      </w:r>
      <w:r w:rsidRPr="00A1103B">
        <w:rPr>
          <w:szCs w:val="22"/>
        </w:rPr>
        <w:t xml:space="preserve"> that provide service to customers in the United States.</w:t>
      </w:r>
      <w:r w:rsidRPr="00A1103B">
        <w:rPr>
          <w:rStyle w:val="FootnoteReference"/>
          <w:szCs w:val="22"/>
        </w:rPr>
        <w:footnoteReference w:id="83"/>
      </w:r>
      <w:r w:rsidRPr="00A1103B">
        <w:rPr>
          <w:szCs w:val="22"/>
        </w:rPr>
        <w:t xml:space="preserve">  </w:t>
      </w:r>
    </w:p>
    <w:p w:rsidR="00F6184B" w:rsidRDefault="00D847C2" w:rsidP="00547927">
      <w:pPr>
        <w:pStyle w:val="ParaNum"/>
        <w:tabs>
          <w:tab w:val="num" w:pos="1350"/>
        </w:tabs>
        <w:ind w:left="-90"/>
        <w:rPr>
          <w:szCs w:val="22"/>
        </w:rPr>
      </w:pPr>
      <w:r w:rsidRPr="00A1103B">
        <w:rPr>
          <w:szCs w:val="22"/>
        </w:rPr>
        <w:t>The Commission’s policies, regulations, international, user information, and enforcement activities all benefit non-U.S.</w:t>
      </w:r>
      <w:r w:rsidR="00C36D16">
        <w:rPr>
          <w:szCs w:val="22"/>
        </w:rPr>
        <w:t xml:space="preserve"> </w:t>
      </w:r>
      <w:r w:rsidRPr="00A1103B">
        <w:rPr>
          <w:szCs w:val="22"/>
        </w:rPr>
        <w:t>licensed satellite operators</w:t>
      </w:r>
      <w:r>
        <w:rPr>
          <w:szCs w:val="22"/>
        </w:rPr>
        <w:t xml:space="preserve"> that access the U.S. market</w:t>
      </w:r>
      <w:r w:rsidRPr="00A1103B">
        <w:rPr>
          <w:szCs w:val="22"/>
        </w:rPr>
        <w:t>.  Rulemaking proceedings establishing authorization procedures or service rules for satellite services apply both to U.S.</w:t>
      </w:r>
      <w:r w:rsidR="00C36D16">
        <w:rPr>
          <w:szCs w:val="22"/>
        </w:rPr>
        <w:t xml:space="preserve"> </w:t>
      </w:r>
      <w:r w:rsidRPr="00A1103B">
        <w:rPr>
          <w:szCs w:val="22"/>
        </w:rPr>
        <w:t>licensed satellites and non-U.S.</w:t>
      </w:r>
      <w:r w:rsidR="00C36D16">
        <w:rPr>
          <w:szCs w:val="22"/>
        </w:rPr>
        <w:t xml:space="preserve"> </w:t>
      </w:r>
      <w:r w:rsidRPr="00A1103B">
        <w:rPr>
          <w:szCs w:val="22"/>
        </w:rPr>
        <w:t>licensed satellites providing service in the United States.</w:t>
      </w:r>
      <w:r w:rsidRPr="00A1103B">
        <w:rPr>
          <w:rStyle w:val="FootnoteReference"/>
          <w:szCs w:val="22"/>
        </w:rPr>
        <w:footnoteReference w:id="84"/>
      </w:r>
      <w:r w:rsidRPr="00A1103B">
        <w:rPr>
          <w:szCs w:val="22"/>
        </w:rPr>
        <w:t xml:space="preserve">  A non-U.S.</w:t>
      </w:r>
      <w:r w:rsidR="00C36D16">
        <w:rPr>
          <w:szCs w:val="22"/>
        </w:rPr>
        <w:t xml:space="preserve"> </w:t>
      </w:r>
      <w:r w:rsidRPr="00A1103B">
        <w:rPr>
          <w:szCs w:val="22"/>
        </w:rPr>
        <w:t>licensed satellite operator may file a petition for a declaratory ruling seeking Commission approval to provide service in the U</w:t>
      </w:r>
      <w:r>
        <w:rPr>
          <w:szCs w:val="22"/>
        </w:rPr>
        <w:t>nited States.</w:t>
      </w:r>
      <w:r w:rsidRPr="00A1103B">
        <w:rPr>
          <w:szCs w:val="22"/>
        </w:rPr>
        <w:t xml:space="preserve">  </w:t>
      </w:r>
      <w:r>
        <w:rPr>
          <w:szCs w:val="22"/>
        </w:rPr>
        <w:t>T</w:t>
      </w:r>
      <w:r w:rsidRPr="00A1103B">
        <w:rPr>
          <w:szCs w:val="22"/>
        </w:rPr>
        <w:t xml:space="preserve">he International Bureau </w:t>
      </w:r>
      <w:r>
        <w:rPr>
          <w:szCs w:val="22"/>
        </w:rPr>
        <w:t xml:space="preserve">evaluates this petition for consistency with the Commission’s legal and technical requirements </w:t>
      </w:r>
      <w:r w:rsidRPr="00A1103B">
        <w:rPr>
          <w:szCs w:val="22"/>
        </w:rPr>
        <w:t xml:space="preserve">in the same manner as </w:t>
      </w:r>
      <w:r>
        <w:rPr>
          <w:szCs w:val="22"/>
        </w:rPr>
        <w:t xml:space="preserve">the Bureau </w:t>
      </w:r>
      <w:r w:rsidRPr="00A1103B">
        <w:rPr>
          <w:szCs w:val="22"/>
        </w:rPr>
        <w:t xml:space="preserve">evaluates </w:t>
      </w:r>
      <w:r>
        <w:rPr>
          <w:szCs w:val="22"/>
        </w:rPr>
        <w:t>the application for an FCC space station license and, on the basis of this review, imposes any appropriate conditions for the grant of market access.</w:t>
      </w:r>
      <w:r w:rsidRPr="00A1103B">
        <w:rPr>
          <w:szCs w:val="22"/>
        </w:rPr>
        <w:t xml:space="preserve">  Once the non-U.S.</w:t>
      </w:r>
      <w:r w:rsidR="00C36D16">
        <w:rPr>
          <w:szCs w:val="22"/>
        </w:rPr>
        <w:t xml:space="preserve"> </w:t>
      </w:r>
      <w:r w:rsidRPr="00A1103B">
        <w:rPr>
          <w:szCs w:val="22"/>
        </w:rPr>
        <w:t xml:space="preserve">licensed </w:t>
      </w:r>
      <w:r>
        <w:rPr>
          <w:szCs w:val="22"/>
        </w:rPr>
        <w:t>space stations</w:t>
      </w:r>
      <w:r w:rsidRPr="00A1103B">
        <w:rPr>
          <w:szCs w:val="22"/>
        </w:rPr>
        <w:t xml:space="preserve"> are granted access to </w:t>
      </w:r>
      <w:r>
        <w:rPr>
          <w:szCs w:val="22"/>
        </w:rPr>
        <w:t>e</w:t>
      </w:r>
      <w:r w:rsidRPr="00A1103B">
        <w:rPr>
          <w:szCs w:val="22"/>
        </w:rPr>
        <w:t xml:space="preserve">arth </w:t>
      </w:r>
      <w:r>
        <w:rPr>
          <w:szCs w:val="22"/>
        </w:rPr>
        <w:t>s</w:t>
      </w:r>
      <w:r w:rsidRPr="00A1103B">
        <w:rPr>
          <w:szCs w:val="22"/>
        </w:rPr>
        <w:t xml:space="preserve">tations in the </w:t>
      </w:r>
      <w:r>
        <w:rPr>
          <w:szCs w:val="22"/>
        </w:rPr>
        <w:t>United States</w:t>
      </w:r>
      <w:r w:rsidRPr="00A1103B">
        <w:rPr>
          <w:szCs w:val="22"/>
        </w:rPr>
        <w:t xml:space="preserve">, the grant is recorded together with any conditions of access, in the International Bureau Filing System.  </w:t>
      </w:r>
      <w:r>
        <w:rPr>
          <w:szCs w:val="22"/>
        </w:rPr>
        <w:t>After a grant of market access, the operations of n</w:t>
      </w:r>
      <w:r w:rsidRPr="00A1103B">
        <w:rPr>
          <w:szCs w:val="22"/>
        </w:rPr>
        <w:t xml:space="preserve">on-U.S. space stations </w:t>
      </w:r>
      <w:r>
        <w:rPr>
          <w:szCs w:val="22"/>
        </w:rPr>
        <w:t>with U.S.</w:t>
      </w:r>
      <w:r w:rsidR="00C36D16">
        <w:rPr>
          <w:szCs w:val="22"/>
        </w:rPr>
        <w:t xml:space="preserve"> </w:t>
      </w:r>
      <w:r>
        <w:rPr>
          <w:szCs w:val="22"/>
        </w:rPr>
        <w:t xml:space="preserve">licensed earth stations </w:t>
      </w:r>
      <w:r w:rsidRPr="00A1103B">
        <w:rPr>
          <w:szCs w:val="22"/>
        </w:rPr>
        <w:t>are also monitored to ensure that their operator</w:t>
      </w:r>
      <w:r>
        <w:rPr>
          <w:szCs w:val="22"/>
        </w:rPr>
        <w:t>s</w:t>
      </w:r>
      <w:r w:rsidRPr="00A1103B">
        <w:rPr>
          <w:szCs w:val="22"/>
        </w:rPr>
        <w:t xml:space="preserve"> satisf</w:t>
      </w:r>
      <w:r>
        <w:rPr>
          <w:szCs w:val="22"/>
        </w:rPr>
        <w:t>y</w:t>
      </w:r>
      <w:r w:rsidRPr="00A1103B">
        <w:rPr>
          <w:szCs w:val="22"/>
        </w:rPr>
        <w:t xml:space="preserve"> </w:t>
      </w:r>
      <w:r w:rsidR="00A0250D" w:rsidRPr="00A1103B">
        <w:rPr>
          <w:szCs w:val="22"/>
        </w:rPr>
        <w:t>all conditions</w:t>
      </w:r>
      <w:r>
        <w:rPr>
          <w:szCs w:val="22"/>
        </w:rPr>
        <w:t xml:space="preserve"> placed on their grant of U.S. market access,</w:t>
      </w:r>
      <w:r w:rsidRPr="00A1103B">
        <w:rPr>
          <w:szCs w:val="22"/>
        </w:rPr>
        <w:t xml:space="preserve"> including space station implementation milestones and operational requirements, and </w:t>
      </w:r>
      <w:r>
        <w:rPr>
          <w:szCs w:val="22"/>
        </w:rPr>
        <w:t>are subject to enforcement a</w:t>
      </w:r>
      <w:r w:rsidRPr="00A1103B">
        <w:rPr>
          <w:szCs w:val="22"/>
        </w:rPr>
        <w:t>ction if the conditions are not met.  Despite the regulatory benefits provided by the Commission to non-U.S.</w:t>
      </w:r>
      <w:r w:rsidR="00C36D16">
        <w:rPr>
          <w:szCs w:val="22"/>
        </w:rPr>
        <w:t xml:space="preserve"> </w:t>
      </w:r>
      <w:r w:rsidRPr="00A1103B">
        <w:rPr>
          <w:szCs w:val="22"/>
        </w:rPr>
        <w:t>licensed satellite systems serving the United States they do not incur the regulatory fees (or application fees) paid by U.S.-licensed satellite systems.  As a result, U.S.-licensed space station operators</w:t>
      </w:r>
      <w:r w:rsidR="004D4943">
        <w:rPr>
          <w:szCs w:val="22"/>
        </w:rPr>
        <w:t>,</w:t>
      </w:r>
      <w:r w:rsidRPr="00A1103B">
        <w:rPr>
          <w:szCs w:val="22"/>
        </w:rPr>
        <w:t xml:space="preserve"> </w:t>
      </w:r>
      <w:r>
        <w:rPr>
          <w:szCs w:val="22"/>
        </w:rPr>
        <w:t>which</w:t>
      </w:r>
      <w:r w:rsidRPr="00A1103B">
        <w:rPr>
          <w:szCs w:val="22"/>
        </w:rPr>
        <w:t xml:space="preserve"> are assess</w:t>
      </w:r>
      <w:r w:rsidR="004D4943">
        <w:rPr>
          <w:szCs w:val="22"/>
        </w:rPr>
        <w:t>ed these fees by the Commission</w:t>
      </w:r>
      <w:r w:rsidRPr="00A1103B">
        <w:rPr>
          <w:szCs w:val="22"/>
        </w:rPr>
        <w:t xml:space="preserve"> and compete with the non-U.S.</w:t>
      </w:r>
      <w:r w:rsidR="00C36D16">
        <w:rPr>
          <w:szCs w:val="22"/>
        </w:rPr>
        <w:t xml:space="preserve"> </w:t>
      </w:r>
      <w:r w:rsidRPr="00A1103B">
        <w:rPr>
          <w:szCs w:val="22"/>
        </w:rPr>
        <w:t xml:space="preserve">licensed operators, may be at a competitive disadvantage.  </w:t>
      </w:r>
    </w:p>
    <w:p w:rsidR="00F6184B" w:rsidRDefault="00D847C2" w:rsidP="00547927">
      <w:pPr>
        <w:pStyle w:val="ParaNum"/>
        <w:tabs>
          <w:tab w:val="num" w:pos="1350"/>
        </w:tabs>
        <w:ind w:left="-90"/>
        <w:rPr>
          <w:szCs w:val="22"/>
        </w:rPr>
      </w:pPr>
      <w:r w:rsidRPr="00A1103B">
        <w:rPr>
          <w:szCs w:val="22"/>
        </w:rPr>
        <w:t xml:space="preserve">We therefore seek comment on whether regulatory fees should be assessed on non-U.S. </w:t>
      </w:r>
      <w:r>
        <w:rPr>
          <w:szCs w:val="22"/>
        </w:rPr>
        <w:t xml:space="preserve">licensed </w:t>
      </w:r>
      <w:r w:rsidRPr="00A1103B">
        <w:rPr>
          <w:szCs w:val="22"/>
        </w:rPr>
        <w:t>space station operators providing service in the United States.  Commenters should discuss whether the Commission should revisit the Commission’s 1999 conclusion that the regulatory fee category for Space Stations (Geostationary Orbit) and Space Stations (Non-Geostationary Orbit) in section 1.1156(a) of the Commission’s rules covers only Title III license holders.</w:t>
      </w:r>
      <w:r w:rsidRPr="00A1103B">
        <w:rPr>
          <w:rStyle w:val="FootnoteReference"/>
          <w:szCs w:val="22"/>
        </w:rPr>
        <w:footnoteReference w:id="85"/>
      </w:r>
      <w:r w:rsidRPr="00A1103B">
        <w:rPr>
          <w:szCs w:val="22"/>
        </w:rPr>
        <w:t xml:space="preserve">  Commenters that advocate assessing regulatory fees on non-U.S.</w:t>
      </w:r>
      <w:r w:rsidR="00C36D16">
        <w:rPr>
          <w:szCs w:val="22"/>
        </w:rPr>
        <w:t xml:space="preserve"> </w:t>
      </w:r>
      <w:r w:rsidRPr="00A1103B">
        <w:rPr>
          <w:szCs w:val="22"/>
        </w:rPr>
        <w:t xml:space="preserve">licensed </w:t>
      </w:r>
      <w:r>
        <w:rPr>
          <w:szCs w:val="22"/>
        </w:rPr>
        <w:t>space stations</w:t>
      </w:r>
      <w:r w:rsidRPr="00A1103B">
        <w:rPr>
          <w:szCs w:val="22"/>
        </w:rPr>
        <w:t xml:space="preserve"> providing service in the United States should propose how the fees should be calculated</w:t>
      </w:r>
      <w:r>
        <w:rPr>
          <w:szCs w:val="22"/>
        </w:rPr>
        <w:t xml:space="preserve"> and applied, particularly in instances where the non-U.S.</w:t>
      </w:r>
      <w:r w:rsidR="00C36D16">
        <w:rPr>
          <w:szCs w:val="22"/>
        </w:rPr>
        <w:t xml:space="preserve"> </w:t>
      </w:r>
      <w:r>
        <w:rPr>
          <w:szCs w:val="22"/>
        </w:rPr>
        <w:t>licensed space station operator accesses the U.S. market solely through an application by a U.S.-licensed earth station operator to list the non-U.S. licensed space station as a point of communication</w:t>
      </w:r>
      <w:r w:rsidRPr="00A1103B">
        <w:rPr>
          <w:szCs w:val="22"/>
        </w:rPr>
        <w:t xml:space="preserve">.  Commenters should </w:t>
      </w:r>
      <w:r>
        <w:rPr>
          <w:szCs w:val="22"/>
        </w:rPr>
        <w:t xml:space="preserve">also provide specific information as to </w:t>
      </w:r>
      <w:r w:rsidRPr="00A1103B">
        <w:rPr>
          <w:szCs w:val="22"/>
        </w:rPr>
        <w:t xml:space="preserve">whether other countries already assess regulatory fees </w:t>
      </w:r>
      <w:r>
        <w:rPr>
          <w:szCs w:val="22"/>
        </w:rPr>
        <w:t xml:space="preserve">in one form or another </w:t>
      </w:r>
      <w:r w:rsidRPr="00A1103B">
        <w:rPr>
          <w:szCs w:val="22"/>
        </w:rPr>
        <w:t>on U.S.</w:t>
      </w:r>
      <w:r w:rsidR="00C36D16">
        <w:rPr>
          <w:szCs w:val="22"/>
        </w:rPr>
        <w:t xml:space="preserve"> </w:t>
      </w:r>
      <w:r w:rsidRPr="00A1103B">
        <w:rPr>
          <w:szCs w:val="22"/>
        </w:rPr>
        <w:t xml:space="preserve">licensed satellite systems </w:t>
      </w:r>
      <w:r>
        <w:rPr>
          <w:szCs w:val="22"/>
        </w:rPr>
        <w:t>accessing their markets</w:t>
      </w:r>
      <w:r w:rsidRPr="00A1103B">
        <w:rPr>
          <w:szCs w:val="22"/>
        </w:rPr>
        <w:t>.</w:t>
      </w:r>
      <w:r w:rsidR="00AE5970">
        <w:rPr>
          <w:szCs w:val="22"/>
        </w:rPr>
        <w:t xml:space="preserve">  </w:t>
      </w:r>
      <w:r w:rsidR="00AE5970" w:rsidRPr="000C2FAD">
        <w:t>Would assessing regulatory fees on non-U.S. licensed space stations encourage foreign countries to assess such fees on U.S. licensed space stations?   If so, would that place U.S. licensed space stations at a competitive disadvantage in the marketplace?</w:t>
      </w:r>
    </w:p>
    <w:p w:rsidR="00F6184B" w:rsidRDefault="00D847C2" w:rsidP="00C5052D">
      <w:pPr>
        <w:pStyle w:val="Heading2"/>
        <w:rPr>
          <w:szCs w:val="22"/>
        </w:rPr>
      </w:pPr>
      <w:bookmarkStart w:id="178" w:name="_Toc353987737"/>
      <w:bookmarkStart w:id="179" w:name="_Toc353988058"/>
      <w:r w:rsidRPr="00A1103B">
        <w:rPr>
          <w:szCs w:val="22"/>
        </w:rPr>
        <w:t>Video Services</w:t>
      </w:r>
      <w:r>
        <w:rPr>
          <w:szCs w:val="22"/>
        </w:rPr>
        <w:t>--</w:t>
      </w:r>
      <w:r w:rsidRPr="00E87F30">
        <w:rPr>
          <w:szCs w:val="22"/>
        </w:rPr>
        <w:t>Direct Broadcast Satellite (DBS)</w:t>
      </w:r>
      <w:bookmarkEnd w:id="178"/>
      <w:bookmarkEnd w:id="179"/>
    </w:p>
    <w:p w:rsidR="00CE4A3B" w:rsidRPr="00CE4A3B" w:rsidRDefault="00CE4A3B" w:rsidP="00CE4A3B">
      <w:pPr>
        <w:pStyle w:val="ParaNum"/>
      </w:pPr>
      <w:r w:rsidRPr="00A1103B">
        <w:t xml:space="preserve">DBS programming is similar to cable services; </w:t>
      </w:r>
      <w:r>
        <w:t xml:space="preserve">it differs in that the </w:t>
      </w:r>
      <w:r w:rsidRPr="00A1103B">
        <w:t xml:space="preserve">programming is not </w:t>
      </w:r>
      <w:r>
        <w:t>transmitted terrestrially by cable but instead by s</w:t>
      </w:r>
      <w:r w:rsidRPr="00A1103B">
        <w:t xml:space="preserve">atellites stationed in geosynchronous orbit.  DBS operators are considered multichannel video programming distributors (MVPDs), </w:t>
      </w:r>
      <w:r>
        <w:t>pursuant to</w:t>
      </w:r>
      <w:r w:rsidRPr="00A1103B">
        <w:t xml:space="preserve"> section 522(13) of the Act.</w:t>
      </w:r>
      <w:r w:rsidRPr="00A1103B">
        <w:rPr>
          <w:rStyle w:val="FootnoteReference"/>
          <w:szCs w:val="22"/>
        </w:rPr>
        <w:footnoteReference w:id="86"/>
      </w:r>
      <w:r w:rsidRPr="00A1103B">
        <w:t xml:space="preserve">  DBS operators are licensed as geostationary satellite operators and currently pay a per-geostationary orbit (GSO) satellite regulatory fee but do not pay a per-subscriber regulatory fee.</w:t>
      </w:r>
      <w:r w:rsidRPr="00A1103B">
        <w:rPr>
          <w:rStyle w:val="FootnoteReference"/>
          <w:szCs w:val="22"/>
        </w:rPr>
        <w:footnoteReference w:id="87"/>
      </w:r>
      <w:r w:rsidRPr="00A1103B">
        <w:t xml:space="preserve">  We seek comment on whether </w:t>
      </w:r>
      <w:r>
        <w:t xml:space="preserve">regulatory fees paid by </w:t>
      </w:r>
      <w:r w:rsidRPr="00A1103B">
        <w:t xml:space="preserve">DBS providers should be </w:t>
      </w:r>
      <w:r>
        <w:t xml:space="preserve">calculated </w:t>
      </w:r>
      <w:r w:rsidRPr="00A1103B">
        <w:t xml:space="preserve">on the same basis as cable television system operators and cable antenna relay system licensees, based on Media Bureau FTEs.  </w:t>
      </w:r>
      <w:r>
        <w:t xml:space="preserve">In this regard, we note that there are regulatory similarities between these providers; for example, </w:t>
      </w:r>
      <w:r w:rsidRPr="00A1103B">
        <w:t>DBS providers may file program access complaints</w:t>
      </w:r>
      <w:r w:rsidRPr="00A1103B">
        <w:rPr>
          <w:rStyle w:val="FootnoteReference"/>
          <w:szCs w:val="22"/>
        </w:rPr>
        <w:footnoteReference w:id="88"/>
      </w:r>
      <w:r>
        <w:t xml:space="preserve"> and </w:t>
      </w:r>
      <w:r w:rsidRPr="00A1103B">
        <w:t>complaints seeking relief under the retransmission consent good faith rules</w:t>
      </w:r>
      <w:r>
        <w:t>;</w:t>
      </w:r>
      <w:r w:rsidRPr="00A1103B">
        <w:rPr>
          <w:rStyle w:val="FootnoteReference"/>
          <w:szCs w:val="22"/>
        </w:rPr>
        <w:footnoteReference w:id="89"/>
      </w:r>
      <w:r w:rsidRPr="00A1103B">
        <w:t xml:space="preserve"> </w:t>
      </w:r>
      <w:r>
        <w:t xml:space="preserve">and they </w:t>
      </w:r>
      <w:r w:rsidRPr="00A1103B">
        <w:t>must comply with the Commercial Advertisement Loudness Mitigation Act (CALM Act),</w:t>
      </w:r>
      <w:r w:rsidRPr="00A1103B">
        <w:rPr>
          <w:rStyle w:val="FootnoteReference"/>
          <w:szCs w:val="22"/>
        </w:rPr>
        <w:footnoteReference w:id="90"/>
      </w:r>
      <w:r w:rsidRPr="00A1103B">
        <w:t xml:space="preserve"> the Twenty-First Century Video Accessibility Act (CVAA),</w:t>
      </w:r>
      <w:r w:rsidRPr="00A1103B">
        <w:rPr>
          <w:rStyle w:val="FootnoteReference"/>
          <w:szCs w:val="22"/>
        </w:rPr>
        <w:footnoteReference w:id="91"/>
      </w:r>
      <w:r w:rsidRPr="00A1103B">
        <w:t xml:space="preserve"> </w:t>
      </w:r>
      <w:r>
        <w:t xml:space="preserve">and the closed </w:t>
      </w:r>
      <w:r w:rsidRPr="00A1103B">
        <w:t>captioning and video description rules.</w:t>
      </w:r>
    </w:p>
    <w:p w:rsidR="00F6184B" w:rsidRDefault="00D847C2" w:rsidP="00547927">
      <w:pPr>
        <w:pStyle w:val="ParaNum"/>
        <w:tabs>
          <w:tab w:val="num" w:pos="1350"/>
        </w:tabs>
        <w:ind w:left="-90"/>
        <w:rPr>
          <w:szCs w:val="22"/>
        </w:rPr>
      </w:pPr>
      <w:r>
        <w:rPr>
          <w:szCs w:val="22"/>
        </w:rPr>
        <w:t xml:space="preserve">There are </w:t>
      </w:r>
      <w:r w:rsidR="00ED7636">
        <w:rPr>
          <w:szCs w:val="22"/>
        </w:rPr>
        <w:t xml:space="preserve">also </w:t>
      </w:r>
      <w:r>
        <w:rPr>
          <w:szCs w:val="22"/>
        </w:rPr>
        <w:t>r</w:t>
      </w:r>
      <w:r w:rsidRPr="00A1103B">
        <w:rPr>
          <w:szCs w:val="22"/>
        </w:rPr>
        <w:t>egulatory differences between cable operators and DBS operators</w:t>
      </w:r>
      <w:r>
        <w:rPr>
          <w:szCs w:val="22"/>
        </w:rPr>
        <w:t>, however</w:t>
      </w:r>
      <w:r w:rsidRPr="00A1103B">
        <w:rPr>
          <w:szCs w:val="22"/>
        </w:rPr>
        <w:t xml:space="preserve">.  There are only two DBS operators in the Nation, while there are 1,141 cable operators and 6,635 cable systems.  Each cable operator must keep certain records for each of </w:t>
      </w:r>
      <w:r>
        <w:rPr>
          <w:szCs w:val="22"/>
        </w:rPr>
        <w:t>its</w:t>
      </w:r>
      <w:r w:rsidRPr="00A1103B">
        <w:rPr>
          <w:szCs w:val="22"/>
        </w:rPr>
        <w:t xml:space="preserve"> cable systems; e.g., Political,</w:t>
      </w:r>
      <w:r w:rsidRPr="00A1103B">
        <w:rPr>
          <w:rStyle w:val="FootnoteReference"/>
          <w:szCs w:val="22"/>
        </w:rPr>
        <w:footnoteReference w:id="92"/>
      </w:r>
      <w:r w:rsidRPr="00A1103B">
        <w:rPr>
          <w:szCs w:val="22"/>
        </w:rPr>
        <w:t xml:space="preserve"> E</w:t>
      </w:r>
      <w:r w:rsidR="00830024">
        <w:rPr>
          <w:szCs w:val="22"/>
        </w:rPr>
        <w:t>qual Employment Opportunity</w:t>
      </w:r>
      <w:r w:rsidRPr="00A1103B">
        <w:rPr>
          <w:szCs w:val="22"/>
        </w:rPr>
        <w:t>,</w:t>
      </w:r>
      <w:r w:rsidRPr="00A1103B">
        <w:rPr>
          <w:rStyle w:val="FootnoteReference"/>
          <w:szCs w:val="22"/>
        </w:rPr>
        <w:footnoteReference w:id="93"/>
      </w:r>
      <w:r w:rsidRPr="00A1103B">
        <w:rPr>
          <w:szCs w:val="22"/>
        </w:rPr>
        <w:t xml:space="preserve"> </w:t>
      </w:r>
      <w:r w:rsidR="00830024">
        <w:rPr>
          <w:szCs w:val="22"/>
        </w:rPr>
        <w:t>Commercial Records on Children’s Programs</w:t>
      </w:r>
      <w:r w:rsidRPr="00A1103B">
        <w:rPr>
          <w:szCs w:val="22"/>
        </w:rPr>
        <w:t>,</w:t>
      </w:r>
      <w:r w:rsidRPr="00A1103B">
        <w:rPr>
          <w:rStyle w:val="FootnoteReference"/>
          <w:szCs w:val="22"/>
        </w:rPr>
        <w:footnoteReference w:id="94"/>
      </w:r>
      <w:r w:rsidRPr="00A1103B">
        <w:rPr>
          <w:szCs w:val="22"/>
        </w:rPr>
        <w:t xml:space="preserve"> Proof-of-Performance Test Data,</w:t>
      </w:r>
      <w:r w:rsidRPr="00A1103B">
        <w:rPr>
          <w:rStyle w:val="FootnoteReference"/>
          <w:szCs w:val="22"/>
        </w:rPr>
        <w:footnoteReference w:id="95"/>
      </w:r>
      <w:r w:rsidRPr="00A1103B">
        <w:rPr>
          <w:szCs w:val="22"/>
        </w:rPr>
        <w:t xml:space="preserve"> Signal Leakage Logs and Repair Records,</w:t>
      </w:r>
      <w:r w:rsidRPr="00A1103B">
        <w:rPr>
          <w:rStyle w:val="FootnoteReference"/>
          <w:szCs w:val="22"/>
        </w:rPr>
        <w:footnoteReference w:id="96"/>
      </w:r>
      <w:r w:rsidRPr="00A1103B">
        <w:rPr>
          <w:szCs w:val="22"/>
        </w:rPr>
        <w:t xml:space="preserve"> Aeronautical Notifications,</w:t>
      </w:r>
      <w:r w:rsidRPr="00A1103B">
        <w:rPr>
          <w:rStyle w:val="FootnoteReference"/>
          <w:szCs w:val="22"/>
        </w:rPr>
        <w:footnoteReference w:id="97"/>
      </w:r>
      <w:r w:rsidRPr="00A1103B">
        <w:rPr>
          <w:szCs w:val="22"/>
        </w:rPr>
        <w:t xml:space="preserve"> Leased Access</w:t>
      </w:r>
      <w:r>
        <w:rPr>
          <w:szCs w:val="22"/>
        </w:rPr>
        <w:t>,</w:t>
      </w:r>
      <w:r w:rsidRPr="00A1103B">
        <w:rPr>
          <w:rStyle w:val="FootnoteReference"/>
          <w:szCs w:val="22"/>
        </w:rPr>
        <w:footnoteReference w:id="98"/>
      </w:r>
      <w:r w:rsidRPr="00A1103B">
        <w:rPr>
          <w:szCs w:val="22"/>
        </w:rPr>
        <w:t xml:space="preserve">  Principal Headend </w:t>
      </w:r>
      <w:r>
        <w:rPr>
          <w:szCs w:val="22"/>
        </w:rPr>
        <w:t>Location</w:t>
      </w:r>
      <w:r w:rsidRPr="00A1103B">
        <w:rPr>
          <w:szCs w:val="22"/>
        </w:rPr>
        <w:t>,</w:t>
      </w:r>
      <w:r w:rsidRPr="00A1103B">
        <w:rPr>
          <w:rStyle w:val="FootnoteReference"/>
          <w:szCs w:val="22"/>
        </w:rPr>
        <w:footnoteReference w:id="99"/>
      </w:r>
      <w:r w:rsidRPr="00A1103B">
        <w:rPr>
          <w:szCs w:val="22"/>
        </w:rPr>
        <w:t xml:space="preserve"> Availability</w:t>
      </w:r>
      <w:r w:rsidR="00830024">
        <w:rPr>
          <w:szCs w:val="22"/>
        </w:rPr>
        <w:t xml:space="preserve"> of </w:t>
      </w:r>
      <w:r w:rsidRPr="00A1103B">
        <w:rPr>
          <w:szCs w:val="22"/>
        </w:rPr>
        <w:t>Signals,</w:t>
      </w:r>
      <w:r w:rsidRPr="00A1103B">
        <w:rPr>
          <w:rStyle w:val="FootnoteReference"/>
          <w:szCs w:val="22"/>
        </w:rPr>
        <w:footnoteReference w:id="100"/>
      </w:r>
      <w:r w:rsidRPr="00A1103B">
        <w:rPr>
          <w:szCs w:val="22"/>
        </w:rPr>
        <w:t xml:space="preserve"> Operator Interests in Video Programming,</w:t>
      </w:r>
      <w:r w:rsidRPr="00A1103B">
        <w:rPr>
          <w:rStyle w:val="FootnoteReference"/>
          <w:szCs w:val="22"/>
        </w:rPr>
        <w:footnoteReference w:id="101"/>
      </w:r>
      <w:r w:rsidRPr="00A1103B">
        <w:rPr>
          <w:szCs w:val="22"/>
        </w:rPr>
        <w:t xml:space="preserve"> Emergency Alert System </w:t>
      </w:r>
      <w:r w:rsidR="00830024">
        <w:rPr>
          <w:szCs w:val="22"/>
        </w:rPr>
        <w:t>Tests and Activation</w:t>
      </w:r>
      <w:r w:rsidRPr="00A1103B">
        <w:rPr>
          <w:szCs w:val="22"/>
        </w:rPr>
        <w:t>,</w:t>
      </w:r>
      <w:r w:rsidRPr="00A1103B">
        <w:rPr>
          <w:rStyle w:val="FootnoteReference"/>
          <w:szCs w:val="22"/>
        </w:rPr>
        <w:footnoteReference w:id="102"/>
      </w:r>
      <w:r w:rsidRPr="00A1103B">
        <w:rPr>
          <w:szCs w:val="22"/>
        </w:rPr>
        <w:t xml:space="preserve">  Complaint Resolution,</w:t>
      </w:r>
      <w:r w:rsidRPr="00A1103B">
        <w:rPr>
          <w:rStyle w:val="FootnoteReference"/>
          <w:szCs w:val="22"/>
        </w:rPr>
        <w:footnoteReference w:id="103"/>
      </w:r>
      <w:r w:rsidR="002151AC">
        <w:rPr>
          <w:szCs w:val="22"/>
        </w:rPr>
        <w:t xml:space="preserve">  Regulatory</w:t>
      </w:r>
      <w:r w:rsidRPr="00A1103B">
        <w:rPr>
          <w:szCs w:val="22"/>
        </w:rPr>
        <w:t>,</w:t>
      </w:r>
      <w:r w:rsidRPr="00A1103B">
        <w:rPr>
          <w:rStyle w:val="FootnoteReference"/>
          <w:szCs w:val="22"/>
        </w:rPr>
        <w:footnoteReference w:id="104"/>
      </w:r>
      <w:r w:rsidRPr="00A1103B">
        <w:rPr>
          <w:szCs w:val="22"/>
        </w:rPr>
        <w:t xml:space="preserve"> and the Sponsorship Identification</w:t>
      </w:r>
      <w:r w:rsidR="002151AC">
        <w:rPr>
          <w:szCs w:val="22"/>
        </w:rPr>
        <w:t>.</w:t>
      </w:r>
      <w:r w:rsidRPr="00A1103B">
        <w:rPr>
          <w:rStyle w:val="FootnoteReference"/>
          <w:szCs w:val="22"/>
        </w:rPr>
        <w:footnoteReference w:id="105"/>
      </w:r>
      <w:r w:rsidRPr="00A1103B">
        <w:rPr>
          <w:szCs w:val="22"/>
        </w:rPr>
        <w:t xml:space="preserve">  (DBS operators also are required to keep </w:t>
      </w:r>
      <w:r w:rsidR="002151AC">
        <w:rPr>
          <w:szCs w:val="22"/>
        </w:rPr>
        <w:t>P</w:t>
      </w:r>
      <w:r w:rsidRPr="00A1103B">
        <w:rPr>
          <w:szCs w:val="22"/>
        </w:rPr>
        <w:t xml:space="preserve">olitical, </w:t>
      </w:r>
      <w:r w:rsidR="002151AC">
        <w:rPr>
          <w:szCs w:val="22"/>
        </w:rPr>
        <w:t>Equal Employment Opportunity</w:t>
      </w:r>
      <w:r w:rsidRPr="00A1103B">
        <w:rPr>
          <w:szCs w:val="22"/>
        </w:rPr>
        <w:t xml:space="preserve">, </w:t>
      </w:r>
      <w:r w:rsidR="002151AC">
        <w:rPr>
          <w:szCs w:val="22"/>
        </w:rPr>
        <w:t>Commercial Records on Children’s Programs</w:t>
      </w:r>
      <w:r w:rsidR="002151AC" w:rsidRPr="00A1103B">
        <w:rPr>
          <w:szCs w:val="22"/>
        </w:rPr>
        <w:t xml:space="preserve"> </w:t>
      </w:r>
      <w:r w:rsidR="002151AC">
        <w:rPr>
          <w:szCs w:val="22"/>
        </w:rPr>
        <w:t>f</w:t>
      </w:r>
      <w:r w:rsidRPr="00A1103B">
        <w:rPr>
          <w:szCs w:val="22"/>
        </w:rPr>
        <w:t xml:space="preserve">iles, and </w:t>
      </w:r>
      <w:r w:rsidR="002151AC" w:rsidRPr="00A1103B">
        <w:rPr>
          <w:szCs w:val="22"/>
        </w:rPr>
        <w:t xml:space="preserve">Emergency Alert System </w:t>
      </w:r>
      <w:r w:rsidR="002151AC">
        <w:rPr>
          <w:szCs w:val="22"/>
        </w:rPr>
        <w:t>Tests and Activation files</w:t>
      </w:r>
      <w:r w:rsidRPr="00A1103B">
        <w:rPr>
          <w:szCs w:val="22"/>
        </w:rPr>
        <w:t>.)</w:t>
      </w:r>
    </w:p>
    <w:p w:rsidR="00F6184B" w:rsidRDefault="00D847C2" w:rsidP="00547927">
      <w:pPr>
        <w:pStyle w:val="ParaNum"/>
        <w:tabs>
          <w:tab w:val="num" w:pos="1350"/>
        </w:tabs>
        <w:ind w:left="-90"/>
        <w:rPr>
          <w:szCs w:val="22"/>
        </w:rPr>
      </w:pPr>
      <w:r w:rsidRPr="00A1103B">
        <w:rPr>
          <w:szCs w:val="22"/>
        </w:rPr>
        <w:t xml:space="preserve"> For FY 2012, cable service providers paid approximately $0.95 per subscriber in regulatory fees.</w:t>
      </w:r>
      <w:r w:rsidRPr="00A1103B">
        <w:rPr>
          <w:rStyle w:val="FootnoteReference"/>
          <w:szCs w:val="22"/>
        </w:rPr>
        <w:footnoteReference w:id="106"/>
      </w:r>
      <w:r w:rsidRPr="00A1103B">
        <w:rPr>
          <w:szCs w:val="22"/>
        </w:rPr>
        <w:t xml:space="preserve">  The two DBS providers, DirectTV and DISH Network, paid much lower regulatory fees on a per subscriber basis, and their regulatory fees were based on International Bureau FTEs, not Media Bureau FTEs.  We seek comment on whether the DBS providers should instead pay regulatory fees that are comparable to the regulatory fees paid by cable service providers; i.e., based on the Media Bureau FTEs.  </w:t>
      </w:r>
      <w:r w:rsidR="009A78B4">
        <w:rPr>
          <w:szCs w:val="22"/>
        </w:rPr>
        <w:t>To that end</w:t>
      </w:r>
      <w:r w:rsidR="00AE5970" w:rsidRPr="00C40FFC">
        <w:rPr>
          <w:szCs w:val="22"/>
        </w:rPr>
        <w:t xml:space="preserve">, because </w:t>
      </w:r>
      <w:r w:rsidR="00AE5970" w:rsidRPr="00C40FFC">
        <w:rPr>
          <w:color w:val="000000"/>
          <w:szCs w:val="22"/>
        </w:rPr>
        <w:t>DBS providers benefit directly from the work not only of the International Bureau, but also the Media Bureau, should a portion of Media Bureau FTEs be allocated to DBS providers?</w:t>
      </w:r>
      <w:r w:rsidR="00AE5970">
        <w:rPr>
          <w:color w:val="000000"/>
          <w:szCs w:val="22"/>
        </w:rPr>
        <w:t xml:space="preserve">  </w:t>
      </w:r>
      <w:r w:rsidR="009A78B4">
        <w:rPr>
          <w:color w:val="000000"/>
          <w:szCs w:val="22"/>
        </w:rPr>
        <w:t xml:space="preserve">Or is there some alternative way to more fairly assess regulatory fees to DBS and cable providers?  </w:t>
      </w:r>
      <w:r w:rsidRPr="00A1103B">
        <w:rPr>
          <w:szCs w:val="22"/>
        </w:rPr>
        <w:t>Commenters should also discuss whether we should require both DBS and cable operators to pay regulatory fees based on revenues, and, if so, how we would collect revenue information from these entities.</w:t>
      </w:r>
    </w:p>
    <w:p w:rsidR="00F6184B" w:rsidRDefault="009E079D" w:rsidP="00C5052D">
      <w:pPr>
        <w:pStyle w:val="Heading2"/>
      </w:pPr>
      <w:bookmarkStart w:id="180" w:name="_Toc353987738"/>
      <w:bookmarkStart w:id="181" w:name="_Toc353988059"/>
      <w:r>
        <w:t>Other</w:t>
      </w:r>
      <w:r w:rsidRPr="00B32272">
        <w:t xml:space="preserve"> </w:t>
      </w:r>
      <w:r w:rsidR="00D847C2" w:rsidRPr="00B32272">
        <w:t>Services</w:t>
      </w:r>
      <w:bookmarkEnd w:id="180"/>
      <w:bookmarkEnd w:id="181"/>
    </w:p>
    <w:p w:rsidR="00F6184B" w:rsidRDefault="009E079D" w:rsidP="00547927">
      <w:pPr>
        <w:pStyle w:val="ParaNum"/>
        <w:tabs>
          <w:tab w:val="num" w:pos="1350"/>
        </w:tabs>
        <w:ind w:left="-90"/>
      </w:pPr>
      <w:r w:rsidRPr="00D5378C">
        <w:rPr>
          <w:snapToGrid/>
          <w:kern w:val="0"/>
          <w:szCs w:val="22"/>
        </w:rPr>
        <w:t>Should additional regulatory fee categories</w:t>
      </w:r>
      <w:r>
        <w:rPr>
          <w:snapToGrid/>
          <w:kern w:val="0"/>
          <w:szCs w:val="22"/>
        </w:rPr>
        <w:t xml:space="preserve"> </w:t>
      </w:r>
      <w:r w:rsidRPr="00D5378C">
        <w:rPr>
          <w:snapToGrid/>
          <w:kern w:val="0"/>
          <w:szCs w:val="22"/>
        </w:rPr>
        <w:t>be added to the regulatory fee schedule set forth in section 9</w:t>
      </w:r>
      <w:r w:rsidRPr="00D5378C">
        <w:rPr>
          <w:bCs/>
          <w:snapToGrid/>
          <w:kern w:val="0"/>
          <w:szCs w:val="22"/>
        </w:rPr>
        <w:t>?</w:t>
      </w:r>
      <w:r w:rsidRPr="00D5378C">
        <w:rPr>
          <w:snapToGrid/>
          <w:kern w:val="0"/>
          <w:szCs w:val="22"/>
        </w:rPr>
        <w:t xml:space="preserve"> </w:t>
      </w:r>
      <w:r>
        <w:rPr>
          <w:snapToGrid/>
          <w:kern w:val="0"/>
          <w:szCs w:val="22"/>
        </w:rPr>
        <w:t xml:space="preserve"> </w:t>
      </w:r>
      <w:r w:rsidR="00F416BE">
        <w:rPr>
          <w:snapToGrid/>
          <w:kern w:val="0"/>
          <w:szCs w:val="22"/>
        </w:rPr>
        <w:t xml:space="preserve">If so, what </w:t>
      </w:r>
      <w:r w:rsidR="00ED0381">
        <w:rPr>
          <w:snapToGrid/>
          <w:kern w:val="0"/>
          <w:szCs w:val="22"/>
        </w:rPr>
        <w:t>categories should be added, and why</w:t>
      </w:r>
      <w:r w:rsidR="00F416BE">
        <w:rPr>
          <w:snapToGrid/>
          <w:kern w:val="0"/>
          <w:szCs w:val="22"/>
        </w:rPr>
        <w:t>?</w:t>
      </w:r>
      <w:r w:rsidR="00F416BE">
        <w:rPr>
          <w:rStyle w:val="FootnoteReference"/>
          <w:snapToGrid/>
          <w:kern w:val="0"/>
          <w:szCs w:val="22"/>
        </w:rPr>
        <w:footnoteReference w:id="107"/>
      </w:r>
      <w:r w:rsidR="00F416BE">
        <w:rPr>
          <w:snapToGrid/>
          <w:kern w:val="0"/>
          <w:szCs w:val="22"/>
        </w:rPr>
        <w:t xml:space="preserve"> </w:t>
      </w:r>
      <w:r w:rsidR="00ED0381">
        <w:rPr>
          <w:snapToGrid/>
          <w:kern w:val="0"/>
          <w:szCs w:val="22"/>
        </w:rPr>
        <w:t xml:space="preserve">  </w:t>
      </w:r>
      <w:r w:rsidR="00ED0381" w:rsidRPr="00D5378C">
        <w:rPr>
          <w:szCs w:val="22"/>
        </w:rPr>
        <w:t>To the extent that </w:t>
      </w:r>
      <w:r w:rsidR="00ED0381" w:rsidRPr="00D5378C">
        <w:rPr>
          <w:bCs/>
          <w:szCs w:val="22"/>
        </w:rPr>
        <w:t>licensees offer services that are regulated by more than one core bureau</w:t>
      </w:r>
      <w:r w:rsidR="00ED0381" w:rsidRPr="00D5378C">
        <w:rPr>
          <w:szCs w:val="22"/>
        </w:rPr>
        <w:t>, how would the addition of new fee categories affect the allocation of FTEs by core bureau?</w:t>
      </w:r>
      <w:r w:rsidR="00DB7C2C">
        <w:rPr>
          <w:szCs w:val="22"/>
          <w:highlight w:val="yellow"/>
        </w:rPr>
        <w:t xml:space="preserve">  </w:t>
      </w:r>
      <w:r w:rsidR="00E91212">
        <w:rPr>
          <w:szCs w:val="22"/>
          <w:highlight w:val="yellow"/>
        </w:rPr>
        <w:t xml:space="preserve"> </w:t>
      </w:r>
      <w:r w:rsidR="00DB7C2C">
        <w:rPr>
          <w:szCs w:val="22"/>
        </w:rPr>
        <w:t xml:space="preserve">  </w:t>
      </w:r>
    </w:p>
    <w:p w:rsidR="00863A53" w:rsidRPr="00A1103B" w:rsidRDefault="00863A53" w:rsidP="00836FF4">
      <w:pPr>
        <w:pStyle w:val="Heading1"/>
        <w:widowControl/>
        <w:rPr>
          <w:szCs w:val="22"/>
        </w:rPr>
      </w:pPr>
      <w:bookmarkStart w:id="182" w:name="_Toc351484775"/>
      <w:bookmarkStart w:id="183" w:name="_Toc351484821"/>
      <w:bookmarkStart w:id="184" w:name="_Toc351484963"/>
      <w:bookmarkStart w:id="185" w:name="_Toc351571072"/>
      <w:bookmarkStart w:id="186" w:name="_Toc353032062"/>
      <w:bookmarkStart w:id="187" w:name="_Toc351572436"/>
      <w:bookmarkStart w:id="188" w:name="_Toc352943195"/>
      <w:bookmarkStart w:id="189" w:name="_Toc352943644"/>
      <w:bookmarkStart w:id="190" w:name="_Toc353987739"/>
      <w:bookmarkStart w:id="191" w:name="_Toc353988060"/>
      <w:bookmarkEnd w:id="162"/>
      <w:bookmarkEnd w:id="163"/>
      <w:bookmarkEnd w:id="164"/>
      <w:bookmarkEnd w:id="165"/>
      <w:r w:rsidRPr="00A1103B">
        <w:rPr>
          <w:szCs w:val="22"/>
        </w:rPr>
        <w:t>Conclusion</w:t>
      </w:r>
      <w:bookmarkEnd w:id="182"/>
      <w:bookmarkEnd w:id="183"/>
      <w:bookmarkEnd w:id="184"/>
      <w:bookmarkEnd w:id="185"/>
      <w:bookmarkEnd w:id="186"/>
      <w:bookmarkEnd w:id="187"/>
      <w:bookmarkEnd w:id="188"/>
      <w:bookmarkEnd w:id="189"/>
      <w:bookmarkEnd w:id="190"/>
      <w:bookmarkEnd w:id="191"/>
    </w:p>
    <w:p w:rsidR="00F6184B" w:rsidRDefault="00394CA7" w:rsidP="00547927">
      <w:pPr>
        <w:pStyle w:val="ParaNum"/>
        <w:tabs>
          <w:tab w:val="num" w:pos="1350"/>
        </w:tabs>
        <w:ind w:left="-90"/>
        <w:rPr>
          <w:szCs w:val="22"/>
        </w:rPr>
      </w:pPr>
      <w:r w:rsidRPr="00A1103B">
        <w:rPr>
          <w:szCs w:val="22"/>
        </w:rPr>
        <w:t xml:space="preserve">We are confident the </w:t>
      </w:r>
      <w:r w:rsidRPr="00A1103B">
        <w:rPr>
          <w:i/>
          <w:szCs w:val="22"/>
        </w:rPr>
        <w:t>FY 2013 NPRM</w:t>
      </w:r>
      <w:r w:rsidRPr="00A1103B">
        <w:rPr>
          <w:szCs w:val="22"/>
        </w:rPr>
        <w:t xml:space="preserve"> and </w:t>
      </w:r>
      <w:r w:rsidRPr="00A1103B">
        <w:rPr>
          <w:i/>
          <w:szCs w:val="22"/>
        </w:rPr>
        <w:t>FNPRM</w:t>
      </w:r>
      <w:r w:rsidRPr="00A1103B">
        <w:rPr>
          <w:szCs w:val="22"/>
        </w:rPr>
        <w:t xml:space="preserve"> propose a portfolio of options to achieve our goal for revising the regulatory fee schedule in order to fairly address the changing and converging communications industry, changes in the Commission’s regulatory processes since established in 1994, and the recommendations in the GAO Report.  We invite and encourage interest</w:t>
      </w:r>
      <w:r w:rsidR="009C348B">
        <w:rPr>
          <w:szCs w:val="22"/>
        </w:rPr>
        <w:t>ed</w:t>
      </w:r>
      <w:r w:rsidRPr="00A1103B">
        <w:rPr>
          <w:szCs w:val="22"/>
        </w:rPr>
        <w:t xml:space="preserve"> parties to submit comments in response to numerous proposals discussed above so that a robust record is created to better inform the Commission as it examines reforming the regulatory fee structure.</w:t>
      </w:r>
    </w:p>
    <w:p w:rsidR="00EE6CEB" w:rsidRDefault="00976A7D" w:rsidP="00547927">
      <w:pPr>
        <w:pStyle w:val="Heading1"/>
        <w:widowControl/>
        <w:rPr>
          <w:szCs w:val="22"/>
        </w:rPr>
      </w:pPr>
      <w:r>
        <w:rPr>
          <w:szCs w:val="22"/>
        </w:rPr>
        <w:t>procedural matters</w:t>
      </w:r>
    </w:p>
    <w:p w:rsidR="00863A53" w:rsidRPr="00A1103B" w:rsidRDefault="00863A53" w:rsidP="00A1103B">
      <w:pPr>
        <w:pStyle w:val="ParaNum"/>
        <w:numPr>
          <w:ilvl w:val="0"/>
          <w:numId w:val="0"/>
        </w:numPr>
        <w:ind w:left="630"/>
        <w:rPr>
          <w:szCs w:val="22"/>
        </w:rPr>
      </w:pPr>
      <w:r w:rsidRPr="00A1103B">
        <w:rPr>
          <w:b/>
          <w:szCs w:val="22"/>
        </w:rPr>
        <w:t>A</w:t>
      </w:r>
      <w:r w:rsidRPr="00A1103B">
        <w:rPr>
          <w:szCs w:val="22"/>
        </w:rPr>
        <w:t>.</w:t>
      </w:r>
      <w:r w:rsidRPr="00A1103B">
        <w:rPr>
          <w:szCs w:val="22"/>
        </w:rPr>
        <w:tab/>
      </w:r>
      <w:r w:rsidRPr="00A1103B">
        <w:rPr>
          <w:b/>
          <w:szCs w:val="22"/>
        </w:rPr>
        <w:t>Initial Regulatory Flexibility Analysis</w:t>
      </w:r>
    </w:p>
    <w:p w:rsidR="00831057" w:rsidRPr="00831057" w:rsidRDefault="00863A53" w:rsidP="00831057">
      <w:pPr>
        <w:pStyle w:val="ParaNum"/>
        <w:widowControl/>
        <w:tabs>
          <w:tab w:val="num" w:pos="1350"/>
        </w:tabs>
        <w:ind w:left="-90"/>
        <w:rPr>
          <w:b/>
          <w:szCs w:val="22"/>
        </w:rPr>
      </w:pPr>
      <w:r w:rsidRPr="00831057">
        <w:rPr>
          <w:szCs w:val="22"/>
        </w:rPr>
        <w:t xml:space="preserve">An initial regulatory flexibility analysis (IRFA) is contained in Attachment </w:t>
      </w:r>
      <w:r w:rsidR="00102ECE" w:rsidRPr="00831057">
        <w:rPr>
          <w:szCs w:val="22"/>
        </w:rPr>
        <w:t>E</w:t>
      </w:r>
      <w:r w:rsidRPr="00831057">
        <w:rPr>
          <w:szCs w:val="22"/>
        </w:rPr>
        <w:t>. Comments to the IRFA must be identified as responses to the IRFA and filed by the deadlines for comments on the N</w:t>
      </w:r>
      <w:r w:rsidR="0099197F" w:rsidRPr="00831057">
        <w:rPr>
          <w:szCs w:val="22"/>
        </w:rPr>
        <w:t>PRM and Further Notice</w:t>
      </w:r>
      <w:r w:rsidRPr="00831057">
        <w:rPr>
          <w:szCs w:val="22"/>
        </w:rPr>
        <w:t xml:space="preserve">.  The Commission will send a copy of the </w:t>
      </w:r>
      <w:r w:rsidR="0099197F" w:rsidRPr="00831057">
        <w:rPr>
          <w:szCs w:val="22"/>
        </w:rPr>
        <w:t xml:space="preserve">NPRM and the </w:t>
      </w:r>
      <w:r w:rsidRPr="00831057">
        <w:rPr>
          <w:szCs w:val="22"/>
        </w:rPr>
        <w:t>Further Notice, including the IRFA, to the Chief Counsel for Advocacy of the Small Business Administration.</w:t>
      </w:r>
    </w:p>
    <w:p w:rsidR="00863A53" w:rsidRPr="00A1103B" w:rsidRDefault="00863A53" w:rsidP="00A1103B">
      <w:pPr>
        <w:pStyle w:val="ParaNum"/>
        <w:numPr>
          <w:ilvl w:val="0"/>
          <w:numId w:val="0"/>
        </w:numPr>
        <w:ind w:left="630"/>
        <w:rPr>
          <w:b/>
          <w:szCs w:val="22"/>
        </w:rPr>
      </w:pPr>
      <w:r w:rsidRPr="00A1103B">
        <w:rPr>
          <w:b/>
          <w:szCs w:val="22"/>
        </w:rPr>
        <w:t>B.</w:t>
      </w:r>
      <w:r w:rsidRPr="00A1103B">
        <w:rPr>
          <w:b/>
          <w:szCs w:val="22"/>
        </w:rPr>
        <w:tab/>
        <w:t>Initial Paperwork Reduction Act of 1995 Analysis</w:t>
      </w:r>
    </w:p>
    <w:p w:rsidR="00F6184B" w:rsidRDefault="00863A53" w:rsidP="00547927">
      <w:pPr>
        <w:pStyle w:val="ParaNum"/>
        <w:tabs>
          <w:tab w:val="num" w:pos="1350"/>
        </w:tabs>
        <w:ind w:left="-90"/>
        <w:rPr>
          <w:szCs w:val="22"/>
        </w:rPr>
      </w:pPr>
      <w:r w:rsidRPr="00A1103B">
        <w:rPr>
          <w:szCs w:val="22"/>
        </w:rPr>
        <w:t xml:space="preserve">This document solicits possible proposed information collection requirements. The Commission, as part of its continuing effort to reduce paperwork burdens, invites the general public and the Office of Management and Budget (OMB) to comment on the possible proposed information collection requirements contained in this document, as required by the Paperwork Reduction Act of 1995, Public Law 104-13. In addition, pursuant to the Small Business Paperwork Relief Act of 2002, Public Law 107-198, </w:t>
      </w:r>
      <w:r w:rsidRPr="00A1103B">
        <w:rPr>
          <w:i/>
          <w:szCs w:val="22"/>
        </w:rPr>
        <w:t>see</w:t>
      </w:r>
      <w:r w:rsidRPr="00A1103B">
        <w:rPr>
          <w:szCs w:val="22"/>
        </w:rPr>
        <w:t xml:space="preserve"> 44 U.S.C. 3506(c)(4), we seek specific comment on how we might further reduce the information collection burden for small business concerns with fewer than 25 employees.</w:t>
      </w:r>
    </w:p>
    <w:p w:rsidR="00863A53" w:rsidRPr="00A1103B" w:rsidRDefault="00863A53" w:rsidP="00A1103B">
      <w:pPr>
        <w:pStyle w:val="ParaNum"/>
        <w:numPr>
          <w:ilvl w:val="0"/>
          <w:numId w:val="0"/>
        </w:numPr>
        <w:ind w:left="630"/>
        <w:rPr>
          <w:b/>
          <w:szCs w:val="22"/>
        </w:rPr>
      </w:pPr>
      <w:r w:rsidRPr="00A1103B">
        <w:rPr>
          <w:b/>
          <w:szCs w:val="22"/>
        </w:rPr>
        <w:t>C.</w:t>
      </w:r>
      <w:r w:rsidRPr="00A1103B">
        <w:rPr>
          <w:b/>
          <w:szCs w:val="22"/>
        </w:rPr>
        <w:tab/>
        <w:t>Other Procedural Matters</w:t>
      </w:r>
    </w:p>
    <w:p w:rsidR="00863A53" w:rsidRPr="00A1103B" w:rsidRDefault="00863A53" w:rsidP="00A1103B">
      <w:pPr>
        <w:pStyle w:val="Heading3"/>
        <w:numPr>
          <w:ilvl w:val="0"/>
          <w:numId w:val="0"/>
        </w:numPr>
        <w:ind w:left="2160" w:hanging="720"/>
        <w:rPr>
          <w:szCs w:val="22"/>
        </w:rPr>
      </w:pPr>
      <w:bookmarkStart w:id="192" w:name="_Toc351484776"/>
      <w:bookmarkStart w:id="193" w:name="_Toc351484822"/>
      <w:bookmarkStart w:id="194" w:name="_Toc351484964"/>
      <w:bookmarkStart w:id="195" w:name="_Toc351571073"/>
      <w:bookmarkStart w:id="196" w:name="_Toc353032063"/>
      <w:bookmarkStart w:id="197" w:name="_Toc351572437"/>
      <w:bookmarkStart w:id="198" w:name="_Toc352943196"/>
      <w:bookmarkStart w:id="199" w:name="_Toc352943645"/>
      <w:bookmarkStart w:id="200" w:name="_Toc353870713"/>
      <w:bookmarkStart w:id="201" w:name="_Toc353987740"/>
      <w:bookmarkStart w:id="202" w:name="_Toc353988061"/>
      <w:r w:rsidRPr="00A1103B">
        <w:rPr>
          <w:szCs w:val="22"/>
        </w:rPr>
        <w:t>1.</w:t>
      </w:r>
      <w:r w:rsidRPr="00A1103B">
        <w:rPr>
          <w:szCs w:val="22"/>
        </w:rPr>
        <w:tab/>
        <w:t>Filing Instructions</w:t>
      </w:r>
      <w:bookmarkEnd w:id="192"/>
      <w:bookmarkEnd w:id="193"/>
      <w:bookmarkEnd w:id="194"/>
      <w:bookmarkEnd w:id="195"/>
      <w:bookmarkEnd w:id="196"/>
      <w:bookmarkEnd w:id="197"/>
      <w:bookmarkEnd w:id="198"/>
      <w:bookmarkEnd w:id="199"/>
      <w:bookmarkEnd w:id="200"/>
      <w:bookmarkEnd w:id="201"/>
      <w:bookmarkEnd w:id="202"/>
    </w:p>
    <w:p w:rsidR="00F6184B" w:rsidRDefault="00863A53" w:rsidP="00547927">
      <w:pPr>
        <w:pStyle w:val="ParaNum"/>
        <w:tabs>
          <w:tab w:val="num" w:pos="1350"/>
        </w:tabs>
        <w:ind w:left="-90"/>
        <w:rPr>
          <w:szCs w:val="22"/>
        </w:rPr>
      </w:pPr>
      <w:r w:rsidRPr="00A1103B">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1103B">
        <w:rPr>
          <w:i/>
          <w:szCs w:val="22"/>
        </w:rPr>
        <w:t>See</w:t>
      </w:r>
      <w:r w:rsidRPr="00A1103B">
        <w:rPr>
          <w:szCs w:val="22"/>
        </w:rPr>
        <w:t xml:space="preserve"> </w:t>
      </w:r>
      <w:r w:rsidRPr="00A1103B">
        <w:rPr>
          <w:i/>
          <w:szCs w:val="22"/>
        </w:rPr>
        <w:t>Electronic Filing of Documents in Rulemaking Proceedings</w:t>
      </w:r>
      <w:r w:rsidRPr="00A1103B">
        <w:rPr>
          <w:szCs w:val="22"/>
        </w:rPr>
        <w:t>, 63 FR 24121 (1998).</w:t>
      </w:r>
    </w:p>
    <w:p w:rsidR="00863A53" w:rsidRPr="00A1103B" w:rsidRDefault="00863A53" w:rsidP="00A1103B">
      <w:pPr>
        <w:pStyle w:val="ParaNum"/>
        <w:numPr>
          <w:ilvl w:val="0"/>
          <w:numId w:val="3"/>
        </w:numPr>
        <w:rPr>
          <w:szCs w:val="22"/>
        </w:rPr>
      </w:pPr>
      <w:r w:rsidRPr="00A1103B">
        <w:rPr>
          <w:szCs w:val="22"/>
        </w:rPr>
        <w:t xml:space="preserve">Electronic Filers:  Comments may be filed electronically using the </w:t>
      </w:r>
      <w:r w:rsidR="0036742D">
        <w:rPr>
          <w:szCs w:val="22"/>
        </w:rPr>
        <w:t>Internet</w:t>
      </w:r>
      <w:r w:rsidRPr="00A1103B">
        <w:rPr>
          <w:szCs w:val="22"/>
        </w:rPr>
        <w:t xml:space="preserve"> by accessing the ECFS:  </w:t>
      </w:r>
      <w:hyperlink r:id="rId8" w:history="1">
        <w:r w:rsidRPr="00A1103B">
          <w:rPr>
            <w:rStyle w:val="Hyperlink"/>
            <w:szCs w:val="22"/>
          </w:rPr>
          <w:t>http://fjallfoss.fcc.gov/ecfs2/</w:t>
        </w:r>
      </w:hyperlink>
      <w:r w:rsidRPr="00A1103B">
        <w:rPr>
          <w:szCs w:val="22"/>
        </w:rPr>
        <w:t xml:space="preserve">.  </w:t>
      </w:r>
    </w:p>
    <w:p w:rsidR="00863A53" w:rsidRPr="00A1103B" w:rsidRDefault="00863A53" w:rsidP="00A1103B">
      <w:pPr>
        <w:pStyle w:val="ParaNum"/>
        <w:numPr>
          <w:ilvl w:val="0"/>
          <w:numId w:val="3"/>
        </w:numPr>
        <w:rPr>
          <w:szCs w:val="22"/>
        </w:rPr>
      </w:pPr>
      <w:r w:rsidRPr="00A1103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63A53" w:rsidRPr="00A1103B" w:rsidRDefault="00863A53" w:rsidP="00A1103B">
      <w:pPr>
        <w:pStyle w:val="ParaNum"/>
        <w:numPr>
          <w:ilvl w:val="1"/>
          <w:numId w:val="3"/>
        </w:numPr>
        <w:rPr>
          <w:szCs w:val="22"/>
        </w:rPr>
      </w:pPr>
      <w:r w:rsidRPr="00A1103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63A53" w:rsidRPr="00A1103B" w:rsidRDefault="00863A53" w:rsidP="00A1103B">
      <w:pPr>
        <w:pStyle w:val="ParaNum"/>
        <w:numPr>
          <w:ilvl w:val="1"/>
          <w:numId w:val="3"/>
        </w:numPr>
        <w:rPr>
          <w:szCs w:val="22"/>
        </w:rPr>
      </w:pPr>
      <w:r w:rsidRPr="00A1103B">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863A53" w:rsidRPr="00A1103B" w:rsidRDefault="00863A53" w:rsidP="00A1103B">
      <w:pPr>
        <w:pStyle w:val="ParaNum"/>
        <w:numPr>
          <w:ilvl w:val="1"/>
          <w:numId w:val="3"/>
        </w:numPr>
        <w:rPr>
          <w:szCs w:val="22"/>
        </w:rPr>
      </w:pPr>
      <w:r w:rsidRPr="00A1103B">
        <w:rPr>
          <w:szCs w:val="22"/>
        </w:rPr>
        <w:t>Commercial overnight mail (other than U.S. Postal Service Express Mail and Priority Mail) must be sent to 9300 East Hampton Drive, Capitol Heights, MD  20743.</w:t>
      </w:r>
    </w:p>
    <w:p w:rsidR="00863A53" w:rsidRPr="00A1103B" w:rsidRDefault="00863A53" w:rsidP="00A1103B">
      <w:pPr>
        <w:pStyle w:val="ParaNum"/>
        <w:numPr>
          <w:ilvl w:val="1"/>
          <w:numId w:val="3"/>
        </w:numPr>
        <w:rPr>
          <w:szCs w:val="22"/>
        </w:rPr>
      </w:pPr>
      <w:r w:rsidRPr="00A1103B">
        <w:rPr>
          <w:szCs w:val="22"/>
        </w:rPr>
        <w:t>U.S. Postal Service first-class, Express, and Priority mail must be addressed to 445 12th Street, SW, Washington DC  20554.</w:t>
      </w:r>
    </w:p>
    <w:p w:rsidR="00F6184B" w:rsidRDefault="00863A53" w:rsidP="00547927">
      <w:pPr>
        <w:pStyle w:val="ParaNum"/>
        <w:tabs>
          <w:tab w:val="num" w:pos="1350"/>
        </w:tabs>
        <w:ind w:left="-90"/>
        <w:rPr>
          <w:szCs w:val="22"/>
        </w:rPr>
      </w:pPr>
      <w:r w:rsidRPr="00A1103B">
        <w:rPr>
          <w:szCs w:val="22"/>
        </w:rPr>
        <w:t xml:space="preserve">People with Disabilities:  To request materials in accessible formats for people with disabilities (braille, large print, electronic files, audio format), send an e-mail to </w:t>
      </w:r>
      <w:hyperlink r:id="rId9" w:history="1">
        <w:r w:rsidRPr="00A1103B">
          <w:rPr>
            <w:rStyle w:val="Hyperlink"/>
            <w:szCs w:val="22"/>
          </w:rPr>
          <w:t>fcc504@fcc.gov</w:t>
        </w:r>
      </w:hyperlink>
      <w:r w:rsidRPr="00A1103B">
        <w:rPr>
          <w:szCs w:val="22"/>
        </w:rPr>
        <w:t xml:space="preserve"> or call the Consumer &amp; Governmental Affairs Bureau at 202-418-0530 (voice), 202-418-0432 (tty).</w:t>
      </w:r>
    </w:p>
    <w:p w:rsidR="00863A53" w:rsidRPr="00A1103B" w:rsidRDefault="00863A53" w:rsidP="00A1103B">
      <w:pPr>
        <w:pStyle w:val="ParaNum"/>
        <w:numPr>
          <w:ilvl w:val="0"/>
          <w:numId w:val="0"/>
        </w:numPr>
        <w:ind w:left="1350" w:firstLine="90"/>
        <w:rPr>
          <w:b/>
          <w:szCs w:val="22"/>
        </w:rPr>
      </w:pPr>
      <w:r w:rsidRPr="00A1103B">
        <w:rPr>
          <w:b/>
          <w:szCs w:val="22"/>
        </w:rPr>
        <w:t>2.</w:t>
      </w:r>
      <w:r w:rsidRPr="00A1103B">
        <w:rPr>
          <w:b/>
          <w:szCs w:val="22"/>
        </w:rPr>
        <w:tab/>
        <w:t>Ex Parte Information</w:t>
      </w:r>
    </w:p>
    <w:p w:rsidR="00F6184B" w:rsidRDefault="00863A53" w:rsidP="00547927">
      <w:pPr>
        <w:pStyle w:val="ParaNum"/>
        <w:tabs>
          <w:tab w:val="num" w:pos="1350"/>
        </w:tabs>
        <w:ind w:left="-90"/>
        <w:rPr>
          <w:szCs w:val="22"/>
        </w:rPr>
      </w:pPr>
      <w:r w:rsidRPr="00A1103B">
        <w:rPr>
          <w:szCs w:val="22"/>
        </w:rPr>
        <w:t xml:space="preserve">The proceeding this </w:t>
      </w:r>
      <w:r w:rsidR="00110A2C" w:rsidRPr="005F5C89">
        <w:rPr>
          <w:i/>
          <w:szCs w:val="22"/>
        </w:rPr>
        <w:t>FY 2013 NPRM</w:t>
      </w:r>
      <w:r w:rsidR="00110A2C">
        <w:rPr>
          <w:szCs w:val="22"/>
        </w:rPr>
        <w:t xml:space="preserve"> and </w:t>
      </w:r>
      <w:r w:rsidRPr="005F5C89">
        <w:rPr>
          <w:i/>
          <w:szCs w:val="22"/>
        </w:rPr>
        <w:t>Further Notice</w:t>
      </w:r>
      <w:r w:rsidRPr="00A1103B">
        <w:rPr>
          <w:szCs w:val="22"/>
        </w:rPr>
        <w:t xml:space="preserve"> initiates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list all persons attending or otherwise participating in the meeting at which the ex parte presentation was made, and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863A53" w:rsidRPr="00A1103B" w:rsidRDefault="00863A53" w:rsidP="00A1103B">
      <w:pPr>
        <w:pStyle w:val="Heading1"/>
        <w:widowControl/>
        <w:rPr>
          <w:szCs w:val="22"/>
        </w:rPr>
      </w:pPr>
      <w:bookmarkStart w:id="203" w:name="_Toc351484777"/>
      <w:bookmarkStart w:id="204" w:name="_Toc351484823"/>
      <w:bookmarkStart w:id="205" w:name="_Toc351484965"/>
      <w:bookmarkStart w:id="206" w:name="_Toc351571074"/>
      <w:bookmarkStart w:id="207" w:name="_Toc353032064"/>
      <w:bookmarkStart w:id="208" w:name="_Toc351572438"/>
      <w:bookmarkStart w:id="209" w:name="_Toc352943197"/>
      <w:bookmarkStart w:id="210" w:name="_Toc352943646"/>
      <w:bookmarkStart w:id="211" w:name="_Toc353987741"/>
      <w:bookmarkStart w:id="212" w:name="_Toc353988062"/>
      <w:r w:rsidRPr="00A1103B">
        <w:rPr>
          <w:szCs w:val="22"/>
        </w:rPr>
        <w:t>ORDERING CLAUSES</w:t>
      </w:r>
      <w:bookmarkEnd w:id="203"/>
      <w:bookmarkEnd w:id="204"/>
      <w:bookmarkEnd w:id="205"/>
      <w:bookmarkEnd w:id="206"/>
      <w:bookmarkEnd w:id="207"/>
      <w:bookmarkEnd w:id="208"/>
      <w:bookmarkEnd w:id="209"/>
      <w:bookmarkEnd w:id="210"/>
      <w:bookmarkEnd w:id="211"/>
      <w:bookmarkEnd w:id="212"/>
    </w:p>
    <w:p w:rsidR="005E41C2" w:rsidRDefault="00863A53">
      <w:pPr>
        <w:pStyle w:val="ParaNum"/>
        <w:tabs>
          <w:tab w:val="num" w:pos="1350"/>
        </w:tabs>
        <w:ind w:left="-90"/>
        <w:rPr>
          <w:szCs w:val="22"/>
        </w:rPr>
      </w:pPr>
      <w:r w:rsidRPr="00A1103B">
        <w:rPr>
          <w:szCs w:val="22"/>
        </w:rPr>
        <w:t xml:space="preserve">Accordingly, </w:t>
      </w:r>
      <w:r w:rsidRPr="00A1103B">
        <w:rPr>
          <w:b/>
          <w:szCs w:val="22"/>
        </w:rPr>
        <w:t>IT IS ORDERED</w:t>
      </w:r>
      <w:r w:rsidRPr="00A1103B">
        <w:rPr>
          <w:szCs w:val="22"/>
        </w:rPr>
        <w:t xml:space="preserve"> that, pursuant to Sections 4(i) and (j), 9, and 303(r) of the Communications Act of 1934, as amended, 47 U.S.C. §§ 154(i), 154(j), 159, and 303(r), this </w:t>
      </w:r>
      <w:r w:rsidR="0099197F">
        <w:rPr>
          <w:szCs w:val="22"/>
        </w:rPr>
        <w:t xml:space="preserve">Notice of Proposed Rulemaking and </w:t>
      </w:r>
      <w:r w:rsidRPr="00A1103B">
        <w:rPr>
          <w:szCs w:val="22"/>
        </w:rPr>
        <w:t xml:space="preserve">Further Notice of Proposed Rulemaking </w:t>
      </w:r>
      <w:r w:rsidR="0099197F">
        <w:rPr>
          <w:b/>
          <w:szCs w:val="22"/>
        </w:rPr>
        <w:t>ARE</w:t>
      </w:r>
      <w:r w:rsidRPr="00A1103B">
        <w:rPr>
          <w:b/>
          <w:szCs w:val="22"/>
        </w:rPr>
        <w:t xml:space="preserve"> HEREBY ADOPTED</w:t>
      </w:r>
      <w:r w:rsidRPr="00A1103B">
        <w:rPr>
          <w:szCs w:val="22"/>
        </w:rPr>
        <w:t>.</w:t>
      </w:r>
    </w:p>
    <w:p w:rsidR="00863A53" w:rsidRPr="00A1103B" w:rsidRDefault="00863A53">
      <w:pPr>
        <w:pStyle w:val="ParaNum"/>
        <w:tabs>
          <w:tab w:val="num" w:pos="1350"/>
        </w:tabs>
        <w:ind w:left="-90"/>
        <w:rPr>
          <w:szCs w:val="22"/>
        </w:rPr>
      </w:pPr>
      <w:r w:rsidRPr="00A1103B">
        <w:rPr>
          <w:b/>
          <w:szCs w:val="22"/>
        </w:rPr>
        <w:t xml:space="preserve">IT IS FURTHER ORDERED </w:t>
      </w:r>
      <w:r w:rsidRPr="00A1103B">
        <w:rPr>
          <w:szCs w:val="22"/>
        </w:rPr>
        <w:t xml:space="preserve">that the Commission’s Consumer and Governmental Affairs Bureau, Reference Information Center, </w:t>
      </w:r>
      <w:r w:rsidRPr="00A1103B">
        <w:rPr>
          <w:b/>
          <w:szCs w:val="22"/>
        </w:rPr>
        <w:t>SHALL SEND</w:t>
      </w:r>
      <w:r w:rsidRPr="00A1103B">
        <w:rPr>
          <w:szCs w:val="22"/>
        </w:rPr>
        <w:t xml:space="preserve"> a copy of this </w:t>
      </w:r>
      <w:r w:rsidR="0099197F">
        <w:rPr>
          <w:szCs w:val="22"/>
        </w:rPr>
        <w:t xml:space="preserve">Notice of Proposed Rulemaking and </w:t>
      </w:r>
      <w:r w:rsidRPr="00A1103B">
        <w:rPr>
          <w:szCs w:val="22"/>
        </w:rPr>
        <w:t xml:space="preserve">Further Notice of Proposed Rulemaking, including the Initial Regulatory Flexibility Analysis in Attachment </w:t>
      </w:r>
      <w:r w:rsidR="0099197F">
        <w:rPr>
          <w:szCs w:val="22"/>
        </w:rPr>
        <w:t>E</w:t>
      </w:r>
      <w:r w:rsidRPr="00A1103B">
        <w:rPr>
          <w:szCs w:val="22"/>
        </w:rPr>
        <w:t>, to the Chief Counsel for Advocacy of the U.S. Small Business Administration.</w:t>
      </w:r>
    </w:p>
    <w:p w:rsidR="00863A53" w:rsidRPr="00A1103B" w:rsidRDefault="00863A53" w:rsidP="00A1103B">
      <w:pPr>
        <w:pStyle w:val="Heading1"/>
        <w:numPr>
          <w:ilvl w:val="0"/>
          <w:numId w:val="0"/>
        </w:numPr>
        <w:ind w:left="720" w:hanging="720"/>
        <w:rPr>
          <w:szCs w:val="22"/>
        </w:rPr>
      </w:pPr>
    </w:p>
    <w:p w:rsidR="00863A53" w:rsidRPr="00A1103B" w:rsidRDefault="00863A53" w:rsidP="00A1103B">
      <w:pPr>
        <w:pStyle w:val="ParaNum"/>
        <w:numPr>
          <w:ilvl w:val="0"/>
          <w:numId w:val="0"/>
        </w:numPr>
        <w:ind w:firstLine="630"/>
        <w:rPr>
          <w:szCs w:val="22"/>
        </w:rPr>
      </w:pPr>
    </w:p>
    <w:p w:rsidR="00863A53" w:rsidRPr="00A1103B" w:rsidRDefault="00863A53" w:rsidP="00A1103B">
      <w:pPr>
        <w:pStyle w:val="Paranum0"/>
        <w:numPr>
          <w:ilvl w:val="0"/>
          <w:numId w:val="0"/>
        </w:numPr>
        <w:spacing w:after="0"/>
        <w:ind w:firstLine="720"/>
        <w:jc w:val="left"/>
        <w:rPr>
          <w:szCs w:val="22"/>
        </w:rPr>
      </w:pPr>
      <w:r w:rsidRPr="00A1103B">
        <w:rPr>
          <w:szCs w:val="22"/>
        </w:rPr>
        <w:tab/>
      </w:r>
      <w:r w:rsidRPr="00A1103B">
        <w:rPr>
          <w:szCs w:val="22"/>
        </w:rPr>
        <w:tab/>
      </w:r>
      <w:r w:rsidRPr="00A1103B">
        <w:rPr>
          <w:szCs w:val="22"/>
        </w:rPr>
        <w:tab/>
      </w:r>
      <w:r w:rsidRPr="00A1103B">
        <w:rPr>
          <w:szCs w:val="22"/>
        </w:rPr>
        <w:tab/>
      </w:r>
      <w:r w:rsidRPr="00A1103B">
        <w:rPr>
          <w:szCs w:val="22"/>
        </w:rPr>
        <w:tab/>
        <w:t>FEDERAL COMMUNICATIONS COMMISSION</w:t>
      </w:r>
    </w:p>
    <w:p w:rsidR="00863A53" w:rsidRPr="00A1103B" w:rsidRDefault="00863A53" w:rsidP="00A1103B">
      <w:pPr>
        <w:pStyle w:val="Paranum0"/>
        <w:numPr>
          <w:ilvl w:val="0"/>
          <w:numId w:val="0"/>
        </w:numPr>
        <w:spacing w:after="0"/>
        <w:ind w:firstLine="720"/>
        <w:jc w:val="left"/>
        <w:rPr>
          <w:szCs w:val="22"/>
        </w:rPr>
      </w:pPr>
    </w:p>
    <w:p w:rsidR="00863A53" w:rsidRPr="00A1103B" w:rsidRDefault="00863A53" w:rsidP="00A1103B">
      <w:pPr>
        <w:pStyle w:val="Paranum0"/>
        <w:numPr>
          <w:ilvl w:val="0"/>
          <w:numId w:val="0"/>
        </w:numPr>
        <w:spacing w:after="0"/>
        <w:ind w:firstLine="720"/>
        <w:jc w:val="left"/>
        <w:rPr>
          <w:szCs w:val="22"/>
        </w:rPr>
      </w:pPr>
    </w:p>
    <w:p w:rsidR="00863A53" w:rsidRPr="00A1103B" w:rsidRDefault="00863A53" w:rsidP="00A1103B">
      <w:pPr>
        <w:tabs>
          <w:tab w:val="left" w:pos="1440"/>
        </w:tabs>
        <w:suppressAutoHyphens/>
        <w:spacing w:line="240" w:lineRule="atLeast"/>
        <w:ind w:firstLine="720"/>
        <w:rPr>
          <w:spacing w:val="-2"/>
          <w:szCs w:val="22"/>
        </w:rPr>
      </w:pPr>
    </w:p>
    <w:p w:rsidR="00863A53" w:rsidRPr="00A1103B" w:rsidRDefault="00863A53" w:rsidP="00A1103B">
      <w:pPr>
        <w:tabs>
          <w:tab w:val="left" w:pos="1440"/>
        </w:tabs>
        <w:suppressAutoHyphens/>
        <w:spacing w:line="240" w:lineRule="atLeast"/>
        <w:ind w:firstLine="720"/>
        <w:rPr>
          <w:spacing w:val="-2"/>
          <w:szCs w:val="22"/>
        </w:rPr>
      </w:pPr>
      <w:r w:rsidRPr="00A1103B">
        <w:rPr>
          <w:spacing w:val="-2"/>
          <w:szCs w:val="22"/>
        </w:rPr>
        <w:tab/>
      </w:r>
      <w:r w:rsidRPr="00A1103B">
        <w:rPr>
          <w:spacing w:val="-2"/>
          <w:szCs w:val="22"/>
        </w:rPr>
        <w:tab/>
      </w:r>
      <w:r w:rsidRPr="00A1103B">
        <w:rPr>
          <w:spacing w:val="-2"/>
          <w:szCs w:val="22"/>
        </w:rPr>
        <w:tab/>
      </w:r>
      <w:r w:rsidRPr="00A1103B">
        <w:rPr>
          <w:spacing w:val="-2"/>
          <w:szCs w:val="22"/>
        </w:rPr>
        <w:tab/>
      </w:r>
    </w:p>
    <w:p w:rsidR="00863A53" w:rsidRPr="00A1103B" w:rsidRDefault="00863A53" w:rsidP="00A1103B">
      <w:pPr>
        <w:tabs>
          <w:tab w:val="left" w:pos="1440"/>
        </w:tabs>
        <w:suppressAutoHyphens/>
        <w:spacing w:line="240" w:lineRule="atLeast"/>
        <w:ind w:firstLine="720"/>
        <w:rPr>
          <w:spacing w:val="-2"/>
          <w:szCs w:val="22"/>
        </w:rPr>
      </w:pPr>
      <w:r w:rsidRPr="00A1103B">
        <w:rPr>
          <w:spacing w:val="-2"/>
          <w:szCs w:val="22"/>
        </w:rPr>
        <w:tab/>
      </w:r>
      <w:r w:rsidRPr="00A1103B">
        <w:rPr>
          <w:spacing w:val="-2"/>
          <w:szCs w:val="22"/>
        </w:rPr>
        <w:tab/>
      </w:r>
      <w:r w:rsidRPr="00A1103B">
        <w:rPr>
          <w:spacing w:val="-2"/>
          <w:szCs w:val="22"/>
        </w:rPr>
        <w:tab/>
      </w:r>
      <w:r w:rsidRPr="00A1103B">
        <w:rPr>
          <w:spacing w:val="-2"/>
          <w:szCs w:val="22"/>
        </w:rPr>
        <w:tab/>
      </w:r>
      <w:r w:rsidRPr="00A1103B">
        <w:rPr>
          <w:spacing w:val="-2"/>
          <w:szCs w:val="22"/>
        </w:rPr>
        <w:tab/>
        <w:t>Marlene H. Dor</w:t>
      </w:r>
      <w:r w:rsidR="008E0F5B">
        <w:rPr>
          <w:spacing w:val="-2"/>
          <w:szCs w:val="22"/>
        </w:rPr>
        <w:t>t</w:t>
      </w:r>
      <w:r w:rsidRPr="00A1103B">
        <w:rPr>
          <w:spacing w:val="-2"/>
          <w:szCs w:val="22"/>
        </w:rPr>
        <w:t>ch</w:t>
      </w:r>
    </w:p>
    <w:p w:rsidR="00925F51" w:rsidRDefault="00863A53" w:rsidP="00A1103B">
      <w:pPr>
        <w:tabs>
          <w:tab w:val="left" w:pos="1440"/>
        </w:tabs>
        <w:suppressAutoHyphens/>
        <w:spacing w:line="240" w:lineRule="atLeast"/>
        <w:ind w:firstLine="720"/>
        <w:rPr>
          <w:szCs w:val="22"/>
        </w:rPr>
      </w:pPr>
      <w:r w:rsidRPr="00A1103B">
        <w:rPr>
          <w:szCs w:val="22"/>
        </w:rPr>
        <w:tab/>
      </w:r>
      <w:r w:rsidRPr="00A1103B">
        <w:rPr>
          <w:szCs w:val="22"/>
        </w:rPr>
        <w:tab/>
      </w:r>
      <w:r w:rsidRPr="00A1103B">
        <w:rPr>
          <w:szCs w:val="22"/>
        </w:rPr>
        <w:tab/>
      </w:r>
      <w:r w:rsidRPr="00A1103B">
        <w:rPr>
          <w:szCs w:val="22"/>
        </w:rPr>
        <w:tab/>
      </w:r>
      <w:r w:rsidRPr="00A1103B">
        <w:rPr>
          <w:szCs w:val="22"/>
        </w:rPr>
        <w:tab/>
        <w:t>Secretary</w:t>
      </w:r>
    </w:p>
    <w:p w:rsidR="00925F51" w:rsidRDefault="00925F51" w:rsidP="00A1103B">
      <w:pPr>
        <w:tabs>
          <w:tab w:val="left" w:pos="1440"/>
        </w:tabs>
        <w:suppressAutoHyphens/>
        <w:spacing w:line="240" w:lineRule="atLeast"/>
        <w:ind w:firstLine="720"/>
        <w:rPr>
          <w:szCs w:val="22"/>
        </w:rPr>
      </w:pPr>
      <w:r>
        <w:rPr>
          <w:szCs w:val="22"/>
        </w:rPr>
        <w:br w:type="page"/>
      </w:r>
    </w:p>
    <w:p w:rsidR="006D7CCD" w:rsidRDefault="002432A1" w:rsidP="002432A1">
      <w:pPr>
        <w:autoSpaceDE w:val="0"/>
        <w:autoSpaceDN w:val="0"/>
        <w:adjustRightInd w:val="0"/>
        <w:jc w:val="center"/>
        <w:rPr>
          <w:b/>
        </w:rPr>
      </w:pPr>
      <w:r>
        <w:rPr>
          <w:b/>
        </w:rPr>
        <w:t>ATTACHMENT A1</w:t>
      </w:r>
    </w:p>
    <w:p w:rsidR="006D7CCD" w:rsidRDefault="006D7CCD" w:rsidP="002432A1">
      <w:pPr>
        <w:autoSpaceDE w:val="0"/>
        <w:autoSpaceDN w:val="0"/>
        <w:adjustRightInd w:val="0"/>
        <w:jc w:val="center"/>
        <w:rPr>
          <w:b/>
        </w:rPr>
      </w:pPr>
    </w:p>
    <w:p w:rsidR="002432A1" w:rsidRDefault="002432A1" w:rsidP="002432A1">
      <w:pPr>
        <w:autoSpaceDE w:val="0"/>
        <w:autoSpaceDN w:val="0"/>
        <w:adjustRightInd w:val="0"/>
        <w:jc w:val="center"/>
        <w:rPr>
          <w:b/>
        </w:rPr>
      </w:pPr>
      <w:r>
        <w:rPr>
          <w:b/>
        </w:rPr>
        <w:t>Maintain the Same Percentage Allocations as in Prior Years</w:t>
      </w:r>
    </w:p>
    <w:p w:rsidR="002432A1" w:rsidRDefault="002432A1" w:rsidP="002432A1">
      <w:pPr>
        <w:autoSpaceDE w:val="0"/>
        <w:autoSpaceDN w:val="0"/>
        <w:adjustRightInd w:val="0"/>
        <w:jc w:val="center"/>
        <w:rPr>
          <w:b/>
        </w:rPr>
      </w:pPr>
    </w:p>
    <w:p w:rsidR="002432A1" w:rsidRDefault="002432A1" w:rsidP="002432A1">
      <w:pPr>
        <w:jc w:val="center"/>
        <w:rPr>
          <w:b/>
        </w:rPr>
      </w:pPr>
      <w:r>
        <w:rPr>
          <w:b/>
        </w:rPr>
        <w:t>Calculation of FY 2013 Revenue Requirements and Pro-Rata Fees</w:t>
      </w:r>
    </w:p>
    <w:p w:rsidR="002432A1" w:rsidRDefault="002432A1" w:rsidP="002432A1">
      <w:pPr>
        <w:jc w:val="center"/>
        <w:rPr>
          <w:b/>
        </w:rPr>
      </w:pPr>
    </w:p>
    <w:p w:rsidR="002432A1" w:rsidRDefault="002432A1" w:rsidP="002432A1">
      <w:pPr>
        <w:tabs>
          <w:tab w:val="center" w:pos="5040"/>
        </w:tabs>
        <w:suppressAutoHyphens/>
        <w:outlineLvl w:val="0"/>
        <w:rPr>
          <w:b/>
          <w:szCs w:val="22"/>
        </w:rPr>
      </w:pPr>
      <w:bookmarkStart w:id="213" w:name="_Toc351484778"/>
      <w:bookmarkStart w:id="214" w:name="_Toc351484824"/>
      <w:bookmarkStart w:id="215" w:name="_Toc351484966"/>
      <w:bookmarkStart w:id="216" w:name="_Toc351571075"/>
      <w:bookmarkStart w:id="217" w:name="_Toc351572439"/>
      <w:bookmarkStart w:id="218" w:name="_Toc353032065"/>
      <w:bookmarkStart w:id="219" w:name="_Toc352943198"/>
      <w:bookmarkStart w:id="220" w:name="_Toc352943647"/>
      <w:bookmarkStart w:id="221" w:name="_Toc353870715"/>
      <w:bookmarkStart w:id="222" w:name="_Toc353987742"/>
      <w:bookmarkStart w:id="223" w:name="_Toc353988063"/>
      <w:r>
        <w:rPr>
          <w:szCs w:val="22"/>
        </w:rPr>
        <w:t>Regulatory fees for the categories shaded in gray are collected by the Commission in advance to cover the term of the license and are submitted at the time the application is filed.</w:t>
      </w:r>
      <w:bookmarkEnd w:id="213"/>
      <w:bookmarkEnd w:id="214"/>
      <w:bookmarkEnd w:id="215"/>
      <w:bookmarkEnd w:id="216"/>
      <w:bookmarkEnd w:id="217"/>
      <w:bookmarkEnd w:id="218"/>
      <w:bookmarkEnd w:id="219"/>
      <w:bookmarkEnd w:id="220"/>
      <w:bookmarkEnd w:id="221"/>
      <w:bookmarkEnd w:id="222"/>
      <w:bookmarkEnd w:id="223"/>
      <w:r>
        <w:rPr>
          <w:b/>
          <w:szCs w:val="22"/>
        </w:rPr>
        <w:t xml:space="preserve"> </w:t>
      </w:r>
    </w:p>
    <w:tbl>
      <w:tblPr>
        <w:tblW w:w="9000" w:type="dxa"/>
        <w:tblInd w:w="-60" w:type="dxa"/>
        <w:tblLayout w:type="fixed"/>
        <w:tblCellMar>
          <w:left w:w="30" w:type="dxa"/>
          <w:right w:w="30" w:type="dxa"/>
        </w:tblCellMar>
        <w:tblLook w:val="0000" w:firstRow="0" w:lastRow="0" w:firstColumn="0" w:lastColumn="0" w:noHBand="0" w:noVBand="0"/>
      </w:tblPr>
      <w:tblGrid>
        <w:gridCol w:w="1710"/>
        <w:gridCol w:w="1350"/>
        <w:gridCol w:w="630"/>
        <w:gridCol w:w="1080"/>
        <w:gridCol w:w="1080"/>
        <w:gridCol w:w="1080"/>
        <w:gridCol w:w="900"/>
        <w:gridCol w:w="1170"/>
      </w:tblGrid>
      <w:tr w:rsidR="002432A1">
        <w:trPr>
          <w:tblHeader/>
        </w:trPr>
        <w:tc>
          <w:tcPr>
            <w:tcW w:w="1710" w:type="dxa"/>
            <w:tcBorders>
              <w:top w:val="double" w:sz="6" w:space="0" w:color="auto"/>
              <w:left w:val="double" w:sz="6" w:space="0" w:color="auto"/>
              <w:bottom w:val="single" w:sz="18" w:space="0" w:color="auto"/>
            </w:tcBorders>
          </w:tcPr>
          <w:p w:rsidR="002432A1" w:rsidRDefault="00C33D99"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fldChar w:fldCharType="begin"/>
            </w:r>
            <w:r w:rsidR="002432A1">
              <w:rPr>
                <w:b/>
                <w:sz w:val="20"/>
              </w:rPr>
              <w:instrText xml:space="preserve">PRIVATE </w:instrText>
            </w:r>
            <w:r>
              <w:rPr>
                <w:b/>
                <w:sz w:val="20"/>
              </w:rPr>
              <w:fldChar w:fldCharType="end"/>
            </w:r>
            <w:r w:rsidR="002432A1">
              <w:rPr>
                <w:b/>
                <w:sz w:val="20"/>
              </w:rPr>
              <w:t>Fee Category</w:t>
            </w:r>
          </w:p>
        </w:tc>
        <w:tc>
          <w:tcPr>
            <w:tcW w:w="1350" w:type="dxa"/>
            <w:tcBorders>
              <w:top w:val="double" w:sz="6" w:space="0" w:color="auto"/>
              <w:left w:val="single" w:sz="6" w:space="0" w:color="auto"/>
              <w:bottom w:val="single" w:sz="18"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2013 Payment Units</w:t>
            </w:r>
          </w:p>
        </w:tc>
        <w:tc>
          <w:tcPr>
            <w:tcW w:w="630" w:type="dxa"/>
            <w:tcBorders>
              <w:top w:val="double" w:sz="6" w:space="0" w:color="auto"/>
              <w:left w:val="single" w:sz="6" w:space="0" w:color="auto"/>
              <w:bottom w:val="single" w:sz="18"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Years</w:t>
            </w:r>
          </w:p>
        </w:tc>
        <w:tc>
          <w:tcPr>
            <w:tcW w:w="1080" w:type="dxa"/>
            <w:tcBorders>
              <w:top w:val="double" w:sz="6" w:space="0" w:color="auto"/>
              <w:left w:val="single" w:sz="6" w:space="0" w:color="auto"/>
              <w:bottom w:val="single" w:sz="18"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2012 Revenue Estimate</w:t>
            </w:r>
          </w:p>
        </w:tc>
        <w:tc>
          <w:tcPr>
            <w:tcW w:w="1080" w:type="dxa"/>
            <w:tcBorders>
              <w:top w:val="double" w:sz="6" w:space="0" w:color="auto"/>
              <w:left w:val="single" w:sz="6" w:space="0" w:color="auto"/>
              <w:bottom w:val="single" w:sz="18"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Pro-Rated FY 2013 Revenue Require-ment</w:t>
            </w:r>
          </w:p>
        </w:tc>
        <w:tc>
          <w:tcPr>
            <w:tcW w:w="1080" w:type="dxa"/>
            <w:tcBorders>
              <w:top w:val="double" w:sz="6" w:space="0" w:color="auto"/>
              <w:left w:val="single" w:sz="6" w:space="0" w:color="auto"/>
              <w:bottom w:val="single" w:sz="18"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Computed New FY 2013 Regulatory Fee</w:t>
            </w:r>
          </w:p>
        </w:tc>
        <w:tc>
          <w:tcPr>
            <w:tcW w:w="900" w:type="dxa"/>
            <w:tcBorders>
              <w:top w:val="double" w:sz="6" w:space="0" w:color="auto"/>
              <w:left w:val="single" w:sz="6" w:space="0" w:color="auto"/>
              <w:bottom w:val="single" w:sz="18"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Rounded New</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FY 2013 </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Regula-tory Fee</w:t>
            </w:r>
          </w:p>
        </w:tc>
        <w:tc>
          <w:tcPr>
            <w:tcW w:w="1170" w:type="dxa"/>
            <w:tcBorders>
              <w:top w:val="double" w:sz="6" w:space="0" w:color="auto"/>
              <w:left w:val="single" w:sz="6" w:space="0" w:color="auto"/>
              <w:bottom w:val="single" w:sz="18"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Expected</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FY 2013</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Revenue</w:t>
            </w:r>
          </w:p>
        </w:tc>
      </w:tr>
      <w:tr w:rsidR="002432A1">
        <w:tc>
          <w:tcPr>
            <w:tcW w:w="1710" w:type="dxa"/>
            <w:tcBorders>
              <w:top w:val="single" w:sz="1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PLMRS (Exclusive Use) </w:t>
            </w:r>
          </w:p>
        </w:tc>
        <w:tc>
          <w:tcPr>
            <w:tcW w:w="1350" w:type="dxa"/>
            <w:tcBorders>
              <w:top w:val="single" w:sz="1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1,400</w:t>
            </w:r>
          </w:p>
        </w:tc>
        <w:tc>
          <w:tcPr>
            <w:tcW w:w="630" w:type="dxa"/>
            <w:tcBorders>
              <w:top w:val="single" w:sz="1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490,000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507,072</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w:t>
            </w:r>
          </w:p>
        </w:tc>
        <w:tc>
          <w:tcPr>
            <w:tcW w:w="900" w:type="dxa"/>
            <w:tcBorders>
              <w:top w:val="single" w:sz="1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w:t>
            </w:r>
          </w:p>
        </w:tc>
        <w:tc>
          <w:tcPr>
            <w:tcW w:w="1170" w:type="dxa"/>
            <w:tcBorders>
              <w:top w:val="single" w:sz="1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490,000</w:t>
            </w:r>
          </w:p>
        </w:tc>
      </w:tr>
      <w:tr w:rsidR="002432A1">
        <w:tc>
          <w:tcPr>
            <w:tcW w:w="1710" w:type="dxa"/>
            <w:tcBorders>
              <w:top w:val="single" w:sz="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PLMRS (Shared use)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2,426,700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2,250,000</w:t>
            </w:r>
          </w:p>
        </w:tc>
      </w:tr>
      <w:tr w:rsidR="002432A1">
        <w:tc>
          <w:tcPr>
            <w:tcW w:w="1710" w:type="dxa"/>
            <w:tcBorders>
              <w:top w:val="single" w:sz="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Microwave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2,640,000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2,390,480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2,640,000</w:t>
            </w:r>
          </w:p>
        </w:tc>
      </w:tr>
      <w:tr w:rsidR="002432A1">
        <w:tc>
          <w:tcPr>
            <w:tcW w:w="1710" w:type="dxa"/>
            <w:tcBorders>
              <w:top w:val="single" w:sz="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218-219 MHz (Formerly IVDS)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3,622</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3,500</w:t>
            </w:r>
          </w:p>
        </w:tc>
      </w:tr>
      <w:tr w:rsidR="002432A1">
        <w:tc>
          <w:tcPr>
            <w:tcW w:w="1710" w:type="dxa"/>
            <w:tcBorders>
              <w:top w:val="single" w:sz="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(Ship)</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6,550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796,827</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655,000</w:t>
            </w:r>
          </w:p>
        </w:tc>
      </w:tr>
      <w:tr w:rsidR="002432A1">
        <w:tc>
          <w:tcPr>
            <w:tcW w:w="1710" w:type="dxa"/>
            <w:tcBorders>
              <w:top w:val="single" w:sz="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GMRS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5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192,500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289,755</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197,500</w:t>
            </w:r>
          </w:p>
        </w:tc>
      </w:tr>
      <w:tr w:rsidR="002432A1">
        <w:tc>
          <w:tcPr>
            <w:tcW w:w="1710" w:type="dxa"/>
            <w:tcBorders>
              <w:top w:val="single" w:sz="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(Aircraft)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362,194</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290,000</w:t>
            </w:r>
          </w:p>
        </w:tc>
      </w:tr>
      <w:tr w:rsidR="002432A1">
        <w:tc>
          <w:tcPr>
            <w:tcW w:w="1710" w:type="dxa"/>
            <w:tcBorders>
              <w:top w:val="single" w:sz="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(Coast)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285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142,500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144,878</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51</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50</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142,500</w:t>
            </w:r>
          </w:p>
        </w:tc>
      </w:tr>
      <w:tr w:rsidR="002432A1">
        <w:tc>
          <w:tcPr>
            <w:tcW w:w="1710" w:type="dxa"/>
            <w:tcBorders>
              <w:top w:val="single" w:sz="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(Ground)</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900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144,878</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135,000</w:t>
            </w:r>
          </w:p>
        </w:tc>
      </w:tr>
      <w:tr w:rsidR="002432A1">
        <w:tc>
          <w:tcPr>
            <w:tcW w:w="1710" w:type="dxa"/>
            <w:tcBorders>
              <w:top w:val="single" w:sz="8" w:space="0" w:color="auto"/>
              <w:left w:val="double" w:sz="12"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Amateur Vanity Call Signs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14,300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214,500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217,316</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w:t>
            </w:r>
          </w:p>
        </w:tc>
        <w:tc>
          <w:tcPr>
            <w:tcW w:w="900" w:type="dxa"/>
            <w:tcBorders>
              <w:top w:val="single" w:sz="8" w:space="0" w:color="auto"/>
              <w:left w:val="single" w:sz="8" w:space="0" w:color="auto"/>
              <w:bottom w:val="single" w:sz="8" w:space="0" w:color="auto"/>
              <w:right w:val="single" w:sz="8"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w:t>
            </w:r>
          </w:p>
        </w:tc>
        <w:tc>
          <w:tcPr>
            <w:tcW w:w="1170" w:type="dxa"/>
            <w:tcBorders>
              <w:top w:val="single" w:sz="8" w:space="0" w:color="auto"/>
              <w:left w:val="single" w:sz="8" w:space="0" w:color="auto"/>
              <w:bottom w:val="single" w:sz="8" w:space="0" w:color="auto"/>
              <w:right w:val="double" w:sz="12" w:space="0" w:color="auto"/>
            </w:tcBorders>
            <w:shd w:val="clear" w:color="auto" w:fill="C0C0C0"/>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217,360</w:t>
            </w:r>
          </w:p>
        </w:tc>
      </w:tr>
      <w:tr w:rsidR="002432A1">
        <w:tc>
          <w:tcPr>
            <w:tcW w:w="1710" w:type="dxa"/>
            <w:tcBorders>
              <w:top w:val="single" w:sz="8"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A</w:t>
            </w:r>
            <w:r>
              <w:rPr>
                <w:sz w:val="20"/>
                <w:vertAlign w:val="superscript"/>
              </w:rPr>
              <w:t>4a</w:t>
            </w:r>
          </w:p>
        </w:tc>
        <w:tc>
          <w:tcPr>
            <w:tcW w:w="1350" w:type="dxa"/>
            <w:tcBorders>
              <w:top w:val="single" w:sz="8"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68</w:t>
            </w:r>
          </w:p>
        </w:tc>
        <w:tc>
          <w:tcPr>
            <w:tcW w:w="630" w:type="dxa"/>
            <w:tcBorders>
              <w:top w:val="single" w:sz="8"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8"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250,100</w:t>
            </w:r>
          </w:p>
        </w:tc>
        <w:tc>
          <w:tcPr>
            <w:tcW w:w="1080" w:type="dxa"/>
            <w:tcBorders>
              <w:top w:val="single" w:sz="8"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253,978</w:t>
            </w:r>
          </w:p>
        </w:tc>
        <w:tc>
          <w:tcPr>
            <w:tcW w:w="1080" w:type="dxa"/>
            <w:tcBorders>
              <w:top w:val="single" w:sz="8"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3,735</w:t>
            </w:r>
          </w:p>
        </w:tc>
        <w:tc>
          <w:tcPr>
            <w:tcW w:w="900" w:type="dxa"/>
            <w:tcBorders>
              <w:top w:val="single" w:sz="8"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3,725</w:t>
            </w:r>
          </w:p>
        </w:tc>
        <w:tc>
          <w:tcPr>
            <w:tcW w:w="1170" w:type="dxa"/>
            <w:tcBorders>
              <w:top w:val="single" w:sz="8"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253,300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B</w:t>
            </w:r>
            <w:r>
              <w:rPr>
                <w:sz w:val="20"/>
                <w:vertAlign w:val="superscript"/>
              </w:rPr>
              <w:t>4b</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1,454</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3,125,875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3,161,850</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2,175</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2,175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3,162,450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C</w:t>
            </w:r>
            <w:r>
              <w:rPr>
                <w:sz w:val="20"/>
                <w:vertAlign w:val="superscript"/>
              </w:rPr>
              <w:t>4c</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837</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1,107,975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1,129,223</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1,349</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1,129,950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D</w:t>
            </w:r>
            <w:r>
              <w:rPr>
                <w:sz w:val="20"/>
                <w:vertAlign w:val="superscript"/>
              </w:rPr>
              <w:t>4d</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1,406</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3,698,400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3,742,299</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2,662</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2,650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3,725,900</w:t>
            </w:r>
          </w:p>
        </w:tc>
      </w:tr>
      <w:tr w:rsidR="002432A1">
        <w:tc>
          <w:tcPr>
            <w:tcW w:w="1710" w:type="dxa"/>
            <w:tcBorders>
              <w:top w:val="single" w:sz="6" w:space="0" w:color="auto"/>
              <w:left w:val="double" w:sz="6" w:space="0" w:color="auto"/>
            </w:tcBorders>
          </w:tcPr>
          <w:p w:rsidR="002432A1" w:rsidRPr="00445C3B"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lang w:val="pt-BR"/>
              </w:rPr>
            </w:pPr>
            <w:r w:rsidRPr="00445C3B">
              <w:rPr>
                <w:sz w:val="20"/>
                <w:lang w:val="pt-BR"/>
              </w:rPr>
              <w:t>FM Classes A, B1 &amp; C3</w:t>
            </w:r>
            <w:r w:rsidRPr="00445C3B">
              <w:rPr>
                <w:sz w:val="20"/>
                <w:vertAlign w:val="superscript"/>
                <w:lang w:val="pt-BR"/>
              </w:rPr>
              <w:t>4e</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2,935</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7,764,750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7,836,522</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2,670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2,675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7,851,125</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FM Classes B, C, C0, C1 &amp; C2</w:t>
            </w:r>
            <w:r>
              <w:rPr>
                <w:sz w:val="20"/>
                <w:vertAlign w:val="superscript"/>
              </w:rPr>
              <w:t>4f</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3,110</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9,513,000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9,611,273</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3,090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3,100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9,641,000</w:t>
            </w:r>
          </w:p>
        </w:tc>
      </w:tr>
      <w:tr w:rsidR="002432A1">
        <w:trPr>
          <w:trHeight w:val="534"/>
        </w:trPr>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 Construction Permits</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51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35,750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28,658</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562</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28,560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FM Construction Permits</w:t>
            </w:r>
            <w:r>
              <w:rPr>
                <w:sz w:val="20"/>
                <w:vertAlign w:val="superscript"/>
              </w:rPr>
              <w:t>1</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170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84,000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118,614</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698</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700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119,000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129</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178,125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181,097</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1,404</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180,600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 Construction Permit</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3,580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3,622</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1,207</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1,200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1-10</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22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1,761,650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1,804,524</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82,024</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82,025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1,804,550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11-25</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23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1,836,875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1,880,596</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81,765</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81,775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1,880,825</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26-50</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39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1,512,400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1,549,293</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39,725</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39,725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1,549,275</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51-100</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61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1,255,500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1,290,409</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21,154</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21,150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1,290,150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VHF Remaining Markets </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140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798,025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814,033</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5,815</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5,825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815,500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VHF Remaining Markets </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140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798,025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814,033</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5,815</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5,825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815,500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VHF Construction Permits</w:t>
            </w:r>
            <w:r>
              <w:rPr>
                <w:sz w:val="20"/>
                <w:vertAlign w:val="superscript"/>
              </w:rPr>
              <w:t>1</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11,650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5,825</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5,825</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5,825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5,825</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1-10</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109</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3,853,150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3,880,922</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35,605</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35,600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3,880,400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11-25</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106</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3,458,250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3,478,876</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32,820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32,825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3,479,450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26-50</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135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2,959,875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2,977,132</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22,053</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22,050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2,976,750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51-100</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225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2,868,750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2,884,066</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12,818</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12,825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2,885,625</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UHF Remaining Markets </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247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845,975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852,059</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852,150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Construction Permits</w:t>
            </w:r>
            <w:r>
              <w:rPr>
                <w:sz w:val="20"/>
                <w:vertAlign w:val="superscript"/>
              </w:rPr>
              <w:t>1</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7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23,975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24,150</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24,150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Broadcast Auxiliaries</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25,400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248,000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254,000</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254,000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LPTV/Translators/ Boosters/Class A TV</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3,725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1,436,820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1,448,776</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389</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1,452,750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CARS Stations</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325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178,125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181,097</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557</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180,375</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Cable TV Systems </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60,000,000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59,090,000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59,943,108</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.99905</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60,000,000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Interstate Telecommunication Service Providers</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$39,000,000,000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148,875,000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146,250,000</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0.003750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0.00375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146,250,000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Mobile Services (Cellular/Public Mobile)</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321,000,000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53,210,000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52,821,422</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0.1646</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0.17</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54,570,000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Messag. Services</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3,000,000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272,000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240,000</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240,000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BRS</w:t>
            </w:r>
            <w:r>
              <w:rPr>
                <w:sz w:val="20"/>
                <w:vertAlign w:val="superscript"/>
              </w:rPr>
              <w:t>2</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LMDS </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920</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170</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451,250</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225,625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588,800</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108,800</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640</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640</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640</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588,800</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108,800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Per 64 kbps Int’l Bearer Circuits </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18"/>
                <w:szCs w:val="18"/>
              </w:rPr>
            </w:pPr>
            <w:r>
              <w:rPr>
                <w:sz w:val="18"/>
                <w:szCs w:val="18"/>
              </w:rPr>
              <w:t xml:space="preserve">Terrestrial (Common) &amp; Satellite (Common &amp; Non-Common) </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4,220,000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1,157,602</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1,167,825</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.277</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1,181,600</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Submarine Cable Providers (see chart in Appendix C)</w:t>
            </w:r>
            <w:r>
              <w:rPr>
                <w:sz w:val="20"/>
                <w:vertAlign w:val="superscript"/>
              </w:rPr>
              <w:t>3</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38.313</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8,150,984</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8,249,219</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215,314</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215,325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8,249,639</w:t>
            </w:r>
          </w:p>
        </w:tc>
      </w:tr>
      <w:tr w:rsidR="002432A1">
        <w:trPr>
          <w:trHeight w:val="370"/>
        </w:trPr>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Earth Stations</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3,400 </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893,750</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905,485</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266</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901,000</w:t>
            </w:r>
          </w:p>
        </w:tc>
      </w:tr>
      <w:tr w:rsidR="002432A1">
        <w:trPr>
          <w:trHeight w:val="595"/>
        </w:trPr>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(Geostationary)</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87</w:t>
            </w: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11,560,125</w:t>
            </w: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11,698,866</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134,470</w:t>
            </w: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134,475</w:t>
            </w:r>
          </w:p>
        </w:tc>
        <w:tc>
          <w:tcPr>
            <w:tcW w:w="1170" w:type="dxa"/>
            <w:tcBorders>
              <w:top w:val="single" w:sz="6" w:space="0" w:color="auto"/>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11,699,325</w:t>
            </w:r>
          </w:p>
        </w:tc>
      </w:tr>
      <w:tr w:rsidR="002432A1">
        <w:trPr>
          <w:trHeight w:val="874"/>
        </w:trPr>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(Non-Geostationary</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 </w:t>
            </w:r>
          </w:p>
        </w:tc>
        <w:tc>
          <w:tcPr>
            <w:tcW w:w="1080" w:type="dxa"/>
            <w:tcBorders>
              <w:top w:val="single" w:sz="2" w:space="0" w:color="auto"/>
              <w:left w:val="single" w:sz="2" w:space="0" w:color="auto"/>
              <w:bottom w:val="double" w:sz="4" w:space="0" w:color="auto"/>
              <w:right w:val="single" w:sz="2"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858,900</w:t>
            </w:r>
          </w:p>
        </w:tc>
        <w:tc>
          <w:tcPr>
            <w:tcW w:w="1080" w:type="dxa"/>
            <w:tcBorders>
              <w:top w:val="single" w:sz="2" w:space="0" w:color="auto"/>
              <w:left w:val="nil"/>
              <w:bottom w:val="double" w:sz="4" w:space="0" w:color="auto"/>
              <w:right w:val="single" w:sz="2"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869,266</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nil"/>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144,878</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144,875</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869,250</w:t>
            </w: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Estimated Revenue to be Collected</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340,568,811</w:t>
            </w:r>
          </w:p>
        </w:tc>
        <w:tc>
          <w:tcPr>
            <w:tcW w:w="1080" w:type="dxa"/>
            <w:tcBorders>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339,521,495</w:t>
            </w:r>
          </w:p>
        </w:tc>
        <w:tc>
          <w:tcPr>
            <w:tcW w:w="1080" w:type="dxa"/>
            <w:tcBorders>
              <w:top w:val="single" w:sz="6" w:space="0" w:color="auto"/>
              <w:left w:val="sing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341,106,534</w:t>
            </w:r>
          </w:p>
        </w:tc>
      </w:tr>
      <w:tr w:rsidR="002432A1">
        <w:tc>
          <w:tcPr>
            <w:tcW w:w="1710" w:type="dxa"/>
            <w:tcBorders>
              <w:top w:val="single" w:sz="6" w:space="0" w:color="auto"/>
              <w:lef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Revenue Requirement</w:t>
            </w:r>
          </w:p>
        </w:tc>
        <w:tc>
          <w:tcPr>
            <w:tcW w:w="135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2" w:space="0" w:color="auto"/>
              <w:left w:val="single" w:sz="2" w:space="0" w:color="auto"/>
              <w:bottom w:val="double" w:sz="2" w:space="0" w:color="auto"/>
              <w:right w:val="single" w:sz="2"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6" w:space="0" w:color="auto"/>
              <w:left w:val="nil"/>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2" w:space="0" w:color="auto"/>
              <w:left w:val="single" w:sz="2" w:space="0" w:color="auto"/>
              <w:bottom w:val="double" w:sz="2" w:space="0" w:color="auto"/>
              <w:right w:val="double" w:sz="2"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r>
      <w:tr w:rsidR="002432A1">
        <w:tc>
          <w:tcPr>
            <w:tcW w:w="1710" w:type="dxa"/>
            <w:tcBorders>
              <w:top w:val="single" w:sz="6" w:space="0" w:color="auto"/>
              <w:left w:val="double" w:sz="6" w:space="0" w:color="auto"/>
              <w:bottom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Difference</w:t>
            </w:r>
          </w:p>
        </w:tc>
        <w:tc>
          <w:tcPr>
            <w:tcW w:w="1350" w:type="dxa"/>
            <w:tcBorders>
              <w:top w:val="single" w:sz="6" w:space="0" w:color="auto"/>
              <w:left w:val="single" w:sz="6" w:space="0" w:color="auto"/>
              <w:bottom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bottom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bottom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724,811</w:t>
            </w:r>
          </w:p>
        </w:tc>
        <w:tc>
          <w:tcPr>
            <w:tcW w:w="1080" w:type="dxa"/>
            <w:tcBorders>
              <w:left w:val="single" w:sz="6" w:space="0" w:color="auto"/>
              <w:bottom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-322,505</w:t>
            </w:r>
          </w:p>
        </w:tc>
        <w:tc>
          <w:tcPr>
            <w:tcW w:w="1080" w:type="dxa"/>
            <w:tcBorders>
              <w:top w:val="single" w:sz="6" w:space="0" w:color="auto"/>
              <w:left w:val="single" w:sz="6" w:space="0" w:color="auto"/>
              <w:bottom w:val="double" w:sz="6" w:space="0" w:color="auto"/>
              <w:right w:val="sing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900" w:type="dxa"/>
            <w:tcBorders>
              <w:top w:val="single" w:sz="6" w:space="0" w:color="auto"/>
              <w:left w:val="single" w:sz="6" w:space="0" w:color="auto"/>
              <w:bottom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left w:val="single" w:sz="6" w:space="0" w:color="auto"/>
              <w:bottom w:val="double" w:sz="6" w:space="0" w:color="auto"/>
              <w:right w:val="double" w:sz="6" w:space="0" w:color="auto"/>
            </w:tcBorders>
          </w:tcPr>
          <w:p w:rsidR="002432A1" w:rsidRDefault="002432A1"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1,262,534</w:t>
            </w:r>
          </w:p>
        </w:tc>
      </w:tr>
    </w:tbl>
    <w:p w:rsidR="002432A1" w:rsidRDefault="002432A1" w:rsidP="002432A1">
      <w:pPr>
        <w:tabs>
          <w:tab w:val="left" w:pos="-1440"/>
          <w:tab w:val="left" w:pos="-720"/>
          <w:tab w:val="left" w:pos="0"/>
          <w:tab w:val="left" w:pos="720"/>
          <w:tab w:val="left" w:pos="1440"/>
          <w:tab w:val="left" w:pos="2160"/>
          <w:tab w:val="left" w:pos="2880"/>
          <w:tab w:val="left" w:pos="3600"/>
          <w:tab w:val="left" w:pos="4680"/>
          <w:tab w:val="left" w:pos="5040"/>
        </w:tabs>
        <w:suppressAutoHyphens/>
        <w:rPr>
          <w:sz w:val="20"/>
        </w:rPr>
      </w:pPr>
      <w:r>
        <w:rPr>
          <w:sz w:val="20"/>
        </w:rPr>
        <w:t xml:space="preserve"> </w:t>
      </w:r>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vertAlign w:val="superscript"/>
        </w:rPr>
      </w:pPr>
      <w:r>
        <w:rPr>
          <w:sz w:val="20"/>
          <w:vertAlign w:val="superscript"/>
        </w:rPr>
        <w:t>1</w:t>
      </w:r>
      <w:r>
        <w:rPr>
          <w:sz w:val="20"/>
        </w:rPr>
        <w:t xml:space="preserve"> The FM Construction Permit revenues and the VHF and UHF Construction Permit revenues were adjusted to set the regulatory fee to an amount no higher than the lowest licensed fee for that class of service.  The reductions in the FM Construction Permit revenues are offset by increases in the revenue totals for FM radio stations.  Similarly, reductions in the VHF and UHF Construction Permit revenues are offset by increases in the revenue totals for VHF and UHF television stations, respectively. </w:t>
      </w:r>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2</w:t>
      </w:r>
      <w:r>
        <w:rPr>
          <w:sz w:val="20"/>
        </w:rPr>
        <w:t xml:space="preserve"> MDS/MMDS category was renamed Broadband Radio Service (BRS).  </w:t>
      </w:r>
      <w:r>
        <w:rPr>
          <w:i/>
          <w:sz w:val="20"/>
        </w:rPr>
        <w:t xml:space="preserve"> See Amendment of Parts 1, 21, 73, 74 and 101 of the Commission’s Rules to Facilitate the Provision of Fixed and Mobile Broadband  Access, Educational and Other Advanced Services in the 2150-2162 and 2500-2690 MHz Bands</w:t>
      </w:r>
      <w:r>
        <w:rPr>
          <w:sz w:val="20"/>
        </w:rPr>
        <w:t>, Report &amp; Order and Further Notice of Proposed Rulemaking, 19 FCC Rcd 14165, 14169, ¶ 6 (2004).</w:t>
      </w:r>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3</w:t>
      </w:r>
      <w:r>
        <w:rPr>
          <w:sz w:val="20"/>
        </w:rPr>
        <w:t xml:space="preserve"> The chart at the end of Appendix B lists the submarine cable bearer circuit regulatory fees (common and non-common carrier basis) that resulted from the adoption of the following proceedings:  </w:t>
      </w:r>
      <w:r>
        <w:rPr>
          <w:i/>
          <w:sz w:val="20"/>
        </w:rPr>
        <w:t>Assessment and Collection of Regulatory Fees for Fiscal Year 2008</w:t>
      </w:r>
      <w:r>
        <w:rPr>
          <w:sz w:val="20"/>
        </w:rPr>
        <w:t xml:space="preserve">, Second Report and Order (MD Docket No. 08-65, RM-11312), released March 24, 2009; and </w:t>
      </w:r>
      <w:r>
        <w:rPr>
          <w:i/>
          <w:sz w:val="20"/>
        </w:rPr>
        <w:t xml:space="preserve">Assessment and Collection of Regulatory Fees for Fiscal Year 2009 and Assessment and Collection of Regulatory Fees for Fiscal Year 2008, </w:t>
      </w:r>
      <w:r>
        <w:rPr>
          <w:sz w:val="20"/>
        </w:rPr>
        <w:t>Notice of Proposed Rulemaking and Order (MD Docket No. 09-65, MD Docket No. 08-65), released on May 14, 2009.</w:t>
      </w:r>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4</w:t>
      </w:r>
      <w:r>
        <w:rPr>
          <w:sz w:val="20"/>
        </w:rPr>
        <w:t xml:space="preserve"> The fee amounts listed in the column entitled “Rounded New FY 2013 Regulatory Fee” constitute a weighted average media regulatory fee by class of service.  The actual FY 2013 regulatory fees for AM/FM radio station are listed on a grid located at the end of Attachment B.    </w:t>
      </w:r>
      <w:r>
        <w:rPr>
          <w:i/>
          <w:sz w:val="20"/>
        </w:rPr>
        <w:t xml:space="preserve"> </w:t>
      </w:r>
      <w:r>
        <w:rPr>
          <w:sz w:val="20"/>
        </w:rPr>
        <w:br w:type="page"/>
      </w:r>
    </w:p>
    <w:p w:rsidR="006D7CCD" w:rsidRDefault="00312DB4" w:rsidP="00312DB4">
      <w:pPr>
        <w:jc w:val="center"/>
        <w:rPr>
          <w:b/>
        </w:rPr>
      </w:pPr>
      <w:r>
        <w:rPr>
          <w:b/>
        </w:rPr>
        <w:t>ATTACHMENT B1</w:t>
      </w:r>
    </w:p>
    <w:p w:rsidR="006D7CCD" w:rsidRDefault="006D7CCD" w:rsidP="00312DB4">
      <w:pPr>
        <w:jc w:val="center"/>
        <w:rPr>
          <w:b/>
        </w:rPr>
      </w:pPr>
    </w:p>
    <w:p w:rsidR="00312DB4" w:rsidRDefault="00312DB4" w:rsidP="00312DB4">
      <w:pPr>
        <w:jc w:val="center"/>
        <w:rPr>
          <w:b/>
        </w:rPr>
      </w:pPr>
      <w:r>
        <w:rPr>
          <w:b/>
        </w:rPr>
        <w:t>Maintain the Same Percentage Allocations as in Prior Years</w:t>
      </w:r>
    </w:p>
    <w:p w:rsidR="00312DB4" w:rsidRDefault="00312DB4" w:rsidP="00312DB4">
      <w:pPr>
        <w:jc w:val="center"/>
        <w:rPr>
          <w:b/>
        </w:rPr>
      </w:pPr>
    </w:p>
    <w:p w:rsidR="00312DB4" w:rsidRDefault="00312DB4" w:rsidP="00312DB4">
      <w:pPr>
        <w:jc w:val="center"/>
        <w:rPr>
          <w:b/>
        </w:rPr>
      </w:pPr>
      <w:r>
        <w:rPr>
          <w:b/>
        </w:rPr>
        <w:t>FY 2013 Schedule of Regulatory Fees</w:t>
      </w:r>
    </w:p>
    <w:p w:rsidR="00312DB4" w:rsidRDefault="00312DB4" w:rsidP="00312DB4">
      <w:pPr>
        <w:jc w:val="center"/>
        <w:rPr>
          <w:b/>
        </w:rPr>
      </w:pPr>
    </w:p>
    <w:p w:rsidR="00312DB4" w:rsidRDefault="00312DB4" w:rsidP="00312DB4">
      <w:pPr>
        <w:tabs>
          <w:tab w:val="center" w:pos="5040"/>
        </w:tabs>
        <w:suppressAutoHyphens/>
        <w:outlineLvl w:val="0"/>
        <w:rPr>
          <w:szCs w:val="22"/>
        </w:rPr>
      </w:pPr>
      <w:bookmarkStart w:id="224" w:name="_Toc351484779"/>
      <w:bookmarkStart w:id="225" w:name="_Toc351484825"/>
      <w:bookmarkStart w:id="226" w:name="_Toc351484967"/>
      <w:bookmarkStart w:id="227" w:name="_Toc351571076"/>
      <w:bookmarkStart w:id="228" w:name="_Toc351572440"/>
      <w:bookmarkStart w:id="229" w:name="_Toc353032066"/>
      <w:bookmarkStart w:id="230" w:name="_Toc352943199"/>
      <w:bookmarkStart w:id="231" w:name="_Toc352943648"/>
      <w:bookmarkStart w:id="232" w:name="_Toc353870716"/>
      <w:bookmarkStart w:id="233" w:name="_Toc353987743"/>
      <w:bookmarkStart w:id="234" w:name="_Toc353988064"/>
      <w:r>
        <w:rPr>
          <w:szCs w:val="22"/>
        </w:rPr>
        <w:t>Regulatory fees for the categories shaded in gray are collected by the Commission in advance to cover the term of the license and are submitted at the time the application is filed.</w:t>
      </w:r>
      <w:bookmarkEnd w:id="224"/>
      <w:bookmarkEnd w:id="225"/>
      <w:bookmarkEnd w:id="226"/>
      <w:bookmarkEnd w:id="227"/>
      <w:bookmarkEnd w:id="228"/>
      <w:bookmarkEnd w:id="229"/>
      <w:bookmarkEnd w:id="230"/>
      <w:bookmarkEnd w:id="231"/>
      <w:bookmarkEnd w:id="232"/>
      <w:bookmarkEnd w:id="233"/>
      <w:bookmarkEnd w:id="234"/>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312DB4">
        <w:trPr>
          <w:tblHeader/>
        </w:trPr>
        <w:tc>
          <w:tcPr>
            <w:tcW w:w="6840" w:type="dxa"/>
            <w:tcBorders>
              <w:top w:val="double" w:sz="6" w:space="0" w:color="auto"/>
              <w:left w:val="double" w:sz="6" w:space="0" w:color="auto"/>
              <w:bottom w:val="single" w:sz="8" w:space="0" w:color="auto"/>
            </w:tcBorders>
          </w:tcPr>
          <w:p w:rsidR="00312DB4" w:rsidRDefault="00C33D99"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sidR="00312DB4">
              <w:rPr>
                <w:sz w:val="20"/>
              </w:rPr>
              <w:instrText xml:space="preserve">PRIVATE </w:instrText>
            </w:r>
            <w:r>
              <w:rPr>
                <w:sz w:val="20"/>
              </w:rPr>
              <w:fldChar w:fldCharType="end"/>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312DB4" w:rsidRDefault="00312DB4" w:rsidP="00B17FE2">
            <w:pPr>
              <w:tabs>
                <w:tab w:val="center" w:pos="850"/>
              </w:tabs>
              <w:suppressAutoHyphens/>
              <w:spacing w:after="54"/>
              <w:jc w:val="center"/>
              <w:rPr>
                <w:b/>
                <w:sz w:val="20"/>
              </w:rPr>
            </w:pPr>
            <w:r>
              <w:rPr>
                <w:b/>
                <w:sz w:val="20"/>
              </w:rPr>
              <w:t>(U.S. $'s)</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35</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s>
              <w:suppressAutoHyphens/>
              <w:spacing w:before="90" w:after="54"/>
              <w:jc w:val="center"/>
              <w:rPr>
                <w:sz w:val="20"/>
              </w:rPr>
            </w:pPr>
            <w:r>
              <w:rPr>
                <w:sz w:val="20"/>
              </w:rPr>
              <w:t>70</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s>
              <w:suppressAutoHyphens/>
              <w:spacing w:before="90" w:after="54"/>
              <w:jc w:val="center"/>
              <w:rPr>
                <w:sz w:val="20"/>
              </w:rPr>
            </w:pPr>
            <w:r>
              <w:rPr>
                <w:sz w:val="20"/>
              </w:rPr>
              <w:t>10</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s>
              <w:suppressAutoHyphens/>
              <w:spacing w:before="90" w:after="54"/>
              <w:jc w:val="center"/>
              <w:rPr>
                <w:sz w:val="20"/>
              </w:rPr>
            </w:pPr>
            <w:r>
              <w:rPr>
                <w:sz w:val="20"/>
              </w:rPr>
              <w:t>50</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s>
              <w:suppressAutoHyphens/>
              <w:spacing w:before="90" w:after="54"/>
              <w:rPr>
                <w:sz w:val="20"/>
              </w:rPr>
            </w:pPr>
            <w:r>
              <w:rPr>
                <w:sz w:val="20"/>
              </w:rPr>
              <w:t>General Mobile Radio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s>
              <w:suppressAutoHyphens/>
              <w:spacing w:before="90" w:after="54"/>
              <w:jc w:val="center"/>
              <w:rPr>
                <w:sz w:val="20"/>
              </w:rPr>
            </w:pPr>
            <w:r>
              <w:rPr>
                <w:sz w:val="20"/>
              </w:rPr>
              <w:t>5</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s>
              <w:suppressAutoHyphens/>
              <w:spacing w:before="90" w:after="54"/>
              <w:jc w:val="center"/>
              <w:rPr>
                <w:sz w:val="20"/>
              </w:rPr>
            </w:pPr>
            <w:r>
              <w:rPr>
                <w:sz w:val="20"/>
              </w:rPr>
              <w:t>15</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s>
              <w:suppressAutoHyphens/>
              <w:spacing w:before="90" w:after="54"/>
              <w:jc w:val="center"/>
              <w:rPr>
                <w:sz w:val="20"/>
              </w:rPr>
            </w:pPr>
            <w:r>
              <w:rPr>
                <w:sz w:val="20"/>
              </w:rPr>
              <w:t>15</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s>
              <w:suppressAutoHyphens/>
              <w:spacing w:before="90" w:after="54"/>
              <w:jc w:val="center"/>
              <w:rPr>
                <w:sz w:val="20"/>
              </w:rPr>
            </w:pPr>
            <w:r>
              <w:rPr>
                <w:sz w:val="20"/>
              </w:rPr>
              <w:t>10</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s>
              <w:suppressAutoHyphens/>
              <w:spacing w:before="90" w:after="54"/>
              <w:jc w:val="center"/>
              <w:rPr>
                <w:sz w:val="20"/>
              </w:rPr>
            </w:pPr>
            <w:r>
              <w:rPr>
                <w:sz w:val="20"/>
              </w:rPr>
              <w:t>15</w:t>
            </w:r>
          </w:p>
        </w:tc>
      </w:tr>
      <w:tr w:rsidR="00312DB4">
        <w:tc>
          <w:tcPr>
            <w:tcW w:w="6840" w:type="dxa"/>
            <w:tcBorders>
              <w:top w:val="single" w:sz="8" w:space="0" w:color="auto"/>
              <w:left w:val="double" w:sz="12" w:space="0" w:color="auto"/>
              <w:bottom w:val="single" w:sz="8" w:space="0" w:color="auto"/>
              <w:right w:val="single" w:sz="8" w:space="0" w:color="auto"/>
            </w:tcBorders>
            <w:shd w:val="clear" w:color="auto" w:fill="C0C0C0"/>
          </w:tcPr>
          <w:p w:rsidR="00312DB4" w:rsidRDefault="00312DB4" w:rsidP="00B17FE2">
            <w:pPr>
              <w:tabs>
                <w:tab w:val="left" w:pos="-1440"/>
                <w:tab w:val="left" w:pos="-720"/>
              </w:tabs>
              <w:suppressAutoHyphens/>
              <w:spacing w:before="90" w:after="54"/>
              <w:rPr>
                <w:sz w:val="20"/>
              </w:rPr>
            </w:pPr>
            <w:r>
              <w:rPr>
                <w:sz w:val="20"/>
              </w:rPr>
              <w:t xml:space="preserve">Amateur Vanity Call Signs (per call sign) (47 CFR part 97) </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312DB4" w:rsidRDefault="00312DB4" w:rsidP="00B17FE2">
            <w:pPr>
              <w:tabs>
                <w:tab w:val="left" w:pos="-1440"/>
                <w:tab w:val="left" w:pos="-720"/>
              </w:tabs>
              <w:suppressAutoHyphens/>
              <w:spacing w:before="90" w:after="54"/>
              <w:jc w:val="center"/>
              <w:rPr>
                <w:sz w:val="20"/>
              </w:rPr>
            </w:pPr>
            <w:r>
              <w:rPr>
                <w:sz w:val="20"/>
              </w:rPr>
              <w:t>1.52</w:t>
            </w:r>
          </w:p>
        </w:tc>
      </w:tr>
      <w:tr w:rsidR="00312DB4">
        <w:tc>
          <w:tcPr>
            <w:tcW w:w="6840" w:type="dxa"/>
            <w:tcBorders>
              <w:top w:val="single" w:sz="8"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.17</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.08</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Broadband Radio Service (formerly MMDS/ MDS) (per license) (47 CFR part 27)</w:t>
            </w:r>
          </w:p>
          <w:p w:rsidR="00312DB4" w:rsidRDefault="00312DB4" w:rsidP="00B17FE2">
            <w:pPr>
              <w:tabs>
                <w:tab w:val="left" w:pos="-1440"/>
                <w:tab w:val="left" w:pos="-720"/>
              </w:tabs>
              <w:suppressAutoHyphens/>
              <w:spacing w:before="90" w:after="54"/>
              <w:rPr>
                <w:sz w:val="20"/>
              </w:rPr>
            </w:pPr>
            <w:r>
              <w:rPr>
                <w:sz w:val="20"/>
              </w:rPr>
              <w:t>Local Multipoint Distribution Service (per call sign) (47 CFR, part 101)</w:t>
            </w:r>
          </w:p>
          <w:p w:rsidR="00312DB4" w:rsidRDefault="00312DB4" w:rsidP="00B17FE2">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640</w:t>
            </w:r>
          </w:p>
          <w:p w:rsidR="00312DB4" w:rsidRDefault="00312DB4" w:rsidP="00B17FE2">
            <w:pPr>
              <w:tabs>
                <w:tab w:val="left" w:pos="-1440"/>
                <w:tab w:val="left" w:pos="-720"/>
              </w:tabs>
              <w:suppressAutoHyphens/>
              <w:spacing w:before="90" w:after="54"/>
              <w:jc w:val="center"/>
              <w:rPr>
                <w:sz w:val="20"/>
              </w:rPr>
            </w:pPr>
          </w:p>
          <w:p w:rsidR="00312DB4" w:rsidRDefault="00312DB4" w:rsidP="00B17FE2">
            <w:pPr>
              <w:tabs>
                <w:tab w:val="left" w:pos="-1440"/>
                <w:tab w:val="left" w:pos="-720"/>
              </w:tabs>
              <w:suppressAutoHyphens/>
              <w:spacing w:before="90" w:after="54"/>
              <w:jc w:val="center"/>
              <w:rPr>
                <w:sz w:val="20"/>
              </w:rPr>
            </w:pPr>
            <w:r>
              <w:rPr>
                <w:sz w:val="20"/>
              </w:rPr>
              <w:t>640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560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700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TV (47 CFR part 73) VHF Commercial</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right"/>
              <w:rPr>
                <w:sz w:val="20"/>
              </w:rPr>
            </w:pP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82,025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81,775</w:t>
            </w:r>
          </w:p>
        </w:tc>
      </w:tr>
      <w:tr w:rsidR="00312DB4">
        <w:tc>
          <w:tcPr>
            <w:tcW w:w="6840" w:type="dxa"/>
            <w:tcBorders>
              <w:top w:val="single" w:sz="2" w:space="0" w:color="auto"/>
              <w:left w:val="double" w:sz="2" w:space="0" w:color="auto"/>
              <w:right w:val="single" w:sz="2" w:space="0" w:color="auto"/>
            </w:tcBorders>
          </w:tcPr>
          <w:p w:rsidR="00312DB4" w:rsidRDefault="00312DB4" w:rsidP="00B17FE2">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312DB4" w:rsidRDefault="00312DB4" w:rsidP="00B17FE2">
            <w:pPr>
              <w:tabs>
                <w:tab w:val="left" w:pos="-1440"/>
                <w:tab w:val="left" w:pos="-720"/>
              </w:tabs>
              <w:suppressAutoHyphens/>
              <w:spacing w:before="90" w:after="54"/>
              <w:jc w:val="center"/>
              <w:rPr>
                <w:sz w:val="20"/>
              </w:rPr>
            </w:pPr>
            <w:r>
              <w:rPr>
                <w:sz w:val="20"/>
              </w:rPr>
              <w:t>39,725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21,150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5,825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5,825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TV (47 CFR part 73) UHF Commercial</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right"/>
              <w:rPr>
                <w:sz w:val="20"/>
              </w:rPr>
            </w:pP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s>
              <w:suppressAutoHyphens/>
              <w:spacing w:before="90" w:after="54"/>
              <w:ind w:left="720" w:hanging="720"/>
              <w:rPr>
                <w:sz w:val="20"/>
              </w:rPr>
            </w:pPr>
            <w:r>
              <w:rPr>
                <w:sz w:val="20"/>
              </w:rPr>
              <w:tab/>
              <w:t>Markets 1-10</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35,600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32,825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22,050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s>
              <w:suppressAutoHyphens/>
              <w:spacing w:before="90" w:after="54"/>
              <w:ind w:left="720" w:hanging="720"/>
              <w:rPr>
                <w:sz w:val="20"/>
              </w:rPr>
            </w:pPr>
            <w:r>
              <w:rPr>
                <w:sz w:val="20"/>
              </w:rPr>
              <w:tab/>
              <w:t>Markets 51-100</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12,825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3,450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Construction Permits</w:t>
            </w:r>
            <w:r>
              <w:rPr>
                <w:sz w:val="20"/>
              </w:rPr>
              <w:tab/>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3,450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1,400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Construction Permits – Satellite Television Stations</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1,200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390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10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555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Cable Television Systems (per subscriber) (47 CFR part 76)</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1.00</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.00375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265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jc w:val="center"/>
              <w:rPr>
                <w:sz w:val="20"/>
              </w:rPr>
            </w:pPr>
          </w:p>
          <w:p w:rsidR="00312DB4" w:rsidRDefault="00312DB4" w:rsidP="00B17FE2">
            <w:pPr>
              <w:tabs>
                <w:tab w:val="left" w:pos="-1440"/>
                <w:tab w:val="left" w:pos="-720"/>
              </w:tabs>
              <w:suppressAutoHyphens/>
              <w:spacing w:after="54"/>
              <w:jc w:val="center"/>
              <w:rPr>
                <w:sz w:val="20"/>
              </w:rPr>
            </w:pPr>
            <w:r>
              <w:rPr>
                <w:sz w:val="20"/>
              </w:rPr>
              <w:t>134,475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144,875</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.28</w:t>
            </w:r>
          </w:p>
        </w:tc>
      </w:tr>
      <w:tr w:rsidR="00312DB4">
        <w:tc>
          <w:tcPr>
            <w:tcW w:w="684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710" w:type="dxa"/>
            <w:tcBorders>
              <w:top w:val="single" w:sz="6" w:space="0" w:color="auto"/>
              <w:left w:val="single" w:sz="6" w:space="0" w:color="auto"/>
              <w:right w:val="double" w:sz="6" w:space="0" w:color="auto"/>
            </w:tcBorders>
          </w:tcPr>
          <w:p w:rsidR="00312DB4" w:rsidRDefault="00312DB4" w:rsidP="00B17FE2">
            <w:pPr>
              <w:tabs>
                <w:tab w:val="left" w:pos="-1440"/>
                <w:tab w:val="left" w:pos="-720"/>
              </w:tabs>
              <w:suppressAutoHyphens/>
              <w:spacing w:before="90" w:after="54"/>
              <w:jc w:val="center"/>
              <w:rPr>
                <w:sz w:val="20"/>
              </w:rPr>
            </w:pPr>
            <w:r>
              <w:rPr>
                <w:sz w:val="20"/>
              </w:rPr>
              <w:t>See Table Below</w:t>
            </w:r>
          </w:p>
        </w:tc>
      </w:tr>
      <w:tr w:rsidR="00312DB4">
        <w:trPr>
          <w:trHeight w:val="57"/>
        </w:trPr>
        <w:tc>
          <w:tcPr>
            <w:tcW w:w="6840" w:type="dxa"/>
            <w:tcBorders>
              <w:top w:val="single" w:sz="6" w:space="0" w:color="auto"/>
              <w:left w:val="double" w:sz="6" w:space="0" w:color="auto"/>
              <w:bottom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312DB4" w:rsidRDefault="00312DB4" w:rsidP="00B17FE2">
            <w:pPr>
              <w:tabs>
                <w:tab w:val="center" w:pos="850"/>
              </w:tabs>
              <w:suppressAutoHyphens/>
              <w:spacing w:before="90" w:after="54"/>
              <w:jc w:val="center"/>
              <w:rPr>
                <w:sz w:val="20"/>
              </w:rPr>
            </w:pPr>
          </w:p>
        </w:tc>
      </w:tr>
    </w:tbl>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outlineLvl w:val="0"/>
        <w:rPr>
          <w:sz w:val="20"/>
        </w:rPr>
      </w:pPr>
      <w:r>
        <w:rPr>
          <w:sz w:val="20"/>
        </w:rPr>
        <w:br w:type="page"/>
      </w:r>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235" w:name="_Toc351484780"/>
      <w:bookmarkStart w:id="236" w:name="_Toc351484826"/>
      <w:bookmarkStart w:id="237" w:name="_Toc351484968"/>
      <w:bookmarkStart w:id="238" w:name="_Toc351571077"/>
      <w:bookmarkStart w:id="239" w:name="_Toc351572441"/>
      <w:bookmarkStart w:id="240" w:name="_Toc353032067"/>
      <w:bookmarkStart w:id="241" w:name="_Toc352943200"/>
      <w:bookmarkStart w:id="242" w:name="_Toc352943649"/>
      <w:bookmarkStart w:id="243" w:name="_Toc353870717"/>
      <w:bookmarkStart w:id="244" w:name="_Toc353987744"/>
      <w:bookmarkStart w:id="245" w:name="_Toc353988065"/>
      <w:r>
        <w:rPr>
          <w:b/>
          <w:szCs w:val="22"/>
        </w:rPr>
        <w:t>FY 2013 SCHEDULE OF REGULATORY FEES: Maintain Allocation</w:t>
      </w:r>
      <w:r>
        <w:rPr>
          <w:rFonts w:ascii="Times New Roman Bold" w:hAnsi="Times New Roman Bold"/>
          <w:b/>
          <w:szCs w:val="22"/>
        </w:rPr>
        <w:t xml:space="preserve"> (continued)</w:t>
      </w:r>
      <w:bookmarkEnd w:id="235"/>
      <w:bookmarkEnd w:id="236"/>
      <w:bookmarkEnd w:id="237"/>
      <w:bookmarkEnd w:id="238"/>
      <w:bookmarkEnd w:id="239"/>
      <w:bookmarkEnd w:id="240"/>
      <w:bookmarkEnd w:id="241"/>
      <w:bookmarkEnd w:id="242"/>
      <w:bookmarkEnd w:id="243"/>
      <w:bookmarkEnd w:id="244"/>
      <w:bookmarkEnd w:id="245"/>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312DB4">
        <w:tc>
          <w:tcPr>
            <w:tcW w:w="8550" w:type="dxa"/>
            <w:gridSpan w:val="7"/>
            <w:tcBorders>
              <w:top w:val="double" w:sz="6" w:space="0" w:color="auto"/>
              <w:left w:val="double" w:sz="6" w:space="0" w:color="auto"/>
              <w:righ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2013 </w:t>
            </w:r>
            <w:r w:rsidR="00C33D99">
              <w:rPr>
                <w:b/>
                <w:sz w:val="20"/>
              </w:rPr>
              <w:fldChar w:fldCharType="begin"/>
            </w:r>
            <w:r>
              <w:rPr>
                <w:b/>
                <w:sz w:val="20"/>
              </w:rPr>
              <w:instrText xml:space="preserve">PRIVATE </w:instrText>
            </w:r>
            <w:r w:rsidR="00C33D99">
              <w:rPr>
                <w:b/>
                <w:sz w:val="20"/>
              </w:rPr>
              <w:fldChar w:fldCharType="end"/>
            </w:r>
            <w:r>
              <w:rPr>
                <w:b/>
                <w:sz w:val="20"/>
              </w:rPr>
              <w:t>RADIO STATION REGULATORY FEES</w:t>
            </w:r>
          </w:p>
        </w:tc>
      </w:tr>
      <w:tr w:rsidR="00312DB4" w:rsidRPr="00445C3B">
        <w:tc>
          <w:tcPr>
            <w:tcW w:w="189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312DB4" w:rsidRPr="00445C3B"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312DB4" w:rsidRPr="00445C3B"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312DB4" w:rsidRPr="00445C3B"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312DB4" w:rsidRPr="00445C3B"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312DB4">
        <w:tc>
          <w:tcPr>
            <w:tcW w:w="189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99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$625</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$575</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w:t>
            </w:r>
          </w:p>
        </w:tc>
        <w:tc>
          <w:tcPr>
            <w:tcW w:w="144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$700</w:t>
            </w:r>
          </w:p>
        </w:tc>
        <w:tc>
          <w:tcPr>
            <w:tcW w:w="1350" w:type="dxa"/>
            <w:tcBorders>
              <w:top w:val="single" w:sz="6" w:space="0" w:color="auto"/>
              <w:left w:val="single" w:sz="6" w:space="0" w:color="auto"/>
              <w:righ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$875</w:t>
            </w:r>
          </w:p>
        </w:tc>
      </w:tr>
      <w:tr w:rsidR="00312DB4">
        <w:tc>
          <w:tcPr>
            <w:tcW w:w="189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$1,500</w:t>
            </w:r>
          </w:p>
        </w:tc>
        <w:tc>
          <w:tcPr>
            <w:tcW w:w="99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$1,250</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$875</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$975</w:t>
            </w:r>
          </w:p>
        </w:tc>
        <w:tc>
          <w:tcPr>
            <w:tcW w:w="144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$1,400</w:t>
            </w:r>
          </w:p>
        </w:tc>
        <w:tc>
          <w:tcPr>
            <w:tcW w:w="1350" w:type="dxa"/>
            <w:tcBorders>
              <w:top w:val="single" w:sz="6" w:space="0" w:color="auto"/>
              <w:left w:val="single" w:sz="6" w:space="0" w:color="auto"/>
              <w:righ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$1,525</w:t>
            </w:r>
          </w:p>
        </w:tc>
      </w:tr>
      <w:tr w:rsidR="00312DB4">
        <w:tc>
          <w:tcPr>
            <w:tcW w:w="189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$2,250</w:t>
            </w:r>
          </w:p>
        </w:tc>
        <w:tc>
          <w:tcPr>
            <w:tcW w:w="99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$1,575</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$1,150</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$1,625</w:t>
            </w:r>
          </w:p>
        </w:tc>
        <w:tc>
          <w:tcPr>
            <w:tcW w:w="144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$1,925</w:t>
            </w:r>
          </w:p>
        </w:tc>
        <w:tc>
          <w:tcPr>
            <w:tcW w:w="1350" w:type="dxa"/>
            <w:tcBorders>
              <w:top w:val="single" w:sz="6" w:space="0" w:color="auto"/>
              <w:left w:val="single" w:sz="6" w:space="0" w:color="auto"/>
              <w:righ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$2,850</w:t>
            </w:r>
          </w:p>
        </w:tc>
      </w:tr>
      <w:tr w:rsidR="00312DB4">
        <w:tc>
          <w:tcPr>
            <w:tcW w:w="189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$3,375</w:t>
            </w:r>
          </w:p>
        </w:tc>
        <w:tc>
          <w:tcPr>
            <w:tcW w:w="99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$2,650</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$1,725</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$1,950</w:t>
            </w:r>
          </w:p>
        </w:tc>
        <w:tc>
          <w:tcPr>
            <w:tcW w:w="144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$2,975</w:t>
            </w:r>
          </w:p>
        </w:tc>
        <w:tc>
          <w:tcPr>
            <w:tcW w:w="1350" w:type="dxa"/>
            <w:tcBorders>
              <w:top w:val="single" w:sz="6" w:space="0" w:color="auto"/>
              <w:left w:val="single" w:sz="6" w:space="0" w:color="auto"/>
              <w:righ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$3,725</w:t>
            </w:r>
          </w:p>
        </w:tc>
      </w:tr>
      <w:tr w:rsidR="00312DB4">
        <w:tc>
          <w:tcPr>
            <w:tcW w:w="1890" w:type="dxa"/>
            <w:tcBorders>
              <w:top w:val="single" w:sz="6" w:space="0" w:color="auto"/>
              <w:lef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$4,875</w:t>
            </w:r>
          </w:p>
        </w:tc>
        <w:tc>
          <w:tcPr>
            <w:tcW w:w="99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$4,075</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$2,875</w:t>
            </w:r>
          </w:p>
        </w:tc>
        <w:tc>
          <w:tcPr>
            <w:tcW w:w="90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$3,250</w:t>
            </w:r>
          </w:p>
        </w:tc>
        <w:tc>
          <w:tcPr>
            <w:tcW w:w="1440" w:type="dxa"/>
            <w:tcBorders>
              <w:top w:val="single" w:sz="6" w:space="0" w:color="auto"/>
              <w:left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$4,725</w:t>
            </w:r>
          </w:p>
        </w:tc>
        <w:tc>
          <w:tcPr>
            <w:tcW w:w="1350" w:type="dxa"/>
            <w:tcBorders>
              <w:top w:val="single" w:sz="6" w:space="0" w:color="auto"/>
              <w:left w:val="single" w:sz="6" w:space="0" w:color="auto"/>
              <w:righ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$5,475</w:t>
            </w:r>
          </w:p>
        </w:tc>
      </w:tr>
      <w:tr w:rsidR="00312DB4">
        <w:trPr>
          <w:trHeight w:val="361"/>
        </w:trPr>
        <w:tc>
          <w:tcPr>
            <w:tcW w:w="1890" w:type="dxa"/>
            <w:tcBorders>
              <w:top w:val="single" w:sz="6" w:space="0" w:color="auto"/>
              <w:left w:val="double" w:sz="6" w:space="0" w:color="auto"/>
              <w:bottom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$7,500</w:t>
            </w:r>
          </w:p>
        </w:tc>
        <w:tc>
          <w:tcPr>
            <w:tcW w:w="990" w:type="dxa"/>
            <w:tcBorders>
              <w:top w:val="single" w:sz="6" w:space="0" w:color="auto"/>
              <w:left w:val="single" w:sz="6" w:space="0" w:color="auto"/>
              <w:bottom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$6,250</w:t>
            </w:r>
          </w:p>
        </w:tc>
        <w:tc>
          <w:tcPr>
            <w:tcW w:w="900" w:type="dxa"/>
            <w:tcBorders>
              <w:top w:val="single" w:sz="6" w:space="0" w:color="auto"/>
              <w:left w:val="single" w:sz="6" w:space="0" w:color="auto"/>
              <w:bottom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$4,325</w:t>
            </w:r>
          </w:p>
        </w:tc>
        <w:tc>
          <w:tcPr>
            <w:tcW w:w="900" w:type="dxa"/>
            <w:tcBorders>
              <w:top w:val="single" w:sz="6" w:space="0" w:color="auto"/>
              <w:left w:val="single" w:sz="6" w:space="0" w:color="auto"/>
              <w:bottom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$5,200</w:t>
            </w:r>
          </w:p>
        </w:tc>
        <w:tc>
          <w:tcPr>
            <w:tcW w:w="1440" w:type="dxa"/>
            <w:tcBorders>
              <w:top w:val="single" w:sz="6" w:space="0" w:color="auto"/>
              <w:left w:val="single" w:sz="6" w:space="0" w:color="auto"/>
              <w:bottom w:val="sing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$7,700</w:t>
            </w:r>
          </w:p>
        </w:tc>
        <w:tc>
          <w:tcPr>
            <w:tcW w:w="1350" w:type="dxa"/>
            <w:tcBorders>
              <w:top w:val="single" w:sz="6" w:space="0" w:color="auto"/>
              <w:left w:val="single" w:sz="6" w:space="0" w:color="auto"/>
              <w:bottom w:val="single" w:sz="6" w:space="0" w:color="auto"/>
              <w:righ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$8,750</w:t>
            </w:r>
          </w:p>
        </w:tc>
      </w:tr>
      <w:tr w:rsidR="00312DB4">
        <w:tc>
          <w:tcPr>
            <w:tcW w:w="1890" w:type="dxa"/>
            <w:tcBorders>
              <w:top w:val="single" w:sz="6" w:space="0" w:color="auto"/>
              <w:left w:val="double" w:sz="6" w:space="0" w:color="auto"/>
              <w:bottom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$9,000</w:t>
            </w:r>
          </w:p>
        </w:tc>
        <w:tc>
          <w:tcPr>
            <w:tcW w:w="990" w:type="dxa"/>
            <w:tcBorders>
              <w:top w:val="single" w:sz="6" w:space="0" w:color="auto"/>
              <w:left w:val="single" w:sz="6" w:space="0" w:color="auto"/>
              <w:bottom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$7,500</w:t>
            </w:r>
          </w:p>
        </w:tc>
        <w:tc>
          <w:tcPr>
            <w:tcW w:w="900" w:type="dxa"/>
            <w:tcBorders>
              <w:top w:val="single" w:sz="6" w:space="0" w:color="auto"/>
              <w:left w:val="single" w:sz="6" w:space="0" w:color="auto"/>
              <w:bottom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$5,475</w:t>
            </w:r>
          </w:p>
        </w:tc>
        <w:tc>
          <w:tcPr>
            <w:tcW w:w="900" w:type="dxa"/>
            <w:tcBorders>
              <w:top w:val="single" w:sz="6" w:space="0" w:color="auto"/>
              <w:left w:val="single" w:sz="6" w:space="0" w:color="auto"/>
              <w:bottom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$6,500</w:t>
            </w:r>
          </w:p>
        </w:tc>
        <w:tc>
          <w:tcPr>
            <w:tcW w:w="1440" w:type="dxa"/>
            <w:tcBorders>
              <w:top w:val="single" w:sz="6" w:space="0" w:color="auto"/>
              <w:left w:val="single" w:sz="6" w:space="0" w:color="auto"/>
              <w:bottom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$9,800</w:t>
            </w:r>
          </w:p>
        </w:tc>
        <w:tc>
          <w:tcPr>
            <w:tcW w:w="1350" w:type="dxa"/>
            <w:tcBorders>
              <w:top w:val="single" w:sz="6" w:space="0" w:color="auto"/>
              <w:left w:val="single" w:sz="6" w:space="0" w:color="auto"/>
              <w:bottom w:val="double" w:sz="6" w:space="0" w:color="auto"/>
              <w:right w:val="double" w:sz="6" w:space="0" w:color="auto"/>
            </w:tcBorders>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$11,375</w:t>
            </w:r>
          </w:p>
        </w:tc>
      </w:tr>
    </w:tbl>
    <w:p w:rsidR="00312DB4" w:rsidRDefault="00312DB4" w:rsidP="00312DB4">
      <w:pPr>
        <w:tabs>
          <w:tab w:val="right" w:pos="10080"/>
        </w:tabs>
        <w:suppressAutoHyphens/>
        <w:ind w:left="450"/>
        <w:jc w:val="center"/>
        <w:outlineLvl w:val="0"/>
        <w:rPr>
          <w:b/>
          <w:szCs w:val="22"/>
        </w:rPr>
      </w:pPr>
    </w:p>
    <w:p w:rsidR="00312DB4" w:rsidRDefault="00312DB4" w:rsidP="00312DB4">
      <w:pPr>
        <w:tabs>
          <w:tab w:val="right" w:pos="10080"/>
        </w:tabs>
        <w:suppressAutoHyphens/>
        <w:ind w:left="450"/>
        <w:jc w:val="center"/>
        <w:outlineLvl w:val="0"/>
        <w:rPr>
          <w:b/>
          <w:szCs w:val="22"/>
        </w:rPr>
      </w:pPr>
      <w:bookmarkStart w:id="246" w:name="_Toc351484781"/>
      <w:bookmarkStart w:id="247" w:name="_Toc351484827"/>
      <w:bookmarkStart w:id="248" w:name="_Toc351484969"/>
      <w:bookmarkStart w:id="249" w:name="_Toc351571078"/>
      <w:bookmarkStart w:id="250" w:name="_Toc351572442"/>
      <w:bookmarkStart w:id="251" w:name="_Toc353032068"/>
      <w:bookmarkStart w:id="252" w:name="_Toc352943201"/>
      <w:bookmarkStart w:id="253" w:name="_Toc352943650"/>
      <w:bookmarkStart w:id="254" w:name="_Toc353870718"/>
      <w:bookmarkStart w:id="255" w:name="_Toc353987745"/>
      <w:bookmarkStart w:id="256" w:name="_Toc353988066"/>
      <w:r>
        <w:rPr>
          <w:b/>
          <w:szCs w:val="22"/>
        </w:rPr>
        <w:t>FY 2013 SCHEDULE OF REGULATORY FEES</w:t>
      </w:r>
      <w:bookmarkEnd w:id="246"/>
      <w:bookmarkEnd w:id="247"/>
      <w:bookmarkEnd w:id="248"/>
      <w:bookmarkEnd w:id="249"/>
      <w:bookmarkEnd w:id="250"/>
      <w:bookmarkEnd w:id="251"/>
      <w:bookmarkEnd w:id="252"/>
      <w:bookmarkEnd w:id="253"/>
      <w:bookmarkEnd w:id="254"/>
      <w:bookmarkEnd w:id="255"/>
      <w:bookmarkEnd w:id="256"/>
    </w:p>
    <w:p w:rsidR="00312DB4" w:rsidRDefault="00312DB4" w:rsidP="00312DB4">
      <w:pPr>
        <w:tabs>
          <w:tab w:val="right" w:pos="10080"/>
        </w:tabs>
        <w:suppressAutoHyphens/>
        <w:ind w:left="450"/>
        <w:jc w:val="center"/>
        <w:outlineLvl w:val="0"/>
        <w:rPr>
          <w:b/>
          <w:szCs w:val="22"/>
        </w:rPr>
      </w:pPr>
      <w:bookmarkStart w:id="257" w:name="_Toc351484782"/>
      <w:bookmarkStart w:id="258" w:name="_Toc351484828"/>
      <w:bookmarkStart w:id="259" w:name="_Toc351484970"/>
      <w:bookmarkStart w:id="260" w:name="_Toc351571079"/>
      <w:bookmarkStart w:id="261" w:name="_Toc351572443"/>
      <w:bookmarkStart w:id="262" w:name="_Toc353032069"/>
      <w:bookmarkStart w:id="263" w:name="_Toc352943202"/>
      <w:bookmarkStart w:id="264" w:name="_Toc352943651"/>
      <w:bookmarkStart w:id="265" w:name="_Toc353870719"/>
      <w:bookmarkStart w:id="266" w:name="_Toc353987746"/>
      <w:bookmarkStart w:id="267" w:name="_Toc353988067"/>
      <w:r>
        <w:rPr>
          <w:b/>
          <w:szCs w:val="22"/>
        </w:rPr>
        <w:t>International Bearer Circuits - Submarine Cable</w:t>
      </w:r>
      <w:bookmarkEnd w:id="257"/>
      <w:bookmarkEnd w:id="258"/>
      <w:bookmarkEnd w:id="259"/>
      <w:bookmarkEnd w:id="260"/>
      <w:bookmarkEnd w:id="261"/>
      <w:bookmarkEnd w:id="262"/>
      <w:bookmarkEnd w:id="263"/>
      <w:bookmarkEnd w:id="264"/>
      <w:bookmarkEnd w:id="265"/>
      <w:bookmarkEnd w:id="266"/>
      <w:bookmarkEnd w:id="267"/>
    </w:p>
    <w:p w:rsidR="00312DB4" w:rsidRDefault="00312DB4" w:rsidP="00312DB4">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312DB4">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2012)</w:t>
            </w:r>
          </w:p>
        </w:tc>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312DB4">
        <w:trPr>
          <w:trHeight w:val="1034"/>
        </w:trPr>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192" w:type="dxa"/>
            <w:vAlign w:val="center"/>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$13,450</w:t>
            </w:r>
          </w:p>
        </w:tc>
        <w:tc>
          <w:tcPr>
            <w:tcW w:w="3192" w:type="dxa"/>
          </w:tcPr>
          <w:p w:rsidR="00312DB4" w:rsidRDefault="00312DB4" w:rsidP="00B17FE2">
            <w:pPr>
              <w:rPr>
                <w:szCs w:val="22"/>
              </w:rPr>
            </w:pPr>
          </w:p>
          <w:p w:rsidR="00312DB4" w:rsidRDefault="00312DB4" w:rsidP="00B17FE2">
            <w:pPr>
              <w:rPr>
                <w:szCs w:val="22"/>
              </w:rPr>
            </w:pPr>
            <w:r>
              <w:rPr>
                <w:szCs w:val="22"/>
              </w:rPr>
              <w:t>FCC, International, P.O. Box 979084, St. Louis, MO 63197-9000</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312DB4">
        <w:trPr>
          <w:trHeight w:val="1034"/>
        </w:trPr>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192" w:type="dxa"/>
            <w:vAlign w:val="center"/>
          </w:tcPr>
          <w:p w:rsidR="00312DB4" w:rsidRDefault="00312DB4" w:rsidP="00B17FE2">
            <w:pPr>
              <w:jc w:val="center"/>
              <w:rPr>
                <w:bCs/>
                <w:szCs w:val="22"/>
              </w:rPr>
            </w:pPr>
            <w:r>
              <w:rPr>
                <w:bCs/>
                <w:szCs w:val="22"/>
              </w:rPr>
              <w:t>$26,925</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312DB4" w:rsidRDefault="00312DB4" w:rsidP="00B17FE2">
            <w:pPr>
              <w:rPr>
                <w:szCs w:val="22"/>
              </w:rPr>
            </w:pPr>
            <w:r>
              <w:rPr>
                <w:szCs w:val="22"/>
              </w:rPr>
              <w:t>FCC, International, P.O. Box 979084, St. Louis, MO 63197-9000</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312DB4">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192" w:type="dxa"/>
            <w:vAlign w:val="center"/>
          </w:tcPr>
          <w:p w:rsidR="00312DB4" w:rsidRDefault="00312DB4" w:rsidP="00B17FE2">
            <w:pPr>
              <w:jc w:val="center"/>
              <w:rPr>
                <w:bCs/>
                <w:szCs w:val="22"/>
              </w:rPr>
            </w:pPr>
            <w:r>
              <w:rPr>
                <w:bCs/>
                <w:szCs w:val="22"/>
              </w:rPr>
              <w:t xml:space="preserve">$53,825 </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312DB4" w:rsidRDefault="00312DB4" w:rsidP="00B17FE2">
            <w:pPr>
              <w:rPr>
                <w:szCs w:val="22"/>
              </w:rPr>
            </w:pPr>
            <w:r>
              <w:rPr>
                <w:szCs w:val="22"/>
              </w:rPr>
              <w:t>FCC, International, P.O. Box 979084, St. Louis, MO 63197-9000</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312DB4">
        <w:trPr>
          <w:trHeight w:val="998"/>
        </w:trPr>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192" w:type="dxa"/>
            <w:vAlign w:val="center"/>
          </w:tcPr>
          <w:p w:rsidR="00312DB4" w:rsidRDefault="00312DB4" w:rsidP="00B17FE2">
            <w:pPr>
              <w:jc w:val="center"/>
              <w:rPr>
                <w:bCs/>
                <w:szCs w:val="22"/>
              </w:rPr>
            </w:pPr>
            <w:r>
              <w:rPr>
                <w:bCs/>
                <w:szCs w:val="22"/>
              </w:rPr>
              <w:t xml:space="preserve">$107,675 </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pacing w:val="-3"/>
                <w:szCs w:val="22"/>
              </w:rPr>
              <w:t xml:space="preserve"> </w:t>
            </w:r>
          </w:p>
          <w:p w:rsidR="00312DB4" w:rsidRDefault="00312DB4" w:rsidP="00B17FE2">
            <w:pPr>
              <w:rPr>
                <w:spacing w:val="-3"/>
                <w:szCs w:val="22"/>
              </w:rPr>
            </w:pPr>
            <w:r>
              <w:rPr>
                <w:szCs w:val="22"/>
              </w:rPr>
              <w:t>FCC, International, P.O. Box 979084, St. Louis, MO 63197-9000</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312DB4">
        <w:trPr>
          <w:trHeight w:val="998"/>
        </w:trPr>
        <w:tc>
          <w:tcPr>
            <w:tcW w:w="3192" w:type="dxa"/>
          </w:tcPr>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192" w:type="dxa"/>
            <w:vAlign w:val="center"/>
          </w:tcPr>
          <w:p w:rsidR="00312DB4" w:rsidRDefault="00312DB4" w:rsidP="00B17FE2">
            <w:pPr>
              <w:jc w:val="center"/>
            </w:pPr>
            <w:r>
              <w:rPr>
                <w:bCs/>
                <w:szCs w:val="22"/>
              </w:rPr>
              <w:t>$215,325</w:t>
            </w:r>
          </w:p>
        </w:tc>
        <w:tc>
          <w:tcPr>
            <w:tcW w:w="3192" w:type="dxa"/>
          </w:tcPr>
          <w:p w:rsidR="00312DB4" w:rsidRDefault="00312DB4" w:rsidP="00B17FE2">
            <w:pPr>
              <w:rPr>
                <w:spacing w:val="-3"/>
              </w:rPr>
            </w:pPr>
            <w:r>
              <w:rPr>
                <w:szCs w:val="22"/>
              </w:rPr>
              <w:t>FCC, International, P.O. Box 979084, St. Louis, MO 63197-9000</w:t>
            </w:r>
          </w:p>
          <w:p w:rsidR="00312DB4" w:rsidRDefault="00312DB4"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bl>
    <w:p w:rsidR="006D7CCD" w:rsidRDefault="00312DB4" w:rsidP="00540822">
      <w:pPr>
        <w:autoSpaceDE w:val="0"/>
        <w:autoSpaceDN w:val="0"/>
        <w:adjustRightInd w:val="0"/>
        <w:jc w:val="center"/>
        <w:rPr>
          <w:b/>
        </w:rPr>
      </w:pPr>
      <w:r>
        <w:rPr>
          <w:b/>
          <w:szCs w:val="22"/>
        </w:rPr>
        <w:br w:type="page"/>
      </w:r>
      <w:r w:rsidR="00540822">
        <w:rPr>
          <w:b/>
        </w:rPr>
        <w:t>ATTACHMENT A2</w:t>
      </w:r>
    </w:p>
    <w:p w:rsidR="006D7CCD" w:rsidRDefault="006D7CCD" w:rsidP="00540822">
      <w:pPr>
        <w:autoSpaceDE w:val="0"/>
        <w:autoSpaceDN w:val="0"/>
        <w:adjustRightInd w:val="0"/>
        <w:jc w:val="center"/>
        <w:rPr>
          <w:b/>
        </w:rPr>
      </w:pPr>
    </w:p>
    <w:p w:rsidR="00540822" w:rsidRDefault="00540822" w:rsidP="00540822">
      <w:pPr>
        <w:autoSpaceDE w:val="0"/>
        <w:autoSpaceDN w:val="0"/>
        <w:adjustRightInd w:val="0"/>
        <w:jc w:val="center"/>
        <w:rPr>
          <w:b/>
          <w:vertAlign w:val="superscript"/>
        </w:rPr>
      </w:pPr>
      <w:r>
        <w:rPr>
          <w:b/>
        </w:rPr>
        <w:t>Revised FTE (as of 9/30/12) Allocations,</w:t>
      </w:r>
      <w:r>
        <w:rPr>
          <w:b/>
          <w:vertAlign w:val="superscript"/>
        </w:rPr>
        <w:t>5</w:t>
      </w:r>
    </w:p>
    <w:p w:rsidR="00540822" w:rsidRPr="0035735F" w:rsidRDefault="00540822" w:rsidP="00540822">
      <w:pPr>
        <w:autoSpaceDE w:val="0"/>
        <w:autoSpaceDN w:val="0"/>
        <w:adjustRightInd w:val="0"/>
        <w:jc w:val="center"/>
        <w:rPr>
          <w:rFonts w:ascii="Times New Roman Bold" w:hAnsi="Times New Roman Bold"/>
          <w:b/>
        </w:rPr>
      </w:pPr>
      <w:r>
        <w:rPr>
          <w:b/>
        </w:rPr>
        <w:t xml:space="preserve">Fee Rate Increases Capped at 7.5%, Prior to </w:t>
      </w:r>
      <w:r>
        <w:rPr>
          <w:rFonts w:ascii="Times New Roman Bold" w:hAnsi="Times New Roman Bold"/>
          <w:b/>
        </w:rPr>
        <w:t>Rounding</w:t>
      </w:r>
      <w:r>
        <w:rPr>
          <w:rFonts w:ascii="Times New Roman Bold" w:hAnsi="Times New Roman Bold"/>
          <w:b/>
          <w:vertAlign w:val="superscript"/>
        </w:rPr>
        <w:t>6</w:t>
      </w:r>
    </w:p>
    <w:p w:rsidR="00540822" w:rsidRDefault="00540822" w:rsidP="00540822">
      <w:pPr>
        <w:autoSpaceDE w:val="0"/>
        <w:autoSpaceDN w:val="0"/>
        <w:adjustRightInd w:val="0"/>
        <w:jc w:val="center"/>
        <w:rPr>
          <w:b/>
        </w:rPr>
      </w:pPr>
    </w:p>
    <w:p w:rsidR="00540822" w:rsidRDefault="00540822" w:rsidP="00540822">
      <w:pPr>
        <w:jc w:val="center"/>
        <w:rPr>
          <w:b/>
        </w:rPr>
      </w:pPr>
      <w:r>
        <w:rPr>
          <w:b/>
        </w:rPr>
        <w:t>Calculation of FY 2013 Revenue Requirements and Pro-Rata Fees</w:t>
      </w:r>
    </w:p>
    <w:p w:rsidR="00540822" w:rsidRDefault="00540822" w:rsidP="00540822">
      <w:pPr>
        <w:jc w:val="center"/>
        <w:rPr>
          <w:b/>
        </w:rPr>
      </w:pPr>
    </w:p>
    <w:p w:rsidR="00540822" w:rsidRDefault="00540822" w:rsidP="00540822">
      <w:pPr>
        <w:tabs>
          <w:tab w:val="center" w:pos="5040"/>
        </w:tabs>
        <w:suppressAutoHyphens/>
        <w:outlineLvl w:val="0"/>
        <w:rPr>
          <w:b/>
          <w:szCs w:val="22"/>
        </w:rPr>
      </w:pPr>
      <w:r>
        <w:rPr>
          <w:szCs w:val="22"/>
        </w:rPr>
        <w:t>Regulatory fees for the categories shaded in gray are collected by the Commission in advance to cover the term of the license and are submitted at the time the application is filed.</w:t>
      </w:r>
      <w:r>
        <w:rPr>
          <w:b/>
          <w:szCs w:val="22"/>
        </w:rPr>
        <w:t xml:space="preserve"> </w:t>
      </w:r>
    </w:p>
    <w:tbl>
      <w:tblPr>
        <w:tblW w:w="9180" w:type="dxa"/>
        <w:tblInd w:w="-60" w:type="dxa"/>
        <w:tblLayout w:type="fixed"/>
        <w:tblCellMar>
          <w:left w:w="30" w:type="dxa"/>
          <w:right w:w="30" w:type="dxa"/>
        </w:tblCellMar>
        <w:tblLook w:val="0000" w:firstRow="0" w:lastRow="0" w:firstColumn="0" w:lastColumn="0" w:noHBand="0" w:noVBand="0"/>
      </w:tblPr>
      <w:tblGrid>
        <w:gridCol w:w="1710"/>
        <w:gridCol w:w="1350"/>
        <w:gridCol w:w="630"/>
        <w:gridCol w:w="1080"/>
        <w:gridCol w:w="1080"/>
        <w:gridCol w:w="1080"/>
        <w:gridCol w:w="1170"/>
        <w:gridCol w:w="1080"/>
      </w:tblGrid>
      <w:tr w:rsidR="00540822">
        <w:trPr>
          <w:tblHeader/>
        </w:trPr>
        <w:tc>
          <w:tcPr>
            <w:tcW w:w="1710" w:type="dxa"/>
            <w:tcBorders>
              <w:top w:val="double" w:sz="6" w:space="0" w:color="auto"/>
              <w:left w:val="double" w:sz="6" w:space="0" w:color="auto"/>
              <w:bottom w:val="single" w:sz="18" w:space="0" w:color="auto"/>
            </w:tcBorders>
          </w:tcPr>
          <w:p w:rsidR="00540822" w:rsidRDefault="00C33D99"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fldChar w:fldCharType="begin"/>
            </w:r>
            <w:r w:rsidR="00540822">
              <w:rPr>
                <w:b/>
                <w:sz w:val="20"/>
              </w:rPr>
              <w:instrText xml:space="preserve">PRIVATE </w:instrText>
            </w:r>
            <w:r>
              <w:rPr>
                <w:b/>
                <w:sz w:val="20"/>
              </w:rPr>
              <w:fldChar w:fldCharType="end"/>
            </w:r>
            <w:r w:rsidR="00540822">
              <w:rPr>
                <w:b/>
                <w:sz w:val="20"/>
              </w:rPr>
              <w:t>Fee Category</w:t>
            </w:r>
          </w:p>
        </w:tc>
        <w:tc>
          <w:tcPr>
            <w:tcW w:w="1350" w:type="dxa"/>
            <w:tcBorders>
              <w:top w:val="double" w:sz="6" w:space="0" w:color="auto"/>
              <w:left w:val="single" w:sz="6" w:space="0" w:color="auto"/>
              <w:bottom w:val="single" w:sz="18"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2013 Payment Units</w:t>
            </w:r>
          </w:p>
        </w:tc>
        <w:tc>
          <w:tcPr>
            <w:tcW w:w="630" w:type="dxa"/>
            <w:tcBorders>
              <w:top w:val="double" w:sz="6" w:space="0" w:color="auto"/>
              <w:left w:val="single" w:sz="6" w:space="0" w:color="auto"/>
              <w:bottom w:val="single" w:sz="18"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Years</w:t>
            </w:r>
          </w:p>
        </w:tc>
        <w:tc>
          <w:tcPr>
            <w:tcW w:w="1080" w:type="dxa"/>
            <w:tcBorders>
              <w:top w:val="double" w:sz="6" w:space="0" w:color="auto"/>
              <w:left w:val="single" w:sz="6" w:space="0" w:color="auto"/>
              <w:bottom w:val="single" w:sz="18"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FY 2012 Revenue Estimate</w:t>
            </w:r>
          </w:p>
        </w:tc>
        <w:tc>
          <w:tcPr>
            <w:tcW w:w="1080" w:type="dxa"/>
            <w:tcBorders>
              <w:top w:val="double" w:sz="6" w:space="0" w:color="auto"/>
              <w:left w:val="single" w:sz="6" w:space="0" w:color="auto"/>
              <w:bottom w:val="single" w:sz="18"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 w:val="20"/>
              </w:rPr>
            </w:pPr>
            <w:r>
              <w:rPr>
                <w:b/>
                <w:sz w:val="20"/>
              </w:rPr>
              <w:t>Pro-Rated FY 2013 Revenue Require-ment</w:t>
            </w:r>
          </w:p>
        </w:tc>
        <w:tc>
          <w:tcPr>
            <w:tcW w:w="1080" w:type="dxa"/>
            <w:tcBorders>
              <w:top w:val="double" w:sz="6" w:space="0" w:color="auto"/>
              <w:left w:val="single" w:sz="6" w:space="0" w:color="auto"/>
              <w:bottom w:val="single" w:sz="18"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 xml:space="preserve"> Uncapped FY 2013 Regulatory Fee</w:t>
            </w:r>
          </w:p>
        </w:tc>
        <w:tc>
          <w:tcPr>
            <w:tcW w:w="1170" w:type="dxa"/>
            <w:tcBorders>
              <w:top w:val="double" w:sz="6" w:space="0" w:color="auto"/>
              <w:left w:val="single" w:sz="6" w:space="0" w:color="auto"/>
              <w:bottom w:val="single" w:sz="18"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Rounded &amp; Capped</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 xml:space="preserve">FY 2013 </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Regulatory Fee</w:t>
            </w:r>
          </w:p>
        </w:tc>
        <w:tc>
          <w:tcPr>
            <w:tcW w:w="1080" w:type="dxa"/>
            <w:tcBorders>
              <w:top w:val="double" w:sz="6" w:space="0" w:color="auto"/>
              <w:left w:val="single" w:sz="6" w:space="0" w:color="auto"/>
              <w:bottom w:val="single" w:sz="18"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Expected</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FY 2013</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b/>
                <w:sz w:val="20"/>
              </w:rPr>
              <w:t>Revenue</w:t>
            </w:r>
          </w:p>
        </w:tc>
      </w:tr>
      <w:tr w:rsidR="00540822">
        <w:tc>
          <w:tcPr>
            <w:tcW w:w="1710" w:type="dxa"/>
            <w:tcBorders>
              <w:top w:val="single" w:sz="1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PLMRS (Exclusive Use) </w:t>
            </w:r>
          </w:p>
        </w:tc>
        <w:tc>
          <w:tcPr>
            <w:tcW w:w="1350" w:type="dxa"/>
            <w:tcBorders>
              <w:top w:val="single" w:sz="1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1,400</w:t>
            </w:r>
          </w:p>
        </w:tc>
        <w:tc>
          <w:tcPr>
            <w:tcW w:w="630" w:type="dxa"/>
            <w:tcBorders>
              <w:top w:val="single" w:sz="1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490,000</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606,762</w:t>
            </w:r>
          </w:p>
        </w:tc>
        <w:tc>
          <w:tcPr>
            <w:tcW w:w="1080" w:type="dxa"/>
            <w:tcBorders>
              <w:top w:val="single" w:sz="1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40</w:t>
            </w:r>
          </w:p>
        </w:tc>
        <w:tc>
          <w:tcPr>
            <w:tcW w:w="1080" w:type="dxa"/>
            <w:tcBorders>
              <w:top w:val="single" w:sz="1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560,000</w:t>
            </w:r>
          </w:p>
        </w:tc>
      </w:tr>
      <w:tr w:rsidR="00540822">
        <w:tc>
          <w:tcPr>
            <w:tcW w:w="1710" w:type="dxa"/>
            <w:tcBorders>
              <w:top w:val="single" w:sz="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PLMRS (Shared use)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15,000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2,903,790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2,250,000</w:t>
            </w:r>
          </w:p>
        </w:tc>
      </w:tr>
      <w:tr w:rsidR="00540822">
        <w:tc>
          <w:tcPr>
            <w:tcW w:w="1710" w:type="dxa"/>
            <w:tcBorders>
              <w:top w:val="single" w:sz="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Microwave</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13,200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2,640,000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2,860,449</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2,640,000</w:t>
            </w:r>
          </w:p>
        </w:tc>
      </w:tr>
      <w:tr w:rsidR="00540822">
        <w:tc>
          <w:tcPr>
            <w:tcW w:w="1710" w:type="dxa"/>
            <w:tcBorders>
              <w:top w:val="single" w:sz="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218-219 MHz (Formerly IVDS)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4,334</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87</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3,750</w:t>
            </w:r>
          </w:p>
        </w:tc>
      </w:tr>
      <w:tr w:rsidR="00540822">
        <w:tc>
          <w:tcPr>
            <w:tcW w:w="1710" w:type="dxa"/>
            <w:tcBorders>
              <w:top w:val="single" w:sz="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(Ship)</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6,550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953,483</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655,000</w:t>
            </w:r>
          </w:p>
        </w:tc>
      </w:tr>
      <w:tr w:rsidR="00540822">
        <w:tc>
          <w:tcPr>
            <w:tcW w:w="1710" w:type="dxa"/>
            <w:tcBorders>
              <w:top w:val="single" w:sz="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GMRS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7,700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5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192,500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346,721</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395,000</w:t>
            </w:r>
          </w:p>
        </w:tc>
      </w:tr>
      <w:tr w:rsidR="00540822">
        <w:tc>
          <w:tcPr>
            <w:tcW w:w="1710" w:type="dxa"/>
            <w:tcBorders>
              <w:top w:val="single" w:sz="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(Aircraft)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2,900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433,401</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290,000</w:t>
            </w:r>
          </w:p>
        </w:tc>
      </w:tr>
      <w:tr w:rsidR="00540822">
        <w:tc>
          <w:tcPr>
            <w:tcW w:w="1710" w:type="dxa"/>
            <w:tcBorders>
              <w:top w:val="single" w:sz="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Marine (Coast)</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285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142,500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173,361</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156,750</w:t>
            </w:r>
          </w:p>
        </w:tc>
      </w:tr>
      <w:tr w:rsidR="00540822">
        <w:tc>
          <w:tcPr>
            <w:tcW w:w="1710" w:type="dxa"/>
            <w:tcBorders>
              <w:top w:val="single" w:sz="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Aviation (Ground)</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900 </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173,361</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135,000</w:t>
            </w:r>
          </w:p>
        </w:tc>
      </w:tr>
      <w:tr w:rsidR="00540822">
        <w:tc>
          <w:tcPr>
            <w:tcW w:w="1710" w:type="dxa"/>
            <w:tcBorders>
              <w:top w:val="single" w:sz="8" w:space="0" w:color="auto"/>
              <w:left w:val="double" w:sz="12"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Amateur Vanity Call Signs</w:t>
            </w:r>
          </w:p>
        </w:tc>
        <w:tc>
          <w:tcPr>
            <w:tcW w:w="135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14,300</w:t>
            </w:r>
          </w:p>
        </w:tc>
        <w:tc>
          <w:tcPr>
            <w:tcW w:w="63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10 </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214,500</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260,041</w:t>
            </w:r>
          </w:p>
        </w:tc>
        <w:tc>
          <w:tcPr>
            <w:tcW w:w="108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1.82</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1.61</w:t>
            </w:r>
          </w:p>
        </w:tc>
        <w:tc>
          <w:tcPr>
            <w:tcW w:w="1080" w:type="dxa"/>
            <w:tcBorders>
              <w:top w:val="single" w:sz="8" w:space="0" w:color="auto"/>
              <w:left w:val="single" w:sz="8" w:space="0" w:color="auto"/>
              <w:bottom w:val="single" w:sz="8" w:space="0" w:color="auto"/>
              <w:right w:val="double" w:sz="12" w:space="0" w:color="auto"/>
            </w:tcBorders>
            <w:shd w:val="clear" w:color="auto" w:fill="C0C0C0"/>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230,230</w:t>
            </w:r>
          </w:p>
        </w:tc>
      </w:tr>
      <w:tr w:rsidR="00540822">
        <w:tc>
          <w:tcPr>
            <w:tcW w:w="1710" w:type="dxa"/>
            <w:tcBorders>
              <w:top w:val="single" w:sz="8"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A</w:t>
            </w:r>
            <w:r>
              <w:rPr>
                <w:sz w:val="20"/>
                <w:vertAlign w:val="superscript"/>
              </w:rPr>
              <w:t>4a</w:t>
            </w:r>
          </w:p>
        </w:tc>
        <w:tc>
          <w:tcPr>
            <w:tcW w:w="1350" w:type="dxa"/>
            <w:tcBorders>
              <w:top w:val="single" w:sz="8"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68</w:t>
            </w:r>
          </w:p>
        </w:tc>
        <w:tc>
          <w:tcPr>
            <w:tcW w:w="630" w:type="dxa"/>
            <w:tcBorders>
              <w:top w:val="single" w:sz="8"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8"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250,100</w:t>
            </w:r>
          </w:p>
        </w:tc>
        <w:tc>
          <w:tcPr>
            <w:tcW w:w="1080" w:type="dxa"/>
            <w:tcBorders>
              <w:top w:val="single" w:sz="8"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295,438</w:t>
            </w:r>
          </w:p>
        </w:tc>
        <w:tc>
          <w:tcPr>
            <w:tcW w:w="1080" w:type="dxa"/>
            <w:tcBorders>
              <w:top w:val="single" w:sz="8"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4,345</w:t>
            </w:r>
          </w:p>
        </w:tc>
        <w:tc>
          <w:tcPr>
            <w:tcW w:w="1170" w:type="dxa"/>
            <w:tcBorders>
              <w:top w:val="single" w:sz="8"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4,350</w:t>
            </w:r>
          </w:p>
        </w:tc>
        <w:tc>
          <w:tcPr>
            <w:tcW w:w="1080" w:type="dxa"/>
            <w:tcBorders>
              <w:top w:val="single" w:sz="8"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295,800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B</w:t>
            </w:r>
            <w:r>
              <w:rPr>
                <w:sz w:val="20"/>
                <w:vertAlign w:val="superscript"/>
              </w:rPr>
              <w:t>4b</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1,454</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3,125,875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3,671,874</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2,525</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3,307,850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C</w:t>
            </w:r>
            <w:r>
              <w:rPr>
                <w:sz w:val="20"/>
                <w:vertAlign w:val="superscript"/>
              </w:rPr>
              <w:t>4c</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837</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1,107,975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1,308,369</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1,563</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1,150,875</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AM Class D</w:t>
            </w:r>
            <w:r>
              <w:rPr>
                <w:sz w:val="20"/>
                <w:vertAlign w:val="superscript"/>
              </w:rPr>
              <w:t>4d</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1,406</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3,698,400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4,347,161</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3,092</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3,620,450</w:t>
            </w:r>
          </w:p>
        </w:tc>
      </w:tr>
      <w:tr w:rsidR="00540822">
        <w:tc>
          <w:tcPr>
            <w:tcW w:w="1710" w:type="dxa"/>
            <w:tcBorders>
              <w:top w:val="single" w:sz="6" w:space="0" w:color="auto"/>
              <w:left w:val="double" w:sz="6" w:space="0" w:color="auto"/>
            </w:tcBorders>
          </w:tcPr>
          <w:p w:rsidR="00540822" w:rsidRPr="00445C3B"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lang w:val="pt-BR"/>
              </w:rPr>
            </w:pPr>
            <w:r w:rsidRPr="00445C3B">
              <w:rPr>
                <w:sz w:val="20"/>
                <w:lang w:val="pt-BR"/>
              </w:rPr>
              <w:t>FM Classes A, B1 &amp; C3</w:t>
            </w:r>
            <w:r w:rsidRPr="00445C3B">
              <w:rPr>
                <w:sz w:val="20"/>
                <w:vertAlign w:val="superscript"/>
                <w:lang w:val="pt-BR"/>
              </w:rPr>
              <w:t>4e</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2,935</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7,764,750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8,989,760</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3,063</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2,750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8,071,250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FM Classes B, C, C0, C1 &amp; C2</w:t>
            </w:r>
            <w:r>
              <w:rPr>
                <w:sz w:val="20"/>
                <w:vertAlign w:val="superscript"/>
              </w:rPr>
              <w:t>4f</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3,110</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9,513,000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11,057,826</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3,556</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10,496,250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AM Construction Permits</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51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35,750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42,205</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828</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590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30,090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FM Construction Permits</w:t>
            </w:r>
            <w:r>
              <w:rPr>
                <w:sz w:val="20"/>
                <w:vertAlign w:val="superscript"/>
              </w:rPr>
              <w:t>1</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170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84,000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422,054</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2,483</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127,500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129</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178,125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211,027</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1,636</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1,525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196,725</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Satellite TV Construction Permit</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3,580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4,221</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1,407</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960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2,880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1-10</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22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1,761,650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2,364,840</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107,493</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86,075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1,893,650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11-25</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23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1,836,875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2,452,884</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106,647</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78,975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1,816,425</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26-50</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39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1,512,400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2,031,796</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52,097</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42,775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1,668,225</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VHF Markets 51-100</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61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1,255,500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1,757,986</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28,819</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22,500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1,372,500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VHF Remaining Markets </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140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798,025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1,023,545</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7,311</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875,000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vertAlign w:val="superscript"/>
              </w:rPr>
            </w:pPr>
            <w:r>
              <w:rPr>
                <w:sz w:val="20"/>
              </w:rPr>
              <w:t>VHF Construction Permits</w:t>
            </w:r>
            <w:r>
              <w:rPr>
                <w:sz w:val="20"/>
                <w:vertAlign w:val="superscript"/>
              </w:rPr>
              <w:t>1</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11,650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42,205</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42,205</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6,250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1-10</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109</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3,853,150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4,177,004</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38,321</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38,000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4,142,000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11-25</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106</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3,458,250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3,709,111</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34,992</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35,000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3,710,000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26-50</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135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2,959,875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3,159,479</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23,404</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23,400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3,159,000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Markets 51-100</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225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2,868,750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3,053,435</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13,571</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13,575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3,054,375</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UHF Remaining Markets </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247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845,975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917,906</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3,716</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907,725</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UHF Construction Permits</w:t>
            </w:r>
            <w:r>
              <w:rPr>
                <w:sz w:val="20"/>
                <w:vertAlign w:val="superscript"/>
              </w:rPr>
              <w:t>1</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7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23,975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295,438</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42,205</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3,675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25,725</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Broadcast Auxiliaries</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25,400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248,000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337,644</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254,000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LPTV/Translators/ Boosters/Class A TV</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3,725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1,436,820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1,688,218</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453</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415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1,545,875</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CARS Stations</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325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178,125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211,085</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649</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510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165,750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Cable TV Systems </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60,000,000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59,090,000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69,868,996</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1.164</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61,200,000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Interstate Telecommunication Service Providers</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$39,000,000,000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148,875,000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119,251,260</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0.0030577</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0.00359</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140,010,000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Mobile Services (Cellular/Public Mobile)</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18"/>
                <w:szCs w:val="18"/>
              </w:rPr>
              <w:t xml:space="preserve">321,000,000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53,210,000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63,253,310</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0.1899</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0.18</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57,780,000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CMRS Messag. Services</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3,000,000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272,000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240,000</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0.0800</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0.080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240,000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BRS</w:t>
            </w:r>
            <w:r>
              <w:rPr>
                <w:sz w:val="20"/>
                <w:vertAlign w:val="superscript"/>
              </w:rPr>
              <w:t>2</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LMDS </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920</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170</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451,250</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225,625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693,442</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130,020</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754</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765</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510</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510</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469,200</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86,700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Per 64 kbps Int’l Bearer Circuits </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18"/>
                <w:szCs w:val="18"/>
              </w:rPr>
            </w:pPr>
            <w:r>
              <w:rPr>
                <w:sz w:val="18"/>
                <w:szCs w:val="18"/>
              </w:rPr>
              <w:t xml:space="preserve">Terrestrial (Common) &amp; Satellite (Common &amp; Non-Common) </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4,220,000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1,157,602</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1,030,004</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.244</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970,600</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Submarine Cable Providers (see chart in Appendix C)</w:t>
            </w:r>
            <w:r>
              <w:rPr>
                <w:sz w:val="20"/>
                <w:vertAlign w:val="superscript"/>
              </w:rPr>
              <w:t>3</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38.313</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8,150,984</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7,246,703</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189,145</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191,475</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7,335,886</w:t>
            </w:r>
          </w:p>
        </w:tc>
      </w:tr>
      <w:tr w:rsidR="00540822">
        <w:trPr>
          <w:trHeight w:val="370"/>
        </w:trPr>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Earth Stations</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 xml:space="preserve">3,400 </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893,750</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795,837</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234</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250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850,000</w:t>
            </w:r>
          </w:p>
        </w:tc>
      </w:tr>
      <w:tr w:rsidR="00540822">
        <w:trPr>
          <w:trHeight w:val="595"/>
        </w:trPr>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(Geostationary)</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87</w:t>
            </w: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1 </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11,560,125</w:t>
            </w: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10,282,217</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118,186</w:t>
            </w: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119,600</w:t>
            </w:r>
          </w:p>
        </w:tc>
        <w:tc>
          <w:tcPr>
            <w:tcW w:w="1080" w:type="dxa"/>
            <w:tcBorders>
              <w:top w:val="single" w:sz="6" w:space="0" w:color="auto"/>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10,405,200</w:t>
            </w:r>
          </w:p>
        </w:tc>
      </w:tr>
      <w:tr w:rsidR="00540822">
        <w:trPr>
          <w:trHeight w:val="874"/>
        </w:trPr>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Space Stations (Non-Geostationary</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1</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 w:val="20"/>
              </w:rPr>
            </w:pPr>
            <w:r>
              <w:rPr>
                <w:sz w:val="20"/>
              </w:rPr>
              <w:t xml:space="preserve"> </w:t>
            </w:r>
          </w:p>
        </w:tc>
        <w:tc>
          <w:tcPr>
            <w:tcW w:w="1080" w:type="dxa"/>
            <w:tcBorders>
              <w:top w:val="single" w:sz="2" w:space="0" w:color="auto"/>
              <w:left w:val="single" w:sz="2" w:space="0" w:color="auto"/>
              <w:bottom w:val="double" w:sz="4" w:space="0" w:color="auto"/>
              <w:right w:val="single" w:sz="2"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858,900</w:t>
            </w:r>
          </w:p>
        </w:tc>
        <w:tc>
          <w:tcPr>
            <w:tcW w:w="1080" w:type="dxa"/>
            <w:tcBorders>
              <w:top w:val="single" w:sz="2" w:space="0" w:color="auto"/>
              <w:left w:val="nil"/>
              <w:bottom w:val="double" w:sz="4" w:space="0" w:color="auto"/>
              <w:right w:val="single" w:sz="2"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764,004</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nil"/>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127,334</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128,825</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2" w:space="0" w:color="auto"/>
              <w:left w:val="single" w:sz="2" w:space="0" w:color="auto"/>
              <w:bottom w:val="double" w:sz="2" w:space="0" w:color="auto"/>
              <w:right w:val="double" w:sz="2"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772,950</w:t>
            </w: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Estimated Revenue to be Collected</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18"/>
                <w:szCs w:val="18"/>
              </w:rPr>
            </w:pPr>
            <w:r>
              <w:rPr>
                <w:sz w:val="20"/>
              </w:rPr>
              <w:t>340,568,811</w:t>
            </w:r>
          </w:p>
        </w:tc>
        <w:tc>
          <w:tcPr>
            <w:tcW w:w="1080" w:type="dxa"/>
            <w:tcBorders>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339,844,006</w:t>
            </w:r>
          </w:p>
        </w:tc>
        <w:tc>
          <w:tcPr>
            <w:tcW w:w="1080" w:type="dxa"/>
            <w:tcBorders>
              <w:top w:val="single" w:sz="6" w:space="0" w:color="auto"/>
              <w:left w:val="sing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339,332,436</w:t>
            </w:r>
          </w:p>
        </w:tc>
      </w:tr>
      <w:tr w:rsidR="00540822">
        <w:tc>
          <w:tcPr>
            <w:tcW w:w="1710" w:type="dxa"/>
            <w:tcBorders>
              <w:top w:val="single" w:sz="6" w:space="0" w:color="auto"/>
              <w:lef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Total Revenue Requirement</w:t>
            </w:r>
          </w:p>
        </w:tc>
        <w:tc>
          <w:tcPr>
            <w:tcW w:w="135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2" w:space="0" w:color="auto"/>
              <w:left w:val="single" w:sz="2" w:space="0" w:color="auto"/>
              <w:bottom w:val="double" w:sz="2" w:space="0" w:color="auto"/>
              <w:right w:val="single" w:sz="2"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c>
          <w:tcPr>
            <w:tcW w:w="1080" w:type="dxa"/>
            <w:tcBorders>
              <w:top w:val="single" w:sz="6" w:space="0" w:color="auto"/>
              <w:left w:val="nil"/>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2" w:space="0" w:color="auto"/>
              <w:left w:val="single" w:sz="2" w:space="0" w:color="auto"/>
              <w:bottom w:val="double" w:sz="2" w:space="0" w:color="auto"/>
              <w:right w:val="double" w:sz="2"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339,844,000</w:t>
            </w:r>
          </w:p>
        </w:tc>
      </w:tr>
      <w:tr w:rsidR="00540822">
        <w:tc>
          <w:tcPr>
            <w:tcW w:w="1710" w:type="dxa"/>
            <w:tcBorders>
              <w:top w:val="single" w:sz="6" w:space="0" w:color="auto"/>
              <w:left w:val="double" w:sz="6" w:space="0" w:color="auto"/>
              <w:bottom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 w:val="20"/>
              </w:rPr>
            </w:pPr>
            <w:r>
              <w:rPr>
                <w:sz w:val="20"/>
              </w:rPr>
              <w:t xml:space="preserve">                   Difference</w:t>
            </w:r>
          </w:p>
        </w:tc>
        <w:tc>
          <w:tcPr>
            <w:tcW w:w="1350" w:type="dxa"/>
            <w:tcBorders>
              <w:top w:val="single" w:sz="6" w:space="0" w:color="auto"/>
              <w:left w:val="single" w:sz="6" w:space="0" w:color="auto"/>
              <w:bottom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630" w:type="dxa"/>
            <w:tcBorders>
              <w:top w:val="single" w:sz="6" w:space="0" w:color="auto"/>
              <w:left w:val="single" w:sz="6" w:space="0" w:color="auto"/>
              <w:bottom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top w:val="single" w:sz="6" w:space="0" w:color="auto"/>
              <w:left w:val="single" w:sz="6" w:space="0" w:color="auto"/>
              <w:bottom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724,811</w:t>
            </w:r>
          </w:p>
        </w:tc>
        <w:tc>
          <w:tcPr>
            <w:tcW w:w="1080" w:type="dxa"/>
            <w:tcBorders>
              <w:left w:val="single" w:sz="6" w:space="0" w:color="auto"/>
              <w:bottom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6</w:t>
            </w:r>
          </w:p>
        </w:tc>
        <w:tc>
          <w:tcPr>
            <w:tcW w:w="1080" w:type="dxa"/>
            <w:tcBorders>
              <w:top w:val="single" w:sz="6" w:space="0" w:color="auto"/>
              <w:left w:val="single" w:sz="6" w:space="0" w:color="auto"/>
              <w:bottom w:val="double" w:sz="6" w:space="0" w:color="auto"/>
              <w:right w:val="sing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170" w:type="dxa"/>
            <w:tcBorders>
              <w:top w:val="single" w:sz="6" w:space="0" w:color="auto"/>
              <w:left w:val="single" w:sz="6" w:space="0" w:color="auto"/>
              <w:bottom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p>
        </w:tc>
        <w:tc>
          <w:tcPr>
            <w:tcW w:w="1080" w:type="dxa"/>
            <w:tcBorders>
              <w:left w:val="single" w:sz="6" w:space="0" w:color="auto"/>
              <w:bottom w:val="double" w:sz="6" w:space="0" w:color="auto"/>
              <w:right w:val="double" w:sz="6" w:space="0" w:color="auto"/>
            </w:tcBorders>
          </w:tcPr>
          <w:p w:rsidR="00540822" w:rsidRDefault="00540822"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 w:val="20"/>
              </w:rPr>
            </w:pPr>
            <w:r>
              <w:rPr>
                <w:sz w:val="20"/>
              </w:rPr>
              <w:t>(511,564)</w:t>
            </w:r>
          </w:p>
        </w:tc>
      </w:tr>
    </w:tbl>
    <w:p w:rsidR="00540822" w:rsidRDefault="00540822" w:rsidP="00540822">
      <w:pPr>
        <w:tabs>
          <w:tab w:val="left" w:pos="-1440"/>
          <w:tab w:val="left" w:pos="-720"/>
          <w:tab w:val="left" w:pos="0"/>
          <w:tab w:val="left" w:pos="720"/>
          <w:tab w:val="left" w:pos="1440"/>
          <w:tab w:val="left" w:pos="2160"/>
          <w:tab w:val="left" w:pos="2880"/>
          <w:tab w:val="left" w:pos="3600"/>
          <w:tab w:val="left" w:pos="4680"/>
          <w:tab w:val="left" w:pos="5040"/>
        </w:tabs>
        <w:suppressAutoHyphens/>
        <w:rPr>
          <w:sz w:val="20"/>
        </w:rPr>
      </w:pPr>
      <w:r>
        <w:rPr>
          <w:sz w:val="20"/>
        </w:rPr>
        <w:t xml:space="preserve"> </w:t>
      </w:r>
    </w:p>
    <w:p w:rsidR="00540822" w:rsidRDefault="00540822" w:rsidP="00540822">
      <w:pPr>
        <w:tabs>
          <w:tab w:val="left" w:pos="-1440"/>
          <w:tab w:val="left" w:pos="-720"/>
          <w:tab w:val="left" w:pos="0"/>
          <w:tab w:val="left" w:pos="720"/>
          <w:tab w:val="left" w:pos="1440"/>
          <w:tab w:val="left" w:pos="2160"/>
          <w:tab w:val="left" w:pos="2880"/>
          <w:tab w:val="left" w:pos="3600"/>
          <w:tab w:val="left" w:pos="4680"/>
          <w:tab w:val="left" w:pos="5040"/>
        </w:tabs>
        <w:suppressAutoHyphens/>
        <w:ind w:left="1080"/>
        <w:rPr>
          <w:sz w:val="20"/>
        </w:rPr>
      </w:pPr>
    </w:p>
    <w:p w:rsidR="00540822" w:rsidRDefault="00540822" w:rsidP="0054082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vertAlign w:val="superscript"/>
        </w:rPr>
      </w:pPr>
      <w:r>
        <w:rPr>
          <w:sz w:val="20"/>
          <w:vertAlign w:val="superscript"/>
        </w:rPr>
        <w:t>1</w:t>
      </w:r>
      <w:r>
        <w:rPr>
          <w:sz w:val="20"/>
        </w:rPr>
        <w:t xml:space="preserve"> The FM Construction Permit revenues and the VHF and UHF Construction Permit revenues were adjusted to set the regulatory fee to an amount no higher than the lowest licensed fee for that class of service.  The reductions in the FM Construction Permit revenues are offset by increases in the revenue totals for FM radio stations.  Similarly, reductions in the VHF and UHF Construction Permit revenues are offset by increases in the revenue totals for VHF and UHF television stations, respectively. </w:t>
      </w:r>
    </w:p>
    <w:p w:rsidR="00540822" w:rsidRDefault="00540822" w:rsidP="0054082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2</w:t>
      </w:r>
      <w:r>
        <w:rPr>
          <w:sz w:val="20"/>
        </w:rPr>
        <w:t xml:space="preserve"> MDS/MMDS category was renamed Broadband Radio Service (BRS).  </w:t>
      </w:r>
      <w:r>
        <w:rPr>
          <w:i/>
          <w:sz w:val="20"/>
        </w:rPr>
        <w:t xml:space="preserve"> See Amendment of Parts 1, 21, 73, 74 and 101 of the Commission’s Rules to Facilitate the Provision of Fixed and Mobile Broadband  Access, Educational and Other Advanced Services in the 2150-2162 and 2500-2690 MHz Bands</w:t>
      </w:r>
      <w:r>
        <w:rPr>
          <w:sz w:val="20"/>
        </w:rPr>
        <w:t>, Report &amp; Order and Further Notice of Proposed Rulemaking, 19 FCC Rcd 14165, 14169, ¶ 6 (2004).</w:t>
      </w:r>
    </w:p>
    <w:p w:rsidR="00540822" w:rsidRDefault="00540822" w:rsidP="0054082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3</w:t>
      </w:r>
      <w:r>
        <w:rPr>
          <w:sz w:val="20"/>
        </w:rPr>
        <w:t xml:space="preserve"> The chart at the end of Appendix B lists the submarine cable bearer circuit regulatory fees (common and non-common carrier basis) that resulted from the adoption of the following proceedings:  </w:t>
      </w:r>
      <w:r>
        <w:rPr>
          <w:i/>
          <w:sz w:val="20"/>
        </w:rPr>
        <w:t>Assessment and Collection of Regulatory Fees for Fiscal Year 2008</w:t>
      </w:r>
      <w:r>
        <w:rPr>
          <w:sz w:val="20"/>
        </w:rPr>
        <w:t xml:space="preserve">, Second Report and Order (MD Docket No. 08-65, RM-11312), released March 24, 2009; and </w:t>
      </w:r>
      <w:r>
        <w:rPr>
          <w:i/>
          <w:sz w:val="20"/>
        </w:rPr>
        <w:t xml:space="preserve">Assessment and Collection of Regulatory Fees for Fiscal Year 2009 and Assessment and Collection of Regulatory Fees for Fiscal Year 2008, </w:t>
      </w:r>
      <w:r>
        <w:rPr>
          <w:sz w:val="20"/>
        </w:rPr>
        <w:t>Notice of Proposed Rulemaking and Order (MD Docket No. 09-65, MD Docket No. 08-65), released on May 14, 2009.</w:t>
      </w:r>
    </w:p>
    <w:p w:rsidR="00540822" w:rsidRPr="00AC395B" w:rsidRDefault="00540822" w:rsidP="0054082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4</w:t>
      </w:r>
      <w:r>
        <w:rPr>
          <w:sz w:val="20"/>
        </w:rPr>
        <w:t xml:space="preserve"> The fee amounts listed in the column entitled “Rounded New FY 2012 Regulatory Fee” constitute a weighted average media regulatory fee by class of service.  The actual FY 2013 regulatory fees for AM/FM radio station are listed on a grid located at the end of Attachment B.    </w:t>
      </w:r>
      <w:r>
        <w:rPr>
          <w:i/>
          <w:sz w:val="20"/>
        </w:rPr>
        <w:t xml:space="preserve"> </w:t>
      </w:r>
    </w:p>
    <w:p w:rsidR="00540822" w:rsidRDefault="00540822" w:rsidP="0054082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 w:val="20"/>
        </w:rPr>
      </w:pPr>
      <w:r>
        <w:rPr>
          <w:sz w:val="20"/>
          <w:vertAlign w:val="superscript"/>
        </w:rPr>
        <w:t>5</w:t>
      </w:r>
      <w:r>
        <w:rPr>
          <w:sz w:val="20"/>
        </w:rPr>
        <w:t xml:space="preserve"> The allocation percentages represent FTE data as of September 30, 2012, and include the proposal to use 27 Direct FTEs (rather than 119 FTEs) for the International Bureau.  </w:t>
      </w:r>
    </w:p>
    <w:p w:rsidR="00A1396E" w:rsidRDefault="00540822" w:rsidP="0047253D">
      <w:pPr>
        <w:autoSpaceDE w:val="0"/>
        <w:autoSpaceDN w:val="0"/>
        <w:adjustRightInd w:val="0"/>
        <w:rPr>
          <w:sz w:val="20"/>
        </w:rPr>
      </w:pPr>
      <w:r>
        <w:rPr>
          <w:sz w:val="20"/>
          <w:vertAlign w:val="superscript"/>
        </w:rPr>
        <w:t>6</w:t>
      </w:r>
      <w:r>
        <w:rPr>
          <w:sz w:val="20"/>
        </w:rPr>
        <w:t xml:space="preserve"> The ITSP and international services fee categories receive</w:t>
      </w:r>
      <w:r w:rsidR="001F25B4">
        <w:rPr>
          <w:sz w:val="20"/>
        </w:rPr>
        <w:t>d</w:t>
      </w:r>
      <w:r>
        <w:rPr>
          <w:sz w:val="20"/>
        </w:rPr>
        <w:t xml:space="preserve"> a fee rate reduction.</w:t>
      </w:r>
    </w:p>
    <w:p w:rsidR="006D7CCD" w:rsidRDefault="00A1396E" w:rsidP="006D7CCD">
      <w:pPr>
        <w:autoSpaceDE w:val="0"/>
        <w:autoSpaceDN w:val="0"/>
        <w:adjustRightInd w:val="0"/>
        <w:jc w:val="center"/>
        <w:rPr>
          <w:b/>
        </w:rPr>
      </w:pPr>
      <w:r>
        <w:rPr>
          <w:b/>
        </w:rPr>
        <w:br w:type="page"/>
      </w:r>
      <w:r w:rsidR="0022480A">
        <w:rPr>
          <w:b/>
        </w:rPr>
        <w:t>ATTACHMENT B2</w:t>
      </w:r>
    </w:p>
    <w:p w:rsidR="006D7CCD" w:rsidRDefault="006D7CCD" w:rsidP="0022480A">
      <w:pPr>
        <w:autoSpaceDE w:val="0"/>
        <w:autoSpaceDN w:val="0"/>
        <w:adjustRightInd w:val="0"/>
        <w:jc w:val="center"/>
        <w:rPr>
          <w:b/>
        </w:rPr>
      </w:pPr>
    </w:p>
    <w:p w:rsidR="0022480A" w:rsidRDefault="0022480A" w:rsidP="0022480A">
      <w:pPr>
        <w:autoSpaceDE w:val="0"/>
        <w:autoSpaceDN w:val="0"/>
        <w:adjustRightInd w:val="0"/>
        <w:jc w:val="center"/>
        <w:rPr>
          <w:b/>
          <w:vertAlign w:val="superscript"/>
        </w:rPr>
      </w:pPr>
      <w:r>
        <w:rPr>
          <w:b/>
        </w:rPr>
        <w:t>Revised FTE (as of 9/30/12) Allocations,</w:t>
      </w:r>
      <w:r>
        <w:rPr>
          <w:b/>
          <w:vertAlign w:val="superscript"/>
        </w:rPr>
        <w:t>5</w:t>
      </w:r>
    </w:p>
    <w:p w:rsidR="0022480A" w:rsidRDefault="0022480A" w:rsidP="0022480A">
      <w:pPr>
        <w:jc w:val="center"/>
        <w:rPr>
          <w:b/>
        </w:rPr>
      </w:pPr>
      <w:r>
        <w:rPr>
          <w:b/>
        </w:rPr>
        <w:t xml:space="preserve">Fee Rate Increases Capped at 7.5%, Prior to </w:t>
      </w:r>
      <w:r>
        <w:rPr>
          <w:rFonts w:ascii="Times New Roman Bold" w:hAnsi="Times New Roman Bold"/>
          <w:b/>
        </w:rPr>
        <w:t>Rounding</w:t>
      </w:r>
      <w:r>
        <w:rPr>
          <w:rFonts w:ascii="Times New Roman Bold" w:hAnsi="Times New Roman Bold"/>
          <w:b/>
          <w:vertAlign w:val="superscript"/>
        </w:rPr>
        <w:t>6</w:t>
      </w:r>
    </w:p>
    <w:p w:rsidR="0022480A" w:rsidRDefault="0022480A" w:rsidP="0022480A">
      <w:pPr>
        <w:jc w:val="center"/>
        <w:rPr>
          <w:b/>
        </w:rPr>
      </w:pPr>
    </w:p>
    <w:p w:rsidR="0022480A" w:rsidRDefault="0022480A" w:rsidP="0022480A">
      <w:pPr>
        <w:jc w:val="center"/>
        <w:rPr>
          <w:b/>
        </w:rPr>
      </w:pPr>
      <w:r>
        <w:rPr>
          <w:b/>
        </w:rPr>
        <w:t>FY 2013 Schedule of Regulatory Fees</w:t>
      </w:r>
    </w:p>
    <w:p w:rsidR="0022480A" w:rsidRDefault="0022480A" w:rsidP="0022480A">
      <w:pPr>
        <w:jc w:val="center"/>
        <w:rPr>
          <w:b/>
        </w:rPr>
      </w:pPr>
    </w:p>
    <w:p w:rsidR="0022480A" w:rsidRDefault="0022480A" w:rsidP="0022480A">
      <w:pPr>
        <w:tabs>
          <w:tab w:val="center" w:pos="5040"/>
        </w:tabs>
        <w:suppressAutoHyphens/>
        <w:outlineLvl w:val="0"/>
        <w:rPr>
          <w:szCs w:val="22"/>
        </w:rPr>
      </w:pPr>
      <w:r>
        <w:rPr>
          <w:szCs w:val="22"/>
        </w:rPr>
        <w:t>Regulatory fees for the categories shaded in gray are collected by the Commission in advance to cover the term of the license and are submitted at the time the application is filed.</w:t>
      </w:r>
    </w:p>
    <w:p w:rsidR="0022480A" w:rsidRDefault="0022480A" w:rsidP="0022480A">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7020"/>
        <w:gridCol w:w="1530"/>
      </w:tblGrid>
      <w:tr w:rsidR="0022480A">
        <w:trPr>
          <w:tblHeader/>
        </w:trPr>
        <w:tc>
          <w:tcPr>
            <w:tcW w:w="7020" w:type="dxa"/>
            <w:tcBorders>
              <w:top w:val="double" w:sz="6" w:space="0" w:color="auto"/>
              <w:left w:val="double" w:sz="6" w:space="0" w:color="auto"/>
              <w:bottom w:val="single" w:sz="8" w:space="0" w:color="auto"/>
            </w:tcBorders>
          </w:tcPr>
          <w:p w:rsidR="0022480A" w:rsidRDefault="00C33D99"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sidR="0022480A">
              <w:rPr>
                <w:sz w:val="20"/>
              </w:rPr>
              <w:instrText xml:space="preserve">PRIVATE </w:instrText>
            </w:r>
            <w:r>
              <w:rPr>
                <w:sz w:val="20"/>
              </w:rPr>
              <w:fldChar w:fldCharType="end"/>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530" w:type="dxa"/>
            <w:tcBorders>
              <w:top w:val="double" w:sz="6" w:space="0" w:color="auto"/>
              <w:left w:val="single" w:sz="6" w:space="0" w:color="auto"/>
              <w:bottom w:val="single" w:sz="8" w:space="0" w:color="auto"/>
              <w:right w:val="double" w:sz="6" w:space="0" w:color="auto"/>
            </w:tcBorders>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22480A" w:rsidRDefault="0022480A" w:rsidP="00F416BE">
            <w:pPr>
              <w:tabs>
                <w:tab w:val="center" w:pos="850"/>
              </w:tabs>
              <w:suppressAutoHyphens/>
              <w:spacing w:after="54"/>
              <w:jc w:val="center"/>
              <w:rPr>
                <w:b/>
                <w:sz w:val="20"/>
              </w:rPr>
            </w:pPr>
            <w:r>
              <w:rPr>
                <w:b/>
                <w:sz w:val="20"/>
              </w:rPr>
              <w:t>(U.S. $'s)</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40</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s>
              <w:suppressAutoHyphens/>
              <w:spacing w:before="90" w:after="54"/>
              <w:jc w:val="center"/>
              <w:rPr>
                <w:sz w:val="20"/>
              </w:rPr>
            </w:pPr>
            <w:r>
              <w:rPr>
                <w:sz w:val="20"/>
              </w:rPr>
              <w:t>75</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s>
              <w:suppressAutoHyphens/>
              <w:spacing w:before="90" w:after="54"/>
              <w:rPr>
                <w:sz w:val="20"/>
              </w:rPr>
            </w:pPr>
            <w:r>
              <w:rPr>
                <w:sz w:val="20"/>
              </w:rPr>
              <w:t>Marine (Ship) (per station)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s>
              <w:suppressAutoHyphens/>
              <w:spacing w:before="90" w:after="54"/>
              <w:jc w:val="center"/>
              <w:rPr>
                <w:sz w:val="20"/>
              </w:rPr>
            </w:pPr>
            <w:r>
              <w:rPr>
                <w:sz w:val="20"/>
              </w:rPr>
              <w:t>10</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s>
              <w:suppressAutoHyphens/>
              <w:spacing w:before="90" w:after="54"/>
              <w:rPr>
                <w:sz w:val="20"/>
              </w:rPr>
            </w:pPr>
            <w:r>
              <w:rPr>
                <w:sz w:val="20"/>
              </w:rPr>
              <w:t>Marine (Coast) (per license) (47 CFR part 80)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s>
              <w:suppressAutoHyphens/>
              <w:spacing w:before="90" w:after="54"/>
              <w:jc w:val="center"/>
              <w:rPr>
                <w:sz w:val="20"/>
              </w:rPr>
            </w:pPr>
            <w:r>
              <w:rPr>
                <w:sz w:val="20"/>
              </w:rPr>
              <w:t>55</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s>
              <w:suppressAutoHyphens/>
              <w:spacing w:before="90" w:after="54"/>
              <w:rPr>
                <w:sz w:val="20"/>
              </w:rPr>
            </w:pPr>
            <w:r>
              <w:rPr>
                <w:sz w:val="20"/>
              </w:rPr>
              <w:t>General Mobile Radio Service (per license) (47 CFR part 95)</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s>
              <w:suppressAutoHyphens/>
              <w:spacing w:before="90" w:after="54"/>
              <w:jc w:val="center"/>
              <w:rPr>
                <w:sz w:val="20"/>
              </w:rPr>
            </w:pPr>
            <w:r>
              <w:rPr>
                <w:sz w:val="20"/>
              </w:rPr>
              <w:t>5</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s>
              <w:suppressAutoHyphens/>
              <w:spacing w:before="90" w:after="54"/>
              <w:rPr>
                <w:sz w:val="20"/>
              </w:rPr>
            </w:pPr>
            <w:r>
              <w:rPr>
                <w:sz w:val="20"/>
              </w:rPr>
              <w:t>Rural Radio (47 CFR part 22) (previously listed under the Land Mobile category)</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s>
              <w:suppressAutoHyphens/>
              <w:spacing w:before="90" w:after="54"/>
              <w:jc w:val="center"/>
              <w:rPr>
                <w:sz w:val="20"/>
              </w:rPr>
            </w:pPr>
            <w:r>
              <w:rPr>
                <w:sz w:val="20"/>
              </w:rPr>
              <w:t>15</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s>
              <w:suppressAutoHyphens/>
              <w:spacing w:before="90" w:after="54"/>
              <w:rPr>
                <w:sz w:val="20"/>
              </w:rPr>
            </w:pPr>
            <w:r>
              <w:rPr>
                <w:sz w:val="20"/>
              </w:rPr>
              <w:t>PLMRS (Shared Use) (per license) (47 CFR part 90)</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s>
              <w:suppressAutoHyphens/>
              <w:spacing w:before="90" w:after="54"/>
              <w:jc w:val="center"/>
              <w:rPr>
                <w:sz w:val="20"/>
              </w:rPr>
            </w:pPr>
            <w:r>
              <w:rPr>
                <w:sz w:val="20"/>
              </w:rPr>
              <w:t>15</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s>
              <w:suppressAutoHyphens/>
              <w:spacing w:before="90" w:after="54"/>
              <w:jc w:val="center"/>
              <w:rPr>
                <w:sz w:val="20"/>
              </w:rPr>
            </w:pPr>
            <w:r>
              <w:rPr>
                <w:sz w:val="20"/>
              </w:rPr>
              <w:t>10</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s>
              <w:suppressAutoHyphens/>
              <w:spacing w:before="90" w:after="54"/>
              <w:jc w:val="center"/>
              <w:rPr>
                <w:sz w:val="20"/>
              </w:rPr>
            </w:pPr>
            <w:r>
              <w:rPr>
                <w:sz w:val="20"/>
              </w:rPr>
              <w:t>15</w:t>
            </w:r>
          </w:p>
        </w:tc>
      </w:tr>
      <w:tr w:rsidR="0022480A">
        <w:tc>
          <w:tcPr>
            <w:tcW w:w="7020" w:type="dxa"/>
            <w:tcBorders>
              <w:top w:val="single" w:sz="8" w:space="0" w:color="auto"/>
              <w:left w:val="double" w:sz="12" w:space="0" w:color="auto"/>
              <w:bottom w:val="single" w:sz="8" w:space="0" w:color="auto"/>
              <w:right w:val="single" w:sz="8" w:space="0" w:color="auto"/>
            </w:tcBorders>
            <w:shd w:val="clear" w:color="auto" w:fill="C0C0C0"/>
          </w:tcPr>
          <w:p w:rsidR="0022480A" w:rsidRDefault="0022480A" w:rsidP="00F416BE">
            <w:pPr>
              <w:tabs>
                <w:tab w:val="left" w:pos="-1440"/>
                <w:tab w:val="left" w:pos="-720"/>
              </w:tabs>
              <w:suppressAutoHyphens/>
              <w:spacing w:before="90" w:after="54"/>
              <w:rPr>
                <w:sz w:val="20"/>
              </w:rPr>
            </w:pPr>
            <w:r>
              <w:rPr>
                <w:sz w:val="20"/>
              </w:rPr>
              <w:t xml:space="preserve">Amateur Vanity Call Signs (per call sign) (47 CFR part 97) </w:t>
            </w:r>
          </w:p>
        </w:tc>
        <w:tc>
          <w:tcPr>
            <w:tcW w:w="1530" w:type="dxa"/>
            <w:tcBorders>
              <w:top w:val="single" w:sz="8" w:space="0" w:color="auto"/>
              <w:left w:val="single" w:sz="8" w:space="0" w:color="auto"/>
              <w:bottom w:val="single" w:sz="8" w:space="0" w:color="auto"/>
              <w:right w:val="double" w:sz="12" w:space="0" w:color="auto"/>
            </w:tcBorders>
            <w:shd w:val="clear" w:color="auto" w:fill="C0C0C0"/>
          </w:tcPr>
          <w:p w:rsidR="0022480A" w:rsidRDefault="0022480A" w:rsidP="00F416BE">
            <w:pPr>
              <w:tabs>
                <w:tab w:val="left" w:pos="-1440"/>
                <w:tab w:val="left" w:pos="-720"/>
              </w:tabs>
              <w:suppressAutoHyphens/>
              <w:spacing w:before="90" w:after="54"/>
              <w:jc w:val="center"/>
              <w:rPr>
                <w:sz w:val="20"/>
              </w:rPr>
            </w:pPr>
            <w:r>
              <w:rPr>
                <w:sz w:val="20"/>
              </w:rPr>
              <w:t>1.61</w:t>
            </w:r>
          </w:p>
        </w:tc>
      </w:tr>
      <w:tr w:rsidR="0022480A">
        <w:tc>
          <w:tcPr>
            <w:tcW w:w="7020" w:type="dxa"/>
            <w:tcBorders>
              <w:top w:val="single" w:sz="8"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CMRS Mobile/Cellular Services (per unit) (47 CFR parts 20, 22, 24, 27, 80 and 90)</w:t>
            </w:r>
          </w:p>
        </w:tc>
        <w:tc>
          <w:tcPr>
            <w:tcW w:w="1530" w:type="dxa"/>
            <w:tcBorders>
              <w:top w:val="single" w:sz="8"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.18</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CMRS Messaging Services (per unit) (47 CFR parts 20, 22, 24 and 90)</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.08</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Broadband Radio Service (formerly MMDS/ MDS) (per license) (47 CFR part 27)</w:t>
            </w:r>
          </w:p>
          <w:p w:rsidR="0022480A" w:rsidRDefault="0022480A" w:rsidP="00F416BE">
            <w:pPr>
              <w:tabs>
                <w:tab w:val="left" w:pos="-1440"/>
                <w:tab w:val="left" w:pos="-720"/>
              </w:tabs>
              <w:suppressAutoHyphens/>
              <w:spacing w:before="90" w:after="54"/>
              <w:rPr>
                <w:sz w:val="20"/>
              </w:rPr>
            </w:pPr>
            <w:r>
              <w:rPr>
                <w:sz w:val="20"/>
              </w:rPr>
              <w:t>Local Multipoint Distribution Service (per call sign) (47 CFR, part 101)</w:t>
            </w:r>
          </w:p>
          <w:p w:rsidR="0022480A" w:rsidRDefault="0022480A" w:rsidP="00F416BE">
            <w:pPr>
              <w:tabs>
                <w:tab w:val="left" w:pos="-1440"/>
                <w:tab w:val="left" w:pos="-720"/>
              </w:tabs>
              <w:suppressAutoHyphens/>
              <w:spacing w:before="90" w:after="54"/>
              <w:rPr>
                <w:sz w:val="20"/>
              </w:rPr>
            </w:pP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510</w:t>
            </w:r>
          </w:p>
          <w:p w:rsidR="0022480A" w:rsidRDefault="0022480A" w:rsidP="00F416BE">
            <w:pPr>
              <w:tabs>
                <w:tab w:val="left" w:pos="-1440"/>
                <w:tab w:val="left" w:pos="-720"/>
              </w:tabs>
              <w:suppressAutoHyphens/>
              <w:spacing w:before="90" w:after="54"/>
              <w:jc w:val="center"/>
              <w:rPr>
                <w:sz w:val="20"/>
              </w:rPr>
            </w:pPr>
            <w:r>
              <w:rPr>
                <w:sz w:val="20"/>
              </w:rPr>
              <w:t>510</w:t>
            </w:r>
          </w:p>
          <w:p w:rsidR="0022480A" w:rsidRDefault="0022480A" w:rsidP="00F416BE">
            <w:pPr>
              <w:tabs>
                <w:tab w:val="left" w:pos="-1440"/>
                <w:tab w:val="left" w:pos="-720"/>
              </w:tabs>
              <w:suppressAutoHyphens/>
              <w:spacing w:before="90" w:after="54"/>
              <w:jc w:val="center"/>
              <w:rPr>
                <w:sz w:val="20"/>
              </w:rPr>
            </w:pP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AM Radio Construction Permits</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590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FM Radio Construction Permits</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750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TV (47 CFR part 73) VHF Commercial</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right"/>
              <w:rPr>
                <w:sz w:val="20"/>
              </w:rPr>
            </w:pP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86,075</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78,975</w:t>
            </w:r>
          </w:p>
        </w:tc>
      </w:tr>
      <w:tr w:rsidR="0022480A">
        <w:tc>
          <w:tcPr>
            <w:tcW w:w="7020" w:type="dxa"/>
            <w:tcBorders>
              <w:top w:val="single" w:sz="2" w:space="0" w:color="auto"/>
              <w:left w:val="double" w:sz="2" w:space="0" w:color="auto"/>
              <w:right w:val="single" w:sz="2" w:space="0" w:color="auto"/>
            </w:tcBorders>
          </w:tcPr>
          <w:p w:rsidR="0022480A" w:rsidRDefault="0022480A" w:rsidP="00F416BE">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2" w:space="0" w:color="auto"/>
              <w:left w:val="single" w:sz="2" w:space="0" w:color="auto"/>
              <w:right w:val="double" w:sz="2" w:space="0" w:color="auto"/>
            </w:tcBorders>
          </w:tcPr>
          <w:p w:rsidR="0022480A" w:rsidRDefault="0022480A" w:rsidP="00F416BE">
            <w:pPr>
              <w:tabs>
                <w:tab w:val="left" w:pos="-1440"/>
                <w:tab w:val="left" w:pos="-720"/>
              </w:tabs>
              <w:suppressAutoHyphens/>
              <w:spacing w:before="90" w:after="54"/>
              <w:jc w:val="center"/>
              <w:rPr>
                <w:sz w:val="20"/>
              </w:rPr>
            </w:pPr>
            <w:r>
              <w:rPr>
                <w:sz w:val="20"/>
              </w:rPr>
              <w:t>42,775</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22,500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6,250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s>
              <w:suppressAutoHyphens/>
              <w:spacing w:before="90" w:after="54"/>
              <w:ind w:left="720" w:hanging="720"/>
              <w:rPr>
                <w:sz w:val="20"/>
              </w:rPr>
            </w:pPr>
            <w:r>
              <w:rPr>
                <w:sz w:val="20"/>
              </w:rPr>
              <w:tab/>
              <w:t>Construction Permits</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6,250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TV (47 CFR part 73) UHF Commercial</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right"/>
              <w:rPr>
                <w:sz w:val="20"/>
              </w:rPr>
            </w:pP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s>
              <w:suppressAutoHyphens/>
              <w:spacing w:before="90" w:after="54"/>
              <w:ind w:left="720" w:hanging="720"/>
              <w:rPr>
                <w:sz w:val="20"/>
              </w:rPr>
            </w:pPr>
            <w:r>
              <w:rPr>
                <w:sz w:val="20"/>
              </w:rPr>
              <w:tab/>
              <w:t>Markets 1-10</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38,000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s>
              <w:suppressAutoHyphens/>
              <w:spacing w:before="90" w:after="54"/>
              <w:ind w:left="720" w:hanging="720"/>
              <w:rPr>
                <w:sz w:val="20"/>
              </w:rPr>
            </w:pPr>
            <w:r>
              <w:rPr>
                <w:sz w:val="20"/>
              </w:rPr>
              <w:tab/>
              <w:t>Markets 11-25</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35,000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s>
              <w:suppressAutoHyphens/>
              <w:spacing w:before="90" w:after="54"/>
              <w:ind w:left="720" w:hanging="720"/>
              <w:rPr>
                <w:sz w:val="20"/>
              </w:rPr>
            </w:pPr>
            <w:r>
              <w:rPr>
                <w:sz w:val="20"/>
              </w:rPr>
              <w:tab/>
              <w:t>Markets 26-50</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23,400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s>
              <w:suppressAutoHyphens/>
              <w:spacing w:before="90" w:after="54"/>
              <w:ind w:left="720" w:hanging="720"/>
              <w:rPr>
                <w:sz w:val="20"/>
              </w:rPr>
            </w:pPr>
            <w:r>
              <w:rPr>
                <w:sz w:val="20"/>
              </w:rPr>
              <w:tab/>
              <w:t>Markets 51-100</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13,575</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s>
              <w:suppressAutoHyphens/>
              <w:spacing w:before="90" w:after="54"/>
              <w:ind w:left="720" w:hanging="720"/>
              <w:rPr>
                <w:sz w:val="20"/>
              </w:rPr>
            </w:pPr>
            <w:r>
              <w:rPr>
                <w:sz w:val="20"/>
              </w:rPr>
              <w:tab/>
              <w:t>Remaining Markets</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3,675</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Construction Permits</w:t>
            </w:r>
            <w:r>
              <w:rPr>
                <w:sz w:val="20"/>
              </w:rPr>
              <w:tab/>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3,675</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 xml:space="preserve">Satellite Television Stations  (All Markets)   </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1,525</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Construction Permits – Satellite Television Stations</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960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415</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10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510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Cable Television Systems (per subscriber) (47 CFR part 76)</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1.02</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Interstate Telecommunication Service Providers (per revenue dollar)</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.00359</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Earth Stations (47 CFR part 25)</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250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jc w:val="center"/>
              <w:rPr>
                <w:sz w:val="20"/>
              </w:rPr>
            </w:pPr>
          </w:p>
          <w:p w:rsidR="0022480A" w:rsidRDefault="0022480A" w:rsidP="00F416BE">
            <w:pPr>
              <w:tabs>
                <w:tab w:val="left" w:pos="-1440"/>
                <w:tab w:val="left" w:pos="-720"/>
              </w:tabs>
              <w:suppressAutoHyphens/>
              <w:spacing w:after="54"/>
              <w:jc w:val="center"/>
              <w:rPr>
                <w:sz w:val="20"/>
              </w:rPr>
            </w:pPr>
            <w:r>
              <w:rPr>
                <w:sz w:val="20"/>
              </w:rPr>
              <w:t>119,600</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s>
              <w:suppressAutoHyphens/>
              <w:spacing w:before="90" w:after="54"/>
              <w:rPr>
                <w:sz w:val="20"/>
              </w:rPr>
            </w:pPr>
            <w:r>
              <w:rPr>
                <w:sz w:val="20"/>
              </w:rPr>
              <w:t>Space Stations (per operational system in non-geostationary orbit) (47 CFR part 25)</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128,825</w:t>
            </w:r>
          </w:p>
        </w:tc>
      </w:tr>
      <w:tr w:rsidR="0022480A">
        <w:tc>
          <w:tcPr>
            <w:tcW w:w="7020" w:type="dxa"/>
            <w:tcBorders>
              <w:top w:val="single" w:sz="6" w:space="0" w:color="auto"/>
              <w:left w:val="double" w:sz="6" w:space="0" w:color="auto"/>
            </w:tcBorders>
          </w:tcPr>
          <w:p w:rsidR="0022480A" w:rsidRDefault="0022480A" w:rsidP="006D7CCD">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.23</w:t>
            </w:r>
          </w:p>
        </w:tc>
      </w:tr>
      <w:tr w:rsidR="0022480A">
        <w:tc>
          <w:tcPr>
            <w:tcW w:w="7020" w:type="dxa"/>
            <w:tcBorders>
              <w:top w:val="single" w:sz="6" w:space="0" w:color="auto"/>
              <w:left w:val="double" w:sz="6" w:space="0" w:color="auto"/>
            </w:tcBorders>
          </w:tcPr>
          <w:p w:rsidR="0022480A" w:rsidRDefault="0022480A" w:rsidP="00F416BE">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530" w:type="dxa"/>
            <w:tcBorders>
              <w:top w:val="single" w:sz="6" w:space="0" w:color="auto"/>
              <w:left w:val="single" w:sz="6" w:space="0" w:color="auto"/>
              <w:right w:val="double" w:sz="6" w:space="0" w:color="auto"/>
            </w:tcBorders>
          </w:tcPr>
          <w:p w:rsidR="0022480A" w:rsidRDefault="0022480A" w:rsidP="00F416BE">
            <w:pPr>
              <w:tabs>
                <w:tab w:val="left" w:pos="-1440"/>
                <w:tab w:val="left" w:pos="-720"/>
              </w:tabs>
              <w:suppressAutoHyphens/>
              <w:spacing w:before="90" w:after="54"/>
              <w:jc w:val="center"/>
              <w:rPr>
                <w:sz w:val="20"/>
              </w:rPr>
            </w:pPr>
            <w:r>
              <w:rPr>
                <w:sz w:val="20"/>
              </w:rPr>
              <w:t>See Table Below</w:t>
            </w:r>
          </w:p>
        </w:tc>
      </w:tr>
      <w:tr w:rsidR="0022480A">
        <w:trPr>
          <w:trHeight w:val="57"/>
        </w:trPr>
        <w:tc>
          <w:tcPr>
            <w:tcW w:w="7020" w:type="dxa"/>
            <w:tcBorders>
              <w:top w:val="single" w:sz="6" w:space="0" w:color="auto"/>
              <w:left w:val="double" w:sz="6" w:space="0" w:color="auto"/>
              <w:bottom w:val="double" w:sz="6" w:space="0" w:color="auto"/>
            </w:tcBorders>
          </w:tcPr>
          <w:p w:rsidR="0022480A" w:rsidRDefault="0022480A" w:rsidP="00F416BE">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530" w:type="dxa"/>
            <w:tcBorders>
              <w:top w:val="single" w:sz="6" w:space="0" w:color="auto"/>
              <w:left w:val="single" w:sz="6" w:space="0" w:color="auto"/>
              <w:bottom w:val="double" w:sz="6" w:space="0" w:color="auto"/>
              <w:right w:val="double" w:sz="6" w:space="0" w:color="auto"/>
            </w:tcBorders>
          </w:tcPr>
          <w:p w:rsidR="0022480A" w:rsidRDefault="0022480A" w:rsidP="00F416BE">
            <w:pPr>
              <w:tabs>
                <w:tab w:val="center" w:pos="850"/>
              </w:tabs>
              <w:suppressAutoHyphens/>
              <w:spacing w:before="90" w:after="54"/>
              <w:jc w:val="center"/>
              <w:rPr>
                <w:sz w:val="20"/>
              </w:rPr>
            </w:pPr>
          </w:p>
        </w:tc>
      </w:tr>
    </w:tbl>
    <w:p w:rsidR="00A1396E" w:rsidRDefault="00A1396E" w:rsidP="00A1396E">
      <w:pPr>
        <w:spacing w:after="200" w:line="276" w:lineRule="auto"/>
        <w:rPr>
          <w:sz w:val="20"/>
        </w:rPr>
      </w:pPr>
    </w:p>
    <w:p w:rsidR="00A1396E" w:rsidRDefault="00A1396E" w:rsidP="00A1396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sz w:val="20"/>
        </w:rPr>
      </w:pPr>
      <w:r>
        <w:rPr>
          <w:sz w:val="20"/>
        </w:rPr>
        <w:t xml:space="preserve"> </w:t>
      </w:r>
    </w:p>
    <w:p w:rsidR="00A1396E" w:rsidRDefault="00A1396E" w:rsidP="006D7CCD">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rPr>
      </w:pPr>
      <w:r>
        <w:rPr>
          <w:sz w:val="20"/>
        </w:rPr>
        <w:br w:type="page"/>
      </w:r>
      <w:bookmarkStart w:id="268" w:name="_Toc353987749"/>
      <w:bookmarkStart w:id="269" w:name="_Toc353988070"/>
      <w:r>
        <w:rPr>
          <w:b/>
          <w:szCs w:val="22"/>
        </w:rPr>
        <w:t xml:space="preserve">FY 2013 SCHEDULE OF REGULATORY FEES: </w:t>
      </w:r>
      <w:r>
        <w:rPr>
          <w:b/>
        </w:rPr>
        <w:t>Fee Rate Increases Capped at 7.5%,</w:t>
      </w:r>
      <w:bookmarkEnd w:id="268"/>
      <w:bookmarkEnd w:id="269"/>
    </w:p>
    <w:p w:rsidR="00A1396E" w:rsidRDefault="00A1396E" w:rsidP="00A1396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270" w:name="_Toc353870723"/>
      <w:bookmarkStart w:id="271" w:name="_Toc353987750"/>
      <w:bookmarkStart w:id="272" w:name="_Toc353988071"/>
      <w:r>
        <w:rPr>
          <w:b/>
        </w:rPr>
        <w:t xml:space="preserve">Prior to </w:t>
      </w:r>
      <w:r>
        <w:rPr>
          <w:rFonts w:ascii="Times New Roman Bold" w:hAnsi="Times New Roman Bold"/>
          <w:b/>
        </w:rPr>
        <w:t>Rounding</w:t>
      </w:r>
      <w:r>
        <w:rPr>
          <w:rFonts w:ascii="Times New Roman Bold" w:hAnsi="Times New Roman Bold"/>
          <w:b/>
          <w:vertAlign w:val="superscript"/>
        </w:rPr>
        <w:t>6</w:t>
      </w:r>
      <w:r>
        <w:rPr>
          <w:rFonts w:ascii="Times New Roman Bold" w:hAnsi="Times New Roman Bold"/>
          <w:b/>
          <w:szCs w:val="22"/>
        </w:rPr>
        <w:t xml:space="preserve"> (continued)</w:t>
      </w:r>
      <w:bookmarkEnd w:id="270"/>
      <w:bookmarkEnd w:id="271"/>
      <w:bookmarkEnd w:id="272"/>
    </w:p>
    <w:p w:rsidR="00A1396E" w:rsidRDefault="00A1396E" w:rsidP="00A1396E">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A1396E" w:rsidRDefault="00A1396E" w:rsidP="00A1396E">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A1396E">
        <w:tc>
          <w:tcPr>
            <w:tcW w:w="8550" w:type="dxa"/>
            <w:gridSpan w:val="7"/>
            <w:tcBorders>
              <w:top w:val="double" w:sz="6" w:space="0" w:color="auto"/>
              <w:left w:val="double" w:sz="6" w:space="0" w:color="auto"/>
              <w:righ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2013 </w:t>
            </w:r>
            <w:r w:rsidR="00C33D99">
              <w:rPr>
                <w:b/>
                <w:sz w:val="20"/>
              </w:rPr>
              <w:fldChar w:fldCharType="begin"/>
            </w:r>
            <w:r>
              <w:rPr>
                <w:b/>
                <w:sz w:val="20"/>
              </w:rPr>
              <w:instrText xml:space="preserve">PRIVATE </w:instrText>
            </w:r>
            <w:r w:rsidR="00C33D99">
              <w:rPr>
                <w:b/>
                <w:sz w:val="20"/>
              </w:rPr>
              <w:fldChar w:fldCharType="end"/>
            </w:r>
            <w:r>
              <w:rPr>
                <w:b/>
                <w:sz w:val="20"/>
              </w:rPr>
              <w:t>RADIO STATION REGULATORY FEES</w:t>
            </w:r>
          </w:p>
        </w:tc>
      </w:tr>
      <w:tr w:rsidR="00A1396E" w:rsidRPr="00445C3B">
        <w:tc>
          <w:tcPr>
            <w:tcW w:w="1890" w:type="dxa"/>
            <w:tcBorders>
              <w:top w:val="single" w:sz="6" w:space="0" w:color="auto"/>
              <w:lef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A1396E" w:rsidRPr="00445C3B"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A1396E" w:rsidRPr="00445C3B"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A, B1 &amp; C3</w:t>
            </w:r>
          </w:p>
        </w:tc>
        <w:tc>
          <w:tcPr>
            <w:tcW w:w="1350" w:type="dxa"/>
            <w:tcBorders>
              <w:top w:val="single" w:sz="6" w:space="0" w:color="auto"/>
              <w:left w:val="single" w:sz="6" w:space="0" w:color="auto"/>
              <w:right w:val="double" w:sz="6" w:space="0" w:color="auto"/>
            </w:tcBorders>
          </w:tcPr>
          <w:p w:rsidR="00A1396E" w:rsidRPr="00445C3B"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lang w:val="pt-BR"/>
              </w:rPr>
            </w:pPr>
            <w:r w:rsidRPr="00445C3B">
              <w:rPr>
                <w:b/>
                <w:sz w:val="20"/>
                <w:lang w:val="pt-BR"/>
              </w:rPr>
              <w:t>FM Classes</w:t>
            </w:r>
          </w:p>
          <w:p w:rsidR="00A1396E" w:rsidRPr="00445C3B"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lang w:val="pt-BR"/>
              </w:rPr>
            </w:pPr>
            <w:r w:rsidRPr="00445C3B">
              <w:rPr>
                <w:b/>
                <w:sz w:val="20"/>
                <w:lang w:val="pt-BR"/>
              </w:rPr>
              <w:t>B, C, C0, C1 &amp; C2</w:t>
            </w:r>
          </w:p>
        </w:tc>
      </w:tr>
      <w:tr w:rsidR="00A1396E">
        <w:tc>
          <w:tcPr>
            <w:tcW w:w="1890" w:type="dxa"/>
            <w:tcBorders>
              <w:top w:val="single" w:sz="6" w:space="0" w:color="auto"/>
              <w:lef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$775</w:t>
            </w:r>
          </w:p>
        </w:tc>
        <w:tc>
          <w:tcPr>
            <w:tcW w:w="99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$650</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$600</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$675</w:t>
            </w:r>
          </w:p>
        </w:tc>
        <w:tc>
          <w:tcPr>
            <w:tcW w:w="144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$750</w:t>
            </w:r>
          </w:p>
        </w:tc>
        <w:tc>
          <w:tcPr>
            <w:tcW w:w="1350" w:type="dxa"/>
            <w:tcBorders>
              <w:top w:val="single" w:sz="6" w:space="0" w:color="auto"/>
              <w:left w:val="single" w:sz="6" w:space="0" w:color="auto"/>
              <w:righ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$950</w:t>
            </w:r>
          </w:p>
        </w:tc>
      </w:tr>
      <w:tr w:rsidR="00A1396E">
        <w:tc>
          <w:tcPr>
            <w:tcW w:w="1890" w:type="dxa"/>
            <w:tcBorders>
              <w:top w:val="single" w:sz="6" w:space="0" w:color="auto"/>
              <w:lef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$1,575</w:t>
            </w:r>
          </w:p>
        </w:tc>
        <w:tc>
          <w:tcPr>
            <w:tcW w:w="99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$1,325</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$925</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$1,025</w:t>
            </w:r>
          </w:p>
        </w:tc>
        <w:tc>
          <w:tcPr>
            <w:tcW w:w="144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$1,525</w:t>
            </w:r>
          </w:p>
        </w:tc>
        <w:tc>
          <w:tcPr>
            <w:tcW w:w="1350" w:type="dxa"/>
            <w:tcBorders>
              <w:top w:val="single" w:sz="6" w:space="0" w:color="auto"/>
              <w:left w:val="single" w:sz="6" w:space="0" w:color="auto"/>
              <w:righ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r>
      <w:tr w:rsidR="00A1396E">
        <w:tc>
          <w:tcPr>
            <w:tcW w:w="1890" w:type="dxa"/>
            <w:tcBorders>
              <w:top w:val="single" w:sz="6" w:space="0" w:color="auto"/>
              <w:lef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$2,375</w:t>
            </w:r>
          </w:p>
        </w:tc>
        <w:tc>
          <w:tcPr>
            <w:tcW w:w="99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$1,650</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$1,200</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$1,725</w:t>
            </w:r>
          </w:p>
        </w:tc>
        <w:tc>
          <w:tcPr>
            <w:tcW w:w="144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$2,100</w:t>
            </w:r>
          </w:p>
        </w:tc>
        <w:tc>
          <w:tcPr>
            <w:tcW w:w="1350" w:type="dxa"/>
            <w:tcBorders>
              <w:top w:val="single" w:sz="6" w:space="0" w:color="auto"/>
              <w:left w:val="single" w:sz="6" w:space="0" w:color="auto"/>
              <w:righ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$3,100</w:t>
            </w:r>
          </w:p>
        </w:tc>
      </w:tr>
      <w:tr w:rsidR="00A1396E">
        <w:tc>
          <w:tcPr>
            <w:tcW w:w="1890" w:type="dxa"/>
            <w:tcBorders>
              <w:top w:val="single" w:sz="6" w:space="0" w:color="auto"/>
              <w:lef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$3,550</w:t>
            </w:r>
          </w:p>
        </w:tc>
        <w:tc>
          <w:tcPr>
            <w:tcW w:w="99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$2,800</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$1,800</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$2,050</w:t>
            </w:r>
          </w:p>
        </w:tc>
        <w:tc>
          <w:tcPr>
            <w:tcW w:w="144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$3,250</w:t>
            </w:r>
          </w:p>
        </w:tc>
        <w:tc>
          <w:tcPr>
            <w:tcW w:w="1350" w:type="dxa"/>
            <w:tcBorders>
              <w:top w:val="single" w:sz="6" w:space="0" w:color="auto"/>
              <w:left w:val="single" w:sz="6" w:space="0" w:color="auto"/>
              <w:righ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$4,025</w:t>
            </w:r>
          </w:p>
        </w:tc>
      </w:tr>
      <w:tr w:rsidR="00A1396E">
        <w:tc>
          <w:tcPr>
            <w:tcW w:w="1890" w:type="dxa"/>
            <w:tcBorders>
              <w:top w:val="single" w:sz="6" w:space="0" w:color="auto"/>
              <w:lef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$5,125</w:t>
            </w:r>
          </w:p>
        </w:tc>
        <w:tc>
          <w:tcPr>
            <w:tcW w:w="99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$4,275</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$3,000</w:t>
            </w:r>
          </w:p>
        </w:tc>
        <w:tc>
          <w:tcPr>
            <w:tcW w:w="90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$3,425</w:t>
            </w:r>
          </w:p>
        </w:tc>
        <w:tc>
          <w:tcPr>
            <w:tcW w:w="1440" w:type="dxa"/>
            <w:tcBorders>
              <w:top w:val="single" w:sz="6" w:space="0" w:color="auto"/>
              <w:left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$5,150</w:t>
            </w:r>
          </w:p>
        </w:tc>
        <w:tc>
          <w:tcPr>
            <w:tcW w:w="1350" w:type="dxa"/>
            <w:tcBorders>
              <w:top w:val="single" w:sz="6" w:space="0" w:color="auto"/>
              <w:left w:val="single" w:sz="6" w:space="0" w:color="auto"/>
              <w:righ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$5,950</w:t>
            </w:r>
          </w:p>
        </w:tc>
      </w:tr>
      <w:tr w:rsidR="00A1396E">
        <w:trPr>
          <w:trHeight w:val="361"/>
        </w:trPr>
        <w:tc>
          <w:tcPr>
            <w:tcW w:w="1890" w:type="dxa"/>
            <w:tcBorders>
              <w:top w:val="single" w:sz="6" w:space="0" w:color="auto"/>
              <w:left w:val="double" w:sz="6" w:space="0" w:color="auto"/>
              <w:bottom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$7,900</w:t>
            </w:r>
          </w:p>
        </w:tc>
        <w:tc>
          <w:tcPr>
            <w:tcW w:w="990" w:type="dxa"/>
            <w:tcBorders>
              <w:top w:val="single" w:sz="6" w:space="0" w:color="auto"/>
              <w:left w:val="single" w:sz="6" w:space="0" w:color="auto"/>
              <w:bottom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$6,550</w:t>
            </w:r>
          </w:p>
        </w:tc>
        <w:tc>
          <w:tcPr>
            <w:tcW w:w="900" w:type="dxa"/>
            <w:tcBorders>
              <w:top w:val="single" w:sz="6" w:space="0" w:color="auto"/>
              <w:left w:val="single" w:sz="6" w:space="0" w:color="auto"/>
              <w:bottom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$4,525</w:t>
            </w:r>
          </w:p>
        </w:tc>
        <w:tc>
          <w:tcPr>
            <w:tcW w:w="900" w:type="dxa"/>
            <w:tcBorders>
              <w:top w:val="single" w:sz="6" w:space="0" w:color="auto"/>
              <w:left w:val="single" w:sz="6" w:space="0" w:color="auto"/>
              <w:bottom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$5,450</w:t>
            </w:r>
          </w:p>
        </w:tc>
        <w:tc>
          <w:tcPr>
            <w:tcW w:w="1440" w:type="dxa"/>
            <w:tcBorders>
              <w:top w:val="single" w:sz="6" w:space="0" w:color="auto"/>
              <w:left w:val="single" w:sz="6" w:space="0" w:color="auto"/>
              <w:bottom w:val="sing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$8,375</w:t>
            </w:r>
          </w:p>
        </w:tc>
        <w:tc>
          <w:tcPr>
            <w:tcW w:w="1350" w:type="dxa"/>
            <w:tcBorders>
              <w:top w:val="single" w:sz="6" w:space="0" w:color="auto"/>
              <w:left w:val="single" w:sz="6" w:space="0" w:color="auto"/>
              <w:bottom w:val="single" w:sz="6" w:space="0" w:color="auto"/>
              <w:righ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$9,525</w:t>
            </w:r>
          </w:p>
        </w:tc>
      </w:tr>
      <w:tr w:rsidR="00A1396E">
        <w:tc>
          <w:tcPr>
            <w:tcW w:w="1890" w:type="dxa"/>
            <w:tcBorders>
              <w:top w:val="single" w:sz="6" w:space="0" w:color="auto"/>
              <w:left w:val="double" w:sz="6" w:space="0" w:color="auto"/>
              <w:bottom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$9,475</w:t>
            </w:r>
          </w:p>
        </w:tc>
        <w:tc>
          <w:tcPr>
            <w:tcW w:w="990" w:type="dxa"/>
            <w:tcBorders>
              <w:top w:val="single" w:sz="6" w:space="0" w:color="auto"/>
              <w:left w:val="single" w:sz="6" w:space="0" w:color="auto"/>
              <w:bottom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$7,875</w:t>
            </w:r>
          </w:p>
        </w:tc>
        <w:tc>
          <w:tcPr>
            <w:tcW w:w="900" w:type="dxa"/>
            <w:tcBorders>
              <w:top w:val="single" w:sz="6" w:space="0" w:color="auto"/>
              <w:left w:val="single" w:sz="6" w:space="0" w:color="auto"/>
              <w:bottom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$5,725</w:t>
            </w:r>
          </w:p>
        </w:tc>
        <w:tc>
          <w:tcPr>
            <w:tcW w:w="900" w:type="dxa"/>
            <w:tcBorders>
              <w:top w:val="single" w:sz="6" w:space="0" w:color="auto"/>
              <w:left w:val="single" w:sz="6" w:space="0" w:color="auto"/>
              <w:bottom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$6,825</w:t>
            </w:r>
          </w:p>
        </w:tc>
        <w:tc>
          <w:tcPr>
            <w:tcW w:w="1440" w:type="dxa"/>
            <w:tcBorders>
              <w:top w:val="single" w:sz="6" w:space="0" w:color="auto"/>
              <w:left w:val="single" w:sz="6" w:space="0" w:color="auto"/>
              <w:bottom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$10,700</w:t>
            </w:r>
          </w:p>
        </w:tc>
        <w:tc>
          <w:tcPr>
            <w:tcW w:w="1350" w:type="dxa"/>
            <w:tcBorders>
              <w:top w:val="single" w:sz="6" w:space="0" w:color="auto"/>
              <w:left w:val="single" w:sz="6" w:space="0" w:color="auto"/>
              <w:bottom w:val="double" w:sz="6" w:space="0" w:color="auto"/>
              <w:right w:val="double" w:sz="6" w:space="0" w:color="auto"/>
            </w:tcBorders>
          </w:tcPr>
          <w:p w:rsidR="00A1396E" w:rsidRDefault="00A1396E"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$12,375</w:t>
            </w:r>
          </w:p>
        </w:tc>
      </w:tr>
    </w:tbl>
    <w:p w:rsidR="00A1396E" w:rsidRDefault="00A1396E" w:rsidP="00A1396E">
      <w:pPr>
        <w:tabs>
          <w:tab w:val="right" w:pos="10080"/>
        </w:tabs>
        <w:suppressAutoHyphens/>
        <w:ind w:left="450"/>
        <w:jc w:val="center"/>
        <w:outlineLvl w:val="0"/>
        <w:rPr>
          <w:b/>
          <w:szCs w:val="22"/>
        </w:rPr>
      </w:pPr>
    </w:p>
    <w:p w:rsidR="0022480A" w:rsidRDefault="0022480A" w:rsidP="0022480A">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rPr>
      </w:pPr>
      <w:bookmarkStart w:id="273" w:name="_Toc353870724"/>
      <w:bookmarkStart w:id="274" w:name="_Toc353987751"/>
      <w:bookmarkStart w:id="275" w:name="_Toc353988072"/>
      <w:r>
        <w:rPr>
          <w:b/>
          <w:szCs w:val="22"/>
        </w:rPr>
        <w:t xml:space="preserve">FY 2013 SCHEDULE OF REGULATORY FEES: </w:t>
      </w:r>
      <w:r>
        <w:rPr>
          <w:b/>
        </w:rPr>
        <w:t>Fee Rate Increases</w:t>
      </w:r>
    </w:p>
    <w:p w:rsidR="0022480A" w:rsidRDefault="0022480A" w:rsidP="0022480A">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r>
        <w:rPr>
          <w:b/>
        </w:rPr>
        <w:t xml:space="preserve">Capped at 7.5%, Prior to </w:t>
      </w:r>
      <w:r>
        <w:rPr>
          <w:rFonts w:ascii="Times New Roman Bold" w:hAnsi="Times New Roman Bold"/>
          <w:b/>
        </w:rPr>
        <w:t>Rounding</w:t>
      </w:r>
      <w:r>
        <w:rPr>
          <w:rFonts w:ascii="Times New Roman Bold" w:hAnsi="Times New Roman Bold"/>
          <w:b/>
          <w:vertAlign w:val="superscript"/>
        </w:rPr>
        <w:t>6</w:t>
      </w:r>
    </w:p>
    <w:p w:rsidR="0022480A" w:rsidRDefault="0022480A" w:rsidP="0022480A">
      <w:pPr>
        <w:tabs>
          <w:tab w:val="right" w:pos="10080"/>
        </w:tabs>
        <w:suppressAutoHyphens/>
        <w:ind w:left="450"/>
        <w:jc w:val="center"/>
        <w:outlineLvl w:val="0"/>
        <w:rPr>
          <w:b/>
          <w:szCs w:val="22"/>
        </w:rPr>
      </w:pPr>
      <w:r>
        <w:rPr>
          <w:b/>
          <w:szCs w:val="22"/>
        </w:rPr>
        <w:t>International Bearer Circuits - Submarine Cable</w:t>
      </w:r>
    </w:p>
    <w:p w:rsidR="0022480A" w:rsidRDefault="0022480A" w:rsidP="0022480A">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2480A">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2012)</w:t>
            </w:r>
          </w:p>
        </w:tc>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22480A">
        <w:trPr>
          <w:trHeight w:val="1034"/>
        </w:trPr>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zCs w:val="22"/>
              </w:rPr>
            </w:pP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3192" w:type="dxa"/>
            <w:vAlign w:val="center"/>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$11,975</w:t>
            </w:r>
          </w:p>
        </w:tc>
        <w:tc>
          <w:tcPr>
            <w:tcW w:w="3192" w:type="dxa"/>
          </w:tcPr>
          <w:p w:rsidR="0022480A" w:rsidRDefault="0022480A" w:rsidP="00F416BE">
            <w:pPr>
              <w:rPr>
                <w:szCs w:val="22"/>
              </w:rPr>
            </w:pPr>
          </w:p>
          <w:p w:rsidR="0022480A" w:rsidRDefault="0022480A" w:rsidP="00F416BE">
            <w:pPr>
              <w:rPr>
                <w:szCs w:val="22"/>
              </w:rPr>
            </w:pPr>
            <w:r>
              <w:rPr>
                <w:szCs w:val="22"/>
              </w:rPr>
              <w:t>FCC, International, P.O. Box 979084, St. Louis, MO 63197-9000</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22480A">
        <w:trPr>
          <w:trHeight w:val="1034"/>
        </w:trPr>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3192" w:type="dxa"/>
            <w:vAlign w:val="center"/>
          </w:tcPr>
          <w:p w:rsidR="0022480A" w:rsidRDefault="0022480A" w:rsidP="00F416BE">
            <w:pPr>
              <w:jc w:val="center"/>
              <w:rPr>
                <w:bCs/>
                <w:szCs w:val="22"/>
              </w:rPr>
            </w:pPr>
            <w:r>
              <w:rPr>
                <w:bCs/>
                <w:szCs w:val="22"/>
              </w:rPr>
              <w:t>$23,925</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22480A" w:rsidRDefault="0022480A" w:rsidP="00F416BE">
            <w:pPr>
              <w:rPr>
                <w:szCs w:val="22"/>
              </w:rPr>
            </w:pPr>
            <w:r>
              <w:rPr>
                <w:szCs w:val="22"/>
              </w:rPr>
              <w:t>FCC, International, P.O. Box 979084, St. Louis, MO 63197-9000</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22480A">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3192" w:type="dxa"/>
            <w:vAlign w:val="center"/>
          </w:tcPr>
          <w:p w:rsidR="0022480A" w:rsidRDefault="0022480A" w:rsidP="00F416BE">
            <w:pPr>
              <w:jc w:val="center"/>
              <w:rPr>
                <w:bCs/>
                <w:szCs w:val="22"/>
              </w:rPr>
            </w:pPr>
            <w:r>
              <w:rPr>
                <w:bCs/>
                <w:szCs w:val="22"/>
              </w:rPr>
              <w:t xml:space="preserve">$47,875 </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22480A" w:rsidRDefault="0022480A" w:rsidP="00F416BE">
            <w:pPr>
              <w:rPr>
                <w:szCs w:val="22"/>
              </w:rPr>
            </w:pPr>
            <w:r>
              <w:rPr>
                <w:szCs w:val="22"/>
              </w:rPr>
              <w:t>FCC, International, P.O. Box 979084, St. Louis, MO 63197-9000</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22480A">
        <w:trPr>
          <w:trHeight w:val="998"/>
        </w:trPr>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10 Gbps or greater, but less than 20 Gbps</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p>
        </w:tc>
        <w:tc>
          <w:tcPr>
            <w:tcW w:w="3192" w:type="dxa"/>
            <w:vAlign w:val="center"/>
          </w:tcPr>
          <w:p w:rsidR="0022480A" w:rsidRDefault="0022480A" w:rsidP="00F416BE">
            <w:pPr>
              <w:jc w:val="center"/>
              <w:rPr>
                <w:bCs/>
                <w:szCs w:val="22"/>
              </w:rPr>
            </w:pPr>
            <w:r>
              <w:rPr>
                <w:bCs/>
                <w:szCs w:val="22"/>
              </w:rPr>
              <w:t xml:space="preserve">$95,750 </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pacing w:val="-3"/>
                <w:szCs w:val="22"/>
              </w:rPr>
              <w:t xml:space="preserve"> </w:t>
            </w:r>
          </w:p>
          <w:p w:rsidR="0022480A" w:rsidRDefault="0022480A" w:rsidP="00F416BE">
            <w:pPr>
              <w:rPr>
                <w:spacing w:val="-3"/>
                <w:szCs w:val="22"/>
              </w:rPr>
            </w:pPr>
            <w:r>
              <w:rPr>
                <w:szCs w:val="22"/>
              </w:rPr>
              <w:t>FCC, International, P.O. Box 979084, St. Louis, MO 63197-9000</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22480A">
        <w:trPr>
          <w:trHeight w:val="998"/>
        </w:trPr>
        <w:tc>
          <w:tcPr>
            <w:tcW w:w="3192" w:type="dxa"/>
          </w:tcPr>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p>
        </w:tc>
        <w:tc>
          <w:tcPr>
            <w:tcW w:w="3192" w:type="dxa"/>
            <w:vAlign w:val="center"/>
          </w:tcPr>
          <w:p w:rsidR="0022480A" w:rsidRDefault="0022480A" w:rsidP="00F416BE">
            <w:pPr>
              <w:jc w:val="center"/>
            </w:pPr>
            <w:r>
              <w:rPr>
                <w:bCs/>
                <w:szCs w:val="22"/>
              </w:rPr>
              <w:t>$191,475</w:t>
            </w:r>
          </w:p>
        </w:tc>
        <w:tc>
          <w:tcPr>
            <w:tcW w:w="3192" w:type="dxa"/>
          </w:tcPr>
          <w:p w:rsidR="0022480A" w:rsidRDefault="0022480A" w:rsidP="00F416BE">
            <w:pPr>
              <w:rPr>
                <w:spacing w:val="-3"/>
              </w:rPr>
            </w:pPr>
            <w:r>
              <w:rPr>
                <w:szCs w:val="22"/>
              </w:rPr>
              <w:t>FCC, International, P.O. Box 979084, St. Louis, MO 63197-9000</w:t>
            </w:r>
          </w:p>
          <w:p w:rsidR="0022480A" w:rsidRDefault="0022480A" w:rsidP="00F416BE">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bl>
    <w:p w:rsidR="00A1103B" w:rsidRDefault="00A1103B" w:rsidP="009566E5">
      <w:pPr>
        <w:autoSpaceDE w:val="0"/>
        <w:autoSpaceDN w:val="0"/>
        <w:adjustRightInd w:val="0"/>
        <w:jc w:val="center"/>
        <w:rPr>
          <w:b/>
        </w:rPr>
      </w:pPr>
      <w:bookmarkStart w:id="276" w:name="_Toc93825446"/>
      <w:bookmarkStart w:id="277" w:name="_Toc93825447"/>
      <w:bookmarkStart w:id="278" w:name="_Toc93825448"/>
      <w:bookmarkStart w:id="279" w:name="_Toc93825449"/>
      <w:bookmarkStart w:id="280" w:name="_Toc93825450"/>
      <w:bookmarkEnd w:id="273"/>
      <w:bookmarkEnd w:id="274"/>
      <w:bookmarkEnd w:id="275"/>
      <w:bookmarkEnd w:id="276"/>
      <w:bookmarkEnd w:id="277"/>
      <w:bookmarkEnd w:id="278"/>
      <w:bookmarkEnd w:id="279"/>
      <w:bookmarkEnd w:id="280"/>
      <w:r>
        <w:rPr>
          <w:b/>
        </w:rPr>
        <w:t>ATTACHMENT C</w:t>
      </w:r>
    </w:p>
    <w:p w:rsidR="00A1103B" w:rsidRDefault="00A1103B" w:rsidP="00A1103B">
      <w:pPr>
        <w:autoSpaceDE w:val="0"/>
        <w:autoSpaceDN w:val="0"/>
        <w:adjustRightInd w:val="0"/>
        <w:jc w:val="center"/>
        <w:rPr>
          <w:sz w:val="24"/>
          <w:szCs w:val="24"/>
        </w:rPr>
      </w:pPr>
    </w:p>
    <w:p w:rsidR="00A1103B" w:rsidRDefault="00A1103B" w:rsidP="00A1103B">
      <w:pPr>
        <w:jc w:val="center"/>
        <w:rPr>
          <w:b/>
        </w:rPr>
      </w:pPr>
      <w:r>
        <w:rPr>
          <w:b/>
        </w:rPr>
        <w:t>Sources of Payment Unit Estimates for FY 201</w:t>
      </w:r>
      <w:r w:rsidR="00E028F7">
        <w:rPr>
          <w:b/>
        </w:rPr>
        <w:t>3</w:t>
      </w:r>
    </w:p>
    <w:p w:rsidR="00A1103B" w:rsidRDefault="00A1103B" w:rsidP="00A1103B">
      <w:pPr>
        <w:jc w:val="center"/>
        <w:rPr>
          <w:b/>
        </w:rPr>
      </w:pP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t>In order to calculate individual service fees for FY 201</w:t>
      </w:r>
      <w:r w:rsidR="00E028F7">
        <w:t>3</w:t>
      </w:r>
      <w:r>
        <w:t>, we adjusted FY 201</w:t>
      </w:r>
      <w:r w:rsidR="00E028F7">
        <w:t>2</w:t>
      </w:r>
      <w:r>
        <w:t xml:space="preserve"> payment units for each service to more accurately reflect expected FY 201</w:t>
      </w:r>
      <w:r w:rsidR="00E028F7">
        <w:t>3</w:t>
      </w:r>
      <w:r>
        <w:t xml:space="preserve"> payment liabilities.  </w:t>
      </w:r>
      <w:r>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Pr>
          <w:szCs w:val="22"/>
        </w:rPr>
        <w:t xml:space="preserve">our </w:t>
      </w:r>
      <w:r>
        <w:t>Universal Licensing System (“ULS”), International Bureau Filing System (“IBFS”), Consolidated Database System (“CDBS”) and Cable Operations and Licensing System (“COALS”)</w:t>
      </w:r>
      <w:r>
        <w:rPr>
          <w:szCs w:val="22"/>
        </w:rPr>
        <w:t xml:space="preserve">, as well as reports generated within the Commission such as the Wireline Competition Bureau’s </w:t>
      </w:r>
      <w:r>
        <w:rPr>
          <w:i/>
          <w:szCs w:val="22"/>
        </w:rPr>
        <w:t>Trends in Telephone Service</w:t>
      </w:r>
      <w:r>
        <w:rPr>
          <w:szCs w:val="22"/>
        </w:rPr>
        <w:t xml:space="preserve"> and the Wireless Telecommunications Bureau’s </w:t>
      </w:r>
      <w:r>
        <w:rPr>
          <w:i/>
          <w:szCs w:val="22"/>
        </w:rPr>
        <w:t>Numbering Resource Utilization Forecast</w:t>
      </w:r>
      <w:r>
        <w:rPr>
          <w:szCs w:val="22"/>
        </w:rPr>
        <w:t xml:space="preserve">.  </w:t>
      </w: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 w:val="20"/>
        </w:rPr>
      </w:pP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Pr>
          <w:spacing w:val="-2"/>
          <w:szCs w:val="22"/>
        </w:rPr>
        <w:t>We sought verification for these estimates from multiple sources and, in all cases; we compared FY 201</w:t>
      </w:r>
      <w:r w:rsidR="00E028F7">
        <w:rPr>
          <w:spacing w:val="-2"/>
          <w:szCs w:val="22"/>
        </w:rPr>
        <w:t>3</w:t>
      </w:r>
      <w:r>
        <w:rPr>
          <w:spacing w:val="-2"/>
          <w:szCs w:val="22"/>
        </w:rPr>
        <w:t xml:space="preserve"> estimates with actual FY 201</w:t>
      </w:r>
      <w:r w:rsidR="00E028F7">
        <w:rPr>
          <w:spacing w:val="-2"/>
          <w:szCs w:val="22"/>
        </w:rPr>
        <w:t>2</w:t>
      </w:r>
      <w:r>
        <w:rPr>
          <w:spacing w:val="-2"/>
          <w:szCs w:val="22"/>
        </w:rPr>
        <w:t xml:space="preserve">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w:t>
      </w:r>
      <w:r w:rsidR="00E028F7">
        <w:rPr>
          <w:spacing w:val="-2"/>
          <w:szCs w:val="22"/>
        </w:rPr>
        <w:t>3</w:t>
      </w:r>
      <w:r>
        <w:rPr>
          <w:spacing w:val="-2"/>
          <w:szCs w:val="22"/>
        </w:rPr>
        <w:t xml:space="preserve"> and the fact that, in many services, the number of actual licensees or station operators fluctuates from time to time due to economic, technical, or other reasons.  When we note, for example, that our estimated FY 201</w:t>
      </w:r>
      <w:r w:rsidR="00E028F7">
        <w:rPr>
          <w:spacing w:val="-2"/>
          <w:szCs w:val="22"/>
        </w:rPr>
        <w:t>3</w:t>
      </w:r>
      <w:r>
        <w:rPr>
          <w:spacing w:val="-2"/>
          <w:szCs w:val="22"/>
        </w:rPr>
        <w:t xml:space="preserve"> payment units are based on FY 201</w:t>
      </w:r>
      <w:r w:rsidR="00E028F7">
        <w:rPr>
          <w:spacing w:val="-2"/>
          <w:szCs w:val="22"/>
        </w:rPr>
        <w:t>2</w:t>
      </w:r>
      <w:r>
        <w:rPr>
          <w:spacing w:val="-2"/>
          <w:szCs w:val="22"/>
        </w:rPr>
        <w:t xml:space="preserve"> actual payment units, it does not necessarily mean that our FY 201</w:t>
      </w:r>
      <w:r w:rsidR="00E028F7">
        <w:rPr>
          <w:spacing w:val="-2"/>
          <w:szCs w:val="22"/>
        </w:rPr>
        <w:t>3</w:t>
      </w:r>
      <w:r>
        <w:rPr>
          <w:spacing w:val="-2"/>
          <w:szCs w:val="22"/>
        </w:rPr>
        <w:t xml:space="preserve"> projection is exactly the same number as in FY 201</w:t>
      </w:r>
      <w:r w:rsidR="00E028F7">
        <w:rPr>
          <w:spacing w:val="-2"/>
          <w:szCs w:val="22"/>
        </w:rPr>
        <w:t>2</w:t>
      </w:r>
      <w:r>
        <w:rPr>
          <w:spacing w:val="-2"/>
          <w:szCs w:val="22"/>
        </w:rPr>
        <w:t>.  We have either rounded the FY 201</w:t>
      </w:r>
      <w:r w:rsidR="00E028F7">
        <w:rPr>
          <w:spacing w:val="-2"/>
          <w:szCs w:val="22"/>
        </w:rPr>
        <w:t>3</w:t>
      </w:r>
      <w:r>
        <w:rPr>
          <w:spacing w:val="-2"/>
          <w:szCs w:val="22"/>
        </w:rPr>
        <w:t xml:space="preserve"> number or adjusted it slightly to account for these variables.</w:t>
      </w: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 w:val="20"/>
        </w:rPr>
      </w:pPr>
      <w:r>
        <w:rPr>
          <w:sz w:val="20"/>
        </w:rPr>
        <w:t xml:space="preserve"> </w:t>
      </w:r>
    </w:p>
    <w:tbl>
      <w:tblPr>
        <w:tblW w:w="8640" w:type="dxa"/>
        <w:tblInd w:w="120" w:type="dxa"/>
        <w:tblLayout w:type="fixed"/>
        <w:tblCellMar>
          <w:left w:w="120" w:type="dxa"/>
          <w:right w:w="120" w:type="dxa"/>
        </w:tblCellMar>
        <w:tblLook w:val="0000" w:firstRow="0" w:lastRow="0" w:firstColumn="0" w:lastColumn="0" w:noHBand="0" w:noVBand="0"/>
      </w:tblPr>
      <w:tblGrid>
        <w:gridCol w:w="2978"/>
        <w:gridCol w:w="5662"/>
      </w:tblGrid>
      <w:tr w:rsidR="00A1103B">
        <w:tc>
          <w:tcPr>
            <w:tcW w:w="2978" w:type="dxa"/>
            <w:tcBorders>
              <w:top w:val="double" w:sz="6" w:space="0" w:color="auto"/>
              <w:left w:val="double" w:sz="6" w:space="0" w:color="auto"/>
            </w:tcBorders>
          </w:tcPr>
          <w:p w:rsidR="00A1103B" w:rsidRDefault="00C33D99"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sz w:val="20"/>
              </w:rPr>
              <w:fldChar w:fldCharType="begin"/>
            </w:r>
            <w:r w:rsidR="00A1103B">
              <w:rPr>
                <w:sz w:val="20"/>
              </w:rPr>
              <w:instrText xml:space="preserve">PRIVATE </w:instrText>
            </w:r>
            <w:r>
              <w:rPr>
                <w:sz w:val="20"/>
              </w:rPr>
              <w:fldChar w:fldCharType="end"/>
            </w:r>
            <w:r w:rsidR="00A1103B">
              <w:rPr>
                <w:b/>
                <w:sz w:val="20"/>
              </w:rPr>
              <w:t>FEE CATEGORY</w:t>
            </w:r>
          </w:p>
        </w:tc>
        <w:tc>
          <w:tcPr>
            <w:tcW w:w="5662" w:type="dxa"/>
            <w:tcBorders>
              <w:top w:val="double" w:sz="6" w:space="0" w:color="auto"/>
              <w:left w:val="single" w:sz="6" w:space="0" w:color="auto"/>
              <w:righ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 w:val="20"/>
              </w:rPr>
            </w:pPr>
            <w:r>
              <w:rPr>
                <w:b/>
                <w:sz w:val="20"/>
              </w:rPr>
              <w:t>SOURCES OF PAYMENT UNIT ESTIMATES</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Land Mobile (All), Microwave, 218-219 MHz, Marine (Ship &amp; Coast), Aviation (Aircraft &amp; Ground), GMRS, Amateur Vanity Call Signs, Domestic Public Fixed </w:t>
            </w:r>
          </w:p>
        </w:tc>
        <w:tc>
          <w:tcPr>
            <w:tcW w:w="5662" w:type="dxa"/>
            <w:tcBorders>
              <w:top w:val="single" w:sz="6" w:space="0" w:color="auto"/>
              <w:left w:val="single" w:sz="6" w:space="0" w:color="auto"/>
              <w:righ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CMRS Cellular/Mobile Services </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projection reports, and FY 1</w:t>
            </w:r>
            <w:r w:rsidR="00E028F7">
              <w:rPr>
                <w:sz w:val="20"/>
              </w:rPr>
              <w:t>2</w:t>
            </w:r>
            <w:r>
              <w:rPr>
                <w:sz w:val="20"/>
              </w:rPr>
              <w:t xml:space="preserve"> payment data. </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CMRS Messaging Services</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FY 1</w:t>
            </w:r>
            <w:r w:rsidR="00E028F7">
              <w:rPr>
                <w:sz w:val="20"/>
              </w:rPr>
              <w:t>2</w:t>
            </w:r>
            <w:r>
              <w:rPr>
                <w:sz w:val="20"/>
              </w:rPr>
              <w:t xml:space="preserve"> payment data.  </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 Radio Stations</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w:t>
            </w:r>
            <w:r w:rsidR="00E028F7">
              <w:rPr>
                <w:sz w:val="20"/>
              </w:rPr>
              <w:t>2</w:t>
            </w:r>
            <w:r>
              <w:rPr>
                <w:sz w:val="20"/>
              </w:rPr>
              <w:t xml:space="preserve"> payment units.</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UHF/VHF Television Stations</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w:t>
            </w:r>
            <w:r w:rsidR="00E028F7">
              <w:rPr>
                <w:sz w:val="20"/>
              </w:rPr>
              <w:t>2</w:t>
            </w:r>
            <w:r>
              <w:rPr>
                <w:sz w:val="20"/>
              </w:rPr>
              <w:t xml:space="preserve"> payment units.</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AM/FM/TV Construction Permits</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w:t>
            </w:r>
            <w:r w:rsidR="00E028F7">
              <w:rPr>
                <w:sz w:val="20"/>
              </w:rPr>
              <w:t>2</w:t>
            </w:r>
            <w:r>
              <w:rPr>
                <w:sz w:val="20"/>
              </w:rPr>
              <w:t xml:space="preserve"> payment units. </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LPTV, Translators and Boosters, Class A Television</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CDBS data, adjusted for exemptions, and actual FY 201</w:t>
            </w:r>
            <w:r w:rsidR="00E028F7">
              <w:rPr>
                <w:sz w:val="20"/>
              </w:rPr>
              <w:t>2</w:t>
            </w:r>
            <w:r>
              <w:rPr>
                <w:sz w:val="20"/>
              </w:rPr>
              <w:t xml:space="preserve"> payment units.</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Broadcast Auxiliaries</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actual FY 201</w:t>
            </w:r>
            <w:r w:rsidR="00E028F7">
              <w:rPr>
                <w:sz w:val="20"/>
              </w:rPr>
              <w:t>2</w:t>
            </w:r>
            <w:r>
              <w:rPr>
                <w:sz w:val="20"/>
              </w:rPr>
              <w:t xml:space="preserve"> payment units.</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BRS (formerly MDS/MMDS)</w:t>
            </w: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LMDS</w:t>
            </w:r>
          </w:p>
        </w:tc>
        <w:tc>
          <w:tcPr>
            <w:tcW w:w="5662" w:type="dxa"/>
            <w:tcBorders>
              <w:top w:val="single" w:sz="6" w:space="0" w:color="auto"/>
              <w:left w:val="single" w:sz="6" w:space="0" w:color="auto"/>
              <w:righ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w:t>
            </w:r>
            <w:r w:rsidR="00E028F7">
              <w:rPr>
                <w:sz w:val="20"/>
              </w:rPr>
              <w:t>2</w:t>
            </w:r>
            <w:r>
              <w:rPr>
                <w:sz w:val="20"/>
              </w:rPr>
              <w:t xml:space="preserve"> payment units.</w:t>
            </w:r>
          </w:p>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WTB reports and actual FY 201</w:t>
            </w:r>
            <w:r w:rsidR="00E028F7">
              <w:rPr>
                <w:sz w:val="20"/>
              </w:rPr>
              <w:t>2</w:t>
            </w:r>
            <w:r>
              <w:rPr>
                <w:sz w:val="20"/>
              </w:rPr>
              <w:t xml:space="preserve"> payment units.</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Relay Service (“CARS”) Stations</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data from Media Bureau’s COALS database and actual FY 201</w:t>
            </w:r>
            <w:r w:rsidR="00E028F7">
              <w:rPr>
                <w:sz w:val="20"/>
              </w:rPr>
              <w:t>2</w:t>
            </w:r>
            <w:r>
              <w:rPr>
                <w:sz w:val="20"/>
              </w:rPr>
              <w:t xml:space="preserve"> payment units.</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Cable Television System Subscribers</w:t>
            </w:r>
          </w:p>
        </w:tc>
        <w:tc>
          <w:tcPr>
            <w:tcW w:w="5662" w:type="dxa"/>
            <w:tcBorders>
              <w:top w:val="single" w:sz="6" w:space="0" w:color="auto"/>
              <w:left w:val="single" w:sz="6" w:space="0" w:color="auto"/>
              <w:righ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 xml:space="preserve">Based on publicly available data sources for estimated subscriber counts and actual FY 2011 payment units. </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Interstate Telecommunication Service Providers</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FCC Form 499-Q data for the four quarters of calendar year 201</w:t>
            </w:r>
            <w:r w:rsidR="00E028F7">
              <w:rPr>
                <w:sz w:val="20"/>
              </w:rPr>
              <w:t>2</w:t>
            </w:r>
            <w:r>
              <w:rPr>
                <w:sz w:val="20"/>
              </w:rPr>
              <w:t>, the Wireline Competition Bureau projected the amount of calendar year 20</w:t>
            </w:r>
            <w:r w:rsidR="00E028F7">
              <w:rPr>
                <w:sz w:val="20"/>
              </w:rPr>
              <w:t>12</w:t>
            </w:r>
            <w:r>
              <w:rPr>
                <w:sz w:val="20"/>
              </w:rPr>
              <w:t xml:space="preserve"> revenue that will be reported on 201</w:t>
            </w:r>
            <w:r w:rsidR="00E028F7">
              <w:rPr>
                <w:sz w:val="20"/>
              </w:rPr>
              <w:t>3</w:t>
            </w:r>
            <w:r>
              <w:rPr>
                <w:sz w:val="20"/>
              </w:rPr>
              <w:t xml:space="preserve"> FCC Form 499-A worksheets in April, 201</w:t>
            </w:r>
            <w:r w:rsidR="00E028F7">
              <w:rPr>
                <w:sz w:val="20"/>
              </w:rPr>
              <w:t>3</w:t>
            </w:r>
            <w:r>
              <w:rPr>
                <w:sz w:val="20"/>
              </w:rPr>
              <w:t>.</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Earth Stations</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International Bureau (“IB”) licensing data and actual FY 201</w:t>
            </w:r>
            <w:r w:rsidR="00E028F7">
              <w:rPr>
                <w:sz w:val="20"/>
              </w:rPr>
              <w:t>2</w:t>
            </w:r>
            <w:r>
              <w:rPr>
                <w:sz w:val="20"/>
              </w:rPr>
              <w:t xml:space="preserve"> payment units.</w:t>
            </w:r>
          </w:p>
        </w:tc>
      </w:tr>
      <w:tr w:rsidR="00A1103B">
        <w:tc>
          <w:tcPr>
            <w:tcW w:w="2978" w:type="dxa"/>
            <w:tcBorders>
              <w:top w:val="single" w:sz="6" w:space="0" w:color="auto"/>
              <w:lef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Space Stations (GSOs &amp; NGSOs)</w:t>
            </w:r>
          </w:p>
        </w:tc>
        <w:tc>
          <w:tcPr>
            <w:tcW w:w="5662" w:type="dxa"/>
            <w:tcBorders>
              <w:top w:val="single" w:sz="6" w:space="0" w:color="auto"/>
              <w:left w:val="single" w:sz="6" w:space="0" w:color="auto"/>
              <w:right w:val="double" w:sz="6" w:space="0" w:color="auto"/>
            </w:tcBorders>
          </w:tcPr>
          <w:p w:rsidR="00A1103B" w:rsidRDefault="00A1103B" w:rsidP="00AC395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data reports and actual FY 201</w:t>
            </w:r>
            <w:r w:rsidR="00E028F7">
              <w:rPr>
                <w:sz w:val="20"/>
              </w:rPr>
              <w:t>2</w:t>
            </w:r>
            <w:r>
              <w:rPr>
                <w:sz w:val="20"/>
              </w:rPr>
              <w:t xml:space="preserve"> payment units.</w:t>
            </w:r>
          </w:p>
        </w:tc>
      </w:tr>
      <w:tr w:rsidR="00A1103B">
        <w:tc>
          <w:tcPr>
            <w:tcW w:w="2978" w:type="dxa"/>
            <w:tcBorders>
              <w:top w:val="single" w:sz="6" w:space="0" w:color="auto"/>
              <w:left w:val="double" w:sz="6" w:space="0" w:color="auto"/>
              <w:bottom w:val="single" w:sz="8"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International Bearer Circuits</w:t>
            </w:r>
          </w:p>
        </w:tc>
        <w:tc>
          <w:tcPr>
            <w:tcW w:w="5662" w:type="dxa"/>
            <w:tcBorders>
              <w:top w:val="single" w:sz="6" w:space="0" w:color="auto"/>
              <w:left w:val="single" w:sz="6" w:space="0" w:color="auto"/>
              <w:bottom w:val="single" w:sz="8" w:space="0" w:color="auto"/>
              <w:righ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reports and submissions by licensees.</w:t>
            </w:r>
          </w:p>
        </w:tc>
      </w:tr>
      <w:tr w:rsidR="00A1103B">
        <w:tc>
          <w:tcPr>
            <w:tcW w:w="2978" w:type="dxa"/>
            <w:tcBorders>
              <w:top w:val="single" w:sz="8" w:space="0" w:color="auto"/>
              <w:left w:val="double" w:sz="6" w:space="0" w:color="auto"/>
              <w:bottom w:val="double" w:sz="6" w:space="0" w:color="auto"/>
              <w:right w:val="single" w:sz="8"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Submarine Cable Licenses</w:t>
            </w:r>
          </w:p>
        </w:tc>
        <w:tc>
          <w:tcPr>
            <w:tcW w:w="5662" w:type="dxa"/>
            <w:tcBorders>
              <w:top w:val="single" w:sz="8" w:space="0" w:color="auto"/>
              <w:left w:val="single" w:sz="8" w:space="0" w:color="auto"/>
              <w:bottom w:val="double" w:sz="6" w:space="0" w:color="auto"/>
              <w:right w:val="double" w:sz="6" w:space="0" w:color="auto"/>
            </w:tcBorders>
          </w:tcPr>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 w:val="20"/>
              </w:rPr>
            </w:pPr>
            <w:r>
              <w:rPr>
                <w:sz w:val="20"/>
              </w:rPr>
              <w:t>Based on IB license information.</w:t>
            </w:r>
          </w:p>
        </w:tc>
      </w:tr>
    </w:tbl>
    <w:p w:rsidR="00A1103B" w:rsidRDefault="00A1103B" w:rsidP="00A1103B"/>
    <w:p w:rsidR="00A1103B" w:rsidRDefault="00A1103B" w:rsidP="00A1103B">
      <w:pPr>
        <w:tabs>
          <w:tab w:val="right" w:pos="10080"/>
        </w:tabs>
        <w:suppressAutoHyphens/>
        <w:ind w:left="450"/>
        <w:jc w:val="center"/>
        <w:outlineLvl w:val="0"/>
        <w:rPr>
          <w:b/>
          <w:szCs w:val="22"/>
        </w:rPr>
      </w:pPr>
      <w:r>
        <w:br w:type="page"/>
      </w:r>
      <w:bookmarkStart w:id="281" w:name="_Toc351484783"/>
      <w:bookmarkStart w:id="282" w:name="_Toc351484829"/>
      <w:bookmarkStart w:id="283" w:name="_Toc351484971"/>
      <w:bookmarkStart w:id="284" w:name="_Toc351571080"/>
      <w:bookmarkStart w:id="285" w:name="_Toc351572444"/>
      <w:bookmarkStart w:id="286" w:name="_Toc353032075"/>
      <w:bookmarkStart w:id="287" w:name="_Toc352943208"/>
      <w:bookmarkStart w:id="288" w:name="_Toc352943657"/>
      <w:bookmarkStart w:id="289" w:name="_Toc353870727"/>
      <w:bookmarkStart w:id="290" w:name="_Toc353987754"/>
      <w:bookmarkStart w:id="291" w:name="_Toc353988075"/>
      <w:r>
        <w:rPr>
          <w:b/>
        </w:rPr>
        <w:t>ATTACHMENT D</w:t>
      </w:r>
      <w:bookmarkEnd w:id="281"/>
      <w:bookmarkEnd w:id="282"/>
      <w:bookmarkEnd w:id="283"/>
      <w:bookmarkEnd w:id="284"/>
      <w:bookmarkEnd w:id="285"/>
      <w:bookmarkEnd w:id="286"/>
      <w:bookmarkEnd w:id="287"/>
      <w:bookmarkEnd w:id="288"/>
      <w:bookmarkEnd w:id="289"/>
      <w:bookmarkEnd w:id="290"/>
      <w:bookmarkEnd w:id="291"/>
    </w:p>
    <w:p w:rsidR="00A1103B" w:rsidRDefault="00A1103B" w:rsidP="00A1103B">
      <w:pPr>
        <w:tabs>
          <w:tab w:val="right" w:pos="10080"/>
        </w:tabs>
        <w:suppressAutoHyphens/>
        <w:ind w:left="450"/>
        <w:jc w:val="center"/>
        <w:outlineLvl w:val="0"/>
        <w:rPr>
          <w:b/>
          <w:szCs w:val="22"/>
        </w:rPr>
      </w:pPr>
    </w:p>
    <w:p w:rsidR="00A1103B" w:rsidRDefault="00A1103B" w:rsidP="00A1103B">
      <w:pPr>
        <w:tabs>
          <w:tab w:val="right" w:pos="10080"/>
        </w:tabs>
        <w:suppressAutoHyphens/>
        <w:ind w:left="450"/>
        <w:jc w:val="center"/>
        <w:outlineLvl w:val="0"/>
        <w:rPr>
          <w:b/>
          <w:szCs w:val="22"/>
        </w:rPr>
      </w:pPr>
      <w:bookmarkStart w:id="292" w:name="_Toc351484784"/>
      <w:bookmarkStart w:id="293" w:name="_Toc351484830"/>
      <w:bookmarkStart w:id="294" w:name="_Toc351484972"/>
      <w:bookmarkStart w:id="295" w:name="_Toc351571081"/>
      <w:bookmarkStart w:id="296" w:name="_Toc351572445"/>
      <w:bookmarkStart w:id="297" w:name="_Toc353032076"/>
      <w:bookmarkStart w:id="298" w:name="_Toc352943209"/>
      <w:bookmarkStart w:id="299" w:name="_Toc352943658"/>
      <w:bookmarkStart w:id="300" w:name="_Toc353870728"/>
      <w:bookmarkStart w:id="301" w:name="_Toc353987755"/>
      <w:bookmarkStart w:id="302" w:name="_Toc353988076"/>
      <w:r>
        <w:rPr>
          <w:b/>
          <w:szCs w:val="22"/>
        </w:rPr>
        <w:t>Factors, Measurements, and Calculations That Determines Station</w:t>
      </w:r>
      <w:bookmarkEnd w:id="292"/>
      <w:bookmarkEnd w:id="293"/>
      <w:bookmarkEnd w:id="294"/>
      <w:bookmarkEnd w:id="295"/>
      <w:bookmarkEnd w:id="296"/>
      <w:bookmarkEnd w:id="297"/>
      <w:bookmarkEnd w:id="298"/>
      <w:bookmarkEnd w:id="299"/>
      <w:bookmarkEnd w:id="300"/>
      <w:bookmarkEnd w:id="301"/>
      <w:bookmarkEnd w:id="302"/>
    </w:p>
    <w:p w:rsidR="00A1103B" w:rsidRDefault="00A1103B" w:rsidP="00A1103B">
      <w:pPr>
        <w:tabs>
          <w:tab w:val="right" w:pos="10080"/>
        </w:tabs>
        <w:suppressAutoHyphens/>
        <w:ind w:left="450"/>
        <w:jc w:val="center"/>
        <w:outlineLvl w:val="0"/>
        <w:rPr>
          <w:b/>
          <w:szCs w:val="22"/>
        </w:rPr>
      </w:pPr>
      <w:bookmarkStart w:id="303" w:name="_Toc351484785"/>
      <w:bookmarkStart w:id="304" w:name="_Toc351484831"/>
      <w:bookmarkStart w:id="305" w:name="_Toc351484973"/>
      <w:bookmarkStart w:id="306" w:name="_Toc351571082"/>
      <w:bookmarkStart w:id="307" w:name="_Toc351572446"/>
      <w:bookmarkStart w:id="308" w:name="_Toc353032077"/>
      <w:bookmarkStart w:id="309" w:name="_Toc352943210"/>
      <w:bookmarkStart w:id="310" w:name="_Toc352943659"/>
      <w:bookmarkStart w:id="311" w:name="_Toc353870729"/>
      <w:bookmarkStart w:id="312" w:name="_Toc353987756"/>
      <w:bookmarkStart w:id="313" w:name="_Toc353988077"/>
      <w:r>
        <w:rPr>
          <w:b/>
          <w:szCs w:val="22"/>
        </w:rPr>
        <w:t>Signal Contours and Associated Population Coverages</w:t>
      </w:r>
      <w:bookmarkEnd w:id="303"/>
      <w:bookmarkEnd w:id="304"/>
      <w:bookmarkEnd w:id="305"/>
      <w:bookmarkEnd w:id="306"/>
      <w:bookmarkEnd w:id="307"/>
      <w:bookmarkEnd w:id="308"/>
      <w:bookmarkEnd w:id="309"/>
      <w:bookmarkEnd w:id="310"/>
      <w:bookmarkEnd w:id="311"/>
      <w:bookmarkEnd w:id="312"/>
      <w:bookmarkEnd w:id="313"/>
    </w:p>
    <w:p w:rsidR="00A1103B" w:rsidRDefault="00A1103B" w:rsidP="00A1103B">
      <w:pPr>
        <w:tabs>
          <w:tab w:val="right" w:pos="10080"/>
        </w:tabs>
        <w:suppressAutoHyphens/>
        <w:ind w:left="450"/>
        <w:jc w:val="center"/>
        <w:outlineLvl w:val="0"/>
        <w:rPr>
          <w:b/>
          <w:szCs w:val="22"/>
        </w:rPr>
      </w:pP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bookmarkStart w:id="314" w:name="_Toc351484786"/>
      <w:bookmarkStart w:id="315" w:name="_Toc351484832"/>
      <w:bookmarkStart w:id="316" w:name="_Toc351484974"/>
      <w:bookmarkStart w:id="317" w:name="_Toc351571083"/>
      <w:bookmarkStart w:id="318" w:name="_Toc351572447"/>
      <w:bookmarkStart w:id="319" w:name="_Toc353032078"/>
      <w:bookmarkStart w:id="320" w:name="_Toc352943211"/>
      <w:bookmarkStart w:id="321" w:name="_Toc352943660"/>
      <w:bookmarkStart w:id="322" w:name="_Toc353870730"/>
      <w:bookmarkStart w:id="323" w:name="_Toc353987757"/>
      <w:bookmarkStart w:id="324" w:name="_Toc353988078"/>
      <w:r>
        <w:rPr>
          <w:b/>
          <w:spacing w:val="-3"/>
          <w:szCs w:val="22"/>
          <w:u w:val="single"/>
        </w:rPr>
        <w:t xml:space="preserve">AM </w:t>
      </w:r>
      <w:r>
        <w:rPr>
          <w:b/>
          <w:szCs w:val="22"/>
          <w:u w:val="single"/>
        </w:rPr>
        <w:t>Stations</w:t>
      </w:r>
      <w:bookmarkEnd w:id="314"/>
      <w:bookmarkEnd w:id="315"/>
      <w:bookmarkEnd w:id="316"/>
      <w:bookmarkEnd w:id="317"/>
      <w:bookmarkEnd w:id="318"/>
      <w:bookmarkEnd w:id="319"/>
      <w:bookmarkEnd w:id="320"/>
      <w:bookmarkEnd w:id="321"/>
      <w:bookmarkEnd w:id="322"/>
      <w:bookmarkEnd w:id="323"/>
      <w:bookmarkEnd w:id="324"/>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Pr>
          <w:szCs w:val="22"/>
        </w:rPr>
        <w:t>For stations with nondirectional daytime antennas, the theoretical radiation was used at all azimuths.  For stations with directional daytime antennas, specific information on each day tower, including field ratio, phas</w:t>
      </w:r>
      <w:r w:rsidR="003C48F4">
        <w:rPr>
          <w:szCs w:val="22"/>
        </w:rPr>
        <w:t>e</w:t>
      </w:r>
      <w:r>
        <w:rPr>
          <w:szCs w:val="22"/>
        </w:rPr>
        <w:t>, spacing</w:t>
      </w:r>
      <w:r w:rsidR="003C48F4">
        <w:rPr>
          <w:szCs w:val="22"/>
        </w:rPr>
        <w:t>,</w:t>
      </w:r>
      <w:r>
        <w:rPr>
          <w:szCs w:val="22"/>
        </w:rPr>
        <w:t xml:space="preserve"> and orientation was retrieved, as well as the theoretical pattern root-mean-square of the radiation in all directions in the horizontal plane (“RMS”) figure </w:t>
      </w:r>
      <w:r w:rsidR="003C48F4">
        <w:rPr>
          <w:szCs w:val="22"/>
        </w:rPr>
        <w:t>(</w:t>
      </w:r>
      <w:r>
        <w:rPr>
          <w:szCs w:val="22"/>
        </w:rPr>
        <w:t xml:space="preserve">milliVolt per meter (mV/m) @ 1 km) for the antenna system.  The standard, or </w:t>
      </w:r>
      <w:r w:rsidR="003C48F4">
        <w:rPr>
          <w:szCs w:val="22"/>
        </w:rPr>
        <w:t>augmented</w:t>
      </w:r>
      <w:r>
        <w:rPr>
          <w:szCs w:val="22"/>
        </w:rPr>
        <w:t xml:space="preserve"> standard if pertinent, horizontal plane radiation pattern was calculated using techniques and methods specified in §§73.150 and 73.152 of the Commission's </w:t>
      </w:r>
      <w:r w:rsidR="00971593">
        <w:rPr>
          <w:szCs w:val="22"/>
        </w:rPr>
        <w:t>r</w:t>
      </w:r>
      <w:r>
        <w:rPr>
          <w:szCs w:val="22"/>
        </w:rPr>
        <w:t>ules.</w:t>
      </w:r>
      <w:r>
        <w:rPr>
          <w:szCs w:val="22"/>
          <w:vertAlign w:val="superscript"/>
        </w:rPr>
        <w:t>1</w:t>
      </w:r>
      <w:r>
        <w:rPr>
          <w:szCs w:val="22"/>
        </w:rPr>
        <w:t xml:space="preserve">  Radiation values were calculated for each of 360 radials around the transmitter site.  Next, estimated soil conductivity data was retrieved from a database representing the information in FCC Figure R3.</w:t>
      </w:r>
      <w:r>
        <w:rPr>
          <w:szCs w:val="22"/>
          <w:vertAlign w:val="superscript"/>
        </w:rPr>
        <w:t>2</w:t>
      </w:r>
      <w:r>
        <w:rPr>
          <w:szCs w:val="22"/>
        </w:rPr>
        <w:t xml:space="preserve">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w:t>
      </w:r>
      <w:r w:rsidR="00E028F7">
        <w:rPr>
          <w:szCs w:val="22"/>
        </w:rPr>
        <w:t>1</w:t>
      </w:r>
      <w:r>
        <w:rPr>
          <w:szCs w:val="22"/>
        </w:rPr>
        <w:t>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ab/>
      </w:r>
      <w:r>
        <w:rPr>
          <w:b/>
          <w:szCs w:val="22"/>
          <w:u w:val="single"/>
        </w:rPr>
        <w:t>FM Stations</w:t>
      </w:r>
    </w:p>
    <w:p w:rsidR="00A1103B" w:rsidRDefault="00A1103B" w:rsidP="00A1103B">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A1103B" w:rsidRDefault="00A1103B" w:rsidP="00A1103B">
      <w:pPr>
        <w:tabs>
          <w:tab w:val="left" w:pos="-1440"/>
          <w:tab w:val="left" w:pos="-720"/>
          <w:tab w:val="left" w:pos="720"/>
          <w:tab w:val="left" w:pos="1440"/>
          <w:tab w:val="left" w:pos="2160"/>
          <w:tab w:val="left" w:pos="2880"/>
          <w:tab w:val="left" w:pos="3600"/>
          <w:tab w:val="left" w:pos="4680"/>
          <w:tab w:val="left" w:pos="5040"/>
        </w:tabs>
        <w:suppressAutoHyphens/>
        <w:ind w:left="720"/>
      </w:pPr>
      <w:r>
        <w:rPr>
          <w:szCs w:val="22"/>
        </w:rPr>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§73.313 of the Commission's </w:t>
      </w:r>
      <w:r w:rsidR="00971593">
        <w:rPr>
          <w:szCs w:val="22"/>
        </w:rPr>
        <w:t>r</w:t>
      </w:r>
      <w:r>
        <w:rPr>
          <w:szCs w:val="22"/>
        </w:rPr>
        <w:t>ules to predict the distance to the principal community (70 dBu (decibel above 1 microVolt per meter) or 3.17 mV/m) contour for each of the 360 radials.</w:t>
      </w:r>
      <w:r>
        <w:rPr>
          <w:szCs w:val="22"/>
          <w:vertAlign w:val="superscript"/>
        </w:rPr>
        <w:t>3</w:t>
      </w:r>
      <w:r>
        <w:rPr>
          <w:szCs w:val="22"/>
        </w:rPr>
        <w:t xml:space="preserve">  The resulting distance to principal community contours were used to form a geographical polygon.  Population counting was accomplished by determining which 20</w:t>
      </w:r>
      <w:r w:rsidR="00E028F7">
        <w:rPr>
          <w:szCs w:val="22"/>
        </w:rPr>
        <w:t>1</w:t>
      </w:r>
      <w:r>
        <w:rPr>
          <w:szCs w:val="22"/>
        </w:rPr>
        <w:t>0 block centroids were contained in the polygon.  The sum of the population figures for all enclosed blocks represents the total population for the predicted principal community coverage area.</w:t>
      </w:r>
      <w:r>
        <w:t xml:space="preserve"> </w:t>
      </w:r>
    </w:p>
    <w:p w:rsidR="00AF7FCC" w:rsidRDefault="00AF7FCC" w:rsidP="00A1103B">
      <w:pPr>
        <w:tabs>
          <w:tab w:val="left" w:pos="-1440"/>
          <w:tab w:val="left" w:pos="-720"/>
          <w:tab w:val="left" w:pos="720"/>
          <w:tab w:val="left" w:pos="1440"/>
          <w:tab w:val="left" w:pos="2160"/>
          <w:tab w:val="left" w:pos="2880"/>
          <w:tab w:val="left" w:pos="3600"/>
          <w:tab w:val="left" w:pos="4680"/>
          <w:tab w:val="left" w:pos="5040"/>
        </w:tabs>
        <w:suppressAutoHyphens/>
        <w:ind w:left="720"/>
      </w:pPr>
    </w:p>
    <w:p w:rsidR="0033132C" w:rsidRDefault="00AF7FCC" w:rsidP="0033132C">
      <w:pPr>
        <w:tabs>
          <w:tab w:val="left" w:pos="1440"/>
        </w:tabs>
        <w:suppressAutoHyphens/>
        <w:spacing w:line="240" w:lineRule="atLeast"/>
        <w:ind w:firstLine="720"/>
        <w:jc w:val="center"/>
        <w:rPr>
          <w:szCs w:val="22"/>
        </w:rPr>
      </w:pPr>
      <w:r>
        <w:br w:type="page"/>
      </w:r>
      <w:r w:rsidR="0033132C" w:rsidRPr="007521D5">
        <w:rPr>
          <w:b/>
          <w:szCs w:val="22"/>
        </w:rPr>
        <w:t>ATTACHMENT</w:t>
      </w:r>
      <w:r w:rsidR="0033132C">
        <w:rPr>
          <w:b/>
          <w:szCs w:val="22"/>
        </w:rPr>
        <w:t xml:space="preserve"> E</w:t>
      </w:r>
      <w:r w:rsidR="0033132C">
        <w:rPr>
          <w:szCs w:val="22"/>
        </w:rPr>
        <w:t xml:space="preserve"> </w:t>
      </w:r>
    </w:p>
    <w:p w:rsidR="0033132C" w:rsidRDefault="0033132C" w:rsidP="0033132C">
      <w:pPr>
        <w:tabs>
          <w:tab w:val="left" w:pos="1440"/>
        </w:tabs>
        <w:suppressAutoHyphens/>
        <w:spacing w:line="240" w:lineRule="atLeast"/>
        <w:ind w:firstLine="720"/>
        <w:jc w:val="center"/>
        <w:rPr>
          <w:szCs w:val="22"/>
        </w:rPr>
      </w:pPr>
    </w:p>
    <w:p w:rsidR="00CC56FF" w:rsidRPr="007521D5" w:rsidRDefault="00CC56FF" w:rsidP="00CC56FF">
      <w:pPr>
        <w:tabs>
          <w:tab w:val="left" w:pos="1440"/>
        </w:tabs>
        <w:suppressAutoHyphens/>
        <w:spacing w:line="240" w:lineRule="atLeast"/>
        <w:ind w:firstLine="720"/>
        <w:jc w:val="center"/>
        <w:rPr>
          <w:b/>
          <w:spacing w:val="-2"/>
          <w:szCs w:val="22"/>
        </w:rPr>
      </w:pPr>
      <w:r w:rsidRPr="007521D5">
        <w:rPr>
          <w:b/>
          <w:spacing w:val="-2"/>
          <w:szCs w:val="22"/>
        </w:rPr>
        <w:t>Initial Regulatory Flexibility Analysis</w:t>
      </w:r>
    </w:p>
    <w:p w:rsidR="00CC56FF" w:rsidRPr="007521D5" w:rsidRDefault="00CC56FF" w:rsidP="00CC56FF">
      <w:pPr>
        <w:tabs>
          <w:tab w:val="left" w:pos="1440"/>
        </w:tabs>
        <w:suppressAutoHyphens/>
        <w:spacing w:line="240" w:lineRule="atLeast"/>
        <w:ind w:firstLine="720"/>
        <w:jc w:val="center"/>
        <w:rPr>
          <w:b/>
          <w:spacing w:val="-2"/>
          <w:szCs w:val="22"/>
        </w:rPr>
      </w:pPr>
    </w:p>
    <w:p w:rsidR="00E232D8" w:rsidRDefault="00CC56FF" w:rsidP="00CC56FF">
      <w:pPr>
        <w:tabs>
          <w:tab w:val="left" w:pos="1440"/>
        </w:tabs>
        <w:suppressAutoHyphens/>
        <w:spacing w:line="240" w:lineRule="atLeast"/>
        <w:ind w:firstLine="720"/>
        <w:rPr>
          <w:spacing w:val="-2"/>
          <w:szCs w:val="22"/>
        </w:rPr>
        <w:sectPr w:rsidR="00E232D8" w:rsidSect="00B322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299"/>
        </w:sectPr>
      </w:pPr>
      <w:r w:rsidRPr="007521D5">
        <w:rPr>
          <w:spacing w:val="-2"/>
          <w:szCs w:val="22"/>
        </w:rPr>
        <w:t>1.</w:t>
      </w:r>
      <w:r w:rsidRPr="007521D5">
        <w:rPr>
          <w:spacing w:val="-2"/>
          <w:szCs w:val="22"/>
        </w:rPr>
        <w:tab/>
        <w:t>As required by the Regulatory Flexibility Act (RFA),</w:t>
      </w:r>
    </w:p>
    <w:p w:rsidR="00CC56FF" w:rsidRDefault="00CC56FF" w:rsidP="00CC56FF">
      <w:pPr>
        <w:tabs>
          <w:tab w:val="left" w:pos="1440"/>
        </w:tabs>
        <w:suppressAutoHyphens/>
        <w:spacing w:line="240" w:lineRule="atLeast"/>
        <w:ind w:firstLine="720"/>
        <w:rPr>
          <w:spacing w:val="-2"/>
          <w:szCs w:val="22"/>
        </w:rPr>
      </w:pPr>
      <w:r>
        <w:rPr>
          <w:rStyle w:val="FootnoteReference"/>
          <w:spacing w:val="-2"/>
          <w:szCs w:val="22"/>
        </w:rPr>
        <w:footnoteReference w:id="108"/>
      </w:r>
      <w:r>
        <w:rPr>
          <w:spacing w:val="-2"/>
          <w:szCs w:val="22"/>
        </w:rPr>
        <w:t xml:space="preserve"> </w:t>
      </w:r>
      <w:r w:rsidRPr="007521D5">
        <w:rPr>
          <w:spacing w:val="-2"/>
          <w:szCs w:val="22"/>
        </w:rPr>
        <w:t xml:space="preserve">the Commission prepared this Initial Regulatory Flexibility Analysis (IRFA) of the possible significant economic impact on small entities by the policies and rules proposed in this </w:t>
      </w:r>
      <w:r w:rsidR="004E65F6">
        <w:rPr>
          <w:spacing w:val="-2"/>
          <w:szCs w:val="22"/>
        </w:rPr>
        <w:t xml:space="preserve">Notice of Proposed Rulemaking </w:t>
      </w:r>
      <w:r w:rsidR="002442CD">
        <w:rPr>
          <w:spacing w:val="-2"/>
          <w:szCs w:val="22"/>
        </w:rPr>
        <w:t>(</w:t>
      </w:r>
      <w:r w:rsidR="002442CD" w:rsidRPr="00B32272">
        <w:rPr>
          <w:i/>
          <w:szCs w:val="22"/>
        </w:rPr>
        <w:t>FY 2013 NPRM</w:t>
      </w:r>
      <w:r w:rsidR="002442CD">
        <w:rPr>
          <w:szCs w:val="22"/>
        </w:rPr>
        <w:t xml:space="preserve">) </w:t>
      </w:r>
      <w:r w:rsidR="004E65F6">
        <w:rPr>
          <w:spacing w:val="-2"/>
          <w:szCs w:val="22"/>
        </w:rPr>
        <w:t xml:space="preserve">and </w:t>
      </w:r>
      <w:r>
        <w:rPr>
          <w:spacing w:val="-2"/>
          <w:szCs w:val="22"/>
        </w:rPr>
        <w:t xml:space="preserve">Further </w:t>
      </w:r>
      <w:r w:rsidRPr="007521D5">
        <w:rPr>
          <w:spacing w:val="-2"/>
          <w:szCs w:val="22"/>
        </w:rPr>
        <w:t>Notice of Proposed Rulemaking (</w:t>
      </w:r>
      <w:r w:rsidR="00233F8A">
        <w:rPr>
          <w:i/>
          <w:spacing w:val="-2"/>
          <w:szCs w:val="22"/>
        </w:rPr>
        <w:t xml:space="preserve">FNPRM) </w:t>
      </w:r>
      <w:r w:rsidR="00233F8A" w:rsidRPr="004A33E7">
        <w:rPr>
          <w:spacing w:val="-2"/>
          <w:szCs w:val="22"/>
        </w:rPr>
        <w:t>(</w:t>
      </w:r>
      <w:r w:rsidR="004E65F6">
        <w:rPr>
          <w:spacing w:val="-2"/>
          <w:szCs w:val="22"/>
        </w:rPr>
        <w:t>collectively, “</w:t>
      </w:r>
      <w:r w:rsidRPr="007521D5">
        <w:rPr>
          <w:spacing w:val="-2"/>
          <w:szCs w:val="22"/>
        </w:rPr>
        <w:t>Notice</w:t>
      </w:r>
      <w:r w:rsidR="004E65F6">
        <w:rPr>
          <w:spacing w:val="-2"/>
          <w:szCs w:val="22"/>
        </w:rPr>
        <w:t>”</w:t>
      </w:r>
      <w:r w:rsidRPr="007521D5">
        <w:rPr>
          <w:spacing w:val="-2"/>
          <w:szCs w:val="22"/>
        </w:rPr>
        <w:t xml:space="preserve">). </w:t>
      </w:r>
      <w:r w:rsidR="00973F1F">
        <w:rPr>
          <w:spacing w:val="-2"/>
          <w:szCs w:val="22"/>
        </w:rPr>
        <w:t xml:space="preserve"> </w:t>
      </w:r>
      <w:r w:rsidRPr="007521D5">
        <w:rPr>
          <w:spacing w:val="-2"/>
          <w:szCs w:val="22"/>
        </w:rPr>
        <w:t xml:space="preserve">Written comments are requested on this IRFA.  Comments must be identified as responses to the IRFA and must be filed </w:t>
      </w:r>
      <w:r>
        <w:rPr>
          <w:spacing w:val="-2"/>
          <w:szCs w:val="22"/>
        </w:rPr>
        <w:t>by the deadline for comments on this Notice</w:t>
      </w:r>
      <w:r w:rsidRPr="007521D5">
        <w:rPr>
          <w:spacing w:val="-2"/>
          <w:szCs w:val="22"/>
        </w:rPr>
        <w:t>.  The Commission will send a copy of the Notice, including the IRFA, to the Chief Counsel for Advocacy of the Small Business Administration (SBA)</w:t>
      </w:r>
      <w:r>
        <w:rPr>
          <w:spacing w:val="-2"/>
          <w:szCs w:val="22"/>
        </w:rPr>
        <w:t>.</w:t>
      </w:r>
      <w:r>
        <w:rPr>
          <w:rStyle w:val="FootnoteReference"/>
          <w:spacing w:val="-2"/>
          <w:szCs w:val="22"/>
        </w:rPr>
        <w:footnoteReference w:id="109"/>
      </w:r>
      <w:r w:rsidRPr="007521D5">
        <w:rPr>
          <w:spacing w:val="-2"/>
          <w:szCs w:val="22"/>
        </w:rPr>
        <w:t xml:space="preserve">  In addition, the Notice and IRFA (or summaries thereof) will be published in the Federal Register.</w:t>
      </w:r>
      <w:r>
        <w:rPr>
          <w:rStyle w:val="FootnoteReference"/>
          <w:spacing w:val="-2"/>
          <w:szCs w:val="22"/>
        </w:rPr>
        <w:footnoteReference w:id="110"/>
      </w:r>
      <w:r w:rsidRPr="007521D5">
        <w:rPr>
          <w:spacing w:val="-2"/>
          <w:szCs w:val="22"/>
        </w:rPr>
        <w:t xml:space="preserve"> </w:t>
      </w:r>
    </w:p>
    <w:p w:rsidR="00CC56FF" w:rsidRPr="007521D5" w:rsidRDefault="00CC56FF" w:rsidP="00CC56FF">
      <w:pPr>
        <w:tabs>
          <w:tab w:val="left" w:pos="1440"/>
        </w:tabs>
        <w:suppressAutoHyphens/>
        <w:spacing w:line="240" w:lineRule="atLeast"/>
        <w:ind w:firstLine="720"/>
        <w:rPr>
          <w:spacing w:val="-2"/>
          <w:szCs w:val="22"/>
        </w:rPr>
      </w:pPr>
      <w:r w:rsidRPr="007521D5">
        <w:rPr>
          <w:spacing w:val="-2"/>
          <w:szCs w:val="22"/>
        </w:rPr>
        <w:t xml:space="preserve"> </w:t>
      </w:r>
    </w:p>
    <w:p w:rsidR="00CC56FF" w:rsidRPr="005E4686" w:rsidRDefault="00CC56FF" w:rsidP="00CC56FF">
      <w:pPr>
        <w:pStyle w:val="Heading2"/>
      </w:pPr>
      <w:bookmarkStart w:id="325" w:name="_Toc353870731"/>
      <w:bookmarkStart w:id="326" w:name="_Toc353987758"/>
      <w:bookmarkStart w:id="327" w:name="_Toc353988079"/>
      <w:r w:rsidRPr="005E4686">
        <w:t>Need for, and Objectives of, the</w:t>
      </w:r>
      <w:r>
        <w:t xml:space="preserve"> </w:t>
      </w:r>
      <w:r w:rsidRPr="005E4686">
        <w:t>Notice</w:t>
      </w:r>
      <w:bookmarkEnd w:id="325"/>
      <w:bookmarkEnd w:id="326"/>
      <w:bookmarkEnd w:id="327"/>
      <w:r w:rsidRPr="005E4686">
        <w:t xml:space="preserve">  </w:t>
      </w:r>
    </w:p>
    <w:p w:rsidR="00136DD6" w:rsidRDefault="00CC56FF" w:rsidP="000A348F">
      <w:pPr>
        <w:tabs>
          <w:tab w:val="left" w:pos="1440"/>
        </w:tabs>
        <w:suppressAutoHyphens/>
        <w:spacing w:line="240" w:lineRule="atLeast"/>
        <w:ind w:firstLine="720"/>
        <w:rPr>
          <w:szCs w:val="22"/>
        </w:rPr>
      </w:pPr>
      <w:r w:rsidRPr="007521D5">
        <w:rPr>
          <w:spacing w:val="-2"/>
          <w:szCs w:val="22"/>
        </w:rPr>
        <w:t>2.</w:t>
      </w:r>
      <w:r w:rsidRPr="007521D5">
        <w:rPr>
          <w:spacing w:val="-2"/>
          <w:szCs w:val="22"/>
        </w:rPr>
        <w:tab/>
      </w:r>
      <w:r w:rsidR="00136DD6" w:rsidRPr="00A1103B">
        <w:rPr>
          <w:szCs w:val="22"/>
        </w:rPr>
        <w:t>In th</w:t>
      </w:r>
      <w:r w:rsidR="00233F8A">
        <w:rPr>
          <w:szCs w:val="22"/>
        </w:rPr>
        <w:t xml:space="preserve">e </w:t>
      </w:r>
      <w:r w:rsidR="00233F8A" w:rsidRPr="000A348F">
        <w:rPr>
          <w:i/>
          <w:szCs w:val="22"/>
        </w:rPr>
        <w:t>FY 2013 NPRM</w:t>
      </w:r>
      <w:r w:rsidR="00136DD6">
        <w:rPr>
          <w:szCs w:val="22"/>
        </w:rPr>
        <w:t xml:space="preserve"> </w:t>
      </w:r>
      <w:r w:rsidR="00136DD6" w:rsidRPr="00A1103B">
        <w:rPr>
          <w:szCs w:val="22"/>
        </w:rPr>
        <w:t xml:space="preserve">we seek comment on </w:t>
      </w:r>
      <w:r w:rsidR="00136DD6">
        <w:rPr>
          <w:szCs w:val="22"/>
        </w:rPr>
        <w:t xml:space="preserve">our annual process of assessing regulatory fees to cover the Commission’s costs to offset the Commission’s Fiscal Year (FY) 2013 appropriation, as directed by Congress.  The regulatory fees calculated in response to the </w:t>
      </w:r>
      <w:r w:rsidR="00136DD6" w:rsidRPr="00B32272">
        <w:rPr>
          <w:i/>
          <w:szCs w:val="22"/>
        </w:rPr>
        <w:t>FY 2013 NPRM</w:t>
      </w:r>
      <w:r w:rsidR="00136DD6">
        <w:rPr>
          <w:szCs w:val="22"/>
        </w:rPr>
        <w:t xml:space="preserve"> will be collected later this year.  W</w:t>
      </w:r>
      <w:r w:rsidR="00136DD6" w:rsidRPr="00A1103B">
        <w:rPr>
          <w:szCs w:val="22"/>
        </w:rPr>
        <w:t xml:space="preserve">e </w:t>
      </w:r>
      <w:r w:rsidR="00136DD6">
        <w:rPr>
          <w:szCs w:val="22"/>
        </w:rPr>
        <w:t xml:space="preserve">also </w:t>
      </w:r>
      <w:r w:rsidR="00136DD6" w:rsidRPr="00A1103B">
        <w:rPr>
          <w:szCs w:val="22"/>
        </w:rPr>
        <w:t xml:space="preserve">seek comment </w:t>
      </w:r>
      <w:r w:rsidR="0081289B">
        <w:rPr>
          <w:szCs w:val="22"/>
        </w:rPr>
        <w:t xml:space="preserve">in the </w:t>
      </w:r>
      <w:r w:rsidR="00233F8A">
        <w:rPr>
          <w:i/>
          <w:szCs w:val="22"/>
        </w:rPr>
        <w:t>FY 2013 NPRM</w:t>
      </w:r>
      <w:r w:rsidR="0081289B">
        <w:rPr>
          <w:szCs w:val="22"/>
        </w:rPr>
        <w:t xml:space="preserve"> </w:t>
      </w:r>
      <w:r w:rsidR="00136DD6" w:rsidRPr="00A1103B">
        <w:rPr>
          <w:szCs w:val="22"/>
        </w:rPr>
        <w:t>on reforming and revising our regulatory fee schedule for FY 2013 and beyond</w:t>
      </w:r>
      <w:r w:rsidR="00136DD6">
        <w:rPr>
          <w:szCs w:val="22"/>
        </w:rPr>
        <w:t xml:space="preserve"> to take into account changes in the communications industry and changes in the Commission’s regulatory processes and staffing in recent years</w:t>
      </w:r>
      <w:r w:rsidR="00136DD6" w:rsidRPr="00A1103B">
        <w:rPr>
          <w:szCs w:val="22"/>
        </w:rPr>
        <w:t>.</w:t>
      </w:r>
      <w:r w:rsidR="00136DD6">
        <w:rPr>
          <w:szCs w:val="22"/>
        </w:rPr>
        <w:t xml:space="preserve"> </w:t>
      </w:r>
      <w:r w:rsidR="00136DD6" w:rsidRPr="00A1103B">
        <w:rPr>
          <w:szCs w:val="22"/>
        </w:rPr>
        <w:t xml:space="preserve">  </w:t>
      </w:r>
    </w:p>
    <w:p w:rsidR="00136DD6" w:rsidRDefault="00136DD6" w:rsidP="000A348F">
      <w:pPr>
        <w:tabs>
          <w:tab w:val="left" w:pos="1440"/>
        </w:tabs>
        <w:suppressAutoHyphens/>
        <w:spacing w:line="240" w:lineRule="atLeast"/>
        <w:ind w:firstLine="720"/>
        <w:rPr>
          <w:szCs w:val="22"/>
        </w:rPr>
      </w:pPr>
    </w:p>
    <w:p w:rsidR="00136DD6" w:rsidRDefault="00136DD6" w:rsidP="000A348F">
      <w:pPr>
        <w:tabs>
          <w:tab w:val="left" w:pos="1440"/>
        </w:tabs>
        <w:suppressAutoHyphens/>
        <w:spacing w:line="240" w:lineRule="atLeast"/>
        <w:ind w:firstLine="720"/>
        <w:rPr>
          <w:szCs w:val="22"/>
        </w:rPr>
      </w:pPr>
      <w:r>
        <w:rPr>
          <w:szCs w:val="22"/>
        </w:rPr>
        <w:t>3.</w:t>
      </w:r>
      <w:r>
        <w:rPr>
          <w:szCs w:val="22"/>
        </w:rPr>
        <w:tab/>
        <w:t>Th</w:t>
      </w:r>
      <w:r w:rsidR="00233F8A">
        <w:rPr>
          <w:szCs w:val="22"/>
        </w:rPr>
        <w:t xml:space="preserve">e </w:t>
      </w:r>
      <w:r w:rsidR="00233F8A">
        <w:rPr>
          <w:i/>
          <w:szCs w:val="22"/>
        </w:rPr>
        <w:t xml:space="preserve">FY 2013 NPRM </w:t>
      </w:r>
      <w:r>
        <w:rPr>
          <w:szCs w:val="22"/>
        </w:rPr>
        <w:t>seeks comment concerning adoption and implementation of proposals to reallocate regulatory fees to more accurately reflect the subject areas worked on by current Commission FTEs for FY 2013.  As such, we seek comment on, among other things,</w:t>
      </w:r>
      <w:r>
        <w:t xml:space="preserve"> </w:t>
      </w:r>
      <w:r>
        <w:rPr>
          <w:szCs w:val="22"/>
        </w:rPr>
        <w:t xml:space="preserve">reallocating: (1) </w:t>
      </w:r>
      <w:r w:rsidRPr="00477D82">
        <w:rPr>
          <w:szCs w:val="22"/>
        </w:rPr>
        <w:t xml:space="preserve">direct FTEs </w:t>
      </w:r>
      <w:r w:rsidR="00233F8A">
        <w:rPr>
          <w:szCs w:val="22"/>
        </w:rPr>
        <w:t xml:space="preserve">currently allocated to the </w:t>
      </w:r>
      <w:r w:rsidRPr="00477D82">
        <w:rPr>
          <w:szCs w:val="22"/>
        </w:rPr>
        <w:t>I</w:t>
      </w:r>
      <w:r>
        <w:rPr>
          <w:szCs w:val="22"/>
        </w:rPr>
        <w:t>nterstate Telecommunications Service Providers (I</w:t>
      </w:r>
      <w:r w:rsidRPr="00477D82">
        <w:rPr>
          <w:szCs w:val="22"/>
        </w:rPr>
        <w:t>TSP</w:t>
      </w:r>
      <w:r>
        <w:rPr>
          <w:szCs w:val="22"/>
        </w:rPr>
        <w:t xml:space="preserve">s) </w:t>
      </w:r>
      <w:r w:rsidR="00233F8A">
        <w:rPr>
          <w:szCs w:val="22"/>
        </w:rPr>
        <w:t xml:space="preserve">fee category </w:t>
      </w:r>
      <w:r>
        <w:rPr>
          <w:szCs w:val="22"/>
        </w:rPr>
        <w:t xml:space="preserve">and other fee categories to reflect current workloads devoted to these subject areas; </w:t>
      </w:r>
      <w:r w:rsidR="00973F1F">
        <w:rPr>
          <w:szCs w:val="22"/>
        </w:rPr>
        <w:t xml:space="preserve">and </w:t>
      </w:r>
      <w:r>
        <w:rPr>
          <w:szCs w:val="22"/>
        </w:rPr>
        <w:t>(2) FTEs in the International Bureau to more accurately reflect the Commission’s regulation and oversight of the International Bureau regulatees</w:t>
      </w:r>
      <w:r w:rsidR="00973F1F">
        <w:rPr>
          <w:szCs w:val="22"/>
        </w:rPr>
        <w:t>.</w:t>
      </w:r>
      <w:r>
        <w:rPr>
          <w:szCs w:val="22"/>
        </w:rPr>
        <w:t xml:space="preserve"> If these proposals are adopted, we also seek comment on </w:t>
      </w:r>
      <w:r w:rsidR="00B8792B">
        <w:rPr>
          <w:szCs w:val="22"/>
        </w:rPr>
        <w:t xml:space="preserve">limiting </w:t>
      </w:r>
      <w:r>
        <w:rPr>
          <w:szCs w:val="22"/>
        </w:rPr>
        <w:t xml:space="preserve">any increase in assessments </w:t>
      </w:r>
      <w:r w:rsidR="00B8792B">
        <w:rPr>
          <w:szCs w:val="22"/>
        </w:rPr>
        <w:t xml:space="preserve">to 10 percent or some other amount </w:t>
      </w:r>
      <w:r>
        <w:rPr>
          <w:szCs w:val="22"/>
        </w:rPr>
        <w:t xml:space="preserve">to avoid fee shock to industry segments paying higher regulatory fees as a result of reallocation. </w:t>
      </w:r>
      <w:r w:rsidR="007074BF">
        <w:rPr>
          <w:szCs w:val="22"/>
        </w:rPr>
        <w:t xml:space="preserve">We ask whether direct FTEs in other Bureaus should be </w:t>
      </w:r>
      <w:r w:rsidR="008B494C">
        <w:rPr>
          <w:szCs w:val="22"/>
        </w:rPr>
        <w:t xml:space="preserve">reclassified as indirect and reallocated or, conversely, whether FTEs currently allocated as indirect should be </w:t>
      </w:r>
      <w:r w:rsidR="00973F1F">
        <w:rPr>
          <w:szCs w:val="22"/>
        </w:rPr>
        <w:t xml:space="preserve">reallocated differently or </w:t>
      </w:r>
      <w:r w:rsidR="008B494C">
        <w:rPr>
          <w:szCs w:val="22"/>
        </w:rPr>
        <w:t xml:space="preserve">reclassified as direct and reallocated accordingly. </w:t>
      </w:r>
      <w:r>
        <w:rPr>
          <w:szCs w:val="22"/>
        </w:rPr>
        <w:t xml:space="preserve"> Finally, we seek comment on whether to delay our proposal to reallocate FTEs and, in the interim, maintain the same allocation percentages from last year for FY 2013</w:t>
      </w:r>
      <w:r w:rsidR="00233F8A">
        <w:rPr>
          <w:szCs w:val="22"/>
        </w:rPr>
        <w:t>, including the current</w:t>
      </w:r>
      <w:r w:rsidR="00283AAE">
        <w:rPr>
          <w:szCs w:val="22"/>
        </w:rPr>
        <w:t xml:space="preserve">.00375 rate for ITSP </w:t>
      </w:r>
      <w:r w:rsidR="009549AB">
        <w:rPr>
          <w:szCs w:val="22"/>
        </w:rPr>
        <w:t>regulatees</w:t>
      </w:r>
      <w:r w:rsidR="00283AAE">
        <w:rPr>
          <w:szCs w:val="22"/>
        </w:rPr>
        <w:t xml:space="preserve">. </w:t>
      </w:r>
      <w:r w:rsidR="00233F8A">
        <w:rPr>
          <w:szCs w:val="22"/>
        </w:rPr>
        <w:t xml:space="preserve"> </w:t>
      </w:r>
      <w:r>
        <w:rPr>
          <w:szCs w:val="22"/>
        </w:rPr>
        <w:t xml:space="preserve">   </w:t>
      </w:r>
    </w:p>
    <w:p w:rsidR="00136DD6" w:rsidRPr="00B32272" w:rsidRDefault="00136DD6" w:rsidP="000A348F">
      <w:pPr>
        <w:tabs>
          <w:tab w:val="left" w:pos="1440"/>
        </w:tabs>
        <w:suppressAutoHyphens/>
        <w:spacing w:line="240" w:lineRule="atLeast"/>
        <w:ind w:firstLine="720"/>
        <w:rPr>
          <w:szCs w:val="22"/>
        </w:rPr>
      </w:pPr>
    </w:p>
    <w:p w:rsidR="00CC56FF" w:rsidRPr="007521D5" w:rsidRDefault="00136DD6" w:rsidP="00CC56FF">
      <w:pPr>
        <w:tabs>
          <w:tab w:val="left" w:pos="1440"/>
        </w:tabs>
        <w:suppressAutoHyphens/>
        <w:spacing w:line="240" w:lineRule="atLeast"/>
        <w:ind w:firstLine="720"/>
        <w:rPr>
          <w:spacing w:val="-2"/>
          <w:szCs w:val="22"/>
        </w:rPr>
      </w:pPr>
      <w:r>
        <w:rPr>
          <w:szCs w:val="22"/>
        </w:rPr>
        <w:t>4.</w:t>
      </w:r>
      <w:r>
        <w:rPr>
          <w:szCs w:val="22"/>
        </w:rPr>
        <w:tab/>
      </w:r>
      <w:r w:rsidRPr="00C21178">
        <w:rPr>
          <w:szCs w:val="22"/>
        </w:rPr>
        <w:t xml:space="preserve"> </w:t>
      </w:r>
      <w:r w:rsidR="00283AAE">
        <w:rPr>
          <w:szCs w:val="22"/>
        </w:rPr>
        <w:t xml:space="preserve">The </w:t>
      </w:r>
      <w:r w:rsidR="00283AAE">
        <w:rPr>
          <w:i/>
          <w:szCs w:val="22"/>
        </w:rPr>
        <w:t>FNPRM</w:t>
      </w:r>
      <w:r w:rsidR="00830EFB">
        <w:rPr>
          <w:szCs w:val="22"/>
        </w:rPr>
        <w:t xml:space="preserve"> </w:t>
      </w:r>
      <w:r w:rsidRPr="00C21178">
        <w:rPr>
          <w:szCs w:val="22"/>
        </w:rPr>
        <w:t>seeks comment concerning adoption and implementation of proposals for FY 2014 and beyond, which include: (1) combining Interstate Telecommunications S</w:t>
      </w:r>
      <w:r w:rsidRPr="009D0104">
        <w:rPr>
          <w:szCs w:val="22"/>
        </w:rPr>
        <w:t>ervice Providers (ITSPs) with wireless telecommunications services, using revenues as the basis for calculating regulatory fees; (2) using revenues to calculate regulatory fees for industries that now use subscribers, such as the wireless and cable industr</w:t>
      </w:r>
      <w:r w:rsidRPr="005D7588">
        <w:rPr>
          <w:szCs w:val="22"/>
        </w:rPr>
        <w:t>ies; (3) eliminating the</w:t>
      </w:r>
      <w:r>
        <w:t xml:space="preserve"> </w:t>
      </w:r>
      <w:r w:rsidRPr="00C21178">
        <w:rPr>
          <w:szCs w:val="22"/>
        </w:rPr>
        <w:t>regulatory fee component pertaining to General Mobile Radio Service; (4) clarifying that licensees of Digital Low Power, Class A, and TV Translators/Boosters should pay only one regulatory fee on their analog or digital station, bu</w:t>
      </w:r>
      <w:r w:rsidRPr="009D0104">
        <w:rPr>
          <w:szCs w:val="22"/>
        </w:rPr>
        <w:t>t not both; (5) consolidating the</w:t>
      </w:r>
      <w:r>
        <w:t xml:space="preserve"> </w:t>
      </w:r>
      <w:r w:rsidRPr="00C21178">
        <w:rPr>
          <w:szCs w:val="22"/>
        </w:rPr>
        <w:t>UHF and VHF Television stations into one fee category; (6) proposing a fee for</w:t>
      </w:r>
      <w:r>
        <w:t xml:space="preserve"> </w:t>
      </w:r>
      <w:r w:rsidR="0036742D">
        <w:rPr>
          <w:szCs w:val="22"/>
        </w:rPr>
        <w:t>Internet</w:t>
      </w:r>
      <w:r w:rsidRPr="00C21178">
        <w:rPr>
          <w:szCs w:val="22"/>
        </w:rPr>
        <w:t xml:space="preserve"> Protocol TV (IPTV) at the rate of cable fees; (7) alleviating large fluctuations in the fee rate of</w:t>
      </w:r>
      <w:r>
        <w:t xml:space="preserve"> </w:t>
      </w:r>
      <w:r w:rsidRPr="00C21178">
        <w:rPr>
          <w:szCs w:val="22"/>
        </w:rPr>
        <w:t>Multiyear Wireless Services; and (</w:t>
      </w:r>
      <w:r w:rsidRPr="009D0104">
        <w:rPr>
          <w:szCs w:val="22"/>
        </w:rPr>
        <w:t>8) providing fee relief for declining industries (e.g., CMRS Messaging).</w:t>
      </w:r>
      <w:r w:rsidR="00830EFB">
        <w:rPr>
          <w:szCs w:val="22"/>
        </w:rPr>
        <w:t xml:space="preserve">  </w:t>
      </w:r>
      <w:r w:rsidRPr="00C21178">
        <w:rPr>
          <w:szCs w:val="22"/>
        </w:rPr>
        <w:t xml:space="preserve">Finally, </w:t>
      </w:r>
      <w:r w:rsidR="00830EFB">
        <w:rPr>
          <w:szCs w:val="22"/>
        </w:rPr>
        <w:t xml:space="preserve">the </w:t>
      </w:r>
      <w:r w:rsidR="00283AAE">
        <w:rPr>
          <w:i/>
          <w:szCs w:val="22"/>
        </w:rPr>
        <w:t>FNPRM</w:t>
      </w:r>
      <w:r w:rsidR="00830EFB">
        <w:rPr>
          <w:szCs w:val="22"/>
        </w:rPr>
        <w:t xml:space="preserve"> </w:t>
      </w:r>
      <w:r w:rsidRPr="00C21178">
        <w:rPr>
          <w:szCs w:val="22"/>
        </w:rPr>
        <w:t xml:space="preserve">seeks comment on </w:t>
      </w:r>
      <w:r w:rsidRPr="009D0104">
        <w:rPr>
          <w:szCs w:val="22"/>
        </w:rPr>
        <w:t xml:space="preserve">the treatment of </w:t>
      </w:r>
      <w:r w:rsidRPr="005D7588">
        <w:rPr>
          <w:szCs w:val="22"/>
        </w:rPr>
        <w:t>non-U.S.-Licensed Space Stations; Direct Broadcast Satellites;</w:t>
      </w:r>
      <w:r w:rsidR="009E079D">
        <w:rPr>
          <w:szCs w:val="22"/>
        </w:rPr>
        <w:t xml:space="preserve"> and other services, such as broadband</w:t>
      </w:r>
      <w:r w:rsidRPr="00C21178">
        <w:rPr>
          <w:szCs w:val="22"/>
        </w:rPr>
        <w:t xml:space="preserve"> in our regulatory fee process.  We invit</w:t>
      </w:r>
      <w:r w:rsidRPr="009D0104">
        <w:rPr>
          <w:szCs w:val="22"/>
        </w:rPr>
        <w:t>e comment on these topics to better inform the Commission concerning whether and/or how these services should be assessed under our regulatory fee methodology in future years.</w:t>
      </w:r>
      <w:r w:rsidR="0028451D">
        <w:rPr>
          <w:szCs w:val="22"/>
        </w:rPr>
        <w:t xml:space="preserve">  </w:t>
      </w:r>
      <w:r w:rsidR="00581908">
        <w:rPr>
          <w:spacing w:val="-2"/>
          <w:szCs w:val="22"/>
        </w:rPr>
        <w:t xml:space="preserve">The </w:t>
      </w:r>
      <w:r w:rsidR="00581908">
        <w:rPr>
          <w:i/>
          <w:spacing w:val="-2"/>
          <w:szCs w:val="22"/>
        </w:rPr>
        <w:t xml:space="preserve">Notice </w:t>
      </w:r>
      <w:r w:rsidR="00581908">
        <w:rPr>
          <w:spacing w:val="-2"/>
          <w:szCs w:val="22"/>
        </w:rPr>
        <w:t>also makes</w:t>
      </w:r>
      <w:r w:rsidR="001E1FE6">
        <w:rPr>
          <w:spacing w:val="-2"/>
          <w:szCs w:val="22"/>
        </w:rPr>
        <w:t xml:space="preserve"> two administrative changes to the regulatory fee collection process and propose a third.  Specifically,</w:t>
      </w:r>
      <w:r w:rsidR="00581908">
        <w:rPr>
          <w:szCs w:val="22"/>
        </w:rPr>
        <w:t xml:space="preserve"> as required by Treasury and OMB initiatives, we announce that effective in FY 2013 all regulatory fee payments must be made electronically. We also state that beginning in FY 2014 the Commission will no longer mail out initial regulatory fee assessments to CMRS licensees.  Finally, we propose to refer to the Department of the Treasury end-to-end billing and collection beginning in FY 2014.   </w:t>
      </w:r>
      <w:r w:rsidR="00CC56FF">
        <w:rPr>
          <w:spacing w:val="-2"/>
          <w:szCs w:val="22"/>
        </w:rPr>
        <w:tab/>
      </w:r>
    </w:p>
    <w:p w:rsidR="00CC56FF" w:rsidRPr="007521D5" w:rsidRDefault="00CC56FF" w:rsidP="00CC56FF">
      <w:pPr>
        <w:tabs>
          <w:tab w:val="left" w:pos="1440"/>
        </w:tabs>
        <w:suppressAutoHyphens/>
        <w:spacing w:line="240" w:lineRule="atLeast"/>
        <w:ind w:firstLine="720"/>
        <w:jc w:val="center"/>
        <w:rPr>
          <w:spacing w:val="-2"/>
          <w:szCs w:val="22"/>
        </w:rPr>
      </w:pPr>
    </w:p>
    <w:p w:rsidR="00CC56FF" w:rsidRPr="00F131E7" w:rsidRDefault="00CC56FF" w:rsidP="00CC56FF">
      <w:pPr>
        <w:tabs>
          <w:tab w:val="left" w:pos="1440"/>
        </w:tabs>
        <w:suppressAutoHyphens/>
        <w:spacing w:line="240" w:lineRule="atLeast"/>
        <w:ind w:firstLine="720"/>
        <w:rPr>
          <w:b/>
          <w:spacing w:val="-2"/>
          <w:szCs w:val="22"/>
        </w:rPr>
      </w:pPr>
      <w:r w:rsidRPr="00F131E7">
        <w:rPr>
          <w:b/>
          <w:spacing w:val="-2"/>
          <w:szCs w:val="22"/>
        </w:rPr>
        <w:t>II.</w:t>
      </w:r>
      <w:r w:rsidRPr="00F131E7">
        <w:rPr>
          <w:b/>
          <w:spacing w:val="-2"/>
          <w:szCs w:val="22"/>
        </w:rPr>
        <w:tab/>
        <w:t>Legal Basis:</w:t>
      </w:r>
    </w:p>
    <w:p w:rsidR="00CC56FF" w:rsidRPr="007521D5" w:rsidRDefault="00CC56FF" w:rsidP="00CC56FF">
      <w:pPr>
        <w:tabs>
          <w:tab w:val="left" w:pos="1440"/>
        </w:tabs>
        <w:suppressAutoHyphens/>
        <w:spacing w:line="240" w:lineRule="atLeast"/>
        <w:ind w:firstLine="720"/>
        <w:jc w:val="center"/>
        <w:rPr>
          <w:spacing w:val="-2"/>
          <w:szCs w:val="22"/>
        </w:rPr>
      </w:pPr>
    </w:p>
    <w:p w:rsidR="00CC56FF" w:rsidRPr="007521D5" w:rsidRDefault="00CC56FF" w:rsidP="00CC56FF">
      <w:pPr>
        <w:tabs>
          <w:tab w:val="left" w:pos="1440"/>
        </w:tabs>
        <w:suppressAutoHyphens/>
        <w:spacing w:line="240" w:lineRule="atLeast"/>
        <w:ind w:firstLine="720"/>
        <w:rPr>
          <w:spacing w:val="-2"/>
          <w:szCs w:val="22"/>
        </w:rPr>
      </w:pPr>
      <w:r>
        <w:rPr>
          <w:spacing w:val="-2"/>
          <w:szCs w:val="22"/>
        </w:rPr>
        <w:t>5</w:t>
      </w:r>
      <w:r w:rsidRPr="007521D5">
        <w:rPr>
          <w:spacing w:val="-2"/>
          <w:szCs w:val="22"/>
        </w:rPr>
        <w:t>.</w:t>
      </w:r>
      <w:r w:rsidRPr="007521D5">
        <w:rPr>
          <w:spacing w:val="-2"/>
          <w:szCs w:val="22"/>
        </w:rPr>
        <w:tab/>
        <w:t>This action, including publication of proposed rules, is authorized under Sections (4)(i) and (j), 9, and 303(r) of the Communications Act of 1934, as amended.</w:t>
      </w:r>
      <w:r>
        <w:rPr>
          <w:rStyle w:val="FootnoteReference"/>
          <w:spacing w:val="-2"/>
          <w:szCs w:val="22"/>
        </w:rPr>
        <w:footnoteReference w:id="111"/>
      </w:r>
      <w:r w:rsidRPr="007521D5">
        <w:rPr>
          <w:spacing w:val="-2"/>
          <w:szCs w:val="22"/>
        </w:rPr>
        <w:t xml:space="preserve"> </w:t>
      </w:r>
    </w:p>
    <w:p w:rsidR="00CC56FF" w:rsidRPr="007521D5" w:rsidRDefault="00CC56FF" w:rsidP="00CC56FF">
      <w:pPr>
        <w:tabs>
          <w:tab w:val="left" w:pos="1440"/>
        </w:tabs>
        <w:suppressAutoHyphens/>
        <w:spacing w:line="240" w:lineRule="atLeast"/>
        <w:ind w:firstLine="720"/>
        <w:jc w:val="center"/>
        <w:rPr>
          <w:spacing w:val="-2"/>
          <w:szCs w:val="22"/>
        </w:rPr>
      </w:pPr>
    </w:p>
    <w:p w:rsidR="00CC56FF" w:rsidRPr="00100F78" w:rsidRDefault="00CC56FF" w:rsidP="00CC56FF">
      <w:pPr>
        <w:tabs>
          <w:tab w:val="left" w:pos="1440"/>
        </w:tabs>
        <w:suppressAutoHyphens/>
        <w:spacing w:line="240" w:lineRule="atLeast"/>
        <w:ind w:firstLine="720"/>
        <w:rPr>
          <w:b/>
          <w:spacing w:val="-2"/>
          <w:szCs w:val="22"/>
        </w:rPr>
      </w:pPr>
      <w:r w:rsidRPr="00100F78">
        <w:rPr>
          <w:b/>
          <w:spacing w:val="-2"/>
          <w:szCs w:val="22"/>
        </w:rPr>
        <w:t>III.</w:t>
      </w:r>
      <w:r w:rsidRPr="00100F78">
        <w:rPr>
          <w:b/>
          <w:spacing w:val="-2"/>
          <w:szCs w:val="22"/>
        </w:rPr>
        <w:tab/>
        <w:t>Description and Estimate of the Number of Small Entities to Which the Rules Will Apply:</w:t>
      </w:r>
    </w:p>
    <w:p w:rsidR="00CC56FF" w:rsidRPr="007521D5" w:rsidRDefault="00CC56FF" w:rsidP="00CC56FF">
      <w:pPr>
        <w:tabs>
          <w:tab w:val="left" w:pos="1440"/>
        </w:tabs>
        <w:suppressAutoHyphens/>
        <w:spacing w:line="240" w:lineRule="atLeast"/>
        <w:ind w:firstLine="720"/>
        <w:jc w:val="center"/>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6</w:t>
      </w:r>
      <w:r w:rsidRPr="007521D5">
        <w:rPr>
          <w:spacing w:val="-2"/>
          <w:szCs w:val="22"/>
        </w:rPr>
        <w:t>.</w:t>
      </w:r>
      <w:r w:rsidRPr="007521D5">
        <w:rPr>
          <w:spacing w:val="-2"/>
          <w:szCs w:val="22"/>
        </w:rPr>
        <w:tab/>
        <w:t>The RFA directs agencies to provide a description of, and where feasible, an estimate of the number of small entities that may be affected by the proposed rules and policies, if adopted.</w:t>
      </w:r>
      <w:r>
        <w:rPr>
          <w:rStyle w:val="FootnoteReference"/>
          <w:spacing w:val="-2"/>
          <w:szCs w:val="22"/>
        </w:rPr>
        <w:footnoteReference w:id="112"/>
      </w:r>
      <w:r>
        <w:rPr>
          <w:spacing w:val="-2"/>
          <w:szCs w:val="22"/>
        </w:rPr>
        <w:t xml:space="preserve">  </w:t>
      </w:r>
      <w:r w:rsidRPr="007521D5">
        <w:rPr>
          <w:spacing w:val="-2"/>
          <w:szCs w:val="22"/>
        </w:rPr>
        <w:t>The RFA generally defines the term “small entity” as having the same meaning as the terms “small business,” “small organization,” and “small governmental jurisdiction.”</w:t>
      </w:r>
      <w:r>
        <w:rPr>
          <w:rStyle w:val="FootnoteReference"/>
          <w:spacing w:val="-2"/>
          <w:szCs w:val="22"/>
        </w:rPr>
        <w:footnoteReference w:id="113"/>
      </w:r>
      <w:r>
        <w:rPr>
          <w:spacing w:val="-2"/>
          <w:szCs w:val="22"/>
        </w:rPr>
        <w:t xml:space="preserve"> </w:t>
      </w:r>
      <w:r w:rsidRPr="007521D5">
        <w:rPr>
          <w:spacing w:val="-2"/>
          <w:szCs w:val="22"/>
        </w:rPr>
        <w:t xml:space="preserve"> In addition, the term “small business” has the same meaning as the term “small business concern” under the Small Business Act.</w:t>
      </w:r>
      <w:r>
        <w:rPr>
          <w:rStyle w:val="FootnoteReference"/>
          <w:spacing w:val="-2"/>
          <w:szCs w:val="22"/>
        </w:rPr>
        <w:footnoteReference w:id="114"/>
      </w:r>
      <w:r w:rsidRPr="007521D5">
        <w:rPr>
          <w:spacing w:val="-2"/>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Cs w:val="22"/>
        </w:rPr>
        <w:footnoteReference w:id="115"/>
      </w:r>
      <w:r w:rsidRPr="007521D5">
        <w:rPr>
          <w:spacing w:val="-2"/>
          <w:szCs w:val="22"/>
        </w:rPr>
        <w:t xml:space="preserve"> </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7</w:t>
      </w:r>
      <w:r w:rsidRPr="007521D5">
        <w:rPr>
          <w:spacing w:val="-2"/>
          <w:szCs w:val="22"/>
        </w:rPr>
        <w:t>.</w:t>
      </w:r>
      <w:r w:rsidRPr="007521D5">
        <w:rPr>
          <w:spacing w:val="-2"/>
          <w:szCs w:val="22"/>
        </w:rPr>
        <w:tab/>
      </w:r>
      <w:r w:rsidRPr="000272C1">
        <w:rPr>
          <w:b/>
          <w:spacing w:val="-2"/>
          <w:szCs w:val="22"/>
        </w:rPr>
        <w:t>Small Businesses.</w:t>
      </w:r>
      <w:r w:rsidRPr="007521D5">
        <w:rPr>
          <w:spacing w:val="-2"/>
          <w:szCs w:val="22"/>
        </w:rPr>
        <w:t xml:space="preserve">   Nationwide, there are a total of approximately 2</w:t>
      </w:r>
      <w:r>
        <w:rPr>
          <w:spacing w:val="-2"/>
          <w:szCs w:val="22"/>
        </w:rPr>
        <w:t>7.9</w:t>
      </w:r>
      <w:r w:rsidRPr="007521D5">
        <w:rPr>
          <w:spacing w:val="-2"/>
          <w:szCs w:val="22"/>
        </w:rPr>
        <w:t xml:space="preserve"> million small businesses, according to the SBA.</w:t>
      </w:r>
      <w:r>
        <w:rPr>
          <w:rStyle w:val="FootnoteReference"/>
          <w:spacing w:val="-2"/>
          <w:szCs w:val="22"/>
        </w:rPr>
        <w:footnoteReference w:id="116"/>
      </w:r>
      <w:r w:rsidRPr="007521D5">
        <w:rPr>
          <w:spacing w:val="-2"/>
          <w:szCs w:val="22"/>
        </w:rPr>
        <w:t xml:space="preserve">   </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8</w:t>
      </w:r>
      <w:r w:rsidRPr="007521D5">
        <w:rPr>
          <w:spacing w:val="-2"/>
          <w:szCs w:val="22"/>
        </w:rPr>
        <w:t>.</w:t>
      </w:r>
      <w:r w:rsidRPr="007521D5">
        <w:rPr>
          <w:spacing w:val="-2"/>
          <w:szCs w:val="22"/>
        </w:rPr>
        <w:tab/>
      </w:r>
      <w:r w:rsidRPr="000942B2">
        <w:rPr>
          <w:b/>
          <w:spacing w:val="-2"/>
          <w:szCs w:val="22"/>
        </w:rPr>
        <w:t>Wired Telecommunications Carriers</w:t>
      </w:r>
      <w:r w:rsidRPr="000942B2">
        <w:rPr>
          <w:spacing w:val="-2"/>
          <w:szCs w:val="22"/>
        </w:rPr>
        <w:t>. The SBA has developed a small business size</w:t>
      </w:r>
      <w:r>
        <w:rPr>
          <w:spacing w:val="-2"/>
          <w:szCs w:val="22"/>
        </w:rPr>
        <w:t xml:space="preserve"> </w:t>
      </w:r>
      <w:r w:rsidRPr="000942B2">
        <w:rPr>
          <w:spacing w:val="-2"/>
          <w:szCs w:val="22"/>
        </w:rPr>
        <w:t>standard for Wired Telecommunications Carriers, which consists of all such companies having 1,500 or</w:t>
      </w:r>
      <w:r>
        <w:rPr>
          <w:spacing w:val="-2"/>
          <w:szCs w:val="22"/>
        </w:rPr>
        <w:t xml:space="preserve"> </w:t>
      </w:r>
      <w:r w:rsidRPr="000942B2">
        <w:rPr>
          <w:spacing w:val="-2"/>
          <w:szCs w:val="22"/>
        </w:rPr>
        <w:t>fewer employees</w:t>
      </w:r>
      <w:r>
        <w:rPr>
          <w:spacing w:val="-2"/>
          <w:szCs w:val="22"/>
        </w:rPr>
        <w:t xml:space="preserve">. </w:t>
      </w:r>
      <w:r w:rsidRPr="000942B2">
        <w:rPr>
          <w:spacing w:val="-2"/>
          <w:szCs w:val="22"/>
        </w:rPr>
        <w:t xml:space="preserve"> Census data for 2007 shows that there were 31,996 establishments that operated that</w:t>
      </w:r>
      <w:r>
        <w:rPr>
          <w:spacing w:val="-2"/>
          <w:szCs w:val="22"/>
        </w:rPr>
        <w:t xml:space="preserve"> </w:t>
      </w:r>
      <w:r w:rsidRPr="000942B2">
        <w:rPr>
          <w:spacing w:val="-2"/>
          <w:szCs w:val="22"/>
        </w:rPr>
        <w:t xml:space="preserve">year. </w:t>
      </w:r>
      <w:r>
        <w:rPr>
          <w:spacing w:val="-2"/>
          <w:szCs w:val="22"/>
        </w:rPr>
        <w:t xml:space="preserve"> </w:t>
      </w:r>
      <w:r w:rsidRPr="000942B2">
        <w:rPr>
          <w:spacing w:val="-2"/>
          <w:szCs w:val="22"/>
        </w:rPr>
        <w:t>Of those 31,996, 1,818 operated with more than 100 employees, and 30,178 operated with fewer</w:t>
      </w:r>
      <w:r>
        <w:rPr>
          <w:spacing w:val="-2"/>
          <w:szCs w:val="22"/>
        </w:rPr>
        <w:t xml:space="preserve"> </w:t>
      </w:r>
      <w:r w:rsidRPr="000942B2">
        <w:rPr>
          <w:spacing w:val="-2"/>
          <w:szCs w:val="22"/>
        </w:rPr>
        <w:t>than 100 employees.</w:t>
      </w:r>
      <w:r>
        <w:rPr>
          <w:rStyle w:val="FootnoteReference"/>
          <w:spacing w:val="-2"/>
          <w:szCs w:val="22"/>
        </w:rPr>
        <w:footnoteReference w:id="117"/>
      </w:r>
      <w:r w:rsidRPr="000942B2">
        <w:rPr>
          <w:spacing w:val="-2"/>
          <w:szCs w:val="22"/>
        </w:rPr>
        <w:t xml:space="preserve">  Thus, under this size standard, the majority of firms can be considered small.</w:t>
      </w:r>
    </w:p>
    <w:p w:rsidR="00CC56FF" w:rsidRDefault="00CC56FF" w:rsidP="00CC56FF">
      <w:pPr>
        <w:tabs>
          <w:tab w:val="left" w:pos="1440"/>
        </w:tabs>
        <w:suppressAutoHyphens/>
        <w:spacing w:line="240" w:lineRule="atLeast"/>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9.</w:t>
      </w:r>
      <w:r>
        <w:rPr>
          <w:spacing w:val="-2"/>
          <w:szCs w:val="22"/>
        </w:rPr>
        <w:tab/>
      </w:r>
      <w:r w:rsidRPr="00703D26">
        <w:rPr>
          <w:b/>
          <w:spacing w:val="-2"/>
          <w:szCs w:val="22"/>
        </w:rPr>
        <w:t>Local Exchange Carriers (LECs)</w:t>
      </w:r>
      <w:r w:rsidRPr="00AE4963">
        <w:rPr>
          <w:spacing w:val="-2"/>
          <w:szCs w:val="22"/>
        </w:rPr>
        <w:t xml:space="preserve">. </w:t>
      </w:r>
      <w:r>
        <w:rPr>
          <w:spacing w:val="-2"/>
          <w:szCs w:val="22"/>
        </w:rPr>
        <w:t xml:space="preserve"> </w:t>
      </w:r>
      <w:r w:rsidRPr="00AE4963">
        <w:rPr>
          <w:spacing w:val="-2"/>
          <w:szCs w:val="22"/>
        </w:rPr>
        <w:t>Neither the Commission nor the SBA has developed</w:t>
      </w:r>
      <w:r>
        <w:rPr>
          <w:spacing w:val="-2"/>
          <w:szCs w:val="22"/>
        </w:rPr>
        <w:t xml:space="preserve"> </w:t>
      </w:r>
      <w:r w:rsidRPr="00AE4963">
        <w:rPr>
          <w:spacing w:val="-2"/>
          <w:szCs w:val="22"/>
        </w:rPr>
        <w:t xml:space="preserve">a size standard for small businesses specifically applicable to local exchange services. </w:t>
      </w:r>
      <w:r>
        <w:rPr>
          <w:spacing w:val="-2"/>
          <w:szCs w:val="22"/>
        </w:rPr>
        <w:t xml:space="preserve"> </w:t>
      </w:r>
      <w:r w:rsidRPr="00AE4963">
        <w:rPr>
          <w:spacing w:val="-2"/>
          <w:szCs w:val="22"/>
        </w:rPr>
        <w:t>The closest</w:t>
      </w:r>
      <w:r>
        <w:rPr>
          <w:spacing w:val="-2"/>
          <w:szCs w:val="22"/>
        </w:rPr>
        <w:t xml:space="preserve"> </w:t>
      </w:r>
      <w:r w:rsidRPr="00AE4963">
        <w:rPr>
          <w:spacing w:val="-2"/>
          <w:szCs w:val="22"/>
        </w:rPr>
        <w:t xml:space="preserve">applicable size standard under SBA rules is for Wired Telecommunications Carriers. </w:t>
      </w:r>
      <w:r>
        <w:rPr>
          <w:spacing w:val="-2"/>
          <w:szCs w:val="22"/>
        </w:rPr>
        <w:t xml:space="preserve"> </w:t>
      </w:r>
      <w:r w:rsidRPr="00AE4963">
        <w:rPr>
          <w:spacing w:val="-2"/>
          <w:szCs w:val="22"/>
        </w:rPr>
        <w:t>Under that size</w:t>
      </w:r>
      <w:r>
        <w:rPr>
          <w:spacing w:val="-2"/>
          <w:szCs w:val="22"/>
        </w:rPr>
        <w:t xml:space="preserve"> </w:t>
      </w:r>
      <w:r w:rsidRPr="00AE4963">
        <w:rPr>
          <w:spacing w:val="-2"/>
          <w:szCs w:val="22"/>
        </w:rPr>
        <w:t xml:space="preserve">standard, such a business is small if it </w:t>
      </w:r>
      <w:r>
        <w:rPr>
          <w:spacing w:val="-2"/>
          <w:szCs w:val="22"/>
        </w:rPr>
        <w:t>has 1,500 or fewer employees.</w:t>
      </w:r>
      <w:r>
        <w:rPr>
          <w:rStyle w:val="FootnoteReference"/>
          <w:spacing w:val="-2"/>
          <w:szCs w:val="22"/>
        </w:rPr>
        <w:footnoteReference w:id="118"/>
      </w:r>
      <w:r>
        <w:rPr>
          <w:spacing w:val="-2"/>
          <w:szCs w:val="22"/>
        </w:rPr>
        <w:t xml:space="preserve">  </w:t>
      </w:r>
      <w:r w:rsidRPr="00AE4963">
        <w:rPr>
          <w:spacing w:val="-2"/>
          <w:szCs w:val="22"/>
        </w:rPr>
        <w:t>According to Commission data,</w:t>
      </w:r>
      <w:r>
        <w:rPr>
          <w:spacing w:val="-2"/>
          <w:szCs w:val="22"/>
        </w:rPr>
        <w:t xml:space="preserve"> c</w:t>
      </w:r>
      <w:r w:rsidRPr="00AE4963">
        <w:rPr>
          <w:spacing w:val="-2"/>
          <w:szCs w:val="22"/>
        </w:rPr>
        <w:t>ensus data for 2007 shows that there were 31,996 establishments that operated that year. Of those</w:t>
      </w:r>
      <w:r>
        <w:rPr>
          <w:spacing w:val="-2"/>
          <w:szCs w:val="22"/>
        </w:rPr>
        <w:t xml:space="preserve"> </w:t>
      </w:r>
      <w:r w:rsidRPr="00AE4963">
        <w:rPr>
          <w:spacing w:val="-2"/>
          <w:szCs w:val="22"/>
        </w:rPr>
        <w:t>31,996, 1,818 operated with more than 100 employees, and 30,178 operated with fewer than 100</w:t>
      </w:r>
      <w:r>
        <w:rPr>
          <w:spacing w:val="-2"/>
          <w:szCs w:val="22"/>
        </w:rPr>
        <w:t xml:space="preserve"> employees.</w:t>
      </w:r>
      <w:r>
        <w:rPr>
          <w:rStyle w:val="FootnoteReference"/>
          <w:spacing w:val="-2"/>
          <w:szCs w:val="22"/>
        </w:rPr>
        <w:footnoteReference w:id="119"/>
      </w:r>
      <w:r>
        <w:rPr>
          <w:spacing w:val="-2"/>
          <w:szCs w:val="22"/>
        </w:rPr>
        <w:t xml:space="preserve">  T</w:t>
      </w:r>
      <w:r w:rsidRPr="00AE4963">
        <w:rPr>
          <w:spacing w:val="-2"/>
          <w:szCs w:val="22"/>
        </w:rPr>
        <w:t>he Commission estimates that most providers of local exchange service are</w:t>
      </w:r>
      <w:r>
        <w:rPr>
          <w:spacing w:val="-2"/>
          <w:szCs w:val="22"/>
        </w:rPr>
        <w:t xml:space="preserve"> </w:t>
      </w:r>
      <w:r w:rsidRPr="00AE4963">
        <w:rPr>
          <w:spacing w:val="-2"/>
          <w:szCs w:val="22"/>
        </w:rPr>
        <w:t xml:space="preserve">small entities that may be affected by the rules and policies proposed in the </w:t>
      </w:r>
      <w:r>
        <w:rPr>
          <w:spacing w:val="-2"/>
          <w:szCs w:val="22"/>
        </w:rPr>
        <w:t>Further Notice</w:t>
      </w:r>
      <w:r w:rsidRPr="00AE4963">
        <w:rPr>
          <w:spacing w:val="-2"/>
          <w:szCs w:val="22"/>
        </w:rPr>
        <w:t>.</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Pr>
          <w:spacing w:val="-2"/>
          <w:szCs w:val="22"/>
        </w:rPr>
        <w:t>0</w:t>
      </w:r>
      <w:r w:rsidRPr="007521D5">
        <w:rPr>
          <w:spacing w:val="-2"/>
          <w:szCs w:val="22"/>
        </w:rPr>
        <w:t>.</w:t>
      </w:r>
      <w:r w:rsidRPr="007521D5">
        <w:rPr>
          <w:spacing w:val="-2"/>
          <w:szCs w:val="22"/>
        </w:rPr>
        <w:tab/>
      </w:r>
      <w:r w:rsidRPr="00DD099F">
        <w:rPr>
          <w:b/>
          <w:spacing w:val="-2"/>
          <w:szCs w:val="22"/>
        </w:rPr>
        <w:t>Incumbent</w:t>
      </w:r>
      <w:r w:rsidR="001A1DC5">
        <w:rPr>
          <w:b/>
          <w:spacing w:val="-2"/>
          <w:szCs w:val="22"/>
        </w:rPr>
        <w:t xml:space="preserve"> LECs.</w:t>
      </w:r>
      <w:r w:rsidRPr="007521D5">
        <w:rPr>
          <w:spacing w:val="-2"/>
          <w:szCs w:val="22"/>
        </w:rPr>
        <w:t xml:space="preserve">  Neither the Commission nor the SBA has developed a small business size standard specifically for incumbent local exchange services.  The </w:t>
      </w:r>
      <w:r>
        <w:rPr>
          <w:spacing w:val="-2"/>
          <w:szCs w:val="22"/>
        </w:rPr>
        <w:t xml:space="preserve">closest applicable </w:t>
      </w:r>
      <w:r w:rsidRPr="007521D5">
        <w:rPr>
          <w:spacing w:val="-2"/>
          <w:szCs w:val="22"/>
        </w:rPr>
        <w:t>size standard under SBA rules is for the category Wired Telecommunications Carriers.  Under that size standard, such a business is small if it has 1,500 or fewer employees.</w:t>
      </w:r>
      <w:r>
        <w:rPr>
          <w:rStyle w:val="FootnoteReference"/>
          <w:spacing w:val="-2"/>
          <w:szCs w:val="22"/>
        </w:rPr>
        <w:footnoteReference w:id="120"/>
      </w:r>
      <w:r>
        <w:rPr>
          <w:spacing w:val="-2"/>
          <w:szCs w:val="22"/>
        </w:rPr>
        <w:t xml:space="preserve">  </w:t>
      </w:r>
      <w:r w:rsidRPr="007521D5">
        <w:rPr>
          <w:spacing w:val="-2"/>
          <w:szCs w:val="22"/>
        </w:rPr>
        <w:t>According to Commission data, 1,307 carriers reported that they were incumbent local exchange service providers.</w:t>
      </w:r>
      <w:r>
        <w:rPr>
          <w:rStyle w:val="FootnoteReference"/>
          <w:spacing w:val="-2"/>
          <w:szCs w:val="22"/>
        </w:rPr>
        <w:footnoteReference w:id="121"/>
      </w:r>
      <w:r>
        <w:rPr>
          <w:spacing w:val="-2"/>
          <w:szCs w:val="22"/>
        </w:rPr>
        <w:t xml:space="preserve">  </w:t>
      </w:r>
      <w:r w:rsidRPr="007521D5">
        <w:rPr>
          <w:spacing w:val="-2"/>
          <w:szCs w:val="22"/>
        </w:rPr>
        <w:t>Of these 1,307 carriers, an estimated 1,006 have 1,500 or fewer employees and 301 have more than 1,500 employees.</w:t>
      </w:r>
      <w:r>
        <w:rPr>
          <w:rStyle w:val="FootnoteReference"/>
          <w:spacing w:val="-2"/>
          <w:szCs w:val="22"/>
        </w:rPr>
        <w:footnoteReference w:id="122"/>
      </w:r>
      <w:r w:rsidRPr="007521D5">
        <w:rPr>
          <w:spacing w:val="-2"/>
          <w:szCs w:val="22"/>
        </w:rPr>
        <w:t xml:space="preserve">   Consequently, the Commission estimates that most providers of </w:t>
      </w:r>
      <w:r>
        <w:rPr>
          <w:spacing w:val="-2"/>
          <w:szCs w:val="22"/>
        </w:rPr>
        <w:t xml:space="preserve">incumbent </w:t>
      </w:r>
      <w:r w:rsidRPr="007521D5">
        <w:rPr>
          <w:spacing w:val="-2"/>
          <w:szCs w:val="22"/>
        </w:rPr>
        <w:t xml:space="preserve">local exchange service are small </w:t>
      </w:r>
      <w:r>
        <w:rPr>
          <w:spacing w:val="-2"/>
          <w:szCs w:val="22"/>
        </w:rPr>
        <w:t>businesses</w:t>
      </w:r>
      <w:r w:rsidRPr="007521D5">
        <w:rPr>
          <w:spacing w:val="-2"/>
          <w:szCs w:val="22"/>
        </w:rPr>
        <w:t xml:space="preserve"> that may be affected by the rules a</w:t>
      </w:r>
      <w:r>
        <w:rPr>
          <w:spacing w:val="-2"/>
          <w:szCs w:val="22"/>
        </w:rPr>
        <w:t>nd policies proposed in the Further Notice</w:t>
      </w:r>
      <w:r w:rsidRPr="007521D5">
        <w:rPr>
          <w:spacing w:val="-2"/>
          <w:szCs w:val="22"/>
        </w:rPr>
        <w:t xml:space="preserve">.    </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Pr>
          <w:spacing w:val="-2"/>
          <w:szCs w:val="22"/>
        </w:rPr>
        <w:t>1</w:t>
      </w:r>
      <w:r w:rsidRPr="007521D5">
        <w:rPr>
          <w:spacing w:val="-2"/>
          <w:szCs w:val="22"/>
        </w:rPr>
        <w:t>.</w:t>
      </w:r>
      <w:r w:rsidRPr="007521D5">
        <w:rPr>
          <w:spacing w:val="-2"/>
          <w:szCs w:val="22"/>
        </w:rPr>
        <w:tab/>
      </w:r>
      <w:r w:rsidRPr="00EB0B7B">
        <w:rPr>
          <w:b/>
          <w:spacing w:val="-2"/>
          <w:szCs w:val="22"/>
        </w:rPr>
        <w:t>Competitive Local Exchange Carriers (Competitive LECs), Competitive Access Providers (CAPs), Shared-Tenant Service Providers, and Other Local Service Providers.</w:t>
      </w:r>
      <w:r w:rsidRPr="007521D5">
        <w:rPr>
          <w:spacing w:val="-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pacing w:val="-2"/>
          <w:szCs w:val="22"/>
        </w:rPr>
        <w:footnoteReference w:id="123"/>
      </w:r>
      <w:r w:rsidRPr="007521D5">
        <w:rPr>
          <w:spacing w:val="-2"/>
          <w:szCs w:val="22"/>
        </w:rPr>
        <w:t xml:space="preserve">   According to Commission data, 1,442 carriers reported that they were engaged in the provision of either competitive local exchange services or competitive access provider services.</w:t>
      </w:r>
      <w:r>
        <w:rPr>
          <w:rStyle w:val="FootnoteReference"/>
          <w:spacing w:val="-2"/>
          <w:szCs w:val="22"/>
        </w:rPr>
        <w:footnoteReference w:id="124"/>
      </w:r>
      <w:r w:rsidRPr="007521D5">
        <w:rPr>
          <w:spacing w:val="-2"/>
          <w:szCs w:val="22"/>
        </w:rPr>
        <w:t xml:space="preserve">   Of these 1,442 carriers, an estimated 1,256 have 1,500 or fewer employees and 186 have more than 1,500 employees.</w:t>
      </w:r>
      <w:r>
        <w:rPr>
          <w:rStyle w:val="FootnoteReference"/>
          <w:spacing w:val="-2"/>
          <w:szCs w:val="22"/>
        </w:rPr>
        <w:footnoteReference w:id="125"/>
      </w:r>
      <w:r w:rsidRPr="007521D5">
        <w:rPr>
          <w:spacing w:val="-2"/>
          <w:szCs w:val="22"/>
        </w:rPr>
        <w:t xml:space="preserve">   In addition, 17 carriers have reported that they are Shared-Tenant Service Providers, and all 17 are estimated to have 1,500 or fewer employees.</w:t>
      </w:r>
      <w:r>
        <w:rPr>
          <w:rStyle w:val="FootnoteReference"/>
          <w:spacing w:val="-2"/>
          <w:szCs w:val="22"/>
        </w:rPr>
        <w:footnoteReference w:id="126"/>
      </w:r>
      <w:r w:rsidRPr="007521D5">
        <w:rPr>
          <w:spacing w:val="-2"/>
          <w:szCs w:val="22"/>
        </w:rPr>
        <w:t xml:space="preserve">   In addition, 72 carriers have reported that they are Other Local Service Providers.</w:t>
      </w:r>
      <w:r>
        <w:rPr>
          <w:rStyle w:val="FootnoteReference"/>
          <w:spacing w:val="-2"/>
          <w:szCs w:val="22"/>
        </w:rPr>
        <w:footnoteReference w:id="127"/>
      </w:r>
      <w:r>
        <w:rPr>
          <w:spacing w:val="-2"/>
          <w:szCs w:val="22"/>
        </w:rPr>
        <w:t xml:space="preserve">   Of the 72, seventy</w:t>
      </w:r>
      <w:r w:rsidRPr="007521D5">
        <w:rPr>
          <w:spacing w:val="-2"/>
          <w:szCs w:val="22"/>
        </w:rPr>
        <w:t xml:space="preserve"> have 1,500 or fewer employees and two have more than 1,500 employees.</w:t>
      </w:r>
      <w:r>
        <w:rPr>
          <w:rStyle w:val="FootnoteReference"/>
          <w:spacing w:val="-2"/>
          <w:szCs w:val="22"/>
        </w:rPr>
        <w:footnoteReference w:id="128"/>
      </w:r>
      <w:r w:rsidRPr="007521D5">
        <w:rPr>
          <w:spacing w:val="-2"/>
          <w:szCs w:val="22"/>
        </w:rPr>
        <w:t xml:space="preserve">   Consequently, the Commission estimates that most providers of competitive local exchange service, competitive access providers, Shared-Tenant Service Providers, and Other Local Service Providers are small entities that may be affected by ru</w:t>
      </w:r>
      <w:r>
        <w:rPr>
          <w:spacing w:val="-2"/>
          <w:szCs w:val="22"/>
        </w:rPr>
        <w:t>les adopted pursuant to the proposals in this Further Notice</w:t>
      </w:r>
      <w:r w:rsidRPr="007521D5">
        <w:rPr>
          <w:spacing w:val="-2"/>
          <w:szCs w:val="22"/>
        </w:rPr>
        <w:t xml:space="preserve">. </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Pr>
          <w:spacing w:val="-2"/>
          <w:szCs w:val="22"/>
        </w:rPr>
        <w:t>2</w:t>
      </w:r>
      <w:r w:rsidRPr="007521D5">
        <w:rPr>
          <w:spacing w:val="-2"/>
          <w:szCs w:val="22"/>
        </w:rPr>
        <w:t>.</w:t>
      </w:r>
      <w:r w:rsidRPr="007521D5">
        <w:rPr>
          <w:spacing w:val="-2"/>
          <w:szCs w:val="22"/>
        </w:rPr>
        <w:tab/>
      </w:r>
      <w:r w:rsidRPr="005B1923">
        <w:rPr>
          <w:b/>
          <w:spacing w:val="-2"/>
          <w:szCs w:val="22"/>
        </w:rPr>
        <w:t>Interexchange Carriers (IXCs)</w:t>
      </w:r>
      <w:r w:rsidRPr="007521D5">
        <w:rPr>
          <w:spacing w:val="-2"/>
          <w:szCs w:val="22"/>
        </w:rPr>
        <w:t xml:space="preserve">.  Neither the Commission nor the SBA has developed a small business size standard specifically </w:t>
      </w:r>
      <w:r>
        <w:rPr>
          <w:spacing w:val="-2"/>
          <w:szCs w:val="22"/>
        </w:rPr>
        <w:t xml:space="preserve">applicable to </w:t>
      </w:r>
      <w:r w:rsidRPr="007521D5">
        <w:rPr>
          <w:spacing w:val="-2"/>
          <w:szCs w:val="22"/>
        </w:rPr>
        <w:t xml:space="preserve">interexchange services.  The </w:t>
      </w:r>
      <w:r>
        <w:rPr>
          <w:spacing w:val="-2"/>
          <w:szCs w:val="22"/>
        </w:rPr>
        <w:t>applicable</w:t>
      </w:r>
      <w:r w:rsidRPr="007521D5">
        <w:rPr>
          <w:spacing w:val="-2"/>
          <w:szCs w:val="22"/>
        </w:rPr>
        <w:t xml:space="preserve"> size standard under SBA rules is for the Wired Telecommunications Carriers.  Under that size standard, such a business is small if it has 1,500 or fewer employees.</w:t>
      </w:r>
      <w:r>
        <w:rPr>
          <w:rStyle w:val="FootnoteReference"/>
          <w:spacing w:val="-2"/>
          <w:szCs w:val="22"/>
        </w:rPr>
        <w:footnoteReference w:id="129"/>
      </w:r>
      <w:r w:rsidRPr="007521D5">
        <w:rPr>
          <w:spacing w:val="-2"/>
          <w:szCs w:val="22"/>
        </w:rPr>
        <w:t xml:space="preserve">  According to Commission data, 359 companies reported that their primary telecommunications service activity was the provision of interexchange services.</w:t>
      </w:r>
      <w:r>
        <w:rPr>
          <w:rStyle w:val="FootnoteReference"/>
          <w:spacing w:val="-2"/>
          <w:szCs w:val="22"/>
        </w:rPr>
        <w:footnoteReference w:id="130"/>
      </w:r>
      <w:r w:rsidRPr="007521D5">
        <w:rPr>
          <w:spacing w:val="-2"/>
          <w:szCs w:val="22"/>
        </w:rPr>
        <w:t xml:space="preserve">   Of these 359 companies, an estimated 317 have 1,500 or fewer employees and 42 have more than 1,500 employees.</w:t>
      </w:r>
      <w:r>
        <w:rPr>
          <w:rStyle w:val="FootnoteReference"/>
          <w:spacing w:val="-2"/>
          <w:szCs w:val="22"/>
        </w:rPr>
        <w:footnoteReference w:id="131"/>
      </w:r>
      <w:r w:rsidRPr="007521D5">
        <w:rPr>
          <w:spacing w:val="-2"/>
          <w:szCs w:val="22"/>
        </w:rPr>
        <w:t xml:space="preserve">   Consequently, the Commission estimates that the majority of interexchange service providers are small entities that may be affected by rules adopted pursuant to the </w:t>
      </w:r>
      <w:r>
        <w:rPr>
          <w:spacing w:val="-2"/>
          <w:szCs w:val="22"/>
        </w:rPr>
        <w:t>Further Notice</w:t>
      </w:r>
      <w:r w:rsidRPr="007521D5">
        <w:rPr>
          <w:spacing w:val="-2"/>
          <w:szCs w:val="22"/>
        </w:rPr>
        <w:t>.</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13.</w:t>
      </w:r>
      <w:r>
        <w:rPr>
          <w:spacing w:val="-2"/>
          <w:szCs w:val="22"/>
        </w:rPr>
        <w:tab/>
      </w:r>
      <w:r w:rsidRPr="00AC5A57">
        <w:rPr>
          <w:b/>
          <w:spacing w:val="-2"/>
          <w:szCs w:val="22"/>
        </w:rPr>
        <w:t>Prepaid Calling Card Providers.</w:t>
      </w:r>
      <w:r w:rsidRPr="00AC5A57">
        <w:rPr>
          <w:spacing w:val="-2"/>
          <w:szCs w:val="22"/>
        </w:rPr>
        <w:t xml:space="preserve">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Pr>
          <w:rStyle w:val="FootnoteReference"/>
          <w:spacing w:val="-2"/>
          <w:szCs w:val="22"/>
        </w:rPr>
        <w:footnoteReference w:id="132"/>
      </w:r>
      <w:r w:rsidRPr="00AC5A57">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133"/>
      </w:r>
      <w:r w:rsidRPr="00AC5A57">
        <w:rPr>
          <w:spacing w:val="-2"/>
          <w:szCs w:val="22"/>
        </w:rPr>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rStyle w:val="FootnoteReference"/>
          <w:spacing w:val="-2"/>
          <w:szCs w:val="22"/>
        </w:rPr>
        <w:footnoteReference w:id="134"/>
      </w:r>
      <w:r w:rsidRPr="00AC5A57">
        <w:rPr>
          <w:spacing w:val="-2"/>
          <w:szCs w:val="22"/>
        </w:rPr>
        <w:t xml:space="preserve">   Of these, all 193 have 1,500 or fewer employees and none have more than 1,500 employees.</w:t>
      </w:r>
      <w:r>
        <w:rPr>
          <w:rStyle w:val="FootnoteReference"/>
          <w:spacing w:val="-2"/>
          <w:szCs w:val="22"/>
        </w:rPr>
        <w:footnoteReference w:id="135"/>
      </w:r>
      <w:r w:rsidRPr="00AC5A57">
        <w:rPr>
          <w:spacing w:val="-2"/>
          <w:szCs w:val="22"/>
        </w:rPr>
        <w:t xml:space="preserve">   Consequently, the Commission estimates that the majority of prepaid calling card providers are small entities that may be affected by rules adopted pursuant to the </w:t>
      </w:r>
      <w:r>
        <w:rPr>
          <w:spacing w:val="-2"/>
          <w:szCs w:val="22"/>
        </w:rPr>
        <w:t xml:space="preserve">Further </w:t>
      </w:r>
      <w:r w:rsidRPr="00AC5A57">
        <w:rPr>
          <w:spacing w:val="-2"/>
          <w:szCs w:val="22"/>
        </w:rPr>
        <w:t>Notice.</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Pr>
          <w:spacing w:val="-2"/>
          <w:szCs w:val="22"/>
        </w:rPr>
        <w:t>4</w:t>
      </w:r>
      <w:r w:rsidRPr="007521D5">
        <w:rPr>
          <w:spacing w:val="-2"/>
          <w:szCs w:val="22"/>
        </w:rPr>
        <w:t>.</w:t>
      </w:r>
      <w:r w:rsidRPr="007521D5">
        <w:rPr>
          <w:spacing w:val="-2"/>
          <w:szCs w:val="22"/>
        </w:rPr>
        <w:tab/>
      </w:r>
      <w:r w:rsidRPr="00CE14D5">
        <w:rPr>
          <w:b/>
          <w:spacing w:val="-2"/>
          <w:szCs w:val="22"/>
        </w:rPr>
        <w:t>Local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36"/>
      </w:r>
      <w:r w:rsidRPr="007521D5">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137"/>
      </w:r>
      <w:r>
        <w:rPr>
          <w:spacing w:val="-2"/>
          <w:szCs w:val="22"/>
        </w:rPr>
        <w:t xml:space="preserve">  U</w:t>
      </w:r>
      <w:r w:rsidRPr="007521D5">
        <w:rPr>
          <w:spacing w:val="-2"/>
          <w:szCs w:val="22"/>
        </w:rPr>
        <w:t>nder this category and the associated small business size standard, the majority of these local resellers can be considered small entities.  According to Commission data, 213 carriers have reported that they are engaged in the provision of local resale services.</w:t>
      </w:r>
      <w:r>
        <w:rPr>
          <w:rStyle w:val="FootnoteReference"/>
          <w:spacing w:val="-2"/>
          <w:szCs w:val="22"/>
        </w:rPr>
        <w:footnoteReference w:id="138"/>
      </w:r>
      <w:r w:rsidRPr="007521D5">
        <w:rPr>
          <w:spacing w:val="-2"/>
          <w:szCs w:val="22"/>
        </w:rPr>
        <w:t xml:space="preserve">   Of these, an estimated 211 have 1,500 or fewer employees and two have more than 1,500 employees.</w:t>
      </w:r>
      <w:r>
        <w:rPr>
          <w:rStyle w:val="FootnoteReference"/>
          <w:spacing w:val="-2"/>
          <w:szCs w:val="22"/>
        </w:rPr>
        <w:footnoteReference w:id="139"/>
      </w:r>
      <w:r w:rsidRPr="007521D5">
        <w:rPr>
          <w:spacing w:val="-2"/>
          <w:szCs w:val="22"/>
        </w:rPr>
        <w:t xml:space="preserve">   Consequently, the Commission estimates that the majority of local resellers are small entities that may be affected by rules adopted pursuant to the </w:t>
      </w:r>
      <w:r>
        <w:rPr>
          <w:spacing w:val="-2"/>
          <w:szCs w:val="22"/>
        </w:rPr>
        <w:t xml:space="preserve">proposals in this Further </w:t>
      </w:r>
      <w:r w:rsidRPr="007521D5">
        <w:rPr>
          <w:spacing w:val="-2"/>
          <w:szCs w:val="22"/>
        </w:rPr>
        <w:t xml:space="preserve">Notice. </w:t>
      </w:r>
    </w:p>
    <w:p w:rsidR="00CC56FF" w:rsidRPr="007521D5"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sidRPr="007521D5">
        <w:rPr>
          <w:spacing w:val="-2"/>
          <w:szCs w:val="22"/>
        </w:rPr>
        <w:t>1</w:t>
      </w:r>
      <w:r>
        <w:rPr>
          <w:spacing w:val="-2"/>
          <w:szCs w:val="22"/>
        </w:rPr>
        <w:t>5</w:t>
      </w:r>
      <w:r w:rsidRPr="007521D5">
        <w:rPr>
          <w:spacing w:val="-2"/>
          <w:szCs w:val="22"/>
        </w:rPr>
        <w:t>.</w:t>
      </w:r>
      <w:r w:rsidRPr="007521D5">
        <w:rPr>
          <w:spacing w:val="-2"/>
          <w:szCs w:val="22"/>
        </w:rPr>
        <w:tab/>
      </w:r>
      <w:r w:rsidRPr="00D96FF2">
        <w:rPr>
          <w:b/>
          <w:spacing w:val="-2"/>
          <w:szCs w:val="22"/>
        </w:rPr>
        <w:t>Toll Resellers</w:t>
      </w:r>
      <w:r w:rsidRPr="007521D5">
        <w:rPr>
          <w:spacing w:val="-2"/>
          <w:szCs w:val="22"/>
        </w:rPr>
        <w:t>.  The SBA has developed a small business size standard for the category of Telecommunications Resellers.  Under that size standard, such a business is small if it has 1,500 or fewer employees.</w:t>
      </w:r>
      <w:r>
        <w:rPr>
          <w:rStyle w:val="FootnoteReference"/>
          <w:spacing w:val="-2"/>
          <w:szCs w:val="22"/>
        </w:rPr>
        <w:footnoteReference w:id="140"/>
      </w:r>
      <w:r w:rsidRPr="007521D5">
        <w:rPr>
          <w:spacing w:val="-2"/>
          <w:szCs w:val="22"/>
        </w:rPr>
        <w:t xml:space="preserve">   Census data for 2007 show that 1,523 firms provided resale services during that year.  Of that number, 1,522 operated with fewer than 1,000 employees and one operated with more than 1,000.</w:t>
      </w:r>
      <w:r>
        <w:rPr>
          <w:rStyle w:val="FootnoteReference"/>
          <w:spacing w:val="-2"/>
          <w:szCs w:val="22"/>
        </w:rPr>
        <w:footnoteReference w:id="141"/>
      </w:r>
      <w:r w:rsidRPr="007521D5">
        <w:rPr>
          <w:spacing w:val="-2"/>
          <w:szCs w:val="22"/>
        </w:rPr>
        <w:t xml:space="preserve">  Thus</w:t>
      </w:r>
      <w:r>
        <w:rPr>
          <w:spacing w:val="-2"/>
          <w:szCs w:val="22"/>
        </w:rPr>
        <w:t>,</w:t>
      </w:r>
      <w:r w:rsidRPr="007521D5">
        <w:rPr>
          <w:spacing w:val="-2"/>
          <w:szCs w:val="22"/>
        </w:rPr>
        <w:t xml:space="preserve"> under this category and the associated small business size standard, the majority of these resellers can be considered small entities.</w:t>
      </w:r>
      <w:r>
        <w:rPr>
          <w:spacing w:val="-2"/>
          <w:szCs w:val="22"/>
        </w:rPr>
        <w:t xml:space="preserve">  According to Commission data,</w:t>
      </w:r>
      <w:r w:rsidRPr="007521D5">
        <w:rPr>
          <w:spacing w:val="-2"/>
          <w:szCs w:val="22"/>
        </w:rPr>
        <w:t xml:space="preserve"> 881 carriers have reported that they are engaged in the provision of toll resale services.</w:t>
      </w:r>
      <w:r>
        <w:rPr>
          <w:rStyle w:val="FootnoteReference"/>
          <w:spacing w:val="-2"/>
          <w:szCs w:val="22"/>
        </w:rPr>
        <w:footnoteReference w:id="142"/>
      </w:r>
      <w:r w:rsidRPr="007521D5">
        <w:rPr>
          <w:spacing w:val="-2"/>
          <w:szCs w:val="22"/>
        </w:rPr>
        <w:t xml:space="preserve">  Of these, an estimated 857 have 1,500 or fewer employees and 24 have more than 1,500 employees.</w:t>
      </w:r>
      <w:r>
        <w:rPr>
          <w:rStyle w:val="FootnoteReference"/>
          <w:spacing w:val="-2"/>
          <w:szCs w:val="22"/>
        </w:rPr>
        <w:footnoteReference w:id="143"/>
      </w:r>
      <w:r w:rsidRPr="007521D5">
        <w:rPr>
          <w:spacing w:val="-2"/>
          <w:szCs w:val="22"/>
        </w:rPr>
        <w:t xml:space="preserve">  Consequently, the Commission estimates that the majority of toll resellers are small entities that may </w:t>
      </w:r>
      <w:r>
        <w:rPr>
          <w:spacing w:val="-2"/>
          <w:szCs w:val="22"/>
        </w:rPr>
        <w:t>be affected by our proposals in the Further Notice</w:t>
      </w:r>
      <w:r w:rsidRPr="007521D5">
        <w:rPr>
          <w:spacing w:val="-2"/>
          <w:szCs w:val="22"/>
        </w:rPr>
        <w:t>.</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16.</w:t>
      </w:r>
      <w:r>
        <w:rPr>
          <w:spacing w:val="-2"/>
          <w:szCs w:val="22"/>
        </w:rPr>
        <w:tab/>
      </w:r>
      <w:r w:rsidRPr="009C04AC">
        <w:rPr>
          <w:b/>
          <w:spacing w:val="-2"/>
          <w:szCs w:val="22"/>
        </w:rPr>
        <w:t>Other Toll Carriers.</w:t>
      </w:r>
      <w:r w:rsidRPr="00CD1070">
        <w:rPr>
          <w:spacing w:val="-2"/>
          <w:szCs w:val="22"/>
        </w:rPr>
        <w:t xml:space="preserve"> </w:t>
      </w:r>
      <w:r>
        <w:rPr>
          <w:spacing w:val="-2"/>
          <w:szCs w:val="22"/>
        </w:rPr>
        <w:t xml:space="preserve"> </w:t>
      </w:r>
      <w:r w:rsidRPr="00CD1070">
        <w:rPr>
          <w:spacing w:val="-2"/>
          <w:szCs w:val="22"/>
        </w:rPr>
        <w:t>Neither the Commission nor the SBA has developed a size</w:t>
      </w:r>
      <w:r>
        <w:rPr>
          <w:spacing w:val="-2"/>
          <w:szCs w:val="22"/>
        </w:rPr>
        <w:t xml:space="preserve"> </w:t>
      </w:r>
      <w:r w:rsidRPr="00CD1070">
        <w:rPr>
          <w:spacing w:val="-2"/>
          <w:szCs w:val="22"/>
        </w:rPr>
        <w:t>standard for small businesses specifically applicable to Other Toll Carriers. This category includes toll</w:t>
      </w:r>
      <w:r>
        <w:rPr>
          <w:spacing w:val="-2"/>
          <w:szCs w:val="22"/>
        </w:rPr>
        <w:t xml:space="preserve"> </w:t>
      </w:r>
      <w:r w:rsidRPr="00CD1070">
        <w:rPr>
          <w:spacing w:val="-2"/>
          <w:szCs w:val="22"/>
        </w:rPr>
        <w:t>carriers that do not fall within the categories of interexchange carriers, operator service providers, prepaid</w:t>
      </w:r>
      <w:r>
        <w:rPr>
          <w:spacing w:val="-2"/>
          <w:szCs w:val="22"/>
        </w:rPr>
        <w:t xml:space="preserve"> </w:t>
      </w:r>
      <w:r w:rsidRPr="00CD1070">
        <w:rPr>
          <w:spacing w:val="-2"/>
          <w:szCs w:val="22"/>
        </w:rPr>
        <w:t>calling card providers, satellite service carriers, or toll resellers. The closest applicable size standard</w:t>
      </w:r>
      <w:r>
        <w:rPr>
          <w:spacing w:val="-2"/>
          <w:szCs w:val="22"/>
        </w:rPr>
        <w:t xml:space="preserve"> </w:t>
      </w:r>
      <w:r w:rsidRPr="00CD1070">
        <w:rPr>
          <w:spacing w:val="-2"/>
          <w:szCs w:val="22"/>
        </w:rPr>
        <w:t>under SBA rules is for Wired Telecommunications Carriers. Under that size standard, such a business is</w:t>
      </w:r>
      <w:r>
        <w:rPr>
          <w:spacing w:val="-2"/>
          <w:szCs w:val="22"/>
        </w:rPr>
        <w:t xml:space="preserve"> </w:t>
      </w:r>
      <w:r w:rsidRPr="00CD1070">
        <w:rPr>
          <w:spacing w:val="-2"/>
          <w:szCs w:val="22"/>
        </w:rPr>
        <w:t xml:space="preserve">small if it </w:t>
      </w:r>
      <w:r>
        <w:rPr>
          <w:spacing w:val="-2"/>
          <w:szCs w:val="22"/>
        </w:rPr>
        <w:t>has 1,500 or fewer employees.</w:t>
      </w:r>
      <w:r>
        <w:rPr>
          <w:rStyle w:val="FootnoteReference"/>
          <w:spacing w:val="-2"/>
          <w:szCs w:val="22"/>
        </w:rPr>
        <w:footnoteReference w:id="144"/>
      </w:r>
      <w:r>
        <w:rPr>
          <w:spacing w:val="-2"/>
          <w:szCs w:val="22"/>
        </w:rPr>
        <w:t xml:space="preserve">  </w:t>
      </w:r>
      <w:r w:rsidRPr="00CD1070">
        <w:rPr>
          <w:spacing w:val="-2"/>
          <w:szCs w:val="22"/>
        </w:rPr>
        <w:t>Census data for 2007 shows that there were 31,996</w:t>
      </w:r>
      <w:r>
        <w:rPr>
          <w:spacing w:val="-2"/>
          <w:szCs w:val="22"/>
        </w:rPr>
        <w:t xml:space="preserve"> </w:t>
      </w:r>
      <w:r w:rsidRPr="00CD1070">
        <w:rPr>
          <w:spacing w:val="-2"/>
          <w:szCs w:val="22"/>
        </w:rPr>
        <w:t xml:space="preserve">establishments that operated that year. </w:t>
      </w:r>
      <w:r>
        <w:rPr>
          <w:spacing w:val="-2"/>
          <w:szCs w:val="22"/>
        </w:rPr>
        <w:t xml:space="preserve"> </w:t>
      </w:r>
      <w:r w:rsidRPr="00CD1070">
        <w:rPr>
          <w:spacing w:val="-2"/>
          <w:szCs w:val="22"/>
        </w:rPr>
        <w:t>Of those 31,996, 1,818 operated with more than 100 employees,</w:t>
      </w:r>
      <w:r>
        <w:rPr>
          <w:spacing w:val="-2"/>
          <w:szCs w:val="22"/>
        </w:rPr>
        <w:t xml:space="preserve"> </w:t>
      </w:r>
      <w:r w:rsidRPr="00CD1070">
        <w:rPr>
          <w:spacing w:val="-2"/>
          <w:szCs w:val="22"/>
        </w:rPr>
        <w:t>and 30,178 operated with fewer than 100 employees.</w:t>
      </w:r>
      <w:r>
        <w:rPr>
          <w:rStyle w:val="FootnoteReference"/>
          <w:spacing w:val="-2"/>
          <w:szCs w:val="22"/>
        </w:rPr>
        <w:footnoteReference w:id="145"/>
      </w:r>
      <w:r>
        <w:rPr>
          <w:spacing w:val="-2"/>
          <w:szCs w:val="22"/>
        </w:rPr>
        <w:t xml:space="preserve">  </w:t>
      </w:r>
      <w:r w:rsidRPr="00CD1070">
        <w:rPr>
          <w:spacing w:val="-2"/>
          <w:szCs w:val="22"/>
        </w:rPr>
        <w:t>Thus, under this category and the associated</w:t>
      </w:r>
      <w:r>
        <w:rPr>
          <w:spacing w:val="-2"/>
          <w:szCs w:val="22"/>
        </w:rPr>
        <w:t xml:space="preserve"> </w:t>
      </w:r>
      <w:r w:rsidRPr="00CD1070">
        <w:rPr>
          <w:spacing w:val="-2"/>
          <w:szCs w:val="22"/>
        </w:rPr>
        <w:t xml:space="preserve">small business size standard, the majority of Other Toll Carriers can be considered small. </w:t>
      </w:r>
      <w:r>
        <w:rPr>
          <w:spacing w:val="-2"/>
          <w:szCs w:val="22"/>
        </w:rPr>
        <w:t xml:space="preserve"> </w:t>
      </w:r>
      <w:r w:rsidRPr="00CD1070">
        <w:rPr>
          <w:spacing w:val="-2"/>
          <w:szCs w:val="22"/>
        </w:rPr>
        <w:t>According to</w:t>
      </w:r>
      <w:r>
        <w:rPr>
          <w:spacing w:val="-2"/>
          <w:szCs w:val="22"/>
        </w:rPr>
        <w:t xml:space="preserve"> </w:t>
      </w:r>
      <w:r w:rsidRPr="00CD1070">
        <w:rPr>
          <w:spacing w:val="-2"/>
          <w:szCs w:val="22"/>
        </w:rPr>
        <w:t>Commission data, 284 companies reported that their primary telecommunications service activity was the</w:t>
      </w:r>
      <w:r>
        <w:rPr>
          <w:spacing w:val="-2"/>
          <w:szCs w:val="22"/>
        </w:rPr>
        <w:t xml:space="preserve"> </w:t>
      </w:r>
      <w:r w:rsidRPr="00CD1070">
        <w:rPr>
          <w:spacing w:val="-2"/>
          <w:szCs w:val="22"/>
        </w:rPr>
        <w:t>prov</w:t>
      </w:r>
      <w:r>
        <w:rPr>
          <w:spacing w:val="-2"/>
          <w:szCs w:val="22"/>
        </w:rPr>
        <w:t>ision of other toll carriage.</w:t>
      </w:r>
      <w:r>
        <w:rPr>
          <w:rStyle w:val="FootnoteReference"/>
          <w:spacing w:val="-2"/>
          <w:szCs w:val="22"/>
        </w:rPr>
        <w:footnoteReference w:id="146"/>
      </w:r>
      <w:r>
        <w:rPr>
          <w:spacing w:val="-2"/>
          <w:szCs w:val="22"/>
        </w:rPr>
        <w:t xml:space="preserve">  </w:t>
      </w:r>
      <w:r w:rsidRPr="00CD1070">
        <w:rPr>
          <w:spacing w:val="-2"/>
          <w:szCs w:val="22"/>
        </w:rPr>
        <w:t>Of these, an estimated 279 have 1,500 or fewer employees and five</w:t>
      </w:r>
      <w:r>
        <w:rPr>
          <w:spacing w:val="-2"/>
          <w:szCs w:val="22"/>
        </w:rPr>
        <w:t xml:space="preserve"> </w:t>
      </w:r>
      <w:r w:rsidRPr="00CD1070">
        <w:rPr>
          <w:spacing w:val="-2"/>
          <w:szCs w:val="22"/>
        </w:rPr>
        <w:t>ha</w:t>
      </w:r>
      <w:r>
        <w:rPr>
          <w:spacing w:val="-2"/>
          <w:szCs w:val="22"/>
        </w:rPr>
        <w:t>ve more than 1,500 employees.</w:t>
      </w:r>
      <w:r>
        <w:rPr>
          <w:rStyle w:val="FootnoteReference"/>
          <w:spacing w:val="-2"/>
          <w:szCs w:val="22"/>
        </w:rPr>
        <w:footnoteReference w:id="147"/>
      </w:r>
      <w:r>
        <w:rPr>
          <w:spacing w:val="-2"/>
          <w:szCs w:val="22"/>
        </w:rPr>
        <w:t xml:space="preserve">  </w:t>
      </w:r>
      <w:r w:rsidRPr="00CD1070">
        <w:rPr>
          <w:spacing w:val="-2"/>
          <w:szCs w:val="22"/>
        </w:rPr>
        <w:t>Consequently, the Commission estimates that most Other Toll</w:t>
      </w:r>
      <w:r>
        <w:rPr>
          <w:spacing w:val="-2"/>
          <w:szCs w:val="22"/>
        </w:rPr>
        <w:t xml:space="preserve"> </w:t>
      </w:r>
      <w:r w:rsidRPr="00CD1070">
        <w:rPr>
          <w:spacing w:val="-2"/>
          <w:szCs w:val="22"/>
        </w:rPr>
        <w:t>Carriers are small entities that may be affected by the rules and polic</w:t>
      </w:r>
      <w:r>
        <w:rPr>
          <w:spacing w:val="-2"/>
          <w:szCs w:val="22"/>
        </w:rPr>
        <w:t>ies adopted pursuant to the Further Notice</w:t>
      </w:r>
      <w:r w:rsidRPr="00CD1070">
        <w:rPr>
          <w:spacing w:val="-2"/>
          <w:szCs w:val="22"/>
        </w:rPr>
        <w:t>.</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17.</w:t>
      </w:r>
      <w:r>
        <w:rPr>
          <w:spacing w:val="-2"/>
          <w:szCs w:val="22"/>
        </w:rPr>
        <w:tab/>
      </w:r>
      <w:r w:rsidRPr="00A50BC3">
        <w:rPr>
          <w:b/>
          <w:spacing w:val="-2"/>
          <w:szCs w:val="22"/>
        </w:rPr>
        <w:t xml:space="preserve">Wireless Telecommunications Carriers (except </w:t>
      </w:r>
      <w:r>
        <w:rPr>
          <w:b/>
          <w:spacing w:val="-2"/>
          <w:szCs w:val="22"/>
        </w:rPr>
        <w:t>S</w:t>
      </w:r>
      <w:r w:rsidRPr="00A50BC3">
        <w:rPr>
          <w:b/>
          <w:spacing w:val="-2"/>
          <w:szCs w:val="22"/>
        </w:rPr>
        <w:t>atellite).</w:t>
      </w:r>
      <w:r w:rsidRPr="00A50BC3">
        <w:rPr>
          <w:spacing w:val="-2"/>
          <w:szCs w:val="22"/>
        </w:rPr>
        <w:t xml:space="preserve">  </w:t>
      </w:r>
      <w:r w:rsidRPr="00A9716B">
        <w:rPr>
          <w:spacing w:val="-2"/>
          <w:szCs w:val="22"/>
        </w:rPr>
        <w:t>Since 2007, the SBA has</w:t>
      </w:r>
      <w:r>
        <w:rPr>
          <w:spacing w:val="-2"/>
          <w:szCs w:val="22"/>
        </w:rPr>
        <w:t xml:space="preserve"> </w:t>
      </w:r>
      <w:r w:rsidRPr="00A9716B">
        <w:rPr>
          <w:spacing w:val="-2"/>
          <w:szCs w:val="22"/>
        </w:rPr>
        <w:t>recognized wireless firms within this new, bro</w:t>
      </w:r>
      <w:r>
        <w:rPr>
          <w:spacing w:val="-2"/>
          <w:szCs w:val="22"/>
        </w:rPr>
        <w:t>ad, economic census category.</w:t>
      </w:r>
      <w:r>
        <w:rPr>
          <w:rStyle w:val="FootnoteReference"/>
          <w:spacing w:val="-2"/>
          <w:szCs w:val="22"/>
        </w:rPr>
        <w:footnoteReference w:id="148"/>
      </w:r>
      <w:r>
        <w:rPr>
          <w:spacing w:val="-2"/>
          <w:szCs w:val="22"/>
        </w:rPr>
        <w:t xml:space="preserve">  </w:t>
      </w:r>
      <w:r w:rsidRPr="00A9716B">
        <w:rPr>
          <w:spacing w:val="-2"/>
          <w:szCs w:val="22"/>
        </w:rPr>
        <w:t>Prior to that time, such</w:t>
      </w:r>
      <w:r>
        <w:rPr>
          <w:spacing w:val="-2"/>
          <w:szCs w:val="22"/>
        </w:rPr>
        <w:t xml:space="preserve"> </w:t>
      </w:r>
      <w:r w:rsidRPr="00A9716B">
        <w:rPr>
          <w:spacing w:val="-2"/>
          <w:szCs w:val="22"/>
        </w:rPr>
        <w:t>firms were within the now-superseded categories of Paging and Cellular and Other Wireless</w:t>
      </w:r>
      <w:r>
        <w:rPr>
          <w:spacing w:val="-2"/>
          <w:szCs w:val="22"/>
        </w:rPr>
        <w:t xml:space="preserve">  T</w:t>
      </w:r>
      <w:r w:rsidRPr="00A9716B">
        <w:rPr>
          <w:spacing w:val="-2"/>
          <w:szCs w:val="22"/>
        </w:rPr>
        <w:t>elecommunications.</w:t>
      </w:r>
      <w:r>
        <w:rPr>
          <w:rStyle w:val="FootnoteReference"/>
          <w:spacing w:val="-2"/>
          <w:szCs w:val="22"/>
        </w:rPr>
        <w:footnoteReference w:id="149"/>
      </w:r>
      <w:r>
        <w:rPr>
          <w:spacing w:val="-2"/>
          <w:szCs w:val="22"/>
        </w:rPr>
        <w:t xml:space="preserve">  </w:t>
      </w:r>
      <w:r w:rsidRPr="00A9716B">
        <w:rPr>
          <w:spacing w:val="-2"/>
          <w:szCs w:val="22"/>
        </w:rPr>
        <w:t>Under the present and prior categories, the SBA has deemed a wireless business</w:t>
      </w:r>
      <w:r>
        <w:rPr>
          <w:spacing w:val="-2"/>
          <w:szCs w:val="22"/>
        </w:rPr>
        <w:t xml:space="preserve"> </w:t>
      </w:r>
      <w:r w:rsidRPr="00A9716B">
        <w:rPr>
          <w:spacing w:val="-2"/>
          <w:szCs w:val="22"/>
        </w:rPr>
        <w:t>to be small if it has 1,500 or fewer employees.</w:t>
      </w:r>
      <w:r>
        <w:rPr>
          <w:rStyle w:val="FootnoteReference"/>
          <w:spacing w:val="-2"/>
          <w:szCs w:val="22"/>
        </w:rPr>
        <w:footnoteReference w:id="150"/>
      </w:r>
      <w:r>
        <w:rPr>
          <w:spacing w:val="-2"/>
          <w:szCs w:val="22"/>
        </w:rPr>
        <w:t xml:space="preserve">  </w:t>
      </w:r>
      <w:r w:rsidRPr="00A9716B">
        <w:rPr>
          <w:spacing w:val="-2"/>
          <w:szCs w:val="22"/>
        </w:rPr>
        <w:t>For this category, census data for 2007 show that there</w:t>
      </w:r>
      <w:r>
        <w:rPr>
          <w:spacing w:val="-2"/>
          <w:szCs w:val="22"/>
        </w:rPr>
        <w:t xml:space="preserve"> </w:t>
      </w:r>
      <w:r w:rsidRPr="00A9716B">
        <w:rPr>
          <w:spacing w:val="-2"/>
          <w:szCs w:val="22"/>
        </w:rPr>
        <w:t xml:space="preserve">were 11,163 establishments that </w:t>
      </w:r>
      <w:r>
        <w:rPr>
          <w:spacing w:val="-2"/>
          <w:szCs w:val="22"/>
        </w:rPr>
        <w:t>operated for the entire year.</w:t>
      </w:r>
      <w:r>
        <w:rPr>
          <w:rStyle w:val="FootnoteReference"/>
          <w:spacing w:val="-2"/>
          <w:szCs w:val="22"/>
        </w:rPr>
        <w:footnoteReference w:id="151"/>
      </w:r>
      <w:r>
        <w:rPr>
          <w:spacing w:val="-2"/>
          <w:szCs w:val="22"/>
        </w:rPr>
        <w:t xml:space="preserve">  </w:t>
      </w:r>
      <w:r w:rsidRPr="00A9716B">
        <w:rPr>
          <w:spacing w:val="-2"/>
          <w:szCs w:val="22"/>
        </w:rPr>
        <w:t>Of this total, 10,791 establishments had</w:t>
      </w:r>
      <w:r>
        <w:rPr>
          <w:spacing w:val="-2"/>
          <w:szCs w:val="22"/>
        </w:rPr>
        <w:t xml:space="preserve"> </w:t>
      </w:r>
      <w:r w:rsidRPr="00A9716B">
        <w:rPr>
          <w:spacing w:val="-2"/>
          <w:szCs w:val="22"/>
        </w:rPr>
        <w:t>employment of 999 or fewer employees and 372 had employment of 1000 employees or more.</w:t>
      </w:r>
      <w:r>
        <w:rPr>
          <w:rStyle w:val="FootnoteReference"/>
          <w:spacing w:val="-2"/>
          <w:szCs w:val="22"/>
        </w:rPr>
        <w:footnoteReference w:id="152"/>
      </w:r>
      <w:r>
        <w:rPr>
          <w:spacing w:val="-2"/>
          <w:szCs w:val="22"/>
        </w:rPr>
        <w:t xml:space="preserve">  </w:t>
      </w:r>
      <w:r w:rsidRPr="004740E3">
        <w:rPr>
          <w:spacing w:val="-2"/>
          <w:szCs w:val="22"/>
        </w:rPr>
        <w:t>Thus,</w:t>
      </w:r>
      <w:r w:rsidRPr="004740E3">
        <w:rPr>
          <w:szCs w:val="22"/>
        </w:rPr>
        <w:t xml:space="preserve"> under this category and the associated small business size standard, the Commission estimates that the m</w:t>
      </w:r>
      <w:r w:rsidRPr="004740E3">
        <w:rPr>
          <w:spacing w:val="-2"/>
          <w:szCs w:val="22"/>
        </w:rPr>
        <w:t>ajority of wireless telecommunications carriers (except satellite) are small entities that may be affected by our proposed action.</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18.</w:t>
      </w:r>
      <w:r>
        <w:rPr>
          <w:spacing w:val="-2"/>
          <w:szCs w:val="22"/>
        </w:rPr>
        <w:tab/>
      </w:r>
      <w:r w:rsidRPr="004740E3">
        <w:rPr>
          <w:spacing w:val="-2"/>
          <w:szCs w:val="22"/>
        </w:rPr>
        <w:t>Similarly, according to Commission data, 413 carriers reported</w:t>
      </w:r>
      <w:r w:rsidRPr="00A9716B">
        <w:rPr>
          <w:spacing w:val="-2"/>
          <w:szCs w:val="22"/>
        </w:rPr>
        <w:t xml:space="preserve"> that they were engaged in</w:t>
      </w:r>
      <w:r>
        <w:rPr>
          <w:spacing w:val="-2"/>
          <w:szCs w:val="22"/>
        </w:rPr>
        <w:t xml:space="preserve"> </w:t>
      </w:r>
      <w:r w:rsidRPr="00A9716B">
        <w:rPr>
          <w:spacing w:val="-2"/>
          <w:szCs w:val="22"/>
        </w:rPr>
        <w:t>the provision of wireless telephony, including cellular service, Personal Communications Service (PCS),</w:t>
      </w:r>
      <w:r>
        <w:rPr>
          <w:spacing w:val="-2"/>
          <w:szCs w:val="22"/>
        </w:rPr>
        <w:t xml:space="preserve"> </w:t>
      </w:r>
      <w:r w:rsidRPr="00A9716B">
        <w:rPr>
          <w:spacing w:val="-2"/>
          <w:szCs w:val="22"/>
        </w:rPr>
        <w:t>and Specialized Mobile Radio (SMR) Telephony services.</w:t>
      </w:r>
      <w:r>
        <w:rPr>
          <w:rStyle w:val="FootnoteReference"/>
          <w:spacing w:val="-2"/>
          <w:szCs w:val="22"/>
        </w:rPr>
        <w:footnoteReference w:id="153"/>
      </w:r>
      <w:r>
        <w:rPr>
          <w:spacing w:val="-2"/>
          <w:szCs w:val="22"/>
        </w:rPr>
        <w:t xml:space="preserve">  </w:t>
      </w:r>
      <w:r w:rsidRPr="00A9716B">
        <w:rPr>
          <w:spacing w:val="-2"/>
          <w:szCs w:val="22"/>
        </w:rPr>
        <w:t>Of these, an estimated 261 have 1,500 or</w:t>
      </w:r>
      <w:r>
        <w:rPr>
          <w:spacing w:val="-2"/>
          <w:szCs w:val="22"/>
        </w:rPr>
        <w:t xml:space="preserve"> </w:t>
      </w:r>
      <w:r w:rsidRPr="00A9716B">
        <w:rPr>
          <w:spacing w:val="-2"/>
          <w:szCs w:val="22"/>
        </w:rPr>
        <w:t>fewer employees and 152 ha</w:t>
      </w:r>
      <w:r>
        <w:rPr>
          <w:spacing w:val="-2"/>
          <w:szCs w:val="22"/>
        </w:rPr>
        <w:t>ve more than 1,500 employees.</w:t>
      </w:r>
      <w:r>
        <w:rPr>
          <w:rStyle w:val="FootnoteReference"/>
          <w:spacing w:val="-2"/>
          <w:szCs w:val="22"/>
        </w:rPr>
        <w:footnoteReference w:id="154"/>
      </w:r>
      <w:r>
        <w:rPr>
          <w:spacing w:val="-2"/>
          <w:szCs w:val="22"/>
        </w:rPr>
        <w:t xml:space="preserve">  </w:t>
      </w:r>
      <w:r w:rsidRPr="00A9716B">
        <w:rPr>
          <w:spacing w:val="-2"/>
          <w:szCs w:val="22"/>
        </w:rPr>
        <w:t>Consequently, the Commission estimates</w:t>
      </w:r>
      <w:r>
        <w:rPr>
          <w:spacing w:val="-2"/>
          <w:szCs w:val="22"/>
        </w:rPr>
        <w:t xml:space="preserve"> </w:t>
      </w:r>
      <w:r w:rsidRPr="00A9716B">
        <w:rPr>
          <w:spacing w:val="-2"/>
          <w:szCs w:val="22"/>
        </w:rPr>
        <w:t>that approximately half or more of these firms can be considered small. Thus, using available data, we</w:t>
      </w:r>
      <w:r>
        <w:rPr>
          <w:spacing w:val="-2"/>
          <w:szCs w:val="22"/>
        </w:rPr>
        <w:t xml:space="preserve"> </w:t>
      </w:r>
      <w:r w:rsidRPr="00A9716B">
        <w:rPr>
          <w:spacing w:val="-2"/>
          <w:szCs w:val="22"/>
        </w:rPr>
        <w:t>estimate that the majority of wireless firms can be considered small.</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19.</w:t>
      </w:r>
      <w:r>
        <w:rPr>
          <w:spacing w:val="-2"/>
          <w:szCs w:val="22"/>
        </w:rPr>
        <w:tab/>
      </w:r>
      <w:r w:rsidRPr="0065680B">
        <w:rPr>
          <w:b/>
          <w:spacing w:val="-2"/>
          <w:szCs w:val="22"/>
        </w:rPr>
        <w:t>Cable Television and other Program Distribution</w:t>
      </w:r>
      <w:r w:rsidRPr="0065680B">
        <w:rPr>
          <w:spacing w:val="-2"/>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pacing w:val="-2"/>
          <w:szCs w:val="22"/>
        </w:rPr>
        <w:footnoteReference w:id="155"/>
      </w:r>
      <w:r>
        <w:rPr>
          <w:spacing w:val="-2"/>
          <w:szCs w:val="22"/>
        </w:rPr>
        <w:t xml:space="preserve">  </w:t>
      </w:r>
      <w:r w:rsidRPr="0065680B">
        <w:rPr>
          <w:spacing w:val="-2"/>
          <w:szCs w:val="22"/>
        </w:rPr>
        <w:t>The SBA has developed a small business size standard for this category, which is:  all such firms having 1,500 or fewer employees.</w:t>
      </w:r>
      <w:r>
        <w:rPr>
          <w:rStyle w:val="FootnoteReference"/>
          <w:spacing w:val="-2"/>
          <w:szCs w:val="22"/>
        </w:rPr>
        <w:footnoteReference w:id="156"/>
      </w:r>
      <w:r w:rsidRPr="0065680B">
        <w:rPr>
          <w:spacing w:val="-2"/>
          <w:szCs w:val="22"/>
        </w:rPr>
        <w:t xml:space="preserve">  Census data for 2007 shows that there were </w:t>
      </w:r>
      <w:r>
        <w:rPr>
          <w:spacing w:val="-2"/>
          <w:szCs w:val="22"/>
        </w:rPr>
        <w:t xml:space="preserve">31,996 establishments that operated </w:t>
      </w:r>
      <w:r w:rsidRPr="0065680B">
        <w:rPr>
          <w:spacing w:val="-2"/>
          <w:szCs w:val="22"/>
        </w:rPr>
        <w:t xml:space="preserve">that year.   Of those </w:t>
      </w:r>
      <w:r>
        <w:rPr>
          <w:spacing w:val="-2"/>
          <w:szCs w:val="22"/>
        </w:rPr>
        <w:t>31,996, 1,818</w:t>
      </w:r>
      <w:r w:rsidRPr="0065680B">
        <w:rPr>
          <w:spacing w:val="-2"/>
          <w:szCs w:val="22"/>
        </w:rPr>
        <w:t xml:space="preserve"> had </w:t>
      </w:r>
      <w:r>
        <w:rPr>
          <w:spacing w:val="-2"/>
          <w:szCs w:val="22"/>
        </w:rPr>
        <w:t>more</w:t>
      </w:r>
      <w:r w:rsidRPr="0065680B">
        <w:rPr>
          <w:spacing w:val="-2"/>
          <w:szCs w:val="22"/>
        </w:rPr>
        <w:t xml:space="preserve"> than 100 employees, and </w:t>
      </w:r>
      <w:r>
        <w:rPr>
          <w:spacing w:val="-2"/>
          <w:szCs w:val="22"/>
        </w:rPr>
        <w:t>30,178 operated with fewer than 100 employees</w:t>
      </w:r>
      <w:r w:rsidRPr="0065680B">
        <w:rPr>
          <w:spacing w:val="-2"/>
          <w:szCs w:val="22"/>
        </w:rPr>
        <w:t xml:space="preserve">.  Thus under this </w:t>
      </w:r>
      <w:r>
        <w:rPr>
          <w:spacing w:val="-2"/>
          <w:szCs w:val="22"/>
        </w:rPr>
        <w:t xml:space="preserve">size standard, </w:t>
      </w:r>
      <w:r w:rsidRPr="0065680B">
        <w:rPr>
          <w:spacing w:val="-2"/>
          <w:szCs w:val="22"/>
        </w:rPr>
        <w:t xml:space="preserve">the majority of firms </w:t>
      </w:r>
      <w:r>
        <w:rPr>
          <w:spacing w:val="-2"/>
          <w:szCs w:val="22"/>
        </w:rPr>
        <w:t xml:space="preserve">offering cable and other program distribution services </w:t>
      </w:r>
      <w:r w:rsidRPr="0065680B">
        <w:rPr>
          <w:spacing w:val="-2"/>
          <w:szCs w:val="22"/>
        </w:rPr>
        <w:t>can be considered small</w:t>
      </w:r>
      <w:r>
        <w:rPr>
          <w:spacing w:val="-2"/>
          <w:szCs w:val="22"/>
        </w:rPr>
        <w:t xml:space="preserve"> and may be affected by rules adopted pursuant to the Further Notice</w:t>
      </w:r>
      <w:r w:rsidRPr="0065680B">
        <w:rPr>
          <w:spacing w:val="-2"/>
          <w:szCs w:val="22"/>
        </w:rPr>
        <w:t>.</w:t>
      </w:r>
    </w:p>
    <w:p w:rsidR="00CC56FF" w:rsidRPr="0065680B"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2</w:t>
      </w:r>
      <w:r w:rsidRPr="0065680B">
        <w:rPr>
          <w:spacing w:val="-2"/>
          <w:szCs w:val="22"/>
        </w:rPr>
        <w:t>0.</w:t>
      </w:r>
      <w:r w:rsidRPr="0065680B">
        <w:rPr>
          <w:spacing w:val="-2"/>
          <w:szCs w:val="22"/>
        </w:rPr>
        <w:tab/>
      </w:r>
      <w:r w:rsidRPr="00FB045B">
        <w:rPr>
          <w:b/>
          <w:spacing w:val="-2"/>
          <w:szCs w:val="22"/>
        </w:rPr>
        <w:t>Cable Companies and Systems</w:t>
      </w:r>
      <w:r w:rsidRPr="0065680B">
        <w:rPr>
          <w:spacing w:val="-2"/>
          <w:szCs w:val="22"/>
        </w:rPr>
        <w:t>.  The Commission has developed its own small business size standards, for the purpose of cable rate regulation.  Under the Commission’s rules, a “small cable company” is one serving 400,000 or fewer subscribers, nationwide.</w:t>
      </w:r>
      <w:r>
        <w:rPr>
          <w:rStyle w:val="FootnoteReference"/>
          <w:spacing w:val="-2"/>
          <w:szCs w:val="22"/>
        </w:rPr>
        <w:footnoteReference w:id="157"/>
      </w:r>
      <w:r>
        <w:rPr>
          <w:spacing w:val="-2"/>
          <w:szCs w:val="22"/>
        </w:rPr>
        <w:t xml:space="preserve">  </w:t>
      </w:r>
      <w:r w:rsidRPr="0065680B">
        <w:rPr>
          <w:spacing w:val="-2"/>
          <w:szCs w:val="22"/>
        </w:rPr>
        <w:t>Industry data indicate that, of 1,076 cable operators nationwide, all but eleven are small under this size standard.</w:t>
      </w:r>
      <w:r>
        <w:rPr>
          <w:rStyle w:val="FootnoteReference"/>
          <w:spacing w:val="-2"/>
          <w:szCs w:val="22"/>
        </w:rPr>
        <w:footnoteReference w:id="158"/>
      </w:r>
      <w:r>
        <w:rPr>
          <w:spacing w:val="-2"/>
          <w:szCs w:val="22"/>
        </w:rPr>
        <w:t xml:space="preserve"> </w:t>
      </w:r>
      <w:r w:rsidRPr="0065680B">
        <w:rPr>
          <w:spacing w:val="-2"/>
          <w:szCs w:val="22"/>
        </w:rPr>
        <w:t xml:space="preserve"> In addition, under the Commission’s rules, a “small system” is a cable system serving 15,000 or fewer subscribers.</w:t>
      </w:r>
      <w:r>
        <w:rPr>
          <w:rStyle w:val="FootnoteReference"/>
          <w:spacing w:val="-2"/>
          <w:szCs w:val="22"/>
        </w:rPr>
        <w:footnoteReference w:id="159"/>
      </w:r>
      <w:r w:rsidRPr="0065680B">
        <w:rPr>
          <w:spacing w:val="-2"/>
          <w:szCs w:val="22"/>
        </w:rPr>
        <w:t xml:space="preserve">   Industry data indicate that, of 6,635 systems nationwide, 5,802 systems have under 10,000 subscribers, and an additional 302 systems have 10,000-19,999 subscribers.</w:t>
      </w:r>
      <w:r>
        <w:rPr>
          <w:rStyle w:val="FootnoteReference"/>
          <w:spacing w:val="-2"/>
          <w:szCs w:val="22"/>
        </w:rPr>
        <w:footnoteReference w:id="160"/>
      </w:r>
      <w:r w:rsidRPr="0065680B">
        <w:rPr>
          <w:spacing w:val="-2"/>
          <w:szCs w:val="22"/>
        </w:rPr>
        <w:t xml:space="preserve">   Thus, under this second size standar</w:t>
      </w:r>
      <w:r>
        <w:rPr>
          <w:spacing w:val="-2"/>
          <w:szCs w:val="22"/>
        </w:rPr>
        <w:t>d, most cable systems are small and may be affected by rules adopted pursuant to the Further Notice.</w:t>
      </w:r>
    </w:p>
    <w:p w:rsidR="00CC56FF" w:rsidRDefault="00CC56FF" w:rsidP="00CC56FF">
      <w:pPr>
        <w:tabs>
          <w:tab w:val="left" w:pos="1440"/>
        </w:tabs>
        <w:suppressAutoHyphens/>
        <w:spacing w:line="240" w:lineRule="atLeast"/>
        <w:ind w:firstLine="720"/>
        <w:rPr>
          <w:spacing w:val="-2"/>
          <w:szCs w:val="22"/>
        </w:rPr>
      </w:pPr>
    </w:p>
    <w:p w:rsidR="00EC2B2C" w:rsidRPr="00EC2B2C" w:rsidRDefault="00CC56FF" w:rsidP="00EC2B2C">
      <w:pPr>
        <w:tabs>
          <w:tab w:val="left" w:pos="1440"/>
        </w:tabs>
        <w:suppressAutoHyphens/>
        <w:spacing w:line="240" w:lineRule="atLeast"/>
        <w:ind w:firstLine="720"/>
        <w:rPr>
          <w:spacing w:val="-2"/>
          <w:szCs w:val="22"/>
        </w:rPr>
      </w:pPr>
      <w:r>
        <w:rPr>
          <w:spacing w:val="-2"/>
          <w:szCs w:val="22"/>
        </w:rPr>
        <w:t>21.</w:t>
      </w:r>
      <w:r>
        <w:rPr>
          <w:spacing w:val="-2"/>
          <w:szCs w:val="22"/>
        </w:rPr>
        <w:tab/>
      </w:r>
      <w:r w:rsidRPr="00A205F0">
        <w:rPr>
          <w:b/>
          <w:spacing w:val="-2"/>
          <w:szCs w:val="22"/>
        </w:rPr>
        <w:t>All Other Telecommunications</w:t>
      </w:r>
      <w:r w:rsidRPr="00A205F0">
        <w:rPr>
          <w:spacing w:val="-2"/>
          <w:szCs w:val="22"/>
        </w:rPr>
        <w:t xml:space="preserve">. </w:t>
      </w:r>
      <w:r>
        <w:rPr>
          <w:spacing w:val="-2"/>
          <w:szCs w:val="22"/>
        </w:rPr>
        <w:t xml:space="preserve"> </w:t>
      </w:r>
      <w:r w:rsidRPr="00A205F0">
        <w:rPr>
          <w:spacing w:val="-2"/>
          <w:szCs w:val="22"/>
        </w:rPr>
        <w:t>The Census Bureau defines this industry as including</w:t>
      </w:r>
      <w:r>
        <w:rPr>
          <w:spacing w:val="-2"/>
          <w:szCs w:val="22"/>
        </w:rPr>
        <w:t xml:space="preserve"> </w:t>
      </w:r>
      <w:r w:rsidRPr="00A205F0">
        <w:rPr>
          <w:spacing w:val="-2"/>
          <w:szCs w:val="22"/>
        </w:rPr>
        <w:t>“establishments primarily engaged in providing specialized telecommunications services, such as satellite</w:t>
      </w:r>
      <w:r>
        <w:rPr>
          <w:spacing w:val="-2"/>
          <w:szCs w:val="22"/>
        </w:rPr>
        <w:t xml:space="preserve"> </w:t>
      </w:r>
      <w:r w:rsidRPr="00A205F0">
        <w:rPr>
          <w:spacing w:val="-2"/>
          <w:szCs w:val="22"/>
        </w:rPr>
        <w:t xml:space="preserve">tracking, communications telemetry, and radar station operation. </w:t>
      </w:r>
      <w:r>
        <w:rPr>
          <w:spacing w:val="-2"/>
          <w:szCs w:val="22"/>
        </w:rPr>
        <w:t xml:space="preserve"> </w:t>
      </w:r>
      <w:r w:rsidRPr="00A205F0">
        <w:rPr>
          <w:spacing w:val="-2"/>
          <w:szCs w:val="22"/>
        </w:rPr>
        <w:t>This industry also includes</w:t>
      </w:r>
      <w:r>
        <w:rPr>
          <w:spacing w:val="-2"/>
          <w:szCs w:val="22"/>
        </w:rPr>
        <w:t xml:space="preserve"> </w:t>
      </w:r>
      <w:r w:rsidRPr="00A205F0">
        <w:rPr>
          <w:spacing w:val="-2"/>
          <w:szCs w:val="22"/>
        </w:rPr>
        <w:t>establishments</w:t>
      </w:r>
      <w:r>
        <w:rPr>
          <w:spacing w:val="-2"/>
          <w:szCs w:val="22"/>
        </w:rPr>
        <w:t xml:space="preserve"> </w:t>
      </w:r>
      <w:r w:rsidRPr="00A205F0">
        <w:rPr>
          <w:spacing w:val="-2"/>
          <w:szCs w:val="22"/>
        </w:rPr>
        <w:t>primarily engaged in providing satellite terminal stations and associated facilities</w:t>
      </w:r>
      <w:r>
        <w:rPr>
          <w:spacing w:val="-2"/>
          <w:szCs w:val="22"/>
        </w:rPr>
        <w:t xml:space="preserve"> </w:t>
      </w:r>
      <w:r w:rsidRPr="00A205F0">
        <w:rPr>
          <w:spacing w:val="-2"/>
          <w:szCs w:val="22"/>
        </w:rPr>
        <w:t>connected with one or</w:t>
      </w:r>
      <w:r>
        <w:rPr>
          <w:spacing w:val="-2"/>
          <w:szCs w:val="22"/>
        </w:rPr>
        <w:t xml:space="preserve"> </w:t>
      </w:r>
      <w:r w:rsidRPr="00A205F0">
        <w:rPr>
          <w:spacing w:val="-2"/>
          <w:szCs w:val="22"/>
        </w:rPr>
        <w:t>more terrestrial systems and capable of transmitting telecommunications to, and</w:t>
      </w:r>
      <w:r>
        <w:rPr>
          <w:spacing w:val="-2"/>
          <w:szCs w:val="22"/>
        </w:rPr>
        <w:t xml:space="preserve"> </w:t>
      </w:r>
      <w:r w:rsidRPr="00A205F0">
        <w:rPr>
          <w:spacing w:val="-2"/>
          <w:szCs w:val="22"/>
        </w:rPr>
        <w:t>receiving</w:t>
      </w:r>
      <w:r>
        <w:rPr>
          <w:spacing w:val="-2"/>
          <w:szCs w:val="22"/>
        </w:rPr>
        <w:t xml:space="preserve"> </w:t>
      </w:r>
      <w:r w:rsidRPr="00A205F0">
        <w:rPr>
          <w:spacing w:val="-2"/>
          <w:szCs w:val="22"/>
        </w:rPr>
        <w:t>telecommunications from, satellite systems. Establishments providing Internet services or</w:t>
      </w:r>
      <w:r>
        <w:rPr>
          <w:spacing w:val="-2"/>
          <w:szCs w:val="22"/>
        </w:rPr>
        <w:t xml:space="preserve"> </w:t>
      </w:r>
      <w:r w:rsidRPr="00A205F0">
        <w:rPr>
          <w:spacing w:val="-2"/>
          <w:szCs w:val="22"/>
        </w:rPr>
        <w:t>Voice over</w:t>
      </w:r>
      <w:r>
        <w:rPr>
          <w:spacing w:val="-2"/>
          <w:szCs w:val="22"/>
        </w:rPr>
        <w:t xml:space="preserve"> </w:t>
      </w:r>
      <w:r w:rsidRPr="00A205F0">
        <w:rPr>
          <w:spacing w:val="-2"/>
          <w:szCs w:val="22"/>
        </w:rPr>
        <w:t>Internet Protocol (VoIP) services via client-supplied telecommunications connections are also</w:t>
      </w:r>
      <w:r>
        <w:rPr>
          <w:spacing w:val="-2"/>
          <w:szCs w:val="22"/>
        </w:rPr>
        <w:t xml:space="preserve"> </w:t>
      </w:r>
      <w:r w:rsidRPr="00A205F0">
        <w:rPr>
          <w:spacing w:val="-2"/>
          <w:szCs w:val="22"/>
        </w:rPr>
        <w:t>included in</w:t>
      </w:r>
      <w:r>
        <w:rPr>
          <w:spacing w:val="-2"/>
          <w:szCs w:val="22"/>
        </w:rPr>
        <w:t xml:space="preserve"> this industry.”</w:t>
      </w:r>
      <w:r>
        <w:rPr>
          <w:rStyle w:val="FootnoteReference"/>
          <w:spacing w:val="-2"/>
          <w:szCs w:val="22"/>
        </w:rPr>
        <w:footnoteReference w:id="161"/>
      </w:r>
      <w:r>
        <w:rPr>
          <w:spacing w:val="-2"/>
          <w:szCs w:val="22"/>
        </w:rPr>
        <w:t xml:space="preserve">  </w:t>
      </w:r>
      <w:r w:rsidRPr="00A205F0">
        <w:rPr>
          <w:spacing w:val="-2"/>
          <w:szCs w:val="22"/>
        </w:rPr>
        <w:t>The SBA has developed a small business size standard for this category; that</w:t>
      </w:r>
      <w:r>
        <w:rPr>
          <w:spacing w:val="-2"/>
          <w:szCs w:val="22"/>
        </w:rPr>
        <w:t xml:space="preserve"> </w:t>
      </w:r>
      <w:r w:rsidRPr="00A205F0">
        <w:rPr>
          <w:spacing w:val="-2"/>
          <w:szCs w:val="22"/>
        </w:rPr>
        <w:t>size standard</w:t>
      </w:r>
      <w:r>
        <w:rPr>
          <w:spacing w:val="-2"/>
          <w:szCs w:val="22"/>
        </w:rPr>
        <w:t xml:space="preserve"> </w:t>
      </w:r>
      <w:r w:rsidRPr="00A205F0">
        <w:rPr>
          <w:spacing w:val="-2"/>
          <w:szCs w:val="22"/>
        </w:rPr>
        <w:t>is $30.0 million or less in average annual receipts.</w:t>
      </w:r>
      <w:r>
        <w:rPr>
          <w:rStyle w:val="FootnoteReference"/>
          <w:spacing w:val="-2"/>
          <w:szCs w:val="22"/>
        </w:rPr>
        <w:footnoteReference w:id="162"/>
      </w:r>
      <w:r>
        <w:rPr>
          <w:spacing w:val="-2"/>
          <w:szCs w:val="22"/>
        </w:rPr>
        <w:t xml:space="preserve">  </w:t>
      </w:r>
      <w:r w:rsidRPr="00A205F0">
        <w:rPr>
          <w:spacing w:val="-2"/>
          <w:szCs w:val="22"/>
        </w:rPr>
        <w:t>According to Census Bureau data for</w:t>
      </w:r>
      <w:r>
        <w:rPr>
          <w:spacing w:val="-2"/>
          <w:szCs w:val="22"/>
        </w:rPr>
        <w:t xml:space="preserve"> </w:t>
      </w:r>
      <w:r w:rsidRPr="00A205F0">
        <w:rPr>
          <w:spacing w:val="-2"/>
          <w:szCs w:val="22"/>
        </w:rPr>
        <w:t>2007, there were</w:t>
      </w:r>
      <w:r>
        <w:rPr>
          <w:spacing w:val="-2"/>
          <w:szCs w:val="22"/>
        </w:rPr>
        <w:t xml:space="preserve"> </w:t>
      </w:r>
      <w:r w:rsidRPr="00A205F0">
        <w:rPr>
          <w:spacing w:val="-2"/>
          <w:szCs w:val="22"/>
        </w:rPr>
        <w:t xml:space="preserve">2,623 firms in this category that </w:t>
      </w:r>
      <w:r>
        <w:rPr>
          <w:spacing w:val="-2"/>
          <w:szCs w:val="22"/>
        </w:rPr>
        <w:t>operated for the entire year.</w:t>
      </w:r>
      <w:r>
        <w:rPr>
          <w:rStyle w:val="FootnoteReference"/>
          <w:spacing w:val="-2"/>
          <w:szCs w:val="22"/>
        </w:rPr>
        <w:footnoteReference w:id="163"/>
      </w:r>
      <w:r>
        <w:rPr>
          <w:spacing w:val="-2"/>
          <w:szCs w:val="22"/>
        </w:rPr>
        <w:t xml:space="preserve">  </w:t>
      </w:r>
      <w:r w:rsidRPr="00A205F0">
        <w:rPr>
          <w:spacing w:val="-2"/>
          <w:szCs w:val="22"/>
        </w:rPr>
        <w:t>Of these, 2478</w:t>
      </w:r>
      <w:r>
        <w:rPr>
          <w:spacing w:val="-2"/>
          <w:szCs w:val="22"/>
        </w:rPr>
        <w:t xml:space="preserve"> </w:t>
      </w:r>
      <w:r w:rsidRPr="00A205F0">
        <w:rPr>
          <w:spacing w:val="-2"/>
          <w:szCs w:val="22"/>
        </w:rPr>
        <w:t>establishments had annual</w:t>
      </w:r>
      <w:r>
        <w:rPr>
          <w:spacing w:val="-2"/>
          <w:szCs w:val="22"/>
        </w:rPr>
        <w:t xml:space="preserve"> </w:t>
      </w:r>
      <w:r w:rsidRPr="00A205F0">
        <w:rPr>
          <w:spacing w:val="-2"/>
          <w:szCs w:val="22"/>
        </w:rPr>
        <w:t>receipts of under $10 million and 145 establishments had annual receipts of</w:t>
      </w:r>
      <w:r>
        <w:rPr>
          <w:spacing w:val="-2"/>
          <w:szCs w:val="22"/>
        </w:rPr>
        <w:t xml:space="preserve"> $10 million or more.</w:t>
      </w:r>
      <w:r>
        <w:rPr>
          <w:rStyle w:val="FootnoteReference"/>
          <w:spacing w:val="-2"/>
          <w:szCs w:val="22"/>
        </w:rPr>
        <w:footnoteReference w:id="164"/>
      </w:r>
      <w:r>
        <w:rPr>
          <w:spacing w:val="-2"/>
          <w:szCs w:val="22"/>
        </w:rPr>
        <w:t xml:space="preserve"> </w:t>
      </w:r>
      <w:r w:rsidRPr="00A205F0">
        <w:rPr>
          <w:spacing w:val="-2"/>
          <w:szCs w:val="22"/>
        </w:rPr>
        <w:t>Consequently, we estimate that the majority of these firms are small entities that</w:t>
      </w:r>
      <w:r>
        <w:rPr>
          <w:spacing w:val="-2"/>
          <w:szCs w:val="22"/>
        </w:rPr>
        <w:t xml:space="preserve"> </w:t>
      </w:r>
      <w:r w:rsidRPr="00A205F0">
        <w:rPr>
          <w:spacing w:val="-2"/>
          <w:szCs w:val="22"/>
        </w:rPr>
        <w:t>may be affected by our action</w:t>
      </w:r>
      <w:r w:rsidRPr="00547927">
        <w:rPr>
          <w:spacing w:val="-2"/>
          <w:szCs w:val="22"/>
        </w:rPr>
        <w:t>.</w:t>
      </w:r>
      <w:r w:rsidR="00EC2B2C" w:rsidRPr="00547927">
        <w:rPr>
          <w:spacing w:val="-2"/>
          <w:szCs w:val="22"/>
        </w:rPr>
        <w:t xml:space="preserve">  In addition, some small businesses whose primary line of business does not involve provision of  communications services hold FCC licenses or other authorizations for purposes incidental to their primary business.  We estimate that there are __ entities that hold private wireless licenses, but we do not have a reliable estimate of how many of these entities are small businesses.</w:t>
      </w:r>
      <w:r w:rsidR="00EC2B2C" w:rsidRPr="00EC2B2C">
        <w:rPr>
          <w:spacing w:val="-2"/>
          <w:szCs w:val="22"/>
        </w:rPr>
        <w:t xml:space="preserve">  </w:t>
      </w:r>
    </w:p>
    <w:p w:rsidR="00CC56FF" w:rsidRPr="007521D5" w:rsidRDefault="00CC56FF" w:rsidP="00CC56FF">
      <w:pPr>
        <w:tabs>
          <w:tab w:val="left" w:pos="1440"/>
        </w:tabs>
        <w:suppressAutoHyphens/>
        <w:spacing w:line="240" w:lineRule="atLeast"/>
        <w:ind w:firstLine="720"/>
        <w:jc w:val="center"/>
        <w:rPr>
          <w:spacing w:val="-2"/>
          <w:szCs w:val="22"/>
        </w:rPr>
      </w:pPr>
      <w:r w:rsidRPr="007521D5">
        <w:rPr>
          <w:spacing w:val="-2"/>
          <w:szCs w:val="22"/>
        </w:rPr>
        <w:tab/>
        <w:t xml:space="preserve"> </w:t>
      </w:r>
    </w:p>
    <w:p w:rsidR="00CC56FF" w:rsidRPr="007521D5" w:rsidRDefault="00CC56FF" w:rsidP="00CC56FF">
      <w:pPr>
        <w:tabs>
          <w:tab w:val="left" w:pos="1440"/>
        </w:tabs>
        <w:suppressAutoHyphens/>
        <w:spacing w:line="240" w:lineRule="atLeast"/>
        <w:ind w:firstLine="720"/>
        <w:rPr>
          <w:spacing w:val="-2"/>
          <w:szCs w:val="22"/>
        </w:rPr>
      </w:pPr>
      <w:r w:rsidRPr="001502DB">
        <w:rPr>
          <w:b/>
          <w:spacing w:val="-2"/>
          <w:szCs w:val="22"/>
        </w:rPr>
        <w:t>IV.  Description of Projected Reporting, Recordkeeping and Other Compliance Requirements</w:t>
      </w:r>
    </w:p>
    <w:p w:rsidR="00CC56FF" w:rsidRPr="007521D5" w:rsidRDefault="00CC56FF" w:rsidP="00CC56FF">
      <w:pPr>
        <w:tabs>
          <w:tab w:val="left" w:pos="1440"/>
        </w:tabs>
        <w:suppressAutoHyphens/>
        <w:spacing w:line="240" w:lineRule="atLeast"/>
        <w:ind w:firstLine="720"/>
        <w:jc w:val="center"/>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2</w:t>
      </w:r>
      <w:r w:rsidRPr="007521D5">
        <w:rPr>
          <w:spacing w:val="-2"/>
          <w:szCs w:val="22"/>
        </w:rPr>
        <w:t>2.</w:t>
      </w:r>
      <w:r w:rsidRPr="007521D5">
        <w:rPr>
          <w:spacing w:val="-2"/>
          <w:szCs w:val="22"/>
        </w:rPr>
        <w:tab/>
        <w:t xml:space="preserve">This </w:t>
      </w:r>
      <w:r w:rsidRPr="004A33E7">
        <w:rPr>
          <w:i/>
          <w:spacing w:val="-2"/>
          <w:szCs w:val="22"/>
        </w:rPr>
        <w:t>Notice</w:t>
      </w:r>
      <w:r w:rsidRPr="007521D5">
        <w:rPr>
          <w:spacing w:val="-2"/>
          <w:szCs w:val="22"/>
        </w:rPr>
        <w:t xml:space="preserve"> </w:t>
      </w:r>
      <w:r>
        <w:rPr>
          <w:spacing w:val="-2"/>
          <w:szCs w:val="22"/>
        </w:rPr>
        <w:t>seeks comment on</w:t>
      </w:r>
      <w:r w:rsidRPr="007521D5">
        <w:rPr>
          <w:spacing w:val="-2"/>
          <w:szCs w:val="22"/>
        </w:rPr>
        <w:t xml:space="preserve"> changes to the Commission</w:t>
      </w:r>
      <w:r>
        <w:rPr>
          <w:spacing w:val="-2"/>
          <w:szCs w:val="22"/>
        </w:rPr>
        <w:t>’</w:t>
      </w:r>
      <w:r w:rsidRPr="007521D5">
        <w:rPr>
          <w:spacing w:val="-2"/>
          <w:szCs w:val="22"/>
        </w:rPr>
        <w:t xml:space="preserve">s current </w:t>
      </w:r>
      <w:r>
        <w:rPr>
          <w:spacing w:val="-2"/>
          <w:szCs w:val="22"/>
        </w:rPr>
        <w:t xml:space="preserve">regulatory fee methodology and schedule which may result in additional </w:t>
      </w:r>
      <w:r w:rsidRPr="007521D5">
        <w:rPr>
          <w:spacing w:val="-2"/>
          <w:szCs w:val="22"/>
        </w:rPr>
        <w:t xml:space="preserve">information collection, reporting, and recordkeeping requirements. </w:t>
      </w:r>
      <w:r>
        <w:rPr>
          <w:spacing w:val="-2"/>
          <w:szCs w:val="22"/>
        </w:rPr>
        <w:t xml:space="preserve">  Specifically, the </w:t>
      </w:r>
      <w:r w:rsidRPr="004A33E7">
        <w:rPr>
          <w:i/>
          <w:spacing w:val="-2"/>
          <w:szCs w:val="22"/>
        </w:rPr>
        <w:t>Notice</w:t>
      </w:r>
      <w:r>
        <w:rPr>
          <w:spacing w:val="-2"/>
          <w:szCs w:val="22"/>
        </w:rPr>
        <w:t xml:space="preserve"> seeks comment on using revenues instead of subscribers in our regulatory fee procedures.  If adopted, this would require </w:t>
      </w:r>
      <w:r w:rsidR="00830EFB">
        <w:rPr>
          <w:spacing w:val="-2"/>
          <w:szCs w:val="22"/>
        </w:rPr>
        <w:t>entities</w:t>
      </w:r>
      <w:r>
        <w:rPr>
          <w:spacing w:val="-2"/>
          <w:szCs w:val="22"/>
        </w:rPr>
        <w:t xml:space="preserve"> that do not currently file a Form 499-A to provide the Commission with revenue information.  The </w:t>
      </w:r>
      <w:r w:rsidRPr="004A33E7">
        <w:rPr>
          <w:i/>
          <w:spacing w:val="-2"/>
          <w:szCs w:val="22"/>
        </w:rPr>
        <w:t>Notice</w:t>
      </w:r>
      <w:r>
        <w:rPr>
          <w:spacing w:val="-2"/>
          <w:szCs w:val="22"/>
        </w:rPr>
        <w:t xml:space="preserve"> also seeks comment on adding categories to our regulatory fee schedule</w:t>
      </w:r>
      <w:r w:rsidR="00D35D1F">
        <w:rPr>
          <w:spacing w:val="-2"/>
          <w:szCs w:val="22"/>
        </w:rPr>
        <w:t xml:space="preserve"> by changing t</w:t>
      </w:r>
      <w:r w:rsidR="00D35D1F" w:rsidRPr="00FF6BDF">
        <w:rPr>
          <w:szCs w:val="22"/>
        </w:rPr>
        <w:t xml:space="preserve">he treatment of non-U.S.-Licensed Space Stations; Direct Broadcast Satellites; </w:t>
      </w:r>
      <w:r w:rsidR="00830EFB">
        <w:rPr>
          <w:szCs w:val="22"/>
        </w:rPr>
        <w:t>IPTV;</w:t>
      </w:r>
      <w:r w:rsidR="009E079D">
        <w:rPr>
          <w:szCs w:val="22"/>
        </w:rPr>
        <w:t xml:space="preserve"> and other services, such as broadband</w:t>
      </w:r>
      <w:r w:rsidR="00547927">
        <w:rPr>
          <w:szCs w:val="22"/>
        </w:rPr>
        <w:t xml:space="preserve"> </w:t>
      </w:r>
      <w:r w:rsidR="00D35D1F" w:rsidRPr="00FF6BDF">
        <w:rPr>
          <w:szCs w:val="22"/>
        </w:rPr>
        <w:t xml:space="preserve">in our regulatory fee process.  </w:t>
      </w:r>
      <w:r>
        <w:rPr>
          <w:spacing w:val="-2"/>
          <w:szCs w:val="22"/>
        </w:rPr>
        <w:t>If adopted, those entities that currently do not pay regulatory fees</w:t>
      </w:r>
      <w:r w:rsidR="00D35D1F">
        <w:rPr>
          <w:spacing w:val="-2"/>
          <w:szCs w:val="22"/>
        </w:rPr>
        <w:t>—</w:t>
      </w:r>
      <w:r w:rsidR="00D35D1F" w:rsidRPr="00FF6BDF">
        <w:rPr>
          <w:szCs w:val="22"/>
        </w:rPr>
        <w:t>non-U.S.-Licensed Space Stations</w:t>
      </w:r>
      <w:r w:rsidR="00830EFB">
        <w:rPr>
          <w:szCs w:val="22"/>
        </w:rPr>
        <w:t>, IPTV,</w:t>
      </w:r>
      <w:r w:rsidR="009E079D">
        <w:rPr>
          <w:szCs w:val="22"/>
        </w:rPr>
        <w:t xml:space="preserve"> and other service providers</w:t>
      </w:r>
      <w:r w:rsidR="004E657F">
        <w:rPr>
          <w:szCs w:val="22"/>
        </w:rPr>
        <w:t xml:space="preserve"> </w:t>
      </w:r>
      <w:r w:rsidR="00D35D1F">
        <w:rPr>
          <w:szCs w:val="22"/>
        </w:rPr>
        <w:t>—</w:t>
      </w:r>
      <w:r>
        <w:rPr>
          <w:spacing w:val="-2"/>
          <w:szCs w:val="22"/>
        </w:rPr>
        <w:t>would be required to pay regulatory fees to the Commission</w:t>
      </w:r>
      <w:r w:rsidR="00D35D1F">
        <w:rPr>
          <w:spacing w:val="-2"/>
          <w:szCs w:val="22"/>
        </w:rPr>
        <w:t xml:space="preserve"> and DBS providers would pay regulatory fees in a different category</w:t>
      </w:r>
      <w:r>
        <w:rPr>
          <w:spacing w:val="-2"/>
          <w:szCs w:val="22"/>
        </w:rPr>
        <w:t>.</w:t>
      </w:r>
    </w:p>
    <w:p w:rsidR="00CC56FF" w:rsidRPr="007521D5" w:rsidRDefault="00CC56FF" w:rsidP="00CC56FF">
      <w:pPr>
        <w:tabs>
          <w:tab w:val="left" w:pos="1440"/>
        </w:tabs>
        <w:suppressAutoHyphens/>
        <w:spacing w:line="240" w:lineRule="atLeast"/>
        <w:ind w:firstLine="720"/>
        <w:rPr>
          <w:spacing w:val="-2"/>
          <w:szCs w:val="22"/>
        </w:rPr>
      </w:pPr>
    </w:p>
    <w:p w:rsidR="002B7E76" w:rsidRDefault="002B7E76">
      <w:pPr>
        <w:widowControl/>
        <w:rPr>
          <w:b/>
          <w:spacing w:val="-2"/>
          <w:szCs w:val="22"/>
        </w:rPr>
      </w:pPr>
      <w:r>
        <w:rPr>
          <w:b/>
          <w:spacing w:val="-2"/>
          <w:szCs w:val="22"/>
        </w:rPr>
        <w:br w:type="page"/>
      </w:r>
    </w:p>
    <w:p w:rsidR="00CC56FF" w:rsidRPr="007521D5" w:rsidRDefault="00CC56FF" w:rsidP="00CC56FF">
      <w:pPr>
        <w:tabs>
          <w:tab w:val="left" w:pos="1440"/>
        </w:tabs>
        <w:suppressAutoHyphens/>
        <w:spacing w:line="240" w:lineRule="atLeast"/>
        <w:ind w:firstLine="720"/>
        <w:rPr>
          <w:spacing w:val="-2"/>
          <w:szCs w:val="22"/>
        </w:rPr>
      </w:pPr>
      <w:r w:rsidRPr="001502DB">
        <w:rPr>
          <w:b/>
          <w:spacing w:val="-2"/>
          <w:szCs w:val="22"/>
        </w:rPr>
        <w:t>V.  Steps Taken to Minimize Significant Economic Impact on Small Entities, and Significant Alternatives Considered</w:t>
      </w:r>
    </w:p>
    <w:p w:rsidR="00CC56FF" w:rsidRPr="007521D5" w:rsidRDefault="00CC56FF" w:rsidP="00CC56FF">
      <w:pPr>
        <w:tabs>
          <w:tab w:val="left" w:pos="1440"/>
        </w:tabs>
        <w:suppressAutoHyphens/>
        <w:spacing w:line="240" w:lineRule="atLeast"/>
        <w:ind w:firstLine="720"/>
        <w:jc w:val="center"/>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2</w:t>
      </w:r>
      <w:r w:rsidRPr="007521D5">
        <w:rPr>
          <w:spacing w:val="-2"/>
          <w:szCs w:val="22"/>
        </w:rPr>
        <w:t>3.</w:t>
      </w:r>
      <w:r w:rsidRPr="007521D5">
        <w:rPr>
          <w:spacing w:val="-2"/>
          <w:szCs w:val="22"/>
        </w:rPr>
        <w:tab/>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Cs w:val="22"/>
        </w:rPr>
        <w:footnoteReference w:id="165"/>
      </w:r>
      <w:r w:rsidRPr="007521D5">
        <w:rPr>
          <w:spacing w:val="-2"/>
          <w:szCs w:val="22"/>
        </w:rPr>
        <w:t xml:space="preserve">   </w:t>
      </w:r>
    </w:p>
    <w:p w:rsidR="00CC56FF" w:rsidRDefault="00CC56FF" w:rsidP="00CC56FF">
      <w:pPr>
        <w:tabs>
          <w:tab w:val="left" w:pos="1440"/>
        </w:tabs>
        <w:suppressAutoHyphens/>
        <w:spacing w:line="240" w:lineRule="atLeast"/>
        <w:ind w:firstLine="720"/>
        <w:rPr>
          <w:spacing w:val="-2"/>
          <w:szCs w:val="22"/>
        </w:rPr>
      </w:pPr>
    </w:p>
    <w:p w:rsidR="00CC56FF" w:rsidRDefault="00CC56FF" w:rsidP="00CC56FF">
      <w:pPr>
        <w:tabs>
          <w:tab w:val="left" w:pos="1440"/>
        </w:tabs>
        <w:suppressAutoHyphens/>
        <w:spacing w:line="240" w:lineRule="atLeast"/>
        <w:ind w:firstLine="720"/>
        <w:rPr>
          <w:spacing w:val="-2"/>
          <w:szCs w:val="22"/>
        </w:rPr>
      </w:pPr>
      <w:r>
        <w:rPr>
          <w:spacing w:val="-2"/>
          <w:szCs w:val="22"/>
        </w:rPr>
        <w:t>24.</w:t>
      </w:r>
      <w:r>
        <w:rPr>
          <w:spacing w:val="-2"/>
          <w:szCs w:val="22"/>
        </w:rPr>
        <w:tab/>
        <w:t>With respect to reporting requirements, t</w:t>
      </w:r>
      <w:r w:rsidRPr="00544880">
        <w:rPr>
          <w:spacing w:val="-2"/>
          <w:szCs w:val="22"/>
        </w:rPr>
        <w:t>he Commission is aware that some of the proposals under consideration will impact</w:t>
      </w:r>
      <w:r>
        <w:rPr>
          <w:spacing w:val="-2"/>
          <w:szCs w:val="22"/>
        </w:rPr>
        <w:t xml:space="preserve"> </w:t>
      </w:r>
      <w:r w:rsidRPr="00544880">
        <w:rPr>
          <w:spacing w:val="-2"/>
          <w:szCs w:val="22"/>
        </w:rPr>
        <w:t>small entities by imposing costs and administrative burdens</w:t>
      </w:r>
      <w:r>
        <w:rPr>
          <w:spacing w:val="-2"/>
          <w:szCs w:val="22"/>
        </w:rPr>
        <w:t xml:space="preserve"> if these entities will be required to calculate regulatory fees under a different methodology</w:t>
      </w:r>
      <w:r w:rsidRPr="00544880">
        <w:rPr>
          <w:spacing w:val="-2"/>
          <w:szCs w:val="22"/>
        </w:rPr>
        <w:t>.</w:t>
      </w:r>
      <w:r>
        <w:rPr>
          <w:spacing w:val="-2"/>
          <w:szCs w:val="22"/>
        </w:rPr>
        <w:t xml:space="preserve">  For example, if the Commission were to adopt a revenue-based approach for calculating regulatory fees, certain entities that currently do not report revenues to the Commission—or that only report some revenues and not others— would have to report such information</w:t>
      </w:r>
      <w:r w:rsidRPr="00544880">
        <w:rPr>
          <w:spacing w:val="-2"/>
          <w:szCs w:val="22"/>
        </w:rPr>
        <w:t>.</w:t>
      </w:r>
      <w:r>
        <w:rPr>
          <w:spacing w:val="-2"/>
          <w:szCs w:val="22"/>
        </w:rPr>
        <w:t xml:space="preserve">  </w:t>
      </w:r>
    </w:p>
    <w:p w:rsidR="00CC56FF" w:rsidRPr="007521D5" w:rsidRDefault="00CC56FF" w:rsidP="00CC56FF">
      <w:pPr>
        <w:tabs>
          <w:tab w:val="left" w:pos="1440"/>
        </w:tabs>
        <w:suppressAutoHyphens/>
        <w:spacing w:line="240" w:lineRule="atLeast"/>
        <w:ind w:firstLine="720"/>
        <w:rPr>
          <w:spacing w:val="-2"/>
          <w:szCs w:val="22"/>
        </w:rPr>
      </w:pPr>
    </w:p>
    <w:p w:rsidR="00EC2B2C" w:rsidRPr="00EC2B2C" w:rsidRDefault="00CC56FF" w:rsidP="00EC2B2C">
      <w:pPr>
        <w:tabs>
          <w:tab w:val="left" w:pos="1440"/>
        </w:tabs>
        <w:suppressAutoHyphens/>
        <w:spacing w:line="240" w:lineRule="atLeast"/>
        <w:ind w:firstLine="720"/>
        <w:rPr>
          <w:spacing w:val="-2"/>
          <w:szCs w:val="22"/>
        </w:rPr>
      </w:pPr>
      <w:r>
        <w:rPr>
          <w:spacing w:val="-2"/>
          <w:szCs w:val="22"/>
        </w:rPr>
        <w:t>25</w:t>
      </w:r>
      <w:r w:rsidRPr="007521D5">
        <w:rPr>
          <w:spacing w:val="-2"/>
          <w:szCs w:val="22"/>
        </w:rPr>
        <w:t>.</w:t>
      </w:r>
      <w:r w:rsidRPr="007521D5">
        <w:rPr>
          <w:spacing w:val="-2"/>
          <w:szCs w:val="22"/>
        </w:rPr>
        <w:tab/>
      </w:r>
      <w:r>
        <w:rPr>
          <w:spacing w:val="-2"/>
          <w:szCs w:val="22"/>
        </w:rPr>
        <w:t xml:space="preserve">This </w:t>
      </w:r>
      <w:r w:rsidRPr="004A33E7">
        <w:rPr>
          <w:i/>
          <w:spacing w:val="-2"/>
          <w:szCs w:val="22"/>
        </w:rPr>
        <w:t>Notice</w:t>
      </w:r>
      <w:r>
        <w:rPr>
          <w:spacing w:val="-2"/>
          <w:szCs w:val="22"/>
        </w:rPr>
        <w:t xml:space="preserve"> seeks to reform the regulatory fee methodology</w:t>
      </w:r>
      <w:r w:rsidR="0028451D">
        <w:rPr>
          <w:szCs w:val="22"/>
        </w:rPr>
        <w:t>.  We</w:t>
      </w:r>
      <w:r>
        <w:rPr>
          <w:szCs w:val="22"/>
        </w:rPr>
        <w:t xml:space="preserve"> do not propose increasing or imposing a regulatory fee burden </w:t>
      </w:r>
      <w:r>
        <w:rPr>
          <w:spacing w:val="-2"/>
          <w:szCs w:val="22"/>
        </w:rPr>
        <w:t>on small entities, unless it would be specifically in furtherance of the</w:t>
      </w:r>
      <w:r w:rsidR="0028451D">
        <w:rPr>
          <w:spacing w:val="-2"/>
          <w:szCs w:val="22"/>
        </w:rPr>
        <w:t xml:space="preserve"> reform measures proposed</w:t>
      </w:r>
      <w:r>
        <w:rPr>
          <w:spacing w:val="-2"/>
          <w:szCs w:val="22"/>
        </w:rPr>
        <w:t xml:space="preserve">.  If our proposals in this Notice result in fee increases to small entities, above the annual fee increases that generally occur each year, </w:t>
      </w:r>
      <w:r w:rsidRPr="007521D5">
        <w:rPr>
          <w:spacing w:val="-2"/>
          <w:szCs w:val="22"/>
        </w:rPr>
        <w:t>we intend to mitigate any inequities</w:t>
      </w:r>
      <w:r>
        <w:rPr>
          <w:spacing w:val="-2"/>
          <w:szCs w:val="22"/>
        </w:rPr>
        <w:t xml:space="preserve"> that might result from such increases</w:t>
      </w:r>
      <w:r w:rsidR="00686BCA">
        <w:rPr>
          <w:spacing w:val="-2"/>
          <w:szCs w:val="22"/>
        </w:rPr>
        <w:t xml:space="preserve">, by, for example, limiting the annual </w:t>
      </w:r>
      <w:r w:rsidR="00686BCA" w:rsidRPr="00547927">
        <w:rPr>
          <w:spacing w:val="-2"/>
          <w:szCs w:val="22"/>
        </w:rPr>
        <w:t>increase</w:t>
      </w:r>
      <w:r w:rsidR="00EC2B2C" w:rsidRPr="00547927">
        <w:rPr>
          <w:spacing w:val="-2"/>
          <w:szCs w:val="22"/>
        </w:rPr>
        <w:t xml:space="preserve"> in regulatory fees</w:t>
      </w:r>
      <w:r w:rsidRPr="00547927">
        <w:rPr>
          <w:spacing w:val="-2"/>
          <w:szCs w:val="22"/>
        </w:rPr>
        <w:t>.  In keeping with the requirements of the Regulatory Flexibility Act, we have considered certain alternative means of mitigating the effects of fee increases to a particular industry segment.  One option is to avoid significant fee increases</w:t>
      </w:r>
      <w:r w:rsidR="00686BCA" w:rsidRPr="00547927">
        <w:rPr>
          <w:spacing w:val="-2"/>
          <w:szCs w:val="22"/>
        </w:rPr>
        <w:t xml:space="preserve">, which is also proposed in the </w:t>
      </w:r>
      <w:r w:rsidR="00686BCA" w:rsidRPr="00547927">
        <w:rPr>
          <w:i/>
          <w:spacing w:val="-2"/>
          <w:szCs w:val="22"/>
        </w:rPr>
        <w:t>Notice</w:t>
      </w:r>
      <w:r w:rsidRPr="00547927">
        <w:rPr>
          <w:spacing w:val="-2"/>
          <w:szCs w:val="22"/>
        </w:rPr>
        <w:t xml:space="preserve">.  Another option is to provide interim adjustments, by phasing in the new fees over a period of time.  </w:t>
      </w:r>
      <w:r w:rsidR="00973F1F" w:rsidRPr="00547927">
        <w:rPr>
          <w:spacing w:val="-2"/>
          <w:szCs w:val="22"/>
        </w:rPr>
        <w:t>T</w:t>
      </w:r>
      <w:r w:rsidRPr="00547927">
        <w:rPr>
          <w:spacing w:val="-2"/>
          <w:szCs w:val="22"/>
        </w:rPr>
        <w:t>he Commission seeks comment on the abovementioned, and any other, means and methods that would minimize any significant economic impact of our proposed rules on small entities</w:t>
      </w:r>
      <w:r w:rsidR="00EC2B2C" w:rsidRPr="00547927">
        <w:rPr>
          <w:spacing w:val="-2"/>
          <w:szCs w:val="22"/>
        </w:rPr>
        <w:t xml:space="preserve">.  In addition, the Commission’s rules provide a process by which regulatory fee payors </w:t>
      </w:r>
      <w:r w:rsidR="003C2B0B" w:rsidRPr="00547927">
        <w:rPr>
          <w:spacing w:val="-2"/>
          <w:szCs w:val="22"/>
        </w:rPr>
        <w:t>may s</w:t>
      </w:r>
      <w:r w:rsidR="00EC2B2C" w:rsidRPr="00547927">
        <w:rPr>
          <w:spacing w:val="-2"/>
          <w:szCs w:val="22"/>
        </w:rPr>
        <w:t>eek waivers or other relief</w:t>
      </w:r>
      <w:r w:rsidR="003C2B0B" w:rsidRPr="00547927">
        <w:rPr>
          <w:spacing w:val="-2"/>
          <w:szCs w:val="22"/>
        </w:rPr>
        <w:t xml:space="preserve"> on the basis of financial hardship.  47 C.F.R. §1.1166</w:t>
      </w:r>
      <w:r w:rsidR="00EC2B2C" w:rsidRPr="00EC2B2C">
        <w:rPr>
          <w:spacing w:val="-2"/>
          <w:szCs w:val="22"/>
        </w:rPr>
        <w:t xml:space="preserve"> </w:t>
      </w:r>
    </w:p>
    <w:p w:rsidR="00CC56FF" w:rsidRPr="007521D5" w:rsidRDefault="00EC2B2C" w:rsidP="00CC56FF">
      <w:pPr>
        <w:tabs>
          <w:tab w:val="left" w:pos="1440"/>
        </w:tabs>
        <w:suppressAutoHyphens/>
        <w:spacing w:line="240" w:lineRule="atLeast"/>
        <w:ind w:firstLine="720"/>
        <w:rPr>
          <w:spacing w:val="-2"/>
          <w:szCs w:val="22"/>
        </w:rPr>
      </w:pPr>
      <w:r>
        <w:rPr>
          <w:spacing w:val="-2"/>
          <w:szCs w:val="22"/>
        </w:rPr>
        <w:t xml:space="preserve"> </w:t>
      </w:r>
    </w:p>
    <w:p w:rsidR="00CC56FF" w:rsidRPr="002C3FFF" w:rsidRDefault="00CC56FF" w:rsidP="00CC56FF">
      <w:pPr>
        <w:tabs>
          <w:tab w:val="left" w:pos="1440"/>
        </w:tabs>
        <w:suppressAutoHyphens/>
        <w:spacing w:line="240" w:lineRule="atLeast"/>
        <w:ind w:firstLine="720"/>
        <w:rPr>
          <w:b/>
          <w:spacing w:val="-2"/>
          <w:szCs w:val="22"/>
        </w:rPr>
      </w:pPr>
      <w:r w:rsidRPr="002C3FFF">
        <w:rPr>
          <w:b/>
          <w:spacing w:val="-2"/>
          <w:szCs w:val="22"/>
        </w:rPr>
        <w:t>VI.  Federal Rules that May Duplicate, Overlap, or Conflict with the Proposed Rules</w:t>
      </w:r>
    </w:p>
    <w:p w:rsidR="00CC56FF" w:rsidRPr="007521D5" w:rsidRDefault="00CC56FF" w:rsidP="00CC56FF">
      <w:pPr>
        <w:tabs>
          <w:tab w:val="left" w:pos="1440"/>
        </w:tabs>
        <w:suppressAutoHyphens/>
        <w:spacing w:line="240" w:lineRule="atLeast"/>
        <w:ind w:firstLine="720"/>
        <w:rPr>
          <w:spacing w:val="-2"/>
          <w:szCs w:val="22"/>
        </w:rPr>
      </w:pPr>
    </w:p>
    <w:p w:rsidR="00CC56FF" w:rsidRPr="007521D5" w:rsidRDefault="00CC56FF" w:rsidP="00CC56FF">
      <w:pPr>
        <w:tabs>
          <w:tab w:val="left" w:pos="1440"/>
        </w:tabs>
        <w:suppressAutoHyphens/>
        <w:spacing w:line="240" w:lineRule="atLeast"/>
        <w:ind w:firstLine="720"/>
        <w:rPr>
          <w:spacing w:val="-2"/>
          <w:szCs w:val="22"/>
        </w:rPr>
      </w:pPr>
      <w:r>
        <w:rPr>
          <w:spacing w:val="-2"/>
          <w:szCs w:val="22"/>
        </w:rPr>
        <w:t>26</w:t>
      </w:r>
      <w:r w:rsidRPr="007521D5">
        <w:rPr>
          <w:spacing w:val="-2"/>
          <w:szCs w:val="22"/>
        </w:rPr>
        <w:t>.</w:t>
      </w:r>
      <w:r w:rsidRPr="007521D5">
        <w:rPr>
          <w:spacing w:val="-2"/>
          <w:szCs w:val="22"/>
        </w:rPr>
        <w:tab/>
        <w:t>None.</w:t>
      </w:r>
    </w:p>
    <w:p w:rsidR="00CC56FF" w:rsidRPr="007521D5" w:rsidRDefault="00CC56FF" w:rsidP="00CC56FF">
      <w:pPr>
        <w:tabs>
          <w:tab w:val="left" w:pos="1440"/>
        </w:tabs>
        <w:suppressAutoHyphens/>
        <w:spacing w:line="240" w:lineRule="atLeast"/>
        <w:ind w:firstLine="720"/>
        <w:jc w:val="center"/>
        <w:rPr>
          <w:spacing w:val="-2"/>
          <w:szCs w:val="22"/>
        </w:rPr>
      </w:pPr>
      <w:r w:rsidRPr="007521D5">
        <w:rPr>
          <w:spacing w:val="-2"/>
          <w:szCs w:val="22"/>
        </w:rPr>
        <w:t xml:space="preserve"> </w:t>
      </w:r>
    </w:p>
    <w:p w:rsidR="00CC56FF" w:rsidRPr="007521D5" w:rsidRDefault="00CC56FF" w:rsidP="00CC56FF">
      <w:pPr>
        <w:tabs>
          <w:tab w:val="left" w:pos="1440"/>
        </w:tabs>
        <w:suppressAutoHyphens/>
        <w:spacing w:line="240" w:lineRule="atLeast"/>
        <w:ind w:firstLine="720"/>
        <w:jc w:val="center"/>
        <w:rPr>
          <w:spacing w:val="-2"/>
          <w:szCs w:val="22"/>
        </w:rPr>
      </w:pPr>
      <w:r w:rsidRPr="007521D5">
        <w:rPr>
          <w:spacing w:val="-2"/>
          <w:szCs w:val="22"/>
        </w:rPr>
        <w:t xml:space="preserve"> </w:t>
      </w:r>
    </w:p>
    <w:p w:rsidR="00CC56FF" w:rsidRPr="007521D5" w:rsidRDefault="00CC56FF" w:rsidP="00CC56FF">
      <w:pPr>
        <w:tabs>
          <w:tab w:val="left" w:pos="1440"/>
        </w:tabs>
        <w:suppressAutoHyphens/>
        <w:spacing w:line="240" w:lineRule="atLeast"/>
        <w:ind w:firstLine="720"/>
        <w:jc w:val="center"/>
        <w:rPr>
          <w:spacing w:val="-2"/>
          <w:szCs w:val="22"/>
        </w:rPr>
      </w:pPr>
      <w:r>
        <w:rPr>
          <w:spacing w:val="-2"/>
          <w:szCs w:val="22"/>
        </w:rPr>
        <w:t>.</w:t>
      </w:r>
    </w:p>
    <w:p w:rsidR="00CC56FF" w:rsidRPr="007521D5" w:rsidRDefault="00CC56FF" w:rsidP="00CC56FF">
      <w:pPr>
        <w:tabs>
          <w:tab w:val="left" w:pos="1440"/>
        </w:tabs>
        <w:suppressAutoHyphens/>
        <w:spacing w:line="240" w:lineRule="atLeast"/>
        <w:ind w:firstLine="720"/>
        <w:jc w:val="center"/>
        <w:rPr>
          <w:spacing w:val="-2"/>
          <w:szCs w:val="22"/>
        </w:rPr>
      </w:pPr>
      <w:r>
        <w:rPr>
          <w:spacing w:val="-2"/>
          <w:szCs w:val="22"/>
        </w:rPr>
        <w:t>.</w:t>
      </w:r>
    </w:p>
    <w:p w:rsidR="0033132C" w:rsidRPr="00A1103B" w:rsidRDefault="0033132C" w:rsidP="0033132C">
      <w:pPr>
        <w:tabs>
          <w:tab w:val="left" w:pos="1440"/>
        </w:tabs>
        <w:suppressAutoHyphens/>
        <w:spacing w:line="240" w:lineRule="atLeast"/>
        <w:rPr>
          <w:szCs w:val="22"/>
        </w:rPr>
      </w:pPr>
    </w:p>
    <w:p w:rsidR="0033132C" w:rsidRPr="00A1103B" w:rsidRDefault="0033132C" w:rsidP="0033132C">
      <w:pPr>
        <w:tabs>
          <w:tab w:val="left" w:pos="1440"/>
        </w:tabs>
        <w:suppressAutoHyphens/>
        <w:spacing w:line="240" w:lineRule="atLeast"/>
        <w:ind w:firstLine="720"/>
        <w:rPr>
          <w:szCs w:val="22"/>
        </w:rPr>
      </w:pPr>
    </w:p>
    <w:p w:rsidR="00CD0BAA" w:rsidRDefault="00CD0BAA" w:rsidP="00C55504">
      <w:pPr>
        <w:jc w:val="center"/>
        <w:rPr>
          <w:b/>
        </w:rPr>
      </w:pPr>
      <w:bookmarkStart w:id="328" w:name="FN[FN35]"/>
      <w:bookmarkStart w:id="329" w:name="FN[FN36]"/>
      <w:bookmarkStart w:id="330" w:name="FN[FN37]"/>
      <w:bookmarkStart w:id="331" w:name="FN[FN38]"/>
      <w:bookmarkEnd w:id="328"/>
      <w:bookmarkEnd w:id="329"/>
      <w:bookmarkEnd w:id="330"/>
      <w:bookmarkEnd w:id="331"/>
      <w:r>
        <w:rPr>
          <w:szCs w:val="22"/>
        </w:rPr>
        <w:br w:type="page"/>
      </w:r>
      <w:r>
        <w:rPr>
          <w:b/>
        </w:rPr>
        <w:t>ATTACHMENT F</w:t>
      </w:r>
    </w:p>
    <w:p w:rsidR="00CD0BAA" w:rsidRDefault="00CD0BAA" w:rsidP="00CD0BAA">
      <w:pPr>
        <w:jc w:val="center"/>
        <w:rPr>
          <w:b/>
        </w:rPr>
      </w:pPr>
    </w:p>
    <w:p w:rsidR="00CD0BAA" w:rsidRDefault="00CD0BAA" w:rsidP="00CD0BAA">
      <w:pPr>
        <w:jc w:val="center"/>
        <w:rPr>
          <w:b/>
        </w:rPr>
      </w:pPr>
      <w:r>
        <w:rPr>
          <w:b/>
        </w:rPr>
        <w:t>FY 2012 Schedule of Regulatory Fees</w:t>
      </w:r>
    </w:p>
    <w:p w:rsidR="00CD0BAA" w:rsidRDefault="00CD0BAA" w:rsidP="00CD0BAA">
      <w:pPr>
        <w:jc w:val="center"/>
        <w:rPr>
          <w:b/>
        </w:rPr>
      </w:pPr>
    </w:p>
    <w:p w:rsidR="00CD0BAA" w:rsidRDefault="00CD0BAA" w:rsidP="00CD0BAA">
      <w:pPr>
        <w:tabs>
          <w:tab w:val="center" w:pos="5040"/>
        </w:tabs>
        <w:suppressAutoHyphens/>
        <w:outlineLvl w:val="0"/>
        <w:rPr>
          <w:szCs w:val="22"/>
        </w:rPr>
      </w:pPr>
      <w:bookmarkStart w:id="332" w:name="_Toc353870732"/>
      <w:bookmarkStart w:id="333" w:name="_Toc353987759"/>
      <w:bookmarkStart w:id="334" w:name="_Toc353988080"/>
      <w:r>
        <w:rPr>
          <w:szCs w:val="22"/>
        </w:rPr>
        <w:t>Regulatory fees for the categories shaded in gray are collected by the Commission in advance to cover the term of the license and are submitted at the time the application is filed.</w:t>
      </w:r>
      <w:bookmarkEnd w:id="332"/>
      <w:bookmarkEnd w:id="333"/>
      <w:bookmarkEnd w:id="334"/>
    </w:p>
    <w:p w:rsidR="00CD0BAA" w:rsidRDefault="00CD0BAA" w:rsidP="00CD0BAA">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 w:val="20"/>
        </w:rPr>
      </w:pPr>
      <w:r>
        <w:rPr>
          <w:sz w:val="20"/>
        </w:rPr>
        <w:tab/>
      </w:r>
      <w:r>
        <w:rPr>
          <w:sz w:val="20"/>
        </w:rPr>
        <w:tab/>
      </w:r>
      <w:r>
        <w:rPr>
          <w:sz w:val="20"/>
        </w:rPr>
        <w:tab/>
      </w:r>
    </w:p>
    <w:tbl>
      <w:tblPr>
        <w:tblW w:w="8550" w:type="dxa"/>
        <w:tblInd w:w="210" w:type="dxa"/>
        <w:tblLayout w:type="fixed"/>
        <w:tblCellMar>
          <w:left w:w="120" w:type="dxa"/>
          <w:right w:w="120" w:type="dxa"/>
        </w:tblCellMar>
        <w:tblLook w:val="0000" w:firstRow="0" w:lastRow="0" w:firstColumn="0" w:lastColumn="0" w:noHBand="0" w:noVBand="0"/>
      </w:tblPr>
      <w:tblGrid>
        <w:gridCol w:w="6840"/>
        <w:gridCol w:w="1710"/>
      </w:tblGrid>
      <w:tr w:rsidR="00CD0BAA">
        <w:trPr>
          <w:tblHeader/>
        </w:trPr>
        <w:tc>
          <w:tcPr>
            <w:tcW w:w="6840" w:type="dxa"/>
            <w:tcBorders>
              <w:top w:val="double" w:sz="6" w:space="0" w:color="auto"/>
              <w:left w:val="double" w:sz="6" w:space="0" w:color="auto"/>
              <w:bottom w:val="single" w:sz="8" w:space="0" w:color="auto"/>
            </w:tcBorders>
          </w:tcPr>
          <w:p w:rsidR="00CD0BAA" w:rsidRDefault="00C33D99"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 w:val="20"/>
              </w:rPr>
            </w:pPr>
            <w:r>
              <w:rPr>
                <w:sz w:val="20"/>
              </w:rPr>
              <w:fldChar w:fldCharType="begin"/>
            </w:r>
            <w:r w:rsidR="00CD0BAA">
              <w:rPr>
                <w:sz w:val="20"/>
              </w:rPr>
              <w:instrText xml:space="preserve">PRIVATE </w:instrText>
            </w:r>
            <w:r>
              <w:rPr>
                <w:sz w:val="20"/>
              </w:rPr>
              <w:fldChar w:fldCharType="end"/>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 w:val="20"/>
              </w:rPr>
            </w:pPr>
            <w:r>
              <w:rPr>
                <w:b/>
                <w:sz w:val="20"/>
              </w:rPr>
              <w:t>Fee Category</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 w:val="20"/>
              </w:rPr>
            </w:pPr>
          </w:p>
        </w:tc>
        <w:tc>
          <w:tcPr>
            <w:tcW w:w="1710" w:type="dxa"/>
            <w:tcBorders>
              <w:top w:val="double" w:sz="6" w:space="0" w:color="auto"/>
              <w:left w:val="single" w:sz="6" w:space="0" w:color="auto"/>
              <w:bottom w:val="single" w:sz="8"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 w:val="20"/>
              </w:rPr>
            </w:pPr>
            <w:r>
              <w:rPr>
                <w:b/>
                <w:sz w:val="20"/>
              </w:rPr>
              <w:t>Annual Regulatory Fee</w:t>
            </w:r>
          </w:p>
          <w:p w:rsidR="00CD0BAA" w:rsidRDefault="00CD0BAA" w:rsidP="00B17FE2">
            <w:pPr>
              <w:tabs>
                <w:tab w:val="center" w:pos="850"/>
              </w:tabs>
              <w:suppressAutoHyphens/>
              <w:spacing w:after="54"/>
              <w:jc w:val="center"/>
              <w:rPr>
                <w:b/>
                <w:sz w:val="20"/>
              </w:rPr>
            </w:pPr>
            <w:r>
              <w:rPr>
                <w:b/>
                <w:sz w:val="20"/>
              </w:rPr>
              <w:t>(U.S. $'s)</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 w:val="20"/>
              </w:rPr>
            </w:pPr>
            <w:r>
              <w:rPr>
                <w:sz w:val="20"/>
              </w:rPr>
              <w:t>PLMRS (per license) (Exclusive Use)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35</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 w:val="20"/>
              </w:rPr>
            </w:pPr>
            <w:r>
              <w:rPr>
                <w:sz w:val="20"/>
              </w:rPr>
              <w:t>Microwave (per license) (47 CFR part 101)</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 w:val="20"/>
              </w:rPr>
            </w:pPr>
            <w:r>
              <w:rPr>
                <w:sz w:val="20"/>
              </w:rPr>
              <w:t>20</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 w:val="left" w:pos="0"/>
                <w:tab w:val="left" w:pos="720"/>
                <w:tab w:val="left" w:pos="1440"/>
                <w:tab w:val="left" w:pos="2160"/>
                <w:tab w:val="left" w:pos="2880"/>
                <w:tab w:val="right" w:pos="3461"/>
                <w:tab w:val="left" w:pos="3600"/>
              </w:tabs>
              <w:suppressAutoHyphens/>
              <w:spacing w:before="90" w:after="54"/>
              <w:rPr>
                <w:sz w:val="20"/>
              </w:rPr>
            </w:pPr>
            <w:r>
              <w:rPr>
                <w:sz w:val="20"/>
              </w:rPr>
              <w:t>218-219 MHz (Formerly Interactive Video Data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s>
              <w:suppressAutoHyphens/>
              <w:spacing w:before="90" w:after="54"/>
              <w:jc w:val="center"/>
              <w:rPr>
                <w:sz w:val="20"/>
              </w:rPr>
            </w:pPr>
            <w:r>
              <w:rPr>
                <w:sz w:val="20"/>
              </w:rPr>
              <w:t>70</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s>
              <w:suppressAutoHyphens/>
              <w:spacing w:before="90" w:after="54"/>
              <w:rPr>
                <w:sz w:val="20"/>
              </w:rPr>
            </w:pPr>
            <w:r>
              <w:rPr>
                <w:sz w:val="20"/>
              </w:rPr>
              <w:t>Marine (Ship) (per station)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s>
              <w:suppressAutoHyphens/>
              <w:spacing w:before="90" w:after="54"/>
              <w:jc w:val="center"/>
              <w:rPr>
                <w:sz w:val="20"/>
              </w:rPr>
            </w:pPr>
            <w:r>
              <w:rPr>
                <w:sz w:val="20"/>
              </w:rPr>
              <w:t>10</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s>
              <w:suppressAutoHyphens/>
              <w:spacing w:before="90" w:after="54"/>
              <w:rPr>
                <w:sz w:val="20"/>
              </w:rPr>
            </w:pPr>
            <w:r>
              <w:rPr>
                <w:sz w:val="20"/>
              </w:rPr>
              <w:t>Marine (Coast) (per license) (47 CFR part 80)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s>
              <w:suppressAutoHyphens/>
              <w:spacing w:before="90" w:after="54"/>
              <w:jc w:val="center"/>
              <w:rPr>
                <w:sz w:val="20"/>
              </w:rPr>
            </w:pPr>
            <w:r>
              <w:rPr>
                <w:sz w:val="20"/>
              </w:rPr>
              <w:t>50</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s>
              <w:suppressAutoHyphens/>
              <w:spacing w:before="90" w:after="54"/>
              <w:rPr>
                <w:sz w:val="20"/>
              </w:rPr>
            </w:pPr>
            <w:r>
              <w:rPr>
                <w:sz w:val="20"/>
              </w:rPr>
              <w:t>General Mobile Radio Service (per license) (47 CFR part 95)</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s>
              <w:suppressAutoHyphens/>
              <w:spacing w:before="90" w:after="54"/>
              <w:jc w:val="center"/>
              <w:rPr>
                <w:sz w:val="20"/>
              </w:rPr>
            </w:pPr>
            <w:r>
              <w:rPr>
                <w:sz w:val="20"/>
              </w:rPr>
              <w:t>5</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s>
              <w:suppressAutoHyphens/>
              <w:spacing w:before="90" w:after="54"/>
              <w:rPr>
                <w:sz w:val="20"/>
              </w:rPr>
            </w:pPr>
            <w:r>
              <w:rPr>
                <w:sz w:val="20"/>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s>
              <w:suppressAutoHyphens/>
              <w:spacing w:before="90" w:after="54"/>
              <w:jc w:val="center"/>
              <w:rPr>
                <w:sz w:val="20"/>
              </w:rPr>
            </w:pPr>
            <w:r>
              <w:rPr>
                <w:sz w:val="20"/>
              </w:rPr>
              <w:t>15</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s>
              <w:suppressAutoHyphens/>
              <w:spacing w:before="90" w:after="54"/>
              <w:rPr>
                <w:sz w:val="20"/>
              </w:rPr>
            </w:pPr>
            <w:r>
              <w:rPr>
                <w:sz w:val="20"/>
              </w:rPr>
              <w:t>PLMRS (Shared Use) (per license) (47 CFR part 90)</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s>
              <w:suppressAutoHyphens/>
              <w:spacing w:before="90" w:after="54"/>
              <w:jc w:val="center"/>
              <w:rPr>
                <w:sz w:val="20"/>
              </w:rPr>
            </w:pPr>
            <w:r>
              <w:rPr>
                <w:sz w:val="20"/>
              </w:rPr>
              <w:t>15</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Aviation (Aircraft) (per station) (47 CFR part 87)</w:t>
            </w:r>
            <w:r>
              <w:rPr>
                <w:sz w:val="20"/>
              </w:rPr>
              <w:tab/>
            </w:r>
            <w:r>
              <w:rPr>
                <w:sz w:val="20"/>
              </w:rPr>
              <w:tab/>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s>
              <w:suppressAutoHyphens/>
              <w:spacing w:before="90" w:after="54"/>
              <w:jc w:val="center"/>
              <w:rPr>
                <w:sz w:val="20"/>
              </w:rPr>
            </w:pPr>
            <w:r>
              <w:rPr>
                <w:sz w:val="20"/>
              </w:rPr>
              <w:t>10</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Aviation (Ground) (per license) (47 CFR part 87)</w:t>
            </w:r>
            <w:r>
              <w:rPr>
                <w:sz w:val="20"/>
              </w:rPr>
              <w:tab/>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s>
              <w:suppressAutoHyphens/>
              <w:spacing w:before="90" w:after="54"/>
              <w:jc w:val="center"/>
              <w:rPr>
                <w:sz w:val="20"/>
              </w:rPr>
            </w:pPr>
            <w:r>
              <w:rPr>
                <w:sz w:val="20"/>
              </w:rPr>
              <w:t>15</w:t>
            </w:r>
          </w:p>
        </w:tc>
      </w:tr>
      <w:tr w:rsidR="00CD0BAA">
        <w:tc>
          <w:tcPr>
            <w:tcW w:w="6840" w:type="dxa"/>
            <w:tcBorders>
              <w:top w:val="single" w:sz="8" w:space="0" w:color="auto"/>
              <w:left w:val="double" w:sz="12" w:space="0" w:color="auto"/>
              <w:bottom w:val="single" w:sz="8" w:space="0" w:color="auto"/>
              <w:right w:val="single" w:sz="8" w:space="0" w:color="auto"/>
            </w:tcBorders>
            <w:shd w:val="clear" w:color="auto" w:fill="C0C0C0"/>
          </w:tcPr>
          <w:p w:rsidR="00CD0BAA" w:rsidRDefault="00CD0BAA" w:rsidP="00B17FE2">
            <w:pPr>
              <w:tabs>
                <w:tab w:val="left" w:pos="-1440"/>
                <w:tab w:val="left" w:pos="-720"/>
              </w:tabs>
              <w:suppressAutoHyphens/>
              <w:spacing w:before="90" w:after="54"/>
              <w:rPr>
                <w:sz w:val="20"/>
              </w:rPr>
            </w:pPr>
            <w:r>
              <w:rPr>
                <w:sz w:val="20"/>
              </w:rPr>
              <w:t xml:space="preserve">Amateur Vanity Call Signs (per call sign) (47 CFR part 97) </w:t>
            </w:r>
          </w:p>
        </w:tc>
        <w:tc>
          <w:tcPr>
            <w:tcW w:w="1710" w:type="dxa"/>
            <w:tcBorders>
              <w:top w:val="single" w:sz="8" w:space="0" w:color="auto"/>
              <w:left w:val="single" w:sz="8" w:space="0" w:color="auto"/>
              <w:bottom w:val="single" w:sz="8" w:space="0" w:color="auto"/>
              <w:right w:val="double" w:sz="12" w:space="0" w:color="auto"/>
            </w:tcBorders>
            <w:shd w:val="clear" w:color="auto" w:fill="C0C0C0"/>
          </w:tcPr>
          <w:p w:rsidR="00CD0BAA" w:rsidRDefault="00CD0BAA" w:rsidP="00B17FE2">
            <w:pPr>
              <w:tabs>
                <w:tab w:val="left" w:pos="-1440"/>
                <w:tab w:val="left" w:pos="-720"/>
              </w:tabs>
              <w:suppressAutoHyphens/>
              <w:spacing w:before="90" w:after="54"/>
              <w:jc w:val="center"/>
              <w:rPr>
                <w:sz w:val="20"/>
              </w:rPr>
            </w:pPr>
            <w:r>
              <w:rPr>
                <w:sz w:val="20"/>
              </w:rPr>
              <w:t>1.50</w:t>
            </w:r>
          </w:p>
        </w:tc>
      </w:tr>
      <w:tr w:rsidR="00CD0BAA">
        <w:tc>
          <w:tcPr>
            <w:tcW w:w="6840" w:type="dxa"/>
            <w:tcBorders>
              <w:top w:val="single" w:sz="8"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.17</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CMRS Messaging Services (per unit) (47 CFR parts 20, 22, 24 and 90)</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.08</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Broadband Radio Service (formerly MMDS/ MDS) (per license) (47 CFR part 27)</w:t>
            </w:r>
          </w:p>
          <w:p w:rsidR="00CD0BAA" w:rsidRDefault="00CD0BAA" w:rsidP="00B17FE2">
            <w:pPr>
              <w:tabs>
                <w:tab w:val="left" w:pos="-1440"/>
                <w:tab w:val="left" w:pos="-720"/>
              </w:tabs>
              <w:suppressAutoHyphens/>
              <w:spacing w:before="90" w:after="54"/>
              <w:rPr>
                <w:sz w:val="20"/>
              </w:rPr>
            </w:pPr>
            <w:r>
              <w:rPr>
                <w:sz w:val="20"/>
              </w:rPr>
              <w:t>Local Multipoint Distribution Service (per call sign) (47 CFR, part 101)</w:t>
            </w:r>
          </w:p>
          <w:p w:rsidR="00CD0BAA" w:rsidRDefault="00CD0BAA" w:rsidP="00B17FE2">
            <w:pPr>
              <w:tabs>
                <w:tab w:val="left" w:pos="-1440"/>
                <w:tab w:val="left" w:pos="-720"/>
              </w:tabs>
              <w:suppressAutoHyphens/>
              <w:spacing w:before="90" w:after="54"/>
              <w:rPr>
                <w:sz w:val="20"/>
              </w:rPr>
            </w:pP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475</w:t>
            </w:r>
          </w:p>
          <w:p w:rsidR="00CD0BAA" w:rsidRDefault="00CD0BAA" w:rsidP="00B17FE2">
            <w:pPr>
              <w:tabs>
                <w:tab w:val="left" w:pos="-1440"/>
                <w:tab w:val="left" w:pos="-720"/>
              </w:tabs>
              <w:suppressAutoHyphens/>
              <w:spacing w:before="90" w:after="54"/>
              <w:jc w:val="center"/>
              <w:rPr>
                <w:sz w:val="20"/>
              </w:rPr>
            </w:pPr>
          </w:p>
          <w:p w:rsidR="00CD0BAA" w:rsidRDefault="00CD0BAA" w:rsidP="00B17FE2">
            <w:pPr>
              <w:tabs>
                <w:tab w:val="left" w:pos="-1440"/>
                <w:tab w:val="left" w:pos="-720"/>
              </w:tabs>
              <w:suppressAutoHyphens/>
              <w:spacing w:before="90" w:after="54"/>
              <w:jc w:val="center"/>
              <w:rPr>
                <w:sz w:val="20"/>
              </w:rPr>
            </w:pPr>
            <w:r>
              <w:rPr>
                <w:sz w:val="20"/>
              </w:rPr>
              <w:t>475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AM Radio Construction Permits</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550</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FM Radio Construction Permits</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700</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TV (47 CFR part 73) VHF Commercial</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right"/>
              <w:rPr>
                <w:sz w:val="20"/>
              </w:rPr>
            </w:pP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s>
              <w:suppressAutoHyphens/>
              <w:spacing w:before="90" w:after="54"/>
              <w:ind w:left="2160" w:hanging="2160"/>
              <w:rPr>
                <w:sz w:val="20"/>
              </w:rPr>
            </w:pPr>
            <w:r>
              <w:rPr>
                <w:sz w:val="20"/>
              </w:rPr>
              <w:tab/>
              <w:t>Markets 1-10</w:t>
            </w:r>
            <w:r>
              <w:rPr>
                <w:sz w:val="20"/>
              </w:rPr>
              <w:tab/>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80,075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73,475</w:t>
            </w:r>
          </w:p>
        </w:tc>
      </w:tr>
      <w:tr w:rsidR="00CD0BAA">
        <w:tc>
          <w:tcPr>
            <w:tcW w:w="6840" w:type="dxa"/>
            <w:tcBorders>
              <w:top w:val="single" w:sz="2" w:space="0" w:color="auto"/>
              <w:left w:val="double" w:sz="2" w:space="0" w:color="auto"/>
              <w:right w:val="single" w:sz="2" w:space="0" w:color="auto"/>
            </w:tcBorders>
          </w:tcPr>
          <w:p w:rsidR="00CD0BAA" w:rsidRDefault="00CD0BAA" w:rsidP="00B17FE2">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2" w:space="0" w:color="auto"/>
              <w:left w:val="single" w:sz="2" w:space="0" w:color="auto"/>
              <w:right w:val="double" w:sz="2" w:space="0" w:color="auto"/>
            </w:tcBorders>
          </w:tcPr>
          <w:p w:rsidR="00CD0BAA" w:rsidRDefault="00CD0BAA" w:rsidP="00B17FE2">
            <w:pPr>
              <w:tabs>
                <w:tab w:val="left" w:pos="-1440"/>
                <w:tab w:val="left" w:pos="-720"/>
              </w:tabs>
              <w:suppressAutoHyphens/>
              <w:spacing w:before="90" w:after="54"/>
              <w:jc w:val="center"/>
              <w:rPr>
                <w:sz w:val="20"/>
              </w:rPr>
            </w:pPr>
            <w:r>
              <w:rPr>
                <w:sz w:val="20"/>
              </w:rPr>
              <w:t>39,800</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Markets 51-100</w:t>
            </w:r>
            <w:r>
              <w:rPr>
                <w:sz w:val="20"/>
              </w:rPr>
              <w:tab/>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20,925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5,825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s>
              <w:suppressAutoHyphens/>
              <w:spacing w:before="90" w:after="54"/>
              <w:ind w:left="720" w:hanging="720"/>
              <w:rPr>
                <w:sz w:val="20"/>
              </w:rPr>
            </w:pPr>
            <w:r>
              <w:rPr>
                <w:sz w:val="20"/>
              </w:rPr>
              <w:tab/>
              <w:t>Construction Permits</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5,825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TV (47 CFR part 73) UHF Commercial</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right"/>
              <w:rPr>
                <w:sz w:val="20"/>
              </w:rPr>
            </w:pP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s>
              <w:suppressAutoHyphens/>
              <w:spacing w:before="90" w:after="54"/>
              <w:ind w:left="720" w:hanging="720"/>
              <w:rPr>
                <w:sz w:val="20"/>
              </w:rPr>
            </w:pPr>
            <w:r>
              <w:rPr>
                <w:sz w:val="20"/>
              </w:rPr>
              <w:tab/>
              <w:t>Markets 1-10</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35,350</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s>
              <w:suppressAutoHyphens/>
              <w:spacing w:before="90" w:after="54"/>
              <w:ind w:left="720" w:hanging="720"/>
              <w:rPr>
                <w:sz w:val="20"/>
              </w:rPr>
            </w:pPr>
            <w:r>
              <w:rPr>
                <w:sz w:val="20"/>
              </w:rPr>
              <w:tab/>
              <w:t>Markets 11-25</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32,625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s>
              <w:suppressAutoHyphens/>
              <w:spacing w:before="90" w:after="54"/>
              <w:ind w:left="720" w:hanging="720"/>
              <w:rPr>
                <w:sz w:val="20"/>
              </w:rPr>
            </w:pPr>
            <w:r>
              <w:rPr>
                <w:sz w:val="20"/>
              </w:rPr>
              <w:tab/>
              <w:t>Markets 26-50</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21,925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s>
              <w:suppressAutoHyphens/>
              <w:spacing w:before="90" w:after="54"/>
              <w:ind w:left="720" w:hanging="720"/>
              <w:rPr>
                <w:sz w:val="20"/>
              </w:rPr>
            </w:pPr>
            <w:r>
              <w:rPr>
                <w:sz w:val="20"/>
              </w:rPr>
              <w:tab/>
              <w:t>Markets 51-100</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12,750</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s>
              <w:suppressAutoHyphens/>
              <w:spacing w:before="90" w:after="54"/>
              <w:ind w:left="720" w:hanging="720"/>
              <w:rPr>
                <w:sz w:val="20"/>
              </w:rPr>
            </w:pPr>
            <w:r>
              <w:rPr>
                <w:sz w:val="20"/>
              </w:rPr>
              <w:tab/>
              <w:t>Remaining Markets</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3,425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s>
              <w:suppressAutoHyphens/>
              <w:spacing w:before="90" w:after="54"/>
              <w:ind w:left="2880" w:hanging="2880"/>
              <w:rPr>
                <w:sz w:val="20"/>
              </w:rPr>
            </w:pPr>
            <w:r>
              <w:rPr>
                <w:sz w:val="20"/>
              </w:rPr>
              <w:tab/>
              <w:t>Construction Permits</w:t>
            </w:r>
            <w:r>
              <w:rPr>
                <w:sz w:val="20"/>
              </w:rPr>
              <w:tab/>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3,425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 xml:space="preserve">Satellite Television Stations  (All Markets)   </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1,425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Construction Permits – Satellite Television Stations</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895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Low Power TV, Class A TV, TV/FM Translators &amp; Boosters (47 CFR part 74)</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385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s>
              <w:suppressAutoHyphens/>
              <w:spacing w:before="90" w:after="54"/>
              <w:ind w:left="3600" w:hanging="3600"/>
              <w:rPr>
                <w:sz w:val="20"/>
              </w:rPr>
            </w:pPr>
            <w:r>
              <w:rPr>
                <w:sz w:val="20"/>
              </w:rPr>
              <w:t>Broadcast Auxiliaries (47 CFR part 74)</w:t>
            </w:r>
            <w:r>
              <w:rPr>
                <w:sz w:val="20"/>
              </w:rPr>
              <w:tab/>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10</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CARS (47 CFR part 78)</w:t>
            </w:r>
            <w:r>
              <w:rPr>
                <w:sz w:val="20"/>
              </w:rPr>
              <w:tab/>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475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Cable Television Systems (per subscriber) (47 CFR part 76)</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.95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Interstate Telecommunication Service Providers (per revenue dollar)</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.00375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Earth Stations (47 CFR part 25)</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275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jc w:val="center"/>
              <w:rPr>
                <w:sz w:val="20"/>
              </w:rPr>
            </w:pPr>
          </w:p>
          <w:p w:rsidR="00CD0BAA" w:rsidRDefault="00CD0BAA" w:rsidP="00B17FE2">
            <w:pPr>
              <w:tabs>
                <w:tab w:val="left" w:pos="-1440"/>
                <w:tab w:val="left" w:pos="-720"/>
              </w:tabs>
              <w:suppressAutoHyphens/>
              <w:spacing w:after="54"/>
              <w:jc w:val="center"/>
              <w:rPr>
                <w:sz w:val="20"/>
              </w:rPr>
            </w:pPr>
            <w:r>
              <w:rPr>
                <w:sz w:val="20"/>
              </w:rPr>
              <w:t>132,875</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143,150</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s>
              <w:suppressAutoHyphens/>
              <w:spacing w:before="90" w:after="54"/>
              <w:rPr>
                <w:sz w:val="20"/>
              </w:rPr>
            </w:pPr>
            <w:r>
              <w:rPr>
                <w:sz w:val="20"/>
              </w:rPr>
              <w:t>International Bearer Circuits -  Terrestrial/Satellites (per 64KB circuit)</w:t>
            </w:r>
            <w:r>
              <w:rPr>
                <w:sz w:val="20"/>
                <w:vertAlign w:val="superscript"/>
              </w:rPr>
              <w:t xml:space="preserve"> </w:t>
            </w:r>
            <w:r>
              <w:rPr>
                <w:sz w:val="20"/>
              </w:rPr>
              <w:t xml:space="preserve"> </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.26</w:t>
            </w:r>
          </w:p>
        </w:tc>
      </w:tr>
      <w:tr w:rsidR="00CD0BAA">
        <w:tc>
          <w:tcPr>
            <w:tcW w:w="684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 w:val="20"/>
              </w:rPr>
            </w:pPr>
            <w:r>
              <w:rPr>
                <w:sz w:val="20"/>
              </w:rPr>
              <w:t xml:space="preserve">International Bearer Circuits - Submarine Cable </w:t>
            </w:r>
          </w:p>
        </w:tc>
        <w:tc>
          <w:tcPr>
            <w:tcW w:w="1710" w:type="dxa"/>
            <w:tcBorders>
              <w:top w:val="single" w:sz="6" w:space="0" w:color="auto"/>
              <w:left w:val="single" w:sz="6" w:space="0" w:color="auto"/>
              <w:right w:val="double" w:sz="6" w:space="0" w:color="auto"/>
            </w:tcBorders>
          </w:tcPr>
          <w:p w:rsidR="00CD0BAA" w:rsidRDefault="00CD0BAA" w:rsidP="00B17FE2">
            <w:pPr>
              <w:tabs>
                <w:tab w:val="left" w:pos="-1440"/>
                <w:tab w:val="left" w:pos="-720"/>
              </w:tabs>
              <w:suppressAutoHyphens/>
              <w:spacing w:before="90" w:after="54"/>
              <w:jc w:val="center"/>
              <w:rPr>
                <w:sz w:val="20"/>
              </w:rPr>
            </w:pPr>
            <w:r>
              <w:rPr>
                <w:sz w:val="20"/>
              </w:rPr>
              <w:t>See Table Below</w:t>
            </w:r>
          </w:p>
        </w:tc>
      </w:tr>
      <w:tr w:rsidR="00CD0BAA">
        <w:trPr>
          <w:trHeight w:val="57"/>
        </w:trPr>
        <w:tc>
          <w:tcPr>
            <w:tcW w:w="6840" w:type="dxa"/>
            <w:tcBorders>
              <w:top w:val="single" w:sz="6" w:space="0" w:color="auto"/>
              <w:left w:val="double" w:sz="6" w:space="0" w:color="auto"/>
              <w:bottom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 w:val="20"/>
              </w:rPr>
            </w:pPr>
            <w:r>
              <w:rPr>
                <w:sz w:val="20"/>
              </w:rPr>
              <w:tab/>
            </w:r>
          </w:p>
        </w:tc>
        <w:tc>
          <w:tcPr>
            <w:tcW w:w="1710" w:type="dxa"/>
            <w:tcBorders>
              <w:top w:val="single" w:sz="6" w:space="0" w:color="auto"/>
              <w:left w:val="single" w:sz="6" w:space="0" w:color="auto"/>
              <w:bottom w:val="double" w:sz="6" w:space="0" w:color="auto"/>
              <w:right w:val="double" w:sz="6" w:space="0" w:color="auto"/>
            </w:tcBorders>
          </w:tcPr>
          <w:p w:rsidR="00CD0BAA" w:rsidRDefault="00CD0BAA" w:rsidP="00B17FE2">
            <w:pPr>
              <w:tabs>
                <w:tab w:val="center" w:pos="850"/>
              </w:tabs>
              <w:suppressAutoHyphens/>
              <w:spacing w:before="90" w:after="54"/>
              <w:jc w:val="center"/>
              <w:rPr>
                <w:sz w:val="20"/>
              </w:rPr>
            </w:pPr>
          </w:p>
        </w:tc>
      </w:tr>
    </w:tbl>
    <w:p w:rsidR="00CD0BAA" w:rsidRDefault="00CD0BAA" w:rsidP="00CD0BAA">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CD0BAA" w:rsidRDefault="00CD0BAA" w:rsidP="00CD0BAA">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 w:val="20"/>
        </w:rPr>
      </w:pPr>
    </w:p>
    <w:p w:rsidR="00CD0BAA" w:rsidRDefault="00CD0BAA" w:rsidP="00CD0BAA">
      <w:pPr>
        <w:tabs>
          <w:tab w:val="left" w:pos="-1440"/>
          <w:tab w:val="left" w:pos="-720"/>
          <w:tab w:val="left" w:pos="0"/>
          <w:tab w:val="left" w:pos="720"/>
          <w:tab w:val="left" w:pos="1440"/>
          <w:tab w:val="left" w:pos="2160"/>
          <w:tab w:val="left" w:pos="2880"/>
          <w:tab w:val="left" w:pos="3600"/>
          <w:tab w:val="left" w:pos="4680"/>
          <w:tab w:val="left" w:pos="5040"/>
        </w:tabs>
        <w:suppressAutoHyphens/>
        <w:outlineLvl w:val="0"/>
        <w:rPr>
          <w:sz w:val="20"/>
        </w:rPr>
      </w:pPr>
      <w:r>
        <w:rPr>
          <w:sz w:val="20"/>
        </w:rPr>
        <w:br w:type="page"/>
      </w:r>
    </w:p>
    <w:p w:rsidR="00CD0BAA" w:rsidRDefault="00CD0BAA" w:rsidP="00CD0BAA">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rFonts w:ascii="Times New Roman Bold" w:hAnsi="Times New Roman Bold"/>
          <w:b/>
          <w:szCs w:val="22"/>
        </w:rPr>
      </w:pPr>
      <w:bookmarkStart w:id="335" w:name="_Toc353870733"/>
      <w:bookmarkStart w:id="336" w:name="_Toc353987760"/>
      <w:bookmarkStart w:id="337" w:name="_Toc353988081"/>
      <w:r>
        <w:rPr>
          <w:b/>
          <w:szCs w:val="22"/>
        </w:rPr>
        <w:t>FY 2012 SCHEDULE OF REGULATORY FEES</w:t>
      </w:r>
      <w:r>
        <w:rPr>
          <w:rFonts w:ascii="Times New Roman Bold" w:hAnsi="Times New Roman Bold"/>
          <w:b/>
          <w:szCs w:val="22"/>
        </w:rPr>
        <w:t xml:space="preserve"> (continued)</w:t>
      </w:r>
      <w:bookmarkEnd w:id="335"/>
      <w:bookmarkEnd w:id="336"/>
      <w:bookmarkEnd w:id="337"/>
    </w:p>
    <w:p w:rsidR="00CD0BAA" w:rsidRDefault="00CD0BAA" w:rsidP="00CD0BAA">
      <w:pPr>
        <w:tabs>
          <w:tab w:val="left" w:pos="-1440"/>
          <w:tab w:val="left" w:pos="-720"/>
          <w:tab w:val="left" w:pos="0"/>
          <w:tab w:val="left" w:pos="720"/>
          <w:tab w:val="left" w:pos="1440"/>
          <w:tab w:val="left" w:pos="2160"/>
          <w:tab w:val="left" w:pos="2880"/>
          <w:tab w:val="left" w:pos="3600"/>
          <w:tab w:val="left" w:pos="4680"/>
          <w:tab w:val="left" w:pos="5040"/>
        </w:tabs>
        <w:suppressAutoHyphens/>
        <w:rPr>
          <w:b/>
          <w:sz w:val="20"/>
        </w:rPr>
      </w:pPr>
    </w:p>
    <w:p w:rsidR="00CD0BAA" w:rsidRDefault="00CD0BAA" w:rsidP="00CD0BAA">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 w:val="20"/>
        </w:rPr>
      </w:pPr>
    </w:p>
    <w:tbl>
      <w:tblPr>
        <w:tblW w:w="8550" w:type="dxa"/>
        <w:tblInd w:w="152" w:type="dxa"/>
        <w:tblLayout w:type="fixed"/>
        <w:tblCellMar>
          <w:left w:w="62" w:type="dxa"/>
          <w:right w:w="62" w:type="dxa"/>
        </w:tblCellMar>
        <w:tblLook w:val="0000" w:firstRow="0" w:lastRow="0" w:firstColumn="0" w:lastColumn="0" w:noHBand="0" w:noVBand="0"/>
      </w:tblPr>
      <w:tblGrid>
        <w:gridCol w:w="1890"/>
        <w:gridCol w:w="1080"/>
        <w:gridCol w:w="990"/>
        <w:gridCol w:w="900"/>
        <w:gridCol w:w="900"/>
        <w:gridCol w:w="1440"/>
        <w:gridCol w:w="1350"/>
      </w:tblGrid>
      <w:tr w:rsidR="00CD0BAA">
        <w:tc>
          <w:tcPr>
            <w:tcW w:w="8550" w:type="dxa"/>
            <w:gridSpan w:val="7"/>
            <w:tcBorders>
              <w:top w:val="double" w:sz="6" w:space="0" w:color="auto"/>
              <w:left w:val="double" w:sz="6"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 xml:space="preserve">FY 2012 </w:t>
            </w:r>
            <w:r w:rsidR="00C33D99">
              <w:rPr>
                <w:b/>
                <w:sz w:val="20"/>
              </w:rPr>
              <w:fldChar w:fldCharType="begin"/>
            </w:r>
            <w:r>
              <w:rPr>
                <w:b/>
                <w:sz w:val="20"/>
              </w:rPr>
              <w:instrText xml:space="preserve">PRIVATE </w:instrText>
            </w:r>
            <w:r w:rsidR="00C33D99">
              <w:rPr>
                <w:b/>
                <w:sz w:val="20"/>
              </w:rPr>
              <w:fldChar w:fldCharType="end"/>
            </w:r>
            <w:r>
              <w:rPr>
                <w:b/>
                <w:sz w:val="20"/>
              </w:rPr>
              <w:t>RADIO STATION REGULATORY FEES</w:t>
            </w:r>
          </w:p>
        </w:tc>
      </w:tr>
      <w:tr w:rsidR="00CD0BAA">
        <w:tc>
          <w:tcPr>
            <w:tcW w:w="189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 xml:space="preserve">Population </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Served</w:t>
            </w:r>
          </w:p>
        </w:tc>
        <w:tc>
          <w:tcPr>
            <w:tcW w:w="108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A</w:t>
            </w:r>
          </w:p>
        </w:tc>
        <w:tc>
          <w:tcPr>
            <w:tcW w:w="99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B</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C</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 w:val="20"/>
              </w:rPr>
            </w:pPr>
            <w:r>
              <w:rPr>
                <w:b/>
                <w:sz w:val="20"/>
              </w:rPr>
              <w:t>AM Class D</w:t>
            </w:r>
          </w:p>
        </w:tc>
        <w:tc>
          <w:tcPr>
            <w:tcW w:w="144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FM Classes</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A, B1 &amp; C3</w:t>
            </w:r>
          </w:p>
        </w:tc>
        <w:tc>
          <w:tcPr>
            <w:tcW w:w="1350" w:type="dxa"/>
            <w:tcBorders>
              <w:top w:val="single" w:sz="6" w:space="0" w:color="auto"/>
              <w:left w:val="single" w:sz="6"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 w:val="20"/>
              </w:rPr>
            </w:pPr>
            <w:r>
              <w:rPr>
                <w:b/>
                <w:sz w:val="20"/>
              </w:rPr>
              <w:t>FM Classes</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 w:val="20"/>
              </w:rPr>
            </w:pPr>
            <w:r>
              <w:rPr>
                <w:b/>
                <w:sz w:val="20"/>
              </w:rPr>
              <w:t>B, C, C0, C1 &amp; C2</w:t>
            </w:r>
          </w:p>
        </w:tc>
      </w:tr>
      <w:tr w:rsidR="00CD0BAA">
        <w:tc>
          <w:tcPr>
            <w:tcW w:w="189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&lt;=25,000</w:t>
            </w:r>
          </w:p>
        </w:tc>
        <w:tc>
          <w:tcPr>
            <w:tcW w:w="108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$725</w:t>
            </w:r>
          </w:p>
        </w:tc>
        <w:tc>
          <w:tcPr>
            <w:tcW w:w="99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$600</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$550</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$625</w:t>
            </w:r>
          </w:p>
        </w:tc>
        <w:tc>
          <w:tcPr>
            <w:tcW w:w="144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$700</w:t>
            </w:r>
          </w:p>
        </w:tc>
        <w:tc>
          <w:tcPr>
            <w:tcW w:w="1350" w:type="dxa"/>
            <w:tcBorders>
              <w:top w:val="single" w:sz="6" w:space="0" w:color="auto"/>
              <w:left w:val="single" w:sz="6"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$875</w:t>
            </w:r>
          </w:p>
        </w:tc>
      </w:tr>
      <w:tr w:rsidR="00CD0BAA">
        <w:tc>
          <w:tcPr>
            <w:tcW w:w="189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25,001 – 75,000</w:t>
            </w:r>
          </w:p>
        </w:tc>
        <w:tc>
          <w:tcPr>
            <w:tcW w:w="108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$1,475</w:t>
            </w:r>
          </w:p>
        </w:tc>
        <w:tc>
          <w:tcPr>
            <w:tcW w:w="99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$1,225</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$850</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$950</w:t>
            </w:r>
          </w:p>
        </w:tc>
        <w:tc>
          <w:tcPr>
            <w:tcW w:w="144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$1,425</w:t>
            </w:r>
          </w:p>
        </w:tc>
        <w:tc>
          <w:tcPr>
            <w:tcW w:w="1350" w:type="dxa"/>
            <w:tcBorders>
              <w:top w:val="single" w:sz="6" w:space="0" w:color="auto"/>
              <w:left w:val="single" w:sz="6"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$1,550</w:t>
            </w:r>
          </w:p>
        </w:tc>
      </w:tr>
      <w:tr w:rsidR="00CD0BAA">
        <w:tc>
          <w:tcPr>
            <w:tcW w:w="189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75,001 – 150,000</w:t>
            </w:r>
          </w:p>
        </w:tc>
        <w:tc>
          <w:tcPr>
            <w:tcW w:w="108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$2,200</w:t>
            </w:r>
          </w:p>
        </w:tc>
        <w:tc>
          <w:tcPr>
            <w:tcW w:w="99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$1,525</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$1,125</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$1,600</w:t>
            </w:r>
          </w:p>
        </w:tc>
        <w:tc>
          <w:tcPr>
            <w:tcW w:w="144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$1,950</w:t>
            </w:r>
          </w:p>
        </w:tc>
        <w:tc>
          <w:tcPr>
            <w:tcW w:w="1350" w:type="dxa"/>
            <w:tcBorders>
              <w:top w:val="single" w:sz="6" w:space="0" w:color="auto"/>
              <w:left w:val="single" w:sz="6"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$2,875</w:t>
            </w:r>
          </w:p>
        </w:tc>
      </w:tr>
      <w:tr w:rsidR="00CD0BAA">
        <w:tc>
          <w:tcPr>
            <w:tcW w:w="189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150,001 – 500,000</w:t>
            </w:r>
          </w:p>
        </w:tc>
        <w:tc>
          <w:tcPr>
            <w:tcW w:w="108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$3,300</w:t>
            </w:r>
          </w:p>
        </w:tc>
        <w:tc>
          <w:tcPr>
            <w:tcW w:w="99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$2,600</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$1,675</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$1,900</w:t>
            </w:r>
          </w:p>
        </w:tc>
        <w:tc>
          <w:tcPr>
            <w:tcW w:w="144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$3,025</w:t>
            </w:r>
          </w:p>
        </w:tc>
        <w:tc>
          <w:tcPr>
            <w:tcW w:w="1350" w:type="dxa"/>
            <w:tcBorders>
              <w:top w:val="single" w:sz="6" w:space="0" w:color="auto"/>
              <w:left w:val="single" w:sz="6"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$3,750</w:t>
            </w:r>
          </w:p>
        </w:tc>
      </w:tr>
      <w:tr w:rsidR="00CD0BAA">
        <w:tc>
          <w:tcPr>
            <w:tcW w:w="1890" w:type="dxa"/>
            <w:tcBorders>
              <w:top w:val="single" w:sz="6" w:space="0" w:color="auto"/>
              <w:lef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500,001 – 1,200,000</w:t>
            </w:r>
          </w:p>
        </w:tc>
        <w:tc>
          <w:tcPr>
            <w:tcW w:w="108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$4,775</w:t>
            </w:r>
          </w:p>
        </w:tc>
        <w:tc>
          <w:tcPr>
            <w:tcW w:w="99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$3,975</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$2,800</w:t>
            </w:r>
          </w:p>
        </w:tc>
        <w:tc>
          <w:tcPr>
            <w:tcW w:w="90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$3,175</w:t>
            </w:r>
          </w:p>
        </w:tc>
        <w:tc>
          <w:tcPr>
            <w:tcW w:w="1440" w:type="dxa"/>
            <w:tcBorders>
              <w:top w:val="single" w:sz="6" w:space="0" w:color="auto"/>
              <w:left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$4,800</w:t>
            </w:r>
          </w:p>
        </w:tc>
        <w:tc>
          <w:tcPr>
            <w:tcW w:w="1350" w:type="dxa"/>
            <w:tcBorders>
              <w:top w:val="single" w:sz="6" w:space="0" w:color="auto"/>
              <w:left w:val="single" w:sz="6"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$5,525</w:t>
            </w:r>
          </w:p>
        </w:tc>
      </w:tr>
      <w:tr w:rsidR="00CD0BAA">
        <w:trPr>
          <w:trHeight w:val="361"/>
        </w:trPr>
        <w:tc>
          <w:tcPr>
            <w:tcW w:w="1890" w:type="dxa"/>
            <w:tcBorders>
              <w:top w:val="single" w:sz="6" w:space="0" w:color="auto"/>
              <w:left w:val="double" w:sz="6" w:space="0" w:color="auto"/>
              <w:bottom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1,200,001 – 3,000,00</w:t>
            </w:r>
          </w:p>
        </w:tc>
        <w:tc>
          <w:tcPr>
            <w:tcW w:w="1080" w:type="dxa"/>
            <w:tcBorders>
              <w:top w:val="single" w:sz="6" w:space="0" w:color="auto"/>
              <w:left w:val="single" w:sz="6" w:space="0" w:color="auto"/>
              <w:bottom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$7,350</w:t>
            </w:r>
          </w:p>
        </w:tc>
        <w:tc>
          <w:tcPr>
            <w:tcW w:w="990" w:type="dxa"/>
            <w:tcBorders>
              <w:top w:val="single" w:sz="6" w:space="0" w:color="auto"/>
              <w:left w:val="single" w:sz="6" w:space="0" w:color="auto"/>
              <w:bottom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$6,100</w:t>
            </w:r>
          </w:p>
        </w:tc>
        <w:tc>
          <w:tcPr>
            <w:tcW w:w="900" w:type="dxa"/>
            <w:tcBorders>
              <w:top w:val="single" w:sz="6" w:space="0" w:color="auto"/>
              <w:left w:val="single" w:sz="6" w:space="0" w:color="auto"/>
              <w:bottom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$4,200</w:t>
            </w:r>
          </w:p>
        </w:tc>
        <w:tc>
          <w:tcPr>
            <w:tcW w:w="900" w:type="dxa"/>
            <w:tcBorders>
              <w:top w:val="single" w:sz="6" w:space="0" w:color="auto"/>
              <w:left w:val="single" w:sz="6" w:space="0" w:color="auto"/>
              <w:bottom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$5,075</w:t>
            </w:r>
          </w:p>
        </w:tc>
        <w:tc>
          <w:tcPr>
            <w:tcW w:w="1440" w:type="dxa"/>
            <w:tcBorders>
              <w:top w:val="single" w:sz="6" w:space="0" w:color="auto"/>
              <w:left w:val="single" w:sz="6" w:space="0" w:color="auto"/>
              <w:bottom w:val="sing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$7,800</w:t>
            </w:r>
          </w:p>
        </w:tc>
        <w:tc>
          <w:tcPr>
            <w:tcW w:w="1350" w:type="dxa"/>
            <w:tcBorders>
              <w:top w:val="single" w:sz="6" w:space="0" w:color="auto"/>
              <w:left w:val="single" w:sz="6" w:space="0" w:color="auto"/>
              <w:bottom w:val="single" w:sz="6"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$8,850</w:t>
            </w:r>
          </w:p>
        </w:tc>
      </w:tr>
      <w:tr w:rsidR="00CD0BAA">
        <w:tc>
          <w:tcPr>
            <w:tcW w:w="1890" w:type="dxa"/>
            <w:tcBorders>
              <w:top w:val="single" w:sz="6" w:space="0" w:color="auto"/>
              <w:left w:val="double" w:sz="6" w:space="0" w:color="auto"/>
              <w:bottom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 w:val="20"/>
              </w:rPr>
            </w:pPr>
            <w:r>
              <w:rPr>
                <w:b/>
                <w:sz w:val="20"/>
              </w:rPr>
              <w:t>&gt;3,000,000</w:t>
            </w:r>
          </w:p>
        </w:tc>
        <w:tc>
          <w:tcPr>
            <w:tcW w:w="1080" w:type="dxa"/>
            <w:tcBorders>
              <w:top w:val="single" w:sz="6" w:space="0" w:color="auto"/>
              <w:left w:val="single" w:sz="6" w:space="0" w:color="auto"/>
              <w:bottom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$8,825</w:t>
            </w:r>
          </w:p>
        </w:tc>
        <w:tc>
          <w:tcPr>
            <w:tcW w:w="990" w:type="dxa"/>
            <w:tcBorders>
              <w:top w:val="single" w:sz="6" w:space="0" w:color="auto"/>
              <w:left w:val="single" w:sz="6" w:space="0" w:color="auto"/>
              <w:bottom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$7,325</w:t>
            </w:r>
          </w:p>
        </w:tc>
        <w:tc>
          <w:tcPr>
            <w:tcW w:w="900" w:type="dxa"/>
            <w:tcBorders>
              <w:top w:val="single" w:sz="6" w:space="0" w:color="auto"/>
              <w:left w:val="single" w:sz="6" w:space="0" w:color="auto"/>
              <w:bottom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$5,325</w:t>
            </w:r>
          </w:p>
        </w:tc>
        <w:tc>
          <w:tcPr>
            <w:tcW w:w="900" w:type="dxa"/>
            <w:tcBorders>
              <w:top w:val="single" w:sz="6" w:space="0" w:color="auto"/>
              <w:left w:val="single" w:sz="6" w:space="0" w:color="auto"/>
              <w:bottom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$6,350</w:t>
            </w:r>
          </w:p>
        </w:tc>
        <w:tc>
          <w:tcPr>
            <w:tcW w:w="1440" w:type="dxa"/>
            <w:tcBorders>
              <w:top w:val="single" w:sz="6" w:space="0" w:color="auto"/>
              <w:left w:val="single" w:sz="6" w:space="0" w:color="auto"/>
              <w:bottom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$9,950</w:t>
            </w:r>
          </w:p>
        </w:tc>
        <w:tc>
          <w:tcPr>
            <w:tcW w:w="1350" w:type="dxa"/>
            <w:tcBorders>
              <w:top w:val="single" w:sz="6" w:space="0" w:color="auto"/>
              <w:left w:val="single" w:sz="6" w:space="0" w:color="auto"/>
              <w:bottom w:val="double" w:sz="6" w:space="0" w:color="auto"/>
              <w:right w:val="double" w:sz="6" w:space="0" w:color="auto"/>
            </w:tcBorders>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 w:val="20"/>
              </w:rPr>
            </w:pPr>
            <w:r>
              <w:rPr>
                <w:sz w:val="20"/>
              </w:rPr>
              <w:t>$11,500</w:t>
            </w:r>
          </w:p>
        </w:tc>
      </w:tr>
    </w:tbl>
    <w:p w:rsidR="00CD0BAA" w:rsidRDefault="00CD0BAA" w:rsidP="00CD0BAA">
      <w:pPr>
        <w:tabs>
          <w:tab w:val="right" w:pos="10080"/>
        </w:tabs>
        <w:suppressAutoHyphens/>
        <w:ind w:left="450"/>
        <w:jc w:val="center"/>
        <w:outlineLvl w:val="0"/>
        <w:rPr>
          <w:b/>
          <w:szCs w:val="22"/>
        </w:rPr>
      </w:pPr>
    </w:p>
    <w:p w:rsidR="00CD0BAA" w:rsidRDefault="00CD0BAA" w:rsidP="00CD0BAA">
      <w:pPr>
        <w:tabs>
          <w:tab w:val="right" w:pos="10080"/>
        </w:tabs>
        <w:suppressAutoHyphens/>
        <w:ind w:left="450"/>
        <w:jc w:val="center"/>
        <w:outlineLvl w:val="0"/>
        <w:rPr>
          <w:b/>
          <w:szCs w:val="22"/>
        </w:rPr>
      </w:pPr>
      <w:bookmarkStart w:id="338" w:name="_Toc353870734"/>
      <w:bookmarkStart w:id="339" w:name="_Toc353987761"/>
      <w:bookmarkStart w:id="340" w:name="_Toc353988082"/>
      <w:r>
        <w:rPr>
          <w:b/>
          <w:szCs w:val="22"/>
        </w:rPr>
        <w:t>FY 2012 SCHEDULE OF REGULATORY FEES</w:t>
      </w:r>
      <w:bookmarkEnd w:id="338"/>
      <w:bookmarkEnd w:id="339"/>
      <w:bookmarkEnd w:id="340"/>
    </w:p>
    <w:p w:rsidR="00CD0BAA" w:rsidRDefault="00CD0BAA" w:rsidP="00CD0BAA">
      <w:pPr>
        <w:tabs>
          <w:tab w:val="right" w:pos="10080"/>
        </w:tabs>
        <w:suppressAutoHyphens/>
        <w:ind w:left="450"/>
        <w:jc w:val="center"/>
        <w:outlineLvl w:val="0"/>
        <w:rPr>
          <w:b/>
          <w:szCs w:val="22"/>
        </w:rPr>
      </w:pPr>
      <w:bookmarkStart w:id="341" w:name="_Toc353870735"/>
      <w:bookmarkStart w:id="342" w:name="_Toc353987762"/>
      <w:bookmarkStart w:id="343" w:name="_Toc353988083"/>
      <w:r>
        <w:rPr>
          <w:b/>
          <w:szCs w:val="22"/>
        </w:rPr>
        <w:t>International Bearer Circuits - Submarine Cable</w:t>
      </w:r>
      <w:bookmarkEnd w:id="341"/>
      <w:bookmarkEnd w:id="342"/>
      <w:bookmarkEnd w:id="343"/>
    </w:p>
    <w:p w:rsidR="00CD0BAA" w:rsidRDefault="00CD0BAA" w:rsidP="00CD0BAA">
      <w:pPr>
        <w:tabs>
          <w:tab w:val="left" w:pos="-1440"/>
          <w:tab w:val="left" w:pos="-720"/>
          <w:tab w:val="left" w:pos="0"/>
          <w:tab w:val="left" w:pos="720"/>
          <w:tab w:val="left" w:pos="1440"/>
          <w:tab w:val="left" w:pos="2160"/>
          <w:tab w:val="left" w:pos="2880"/>
          <w:tab w:val="left" w:pos="3600"/>
          <w:tab w:val="left" w:pos="4680"/>
          <w:tab w:val="left" w:pos="504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766"/>
        <w:gridCol w:w="3618"/>
      </w:tblGrid>
      <w:tr w:rsidR="00CD0BAA" w:rsidTr="00C55504">
        <w:tc>
          <w:tcPr>
            <w:tcW w:w="3192"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Pr>
                <w:spacing w:val="-3"/>
                <w:szCs w:val="22"/>
              </w:rPr>
              <w:t>Submarine Cable Systems</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0"/>
              </w:rPr>
            </w:pPr>
            <w:r>
              <w:rPr>
                <w:sz w:val="20"/>
              </w:rPr>
              <w:t>(capacity as of December 31, 2011)</w:t>
            </w:r>
          </w:p>
        </w:tc>
        <w:tc>
          <w:tcPr>
            <w:tcW w:w="2766"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Fee amount</w:t>
            </w:r>
          </w:p>
        </w:tc>
        <w:tc>
          <w:tcPr>
            <w:tcW w:w="3618"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spacing w:val="-3"/>
                <w:szCs w:val="22"/>
              </w:rPr>
              <w:t>Address</w:t>
            </w:r>
          </w:p>
        </w:tc>
      </w:tr>
      <w:tr w:rsidR="00CD0BAA" w:rsidTr="00C55504">
        <w:trPr>
          <w:trHeight w:val="1034"/>
        </w:trPr>
        <w:tc>
          <w:tcPr>
            <w:tcW w:w="3192"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Pr>
                <w:b/>
                <w:szCs w:val="22"/>
              </w:rPr>
              <w:t>&lt; 2.5 Gbps</w:t>
            </w:r>
          </w:p>
        </w:tc>
        <w:tc>
          <w:tcPr>
            <w:tcW w:w="2766" w:type="dxa"/>
            <w:vAlign w:val="center"/>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Pr>
                <w:bCs/>
                <w:szCs w:val="22"/>
              </w:rPr>
              <w:t>$13,300</w:t>
            </w:r>
          </w:p>
        </w:tc>
        <w:tc>
          <w:tcPr>
            <w:tcW w:w="3618" w:type="dxa"/>
          </w:tcPr>
          <w:p w:rsidR="00CD0BAA" w:rsidRDefault="00CD0BAA" w:rsidP="00B17FE2">
            <w:pPr>
              <w:rPr>
                <w:szCs w:val="22"/>
              </w:rPr>
            </w:pPr>
          </w:p>
          <w:p w:rsidR="00CD0BAA" w:rsidRDefault="00CD0BAA" w:rsidP="00B17FE2">
            <w:pPr>
              <w:rPr>
                <w:szCs w:val="22"/>
              </w:rPr>
            </w:pPr>
            <w:r>
              <w:rPr>
                <w:szCs w:val="22"/>
              </w:rPr>
              <w:t>FCC, International, P.O. Box 979084, St. Louis, MO 63197-9000</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r w:rsidR="00CD0BAA" w:rsidTr="00C55504">
        <w:trPr>
          <w:trHeight w:val="1034"/>
        </w:trPr>
        <w:tc>
          <w:tcPr>
            <w:tcW w:w="3192"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2.5 Gbps or greater, but less than 5 Gbps</w:t>
            </w:r>
          </w:p>
        </w:tc>
        <w:tc>
          <w:tcPr>
            <w:tcW w:w="2766" w:type="dxa"/>
            <w:vAlign w:val="center"/>
          </w:tcPr>
          <w:p w:rsidR="00CD0BAA" w:rsidRDefault="00CD0BAA" w:rsidP="00B17FE2">
            <w:pPr>
              <w:jc w:val="center"/>
              <w:rPr>
                <w:bCs/>
                <w:szCs w:val="22"/>
              </w:rPr>
            </w:pPr>
            <w:r>
              <w:rPr>
                <w:bCs/>
                <w:szCs w:val="22"/>
              </w:rPr>
              <w:t>$26,600</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618"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CD0BAA" w:rsidRDefault="00CD0BAA" w:rsidP="00B17FE2">
            <w:pPr>
              <w:rPr>
                <w:szCs w:val="22"/>
              </w:rPr>
            </w:pPr>
            <w:r>
              <w:rPr>
                <w:szCs w:val="22"/>
              </w:rPr>
              <w:t>FCC, International, P.O. Box 979084, St. Louis, MO 63197-9000</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CD0BAA" w:rsidTr="00C55504">
        <w:tc>
          <w:tcPr>
            <w:tcW w:w="3192"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5 Gbps or greater, but less than 10 Gbps</w:t>
            </w:r>
          </w:p>
        </w:tc>
        <w:tc>
          <w:tcPr>
            <w:tcW w:w="2766" w:type="dxa"/>
            <w:vAlign w:val="center"/>
          </w:tcPr>
          <w:p w:rsidR="00CD0BAA" w:rsidRDefault="00CD0BAA" w:rsidP="00B17FE2">
            <w:pPr>
              <w:jc w:val="center"/>
              <w:rPr>
                <w:bCs/>
                <w:szCs w:val="22"/>
              </w:rPr>
            </w:pPr>
            <w:r>
              <w:rPr>
                <w:bCs/>
                <w:szCs w:val="22"/>
              </w:rPr>
              <w:t xml:space="preserve">$53,200 </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618"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CD0BAA" w:rsidRDefault="00CD0BAA" w:rsidP="00B17FE2">
            <w:pPr>
              <w:rPr>
                <w:szCs w:val="22"/>
              </w:rPr>
            </w:pPr>
            <w:r>
              <w:rPr>
                <w:szCs w:val="22"/>
              </w:rPr>
              <w:t>FCC, International, P.O. Box 979084, St. Louis, MO 63197-9000</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CD0BAA" w:rsidTr="00C55504">
        <w:trPr>
          <w:trHeight w:val="998"/>
        </w:trPr>
        <w:tc>
          <w:tcPr>
            <w:tcW w:w="3192"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pacing w:val="-3"/>
                <w:szCs w:val="22"/>
              </w:rPr>
            </w:pPr>
            <w:r>
              <w:rPr>
                <w:b/>
                <w:szCs w:val="22"/>
              </w:rPr>
              <w:t>10 Gbps or greater, but less than 20 Gbps</w:t>
            </w:r>
          </w:p>
        </w:tc>
        <w:tc>
          <w:tcPr>
            <w:tcW w:w="2766" w:type="dxa"/>
            <w:vAlign w:val="center"/>
          </w:tcPr>
          <w:p w:rsidR="00CD0BAA" w:rsidRDefault="00CD0BAA" w:rsidP="00B17FE2">
            <w:pPr>
              <w:jc w:val="center"/>
              <w:rPr>
                <w:bCs/>
                <w:szCs w:val="22"/>
              </w:rPr>
            </w:pPr>
            <w:r>
              <w:rPr>
                <w:bCs/>
                <w:szCs w:val="22"/>
              </w:rPr>
              <w:t xml:space="preserve">$106,375 </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618"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Pr>
                <w:spacing w:val="-3"/>
                <w:szCs w:val="22"/>
              </w:rPr>
              <w:t xml:space="preserve"> </w:t>
            </w:r>
          </w:p>
          <w:p w:rsidR="00CD0BAA" w:rsidRDefault="00CD0BAA" w:rsidP="00B17FE2">
            <w:pPr>
              <w:rPr>
                <w:spacing w:val="-3"/>
                <w:szCs w:val="22"/>
              </w:rPr>
            </w:pPr>
            <w:r>
              <w:rPr>
                <w:szCs w:val="22"/>
              </w:rPr>
              <w:t>FCC, International, P.O. Box 979084, St. Louis, MO 63197-9000</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p>
        </w:tc>
      </w:tr>
      <w:tr w:rsidR="00CD0BAA" w:rsidTr="00C55504">
        <w:trPr>
          <w:trHeight w:val="1124"/>
        </w:trPr>
        <w:tc>
          <w:tcPr>
            <w:tcW w:w="3192" w:type="dxa"/>
          </w:tcPr>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rPr>
            </w:pPr>
            <w:r>
              <w:rPr>
                <w:b/>
                <w:szCs w:val="22"/>
              </w:rPr>
              <w:t>20 Gbps or greater</w:t>
            </w:r>
          </w:p>
        </w:tc>
        <w:tc>
          <w:tcPr>
            <w:tcW w:w="2766" w:type="dxa"/>
            <w:vAlign w:val="center"/>
          </w:tcPr>
          <w:p w:rsidR="00CD0BAA" w:rsidRDefault="00CD0BAA" w:rsidP="00B17FE2">
            <w:pPr>
              <w:jc w:val="center"/>
              <w:rPr>
                <w:bCs/>
                <w:szCs w:val="22"/>
              </w:rPr>
            </w:pPr>
            <w:r>
              <w:rPr>
                <w:bCs/>
                <w:szCs w:val="22"/>
              </w:rPr>
              <w:t xml:space="preserve">$212,750 </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c>
          <w:tcPr>
            <w:tcW w:w="3618" w:type="dxa"/>
          </w:tcPr>
          <w:p w:rsidR="00CD0BAA" w:rsidRDefault="00CD0BAA" w:rsidP="00B17FE2">
            <w:pPr>
              <w:rPr>
                <w:szCs w:val="22"/>
              </w:rPr>
            </w:pP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Pr>
                <w:szCs w:val="22"/>
              </w:rPr>
              <w:t>FCC, International, P.O. Box 979084, St. Louis, MO 63197-9000</w:t>
            </w:r>
          </w:p>
          <w:p w:rsidR="00CD0BAA" w:rsidRDefault="00CD0BAA" w:rsidP="00B17FE2">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r>
    </w:tbl>
    <w:p w:rsidR="00A1103B" w:rsidRPr="00A1103B" w:rsidRDefault="00A1103B" w:rsidP="00C55504">
      <w:pPr>
        <w:tabs>
          <w:tab w:val="left" w:pos="1440"/>
        </w:tabs>
        <w:suppressAutoHyphens/>
        <w:spacing w:line="240" w:lineRule="atLeast"/>
        <w:rPr>
          <w:szCs w:val="22"/>
        </w:rPr>
      </w:pPr>
    </w:p>
    <w:sectPr w:rsidR="00A1103B" w:rsidRPr="00A1103B" w:rsidSect="00E232D8">
      <w:footnotePr>
        <w:numRestart w:val="eachSect"/>
      </w:footnotePr>
      <w:type w:val="continuous"/>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76" w:rsidRDefault="00F50D76">
      <w:r>
        <w:separator/>
      </w:r>
    </w:p>
  </w:endnote>
  <w:endnote w:type="continuationSeparator" w:id="0">
    <w:p w:rsidR="00F50D76" w:rsidRDefault="00F5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MDAA K+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51" w:rsidRDefault="00305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F7" w:rsidRDefault="00E57FF7" w:rsidP="00B32272">
    <w:pPr>
      <w:pStyle w:val="Footer"/>
      <w:jc w:val="center"/>
    </w:pPr>
    <w:r>
      <w:fldChar w:fldCharType="begin"/>
    </w:r>
    <w:r>
      <w:instrText xml:space="preserve"> PAGE   \* MERGEFORMAT </w:instrText>
    </w:r>
    <w:r>
      <w:fldChar w:fldCharType="separate"/>
    </w:r>
    <w:r w:rsidR="00AF1348">
      <w:rPr>
        <w:noProof/>
      </w:rPr>
      <w:t>3</w:t>
    </w:r>
    <w:r>
      <w:rPr>
        <w:noProof/>
      </w:rPr>
      <w:fldChar w:fldCharType="end"/>
    </w:r>
  </w:p>
  <w:p w:rsidR="00E57FF7" w:rsidRDefault="00E57F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F7" w:rsidRPr="005E16BC" w:rsidRDefault="00E57FF7">
    <w:pPr>
      <w:pStyle w:val="Footer"/>
      <w:rPr>
        <w:b/>
        <w:i/>
        <w:sz w:val="20"/>
      </w:rPr>
    </w:pPr>
  </w:p>
  <w:p w:rsidR="00E57FF7" w:rsidRDefault="00E57FF7" w:rsidP="00B32272">
    <w:pPr>
      <w:pStyle w:val="Footer"/>
      <w:jc w:val="center"/>
    </w:pPr>
    <w:r>
      <w:fldChar w:fldCharType="begin"/>
    </w:r>
    <w:r>
      <w:instrText xml:space="preserve"> PAGE   \* MERGEFORMAT </w:instrText>
    </w:r>
    <w:r>
      <w:fldChar w:fldCharType="separate"/>
    </w:r>
    <w:r w:rsidR="0003450C">
      <w:rPr>
        <w:noProof/>
      </w:rPr>
      <w:t>1</w:t>
    </w:r>
    <w:r>
      <w:rPr>
        <w:noProof/>
      </w:rPr>
      <w:fldChar w:fldCharType="end"/>
    </w:r>
  </w:p>
  <w:p w:rsidR="00E57FF7" w:rsidRDefault="00E57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76" w:rsidRDefault="00F50D76">
      <w:pPr>
        <w:rPr>
          <w:sz w:val="20"/>
        </w:rPr>
      </w:pPr>
      <w:r>
        <w:rPr>
          <w:sz w:val="20"/>
        </w:rPr>
        <w:separator/>
      </w:r>
    </w:p>
  </w:footnote>
  <w:footnote w:type="continuationSeparator" w:id="0">
    <w:p w:rsidR="00F50D76" w:rsidRDefault="00F50D76">
      <w:pPr>
        <w:rPr>
          <w:sz w:val="20"/>
        </w:rPr>
      </w:pPr>
      <w:r>
        <w:rPr>
          <w:sz w:val="20"/>
        </w:rPr>
        <w:separator/>
      </w:r>
    </w:p>
    <w:p w:rsidR="00F50D76" w:rsidRDefault="00F50D76">
      <w:pPr>
        <w:rPr>
          <w:sz w:val="20"/>
        </w:rPr>
      </w:pPr>
      <w:r>
        <w:rPr>
          <w:sz w:val="20"/>
        </w:rPr>
        <w:t>(...continued from previous page)</w:t>
      </w:r>
    </w:p>
  </w:footnote>
  <w:footnote w:type="continuationNotice" w:id="1">
    <w:p w:rsidR="00F50D76" w:rsidRDefault="00F50D76">
      <w:pPr>
        <w:jc w:val="right"/>
        <w:rPr>
          <w:sz w:val="20"/>
        </w:rPr>
      </w:pPr>
      <w:r>
        <w:rPr>
          <w:sz w:val="20"/>
        </w:rPr>
        <w:t>(continued....)</w:t>
      </w:r>
    </w:p>
  </w:footnote>
  <w:footnote w:id="2">
    <w:p w:rsidR="00E57FF7" w:rsidRDefault="00E57FF7" w:rsidP="002D1590">
      <w:pPr>
        <w:pStyle w:val="FootnoteText"/>
      </w:pPr>
      <w:r>
        <w:rPr>
          <w:rStyle w:val="FootnoteReference"/>
        </w:rPr>
        <w:footnoteRef/>
      </w:r>
      <w:r>
        <w:t xml:space="preserve"> O</w:t>
      </w:r>
      <w:r w:rsidRPr="006A303E">
        <w:t>ne FTE</w:t>
      </w:r>
      <w:r>
        <w:t>, typically called a “Full Time Equivalent,”</w:t>
      </w:r>
      <w:r w:rsidRPr="006A303E">
        <w:t xml:space="preserve"> is a unit of measure equal to the work performed annually by a full ti</w:t>
      </w:r>
      <w:r>
        <w:t>me</w:t>
      </w:r>
      <w:r w:rsidRPr="006A303E">
        <w:t xml:space="preserve"> person </w:t>
      </w:r>
      <w:r>
        <w:t xml:space="preserve">(working a 40 hour workweek for a full year) </w:t>
      </w:r>
      <w:r w:rsidRPr="006A303E">
        <w:t>assigned to the particular</w:t>
      </w:r>
      <w:r>
        <w:t xml:space="preserve"> job</w:t>
      </w:r>
      <w:r w:rsidRPr="006A303E">
        <w:t>, and subject to agency personnel staffing limitations established by the U.S. Office of Management and Budget.</w:t>
      </w:r>
      <w:r>
        <w:t xml:space="preserve">   Any reference to FTE or “Full Time Employee” used herein refers to such Full Time Equivalent.</w:t>
      </w:r>
    </w:p>
  </w:footnote>
  <w:footnote w:id="3">
    <w:p w:rsidR="00E57FF7" w:rsidRPr="00A1103B" w:rsidRDefault="00E57FF7" w:rsidP="00232C73">
      <w:pPr>
        <w:pStyle w:val="FootnoteText"/>
      </w:pPr>
      <w:r w:rsidRPr="00A1103B">
        <w:rPr>
          <w:rStyle w:val="FootnoteReference"/>
        </w:rPr>
        <w:footnoteRef/>
      </w:r>
      <w:r w:rsidRPr="00A1103B">
        <w:t xml:space="preserve"> </w:t>
      </w:r>
      <w:r w:rsidRPr="00A1103B">
        <w:rPr>
          <w:color w:val="000000"/>
        </w:rPr>
        <w:t>47 U.S.C. § 159(a).</w:t>
      </w:r>
    </w:p>
  </w:footnote>
  <w:footnote w:id="4">
    <w:p w:rsidR="00E57FF7" w:rsidRPr="00A1103B" w:rsidRDefault="00E57FF7" w:rsidP="00E44439">
      <w:pPr>
        <w:pStyle w:val="FootnoteText"/>
      </w:pPr>
      <w:r w:rsidRPr="00A1103B">
        <w:rPr>
          <w:rStyle w:val="FootnoteReference"/>
        </w:rPr>
        <w:footnoteRef/>
      </w:r>
      <w:r w:rsidRPr="00A1103B">
        <w:t xml:space="preserve"> </w:t>
      </w:r>
      <w:r>
        <w:t xml:space="preserve">In FY 2013, the Consolidated and Further Continuing Appropriations Act, Pub. L. 113-6 (2013) at Division F authorizes the Commission to collect offsetting regulatory fees at the level provided to the Commission’s FY 2012 appropriation of $339,844.00.  </w:t>
      </w:r>
      <w:r w:rsidRPr="006C47CE">
        <w:rPr>
          <w:i/>
        </w:rPr>
        <w:t xml:space="preserve">See </w:t>
      </w:r>
      <w:r>
        <w:t>Financial Services and General Government Appropriations Act, 2012, Division C of Pub. Law 112-74, 125 Stat. 108-9 (2011).</w:t>
      </w:r>
    </w:p>
  </w:footnote>
  <w:footnote w:id="5">
    <w:p w:rsidR="00E57FF7" w:rsidRPr="005B2796" w:rsidRDefault="00E57FF7" w:rsidP="004B53B8">
      <w:pPr>
        <w:pStyle w:val="FootnoteText"/>
      </w:pPr>
      <w:r>
        <w:rPr>
          <w:rStyle w:val="FootnoteReference"/>
        </w:rPr>
        <w:footnoteRef/>
      </w:r>
      <w:r>
        <w:t xml:space="preserve"> Budget Control Act of 2011, </w:t>
      </w:r>
      <w:r w:rsidRPr="00A14BCA">
        <w:t xml:space="preserve">Pub. L. </w:t>
      </w:r>
      <w:r>
        <w:t xml:space="preserve">No. </w:t>
      </w:r>
      <w:r w:rsidRPr="00A14BCA">
        <w:t>112-15</w:t>
      </w:r>
      <w:r>
        <w:t>, §101, 125 Stat. 241</w:t>
      </w:r>
      <w:r w:rsidRPr="00A14BCA">
        <w:t xml:space="preserve"> (2011)</w:t>
      </w:r>
      <w:r>
        <w:t xml:space="preserve"> (amending § 251 of the Balanced Budget and Emergency Deficit Control Act of 1985, Pub. L. No. 99-177, 99 Stat. 1037 (2005).</w:t>
      </w:r>
    </w:p>
  </w:footnote>
  <w:footnote w:id="6">
    <w:p w:rsidR="00E57FF7" w:rsidRPr="00C5052D" w:rsidRDefault="00E57FF7" w:rsidP="004B53B8">
      <w:pPr>
        <w:pStyle w:val="FootnoteText"/>
      </w:pPr>
      <w:r w:rsidRPr="00C5052D">
        <w:rPr>
          <w:rStyle w:val="FootnoteReference"/>
        </w:rPr>
        <w:footnoteRef/>
      </w:r>
      <w:r w:rsidRPr="00C5052D">
        <w:t xml:space="preserve"> </w:t>
      </w:r>
      <w:r w:rsidRPr="00C5052D">
        <w:rPr>
          <w:i/>
        </w:rPr>
        <w:t xml:space="preserve">See </w:t>
      </w:r>
      <w:r w:rsidRPr="00C5052D">
        <w:t>Financial Services and General Government Appropriations Act, 2012</w:t>
      </w:r>
      <w:r>
        <w:t xml:space="preserve">, </w:t>
      </w:r>
      <w:r w:rsidRPr="00C5052D">
        <w:t>Division C of Pub</w:t>
      </w:r>
      <w:r>
        <w:t>.</w:t>
      </w:r>
      <w:r w:rsidRPr="00C5052D">
        <w:t xml:space="preserve"> Law 112-74, 125 Stat. 108-9 (2011); </w:t>
      </w:r>
    </w:p>
  </w:footnote>
  <w:footnote w:id="7">
    <w:p w:rsidR="00E57FF7" w:rsidRDefault="00E57FF7" w:rsidP="004B53B8">
      <w:pPr>
        <w:pStyle w:val="FootnoteText"/>
      </w:pPr>
      <w:r w:rsidRPr="00C5052D">
        <w:rPr>
          <w:rStyle w:val="FootnoteReference"/>
        </w:rPr>
        <w:footnoteRef/>
      </w:r>
      <w:r w:rsidRPr="00C5052D">
        <w:t xml:space="preserve"> Further Continuing Appropriations Act, 2013, Pub. L. 113-6, xxx Stat. xxx (2013) at</w:t>
      </w:r>
      <w:r>
        <w:t xml:space="preserve"> </w:t>
      </w:r>
      <w:r w:rsidRPr="00C5052D">
        <w:t>Division F, § 1101(c).</w:t>
      </w:r>
      <w:r>
        <w:t xml:space="preserve">  </w:t>
      </w:r>
    </w:p>
  </w:footnote>
  <w:footnote w:id="8">
    <w:p w:rsidR="00E57FF7" w:rsidRPr="00A1103B" w:rsidRDefault="00E57FF7" w:rsidP="00A1103B">
      <w:pPr>
        <w:pStyle w:val="FootnoteText"/>
      </w:pPr>
      <w:r w:rsidRPr="00A1103B">
        <w:rPr>
          <w:rStyle w:val="FootnoteReference"/>
        </w:rPr>
        <w:footnoteRef/>
      </w:r>
      <w:r w:rsidRPr="00A1103B">
        <w:t xml:space="preserve"> </w:t>
      </w:r>
      <w:r w:rsidRPr="00A1103B">
        <w:rPr>
          <w:i/>
        </w:rPr>
        <w:t>See Assessment and Collection of Regulatory Fees for Fiscal Year 2008</w:t>
      </w:r>
      <w:r w:rsidRPr="00A1103B">
        <w:t>, Report and Order and Further Notice of Proposed Rulemaking, 24 FCC Rcd 6388 (2008) (</w:t>
      </w:r>
      <w:r w:rsidRPr="00A1103B">
        <w:rPr>
          <w:i/>
        </w:rPr>
        <w:t>FY 2008 FNPRM</w:t>
      </w:r>
      <w:r w:rsidRPr="00A1103B">
        <w:t>).</w:t>
      </w:r>
    </w:p>
  </w:footnote>
  <w:footnote w:id="9">
    <w:p w:rsidR="00E57FF7" w:rsidRPr="00A1103B" w:rsidRDefault="00E57FF7" w:rsidP="0032026D">
      <w:pPr>
        <w:pStyle w:val="FootnoteText"/>
      </w:pPr>
      <w:r w:rsidRPr="00A1103B">
        <w:rPr>
          <w:rStyle w:val="FootnoteReference"/>
        </w:rPr>
        <w:footnoteRef/>
      </w:r>
      <w:r w:rsidRPr="00A1103B">
        <w:t xml:space="preserve"> </w:t>
      </w:r>
      <w:r w:rsidRPr="00A1103B">
        <w:rPr>
          <w:i/>
        </w:rPr>
        <w:t>See</w:t>
      </w:r>
      <w:r w:rsidRPr="00A1103B">
        <w:t xml:space="preserve"> GAO, </w:t>
      </w:r>
      <w:r>
        <w:t>“</w:t>
      </w:r>
      <w:r w:rsidRPr="00A1103B">
        <w:t>Federal Communications Commission</w:t>
      </w:r>
      <w:r>
        <w:t xml:space="preserve"> </w:t>
      </w:r>
      <w:r w:rsidRPr="00A1103B">
        <w:t>Regulatory Fee Process Needs to be Updated,” Aug. 2012, GAO-12-686</w:t>
      </w:r>
      <w:r>
        <w:t>.</w:t>
      </w:r>
    </w:p>
  </w:footnote>
  <w:footnote w:id="10">
    <w:p w:rsidR="00E57FF7" w:rsidRPr="00A1103B" w:rsidRDefault="00E57FF7" w:rsidP="00DF0800">
      <w:pPr>
        <w:pStyle w:val="FootnoteText"/>
      </w:pPr>
      <w:r w:rsidRPr="00A1103B">
        <w:rPr>
          <w:rStyle w:val="FootnoteReference"/>
        </w:rPr>
        <w:footnoteRef/>
      </w:r>
      <w:r w:rsidRPr="00A1103B">
        <w:t xml:space="preserve"> </w:t>
      </w:r>
      <w:r w:rsidRPr="00A1103B">
        <w:rPr>
          <w:i/>
        </w:rPr>
        <w:t>Assessment and Collection of Regulatory Fees</w:t>
      </w:r>
      <w:r w:rsidRPr="00A1103B">
        <w:t>, Notice of Proposed Rulemaking, 27 FCC Rcd 8458 (2012) (</w:t>
      </w:r>
      <w:r w:rsidRPr="00A1103B">
        <w:rPr>
          <w:i/>
        </w:rPr>
        <w:t>FY 2012 NPRM</w:t>
      </w:r>
      <w:r w:rsidRPr="00A1103B">
        <w:t>).</w:t>
      </w:r>
      <w:r w:rsidRPr="00A1103B">
        <w:rPr>
          <w:i/>
        </w:rPr>
        <w:t xml:space="preserve"> </w:t>
      </w:r>
      <w:r>
        <w:t xml:space="preserve"> </w:t>
      </w:r>
      <w:r w:rsidRPr="00A1103B">
        <w:t xml:space="preserve">We cite some of the comments filed in response to the </w:t>
      </w:r>
      <w:r w:rsidRPr="00A1103B">
        <w:rPr>
          <w:i/>
        </w:rPr>
        <w:t>FY 2012 NPRM</w:t>
      </w:r>
      <w:r>
        <w:t xml:space="preserve"> in the discussion herein.</w:t>
      </w:r>
    </w:p>
  </w:footnote>
  <w:footnote w:id="11">
    <w:p w:rsidR="00E57FF7" w:rsidRDefault="00E57FF7" w:rsidP="00B32272">
      <w:pPr>
        <w:pStyle w:val="FootnoteText"/>
      </w:pPr>
      <w:r>
        <w:rPr>
          <w:rStyle w:val="FootnoteReference"/>
        </w:rPr>
        <w:footnoteRef/>
      </w:r>
      <w:r>
        <w:t xml:space="preserve"> </w:t>
      </w:r>
      <w:r w:rsidRPr="005429A2">
        <w:rPr>
          <w:i/>
          <w:color w:val="000000"/>
          <w:szCs w:val="22"/>
        </w:rPr>
        <w:t>See, e.g</w:t>
      </w:r>
      <w:r>
        <w:rPr>
          <w:color w:val="000000"/>
          <w:szCs w:val="22"/>
        </w:rPr>
        <w:t>., American Cable Association, Notice of Ex Parte Presentation (Feb. 22, 2013); North American Submarine Cable Association, MD Docket Nos. 12-201 and 08-65, Notice of Ex Parte Presentation (Feb. 15, 2013); Enterprise Wireless Alliance, MD 12-201 Ex Parte Presentation (Feb. 15, 2013); North American Submarine Cable Association, MD Docket Nos. 12-201 and 08-65, Notice of Ex Parte Presentation (Mar. 27, 2013).</w:t>
      </w:r>
    </w:p>
  </w:footnote>
  <w:footnote w:id="12">
    <w:p w:rsidR="00E57FF7" w:rsidRPr="00A1103B" w:rsidRDefault="00E57FF7" w:rsidP="006B5AE6">
      <w:pPr>
        <w:pStyle w:val="FootnoteText"/>
      </w:pPr>
      <w:r w:rsidRPr="00A1103B">
        <w:rPr>
          <w:rStyle w:val="FootnoteReference"/>
        </w:rPr>
        <w:footnoteRef/>
      </w:r>
      <w:r w:rsidRPr="00A1103B">
        <w:t xml:space="preserve"> 47 U.S.C. § 159(b)(1)(A).</w:t>
      </w:r>
    </w:p>
  </w:footnote>
  <w:footnote w:id="13">
    <w:p w:rsidR="00E57FF7" w:rsidRPr="00A1103B" w:rsidRDefault="00E57FF7" w:rsidP="006B5AE6">
      <w:pPr>
        <w:pStyle w:val="FootnoteText"/>
      </w:pPr>
      <w:r w:rsidRPr="00A1103B">
        <w:rPr>
          <w:rStyle w:val="FootnoteReference"/>
        </w:rPr>
        <w:footnoteRef/>
      </w:r>
      <w:r w:rsidRPr="00A1103B">
        <w:t xml:space="preserve"> The current numbers of direct FTEs are as follows:  International Bureau, [</w:t>
      </w:r>
      <w:r w:rsidRPr="00B32272">
        <w:t>119</w:t>
      </w:r>
      <w:r w:rsidRPr="009E24AC">
        <w:t>]</w:t>
      </w:r>
      <w:r w:rsidRPr="00A1103B">
        <w:t>; Media Bureau, [</w:t>
      </w:r>
      <w:r w:rsidRPr="00B32272">
        <w:t>171</w:t>
      </w:r>
      <w:r w:rsidRPr="00A1103B">
        <w:t>]; Wireline Competition Bureau, [</w:t>
      </w:r>
      <w:r w:rsidRPr="00B32272">
        <w:t>160</w:t>
      </w:r>
      <w:r w:rsidRPr="00A1103B">
        <w:t>]; and Wireless Telecommunications Bureau, [</w:t>
      </w:r>
      <w:r w:rsidRPr="00B32272">
        <w:t>98</w:t>
      </w:r>
      <w:r w:rsidRPr="00A1103B">
        <w:t>].  FTEs involved in</w:t>
      </w:r>
      <w:r>
        <w:t xml:space="preserve"> Section 309</w:t>
      </w:r>
      <w:r w:rsidRPr="00A1103B">
        <w:t xml:space="preserve"> auctions, [</w:t>
      </w:r>
      <w:r w:rsidRPr="00B32272">
        <w:t>194</w:t>
      </w:r>
      <w:r w:rsidRPr="00A1103B">
        <w:rPr>
          <w:b/>
        </w:rPr>
        <w:t xml:space="preserve"> </w:t>
      </w:r>
      <w:r w:rsidRPr="00B32272">
        <w:t>FTEs</w:t>
      </w:r>
      <w:r w:rsidRPr="00A1103B">
        <w:rPr>
          <w:b/>
        </w:rPr>
        <w:t>]</w:t>
      </w:r>
      <w:r w:rsidRPr="00A1103B">
        <w:t>, are not included in this analysis because auctions activities are funded separately.</w:t>
      </w:r>
    </w:p>
  </w:footnote>
  <w:footnote w:id="14">
    <w:p w:rsidR="00E57FF7" w:rsidRPr="00A1103B" w:rsidRDefault="00E57FF7" w:rsidP="006B5AE6">
      <w:pPr>
        <w:pStyle w:val="FootnoteText"/>
      </w:pPr>
      <w:r w:rsidRPr="00A1103B">
        <w:rPr>
          <w:rStyle w:val="FootnoteReference"/>
        </w:rPr>
        <w:footnoteRef/>
      </w:r>
      <w:r w:rsidRPr="00A1103B">
        <w:t xml:space="preserve"> The “indirect” FTEs are the employees from the following bureaus and offices:  Enforcement Bureau, Consumer and Governmental Affairs Bureau, Public Safety and Homeland Security Bureau, Chairman and Commissioners’ offices, Office of Managing Director, Office of General Counsel, Office of the Inspector General, Office of Communications Business Opportunities, Office of Engineering and Technology, Office of Legislative Affairs, Office of Strategic Planning and Policy Analysis, </w:t>
      </w:r>
      <w:r>
        <w:t>O</w:t>
      </w:r>
      <w:r w:rsidRPr="00A1103B">
        <w:t xml:space="preserve">ffice of Workplace Diversity, </w:t>
      </w:r>
      <w:r>
        <w:t xml:space="preserve">Office of Media Relations, and Office of Administrative Law Judges, </w:t>
      </w:r>
      <w:r w:rsidRPr="00A1103B">
        <w:t>totaling [</w:t>
      </w:r>
      <w:r w:rsidRPr="00B32272">
        <w:t>967</w:t>
      </w:r>
      <w:r w:rsidRPr="00A1103B">
        <w:t xml:space="preserve">] FTEs.  </w:t>
      </w:r>
    </w:p>
  </w:footnote>
  <w:footnote w:id="15">
    <w:p w:rsidR="00E57FF7" w:rsidRPr="00A1103B" w:rsidRDefault="00E57FF7" w:rsidP="006B5AE6">
      <w:pPr>
        <w:pStyle w:val="FootnoteText"/>
      </w:pPr>
      <w:r w:rsidRPr="00A1103B">
        <w:rPr>
          <w:rStyle w:val="FootnoteReference"/>
        </w:rPr>
        <w:footnoteRef/>
      </w:r>
      <w:r w:rsidRPr="00A1103B">
        <w:rPr>
          <w:i/>
        </w:rPr>
        <w:t xml:space="preserve"> FY 2012 NPRM</w:t>
      </w:r>
      <w:r w:rsidRPr="00A1103B">
        <w:t>, 27 FCC Rcd at 8461, para. 8.</w:t>
      </w:r>
    </w:p>
  </w:footnote>
  <w:footnote w:id="16">
    <w:p w:rsidR="00E57FF7" w:rsidRDefault="00E57FF7" w:rsidP="006B5AE6">
      <w:pPr>
        <w:pStyle w:val="FootnoteText"/>
      </w:pPr>
      <w:r>
        <w:rPr>
          <w:rStyle w:val="FootnoteReference"/>
        </w:rPr>
        <w:footnoteRef/>
      </w:r>
      <w:r>
        <w:t xml:space="preserve"> </w:t>
      </w:r>
      <w:r w:rsidRPr="005F5C89">
        <w:rPr>
          <w:i/>
        </w:rPr>
        <w:t>See</w:t>
      </w:r>
      <w:r w:rsidRPr="00680A51">
        <w:rPr>
          <w:i/>
        </w:rPr>
        <w:t xml:space="preserve"> </w:t>
      </w:r>
      <w:r w:rsidRPr="00A5122D">
        <w:rPr>
          <w:i/>
        </w:rPr>
        <w:t>FY 20</w:t>
      </w:r>
      <w:r>
        <w:rPr>
          <w:i/>
        </w:rPr>
        <w:t>12 NPRM</w:t>
      </w:r>
      <w:r>
        <w:t>, 27 FCC Rcd at 8467, paras. 24-25.</w:t>
      </w:r>
    </w:p>
  </w:footnote>
  <w:footnote w:id="17">
    <w:p w:rsidR="00E57FF7" w:rsidRDefault="00E57FF7" w:rsidP="006B5AE6">
      <w:pPr>
        <w:pStyle w:val="FootnoteText"/>
      </w:pPr>
      <w:r>
        <w:rPr>
          <w:rStyle w:val="FootnoteReference"/>
        </w:rPr>
        <w:footnoteRef/>
      </w:r>
      <w:r>
        <w:t xml:space="preserve"> </w:t>
      </w:r>
      <w:r w:rsidRPr="007764D3">
        <w:rPr>
          <w:szCs w:val="22"/>
        </w:rPr>
        <w:t>The GAO noted the lack of transparency of the regulatory fee process</w:t>
      </w:r>
      <w:r>
        <w:rPr>
          <w:szCs w:val="22"/>
        </w:rPr>
        <w:t>, and was</w:t>
      </w:r>
      <w:r w:rsidRPr="007764D3">
        <w:rPr>
          <w:szCs w:val="22"/>
        </w:rPr>
        <w:t xml:space="preserve"> particularly concerned with the regulatory fee allocations for the International Bureau and the Wireline Competition Bureau</w:t>
      </w:r>
      <w:r>
        <w:rPr>
          <w:szCs w:val="22"/>
        </w:rPr>
        <w:t xml:space="preserve">, </w:t>
      </w:r>
      <w:r>
        <w:rPr>
          <w:i/>
          <w:szCs w:val="22"/>
        </w:rPr>
        <w:t xml:space="preserve">see </w:t>
      </w:r>
      <w:r>
        <w:rPr>
          <w:szCs w:val="22"/>
        </w:rPr>
        <w:t>GAO Report at p. 23.</w:t>
      </w:r>
    </w:p>
  </w:footnote>
  <w:footnote w:id="18">
    <w:p w:rsidR="00E57FF7" w:rsidRPr="00A1103B" w:rsidRDefault="00E57FF7" w:rsidP="006B5AE6">
      <w:pPr>
        <w:pStyle w:val="FootnoteText"/>
      </w:pPr>
      <w:r w:rsidRPr="00A1103B">
        <w:rPr>
          <w:rStyle w:val="FootnoteReference"/>
        </w:rPr>
        <w:footnoteRef/>
      </w:r>
      <w:r w:rsidRPr="00A1103B">
        <w:t xml:space="preserve"> </w:t>
      </w:r>
      <w:r w:rsidRPr="00A1103B">
        <w:rPr>
          <w:i/>
        </w:rPr>
        <w:t>FY 2004 Report and Order</w:t>
      </w:r>
      <w:r>
        <w:t>,</w:t>
      </w:r>
      <w:r w:rsidRPr="00A1103B">
        <w:t xml:space="preserve"> </w:t>
      </w:r>
      <w:r>
        <w:t>19 FCC Rcd</w:t>
      </w:r>
      <w:r w:rsidRPr="00A1103B">
        <w:t xml:space="preserve"> at 11667, para. 11.</w:t>
      </w:r>
    </w:p>
  </w:footnote>
  <w:footnote w:id="19">
    <w:p w:rsidR="00E57FF7" w:rsidRPr="00A1103B" w:rsidRDefault="00E57FF7" w:rsidP="006B5AE6">
      <w:pPr>
        <w:pStyle w:val="FootnoteText"/>
      </w:pPr>
      <w:r w:rsidRPr="00A1103B">
        <w:rPr>
          <w:rStyle w:val="FootnoteReference"/>
        </w:rPr>
        <w:footnoteRef/>
      </w:r>
      <w:r w:rsidRPr="00A1103B">
        <w:t xml:space="preserve"> </w:t>
      </w:r>
      <w:r>
        <w:rPr>
          <w:i/>
        </w:rPr>
        <w:t>Id.</w:t>
      </w:r>
      <w:r w:rsidRPr="00A1103B">
        <w:t xml:space="preserve">  For example, governmental and nonprofit entities are exempt from regulatory fees under section 9(h) </w:t>
      </w:r>
      <w:r>
        <w:t>of the Act.  47 U.S.C. § 159(h);</w:t>
      </w:r>
      <w:r w:rsidRPr="00F7118E">
        <w:t xml:space="preserve"> </w:t>
      </w:r>
      <w:r>
        <w:t xml:space="preserve">47 C.F.R. </w:t>
      </w:r>
      <w:r w:rsidRPr="00A1103B">
        <w:t>§</w:t>
      </w:r>
      <w:r>
        <w:t xml:space="preserve"> 1.1162.</w:t>
      </w:r>
    </w:p>
  </w:footnote>
  <w:footnote w:id="20">
    <w:p w:rsidR="00E57FF7" w:rsidRDefault="00E57FF7" w:rsidP="006B5AE6">
      <w:pPr>
        <w:pStyle w:val="FootnoteText"/>
      </w:pPr>
      <w:r>
        <w:rPr>
          <w:rStyle w:val="FootnoteReference"/>
        </w:rPr>
        <w:footnoteRef/>
      </w:r>
      <w:r>
        <w:t xml:space="preserve"> 47 C.F.R. </w:t>
      </w:r>
      <w:r w:rsidRPr="00A1103B">
        <w:t>§</w:t>
      </w:r>
      <w:r>
        <w:t xml:space="preserve"> 1.1166.</w:t>
      </w:r>
    </w:p>
  </w:footnote>
  <w:footnote w:id="21">
    <w:p w:rsidR="00E57FF7" w:rsidRPr="00A1103B" w:rsidRDefault="00E57FF7" w:rsidP="00A1103B">
      <w:pPr>
        <w:pStyle w:val="FootnoteText"/>
      </w:pPr>
      <w:r w:rsidRPr="00A1103B">
        <w:rPr>
          <w:rStyle w:val="FootnoteReference"/>
        </w:rPr>
        <w:footnoteRef/>
      </w:r>
      <w:r w:rsidRPr="00A1103B">
        <w:t xml:space="preserve"> </w:t>
      </w:r>
      <w:r w:rsidRPr="00A1103B">
        <w:rPr>
          <w:i/>
        </w:rPr>
        <w:t>FY 2012 NPRM</w:t>
      </w:r>
      <w:r w:rsidRPr="00A1103B">
        <w:t>, 27 FCC Rcd at 8464, para. 12.</w:t>
      </w:r>
    </w:p>
  </w:footnote>
  <w:footnote w:id="22">
    <w:p w:rsidR="00E57FF7" w:rsidRDefault="00E57FF7" w:rsidP="004F7FDA">
      <w:pPr>
        <w:pStyle w:val="FootnoteText"/>
      </w:pPr>
      <w:r>
        <w:rPr>
          <w:rStyle w:val="FootnoteReference"/>
        </w:rPr>
        <w:footnoteRef/>
      </w:r>
      <w:r>
        <w:t xml:space="preserve"> The FTEs used herein are determined as of Sept. 30, 2012.</w:t>
      </w:r>
    </w:p>
  </w:footnote>
  <w:footnote w:id="23">
    <w:p w:rsidR="00E57FF7" w:rsidRPr="00A1103B" w:rsidRDefault="00E57FF7" w:rsidP="00A1103B">
      <w:pPr>
        <w:pStyle w:val="FootnoteText"/>
      </w:pPr>
      <w:r w:rsidRPr="00A1103B">
        <w:rPr>
          <w:rStyle w:val="FootnoteReference"/>
        </w:rPr>
        <w:footnoteRef/>
      </w:r>
      <w:r w:rsidRPr="00A1103B">
        <w:t xml:space="preserve"> </w:t>
      </w:r>
      <w:r w:rsidRPr="00A1103B">
        <w:rPr>
          <w:i/>
        </w:rPr>
        <w:t>FY 2012 NPRM</w:t>
      </w:r>
      <w:r w:rsidRPr="00A1103B">
        <w:t>, 27 FCC Rcd at 8467, para. 25.</w:t>
      </w:r>
    </w:p>
  </w:footnote>
  <w:footnote w:id="24">
    <w:p w:rsidR="00E57FF7" w:rsidRPr="00A1103B" w:rsidRDefault="00E57FF7" w:rsidP="00A1103B">
      <w:pPr>
        <w:pStyle w:val="FootnoteText"/>
      </w:pPr>
      <w:r w:rsidRPr="00A1103B">
        <w:rPr>
          <w:rStyle w:val="FootnoteReference"/>
        </w:rPr>
        <w:footnoteRef/>
      </w:r>
      <w:r w:rsidRPr="00A1103B">
        <w:t xml:space="preserve"> </w:t>
      </w:r>
      <w:r w:rsidRPr="00A1103B">
        <w:rPr>
          <w:i/>
        </w:rPr>
        <w:t>Id.</w:t>
      </w:r>
    </w:p>
  </w:footnote>
  <w:footnote w:id="25">
    <w:p w:rsidR="00E57FF7" w:rsidRDefault="00E57FF7" w:rsidP="00AE5970">
      <w:pPr>
        <w:pStyle w:val="FootnoteText"/>
      </w:pPr>
      <w:r>
        <w:rPr>
          <w:rStyle w:val="FootnoteReference"/>
        </w:rPr>
        <w:footnoteRef/>
      </w:r>
      <w:r w:rsidRPr="001858CA">
        <w:rPr>
          <w:sz w:val="22"/>
          <w:szCs w:val="22"/>
        </w:rPr>
        <w:t xml:space="preserve">  </w:t>
      </w:r>
      <w:r w:rsidRPr="004C09DA">
        <w:rPr>
          <w:color w:val="000000"/>
        </w:rPr>
        <w:t>47 U.S.C. § 159.</w:t>
      </w:r>
    </w:p>
  </w:footnote>
  <w:footnote w:id="26">
    <w:p w:rsidR="00E57FF7" w:rsidRDefault="00E57FF7">
      <w:pPr>
        <w:pStyle w:val="FootnoteText"/>
      </w:pPr>
      <w:r>
        <w:rPr>
          <w:rStyle w:val="FootnoteReference"/>
        </w:rPr>
        <w:footnoteRef/>
      </w:r>
      <w:r>
        <w:t xml:space="preserve"> GAO Report at 36.</w:t>
      </w:r>
    </w:p>
  </w:footnote>
  <w:footnote w:id="27">
    <w:p w:rsidR="00E57FF7" w:rsidRPr="00A1103B" w:rsidRDefault="00E57FF7" w:rsidP="00A1103B">
      <w:pPr>
        <w:pStyle w:val="FootnoteText"/>
      </w:pPr>
      <w:r w:rsidRPr="00A1103B">
        <w:rPr>
          <w:rStyle w:val="FootnoteReference"/>
        </w:rPr>
        <w:footnoteRef/>
      </w:r>
      <w:r w:rsidRPr="00A1103B">
        <w:t xml:space="preserve"> </w:t>
      </w:r>
      <w:r w:rsidRPr="00A1103B">
        <w:rPr>
          <w:i/>
        </w:rPr>
        <w:t>See</w:t>
      </w:r>
      <w:r w:rsidRPr="00A1103B">
        <w:t xml:space="preserve"> </w:t>
      </w:r>
      <w:r w:rsidRPr="00A1103B">
        <w:rPr>
          <w:i/>
        </w:rPr>
        <w:t>FY 2012 NPRM</w:t>
      </w:r>
      <w:r w:rsidRPr="00A1103B">
        <w:t>, 27 FCC Rcd at 8467, para. 25</w:t>
      </w:r>
      <w:r>
        <w:t>.</w:t>
      </w:r>
    </w:p>
  </w:footnote>
  <w:footnote w:id="28">
    <w:p w:rsidR="00E57FF7" w:rsidRPr="00A1103B" w:rsidRDefault="00E57FF7" w:rsidP="00A1103B">
      <w:pPr>
        <w:pStyle w:val="FootnoteText"/>
      </w:pPr>
      <w:r w:rsidRPr="00A1103B">
        <w:rPr>
          <w:rStyle w:val="FootnoteReference"/>
        </w:rPr>
        <w:footnoteRef/>
      </w:r>
      <w:r w:rsidRPr="00A1103B">
        <w:t xml:space="preserve"> The Commission has separated revenues listed on Form 499-A into two fee categories:  ITSP providers and non-ITSP providers.  Providers that derive a predominant amount of their revenues from Lines 412 (e), 420 (d), and 420 (e) on FCC Form 499-A are ITSP providers and subject to ITSP regulatory fees.  Those providers that do not derive their revenues predominantly from Lines 412 (e), 420 (d), and 420 (e) on FCC Form 499-A, non-ITSP providers, paid a regulatory fee calculated differently, such as by number of subscribers.  </w:t>
      </w:r>
    </w:p>
  </w:footnote>
  <w:footnote w:id="29">
    <w:p w:rsidR="00E57FF7" w:rsidRPr="000C2FAD" w:rsidRDefault="00E57FF7" w:rsidP="000C2FAD">
      <w:pPr>
        <w:rPr>
          <w:snapToGrid/>
          <w:kern w:val="0"/>
          <w:sz w:val="20"/>
        </w:rPr>
      </w:pPr>
      <w:r>
        <w:rPr>
          <w:rStyle w:val="FootnoteReference"/>
        </w:rPr>
        <w:footnoteRef/>
      </w:r>
      <w:r>
        <w:t xml:space="preserve"> </w:t>
      </w:r>
      <w:r w:rsidRPr="000C2FAD">
        <w:rPr>
          <w:sz w:val="20"/>
        </w:rPr>
        <w:t xml:space="preserve">Wireline revenues have not decreased for all carriers.  Verizon, for example, reported for 2012 that “Consumer wireline revenues grew by 3.2 percent for the year—the best in a decade—fueled by double-digit growth in FiOS.”  </w:t>
      </w:r>
      <w:r w:rsidRPr="000C2FAD">
        <w:rPr>
          <w:snapToGrid/>
          <w:kern w:val="0"/>
          <w:sz w:val="20"/>
        </w:rPr>
        <w:t>Verizon 2012 Annual Report at p. 3.</w:t>
      </w:r>
    </w:p>
    <w:p w:rsidR="00E57FF7" w:rsidRDefault="00E57FF7" w:rsidP="00B32272">
      <w:pPr>
        <w:pStyle w:val="FootnoteText"/>
      </w:pPr>
    </w:p>
  </w:footnote>
  <w:footnote w:id="30">
    <w:p w:rsidR="00E57FF7" w:rsidRPr="00A1103B" w:rsidRDefault="00E57FF7" w:rsidP="00A1103B">
      <w:pPr>
        <w:pStyle w:val="FootnoteText"/>
      </w:pPr>
      <w:r w:rsidRPr="00A1103B">
        <w:rPr>
          <w:rStyle w:val="FootnoteReference"/>
        </w:rPr>
        <w:footnoteRef/>
      </w:r>
      <w:r w:rsidRPr="00A1103B">
        <w:t xml:space="preserve"> ITTA Comments at 3.</w:t>
      </w:r>
    </w:p>
  </w:footnote>
  <w:footnote w:id="31">
    <w:p w:rsidR="00E57FF7" w:rsidRPr="00A1103B" w:rsidRDefault="00E57FF7" w:rsidP="00A1103B">
      <w:pPr>
        <w:pStyle w:val="FootnoteText"/>
      </w:pPr>
      <w:r w:rsidRPr="00A1103B">
        <w:rPr>
          <w:rStyle w:val="FootnoteReference"/>
        </w:rPr>
        <w:footnoteRef/>
      </w:r>
      <w:r w:rsidRPr="00A1103B">
        <w:t xml:space="preserve"> The GAO Report discussed using revenues for assessing wireless providers’ regulatory fees, as proposed by ITTA.  </w:t>
      </w:r>
      <w:r w:rsidRPr="00A1103B">
        <w:rPr>
          <w:i/>
        </w:rPr>
        <w:t>See</w:t>
      </w:r>
      <w:r w:rsidRPr="00A1103B">
        <w:t xml:space="preserve"> GAO Report at 19-20.</w:t>
      </w:r>
    </w:p>
  </w:footnote>
  <w:footnote w:id="32">
    <w:p w:rsidR="00E57FF7" w:rsidRPr="00A1103B" w:rsidRDefault="00E57FF7" w:rsidP="003F09CE">
      <w:pPr>
        <w:pStyle w:val="FootnoteText"/>
      </w:pPr>
      <w:r w:rsidRPr="00A1103B">
        <w:rPr>
          <w:rStyle w:val="FootnoteReference"/>
        </w:rPr>
        <w:footnoteRef/>
      </w:r>
      <w:r w:rsidRPr="00A1103B">
        <w:t xml:space="preserve"> 47 U.S.C. § 159(b)(3).</w:t>
      </w:r>
    </w:p>
  </w:footnote>
  <w:footnote w:id="33">
    <w:p w:rsidR="00E57FF7" w:rsidRPr="00A1103B" w:rsidRDefault="00E57FF7" w:rsidP="003F09CE">
      <w:pPr>
        <w:pStyle w:val="FootnoteText"/>
      </w:pPr>
      <w:r w:rsidRPr="00A1103B">
        <w:rPr>
          <w:rStyle w:val="FootnoteReference"/>
        </w:rPr>
        <w:footnoteRef/>
      </w:r>
      <w:r w:rsidRPr="00A1103B">
        <w:t xml:space="preserve"> 47 U.S.C. § 159(b)(3).</w:t>
      </w:r>
    </w:p>
  </w:footnote>
  <w:footnote w:id="34">
    <w:p w:rsidR="00E57FF7" w:rsidRPr="00A1103B" w:rsidRDefault="00E57FF7" w:rsidP="003F09CE">
      <w:pPr>
        <w:pStyle w:val="FootnoteText"/>
      </w:pPr>
      <w:r w:rsidRPr="00A1103B">
        <w:rPr>
          <w:rStyle w:val="FootnoteReference"/>
        </w:rPr>
        <w:footnoteRef/>
      </w:r>
      <w:r w:rsidRPr="00A1103B">
        <w:t xml:space="preserve"> 47 U.S.C. § 159(b)(4)(B).</w:t>
      </w:r>
    </w:p>
  </w:footnote>
  <w:footnote w:id="35">
    <w:p w:rsidR="00E57FF7" w:rsidRPr="00A1103B" w:rsidRDefault="00E57FF7" w:rsidP="003F09CE">
      <w:pPr>
        <w:pStyle w:val="FootnoteText"/>
      </w:pPr>
      <w:r w:rsidRPr="00A1103B">
        <w:rPr>
          <w:rStyle w:val="FootnoteReference"/>
        </w:rPr>
        <w:footnoteRef/>
      </w:r>
      <w:r w:rsidRPr="00A1103B">
        <w:t xml:space="preserve"> 47 U.S.C. § 159(b)(3).</w:t>
      </w:r>
    </w:p>
  </w:footnote>
  <w:footnote w:id="36">
    <w:p w:rsidR="00E57FF7" w:rsidRPr="00A1103B" w:rsidRDefault="00E57FF7" w:rsidP="00A1103B">
      <w:pPr>
        <w:pStyle w:val="FootnoteText"/>
      </w:pPr>
      <w:r w:rsidRPr="00A1103B">
        <w:rPr>
          <w:rStyle w:val="FootnoteReference"/>
        </w:rPr>
        <w:footnoteRef/>
      </w:r>
      <w:r w:rsidRPr="00A1103B">
        <w:t xml:space="preserve"> We do not currently </w:t>
      </w:r>
      <w:r>
        <w:t xml:space="preserve">assess </w:t>
      </w:r>
      <w:r w:rsidRPr="00A1103B">
        <w:t xml:space="preserve">regulatory fees </w:t>
      </w:r>
      <w:r>
        <w:t>on</w:t>
      </w:r>
      <w:r w:rsidRPr="00A1103B">
        <w:t xml:space="preserve"> broadband </w:t>
      </w:r>
      <w:r>
        <w:t>revenues</w:t>
      </w:r>
      <w:r w:rsidRPr="00A1103B">
        <w:t xml:space="preserve">.   </w:t>
      </w:r>
    </w:p>
  </w:footnote>
  <w:footnote w:id="37">
    <w:p w:rsidR="00E57FF7" w:rsidRDefault="00E57FF7" w:rsidP="00B32272">
      <w:pPr>
        <w:pStyle w:val="FootnoteText"/>
      </w:pPr>
      <w:r>
        <w:rPr>
          <w:rStyle w:val="FootnoteReference"/>
        </w:rPr>
        <w:footnoteRef/>
      </w:r>
      <w:r>
        <w:t xml:space="preserve"> GAO Report at 36.</w:t>
      </w:r>
    </w:p>
  </w:footnote>
  <w:footnote w:id="38">
    <w:p w:rsidR="00E57FF7" w:rsidRDefault="00E57FF7" w:rsidP="005F5C89">
      <w:pPr>
        <w:pStyle w:val="FootnoteText"/>
      </w:pPr>
      <w:r>
        <w:rPr>
          <w:rStyle w:val="FootnoteReference"/>
        </w:rPr>
        <w:footnoteRef/>
      </w:r>
      <w:r>
        <w:t xml:space="preserve"> </w:t>
      </w:r>
      <w:r w:rsidRPr="005F5C89">
        <w:rPr>
          <w:i/>
        </w:rPr>
        <w:t>See</w:t>
      </w:r>
      <w:r>
        <w:t xml:space="preserve"> GAO Report at 14-15.</w:t>
      </w:r>
    </w:p>
  </w:footnote>
  <w:footnote w:id="39">
    <w:p w:rsidR="00E57FF7" w:rsidRDefault="00E57FF7" w:rsidP="007970A3">
      <w:pPr>
        <w:pStyle w:val="FootnoteText"/>
      </w:pPr>
      <w:r>
        <w:rPr>
          <w:rStyle w:val="FootnoteReference"/>
        </w:rPr>
        <w:footnoteRef/>
      </w:r>
      <w:r>
        <w:t xml:space="preserve"> The percentages shown are the estimated allocations for FY 2013 when the fee rate increases are capped at 7.5%.  The actual fees to be paid for FY 2013 may be affected by additional factors, such as number of subscribers, revenues, or other units to which the capped fee rate will be applied. </w:t>
      </w:r>
    </w:p>
  </w:footnote>
  <w:footnote w:id="40">
    <w:p w:rsidR="00E57FF7" w:rsidRDefault="00E57FF7" w:rsidP="007970A3">
      <w:pPr>
        <w:pStyle w:val="FootnoteText"/>
      </w:pPr>
      <w:r>
        <w:rPr>
          <w:rStyle w:val="FootnoteReference"/>
        </w:rPr>
        <w:footnoteRef/>
      </w:r>
      <w:r>
        <w:t xml:space="preserve"> This result reflects  an approximately ten percent (10%) reduction in the ITSP fee rate from what it would have been in FY 2012 but for the off-setting rate freez</w:t>
      </w:r>
      <w:r w:rsidRPr="00EE6CEB">
        <w:t>e for ITSP’s</w:t>
      </w:r>
      <w:r>
        <w:t xml:space="preserve"> applied in our FY 2012 Order. </w:t>
      </w:r>
    </w:p>
  </w:footnote>
  <w:footnote w:id="41">
    <w:p w:rsidR="00E57FF7" w:rsidRDefault="00E57FF7" w:rsidP="00EE6CEB">
      <w:pPr>
        <w:pStyle w:val="FootnoteText"/>
      </w:pPr>
      <w:r>
        <w:rPr>
          <w:rStyle w:val="FootnoteReference"/>
        </w:rPr>
        <w:footnoteRef/>
      </w:r>
      <w:r>
        <w:t xml:space="preserve"> </w:t>
      </w:r>
      <w:r w:rsidRPr="00EA2A32">
        <w:rPr>
          <w:i/>
        </w:rPr>
        <w:t>See</w:t>
      </w:r>
      <w:r w:rsidRPr="00680A51">
        <w:rPr>
          <w:i/>
        </w:rPr>
        <w:t xml:space="preserve"> </w:t>
      </w:r>
      <w:r w:rsidRPr="00A5122D">
        <w:rPr>
          <w:i/>
        </w:rPr>
        <w:t>FY 20</w:t>
      </w:r>
      <w:r>
        <w:rPr>
          <w:i/>
        </w:rPr>
        <w:t>12 NPRM</w:t>
      </w:r>
      <w:r>
        <w:t>, 27 FCC Rcd at 8467, paras. 24-25.</w:t>
      </w:r>
    </w:p>
  </w:footnote>
  <w:footnote w:id="42">
    <w:p w:rsidR="00E57FF7" w:rsidRPr="00A1103B" w:rsidRDefault="00E57FF7" w:rsidP="00A1103B">
      <w:pPr>
        <w:pStyle w:val="FootnoteText"/>
      </w:pPr>
      <w:r w:rsidRPr="00A1103B">
        <w:rPr>
          <w:rStyle w:val="FootnoteReference"/>
        </w:rPr>
        <w:footnoteRef/>
      </w:r>
      <w:r w:rsidRPr="00A1103B">
        <w:t xml:space="preserve"> </w:t>
      </w:r>
      <w:r w:rsidRPr="00A1103B">
        <w:rPr>
          <w:i/>
        </w:rPr>
        <w:t>FY 2012 NPRM</w:t>
      </w:r>
      <w:r w:rsidRPr="00A1103B">
        <w:t>, 27 FCC Rcd at 8467, paras. 24-25.</w:t>
      </w:r>
    </w:p>
  </w:footnote>
  <w:footnote w:id="43">
    <w:p w:rsidR="00E57FF7" w:rsidRPr="00A1103B" w:rsidRDefault="00E57FF7" w:rsidP="00A1103B">
      <w:pPr>
        <w:pStyle w:val="FootnoteText"/>
      </w:pPr>
      <w:r w:rsidRPr="00A1103B">
        <w:rPr>
          <w:rStyle w:val="FootnoteReference"/>
        </w:rPr>
        <w:footnoteRef/>
      </w:r>
      <w:r w:rsidRPr="00A1103B">
        <w:t xml:space="preserve"> The predecessor to the Wireless Telecommunications Bureau.</w:t>
      </w:r>
    </w:p>
  </w:footnote>
  <w:footnote w:id="44">
    <w:p w:rsidR="00E57FF7" w:rsidRPr="00A1103B" w:rsidRDefault="00E57FF7" w:rsidP="00A1103B">
      <w:pPr>
        <w:pStyle w:val="FootnoteText"/>
      </w:pPr>
      <w:r w:rsidRPr="00A1103B">
        <w:rPr>
          <w:rStyle w:val="FootnoteReference"/>
        </w:rPr>
        <w:footnoteRef/>
      </w:r>
      <w:r w:rsidRPr="00A1103B">
        <w:t xml:space="preserve"> Now the Media Bureau.</w:t>
      </w:r>
    </w:p>
  </w:footnote>
  <w:footnote w:id="45">
    <w:p w:rsidR="00E57FF7" w:rsidRPr="00A1103B" w:rsidRDefault="00E57FF7" w:rsidP="00A1103B">
      <w:pPr>
        <w:pStyle w:val="FootnoteText"/>
      </w:pPr>
      <w:r w:rsidRPr="00A1103B">
        <w:rPr>
          <w:rStyle w:val="FootnoteReference"/>
        </w:rPr>
        <w:footnoteRef/>
      </w:r>
      <w:r w:rsidRPr="00A1103B">
        <w:t xml:space="preserve"> The predecessor to the Wireline Competition Bureau.</w:t>
      </w:r>
    </w:p>
  </w:footnote>
  <w:footnote w:id="46">
    <w:p w:rsidR="00E57FF7" w:rsidRPr="00A1103B" w:rsidRDefault="00E57FF7" w:rsidP="00A1103B">
      <w:pPr>
        <w:pStyle w:val="FootnoteText"/>
      </w:pPr>
      <w:r w:rsidRPr="00A1103B">
        <w:rPr>
          <w:rStyle w:val="FootnoteReference"/>
        </w:rPr>
        <w:footnoteRef/>
      </w:r>
      <w:r w:rsidRPr="00A1103B">
        <w:t xml:space="preserve"> Apart from DBS </w:t>
      </w:r>
      <w:r>
        <w:t xml:space="preserve">video services, </w:t>
      </w:r>
      <w:r w:rsidRPr="00A1103B">
        <w:t xml:space="preserve">for the most part the International Bureau </w:t>
      </w:r>
      <w:r>
        <w:t>regulatees</w:t>
      </w:r>
      <w:r w:rsidRPr="00A1103B">
        <w:t xml:space="preserve"> do not offer the same services as the wireline, wireless, and cable companies</w:t>
      </w:r>
      <w:r>
        <w:t>, although wireline and wireless companies use the services, e.g. submarine cables that International Bureau regulatees provide.</w:t>
      </w:r>
    </w:p>
  </w:footnote>
  <w:footnote w:id="47">
    <w:p w:rsidR="00E57FF7" w:rsidRPr="00A1103B" w:rsidRDefault="00E57FF7" w:rsidP="00A1103B">
      <w:pPr>
        <w:pStyle w:val="FootnoteText"/>
      </w:pPr>
      <w:r w:rsidRPr="00A1103B">
        <w:rPr>
          <w:rStyle w:val="FootnoteReference"/>
        </w:rPr>
        <w:footnoteRef/>
      </w:r>
      <w:r w:rsidRPr="00A1103B">
        <w:t xml:space="preserve"> </w:t>
      </w:r>
      <w:r w:rsidRPr="00A1103B">
        <w:rPr>
          <w:i/>
        </w:rPr>
        <w:t>See</w:t>
      </w:r>
      <w:r w:rsidRPr="00A1103B">
        <w:t xml:space="preserve"> </w:t>
      </w:r>
      <w:r w:rsidRPr="00A1103B">
        <w:rPr>
          <w:i/>
        </w:rPr>
        <w:t>FY 2012 NPRM</w:t>
      </w:r>
      <w:r w:rsidRPr="00A1103B">
        <w:t>, 27 FCC Rcd at 8467-68, para. 26.</w:t>
      </w:r>
    </w:p>
  </w:footnote>
  <w:footnote w:id="48">
    <w:p w:rsidR="00E57FF7" w:rsidRPr="00A1103B" w:rsidRDefault="00E57FF7" w:rsidP="00A1103B">
      <w:pPr>
        <w:pStyle w:val="FootnoteText"/>
      </w:pPr>
      <w:r w:rsidRPr="00A1103B">
        <w:rPr>
          <w:rStyle w:val="FootnoteReference"/>
        </w:rPr>
        <w:footnoteRef/>
      </w:r>
      <w:r w:rsidRPr="00A1103B">
        <w:t xml:space="preserve"> </w:t>
      </w:r>
      <w:r w:rsidRPr="00A1103B">
        <w:rPr>
          <w:i/>
        </w:rPr>
        <w:t>See</w:t>
      </w:r>
      <w:r>
        <w:rPr>
          <w:i/>
        </w:rPr>
        <w:t xml:space="preserve"> id.</w:t>
      </w:r>
      <w:r w:rsidRPr="00A1103B">
        <w:t>, 27 FCC Rcd at 8467-68, paras. 26-27; North American Submarine Cable Association Comments at 28.</w:t>
      </w:r>
    </w:p>
  </w:footnote>
  <w:footnote w:id="49">
    <w:p w:rsidR="00E57FF7" w:rsidRPr="00A1103B" w:rsidRDefault="00E57FF7" w:rsidP="00A1103B">
      <w:pPr>
        <w:pStyle w:val="FootnoteText"/>
      </w:pPr>
      <w:r w:rsidRPr="00A1103B">
        <w:rPr>
          <w:rStyle w:val="FootnoteReference"/>
        </w:rPr>
        <w:footnoteRef/>
      </w:r>
      <w:r w:rsidRPr="00A1103B">
        <w:t xml:space="preserve"> </w:t>
      </w:r>
      <w:r w:rsidRPr="00A1103B">
        <w:rPr>
          <w:i/>
        </w:rPr>
        <w:t>See Amendment of the Commission’s Regulatory Policies to Allow Non-U.S.-Licensed Space Stations to Provide Domestic and International Satellite Service in the United States</w:t>
      </w:r>
      <w:r w:rsidRPr="00A1103B">
        <w:t>, IB Docket No. 96-111,</w:t>
      </w:r>
      <w:r>
        <w:t xml:space="preserve"> </w:t>
      </w:r>
      <w:r w:rsidRPr="00A1103B">
        <w:t>First Order on Reconsideration, 15 FCC Rcd 7207 (1999) (</w:t>
      </w:r>
      <w:r w:rsidRPr="00A1103B">
        <w:rPr>
          <w:i/>
        </w:rPr>
        <w:t>DISCO II First Reconsideration Order</w:t>
      </w:r>
      <w:r w:rsidRPr="00A1103B">
        <w:t>) (adopting the original procedure for making changes to the Permitted List).</w:t>
      </w:r>
      <w:r>
        <w:t xml:space="preserve"> </w:t>
      </w:r>
      <w:r w:rsidRPr="000A348F">
        <w:rPr>
          <w:i/>
        </w:rPr>
        <w:t>See also 2006 Bienn</w:t>
      </w:r>
      <w:r>
        <w:rPr>
          <w:i/>
        </w:rPr>
        <w:t>i</w:t>
      </w:r>
      <w:r w:rsidRPr="000A348F">
        <w:rPr>
          <w:i/>
        </w:rPr>
        <w:t>al Regulatory Review—Revision of Part 25, Establishment of a Permitted List Procedure for Ka-band Space Stations</w:t>
      </w:r>
      <w:r>
        <w:t>, IB Docket No. 06-154, Declaratory Order, 25 FCC Rcd 1542 (2010).</w:t>
      </w:r>
    </w:p>
  </w:footnote>
  <w:footnote w:id="50">
    <w:p w:rsidR="00E57FF7" w:rsidRPr="00A1103B" w:rsidRDefault="00E57FF7" w:rsidP="00A1103B">
      <w:pPr>
        <w:pStyle w:val="FootnoteText"/>
      </w:pPr>
      <w:r w:rsidRPr="00A1103B">
        <w:rPr>
          <w:rStyle w:val="FootnoteReference"/>
        </w:rPr>
        <w:footnoteRef/>
      </w:r>
      <w:r w:rsidRPr="00A1103B">
        <w:t xml:space="preserve"> This is the process used by </w:t>
      </w:r>
      <w:r>
        <w:t xml:space="preserve">certain </w:t>
      </w:r>
      <w:r w:rsidRPr="00A1103B">
        <w:t>non-U.S.-licensed satellite operators to serve customers in the U</w:t>
      </w:r>
      <w:r>
        <w:t>nited States</w:t>
      </w:r>
      <w:r w:rsidRPr="00A1103B">
        <w:t>.  These satellite operators may file a petition for a Declaratory Ruling seeking approval to provide service in the U</w:t>
      </w:r>
      <w:r>
        <w:t>nited States</w:t>
      </w:r>
      <w:r w:rsidRPr="00A1103B">
        <w:t>.  The</w:t>
      </w:r>
      <w:r>
        <w:t>se operators</w:t>
      </w:r>
      <w:r w:rsidRPr="00A1103B">
        <w:t xml:space="preserve"> do not pay application fees or regulatory fees to the Commission, yet their petition</w:t>
      </w:r>
      <w:r>
        <w:t>s</w:t>
      </w:r>
      <w:r w:rsidRPr="00A1103B">
        <w:t xml:space="preserve">, together with the information required by an application, </w:t>
      </w:r>
      <w:r>
        <w:t>are</w:t>
      </w:r>
      <w:r w:rsidRPr="00A1103B">
        <w:t xml:space="preserve"> analyzed by Satellite Division staff and these operators benefit from International Bureau regulatory activities.</w:t>
      </w:r>
    </w:p>
  </w:footnote>
  <w:footnote w:id="51">
    <w:p w:rsidR="00E57FF7" w:rsidRPr="00A1103B" w:rsidRDefault="00E57FF7" w:rsidP="00A1103B">
      <w:pPr>
        <w:pStyle w:val="FootnoteText"/>
      </w:pPr>
      <w:r w:rsidRPr="00A1103B">
        <w:rPr>
          <w:rStyle w:val="FootnoteReference"/>
        </w:rPr>
        <w:footnoteRef/>
      </w:r>
      <w:r w:rsidRPr="00A1103B">
        <w:t xml:space="preserve"> Indirect FTEs would be allocated to these </w:t>
      </w:r>
      <w:r>
        <w:t>entities</w:t>
      </w:r>
      <w:r w:rsidRPr="00A1103B">
        <w:t xml:space="preserve"> as they are for all regula</w:t>
      </w:r>
      <w:r>
        <w:t>tory fee payors.</w:t>
      </w:r>
    </w:p>
  </w:footnote>
  <w:footnote w:id="52">
    <w:p w:rsidR="00E57FF7" w:rsidRPr="00A1103B" w:rsidRDefault="00E57FF7" w:rsidP="00A1103B">
      <w:pPr>
        <w:pStyle w:val="FootnoteText"/>
      </w:pPr>
      <w:r w:rsidRPr="00A1103B">
        <w:rPr>
          <w:rStyle w:val="FootnoteReference"/>
        </w:rPr>
        <w:footnoteRef/>
      </w:r>
      <w:r w:rsidRPr="00A1103B">
        <w:t xml:space="preserve"> </w:t>
      </w:r>
      <w:r w:rsidRPr="00A1103B">
        <w:rPr>
          <w:i/>
        </w:rPr>
        <w:t>See</w:t>
      </w:r>
      <w:r w:rsidRPr="00A1103B">
        <w:t xml:space="preserve"> Satellite Industry Association Comments at 13.  </w:t>
      </w:r>
    </w:p>
  </w:footnote>
  <w:footnote w:id="53">
    <w:p w:rsidR="00E57FF7" w:rsidRPr="00A1103B" w:rsidRDefault="00E57FF7" w:rsidP="00A1103B">
      <w:pPr>
        <w:pStyle w:val="FootnoteText"/>
      </w:pPr>
      <w:r w:rsidRPr="00A1103B">
        <w:rPr>
          <w:rStyle w:val="FootnoteReference"/>
        </w:rPr>
        <w:footnoteRef/>
      </w:r>
      <w:r w:rsidRPr="00A1103B">
        <w:t xml:space="preserve"> </w:t>
      </w:r>
      <w:r w:rsidRPr="00A1103B">
        <w:rPr>
          <w:i/>
        </w:rPr>
        <w:t>See</w:t>
      </w:r>
      <w:r w:rsidRPr="00A1103B">
        <w:t xml:space="preserve"> Satellite Industry Association Comments at 14.</w:t>
      </w:r>
    </w:p>
  </w:footnote>
  <w:footnote w:id="54">
    <w:p w:rsidR="00E57FF7" w:rsidRPr="00A1103B" w:rsidRDefault="00E57FF7" w:rsidP="00A1103B">
      <w:pPr>
        <w:pStyle w:val="FootnoteText"/>
      </w:pPr>
      <w:r w:rsidRPr="00A1103B">
        <w:rPr>
          <w:rStyle w:val="FootnoteReference"/>
        </w:rPr>
        <w:footnoteRef/>
      </w:r>
      <w:r w:rsidRPr="00A1103B">
        <w:t xml:space="preserve"> </w:t>
      </w:r>
      <w:r w:rsidRPr="00A1103B">
        <w:rPr>
          <w:i/>
        </w:rPr>
        <w:t>See</w:t>
      </w:r>
      <w:r w:rsidRPr="00A1103B">
        <w:t xml:space="preserve"> Joint Reply Comments of International Carrier Coalition at 3.  </w:t>
      </w:r>
      <w:r w:rsidRPr="00A1103B">
        <w:rPr>
          <w:i/>
        </w:rPr>
        <w:t>See also</w:t>
      </w:r>
      <w:r w:rsidRPr="00A1103B">
        <w:t xml:space="preserve"> Telstra Incorporated and Australia-Japan Cable (Guam) Limited Comments at 3 (“the Commission’s primary regulatory activity is the granting of the cable landing license.”)</w:t>
      </w:r>
      <w:r>
        <w:t>.</w:t>
      </w:r>
    </w:p>
  </w:footnote>
  <w:footnote w:id="55">
    <w:p w:rsidR="00E57FF7" w:rsidRPr="00A1103B" w:rsidRDefault="00E57FF7" w:rsidP="00A1103B">
      <w:pPr>
        <w:pStyle w:val="FootnoteText"/>
      </w:pPr>
      <w:r w:rsidRPr="00A1103B">
        <w:rPr>
          <w:rStyle w:val="FootnoteReference"/>
        </w:rPr>
        <w:footnoteRef/>
      </w:r>
      <w:r w:rsidRPr="00A1103B">
        <w:t xml:space="preserve"> The</w:t>
      </w:r>
      <w:r>
        <w:t>re are</w:t>
      </w:r>
      <w:r w:rsidRPr="00A1103B">
        <w:t xml:space="preserve"> 42 international submarine cable systems </w:t>
      </w:r>
      <w:r>
        <w:t xml:space="preserve">in operation </w:t>
      </w:r>
      <w:r w:rsidRPr="00A1103B">
        <w:t>subject to regulatory fees</w:t>
      </w:r>
      <w:r>
        <w:t xml:space="preserve"> and one more licensed system that will become subject to regulatory fees when it becomes operational</w:t>
      </w:r>
      <w:r w:rsidRPr="00A1103B">
        <w:t>.</w:t>
      </w:r>
    </w:p>
  </w:footnote>
  <w:footnote w:id="56">
    <w:p w:rsidR="00E57FF7" w:rsidRDefault="00E57FF7" w:rsidP="005F5C89">
      <w:pPr>
        <w:pStyle w:val="FootnoteText"/>
      </w:pPr>
      <w:r>
        <w:rPr>
          <w:rStyle w:val="FootnoteReference"/>
        </w:rPr>
        <w:footnoteRef/>
      </w:r>
      <w:r>
        <w:t xml:space="preserve"> Submarine cables transport approximately 95 percent of U.S. international traffic.  </w:t>
      </w:r>
      <w:r w:rsidRPr="005F5C89">
        <w:rPr>
          <w:i/>
        </w:rPr>
        <w:t>See</w:t>
      </w:r>
      <w:r>
        <w:t xml:space="preserve"> </w:t>
      </w:r>
      <w:r w:rsidRPr="00A1103B">
        <w:t>North American Submarine Cable Association Comments</w:t>
      </w:r>
      <w:r>
        <w:t xml:space="preserve"> at 15.</w:t>
      </w:r>
    </w:p>
  </w:footnote>
  <w:footnote w:id="57">
    <w:p w:rsidR="00E57FF7" w:rsidRPr="00A1103B" w:rsidRDefault="00E57FF7" w:rsidP="00A1103B">
      <w:pPr>
        <w:pStyle w:val="FootnoteText"/>
      </w:pPr>
      <w:r w:rsidRPr="00A1103B">
        <w:rPr>
          <w:rStyle w:val="FootnoteReference"/>
        </w:rPr>
        <w:footnoteRef/>
      </w:r>
      <w:r w:rsidRPr="00A1103B">
        <w:t xml:space="preserve"> </w:t>
      </w:r>
      <w:r w:rsidRPr="00A1103B">
        <w:rPr>
          <w:i/>
        </w:rPr>
        <w:t>See</w:t>
      </w:r>
      <w:r w:rsidRPr="00A1103B">
        <w:t xml:space="preserve"> North American Submarine Cable Association Comments at 4.</w:t>
      </w:r>
    </w:p>
  </w:footnote>
  <w:footnote w:id="58">
    <w:p w:rsidR="00E57FF7" w:rsidRPr="00A1103B" w:rsidRDefault="00E57FF7" w:rsidP="00A1103B">
      <w:pPr>
        <w:pStyle w:val="FootnoteText"/>
      </w:pPr>
      <w:r w:rsidRPr="00A1103B">
        <w:rPr>
          <w:rStyle w:val="FootnoteReference"/>
        </w:rPr>
        <w:footnoteRef/>
      </w:r>
      <w:r w:rsidRPr="00A1103B">
        <w:t xml:space="preserve"> </w:t>
      </w:r>
      <w:r w:rsidRPr="00A1103B">
        <w:rPr>
          <w:i/>
        </w:rPr>
        <w:t xml:space="preserve">See id. </w:t>
      </w:r>
      <w:r w:rsidRPr="00A1103B">
        <w:t>at 18-19; Telstra Incorporated and Australia-Japan Cable (Guam) Limited Comments at 4.</w:t>
      </w:r>
    </w:p>
  </w:footnote>
  <w:footnote w:id="59">
    <w:p w:rsidR="00E57FF7" w:rsidRPr="00CF1212" w:rsidRDefault="00E57FF7" w:rsidP="005F5C89">
      <w:pPr>
        <w:pStyle w:val="FootnoteText"/>
      </w:pPr>
      <w:r>
        <w:rPr>
          <w:rStyle w:val="FootnoteReference"/>
        </w:rPr>
        <w:footnoteRef/>
      </w:r>
      <w:r>
        <w:t xml:space="preserve"> The annual regulatory fees charged to submarine cable systems are much higher in the U.S. than in other countries.  </w:t>
      </w:r>
      <w:r w:rsidRPr="005F5C89">
        <w:rPr>
          <w:i/>
        </w:rPr>
        <w:t>See</w:t>
      </w:r>
      <w:r>
        <w:t xml:space="preserve"> Joint Comments of International Carrier Coalition at 13.  Canada charges $100 (Canadian) per year.  </w:t>
      </w:r>
      <w:r w:rsidRPr="005F5C89">
        <w:rPr>
          <w:i/>
        </w:rPr>
        <w:t>Id</w:t>
      </w:r>
      <w:r>
        <w:t xml:space="preserve">. at 14.  Several other countries charge fees on telecommunications companies that would include submarine cable operators, although there is no special category or assessment for submarine cable systems; </w:t>
      </w:r>
      <w:r w:rsidRPr="00804BD9">
        <w:t>e.g.,</w:t>
      </w:r>
      <w:r>
        <w:t xml:space="preserve"> the United Kingdom (.0609% of UK revenues); Spain (less than .2% of revenues in Spain); the Netherlands (.077% of revenues in the Netherlands), Argentina (.5% of revenues in Argentina); and Australia ($1,000 (Australian) plus .00118% Australian revenues.  </w:t>
      </w:r>
      <w:r w:rsidRPr="005F5C89">
        <w:rPr>
          <w:i/>
        </w:rPr>
        <w:t>Id.</w:t>
      </w:r>
      <w:r>
        <w:rPr>
          <w:i/>
        </w:rPr>
        <w:t xml:space="preserve">  </w:t>
      </w:r>
      <w:r>
        <w:t xml:space="preserve">Many other countries, such as Japan, Germany, and Mexico, do not charge regulatory fees at all.  </w:t>
      </w:r>
      <w:r w:rsidRPr="005F5C89">
        <w:rPr>
          <w:i/>
        </w:rPr>
        <w:t>Id.</w:t>
      </w:r>
      <w:r>
        <w:rPr>
          <w:i/>
        </w:rPr>
        <w:t xml:space="preserve">  </w:t>
      </w:r>
      <w:r w:rsidRPr="00B32272">
        <w:rPr>
          <w:i/>
        </w:rPr>
        <w:t>See also</w:t>
      </w:r>
      <w:r>
        <w:t xml:space="preserve"> </w:t>
      </w:r>
      <w:r>
        <w:rPr>
          <w:color w:val="000000"/>
          <w:szCs w:val="22"/>
        </w:rPr>
        <w:t>North American Submarine Cable Association, MD Docket Nos. 12-201 and 08-65, Notice of Ex Parte Presentation (Mar. 27, 2013) at 3 (“Asia, Hong Kong, Singapore, and Malaysia compete fiercely for submarine cable landings to maintain and improve their connectivity and support their services industries.”).</w:t>
      </w:r>
    </w:p>
  </w:footnote>
  <w:footnote w:id="60">
    <w:p w:rsidR="00E57FF7" w:rsidRPr="00A1103B" w:rsidRDefault="00E57FF7" w:rsidP="00A1103B">
      <w:pPr>
        <w:pStyle w:val="FootnoteText"/>
      </w:pPr>
      <w:r w:rsidRPr="00A1103B">
        <w:rPr>
          <w:rStyle w:val="FootnoteReference"/>
        </w:rPr>
        <w:footnoteRef/>
      </w:r>
      <w:r w:rsidRPr="00A1103B">
        <w:t xml:space="preserve"> </w:t>
      </w:r>
      <w:r w:rsidRPr="00A1103B">
        <w:rPr>
          <w:i/>
        </w:rPr>
        <w:t>See, e.g</w:t>
      </w:r>
      <w:r w:rsidRPr="00A1103B">
        <w:t>., Joint Comments of International Carrier Coalition at 17 (additionally,</w:t>
      </w:r>
      <w:r>
        <w:t xml:space="preserve"> “</w:t>
      </w:r>
      <w:r w:rsidRPr="00A1103B">
        <w:t>[l]andings outside of the US are also outside the reach of US law enforcement authorities and cannot be monitored for evidence of criminal or terrorist activity.</w:t>
      </w:r>
      <w:r>
        <w:t>”</w:t>
      </w:r>
      <w:r w:rsidRPr="00A1103B">
        <w:t>)</w:t>
      </w:r>
      <w:r>
        <w:t>.</w:t>
      </w:r>
    </w:p>
  </w:footnote>
  <w:footnote w:id="61">
    <w:p w:rsidR="00E57FF7" w:rsidRDefault="00E57FF7" w:rsidP="00A851C7">
      <w:pPr>
        <w:pStyle w:val="FootnoteText"/>
      </w:pPr>
      <w:r>
        <w:rPr>
          <w:rStyle w:val="FootnoteReference"/>
        </w:rPr>
        <w:footnoteRef/>
      </w:r>
      <w:r>
        <w:t xml:space="preserve"> </w:t>
      </w:r>
      <w:r w:rsidRPr="00A851C7">
        <w:rPr>
          <w:i/>
        </w:rPr>
        <w:t>Id.</w:t>
      </w:r>
    </w:p>
  </w:footnote>
  <w:footnote w:id="62">
    <w:p w:rsidR="00E57FF7" w:rsidRPr="00A1103B" w:rsidRDefault="00E57FF7" w:rsidP="00A1103B">
      <w:pPr>
        <w:pStyle w:val="FootnoteText"/>
      </w:pPr>
      <w:r w:rsidRPr="00A1103B">
        <w:rPr>
          <w:rStyle w:val="FootnoteReference"/>
        </w:rPr>
        <w:footnoteRef/>
      </w:r>
      <w:r w:rsidRPr="00A1103B">
        <w:t xml:space="preserve"> </w:t>
      </w:r>
      <w:r w:rsidRPr="00A1103B">
        <w:rPr>
          <w:i/>
        </w:rPr>
        <w:t>Assessment and Collection of Regulatory Fees for Fiscal Year 2008</w:t>
      </w:r>
      <w:r w:rsidRPr="00A1103B">
        <w:t>, Second Report and Order, 24 FCC Rcd 4208 (2009) (</w:t>
      </w:r>
      <w:r w:rsidRPr="00A1103B">
        <w:rPr>
          <w:i/>
        </w:rPr>
        <w:t>Submarine Cable Order</w:t>
      </w:r>
      <w:r w:rsidRPr="00A1103B">
        <w:t>).</w:t>
      </w:r>
    </w:p>
  </w:footnote>
  <w:footnote w:id="63">
    <w:p w:rsidR="00E57FF7" w:rsidRPr="00A1103B" w:rsidRDefault="00E57FF7" w:rsidP="00A1103B">
      <w:pPr>
        <w:pStyle w:val="FootnoteText"/>
      </w:pPr>
      <w:r w:rsidRPr="00A1103B">
        <w:rPr>
          <w:rStyle w:val="FootnoteReference"/>
        </w:rPr>
        <w:footnoteRef/>
      </w:r>
      <w:r w:rsidRPr="00A1103B">
        <w:t xml:space="preserve"> The 15 parties to the Consensus Proposal represented 35 of the 42 international submarine cable systems in operation as well as three planned systems.  </w:t>
      </w:r>
      <w:r w:rsidRPr="00A1103B">
        <w:rPr>
          <w:i/>
        </w:rPr>
        <w:t>Submarine Cable Order</w:t>
      </w:r>
      <w:r w:rsidRPr="00A1103B">
        <w:t>, 24 FCC Rcd at 4213, para. 11.</w:t>
      </w:r>
    </w:p>
  </w:footnote>
  <w:footnote w:id="64">
    <w:p w:rsidR="00E57FF7" w:rsidRPr="00A1103B" w:rsidRDefault="00E57FF7" w:rsidP="00A1103B">
      <w:pPr>
        <w:pStyle w:val="FootnoteText"/>
      </w:pPr>
      <w:r w:rsidRPr="00A1103B">
        <w:rPr>
          <w:rStyle w:val="FootnoteReference"/>
        </w:rPr>
        <w:footnoteRef/>
      </w:r>
      <w:r w:rsidRPr="00A1103B">
        <w:t xml:space="preserve"> Geostationary Space Stations are higher, at 3.23%, as are ITSP (46.66%), CMRS Mobile (14.33%), Cable TV (16.55%), and FM Classes B, C, C0, C1, &amp; C2 (2.62%).  Of all the International Bureau </w:t>
      </w:r>
      <w:r>
        <w:t>regulatees</w:t>
      </w:r>
      <w:r w:rsidRPr="00A1103B">
        <w:t>, (presently, 6.32 % of all regulatory fees) the Submarine Cable systems pay 36.08%.</w:t>
      </w:r>
    </w:p>
  </w:footnote>
  <w:footnote w:id="65">
    <w:p w:rsidR="00E57FF7" w:rsidRPr="00A1103B" w:rsidRDefault="00E57FF7" w:rsidP="00A1103B">
      <w:pPr>
        <w:pStyle w:val="FootnoteText"/>
      </w:pPr>
      <w:r w:rsidRPr="00A1103B">
        <w:rPr>
          <w:rStyle w:val="FootnoteReference"/>
        </w:rPr>
        <w:footnoteRef/>
      </w:r>
      <w:r w:rsidRPr="00A1103B">
        <w:t xml:space="preserve"> </w:t>
      </w:r>
      <w:r>
        <w:t xml:space="preserve">The Commission recently made changes to the international reporting requirements, which have yet to go into effect.  </w:t>
      </w:r>
      <w:r w:rsidRPr="005F5C89">
        <w:rPr>
          <w:i/>
        </w:rPr>
        <w:t>See</w:t>
      </w:r>
      <w:r>
        <w:t xml:space="preserve"> </w:t>
      </w:r>
      <w:r w:rsidRPr="00A1103B">
        <w:rPr>
          <w:i/>
        </w:rPr>
        <w:t>Reporting Requirements for U.S. Providers of International Telecommunications Services</w:t>
      </w:r>
      <w:r w:rsidRPr="00A1103B">
        <w:t>, IB Docket No. 04-112, Second Report and Order, 28 FCC Rcd 575 (2013).</w:t>
      </w:r>
    </w:p>
  </w:footnote>
  <w:footnote w:id="66">
    <w:p w:rsidR="00E57FF7" w:rsidRPr="00A1103B" w:rsidRDefault="00E57FF7" w:rsidP="00A43F07">
      <w:pPr>
        <w:pStyle w:val="FootnoteText"/>
      </w:pPr>
      <w:r w:rsidRPr="00A1103B">
        <w:rPr>
          <w:rStyle w:val="FootnoteReference"/>
        </w:rPr>
        <w:footnoteRef/>
      </w:r>
      <w:r w:rsidRPr="00A1103B">
        <w:t xml:space="preserve"> The Commission, through the International Bureau Policy Division, seeks to ensure that the applicant controls one of the necessary inputs of the submarine cable system (the wet link, cable landing station, or back haul facilities).  </w:t>
      </w:r>
    </w:p>
  </w:footnote>
  <w:footnote w:id="67">
    <w:p w:rsidR="00E57FF7" w:rsidRDefault="00E57FF7" w:rsidP="00C400A4">
      <w:pPr>
        <w:pStyle w:val="FootnoteText"/>
      </w:pPr>
      <w:r>
        <w:rPr>
          <w:rStyle w:val="FootnoteReference"/>
        </w:rPr>
        <w:footnoteRef/>
      </w:r>
      <w:r>
        <w:t xml:space="preserve"> </w:t>
      </w:r>
      <w:r w:rsidRPr="00011FC4">
        <w:rPr>
          <w:i/>
        </w:rPr>
        <w:t>See Assessment and Collection of Regulatory Fees for Fiscal Year 1997</w:t>
      </w:r>
      <w:r>
        <w:t>, Report and Order, 12 FCC 17161, 17176, para. 37 (1997).</w:t>
      </w:r>
    </w:p>
  </w:footnote>
  <w:footnote w:id="68">
    <w:p w:rsidR="00E57FF7" w:rsidRDefault="00E57FF7" w:rsidP="00B32272">
      <w:pPr>
        <w:pStyle w:val="FootnoteText"/>
      </w:pPr>
      <w:r>
        <w:rPr>
          <w:rStyle w:val="FootnoteReference"/>
        </w:rPr>
        <w:footnoteRef/>
      </w:r>
      <w:r>
        <w:t xml:space="preserve"> The cap would not limit changes in regulatory fees paid by a particular payor resulting from other factors, such as increased or decreased revenues, changes in subscriber numbers, number of licenses, etc.</w:t>
      </w:r>
    </w:p>
  </w:footnote>
  <w:footnote w:id="69">
    <w:p w:rsidR="00E57FF7" w:rsidRDefault="00E57FF7" w:rsidP="00B67408">
      <w:pPr>
        <w:pStyle w:val="FootnoteText"/>
      </w:pPr>
      <w:r>
        <w:rPr>
          <w:rStyle w:val="FootnoteReference"/>
        </w:rPr>
        <w:footnoteRef/>
      </w:r>
      <w:r>
        <w:t xml:space="preserve"> The fee rate of .00409 is based on the current allocation percent of 46.67 of our target goal of $339,844,000 with a projected ITSP revenue base (calendar year 2012) of $39 billion.  </w:t>
      </w:r>
    </w:p>
  </w:footnote>
  <w:footnote w:id="70">
    <w:p w:rsidR="00E57FF7" w:rsidRPr="00F4181E" w:rsidRDefault="00E57FF7" w:rsidP="00235538">
      <w:pPr>
        <w:pStyle w:val="FootnoteText"/>
      </w:pPr>
      <w:r>
        <w:rPr>
          <w:rStyle w:val="FootnoteReference"/>
        </w:rPr>
        <w:footnoteRef/>
      </w:r>
      <w:r>
        <w:t xml:space="preserve"> </w:t>
      </w:r>
      <w:r w:rsidRPr="00993CDC">
        <w:rPr>
          <w:i/>
        </w:rPr>
        <w:t>See</w:t>
      </w:r>
      <w:r w:rsidRPr="00993CDC">
        <w:t xml:space="preserve"> </w:t>
      </w:r>
      <w:r w:rsidRPr="00993CDC">
        <w:rPr>
          <w:i/>
        </w:rPr>
        <w:t>Assessment and Collection of Regulatory Fees for Fiscal Year 2010</w:t>
      </w:r>
      <w:r w:rsidRPr="00993CDC">
        <w:t>, Report and Order, 25 FCC Rc</w:t>
      </w:r>
      <w:r>
        <w:t>d 9278, 9285-86, at paras. 18 - 20 (2010) (</w:t>
      </w:r>
      <w:r w:rsidRPr="00993CDC">
        <w:rPr>
          <w:i/>
        </w:rPr>
        <w:t>FY 2010 Report and Order</w:t>
      </w:r>
      <w:r w:rsidRPr="00993CDC">
        <w:t>)</w:t>
      </w:r>
      <w:r>
        <w:t xml:space="preserve"> (Fireweed Communications argued that we should base the regulatory fee structure on three tiers; Sky Television, LLC, Spanish Broadcasting System, Inc., and Sarkes Tarzian argued that instead of six separate categories for both VHF and UHF we should combine them into six categories based on market size and thus eliminate any distinction between VHF and UHF.).  </w:t>
      </w:r>
      <w:r w:rsidRPr="00235538">
        <w:rPr>
          <w:i/>
        </w:rPr>
        <w:t>See also</w:t>
      </w:r>
      <w:r>
        <w:t xml:space="preserve"> Notice of Ex Parte Presentation, filed by Sarkes Tarzian, Inc. and Sky Television, LLC (Feb. 15, 2013) (arguing that VHF stations are less desirable than UHF stations and it was unfair to have higher fees for such stations; instead the fee category should be combined.).</w:t>
      </w:r>
    </w:p>
  </w:footnote>
  <w:footnote w:id="71">
    <w:p w:rsidR="00E57FF7" w:rsidRPr="00A1103B" w:rsidRDefault="00E57FF7" w:rsidP="0001128D">
      <w:pPr>
        <w:pStyle w:val="FootnoteText"/>
      </w:pPr>
      <w:r w:rsidRPr="00A1103B">
        <w:rPr>
          <w:rStyle w:val="FootnoteReference"/>
        </w:rPr>
        <w:footnoteRef/>
      </w:r>
      <w:r w:rsidRPr="00A1103B">
        <w:t xml:space="preserve"> </w:t>
      </w:r>
      <w:r w:rsidRPr="00A1103B">
        <w:rPr>
          <w:i/>
        </w:rPr>
        <w:t>FY 2008 FNPRM</w:t>
      </w:r>
      <w:r w:rsidRPr="00A1103B">
        <w:t>, 24 FCC Rcd at 6406-07, paras. 48-49.</w:t>
      </w:r>
    </w:p>
  </w:footnote>
  <w:footnote w:id="72">
    <w:p w:rsidR="00E57FF7" w:rsidRPr="00A1103B" w:rsidRDefault="00E57FF7" w:rsidP="00A1103B">
      <w:pPr>
        <w:pStyle w:val="FootnoteText"/>
      </w:pPr>
      <w:r w:rsidRPr="00A1103B">
        <w:rPr>
          <w:rStyle w:val="FootnoteReference"/>
        </w:rPr>
        <w:footnoteRef/>
      </w:r>
      <w:r w:rsidRPr="00A1103B">
        <w:t xml:space="preserve"> </w:t>
      </w:r>
      <w:r w:rsidRPr="00A1103B">
        <w:rPr>
          <w:i/>
        </w:rPr>
        <w:t>See Assessment and Collection of Regulatory Fees for Fiscal Year 1997</w:t>
      </w:r>
      <w:r w:rsidRPr="00A1103B">
        <w:t>, Report and Order, 12 FCC Rcd 17161, 17184-85, para. 60 (1997) (</w:t>
      </w:r>
      <w:r w:rsidRPr="00A1103B">
        <w:rPr>
          <w:i/>
        </w:rPr>
        <w:t>FY 1997 Report and Order</w:t>
      </w:r>
      <w:r w:rsidRPr="00A1103B">
        <w:t>).</w:t>
      </w:r>
    </w:p>
  </w:footnote>
  <w:footnote w:id="73">
    <w:p w:rsidR="00E57FF7" w:rsidRPr="00A1103B" w:rsidRDefault="00E57FF7" w:rsidP="00A1103B">
      <w:pPr>
        <w:pStyle w:val="FootnoteText"/>
      </w:pPr>
      <w:r w:rsidRPr="00A1103B">
        <w:rPr>
          <w:rStyle w:val="FootnoteReference"/>
        </w:rPr>
        <w:footnoteRef/>
      </w:r>
      <w:r w:rsidRPr="00A1103B">
        <w:t xml:space="preserve"> </w:t>
      </w:r>
      <w:r w:rsidRPr="00A1103B">
        <w:rPr>
          <w:i/>
        </w:rPr>
        <w:t>Assessment and Collection of Regulatory Fees for Fiscal Year 2003</w:t>
      </w:r>
      <w:r w:rsidRPr="00A1103B">
        <w:t>, Report and Order, 18 FCC Rcd 15985, 15992, para. 22 (2003) (</w:t>
      </w:r>
      <w:r w:rsidRPr="00A1103B">
        <w:rPr>
          <w:i/>
        </w:rPr>
        <w:t>FY 2003 Report and Order</w:t>
      </w:r>
      <w:r w:rsidRPr="00A1103B">
        <w:t>).</w:t>
      </w:r>
    </w:p>
  </w:footnote>
  <w:footnote w:id="74">
    <w:p w:rsidR="00E57FF7" w:rsidRPr="00A1103B" w:rsidRDefault="00E57FF7" w:rsidP="00A1103B">
      <w:pPr>
        <w:pStyle w:val="FootnoteText"/>
      </w:pPr>
      <w:r w:rsidRPr="00A1103B">
        <w:rPr>
          <w:rStyle w:val="FootnoteReference"/>
        </w:rPr>
        <w:footnoteRef/>
      </w:r>
      <w:r w:rsidRPr="00A1103B">
        <w:t xml:space="preserve"> </w:t>
      </w:r>
      <w:r w:rsidRPr="00A1103B">
        <w:rPr>
          <w:i/>
        </w:rPr>
        <w:t>FY 2003 Report and Order,</w:t>
      </w:r>
      <w:r w:rsidRPr="00A1103B">
        <w:t xml:space="preserve"> 18 FCC Rcd 15992, para. 21.</w:t>
      </w:r>
      <w:r w:rsidRPr="00476495">
        <w:t xml:space="preserve"> </w:t>
      </w:r>
      <w:r w:rsidRPr="00A1103B">
        <w:t xml:space="preserve">The subscriber base in the paging industry declined </w:t>
      </w:r>
      <w:r>
        <w:t>92</w:t>
      </w:r>
      <w:r w:rsidRPr="00A1103B">
        <w:t xml:space="preserve"> percent from 40.8 million to </w:t>
      </w:r>
      <w:r>
        <w:t>3.2</w:t>
      </w:r>
      <w:r w:rsidRPr="00A1103B">
        <w:t xml:space="preserve"> million between FY 1997 and FY 201</w:t>
      </w:r>
      <w:r>
        <w:t>2</w:t>
      </w:r>
      <w:r w:rsidRPr="00A1103B">
        <w:t>, according to FY 201</w:t>
      </w:r>
      <w:r>
        <w:t>2</w:t>
      </w:r>
      <w:r w:rsidRPr="00A1103B">
        <w:t xml:space="preserve"> collection data, as of Sept. 30, 201</w:t>
      </w:r>
      <w:r>
        <w:t>2</w:t>
      </w:r>
      <w:r w:rsidRPr="00A1103B">
        <w:t xml:space="preserve">. </w:t>
      </w:r>
      <w:r>
        <w:t xml:space="preserve">  </w:t>
      </w:r>
      <w:r w:rsidRPr="00A1103B">
        <w:rPr>
          <w:i/>
        </w:rPr>
        <w:t>See FY 2010 Report and Order</w:t>
      </w:r>
      <w:r w:rsidRPr="00A1103B">
        <w:t xml:space="preserve"> at note 8</w:t>
      </w:r>
      <w:r>
        <w:t>.</w:t>
      </w:r>
    </w:p>
  </w:footnote>
  <w:footnote w:id="75">
    <w:p w:rsidR="00E57FF7" w:rsidRPr="00A1103B" w:rsidRDefault="00E57FF7" w:rsidP="00A1103B">
      <w:pPr>
        <w:pStyle w:val="FootnoteText"/>
      </w:pPr>
      <w:r w:rsidRPr="00A1103B">
        <w:rPr>
          <w:rStyle w:val="FootnoteReference"/>
        </w:rPr>
        <w:footnoteRef/>
      </w:r>
      <w:r w:rsidRPr="00A1103B">
        <w:t xml:space="preserve"> </w:t>
      </w:r>
      <w:r w:rsidRPr="00A1103B">
        <w:rPr>
          <w:i/>
        </w:rPr>
        <w:t>FY 2003 Report and Order,</w:t>
      </w:r>
      <w:r w:rsidRPr="00A1103B">
        <w:t xml:space="preserve"> 18 FCC Rcd 15992, para. 22.</w:t>
      </w:r>
    </w:p>
  </w:footnote>
  <w:footnote w:id="76">
    <w:p w:rsidR="00E57FF7" w:rsidRDefault="00E57FF7" w:rsidP="008F2147">
      <w:pPr>
        <w:pStyle w:val="FootnoteText"/>
      </w:pPr>
      <w:r>
        <w:rPr>
          <w:rStyle w:val="FootnoteReference"/>
        </w:rPr>
        <w:footnoteRef/>
      </w:r>
      <w:r>
        <w:t xml:space="preserve"> </w:t>
      </w:r>
      <w:r w:rsidRPr="00B32272">
        <w:rPr>
          <w:i/>
        </w:rPr>
        <w:t>See</w:t>
      </w:r>
      <w:r>
        <w:t xml:space="preserve"> </w:t>
      </w:r>
      <w:r w:rsidRPr="00547927">
        <w:rPr>
          <w:i/>
        </w:rPr>
        <w:t>Assessment and Collection of Regulatory Fees for Fiscal Year 2012</w:t>
      </w:r>
      <w:r>
        <w:t xml:space="preserve">, Report and Order, 27 </w:t>
      </w:r>
      <w:r w:rsidRPr="00A1103B">
        <w:t xml:space="preserve">FCC Rcd </w:t>
      </w:r>
      <w:r>
        <w:t>8390, 8395-97, paras.</w:t>
      </w:r>
      <w:r w:rsidRPr="00A1103B">
        <w:t xml:space="preserve"> </w:t>
      </w:r>
      <w:r>
        <w:t>17-20, 24-</w:t>
      </w:r>
      <w:r w:rsidRPr="00A1103B">
        <w:t>26</w:t>
      </w:r>
      <w:r>
        <w:t xml:space="preserve"> (2012) </w:t>
      </w:r>
      <w:r w:rsidRPr="00A1103B">
        <w:t>(</w:t>
      </w:r>
      <w:r w:rsidRPr="00A1103B">
        <w:rPr>
          <w:i/>
        </w:rPr>
        <w:t>FY 20</w:t>
      </w:r>
      <w:r>
        <w:rPr>
          <w:i/>
        </w:rPr>
        <w:t>12</w:t>
      </w:r>
      <w:r w:rsidRPr="00A1103B">
        <w:rPr>
          <w:i/>
        </w:rPr>
        <w:t xml:space="preserve"> Report and Order</w:t>
      </w:r>
      <w:r w:rsidRPr="00A1103B">
        <w:t>).</w:t>
      </w:r>
    </w:p>
  </w:footnote>
  <w:footnote w:id="77">
    <w:p w:rsidR="00E57FF7" w:rsidRDefault="00E57FF7" w:rsidP="006E5530">
      <w:pPr>
        <w:pStyle w:val="FootnoteText"/>
      </w:pPr>
      <w:r>
        <w:rPr>
          <w:rStyle w:val="FootnoteReference"/>
        </w:rPr>
        <w:footnoteRef/>
      </w:r>
      <w:r>
        <w:t xml:space="preserve"> Office of Management and Budget (OMB) Memorandum M-10-06, Open Government Directive, Dec. 8, 2009; </w:t>
      </w:r>
      <w:r w:rsidRPr="00AC36DB">
        <w:rPr>
          <w:i/>
          <w:iCs/>
        </w:rPr>
        <w:t>see also</w:t>
      </w:r>
      <w:r>
        <w:t xml:space="preserve"> </w:t>
      </w:r>
      <w:hyperlink r:id="rId1" w:history="1">
        <w:r w:rsidRPr="00D82125">
          <w:rPr>
            <w:rStyle w:val="Hyperlink"/>
          </w:rPr>
          <w:t>http://www.whitehouse.gov/the-press-office/2011/06/13/executive-order-13576-delivering-efficient-effective-and-accountable-gov</w:t>
        </w:r>
      </w:hyperlink>
      <w:r>
        <w:t>.</w:t>
      </w:r>
    </w:p>
  </w:footnote>
  <w:footnote w:id="78">
    <w:p w:rsidR="00E57FF7" w:rsidRDefault="00E57FF7" w:rsidP="008F2147">
      <w:pPr>
        <w:pStyle w:val="FootnoteText"/>
      </w:pPr>
      <w:r>
        <w:rPr>
          <w:rStyle w:val="FootnoteReference"/>
        </w:rPr>
        <w:footnoteRef/>
      </w:r>
      <w:r>
        <w:t xml:space="preserve"> </w:t>
      </w:r>
      <w:r w:rsidRPr="00D82125">
        <w:rPr>
          <w:i/>
        </w:rPr>
        <w:t>See</w:t>
      </w:r>
      <w:r>
        <w:t xml:space="preserve"> U.S. Department of the Treasury, Open Government Plan 2.1, Sep. 2012.</w:t>
      </w:r>
    </w:p>
  </w:footnote>
  <w:footnote w:id="79">
    <w:p w:rsidR="00E57FF7" w:rsidRDefault="00E57FF7" w:rsidP="008F2147">
      <w:pPr>
        <w:pStyle w:val="FootnoteText"/>
      </w:pPr>
      <w:r>
        <w:rPr>
          <w:rStyle w:val="FootnoteReference"/>
        </w:rPr>
        <w:footnoteRef/>
      </w:r>
      <w:r>
        <w:t xml:space="preserve"> Payors should note that this change will mean that, to the extent certain entities have, to date, paid both regulatory fees and application fees at the same time via paper check, they will no longer be able to do so, as the regulatory fees payment via paper check will no longer be accepted.</w:t>
      </w:r>
    </w:p>
  </w:footnote>
  <w:footnote w:id="80">
    <w:p w:rsidR="00E57FF7" w:rsidRDefault="00E57FF7" w:rsidP="008F2147">
      <w:pPr>
        <w:pStyle w:val="FootnoteText"/>
      </w:pPr>
      <w:r>
        <w:rPr>
          <w:rStyle w:val="FootnoteReference"/>
        </w:rPr>
        <w:footnoteRef/>
      </w:r>
      <w:r>
        <w:t xml:space="preserve"> </w:t>
      </w:r>
      <w:r w:rsidRPr="00EF40C5">
        <w:rPr>
          <w:i/>
        </w:rPr>
        <w:t>See</w:t>
      </w:r>
      <w:r>
        <w:t xml:space="preserve"> 31 U.S.C. § 3711(g); 31 C.F.R. § 285.12; 47 C.F.R. § 1.1917.</w:t>
      </w:r>
    </w:p>
  </w:footnote>
  <w:footnote w:id="81">
    <w:p w:rsidR="00E57FF7" w:rsidRDefault="00E57FF7" w:rsidP="00D847C2">
      <w:pPr>
        <w:pStyle w:val="FootnoteText"/>
      </w:pPr>
      <w:r>
        <w:rPr>
          <w:rStyle w:val="FootnoteReference"/>
        </w:rPr>
        <w:footnoteRef/>
      </w:r>
      <w:r>
        <w:t xml:space="preserve"> As noted above, some of these proposals, if adopted, would be effective in FY 2013 and others in FY 2014.</w:t>
      </w:r>
    </w:p>
  </w:footnote>
  <w:footnote w:id="82">
    <w:p w:rsidR="00E57FF7" w:rsidRPr="00A1103B" w:rsidRDefault="00E57FF7" w:rsidP="00D847C2">
      <w:pPr>
        <w:pStyle w:val="FootnoteText"/>
      </w:pPr>
      <w:r w:rsidRPr="00A1103B">
        <w:rPr>
          <w:rStyle w:val="FootnoteReference"/>
        </w:rPr>
        <w:footnoteRef/>
      </w:r>
      <w:r w:rsidRPr="00A1103B">
        <w:t xml:space="preserve"> 47 C.F.R. §1.1156.</w:t>
      </w:r>
    </w:p>
  </w:footnote>
  <w:footnote w:id="83">
    <w:p w:rsidR="00E57FF7" w:rsidRPr="00A1103B" w:rsidRDefault="00E57FF7" w:rsidP="00D847C2">
      <w:pPr>
        <w:pStyle w:val="FootnoteText"/>
      </w:pPr>
      <w:r w:rsidRPr="00A1103B">
        <w:rPr>
          <w:rStyle w:val="FootnoteReference"/>
        </w:rPr>
        <w:footnoteRef/>
      </w:r>
      <w:r w:rsidRPr="00A1103B">
        <w:t xml:space="preserve"> </w:t>
      </w:r>
      <w:r w:rsidRPr="00A1103B">
        <w:rPr>
          <w:szCs w:val="22"/>
        </w:rPr>
        <w:t xml:space="preserve">This issue was raised in the </w:t>
      </w:r>
      <w:r w:rsidRPr="00A1103B">
        <w:rPr>
          <w:i/>
          <w:szCs w:val="22"/>
        </w:rPr>
        <w:t>FY 1999 Report and Order</w:t>
      </w:r>
      <w:r w:rsidRPr="00A1103B">
        <w:rPr>
          <w:szCs w:val="22"/>
        </w:rPr>
        <w:t xml:space="preserve"> where the Commission observed that that the legislative history provides that only space stations licensed under Title III—which does not include non-U.S.-licensed satellite operators—may be subject to regulatory fees.</w:t>
      </w:r>
      <w:r>
        <w:rPr>
          <w:szCs w:val="22"/>
        </w:rPr>
        <w:t xml:space="preserve">  </w:t>
      </w:r>
      <w:r w:rsidRPr="00A1103B">
        <w:rPr>
          <w:i/>
        </w:rPr>
        <w:t>Assessment and Collection of Regulatory Fees for Fiscal Year 1999</w:t>
      </w:r>
      <w:r w:rsidRPr="00A1103B">
        <w:t>, Report and Order, 14 FCC Rcd 9896, 9882, para. 39 (1999) (</w:t>
      </w:r>
      <w:r w:rsidRPr="00A1103B">
        <w:rPr>
          <w:i/>
        </w:rPr>
        <w:t>FY 1999 Report and Order</w:t>
      </w:r>
      <w:r w:rsidRPr="00A1103B">
        <w:t>).</w:t>
      </w:r>
    </w:p>
  </w:footnote>
  <w:footnote w:id="84">
    <w:p w:rsidR="00E57FF7" w:rsidRPr="00A1103B" w:rsidRDefault="00E57FF7" w:rsidP="00D847C2">
      <w:pPr>
        <w:pStyle w:val="FootnoteText"/>
      </w:pPr>
      <w:r w:rsidRPr="00A1103B">
        <w:rPr>
          <w:rStyle w:val="FootnoteReference"/>
        </w:rPr>
        <w:footnoteRef/>
      </w:r>
      <w:r>
        <w:rPr>
          <w:i/>
        </w:rPr>
        <w:t xml:space="preserve"> </w:t>
      </w:r>
      <w:r w:rsidRPr="00A1103B">
        <w:rPr>
          <w:i/>
        </w:rPr>
        <w:t>See, e.g.</w:t>
      </w:r>
      <w:r w:rsidRPr="00A1103B">
        <w:t xml:space="preserve">, </w:t>
      </w:r>
      <w:r w:rsidRPr="00A1103B">
        <w:rPr>
          <w:i/>
        </w:rPr>
        <w:t>Establishment of Policies and Service Rules for the Broadcasting-Satellite Service at the 17.3-17.8 GHz Frequency Band and at the 17.7-17.8 GHz Frequency Band Internationally, and at the 24.75-25.25 GHz Frequency Band for Fixed Satellite Services Providing Feeder Links to the Broadcasting-Satellite Service for the Satellite Services Operating Bi-Directionally in the 17.3-17.8 GHz Frequency Band</w:t>
      </w:r>
      <w:r w:rsidRPr="00A1103B">
        <w:t>, IB 06-123, Report and Order and Further Notice of Proposed Rulemaking, 22 FCC Rcd 8842 (2007).</w:t>
      </w:r>
    </w:p>
  </w:footnote>
  <w:footnote w:id="85">
    <w:p w:rsidR="00E57FF7" w:rsidRPr="00A1103B" w:rsidRDefault="00E57FF7" w:rsidP="00D847C2">
      <w:pPr>
        <w:pStyle w:val="FootnoteText"/>
      </w:pPr>
      <w:r w:rsidRPr="00A1103B">
        <w:rPr>
          <w:rStyle w:val="FootnoteReference"/>
        </w:rPr>
        <w:footnoteRef/>
      </w:r>
      <w:r w:rsidRPr="00A1103B">
        <w:t xml:space="preserve"> </w:t>
      </w:r>
      <w:r w:rsidRPr="00A1103B">
        <w:rPr>
          <w:i/>
        </w:rPr>
        <w:t>FY 1999 Report and Order</w:t>
      </w:r>
      <w:r w:rsidRPr="00A1103B">
        <w:t>, 14 FCC Rcd at 9882, para. 39.</w:t>
      </w:r>
    </w:p>
  </w:footnote>
  <w:footnote w:id="86">
    <w:p w:rsidR="00E57FF7" w:rsidRPr="00A1103B" w:rsidRDefault="00E57FF7" w:rsidP="00CE4A3B">
      <w:pPr>
        <w:pStyle w:val="FootnoteText"/>
      </w:pPr>
      <w:r w:rsidRPr="00A1103B">
        <w:rPr>
          <w:rStyle w:val="FootnoteReference"/>
        </w:rPr>
        <w:footnoteRef/>
      </w:r>
      <w:r w:rsidRPr="00A1103B">
        <w:t xml:space="preserve"> 47 U.S.C. § 522 (13).  An MVPD is a service provider delivering video programming services, such as cable television operators, DBS providers, and wireline video providers.</w:t>
      </w:r>
    </w:p>
  </w:footnote>
  <w:footnote w:id="87">
    <w:p w:rsidR="00E57FF7" w:rsidRPr="00A1103B" w:rsidRDefault="00E57FF7" w:rsidP="00CE4A3B">
      <w:pPr>
        <w:pStyle w:val="FootnoteText"/>
      </w:pPr>
      <w:r w:rsidRPr="00A1103B">
        <w:rPr>
          <w:rStyle w:val="FootnoteReference"/>
        </w:rPr>
        <w:footnoteRef/>
      </w:r>
      <w:r w:rsidRPr="00A1103B">
        <w:t xml:space="preserve"> Previously, the Commission declined to adopt the same per-subscriber fee for DBS.</w:t>
      </w:r>
      <w:r w:rsidRPr="00A1103B">
        <w:rPr>
          <w:i/>
        </w:rPr>
        <w:t xml:space="preserve"> See FY 2005 Report and Order</w:t>
      </w:r>
      <w:r w:rsidRPr="00A1103B">
        <w:t xml:space="preserve">, 20 FCC Rcd at 12264, paras. 10-11.   </w:t>
      </w:r>
    </w:p>
  </w:footnote>
  <w:footnote w:id="88">
    <w:p w:rsidR="00E57FF7" w:rsidRPr="00A1103B" w:rsidRDefault="00E57FF7" w:rsidP="00CE4A3B">
      <w:pPr>
        <w:pStyle w:val="FootnoteText"/>
      </w:pPr>
      <w:r w:rsidRPr="00A1103B">
        <w:rPr>
          <w:rStyle w:val="FootnoteReference"/>
        </w:rPr>
        <w:footnoteRef/>
      </w:r>
      <w:r w:rsidRPr="00A1103B">
        <w:t xml:space="preserve"> 47 U.S.C. § 548; 47 C.F.R. § 76.1000-1004.</w:t>
      </w:r>
    </w:p>
  </w:footnote>
  <w:footnote w:id="89">
    <w:p w:rsidR="00E57FF7" w:rsidRPr="00A1103B" w:rsidRDefault="00E57FF7" w:rsidP="00CE4A3B">
      <w:pPr>
        <w:pStyle w:val="FootnoteText"/>
      </w:pPr>
      <w:r w:rsidRPr="00A1103B">
        <w:rPr>
          <w:rStyle w:val="FootnoteReference"/>
        </w:rPr>
        <w:footnoteRef/>
      </w:r>
      <w:r w:rsidRPr="00A1103B">
        <w:t xml:space="preserve"> 47 U.S.C. §§</w:t>
      </w:r>
      <w:r>
        <w:t xml:space="preserve"> </w:t>
      </w:r>
      <w:r w:rsidRPr="00A1103B">
        <w:t>325(b)(1), (3)(C)(ii); 47 C.F.R. § 76.65(b).</w:t>
      </w:r>
    </w:p>
  </w:footnote>
  <w:footnote w:id="90">
    <w:p w:rsidR="00E57FF7" w:rsidRPr="00A1103B" w:rsidRDefault="00E57FF7" w:rsidP="00CE4A3B">
      <w:pPr>
        <w:pStyle w:val="FootnoteText"/>
      </w:pPr>
      <w:r w:rsidRPr="00A1103B">
        <w:rPr>
          <w:rStyle w:val="FootnoteReference"/>
        </w:rPr>
        <w:footnoteRef/>
      </w:r>
      <w:r w:rsidRPr="00A1103B">
        <w:t xml:space="preserve"> </w:t>
      </w:r>
      <w:r w:rsidRPr="00A1103B">
        <w:rPr>
          <w:i/>
        </w:rPr>
        <w:t>See Implementation of the Commercial Advertisement, Loudness Mitigation (CALM) Act</w:t>
      </w:r>
      <w:r w:rsidRPr="00A1103B">
        <w:t>, Report and Order, 26 FCC Rcd 17222 (2011).</w:t>
      </w:r>
    </w:p>
  </w:footnote>
  <w:footnote w:id="91">
    <w:p w:rsidR="00E57FF7" w:rsidRPr="00A1103B" w:rsidRDefault="00E57FF7" w:rsidP="00CE4A3B">
      <w:pPr>
        <w:pStyle w:val="FootnoteText"/>
      </w:pPr>
      <w:r w:rsidRPr="00A1103B">
        <w:rPr>
          <w:rStyle w:val="FootnoteReference"/>
        </w:rPr>
        <w:footnoteRef/>
      </w:r>
      <w:r w:rsidRPr="00A1103B">
        <w:t xml:space="preserve"> 47 U.S.C. § 618(b).</w:t>
      </w:r>
    </w:p>
  </w:footnote>
  <w:footnote w:id="92">
    <w:p w:rsidR="00E57FF7" w:rsidRPr="00A1103B" w:rsidRDefault="00E57FF7" w:rsidP="00D847C2">
      <w:pPr>
        <w:pStyle w:val="FootnoteText"/>
      </w:pPr>
      <w:r w:rsidRPr="00A1103B">
        <w:rPr>
          <w:rStyle w:val="FootnoteReference"/>
        </w:rPr>
        <w:footnoteRef/>
      </w:r>
      <w:r w:rsidRPr="00A1103B">
        <w:t xml:space="preserve"> 47 C.F.R. § 76.1701.</w:t>
      </w:r>
    </w:p>
  </w:footnote>
  <w:footnote w:id="93">
    <w:p w:rsidR="00E57FF7" w:rsidRPr="00A1103B" w:rsidRDefault="00E57FF7" w:rsidP="00D847C2">
      <w:pPr>
        <w:pStyle w:val="FootnoteText"/>
      </w:pPr>
      <w:r w:rsidRPr="00A1103B">
        <w:rPr>
          <w:rStyle w:val="FootnoteReference"/>
        </w:rPr>
        <w:footnoteRef/>
      </w:r>
      <w:r w:rsidRPr="00A1103B">
        <w:t xml:space="preserve"> 47 C.F.R. § 76.1702.</w:t>
      </w:r>
    </w:p>
  </w:footnote>
  <w:footnote w:id="94">
    <w:p w:rsidR="00E57FF7" w:rsidRPr="00A1103B" w:rsidRDefault="00E57FF7" w:rsidP="00D847C2">
      <w:pPr>
        <w:pStyle w:val="FootnoteText"/>
      </w:pPr>
      <w:r w:rsidRPr="00A1103B">
        <w:rPr>
          <w:rStyle w:val="FootnoteReference"/>
        </w:rPr>
        <w:footnoteRef/>
      </w:r>
      <w:r w:rsidRPr="00A1103B">
        <w:t xml:space="preserve"> 47 C.F.R. § 76.1703.</w:t>
      </w:r>
    </w:p>
  </w:footnote>
  <w:footnote w:id="95">
    <w:p w:rsidR="00E57FF7" w:rsidRPr="00A1103B" w:rsidRDefault="00E57FF7" w:rsidP="00D847C2">
      <w:pPr>
        <w:pStyle w:val="FootnoteText"/>
      </w:pPr>
      <w:r w:rsidRPr="00A1103B">
        <w:rPr>
          <w:rStyle w:val="FootnoteReference"/>
        </w:rPr>
        <w:footnoteRef/>
      </w:r>
      <w:r w:rsidRPr="00A1103B">
        <w:t xml:space="preserve"> 47 C.F.R. § 76.1704.</w:t>
      </w:r>
    </w:p>
  </w:footnote>
  <w:footnote w:id="96">
    <w:p w:rsidR="00E57FF7" w:rsidRPr="00A1103B" w:rsidRDefault="00E57FF7" w:rsidP="00D847C2">
      <w:pPr>
        <w:pStyle w:val="FootnoteText"/>
      </w:pPr>
      <w:r w:rsidRPr="00A1103B">
        <w:rPr>
          <w:rStyle w:val="FootnoteReference"/>
        </w:rPr>
        <w:footnoteRef/>
      </w:r>
      <w:r w:rsidRPr="00A1103B">
        <w:t xml:space="preserve"> 47 C.F.R. §76.1706.</w:t>
      </w:r>
    </w:p>
  </w:footnote>
  <w:footnote w:id="97">
    <w:p w:rsidR="00E57FF7" w:rsidRPr="00A1103B" w:rsidRDefault="00E57FF7" w:rsidP="00D847C2">
      <w:pPr>
        <w:pStyle w:val="FootnoteText"/>
      </w:pPr>
      <w:r w:rsidRPr="00A1103B">
        <w:rPr>
          <w:rStyle w:val="FootnoteReference"/>
        </w:rPr>
        <w:footnoteRef/>
      </w:r>
      <w:r w:rsidRPr="00A1103B">
        <w:t xml:space="preserve"> 47 C.F.R. § 76.1804.</w:t>
      </w:r>
    </w:p>
  </w:footnote>
  <w:footnote w:id="98">
    <w:p w:rsidR="00E57FF7" w:rsidRPr="00A1103B" w:rsidRDefault="00E57FF7" w:rsidP="00D847C2">
      <w:pPr>
        <w:pStyle w:val="FootnoteText"/>
      </w:pPr>
      <w:r w:rsidRPr="00A1103B">
        <w:rPr>
          <w:rStyle w:val="FootnoteReference"/>
        </w:rPr>
        <w:footnoteRef/>
      </w:r>
      <w:r w:rsidRPr="00A1103B">
        <w:t xml:space="preserve"> 47 C.F.R. § 76.1707.</w:t>
      </w:r>
    </w:p>
  </w:footnote>
  <w:footnote w:id="99">
    <w:p w:rsidR="00E57FF7" w:rsidRPr="00A1103B" w:rsidRDefault="00E57FF7" w:rsidP="00D847C2">
      <w:pPr>
        <w:pStyle w:val="FootnoteText"/>
      </w:pPr>
      <w:r w:rsidRPr="00A1103B">
        <w:rPr>
          <w:rStyle w:val="FootnoteReference"/>
        </w:rPr>
        <w:footnoteRef/>
      </w:r>
      <w:r w:rsidRPr="00A1103B">
        <w:t xml:space="preserve"> 47 C.F.R. § 76.1708.</w:t>
      </w:r>
    </w:p>
  </w:footnote>
  <w:footnote w:id="100">
    <w:p w:rsidR="00E57FF7" w:rsidRPr="00A1103B" w:rsidRDefault="00E57FF7" w:rsidP="00D847C2">
      <w:pPr>
        <w:pStyle w:val="FootnoteText"/>
      </w:pPr>
      <w:r w:rsidRPr="00A1103B">
        <w:rPr>
          <w:rStyle w:val="FootnoteReference"/>
        </w:rPr>
        <w:footnoteRef/>
      </w:r>
      <w:r w:rsidRPr="00A1103B">
        <w:t xml:space="preserve"> 47 C.F.R. § 76.1709.</w:t>
      </w:r>
    </w:p>
  </w:footnote>
  <w:footnote w:id="101">
    <w:p w:rsidR="00E57FF7" w:rsidRPr="00A1103B" w:rsidRDefault="00E57FF7" w:rsidP="00D847C2">
      <w:pPr>
        <w:pStyle w:val="FootnoteText"/>
      </w:pPr>
      <w:r w:rsidRPr="00A1103B">
        <w:rPr>
          <w:rStyle w:val="FootnoteReference"/>
        </w:rPr>
        <w:footnoteRef/>
      </w:r>
      <w:r w:rsidRPr="00A1103B">
        <w:t xml:space="preserve"> 47 C.F.R. § 76.1710.</w:t>
      </w:r>
    </w:p>
  </w:footnote>
  <w:footnote w:id="102">
    <w:p w:rsidR="00E57FF7" w:rsidRPr="00A1103B" w:rsidRDefault="00E57FF7" w:rsidP="00D847C2">
      <w:pPr>
        <w:pStyle w:val="FootnoteText"/>
      </w:pPr>
      <w:r w:rsidRPr="00A1103B">
        <w:rPr>
          <w:rStyle w:val="FootnoteReference"/>
        </w:rPr>
        <w:footnoteRef/>
      </w:r>
      <w:r w:rsidRPr="00A1103B">
        <w:t xml:space="preserve"> 47 C.F.R. § 76.1711.</w:t>
      </w:r>
    </w:p>
  </w:footnote>
  <w:footnote w:id="103">
    <w:p w:rsidR="00E57FF7" w:rsidRPr="00A1103B" w:rsidRDefault="00E57FF7" w:rsidP="00D847C2">
      <w:pPr>
        <w:pStyle w:val="FootnoteText"/>
      </w:pPr>
      <w:r w:rsidRPr="00A1103B">
        <w:rPr>
          <w:rStyle w:val="FootnoteReference"/>
        </w:rPr>
        <w:footnoteRef/>
      </w:r>
      <w:r w:rsidRPr="00A1103B">
        <w:t xml:space="preserve"> 47 C.F.R. § 76.1713.</w:t>
      </w:r>
    </w:p>
  </w:footnote>
  <w:footnote w:id="104">
    <w:p w:rsidR="00E57FF7" w:rsidRPr="00A1103B" w:rsidRDefault="00E57FF7" w:rsidP="00D847C2">
      <w:pPr>
        <w:pStyle w:val="FootnoteText"/>
      </w:pPr>
      <w:r w:rsidRPr="00A1103B">
        <w:rPr>
          <w:rStyle w:val="FootnoteReference"/>
        </w:rPr>
        <w:footnoteRef/>
      </w:r>
      <w:r w:rsidRPr="00A1103B">
        <w:t xml:space="preserve"> 47 C.F.R. § 76.1714.</w:t>
      </w:r>
    </w:p>
  </w:footnote>
  <w:footnote w:id="105">
    <w:p w:rsidR="00E57FF7" w:rsidRPr="00A1103B" w:rsidRDefault="00E57FF7" w:rsidP="00D847C2">
      <w:pPr>
        <w:pStyle w:val="FootnoteText"/>
      </w:pPr>
      <w:r w:rsidRPr="00A1103B">
        <w:rPr>
          <w:rStyle w:val="FootnoteReference"/>
        </w:rPr>
        <w:footnoteRef/>
      </w:r>
      <w:r w:rsidRPr="00A1103B">
        <w:t xml:space="preserve"> 47 C.F.R. § 76.1715.</w:t>
      </w:r>
    </w:p>
  </w:footnote>
  <w:footnote w:id="106">
    <w:p w:rsidR="00E57FF7" w:rsidRPr="00A1103B" w:rsidRDefault="00E57FF7" w:rsidP="00D847C2">
      <w:pPr>
        <w:pStyle w:val="FootnoteText"/>
      </w:pPr>
      <w:r w:rsidRPr="00A1103B">
        <w:rPr>
          <w:rStyle w:val="FootnoteReference"/>
        </w:rPr>
        <w:footnoteRef/>
      </w:r>
      <w:r w:rsidRPr="00A1103B">
        <w:t xml:space="preserve"> </w:t>
      </w:r>
      <w:r w:rsidRPr="00A1103B">
        <w:rPr>
          <w:i/>
        </w:rPr>
        <w:t>Assessment and Collection of Regulatory Fees for Fiscal Year 2012</w:t>
      </w:r>
      <w:r w:rsidRPr="00A1103B">
        <w:t>, Report and Order, 27 FCC Rcd at Attachment C (2012) (</w:t>
      </w:r>
      <w:r w:rsidRPr="00A1103B">
        <w:rPr>
          <w:i/>
        </w:rPr>
        <w:t>FY 2012 Order</w:t>
      </w:r>
      <w:r w:rsidRPr="00A1103B">
        <w:t>).</w:t>
      </w:r>
      <w:r w:rsidRPr="00A1103B">
        <w:rPr>
          <w:i/>
        </w:rPr>
        <w:t xml:space="preserve"> </w:t>
      </w:r>
      <w:r w:rsidRPr="00A1103B">
        <w:t xml:space="preserve">  </w:t>
      </w:r>
    </w:p>
  </w:footnote>
  <w:footnote w:id="107">
    <w:p w:rsidR="00E57FF7" w:rsidRDefault="00E57FF7">
      <w:pPr>
        <w:pStyle w:val="FootnoteText"/>
      </w:pPr>
      <w:r>
        <w:rPr>
          <w:rStyle w:val="FootnoteReference"/>
        </w:rPr>
        <w:footnoteRef/>
      </w:r>
      <w:r>
        <w:t xml:space="preserve"> In our FY2012 NPRM, for example, w</w:t>
      </w:r>
      <w:r w:rsidRPr="00D5378C">
        <w:rPr>
          <w:szCs w:val="22"/>
        </w:rPr>
        <w:t>e s</w:t>
      </w:r>
      <w:r>
        <w:rPr>
          <w:szCs w:val="22"/>
        </w:rPr>
        <w:t>ought</w:t>
      </w:r>
      <w:r w:rsidRPr="00D5378C">
        <w:rPr>
          <w:szCs w:val="22"/>
        </w:rPr>
        <w:t xml:space="preserve"> comment on whether the Commission has authority, under section 9, to include broadband as a fee category</w:t>
      </w:r>
      <w:r>
        <w:rPr>
          <w:szCs w:val="22"/>
        </w:rPr>
        <w:t xml:space="preserve">, and asked how the costs of any such </w:t>
      </w:r>
      <w:r w:rsidRPr="00D5378C">
        <w:rPr>
          <w:bCs/>
          <w:szCs w:val="22"/>
        </w:rPr>
        <w:t xml:space="preserve">additional fee categories </w:t>
      </w:r>
      <w:r>
        <w:rPr>
          <w:bCs/>
          <w:szCs w:val="22"/>
        </w:rPr>
        <w:t xml:space="preserve">should </w:t>
      </w:r>
      <w:r w:rsidRPr="00D5378C">
        <w:rPr>
          <w:szCs w:val="22"/>
        </w:rPr>
        <w:t>be assessed</w:t>
      </w:r>
      <w:r>
        <w:rPr>
          <w:szCs w:val="22"/>
        </w:rPr>
        <w:t xml:space="preserve">.   We continue to seek comment on this issue, specifically, and more generally:  are there other fee categories that should be added?  </w:t>
      </w:r>
    </w:p>
  </w:footnote>
  <w:footnote w:id="108">
    <w:p w:rsidR="00E57FF7" w:rsidRDefault="00E57FF7" w:rsidP="00CC56FF">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09">
    <w:p w:rsidR="00E57FF7" w:rsidRDefault="00E57FF7" w:rsidP="00CC56FF">
      <w:pPr>
        <w:pStyle w:val="FootnoteText"/>
      </w:pPr>
      <w:r>
        <w:rPr>
          <w:rStyle w:val="FootnoteReference"/>
        </w:rPr>
        <w:footnoteRef/>
      </w:r>
      <w:r>
        <w:t xml:space="preserve"> 5 U.S.C.</w:t>
      </w:r>
      <w:r>
        <w:rPr>
          <w:spacing w:val="-2"/>
        </w:rPr>
        <w:t xml:space="preserve"> §</w:t>
      </w:r>
      <w:r>
        <w:t xml:space="preserve"> 603(a).</w:t>
      </w:r>
    </w:p>
  </w:footnote>
  <w:footnote w:id="110">
    <w:p w:rsidR="00E57FF7" w:rsidRDefault="00E57FF7" w:rsidP="00CC56FF">
      <w:pPr>
        <w:pStyle w:val="FootnoteText"/>
      </w:pPr>
      <w:r>
        <w:rPr>
          <w:rStyle w:val="FootnoteReference"/>
        </w:rPr>
        <w:footnoteRef/>
      </w:r>
      <w:r>
        <w:t xml:space="preserve"> </w:t>
      </w:r>
      <w:r w:rsidRPr="00820DF8">
        <w:rPr>
          <w:i/>
        </w:rPr>
        <w:t>Id.</w:t>
      </w:r>
    </w:p>
  </w:footnote>
  <w:footnote w:id="111">
    <w:p w:rsidR="00E57FF7" w:rsidRDefault="00E57FF7" w:rsidP="00CC56FF">
      <w:pPr>
        <w:pStyle w:val="FootnoteText"/>
      </w:pPr>
      <w:r>
        <w:rPr>
          <w:rStyle w:val="FootnoteReference"/>
        </w:rPr>
        <w:footnoteRef/>
      </w:r>
      <w:r>
        <w:t xml:space="preserve"> 47 U.S.C. </w:t>
      </w:r>
      <w:r>
        <w:rPr>
          <w:rStyle w:val="Footnote"/>
        </w:rPr>
        <w:t xml:space="preserve">§§ </w:t>
      </w:r>
      <w:r>
        <w:t>154(i) and (j), 159, and 303(r).</w:t>
      </w:r>
    </w:p>
  </w:footnote>
  <w:footnote w:id="112">
    <w:p w:rsidR="00E57FF7" w:rsidRDefault="00E57FF7" w:rsidP="00CC56FF">
      <w:pPr>
        <w:pStyle w:val="FootnoteText"/>
      </w:pPr>
      <w:r>
        <w:rPr>
          <w:rStyle w:val="FootnoteReference"/>
        </w:rPr>
        <w:footnoteRef/>
      </w:r>
      <w:r>
        <w:t xml:space="preserve"> </w:t>
      </w:r>
      <w:r>
        <w:rPr>
          <w:rStyle w:val="Footnote"/>
        </w:rPr>
        <w:t>5 U.S.C. § 603(b)(3).</w:t>
      </w:r>
    </w:p>
  </w:footnote>
  <w:footnote w:id="113">
    <w:p w:rsidR="00E57FF7" w:rsidRDefault="00E57FF7" w:rsidP="00CC56FF">
      <w:pPr>
        <w:pStyle w:val="FootnoteText"/>
      </w:pPr>
      <w:r>
        <w:rPr>
          <w:rStyle w:val="FootnoteReference"/>
        </w:rPr>
        <w:footnoteRef/>
      </w:r>
      <w:r>
        <w:t xml:space="preserve"> </w:t>
      </w:r>
      <w:r>
        <w:rPr>
          <w:rStyle w:val="Footnote"/>
        </w:rPr>
        <w:t>5 U.S.C. § 601(6).</w:t>
      </w:r>
    </w:p>
  </w:footnote>
  <w:footnote w:id="114">
    <w:p w:rsidR="00E57FF7" w:rsidRDefault="00E57FF7" w:rsidP="00CC56FF">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15">
    <w:p w:rsidR="00E57FF7" w:rsidRDefault="00E57FF7" w:rsidP="00CC56FF">
      <w:pPr>
        <w:pStyle w:val="FootnoteText"/>
      </w:pPr>
      <w:r>
        <w:rPr>
          <w:rStyle w:val="FootnoteReference"/>
        </w:rPr>
        <w:footnoteRef/>
      </w:r>
      <w:r>
        <w:t xml:space="preserve"> </w:t>
      </w:r>
      <w:r>
        <w:rPr>
          <w:rStyle w:val="Footnote"/>
        </w:rPr>
        <w:t>15 U.S.C. § 632.</w:t>
      </w:r>
    </w:p>
  </w:footnote>
  <w:footnote w:id="116">
    <w:p w:rsidR="00E57FF7" w:rsidRDefault="00E57FF7" w:rsidP="00CC56FF">
      <w:pPr>
        <w:pStyle w:val="FootnoteText"/>
      </w:pPr>
      <w:r>
        <w:rPr>
          <w:rStyle w:val="FootnoteReference"/>
        </w:rPr>
        <w:footnoteRef/>
      </w:r>
      <w:r>
        <w:t xml:space="preserve"> </w:t>
      </w:r>
      <w:r w:rsidRPr="005A3505">
        <w:rPr>
          <w:i/>
        </w:rPr>
        <w:t>See</w:t>
      </w:r>
      <w:r w:rsidRPr="005A3505">
        <w:t xml:space="preserve"> SBA, Office of Advocacy, “Frequently Asked Questions,” </w:t>
      </w:r>
      <w:hyperlink r:id="rId2" w:history="1">
        <w:r w:rsidRPr="00C31A4B">
          <w:rPr>
            <w:rStyle w:val="Hyperlink"/>
          </w:rPr>
          <w:t>http://www.sba.gov/sites/default/files/FAQ_Sept_2012.pdf.</w:t>
        </w:r>
      </w:hyperlink>
    </w:p>
  </w:footnote>
  <w:footnote w:id="117">
    <w:p w:rsidR="00E57FF7" w:rsidRDefault="00E57FF7" w:rsidP="00CC56FF">
      <w:pPr>
        <w:pStyle w:val="FootnoteText"/>
      </w:pPr>
      <w:r>
        <w:rPr>
          <w:rStyle w:val="FootnoteReference"/>
        </w:rPr>
        <w:footnoteRef/>
      </w:r>
      <w:r>
        <w:t xml:space="preserve"> </w:t>
      </w:r>
      <w:r w:rsidRPr="00751F6C">
        <w:rPr>
          <w:i/>
        </w:rPr>
        <w:t>See id.</w:t>
      </w:r>
    </w:p>
  </w:footnote>
  <w:footnote w:id="118">
    <w:p w:rsidR="00E57FF7" w:rsidRDefault="00E57FF7" w:rsidP="00CC56FF">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19">
    <w:p w:rsidR="00E57FF7" w:rsidRDefault="00E57FF7" w:rsidP="00CC56FF">
      <w:pPr>
        <w:pStyle w:val="FootnoteText"/>
      </w:pPr>
      <w:r>
        <w:rPr>
          <w:rStyle w:val="FootnoteReference"/>
        </w:rPr>
        <w:footnoteRef/>
      </w:r>
      <w:r>
        <w:t xml:space="preserve"> </w:t>
      </w:r>
      <w:r w:rsidRPr="00280043">
        <w:rPr>
          <w:i/>
        </w:rPr>
        <w:t>See id.</w:t>
      </w:r>
    </w:p>
  </w:footnote>
  <w:footnote w:id="120">
    <w:p w:rsidR="00E57FF7" w:rsidRDefault="00E57FF7" w:rsidP="00CC56FF">
      <w:pPr>
        <w:pStyle w:val="FootnoteText"/>
      </w:pPr>
      <w:r>
        <w:rPr>
          <w:rStyle w:val="FootnoteReference"/>
        </w:rPr>
        <w:footnoteRef/>
      </w:r>
      <w:r>
        <w:t xml:space="preserve"> </w:t>
      </w:r>
      <w:r w:rsidRPr="00D15B65">
        <w:rPr>
          <w:rStyle w:val="Footnote"/>
        </w:rPr>
        <w:t>13 C.F.R. § 121.201, NAICS code 517110</w:t>
      </w:r>
      <w:r>
        <w:rPr>
          <w:rStyle w:val="Footnote"/>
        </w:rPr>
        <w:t>.</w:t>
      </w:r>
    </w:p>
  </w:footnote>
  <w:footnote w:id="121">
    <w:p w:rsidR="00E57FF7" w:rsidRDefault="00E57FF7" w:rsidP="00CC56FF">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122">
    <w:p w:rsidR="00E57FF7" w:rsidRDefault="00E57FF7" w:rsidP="00CC56FF">
      <w:pPr>
        <w:pStyle w:val="FootnoteText"/>
      </w:pPr>
      <w:r>
        <w:rPr>
          <w:rStyle w:val="FootnoteReference"/>
        </w:rPr>
        <w:footnoteRef/>
      </w:r>
      <w:r>
        <w:t xml:space="preserve"> </w:t>
      </w:r>
      <w:r w:rsidRPr="00007763">
        <w:rPr>
          <w:i/>
        </w:rPr>
        <w:t>Id.</w:t>
      </w:r>
    </w:p>
  </w:footnote>
  <w:footnote w:id="123">
    <w:p w:rsidR="00E57FF7" w:rsidRDefault="00E57FF7" w:rsidP="00CC56FF">
      <w:pPr>
        <w:pStyle w:val="FootnoteText"/>
      </w:pPr>
      <w:r>
        <w:rPr>
          <w:rStyle w:val="FootnoteReference"/>
        </w:rPr>
        <w:footnoteRef/>
      </w:r>
      <w:r>
        <w:t xml:space="preserve"> </w:t>
      </w:r>
      <w:r>
        <w:rPr>
          <w:rStyle w:val="FootnoteTextChar4"/>
        </w:rPr>
        <w:t>13 C.F.R. § 121.201, NAICS code 517110.</w:t>
      </w:r>
    </w:p>
  </w:footnote>
  <w:footnote w:id="124">
    <w:p w:rsidR="00E57FF7" w:rsidRDefault="00E57FF7" w:rsidP="00CC56FF">
      <w:pPr>
        <w:pStyle w:val="FootnoteText"/>
      </w:pPr>
      <w:r>
        <w:rPr>
          <w:rStyle w:val="FootnoteReference"/>
        </w:rPr>
        <w:footnoteRef/>
      </w:r>
      <w:r>
        <w:t xml:space="preserve"> </w:t>
      </w:r>
      <w:r>
        <w:rPr>
          <w:i/>
        </w:rPr>
        <w:t>See Trends in Telephone Service,</w:t>
      </w:r>
      <w:r>
        <w:t xml:space="preserve"> at tbl. 5.3.</w:t>
      </w:r>
    </w:p>
  </w:footnote>
  <w:footnote w:id="125">
    <w:p w:rsidR="00E57FF7" w:rsidRDefault="00E57FF7" w:rsidP="00CC56FF">
      <w:pPr>
        <w:pStyle w:val="FootnoteText"/>
      </w:pPr>
      <w:r>
        <w:rPr>
          <w:rStyle w:val="FootnoteReference"/>
        </w:rPr>
        <w:footnoteRef/>
      </w:r>
      <w:r>
        <w:t xml:space="preserve"> </w:t>
      </w:r>
      <w:r>
        <w:rPr>
          <w:i/>
        </w:rPr>
        <w:t>I</w:t>
      </w:r>
      <w:r w:rsidRPr="00F71FA2">
        <w:rPr>
          <w:i/>
        </w:rPr>
        <w:t>d.</w:t>
      </w:r>
    </w:p>
  </w:footnote>
  <w:footnote w:id="126">
    <w:p w:rsidR="00E57FF7" w:rsidRDefault="00E57FF7" w:rsidP="00CC56FF">
      <w:pPr>
        <w:pStyle w:val="FootnoteText"/>
      </w:pPr>
      <w:r>
        <w:rPr>
          <w:rStyle w:val="FootnoteReference"/>
        </w:rPr>
        <w:footnoteRef/>
      </w:r>
      <w:r>
        <w:t xml:space="preserve"> </w:t>
      </w:r>
      <w:r w:rsidRPr="00C71B0F">
        <w:rPr>
          <w:i/>
        </w:rPr>
        <w:t>Id.</w:t>
      </w:r>
    </w:p>
  </w:footnote>
  <w:footnote w:id="127">
    <w:p w:rsidR="00E57FF7" w:rsidRDefault="00E57FF7" w:rsidP="00CC56FF">
      <w:pPr>
        <w:pStyle w:val="FootnoteText"/>
      </w:pPr>
      <w:r>
        <w:rPr>
          <w:rStyle w:val="FootnoteReference"/>
        </w:rPr>
        <w:footnoteRef/>
      </w:r>
      <w:r>
        <w:t xml:space="preserve"> </w:t>
      </w:r>
      <w:r w:rsidRPr="00C71B0F">
        <w:rPr>
          <w:i/>
        </w:rPr>
        <w:t>Id.</w:t>
      </w:r>
    </w:p>
  </w:footnote>
  <w:footnote w:id="128">
    <w:p w:rsidR="00E57FF7" w:rsidRDefault="00E57FF7" w:rsidP="00CC56FF">
      <w:pPr>
        <w:pStyle w:val="FootnoteText"/>
      </w:pPr>
      <w:r>
        <w:rPr>
          <w:rStyle w:val="FootnoteReference"/>
        </w:rPr>
        <w:footnoteRef/>
      </w:r>
      <w:r>
        <w:t xml:space="preserve"> </w:t>
      </w:r>
      <w:r w:rsidRPr="00C71B0F">
        <w:rPr>
          <w:i/>
        </w:rPr>
        <w:t>Id.</w:t>
      </w:r>
    </w:p>
  </w:footnote>
  <w:footnote w:id="129">
    <w:p w:rsidR="00E57FF7" w:rsidRDefault="00E57FF7" w:rsidP="00CC56FF">
      <w:pPr>
        <w:pStyle w:val="FootnoteText"/>
      </w:pPr>
      <w:r>
        <w:rPr>
          <w:rStyle w:val="FootnoteReference"/>
        </w:rPr>
        <w:footnoteRef/>
      </w:r>
      <w:r>
        <w:t xml:space="preserve"> </w:t>
      </w:r>
      <w:r>
        <w:rPr>
          <w:color w:val="000000"/>
        </w:rPr>
        <w:t>13 C.F.R. § 121.201, NAICS code 517110.</w:t>
      </w:r>
    </w:p>
  </w:footnote>
  <w:footnote w:id="130">
    <w:p w:rsidR="00E57FF7" w:rsidRDefault="00E57FF7" w:rsidP="00CC56FF">
      <w:pPr>
        <w:pStyle w:val="FootnoteText"/>
      </w:pPr>
      <w:r>
        <w:rPr>
          <w:rStyle w:val="FootnoteReference"/>
        </w:rPr>
        <w:footnoteRef/>
      </w:r>
      <w:r>
        <w:t xml:space="preserve"> </w:t>
      </w:r>
      <w:r>
        <w:rPr>
          <w:i/>
        </w:rPr>
        <w:t>See Trends in Telephone Service,</w:t>
      </w:r>
      <w:r>
        <w:t xml:space="preserve"> at tbl. 5.3.</w:t>
      </w:r>
    </w:p>
  </w:footnote>
  <w:footnote w:id="131">
    <w:p w:rsidR="00E57FF7" w:rsidRDefault="00E57FF7" w:rsidP="00CC56FF">
      <w:pPr>
        <w:pStyle w:val="FootnoteText"/>
      </w:pPr>
      <w:r>
        <w:rPr>
          <w:rStyle w:val="FootnoteReference"/>
        </w:rPr>
        <w:footnoteRef/>
      </w:r>
      <w:r>
        <w:t xml:space="preserve"> </w:t>
      </w:r>
      <w:r w:rsidRPr="0026657E">
        <w:rPr>
          <w:i/>
        </w:rPr>
        <w:t>Id.</w:t>
      </w:r>
    </w:p>
  </w:footnote>
  <w:footnote w:id="132">
    <w:p w:rsidR="00E57FF7" w:rsidRDefault="00E57FF7" w:rsidP="00CC56FF">
      <w:pPr>
        <w:pStyle w:val="FootnoteText"/>
      </w:pPr>
      <w:r>
        <w:rPr>
          <w:rStyle w:val="FootnoteReference"/>
        </w:rPr>
        <w:footnoteRef/>
      </w:r>
      <w:r>
        <w:t xml:space="preserve"> </w:t>
      </w:r>
      <w:r>
        <w:rPr>
          <w:color w:val="000000"/>
        </w:rPr>
        <w:t>13 C.F.R. § 121.201, NAICS code 517911.</w:t>
      </w:r>
    </w:p>
  </w:footnote>
  <w:footnote w:id="133">
    <w:p w:rsidR="00E57FF7" w:rsidRDefault="00E57FF7" w:rsidP="00CC56FF">
      <w:pPr>
        <w:pStyle w:val="FootnoteText"/>
      </w:pPr>
      <w:r>
        <w:rPr>
          <w:rStyle w:val="FootnoteReference"/>
        </w:rPr>
        <w:footnoteRef/>
      </w:r>
      <w:r>
        <w:t xml:space="preserve"> </w:t>
      </w:r>
      <w:r w:rsidRPr="00860117">
        <w:rPr>
          <w:i/>
        </w:rPr>
        <w:t>Id.</w:t>
      </w:r>
    </w:p>
  </w:footnote>
  <w:footnote w:id="134">
    <w:p w:rsidR="00E57FF7" w:rsidRDefault="00E57FF7" w:rsidP="00CC56FF">
      <w:pPr>
        <w:pStyle w:val="FootnoteText"/>
      </w:pPr>
      <w:r>
        <w:rPr>
          <w:rStyle w:val="FootnoteReference"/>
        </w:rPr>
        <w:footnoteRef/>
      </w:r>
      <w:r>
        <w:t xml:space="preserve"> </w:t>
      </w:r>
      <w:r>
        <w:rPr>
          <w:i/>
        </w:rPr>
        <w:t>See Trends in Telephone Service,</w:t>
      </w:r>
      <w:r>
        <w:t xml:space="preserve"> at tbl. 5.3.</w:t>
      </w:r>
    </w:p>
  </w:footnote>
  <w:footnote w:id="135">
    <w:p w:rsidR="00E57FF7" w:rsidRDefault="00E57FF7" w:rsidP="00CC56FF">
      <w:pPr>
        <w:pStyle w:val="FootnoteText"/>
      </w:pPr>
      <w:r>
        <w:rPr>
          <w:rStyle w:val="FootnoteReference"/>
        </w:rPr>
        <w:footnoteRef/>
      </w:r>
      <w:r>
        <w:t xml:space="preserve"> </w:t>
      </w:r>
      <w:r w:rsidRPr="00860117">
        <w:rPr>
          <w:i/>
        </w:rPr>
        <w:t>Id.</w:t>
      </w:r>
    </w:p>
  </w:footnote>
  <w:footnote w:id="136">
    <w:p w:rsidR="00E57FF7" w:rsidRDefault="00E57FF7" w:rsidP="00CC56FF">
      <w:pPr>
        <w:pStyle w:val="FootnoteText"/>
      </w:pPr>
      <w:r>
        <w:rPr>
          <w:rStyle w:val="FootnoteReference"/>
        </w:rPr>
        <w:footnoteRef/>
      </w:r>
      <w:r>
        <w:t xml:space="preserve"> </w:t>
      </w:r>
      <w:r>
        <w:rPr>
          <w:color w:val="000000"/>
        </w:rPr>
        <w:t>13 C.F.R. § 121.201, NAICS code 517911.</w:t>
      </w:r>
    </w:p>
  </w:footnote>
  <w:footnote w:id="137">
    <w:p w:rsidR="00E57FF7" w:rsidRDefault="00E57FF7" w:rsidP="00CC56FF">
      <w:pPr>
        <w:pStyle w:val="FootnoteText"/>
      </w:pPr>
      <w:r>
        <w:rPr>
          <w:rStyle w:val="FootnoteReference"/>
        </w:rPr>
        <w:footnoteRef/>
      </w:r>
      <w:r>
        <w:t xml:space="preserve"> </w:t>
      </w:r>
      <w:r w:rsidRPr="009567E6">
        <w:rPr>
          <w:i/>
        </w:rPr>
        <w:t>Id.</w:t>
      </w:r>
    </w:p>
  </w:footnote>
  <w:footnote w:id="138">
    <w:p w:rsidR="00E57FF7" w:rsidRDefault="00E57FF7" w:rsidP="00CC56FF">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139">
    <w:p w:rsidR="00E57FF7" w:rsidRDefault="00E57FF7" w:rsidP="00CC56FF">
      <w:pPr>
        <w:pStyle w:val="FootnoteText"/>
      </w:pPr>
      <w:r>
        <w:rPr>
          <w:rStyle w:val="FootnoteReference"/>
        </w:rPr>
        <w:footnoteRef/>
      </w:r>
      <w:r>
        <w:t xml:space="preserve"> </w:t>
      </w:r>
      <w:r w:rsidRPr="00E024DD">
        <w:rPr>
          <w:i/>
        </w:rPr>
        <w:t>Id.</w:t>
      </w:r>
    </w:p>
  </w:footnote>
  <w:footnote w:id="140">
    <w:p w:rsidR="00E57FF7" w:rsidRDefault="00E57FF7" w:rsidP="00CC56FF">
      <w:pPr>
        <w:pStyle w:val="FootnoteText"/>
      </w:pPr>
      <w:r>
        <w:rPr>
          <w:rStyle w:val="FootnoteReference"/>
        </w:rPr>
        <w:footnoteRef/>
      </w:r>
      <w:r>
        <w:t xml:space="preserve"> </w:t>
      </w:r>
      <w:r>
        <w:rPr>
          <w:color w:val="000000"/>
        </w:rPr>
        <w:t>13 C.F.R. § 121.201, NAICS code 517911.</w:t>
      </w:r>
    </w:p>
  </w:footnote>
  <w:footnote w:id="141">
    <w:p w:rsidR="00E57FF7" w:rsidRDefault="00E57FF7" w:rsidP="00CC56FF">
      <w:pPr>
        <w:pStyle w:val="FootnoteText"/>
      </w:pPr>
      <w:r>
        <w:rPr>
          <w:rStyle w:val="FootnoteReference"/>
        </w:rPr>
        <w:footnoteRef/>
      </w:r>
      <w:r>
        <w:t xml:space="preserve"> </w:t>
      </w:r>
      <w:r w:rsidRPr="004076C3">
        <w:rPr>
          <w:i/>
        </w:rPr>
        <w:t>Id.</w:t>
      </w:r>
    </w:p>
  </w:footnote>
  <w:footnote w:id="142">
    <w:p w:rsidR="00E57FF7" w:rsidRDefault="00E57FF7" w:rsidP="00CC56FF">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43">
    <w:p w:rsidR="00E57FF7" w:rsidRDefault="00E57FF7" w:rsidP="00CC56FF">
      <w:pPr>
        <w:pStyle w:val="FootnoteText"/>
      </w:pPr>
      <w:r>
        <w:rPr>
          <w:rStyle w:val="FootnoteReference"/>
        </w:rPr>
        <w:footnoteRef/>
      </w:r>
      <w:r>
        <w:t xml:space="preserve"> </w:t>
      </w:r>
      <w:r w:rsidRPr="00E52E8F">
        <w:rPr>
          <w:i/>
        </w:rPr>
        <w:t>Id.</w:t>
      </w:r>
    </w:p>
  </w:footnote>
  <w:footnote w:id="144">
    <w:p w:rsidR="00E57FF7" w:rsidRDefault="00E57FF7" w:rsidP="00CC56FF">
      <w:pPr>
        <w:pStyle w:val="FootnoteText"/>
      </w:pPr>
      <w:r>
        <w:rPr>
          <w:rStyle w:val="FootnoteReference"/>
        </w:rPr>
        <w:footnoteRef/>
      </w:r>
      <w:r>
        <w:t xml:space="preserve"> </w:t>
      </w:r>
      <w:r>
        <w:rPr>
          <w:color w:val="000000"/>
        </w:rPr>
        <w:t>13 C.F.R. § 121.201, NAICS code 517110.</w:t>
      </w:r>
    </w:p>
  </w:footnote>
  <w:footnote w:id="145">
    <w:p w:rsidR="00E57FF7" w:rsidRDefault="00E57FF7" w:rsidP="00CC56FF">
      <w:pPr>
        <w:pStyle w:val="FootnoteText"/>
      </w:pPr>
      <w:r>
        <w:rPr>
          <w:rStyle w:val="FootnoteReference"/>
        </w:rPr>
        <w:footnoteRef/>
      </w:r>
      <w:r>
        <w:t xml:space="preserve"> </w:t>
      </w:r>
      <w:r w:rsidRPr="00235678">
        <w:rPr>
          <w:i/>
        </w:rPr>
        <w:t>Id.</w:t>
      </w:r>
    </w:p>
  </w:footnote>
  <w:footnote w:id="146">
    <w:p w:rsidR="00E57FF7" w:rsidRDefault="00E57FF7" w:rsidP="00CC56FF">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47">
    <w:p w:rsidR="00E57FF7" w:rsidRDefault="00E57FF7" w:rsidP="00CC56FF">
      <w:pPr>
        <w:pStyle w:val="FootnoteText"/>
      </w:pPr>
      <w:r>
        <w:rPr>
          <w:rStyle w:val="FootnoteReference"/>
        </w:rPr>
        <w:footnoteRef/>
      </w:r>
      <w:r>
        <w:t xml:space="preserve"> </w:t>
      </w:r>
      <w:r w:rsidRPr="00B605CD">
        <w:rPr>
          <w:i/>
        </w:rPr>
        <w:t>Id.</w:t>
      </w:r>
    </w:p>
  </w:footnote>
  <w:footnote w:id="148">
    <w:p w:rsidR="00E57FF7" w:rsidRDefault="00E57FF7" w:rsidP="00CC56FF">
      <w:pPr>
        <w:pStyle w:val="FootnoteText"/>
      </w:pPr>
      <w:r>
        <w:rPr>
          <w:rStyle w:val="FootnoteReference"/>
        </w:rPr>
        <w:footnoteRef/>
      </w:r>
      <w:r>
        <w:t xml:space="preserve"> </w:t>
      </w:r>
      <w:r>
        <w:rPr>
          <w:color w:val="000000"/>
        </w:rPr>
        <w:t>13 C.F.R. § 121.201, NAICS code 517210.</w:t>
      </w:r>
    </w:p>
  </w:footnote>
  <w:footnote w:id="149">
    <w:p w:rsidR="00E57FF7" w:rsidRDefault="00E57FF7" w:rsidP="00CC56FF">
      <w:pPr>
        <w:pStyle w:val="FootnoteText"/>
      </w:pPr>
      <w:r>
        <w:rPr>
          <w:rStyle w:val="FootnoteReference"/>
        </w:rPr>
        <w:footnoteRef/>
      </w:r>
      <w:r>
        <w:t xml:space="preserve"> U.S. Census Bureau, 2002 NAICS Definitions, “517211 Paging,” available at </w:t>
      </w:r>
      <w:hyperlink r:id="rId3" w:history="1">
        <w:r w:rsidRPr="006B6A44">
          <w:rPr>
            <w:rStyle w:val="Hyperlink"/>
          </w:rPr>
          <w:t>http://www.census.gov/cgibin/ sssd/naics/naicsrch?code=517211&amp;search=2002%20NAICS%20Search</w:t>
        </w:r>
      </w:hyperlink>
      <w:r>
        <w:t xml:space="preserve">; U.S. Census Bureau, 2002 NAICS Definitions, “517212 Cellular and Other Wireless Telecommunications,” available at </w:t>
      </w:r>
      <w:hyperlink r:id="rId4" w:history="1">
        <w:r w:rsidRPr="006B6A44">
          <w:rPr>
            <w:rStyle w:val="Hyperlink"/>
          </w:rPr>
          <w:t>http://www.census.gov/cgi-bin/sssd/naics/naicsrch?code=517212&amp;search=2002%20NAICS%20Search</w:t>
        </w:r>
      </w:hyperlink>
      <w:r>
        <w:t>.</w:t>
      </w:r>
    </w:p>
  </w:footnote>
  <w:footnote w:id="150">
    <w:p w:rsidR="00E57FF7" w:rsidRDefault="00E57FF7" w:rsidP="00CC56FF">
      <w:pPr>
        <w:pStyle w:val="FootnoteText"/>
      </w:pPr>
      <w:r>
        <w:rPr>
          <w:rStyle w:val="FootnoteReference"/>
        </w:rPr>
        <w:footnoteRef/>
      </w:r>
      <w:r>
        <w:t xml:space="preserve"> 13 C.F.R. § 121.201, NAICS code 517210. The now-superseded, pre-2007 C.F.R. citations were 13 C.F.R. § 121.201, NAICS codes 517211 and 517212 (referring to the 2002 NAICS).</w:t>
      </w:r>
    </w:p>
  </w:footnote>
  <w:footnote w:id="151">
    <w:p w:rsidR="00E57FF7" w:rsidRDefault="00E57FF7" w:rsidP="00CC56FF">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152">
    <w:p w:rsidR="00E57FF7" w:rsidRDefault="00E57FF7" w:rsidP="00CC56FF">
      <w:pPr>
        <w:pStyle w:val="FootnoteText"/>
      </w:pPr>
      <w:r>
        <w:rPr>
          <w:rStyle w:val="FootnoteReference"/>
        </w:rPr>
        <w:footnoteRef/>
      </w:r>
      <w:r>
        <w:t xml:space="preserve"> </w:t>
      </w:r>
      <w:r w:rsidRPr="00005C93">
        <w:rPr>
          <w:i/>
        </w:rPr>
        <w:t>Id.</w:t>
      </w:r>
      <w:r>
        <w:t xml:space="preserve"> Available census data do not provide a more precise estimate of the number of firms that have employment of 1,500 or fewer employees; the largest category provided is for firms with “100 employees or more.”</w:t>
      </w:r>
    </w:p>
  </w:footnote>
  <w:footnote w:id="153">
    <w:p w:rsidR="00E57FF7" w:rsidRDefault="00E57FF7" w:rsidP="00CC56FF">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54">
    <w:p w:rsidR="00E57FF7" w:rsidRDefault="00E57FF7" w:rsidP="00CC56FF">
      <w:pPr>
        <w:pStyle w:val="FootnoteText"/>
      </w:pPr>
      <w:r>
        <w:rPr>
          <w:rStyle w:val="FootnoteReference"/>
        </w:rPr>
        <w:footnoteRef/>
      </w:r>
      <w:r>
        <w:t xml:space="preserve"> </w:t>
      </w:r>
      <w:r w:rsidRPr="00233E31">
        <w:rPr>
          <w:i/>
        </w:rPr>
        <w:t>Id.</w:t>
      </w:r>
    </w:p>
  </w:footnote>
  <w:footnote w:id="155">
    <w:p w:rsidR="00E57FF7" w:rsidRDefault="00E57FF7" w:rsidP="00CC56FF">
      <w:pPr>
        <w:pStyle w:val="FootnoteText"/>
      </w:pPr>
      <w:r>
        <w:rPr>
          <w:rStyle w:val="FootnoteReference"/>
        </w:rPr>
        <w:footnoteRef/>
      </w:r>
      <w:r>
        <w:t xml:space="preserve"> U.S. Census Bureau, 2007 NAICS Definitions, “517110 Wired Telecommunications Carriers” (partial definition), available at </w:t>
      </w:r>
      <w:hyperlink r:id="rId5" w:history="1">
        <w:r w:rsidRPr="003D56E0">
          <w:rPr>
            <w:rStyle w:val="Hyperlink"/>
          </w:rPr>
          <w:t>http://www.census.gov/cgi-bin/sssd/naics/naicsrch?code=517110&amp;search=2007%20NAICS%20Search</w:t>
        </w:r>
      </w:hyperlink>
      <w:r>
        <w:t>.</w:t>
      </w:r>
    </w:p>
  </w:footnote>
  <w:footnote w:id="156">
    <w:p w:rsidR="00E57FF7" w:rsidRDefault="00E57FF7" w:rsidP="00CC56FF">
      <w:pPr>
        <w:pStyle w:val="FootnoteText"/>
      </w:pPr>
      <w:r>
        <w:rPr>
          <w:rStyle w:val="FootnoteReference"/>
        </w:rPr>
        <w:footnoteRef/>
      </w:r>
      <w:r>
        <w:t xml:space="preserve"> </w:t>
      </w:r>
      <w:r>
        <w:rPr>
          <w:color w:val="000000"/>
        </w:rPr>
        <w:t>13 C.F.R. § 121.201, NAICS code 517110.</w:t>
      </w:r>
    </w:p>
  </w:footnote>
  <w:footnote w:id="157">
    <w:p w:rsidR="00E57FF7" w:rsidRDefault="00E57FF7" w:rsidP="00CC56FF">
      <w:pPr>
        <w:pStyle w:val="FootnoteText"/>
      </w:pPr>
      <w:r>
        <w:rPr>
          <w:rStyle w:val="FootnoteReference"/>
        </w:rPr>
        <w:footnoteRef/>
      </w:r>
      <w:r>
        <w:t xml:space="preserve"> </w:t>
      </w:r>
      <w:r w:rsidRPr="00FB045B">
        <w:rPr>
          <w:i/>
        </w:rPr>
        <w:t>See</w:t>
      </w:r>
      <w:r>
        <w:t xml:space="preserve"> 47 C.F.R. § 76.901(e). The Commission determined that this size standard equates approximately to a size standard of $100 million or less in annual revenues. </w:t>
      </w:r>
      <w:r w:rsidRPr="00FB045B">
        <w:rPr>
          <w:i/>
        </w:rPr>
        <w:t>See Implementation of Sections of the 1992 Cable Television Consumer Protection and Competition Act: Rate Regulation</w:t>
      </w:r>
      <w:r>
        <w:t>, MM Docket Nos. 92-266, 93-215, Sixth Report and Order and Eleventh Order on Reconsideration, 10 FCC Rcd 7393, 7408, para. 28 (1995).</w:t>
      </w:r>
    </w:p>
  </w:footnote>
  <w:footnote w:id="158">
    <w:p w:rsidR="00E57FF7" w:rsidRDefault="00E57FF7" w:rsidP="00CC56FF">
      <w:pPr>
        <w:pStyle w:val="FootnoteText"/>
      </w:pPr>
      <w:r>
        <w:rPr>
          <w:rStyle w:val="FootnoteReference"/>
        </w:rPr>
        <w:footnoteRef/>
      </w:r>
      <w:r>
        <w:t xml:space="preserve"> These data are derived from R.R. BOWKER, BROADCASTING &amp; CABLE YEARBOOK 2006, “Top 25 Cable/Satellite Operators,” pages A-8 &amp; C-2 (data current as of June 30, 2005); WARREN COMMUNICATIONS NEWS, TELEVISION &amp; CABLE FACTBOOK 2006, “Ownership of Cable Systems in the United States,” pages D-1805 to D-1857.</w:t>
      </w:r>
    </w:p>
  </w:footnote>
  <w:footnote w:id="159">
    <w:p w:rsidR="00E57FF7" w:rsidRDefault="00E57FF7" w:rsidP="00CC56FF">
      <w:pPr>
        <w:pStyle w:val="FootnoteText"/>
      </w:pPr>
      <w:r>
        <w:rPr>
          <w:rStyle w:val="FootnoteReference"/>
        </w:rPr>
        <w:footnoteRef/>
      </w:r>
      <w:r>
        <w:t xml:space="preserve"> </w:t>
      </w:r>
      <w:r w:rsidRPr="007C15AD">
        <w:rPr>
          <w:i/>
        </w:rPr>
        <w:t xml:space="preserve">See </w:t>
      </w:r>
      <w:r w:rsidRPr="007C15AD">
        <w:t>47 C.F.R. § 76.901(c).</w:t>
      </w:r>
    </w:p>
  </w:footnote>
  <w:footnote w:id="160">
    <w:p w:rsidR="00E57FF7" w:rsidRDefault="00E57FF7" w:rsidP="00CC56FF">
      <w:pPr>
        <w:pStyle w:val="FootnoteText"/>
      </w:pPr>
      <w:r>
        <w:rPr>
          <w:rStyle w:val="FootnoteReference"/>
        </w:rPr>
        <w:footnoteRef/>
      </w:r>
      <w:r>
        <w:t xml:space="preserve"> WARREN COMMUNICATIONS NEWS, TELEVISION &amp; CABLE FACTBOOK 2006, “U.S. Cable Systems by Subscriber Size,” page F-2 (data current as of Oct. 2007). The data do not include 851 systems for which classifying data were not available.</w:t>
      </w:r>
    </w:p>
  </w:footnote>
  <w:footnote w:id="161">
    <w:p w:rsidR="00E57FF7" w:rsidRDefault="00E57FF7" w:rsidP="00CC56FF">
      <w:pPr>
        <w:pStyle w:val="FootnoteText"/>
      </w:pPr>
      <w:r>
        <w:rPr>
          <w:rStyle w:val="FootnoteReference"/>
        </w:rPr>
        <w:footnoteRef/>
      </w:r>
      <w:r>
        <w:t xml:space="preserve"> U.S. Census Bureau, “2007 NAICS Definitions: 517919 All Other Telecommunications,” available at </w:t>
      </w:r>
      <w:hyperlink r:id="rId6" w:history="1">
        <w:r w:rsidRPr="00D33F9D">
          <w:rPr>
            <w:rStyle w:val="Hyperlink"/>
          </w:rPr>
          <w:t>http://www.census.gov/cgi-bin/sssd/naics/naicsrch?code=517919&amp;search=2007%20NAICS%20Search</w:t>
        </w:r>
      </w:hyperlink>
      <w:r>
        <w:t>.</w:t>
      </w:r>
    </w:p>
  </w:footnote>
  <w:footnote w:id="162">
    <w:p w:rsidR="00E57FF7" w:rsidRDefault="00E57FF7" w:rsidP="00CC56FF">
      <w:pPr>
        <w:pStyle w:val="FootnoteText"/>
      </w:pPr>
      <w:r>
        <w:rPr>
          <w:rStyle w:val="FootnoteReference"/>
        </w:rPr>
        <w:footnoteRef/>
      </w:r>
      <w:r>
        <w:t xml:space="preserve"> </w:t>
      </w:r>
      <w:r>
        <w:rPr>
          <w:color w:val="000000"/>
        </w:rPr>
        <w:t>13 C.F.R. § 121.201, NAICS code 517919.</w:t>
      </w:r>
    </w:p>
  </w:footnote>
  <w:footnote w:id="163">
    <w:p w:rsidR="00E57FF7" w:rsidRDefault="00E57FF7" w:rsidP="00CC56FF">
      <w:pPr>
        <w:pStyle w:val="FootnoteText"/>
      </w:pPr>
      <w:r>
        <w:rPr>
          <w:rStyle w:val="FootnoteReference"/>
        </w:rPr>
        <w:footnoteRef/>
      </w:r>
      <w:r>
        <w:t xml:space="preserve"> U.S. Census Bureau, 2007 Economic Census, Subject Series: Information, Table 4, “Establishment and Firm Size:  Receipts Size of Firms for the United States: 2007 NAICS Code 517919” (issued Nov. 2010).</w:t>
      </w:r>
    </w:p>
  </w:footnote>
  <w:footnote w:id="164">
    <w:p w:rsidR="00E57FF7" w:rsidRDefault="00E57FF7" w:rsidP="00CC56FF">
      <w:pPr>
        <w:pStyle w:val="FootnoteText"/>
      </w:pPr>
      <w:r>
        <w:rPr>
          <w:rStyle w:val="FootnoteReference"/>
        </w:rPr>
        <w:footnoteRef/>
      </w:r>
      <w:r>
        <w:t xml:space="preserve"> </w:t>
      </w:r>
      <w:r w:rsidRPr="001502DB">
        <w:rPr>
          <w:i/>
        </w:rPr>
        <w:t>Id.</w:t>
      </w:r>
    </w:p>
  </w:footnote>
  <w:footnote w:id="165">
    <w:p w:rsidR="00E57FF7" w:rsidRDefault="00E57FF7" w:rsidP="00CC56FF">
      <w:pPr>
        <w:pStyle w:val="FootnoteText"/>
      </w:pPr>
      <w:r>
        <w:rPr>
          <w:rStyle w:val="FootnoteReference"/>
        </w:rPr>
        <w:footnoteRef/>
      </w:r>
      <w:r>
        <w:t xml:space="preserve"> </w:t>
      </w:r>
      <w:r w:rsidRPr="00185ED3">
        <w:t>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51" w:rsidRDefault="00305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F7" w:rsidRPr="00A57CE1" w:rsidRDefault="00E57FF7">
    <w:pPr>
      <w:pStyle w:val="Header"/>
    </w:pPr>
    <w:r>
      <w:rPr>
        <w:b w:val="0"/>
      </w:rPr>
      <w:tab/>
    </w:r>
    <w:r w:rsidRPr="00A57CE1">
      <w:t>Federal Communications Commission</w:t>
    </w:r>
    <w:r w:rsidRPr="00A57CE1">
      <w:tab/>
      <w:t>FCC 13-</w:t>
    </w:r>
    <w:r w:rsidR="009E0189">
      <w:t>74</w:t>
    </w:r>
    <w:r w:rsidRPr="00A57CE1">
      <w:t xml:space="preserve"> </w:t>
    </w:r>
  </w:p>
  <w:p w:rsidR="00E57FF7" w:rsidRPr="00A57CE1" w:rsidRDefault="00A13E19">
    <w:pPr>
      <w:pStyle w:val="Header"/>
    </w:pPr>
    <w:r>
      <w:rPr>
        <w:noProof/>
        <w:snapToGrid/>
      </w:rPr>
      <mc:AlternateContent>
        <mc:Choice Requires="wps">
          <w:drawing>
            <wp:anchor distT="4294967292" distB="4294967292" distL="114300" distR="114300" simplePos="0" relativeHeight="251658240" behindDoc="0" locked="0" layoutInCell="0" allowOverlap="1" wp14:anchorId="29FE243D" wp14:editId="15C1044A">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E57FF7" w:rsidRDefault="00E57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F7" w:rsidRDefault="00E57FF7" w:rsidP="006A1ED7">
    <w:pPr>
      <w:pStyle w:val="Header"/>
      <w:rPr>
        <w:b w:val="0"/>
      </w:rPr>
    </w:pPr>
    <w:r>
      <w:rPr>
        <w:b w:val="0"/>
      </w:rPr>
      <w:tab/>
    </w:r>
    <w:r w:rsidRPr="00A57CE1">
      <w:t>Federal Communications Commission</w:t>
    </w:r>
    <w:r w:rsidRPr="00A57CE1">
      <w:tab/>
      <w:t>FCC 13</w:t>
    </w:r>
    <w:r w:rsidRPr="00E43A45">
      <w:t>-</w:t>
    </w:r>
    <w:r w:rsidR="009E0189" w:rsidRPr="00E43A45">
      <w:t>74</w:t>
    </w:r>
    <w:r>
      <w:rPr>
        <w:b w:val="0"/>
      </w:rPr>
      <w:t xml:space="preserve"> </w:t>
    </w:r>
  </w:p>
  <w:p w:rsidR="00E57FF7" w:rsidRDefault="00A13E19" w:rsidP="00C5052D">
    <w:pPr>
      <w:pStyle w:val="Header"/>
    </w:pPr>
    <w:r>
      <w:rPr>
        <w:noProof/>
        <w:snapToGrid/>
      </w:rPr>
      <mc:AlternateContent>
        <mc:Choice Requires="wps">
          <w:drawing>
            <wp:anchor distT="4294967292" distB="4294967292" distL="114300" distR="114300" simplePos="0" relativeHeight="251660288" behindDoc="0" locked="0" layoutInCell="0" allowOverlap="1" wp14:anchorId="1CB8B5E3" wp14:editId="7526963C">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7680E"/>
    <w:multiLevelType w:val="hybridMultilevel"/>
    <w:tmpl w:val="96DE426A"/>
    <w:lvl w:ilvl="0" w:tplc="E3B88EBE">
      <w:start w:val="1"/>
      <w:numFmt w:val="bullet"/>
      <w:lvlText w:val=""/>
      <w:lvlJc w:val="left"/>
      <w:pPr>
        <w:ind w:left="1350" w:hanging="360"/>
      </w:pPr>
      <w:rPr>
        <w:rFonts w:ascii="Symbol" w:hAnsi="Symbol" w:hint="default"/>
      </w:rPr>
    </w:lvl>
    <w:lvl w:ilvl="1" w:tplc="906864D0">
      <w:start w:val="1"/>
      <w:numFmt w:val="bullet"/>
      <w:lvlText w:val="o"/>
      <w:lvlJc w:val="left"/>
      <w:pPr>
        <w:ind w:left="2070" w:hanging="360"/>
      </w:pPr>
      <w:rPr>
        <w:rFonts w:ascii="Courier New" w:hAnsi="Courier New" w:cs="Courier New" w:hint="default"/>
      </w:rPr>
    </w:lvl>
    <w:lvl w:ilvl="2" w:tplc="DE6C7718" w:tentative="1">
      <w:start w:val="1"/>
      <w:numFmt w:val="bullet"/>
      <w:lvlText w:val=""/>
      <w:lvlJc w:val="left"/>
      <w:pPr>
        <w:ind w:left="2790" w:hanging="360"/>
      </w:pPr>
      <w:rPr>
        <w:rFonts w:ascii="Wingdings" w:hAnsi="Wingdings" w:hint="default"/>
      </w:rPr>
    </w:lvl>
    <w:lvl w:ilvl="3" w:tplc="3D507CE4" w:tentative="1">
      <w:start w:val="1"/>
      <w:numFmt w:val="bullet"/>
      <w:lvlText w:val=""/>
      <w:lvlJc w:val="left"/>
      <w:pPr>
        <w:ind w:left="3510" w:hanging="360"/>
      </w:pPr>
      <w:rPr>
        <w:rFonts w:ascii="Symbol" w:hAnsi="Symbol" w:hint="default"/>
      </w:rPr>
    </w:lvl>
    <w:lvl w:ilvl="4" w:tplc="D3D64D16" w:tentative="1">
      <w:start w:val="1"/>
      <w:numFmt w:val="bullet"/>
      <w:lvlText w:val="o"/>
      <w:lvlJc w:val="left"/>
      <w:pPr>
        <w:ind w:left="4230" w:hanging="360"/>
      </w:pPr>
      <w:rPr>
        <w:rFonts w:ascii="Courier New" w:hAnsi="Courier New" w:cs="Courier New" w:hint="default"/>
      </w:rPr>
    </w:lvl>
    <w:lvl w:ilvl="5" w:tplc="C2A00612" w:tentative="1">
      <w:start w:val="1"/>
      <w:numFmt w:val="bullet"/>
      <w:lvlText w:val=""/>
      <w:lvlJc w:val="left"/>
      <w:pPr>
        <w:ind w:left="4950" w:hanging="360"/>
      </w:pPr>
      <w:rPr>
        <w:rFonts w:ascii="Wingdings" w:hAnsi="Wingdings" w:hint="default"/>
      </w:rPr>
    </w:lvl>
    <w:lvl w:ilvl="6" w:tplc="303CE5F4" w:tentative="1">
      <w:start w:val="1"/>
      <w:numFmt w:val="bullet"/>
      <w:lvlText w:val=""/>
      <w:lvlJc w:val="left"/>
      <w:pPr>
        <w:ind w:left="5670" w:hanging="360"/>
      </w:pPr>
      <w:rPr>
        <w:rFonts w:ascii="Symbol" w:hAnsi="Symbol" w:hint="default"/>
      </w:rPr>
    </w:lvl>
    <w:lvl w:ilvl="7" w:tplc="6C0EE500" w:tentative="1">
      <w:start w:val="1"/>
      <w:numFmt w:val="bullet"/>
      <w:lvlText w:val="o"/>
      <w:lvlJc w:val="left"/>
      <w:pPr>
        <w:ind w:left="6390" w:hanging="360"/>
      </w:pPr>
      <w:rPr>
        <w:rFonts w:ascii="Courier New" w:hAnsi="Courier New" w:cs="Courier New" w:hint="default"/>
      </w:rPr>
    </w:lvl>
    <w:lvl w:ilvl="8" w:tplc="BB76544E" w:tentative="1">
      <w:start w:val="1"/>
      <w:numFmt w:val="bullet"/>
      <w:lvlText w:val=""/>
      <w:lvlJc w:val="left"/>
      <w:pPr>
        <w:ind w:left="711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496261D"/>
    <w:multiLevelType w:val="singleLevel"/>
    <w:tmpl w:val="459AAAC2"/>
    <w:lvl w:ilvl="0">
      <w:start w:val="1"/>
      <w:numFmt w:val="decimal"/>
      <w:pStyle w:val="Bullet"/>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0">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3"/>
  </w:num>
  <w:num w:numId="8">
    <w:abstractNumId w:val="1"/>
  </w:num>
  <w:num w:numId="9">
    <w:abstractNumId w:val="5"/>
  </w:num>
  <w:num w:numId="10">
    <w:abstractNumId w:val="2"/>
  </w:num>
  <w:num w:numId="11">
    <w:abstractNumId w:val="0"/>
  </w:num>
  <w:num w:numId="12">
    <w:abstractNumId w:val="7"/>
  </w:num>
  <w:num w:numId="13">
    <w:abstractNumId w:val="7"/>
  </w:num>
  <w:num w:numId="14">
    <w:abstractNumId w:val="7"/>
  </w:num>
  <w:num w:numId="15">
    <w:abstractNumId w:val="7"/>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BD"/>
    <w:rsid w:val="0000013B"/>
    <w:rsid w:val="00001B55"/>
    <w:rsid w:val="000021F2"/>
    <w:rsid w:val="00002595"/>
    <w:rsid w:val="000027AE"/>
    <w:rsid w:val="00004073"/>
    <w:rsid w:val="000072C1"/>
    <w:rsid w:val="0000787A"/>
    <w:rsid w:val="0001128D"/>
    <w:rsid w:val="00015410"/>
    <w:rsid w:val="000154D3"/>
    <w:rsid w:val="00021046"/>
    <w:rsid w:val="000232BD"/>
    <w:rsid w:val="00024C4A"/>
    <w:rsid w:val="000251CF"/>
    <w:rsid w:val="0003079A"/>
    <w:rsid w:val="0003175B"/>
    <w:rsid w:val="00032720"/>
    <w:rsid w:val="0003450C"/>
    <w:rsid w:val="00035821"/>
    <w:rsid w:val="000364A6"/>
    <w:rsid w:val="000406D0"/>
    <w:rsid w:val="00042811"/>
    <w:rsid w:val="00045486"/>
    <w:rsid w:val="00045FD5"/>
    <w:rsid w:val="00051359"/>
    <w:rsid w:val="00054A29"/>
    <w:rsid w:val="00057AFA"/>
    <w:rsid w:val="00061D2F"/>
    <w:rsid w:val="0007038A"/>
    <w:rsid w:val="00071817"/>
    <w:rsid w:val="0008216F"/>
    <w:rsid w:val="00083F80"/>
    <w:rsid w:val="00086A51"/>
    <w:rsid w:val="00087C88"/>
    <w:rsid w:val="00090B78"/>
    <w:rsid w:val="00097D63"/>
    <w:rsid w:val="000A1E3C"/>
    <w:rsid w:val="000A2105"/>
    <w:rsid w:val="000A348F"/>
    <w:rsid w:val="000A3F97"/>
    <w:rsid w:val="000A56A1"/>
    <w:rsid w:val="000A6F0B"/>
    <w:rsid w:val="000A762E"/>
    <w:rsid w:val="000B15F0"/>
    <w:rsid w:val="000B1C00"/>
    <w:rsid w:val="000B6208"/>
    <w:rsid w:val="000C1F78"/>
    <w:rsid w:val="000C25D7"/>
    <w:rsid w:val="000C2FAD"/>
    <w:rsid w:val="000C3CA2"/>
    <w:rsid w:val="000C3D58"/>
    <w:rsid w:val="000C4618"/>
    <w:rsid w:val="000C4759"/>
    <w:rsid w:val="000D19F6"/>
    <w:rsid w:val="000D1AE7"/>
    <w:rsid w:val="000D65F2"/>
    <w:rsid w:val="000E1A50"/>
    <w:rsid w:val="000E333B"/>
    <w:rsid w:val="000E36C9"/>
    <w:rsid w:val="000E395D"/>
    <w:rsid w:val="000E4F66"/>
    <w:rsid w:val="000E7158"/>
    <w:rsid w:val="000F262E"/>
    <w:rsid w:val="000F3D95"/>
    <w:rsid w:val="000F74F9"/>
    <w:rsid w:val="000F7E16"/>
    <w:rsid w:val="0010195C"/>
    <w:rsid w:val="00102AB6"/>
    <w:rsid w:val="00102ECE"/>
    <w:rsid w:val="001047D0"/>
    <w:rsid w:val="00104A93"/>
    <w:rsid w:val="00104E54"/>
    <w:rsid w:val="00105154"/>
    <w:rsid w:val="00105CD6"/>
    <w:rsid w:val="0011024C"/>
    <w:rsid w:val="00110A2C"/>
    <w:rsid w:val="00112402"/>
    <w:rsid w:val="00112A7F"/>
    <w:rsid w:val="001137F5"/>
    <w:rsid w:val="00113BA5"/>
    <w:rsid w:val="00116B9C"/>
    <w:rsid w:val="001217C2"/>
    <w:rsid w:val="00121B93"/>
    <w:rsid w:val="00121C49"/>
    <w:rsid w:val="00123957"/>
    <w:rsid w:val="00125CAF"/>
    <w:rsid w:val="0012692F"/>
    <w:rsid w:val="00127B0F"/>
    <w:rsid w:val="001305DA"/>
    <w:rsid w:val="00132D8A"/>
    <w:rsid w:val="001330F7"/>
    <w:rsid w:val="001350CA"/>
    <w:rsid w:val="00135F32"/>
    <w:rsid w:val="00136DD6"/>
    <w:rsid w:val="00140CBD"/>
    <w:rsid w:val="001527E0"/>
    <w:rsid w:val="00157425"/>
    <w:rsid w:val="0015764E"/>
    <w:rsid w:val="00160543"/>
    <w:rsid w:val="00160E5B"/>
    <w:rsid w:val="00161540"/>
    <w:rsid w:val="0016301B"/>
    <w:rsid w:val="001630FA"/>
    <w:rsid w:val="001632AE"/>
    <w:rsid w:val="001662C6"/>
    <w:rsid w:val="00167EF6"/>
    <w:rsid w:val="0017044A"/>
    <w:rsid w:val="001734DA"/>
    <w:rsid w:val="00176953"/>
    <w:rsid w:val="001813B5"/>
    <w:rsid w:val="00182B7F"/>
    <w:rsid w:val="00184CC8"/>
    <w:rsid w:val="0018511B"/>
    <w:rsid w:val="00186AF7"/>
    <w:rsid w:val="00191604"/>
    <w:rsid w:val="00191C64"/>
    <w:rsid w:val="00194EAB"/>
    <w:rsid w:val="001A1DC5"/>
    <w:rsid w:val="001A2705"/>
    <w:rsid w:val="001A3029"/>
    <w:rsid w:val="001A4165"/>
    <w:rsid w:val="001B308B"/>
    <w:rsid w:val="001B34AA"/>
    <w:rsid w:val="001B3706"/>
    <w:rsid w:val="001B4CA4"/>
    <w:rsid w:val="001B629D"/>
    <w:rsid w:val="001C11D0"/>
    <w:rsid w:val="001C12C0"/>
    <w:rsid w:val="001C5345"/>
    <w:rsid w:val="001C5937"/>
    <w:rsid w:val="001D1608"/>
    <w:rsid w:val="001D1946"/>
    <w:rsid w:val="001D3301"/>
    <w:rsid w:val="001D5F72"/>
    <w:rsid w:val="001D7F9F"/>
    <w:rsid w:val="001E1FE6"/>
    <w:rsid w:val="001E427C"/>
    <w:rsid w:val="001E55EA"/>
    <w:rsid w:val="001F0E88"/>
    <w:rsid w:val="001F25B4"/>
    <w:rsid w:val="001F2FF6"/>
    <w:rsid w:val="001F54CD"/>
    <w:rsid w:val="001F60FD"/>
    <w:rsid w:val="001F66C3"/>
    <w:rsid w:val="00205444"/>
    <w:rsid w:val="002063C6"/>
    <w:rsid w:val="00211C1A"/>
    <w:rsid w:val="00214B36"/>
    <w:rsid w:val="002151AC"/>
    <w:rsid w:val="002172C3"/>
    <w:rsid w:val="00223331"/>
    <w:rsid w:val="0022480A"/>
    <w:rsid w:val="00232C73"/>
    <w:rsid w:val="002339E8"/>
    <w:rsid w:val="00233F8A"/>
    <w:rsid w:val="00235538"/>
    <w:rsid w:val="002409CA"/>
    <w:rsid w:val="00240A9A"/>
    <w:rsid w:val="00242202"/>
    <w:rsid w:val="00242FF3"/>
    <w:rsid w:val="002432A1"/>
    <w:rsid w:val="002442CD"/>
    <w:rsid w:val="0025593E"/>
    <w:rsid w:val="00255DC8"/>
    <w:rsid w:val="00257EEE"/>
    <w:rsid w:val="002606C1"/>
    <w:rsid w:val="00260E10"/>
    <w:rsid w:val="00262A4D"/>
    <w:rsid w:val="0026425F"/>
    <w:rsid w:val="00265D97"/>
    <w:rsid w:val="00266462"/>
    <w:rsid w:val="00266511"/>
    <w:rsid w:val="00270333"/>
    <w:rsid w:val="002715A9"/>
    <w:rsid w:val="0027269E"/>
    <w:rsid w:val="00282408"/>
    <w:rsid w:val="00283AAE"/>
    <w:rsid w:val="0028451D"/>
    <w:rsid w:val="0028665A"/>
    <w:rsid w:val="00294D5F"/>
    <w:rsid w:val="00295754"/>
    <w:rsid w:val="00295980"/>
    <w:rsid w:val="0029605D"/>
    <w:rsid w:val="002A06E7"/>
    <w:rsid w:val="002A1C00"/>
    <w:rsid w:val="002A255C"/>
    <w:rsid w:val="002A5636"/>
    <w:rsid w:val="002A5F7C"/>
    <w:rsid w:val="002A7A0C"/>
    <w:rsid w:val="002B1125"/>
    <w:rsid w:val="002B25DA"/>
    <w:rsid w:val="002B3CF2"/>
    <w:rsid w:val="002B4B8B"/>
    <w:rsid w:val="002B7E76"/>
    <w:rsid w:val="002C1DE0"/>
    <w:rsid w:val="002C71E0"/>
    <w:rsid w:val="002D1590"/>
    <w:rsid w:val="002D4977"/>
    <w:rsid w:val="002D7567"/>
    <w:rsid w:val="002D79B5"/>
    <w:rsid w:val="002E48A9"/>
    <w:rsid w:val="002E54C2"/>
    <w:rsid w:val="002E6389"/>
    <w:rsid w:val="002F13B6"/>
    <w:rsid w:val="002F5974"/>
    <w:rsid w:val="002F6919"/>
    <w:rsid w:val="00300AAB"/>
    <w:rsid w:val="00300BB2"/>
    <w:rsid w:val="003019DC"/>
    <w:rsid w:val="00303A13"/>
    <w:rsid w:val="0030496B"/>
    <w:rsid w:val="0030506A"/>
    <w:rsid w:val="00305D51"/>
    <w:rsid w:val="003061EF"/>
    <w:rsid w:val="00306B3E"/>
    <w:rsid w:val="00312DB4"/>
    <w:rsid w:val="003163DC"/>
    <w:rsid w:val="003176C7"/>
    <w:rsid w:val="00317D09"/>
    <w:rsid w:val="00317F41"/>
    <w:rsid w:val="0032026D"/>
    <w:rsid w:val="00320A1D"/>
    <w:rsid w:val="00324F2F"/>
    <w:rsid w:val="00327C19"/>
    <w:rsid w:val="0033132C"/>
    <w:rsid w:val="00331E33"/>
    <w:rsid w:val="00332429"/>
    <w:rsid w:val="00333ED2"/>
    <w:rsid w:val="00334377"/>
    <w:rsid w:val="00337306"/>
    <w:rsid w:val="00342105"/>
    <w:rsid w:val="00343D32"/>
    <w:rsid w:val="00344968"/>
    <w:rsid w:val="00346AE5"/>
    <w:rsid w:val="00347262"/>
    <w:rsid w:val="00347A73"/>
    <w:rsid w:val="003501B2"/>
    <w:rsid w:val="00350376"/>
    <w:rsid w:val="0035164D"/>
    <w:rsid w:val="0035324D"/>
    <w:rsid w:val="003545BC"/>
    <w:rsid w:val="00354FCC"/>
    <w:rsid w:val="00355270"/>
    <w:rsid w:val="00356D85"/>
    <w:rsid w:val="00361F7A"/>
    <w:rsid w:val="003656DB"/>
    <w:rsid w:val="0036742D"/>
    <w:rsid w:val="00372A5E"/>
    <w:rsid w:val="003763D2"/>
    <w:rsid w:val="00380F5A"/>
    <w:rsid w:val="00385E88"/>
    <w:rsid w:val="003860A8"/>
    <w:rsid w:val="0039026B"/>
    <w:rsid w:val="003927E3"/>
    <w:rsid w:val="00394CA7"/>
    <w:rsid w:val="003971E4"/>
    <w:rsid w:val="003A40F2"/>
    <w:rsid w:val="003A7249"/>
    <w:rsid w:val="003B0941"/>
    <w:rsid w:val="003B09F6"/>
    <w:rsid w:val="003B0FBF"/>
    <w:rsid w:val="003B187E"/>
    <w:rsid w:val="003B4F39"/>
    <w:rsid w:val="003B7538"/>
    <w:rsid w:val="003C0F0B"/>
    <w:rsid w:val="003C2B0B"/>
    <w:rsid w:val="003C312D"/>
    <w:rsid w:val="003C3DBD"/>
    <w:rsid w:val="003C48F4"/>
    <w:rsid w:val="003C4D9D"/>
    <w:rsid w:val="003D16C4"/>
    <w:rsid w:val="003D1FEF"/>
    <w:rsid w:val="003E023D"/>
    <w:rsid w:val="003E4462"/>
    <w:rsid w:val="003F09CE"/>
    <w:rsid w:val="003F1A63"/>
    <w:rsid w:val="003F286B"/>
    <w:rsid w:val="003F3351"/>
    <w:rsid w:val="003F6530"/>
    <w:rsid w:val="003F6CDB"/>
    <w:rsid w:val="00404E54"/>
    <w:rsid w:val="0040545A"/>
    <w:rsid w:val="00407507"/>
    <w:rsid w:val="0041261F"/>
    <w:rsid w:val="00412EDE"/>
    <w:rsid w:val="0042039F"/>
    <w:rsid w:val="004228A3"/>
    <w:rsid w:val="00426F38"/>
    <w:rsid w:val="00431C59"/>
    <w:rsid w:val="004354F6"/>
    <w:rsid w:val="0043691E"/>
    <w:rsid w:val="004411BE"/>
    <w:rsid w:val="00441BD3"/>
    <w:rsid w:val="00441FE5"/>
    <w:rsid w:val="00443BEC"/>
    <w:rsid w:val="00444748"/>
    <w:rsid w:val="004453BD"/>
    <w:rsid w:val="004524B1"/>
    <w:rsid w:val="00454342"/>
    <w:rsid w:val="00454629"/>
    <w:rsid w:val="00455666"/>
    <w:rsid w:val="00455671"/>
    <w:rsid w:val="00455AA6"/>
    <w:rsid w:val="00457770"/>
    <w:rsid w:val="00460895"/>
    <w:rsid w:val="00462E94"/>
    <w:rsid w:val="00466358"/>
    <w:rsid w:val="00470FCC"/>
    <w:rsid w:val="0047253D"/>
    <w:rsid w:val="004729DD"/>
    <w:rsid w:val="00473407"/>
    <w:rsid w:val="00473955"/>
    <w:rsid w:val="00473AF0"/>
    <w:rsid w:val="004742CE"/>
    <w:rsid w:val="0047488B"/>
    <w:rsid w:val="00476495"/>
    <w:rsid w:val="004777BD"/>
    <w:rsid w:val="00477981"/>
    <w:rsid w:val="00477D82"/>
    <w:rsid w:val="00482859"/>
    <w:rsid w:val="00484942"/>
    <w:rsid w:val="004849EA"/>
    <w:rsid w:val="00490767"/>
    <w:rsid w:val="0049418E"/>
    <w:rsid w:val="00496C86"/>
    <w:rsid w:val="004A15A3"/>
    <w:rsid w:val="004A1E52"/>
    <w:rsid w:val="004A33E7"/>
    <w:rsid w:val="004A3757"/>
    <w:rsid w:val="004A454B"/>
    <w:rsid w:val="004A5390"/>
    <w:rsid w:val="004A7B26"/>
    <w:rsid w:val="004B2BD6"/>
    <w:rsid w:val="004B46F3"/>
    <w:rsid w:val="004B53B8"/>
    <w:rsid w:val="004B7B35"/>
    <w:rsid w:val="004D1137"/>
    <w:rsid w:val="004D201E"/>
    <w:rsid w:val="004D31D1"/>
    <w:rsid w:val="004D3CE7"/>
    <w:rsid w:val="004D4943"/>
    <w:rsid w:val="004D4EC1"/>
    <w:rsid w:val="004D53A3"/>
    <w:rsid w:val="004D5872"/>
    <w:rsid w:val="004D7AB7"/>
    <w:rsid w:val="004E2FC1"/>
    <w:rsid w:val="004E300E"/>
    <w:rsid w:val="004E6394"/>
    <w:rsid w:val="004E657F"/>
    <w:rsid w:val="004E65F6"/>
    <w:rsid w:val="004F28CB"/>
    <w:rsid w:val="004F434C"/>
    <w:rsid w:val="004F5A75"/>
    <w:rsid w:val="004F6A48"/>
    <w:rsid w:val="004F7DE4"/>
    <w:rsid w:val="004F7FDA"/>
    <w:rsid w:val="00502CCD"/>
    <w:rsid w:val="005033AC"/>
    <w:rsid w:val="00503A3A"/>
    <w:rsid w:val="00503DFB"/>
    <w:rsid w:val="00504F2F"/>
    <w:rsid w:val="00504FA2"/>
    <w:rsid w:val="00505AB7"/>
    <w:rsid w:val="00506EB4"/>
    <w:rsid w:val="00507C30"/>
    <w:rsid w:val="0051124E"/>
    <w:rsid w:val="005132A2"/>
    <w:rsid w:val="00515EB6"/>
    <w:rsid w:val="00520A17"/>
    <w:rsid w:val="00520FA6"/>
    <w:rsid w:val="005218CC"/>
    <w:rsid w:val="00521FF4"/>
    <w:rsid w:val="0052201A"/>
    <w:rsid w:val="00522FA3"/>
    <w:rsid w:val="005242D3"/>
    <w:rsid w:val="00524431"/>
    <w:rsid w:val="00524AB3"/>
    <w:rsid w:val="00524D9A"/>
    <w:rsid w:val="00525674"/>
    <w:rsid w:val="00526E69"/>
    <w:rsid w:val="0053263C"/>
    <w:rsid w:val="005328E3"/>
    <w:rsid w:val="00535A9C"/>
    <w:rsid w:val="00540822"/>
    <w:rsid w:val="00540D73"/>
    <w:rsid w:val="00541F56"/>
    <w:rsid w:val="00542264"/>
    <w:rsid w:val="005429A2"/>
    <w:rsid w:val="00543250"/>
    <w:rsid w:val="00544F00"/>
    <w:rsid w:val="00547927"/>
    <w:rsid w:val="00551416"/>
    <w:rsid w:val="0055306C"/>
    <w:rsid w:val="00555C8E"/>
    <w:rsid w:val="00561FCA"/>
    <w:rsid w:val="00561FF3"/>
    <w:rsid w:val="0056266B"/>
    <w:rsid w:val="005628BE"/>
    <w:rsid w:val="0056416C"/>
    <w:rsid w:val="0056453C"/>
    <w:rsid w:val="00565191"/>
    <w:rsid w:val="00566023"/>
    <w:rsid w:val="0056681B"/>
    <w:rsid w:val="00567183"/>
    <w:rsid w:val="00571026"/>
    <w:rsid w:val="005723A5"/>
    <w:rsid w:val="00572A9A"/>
    <w:rsid w:val="005732CA"/>
    <w:rsid w:val="00581908"/>
    <w:rsid w:val="005824CA"/>
    <w:rsid w:val="00582B05"/>
    <w:rsid w:val="00582C4C"/>
    <w:rsid w:val="005832F6"/>
    <w:rsid w:val="00583D50"/>
    <w:rsid w:val="005912E5"/>
    <w:rsid w:val="00591870"/>
    <w:rsid w:val="00595857"/>
    <w:rsid w:val="00595C84"/>
    <w:rsid w:val="00596298"/>
    <w:rsid w:val="00596353"/>
    <w:rsid w:val="005A040B"/>
    <w:rsid w:val="005A1341"/>
    <w:rsid w:val="005A3DCA"/>
    <w:rsid w:val="005A564F"/>
    <w:rsid w:val="005A7239"/>
    <w:rsid w:val="005B404D"/>
    <w:rsid w:val="005B53DC"/>
    <w:rsid w:val="005B65F0"/>
    <w:rsid w:val="005B7F17"/>
    <w:rsid w:val="005B7FD8"/>
    <w:rsid w:val="005C35C7"/>
    <w:rsid w:val="005C3850"/>
    <w:rsid w:val="005C58B7"/>
    <w:rsid w:val="005D3071"/>
    <w:rsid w:val="005D3A44"/>
    <w:rsid w:val="005D729E"/>
    <w:rsid w:val="005D7588"/>
    <w:rsid w:val="005D79F2"/>
    <w:rsid w:val="005E1110"/>
    <w:rsid w:val="005E16BC"/>
    <w:rsid w:val="005E3BCF"/>
    <w:rsid w:val="005E3EA9"/>
    <w:rsid w:val="005E41C2"/>
    <w:rsid w:val="005E574D"/>
    <w:rsid w:val="005F0141"/>
    <w:rsid w:val="005F0CAD"/>
    <w:rsid w:val="005F15FE"/>
    <w:rsid w:val="005F1B48"/>
    <w:rsid w:val="005F25E7"/>
    <w:rsid w:val="005F39DE"/>
    <w:rsid w:val="005F3AB9"/>
    <w:rsid w:val="005F3FB2"/>
    <w:rsid w:val="005F585D"/>
    <w:rsid w:val="005F5C89"/>
    <w:rsid w:val="00600C9F"/>
    <w:rsid w:val="00601113"/>
    <w:rsid w:val="006011D6"/>
    <w:rsid w:val="00601314"/>
    <w:rsid w:val="00602B18"/>
    <w:rsid w:val="00602EBF"/>
    <w:rsid w:val="006049D1"/>
    <w:rsid w:val="0060700B"/>
    <w:rsid w:val="0060717E"/>
    <w:rsid w:val="00610667"/>
    <w:rsid w:val="006114AE"/>
    <w:rsid w:val="00616468"/>
    <w:rsid w:val="00616C27"/>
    <w:rsid w:val="00622238"/>
    <w:rsid w:val="00623685"/>
    <w:rsid w:val="00623D7C"/>
    <w:rsid w:val="006250ED"/>
    <w:rsid w:val="00630131"/>
    <w:rsid w:val="00630B2B"/>
    <w:rsid w:val="00631AEF"/>
    <w:rsid w:val="00632FDF"/>
    <w:rsid w:val="00633265"/>
    <w:rsid w:val="006411F4"/>
    <w:rsid w:val="00642D1B"/>
    <w:rsid w:val="006432BC"/>
    <w:rsid w:val="00645B25"/>
    <w:rsid w:val="00645D15"/>
    <w:rsid w:val="00646724"/>
    <w:rsid w:val="006503FC"/>
    <w:rsid w:val="00655DE0"/>
    <w:rsid w:val="00657E2C"/>
    <w:rsid w:val="00660AC5"/>
    <w:rsid w:val="00660D70"/>
    <w:rsid w:val="00660F53"/>
    <w:rsid w:val="0066216A"/>
    <w:rsid w:val="00664C11"/>
    <w:rsid w:val="00665010"/>
    <w:rsid w:val="00665D9F"/>
    <w:rsid w:val="006665AC"/>
    <w:rsid w:val="00666A94"/>
    <w:rsid w:val="006670F5"/>
    <w:rsid w:val="00670048"/>
    <w:rsid w:val="006702A8"/>
    <w:rsid w:val="00671462"/>
    <w:rsid w:val="0067357D"/>
    <w:rsid w:val="006746C5"/>
    <w:rsid w:val="00675A11"/>
    <w:rsid w:val="00677559"/>
    <w:rsid w:val="0068028D"/>
    <w:rsid w:val="00680A51"/>
    <w:rsid w:val="00684699"/>
    <w:rsid w:val="00686BCA"/>
    <w:rsid w:val="00691A55"/>
    <w:rsid w:val="00692D7E"/>
    <w:rsid w:val="00694844"/>
    <w:rsid w:val="00695162"/>
    <w:rsid w:val="006953E7"/>
    <w:rsid w:val="00695651"/>
    <w:rsid w:val="0069598D"/>
    <w:rsid w:val="0069719F"/>
    <w:rsid w:val="00697574"/>
    <w:rsid w:val="006978DB"/>
    <w:rsid w:val="006A000A"/>
    <w:rsid w:val="006A1ED7"/>
    <w:rsid w:val="006A303E"/>
    <w:rsid w:val="006A3395"/>
    <w:rsid w:val="006B1ED1"/>
    <w:rsid w:val="006B5018"/>
    <w:rsid w:val="006B5AE6"/>
    <w:rsid w:val="006B5BE3"/>
    <w:rsid w:val="006C04C0"/>
    <w:rsid w:val="006C1498"/>
    <w:rsid w:val="006C158D"/>
    <w:rsid w:val="006C1D51"/>
    <w:rsid w:val="006C4C57"/>
    <w:rsid w:val="006C7057"/>
    <w:rsid w:val="006D0856"/>
    <w:rsid w:val="006D1967"/>
    <w:rsid w:val="006D37F0"/>
    <w:rsid w:val="006D51B7"/>
    <w:rsid w:val="006D5D0C"/>
    <w:rsid w:val="006D6267"/>
    <w:rsid w:val="006D6AE8"/>
    <w:rsid w:val="006D6C14"/>
    <w:rsid w:val="006D7CC2"/>
    <w:rsid w:val="006D7CCD"/>
    <w:rsid w:val="006E14DF"/>
    <w:rsid w:val="006E27A5"/>
    <w:rsid w:val="006E38E4"/>
    <w:rsid w:val="006E5530"/>
    <w:rsid w:val="006E7047"/>
    <w:rsid w:val="006E7A99"/>
    <w:rsid w:val="006F0D93"/>
    <w:rsid w:val="006F129D"/>
    <w:rsid w:val="006F4517"/>
    <w:rsid w:val="006F6AB6"/>
    <w:rsid w:val="006F6C55"/>
    <w:rsid w:val="00700F36"/>
    <w:rsid w:val="00701642"/>
    <w:rsid w:val="00705095"/>
    <w:rsid w:val="00706715"/>
    <w:rsid w:val="007074BF"/>
    <w:rsid w:val="007113B2"/>
    <w:rsid w:val="007155ED"/>
    <w:rsid w:val="00715772"/>
    <w:rsid w:val="00715A77"/>
    <w:rsid w:val="00723102"/>
    <w:rsid w:val="00723B8A"/>
    <w:rsid w:val="0072488A"/>
    <w:rsid w:val="00724E1D"/>
    <w:rsid w:val="007261F5"/>
    <w:rsid w:val="007322B6"/>
    <w:rsid w:val="00735A78"/>
    <w:rsid w:val="00735CE0"/>
    <w:rsid w:val="00735D34"/>
    <w:rsid w:val="007368B0"/>
    <w:rsid w:val="0074007B"/>
    <w:rsid w:val="00741011"/>
    <w:rsid w:val="007426B2"/>
    <w:rsid w:val="007454B2"/>
    <w:rsid w:val="007508D6"/>
    <w:rsid w:val="00751D31"/>
    <w:rsid w:val="007526F4"/>
    <w:rsid w:val="007548E3"/>
    <w:rsid w:val="00754D4D"/>
    <w:rsid w:val="00756BD2"/>
    <w:rsid w:val="00757AE3"/>
    <w:rsid w:val="007633E2"/>
    <w:rsid w:val="007646B1"/>
    <w:rsid w:val="00765153"/>
    <w:rsid w:val="00766487"/>
    <w:rsid w:val="00766D31"/>
    <w:rsid w:val="00766FC8"/>
    <w:rsid w:val="007764D3"/>
    <w:rsid w:val="00776C17"/>
    <w:rsid w:val="00782FC7"/>
    <w:rsid w:val="0078778C"/>
    <w:rsid w:val="007970A3"/>
    <w:rsid w:val="007A010D"/>
    <w:rsid w:val="007A307D"/>
    <w:rsid w:val="007A5703"/>
    <w:rsid w:val="007A59DC"/>
    <w:rsid w:val="007B1052"/>
    <w:rsid w:val="007B24B0"/>
    <w:rsid w:val="007B3D6F"/>
    <w:rsid w:val="007B63DA"/>
    <w:rsid w:val="007B6435"/>
    <w:rsid w:val="007C1C06"/>
    <w:rsid w:val="007C2FB7"/>
    <w:rsid w:val="007C4760"/>
    <w:rsid w:val="007C5224"/>
    <w:rsid w:val="007C6AD7"/>
    <w:rsid w:val="007C6CBE"/>
    <w:rsid w:val="007D08B8"/>
    <w:rsid w:val="007D23C3"/>
    <w:rsid w:val="007D4461"/>
    <w:rsid w:val="007D5118"/>
    <w:rsid w:val="007E08D3"/>
    <w:rsid w:val="007E15AB"/>
    <w:rsid w:val="007E19FF"/>
    <w:rsid w:val="007E1A50"/>
    <w:rsid w:val="007E1CEB"/>
    <w:rsid w:val="007E2F7E"/>
    <w:rsid w:val="007E3524"/>
    <w:rsid w:val="007E5BF1"/>
    <w:rsid w:val="007E6CEC"/>
    <w:rsid w:val="007F106E"/>
    <w:rsid w:val="007F1249"/>
    <w:rsid w:val="007F12DF"/>
    <w:rsid w:val="007F188B"/>
    <w:rsid w:val="007F20A6"/>
    <w:rsid w:val="007F2747"/>
    <w:rsid w:val="007F3A46"/>
    <w:rsid w:val="007F42FA"/>
    <w:rsid w:val="007F5592"/>
    <w:rsid w:val="008003DD"/>
    <w:rsid w:val="00801A5C"/>
    <w:rsid w:val="0080391C"/>
    <w:rsid w:val="0080394C"/>
    <w:rsid w:val="00804BD9"/>
    <w:rsid w:val="008110DA"/>
    <w:rsid w:val="008120B3"/>
    <w:rsid w:val="0081289B"/>
    <w:rsid w:val="0081410C"/>
    <w:rsid w:val="00816893"/>
    <w:rsid w:val="00817464"/>
    <w:rsid w:val="008206A7"/>
    <w:rsid w:val="00822616"/>
    <w:rsid w:val="00824884"/>
    <w:rsid w:val="0082791F"/>
    <w:rsid w:val="00830024"/>
    <w:rsid w:val="00830EFB"/>
    <w:rsid w:val="00831057"/>
    <w:rsid w:val="00832C31"/>
    <w:rsid w:val="0083304C"/>
    <w:rsid w:val="00833101"/>
    <w:rsid w:val="00834284"/>
    <w:rsid w:val="0083660F"/>
    <w:rsid w:val="00836CEA"/>
    <w:rsid w:val="00836FF4"/>
    <w:rsid w:val="008410F4"/>
    <w:rsid w:val="00850091"/>
    <w:rsid w:val="00852248"/>
    <w:rsid w:val="00854822"/>
    <w:rsid w:val="00854CF3"/>
    <w:rsid w:val="0086014F"/>
    <w:rsid w:val="008625AD"/>
    <w:rsid w:val="00863A53"/>
    <w:rsid w:val="00866463"/>
    <w:rsid w:val="008667BA"/>
    <w:rsid w:val="008711A9"/>
    <w:rsid w:val="0087369D"/>
    <w:rsid w:val="008749F5"/>
    <w:rsid w:val="0087745B"/>
    <w:rsid w:val="00880682"/>
    <w:rsid w:val="00881F70"/>
    <w:rsid w:val="008826AB"/>
    <w:rsid w:val="008839D5"/>
    <w:rsid w:val="0088704F"/>
    <w:rsid w:val="008875BB"/>
    <w:rsid w:val="00890768"/>
    <w:rsid w:val="00891179"/>
    <w:rsid w:val="008933BE"/>
    <w:rsid w:val="00893AC6"/>
    <w:rsid w:val="00894FC1"/>
    <w:rsid w:val="00895142"/>
    <w:rsid w:val="00895DED"/>
    <w:rsid w:val="008A23C3"/>
    <w:rsid w:val="008A2DD3"/>
    <w:rsid w:val="008A36FA"/>
    <w:rsid w:val="008A6B42"/>
    <w:rsid w:val="008B4237"/>
    <w:rsid w:val="008B494C"/>
    <w:rsid w:val="008B6D33"/>
    <w:rsid w:val="008B7AEE"/>
    <w:rsid w:val="008C21E8"/>
    <w:rsid w:val="008C5936"/>
    <w:rsid w:val="008C742A"/>
    <w:rsid w:val="008D06D4"/>
    <w:rsid w:val="008D3542"/>
    <w:rsid w:val="008D52E3"/>
    <w:rsid w:val="008D7B18"/>
    <w:rsid w:val="008E09AC"/>
    <w:rsid w:val="008E0F5B"/>
    <w:rsid w:val="008E3756"/>
    <w:rsid w:val="008E4F8A"/>
    <w:rsid w:val="008E6600"/>
    <w:rsid w:val="008E72EF"/>
    <w:rsid w:val="008F1257"/>
    <w:rsid w:val="008F2147"/>
    <w:rsid w:val="008F5F57"/>
    <w:rsid w:val="008F6131"/>
    <w:rsid w:val="008F62E3"/>
    <w:rsid w:val="008F6D14"/>
    <w:rsid w:val="008F7445"/>
    <w:rsid w:val="008F7615"/>
    <w:rsid w:val="008F7991"/>
    <w:rsid w:val="008F7A2E"/>
    <w:rsid w:val="00902F52"/>
    <w:rsid w:val="00904897"/>
    <w:rsid w:val="0090532C"/>
    <w:rsid w:val="00910E26"/>
    <w:rsid w:val="00911F9C"/>
    <w:rsid w:val="00914085"/>
    <w:rsid w:val="00915FA4"/>
    <w:rsid w:val="009165C7"/>
    <w:rsid w:val="009168A8"/>
    <w:rsid w:val="00925F51"/>
    <w:rsid w:val="00926BF5"/>
    <w:rsid w:val="00926D37"/>
    <w:rsid w:val="0093398E"/>
    <w:rsid w:val="0093762B"/>
    <w:rsid w:val="00940647"/>
    <w:rsid w:val="00943695"/>
    <w:rsid w:val="00946AC0"/>
    <w:rsid w:val="009502AF"/>
    <w:rsid w:val="00952B28"/>
    <w:rsid w:val="0095427F"/>
    <w:rsid w:val="00954759"/>
    <w:rsid w:val="009549AB"/>
    <w:rsid w:val="009566E5"/>
    <w:rsid w:val="009579A2"/>
    <w:rsid w:val="009602EC"/>
    <w:rsid w:val="0096145B"/>
    <w:rsid w:val="00963102"/>
    <w:rsid w:val="00967D5E"/>
    <w:rsid w:val="00970FDA"/>
    <w:rsid w:val="00971593"/>
    <w:rsid w:val="009719FA"/>
    <w:rsid w:val="00973F1F"/>
    <w:rsid w:val="00976A7D"/>
    <w:rsid w:val="0098021B"/>
    <w:rsid w:val="00980818"/>
    <w:rsid w:val="00983FE2"/>
    <w:rsid w:val="0099092F"/>
    <w:rsid w:val="0099197F"/>
    <w:rsid w:val="009931E2"/>
    <w:rsid w:val="00996415"/>
    <w:rsid w:val="009975E1"/>
    <w:rsid w:val="00997E0F"/>
    <w:rsid w:val="009A0883"/>
    <w:rsid w:val="009A4FE6"/>
    <w:rsid w:val="009A5CF0"/>
    <w:rsid w:val="009A78B4"/>
    <w:rsid w:val="009B71C2"/>
    <w:rsid w:val="009C0CB7"/>
    <w:rsid w:val="009C0D81"/>
    <w:rsid w:val="009C2332"/>
    <w:rsid w:val="009C348B"/>
    <w:rsid w:val="009C5579"/>
    <w:rsid w:val="009D0104"/>
    <w:rsid w:val="009D1650"/>
    <w:rsid w:val="009D1E04"/>
    <w:rsid w:val="009D2AD3"/>
    <w:rsid w:val="009D2EE8"/>
    <w:rsid w:val="009D3C09"/>
    <w:rsid w:val="009D56DA"/>
    <w:rsid w:val="009D6043"/>
    <w:rsid w:val="009D68BF"/>
    <w:rsid w:val="009D7FB3"/>
    <w:rsid w:val="009E0189"/>
    <w:rsid w:val="009E04DD"/>
    <w:rsid w:val="009E079D"/>
    <w:rsid w:val="009E24AC"/>
    <w:rsid w:val="009E3BC1"/>
    <w:rsid w:val="009E5B6F"/>
    <w:rsid w:val="009E5F04"/>
    <w:rsid w:val="009F1268"/>
    <w:rsid w:val="009F20C6"/>
    <w:rsid w:val="009F3579"/>
    <w:rsid w:val="009F7275"/>
    <w:rsid w:val="00A00E1B"/>
    <w:rsid w:val="00A02100"/>
    <w:rsid w:val="00A0250D"/>
    <w:rsid w:val="00A05388"/>
    <w:rsid w:val="00A07C25"/>
    <w:rsid w:val="00A10169"/>
    <w:rsid w:val="00A107E8"/>
    <w:rsid w:val="00A10E87"/>
    <w:rsid w:val="00A1103B"/>
    <w:rsid w:val="00A12DDE"/>
    <w:rsid w:val="00A1396E"/>
    <w:rsid w:val="00A13CB3"/>
    <w:rsid w:val="00A13E19"/>
    <w:rsid w:val="00A16414"/>
    <w:rsid w:val="00A16C1E"/>
    <w:rsid w:val="00A25315"/>
    <w:rsid w:val="00A2590C"/>
    <w:rsid w:val="00A25A28"/>
    <w:rsid w:val="00A25AEA"/>
    <w:rsid w:val="00A30689"/>
    <w:rsid w:val="00A3233A"/>
    <w:rsid w:val="00A33EF2"/>
    <w:rsid w:val="00A35F40"/>
    <w:rsid w:val="00A361B7"/>
    <w:rsid w:val="00A41622"/>
    <w:rsid w:val="00A43489"/>
    <w:rsid w:val="00A43F07"/>
    <w:rsid w:val="00A44CC8"/>
    <w:rsid w:val="00A512E5"/>
    <w:rsid w:val="00A53336"/>
    <w:rsid w:val="00A54E52"/>
    <w:rsid w:val="00A55137"/>
    <w:rsid w:val="00A56581"/>
    <w:rsid w:val="00A57CE1"/>
    <w:rsid w:val="00A6147A"/>
    <w:rsid w:val="00A618A2"/>
    <w:rsid w:val="00A644FF"/>
    <w:rsid w:val="00A664FC"/>
    <w:rsid w:val="00A66C52"/>
    <w:rsid w:val="00A70141"/>
    <w:rsid w:val="00A736D3"/>
    <w:rsid w:val="00A74EC5"/>
    <w:rsid w:val="00A7535E"/>
    <w:rsid w:val="00A77371"/>
    <w:rsid w:val="00A84AA2"/>
    <w:rsid w:val="00A851C7"/>
    <w:rsid w:val="00A9074D"/>
    <w:rsid w:val="00A9084C"/>
    <w:rsid w:val="00A90B6A"/>
    <w:rsid w:val="00A92A74"/>
    <w:rsid w:val="00A958B5"/>
    <w:rsid w:val="00A9600B"/>
    <w:rsid w:val="00A96306"/>
    <w:rsid w:val="00A97C01"/>
    <w:rsid w:val="00AA5610"/>
    <w:rsid w:val="00AA5A72"/>
    <w:rsid w:val="00AB1BF0"/>
    <w:rsid w:val="00AB28FA"/>
    <w:rsid w:val="00AB5F72"/>
    <w:rsid w:val="00AB68B2"/>
    <w:rsid w:val="00AB7063"/>
    <w:rsid w:val="00AB7614"/>
    <w:rsid w:val="00AB77A3"/>
    <w:rsid w:val="00AC02C7"/>
    <w:rsid w:val="00AC24C9"/>
    <w:rsid w:val="00AC395B"/>
    <w:rsid w:val="00AC39D1"/>
    <w:rsid w:val="00AC771A"/>
    <w:rsid w:val="00AC7B9E"/>
    <w:rsid w:val="00AD01A6"/>
    <w:rsid w:val="00AD7310"/>
    <w:rsid w:val="00AE2AFD"/>
    <w:rsid w:val="00AE4E8B"/>
    <w:rsid w:val="00AE5970"/>
    <w:rsid w:val="00AE5D28"/>
    <w:rsid w:val="00AE7E28"/>
    <w:rsid w:val="00AF1348"/>
    <w:rsid w:val="00AF262C"/>
    <w:rsid w:val="00AF40D2"/>
    <w:rsid w:val="00AF5460"/>
    <w:rsid w:val="00AF7FCC"/>
    <w:rsid w:val="00B00247"/>
    <w:rsid w:val="00B00C2E"/>
    <w:rsid w:val="00B01B69"/>
    <w:rsid w:val="00B024DA"/>
    <w:rsid w:val="00B0560E"/>
    <w:rsid w:val="00B10E51"/>
    <w:rsid w:val="00B13597"/>
    <w:rsid w:val="00B14E1E"/>
    <w:rsid w:val="00B161F6"/>
    <w:rsid w:val="00B174BF"/>
    <w:rsid w:val="00B17FE2"/>
    <w:rsid w:val="00B246AB"/>
    <w:rsid w:val="00B25CF1"/>
    <w:rsid w:val="00B26431"/>
    <w:rsid w:val="00B279B3"/>
    <w:rsid w:val="00B32272"/>
    <w:rsid w:val="00B32779"/>
    <w:rsid w:val="00B32D1F"/>
    <w:rsid w:val="00B32F49"/>
    <w:rsid w:val="00B33593"/>
    <w:rsid w:val="00B358A1"/>
    <w:rsid w:val="00B36F5F"/>
    <w:rsid w:val="00B42DC3"/>
    <w:rsid w:val="00B45C70"/>
    <w:rsid w:val="00B47278"/>
    <w:rsid w:val="00B504C5"/>
    <w:rsid w:val="00B50AAB"/>
    <w:rsid w:val="00B52F19"/>
    <w:rsid w:val="00B53718"/>
    <w:rsid w:val="00B54290"/>
    <w:rsid w:val="00B544F5"/>
    <w:rsid w:val="00B56892"/>
    <w:rsid w:val="00B575BB"/>
    <w:rsid w:val="00B57BA0"/>
    <w:rsid w:val="00B60937"/>
    <w:rsid w:val="00B6272F"/>
    <w:rsid w:val="00B65E74"/>
    <w:rsid w:val="00B66079"/>
    <w:rsid w:val="00B670A5"/>
    <w:rsid w:val="00B67408"/>
    <w:rsid w:val="00B70DA4"/>
    <w:rsid w:val="00B729C2"/>
    <w:rsid w:val="00B74901"/>
    <w:rsid w:val="00B80535"/>
    <w:rsid w:val="00B871AD"/>
    <w:rsid w:val="00B8762C"/>
    <w:rsid w:val="00B8792B"/>
    <w:rsid w:val="00B87F40"/>
    <w:rsid w:val="00B9014A"/>
    <w:rsid w:val="00B91089"/>
    <w:rsid w:val="00B9483E"/>
    <w:rsid w:val="00B9670A"/>
    <w:rsid w:val="00B97160"/>
    <w:rsid w:val="00BA229C"/>
    <w:rsid w:val="00BA35A4"/>
    <w:rsid w:val="00BA5DF8"/>
    <w:rsid w:val="00BA7B35"/>
    <w:rsid w:val="00BB382B"/>
    <w:rsid w:val="00BB45D4"/>
    <w:rsid w:val="00BB5B4D"/>
    <w:rsid w:val="00BB748A"/>
    <w:rsid w:val="00BB7FDE"/>
    <w:rsid w:val="00BC08B1"/>
    <w:rsid w:val="00BC672E"/>
    <w:rsid w:val="00BD06FB"/>
    <w:rsid w:val="00BD4CAB"/>
    <w:rsid w:val="00BD4E10"/>
    <w:rsid w:val="00BD5F33"/>
    <w:rsid w:val="00BE0885"/>
    <w:rsid w:val="00BE09F5"/>
    <w:rsid w:val="00BE0DF7"/>
    <w:rsid w:val="00BE24BF"/>
    <w:rsid w:val="00BE2C7D"/>
    <w:rsid w:val="00BE2F11"/>
    <w:rsid w:val="00BE3347"/>
    <w:rsid w:val="00BE4711"/>
    <w:rsid w:val="00BE7CAA"/>
    <w:rsid w:val="00BF0778"/>
    <w:rsid w:val="00BF07A1"/>
    <w:rsid w:val="00BF3D3F"/>
    <w:rsid w:val="00BF49D3"/>
    <w:rsid w:val="00BF67D1"/>
    <w:rsid w:val="00C01861"/>
    <w:rsid w:val="00C03290"/>
    <w:rsid w:val="00C04AD6"/>
    <w:rsid w:val="00C058D8"/>
    <w:rsid w:val="00C114D1"/>
    <w:rsid w:val="00C13907"/>
    <w:rsid w:val="00C1416B"/>
    <w:rsid w:val="00C14815"/>
    <w:rsid w:val="00C20F31"/>
    <w:rsid w:val="00C21178"/>
    <w:rsid w:val="00C240A9"/>
    <w:rsid w:val="00C26340"/>
    <w:rsid w:val="00C30C13"/>
    <w:rsid w:val="00C33D99"/>
    <w:rsid w:val="00C35305"/>
    <w:rsid w:val="00C36D16"/>
    <w:rsid w:val="00C400A4"/>
    <w:rsid w:val="00C45768"/>
    <w:rsid w:val="00C5052D"/>
    <w:rsid w:val="00C517DD"/>
    <w:rsid w:val="00C545DE"/>
    <w:rsid w:val="00C55504"/>
    <w:rsid w:val="00C556B7"/>
    <w:rsid w:val="00C57EDB"/>
    <w:rsid w:val="00C6228A"/>
    <w:rsid w:val="00C630A7"/>
    <w:rsid w:val="00C63CF9"/>
    <w:rsid w:val="00C662F9"/>
    <w:rsid w:val="00C673B0"/>
    <w:rsid w:val="00C6741C"/>
    <w:rsid w:val="00C703FF"/>
    <w:rsid w:val="00C70E38"/>
    <w:rsid w:val="00C71887"/>
    <w:rsid w:val="00C71EB3"/>
    <w:rsid w:val="00C7307E"/>
    <w:rsid w:val="00C77CE0"/>
    <w:rsid w:val="00C813DE"/>
    <w:rsid w:val="00C81414"/>
    <w:rsid w:val="00C90FC3"/>
    <w:rsid w:val="00C92764"/>
    <w:rsid w:val="00C927C5"/>
    <w:rsid w:val="00C94103"/>
    <w:rsid w:val="00C94CF8"/>
    <w:rsid w:val="00C95642"/>
    <w:rsid w:val="00C97497"/>
    <w:rsid w:val="00CA4370"/>
    <w:rsid w:val="00CA4AFF"/>
    <w:rsid w:val="00CA4C23"/>
    <w:rsid w:val="00CA755F"/>
    <w:rsid w:val="00CA7EEC"/>
    <w:rsid w:val="00CB0C49"/>
    <w:rsid w:val="00CB2112"/>
    <w:rsid w:val="00CB4D7B"/>
    <w:rsid w:val="00CB5025"/>
    <w:rsid w:val="00CB5055"/>
    <w:rsid w:val="00CB51F6"/>
    <w:rsid w:val="00CB5A99"/>
    <w:rsid w:val="00CB5CA9"/>
    <w:rsid w:val="00CB6D12"/>
    <w:rsid w:val="00CB7520"/>
    <w:rsid w:val="00CC2EBD"/>
    <w:rsid w:val="00CC3CF9"/>
    <w:rsid w:val="00CC52FC"/>
    <w:rsid w:val="00CC56FF"/>
    <w:rsid w:val="00CD0072"/>
    <w:rsid w:val="00CD0BAA"/>
    <w:rsid w:val="00CD3530"/>
    <w:rsid w:val="00CE280B"/>
    <w:rsid w:val="00CE4A3B"/>
    <w:rsid w:val="00CE6DCD"/>
    <w:rsid w:val="00CF0A1B"/>
    <w:rsid w:val="00CF1212"/>
    <w:rsid w:val="00CF47A7"/>
    <w:rsid w:val="00D020E5"/>
    <w:rsid w:val="00D05FA2"/>
    <w:rsid w:val="00D05FB0"/>
    <w:rsid w:val="00D066AB"/>
    <w:rsid w:val="00D10C36"/>
    <w:rsid w:val="00D11531"/>
    <w:rsid w:val="00D1166B"/>
    <w:rsid w:val="00D145D0"/>
    <w:rsid w:val="00D16152"/>
    <w:rsid w:val="00D1686A"/>
    <w:rsid w:val="00D21482"/>
    <w:rsid w:val="00D253D8"/>
    <w:rsid w:val="00D258D4"/>
    <w:rsid w:val="00D30C25"/>
    <w:rsid w:val="00D3540C"/>
    <w:rsid w:val="00D35D1F"/>
    <w:rsid w:val="00D377C6"/>
    <w:rsid w:val="00D41036"/>
    <w:rsid w:val="00D4400B"/>
    <w:rsid w:val="00D44E18"/>
    <w:rsid w:val="00D4618C"/>
    <w:rsid w:val="00D46E67"/>
    <w:rsid w:val="00D5148D"/>
    <w:rsid w:val="00D538E9"/>
    <w:rsid w:val="00D542BE"/>
    <w:rsid w:val="00D578D6"/>
    <w:rsid w:val="00D61486"/>
    <w:rsid w:val="00D615DE"/>
    <w:rsid w:val="00D635AD"/>
    <w:rsid w:val="00D664B4"/>
    <w:rsid w:val="00D70C6F"/>
    <w:rsid w:val="00D718BC"/>
    <w:rsid w:val="00D80CCC"/>
    <w:rsid w:val="00D8131B"/>
    <w:rsid w:val="00D82125"/>
    <w:rsid w:val="00D83C3F"/>
    <w:rsid w:val="00D847C2"/>
    <w:rsid w:val="00D853D7"/>
    <w:rsid w:val="00D87F90"/>
    <w:rsid w:val="00D91166"/>
    <w:rsid w:val="00D930FB"/>
    <w:rsid w:val="00D9326C"/>
    <w:rsid w:val="00D93BA1"/>
    <w:rsid w:val="00D93C71"/>
    <w:rsid w:val="00D94EB8"/>
    <w:rsid w:val="00DA2664"/>
    <w:rsid w:val="00DA3E03"/>
    <w:rsid w:val="00DA548F"/>
    <w:rsid w:val="00DA776D"/>
    <w:rsid w:val="00DB0976"/>
    <w:rsid w:val="00DB160D"/>
    <w:rsid w:val="00DB2C4A"/>
    <w:rsid w:val="00DB620D"/>
    <w:rsid w:val="00DB78A4"/>
    <w:rsid w:val="00DB7C2C"/>
    <w:rsid w:val="00DC05A8"/>
    <w:rsid w:val="00DC19B0"/>
    <w:rsid w:val="00DC614B"/>
    <w:rsid w:val="00DC798F"/>
    <w:rsid w:val="00DD0200"/>
    <w:rsid w:val="00DD0447"/>
    <w:rsid w:val="00DD1E99"/>
    <w:rsid w:val="00DD3A8C"/>
    <w:rsid w:val="00DD4F89"/>
    <w:rsid w:val="00DD5911"/>
    <w:rsid w:val="00DD5F5F"/>
    <w:rsid w:val="00DD7741"/>
    <w:rsid w:val="00DE365B"/>
    <w:rsid w:val="00DE41E0"/>
    <w:rsid w:val="00DE4456"/>
    <w:rsid w:val="00DE552D"/>
    <w:rsid w:val="00DE56FB"/>
    <w:rsid w:val="00DE59AF"/>
    <w:rsid w:val="00DE7500"/>
    <w:rsid w:val="00DF0800"/>
    <w:rsid w:val="00DF6A1E"/>
    <w:rsid w:val="00E0266B"/>
    <w:rsid w:val="00E028F7"/>
    <w:rsid w:val="00E03250"/>
    <w:rsid w:val="00E03E8B"/>
    <w:rsid w:val="00E05D75"/>
    <w:rsid w:val="00E07D09"/>
    <w:rsid w:val="00E11B60"/>
    <w:rsid w:val="00E122FA"/>
    <w:rsid w:val="00E12B0C"/>
    <w:rsid w:val="00E13D9D"/>
    <w:rsid w:val="00E21DE9"/>
    <w:rsid w:val="00E232D8"/>
    <w:rsid w:val="00E2518C"/>
    <w:rsid w:val="00E25505"/>
    <w:rsid w:val="00E25DFE"/>
    <w:rsid w:val="00E30938"/>
    <w:rsid w:val="00E3150D"/>
    <w:rsid w:val="00E3272C"/>
    <w:rsid w:val="00E32BEC"/>
    <w:rsid w:val="00E343F7"/>
    <w:rsid w:val="00E36D3C"/>
    <w:rsid w:val="00E41726"/>
    <w:rsid w:val="00E428AC"/>
    <w:rsid w:val="00E428C8"/>
    <w:rsid w:val="00E42A48"/>
    <w:rsid w:val="00E43A45"/>
    <w:rsid w:val="00E440E6"/>
    <w:rsid w:val="00E44439"/>
    <w:rsid w:val="00E45070"/>
    <w:rsid w:val="00E453B1"/>
    <w:rsid w:val="00E45BF9"/>
    <w:rsid w:val="00E45CCE"/>
    <w:rsid w:val="00E45E1B"/>
    <w:rsid w:val="00E4689E"/>
    <w:rsid w:val="00E4695F"/>
    <w:rsid w:val="00E46D86"/>
    <w:rsid w:val="00E51420"/>
    <w:rsid w:val="00E529EE"/>
    <w:rsid w:val="00E52F68"/>
    <w:rsid w:val="00E53302"/>
    <w:rsid w:val="00E559C8"/>
    <w:rsid w:val="00E56974"/>
    <w:rsid w:val="00E57949"/>
    <w:rsid w:val="00E57FF7"/>
    <w:rsid w:val="00E61CAB"/>
    <w:rsid w:val="00E67EEF"/>
    <w:rsid w:val="00E740A3"/>
    <w:rsid w:val="00E7577A"/>
    <w:rsid w:val="00E8031A"/>
    <w:rsid w:val="00E82133"/>
    <w:rsid w:val="00E82A9E"/>
    <w:rsid w:val="00E83793"/>
    <w:rsid w:val="00E856A5"/>
    <w:rsid w:val="00E8609D"/>
    <w:rsid w:val="00E8660F"/>
    <w:rsid w:val="00E86D88"/>
    <w:rsid w:val="00E87F30"/>
    <w:rsid w:val="00E91212"/>
    <w:rsid w:val="00E9178C"/>
    <w:rsid w:val="00E94532"/>
    <w:rsid w:val="00E96860"/>
    <w:rsid w:val="00EA0392"/>
    <w:rsid w:val="00EA12F8"/>
    <w:rsid w:val="00EA178E"/>
    <w:rsid w:val="00EA49E0"/>
    <w:rsid w:val="00EA5E40"/>
    <w:rsid w:val="00EB0AA7"/>
    <w:rsid w:val="00EB137A"/>
    <w:rsid w:val="00EB2662"/>
    <w:rsid w:val="00EB3E70"/>
    <w:rsid w:val="00EC03F6"/>
    <w:rsid w:val="00EC089F"/>
    <w:rsid w:val="00EC0EC5"/>
    <w:rsid w:val="00EC13EC"/>
    <w:rsid w:val="00EC1F4C"/>
    <w:rsid w:val="00EC2B2C"/>
    <w:rsid w:val="00EC5E6D"/>
    <w:rsid w:val="00ED0381"/>
    <w:rsid w:val="00ED4D6F"/>
    <w:rsid w:val="00ED6799"/>
    <w:rsid w:val="00ED7636"/>
    <w:rsid w:val="00EE1125"/>
    <w:rsid w:val="00EE32A8"/>
    <w:rsid w:val="00EE35FC"/>
    <w:rsid w:val="00EE36DB"/>
    <w:rsid w:val="00EE4CE1"/>
    <w:rsid w:val="00EE6CEB"/>
    <w:rsid w:val="00EF00DE"/>
    <w:rsid w:val="00EF3E35"/>
    <w:rsid w:val="00EF40C5"/>
    <w:rsid w:val="00F01A04"/>
    <w:rsid w:val="00F04270"/>
    <w:rsid w:val="00F04778"/>
    <w:rsid w:val="00F05B41"/>
    <w:rsid w:val="00F06289"/>
    <w:rsid w:val="00F10591"/>
    <w:rsid w:val="00F1111B"/>
    <w:rsid w:val="00F12C08"/>
    <w:rsid w:val="00F13F62"/>
    <w:rsid w:val="00F1684A"/>
    <w:rsid w:val="00F2014E"/>
    <w:rsid w:val="00F20622"/>
    <w:rsid w:val="00F24557"/>
    <w:rsid w:val="00F306EF"/>
    <w:rsid w:val="00F3625E"/>
    <w:rsid w:val="00F416BE"/>
    <w:rsid w:val="00F42903"/>
    <w:rsid w:val="00F43B73"/>
    <w:rsid w:val="00F50D76"/>
    <w:rsid w:val="00F511A8"/>
    <w:rsid w:val="00F51FE5"/>
    <w:rsid w:val="00F52C28"/>
    <w:rsid w:val="00F54B23"/>
    <w:rsid w:val="00F55AB2"/>
    <w:rsid w:val="00F568E1"/>
    <w:rsid w:val="00F60E6D"/>
    <w:rsid w:val="00F615F7"/>
    <w:rsid w:val="00F6184B"/>
    <w:rsid w:val="00F6185D"/>
    <w:rsid w:val="00F62CCB"/>
    <w:rsid w:val="00F630B9"/>
    <w:rsid w:val="00F7118E"/>
    <w:rsid w:val="00F71275"/>
    <w:rsid w:val="00F73A42"/>
    <w:rsid w:val="00F85CBF"/>
    <w:rsid w:val="00F860EE"/>
    <w:rsid w:val="00F9281A"/>
    <w:rsid w:val="00F94C23"/>
    <w:rsid w:val="00F954B2"/>
    <w:rsid w:val="00F957CF"/>
    <w:rsid w:val="00F96BAC"/>
    <w:rsid w:val="00FA04DD"/>
    <w:rsid w:val="00FA3CF4"/>
    <w:rsid w:val="00FA6513"/>
    <w:rsid w:val="00FB3584"/>
    <w:rsid w:val="00FC03D3"/>
    <w:rsid w:val="00FC350D"/>
    <w:rsid w:val="00FD0375"/>
    <w:rsid w:val="00FD44B3"/>
    <w:rsid w:val="00FD5FEE"/>
    <w:rsid w:val="00FE59A8"/>
    <w:rsid w:val="00FE72F0"/>
    <w:rsid w:val="00FF147D"/>
    <w:rsid w:val="00FF254A"/>
    <w:rsid w:val="00FF2977"/>
    <w:rsid w:val="00FF33FE"/>
    <w:rsid w:val="00FF4A1E"/>
    <w:rsid w:val="00FF673E"/>
    <w:rsid w:val="00FF6D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3E2"/>
    <w:pPr>
      <w:widowControl w:val="0"/>
    </w:pPr>
    <w:rPr>
      <w:snapToGrid w:val="0"/>
      <w:kern w:val="28"/>
      <w:sz w:val="22"/>
    </w:rPr>
  </w:style>
  <w:style w:type="paragraph" w:styleId="Heading1">
    <w:name w:val="heading 1"/>
    <w:basedOn w:val="Normal"/>
    <w:next w:val="ParaNum"/>
    <w:link w:val="Heading1Char"/>
    <w:qFormat/>
    <w:rsid w:val="007633E2"/>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7633E2"/>
    <w:pPr>
      <w:keepNext/>
      <w:numPr>
        <w:ilvl w:val="1"/>
        <w:numId w:val="7"/>
      </w:numPr>
      <w:spacing w:after="120"/>
      <w:outlineLvl w:val="1"/>
    </w:pPr>
    <w:rPr>
      <w:b/>
    </w:rPr>
  </w:style>
  <w:style w:type="paragraph" w:styleId="Heading3">
    <w:name w:val="heading 3"/>
    <w:basedOn w:val="Normal"/>
    <w:next w:val="ParaNum"/>
    <w:link w:val="Heading3Char"/>
    <w:qFormat/>
    <w:rsid w:val="007633E2"/>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7633E2"/>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7633E2"/>
    <w:pPr>
      <w:keepNext/>
      <w:numPr>
        <w:ilvl w:val="4"/>
        <w:numId w:val="7"/>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7633E2"/>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7633E2"/>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7633E2"/>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633E2"/>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7633E2"/>
    <w:pPr>
      <w:numPr>
        <w:numId w:val="6"/>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7633E2"/>
    <w:pPr>
      <w:spacing w:after="120"/>
    </w:pPr>
  </w:style>
  <w:style w:type="paragraph" w:customStyle="1" w:styleId="Bullet">
    <w:name w:val="Bullet"/>
    <w:basedOn w:val="Normal"/>
    <w:rsid w:val="007633E2"/>
    <w:pPr>
      <w:numPr>
        <w:numId w:val="1"/>
      </w:numPr>
      <w:tabs>
        <w:tab w:val="left" w:pos="2160"/>
      </w:tabs>
      <w:spacing w:after="220"/>
      <w:ind w:left="2160" w:hanging="720"/>
    </w:pPr>
  </w:style>
  <w:style w:type="paragraph" w:styleId="BlockText">
    <w:name w:val="Block Text"/>
    <w:basedOn w:val="Normal"/>
    <w:rsid w:val="007633E2"/>
    <w:pPr>
      <w:spacing w:after="240"/>
      <w:ind w:left="1440" w:right="1440"/>
    </w:pPr>
  </w:style>
  <w:style w:type="paragraph" w:customStyle="1" w:styleId="TableFormat">
    <w:name w:val="TableFormat"/>
    <w:basedOn w:val="Bullet"/>
    <w:rsid w:val="007633E2"/>
    <w:pPr>
      <w:numPr>
        <w:numId w:val="0"/>
      </w:num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basedOn w:val="DefaultParagraphFont"/>
    <w:semiHidden/>
    <w:rsid w:val="007633E2"/>
    <w:rPr>
      <w:rFonts w:ascii="Times New Roman" w:hAnsi="Times New Roman"/>
      <w:dstrike w:val="0"/>
      <w:color w:val="auto"/>
      <w:sz w:val="22"/>
      <w:vertAlign w:val="superscript"/>
    </w:rPr>
  </w:style>
  <w:style w:type="paragraph" w:styleId="Header">
    <w:name w:val="header"/>
    <w:basedOn w:val="Normal"/>
    <w:link w:val="HeaderChar"/>
    <w:autoRedefine/>
    <w:rsid w:val="007633E2"/>
    <w:pPr>
      <w:tabs>
        <w:tab w:val="center" w:pos="4680"/>
        <w:tab w:val="right" w:pos="9360"/>
      </w:tabs>
    </w:pPr>
    <w:rPr>
      <w:b/>
    </w:rPr>
  </w:style>
  <w:style w:type="paragraph" w:styleId="Footer">
    <w:name w:val="footer"/>
    <w:basedOn w:val="Normal"/>
    <w:link w:val="FooterChar"/>
    <w:rsid w:val="007633E2"/>
    <w:pPr>
      <w:tabs>
        <w:tab w:val="center" w:pos="4320"/>
        <w:tab w:val="right" w:pos="8640"/>
      </w:tabs>
    </w:pPr>
  </w:style>
  <w:style w:type="paragraph" w:styleId="TOC2">
    <w:name w:val="toc 2"/>
    <w:basedOn w:val="Normal"/>
    <w:next w:val="Normal"/>
    <w:rsid w:val="007633E2"/>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2"/>
      </w:numPr>
      <w:tabs>
        <w:tab w:val="clear" w:pos="1080"/>
      </w:tabs>
      <w:spacing w:after="220"/>
      <w:ind w:firstLine="0"/>
    </w:pPr>
  </w:style>
  <w:style w:type="paragraph" w:styleId="TOC1">
    <w:name w:val="toc 1"/>
    <w:basedOn w:val="Normal"/>
    <w:next w:val="Normal"/>
    <w:rsid w:val="007633E2"/>
    <w:pPr>
      <w:tabs>
        <w:tab w:val="left" w:pos="360"/>
        <w:tab w:val="right" w:leader="dot" w:pos="9360"/>
      </w:tabs>
      <w:suppressAutoHyphens/>
      <w:ind w:left="360" w:right="720" w:hanging="360"/>
    </w:pPr>
    <w:rPr>
      <w:caps/>
      <w:noProof/>
    </w:rPr>
  </w:style>
  <w:style w:type="paragraph" w:styleId="TOC3">
    <w:name w:val="toc 3"/>
    <w:basedOn w:val="Normal"/>
    <w:next w:val="Normal"/>
    <w:rsid w:val="007633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33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33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33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33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33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33E2"/>
    <w:pPr>
      <w:tabs>
        <w:tab w:val="left" w:pos="3240"/>
        <w:tab w:val="right" w:leader="dot" w:pos="9360"/>
      </w:tabs>
      <w:suppressAutoHyphens/>
      <w:ind w:left="3240" w:hanging="360"/>
    </w:pPr>
    <w:rPr>
      <w:noProof/>
    </w:rPr>
  </w:style>
  <w:style w:type="character" w:styleId="PageNumber">
    <w:name w:val="page number"/>
    <w:basedOn w:val="DefaultParagraphFont"/>
    <w:rsid w:val="007633E2"/>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7633E2"/>
    <w:pPr>
      <w:jc w:val="center"/>
    </w:pPr>
    <w:rPr>
      <w:rFonts w:ascii="Times New Roman Bold" w:hAnsi="Times New Roman Bold"/>
      <w:b/>
      <w:bCs/>
      <w:caps/>
      <w:szCs w:val="22"/>
    </w:rPr>
  </w:style>
  <w:style w:type="paragraph" w:styleId="EndnoteText">
    <w:name w:val="endnote text"/>
    <w:basedOn w:val="Normal"/>
    <w:link w:val="EndnoteTextChar"/>
    <w:semiHidden/>
    <w:rsid w:val="007633E2"/>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4"/>
      </w:numPr>
    </w:pPr>
  </w:style>
  <w:style w:type="character" w:styleId="Hyperlink">
    <w:name w:val="Hyperlink"/>
    <w:basedOn w:val="DefaultParagraphFont"/>
    <w:rsid w:val="007633E2"/>
    <w:rPr>
      <w:color w:val="0000FF"/>
      <w:u w:val="single"/>
    </w:rPr>
  </w:style>
  <w:style w:type="paragraph" w:customStyle="1" w:styleId="Paranum0">
    <w:name w:val="Paranum"/>
    <w:rsid w:val="00863A53"/>
    <w:pPr>
      <w:numPr>
        <w:numId w:val="5"/>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rsid w:val="004849EA"/>
    <w:rPr>
      <w:sz w:val="16"/>
      <w:szCs w:val="16"/>
    </w:rPr>
  </w:style>
  <w:style w:type="paragraph" w:styleId="CommentText">
    <w:name w:val="annotation text"/>
    <w:basedOn w:val="Normal"/>
    <w:link w:val="CommentTextChar"/>
    <w:rsid w:val="004849EA"/>
    <w:rPr>
      <w:sz w:val="20"/>
    </w:rPr>
  </w:style>
  <w:style w:type="character" w:customStyle="1" w:styleId="CommentTextChar">
    <w:name w:val="Comment Text Char"/>
    <w:basedOn w:val="DefaultParagraphFont"/>
    <w:link w:val="CommentText"/>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2E48A9"/>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9549AB"/>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basedOn w:val="DefaultParagraphFont"/>
    <w:rsid w:val="007633E2"/>
    <w:rPr>
      <w:vertAlign w:val="superscript"/>
    </w:rPr>
  </w:style>
  <w:style w:type="paragraph" w:styleId="TOAHeading">
    <w:name w:val="toa heading"/>
    <w:basedOn w:val="Normal"/>
    <w:next w:val="Normal"/>
    <w:rsid w:val="007633E2"/>
    <w:pPr>
      <w:tabs>
        <w:tab w:val="right" w:pos="9360"/>
      </w:tabs>
      <w:suppressAutoHyphens/>
    </w:pPr>
  </w:style>
  <w:style w:type="character" w:customStyle="1" w:styleId="EquationCaption">
    <w:name w:val="_Equation Caption"/>
    <w:rsid w:val="007633E2"/>
  </w:style>
  <w:style w:type="paragraph" w:customStyle="1" w:styleId="Paratitle">
    <w:name w:val="Para title"/>
    <w:basedOn w:val="Normal"/>
    <w:rsid w:val="007633E2"/>
    <w:pPr>
      <w:tabs>
        <w:tab w:val="center" w:pos="9270"/>
      </w:tabs>
      <w:spacing w:after="240"/>
    </w:pPr>
    <w:rPr>
      <w:spacing w:val="-2"/>
    </w:rPr>
  </w:style>
  <w:style w:type="paragraph" w:customStyle="1" w:styleId="TOCTitle">
    <w:name w:val="TOC Title"/>
    <w:basedOn w:val="Normal"/>
    <w:rsid w:val="007633E2"/>
    <w:pPr>
      <w:spacing w:before="240" w:after="240"/>
      <w:jc w:val="center"/>
    </w:pPr>
    <w:rPr>
      <w:rFonts w:ascii="Times New Roman Bold" w:hAnsi="Times New Roman Bold"/>
      <w:b/>
      <w:cap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3E2"/>
    <w:pPr>
      <w:widowControl w:val="0"/>
    </w:pPr>
    <w:rPr>
      <w:snapToGrid w:val="0"/>
      <w:kern w:val="28"/>
      <w:sz w:val="22"/>
    </w:rPr>
  </w:style>
  <w:style w:type="paragraph" w:styleId="Heading1">
    <w:name w:val="heading 1"/>
    <w:basedOn w:val="Normal"/>
    <w:next w:val="ParaNum"/>
    <w:link w:val="Heading1Char"/>
    <w:qFormat/>
    <w:rsid w:val="007633E2"/>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 Char,Heading 2 Char Char Char Char,Heading 2 Char1,Heading 2 Char1 Char Char1,Heading 2 Char1 Char Char Char Char1 Char,Heading 2 Char Char Char Char Char Char1 Char,Heading 2 Char1 Char Char1 Char Char"/>
    <w:basedOn w:val="Normal"/>
    <w:next w:val="ParaNum"/>
    <w:link w:val="Heading2Char2"/>
    <w:autoRedefine/>
    <w:qFormat/>
    <w:rsid w:val="007633E2"/>
    <w:pPr>
      <w:keepNext/>
      <w:numPr>
        <w:ilvl w:val="1"/>
        <w:numId w:val="7"/>
      </w:numPr>
      <w:spacing w:after="120"/>
      <w:outlineLvl w:val="1"/>
    </w:pPr>
    <w:rPr>
      <w:b/>
    </w:rPr>
  </w:style>
  <w:style w:type="paragraph" w:styleId="Heading3">
    <w:name w:val="heading 3"/>
    <w:basedOn w:val="Normal"/>
    <w:next w:val="ParaNum"/>
    <w:link w:val="Heading3Char"/>
    <w:qFormat/>
    <w:rsid w:val="007633E2"/>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7633E2"/>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7633E2"/>
    <w:pPr>
      <w:keepNext/>
      <w:numPr>
        <w:ilvl w:val="4"/>
        <w:numId w:val="7"/>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7633E2"/>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7633E2"/>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7633E2"/>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633E2"/>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61FF3"/>
    <w:pPr>
      <w:spacing w:before="120" w:after="120"/>
    </w:pPr>
    <w:rPr>
      <w:b/>
    </w:rPr>
  </w:style>
  <w:style w:type="paragraph" w:customStyle="1" w:styleId="ParaNum">
    <w:name w:val="ParaNum"/>
    <w:basedOn w:val="Normal"/>
    <w:link w:val="ParaNumChar1"/>
    <w:rsid w:val="007633E2"/>
    <w:pPr>
      <w:numPr>
        <w:numId w:val="6"/>
      </w:numPr>
      <w:tabs>
        <w:tab w:val="clear" w:pos="1080"/>
        <w:tab w:val="num" w:pos="1440"/>
      </w:tabs>
      <w:spacing w:after="120"/>
    </w:p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7633E2"/>
    <w:pPr>
      <w:spacing w:after="120"/>
    </w:pPr>
  </w:style>
  <w:style w:type="paragraph" w:customStyle="1" w:styleId="Bullet">
    <w:name w:val="Bullet"/>
    <w:basedOn w:val="Normal"/>
    <w:rsid w:val="007633E2"/>
    <w:pPr>
      <w:numPr>
        <w:numId w:val="1"/>
      </w:numPr>
      <w:tabs>
        <w:tab w:val="left" w:pos="2160"/>
      </w:tabs>
      <w:spacing w:after="220"/>
      <w:ind w:left="2160" w:hanging="720"/>
    </w:pPr>
  </w:style>
  <w:style w:type="paragraph" w:styleId="BlockText">
    <w:name w:val="Block Text"/>
    <w:basedOn w:val="Normal"/>
    <w:rsid w:val="007633E2"/>
    <w:pPr>
      <w:spacing w:after="240"/>
      <w:ind w:left="1440" w:right="1440"/>
    </w:pPr>
  </w:style>
  <w:style w:type="paragraph" w:customStyle="1" w:styleId="TableFormat">
    <w:name w:val="TableFormat"/>
    <w:basedOn w:val="Bullet"/>
    <w:rsid w:val="007633E2"/>
    <w:pPr>
      <w:numPr>
        <w:numId w:val="0"/>
      </w:numPr>
      <w:tabs>
        <w:tab w:val="clear" w:pos="2160"/>
        <w:tab w:val="left" w:pos="5040"/>
      </w:tabs>
      <w:ind w:left="5040" w:hanging="3600"/>
    </w:pPr>
  </w:style>
  <w:style w:type="character" w:styleId="FootnoteReference">
    <w:name w:val="footnote reference"/>
    <w:aliases w:val="Style 12,(NECG) Footnote Reference,Appel note de bas de p,Style 124,Style 4,Style 13,o,fr,Style 3,FR,Style 17,Footnote Reference/,Style 6"/>
    <w:basedOn w:val="DefaultParagraphFont"/>
    <w:semiHidden/>
    <w:rsid w:val="007633E2"/>
    <w:rPr>
      <w:rFonts w:ascii="Times New Roman" w:hAnsi="Times New Roman"/>
      <w:dstrike w:val="0"/>
      <w:color w:val="auto"/>
      <w:sz w:val="22"/>
      <w:vertAlign w:val="superscript"/>
    </w:rPr>
  </w:style>
  <w:style w:type="paragraph" w:styleId="Header">
    <w:name w:val="header"/>
    <w:basedOn w:val="Normal"/>
    <w:link w:val="HeaderChar"/>
    <w:autoRedefine/>
    <w:rsid w:val="007633E2"/>
    <w:pPr>
      <w:tabs>
        <w:tab w:val="center" w:pos="4680"/>
        <w:tab w:val="right" w:pos="9360"/>
      </w:tabs>
    </w:pPr>
    <w:rPr>
      <w:b/>
    </w:rPr>
  </w:style>
  <w:style w:type="paragraph" w:styleId="Footer">
    <w:name w:val="footer"/>
    <w:basedOn w:val="Normal"/>
    <w:link w:val="FooterChar"/>
    <w:rsid w:val="007633E2"/>
    <w:pPr>
      <w:tabs>
        <w:tab w:val="center" w:pos="4320"/>
        <w:tab w:val="right" w:pos="8640"/>
      </w:tabs>
    </w:pPr>
  </w:style>
  <w:style w:type="paragraph" w:styleId="TOC2">
    <w:name w:val="toc 2"/>
    <w:basedOn w:val="Normal"/>
    <w:next w:val="Normal"/>
    <w:rsid w:val="007633E2"/>
    <w:pPr>
      <w:tabs>
        <w:tab w:val="left" w:pos="720"/>
        <w:tab w:val="right" w:leader="dot" w:pos="9360"/>
      </w:tabs>
      <w:suppressAutoHyphens/>
      <w:ind w:left="720" w:right="720" w:hanging="360"/>
    </w:pPr>
    <w:rPr>
      <w:noProof/>
    </w:rPr>
  </w:style>
  <w:style w:type="paragraph" w:customStyle="1" w:styleId="NumberedList">
    <w:name w:val="Numbered List"/>
    <w:basedOn w:val="Normal"/>
    <w:rsid w:val="00561FF3"/>
    <w:pPr>
      <w:numPr>
        <w:numId w:val="2"/>
      </w:numPr>
      <w:tabs>
        <w:tab w:val="clear" w:pos="1080"/>
      </w:tabs>
      <w:spacing w:after="220"/>
      <w:ind w:firstLine="0"/>
    </w:pPr>
  </w:style>
  <w:style w:type="paragraph" w:styleId="TOC1">
    <w:name w:val="toc 1"/>
    <w:basedOn w:val="Normal"/>
    <w:next w:val="Normal"/>
    <w:rsid w:val="007633E2"/>
    <w:pPr>
      <w:tabs>
        <w:tab w:val="left" w:pos="360"/>
        <w:tab w:val="right" w:leader="dot" w:pos="9360"/>
      </w:tabs>
      <w:suppressAutoHyphens/>
      <w:ind w:left="360" w:right="720" w:hanging="360"/>
    </w:pPr>
    <w:rPr>
      <w:caps/>
      <w:noProof/>
    </w:rPr>
  </w:style>
  <w:style w:type="paragraph" w:styleId="TOC3">
    <w:name w:val="toc 3"/>
    <w:basedOn w:val="Normal"/>
    <w:next w:val="Normal"/>
    <w:rsid w:val="007633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33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33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33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33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33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33E2"/>
    <w:pPr>
      <w:tabs>
        <w:tab w:val="left" w:pos="3240"/>
        <w:tab w:val="right" w:leader="dot" w:pos="9360"/>
      </w:tabs>
      <w:suppressAutoHyphens/>
      <w:ind w:left="3240" w:hanging="360"/>
    </w:pPr>
    <w:rPr>
      <w:noProof/>
    </w:rPr>
  </w:style>
  <w:style w:type="character" w:styleId="PageNumber">
    <w:name w:val="page number"/>
    <w:basedOn w:val="DefaultParagraphFont"/>
    <w:rsid w:val="007633E2"/>
  </w:style>
  <w:style w:type="paragraph" w:styleId="Title">
    <w:name w:val="Title"/>
    <w:basedOn w:val="Normal"/>
    <w:link w:val="TitleChar"/>
    <w:qFormat/>
    <w:rsid w:val="00561FF3"/>
    <w:pPr>
      <w:jc w:val="center"/>
    </w:pPr>
    <w:rPr>
      <w:b/>
    </w:rPr>
  </w:style>
  <w:style w:type="paragraph" w:customStyle="1" w:styleId="StyleBoldCentered">
    <w:name w:val="Style Bold Centered"/>
    <w:basedOn w:val="Normal"/>
    <w:rsid w:val="007633E2"/>
    <w:pPr>
      <w:jc w:val="center"/>
    </w:pPr>
    <w:rPr>
      <w:rFonts w:ascii="Times New Roman Bold" w:hAnsi="Times New Roman Bold"/>
      <w:b/>
      <w:bCs/>
      <w:caps/>
      <w:szCs w:val="22"/>
    </w:rPr>
  </w:style>
  <w:style w:type="paragraph" w:styleId="EndnoteText">
    <w:name w:val="endnote text"/>
    <w:basedOn w:val="Normal"/>
    <w:link w:val="EndnoteTextChar"/>
    <w:semiHidden/>
    <w:rsid w:val="007633E2"/>
    <w:rPr>
      <w:sz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4777BD"/>
  </w:style>
  <w:style w:type="character" w:customStyle="1" w:styleId="ParaNumChar1">
    <w:name w:val="ParaNum Char1"/>
    <w:link w:val="ParaNum"/>
    <w:locked/>
    <w:rsid w:val="004777BD"/>
    <w:rPr>
      <w:snapToGrid w:val="0"/>
      <w:kern w:val="28"/>
      <w:sz w:val="22"/>
    </w:rPr>
  </w:style>
  <w:style w:type="numbering" w:customStyle="1" w:styleId="Style1">
    <w:name w:val="Style1"/>
    <w:uiPriority w:val="99"/>
    <w:rsid w:val="004777BD"/>
    <w:pPr>
      <w:numPr>
        <w:numId w:val="4"/>
      </w:numPr>
    </w:pPr>
  </w:style>
  <w:style w:type="character" w:styleId="Hyperlink">
    <w:name w:val="Hyperlink"/>
    <w:basedOn w:val="DefaultParagraphFont"/>
    <w:rsid w:val="007633E2"/>
    <w:rPr>
      <w:color w:val="0000FF"/>
      <w:u w:val="single"/>
    </w:rPr>
  </w:style>
  <w:style w:type="paragraph" w:customStyle="1" w:styleId="Paranum0">
    <w:name w:val="Paranum"/>
    <w:rsid w:val="00863A53"/>
    <w:pPr>
      <w:numPr>
        <w:numId w:val="5"/>
      </w:numPr>
      <w:tabs>
        <w:tab w:val="left" w:pos="1440"/>
      </w:tabs>
      <w:spacing w:after="240"/>
      <w:jc w:val="both"/>
    </w:pPr>
    <w:rPr>
      <w:sz w:val="22"/>
    </w:rPr>
  </w:style>
  <w:style w:type="character" w:customStyle="1" w:styleId="ParaNumChar">
    <w:name w:val="ParaNum Char"/>
    <w:locked/>
    <w:rsid w:val="00344968"/>
    <w:rPr>
      <w:kern w:val="28"/>
      <w:sz w:val="22"/>
    </w:rPr>
  </w:style>
  <w:style w:type="paragraph" w:styleId="NormalWeb">
    <w:name w:val="Normal (Web)"/>
    <w:basedOn w:val="Normal"/>
    <w:rsid w:val="007764D3"/>
    <w:rPr>
      <w:sz w:val="24"/>
      <w:szCs w:val="24"/>
    </w:rPr>
  </w:style>
  <w:style w:type="character" w:styleId="Emphasis">
    <w:name w:val="Emphasis"/>
    <w:qFormat/>
    <w:rsid w:val="007764D3"/>
    <w:rPr>
      <w:i/>
      <w:iCs/>
    </w:rPr>
  </w:style>
  <w:style w:type="paragraph" w:styleId="BalloonText">
    <w:name w:val="Balloon Text"/>
    <w:basedOn w:val="Normal"/>
    <w:link w:val="BalloonTextChar"/>
    <w:rsid w:val="00816893"/>
    <w:rPr>
      <w:rFonts w:ascii="Tahoma" w:hAnsi="Tahoma"/>
      <w:sz w:val="16"/>
      <w:szCs w:val="16"/>
    </w:rPr>
  </w:style>
  <w:style w:type="character" w:customStyle="1" w:styleId="BalloonTextChar">
    <w:name w:val="Balloon Text Char"/>
    <w:link w:val="BalloonText"/>
    <w:rsid w:val="00816893"/>
    <w:rPr>
      <w:rFonts w:ascii="Tahoma" w:hAnsi="Tahoma" w:cs="Tahoma"/>
      <w:sz w:val="16"/>
      <w:szCs w:val="16"/>
    </w:rPr>
  </w:style>
  <w:style w:type="character" w:styleId="CommentReference">
    <w:name w:val="annotation reference"/>
    <w:rsid w:val="004849EA"/>
    <w:rPr>
      <w:sz w:val="16"/>
      <w:szCs w:val="16"/>
    </w:rPr>
  </w:style>
  <w:style w:type="paragraph" w:styleId="CommentText">
    <w:name w:val="annotation text"/>
    <w:basedOn w:val="Normal"/>
    <w:link w:val="CommentTextChar"/>
    <w:rsid w:val="004849EA"/>
    <w:rPr>
      <w:sz w:val="20"/>
    </w:rPr>
  </w:style>
  <w:style w:type="character" w:customStyle="1" w:styleId="CommentTextChar">
    <w:name w:val="Comment Text Char"/>
    <w:basedOn w:val="DefaultParagraphFont"/>
    <w:link w:val="CommentText"/>
    <w:rsid w:val="004849EA"/>
  </w:style>
  <w:style w:type="paragraph" w:styleId="CommentSubject">
    <w:name w:val="annotation subject"/>
    <w:basedOn w:val="CommentText"/>
    <w:next w:val="CommentText"/>
    <w:link w:val="CommentSubjectChar"/>
    <w:rsid w:val="004849EA"/>
    <w:rPr>
      <w:b/>
      <w:bCs/>
    </w:rPr>
  </w:style>
  <w:style w:type="character" w:customStyle="1" w:styleId="CommentSubjectChar">
    <w:name w:val="Comment Subject Char"/>
    <w:link w:val="CommentSubject"/>
    <w:rsid w:val="004849EA"/>
    <w:rPr>
      <w:b/>
      <w:bCs/>
    </w:rPr>
  </w:style>
  <w:style w:type="paragraph" w:customStyle="1" w:styleId="ColorfulShading-Accent11">
    <w:name w:val="Colorful Shading - Accent 11"/>
    <w:hidden/>
    <w:uiPriority w:val="99"/>
    <w:semiHidden/>
    <w:rsid w:val="004849EA"/>
    <w:rPr>
      <w:sz w:val="22"/>
    </w:rPr>
  </w:style>
  <w:style w:type="paragraph" w:customStyle="1" w:styleId="1">
    <w:name w:val="1"/>
    <w:basedOn w:val="Heading1"/>
    <w:next w:val="Normal"/>
    <w:uiPriority w:val="39"/>
    <w:unhideWhenUsed/>
    <w:qFormat/>
    <w:rsid w:val="00CC56FF"/>
    <w:pPr>
      <w:keepLines/>
      <w:widowControl/>
      <w:numPr>
        <w:numId w:val="0"/>
      </w:numPr>
      <w:tabs>
        <w:tab w:val="left" w:pos="720"/>
      </w:tabs>
      <w:suppressAutoHyphens w:val="0"/>
      <w:spacing w:before="480" w:after="0" w:line="276" w:lineRule="auto"/>
      <w:outlineLvl w:val="9"/>
    </w:pPr>
    <w:rPr>
      <w:rFonts w:ascii="Cambria" w:hAnsi="Cambria"/>
      <w:bCs/>
      <w:caps w:val="0"/>
      <w:color w:val="365F91"/>
      <w:sz w:val="28"/>
      <w:szCs w:val="28"/>
    </w:rPr>
  </w:style>
  <w:style w:type="character" w:customStyle="1" w:styleId="documentbody1">
    <w:name w:val="documentbody1"/>
    <w:rsid w:val="00FA04DD"/>
    <w:rPr>
      <w:rFonts w:ascii="Verdana" w:hAnsi="Verdana" w:cs="Times New Roman"/>
      <w:sz w:val="19"/>
      <w:szCs w:val="19"/>
    </w:rPr>
  </w:style>
  <w:style w:type="character" w:customStyle="1" w:styleId="Footnote">
    <w:name w:val="Footnote"/>
    <w:rsid w:val="00AF7FCC"/>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AF7FCC"/>
    <w:rPr>
      <w:rFonts w:cs="Times New Roman"/>
      <w:lang w:val="en-US" w:eastAsia="en-US" w:bidi="ar-SA"/>
    </w:rPr>
  </w:style>
  <w:style w:type="character" w:customStyle="1" w:styleId="Unnamed1">
    <w:name w:val="Unnamed 1"/>
    <w:rsid w:val="00CB7520"/>
    <w:rPr>
      <w:rFonts w:ascii="Courier New" w:hAnsi="Courier New" w:cs="Courier New"/>
      <w:sz w:val="24"/>
      <w:lang w:val="en-US"/>
    </w:rPr>
  </w:style>
  <w:style w:type="character" w:customStyle="1" w:styleId="footnote0">
    <w:name w:val="footnote"/>
    <w:rsid w:val="00CB752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CB7520"/>
    <w:rPr>
      <w:rFonts w:cs="Times New Roman"/>
      <w:lang w:val="en-US" w:eastAsia="en-US" w:bidi="ar-SA"/>
    </w:rPr>
  </w:style>
  <w:style w:type="character" w:customStyle="1" w:styleId="Heading2CharChar2">
    <w:name w:val="Heading 2 Char Char2"/>
    <w:rsid w:val="00CB7520"/>
    <w:rPr>
      <w:rFonts w:cs="Times New Roman"/>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CB7520"/>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CB7520"/>
    <w:rPr>
      <w:rFonts w:ascii="Times New Roman" w:hAnsi="Times New Roman"/>
      <w:dstrike w:val="0"/>
      <w:color w:val="auto"/>
      <w:sz w:val="20"/>
      <w:vertAlign w:val="superscript"/>
    </w:rPr>
  </w:style>
  <w:style w:type="character" w:customStyle="1" w:styleId="FooterChar">
    <w:name w:val="Footer Char"/>
    <w:link w:val="Footer"/>
    <w:rsid w:val="002C1DE0"/>
    <w:rPr>
      <w:snapToGrid w:val="0"/>
      <w:kern w:val="28"/>
      <w:sz w:val="22"/>
    </w:rPr>
  </w:style>
  <w:style w:type="paragraph" w:customStyle="1" w:styleId="TOCHeading1">
    <w:name w:val="TOC Heading1"/>
    <w:basedOn w:val="Heading1"/>
    <w:next w:val="Normal"/>
    <w:uiPriority w:val="39"/>
    <w:qFormat/>
    <w:rsid w:val="00CC56FF"/>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Revision">
    <w:name w:val="Revision"/>
    <w:hidden/>
    <w:uiPriority w:val="99"/>
    <w:semiHidden/>
    <w:rsid w:val="00524431"/>
    <w:rPr>
      <w:sz w:val="22"/>
    </w:rPr>
  </w:style>
  <w:style w:type="character" w:customStyle="1" w:styleId="SC465550">
    <w:name w:val="SC.4.65550"/>
    <w:uiPriority w:val="99"/>
    <w:rsid w:val="00B358A1"/>
    <w:rPr>
      <w:rFonts w:ascii="OMDAA K+ Century" w:hAnsi="OMDAA K+ Century" w:cs="OMDAA K+ Century" w:hint="default"/>
      <w:color w:val="000000"/>
      <w:sz w:val="20"/>
      <w:szCs w:val="20"/>
    </w:rPr>
  </w:style>
  <w:style w:type="character" w:customStyle="1" w:styleId="HeaderChar">
    <w:name w:val="Header Char"/>
    <w:basedOn w:val="DefaultParagraphFont"/>
    <w:link w:val="Header"/>
    <w:rsid w:val="002E48A9"/>
    <w:rPr>
      <w:b/>
      <w:snapToGrid w:val="0"/>
      <w:kern w:val="28"/>
      <w:sz w:val="22"/>
    </w:rPr>
  </w:style>
  <w:style w:type="character" w:styleId="FollowedHyperlink">
    <w:name w:val="FollowedHyperlink"/>
    <w:basedOn w:val="DefaultParagraphFont"/>
    <w:rsid w:val="0036742D"/>
    <w:rPr>
      <w:color w:val="800080" w:themeColor="followedHyperlink"/>
      <w:u w:val="single"/>
    </w:rPr>
  </w:style>
  <w:style w:type="character" w:customStyle="1" w:styleId="Heading1Char">
    <w:name w:val="Heading 1 Char"/>
    <w:basedOn w:val="DefaultParagraphFont"/>
    <w:link w:val="Heading1"/>
    <w:rsid w:val="009549AB"/>
    <w:rPr>
      <w:rFonts w:ascii="Times New Roman Bold" w:hAnsi="Times New Roman Bold"/>
      <w:b/>
      <w:caps/>
      <w:snapToGrid w:val="0"/>
      <w:kern w:val="28"/>
      <w:sz w:val="22"/>
    </w:rPr>
  </w:style>
  <w:style w:type="character" w:customStyle="1" w:styleId="Heading2Char2">
    <w:name w:val="Heading 2 Char2"/>
    <w:aliases w:val="Heading 2 Char Char,Heading 2 Char1 Char Char Char,Heading 2 Char Char Char Char Char,Heading 2 Char1 Char,Heading 2 Char1 Char Char1 Char,Heading 2 Char1 Char Char Char Char1 Char Char,Heading 2 Char Char Char Char Char Char1 Char Char"/>
    <w:basedOn w:val="DefaultParagraphFont"/>
    <w:link w:val="Heading2"/>
    <w:rsid w:val="009549AB"/>
    <w:rPr>
      <w:b/>
      <w:snapToGrid w:val="0"/>
      <w:kern w:val="28"/>
      <w:sz w:val="22"/>
    </w:rPr>
  </w:style>
  <w:style w:type="character" w:customStyle="1" w:styleId="Heading3Char">
    <w:name w:val="Heading 3 Char"/>
    <w:basedOn w:val="DefaultParagraphFont"/>
    <w:link w:val="Heading3"/>
    <w:rsid w:val="009549AB"/>
    <w:rPr>
      <w:b/>
      <w:snapToGrid w:val="0"/>
      <w:kern w:val="28"/>
      <w:sz w:val="22"/>
    </w:rPr>
  </w:style>
  <w:style w:type="character" w:customStyle="1" w:styleId="Heading4Char">
    <w:name w:val="Heading 4 Char"/>
    <w:basedOn w:val="DefaultParagraphFont"/>
    <w:link w:val="Heading4"/>
    <w:rsid w:val="009549AB"/>
    <w:rPr>
      <w:b/>
      <w:snapToGrid w:val="0"/>
      <w:kern w:val="28"/>
      <w:sz w:val="22"/>
    </w:rPr>
  </w:style>
  <w:style w:type="character" w:customStyle="1" w:styleId="Heading5Char">
    <w:name w:val="Heading 5 Char"/>
    <w:basedOn w:val="DefaultParagraphFont"/>
    <w:link w:val="Heading5"/>
    <w:rsid w:val="009549AB"/>
    <w:rPr>
      <w:b/>
      <w:snapToGrid w:val="0"/>
      <w:kern w:val="28"/>
      <w:sz w:val="22"/>
    </w:rPr>
  </w:style>
  <w:style w:type="character" w:customStyle="1" w:styleId="Heading6Char">
    <w:name w:val="Heading 6 Char"/>
    <w:aliases w:val="h6 Char"/>
    <w:basedOn w:val="DefaultParagraphFont"/>
    <w:link w:val="Heading6"/>
    <w:rsid w:val="009549AB"/>
    <w:rPr>
      <w:b/>
      <w:snapToGrid w:val="0"/>
      <w:kern w:val="28"/>
      <w:sz w:val="22"/>
    </w:rPr>
  </w:style>
  <w:style w:type="character" w:customStyle="1" w:styleId="Heading7Char">
    <w:name w:val="Heading 7 Char"/>
    <w:basedOn w:val="DefaultParagraphFont"/>
    <w:link w:val="Heading7"/>
    <w:rsid w:val="009549AB"/>
    <w:rPr>
      <w:b/>
      <w:snapToGrid w:val="0"/>
      <w:kern w:val="28"/>
      <w:sz w:val="22"/>
    </w:rPr>
  </w:style>
  <w:style w:type="character" w:customStyle="1" w:styleId="Heading8Char">
    <w:name w:val="Heading 8 Char"/>
    <w:basedOn w:val="DefaultParagraphFont"/>
    <w:link w:val="Heading8"/>
    <w:rsid w:val="009549AB"/>
    <w:rPr>
      <w:b/>
      <w:snapToGrid w:val="0"/>
      <w:kern w:val="28"/>
      <w:sz w:val="22"/>
    </w:rPr>
  </w:style>
  <w:style w:type="character" w:customStyle="1" w:styleId="Heading9Char">
    <w:name w:val="Heading 9 Char"/>
    <w:basedOn w:val="DefaultParagraphFont"/>
    <w:link w:val="Heading9"/>
    <w:rsid w:val="009549AB"/>
    <w:rPr>
      <w:b/>
      <w:snapToGrid w:val="0"/>
      <w:kern w:val="28"/>
      <w:sz w:val="22"/>
    </w:rPr>
  </w:style>
  <w:style w:type="character" w:customStyle="1" w:styleId="TitleChar">
    <w:name w:val="Title Char"/>
    <w:basedOn w:val="DefaultParagraphFont"/>
    <w:link w:val="Title"/>
    <w:rsid w:val="009549AB"/>
    <w:rPr>
      <w:b/>
      <w:sz w:val="22"/>
    </w:rPr>
  </w:style>
  <w:style w:type="character" w:customStyle="1" w:styleId="EndnoteTextChar">
    <w:name w:val="Endnote Text Char"/>
    <w:basedOn w:val="DefaultParagraphFont"/>
    <w:link w:val="EndnoteText"/>
    <w:semiHidden/>
    <w:rsid w:val="009549AB"/>
    <w:rPr>
      <w:snapToGrid w:val="0"/>
      <w:kern w:val="28"/>
    </w:rPr>
  </w:style>
  <w:style w:type="paragraph" w:styleId="TOCHeading">
    <w:name w:val="TOC Heading"/>
    <w:basedOn w:val="Heading1"/>
    <w:next w:val="Normal"/>
    <w:uiPriority w:val="39"/>
    <w:unhideWhenUsed/>
    <w:qFormat/>
    <w:rsid w:val="00B17FE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character" w:styleId="EndnoteReference">
    <w:name w:val="endnote reference"/>
    <w:basedOn w:val="DefaultParagraphFont"/>
    <w:rsid w:val="007633E2"/>
    <w:rPr>
      <w:vertAlign w:val="superscript"/>
    </w:rPr>
  </w:style>
  <w:style w:type="paragraph" w:styleId="TOAHeading">
    <w:name w:val="toa heading"/>
    <w:basedOn w:val="Normal"/>
    <w:next w:val="Normal"/>
    <w:rsid w:val="007633E2"/>
    <w:pPr>
      <w:tabs>
        <w:tab w:val="right" w:pos="9360"/>
      </w:tabs>
      <w:suppressAutoHyphens/>
    </w:pPr>
  </w:style>
  <w:style w:type="character" w:customStyle="1" w:styleId="EquationCaption">
    <w:name w:val="_Equation Caption"/>
    <w:rsid w:val="007633E2"/>
  </w:style>
  <w:style w:type="paragraph" w:customStyle="1" w:styleId="Paratitle">
    <w:name w:val="Para title"/>
    <w:basedOn w:val="Normal"/>
    <w:rsid w:val="007633E2"/>
    <w:pPr>
      <w:tabs>
        <w:tab w:val="center" w:pos="9270"/>
      </w:tabs>
      <w:spacing w:after="240"/>
    </w:pPr>
    <w:rPr>
      <w:spacing w:val="-2"/>
    </w:rPr>
  </w:style>
  <w:style w:type="paragraph" w:customStyle="1" w:styleId="TOCTitle">
    <w:name w:val="TOC Title"/>
    <w:basedOn w:val="Normal"/>
    <w:rsid w:val="007633E2"/>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5040">
      <w:bodyDiv w:val="1"/>
      <w:marLeft w:val="0"/>
      <w:marRight w:val="0"/>
      <w:marTop w:val="0"/>
      <w:marBottom w:val="0"/>
      <w:divBdr>
        <w:top w:val="none" w:sz="0" w:space="0" w:color="auto"/>
        <w:left w:val="none" w:sz="0" w:space="0" w:color="auto"/>
        <w:bottom w:val="none" w:sz="0" w:space="0" w:color="auto"/>
        <w:right w:val="none" w:sz="0" w:space="0" w:color="auto"/>
      </w:divBdr>
    </w:div>
    <w:div w:id="985819695">
      <w:bodyDiv w:val="1"/>
      <w:marLeft w:val="0"/>
      <w:marRight w:val="0"/>
      <w:marTop w:val="0"/>
      <w:marBottom w:val="0"/>
      <w:divBdr>
        <w:top w:val="none" w:sz="0" w:space="0" w:color="auto"/>
        <w:left w:val="none" w:sz="0" w:space="0" w:color="auto"/>
        <w:bottom w:val="none" w:sz="0" w:space="0" w:color="auto"/>
        <w:right w:val="none" w:sz="0" w:space="0" w:color="auto"/>
      </w:divBdr>
      <w:divsChild>
        <w:div w:id="2073652773">
          <w:marLeft w:val="0"/>
          <w:marRight w:val="0"/>
          <w:marTop w:val="0"/>
          <w:marBottom w:val="0"/>
          <w:divBdr>
            <w:top w:val="none" w:sz="0" w:space="0" w:color="auto"/>
            <w:left w:val="none" w:sz="0" w:space="0" w:color="auto"/>
            <w:bottom w:val="none" w:sz="0" w:space="0" w:color="auto"/>
            <w:right w:val="none" w:sz="0" w:space="0" w:color="auto"/>
          </w:divBdr>
        </w:div>
      </w:divsChild>
    </w:div>
    <w:div w:id="1972052374">
      <w:bodyDiv w:val="1"/>
      <w:marLeft w:val="0"/>
      <w:marRight w:val="0"/>
      <w:marTop w:val="0"/>
      <w:marBottom w:val="0"/>
      <w:divBdr>
        <w:top w:val="none" w:sz="0" w:space="0" w:color="auto"/>
        <w:left w:val="none" w:sz="0" w:space="0" w:color="auto"/>
        <w:bottom w:val="none" w:sz="0" w:space="0" w:color="auto"/>
        <w:right w:val="none" w:sz="0" w:space="0" w:color="auto"/>
      </w:divBdr>
      <w:divsChild>
        <w:div w:id="8423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Thomas\AppData\Local\Microsoft\Windows\Temporary%20Internet%20Files\Content.IE5\AppData\Local\Microsoft\Windows\Temporary%20Internet%20Files\Content.IE5\Users\Mika.Savir\AppData\Local\Microsoft\Windows\Temporary%20Internet%20Files\AppData\Local\Microsoft\Windows\Temporary%20Internet%20Files\Content.IE5\Users\Roland.Helvajian\AppData\Local\Microsoft\Windows\Temporary%20Internet%20Files\Content.Outlook\Users\Mika.Savir\AppData\Local\Microsoft\Windows\Temporary%20Internet%20Files\Content.Outlook\Local%20Settings\Temporary%20Internet%20Files\Users\Mika.Savir\AppData\Local\Microsoft\Windows\Temporary%20Internet%20Files\AppData\Local\Microsoft\Windows\Temporary%20Internet%20Files\Content.IE5\Local%20Settings\Temporary%20Internet%20Files\AppData\Local\Microsoft\Windows\Temporary%20Internet%20Files\Content.IE5\Users\Mika.Savir\AppData\Local\Microsoft\Windows\Temporary%20Internet%20Files\Content.Outlook\204T2IWP\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cgibin/" TargetMode="External"/><Relationship Id="rId2" Type="http://schemas.openxmlformats.org/officeDocument/2006/relationships/hyperlink" Target="http://www.sba.gov/sites/default/files/FAQ_Sept_2012.pdf." TargetMode="External"/><Relationship Id="rId1" Type="http://schemas.openxmlformats.org/officeDocument/2006/relationships/hyperlink" Target="http://www.whitehouse.gov/the-press-office/2011/06/13/executive-order-13576-delivering-efficient-effective-and-accountable-gov" TargetMode="External"/><Relationship Id="rId6" Type="http://schemas.openxmlformats.org/officeDocument/2006/relationships/hyperlink" Target="http://www.census.gov/cgi-bin/sssd/naics/naicsrch?code=517919&amp;search=2007%20NAICS%20Search" TargetMode="External"/><Relationship Id="rId5" Type="http://schemas.openxmlformats.org/officeDocument/2006/relationships/hyperlink" Target="http://www.census.gov/cgi-bin/sssd/naics/naicsrch?code=517110&amp;search=2007%20NAICS%20Search" TargetMode="External"/><Relationship Id="rId4" Type="http://schemas.openxmlformats.org/officeDocument/2006/relationships/hyperlink" Target="http://www.census.gov/cgi-bin/sssd/naics/naicsrch?code=517212&amp;search=2002%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d.Helvajian\AppData\Local\Microsoft\Windows\Temporary%20Internet%20Files\Content.MSO\34C838B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34C838B0</Template>
  <TotalTime>0</TotalTime>
  <Pages>2</Pages>
  <Words>18604</Words>
  <Characters>103422</Characters>
  <Application>Microsoft Office Word</Application>
  <DocSecurity>0</DocSecurity>
  <Lines>2999</Lines>
  <Paragraphs>1616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121468</CharactersWithSpaces>
  <SharedDoc>false</SharedDoc>
  <HyperlinkBase> </HyperlinkBase>
  <HLinks>
    <vt:vector size="426" baseType="variant">
      <vt:variant>
        <vt:i4>6488123</vt:i4>
      </vt:variant>
      <vt:variant>
        <vt:i4>268</vt:i4>
      </vt:variant>
      <vt:variant>
        <vt:i4>0</vt:i4>
      </vt:variant>
      <vt:variant>
        <vt:i4>5</vt:i4>
      </vt:variant>
      <vt:variant>
        <vt:lpwstr>../AppData/Local/Microsoft/Windows/Temporary Internet Files/Content.IE5/AppData/Local/Microsoft/Windows/Temporary Internet Files/Content.IE5/Users/Mika.Savir/AppData/Local/Microsoft/Windows/Temporary Internet Files/AppData/Local/Microsoft/Windows/Temporary Internet Files/Content.IE5/Users/Roland.Helvajian/AppData/Local/Microsoft/Windows/Temporary Internet Files/Content.Outlook/Users/Mika.Savir/AppData/Local/Microsoft/Windows/Temporary Internet Files/Content.Outlook/Local Settings/Temporary Internet Files/Users/Mika.Savir/AppData/Local/Microsoft/Windows/Temporary Internet Files/AppData/Local/Microsoft/Windows/Temporary Internet Files/Content.IE5/Local Settings/Temporary Internet Files/AppData/Local/Microsoft/Windows/Temporary Internet Files/Content.IE5/Users/Mika.Savir/AppData/Local/Microsoft/Windows/Temporary Internet Files/Content.Outlook/204T2IWP/fcc504@fcc.gov</vt:lpwstr>
      </vt:variant>
      <vt:variant>
        <vt:lpwstr/>
      </vt:variant>
      <vt:variant>
        <vt:i4>7929897</vt:i4>
      </vt:variant>
      <vt:variant>
        <vt:i4>265</vt:i4>
      </vt:variant>
      <vt:variant>
        <vt:i4>0</vt:i4>
      </vt:variant>
      <vt:variant>
        <vt:i4>5</vt:i4>
      </vt:variant>
      <vt:variant>
        <vt:lpwstr>http://fjallfoss.fcc.gov/ecfs2/</vt:lpwstr>
      </vt:variant>
      <vt:variant>
        <vt:lpwstr/>
      </vt:variant>
      <vt:variant>
        <vt:i4>4522070</vt:i4>
      </vt:variant>
      <vt:variant>
        <vt:i4>262</vt:i4>
      </vt:variant>
      <vt:variant>
        <vt:i4>0</vt:i4>
      </vt:variant>
      <vt:variant>
        <vt:i4>5</vt:i4>
      </vt:variant>
      <vt:variant>
        <vt:lpwstr>http://transition.fcc.gov/fees/wiretran.html</vt:lpwstr>
      </vt:variant>
      <vt:variant>
        <vt:lpwstr/>
      </vt:variant>
      <vt:variant>
        <vt:i4>6619263</vt:i4>
      </vt:variant>
      <vt:variant>
        <vt:i4>259</vt:i4>
      </vt:variant>
      <vt:variant>
        <vt:i4>0</vt:i4>
      </vt:variant>
      <vt:variant>
        <vt:i4>5</vt:i4>
      </vt:variant>
      <vt:variant>
        <vt:lpwstr>http://transition.fcc.gov/fees/regfees.html</vt:lpwstr>
      </vt:variant>
      <vt:variant>
        <vt:lpwstr/>
      </vt:variant>
      <vt:variant>
        <vt:i4>1507379</vt:i4>
      </vt:variant>
      <vt:variant>
        <vt:i4>252</vt:i4>
      </vt:variant>
      <vt:variant>
        <vt:i4>0</vt:i4>
      </vt:variant>
      <vt:variant>
        <vt:i4>5</vt:i4>
      </vt:variant>
      <vt:variant>
        <vt:lpwstr/>
      </vt:variant>
      <vt:variant>
        <vt:lpwstr>_Toc353032079</vt:lpwstr>
      </vt:variant>
      <vt:variant>
        <vt:i4>1507379</vt:i4>
      </vt:variant>
      <vt:variant>
        <vt:i4>246</vt:i4>
      </vt:variant>
      <vt:variant>
        <vt:i4>0</vt:i4>
      </vt:variant>
      <vt:variant>
        <vt:i4>5</vt:i4>
      </vt:variant>
      <vt:variant>
        <vt:lpwstr/>
      </vt:variant>
      <vt:variant>
        <vt:lpwstr>_Toc353032078</vt:lpwstr>
      </vt:variant>
      <vt:variant>
        <vt:i4>1507379</vt:i4>
      </vt:variant>
      <vt:variant>
        <vt:i4>240</vt:i4>
      </vt:variant>
      <vt:variant>
        <vt:i4>0</vt:i4>
      </vt:variant>
      <vt:variant>
        <vt:i4>5</vt:i4>
      </vt:variant>
      <vt:variant>
        <vt:lpwstr/>
      </vt:variant>
      <vt:variant>
        <vt:lpwstr>_Toc353032077</vt:lpwstr>
      </vt:variant>
      <vt:variant>
        <vt:i4>1507379</vt:i4>
      </vt:variant>
      <vt:variant>
        <vt:i4>234</vt:i4>
      </vt:variant>
      <vt:variant>
        <vt:i4>0</vt:i4>
      </vt:variant>
      <vt:variant>
        <vt:i4>5</vt:i4>
      </vt:variant>
      <vt:variant>
        <vt:lpwstr/>
      </vt:variant>
      <vt:variant>
        <vt:lpwstr>_Toc353032076</vt:lpwstr>
      </vt:variant>
      <vt:variant>
        <vt:i4>1507379</vt:i4>
      </vt:variant>
      <vt:variant>
        <vt:i4>228</vt:i4>
      </vt:variant>
      <vt:variant>
        <vt:i4>0</vt:i4>
      </vt:variant>
      <vt:variant>
        <vt:i4>5</vt:i4>
      </vt:variant>
      <vt:variant>
        <vt:lpwstr/>
      </vt:variant>
      <vt:variant>
        <vt:lpwstr>_Toc353032075</vt:lpwstr>
      </vt:variant>
      <vt:variant>
        <vt:i4>1507379</vt:i4>
      </vt:variant>
      <vt:variant>
        <vt:i4>222</vt:i4>
      </vt:variant>
      <vt:variant>
        <vt:i4>0</vt:i4>
      </vt:variant>
      <vt:variant>
        <vt:i4>5</vt:i4>
      </vt:variant>
      <vt:variant>
        <vt:lpwstr/>
      </vt:variant>
      <vt:variant>
        <vt:lpwstr>_Toc353032074</vt:lpwstr>
      </vt:variant>
      <vt:variant>
        <vt:i4>1507379</vt:i4>
      </vt:variant>
      <vt:variant>
        <vt:i4>216</vt:i4>
      </vt:variant>
      <vt:variant>
        <vt:i4>0</vt:i4>
      </vt:variant>
      <vt:variant>
        <vt:i4>5</vt:i4>
      </vt:variant>
      <vt:variant>
        <vt:lpwstr/>
      </vt:variant>
      <vt:variant>
        <vt:lpwstr>_Toc353032073</vt:lpwstr>
      </vt:variant>
      <vt:variant>
        <vt:i4>1507379</vt:i4>
      </vt:variant>
      <vt:variant>
        <vt:i4>210</vt:i4>
      </vt:variant>
      <vt:variant>
        <vt:i4>0</vt:i4>
      </vt:variant>
      <vt:variant>
        <vt:i4>5</vt:i4>
      </vt:variant>
      <vt:variant>
        <vt:lpwstr/>
      </vt:variant>
      <vt:variant>
        <vt:lpwstr>_Toc353032072</vt:lpwstr>
      </vt:variant>
      <vt:variant>
        <vt:i4>1507379</vt:i4>
      </vt:variant>
      <vt:variant>
        <vt:i4>204</vt:i4>
      </vt:variant>
      <vt:variant>
        <vt:i4>0</vt:i4>
      </vt:variant>
      <vt:variant>
        <vt:i4>5</vt:i4>
      </vt:variant>
      <vt:variant>
        <vt:lpwstr/>
      </vt:variant>
      <vt:variant>
        <vt:lpwstr>_Toc353032071</vt:lpwstr>
      </vt:variant>
      <vt:variant>
        <vt:i4>1507379</vt:i4>
      </vt:variant>
      <vt:variant>
        <vt:i4>198</vt:i4>
      </vt:variant>
      <vt:variant>
        <vt:i4>0</vt:i4>
      </vt:variant>
      <vt:variant>
        <vt:i4>5</vt:i4>
      </vt:variant>
      <vt:variant>
        <vt:lpwstr/>
      </vt:variant>
      <vt:variant>
        <vt:lpwstr>_Toc353032070</vt:lpwstr>
      </vt:variant>
      <vt:variant>
        <vt:i4>1441843</vt:i4>
      </vt:variant>
      <vt:variant>
        <vt:i4>192</vt:i4>
      </vt:variant>
      <vt:variant>
        <vt:i4>0</vt:i4>
      </vt:variant>
      <vt:variant>
        <vt:i4>5</vt:i4>
      </vt:variant>
      <vt:variant>
        <vt:lpwstr/>
      </vt:variant>
      <vt:variant>
        <vt:lpwstr>_Toc353032069</vt:lpwstr>
      </vt:variant>
      <vt:variant>
        <vt:i4>1441843</vt:i4>
      </vt:variant>
      <vt:variant>
        <vt:i4>186</vt:i4>
      </vt:variant>
      <vt:variant>
        <vt:i4>0</vt:i4>
      </vt:variant>
      <vt:variant>
        <vt:i4>5</vt:i4>
      </vt:variant>
      <vt:variant>
        <vt:lpwstr/>
      </vt:variant>
      <vt:variant>
        <vt:lpwstr>_Toc353032068</vt:lpwstr>
      </vt:variant>
      <vt:variant>
        <vt:i4>1441843</vt:i4>
      </vt:variant>
      <vt:variant>
        <vt:i4>180</vt:i4>
      </vt:variant>
      <vt:variant>
        <vt:i4>0</vt:i4>
      </vt:variant>
      <vt:variant>
        <vt:i4>5</vt:i4>
      </vt:variant>
      <vt:variant>
        <vt:lpwstr/>
      </vt:variant>
      <vt:variant>
        <vt:lpwstr>_Toc353032067</vt:lpwstr>
      </vt:variant>
      <vt:variant>
        <vt:i4>1441843</vt:i4>
      </vt:variant>
      <vt:variant>
        <vt:i4>174</vt:i4>
      </vt:variant>
      <vt:variant>
        <vt:i4>0</vt:i4>
      </vt:variant>
      <vt:variant>
        <vt:i4>5</vt:i4>
      </vt:variant>
      <vt:variant>
        <vt:lpwstr/>
      </vt:variant>
      <vt:variant>
        <vt:lpwstr>_Toc353032066</vt:lpwstr>
      </vt:variant>
      <vt:variant>
        <vt:i4>1441843</vt:i4>
      </vt:variant>
      <vt:variant>
        <vt:i4>168</vt:i4>
      </vt:variant>
      <vt:variant>
        <vt:i4>0</vt:i4>
      </vt:variant>
      <vt:variant>
        <vt:i4>5</vt:i4>
      </vt:variant>
      <vt:variant>
        <vt:lpwstr/>
      </vt:variant>
      <vt:variant>
        <vt:lpwstr>_Toc353032065</vt:lpwstr>
      </vt:variant>
      <vt:variant>
        <vt:i4>1441843</vt:i4>
      </vt:variant>
      <vt:variant>
        <vt:i4>162</vt:i4>
      </vt:variant>
      <vt:variant>
        <vt:i4>0</vt:i4>
      </vt:variant>
      <vt:variant>
        <vt:i4>5</vt:i4>
      </vt:variant>
      <vt:variant>
        <vt:lpwstr/>
      </vt:variant>
      <vt:variant>
        <vt:lpwstr>_Toc353032064</vt:lpwstr>
      </vt:variant>
      <vt:variant>
        <vt:i4>1441843</vt:i4>
      </vt:variant>
      <vt:variant>
        <vt:i4>156</vt:i4>
      </vt:variant>
      <vt:variant>
        <vt:i4>0</vt:i4>
      </vt:variant>
      <vt:variant>
        <vt:i4>5</vt:i4>
      </vt:variant>
      <vt:variant>
        <vt:lpwstr/>
      </vt:variant>
      <vt:variant>
        <vt:lpwstr>_Toc353032063</vt:lpwstr>
      </vt:variant>
      <vt:variant>
        <vt:i4>1441843</vt:i4>
      </vt:variant>
      <vt:variant>
        <vt:i4>150</vt:i4>
      </vt:variant>
      <vt:variant>
        <vt:i4>0</vt:i4>
      </vt:variant>
      <vt:variant>
        <vt:i4>5</vt:i4>
      </vt:variant>
      <vt:variant>
        <vt:lpwstr/>
      </vt:variant>
      <vt:variant>
        <vt:lpwstr>_Toc353032062</vt:lpwstr>
      </vt:variant>
      <vt:variant>
        <vt:i4>1441843</vt:i4>
      </vt:variant>
      <vt:variant>
        <vt:i4>144</vt:i4>
      </vt:variant>
      <vt:variant>
        <vt:i4>0</vt:i4>
      </vt:variant>
      <vt:variant>
        <vt:i4>5</vt:i4>
      </vt:variant>
      <vt:variant>
        <vt:lpwstr/>
      </vt:variant>
      <vt:variant>
        <vt:lpwstr>_Toc353032061</vt:lpwstr>
      </vt:variant>
      <vt:variant>
        <vt:i4>1441843</vt:i4>
      </vt:variant>
      <vt:variant>
        <vt:i4>138</vt:i4>
      </vt:variant>
      <vt:variant>
        <vt:i4>0</vt:i4>
      </vt:variant>
      <vt:variant>
        <vt:i4>5</vt:i4>
      </vt:variant>
      <vt:variant>
        <vt:lpwstr/>
      </vt:variant>
      <vt:variant>
        <vt:lpwstr>_Toc353032060</vt:lpwstr>
      </vt:variant>
      <vt:variant>
        <vt:i4>1376307</vt:i4>
      </vt:variant>
      <vt:variant>
        <vt:i4>132</vt:i4>
      </vt:variant>
      <vt:variant>
        <vt:i4>0</vt:i4>
      </vt:variant>
      <vt:variant>
        <vt:i4>5</vt:i4>
      </vt:variant>
      <vt:variant>
        <vt:lpwstr/>
      </vt:variant>
      <vt:variant>
        <vt:lpwstr>_Toc353032059</vt:lpwstr>
      </vt:variant>
      <vt:variant>
        <vt:i4>1376307</vt:i4>
      </vt:variant>
      <vt:variant>
        <vt:i4>126</vt:i4>
      </vt:variant>
      <vt:variant>
        <vt:i4>0</vt:i4>
      </vt:variant>
      <vt:variant>
        <vt:i4>5</vt:i4>
      </vt:variant>
      <vt:variant>
        <vt:lpwstr/>
      </vt:variant>
      <vt:variant>
        <vt:lpwstr>_Toc353032058</vt:lpwstr>
      </vt:variant>
      <vt:variant>
        <vt:i4>1376307</vt:i4>
      </vt:variant>
      <vt:variant>
        <vt:i4>120</vt:i4>
      </vt:variant>
      <vt:variant>
        <vt:i4>0</vt:i4>
      </vt:variant>
      <vt:variant>
        <vt:i4>5</vt:i4>
      </vt:variant>
      <vt:variant>
        <vt:lpwstr/>
      </vt:variant>
      <vt:variant>
        <vt:lpwstr>_Toc353032057</vt:lpwstr>
      </vt:variant>
      <vt:variant>
        <vt:i4>1376307</vt:i4>
      </vt:variant>
      <vt:variant>
        <vt:i4>114</vt:i4>
      </vt:variant>
      <vt:variant>
        <vt:i4>0</vt:i4>
      </vt:variant>
      <vt:variant>
        <vt:i4>5</vt:i4>
      </vt:variant>
      <vt:variant>
        <vt:lpwstr/>
      </vt:variant>
      <vt:variant>
        <vt:lpwstr>_Toc353032056</vt:lpwstr>
      </vt:variant>
      <vt:variant>
        <vt:i4>1376307</vt:i4>
      </vt:variant>
      <vt:variant>
        <vt:i4>108</vt:i4>
      </vt:variant>
      <vt:variant>
        <vt:i4>0</vt:i4>
      </vt:variant>
      <vt:variant>
        <vt:i4>5</vt:i4>
      </vt:variant>
      <vt:variant>
        <vt:lpwstr/>
      </vt:variant>
      <vt:variant>
        <vt:lpwstr>_Toc353032055</vt:lpwstr>
      </vt:variant>
      <vt:variant>
        <vt:i4>1376307</vt:i4>
      </vt:variant>
      <vt:variant>
        <vt:i4>102</vt:i4>
      </vt:variant>
      <vt:variant>
        <vt:i4>0</vt:i4>
      </vt:variant>
      <vt:variant>
        <vt:i4>5</vt:i4>
      </vt:variant>
      <vt:variant>
        <vt:lpwstr/>
      </vt:variant>
      <vt:variant>
        <vt:lpwstr>_Toc353032054</vt:lpwstr>
      </vt:variant>
      <vt:variant>
        <vt:i4>1376307</vt:i4>
      </vt:variant>
      <vt:variant>
        <vt:i4>96</vt:i4>
      </vt:variant>
      <vt:variant>
        <vt:i4>0</vt:i4>
      </vt:variant>
      <vt:variant>
        <vt:i4>5</vt:i4>
      </vt:variant>
      <vt:variant>
        <vt:lpwstr/>
      </vt:variant>
      <vt:variant>
        <vt:lpwstr>_Toc353032053</vt:lpwstr>
      </vt:variant>
      <vt:variant>
        <vt:i4>1376307</vt:i4>
      </vt:variant>
      <vt:variant>
        <vt:i4>90</vt:i4>
      </vt:variant>
      <vt:variant>
        <vt:i4>0</vt:i4>
      </vt:variant>
      <vt:variant>
        <vt:i4>5</vt:i4>
      </vt:variant>
      <vt:variant>
        <vt:lpwstr/>
      </vt:variant>
      <vt:variant>
        <vt:lpwstr>_Toc353032052</vt:lpwstr>
      </vt:variant>
      <vt:variant>
        <vt:i4>1376307</vt:i4>
      </vt:variant>
      <vt:variant>
        <vt:i4>84</vt:i4>
      </vt:variant>
      <vt:variant>
        <vt:i4>0</vt:i4>
      </vt:variant>
      <vt:variant>
        <vt:i4>5</vt:i4>
      </vt:variant>
      <vt:variant>
        <vt:lpwstr/>
      </vt:variant>
      <vt:variant>
        <vt:lpwstr>_Toc353032051</vt:lpwstr>
      </vt:variant>
      <vt:variant>
        <vt:i4>1376307</vt:i4>
      </vt:variant>
      <vt:variant>
        <vt:i4>78</vt:i4>
      </vt:variant>
      <vt:variant>
        <vt:i4>0</vt:i4>
      </vt:variant>
      <vt:variant>
        <vt:i4>5</vt:i4>
      </vt:variant>
      <vt:variant>
        <vt:lpwstr/>
      </vt:variant>
      <vt:variant>
        <vt:lpwstr>_Toc353032050</vt:lpwstr>
      </vt:variant>
      <vt:variant>
        <vt:i4>1310771</vt:i4>
      </vt:variant>
      <vt:variant>
        <vt:i4>72</vt:i4>
      </vt:variant>
      <vt:variant>
        <vt:i4>0</vt:i4>
      </vt:variant>
      <vt:variant>
        <vt:i4>5</vt:i4>
      </vt:variant>
      <vt:variant>
        <vt:lpwstr/>
      </vt:variant>
      <vt:variant>
        <vt:lpwstr>_Toc353032049</vt:lpwstr>
      </vt:variant>
      <vt:variant>
        <vt:i4>1310771</vt:i4>
      </vt:variant>
      <vt:variant>
        <vt:i4>66</vt:i4>
      </vt:variant>
      <vt:variant>
        <vt:i4>0</vt:i4>
      </vt:variant>
      <vt:variant>
        <vt:i4>5</vt:i4>
      </vt:variant>
      <vt:variant>
        <vt:lpwstr/>
      </vt:variant>
      <vt:variant>
        <vt:lpwstr>_Toc353032048</vt:lpwstr>
      </vt:variant>
      <vt:variant>
        <vt:i4>1310771</vt:i4>
      </vt:variant>
      <vt:variant>
        <vt:i4>60</vt:i4>
      </vt:variant>
      <vt:variant>
        <vt:i4>0</vt:i4>
      </vt:variant>
      <vt:variant>
        <vt:i4>5</vt:i4>
      </vt:variant>
      <vt:variant>
        <vt:lpwstr/>
      </vt:variant>
      <vt:variant>
        <vt:lpwstr>_Toc353032047</vt:lpwstr>
      </vt:variant>
      <vt:variant>
        <vt:i4>1310771</vt:i4>
      </vt:variant>
      <vt:variant>
        <vt:i4>54</vt:i4>
      </vt:variant>
      <vt:variant>
        <vt:i4>0</vt:i4>
      </vt:variant>
      <vt:variant>
        <vt:i4>5</vt:i4>
      </vt:variant>
      <vt:variant>
        <vt:lpwstr/>
      </vt:variant>
      <vt:variant>
        <vt:lpwstr>_Toc353032046</vt:lpwstr>
      </vt:variant>
      <vt:variant>
        <vt:i4>1310771</vt:i4>
      </vt:variant>
      <vt:variant>
        <vt:i4>48</vt:i4>
      </vt:variant>
      <vt:variant>
        <vt:i4>0</vt:i4>
      </vt:variant>
      <vt:variant>
        <vt:i4>5</vt:i4>
      </vt:variant>
      <vt:variant>
        <vt:lpwstr/>
      </vt:variant>
      <vt:variant>
        <vt:lpwstr>_Toc353032045</vt:lpwstr>
      </vt:variant>
      <vt:variant>
        <vt:i4>1310771</vt:i4>
      </vt:variant>
      <vt:variant>
        <vt:i4>42</vt:i4>
      </vt:variant>
      <vt:variant>
        <vt:i4>0</vt:i4>
      </vt:variant>
      <vt:variant>
        <vt:i4>5</vt:i4>
      </vt:variant>
      <vt:variant>
        <vt:lpwstr/>
      </vt:variant>
      <vt:variant>
        <vt:lpwstr>_Toc353032044</vt:lpwstr>
      </vt:variant>
      <vt:variant>
        <vt:i4>1310771</vt:i4>
      </vt:variant>
      <vt:variant>
        <vt:i4>36</vt:i4>
      </vt:variant>
      <vt:variant>
        <vt:i4>0</vt:i4>
      </vt:variant>
      <vt:variant>
        <vt:i4>5</vt:i4>
      </vt:variant>
      <vt:variant>
        <vt:lpwstr/>
      </vt:variant>
      <vt:variant>
        <vt:lpwstr>_Toc353032043</vt:lpwstr>
      </vt:variant>
      <vt:variant>
        <vt:i4>1310771</vt:i4>
      </vt:variant>
      <vt:variant>
        <vt:i4>30</vt:i4>
      </vt:variant>
      <vt:variant>
        <vt:i4>0</vt:i4>
      </vt:variant>
      <vt:variant>
        <vt:i4>5</vt:i4>
      </vt:variant>
      <vt:variant>
        <vt:lpwstr/>
      </vt:variant>
      <vt:variant>
        <vt:lpwstr>_Toc353032042</vt:lpwstr>
      </vt:variant>
      <vt:variant>
        <vt:i4>1310771</vt:i4>
      </vt:variant>
      <vt:variant>
        <vt:i4>24</vt:i4>
      </vt:variant>
      <vt:variant>
        <vt:i4>0</vt:i4>
      </vt:variant>
      <vt:variant>
        <vt:i4>5</vt:i4>
      </vt:variant>
      <vt:variant>
        <vt:lpwstr/>
      </vt:variant>
      <vt:variant>
        <vt:lpwstr>_Toc353032041</vt:lpwstr>
      </vt:variant>
      <vt:variant>
        <vt:i4>1310771</vt:i4>
      </vt:variant>
      <vt:variant>
        <vt:i4>18</vt:i4>
      </vt:variant>
      <vt:variant>
        <vt:i4>0</vt:i4>
      </vt:variant>
      <vt:variant>
        <vt:i4>5</vt:i4>
      </vt:variant>
      <vt:variant>
        <vt:lpwstr/>
      </vt:variant>
      <vt:variant>
        <vt:lpwstr>_Toc353032040</vt:lpwstr>
      </vt:variant>
      <vt:variant>
        <vt:i4>1245235</vt:i4>
      </vt:variant>
      <vt:variant>
        <vt:i4>12</vt:i4>
      </vt:variant>
      <vt:variant>
        <vt:i4>0</vt:i4>
      </vt:variant>
      <vt:variant>
        <vt:i4>5</vt:i4>
      </vt:variant>
      <vt:variant>
        <vt:lpwstr/>
      </vt:variant>
      <vt:variant>
        <vt:lpwstr>_Toc353032039</vt:lpwstr>
      </vt:variant>
      <vt:variant>
        <vt:i4>1245235</vt:i4>
      </vt:variant>
      <vt:variant>
        <vt:i4>6</vt:i4>
      </vt:variant>
      <vt:variant>
        <vt:i4>0</vt:i4>
      </vt:variant>
      <vt:variant>
        <vt:i4>5</vt:i4>
      </vt:variant>
      <vt:variant>
        <vt:lpwstr/>
      </vt:variant>
      <vt:variant>
        <vt:lpwstr>_Toc353032038</vt:lpwstr>
      </vt:variant>
      <vt:variant>
        <vt:i4>6291563</vt:i4>
      </vt:variant>
      <vt:variant>
        <vt:i4>72</vt:i4>
      </vt:variant>
      <vt:variant>
        <vt:i4>0</vt:i4>
      </vt:variant>
      <vt:variant>
        <vt:i4>5</vt:i4>
      </vt:variant>
      <vt:variant>
        <vt:lpwstr>http://www.westlaw.com/Find/Default.wl?rs=++++1.0&amp;vr=2.0&amp;DB=1000547&amp;DocName=47CFRS90.33&amp;FindType=L</vt:lpwstr>
      </vt:variant>
      <vt:variant>
        <vt:lpwstr/>
      </vt:variant>
      <vt:variant>
        <vt:i4>6422637</vt:i4>
      </vt:variant>
      <vt:variant>
        <vt:i4>69</vt:i4>
      </vt:variant>
      <vt:variant>
        <vt:i4>0</vt:i4>
      </vt:variant>
      <vt:variant>
        <vt:i4>5</vt:i4>
      </vt:variant>
      <vt:variant>
        <vt:lpwstr>http://www.westlaw.com/Find/Default.wl?rs=++++1.0&amp;vr=2.0&amp;DB=1000547&amp;DocName=47CFRS90.15&amp;FindType=L</vt:lpwstr>
      </vt:variant>
      <vt:variant>
        <vt:lpwstr/>
      </vt:variant>
      <vt:variant>
        <vt:i4>8061012</vt:i4>
      </vt:variant>
      <vt:variant>
        <vt:i4>66</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2162789</vt:i4>
      </vt:variant>
      <vt:variant>
        <vt:i4>63</vt:i4>
      </vt:variant>
      <vt:variant>
        <vt:i4>0</vt:i4>
      </vt:variant>
      <vt:variant>
        <vt:i4>5</vt:i4>
      </vt:variant>
      <vt:variant>
        <vt:lpwstr>http://www.census.gov/naics/2007/def/ND517110.HTM</vt:lpwstr>
      </vt:variant>
      <vt:variant>
        <vt:lpwstr>N517110</vt:lpwstr>
      </vt:variant>
      <vt:variant>
        <vt:i4>6422562</vt:i4>
      </vt:variant>
      <vt:variant>
        <vt:i4>60</vt:i4>
      </vt:variant>
      <vt:variant>
        <vt:i4>0</vt:i4>
      </vt:variant>
      <vt:variant>
        <vt:i4>5</vt:i4>
      </vt:variant>
      <vt:variant>
        <vt:lpwstr>http://transition.fcc.gov/Daily_Releases/Daily_Business/2012/db0106/DOC-311837A1.pdf</vt:lpwstr>
      </vt:variant>
      <vt:variant>
        <vt:lpwstr/>
      </vt:variant>
      <vt:variant>
        <vt:i4>2162791</vt:i4>
      </vt:variant>
      <vt:variant>
        <vt:i4>57</vt:i4>
      </vt:variant>
      <vt:variant>
        <vt:i4>0</vt:i4>
      </vt:variant>
      <vt:variant>
        <vt:i4>5</vt:i4>
      </vt:variant>
      <vt:variant>
        <vt:lpwstr>http://www.census.gov/naics/2007/def/ND515112.HTM</vt:lpwstr>
      </vt:variant>
      <vt:variant>
        <vt:lpwstr>N515112</vt:lpwstr>
      </vt:variant>
      <vt:variant>
        <vt:i4>6422562</vt:i4>
      </vt:variant>
      <vt:variant>
        <vt:i4>54</vt:i4>
      </vt:variant>
      <vt:variant>
        <vt:i4>0</vt:i4>
      </vt:variant>
      <vt:variant>
        <vt:i4>5</vt:i4>
      </vt:variant>
      <vt:variant>
        <vt:lpwstr>http://transition.fcc.gov/Daily_Releases/Daily_Business/2012/db0106/DOC-311837A1.pdf</vt:lpwstr>
      </vt:variant>
      <vt:variant>
        <vt:lpwstr/>
      </vt:variant>
      <vt:variant>
        <vt:i4>6422562</vt:i4>
      </vt:variant>
      <vt:variant>
        <vt:i4>51</vt:i4>
      </vt:variant>
      <vt:variant>
        <vt:i4>0</vt:i4>
      </vt:variant>
      <vt:variant>
        <vt:i4>5</vt:i4>
      </vt:variant>
      <vt:variant>
        <vt:lpwstr>http://transition.fcc.gov/Daily_Releases/Daily_Business/2012/db0106/DOC-311837A1.pdf</vt:lpwstr>
      </vt:variant>
      <vt:variant>
        <vt:lpwstr/>
      </vt:variant>
      <vt:variant>
        <vt:i4>6422562</vt:i4>
      </vt:variant>
      <vt:variant>
        <vt:i4>48</vt:i4>
      </vt:variant>
      <vt:variant>
        <vt:i4>0</vt:i4>
      </vt:variant>
      <vt:variant>
        <vt:i4>5</vt:i4>
      </vt:variant>
      <vt:variant>
        <vt:lpwstr>http://transition.fcc.gov/Daily_Releases/Daily_Business/2012/db0106/DOC-311837A1.pdf</vt:lpwstr>
      </vt:variant>
      <vt:variant>
        <vt:lpwstr/>
      </vt:variant>
      <vt:variant>
        <vt:i4>2162789</vt:i4>
      </vt:variant>
      <vt:variant>
        <vt:i4>45</vt:i4>
      </vt:variant>
      <vt:variant>
        <vt:i4>0</vt:i4>
      </vt:variant>
      <vt:variant>
        <vt:i4>5</vt:i4>
      </vt:variant>
      <vt:variant>
        <vt:lpwstr>http://www.census.gov/naics/2007/def/ND515120.HTM</vt:lpwstr>
      </vt:variant>
      <vt:variant>
        <vt:lpwstr>N515120</vt:lpwstr>
      </vt:variant>
      <vt:variant>
        <vt:i4>7471129</vt:i4>
      </vt:variant>
      <vt:variant>
        <vt:i4>42</vt:i4>
      </vt:variant>
      <vt:variant>
        <vt:i4>0</vt:i4>
      </vt:variant>
      <vt:variant>
        <vt:i4>5</vt:i4>
      </vt:variant>
      <vt:variant>
        <vt:lpwstr>https://web2.westlaw.com/find/default.wl?mt=122&amp;db=4493&amp;tc=-1&amp;rp=%2ffind%2fdefault.wl&amp;findtype=Y&amp;ordoc=2027888090&amp;serialnum=1997260934&amp;vr=2.0&amp;fn=_top&amp;sv=Split&amp;tf=-1&amp;referencepositiontype=S&amp;pbc=F7F00C7D&amp;referenceposition=12689&amp;rs=WLW12.04</vt:lpwstr>
      </vt:variant>
      <vt:variant>
        <vt:lpwstr/>
      </vt:variant>
      <vt:variant>
        <vt:i4>6029363</vt:i4>
      </vt:variant>
      <vt:variant>
        <vt:i4>39</vt:i4>
      </vt:variant>
      <vt:variant>
        <vt:i4>0</vt:i4>
      </vt:variant>
      <vt:variant>
        <vt:i4>5</vt:i4>
      </vt:variant>
      <vt:variant>
        <vt:lpwstr>https://web2.westlaw.com/find/default.wl?mt=122&amp;db=0004493&amp;tc=-1&amp;rp=%2ffind%2fdefault.wl&amp;findtype=Y&amp;ordoc=2027888090&amp;serialnum=1997260934&amp;vr=2.0&amp;fn=_top&amp;sv=Split&amp;tf=-1&amp;referencepositiontype=S&amp;pbc=F7F00C7D&amp;referenceposition=12689&amp;rs=WLW12.04</vt:lpwstr>
      </vt:variant>
      <vt:variant>
        <vt:lpwstr/>
      </vt:variant>
      <vt:variant>
        <vt:i4>2883710</vt:i4>
      </vt:variant>
      <vt:variant>
        <vt:i4>36</vt:i4>
      </vt:variant>
      <vt:variant>
        <vt:i4>0</vt:i4>
      </vt:variant>
      <vt:variant>
        <vt:i4>5</vt:i4>
      </vt:variant>
      <vt:variant>
        <vt:lpwstr>http://factfinder.census.gov/servlet/IBQTable?_bm=y&amp;-fds_name=EC0700A1&amp;-geo_id=&amp;-_skip=600&amp;-ds_name=EC0751SSSZ5&amp;-_lang=en</vt:lpwstr>
      </vt:variant>
      <vt:variant>
        <vt:lpwstr/>
      </vt:variant>
      <vt:variant>
        <vt:i4>2162789</vt:i4>
      </vt:variant>
      <vt:variant>
        <vt:i4>33</vt:i4>
      </vt:variant>
      <vt:variant>
        <vt:i4>0</vt:i4>
      </vt:variant>
      <vt:variant>
        <vt:i4>5</vt:i4>
      </vt:variant>
      <vt:variant>
        <vt:lpwstr>http://www.census.gov/naics/2007/def/ND517210.HTM</vt:lpwstr>
      </vt:variant>
      <vt:variant>
        <vt:lpwstr>N517210</vt:lpwstr>
      </vt:variant>
      <vt:variant>
        <vt:i4>2883710</vt:i4>
      </vt:variant>
      <vt:variant>
        <vt:i4>30</vt:i4>
      </vt:variant>
      <vt:variant>
        <vt:i4>0</vt:i4>
      </vt:variant>
      <vt:variant>
        <vt:i4>5</vt:i4>
      </vt:variant>
      <vt:variant>
        <vt:lpwstr>http://factfinder.census.gov/servlet/IBQTable?_bm=y&amp;-fds_name=EC0700A1&amp;-geo_id=&amp;-_skip=600&amp;-ds_name=EC0751SSSZ5&amp;-_lang=en</vt:lpwstr>
      </vt:variant>
      <vt:variant>
        <vt:lpwstr/>
      </vt:variant>
      <vt:variant>
        <vt:i4>6619263</vt:i4>
      </vt:variant>
      <vt:variant>
        <vt:i4>27</vt:i4>
      </vt:variant>
      <vt:variant>
        <vt:i4>0</vt:i4>
      </vt:variant>
      <vt:variant>
        <vt:i4>5</vt:i4>
      </vt:variant>
      <vt:variant>
        <vt:lpwstr>http://www.census.gov/cgi-bin/sssd/naics/naicsrch?code=517210&amp;search=2007%20NAICS%20Search</vt:lpwstr>
      </vt:variant>
      <vt:variant>
        <vt:lpwstr/>
      </vt:variant>
      <vt:variant>
        <vt:i4>2883710</vt:i4>
      </vt:variant>
      <vt:variant>
        <vt:i4>24</vt:i4>
      </vt:variant>
      <vt:variant>
        <vt:i4>0</vt:i4>
      </vt:variant>
      <vt:variant>
        <vt:i4>5</vt:i4>
      </vt:variant>
      <vt:variant>
        <vt:lpwstr>http://factfinder.census.gov/servlet/IBQTable?_bm=y&amp;-fds_name=EC0700A1&amp;-geo_id=&amp;-_skip=600&amp;-ds_name=EC0751SSSZ5&amp;-_lang=en</vt:lpwstr>
      </vt:variant>
      <vt:variant>
        <vt:lpwstr/>
      </vt:variant>
      <vt:variant>
        <vt:i4>2752559</vt:i4>
      </vt:variant>
      <vt:variant>
        <vt:i4>21</vt:i4>
      </vt:variant>
      <vt:variant>
        <vt:i4>0</vt:i4>
      </vt:variant>
      <vt:variant>
        <vt:i4>5</vt:i4>
      </vt:variant>
      <vt:variant>
        <vt:lpwstr>http://web.sba.gov/faqs</vt:lpwstr>
      </vt:variant>
      <vt:variant>
        <vt:lpwstr/>
      </vt:variant>
      <vt:variant>
        <vt:i4>6815776</vt:i4>
      </vt:variant>
      <vt:variant>
        <vt:i4>18</vt:i4>
      </vt:variant>
      <vt:variant>
        <vt:i4>0</vt:i4>
      </vt:variant>
      <vt:variant>
        <vt:i4>5</vt:i4>
      </vt:variant>
      <vt:variant>
        <vt:lpwstr>http://www.whitehouse.gov/the-press-office/2011/06/13/executive-order-13576-delivering-efficient-effective-and-accountable-gov</vt:lpwstr>
      </vt:variant>
      <vt:variant>
        <vt:lpwstr/>
      </vt:variant>
      <vt:variant>
        <vt:i4>1441874</vt:i4>
      </vt:variant>
      <vt:variant>
        <vt:i4>15</vt:i4>
      </vt:variant>
      <vt:variant>
        <vt:i4>0</vt:i4>
      </vt:variant>
      <vt:variant>
        <vt:i4>5</vt:i4>
      </vt:variant>
      <vt:variant>
        <vt:lpwstr>http://pewinternet.org/Reports/2012/Smartphone-Update-2012/Findings.aspx</vt:lpwstr>
      </vt:variant>
      <vt:variant>
        <vt:lpwstr/>
      </vt:variant>
      <vt:variant>
        <vt:i4>2752560</vt:i4>
      </vt:variant>
      <vt:variant>
        <vt:i4>12</vt:i4>
      </vt:variant>
      <vt:variant>
        <vt:i4>0</vt:i4>
      </vt:variant>
      <vt:variant>
        <vt:i4>5</vt:i4>
      </vt:variant>
      <vt:variant>
        <vt:lpwstr>http://www.ntia.doc.gov/report/2011/exploring-digital-nation-computer-and-internet-use-home</vt:lpwstr>
      </vt:variant>
      <vt:variant>
        <vt:lpwstr/>
      </vt:variant>
      <vt:variant>
        <vt:i4>6029312</vt:i4>
      </vt:variant>
      <vt:variant>
        <vt:i4>9</vt:i4>
      </vt:variant>
      <vt:variant>
        <vt:i4>0</vt:i4>
      </vt:variant>
      <vt:variant>
        <vt:i4>5</vt:i4>
      </vt:variant>
      <vt:variant>
        <vt:lpwstr>http://www22.verizon.com/?lid=//global//residential.</vt:lpwstr>
      </vt:variant>
      <vt:variant>
        <vt:lpwstr/>
      </vt:variant>
      <vt:variant>
        <vt:i4>786518</vt:i4>
      </vt:variant>
      <vt:variant>
        <vt:i4>6</vt:i4>
      </vt:variant>
      <vt:variant>
        <vt:i4>0</vt:i4>
      </vt:variant>
      <vt:variant>
        <vt:i4>5</vt:i4>
      </vt:variant>
      <vt:variant>
        <vt:lpwstr>http://www.comcast.com/Corporate/Learn/Bundles/bundles.html.</vt:lpwstr>
      </vt:variant>
      <vt:variant>
        <vt:lpwstr/>
      </vt:variant>
      <vt:variant>
        <vt:i4>1441874</vt:i4>
      </vt:variant>
      <vt:variant>
        <vt:i4>3</vt:i4>
      </vt:variant>
      <vt:variant>
        <vt:i4>0</vt:i4>
      </vt:variant>
      <vt:variant>
        <vt:i4>5</vt:i4>
      </vt:variant>
      <vt:variant>
        <vt:lpwstr>http://pewinternet.org/Reports/2012/Smartphone-Update-2012/Findings.aspx</vt:lpwstr>
      </vt:variant>
      <vt:variant>
        <vt:lpwstr/>
      </vt:variant>
      <vt:variant>
        <vt:i4>2752560</vt:i4>
      </vt:variant>
      <vt:variant>
        <vt:i4>0</vt:i4>
      </vt:variant>
      <vt:variant>
        <vt:i4>0</vt:i4>
      </vt:variant>
      <vt:variant>
        <vt:i4>5</vt:i4>
      </vt:variant>
      <vt:variant>
        <vt:lpwstr>http://www.ntia.doc.gov/report/2011/exploring-digital-nation-computer-and-internet-use-home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2013-05-23T18:59:00Z</cp:lastPrinted>
  <dcterms:created xsi:type="dcterms:W3CDTF">2013-06-05T20:55:00Z</dcterms:created>
  <dcterms:modified xsi:type="dcterms:W3CDTF">2013-06-05T20:55:00Z</dcterms:modified>
  <cp:category> </cp:category>
  <cp:contentStatus> </cp:contentStatus>
</cp:coreProperties>
</file>