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51" w:rsidRDefault="00AB2F51">
      <w:pPr>
        <w:jc w:val="center"/>
        <w:rPr>
          <w:b/>
          <w:szCs w:val="22"/>
        </w:rPr>
      </w:pPr>
      <w:bookmarkStart w:id="0" w:name="_GoBack"/>
      <w:bookmarkEnd w:id="0"/>
      <w:r>
        <w:rPr>
          <w:b/>
          <w:szCs w:val="22"/>
        </w:rPr>
        <w:t>Before the</w:t>
      </w:r>
    </w:p>
    <w:p w:rsidR="00AB2F51" w:rsidRDefault="00AB2F51">
      <w:pPr>
        <w:jc w:val="center"/>
        <w:rPr>
          <w:b/>
          <w:szCs w:val="22"/>
        </w:rPr>
      </w:pPr>
      <w:r>
        <w:rPr>
          <w:b/>
          <w:szCs w:val="22"/>
        </w:rPr>
        <w:t>Federal Communications Commission</w:t>
      </w:r>
    </w:p>
    <w:p w:rsidR="00AB2F51" w:rsidRDefault="00AB2F51">
      <w:pPr>
        <w:jc w:val="center"/>
        <w:rPr>
          <w:b/>
          <w:szCs w:val="22"/>
        </w:rPr>
      </w:pPr>
      <w:r>
        <w:rPr>
          <w:b/>
          <w:szCs w:val="22"/>
        </w:rPr>
        <w:t>Washington, D.C. 20554</w:t>
      </w:r>
    </w:p>
    <w:p w:rsidR="00AB2F51" w:rsidRDefault="00AB2F51">
      <w:pPr>
        <w:rPr>
          <w:szCs w:val="22"/>
        </w:rPr>
      </w:pPr>
    </w:p>
    <w:tbl>
      <w:tblPr>
        <w:tblW w:w="0" w:type="auto"/>
        <w:tblLayout w:type="fixed"/>
        <w:tblLook w:val="0000" w:firstRow="0" w:lastRow="0" w:firstColumn="0" w:lastColumn="0" w:noHBand="0" w:noVBand="0"/>
      </w:tblPr>
      <w:tblGrid>
        <w:gridCol w:w="4698"/>
        <w:gridCol w:w="720"/>
        <w:gridCol w:w="4230"/>
      </w:tblGrid>
      <w:tr w:rsidR="00AB2F51">
        <w:tc>
          <w:tcPr>
            <w:tcW w:w="4698" w:type="dxa"/>
          </w:tcPr>
          <w:p w:rsidR="00AB2F51" w:rsidRDefault="00AB2F51">
            <w:pPr>
              <w:ind w:right="-18"/>
              <w:rPr>
                <w:szCs w:val="22"/>
              </w:rPr>
            </w:pPr>
            <w:r>
              <w:rPr>
                <w:szCs w:val="22"/>
              </w:rPr>
              <w:t>In the Matter of</w:t>
            </w:r>
          </w:p>
          <w:p w:rsidR="00AB2F51" w:rsidRDefault="00AB2F51">
            <w:pPr>
              <w:ind w:right="-18"/>
              <w:rPr>
                <w:szCs w:val="22"/>
              </w:rPr>
            </w:pPr>
          </w:p>
          <w:p w:rsidR="00AB2F51" w:rsidRDefault="00AB2F51">
            <w:pPr>
              <w:ind w:right="-18"/>
              <w:rPr>
                <w:szCs w:val="22"/>
              </w:rPr>
            </w:pPr>
            <w:r>
              <w:rPr>
                <w:szCs w:val="22"/>
              </w:rPr>
              <w:t>Promoting Expanded Opportunities for Radio Experimentation and Market Trials under Part 5 of the Commission’s Rules and Streamlining Other Related Rules</w:t>
            </w:r>
          </w:p>
          <w:p w:rsidR="00AB2F51" w:rsidRDefault="00AB2F51">
            <w:pPr>
              <w:ind w:right="-18"/>
              <w:rPr>
                <w:szCs w:val="22"/>
              </w:rPr>
            </w:pPr>
          </w:p>
          <w:p w:rsidR="00AB2F51" w:rsidRDefault="00AB2F51">
            <w:pPr>
              <w:ind w:right="-18"/>
              <w:rPr>
                <w:szCs w:val="22"/>
              </w:rPr>
            </w:pPr>
            <w:r>
              <w:rPr>
                <w:szCs w:val="22"/>
              </w:rPr>
              <w:t xml:space="preserve">2006 Biennial Review of Telecommunications Regulations – Part 2 Administered by the  </w:t>
            </w:r>
          </w:p>
          <w:p w:rsidR="00AB2F51" w:rsidRDefault="00AB2F51">
            <w:pPr>
              <w:ind w:right="-18"/>
              <w:rPr>
                <w:szCs w:val="22"/>
              </w:rPr>
            </w:pPr>
            <w:r>
              <w:rPr>
                <w:szCs w:val="22"/>
              </w:rPr>
              <w:t>Office of Engineering and Technology (OET)</w:t>
            </w:r>
          </w:p>
        </w:tc>
        <w:tc>
          <w:tcPr>
            <w:tcW w:w="720" w:type="dxa"/>
          </w:tcPr>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tc>
        <w:tc>
          <w:tcPr>
            <w:tcW w:w="4230" w:type="dxa"/>
          </w:tcPr>
          <w:p w:rsidR="00AB2F51" w:rsidRDefault="00AB2F51">
            <w:pPr>
              <w:rPr>
                <w:szCs w:val="22"/>
              </w:rPr>
            </w:pPr>
          </w:p>
          <w:p w:rsidR="00AB2F51" w:rsidRDefault="00AB2F51" w:rsidP="002C7D7D">
            <w:pPr>
              <w:jc w:val="right"/>
              <w:rPr>
                <w:szCs w:val="22"/>
              </w:rPr>
            </w:pPr>
          </w:p>
          <w:p w:rsidR="00AB2F51" w:rsidRDefault="00AB2F51">
            <w:pPr>
              <w:rPr>
                <w:szCs w:val="22"/>
              </w:rPr>
            </w:pPr>
            <w:r>
              <w:rPr>
                <w:szCs w:val="22"/>
              </w:rPr>
              <w:t>ET Docket No. 10-236</w:t>
            </w:r>
          </w:p>
          <w:p w:rsidR="00AB2F51" w:rsidRDefault="00AB2F51">
            <w:pPr>
              <w:rPr>
                <w:szCs w:val="22"/>
              </w:rPr>
            </w:pPr>
          </w:p>
          <w:p w:rsidR="00AB2F51" w:rsidRDefault="00AB2F51">
            <w:pPr>
              <w:rPr>
                <w:szCs w:val="22"/>
              </w:rPr>
            </w:pPr>
          </w:p>
          <w:p w:rsidR="00AB2F51" w:rsidRDefault="00AB2F51">
            <w:pPr>
              <w:rPr>
                <w:szCs w:val="22"/>
              </w:rPr>
            </w:pPr>
          </w:p>
          <w:p w:rsidR="00AB2F51" w:rsidRDefault="00AB2F51">
            <w:pPr>
              <w:rPr>
                <w:szCs w:val="22"/>
              </w:rPr>
            </w:pPr>
          </w:p>
          <w:p w:rsidR="00AB2F51" w:rsidRDefault="00AB2F51">
            <w:pPr>
              <w:rPr>
                <w:szCs w:val="22"/>
              </w:rPr>
            </w:pPr>
            <w:r>
              <w:rPr>
                <w:szCs w:val="22"/>
              </w:rPr>
              <w:t>ET Docket No. 06-155</w:t>
            </w:r>
          </w:p>
        </w:tc>
      </w:tr>
      <w:tr w:rsidR="00AB2F51">
        <w:tc>
          <w:tcPr>
            <w:tcW w:w="4698" w:type="dxa"/>
          </w:tcPr>
          <w:p w:rsidR="00AB2F51" w:rsidRDefault="00AB2F51">
            <w:pPr>
              <w:ind w:right="-18"/>
              <w:rPr>
                <w:szCs w:val="22"/>
              </w:rPr>
            </w:pPr>
          </w:p>
        </w:tc>
        <w:tc>
          <w:tcPr>
            <w:tcW w:w="720" w:type="dxa"/>
          </w:tcPr>
          <w:p w:rsidR="00AB2F51" w:rsidRDefault="00AB2F51">
            <w:pPr>
              <w:rPr>
                <w:b/>
                <w:szCs w:val="22"/>
              </w:rPr>
            </w:pPr>
          </w:p>
        </w:tc>
        <w:tc>
          <w:tcPr>
            <w:tcW w:w="4230" w:type="dxa"/>
          </w:tcPr>
          <w:p w:rsidR="00AB2F51" w:rsidRDefault="00AB2F51">
            <w:pPr>
              <w:rPr>
                <w:szCs w:val="22"/>
              </w:rPr>
            </w:pPr>
          </w:p>
        </w:tc>
      </w:tr>
    </w:tbl>
    <w:p w:rsidR="00AB2F51" w:rsidRPr="000A536F" w:rsidRDefault="00383E27">
      <w:pPr>
        <w:spacing w:before="120"/>
        <w:jc w:val="center"/>
        <w:rPr>
          <w:b/>
        </w:rPr>
      </w:pPr>
      <w:r w:rsidRPr="000A536F">
        <w:rPr>
          <w:b/>
          <w:spacing w:val="-2"/>
        </w:rPr>
        <w:t>ORDER</w:t>
      </w:r>
      <w:r w:rsidR="00DD494B">
        <w:rPr>
          <w:b/>
          <w:spacing w:val="-2"/>
        </w:rPr>
        <w:t xml:space="preserve"> ON RECONSIDERATION</w:t>
      </w:r>
    </w:p>
    <w:p w:rsidR="00AB2F51" w:rsidRDefault="00AB2F51">
      <w:pPr>
        <w:rPr>
          <w:szCs w:val="22"/>
        </w:rPr>
      </w:pPr>
    </w:p>
    <w:p w:rsidR="00AB2F51" w:rsidRDefault="00AB2F51">
      <w:pPr>
        <w:tabs>
          <w:tab w:val="left" w:pos="5760"/>
        </w:tabs>
        <w:rPr>
          <w:b/>
          <w:spacing w:val="-2"/>
          <w:szCs w:val="22"/>
        </w:rPr>
      </w:pPr>
      <w:r>
        <w:rPr>
          <w:b/>
          <w:szCs w:val="22"/>
        </w:rPr>
        <w:t xml:space="preserve">Adopted:  </w:t>
      </w:r>
      <w:r w:rsidR="009F630A">
        <w:rPr>
          <w:b/>
          <w:szCs w:val="22"/>
        </w:rPr>
        <w:t>May 28, 2013</w:t>
      </w:r>
      <w:r w:rsidR="00A06B73">
        <w:rPr>
          <w:b/>
          <w:szCs w:val="22"/>
        </w:rPr>
        <w:tab/>
      </w:r>
      <w:r>
        <w:rPr>
          <w:b/>
          <w:szCs w:val="22"/>
        </w:rPr>
        <w:tab/>
        <w:t xml:space="preserve">           </w:t>
      </w:r>
      <w:r w:rsidR="00A06B73">
        <w:rPr>
          <w:b/>
          <w:szCs w:val="22"/>
        </w:rPr>
        <w:t xml:space="preserve"> Released: </w:t>
      </w:r>
      <w:r w:rsidR="009F630A">
        <w:rPr>
          <w:b/>
          <w:szCs w:val="22"/>
        </w:rPr>
        <w:t>May 29, 2013</w:t>
      </w:r>
    </w:p>
    <w:p w:rsidR="00AB2F51" w:rsidRDefault="00AB2F51">
      <w:pPr>
        <w:tabs>
          <w:tab w:val="left" w:pos="5760"/>
        </w:tabs>
        <w:rPr>
          <w:b/>
          <w:spacing w:val="-2"/>
          <w:szCs w:val="22"/>
        </w:rPr>
      </w:pPr>
    </w:p>
    <w:p w:rsidR="00AB2F51" w:rsidRDefault="00AB2F51">
      <w:pPr>
        <w:tabs>
          <w:tab w:val="left" w:pos="5760"/>
        </w:tabs>
        <w:rPr>
          <w:b/>
          <w:szCs w:val="22"/>
        </w:rPr>
      </w:pPr>
    </w:p>
    <w:p w:rsidR="00AB2F51" w:rsidRDefault="00AB2F51">
      <w:pPr>
        <w:tabs>
          <w:tab w:val="left" w:pos="5760"/>
        </w:tabs>
        <w:rPr>
          <w:szCs w:val="22"/>
        </w:rPr>
      </w:pPr>
      <w:r>
        <w:rPr>
          <w:szCs w:val="22"/>
        </w:rPr>
        <w:t xml:space="preserve">By the </w:t>
      </w:r>
      <w:r>
        <w:rPr>
          <w:spacing w:val="-2"/>
          <w:szCs w:val="22"/>
        </w:rPr>
        <w:t xml:space="preserve">Commission:  </w:t>
      </w:r>
      <w:r>
        <w:rPr>
          <w:rFonts w:cs="Arial"/>
          <w:color w:val="000000"/>
        </w:rPr>
        <w:t xml:space="preserve">  </w:t>
      </w:r>
    </w:p>
    <w:p w:rsidR="00DD494B" w:rsidRPr="00DD494B" w:rsidRDefault="00DD494B" w:rsidP="00DD494B">
      <w:pPr>
        <w:tabs>
          <w:tab w:val="left" w:pos="6030"/>
        </w:tabs>
        <w:spacing w:after="120"/>
        <w:ind w:left="720"/>
        <w:rPr>
          <w:b/>
          <w:caps/>
          <w:szCs w:val="22"/>
        </w:rPr>
      </w:pPr>
      <w:bookmarkStart w:id="1" w:name="_Ref336235016"/>
    </w:p>
    <w:p w:rsidR="005F3D1B" w:rsidRDefault="005F3D1B" w:rsidP="005F3D1B"/>
    <w:p w:rsidR="009D0F46" w:rsidRPr="002244D8" w:rsidRDefault="009D0F46" w:rsidP="009D0F46">
      <w:pPr>
        <w:numPr>
          <w:ilvl w:val="0"/>
          <w:numId w:val="24"/>
        </w:numPr>
        <w:tabs>
          <w:tab w:val="left" w:pos="1440"/>
          <w:tab w:val="left" w:pos="6030"/>
        </w:tabs>
        <w:spacing w:after="120"/>
        <w:ind w:left="0"/>
        <w:rPr>
          <w:b/>
          <w:caps/>
          <w:szCs w:val="22"/>
        </w:rPr>
      </w:pPr>
      <w:r>
        <w:t xml:space="preserve">In this Order, the Commission modifies on its own motion </w:t>
      </w:r>
      <w:r w:rsidR="00942DB4">
        <w:t xml:space="preserve">the rules adopted in the </w:t>
      </w:r>
      <w:r w:rsidR="00942DB4" w:rsidRPr="002244D8">
        <w:rPr>
          <w:i/>
        </w:rPr>
        <w:t xml:space="preserve">Report and Order </w:t>
      </w:r>
      <w:r w:rsidR="00942DB4">
        <w:t>(</w:t>
      </w:r>
      <w:r w:rsidR="00942DB4" w:rsidRPr="002244D8">
        <w:rPr>
          <w:i/>
        </w:rPr>
        <w:t>R&amp;O</w:t>
      </w:r>
      <w:r w:rsidR="00942DB4">
        <w:t>) in this proceeding regarding transfer and assignment of experimental licenses issued under Part 5 of its rules</w:t>
      </w:r>
      <w:r w:rsidRPr="009D0F46">
        <w:rPr>
          <w:i/>
        </w:rPr>
        <w:t>.</w:t>
      </w:r>
      <w:r>
        <w:rPr>
          <w:rStyle w:val="FootnoteReference"/>
        </w:rPr>
        <w:footnoteReference w:id="2"/>
      </w:r>
      <w:r w:rsidRPr="009D0F46">
        <w:rPr>
          <w:i/>
        </w:rPr>
        <w:t xml:space="preserve"> </w:t>
      </w:r>
      <w:r>
        <w:t xml:space="preserve"> </w:t>
      </w:r>
    </w:p>
    <w:p w:rsidR="008B4419" w:rsidRPr="008B4419" w:rsidRDefault="002244D8" w:rsidP="00AF31B3">
      <w:pPr>
        <w:numPr>
          <w:ilvl w:val="0"/>
          <w:numId w:val="24"/>
        </w:numPr>
        <w:tabs>
          <w:tab w:val="left" w:pos="1440"/>
          <w:tab w:val="left" w:pos="6030"/>
        </w:tabs>
        <w:spacing w:after="120"/>
        <w:ind w:left="0"/>
        <w:rPr>
          <w:b/>
          <w:caps/>
          <w:szCs w:val="22"/>
        </w:rPr>
      </w:pPr>
      <w:r>
        <w:t xml:space="preserve">In the </w:t>
      </w:r>
      <w:r w:rsidRPr="00AF31B3">
        <w:rPr>
          <w:i/>
        </w:rPr>
        <w:t>Notice of Proposed Rulemaking</w:t>
      </w:r>
      <w:r>
        <w:t xml:space="preserve"> (</w:t>
      </w:r>
      <w:r w:rsidRPr="00AF31B3">
        <w:rPr>
          <w:i/>
        </w:rPr>
        <w:t>NPRM</w:t>
      </w:r>
      <w:r>
        <w:t xml:space="preserve">) in this proceeding, the Commission, </w:t>
      </w:r>
      <w:r w:rsidRPr="00AF31B3">
        <w:rPr>
          <w:i/>
          <w:iCs/>
        </w:rPr>
        <w:t>inter alia</w:t>
      </w:r>
      <w:r>
        <w:t xml:space="preserve">, proposed to establish research program, medical program, and innovation zone program </w:t>
      </w:r>
      <w:r w:rsidR="00AF31B3" w:rsidRPr="00AF31B3">
        <w:rPr>
          <w:bCs/>
          <w:szCs w:val="22"/>
        </w:rPr>
        <w:t>Experimental Radio Service (</w:t>
      </w:r>
      <w:r>
        <w:t>ERS</w:t>
      </w:r>
      <w:r w:rsidR="00AF31B3">
        <w:t>)</w:t>
      </w:r>
      <w:r>
        <w:t xml:space="preserve"> licenses to complement the existing conventional experimental license.</w:t>
      </w:r>
      <w:r w:rsidRPr="001F7F79">
        <w:rPr>
          <w:rStyle w:val="FootnoteReference"/>
          <w:sz w:val="24"/>
          <w:lang w:eastAsia="ja-JP"/>
        </w:rPr>
        <w:footnoteReference w:id="3"/>
      </w:r>
      <w:r>
        <w:t xml:space="preserve">  The Commission also proposed to amend the language of Section 5.79 of the Commission's Rules </w:t>
      </w:r>
      <w:r w:rsidR="005B51B3">
        <w:t>regarding</w:t>
      </w:r>
      <w:r>
        <w:t xml:space="preserve"> ER</w:t>
      </w:r>
      <w:r w:rsidR="00AF31B3">
        <w:t>S license transfers. </w:t>
      </w:r>
      <w:r w:rsidR="007C16FB">
        <w:t xml:space="preserve"> </w:t>
      </w:r>
      <w:r w:rsidR="00AF31B3">
        <w:t>T</w:t>
      </w:r>
      <w:r>
        <w:t xml:space="preserve">he proposed language </w:t>
      </w:r>
      <w:r w:rsidR="005B51B3">
        <w:t xml:space="preserve">modified the title of the rule to specifically refer to conventional experimental licenses and preserved the core component of the rule by continuing </w:t>
      </w:r>
      <w:r>
        <w:t xml:space="preserve">to prohibit the transfer of </w:t>
      </w:r>
      <w:r w:rsidR="005B51B3">
        <w:t xml:space="preserve">such </w:t>
      </w:r>
      <w:r>
        <w:t>license</w:t>
      </w:r>
      <w:r w:rsidR="005B51B3">
        <w:t>s</w:t>
      </w:r>
      <w:r>
        <w:t>, unless the Commission approves in writing such a transfer</w:t>
      </w:r>
      <w:r w:rsidR="005B51B3">
        <w:t>.</w:t>
      </w:r>
      <w:r w:rsidR="00AF31B3">
        <w:t xml:space="preserve"> </w:t>
      </w:r>
      <w:r w:rsidR="005B51B3">
        <w:t xml:space="preserve">The proposed rule </w:t>
      </w:r>
      <w:r w:rsidR="00AF31B3">
        <w:t>did not address transfer</w:t>
      </w:r>
      <w:r w:rsidR="00AC30E7">
        <w:t>s</w:t>
      </w:r>
      <w:r w:rsidR="00AF31B3">
        <w:t xml:space="preserve"> of the proposed program </w:t>
      </w:r>
      <w:r w:rsidR="00A63657">
        <w:t>l</w:t>
      </w:r>
      <w:r w:rsidR="00AF31B3">
        <w:t>icenses.</w:t>
      </w:r>
      <w:r w:rsidRPr="001F7F79">
        <w:rPr>
          <w:rStyle w:val="FootnoteReference"/>
          <w:sz w:val="24"/>
          <w:lang w:eastAsia="ja-JP"/>
        </w:rPr>
        <w:footnoteReference w:id="4"/>
      </w:r>
      <w:r>
        <w:t xml:space="preserve">  No comments were received on </w:t>
      </w:r>
      <w:r w:rsidR="00942DB4">
        <w:t xml:space="preserve">this </w:t>
      </w:r>
      <w:r>
        <w:t xml:space="preserve">proposal.   </w:t>
      </w:r>
    </w:p>
    <w:p w:rsidR="00A63657" w:rsidRPr="00A63657" w:rsidRDefault="00A63657" w:rsidP="00AF31B3">
      <w:pPr>
        <w:numPr>
          <w:ilvl w:val="0"/>
          <w:numId w:val="24"/>
        </w:numPr>
        <w:tabs>
          <w:tab w:val="left" w:pos="1440"/>
          <w:tab w:val="left" w:pos="6030"/>
        </w:tabs>
        <w:spacing w:after="120"/>
        <w:ind w:left="0"/>
        <w:rPr>
          <w:b/>
          <w:caps/>
          <w:szCs w:val="22"/>
        </w:rPr>
      </w:pPr>
      <w:r>
        <w:t xml:space="preserve">In the </w:t>
      </w:r>
      <w:r w:rsidRPr="00A63657">
        <w:rPr>
          <w:i/>
        </w:rPr>
        <w:t>R&amp;O</w:t>
      </w:r>
      <w:r>
        <w:t xml:space="preserve">, the Commission </w:t>
      </w:r>
      <w:r w:rsidR="00FF596A">
        <w:t>authorized th</w:t>
      </w:r>
      <w:r>
        <w:t xml:space="preserve">ree new types of ERS licenses, but modified the proposal set forth in the </w:t>
      </w:r>
      <w:r w:rsidRPr="00A63657">
        <w:rPr>
          <w:i/>
        </w:rPr>
        <w:t>NPRM</w:t>
      </w:r>
      <w:r>
        <w:t xml:space="preserve"> by </w:t>
      </w:r>
      <w:r w:rsidR="00FF596A">
        <w:t>classifying those licenses as pro</w:t>
      </w:r>
      <w:r>
        <w:t xml:space="preserve">gram, medical testing, and </w:t>
      </w:r>
      <w:r>
        <w:lastRenderedPageBreak/>
        <w:t>compliance testing</w:t>
      </w:r>
      <w:r w:rsidR="00FF596A">
        <w:t>.</w:t>
      </w:r>
      <w:r w:rsidR="00A0311D" w:rsidRPr="001F7F79">
        <w:rPr>
          <w:rStyle w:val="FootnoteReference"/>
          <w:sz w:val="24"/>
          <w:lang w:eastAsia="ja-JP"/>
        </w:rPr>
        <w:footnoteReference w:id="5"/>
      </w:r>
      <w:r w:rsidR="00A0311D">
        <w:t> </w:t>
      </w:r>
      <w:r>
        <w:t xml:space="preserve"> The Commission also adopted the body of proposed Section 5.79, but included the three new types of ERS licenses – in addition to conventional licenses – in the section </w:t>
      </w:r>
      <w:r w:rsidR="00220F40">
        <w:t>heading.</w:t>
      </w:r>
      <w:r w:rsidR="00A0311D" w:rsidRPr="001F7F79">
        <w:rPr>
          <w:rStyle w:val="FootnoteReference"/>
          <w:sz w:val="24"/>
          <w:lang w:eastAsia="ja-JP"/>
        </w:rPr>
        <w:footnoteReference w:id="6"/>
      </w:r>
      <w:r w:rsidR="00A0311D">
        <w:t> </w:t>
      </w:r>
      <w:r w:rsidR="00D525C9">
        <w:t xml:space="preserve"> Thus, the </w:t>
      </w:r>
      <w:r w:rsidR="00D525C9">
        <w:rPr>
          <w:i/>
        </w:rPr>
        <w:t>R&amp;O</w:t>
      </w:r>
      <w:r w:rsidR="00D525C9">
        <w:t xml:space="preserve"> implies that, </w:t>
      </w:r>
      <w:r>
        <w:t>under amended Section 5.79, the transfer</w:t>
      </w:r>
      <w:r w:rsidR="002C1DDF">
        <w:t xml:space="preserve"> of any type of ERS license is permitted with the written approval of the</w:t>
      </w:r>
      <w:r>
        <w:t xml:space="preserve"> Commission.</w:t>
      </w:r>
    </w:p>
    <w:p w:rsidR="005B51B3" w:rsidRPr="008828DA" w:rsidRDefault="009D0F46" w:rsidP="005B51B3">
      <w:pPr>
        <w:numPr>
          <w:ilvl w:val="0"/>
          <w:numId w:val="24"/>
        </w:numPr>
        <w:tabs>
          <w:tab w:val="left" w:pos="6030"/>
        </w:tabs>
        <w:spacing w:after="120"/>
        <w:ind w:left="0"/>
        <w:rPr>
          <w:b/>
          <w:caps/>
          <w:szCs w:val="22"/>
        </w:rPr>
      </w:pPr>
      <w:r>
        <w:t xml:space="preserve">Upon reflection, we find it in the public interest to </w:t>
      </w:r>
      <w:r w:rsidR="005B51B3">
        <w:t xml:space="preserve">modify Section 5.79 to specifically </w:t>
      </w:r>
      <w:r>
        <w:t xml:space="preserve">prohibit the transfer of </w:t>
      </w:r>
      <w:r w:rsidRPr="00303AA3">
        <w:rPr>
          <w:bCs/>
          <w:szCs w:val="22"/>
        </w:rPr>
        <w:t xml:space="preserve">program, medical testing, and compliance testing experimental radio </w:t>
      </w:r>
      <w:r w:rsidR="00747815">
        <w:rPr>
          <w:bCs/>
          <w:szCs w:val="22"/>
        </w:rPr>
        <w:t>license</w:t>
      </w:r>
      <w:r w:rsidR="00FF596A">
        <w:rPr>
          <w:bCs/>
          <w:szCs w:val="22"/>
        </w:rPr>
        <w:t>s</w:t>
      </w:r>
      <w:r w:rsidR="00FD7958">
        <w:rPr>
          <w:bCs/>
          <w:szCs w:val="22"/>
        </w:rPr>
        <w:t xml:space="preserve">, while continuing to permit conventional experimental authorizations to be transferred with the written </w:t>
      </w:r>
      <w:r w:rsidR="00733CCE">
        <w:rPr>
          <w:bCs/>
          <w:szCs w:val="22"/>
        </w:rPr>
        <w:t>approval</w:t>
      </w:r>
      <w:r w:rsidR="00FD7958">
        <w:rPr>
          <w:bCs/>
          <w:szCs w:val="22"/>
        </w:rPr>
        <w:t xml:space="preserve"> of the Commission</w:t>
      </w:r>
      <w:r w:rsidR="00747815">
        <w:rPr>
          <w:bCs/>
          <w:szCs w:val="22"/>
        </w:rPr>
        <w:t xml:space="preserve">.  </w:t>
      </w:r>
      <w:r w:rsidR="005B51B3">
        <w:rPr>
          <w:bCs/>
          <w:szCs w:val="22"/>
        </w:rPr>
        <w:t xml:space="preserve">As an initial matter, we </w:t>
      </w:r>
      <w:r w:rsidR="00EB2EA4">
        <w:rPr>
          <w:bCs/>
          <w:szCs w:val="22"/>
        </w:rPr>
        <w:t xml:space="preserve">observe </w:t>
      </w:r>
      <w:r w:rsidR="005B51B3">
        <w:rPr>
          <w:bCs/>
          <w:szCs w:val="22"/>
        </w:rPr>
        <w:t xml:space="preserve">that the text of the </w:t>
      </w:r>
      <w:r w:rsidR="005B51B3" w:rsidRPr="0025312B">
        <w:rPr>
          <w:bCs/>
          <w:i/>
          <w:szCs w:val="22"/>
        </w:rPr>
        <w:t>R&amp;O</w:t>
      </w:r>
      <w:r w:rsidR="005B51B3">
        <w:rPr>
          <w:bCs/>
          <w:szCs w:val="22"/>
        </w:rPr>
        <w:t xml:space="preserve"> stated that the Commission would prohibit the transfer of compliance testing licenses.</w:t>
      </w:r>
      <w:r w:rsidR="005B51B3">
        <w:rPr>
          <w:rStyle w:val="FootnoteReference"/>
          <w:bCs/>
          <w:szCs w:val="22"/>
        </w:rPr>
        <w:footnoteReference w:id="7"/>
      </w:r>
      <w:r w:rsidR="005B51B3">
        <w:rPr>
          <w:bCs/>
          <w:szCs w:val="22"/>
        </w:rPr>
        <w:t xml:space="preserve">  Thus, in this respect, the</w:t>
      </w:r>
      <w:r w:rsidR="00EB2EA4">
        <w:rPr>
          <w:bCs/>
          <w:szCs w:val="22"/>
        </w:rPr>
        <w:t xml:space="preserve">re is an </w:t>
      </w:r>
      <w:r w:rsidR="005B51B3">
        <w:rPr>
          <w:bCs/>
          <w:szCs w:val="22"/>
        </w:rPr>
        <w:t>inconsisten</w:t>
      </w:r>
      <w:r w:rsidR="00EB2EA4">
        <w:rPr>
          <w:bCs/>
          <w:szCs w:val="22"/>
        </w:rPr>
        <w:t>cy</w:t>
      </w:r>
      <w:r w:rsidR="005B51B3">
        <w:rPr>
          <w:bCs/>
          <w:szCs w:val="22"/>
        </w:rPr>
        <w:t xml:space="preserve"> </w:t>
      </w:r>
      <w:r w:rsidR="00EB2EA4">
        <w:rPr>
          <w:bCs/>
          <w:szCs w:val="22"/>
        </w:rPr>
        <w:t xml:space="preserve">between the adopted rule and this prohibition, which, for the reasons set out below, </w:t>
      </w:r>
      <w:r w:rsidR="00D525C9">
        <w:rPr>
          <w:bCs/>
          <w:szCs w:val="22"/>
        </w:rPr>
        <w:t xml:space="preserve">should be </w:t>
      </w:r>
      <w:r w:rsidR="00EB2EA4">
        <w:rPr>
          <w:bCs/>
          <w:szCs w:val="22"/>
        </w:rPr>
        <w:t>resolved by clearly prohibiting such transfers</w:t>
      </w:r>
      <w:r w:rsidR="00A576E4">
        <w:rPr>
          <w:bCs/>
          <w:szCs w:val="22"/>
        </w:rPr>
        <w:t>.</w:t>
      </w:r>
    </w:p>
    <w:p w:rsidR="000B0D36" w:rsidRPr="00AB0B48" w:rsidRDefault="00D525C9" w:rsidP="007A1CF0">
      <w:pPr>
        <w:numPr>
          <w:ilvl w:val="0"/>
          <w:numId w:val="24"/>
        </w:numPr>
        <w:tabs>
          <w:tab w:val="left" w:pos="6030"/>
        </w:tabs>
        <w:spacing w:after="120"/>
        <w:ind w:left="0"/>
        <w:rPr>
          <w:b/>
          <w:caps/>
          <w:szCs w:val="22"/>
        </w:rPr>
      </w:pPr>
      <w:bookmarkStart w:id="2" w:name="_Ref357071600"/>
      <w:r>
        <w:rPr>
          <w:bCs/>
          <w:szCs w:val="22"/>
        </w:rPr>
        <w:t xml:space="preserve">We conclude that, based </w:t>
      </w:r>
      <w:r w:rsidR="007004F4">
        <w:rPr>
          <w:bCs/>
          <w:szCs w:val="22"/>
        </w:rPr>
        <w:t xml:space="preserve">on </w:t>
      </w:r>
      <w:r>
        <w:rPr>
          <w:bCs/>
          <w:szCs w:val="22"/>
        </w:rPr>
        <w:t xml:space="preserve">the nature of </w:t>
      </w:r>
      <w:r w:rsidR="005B51B3">
        <w:rPr>
          <w:bCs/>
          <w:szCs w:val="22"/>
        </w:rPr>
        <w:t>the program</w:t>
      </w:r>
      <w:r w:rsidR="00EC0FCB">
        <w:rPr>
          <w:bCs/>
          <w:szCs w:val="22"/>
        </w:rPr>
        <w:t>,</w:t>
      </w:r>
      <w:r w:rsidR="005B51B3">
        <w:rPr>
          <w:bCs/>
          <w:szCs w:val="22"/>
        </w:rPr>
        <w:t xml:space="preserve"> medical testing</w:t>
      </w:r>
      <w:r w:rsidR="00EC0FCB">
        <w:rPr>
          <w:bCs/>
          <w:szCs w:val="22"/>
        </w:rPr>
        <w:t>, and compliance</w:t>
      </w:r>
      <w:r w:rsidR="005B51B3">
        <w:rPr>
          <w:bCs/>
          <w:szCs w:val="22"/>
        </w:rPr>
        <w:t xml:space="preserve"> licenses,</w:t>
      </w:r>
      <w:r>
        <w:rPr>
          <w:bCs/>
          <w:szCs w:val="22"/>
        </w:rPr>
        <w:t xml:space="preserve"> transfer of these licenses should not be permitted.  T</w:t>
      </w:r>
      <w:r w:rsidR="005B51B3">
        <w:rPr>
          <w:bCs/>
          <w:szCs w:val="22"/>
        </w:rPr>
        <w:t>hese</w:t>
      </w:r>
      <w:r w:rsidR="00D062B6">
        <w:rPr>
          <w:bCs/>
          <w:szCs w:val="22"/>
        </w:rPr>
        <w:t xml:space="preserve"> </w:t>
      </w:r>
      <w:r w:rsidR="00747815">
        <w:rPr>
          <w:bCs/>
          <w:szCs w:val="22"/>
        </w:rPr>
        <w:t xml:space="preserve">new </w:t>
      </w:r>
      <w:r w:rsidR="00D062B6">
        <w:rPr>
          <w:bCs/>
          <w:szCs w:val="22"/>
        </w:rPr>
        <w:t>ERS l</w:t>
      </w:r>
      <w:r w:rsidR="00747815">
        <w:rPr>
          <w:bCs/>
          <w:szCs w:val="22"/>
        </w:rPr>
        <w:t>icenses</w:t>
      </w:r>
      <w:r w:rsidR="004C293E">
        <w:rPr>
          <w:bCs/>
          <w:szCs w:val="22"/>
        </w:rPr>
        <w:t>, which</w:t>
      </w:r>
      <w:r w:rsidR="00747815">
        <w:rPr>
          <w:bCs/>
          <w:szCs w:val="22"/>
        </w:rPr>
        <w:t xml:space="preserve"> afford some important advantages </w:t>
      </w:r>
      <w:r w:rsidR="007E3729">
        <w:rPr>
          <w:bCs/>
          <w:szCs w:val="22"/>
        </w:rPr>
        <w:t xml:space="preserve">relative </w:t>
      </w:r>
      <w:r w:rsidR="00747815">
        <w:rPr>
          <w:bCs/>
          <w:szCs w:val="22"/>
        </w:rPr>
        <w:t>to</w:t>
      </w:r>
      <w:r w:rsidR="007E3729">
        <w:rPr>
          <w:bCs/>
          <w:szCs w:val="22"/>
        </w:rPr>
        <w:t xml:space="preserve"> </w:t>
      </w:r>
      <w:r w:rsidR="00071F5B">
        <w:rPr>
          <w:bCs/>
          <w:szCs w:val="22"/>
        </w:rPr>
        <w:t>th</w:t>
      </w:r>
      <w:r w:rsidR="00D062B6">
        <w:rPr>
          <w:bCs/>
          <w:szCs w:val="22"/>
        </w:rPr>
        <w:t xml:space="preserve">e conventional ERS </w:t>
      </w:r>
      <w:r w:rsidR="007E3729">
        <w:rPr>
          <w:bCs/>
          <w:szCs w:val="22"/>
        </w:rPr>
        <w:t>license</w:t>
      </w:r>
      <w:r w:rsidR="00DE2053">
        <w:rPr>
          <w:bCs/>
          <w:szCs w:val="22"/>
        </w:rPr>
        <w:t xml:space="preserve"> – including significantly more flexibility to undertake a broad range of experiments under a single authorization</w:t>
      </w:r>
      <w:r w:rsidR="00DE2053" w:rsidRPr="001F7F79">
        <w:rPr>
          <w:rStyle w:val="FootnoteReference"/>
          <w:sz w:val="24"/>
          <w:lang w:eastAsia="ja-JP"/>
        </w:rPr>
        <w:footnoteReference w:id="8"/>
      </w:r>
      <w:r w:rsidR="004C293E">
        <w:rPr>
          <w:bCs/>
          <w:szCs w:val="22"/>
        </w:rPr>
        <w:t xml:space="preserve"> – also impose</w:t>
      </w:r>
      <w:r w:rsidR="00071F5B">
        <w:rPr>
          <w:bCs/>
          <w:szCs w:val="22"/>
        </w:rPr>
        <w:t xml:space="preserve"> </w:t>
      </w:r>
      <w:r w:rsidR="004679C7">
        <w:rPr>
          <w:bCs/>
          <w:szCs w:val="22"/>
        </w:rPr>
        <w:t>additional requirements</w:t>
      </w:r>
      <w:r w:rsidR="005B51B3">
        <w:rPr>
          <w:bCs/>
          <w:szCs w:val="22"/>
        </w:rPr>
        <w:t xml:space="preserve"> on applicants of these new licenses</w:t>
      </w:r>
      <w:r w:rsidR="004C293E">
        <w:rPr>
          <w:bCs/>
          <w:szCs w:val="22"/>
        </w:rPr>
        <w:t>, requirements that reflect that these licenses are more tailored to the unique characteristics of the particular licensed entity than is the case with conventional experimental licenses</w:t>
      </w:r>
      <w:r w:rsidR="00071F5B">
        <w:rPr>
          <w:bCs/>
          <w:szCs w:val="22"/>
        </w:rPr>
        <w:t xml:space="preserve">.  </w:t>
      </w:r>
      <w:r w:rsidR="004C293E">
        <w:rPr>
          <w:bCs/>
          <w:szCs w:val="22"/>
        </w:rPr>
        <w:t>For example, u</w:t>
      </w:r>
      <w:r w:rsidR="00942DB4">
        <w:rPr>
          <w:bCs/>
          <w:szCs w:val="22"/>
        </w:rPr>
        <w:t>nlike the</w:t>
      </w:r>
      <w:r w:rsidR="004679C7">
        <w:rPr>
          <w:bCs/>
          <w:szCs w:val="22"/>
        </w:rPr>
        <w:t xml:space="preserve"> eligibility requirements for conventional licenses,</w:t>
      </w:r>
      <w:r w:rsidR="00D062B6">
        <w:rPr>
          <w:bCs/>
          <w:szCs w:val="22"/>
        </w:rPr>
        <w:t xml:space="preserve"> which require only that licensees be “qualified</w:t>
      </w:r>
      <w:r w:rsidR="004B0B65">
        <w:rPr>
          <w:bCs/>
          <w:szCs w:val="22"/>
        </w:rPr>
        <w:t xml:space="preserve"> to conduct the types of operations permitted in </w:t>
      </w:r>
      <w:r w:rsidR="004B0B65" w:rsidRPr="004B0B65">
        <w:rPr>
          <w:bCs/>
          <w:szCs w:val="22"/>
        </w:rPr>
        <w:t>§</w:t>
      </w:r>
      <w:r w:rsidR="004B0B65" w:rsidRPr="00173FF4">
        <w:rPr>
          <w:bCs/>
          <w:sz w:val="20"/>
        </w:rPr>
        <w:t> </w:t>
      </w:r>
      <w:r w:rsidR="004B0B65" w:rsidRPr="004B0B65">
        <w:rPr>
          <w:bCs/>
          <w:szCs w:val="22"/>
        </w:rPr>
        <w:t>5.3</w:t>
      </w:r>
      <w:r w:rsidR="004B0B65">
        <w:rPr>
          <w:bCs/>
          <w:szCs w:val="22"/>
        </w:rPr>
        <w:t xml:space="preserve"> of this part . . </w:t>
      </w:r>
      <w:r w:rsidR="00942DB4">
        <w:rPr>
          <w:bCs/>
          <w:szCs w:val="22"/>
        </w:rPr>
        <w:t>,</w:t>
      </w:r>
      <w:r w:rsidR="00D062B6">
        <w:rPr>
          <w:bCs/>
          <w:szCs w:val="22"/>
        </w:rPr>
        <w:t>”</w:t>
      </w:r>
      <w:r w:rsidR="004679C7">
        <w:rPr>
          <w:rStyle w:val="FootnoteReference"/>
          <w:bCs/>
          <w:szCs w:val="22"/>
        </w:rPr>
        <w:footnoteReference w:id="9"/>
      </w:r>
      <w:r w:rsidR="00EC2E24">
        <w:rPr>
          <w:bCs/>
          <w:szCs w:val="22"/>
        </w:rPr>
        <w:t xml:space="preserve"> </w:t>
      </w:r>
      <w:r w:rsidR="004679C7">
        <w:rPr>
          <w:bCs/>
          <w:szCs w:val="22"/>
        </w:rPr>
        <w:t xml:space="preserve"> </w:t>
      </w:r>
      <w:r w:rsidR="00942DB4">
        <w:rPr>
          <w:bCs/>
          <w:szCs w:val="22"/>
        </w:rPr>
        <w:t>the</w:t>
      </w:r>
      <w:r w:rsidR="005B51B3">
        <w:rPr>
          <w:bCs/>
          <w:szCs w:val="22"/>
        </w:rPr>
        <w:t>se</w:t>
      </w:r>
      <w:r w:rsidR="00942DB4">
        <w:rPr>
          <w:bCs/>
          <w:szCs w:val="22"/>
        </w:rPr>
        <w:t xml:space="preserve"> </w:t>
      </w:r>
      <w:r w:rsidR="00F02359">
        <w:rPr>
          <w:bCs/>
          <w:szCs w:val="22"/>
        </w:rPr>
        <w:t>new ERS licenses</w:t>
      </w:r>
      <w:r w:rsidR="00E52A3A">
        <w:rPr>
          <w:bCs/>
          <w:szCs w:val="22"/>
        </w:rPr>
        <w:t xml:space="preserve"> </w:t>
      </w:r>
      <w:r w:rsidR="00F02359">
        <w:rPr>
          <w:bCs/>
          <w:szCs w:val="22"/>
        </w:rPr>
        <w:t xml:space="preserve">are limited to specialized organizations and institutions.  Specifically, </w:t>
      </w:r>
      <w:r w:rsidR="00EC2E24">
        <w:rPr>
          <w:bCs/>
          <w:szCs w:val="22"/>
        </w:rPr>
        <w:t xml:space="preserve">program experimental licenses are available only to </w:t>
      </w:r>
      <w:r w:rsidR="00243BA9">
        <w:rPr>
          <w:bCs/>
          <w:szCs w:val="22"/>
        </w:rPr>
        <w:t>“</w:t>
      </w:r>
      <w:r w:rsidR="00EC2E24" w:rsidRPr="00EC2E24">
        <w:rPr>
          <w:rFonts w:eastAsia="MS Mincho"/>
        </w:rPr>
        <w:t>colleges, universities, research laboratories, manufacturers of radio frequency equipment, manufacturers that integrate radio frequency equipment into their end products, and medical research institutions</w:t>
      </w:r>
      <w:r w:rsidR="00EC2E24">
        <w:rPr>
          <w:rFonts w:eastAsia="MS Mincho"/>
        </w:rPr>
        <w:t>;</w:t>
      </w:r>
      <w:r w:rsidR="00243BA9">
        <w:rPr>
          <w:rFonts w:eastAsia="MS Mincho"/>
        </w:rPr>
        <w:t>”</w:t>
      </w:r>
      <w:r w:rsidR="00243BA9">
        <w:rPr>
          <w:rStyle w:val="FootnoteReference"/>
          <w:bCs/>
          <w:szCs w:val="22"/>
        </w:rPr>
        <w:footnoteReference w:id="10"/>
      </w:r>
      <w:r w:rsidR="00EC2E24">
        <w:rPr>
          <w:rFonts w:eastAsia="MS Mincho"/>
        </w:rPr>
        <w:t xml:space="preserve"> m</w:t>
      </w:r>
      <w:r w:rsidR="00EC2E24" w:rsidRPr="00EC2E24">
        <w:rPr>
          <w:rFonts w:eastAsia="MS Mincho"/>
        </w:rPr>
        <w:t>ed</w:t>
      </w:r>
      <w:r w:rsidR="00EC2E24">
        <w:rPr>
          <w:rFonts w:eastAsia="MS Mincho"/>
        </w:rPr>
        <w:t xml:space="preserve">ical testing </w:t>
      </w:r>
      <w:r w:rsidR="00EC2E24" w:rsidRPr="00EC2E24">
        <w:rPr>
          <w:rFonts w:eastAsia="MS Mincho"/>
        </w:rPr>
        <w:t>license</w:t>
      </w:r>
      <w:r w:rsidR="00EC2E24">
        <w:rPr>
          <w:rFonts w:eastAsia="MS Mincho"/>
        </w:rPr>
        <w:t xml:space="preserve">s are available only </w:t>
      </w:r>
      <w:r w:rsidR="00EC2E24" w:rsidRPr="00EC2E24">
        <w:rPr>
          <w:rFonts w:eastAsia="MS Mincho"/>
        </w:rPr>
        <w:t xml:space="preserve">to </w:t>
      </w:r>
      <w:r w:rsidR="00243BA9">
        <w:rPr>
          <w:rFonts w:eastAsia="MS Mincho"/>
        </w:rPr>
        <w:t>“</w:t>
      </w:r>
      <w:r w:rsidR="00EC2E24" w:rsidRPr="00EC2E24">
        <w:rPr>
          <w:rFonts w:eastAsia="MS Mincho"/>
        </w:rPr>
        <w:t>hospitals and health care institutions that demonstrate expertise in testing and operation of experimental medical devices that use wireless telecommunications technology or communications functions in clinical trials for diagnosis, treatment, or patient monitoring</w:t>
      </w:r>
      <w:r w:rsidR="00EC0FCB">
        <w:rPr>
          <w:rFonts w:eastAsia="MS Mincho"/>
        </w:rPr>
        <w:t>;</w:t>
      </w:r>
      <w:r w:rsidR="00243BA9">
        <w:rPr>
          <w:rFonts w:eastAsia="MS Mincho"/>
        </w:rPr>
        <w:t>”</w:t>
      </w:r>
      <w:r w:rsidR="00243BA9">
        <w:rPr>
          <w:rStyle w:val="FootnoteReference"/>
          <w:bCs/>
          <w:szCs w:val="22"/>
        </w:rPr>
        <w:footnoteReference w:id="11"/>
      </w:r>
      <w:r w:rsidR="005B51B3">
        <w:rPr>
          <w:szCs w:val="22"/>
        </w:rPr>
        <w:t xml:space="preserve"> </w:t>
      </w:r>
      <w:r w:rsidR="00EC0FCB">
        <w:rPr>
          <w:szCs w:val="22"/>
        </w:rPr>
        <w:t xml:space="preserve">and </w:t>
      </w:r>
      <w:r w:rsidR="008262EF">
        <w:rPr>
          <w:rFonts w:eastAsia="MS Mincho"/>
        </w:rPr>
        <w:t>c</w:t>
      </w:r>
      <w:r w:rsidR="008262EF" w:rsidRPr="00EC2E24">
        <w:rPr>
          <w:szCs w:val="22"/>
        </w:rPr>
        <w:t xml:space="preserve">ompliance testing </w:t>
      </w:r>
      <w:r w:rsidR="008262EF">
        <w:rPr>
          <w:szCs w:val="22"/>
        </w:rPr>
        <w:t>l</w:t>
      </w:r>
      <w:r w:rsidR="008262EF" w:rsidRPr="00EC2E24">
        <w:rPr>
          <w:szCs w:val="22"/>
        </w:rPr>
        <w:t>icense</w:t>
      </w:r>
      <w:r w:rsidR="008262EF">
        <w:rPr>
          <w:szCs w:val="22"/>
        </w:rPr>
        <w:t>s are available only to “</w:t>
      </w:r>
      <w:r w:rsidR="008262EF" w:rsidRPr="00EC2E24">
        <w:rPr>
          <w:szCs w:val="22"/>
        </w:rPr>
        <w:t xml:space="preserve">laboratories recognized by the FCC </w:t>
      </w:r>
      <w:r w:rsidR="008262EF">
        <w:rPr>
          <w:szCs w:val="22"/>
        </w:rPr>
        <w:t xml:space="preserve">under Subpart J of this chapter </w:t>
      </w:r>
      <w:r w:rsidR="008262EF" w:rsidRPr="00EC2E24">
        <w:rPr>
          <w:szCs w:val="22"/>
        </w:rPr>
        <w:t>to perform</w:t>
      </w:r>
      <w:r w:rsidR="008262EF">
        <w:rPr>
          <w:szCs w:val="22"/>
        </w:rPr>
        <w:t xml:space="preserve"> (i) product testing of radio frequency equipment, and (ii) testing of radio frequency equipment in an Open Area Test Site.”</w:t>
      </w:r>
      <w:r w:rsidR="008262EF">
        <w:rPr>
          <w:rStyle w:val="FootnoteReference"/>
          <w:bCs/>
          <w:szCs w:val="22"/>
        </w:rPr>
        <w:footnoteReference w:id="12"/>
      </w:r>
      <w:r w:rsidR="005B51B3">
        <w:rPr>
          <w:szCs w:val="22"/>
        </w:rPr>
        <w:t xml:space="preserve"> </w:t>
      </w:r>
      <w:r w:rsidR="008262EF">
        <w:rPr>
          <w:szCs w:val="22"/>
        </w:rPr>
        <w:t xml:space="preserve"> </w:t>
      </w:r>
      <w:r>
        <w:rPr>
          <w:szCs w:val="22"/>
        </w:rPr>
        <w:t>P</w:t>
      </w:r>
      <w:r w:rsidR="00490FF5" w:rsidRPr="00AB0B48">
        <w:rPr>
          <w:szCs w:val="22"/>
        </w:rPr>
        <w:t xml:space="preserve">rogram and medical testing licensees must </w:t>
      </w:r>
      <w:r w:rsidR="004C293E">
        <w:rPr>
          <w:szCs w:val="22"/>
        </w:rPr>
        <w:t xml:space="preserve">also </w:t>
      </w:r>
      <w:r w:rsidR="00490FF5" w:rsidRPr="00AB0B48">
        <w:rPr>
          <w:szCs w:val="22"/>
        </w:rPr>
        <w:t>meet additional</w:t>
      </w:r>
      <w:r w:rsidR="00942DB4" w:rsidRPr="00AB0B48">
        <w:rPr>
          <w:szCs w:val="22"/>
        </w:rPr>
        <w:t xml:space="preserve"> requirements</w:t>
      </w:r>
      <w:r w:rsidR="00490FF5" w:rsidRPr="00AB0B48">
        <w:rPr>
          <w:szCs w:val="22"/>
        </w:rPr>
        <w:t xml:space="preserve"> </w:t>
      </w:r>
      <w:r w:rsidR="00942DB4" w:rsidRPr="00AB0B48">
        <w:rPr>
          <w:szCs w:val="22"/>
        </w:rPr>
        <w:t xml:space="preserve">concerning </w:t>
      </w:r>
      <w:r w:rsidR="00D8737C" w:rsidRPr="00AB0B48">
        <w:rPr>
          <w:szCs w:val="22"/>
        </w:rPr>
        <w:t xml:space="preserve">responsible party, </w:t>
      </w:r>
      <w:r w:rsidR="00942DB4" w:rsidRPr="00AB0B48">
        <w:rPr>
          <w:szCs w:val="22"/>
        </w:rPr>
        <w:t xml:space="preserve">public </w:t>
      </w:r>
      <w:r w:rsidR="00490FF5" w:rsidRPr="00AB0B48">
        <w:rPr>
          <w:szCs w:val="22"/>
        </w:rPr>
        <w:t>notification</w:t>
      </w:r>
      <w:r w:rsidR="00D8737C" w:rsidRPr="00AB0B48">
        <w:rPr>
          <w:szCs w:val="22"/>
        </w:rPr>
        <w:t>,</w:t>
      </w:r>
      <w:r w:rsidR="00490FF5" w:rsidRPr="00AB0B48">
        <w:rPr>
          <w:szCs w:val="22"/>
        </w:rPr>
        <w:t xml:space="preserve"> and safety of the public to ensure that harmful interference </w:t>
      </w:r>
      <w:r w:rsidR="004C293E">
        <w:rPr>
          <w:szCs w:val="22"/>
        </w:rPr>
        <w:t xml:space="preserve">to other licensed radio services </w:t>
      </w:r>
      <w:r w:rsidR="00490FF5" w:rsidRPr="00AB0B48">
        <w:rPr>
          <w:szCs w:val="22"/>
        </w:rPr>
        <w:t>is not caused by program and medical testing experiments.</w:t>
      </w:r>
      <w:r w:rsidR="00490FF5">
        <w:rPr>
          <w:rStyle w:val="FootnoteReference"/>
          <w:bCs/>
          <w:szCs w:val="22"/>
        </w:rPr>
        <w:footnoteReference w:id="13"/>
      </w:r>
      <w:bookmarkEnd w:id="2"/>
      <w:r>
        <w:rPr>
          <w:szCs w:val="22"/>
        </w:rPr>
        <w:t xml:space="preserve">  </w:t>
      </w:r>
      <w:r w:rsidR="00FF279D">
        <w:rPr>
          <w:bCs/>
          <w:szCs w:val="22"/>
        </w:rPr>
        <w:t xml:space="preserve">These factors necessitate a greater level of review </w:t>
      </w:r>
      <w:r w:rsidR="008A5E0F">
        <w:rPr>
          <w:bCs/>
          <w:szCs w:val="22"/>
        </w:rPr>
        <w:t xml:space="preserve">of the specific attributes of the applicant and the details of </w:t>
      </w:r>
      <w:r w:rsidR="00022185">
        <w:rPr>
          <w:bCs/>
          <w:szCs w:val="22"/>
        </w:rPr>
        <w:t xml:space="preserve">the </w:t>
      </w:r>
      <w:r w:rsidR="008A5E0F">
        <w:rPr>
          <w:bCs/>
          <w:szCs w:val="22"/>
        </w:rPr>
        <w:t xml:space="preserve">experimentation plans </w:t>
      </w:r>
      <w:r w:rsidR="00FF279D">
        <w:rPr>
          <w:bCs/>
          <w:szCs w:val="22"/>
        </w:rPr>
        <w:t xml:space="preserve">than we undertake when evaluating </w:t>
      </w:r>
      <w:r>
        <w:rPr>
          <w:bCs/>
          <w:szCs w:val="22"/>
        </w:rPr>
        <w:t>a</w:t>
      </w:r>
      <w:r w:rsidR="00FF279D">
        <w:rPr>
          <w:bCs/>
          <w:szCs w:val="22"/>
        </w:rPr>
        <w:t>pplications pertaining to</w:t>
      </w:r>
      <w:r>
        <w:rPr>
          <w:bCs/>
          <w:szCs w:val="22"/>
        </w:rPr>
        <w:t xml:space="preserve"> </w:t>
      </w:r>
      <w:r w:rsidR="00FF279D">
        <w:rPr>
          <w:bCs/>
          <w:szCs w:val="22"/>
        </w:rPr>
        <w:t xml:space="preserve">a </w:t>
      </w:r>
      <w:r>
        <w:rPr>
          <w:bCs/>
          <w:szCs w:val="22"/>
        </w:rPr>
        <w:t>conventional license</w:t>
      </w:r>
      <w:r w:rsidR="00FF279D">
        <w:rPr>
          <w:bCs/>
          <w:szCs w:val="22"/>
        </w:rPr>
        <w:t>, and</w:t>
      </w:r>
      <w:r>
        <w:rPr>
          <w:bCs/>
          <w:szCs w:val="22"/>
        </w:rPr>
        <w:t xml:space="preserve"> </w:t>
      </w:r>
      <w:r w:rsidR="00FF279D">
        <w:rPr>
          <w:bCs/>
          <w:szCs w:val="22"/>
        </w:rPr>
        <w:t>m</w:t>
      </w:r>
      <w:r>
        <w:rPr>
          <w:bCs/>
          <w:szCs w:val="22"/>
        </w:rPr>
        <w:t xml:space="preserve">uch of this additional information is not normally provided on a transfer application.  Thus, it would be difficult for the Commission to ascertain if the transferee has </w:t>
      </w:r>
      <w:r>
        <w:rPr>
          <w:szCs w:val="22"/>
        </w:rPr>
        <w:t>the necessary knowledge, expertise, and internal controls required by the rules</w:t>
      </w:r>
      <w:r w:rsidR="00FF279D">
        <w:rPr>
          <w:szCs w:val="22"/>
        </w:rPr>
        <w:t xml:space="preserve"> without introducing significant complexity to our existing transfer process</w:t>
      </w:r>
      <w:r w:rsidR="00022185">
        <w:rPr>
          <w:szCs w:val="22"/>
        </w:rPr>
        <w:t xml:space="preserve"> (comparable to that required for initial licensing)</w:t>
      </w:r>
      <w:r>
        <w:rPr>
          <w:szCs w:val="22"/>
        </w:rPr>
        <w:t>.</w:t>
      </w:r>
    </w:p>
    <w:p w:rsidR="00F46FFF" w:rsidRPr="00F46FFF" w:rsidRDefault="00D525C9" w:rsidP="006D5947">
      <w:pPr>
        <w:numPr>
          <w:ilvl w:val="0"/>
          <w:numId w:val="24"/>
        </w:numPr>
        <w:tabs>
          <w:tab w:val="left" w:pos="6030"/>
        </w:tabs>
        <w:spacing w:after="120"/>
        <w:ind w:left="0"/>
        <w:rPr>
          <w:b/>
          <w:caps/>
          <w:szCs w:val="22"/>
        </w:rPr>
      </w:pPr>
      <w:r>
        <w:rPr>
          <w:szCs w:val="22"/>
        </w:rPr>
        <w:t>In addition</w:t>
      </w:r>
      <w:r w:rsidR="002C235F">
        <w:rPr>
          <w:szCs w:val="22"/>
        </w:rPr>
        <w:t>, u</w:t>
      </w:r>
      <w:r w:rsidR="002A7DA8">
        <w:rPr>
          <w:szCs w:val="22"/>
        </w:rPr>
        <w:t xml:space="preserve">nlike </w:t>
      </w:r>
      <w:r w:rsidR="002C235F">
        <w:rPr>
          <w:szCs w:val="22"/>
        </w:rPr>
        <w:t xml:space="preserve">a </w:t>
      </w:r>
      <w:r w:rsidR="002A7DA8">
        <w:rPr>
          <w:szCs w:val="22"/>
        </w:rPr>
        <w:t xml:space="preserve">conventional </w:t>
      </w:r>
      <w:r w:rsidR="002C235F">
        <w:rPr>
          <w:szCs w:val="22"/>
        </w:rPr>
        <w:t xml:space="preserve">ERS </w:t>
      </w:r>
      <w:r w:rsidR="002A7DA8">
        <w:rPr>
          <w:szCs w:val="22"/>
        </w:rPr>
        <w:t xml:space="preserve">license, </w:t>
      </w:r>
      <w:bookmarkEnd w:id="1"/>
      <w:r w:rsidR="000B0D36">
        <w:rPr>
          <w:szCs w:val="22"/>
        </w:rPr>
        <w:t xml:space="preserve">which </w:t>
      </w:r>
      <w:r w:rsidR="002C235F">
        <w:rPr>
          <w:szCs w:val="22"/>
        </w:rPr>
        <w:t xml:space="preserve">conveys a narrowly defined right to operate </w:t>
      </w:r>
      <w:r w:rsidR="00AB6484">
        <w:rPr>
          <w:szCs w:val="22"/>
        </w:rPr>
        <w:t xml:space="preserve">a single experiment </w:t>
      </w:r>
      <w:r w:rsidR="002C235F">
        <w:rPr>
          <w:szCs w:val="22"/>
        </w:rPr>
        <w:t>in a specific frequency band</w:t>
      </w:r>
      <w:r w:rsidR="00DC5685">
        <w:rPr>
          <w:szCs w:val="22"/>
        </w:rPr>
        <w:t xml:space="preserve"> at specific locations</w:t>
      </w:r>
      <w:r w:rsidR="002C235F">
        <w:rPr>
          <w:szCs w:val="22"/>
        </w:rPr>
        <w:t xml:space="preserve">, </w:t>
      </w:r>
      <w:r w:rsidR="002C235F" w:rsidRPr="00303AA3">
        <w:rPr>
          <w:bCs/>
          <w:szCs w:val="22"/>
        </w:rPr>
        <w:t>program</w:t>
      </w:r>
      <w:r w:rsidR="00DC5685">
        <w:rPr>
          <w:bCs/>
          <w:szCs w:val="22"/>
        </w:rPr>
        <w:t xml:space="preserve"> and</w:t>
      </w:r>
      <w:r w:rsidR="002C235F" w:rsidRPr="00303AA3">
        <w:rPr>
          <w:bCs/>
          <w:szCs w:val="22"/>
        </w:rPr>
        <w:t xml:space="preserve"> medical testing </w:t>
      </w:r>
      <w:r w:rsidR="002C235F">
        <w:rPr>
          <w:bCs/>
          <w:szCs w:val="22"/>
        </w:rPr>
        <w:t>license</w:t>
      </w:r>
      <w:r w:rsidR="00AB6484">
        <w:rPr>
          <w:bCs/>
          <w:szCs w:val="22"/>
        </w:rPr>
        <w:t>s will convey broad rights to operate multiple experiments in a variety of frequency bands</w:t>
      </w:r>
      <w:r w:rsidR="00DC5685">
        <w:rPr>
          <w:bCs/>
          <w:szCs w:val="22"/>
        </w:rPr>
        <w:t xml:space="preserve"> at a single location under the licensee</w:t>
      </w:r>
      <w:r w:rsidR="00DF686E">
        <w:rPr>
          <w:bCs/>
          <w:szCs w:val="22"/>
        </w:rPr>
        <w:t>’</w:t>
      </w:r>
      <w:r w:rsidR="00DC5685">
        <w:rPr>
          <w:bCs/>
          <w:szCs w:val="22"/>
        </w:rPr>
        <w:t>s control</w:t>
      </w:r>
      <w:r w:rsidR="00AB6484">
        <w:rPr>
          <w:bCs/>
          <w:szCs w:val="22"/>
        </w:rPr>
        <w:t>.</w:t>
      </w:r>
      <w:r w:rsidR="00DC5685">
        <w:rPr>
          <w:bCs/>
          <w:szCs w:val="22"/>
        </w:rPr>
        <w:t xml:space="preserve">  </w:t>
      </w:r>
      <w:r w:rsidR="008C2F25">
        <w:rPr>
          <w:bCs/>
          <w:szCs w:val="22"/>
        </w:rPr>
        <w:t>It is only after the license grant that the exact characteristics of the experiment are revealed via a publicly accessible web-based registration system.  In addition, the rules require a minimum period of 10 days between the registration and the commencement of the experiment for public comment.</w:t>
      </w:r>
      <w:r w:rsidR="00AB6484">
        <w:rPr>
          <w:bCs/>
          <w:szCs w:val="22"/>
        </w:rPr>
        <w:t xml:space="preserve"> </w:t>
      </w:r>
      <w:r w:rsidR="002C235F" w:rsidRPr="00303AA3">
        <w:rPr>
          <w:bCs/>
          <w:szCs w:val="22"/>
        </w:rPr>
        <w:t xml:space="preserve"> </w:t>
      </w:r>
      <w:r w:rsidR="007004F4">
        <w:rPr>
          <w:bCs/>
          <w:szCs w:val="22"/>
        </w:rPr>
        <w:t xml:space="preserve">Because a program and medical testing license authorizes ongoing experimentation only </w:t>
      </w:r>
      <w:r w:rsidR="000738F0">
        <w:rPr>
          <w:bCs/>
          <w:szCs w:val="22"/>
        </w:rPr>
        <w:t xml:space="preserve">at </w:t>
      </w:r>
      <w:r w:rsidR="007004F4">
        <w:rPr>
          <w:bCs/>
          <w:szCs w:val="22"/>
        </w:rPr>
        <w:t xml:space="preserve">specified locations that the licensee controls, a transfer of these licenses to another party who would likely be at another location is problematic and </w:t>
      </w:r>
      <w:r w:rsidR="00841114">
        <w:rPr>
          <w:bCs/>
          <w:szCs w:val="22"/>
        </w:rPr>
        <w:t>c</w:t>
      </w:r>
      <w:r w:rsidR="008C2F25">
        <w:rPr>
          <w:bCs/>
          <w:szCs w:val="22"/>
        </w:rPr>
        <w:t xml:space="preserve">ould deprive interested parties </w:t>
      </w:r>
      <w:r w:rsidR="007004F4">
        <w:rPr>
          <w:bCs/>
          <w:szCs w:val="22"/>
        </w:rPr>
        <w:t xml:space="preserve">who are concerned about potential </w:t>
      </w:r>
      <w:r w:rsidR="008C2F25">
        <w:rPr>
          <w:bCs/>
          <w:szCs w:val="22"/>
        </w:rPr>
        <w:t xml:space="preserve">interference of the ability to raise such concerns prior to </w:t>
      </w:r>
      <w:r w:rsidR="00841114">
        <w:rPr>
          <w:bCs/>
          <w:szCs w:val="22"/>
        </w:rPr>
        <w:t>experimentation.</w:t>
      </w:r>
      <w:r w:rsidR="008C2F25">
        <w:rPr>
          <w:bCs/>
          <w:szCs w:val="22"/>
        </w:rPr>
        <w:t xml:space="preserve"> </w:t>
      </w:r>
      <w:r w:rsidR="00841114">
        <w:rPr>
          <w:bCs/>
          <w:szCs w:val="22"/>
        </w:rPr>
        <w:t xml:space="preserve"> </w:t>
      </w:r>
      <w:r w:rsidR="005B5730">
        <w:rPr>
          <w:szCs w:val="22"/>
        </w:rPr>
        <w:t>Moreover</w:t>
      </w:r>
      <w:r w:rsidR="008262EF">
        <w:rPr>
          <w:szCs w:val="22"/>
        </w:rPr>
        <w:t xml:space="preserve">, compliance testing licenses convey additional flexibility beyond that provided for program and medical testing licenses.  Specifically, we note that compliance testing licenses may operate on any frequency (including in restricted bands) and are not subject to the web-based prior notification requirement.  </w:t>
      </w:r>
      <w:r w:rsidR="00F46FFF">
        <w:rPr>
          <w:szCs w:val="22"/>
        </w:rPr>
        <w:t>Therefore,</w:t>
      </w:r>
      <w:r w:rsidR="008A0E86">
        <w:rPr>
          <w:bCs/>
          <w:szCs w:val="22"/>
        </w:rPr>
        <w:t xml:space="preserve"> we do not find that there would be the same kind of significant public benefit in allowing </w:t>
      </w:r>
      <w:r w:rsidR="00985F45">
        <w:rPr>
          <w:bCs/>
          <w:szCs w:val="22"/>
        </w:rPr>
        <w:t xml:space="preserve">any of </w:t>
      </w:r>
      <w:r w:rsidR="008A0E86">
        <w:rPr>
          <w:bCs/>
          <w:szCs w:val="22"/>
        </w:rPr>
        <w:t xml:space="preserve">these </w:t>
      </w:r>
      <w:r w:rsidR="00985F45">
        <w:rPr>
          <w:bCs/>
          <w:szCs w:val="22"/>
        </w:rPr>
        <w:t xml:space="preserve">new </w:t>
      </w:r>
      <w:r w:rsidR="008A0E86">
        <w:rPr>
          <w:bCs/>
          <w:szCs w:val="22"/>
        </w:rPr>
        <w:t xml:space="preserve">licenses to be transferred </w:t>
      </w:r>
      <w:r w:rsidR="00483EA5">
        <w:rPr>
          <w:bCs/>
          <w:szCs w:val="22"/>
        </w:rPr>
        <w:t>as</w:t>
      </w:r>
      <w:r w:rsidR="008A0E86">
        <w:rPr>
          <w:bCs/>
          <w:szCs w:val="22"/>
        </w:rPr>
        <w:t xml:space="preserve"> there is under some circumstances for conventional experimental licensees.  </w:t>
      </w:r>
      <w:r w:rsidR="00483EA5">
        <w:rPr>
          <w:bCs/>
          <w:szCs w:val="22"/>
        </w:rPr>
        <w:t xml:space="preserve">Even with respect to conventional licenses, we find it prudent to permit license transfers only in </w:t>
      </w:r>
      <w:r w:rsidR="00FF596A">
        <w:rPr>
          <w:bCs/>
          <w:szCs w:val="22"/>
        </w:rPr>
        <w:t>certain</w:t>
      </w:r>
      <w:r w:rsidR="00A06B73">
        <w:rPr>
          <w:bCs/>
          <w:szCs w:val="22"/>
        </w:rPr>
        <w:t xml:space="preserve"> </w:t>
      </w:r>
      <w:r w:rsidR="00483EA5">
        <w:rPr>
          <w:bCs/>
          <w:szCs w:val="22"/>
        </w:rPr>
        <w:t>circumstances</w:t>
      </w:r>
      <w:r w:rsidR="00A06B73">
        <w:rPr>
          <w:bCs/>
          <w:szCs w:val="22"/>
        </w:rPr>
        <w:t>, such as</w:t>
      </w:r>
      <w:r w:rsidR="00483EA5">
        <w:rPr>
          <w:bCs/>
          <w:szCs w:val="22"/>
        </w:rPr>
        <w:t xml:space="preserve"> where the experimentation cannot be fruitfully continued by the licensee</w:t>
      </w:r>
      <w:r w:rsidR="00467B8F">
        <w:rPr>
          <w:bCs/>
          <w:szCs w:val="22"/>
        </w:rPr>
        <w:t xml:space="preserve">; accordingly, we do not permit such transfers </w:t>
      </w:r>
      <w:r w:rsidR="00FF596A">
        <w:rPr>
          <w:bCs/>
          <w:szCs w:val="22"/>
        </w:rPr>
        <w:t>without written Commission approval</w:t>
      </w:r>
      <w:r w:rsidR="00467B8F">
        <w:rPr>
          <w:bCs/>
          <w:szCs w:val="22"/>
        </w:rPr>
        <w:t xml:space="preserve">.  </w:t>
      </w:r>
    </w:p>
    <w:p w:rsidR="006D5947" w:rsidRPr="006D5947" w:rsidRDefault="008C3E4E" w:rsidP="006D5947">
      <w:pPr>
        <w:numPr>
          <w:ilvl w:val="0"/>
          <w:numId w:val="24"/>
        </w:numPr>
        <w:tabs>
          <w:tab w:val="left" w:pos="6030"/>
        </w:tabs>
        <w:spacing w:after="120"/>
        <w:ind w:left="0"/>
        <w:rPr>
          <w:b/>
          <w:caps/>
          <w:szCs w:val="22"/>
        </w:rPr>
      </w:pPr>
      <w:r>
        <w:rPr>
          <w:bCs/>
          <w:szCs w:val="22"/>
        </w:rPr>
        <w:t xml:space="preserve">Finally, we note that there are </w:t>
      </w:r>
      <w:r w:rsidR="00FF279D">
        <w:rPr>
          <w:bCs/>
          <w:szCs w:val="22"/>
        </w:rPr>
        <w:t xml:space="preserve">practical </w:t>
      </w:r>
      <w:r>
        <w:rPr>
          <w:bCs/>
          <w:szCs w:val="22"/>
        </w:rPr>
        <w:t xml:space="preserve">options to ensure the continuation of </w:t>
      </w:r>
      <w:r w:rsidR="007D1EBC">
        <w:rPr>
          <w:bCs/>
          <w:szCs w:val="22"/>
        </w:rPr>
        <w:t xml:space="preserve">an </w:t>
      </w:r>
      <w:r>
        <w:rPr>
          <w:bCs/>
          <w:szCs w:val="22"/>
        </w:rPr>
        <w:t xml:space="preserve">experiment </w:t>
      </w:r>
      <w:r w:rsidR="00FF279D">
        <w:rPr>
          <w:bCs/>
          <w:szCs w:val="22"/>
        </w:rPr>
        <w:t xml:space="preserve">being conducted under a </w:t>
      </w:r>
      <w:r w:rsidR="00FF279D">
        <w:t>program, medical testing, or compliance testing</w:t>
      </w:r>
      <w:r w:rsidR="00FF279D">
        <w:rPr>
          <w:bCs/>
          <w:szCs w:val="22"/>
        </w:rPr>
        <w:t xml:space="preserve"> license </w:t>
      </w:r>
      <w:r w:rsidR="00897650">
        <w:rPr>
          <w:bCs/>
          <w:szCs w:val="22"/>
        </w:rPr>
        <w:t xml:space="preserve">in the event of a </w:t>
      </w:r>
      <w:r w:rsidR="003627B8">
        <w:rPr>
          <w:bCs/>
          <w:szCs w:val="22"/>
        </w:rPr>
        <w:t xml:space="preserve">change in ownership or control of the licensee.  </w:t>
      </w:r>
      <w:r>
        <w:rPr>
          <w:bCs/>
          <w:szCs w:val="22"/>
        </w:rPr>
        <w:t xml:space="preserve">First, an experimenter may obtain a conventional license for the particular experiment.  Or, with advance planning, the </w:t>
      </w:r>
      <w:r w:rsidR="003627B8">
        <w:rPr>
          <w:bCs/>
          <w:szCs w:val="22"/>
        </w:rPr>
        <w:t>new owner</w:t>
      </w:r>
      <w:r>
        <w:rPr>
          <w:bCs/>
          <w:szCs w:val="22"/>
        </w:rPr>
        <w:t xml:space="preserve">, assuming </w:t>
      </w:r>
      <w:r w:rsidR="00DF686E">
        <w:rPr>
          <w:bCs/>
          <w:szCs w:val="22"/>
        </w:rPr>
        <w:t>it is</w:t>
      </w:r>
      <w:r>
        <w:rPr>
          <w:bCs/>
          <w:szCs w:val="22"/>
        </w:rPr>
        <w:t xml:space="preserve"> duly qualified, may apply for and obtain on</w:t>
      </w:r>
      <w:r w:rsidR="00DF686E">
        <w:rPr>
          <w:bCs/>
          <w:szCs w:val="22"/>
        </w:rPr>
        <w:t>e</w:t>
      </w:r>
      <w:r>
        <w:rPr>
          <w:bCs/>
          <w:szCs w:val="22"/>
        </w:rPr>
        <w:t xml:space="preserve"> of the new licenses and complete the advance registration requirement prior to </w:t>
      </w:r>
      <w:r w:rsidR="003627B8">
        <w:rPr>
          <w:bCs/>
          <w:szCs w:val="22"/>
        </w:rPr>
        <w:t>taking over the experimentation (either before or after the change in ownership or control of the licensee)</w:t>
      </w:r>
      <w:r>
        <w:rPr>
          <w:bCs/>
          <w:szCs w:val="22"/>
        </w:rPr>
        <w:t>.</w:t>
      </w:r>
      <w:r w:rsidR="00AB0B48" w:rsidDel="008C3E4E">
        <w:rPr>
          <w:bCs/>
          <w:szCs w:val="22"/>
        </w:rPr>
        <w:t xml:space="preserve"> </w:t>
      </w:r>
      <w:r w:rsidR="00AB0B48">
        <w:rPr>
          <w:bCs/>
          <w:szCs w:val="22"/>
        </w:rPr>
        <w:t xml:space="preserve"> </w:t>
      </w:r>
      <w:r w:rsidR="00022185">
        <w:rPr>
          <w:bCs/>
          <w:szCs w:val="22"/>
        </w:rPr>
        <w:t xml:space="preserve">And, as indicated above, if we were to allow assignments or transfers of these new forms of experimental license, the detail of the submissions and level of scrutiny that would be required – due to the nature of the operations conducted under such licenses – would not differ significantly from that which is required for obtaining an initial license.  </w:t>
      </w:r>
      <w:r w:rsidR="00AB0B48">
        <w:rPr>
          <w:bCs/>
          <w:szCs w:val="22"/>
        </w:rPr>
        <w:t>Thus, we believe that modifying the rule to explicitly prohibit transfer of program, medical testing</w:t>
      </w:r>
      <w:r w:rsidR="00DF686E">
        <w:rPr>
          <w:bCs/>
          <w:szCs w:val="22"/>
        </w:rPr>
        <w:t>,</w:t>
      </w:r>
      <w:r w:rsidR="00AB0B48">
        <w:rPr>
          <w:bCs/>
          <w:szCs w:val="22"/>
        </w:rPr>
        <w:t xml:space="preserve"> and compliance testing licenses will result in no harm to any </w:t>
      </w:r>
      <w:r w:rsidR="00FF279D">
        <w:rPr>
          <w:bCs/>
          <w:szCs w:val="22"/>
        </w:rPr>
        <w:t xml:space="preserve">qualified </w:t>
      </w:r>
      <w:r w:rsidR="00AB0B48">
        <w:rPr>
          <w:bCs/>
          <w:szCs w:val="22"/>
        </w:rPr>
        <w:t>license</w:t>
      </w:r>
      <w:r w:rsidR="003627B8">
        <w:rPr>
          <w:bCs/>
          <w:szCs w:val="22"/>
        </w:rPr>
        <w:t xml:space="preserve"> applicant or licensee</w:t>
      </w:r>
      <w:r w:rsidR="00AB0B48">
        <w:rPr>
          <w:bCs/>
          <w:szCs w:val="22"/>
        </w:rPr>
        <w:t xml:space="preserve">. </w:t>
      </w:r>
    </w:p>
    <w:p w:rsidR="006D5947" w:rsidRPr="00A43659" w:rsidRDefault="006D5947" w:rsidP="006D5947">
      <w:pPr>
        <w:numPr>
          <w:ilvl w:val="0"/>
          <w:numId w:val="24"/>
        </w:numPr>
        <w:tabs>
          <w:tab w:val="left" w:pos="6030"/>
        </w:tabs>
        <w:spacing w:after="120"/>
        <w:ind w:left="0"/>
        <w:rPr>
          <w:b/>
          <w:caps/>
          <w:szCs w:val="22"/>
        </w:rPr>
      </w:pPr>
      <w:r w:rsidRPr="006D5947">
        <w:rPr>
          <w:i/>
          <w:szCs w:val="22"/>
        </w:rPr>
        <w:t>Regulatory Flexibility Certification</w:t>
      </w:r>
      <w:r w:rsidRPr="006D5947">
        <w:rPr>
          <w:szCs w:val="22"/>
        </w:rPr>
        <w:t>.  The Regulatory Flexibility Act (RFA)</w:t>
      </w:r>
      <w:bookmarkStart w:id="3" w:name="FN[FN12]"/>
      <w:bookmarkEnd w:id="3"/>
      <w:r>
        <w:rPr>
          <w:vertAlign w:val="superscript"/>
        </w:rPr>
        <w:footnoteReference w:id="14"/>
      </w:r>
      <w:r w:rsidRPr="006D5947">
        <w:rPr>
          <w:szCs w:val="22"/>
        </w:rPr>
        <w:t xml:space="preserve"> requires that agencies prepare a regulatory flexibility analysis for notice-and-comment rulemaking proceedings, unless the agency </w:t>
      </w:r>
      <w:bookmarkStart w:id="4" w:name="SR;847"/>
      <w:bookmarkEnd w:id="4"/>
      <w:r w:rsidRPr="006D5947">
        <w:rPr>
          <w:szCs w:val="22"/>
        </w:rPr>
        <w:t xml:space="preserve">certifies that “the rule will not have a </w:t>
      </w:r>
      <w:bookmarkStart w:id="5" w:name="SR;857"/>
      <w:bookmarkEnd w:id="5"/>
      <w:r w:rsidRPr="006D5947">
        <w:rPr>
          <w:szCs w:val="22"/>
        </w:rPr>
        <w:t xml:space="preserve">significant </w:t>
      </w:r>
      <w:bookmarkStart w:id="6" w:name="SR;858"/>
      <w:bookmarkEnd w:id="6"/>
      <w:r w:rsidRPr="006D5947">
        <w:rPr>
          <w:szCs w:val="22"/>
        </w:rPr>
        <w:t xml:space="preserve">economic </w:t>
      </w:r>
      <w:bookmarkStart w:id="7" w:name="SR;859"/>
      <w:bookmarkEnd w:id="7"/>
      <w:r w:rsidRPr="006D5947">
        <w:rPr>
          <w:szCs w:val="22"/>
        </w:rPr>
        <w:t>impact on a substantial number of small entities.”</w:t>
      </w:r>
      <w:bookmarkStart w:id="8" w:name="FN[FN13]"/>
      <w:bookmarkEnd w:id="8"/>
      <w:r>
        <w:rPr>
          <w:vertAlign w:val="superscript"/>
        </w:rPr>
        <w:footnoteReference w:id="15"/>
      </w:r>
      <w:r w:rsidRPr="006D5947">
        <w:rPr>
          <w:szCs w:val="22"/>
        </w:rPr>
        <w:t xml:space="preserve">  We hereby </w:t>
      </w:r>
      <w:bookmarkStart w:id="9" w:name="SR;903"/>
      <w:bookmarkEnd w:id="9"/>
      <w:r w:rsidRPr="006D5947">
        <w:rPr>
          <w:szCs w:val="22"/>
        </w:rPr>
        <w:t xml:space="preserve">certify that this rule revision will not have a </w:t>
      </w:r>
      <w:bookmarkStart w:id="10" w:name="SR;911"/>
      <w:bookmarkEnd w:id="10"/>
      <w:r w:rsidRPr="006D5947">
        <w:rPr>
          <w:szCs w:val="22"/>
        </w:rPr>
        <w:t xml:space="preserve">significant </w:t>
      </w:r>
      <w:bookmarkStart w:id="11" w:name="SR;912"/>
      <w:bookmarkEnd w:id="11"/>
      <w:r w:rsidRPr="006D5947">
        <w:rPr>
          <w:szCs w:val="22"/>
        </w:rPr>
        <w:t xml:space="preserve">economic </w:t>
      </w:r>
      <w:bookmarkStart w:id="12" w:name="SR;913"/>
      <w:bookmarkEnd w:id="12"/>
      <w:r w:rsidRPr="006D5947">
        <w:rPr>
          <w:szCs w:val="22"/>
        </w:rPr>
        <w:t>impact on a subs</w:t>
      </w:r>
      <w:r w:rsidR="008E255D">
        <w:rPr>
          <w:szCs w:val="22"/>
        </w:rPr>
        <w:t>tantial number of small entities for the following two reasons: (1) T</w:t>
      </w:r>
      <w:r w:rsidRPr="006D5947">
        <w:rPr>
          <w:szCs w:val="22"/>
        </w:rPr>
        <w:t xml:space="preserve">he action maintains the status quo for </w:t>
      </w:r>
      <w:r w:rsidR="00BB2C1A">
        <w:rPr>
          <w:szCs w:val="22"/>
        </w:rPr>
        <w:t xml:space="preserve">conventional experimental licensees, and </w:t>
      </w:r>
      <w:r w:rsidR="008E255D">
        <w:rPr>
          <w:szCs w:val="22"/>
        </w:rPr>
        <w:t>(2)</w:t>
      </w:r>
      <w:r w:rsidR="00F611A6">
        <w:t xml:space="preserve"> </w:t>
      </w:r>
      <w:r w:rsidR="00917281">
        <w:t>W</w:t>
      </w:r>
      <w:r w:rsidR="008E255D">
        <w:t xml:space="preserve">e find that </w:t>
      </w:r>
      <w:r w:rsidR="00EA6E16">
        <w:t xml:space="preserve">prohibiting </w:t>
      </w:r>
      <w:r w:rsidR="00DD7F30">
        <w:t xml:space="preserve">the assignment or </w:t>
      </w:r>
      <w:r w:rsidR="00EA6E16">
        <w:t>transfer</w:t>
      </w:r>
      <w:r w:rsidR="00DD7F30">
        <w:t xml:space="preserve"> of </w:t>
      </w:r>
      <w:r w:rsidR="00EA6E16" w:rsidRPr="00303AA3">
        <w:rPr>
          <w:bCs/>
          <w:szCs w:val="22"/>
        </w:rPr>
        <w:t xml:space="preserve">program, medical testing, and compliance testing </w:t>
      </w:r>
      <w:r w:rsidR="00EA6E16">
        <w:rPr>
          <w:bCs/>
          <w:szCs w:val="22"/>
        </w:rPr>
        <w:t>licenses</w:t>
      </w:r>
      <w:r w:rsidR="008E255D">
        <w:t xml:space="preserve"> w</w:t>
      </w:r>
      <w:r w:rsidR="00733CCE">
        <w:t>ill</w:t>
      </w:r>
      <w:r w:rsidR="008E255D">
        <w:t xml:space="preserve"> </w:t>
      </w:r>
      <w:r w:rsidR="00DD7F30">
        <w:t xml:space="preserve">have, at most, a </w:t>
      </w:r>
      <w:r w:rsidR="008E255D">
        <w:rPr>
          <w:i/>
        </w:rPr>
        <w:t>de minimis</w:t>
      </w:r>
      <w:r w:rsidR="008E255D">
        <w:t xml:space="preserve"> </w:t>
      </w:r>
      <w:r w:rsidR="00DD7F30">
        <w:t xml:space="preserve">effect </w:t>
      </w:r>
      <w:r w:rsidR="008E255D">
        <w:t>on small entities</w:t>
      </w:r>
      <w:r w:rsidR="00454014">
        <w:t>, in light of the comparable alternatives available, as described above in paragraph 7</w:t>
      </w:r>
      <w:r w:rsidRPr="006D5947">
        <w:rPr>
          <w:szCs w:val="22"/>
        </w:rPr>
        <w:t xml:space="preserve">.  </w:t>
      </w:r>
      <w:r w:rsidR="00DD7F30">
        <w:rPr>
          <w:szCs w:val="22"/>
        </w:rPr>
        <w:t xml:space="preserve">Indeed, </w:t>
      </w:r>
      <w:r w:rsidR="00DD7F30">
        <w:t xml:space="preserve">no party </w:t>
      </w:r>
      <w:r w:rsidR="004D3746">
        <w:t xml:space="preserve">provided any comments indicating either that a bar on such transactions would have any adverse effects or that permitting such transfers would provide any benefits.  </w:t>
      </w:r>
      <w:r w:rsidRPr="006D5947">
        <w:rPr>
          <w:szCs w:val="22"/>
        </w:rPr>
        <w:t xml:space="preserve">The Commission will send a copy of this </w:t>
      </w:r>
      <w:r w:rsidRPr="006D5947">
        <w:rPr>
          <w:iCs/>
          <w:szCs w:val="22"/>
        </w:rPr>
        <w:t>Order,</w:t>
      </w:r>
      <w:r w:rsidRPr="006D5947">
        <w:rPr>
          <w:szCs w:val="22"/>
        </w:rPr>
        <w:t xml:space="preserve"> including this certification, to the Chief Counsel for Advocacy of the </w:t>
      </w:r>
      <w:bookmarkStart w:id="13" w:name="sp_4493_21528"/>
      <w:bookmarkStart w:id="14" w:name="SDU_21528"/>
      <w:bookmarkStart w:id="15" w:name="citeas((Cite_as:_13_FCC_Rcd._21525,_*215"/>
      <w:bookmarkEnd w:id="13"/>
      <w:bookmarkEnd w:id="14"/>
      <w:bookmarkEnd w:id="15"/>
      <w:r w:rsidRPr="006D5947">
        <w:rPr>
          <w:szCs w:val="22"/>
        </w:rPr>
        <w:t>Small Business Administration.</w:t>
      </w:r>
      <w:bookmarkStart w:id="16" w:name="FN[FN14]"/>
      <w:bookmarkEnd w:id="16"/>
      <w:r>
        <w:rPr>
          <w:vertAlign w:val="superscript"/>
        </w:rPr>
        <w:footnoteReference w:id="16"/>
      </w:r>
      <w:r w:rsidRPr="006D5947">
        <w:rPr>
          <w:szCs w:val="22"/>
        </w:rPr>
        <w:t xml:space="preserve">  In addition, the </w:t>
      </w:r>
      <w:r w:rsidRPr="0025312B">
        <w:rPr>
          <w:iCs/>
          <w:szCs w:val="22"/>
        </w:rPr>
        <w:t>Order</w:t>
      </w:r>
      <w:r w:rsidRPr="006D5947">
        <w:rPr>
          <w:szCs w:val="22"/>
        </w:rPr>
        <w:t xml:space="preserve"> (or a summary thereof) and certification will be published in the Federal Register.</w:t>
      </w:r>
      <w:bookmarkStart w:id="17" w:name="FN[FN15]"/>
      <w:bookmarkEnd w:id="17"/>
      <w:r>
        <w:rPr>
          <w:vertAlign w:val="superscript"/>
        </w:rPr>
        <w:footnoteReference w:id="17"/>
      </w:r>
    </w:p>
    <w:p w:rsidR="00767C7F" w:rsidRDefault="006D5947" w:rsidP="00767C7F">
      <w:pPr>
        <w:numPr>
          <w:ilvl w:val="0"/>
          <w:numId w:val="24"/>
        </w:numPr>
        <w:tabs>
          <w:tab w:val="left" w:pos="6030"/>
        </w:tabs>
        <w:spacing w:after="120"/>
        <w:ind w:left="0"/>
        <w:rPr>
          <w:b/>
          <w:caps/>
          <w:szCs w:val="22"/>
        </w:rPr>
      </w:pPr>
      <w:r w:rsidRPr="00A43659">
        <w:rPr>
          <w:i/>
          <w:szCs w:val="22"/>
        </w:rPr>
        <w:t>Paperwork Reduction Act Analysis</w:t>
      </w:r>
      <w:r w:rsidRPr="00A43659">
        <w:rPr>
          <w:szCs w:val="22"/>
        </w:rPr>
        <w:t>.  This document modifie</w:t>
      </w:r>
      <w:r w:rsidR="00454014">
        <w:rPr>
          <w:szCs w:val="22"/>
        </w:rPr>
        <w:t>s</w:t>
      </w:r>
      <w:r w:rsidRPr="00A43659">
        <w:rPr>
          <w:szCs w:val="22"/>
        </w:rPr>
        <w:t xml:space="preserve"> </w:t>
      </w:r>
      <w:r w:rsidR="00454014">
        <w:rPr>
          <w:szCs w:val="22"/>
        </w:rPr>
        <w:t xml:space="preserve">an </w:t>
      </w:r>
      <w:r w:rsidRPr="00A43659">
        <w:rPr>
          <w:szCs w:val="22"/>
        </w:rPr>
        <w:t xml:space="preserve">information collection requirement </w:t>
      </w:r>
      <w:r w:rsidR="00454014">
        <w:rPr>
          <w:szCs w:val="22"/>
        </w:rPr>
        <w:t xml:space="preserve">adopted in the </w:t>
      </w:r>
      <w:r w:rsidR="00454014">
        <w:rPr>
          <w:i/>
          <w:szCs w:val="22"/>
        </w:rPr>
        <w:t>R&amp;O</w:t>
      </w:r>
      <w:r w:rsidR="00454014">
        <w:rPr>
          <w:szCs w:val="22"/>
        </w:rPr>
        <w:t xml:space="preserve"> and is therefore </w:t>
      </w:r>
      <w:r w:rsidRPr="00A43659">
        <w:rPr>
          <w:szCs w:val="22"/>
        </w:rPr>
        <w:t>subject to the Paperwork Reduction Act of 1995</w:t>
      </w:r>
      <w:r w:rsidR="00733CCE">
        <w:rPr>
          <w:szCs w:val="22"/>
        </w:rPr>
        <w:t xml:space="preserve"> (PRA)</w:t>
      </w:r>
      <w:r w:rsidRPr="00A43659">
        <w:rPr>
          <w:szCs w:val="22"/>
        </w:rPr>
        <w:t xml:space="preserve">, Public Law 104-13.  </w:t>
      </w:r>
      <w:r w:rsidR="00A43659" w:rsidRPr="00A43659">
        <w:rPr>
          <w:szCs w:val="22"/>
        </w:rPr>
        <w:t xml:space="preserve">It will be submitted to </w:t>
      </w:r>
      <w:r w:rsidR="00F46FFF">
        <w:rPr>
          <w:szCs w:val="22"/>
        </w:rPr>
        <w:t>OMB</w:t>
      </w:r>
      <w:r w:rsidR="00A43659" w:rsidRPr="00A43659">
        <w:rPr>
          <w:szCs w:val="22"/>
        </w:rPr>
        <w:t xml:space="preserve"> for review under Section 3507(d) of the PRA.  OMB, the general public, and other Federal agencies are invited to comment on the modified information collection requirements contained in this proceeding.  In addition, we note that pursuant to the Small Business Paperwork Relief Act of 2002, Public Law 107-198, </w:t>
      </w:r>
      <w:r w:rsidR="00A43659" w:rsidRPr="00A43659">
        <w:rPr>
          <w:i/>
          <w:iCs/>
          <w:szCs w:val="22"/>
        </w:rPr>
        <w:t>see</w:t>
      </w:r>
      <w:r w:rsidR="00A43659" w:rsidRPr="00A43659">
        <w:rPr>
          <w:szCs w:val="22"/>
        </w:rPr>
        <w:t xml:space="preserve"> 44 U.S.C. 3506(c)(4), we previously sought specific comment on how we might further reduce the information collection burden for small business concerns with fewer than 25 employees.</w:t>
      </w:r>
    </w:p>
    <w:p w:rsidR="00767C7F" w:rsidRDefault="006D5947" w:rsidP="00767C7F">
      <w:pPr>
        <w:numPr>
          <w:ilvl w:val="0"/>
          <w:numId w:val="24"/>
        </w:numPr>
        <w:tabs>
          <w:tab w:val="left" w:pos="6030"/>
        </w:tabs>
        <w:spacing w:after="120"/>
        <w:ind w:left="0"/>
        <w:rPr>
          <w:b/>
          <w:caps/>
          <w:szCs w:val="22"/>
        </w:rPr>
      </w:pPr>
      <w:r w:rsidRPr="00767C7F">
        <w:rPr>
          <w:i/>
          <w:szCs w:val="22"/>
        </w:rPr>
        <w:t>Congressional Review Act</w:t>
      </w:r>
      <w:r w:rsidRPr="00767C7F">
        <w:rPr>
          <w:szCs w:val="22"/>
        </w:rPr>
        <w:t>.  The Commission will send a copy of this Order on Reconsideration in a report to Congress and the Government Accountability Office pursuant to the Congressional Review Act</w:t>
      </w:r>
      <w:r w:rsidR="00767C7F" w:rsidRPr="00767C7F">
        <w:rPr>
          <w:szCs w:val="22"/>
        </w:rPr>
        <w:t xml:space="preserve">, </w:t>
      </w:r>
      <w:r w:rsidR="00767C7F" w:rsidRPr="00767C7F">
        <w:rPr>
          <w:i/>
          <w:szCs w:val="22"/>
        </w:rPr>
        <w:t>see</w:t>
      </w:r>
      <w:r w:rsidR="00767C7F" w:rsidRPr="00767C7F">
        <w:rPr>
          <w:szCs w:val="22"/>
        </w:rPr>
        <w:t xml:space="preserve"> 5 U.S.C. § 801(a)(1)(A).</w:t>
      </w:r>
      <w:bookmarkStart w:id="18" w:name="_Ref336235399"/>
    </w:p>
    <w:p w:rsidR="00EB5B19" w:rsidRDefault="00767C7F" w:rsidP="00EB5B19">
      <w:pPr>
        <w:numPr>
          <w:ilvl w:val="0"/>
          <w:numId w:val="24"/>
        </w:numPr>
        <w:tabs>
          <w:tab w:val="left" w:pos="6030"/>
        </w:tabs>
        <w:spacing w:after="120"/>
        <w:ind w:left="0"/>
        <w:rPr>
          <w:b/>
          <w:caps/>
          <w:szCs w:val="22"/>
        </w:rPr>
      </w:pPr>
      <w:r w:rsidRPr="00767C7F">
        <w:rPr>
          <w:szCs w:val="22"/>
        </w:rPr>
        <w:t>Accordingly, IT IS ORDERED,</w:t>
      </w:r>
      <w:r w:rsidRPr="00767C7F">
        <w:rPr>
          <w:i/>
          <w:szCs w:val="22"/>
        </w:rPr>
        <w:t xml:space="preserve"> </w:t>
      </w:r>
      <w:r w:rsidRPr="00767C7F">
        <w:rPr>
          <w:szCs w:val="22"/>
        </w:rPr>
        <w:t>that, pursuant to Sections 4(i), 301, and 303 of the Communications Act of 1934, as amended, 47 U.S.C. §§ 154(i)</w:t>
      </w:r>
      <w:r>
        <w:rPr>
          <w:szCs w:val="22"/>
        </w:rPr>
        <w:t xml:space="preserve">, 301, and 303, </w:t>
      </w:r>
      <w:r>
        <w:t xml:space="preserve"> and sections 1.1 and 1.108 of the Commission’s rules, 47 C.F.R. §§ 1.1 and 1.108,</w:t>
      </w:r>
      <w:r w:rsidRPr="00767C7F">
        <w:rPr>
          <w:szCs w:val="22"/>
        </w:rPr>
        <w:t xml:space="preserve"> this Order on Reconsideration IS ADOPTED.</w:t>
      </w:r>
      <w:bookmarkEnd w:id="18"/>
    </w:p>
    <w:p w:rsidR="00EB5B19" w:rsidRDefault="00767C7F" w:rsidP="00EB5B19">
      <w:pPr>
        <w:numPr>
          <w:ilvl w:val="0"/>
          <w:numId w:val="24"/>
        </w:numPr>
        <w:tabs>
          <w:tab w:val="left" w:pos="6030"/>
        </w:tabs>
        <w:spacing w:after="120"/>
        <w:ind w:left="0"/>
        <w:rPr>
          <w:b/>
          <w:caps/>
          <w:szCs w:val="22"/>
        </w:rPr>
      </w:pPr>
      <w:r>
        <w:t xml:space="preserve">IT IS FURTHER ORDERED that </w:t>
      </w:r>
      <w:r w:rsidR="00EB5B19">
        <w:t xml:space="preserve">Section 5.79 </w:t>
      </w:r>
      <w:r>
        <w:t xml:space="preserve">of the Commission’s Rules, 47 C.F.R. </w:t>
      </w:r>
      <w:r w:rsidR="00EB5B19">
        <w:t>Section 5.79</w:t>
      </w:r>
      <w:r>
        <w:t xml:space="preserve">, </w:t>
      </w:r>
      <w:r w:rsidR="00EB5B19">
        <w:t>IS</w:t>
      </w:r>
      <w:r>
        <w:t xml:space="preserve"> AMENDED as set forth in the Appendix.  </w:t>
      </w:r>
      <w:r w:rsidR="00EB5B19">
        <w:t xml:space="preserve">That rule contains a modified information collection requirement that requires approval by the Office of Management and Budget under the Paperwork Reduction Act, and WILL BECOME EFFECTIVE after the Commission publishes a notice in the </w:t>
      </w:r>
      <w:r w:rsidR="00EB5B19" w:rsidRPr="00EB5B19">
        <w:rPr>
          <w:i/>
        </w:rPr>
        <w:t>Federal Register</w:t>
      </w:r>
      <w:r w:rsidR="00EB5B19">
        <w:t xml:space="preserve"> announcing such approval and the relevant effective date.</w:t>
      </w:r>
    </w:p>
    <w:p w:rsidR="00EB5B19" w:rsidRPr="00EB5B19" w:rsidRDefault="00EB5B19" w:rsidP="00E22788">
      <w:pPr>
        <w:tabs>
          <w:tab w:val="left" w:pos="6030"/>
        </w:tabs>
        <w:spacing w:after="120"/>
        <w:ind w:left="720"/>
        <w:rPr>
          <w:b/>
          <w:caps/>
          <w:szCs w:val="22"/>
        </w:rPr>
      </w:pPr>
    </w:p>
    <w:p w:rsidR="006D5947" w:rsidRDefault="006D5947" w:rsidP="006D5947">
      <w:pPr>
        <w:pStyle w:val="ParaNum"/>
        <w:numPr>
          <w:ilvl w:val="0"/>
          <w:numId w:val="0"/>
        </w:numPr>
      </w:pPr>
    </w:p>
    <w:p w:rsidR="006D5947" w:rsidRDefault="006D5947" w:rsidP="006D5947">
      <w:pPr>
        <w:pStyle w:val="ParaNum"/>
        <w:numPr>
          <w:ilvl w:val="0"/>
          <w:numId w:val="0"/>
        </w:numPr>
      </w:pPr>
      <w:r>
        <w:tab/>
      </w:r>
      <w:r>
        <w:tab/>
      </w:r>
      <w:r>
        <w:tab/>
      </w:r>
      <w:r>
        <w:tab/>
        <w:t>FEDERAL COMMUNICATIONS COMMISSION</w:t>
      </w:r>
    </w:p>
    <w:p w:rsidR="006D5947" w:rsidRDefault="006D5947" w:rsidP="006D5947">
      <w:pPr>
        <w:pStyle w:val="ParaNum"/>
        <w:numPr>
          <w:ilvl w:val="0"/>
          <w:numId w:val="0"/>
        </w:numPr>
        <w:spacing w:after="0"/>
      </w:pPr>
    </w:p>
    <w:p w:rsidR="006D5947" w:rsidRDefault="006D5947" w:rsidP="006D5947">
      <w:pPr>
        <w:pStyle w:val="ParaNum"/>
        <w:numPr>
          <w:ilvl w:val="0"/>
          <w:numId w:val="0"/>
        </w:numPr>
        <w:spacing w:after="0"/>
      </w:pPr>
    </w:p>
    <w:p w:rsidR="006D5947" w:rsidRDefault="006D5947" w:rsidP="006D5947">
      <w:pPr>
        <w:pStyle w:val="ParaNum"/>
        <w:numPr>
          <w:ilvl w:val="0"/>
          <w:numId w:val="0"/>
        </w:numPr>
        <w:spacing w:after="0"/>
      </w:pPr>
    </w:p>
    <w:p w:rsidR="006D5947" w:rsidRDefault="006D5947" w:rsidP="006D5947">
      <w:pPr>
        <w:pStyle w:val="ParaNum"/>
        <w:numPr>
          <w:ilvl w:val="0"/>
          <w:numId w:val="0"/>
        </w:numPr>
        <w:spacing w:after="0"/>
      </w:pPr>
    </w:p>
    <w:p w:rsidR="006D5947" w:rsidRDefault="006D5947" w:rsidP="006D5947">
      <w:pPr>
        <w:pStyle w:val="ParaNum"/>
        <w:numPr>
          <w:ilvl w:val="0"/>
          <w:numId w:val="0"/>
        </w:numPr>
        <w:spacing w:after="0"/>
      </w:pPr>
      <w:r>
        <w:tab/>
      </w:r>
      <w:r>
        <w:tab/>
      </w:r>
      <w:r>
        <w:tab/>
      </w:r>
      <w:r>
        <w:tab/>
        <w:t>Marlene H. Dortch</w:t>
      </w:r>
    </w:p>
    <w:p w:rsidR="006D5947" w:rsidRDefault="006D5947" w:rsidP="006D5947">
      <w:pPr>
        <w:pStyle w:val="ParaNum"/>
        <w:numPr>
          <w:ilvl w:val="0"/>
          <w:numId w:val="0"/>
        </w:numPr>
        <w:spacing w:after="0"/>
      </w:pPr>
      <w:r>
        <w:tab/>
      </w:r>
      <w:r>
        <w:tab/>
      </w:r>
      <w:r>
        <w:tab/>
      </w:r>
      <w:r>
        <w:tab/>
        <w:t>Secretary</w:t>
      </w:r>
    </w:p>
    <w:p w:rsidR="007A1517" w:rsidRDefault="007A1517" w:rsidP="006D5947">
      <w:pPr>
        <w:tabs>
          <w:tab w:val="left" w:pos="6030"/>
        </w:tabs>
        <w:spacing w:after="120"/>
        <w:ind w:left="720"/>
      </w:pPr>
    </w:p>
    <w:p w:rsidR="00B03392" w:rsidRDefault="00AB2F51" w:rsidP="00164B07">
      <w:pPr>
        <w:spacing w:after="120" w:line="360" w:lineRule="auto"/>
        <w:ind w:left="720"/>
        <w:jc w:val="center"/>
        <w:rPr>
          <w:b/>
          <w:szCs w:val="22"/>
        </w:rPr>
      </w:pPr>
      <w:r>
        <w:br w:type="page"/>
      </w:r>
      <w:r w:rsidR="00F02677">
        <w:rPr>
          <w:b/>
          <w:szCs w:val="22"/>
        </w:rPr>
        <w:t>A</w:t>
      </w:r>
      <w:r w:rsidR="007A1517">
        <w:rPr>
          <w:b/>
          <w:szCs w:val="22"/>
        </w:rPr>
        <w:t>PPENDIX</w:t>
      </w:r>
    </w:p>
    <w:p w:rsidR="00164B07" w:rsidRDefault="00164B07" w:rsidP="00164B07">
      <w:pPr>
        <w:spacing w:after="120" w:line="360" w:lineRule="auto"/>
        <w:jc w:val="center"/>
        <w:rPr>
          <w:b/>
          <w:szCs w:val="22"/>
        </w:rPr>
      </w:pPr>
      <w:r>
        <w:rPr>
          <w:b/>
          <w:szCs w:val="22"/>
        </w:rPr>
        <w:t>Rules</w:t>
      </w:r>
    </w:p>
    <w:p w:rsidR="00AB2F51" w:rsidRDefault="00AB2F51" w:rsidP="002C7D7D">
      <w:pPr>
        <w:pStyle w:val="NormalWeb"/>
        <w:tabs>
          <w:tab w:val="left" w:pos="360"/>
        </w:tabs>
        <w:spacing w:after="220"/>
        <w:ind w:left="360"/>
        <w:rPr>
          <w:b/>
          <w:sz w:val="22"/>
          <w:szCs w:val="22"/>
        </w:rPr>
      </w:pPr>
      <w:r>
        <w:rPr>
          <w:b/>
          <w:sz w:val="22"/>
          <w:szCs w:val="22"/>
        </w:rPr>
        <w:t>§ 5.79  Transfer and assignment of station authorization for conventional, program, medical testing, and compliance testing experimental radio licenses.</w:t>
      </w:r>
    </w:p>
    <w:p w:rsidR="00AB2F51" w:rsidRDefault="00CB0DD9" w:rsidP="002C7D7D">
      <w:pPr>
        <w:pStyle w:val="NormalWeb"/>
        <w:tabs>
          <w:tab w:val="left" w:pos="360"/>
        </w:tabs>
        <w:spacing w:after="220"/>
        <w:ind w:left="360"/>
        <w:rPr>
          <w:sz w:val="22"/>
          <w:szCs w:val="22"/>
        </w:rPr>
      </w:pPr>
      <w:r>
        <w:rPr>
          <w:sz w:val="22"/>
          <w:szCs w:val="22"/>
        </w:rPr>
        <w:t xml:space="preserve">(a) </w:t>
      </w:r>
      <w:r w:rsidR="00AB2F51">
        <w:rPr>
          <w:sz w:val="22"/>
          <w:szCs w:val="22"/>
        </w:rPr>
        <w:t>A station authorization</w:t>
      </w:r>
      <w:r>
        <w:rPr>
          <w:sz w:val="22"/>
          <w:szCs w:val="22"/>
        </w:rPr>
        <w:t xml:space="preserve"> for a conventional experimental radio license</w:t>
      </w:r>
      <w:r w:rsidR="00AB2F51">
        <w:rPr>
          <w:sz w:val="22"/>
          <w:szCs w:val="22"/>
        </w:rPr>
        <w:t>, the frequencies authorized to be used by the grantee of such authorization, and the rights therein granted by such authorization shall not be transferred, assigned, or in any manner either voluntarily or involuntarily disposed of, unless the Commission decides that such a transfer is in the public interest and gives its consent in writing.</w:t>
      </w:r>
    </w:p>
    <w:p w:rsidR="00CB0DD9" w:rsidRPr="007A1517" w:rsidRDefault="007A1517" w:rsidP="007A1517">
      <w:pPr>
        <w:pStyle w:val="NormalWeb"/>
        <w:tabs>
          <w:tab w:val="left" w:pos="360"/>
        </w:tabs>
        <w:spacing w:after="220"/>
        <w:ind w:left="360"/>
        <w:rPr>
          <w:sz w:val="22"/>
          <w:szCs w:val="22"/>
        </w:rPr>
      </w:pPr>
      <w:r>
        <w:rPr>
          <w:sz w:val="22"/>
          <w:szCs w:val="22"/>
        </w:rPr>
        <w:t>(</w:t>
      </w:r>
      <w:r w:rsidR="00CB0DD9" w:rsidRPr="007A1517">
        <w:rPr>
          <w:sz w:val="22"/>
          <w:szCs w:val="22"/>
        </w:rPr>
        <w:t>b) A station authorization for a program, medical testing</w:t>
      </w:r>
      <w:r w:rsidR="007C16FB">
        <w:rPr>
          <w:sz w:val="22"/>
          <w:szCs w:val="22"/>
        </w:rPr>
        <w:t>,</w:t>
      </w:r>
      <w:r w:rsidR="00CB0DD9" w:rsidRPr="007A1517">
        <w:rPr>
          <w:sz w:val="22"/>
          <w:szCs w:val="22"/>
        </w:rPr>
        <w:t xml:space="preserve"> or compliance testing experimental radio license, the frequencies authorized to be used by the grantee</w:t>
      </w:r>
      <w:r w:rsidR="007C16FB">
        <w:rPr>
          <w:sz w:val="22"/>
          <w:szCs w:val="22"/>
        </w:rPr>
        <w:t>s</w:t>
      </w:r>
      <w:r w:rsidR="00CB0DD9" w:rsidRPr="007A1517">
        <w:rPr>
          <w:sz w:val="22"/>
          <w:szCs w:val="22"/>
        </w:rPr>
        <w:t xml:space="preserve"> of such authorizations, and the rights therein granted by such authorizations shall not be transferred, assigned, or in any manner either voluntarily or involuntarily disposed of.</w:t>
      </w:r>
    </w:p>
    <w:sectPr w:rsidR="00CB0DD9" w:rsidRPr="007A1517" w:rsidSect="003B151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6D" w:rsidRDefault="00036A6D">
      <w:pPr>
        <w:spacing w:line="20" w:lineRule="exact"/>
      </w:pPr>
    </w:p>
  </w:endnote>
  <w:endnote w:type="continuationSeparator" w:id="0">
    <w:p w:rsidR="00036A6D" w:rsidRDefault="00036A6D">
      <w:r>
        <w:t xml:space="preserve"> </w:t>
      </w:r>
    </w:p>
  </w:endnote>
  <w:endnote w:type="continuationNotice" w:id="1">
    <w:p w:rsidR="00036A6D" w:rsidRDefault="00036A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4B" w:rsidRDefault="00CF2D95">
    <w:pPr>
      <w:pStyle w:val="Footer"/>
      <w:framePr w:wrap="around" w:vAnchor="text" w:hAnchor="margin" w:xAlign="center" w:y="1"/>
    </w:pPr>
    <w:r>
      <w:fldChar w:fldCharType="begin"/>
    </w:r>
    <w:r w:rsidR="00DD494B">
      <w:instrText xml:space="preserve">PAGE  </w:instrText>
    </w:r>
    <w:r>
      <w:fldChar w:fldCharType="separate"/>
    </w:r>
    <w:r w:rsidR="00DD494B">
      <w:rPr>
        <w:noProof/>
      </w:rPr>
      <w:t>103</w:t>
    </w:r>
    <w:r>
      <w:rPr>
        <w:noProof/>
      </w:rPr>
      <w:fldChar w:fldCharType="end"/>
    </w:r>
  </w:p>
  <w:p w:rsidR="00DD494B" w:rsidRDefault="00DD4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4B" w:rsidRDefault="00CF2D95">
    <w:pPr>
      <w:pStyle w:val="Footer"/>
      <w:framePr w:wrap="around" w:vAnchor="text" w:hAnchor="margin" w:xAlign="center" w:y="1"/>
    </w:pPr>
    <w:r>
      <w:fldChar w:fldCharType="begin"/>
    </w:r>
    <w:r w:rsidR="00DD494B">
      <w:instrText xml:space="preserve">PAGE  </w:instrText>
    </w:r>
    <w:r>
      <w:fldChar w:fldCharType="separate"/>
    </w:r>
    <w:r w:rsidR="006634E7">
      <w:rPr>
        <w:noProof/>
      </w:rPr>
      <w:t>2</w:t>
    </w:r>
    <w:r>
      <w:rPr>
        <w:noProof/>
      </w:rPr>
      <w:fldChar w:fldCharType="end"/>
    </w:r>
  </w:p>
  <w:p w:rsidR="00DD494B" w:rsidRDefault="00DD494B">
    <w:pPr>
      <w:spacing w:before="140" w:line="100" w:lineRule="exact"/>
      <w:rPr>
        <w:sz w:val="10"/>
      </w:rPr>
    </w:pPr>
  </w:p>
  <w:p w:rsidR="00DD494B" w:rsidRDefault="00DD494B">
    <w:pPr>
      <w:suppressAutoHyphens/>
      <w:spacing w:line="227" w:lineRule="auto"/>
    </w:pPr>
  </w:p>
  <w:p w:rsidR="00DD494B" w:rsidRDefault="00DD49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4B" w:rsidRDefault="00DD494B">
    <w:pPr>
      <w:pStyle w:val="Footer"/>
      <w:jc w:val="center"/>
    </w:pPr>
  </w:p>
  <w:p w:rsidR="00DD494B" w:rsidRDefault="00DD494B">
    <w:pPr>
      <w:pStyle w:val="Footer"/>
      <w:tabs>
        <w:tab w:val="clear"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6D" w:rsidRDefault="00036A6D">
      <w:r>
        <w:separator/>
      </w:r>
    </w:p>
  </w:footnote>
  <w:footnote w:type="continuationSeparator" w:id="0">
    <w:p w:rsidR="00036A6D" w:rsidRDefault="00036A6D">
      <w:pPr>
        <w:rPr>
          <w:sz w:val="20"/>
        </w:rPr>
      </w:pPr>
      <w:r>
        <w:rPr>
          <w:sz w:val="20"/>
        </w:rPr>
        <w:t xml:space="preserve">(Continued from previous page)  </w:t>
      </w:r>
      <w:r>
        <w:rPr>
          <w:sz w:val="20"/>
        </w:rPr>
        <w:separator/>
      </w:r>
    </w:p>
  </w:footnote>
  <w:footnote w:type="continuationNotice" w:id="1">
    <w:p w:rsidR="00036A6D" w:rsidRDefault="00036A6D">
      <w:pPr>
        <w:rPr>
          <w:sz w:val="20"/>
        </w:rPr>
      </w:pPr>
      <w:r>
        <w:rPr>
          <w:sz w:val="20"/>
        </w:rPr>
        <w:t>(continued….)</w:t>
      </w:r>
    </w:p>
  </w:footnote>
  <w:footnote w:id="2">
    <w:p w:rsidR="009D0F46" w:rsidRDefault="009D0F46" w:rsidP="009D0F46">
      <w:pPr>
        <w:ind w:right="-18"/>
        <w:rPr>
          <w:sz w:val="20"/>
        </w:rPr>
      </w:pPr>
      <w:r w:rsidRPr="005F3D1B">
        <w:rPr>
          <w:rStyle w:val="FootnoteReference"/>
          <w:sz w:val="20"/>
        </w:rPr>
        <w:footnoteRef/>
      </w:r>
      <w:r w:rsidRPr="005F3D1B">
        <w:rPr>
          <w:sz w:val="20"/>
        </w:rPr>
        <w:t xml:space="preserve"> </w:t>
      </w:r>
      <w:r w:rsidRPr="005F3D1B">
        <w:rPr>
          <w:i/>
          <w:sz w:val="20"/>
        </w:rPr>
        <w:t>See</w:t>
      </w:r>
      <w:r w:rsidRPr="005F3D1B">
        <w:rPr>
          <w:sz w:val="20"/>
        </w:rPr>
        <w:t xml:space="preserve"> </w:t>
      </w:r>
      <w:r w:rsidRPr="002244D8">
        <w:rPr>
          <w:sz w:val="20"/>
        </w:rPr>
        <w:t>Promoting Expanded Opportunities for Radio Experimentation and Market Trials under Part 5 of the Commission’s Rules and Streamlining Other Related Rules, ET Docket No. 10-236; 2006 Biennial Review of Telecommunications Regulations – Part 2 Administered by the Office of Engineering and Technology (OET</w:t>
      </w:r>
      <w:r w:rsidRPr="005F3D1B">
        <w:rPr>
          <w:i/>
          <w:sz w:val="20"/>
        </w:rPr>
        <w:t>)</w:t>
      </w:r>
      <w:r w:rsidRPr="005F3D1B">
        <w:rPr>
          <w:sz w:val="20"/>
        </w:rPr>
        <w:t xml:space="preserve">, </w:t>
      </w:r>
      <w:r w:rsidR="0025312B">
        <w:rPr>
          <w:sz w:val="20"/>
        </w:rPr>
        <w:t xml:space="preserve">      </w:t>
      </w:r>
      <w:r>
        <w:rPr>
          <w:sz w:val="20"/>
        </w:rPr>
        <w:t>ET</w:t>
      </w:r>
      <w:r w:rsidRPr="005F3D1B">
        <w:rPr>
          <w:sz w:val="20"/>
        </w:rPr>
        <w:t xml:space="preserve"> Docket No. 0</w:t>
      </w:r>
      <w:r>
        <w:rPr>
          <w:sz w:val="20"/>
        </w:rPr>
        <w:t>6-155;</w:t>
      </w:r>
      <w:r w:rsidRPr="005F3D1B">
        <w:rPr>
          <w:sz w:val="20"/>
        </w:rPr>
        <w:t xml:space="preserve"> </w:t>
      </w:r>
      <w:r w:rsidRPr="002244D8">
        <w:rPr>
          <w:i/>
          <w:sz w:val="20"/>
        </w:rPr>
        <w:t>Report and Order</w:t>
      </w:r>
      <w:r>
        <w:rPr>
          <w:sz w:val="20"/>
        </w:rPr>
        <w:t>,</w:t>
      </w:r>
      <w:r w:rsidRPr="005F3D1B">
        <w:rPr>
          <w:sz w:val="20"/>
        </w:rPr>
        <w:t xml:space="preserve"> </w:t>
      </w:r>
      <w:r>
        <w:rPr>
          <w:sz w:val="20"/>
        </w:rPr>
        <w:t xml:space="preserve">28 </w:t>
      </w:r>
      <w:r w:rsidRPr="005F3D1B">
        <w:rPr>
          <w:sz w:val="20"/>
        </w:rPr>
        <w:t xml:space="preserve">FCC </w:t>
      </w:r>
      <w:r>
        <w:rPr>
          <w:sz w:val="20"/>
        </w:rPr>
        <w:t xml:space="preserve">Rcd 758 (2013); </w:t>
      </w:r>
      <w:r w:rsidRPr="002244D8">
        <w:rPr>
          <w:i/>
          <w:sz w:val="20"/>
        </w:rPr>
        <w:t>Erratum</w:t>
      </w:r>
      <w:r>
        <w:rPr>
          <w:sz w:val="20"/>
        </w:rPr>
        <w:t>, 28 FCC Rcd 3096 (2013)</w:t>
      </w:r>
      <w:r w:rsidRPr="005F3D1B">
        <w:rPr>
          <w:sz w:val="20"/>
        </w:rPr>
        <w:t>.</w:t>
      </w:r>
    </w:p>
    <w:p w:rsidR="009D0F46" w:rsidRPr="005F3D1B" w:rsidRDefault="009D0F46" w:rsidP="009D0F46">
      <w:pPr>
        <w:ind w:right="-18"/>
        <w:rPr>
          <w:sz w:val="20"/>
        </w:rPr>
      </w:pPr>
    </w:p>
  </w:footnote>
  <w:footnote w:id="3">
    <w:p w:rsidR="002244D8" w:rsidRDefault="002244D8" w:rsidP="002244D8">
      <w:pPr>
        <w:pStyle w:val="FootnoteText"/>
      </w:pPr>
      <w:r>
        <w:rPr>
          <w:rStyle w:val="FootnoteReference"/>
        </w:rPr>
        <w:footnoteRef/>
      </w:r>
      <w:r>
        <w:rPr>
          <w:i/>
        </w:rPr>
        <w:t xml:space="preserve"> See </w:t>
      </w:r>
      <w:r>
        <w:t xml:space="preserve">Promoting Expanded Opportunities for Radio Experimentation and Market Trials Under Part 5 of the Commission’s Rules and Streamlining Other Related Rules, ET Docket No. 10-236; 2006 Biennial Review of Telecommunications Regulations – Part 2, Administered by the Office of Engineering and Technology (OET), ET Docket 06-155; </w:t>
      </w:r>
      <w:r>
        <w:rPr>
          <w:i/>
        </w:rPr>
        <w:t xml:space="preserve">Notice of Proposed Rulemaking, </w:t>
      </w:r>
      <w:r>
        <w:t xml:space="preserve">25 FCC Rcd 16544 at 16548-49 (2010), para. 12; </w:t>
      </w:r>
      <w:r>
        <w:rPr>
          <w:i/>
        </w:rPr>
        <w:t>Erratum</w:t>
      </w:r>
      <w:r>
        <w:t xml:space="preserve">, </w:t>
      </w:r>
      <w:r w:rsidR="0025312B">
        <w:t xml:space="preserve">    </w:t>
      </w:r>
      <w:r>
        <w:t xml:space="preserve">26 FCC Rcd 3828 (2011).   </w:t>
      </w:r>
    </w:p>
  </w:footnote>
  <w:footnote w:id="4">
    <w:p w:rsidR="002244D8" w:rsidRDefault="002244D8" w:rsidP="002244D8">
      <w:pPr>
        <w:pStyle w:val="FootnoteText"/>
      </w:pPr>
      <w:r>
        <w:rPr>
          <w:rStyle w:val="FootnoteReference"/>
        </w:rPr>
        <w:footnoteRef/>
      </w:r>
      <w:r>
        <w:rPr>
          <w:i/>
        </w:rPr>
        <w:t xml:space="preserve"> See NPR</w:t>
      </w:r>
      <w:r w:rsidR="00AF31B3">
        <w:rPr>
          <w:i/>
        </w:rPr>
        <w:t>M</w:t>
      </w:r>
      <w:r>
        <w:rPr>
          <w:i/>
        </w:rPr>
        <w:t xml:space="preserve">, </w:t>
      </w:r>
      <w:r>
        <w:t xml:space="preserve">25 FCC Rcd </w:t>
      </w:r>
      <w:r w:rsidR="00AF31B3">
        <w:t>a</w:t>
      </w:r>
      <w:r>
        <w:t>t 165</w:t>
      </w:r>
      <w:r w:rsidR="00AF31B3">
        <w:t xml:space="preserve">97, </w:t>
      </w:r>
      <w:r w:rsidR="00F0074D">
        <w:t xml:space="preserve">§ </w:t>
      </w:r>
      <w:r w:rsidR="00AF31B3">
        <w:t>5.79</w:t>
      </w:r>
      <w:r>
        <w:t xml:space="preserve">.   </w:t>
      </w:r>
    </w:p>
  </w:footnote>
  <w:footnote w:id="5">
    <w:p w:rsidR="00A0311D" w:rsidRDefault="00A0311D" w:rsidP="00A0311D">
      <w:pPr>
        <w:pStyle w:val="FootnoteText"/>
      </w:pPr>
      <w:r>
        <w:rPr>
          <w:rStyle w:val="FootnoteReference"/>
        </w:rPr>
        <w:footnoteRef/>
      </w:r>
      <w:r>
        <w:rPr>
          <w:i/>
        </w:rPr>
        <w:t xml:space="preserve"> See R&amp;O, </w:t>
      </w:r>
      <w:r>
        <w:t xml:space="preserve">28 FCC Rcd at 759, para. 1.   </w:t>
      </w:r>
    </w:p>
  </w:footnote>
  <w:footnote w:id="6">
    <w:p w:rsidR="00A0311D" w:rsidRDefault="00A0311D" w:rsidP="00A0311D">
      <w:pPr>
        <w:pStyle w:val="FootnoteText"/>
      </w:pPr>
      <w:r>
        <w:rPr>
          <w:rStyle w:val="FootnoteReference"/>
        </w:rPr>
        <w:footnoteRef/>
      </w:r>
      <w:r w:rsidR="00733CCE">
        <w:rPr>
          <w:i/>
        </w:rPr>
        <w:t xml:space="preserve"> Id</w:t>
      </w:r>
      <w:r w:rsidR="00733CCE">
        <w:t>.</w:t>
      </w:r>
      <w:r>
        <w:t xml:space="preserve"> at 840, </w:t>
      </w:r>
      <w:r w:rsidR="00F0074D">
        <w:t>§</w:t>
      </w:r>
      <w:r>
        <w:t xml:space="preserve"> 5.79.   </w:t>
      </w:r>
    </w:p>
  </w:footnote>
  <w:footnote w:id="7">
    <w:p w:rsidR="005B51B3" w:rsidRDefault="005B51B3" w:rsidP="005B51B3">
      <w:pPr>
        <w:pStyle w:val="FootnoteText"/>
      </w:pPr>
      <w:r>
        <w:rPr>
          <w:rStyle w:val="FootnoteReference"/>
        </w:rPr>
        <w:footnoteRef/>
      </w:r>
      <w:r>
        <w:t xml:space="preserve"> </w:t>
      </w:r>
      <w:r w:rsidRPr="008828DA">
        <w:rPr>
          <w:i/>
        </w:rPr>
        <w:t>Id</w:t>
      </w:r>
      <w:r>
        <w:t xml:space="preserve">. at </w:t>
      </w:r>
      <w:r w:rsidR="00DF686E">
        <w:t>796</w:t>
      </w:r>
      <w:r>
        <w:t>, para. 103.</w:t>
      </w:r>
    </w:p>
  </w:footnote>
  <w:footnote w:id="8">
    <w:p w:rsidR="00DE2053" w:rsidRDefault="00DE2053" w:rsidP="00DE2053">
      <w:pPr>
        <w:pStyle w:val="FootnoteText"/>
      </w:pPr>
      <w:r>
        <w:rPr>
          <w:rStyle w:val="FootnoteReference"/>
        </w:rPr>
        <w:footnoteRef/>
      </w:r>
      <w:r>
        <w:rPr>
          <w:i/>
        </w:rPr>
        <w:t xml:space="preserve"> </w:t>
      </w:r>
      <w:r w:rsidR="00733CCE">
        <w:rPr>
          <w:i/>
        </w:rPr>
        <w:t>Id</w:t>
      </w:r>
      <w:r w:rsidR="00733CCE">
        <w:t>.</w:t>
      </w:r>
      <w:r>
        <w:t xml:space="preserve"> at 761, para. 8.   </w:t>
      </w:r>
    </w:p>
  </w:footnote>
  <w:footnote w:id="9">
    <w:p w:rsidR="004679C7" w:rsidRDefault="004679C7">
      <w:pPr>
        <w:pStyle w:val="FootnoteText"/>
      </w:pPr>
      <w:r>
        <w:rPr>
          <w:rStyle w:val="FootnoteReference"/>
        </w:rPr>
        <w:footnoteRef/>
      </w:r>
      <w:r>
        <w:t xml:space="preserve"> </w:t>
      </w:r>
      <w:r w:rsidR="00733CCE">
        <w:rPr>
          <w:i/>
        </w:rPr>
        <w:t>Id</w:t>
      </w:r>
      <w:r w:rsidR="00733CCE">
        <w:t xml:space="preserve">. </w:t>
      </w:r>
      <w:r w:rsidR="00490FF5">
        <w:t xml:space="preserve">at 832, </w:t>
      </w:r>
      <w:r w:rsidR="00F0074D">
        <w:t xml:space="preserve">§ </w:t>
      </w:r>
      <w:r w:rsidR="00490FF5">
        <w:t>5.</w:t>
      </w:r>
      <w:r w:rsidR="00FB2535">
        <w:rPr>
          <w:bCs/>
        </w:rPr>
        <w:t>51</w:t>
      </w:r>
      <w:r w:rsidR="00EC2E24">
        <w:rPr>
          <w:bCs/>
        </w:rPr>
        <w:t>.</w:t>
      </w:r>
      <w:r w:rsidR="00FB2535">
        <w:rPr>
          <w:bCs/>
        </w:rPr>
        <w:t xml:space="preserve"> </w:t>
      </w:r>
    </w:p>
  </w:footnote>
  <w:footnote w:id="10">
    <w:p w:rsidR="00243BA9" w:rsidRDefault="00243BA9" w:rsidP="00243BA9">
      <w:pPr>
        <w:pStyle w:val="FootnoteText"/>
      </w:pPr>
      <w:r>
        <w:rPr>
          <w:rStyle w:val="FootnoteReference"/>
        </w:rPr>
        <w:footnoteRef/>
      </w:r>
      <w:r>
        <w:t xml:space="preserve"> </w:t>
      </w:r>
      <w:r w:rsidR="00733CCE">
        <w:rPr>
          <w:i/>
        </w:rPr>
        <w:t>Id</w:t>
      </w:r>
      <w:r w:rsidR="00733CCE">
        <w:t>.</w:t>
      </w:r>
      <w:r w:rsidR="00F0074D">
        <w:t xml:space="preserve"> at 832, § 5.</w:t>
      </w:r>
      <w:r w:rsidR="00F0074D">
        <w:rPr>
          <w:bCs/>
        </w:rPr>
        <w:t>54(c)</w:t>
      </w:r>
      <w:r>
        <w:rPr>
          <w:bCs/>
        </w:rPr>
        <w:t xml:space="preserve">. </w:t>
      </w:r>
    </w:p>
  </w:footnote>
  <w:footnote w:id="11">
    <w:p w:rsidR="00243BA9" w:rsidRDefault="00243BA9" w:rsidP="00243BA9">
      <w:pPr>
        <w:pStyle w:val="FootnoteText"/>
      </w:pPr>
      <w:r>
        <w:rPr>
          <w:rStyle w:val="FootnoteReference"/>
        </w:rPr>
        <w:footnoteRef/>
      </w:r>
      <w:r>
        <w:t xml:space="preserve"> </w:t>
      </w:r>
      <w:r w:rsidR="00733CCE">
        <w:rPr>
          <w:i/>
        </w:rPr>
        <w:t>Id</w:t>
      </w:r>
      <w:r w:rsidR="00733CCE">
        <w:t>.</w:t>
      </w:r>
      <w:r w:rsidR="00F0074D">
        <w:t xml:space="preserve"> at 832, § 5.</w:t>
      </w:r>
      <w:r w:rsidR="00F0074D">
        <w:rPr>
          <w:bCs/>
        </w:rPr>
        <w:t>54(d)</w:t>
      </w:r>
      <w:r>
        <w:rPr>
          <w:bCs/>
        </w:rPr>
        <w:t xml:space="preserve">. </w:t>
      </w:r>
    </w:p>
  </w:footnote>
  <w:footnote w:id="12">
    <w:p w:rsidR="008262EF" w:rsidRDefault="008262EF" w:rsidP="008262EF">
      <w:pPr>
        <w:pStyle w:val="FootnoteText"/>
      </w:pPr>
      <w:r>
        <w:rPr>
          <w:rStyle w:val="FootnoteReference"/>
        </w:rPr>
        <w:footnoteRef/>
      </w:r>
      <w:r>
        <w:t xml:space="preserve"> </w:t>
      </w:r>
      <w:r>
        <w:rPr>
          <w:i/>
        </w:rPr>
        <w:t>Id</w:t>
      </w:r>
      <w:r>
        <w:t>. at 832-33, § 5.</w:t>
      </w:r>
      <w:r>
        <w:rPr>
          <w:bCs/>
        </w:rPr>
        <w:t>54(e).</w:t>
      </w:r>
    </w:p>
  </w:footnote>
  <w:footnote w:id="13">
    <w:p w:rsidR="00490FF5" w:rsidRDefault="00490FF5" w:rsidP="00490FF5">
      <w:pPr>
        <w:pStyle w:val="FootnoteText"/>
      </w:pPr>
      <w:r>
        <w:rPr>
          <w:rStyle w:val="FootnoteReference"/>
        </w:rPr>
        <w:footnoteRef/>
      </w:r>
      <w:r>
        <w:t xml:space="preserve"> </w:t>
      </w:r>
      <w:r w:rsidR="00733CCE">
        <w:rPr>
          <w:i/>
        </w:rPr>
        <w:t>Id</w:t>
      </w:r>
      <w:r w:rsidR="00733CCE">
        <w:t>.</w:t>
      </w:r>
      <w:r w:rsidR="00F0074D">
        <w:t xml:space="preserve"> at 850-53, §§ </w:t>
      </w:r>
      <w:r w:rsidR="00D8737C">
        <w:t xml:space="preserve">5.307, </w:t>
      </w:r>
      <w:r w:rsidR="00F0074D">
        <w:t xml:space="preserve">5.309, 5.311, and </w:t>
      </w:r>
      <w:r w:rsidR="00F0074D">
        <w:rPr>
          <w:bCs/>
        </w:rPr>
        <w:t>5.406.</w:t>
      </w:r>
    </w:p>
  </w:footnote>
  <w:footnote w:id="14">
    <w:p w:rsidR="006D5947" w:rsidRDefault="006D5947" w:rsidP="006D5947">
      <w:pPr>
        <w:pStyle w:val="FootnoteText"/>
      </w:pPr>
      <w:r>
        <w:rPr>
          <w:rStyle w:val="FootnoteReference"/>
          <w:sz w:val="20"/>
        </w:rPr>
        <w:footnoteRef/>
      </w:r>
      <w:r>
        <w:t xml:space="preserve"> </w:t>
      </w:r>
      <w:r>
        <w:rPr>
          <w:i/>
          <w:iCs/>
        </w:rPr>
        <w:t>See</w:t>
      </w:r>
      <w:r>
        <w:t xml:space="preserve"> 5 U.S.C. § 604.  The RFA, </w:t>
      </w:r>
      <w:r>
        <w:rPr>
          <w:i/>
          <w:iCs/>
        </w:rPr>
        <w:t>see</w:t>
      </w:r>
      <w:r>
        <w:t xml:space="preserve"> 5 U.S.C. § 601 </w:t>
      </w:r>
      <w:r>
        <w:rPr>
          <w:i/>
          <w:iCs/>
        </w:rPr>
        <w:t>et seq.,</w:t>
      </w:r>
      <w:r>
        <w:t xml:space="preserve"> has been amended by the Contract With America Advancement Act of 1996, Pub. L. No. 104-121, 110 Stat. 847 (1996) (CWAAA).  Title II of the CWAAA is the Small Business Regulatory Enforcement Fairness Act of 1996 (SBREFA).</w:t>
      </w:r>
    </w:p>
  </w:footnote>
  <w:footnote w:id="15">
    <w:p w:rsidR="006D5947" w:rsidRDefault="006D5947" w:rsidP="006D5947">
      <w:pPr>
        <w:pStyle w:val="FootnoteText"/>
      </w:pPr>
      <w:r>
        <w:rPr>
          <w:rStyle w:val="FootnoteReference"/>
          <w:sz w:val="20"/>
        </w:rPr>
        <w:footnoteRef/>
      </w:r>
      <w:r>
        <w:t xml:space="preserve"> </w:t>
      </w:r>
      <w:r w:rsidR="00733CCE">
        <w:rPr>
          <w:i/>
        </w:rPr>
        <w:t xml:space="preserve">See </w:t>
      </w:r>
      <w:r>
        <w:t>5 U.S.C. § 605(b).</w:t>
      </w:r>
    </w:p>
  </w:footnote>
  <w:footnote w:id="16">
    <w:p w:rsidR="006D5947" w:rsidRDefault="006D5947" w:rsidP="006D5947">
      <w:pPr>
        <w:pStyle w:val="FootnoteText"/>
      </w:pPr>
      <w:r>
        <w:rPr>
          <w:rStyle w:val="FootnoteReference"/>
          <w:sz w:val="20"/>
        </w:rPr>
        <w:footnoteRef/>
      </w:r>
      <w:r>
        <w:t xml:space="preserve"> </w:t>
      </w:r>
      <w:r>
        <w:rPr>
          <w:i/>
        </w:rPr>
        <w:t>Id.</w:t>
      </w:r>
    </w:p>
  </w:footnote>
  <w:footnote w:id="17">
    <w:p w:rsidR="006D5947" w:rsidRDefault="006D5947" w:rsidP="006D5947">
      <w:pPr>
        <w:pStyle w:val="FootnoteText"/>
      </w:pPr>
      <w:r>
        <w:rPr>
          <w:rStyle w:val="FootnoteReference"/>
          <w:sz w:val="20"/>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68" w:rsidRDefault="00440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4B" w:rsidRDefault="00DD494B" w:rsidP="000A536F">
    <w:pPr>
      <w:pStyle w:val="Header"/>
      <w:pBdr>
        <w:bottom w:val="single" w:sz="12" w:space="1" w:color="auto"/>
      </w:pBdr>
    </w:pPr>
    <w:r>
      <w:tab/>
      <w:t>Federal Communications Commission</w:t>
    </w:r>
    <w:r>
      <w:tab/>
    </w:r>
    <w:r w:rsidR="00531F83">
      <w:t xml:space="preserve">      </w:t>
    </w:r>
    <w:r w:rsidR="009F630A">
      <w:rPr>
        <w:spacing w:val="-2"/>
      </w:rPr>
      <w:t>FCC 13-76</w:t>
    </w:r>
  </w:p>
  <w:p w:rsidR="00DD494B" w:rsidRPr="000A536F" w:rsidRDefault="00DD494B" w:rsidP="000A5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4B" w:rsidRPr="00C11299" w:rsidRDefault="00DD494B">
    <w:pPr>
      <w:pStyle w:val="Header"/>
      <w:pBdr>
        <w:bottom w:val="single" w:sz="12" w:space="1" w:color="auto"/>
      </w:pBdr>
    </w:pPr>
    <w:r>
      <w:tab/>
      <w:t>Federal Communications Commission</w:t>
    </w:r>
    <w:r>
      <w:tab/>
    </w:r>
    <w:r w:rsidR="003B1510">
      <w:t>FCC 13-76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5E7"/>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1">
    <w:nsid w:val="082E7882"/>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2">
    <w:nsid w:val="08A847EE"/>
    <w:multiLevelType w:val="hybridMultilevel"/>
    <w:tmpl w:val="0B4A8826"/>
    <w:lvl w:ilvl="0" w:tplc="9D30A686">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3B1349"/>
    <w:multiLevelType w:val="hybridMultilevel"/>
    <w:tmpl w:val="3244C16A"/>
    <w:lvl w:ilvl="0" w:tplc="0409000F">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B6466D"/>
    <w:multiLevelType w:val="hybridMultilevel"/>
    <w:tmpl w:val="9F10CB68"/>
    <w:lvl w:ilvl="0" w:tplc="2C1EE952">
      <w:start w:val="1"/>
      <w:numFmt w:val="upperLetter"/>
      <w:lvlText w:val="(%1)"/>
      <w:lvlJc w:val="left"/>
      <w:pPr>
        <w:tabs>
          <w:tab w:val="num" w:pos="1770"/>
        </w:tabs>
        <w:ind w:left="1770" w:hanging="375"/>
      </w:pPr>
      <w:rPr>
        <w:rFonts w:cs="Times New Roman" w:hint="default"/>
      </w:rPr>
    </w:lvl>
    <w:lvl w:ilvl="1" w:tplc="04090019" w:tentative="1">
      <w:start w:val="1"/>
      <w:numFmt w:val="lowerLetter"/>
      <w:lvlText w:val="%2."/>
      <w:lvlJc w:val="left"/>
      <w:pPr>
        <w:tabs>
          <w:tab w:val="num" w:pos="2475"/>
        </w:tabs>
        <w:ind w:left="2475" w:hanging="360"/>
      </w:pPr>
      <w:rPr>
        <w:rFonts w:cs="Times New Roman"/>
      </w:rPr>
    </w:lvl>
    <w:lvl w:ilvl="2" w:tplc="0409001B" w:tentative="1">
      <w:start w:val="1"/>
      <w:numFmt w:val="lowerRoman"/>
      <w:lvlText w:val="%3."/>
      <w:lvlJc w:val="right"/>
      <w:pPr>
        <w:tabs>
          <w:tab w:val="num" w:pos="3195"/>
        </w:tabs>
        <w:ind w:left="3195" w:hanging="180"/>
      </w:pPr>
      <w:rPr>
        <w:rFonts w:cs="Times New Roman"/>
      </w:rPr>
    </w:lvl>
    <w:lvl w:ilvl="3" w:tplc="0409000F" w:tentative="1">
      <w:start w:val="1"/>
      <w:numFmt w:val="decimal"/>
      <w:lvlText w:val="%4."/>
      <w:lvlJc w:val="left"/>
      <w:pPr>
        <w:tabs>
          <w:tab w:val="num" w:pos="3915"/>
        </w:tabs>
        <w:ind w:left="3915" w:hanging="360"/>
      </w:pPr>
      <w:rPr>
        <w:rFonts w:cs="Times New Roman"/>
      </w:rPr>
    </w:lvl>
    <w:lvl w:ilvl="4" w:tplc="04090019" w:tentative="1">
      <w:start w:val="1"/>
      <w:numFmt w:val="lowerLetter"/>
      <w:lvlText w:val="%5."/>
      <w:lvlJc w:val="left"/>
      <w:pPr>
        <w:tabs>
          <w:tab w:val="num" w:pos="4635"/>
        </w:tabs>
        <w:ind w:left="4635" w:hanging="360"/>
      </w:pPr>
      <w:rPr>
        <w:rFonts w:cs="Times New Roman"/>
      </w:rPr>
    </w:lvl>
    <w:lvl w:ilvl="5" w:tplc="0409001B" w:tentative="1">
      <w:start w:val="1"/>
      <w:numFmt w:val="lowerRoman"/>
      <w:lvlText w:val="%6."/>
      <w:lvlJc w:val="right"/>
      <w:pPr>
        <w:tabs>
          <w:tab w:val="num" w:pos="5355"/>
        </w:tabs>
        <w:ind w:left="5355" w:hanging="180"/>
      </w:pPr>
      <w:rPr>
        <w:rFonts w:cs="Times New Roman"/>
      </w:rPr>
    </w:lvl>
    <w:lvl w:ilvl="6" w:tplc="0409000F" w:tentative="1">
      <w:start w:val="1"/>
      <w:numFmt w:val="decimal"/>
      <w:lvlText w:val="%7."/>
      <w:lvlJc w:val="left"/>
      <w:pPr>
        <w:tabs>
          <w:tab w:val="num" w:pos="6075"/>
        </w:tabs>
        <w:ind w:left="6075" w:hanging="360"/>
      </w:pPr>
      <w:rPr>
        <w:rFonts w:cs="Times New Roman"/>
      </w:rPr>
    </w:lvl>
    <w:lvl w:ilvl="7" w:tplc="04090019" w:tentative="1">
      <w:start w:val="1"/>
      <w:numFmt w:val="lowerLetter"/>
      <w:lvlText w:val="%8."/>
      <w:lvlJc w:val="left"/>
      <w:pPr>
        <w:tabs>
          <w:tab w:val="num" w:pos="6795"/>
        </w:tabs>
        <w:ind w:left="6795" w:hanging="360"/>
      </w:pPr>
      <w:rPr>
        <w:rFonts w:cs="Times New Roman"/>
      </w:rPr>
    </w:lvl>
    <w:lvl w:ilvl="8" w:tplc="0409001B" w:tentative="1">
      <w:start w:val="1"/>
      <w:numFmt w:val="lowerRoman"/>
      <w:lvlText w:val="%9."/>
      <w:lvlJc w:val="right"/>
      <w:pPr>
        <w:tabs>
          <w:tab w:val="num" w:pos="7515"/>
        </w:tabs>
        <w:ind w:left="7515" w:hanging="180"/>
      </w:pPr>
      <w:rPr>
        <w:rFonts w:cs="Times New Roman"/>
      </w:rPr>
    </w:lvl>
  </w:abstractNum>
  <w:abstractNum w:abstractNumId="5">
    <w:nsid w:val="12F31FCC"/>
    <w:multiLevelType w:val="hybridMultilevel"/>
    <w:tmpl w:val="215C4684"/>
    <w:lvl w:ilvl="0" w:tplc="91863A64">
      <w:start w:val="1"/>
      <w:numFmt w:val="decimal"/>
      <w:lvlText w:val="%1."/>
      <w:lvlJc w:val="left"/>
      <w:pPr>
        <w:tabs>
          <w:tab w:val="num" w:pos="1080"/>
        </w:tabs>
        <w:ind w:firstLine="720"/>
      </w:pPr>
      <w:rPr>
        <w:rFonts w:cs="Times New Roman" w:hint="default"/>
        <w:b w:val="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045200E"/>
    <w:multiLevelType w:val="hybridMultilevel"/>
    <w:tmpl w:val="E0828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8">
    <w:nsid w:val="25172D2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27E06CBB"/>
    <w:multiLevelType w:val="multilevel"/>
    <w:tmpl w:val="35B864AE"/>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720"/>
        </w:tabs>
        <w:ind w:left="72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0">
    <w:nsid w:val="2BD6751F"/>
    <w:multiLevelType w:val="hybridMultilevel"/>
    <w:tmpl w:val="4DDA0C92"/>
    <w:lvl w:ilvl="0" w:tplc="4CC0DBF8">
      <w:start w:val="7"/>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313E4318"/>
    <w:multiLevelType w:val="hybridMultilevel"/>
    <w:tmpl w:val="5E44CF5C"/>
    <w:lvl w:ilvl="0" w:tplc="9C8C35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CC7C33"/>
    <w:multiLevelType w:val="hybridMultilevel"/>
    <w:tmpl w:val="15FE1718"/>
    <w:lvl w:ilvl="0" w:tplc="66761A32">
      <w:start w:val="1"/>
      <w:numFmt w:val="decimal"/>
      <w:pStyle w:val="StyleParaNumAfter12pt"/>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EEA65BB"/>
    <w:multiLevelType w:val="hybridMultilevel"/>
    <w:tmpl w:val="E042F97E"/>
    <w:lvl w:ilvl="0" w:tplc="18C495D6">
      <w:start w:val="4"/>
      <w:numFmt w:val="low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47C1E7E"/>
    <w:multiLevelType w:val="hybridMultilevel"/>
    <w:tmpl w:val="0902DD4C"/>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A2A6801"/>
    <w:multiLevelType w:val="hybridMultilevel"/>
    <w:tmpl w:val="D8F49A82"/>
    <w:lvl w:ilvl="0" w:tplc="A8D68B5C">
      <w:start w:val="4"/>
      <w:numFmt w:val="decimal"/>
      <w:lvlText w:val="(%1)"/>
      <w:lvlJc w:val="left"/>
      <w:pPr>
        <w:tabs>
          <w:tab w:val="num" w:pos="1440"/>
        </w:tabs>
        <w:ind w:left="1440" w:hanging="660"/>
      </w:pPr>
      <w:rPr>
        <w:rFonts w:cs="Times New Roman" w:hint="default"/>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7">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8">
    <w:nsid w:val="5677606B"/>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19">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20">
    <w:nsid w:val="71E70001"/>
    <w:multiLevelType w:val="hybridMultilevel"/>
    <w:tmpl w:val="6694ACB0"/>
    <w:lvl w:ilvl="0" w:tplc="0409000F">
      <w:start w:val="1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474534D"/>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num w:numId="1">
    <w:abstractNumId w:val="7"/>
  </w:num>
  <w:num w:numId="2">
    <w:abstractNumId w:val="19"/>
  </w:num>
  <w:num w:numId="3">
    <w:abstractNumId w:val="9"/>
  </w:num>
  <w:num w:numId="4">
    <w:abstractNumId w:val="17"/>
  </w:num>
  <w:num w:numId="5">
    <w:abstractNumId w:val="1"/>
  </w:num>
  <w:num w:numId="6">
    <w:abstractNumId w:val="2"/>
  </w:num>
  <w:num w:numId="7">
    <w:abstractNumId w:val="12"/>
  </w:num>
  <w:num w:numId="8">
    <w:abstractNumId w:val="14"/>
  </w:num>
  <w:num w:numId="9">
    <w:abstractNumId w:val="6"/>
  </w:num>
  <w:num w:numId="10">
    <w:abstractNumId w:val="4"/>
  </w:num>
  <w:num w:numId="11">
    <w:abstractNumId w:val="2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0"/>
  </w:num>
  <w:num w:numId="17">
    <w:abstractNumId w:val="3"/>
  </w:num>
  <w:num w:numId="18">
    <w:abstractNumId w:val="15"/>
  </w:num>
  <w:num w:numId="19">
    <w:abstractNumId w:val="18"/>
  </w:num>
  <w:num w:numId="20">
    <w:abstractNumId w:val="11"/>
  </w:num>
  <w:num w:numId="21">
    <w:abstractNumId w:val="19"/>
    <w:lvlOverride w:ilvl="0">
      <w:startOverride w:val="1"/>
    </w:lvlOverride>
  </w:num>
  <w:num w:numId="22">
    <w:abstractNumId w:val="5"/>
  </w:num>
  <w:num w:numId="23">
    <w:abstractNumId w:val="13"/>
  </w:num>
  <w:num w:numId="2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01"/>
    <w:rsid w:val="000009B1"/>
    <w:rsid w:val="000067A2"/>
    <w:rsid w:val="000112C9"/>
    <w:rsid w:val="0001467C"/>
    <w:rsid w:val="00014DA5"/>
    <w:rsid w:val="000161D4"/>
    <w:rsid w:val="00017053"/>
    <w:rsid w:val="00017962"/>
    <w:rsid w:val="00020464"/>
    <w:rsid w:val="00022185"/>
    <w:rsid w:val="000235A2"/>
    <w:rsid w:val="00023EE1"/>
    <w:rsid w:val="00024A01"/>
    <w:rsid w:val="00026BFE"/>
    <w:rsid w:val="000271D8"/>
    <w:rsid w:val="0003238F"/>
    <w:rsid w:val="000325A1"/>
    <w:rsid w:val="00035CB6"/>
    <w:rsid w:val="00036A6D"/>
    <w:rsid w:val="00041456"/>
    <w:rsid w:val="00043B75"/>
    <w:rsid w:val="000461E9"/>
    <w:rsid w:val="00054889"/>
    <w:rsid w:val="00055B13"/>
    <w:rsid w:val="00056D59"/>
    <w:rsid w:val="000576FC"/>
    <w:rsid w:val="00057FDF"/>
    <w:rsid w:val="00060114"/>
    <w:rsid w:val="00063503"/>
    <w:rsid w:val="00064419"/>
    <w:rsid w:val="00065D7F"/>
    <w:rsid w:val="00071F5B"/>
    <w:rsid w:val="000738F0"/>
    <w:rsid w:val="00073D87"/>
    <w:rsid w:val="00074C40"/>
    <w:rsid w:val="00080C7C"/>
    <w:rsid w:val="00090E8F"/>
    <w:rsid w:val="000911E0"/>
    <w:rsid w:val="000912B4"/>
    <w:rsid w:val="00094356"/>
    <w:rsid w:val="00094821"/>
    <w:rsid w:val="000957B0"/>
    <w:rsid w:val="00097905"/>
    <w:rsid w:val="000A0223"/>
    <w:rsid w:val="000A10F2"/>
    <w:rsid w:val="000A4156"/>
    <w:rsid w:val="000A536F"/>
    <w:rsid w:val="000A610C"/>
    <w:rsid w:val="000A7736"/>
    <w:rsid w:val="000B033E"/>
    <w:rsid w:val="000B0A65"/>
    <w:rsid w:val="000B0D36"/>
    <w:rsid w:val="000B1BE3"/>
    <w:rsid w:val="000B2B68"/>
    <w:rsid w:val="000B2C03"/>
    <w:rsid w:val="000B4E4A"/>
    <w:rsid w:val="000B504E"/>
    <w:rsid w:val="000C072E"/>
    <w:rsid w:val="000C2218"/>
    <w:rsid w:val="000C4C0F"/>
    <w:rsid w:val="000C56B8"/>
    <w:rsid w:val="000D09FA"/>
    <w:rsid w:val="000D203F"/>
    <w:rsid w:val="000D232C"/>
    <w:rsid w:val="000D2F0B"/>
    <w:rsid w:val="000D3519"/>
    <w:rsid w:val="000D553B"/>
    <w:rsid w:val="000D5B0B"/>
    <w:rsid w:val="000D6958"/>
    <w:rsid w:val="000E06FF"/>
    <w:rsid w:val="000E1FA7"/>
    <w:rsid w:val="000E2507"/>
    <w:rsid w:val="000E5274"/>
    <w:rsid w:val="000E6530"/>
    <w:rsid w:val="000E744D"/>
    <w:rsid w:val="000F05D5"/>
    <w:rsid w:val="000F27E3"/>
    <w:rsid w:val="000F29C2"/>
    <w:rsid w:val="000F493F"/>
    <w:rsid w:val="000F5454"/>
    <w:rsid w:val="000F7426"/>
    <w:rsid w:val="000F78B5"/>
    <w:rsid w:val="00100010"/>
    <w:rsid w:val="00103E70"/>
    <w:rsid w:val="001046AA"/>
    <w:rsid w:val="0010516D"/>
    <w:rsid w:val="001075B2"/>
    <w:rsid w:val="001079E8"/>
    <w:rsid w:val="00114F91"/>
    <w:rsid w:val="00115635"/>
    <w:rsid w:val="00116E62"/>
    <w:rsid w:val="001205BA"/>
    <w:rsid w:val="001220F2"/>
    <w:rsid w:val="001237D7"/>
    <w:rsid w:val="00124720"/>
    <w:rsid w:val="001265F4"/>
    <w:rsid w:val="0012736D"/>
    <w:rsid w:val="001332E6"/>
    <w:rsid w:val="00133333"/>
    <w:rsid w:val="00134A01"/>
    <w:rsid w:val="00134B4D"/>
    <w:rsid w:val="00134E30"/>
    <w:rsid w:val="00134E42"/>
    <w:rsid w:val="00136C2E"/>
    <w:rsid w:val="00142A1F"/>
    <w:rsid w:val="00144C13"/>
    <w:rsid w:val="00145432"/>
    <w:rsid w:val="001506F9"/>
    <w:rsid w:val="00152514"/>
    <w:rsid w:val="001537C5"/>
    <w:rsid w:val="00153962"/>
    <w:rsid w:val="0015496A"/>
    <w:rsid w:val="0015677E"/>
    <w:rsid w:val="00157298"/>
    <w:rsid w:val="0016080F"/>
    <w:rsid w:val="00160E8A"/>
    <w:rsid w:val="00164B07"/>
    <w:rsid w:val="00165761"/>
    <w:rsid w:val="0016656B"/>
    <w:rsid w:val="00167EA3"/>
    <w:rsid w:val="00171497"/>
    <w:rsid w:val="00171515"/>
    <w:rsid w:val="00172356"/>
    <w:rsid w:val="00173CE4"/>
    <w:rsid w:val="00173FF4"/>
    <w:rsid w:val="00175203"/>
    <w:rsid w:val="00175848"/>
    <w:rsid w:val="00176098"/>
    <w:rsid w:val="0017663E"/>
    <w:rsid w:val="0018079B"/>
    <w:rsid w:val="00181E94"/>
    <w:rsid w:val="00183800"/>
    <w:rsid w:val="001910D2"/>
    <w:rsid w:val="001936D1"/>
    <w:rsid w:val="001A6E34"/>
    <w:rsid w:val="001A7810"/>
    <w:rsid w:val="001B0D9E"/>
    <w:rsid w:val="001B135E"/>
    <w:rsid w:val="001B54E5"/>
    <w:rsid w:val="001C039A"/>
    <w:rsid w:val="001C0A0B"/>
    <w:rsid w:val="001C16D1"/>
    <w:rsid w:val="001C1C3C"/>
    <w:rsid w:val="001C2E92"/>
    <w:rsid w:val="001C3B26"/>
    <w:rsid w:val="001C5ABA"/>
    <w:rsid w:val="001C6152"/>
    <w:rsid w:val="001C6720"/>
    <w:rsid w:val="001D062E"/>
    <w:rsid w:val="001D32A6"/>
    <w:rsid w:val="001D3C93"/>
    <w:rsid w:val="001E03A6"/>
    <w:rsid w:val="001E1647"/>
    <w:rsid w:val="001E56C8"/>
    <w:rsid w:val="001E7A89"/>
    <w:rsid w:val="001E7C17"/>
    <w:rsid w:val="001F0C78"/>
    <w:rsid w:val="001F1E0A"/>
    <w:rsid w:val="001F7F79"/>
    <w:rsid w:val="00201713"/>
    <w:rsid w:val="002046CF"/>
    <w:rsid w:val="00210DDA"/>
    <w:rsid w:val="00212270"/>
    <w:rsid w:val="00213E48"/>
    <w:rsid w:val="00213E49"/>
    <w:rsid w:val="00216C9F"/>
    <w:rsid w:val="00216DA1"/>
    <w:rsid w:val="00220CEC"/>
    <w:rsid w:val="00220F40"/>
    <w:rsid w:val="00222388"/>
    <w:rsid w:val="00222A3F"/>
    <w:rsid w:val="002244D8"/>
    <w:rsid w:val="0022574D"/>
    <w:rsid w:val="00226F67"/>
    <w:rsid w:val="00230C7C"/>
    <w:rsid w:val="00230FD3"/>
    <w:rsid w:val="00231C2A"/>
    <w:rsid w:val="00232EF1"/>
    <w:rsid w:val="00243BA9"/>
    <w:rsid w:val="0025312B"/>
    <w:rsid w:val="002547E3"/>
    <w:rsid w:val="00256CC9"/>
    <w:rsid w:val="00257B80"/>
    <w:rsid w:val="00260B24"/>
    <w:rsid w:val="0026383D"/>
    <w:rsid w:val="00263D37"/>
    <w:rsid w:val="00264234"/>
    <w:rsid w:val="0026696F"/>
    <w:rsid w:val="00274C02"/>
    <w:rsid w:val="0028697C"/>
    <w:rsid w:val="00286E76"/>
    <w:rsid w:val="00286FC5"/>
    <w:rsid w:val="00291A60"/>
    <w:rsid w:val="0029326C"/>
    <w:rsid w:val="0029522E"/>
    <w:rsid w:val="002A0CA3"/>
    <w:rsid w:val="002A2923"/>
    <w:rsid w:val="002A2CB8"/>
    <w:rsid w:val="002A4D39"/>
    <w:rsid w:val="002A5080"/>
    <w:rsid w:val="002A5182"/>
    <w:rsid w:val="002A7DA8"/>
    <w:rsid w:val="002B0F98"/>
    <w:rsid w:val="002B111E"/>
    <w:rsid w:val="002B12D3"/>
    <w:rsid w:val="002B2193"/>
    <w:rsid w:val="002B3275"/>
    <w:rsid w:val="002B3A4B"/>
    <w:rsid w:val="002B5DF5"/>
    <w:rsid w:val="002C1757"/>
    <w:rsid w:val="002C1DDF"/>
    <w:rsid w:val="002C201B"/>
    <w:rsid w:val="002C2030"/>
    <w:rsid w:val="002C235F"/>
    <w:rsid w:val="002C3F43"/>
    <w:rsid w:val="002C705D"/>
    <w:rsid w:val="002C7D7D"/>
    <w:rsid w:val="002D09BF"/>
    <w:rsid w:val="002D19AD"/>
    <w:rsid w:val="002D5643"/>
    <w:rsid w:val="002E0E72"/>
    <w:rsid w:val="002E2945"/>
    <w:rsid w:val="002E547D"/>
    <w:rsid w:val="002E68D2"/>
    <w:rsid w:val="002E795C"/>
    <w:rsid w:val="002F0855"/>
    <w:rsid w:val="002F2ABE"/>
    <w:rsid w:val="002F4B6D"/>
    <w:rsid w:val="002F73C1"/>
    <w:rsid w:val="002F7C02"/>
    <w:rsid w:val="002F7D98"/>
    <w:rsid w:val="00300598"/>
    <w:rsid w:val="0030248D"/>
    <w:rsid w:val="00302714"/>
    <w:rsid w:val="00303AA3"/>
    <w:rsid w:val="003053D8"/>
    <w:rsid w:val="00305C00"/>
    <w:rsid w:val="00306E88"/>
    <w:rsid w:val="003103C0"/>
    <w:rsid w:val="00313F5D"/>
    <w:rsid w:val="00315318"/>
    <w:rsid w:val="00322AAC"/>
    <w:rsid w:val="003230EB"/>
    <w:rsid w:val="003233CD"/>
    <w:rsid w:val="003306B9"/>
    <w:rsid w:val="00331416"/>
    <w:rsid w:val="0033461E"/>
    <w:rsid w:val="0033540C"/>
    <w:rsid w:val="003379FA"/>
    <w:rsid w:val="0034113C"/>
    <w:rsid w:val="003414DC"/>
    <w:rsid w:val="00341A6F"/>
    <w:rsid w:val="00345ADA"/>
    <w:rsid w:val="003478EA"/>
    <w:rsid w:val="00350DFF"/>
    <w:rsid w:val="00351B99"/>
    <w:rsid w:val="00352B66"/>
    <w:rsid w:val="003535DD"/>
    <w:rsid w:val="003572EE"/>
    <w:rsid w:val="00361488"/>
    <w:rsid w:val="00361F74"/>
    <w:rsid w:val="003627B8"/>
    <w:rsid w:val="003655C0"/>
    <w:rsid w:val="003664F7"/>
    <w:rsid w:val="003674C9"/>
    <w:rsid w:val="003703DC"/>
    <w:rsid w:val="00370F34"/>
    <w:rsid w:val="003715F0"/>
    <w:rsid w:val="00377395"/>
    <w:rsid w:val="003805CA"/>
    <w:rsid w:val="003829AE"/>
    <w:rsid w:val="00382FCF"/>
    <w:rsid w:val="0038395A"/>
    <w:rsid w:val="00383E27"/>
    <w:rsid w:val="0038625E"/>
    <w:rsid w:val="003916FE"/>
    <w:rsid w:val="00391E05"/>
    <w:rsid w:val="00392025"/>
    <w:rsid w:val="00394861"/>
    <w:rsid w:val="003A0E8C"/>
    <w:rsid w:val="003A2154"/>
    <w:rsid w:val="003A4952"/>
    <w:rsid w:val="003B1510"/>
    <w:rsid w:val="003B4D9D"/>
    <w:rsid w:val="003B5CDE"/>
    <w:rsid w:val="003B5F66"/>
    <w:rsid w:val="003B7FB0"/>
    <w:rsid w:val="003C01E1"/>
    <w:rsid w:val="003C35C8"/>
    <w:rsid w:val="003C52ED"/>
    <w:rsid w:val="003C53B1"/>
    <w:rsid w:val="003C5BA3"/>
    <w:rsid w:val="003C76B1"/>
    <w:rsid w:val="003D30ED"/>
    <w:rsid w:val="003D3EC2"/>
    <w:rsid w:val="003D4954"/>
    <w:rsid w:val="003D5E4C"/>
    <w:rsid w:val="003D5E54"/>
    <w:rsid w:val="003D6138"/>
    <w:rsid w:val="003D6AE7"/>
    <w:rsid w:val="003D6CC8"/>
    <w:rsid w:val="003D7F7B"/>
    <w:rsid w:val="003E3811"/>
    <w:rsid w:val="003E41FF"/>
    <w:rsid w:val="003E524C"/>
    <w:rsid w:val="003E66B7"/>
    <w:rsid w:val="003E7CBC"/>
    <w:rsid w:val="003F0D22"/>
    <w:rsid w:val="003F1AC9"/>
    <w:rsid w:val="003F6D2E"/>
    <w:rsid w:val="0040056E"/>
    <w:rsid w:val="00401889"/>
    <w:rsid w:val="00403BB9"/>
    <w:rsid w:val="004077F6"/>
    <w:rsid w:val="0041484F"/>
    <w:rsid w:val="00414D82"/>
    <w:rsid w:val="00414DDD"/>
    <w:rsid w:val="0042018A"/>
    <w:rsid w:val="004209C5"/>
    <w:rsid w:val="00420FFF"/>
    <w:rsid w:val="0042210F"/>
    <w:rsid w:val="00426A7D"/>
    <w:rsid w:val="004308A9"/>
    <w:rsid w:val="00430D4C"/>
    <w:rsid w:val="004318FC"/>
    <w:rsid w:val="00431EF7"/>
    <w:rsid w:val="0043281C"/>
    <w:rsid w:val="00433667"/>
    <w:rsid w:val="00433DEB"/>
    <w:rsid w:val="00435C05"/>
    <w:rsid w:val="0043618A"/>
    <w:rsid w:val="00437D88"/>
    <w:rsid w:val="00437E3B"/>
    <w:rsid w:val="00440268"/>
    <w:rsid w:val="00440DF0"/>
    <w:rsid w:val="00441DAA"/>
    <w:rsid w:val="00443893"/>
    <w:rsid w:val="00443E33"/>
    <w:rsid w:val="00447138"/>
    <w:rsid w:val="00451445"/>
    <w:rsid w:val="0045340E"/>
    <w:rsid w:val="00454014"/>
    <w:rsid w:val="00455E80"/>
    <w:rsid w:val="004600BC"/>
    <w:rsid w:val="0046432F"/>
    <w:rsid w:val="004659E6"/>
    <w:rsid w:val="0046607D"/>
    <w:rsid w:val="004679C7"/>
    <w:rsid w:val="00467B8F"/>
    <w:rsid w:val="00470697"/>
    <w:rsid w:val="00473F5C"/>
    <w:rsid w:val="00473FBB"/>
    <w:rsid w:val="00475CDB"/>
    <w:rsid w:val="00483EA5"/>
    <w:rsid w:val="004854FD"/>
    <w:rsid w:val="00487091"/>
    <w:rsid w:val="0048767C"/>
    <w:rsid w:val="00490FF5"/>
    <w:rsid w:val="00493E9A"/>
    <w:rsid w:val="00496478"/>
    <w:rsid w:val="004A2634"/>
    <w:rsid w:val="004A36FF"/>
    <w:rsid w:val="004A4467"/>
    <w:rsid w:val="004A57F2"/>
    <w:rsid w:val="004A7B26"/>
    <w:rsid w:val="004B0853"/>
    <w:rsid w:val="004B0B65"/>
    <w:rsid w:val="004B0FC6"/>
    <w:rsid w:val="004B1C44"/>
    <w:rsid w:val="004B51B9"/>
    <w:rsid w:val="004B55F6"/>
    <w:rsid w:val="004C293E"/>
    <w:rsid w:val="004C4DC8"/>
    <w:rsid w:val="004C4FB2"/>
    <w:rsid w:val="004D1196"/>
    <w:rsid w:val="004D14B0"/>
    <w:rsid w:val="004D1C05"/>
    <w:rsid w:val="004D3746"/>
    <w:rsid w:val="004D5EBB"/>
    <w:rsid w:val="004E0AF0"/>
    <w:rsid w:val="004E5F5F"/>
    <w:rsid w:val="004E759E"/>
    <w:rsid w:val="004F1192"/>
    <w:rsid w:val="004F2CED"/>
    <w:rsid w:val="004F4C1A"/>
    <w:rsid w:val="004F5E7B"/>
    <w:rsid w:val="00500372"/>
    <w:rsid w:val="005023E3"/>
    <w:rsid w:val="005055CB"/>
    <w:rsid w:val="00506C6E"/>
    <w:rsid w:val="0050795D"/>
    <w:rsid w:val="005114F5"/>
    <w:rsid w:val="00511A15"/>
    <w:rsid w:val="00514621"/>
    <w:rsid w:val="005164A0"/>
    <w:rsid w:val="0051689E"/>
    <w:rsid w:val="00520884"/>
    <w:rsid w:val="00520CB2"/>
    <w:rsid w:val="00521B4D"/>
    <w:rsid w:val="00521CB7"/>
    <w:rsid w:val="00523230"/>
    <w:rsid w:val="00523328"/>
    <w:rsid w:val="00523B6F"/>
    <w:rsid w:val="00523D04"/>
    <w:rsid w:val="005241D2"/>
    <w:rsid w:val="00524F69"/>
    <w:rsid w:val="00525B82"/>
    <w:rsid w:val="00531F83"/>
    <w:rsid w:val="00533EB9"/>
    <w:rsid w:val="00534C8A"/>
    <w:rsid w:val="00535A3E"/>
    <w:rsid w:val="00535A76"/>
    <w:rsid w:val="00545CD7"/>
    <w:rsid w:val="00547947"/>
    <w:rsid w:val="0055034D"/>
    <w:rsid w:val="0055168A"/>
    <w:rsid w:val="00551B94"/>
    <w:rsid w:val="005553BC"/>
    <w:rsid w:val="00556F2E"/>
    <w:rsid w:val="00560712"/>
    <w:rsid w:val="00561CAE"/>
    <w:rsid w:val="00564151"/>
    <w:rsid w:val="00566337"/>
    <w:rsid w:val="00566428"/>
    <w:rsid w:val="00566C13"/>
    <w:rsid w:val="005733BB"/>
    <w:rsid w:val="00573574"/>
    <w:rsid w:val="00574888"/>
    <w:rsid w:val="00574A1A"/>
    <w:rsid w:val="00580625"/>
    <w:rsid w:val="0058079D"/>
    <w:rsid w:val="005822A6"/>
    <w:rsid w:val="00582D45"/>
    <w:rsid w:val="005830FD"/>
    <w:rsid w:val="00586EC3"/>
    <w:rsid w:val="005927EC"/>
    <w:rsid w:val="00594A1C"/>
    <w:rsid w:val="00596D19"/>
    <w:rsid w:val="00597605"/>
    <w:rsid w:val="005A2202"/>
    <w:rsid w:val="005A3F34"/>
    <w:rsid w:val="005A496D"/>
    <w:rsid w:val="005A5EF0"/>
    <w:rsid w:val="005B3816"/>
    <w:rsid w:val="005B3F5E"/>
    <w:rsid w:val="005B51B3"/>
    <w:rsid w:val="005B5730"/>
    <w:rsid w:val="005B5884"/>
    <w:rsid w:val="005B6126"/>
    <w:rsid w:val="005C418F"/>
    <w:rsid w:val="005C4ADD"/>
    <w:rsid w:val="005C4FED"/>
    <w:rsid w:val="005D0EE0"/>
    <w:rsid w:val="005D1AEC"/>
    <w:rsid w:val="005D7992"/>
    <w:rsid w:val="005F2BC9"/>
    <w:rsid w:val="005F2E9E"/>
    <w:rsid w:val="005F3D1B"/>
    <w:rsid w:val="005F603B"/>
    <w:rsid w:val="006015CF"/>
    <w:rsid w:val="00602374"/>
    <w:rsid w:val="00602FCC"/>
    <w:rsid w:val="0060575D"/>
    <w:rsid w:val="006064AE"/>
    <w:rsid w:val="00610173"/>
    <w:rsid w:val="0061065B"/>
    <w:rsid w:val="0061109C"/>
    <w:rsid w:val="00611484"/>
    <w:rsid w:val="006121B2"/>
    <w:rsid w:val="00612FB5"/>
    <w:rsid w:val="00614C07"/>
    <w:rsid w:val="00615EEC"/>
    <w:rsid w:val="00617919"/>
    <w:rsid w:val="00621F64"/>
    <w:rsid w:val="0062412B"/>
    <w:rsid w:val="006250F7"/>
    <w:rsid w:val="0062657B"/>
    <w:rsid w:val="006326CD"/>
    <w:rsid w:val="0063288B"/>
    <w:rsid w:val="00632D8E"/>
    <w:rsid w:val="006335C7"/>
    <w:rsid w:val="00633C80"/>
    <w:rsid w:val="006356F1"/>
    <w:rsid w:val="00640546"/>
    <w:rsid w:val="006420A8"/>
    <w:rsid w:val="00646F44"/>
    <w:rsid w:val="006519F4"/>
    <w:rsid w:val="006529FC"/>
    <w:rsid w:val="00661F48"/>
    <w:rsid w:val="006634E7"/>
    <w:rsid w:val="00663679"/>
    <w:rsid w:val="00663736"/>
    <w:rsid w:val="00663B85"/>
    <w:rsid w:val="00665E8B"/>
    <w:rsid w:val="00666482"/>
    <w:rsid w:val="00671B35"/>
    <w:rsid w:val="00672C34"/>
    <w:rsid w:val="00674CD6"/>
    <w:rsid w:val="00677B3A"/>
    <w:rsid w:val="006802ED"/>
    <w:rsid w:val="0068116B"/>
    <w:rsid w:val="00681CFA"/>
    <w:rsid w:val="006858EF"/>
    <w:rsid w:val="006862C1"/>
    <w:rsid w:val="00694768"/>
    <w:rsid w:val="00696400"/>
    <w:rsid w:val="006967FF"/>
    <w:rsid w:val="006968D1"/>
    <w:rsid w:val="006975F6"/>
    <w:rsid w:val="006A09B2"/>
    <w:rsid w:val="006A14C5"/>
    <w:rsid w:val="006A5AE1"/>
    <w:rsid w:val="006A5AF0"/>
    <w:rsid w:val="006A7DCC"/>
    <w:rsid w:val="006B0C79"/>
    <w:rsid w:val="006B0E0D"/>
    <w:rsid w:val="006B1DEF"/>
    <w:rsid w:val="006B304D"/>
    <w:rsid w:val="006B3272"/>
    <w:rsid w:val="006B337C"/>
    <w:rsid w:val="006B5C1D"/>
    <w:rsid w:val="006B7EDC"/>
    <w:rsid w:val="006C0C50"/>
    <w:rsid w:val="006C266D"/>
    <w:rsid w:val="006C28EE"/>
    <w:rsid w:val="006D4FB2"/>
    <w:rsid w:val="006D5947"/>
    <w:rsid w:val="006D6427"/>
    <w:rsid w:val="006E3BBD"/>
    <w:rsid w:val="006E6780"/>
    <w:rsid w:val="006F291C"/>
    <w:rsid w:val="006F34C7"/>
    <w:rsid w:val="006F635A"/>
    <w:rsid w:val="006F7BF9"/>
    <w:rsid w:val="007004F4"/>
    <w:rsid w:val="00704174"/>
    <w:rsid w:val="007057A5"/>
    <w:rsid w:val="007058B2"/>
    <w:rsid w:val="00705F41"/>
    <w:rsid w:val="00711DF3"/>
    <w:rsid w:val="007138AA"/>
    <w:rsid w:val="007156D2"/>
    <w:rsid w:val="00717D89"/>
    <w:rsid w:val="00717F44"/>
    <w:rsid w:val="00721201"/>
    <w:rsid w:val="007217D4"/>
    <w:rsid w:val="00723F47"/>
    <w:rsid w:val="00724BE8"/>
    <w:rsid w:val="00724C5D"/>
    <w:rsid w:val="00724FE3"/>
    <w:rsid w:val="0072609E"/>
    <w:rsid w:val="00727555"/>
    <w:rsid w:val="0073011D"/>
    <w:rsid w:val="00730FA2"/>
    <w:rsid w:val="00731D5B"/>
    <w:rsid w:val="007323AB"/>
    <w:rsid w:val="00733CCE"/>
    <w:rsid w:val="007352C5"/>
    <w:rsid w:val="00736FF9"/>
    <w:rsid w:val="00740466"/>
    <w:rsid w:val="007426F0"/>
    <w:rsid w:val="00745816"/>
    <w:rsid w:val="00745BCA"/>
    <w:rsid w:val="007469A0"/>
    <w:rsid w:val="007474EE"/>
    <w:rsid w:val="00747815"/>
    <w:rsid w:val="00750318"/>
    <w:rsid w:val="0075123E"/>
    <w:rsid w:val="00751728"/>
    <w:rsid w:val="00753693"/>
    <w:rsid w:val="00754C42"/>
    <w:rsid w:val="0075661B"/>
    <w:rsid w:val="0075734D"/>
    <w:rsid w:val="00760A47"/>
    <w:rsid w:val="00760E97"/>
    <w:rsid w:val="00767C7F"/>
    <w:rsid w:val="00770A40"/>
    <w:rsid w:val="00772D8E"/>
    <w:rsid w:val="00773661"/>
    <w:rsid w:val="0077492D"/>
    <w:rsid w:val="00774E05"/>
    <w:rsid w:val="00775126"/>
    <w:rsid w:val="007769E9"/>
    <w:rsid w:val="00777365"/>
    <w:rsid w:val="00777DB0"/>
    <w:rsid w:val="00780565"/>
    <w:rsid w:val="007818B3"/>
    <w:rsid w:val="00782503"/>
    <w:rsid w:val="0078513D"/>
    <w:rsid w:val="00785329"/>
    <w:rsid w:val="00785C1C"/>
    <w:rsid w:val="0079392D"/>
    <w:rsid w:val="007941EF"/>
    <w:rsid w:val="0079494E"/>
    <w:rsid w:val="00796990"/>
    <w:rsid w:val="007977B3"/>
    <w:rsid w:val="007A1517"/>
    <w:rsid w:val="007A19F1"/>
    <w:rsid w:val="007A1CF0"/>
    <w:rsid w:val="007A2419"/>
    <w:rsid w:val="007A2919"/>
    <w:rsid w:val="007A5B46"/>
    <w:rsid w:val="007A63CF"/>
    <w:rsid w:val="007A6E79"/>
    <w:rsid w:val="007A6FEE"/>
    <w:rsid w:val="007B1B6D"/>
    <w:rsid w:val="007B542C"/>
    <w:rsid w:val="007C0316"/>
    <w:rsid w:val="007C16FB"/>
    <w:rsid w:val="007C2BBA"/>
    <w:rsid w:val="007C4642"/>
    <w:rsid w:val="007D1904"/>
    <w:rsid w:val="007D1BB0"/>
    <w:rsid w:val="007D1EBC"/>
    <w:rsid w:val="007D64D0"/>
    <w:rsid w:val="007E09C0"/>
    <w:rsid w:val="007E0D78"/>
    <w:rsid w:val="007E14F3"/>
    <w:rsid w:val="007E15D3"/>
    <w:rsid w:val="007E3729"/>
    <w:rsid w:val="007E4506"/>
    <w:rsid w:val="007E4C3D"/>
    <w:rsid w:val="007E6530"/>
    <w:rsid w:val="007F014E"/>
    <w:rsid w:val="007F1396"/>
    <w:rsid w:val="007F1DD2"/>
    <w:rsid w:val="007F3703"/>
    <w:rsid w:val="007F6896"/>
    <w:rsid w:val="007F6DD5"/>
    <w:rsid w:val="00800B7E"/>
    <w:rsid w:val="008015BA"/>
    <w:rsid w:val="00801EDF"/>
    <w:rsid w:val="008027FC"/>
    <w:rsid w:val="008029E0"/>
    <w:rsid w:val="0080349C"/>
    <w:rsid w:val="00805DC5"/>
    <w:rsid w:val="00810837"/>
    <w:rsid w:val="0081138D"/>
    <w:rsid w:val="00813958"/>
    <w:rsid w:val="00815B3F"/>
    <w:rsid w:val="008178A2"/>
    <w:rsid w:val="00822C1F"/>
    <w:rsid w:val="008262EF"/>
    <w:rsid w:val="00827F19"/>
    <w:rsid w:val="008312E2"/>
    <w:rsid w:val="0083136B"/>
    <w:rsid w:val="0083585D"/>
    <w:rsid w:val="0083604B"/>
    <w:rsid w:val="0083749A"/>
    <w:rsid w:val="00837B2F"/>
    <w:rsid w:val="00841114"/>
    <w:rsid w:val="008413B8"/>
    <w:rsid w:val="0084164C"/>
    <w:rsid w:val="00843F41"/>
    <w:rsid w:val="0084455E"/>
    <w:rsid w:val="0084501C"/>
    <w:rsid w:val="00847600"/>
    <w:rsid w:val="00847BE1"/>
    <w:rsid w:val="00853B8F"/>
    <w:rsid w:val="00853D98"/>
    <w:rsid w:val="00854620"/>
    <w:rsid w:val="0085549C"/>
    <w:rsid w:val="0085589B"/>
    <w:rsid w:val="00856803"/>
    <w:rsid w:val="00864139"/>
    <w:rsid w:val="008647B2"/>
    <w:rsid w:val="00871655"/>
    <w:rsid w:val="00873AEB"/>
    <w:rsid w:val="00875302"/>
    <w:rsid w:val="00882AEB"/>
    <w:rsid w:val="00882D6B"/>
    <w:rsid w:val="00883414"/>
    <w:rsid w:val="00892912"/>
    <w:rsid w:val="00894CD2"/>
    <w:rsid w:val="0089611C"/>
    <w:rsid w:val="008963B9"/>
    <w:rsid w:val="00896764"/>
    <w:rsid w:val="008969F0"/>
    <w:rsid w:val="008971DF"/>
    <w:rsid w:val="00897650"/>
    <w:rsid w:val="008A0E86"/>
    <w:rsid w:val="008A17DE"/>
    <w:rsid w:val="008A2C21"/>
    <w:rsid w:val="008A5E0F"/>
    <w:rsid w:val="008A726C"/>
    <w:rsid w:val="008B00E9"/>
    <w:rsid w:val="008B0CCC"/>
    <w:rsid w:val="008B0DE9"/>
    <w:rsid w:val="008B1697"/>
    <w:rsid w:val="008B3876"/>
    <w:rsid w:val="008B42AA"/>
    <w:rsid w:val="008B4419"/>
    <w:rsid w:val="008B5F52"/>
    <w:rsid w:val="008B6B9B"/>
    <w:rsid w:val="008C2F25"/>
    <w:rsid w:val="008C3E4E"/>
    <w:rsid w:val="008C402F"/>
    <w:rsid w:val="008C4AC5"/>
    <w:rsid w:val="008C5FF0"/>
    <w:rsid w:val="008C6198"/>
    <w:rsid w:val="008C7218"/>
    <w:rsid w:val="008C7882"/>
    <w:rsid w:val="008D0C9F"/>
    <w:rsid w:val="008D153A"/>
    <w:rsid w:val="008D1BF0"/>
    <w:rsid w:val="008D4CF9"/>
    <w:rsid w:val="008D618D"/>
    <w:rsid w:val="008D7DB2"/>
    <w:rsid w:val="008E007A"/>
    <w:rsid w:val="008E255D"/>
    <w:rsid w:val="008E6030"/>
    <w:rsid w:val="008E7E2C"/>
    <w:rsid w:val="008F10A3"/>
    <w:rsid w:val="008F295C"/>
    <w:rsid w:val="008F2B34"/>
    <w:rsid w:val="008F2E97"/>
    <w:rsid w:val="008F54CE"/>
    <w:rsid w:val="008F5CB6"/>
    <w:rsid w:val="00900E8C"/>
    <w:rsid w:val="00903269"/>
    <w:rsid w:val="009037A7"/>
    <w:rsid w:val="0090535C"/>
    <w:rsid w:val="00910248"/>
    <w:rsid w:val="0091553B"/>
    <w:rsid w:val="00917281"/>
    <w:rsid w:val="00917363"/>
    <w:rsid w:val="00920B6F"/>
    <w:rsid w:val="00923713"/>
    <w:rsid w:val="00923E40"/>
    <w:rsid w:val="00924166"/>
    <w:rsid w:val="0092508F"/>
    <w:rsid w:val="00925428"/>
    <w:rsid w:val="0092644D"/>
    <w:rsid w:val="00930048"/>
    <w:rsid w:val="0093096D"/>
    <w:rsid w:val="00930E72"/>
    <w:rsid w:val="009322B3"/>
    <w:rsid w:val="00932EA4"/>
    <w:rsid w:val="00933016"/>
    <w:rsid w:val="00934174"/>
    <w:rsid w:val="0093444F"/>
    <w:rsid w:val="00937A0A"/>
    <w:rsid w:val="00942DB4"/>
    <w:rsid w:val="00947597"/>
    <w:rsid w:val="00950A06"/>
    <w:rsid w:val="00950D0B"/>
    <w:rsid w:val="0095179B"/>
    <w:rsid w:val="0095235E"/>
    <w:rsid w:val="00952962"/>
    <w:rsid w:val="00955938"/>
    <w:rsid w:val="009570A7"/>
    <w:rsid w:val="00960AAF"/>
    <w:rsid w:val="009625BC"/>
    <w:rsid w:val="00966EC1"/>
    <w:rsid w:val="00967287"/>
    <w:rsid w:val="00974512"/>
    <w:rsid w:val="00982ED7"/>
    <w:rsid w:val="00985F45"/>
    <w:rsid w:val="00986075"/>
    <w:rsid w:val="009870D6"/>
    <w:rsid w:val="00987EF8"/>
    <w:rsid w:val="0099248C"/>
    <w:rsid w:val="009926AC"/>
    <w:rsid w:val="00992AEF"/>
    <w:rsid w:val="009965F8"/>
    <w:rsid w:val="009A1B48"/>
    <w:rsid w:val="009A20C0"/>
    <w:rsid w:val="009A2CB1"/>
    <w:rsid w:val="009A66F4"/>
    <w:rsid w:val="009B14C7"/>
    <w:rsid w:val="009B55F7"/>
    <w:rsid w:val="009B6187"/>
    <w:rsid w:val="009B63E8"/>
    <w:rsid w:val="009C033C"/>
    <w:rsid w:val="009C19C8"/>
    <w:rsid w:val="009C24D0"/>
    <w:rsid w:val="009C70BF"/>
    <w:rsid w:val="009C7A25"/>
    <w:rsid w:val="009D0F46"/>
    <w:rsid w:val="009D3717"/>
    <w:rsid w:val="009E1230"/>
    <w:rsid w:val="009E4862"/>
    <w:rsid w:val="009E76F3"/>
    <w:rsid w:val="009F1214"/>
    <w:rsid w:val="009F2462"/>
    <w:rsid w:val="009F2675"/>
    <w:rsid w:val="009F4349"/>
    <w:rsid w:val="009F630A"/>
    <w:rsid w:val="00A00E0C"/>
    <w:rsid w:val="00A0311D"/>
    <w:rsid w:val="00A06B73"/>
    <w:rsid w:val="00A07BFD"/>
    <w:rsid w:val="00A20A41"/>
    <w:rsid w:val="00A22F6E"/>
    <w:rsid w:val="00A23AA1"/>
    <w:rsid w:val="00A25A6E"/>
    <w:rsid w:val="00A30414"/>
    <w:rsid w:val="00A30600"/>
    <w:rsid w:val="00A3088B"/>
    <w:rsid w:val="00A310D8"/>
    <w:rsid w:val="00A32D52"/>
    <w:rsid w:val="00A37503"/>
    <w:rsid w:val="00A43659"/>
    <w:rsid w:val="00A43BC2"/>
    <w:rsid w:val="00A469F6"/>
    <w:rsid w:val="00A5299F"/>
    <w:rsid w:val="00A574C9"/>
    <w:rsid w:val="00A57519"/>
    <w:rsid w:val="00A576E4"/>
    <w:rsid w:val="00A60070"/>
    <w:rsid w:val="00A61149"/>
    <w:rsid w:val="00A63657"/>
    <w:rsid w:val="00A64F1E"/>
    <w:rsid w:val="00A6502E"/>
    <w:rsid w:val="00A73C81"/>
    <w:rsid w:val="00A85006"/>
    <w:rsid w:val="00A85A7C"/>
    <w:rsid w:val="00A86BAD"/>
    <w:rsid w:val="00A86E61"/>
    <w:rsid w:val="00A87EA1"/>
    <w:rsid w:val="00A9030A"/>
    <w:rsid w:val="00A94B0A"/>
    <w:rsid w:val="00A95F88"/>
    <w:rsid w:val="00A97475"/>
    <w:rsid w:val="00A97CB3"/>
    <w:rsid w:val="00AA4673"/>
    <w:rsid w:val="00AA5635"/>
    <w:rsid w:val="00AB09AF"/>
    <w:rsid w:val="00AB0B48"/>
    <w:rsid w:val="00AB127C"/>
    <w:rsid w:val="00AB2745"/>
    <w:rsid w:val="00AB2F51"/>
    <w:rsid w:val="00AB5173"/>
    <w:rsid w:val="00AB6484"/>
    <w:rsid w:val="00AC0819"/>
    <w:rsid w:val="00AC30E7"/>
    <w:rsid w:val="00AC51E6"/>
    <w:rsid w:val="00AC6A82"/>
    <w:rsid w:val="00AD0D8F"/>
    <w:rsid w:val="00AD7422"/>
    <w:rsid w:val="00AD7C39"/>
    <w:rsid w:val="00AD7D03"/>
    <w:rsid w:val="00AD7F56"/>
    <w:rsid w:val="00AE10E0"/>
    <w:rsid w:val="00AE2BA4"/>
    <w:rsid w:val="00AE334A"/>
    <w:rsid w:val="00AE65EE"/>
    <w:rsid w:val="00AF1B04"/>
    <w:rsid w:val="00AF2129"/>
    <w:rsid w:val="00AF218E"/>
    <w:rsid w:val="00AF2A0F"/>
    <w:rsid w:val="00AF31B3"/>
    <w:rsid w:val="00AF3247"/>
    <w:rsid w:val="00AF62C0"/>
    <w:rsid w:val="00B01C53"/>
    <w:rsid w:val="00B02B93"/>
    <w:rsid w:val="00B03392"/>
    <w:rsid w:val="00B04749"/>
    <w:rsid w:val="00B068F1"/>
    <w:rsid w:val="00B07847"/>
    <w:rsid w:val="00B10698"/>
    <w:rsid w:val="00B1140C"/>
    <w:rsid w:val="00B12AE6"/>
    <w:rsid w:val="00B1458F"/>
    <w:rsid w:val="00B15B17"/>
    <w:rsid w:val="00B160EA"/>
    <w:rsid w:val="00B16290"/>
    <w:rsid w:val="00B1645F"/>
    <w:rsid w:val="00B214A1"/>
    <w:rsid w:val="00B268BC"/>
    <w:rsid w:val="00B27807"/>
    <w:rsid w:val="00B3035E"/>
    <w:rsid w:val="00B379C5"/>
    <w:rsid w:val="00B4060C"/>
    <w:rsid w:val="00B40DF6"/>
    <w:rsid w:val="00B411BD"/>
    <w:rsid w:val="00B466BD"/>
    <w:rsid w:val="00B51032"/>
    <w:rsid w:val="00B51568"/>
    <w:rsid w:val="00B53222"/>
    <w:rsid w:val="00B6108C"/>
    <w:rsid w:val="00B622D6"/>
    <w:rsid w:val="00B671F2"/>
    <w:rsid w:val="00B673B0"/>
    <w:rsid w:val="00B706B7"/>
    <w:rsid w:val="00B71097"/>
    <w:rsid w:val="00B72215"/>
    <w:rsid w:val="00B72C64"/>
    <w:rsid w:val="00B771E7"/>
    <w:rsid w:val="00B82EF7"/>
    <w:rsid w:val="00B85759"/>
    <w:rsid w:val="00B86647"/>
    <w:rsid w:val="00B86F71"/>
    <w:rsid w:val="00B914A8"/>
    <w:rsid w:val="00B9381A"/>
    <w:rsid w:val="00B94727"/>
    <w:rsid w:val="00B95BB7"/>
    <w:rsid w:val="00BA436C"/>
    <w:rsid w:val="00BA4B47"/>
    <w:rsid w:val="00BA4C39"/>
    <w:rsid w:val="00BA7111"/>
    <w:rsid w:val="00BB02DA"/>
    <w:rsid w:val="00BB0BF3"/>
    <w:rsid w:val="00BB2C1A"/>
    <w:rsid w:val="00BB62C6"/>
    <w:rsid w:val="00BC21D9"/>
    <w:rsid w:val="00BD0619"/>
    <w:rsid w:val="00BD068C"/>
    <w:rsid w:val="00BD15C5"/>
    <w:rsid w:val="00BD2738"/>
    <w:rsid w:val="00BD4915"/>
    <w:rsid w:val="00BD5A9D"/>
    <w:rsid w:val="00BE037A"/>
    <w:rsid w:val="00BE2AFB"/>
    <w:rsid w:val="00BE3557"/>
    <w:rsid w:val="00BE56D5"/>
    <w:rsid w:val="00BE718E"/>
    <w:rsid w:val="00BF199F"/>
    <w:rsid w:val="00BF1CBA"/>
    <w:rsid w:val="00BF289A"/>
    <w:rsid w:val="00BF481B"/>
    <w:rsid w:val="00C00235"/>
    <w:rsid w:val="00C015B1"/>
    <w:rsid w:val="00C016EE"/>
    <w:rsid w:val="00C01932"/>
    <w:rsid w:val="00C033D6"/>
    <w:rsid w:val="00C03DCE"/>
    <w:rsid w:val="00C0506D"/>
    <w:rsid w:val="00C0585F"/>
    <w:rsid w:val="00C11299"/>
    <w:rsid w:val="00C13E74"/>
    <w:rsid w:val="00C14033"/>
    <w:rsid w:val="00C1582D"/>
    <w:rsid w:val="00C167CB"/>
    <w:rsid w:val="00C16C32"/>
    <w:rsid w:val="00C17A3F"/>
    <w:rsid w:val="00C204FA"/>
    <w:rsid w:val="00C20A32"/>
    <w:rsid w:val="00C21BE1"/>
    <w:rsid w:val="00C271EB"/>
    <w:rsid w:val="00C272B3"/>
    <w:rsid w:val="00C2736E"/>
    <w:rsid w:val="00C30A66"/>
    <w:rsid w:val="00C31564"/>
    <w:rsid w:val="00C341D2"/>
    <w:rsid w:val="00C35283"/>
    <w:rsid w:val="00C37D8D"/>
    <w:rsid w:val="00C41A94"/>
    <w:rsid w:val="00C4219B"/>
    <w:rsid w:val="00C437B4"/>
    <w:rsid w:val="00C44784"/>
    <w:rsid w:val="00C44D34"/>
    <w:rsid w:val="00C450D9"/>
    <w:rsid w:val="00C46109"/>
    <w:rsid w:val="00C4662F"/>
    <w:rsid w:val="00C46BF0"/>
    <w:rsid w:val="00C470AA"/>
    <w:rsid w:val="00C509CD"/>
    <w:rsid w:val="00C509D0"/>
    <w:rsid w:val="00C53124"/>
    <w:rsid w:val="00C54270"/>
    <w:rsid w:val="00C55CD0"/>
    <w:rsid w:val="00C57651"/>
    <w:rsid w:val="00C60301"/>
    <w:rsid w:val="00C61916"/>
    <w:rsid w:val="00C63539"/>
    <w:rsid w:val="00C65392"/>
    <w:rsid w:val="00C66E2A"/>
    <w:rsid w:val="00C66F79"/>
    <w:rsid w:val="00C73085"/>
    <w:rsid w:val="00C73CE9"/>
    <w:rsid w:val="00C76150"/>
    <w:rsid w:val="00C77C52"/>
    <w:rsid w:val="00C82C83"/>
    <w:rsid w:val="00C879EF"/>
    <w:rsid w:val="00C90F45"/>
    <w:rsid w:val="00C9196A"/>
    <w:rsid w:val="00C91CD9"/>
    <w:rsid w:val="00C92358"/>
    <w:rsid w:val="00C94950"/>
    <w:rsid w:val="00C94EB6"/>
    <w:rsid w:val="00C9648E"/>
    <w:rsid w:val="00C96790"/>
    <w:rsid w:val="00CA0457"/>
    <w:rsid w:val="00CA1431"/>
    <w:rsid w:val="00CA4697"/>
    <w:rsid w:val="00CA499C"/>
    <w:rsid w:val="00CA5091"/>
    <w:rsid w:val="00CA51F7"/>
    <w:rsid w:val="00CB0DD9"/>
    <w:rsid w:val="00CB1D19"/>
    <w:rsid w:val="00CB7406"/>
    <w:rsid w:val="00CB74E7"/>
    <w:rsid w:val="00CB7E62"/>
    <w:rsid w:val="00CC152B"/>
    <w:rsid w:val="00CC192D"/>
    <w:rsid w:val="00CC409E"/>
    <w:rsid w:val="00CC5B11"/>
    <w:rsid w:val="00CC72C9"/>
    <w:rsid w:val="00CC7F01"/>
    <w:rsid w:val="00CD21C3"/>
    <w:rsid w:val="00CD2A12"/>
    <w:rsid w:val="00CD390E"/>
    <w:rsid w:val="00CD39CC"/>
    <w:rsid w:val="00CD4DEA"/>
    <w:rsid w:val="00CD5D9A"/>
    <w:rsid w:val="00CD7169"/>
    <w:rsid w:val="00CD736F"/>
    <w:rsid w:val="00CE4213"/>
    <w:rsid w:val="00CE65FA"/>
    <w:rsid w:val="00CE6979"/>
    <w:rsid w:val="00CE7C87"/>
    <w:rsid w:val="00CF0447"/>
    <w:rsid w:val="00CF0B3C"/>
    <w:rsid w:val="00CF15E0"/>
    <w:rsid w:val="00CF2D95"/>
    <w:rsid w:val="00CF4FBD"/>
    <w:rsid w:val="00CF52F6"/>
    <w:rsid w:val="00CF53B4"/>
    <w:rsid w:val="00D00FA0"/>
    <w:rsid w:val="00D0313A"/>
    <w:rsid w:val="00D03EE5"/>
    <w:rsid w:val="00D05DD8"/>
    <w:rsid w:val="00D062B6"/>
    <w:rsid w:val="00D06C0E"/>
    <w:rsid w:val="00D076BD"/>
    <w:rsid w:val="00D07B2B"/>
    <w:rsid w:val="00D10905"/>
    <w:rsid w:val="00D10BA8"/>
    <w:rsid w:val="00D11793"/>
    <w:rsid w:val="00D12160"/>
    <w:rsid w:val="00D128FA"/>
    <w:rsid w:val="00D12F1C"/>
    <w:rsid w:val="00D15F44"/>
    <w:rsid w:val="00D17576"/>
    <w:rsid w:val="00D17B50"/>
    <w:rsid w:val="00D20109"/>
    <w:rsid w:val="00D21253"/>
    <w:rsid w:val="00D21F8F"/>
    <w:rsid w:val="00D240E8"/>
    <w:rsid w:val="00D24E6E"/>
    <w:rsid w:val="00D3031F"/>
    <w:rsid w:val="00D30FD5"/>
    <w:rsid w:val="00D31AE2"/>
    <w:rsid w:val="00D326F1"/>
    <w:rsid w:val="00D35D2F"/>
    <w:rsid w:val="00D36300"/>
    <w:rsid w:val="00D3712D"/>
    <w:rsid w:val="00D40A77"/>
    <w:rsid w:val="00D431EA"/>
    <w:rsid w:val="00D52046"/>
    <w:rsid w:val="00D525C9"/>
    <w:rsid w:val="00D6020D"/>
    <w:rsid w:val="00D62C77"/>
    <w:rsid w:val="00D63CF5"/>
    <w:rsid w:val="00D64E56"/>
    <w:rsid w:val="00D67E0E"/>
    <w:rsid w:val="00D81608"/>
    <w:rsid w:val="00D81E65"/>
    <w:rsid w:val="00D841B6"/>
    <w:rsid w:val="00D8737C"/>
    <w:rsid w:val="00D87EFB"/>
    <w:rsid w:val="00D915EB"/>
    <w:rsid w:val="00D952B3"/>
    <w:rsid w:val="00D9558F"/>
    <w:rsid w:val="00D9605A"/>
    <w:rsid w:val="00D974FD"/>
    <w:rsid w:val="00DA00A3"/>
    <w:rsid w:val="00DA42EB"/>
    <w:rsid w:val="00DA4B7D"/>
    <w:rsid w:val="00DA7E92"/>
    <w:rsid w:val="00DB2CF3"/>
    <w:rsid w:val="00DB456E"/>
    <w:rsid w:val="00DB4CA8"/>
    <w:rsid w:val="00DB584A"/>
    <w:rsid w:val="00DB6765"/>
    <w:rsid w:val="00DB6C11"/>
    <w:rsid w:val="00DB71FE"/>
    <w:rsid w:val="00DC0518"/>
    <w:rsid w:val="00DC3C29"/>
    <w:rsid w:val="00DC4FBA"/>
    <w:rsid w:val="00DC5199"/>
    <w:rsid w:val="00DC5685"/>
    <w:rsid w:val="00DC5D54"/>
    <w:rsid w:val="00DD0958"/>
    <w:rsid w:val="00DD2B0A"/>
    <w:rsid w:val="00DD44BC"/>
    <w:rsid w:val="00DD494B"/>
    <w:rsid w:val="00DD683F"/>
    <w:rsid w:val="00DD6FAB"/>
    <w:rsid w:val="00DD7F30"/>
    <w:rsid w:val="00DE10E5"/>
    <w:rsid w:val="00DE2053"/>
    <w:rsid w:val="00DE2243"/>
    <w:rsid w:val="00DE2952"/>
    <w:rsid w:val="00DE325B"/>
    <w:rsid w:val="00DE501D"/>
    <w:rsid w:val="00DF083A"/>
    <w:rsid w:val="00DF29A0"/>
    <w:rsid w:val="00DF2C17"/>
    <w:rsid w:val="00DF3152"/>
    <w:rsid w:val="00DF5255"/>
    <w:rsid w:val="00DF686E"/>
    <w:rsid w:val="00DF7E32"/>
    <w:rsid w:val="00E024E6"/>
    <w:rsid w:val="00E02722"/>
    <w:rsid w:val="00E029FF"/>
    <w:rsid w:val="00E03432"/>
    <w:rsid w:val="00E03DA6"/>
    <w:rsid w:val="00E03E0E"/>
    <w:rsid w:val="00E04A9D"/>
    <w:rsid w:val="00E0505F"/>
    <w:rsid w:val="00E071D1"/>
    <w:rsid w:val="00E10D30"/>
    <w:rsid w:val="00E17B3D"/>
    <w:rsid w:val="00E21C92"/>
    <w:rsid w:val="00E22788"/>
    <w:rsid w:val="00E31965"/>
    <w:rsid w:val="00E340D0"/>
    <w:rsid w:val="00E3530F"/>
    <w:rsid w:val="00E35E81"/>
    <w:rsid w:val="00E3634B"/>
    <w:rsid w:val="00E36BEE"/>
    <w:rsid w:val="00E37177"/>
    <w:rsid w:val="00E375E4"/>
    <w:rsid w:val="00E40727"/>
    <w:rsid w:val="00E40AB1"/>
    <w:rsid w:val="00E41103"/>
    <w:rsid w:val="00E428A1"/>
    <w:rsid w:val="00E4337C"/>
    <w:rsid w:val="00E4382D"/>
    <w:rsid w:val="00E43A76"/>
    <w:rsid w:val="00E43F80"/>
    <w:rsid w:val="00E452FA"/>
    <w:rsid w:val="00E46939"/>
    <w:rsid w:val="00E517CC"/>
    <w:rsid w:val="00E5196C"/>
    <w:rsid w:val="00E52A3A"/>
    <w:rsid w:val="00E52B01"/>
    <w:rsid w:val="00E560E7"/>
    <w:rsid w:val="00E609BA"/>
    <w:rsid w:val="00E60CEA"/>
    <w:rsid w:val="00E623D5"/>
    <w:rsid w:val="00E627B3"/>
    <w:rsid w:val="00E6639A"/>
    <w:rsid w:val="00E6678F"/>
    <w:rsid w:val="00E66E02"/>
    <w:rsid w:val="00E751EE"/>
    <w:rsid w:val="00E7536F"/>
    <w:rsid w:val="00E755EA"/>
    <w:rsid w:val="00E75EA1"/>
    <w:rsid w:val="00E7740C"/>
    <w:rsid w:val="00E77693"/>
    <w:rsid w:val="00E814A1"/>
    <w:rsid w:val="00E82F12"/>
    <w:rsid w:val="00E83A4D"/>
    <w:rsid w:val="00E84555"/>
    <w:rsid w:val="00E84DAD"/>
    <w:rsid w:val="00E86AEA"/>
    <w:rsid w:val="00E87B24"/>
    <w:rsid w:val="00E931C1"/>
    <w:rsid w:val="00E932B8"/>
    <w:rsid w:val="00E97203"/>
    <w:rsid w:val="00E97211"/>
    <w:rsid w:val="00EA2394"/>
    <w:rsid w:val="00EA2C80"/>
    <w:rsid w:val="00EA6E16"/>
    <w:rsid w:val="00EB1146"/>
    <w:rsid w:val="00EB29EC"/>
    <w:rsid w:val="00EB2BE0"/>
    <w:rsid w:val="00EB2EA4"/>
    <w:rsid w:val="00EB41DF"/>
    <w:rsid w:val="00EB5B19"/>
    <w:rsid w:val="00EB66DB"/>
    <w:rsid w:val="00EC0FCB"/>
    <w:rsid w:val="00EC1F4B"/>
    <w:rsid w:val="00EC2BA9"/>
    <w:rsid w:val="00EC2E24"/>
    <w:rsid w:val="00EC43BC"/>
    <w:rsid w:val="00EC54B9"/>
    <w:rsid w:val="00EC6741"/>
    <w:rsid w:val="00EC6EF8"/>
    <w:rsid w:val="00EC77E7"/>
    <w:rsid w:val="00ED061F"/>
    <w:rsid w:val="00ED1933"/>
    <w:rsid w:val="00ED2771"/>
    <w:rsid w:val="00ED2EC0"/>
    <w:rsid w:val="00EE3FB3"/>
    <w:rsid w:val="00EE4F20"/>
    <w:rsid w:val="00EE5D5E"/>
    <w:rsid w:val="00EF2E6E"/>
    <w:rsid w:val="00EF399A"/>
    <w:rsid w:val="00EF4892"/>
    <w:rsid w:val="00EF6AFD"/>
    <w:rsid w:val="00EF7892"/>
    <w:rsid w:val="00F00194"/>
    <w:rsid w:val="00F0074D"/>
    <w:rsid w:val="00F01FC7"/>
    <w:rsid w:val="00F02359"/>
    <w:rsid w:val="00F02677"/>
    <w:rsid w:val="00F04873"/>
    <w:rsid w:val="00F05AAA"/>
    <w:rsid w:val="00F10735"/>
    <w:rsid w:val="00F118EA"/>
    <w:rsid w:val="00F1451C"/>
    <w:rsid w:val="00F14CBB"/>
    <w:rsid w:val="00F16C99"/>
    <w:rsid w:val="00F21BC6"/>
    <w:rsid w:val="00F2586F"/>
    <w:rsid w:val="00F258A2"/>
    <w:rsid w:val="00F2740A"/>
    <w:rsid w:val="00F324FF"/>
    <w:rsid w:val="00F33DDB"/>
    <w:rsid w:val="00F3504C"/>
    <w:rsid w:val="00F403F0"/>
    <w:rsid w:val="00F40BEF"/>
    <w:rsid w:val="00F41173"/>
    <w:rsid w:val="00F432A5"/>
    <w:rsid w:val="00F4405E"/>
    <w:rsid w:val="00F44276"/>
    <w:rsid w:val="00F44B7F"/>
    <w:rsid w:val="00F44D28"/>
    <w:rsid w:val="00F44D56"/>
    <w:rsid w:val="00F46FFF"/>
    <w:rsid w:val="00F50165"/>
    <w:rsid w:val="00F53546"/>
    <w:rsid w:val="00F60715"/>
    <w:rsid w:val="00F611A6"/>
    <w:rsid w:val="00F7322F"/>
    <w:rsid w:val="00F74DF9"/>
    <w:rsid w:val="00F76A86"/>
    <w:rsid w:val="00F853BE"/>
    <w:rsid w:val="00F85809"/>
    <w:rsid w:val="00F9116E"/>
    <w:rsid w:val="00F91EE7"/>
    <w:rsid w:val="00F94637"/>
    <w:rsid w:val="00F94BAC"/>
    <w:rsid w:val="00F96512"/>
    <w:rsid w:val="00F96EC6"/>
    <w:rsid w:val="00F977CD"/>
    <w:rsid w:val="00FA0F68"/>
    <w:rsid w:val="00FA222F"/>
    <w:rsid w:val="00FA2584"/>
    <w:rsid w:val="00FA2CF1"/>
    <w:rsid w:val="00FB0B5C"/>
    <w:rsid w:val="00FB21D6"/>
    <w:rsid w:val="00FB2535"/>
    <w:rsid w:val="00FB3991"/>
    <w:rsid w:val="00FB44B0"/>
    <w:rsid w:val="00FB44D3"/>
    <w:rsid w:val="00FB598D"/>
    <w:rsid w:val="00FB5C5D"/>
    <w:rsid w:val="00FB77AB"/>
    <w:rsid w:val="00FB78CC"/>
    <w:rsid w:val="00FC0B6D"/>
    <w:rsid w:val="00FC5866"/>
    <w:rsid w:val="00FC6EC2"/>
    <w:rsid w:val="00FC6FD8"/>
    <w:rsid w:val="00FC7E89"/>
    <w:rsid w:val="00FD5B9E"/>
    <w:rsid w:val="00FD6A42"/>
    <w:rsid w:val="00FD7958"/>
    <w:rsid w:val="00FE04F1"/>
    <w:rsid w:val="00FE242E"/>
    <w:rsid w:val="00FE3136"/>
    <w:rsid w:val="00FE4E30"/>
    <w:rsid w:val="00FE7275"/>
    <w:rsid w:val="00FE76C4"/>
    <w:rsid w:val="00FE7C7A"/>
    <w:rsid w:val="00FF1A26"/>
    <w:rsid w:val="00FF23F4"/>
    <w:rsid w:val="00FF279D"/>
    <w:rsid w:val="00FF2D55"/>
    <w:rsid w:val="00FF41AA"/>
    <w:rsid w:val="00FF4976"/>
    <w:rsid w:val="00FF4A1B"/>
    <w:rsid w:val="00FF596A"/>
    <w:rsid w:val="00FF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5A3E"/>
    <w:rPr>
      <w:szCs w:val="20"/>
    </w:rPr>
  </w:style>
  <w:style w:type="paragraph" w:styleId="Heading1">
    <w:name w:val="heading 1"/>
    <w:basedOn w:val="Normal"/>
    <w:next w:val="ParaNum"/>
    <w:link w:val="Heading1Char"/>
    <w:uiPriority w:val="99"/>
    <w:qFormat/>
    <w:rsid w:val="00535A3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535A3E"/>
    <w:pPr>
      <w:keepNext/>
      <w:numPr>
        <w:ilvl w:val="1"/>
        <w:numId w:val="3"/>
      </w:numPr>
      <w:spacing w:after="120"/>
      <w:ind w:left="720"/>
      <w:jc w:val="both"/>
      <w:outlineLvl w:val="1"/>
    </w:pPr>
    <w:rPr>
      <w:b/>
    </w:rPr>
  </w:style>
  <w:style w:type="paragraph" w:styleId="Heading3">
    <w:name w:val="heading 3"/>
    <w:basedOn w:val="Normal"/>
    <w:next w:val="ParaNum"/>
    <w:link w:val="Heading3Char"/>
    <w:uiPriority w:val="99"/>
    <w:qFormat/>
    <w:rsid w:val="00216C9F"/>
    <w:pPr>
      <w:keepNext/>
      <w:numPr>
        <w:ilvl w:val="2"/>
        <w:numId w:val="3"/>
      </w:numPr>
      <w:spacing w:after="120"/>
      <w:outlineLvl w:val="2"/>
    </w:pPr>
    <w:rPr>
      <w:b/>
    </w:rPr>
  </w:style>
  <w:style w:type="paragraph" w:styleId="Heading4">
    <w:name w:val="heading 4"/>
    <w:basedOn w:val="Normal"/>
    <w:next w:val="ParaNum"/>
    <w:link w:val="Heading4Char"/>
    <w:uiPriority w:val="99"/>
    <w:qFormat/>
    <w:rsid w:val="00216C9F"/>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216C9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216C9F"/>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216C9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216C9F"/>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9"/>
    <w:qFormat/>
    <w:rsid w:val="00216C9F"/>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6BD"/>
    <w:rPr>
      <w:rFonts w:ascii="Times New Roman Bold" w:hAnsi="Times New Roman Bold" w:cs="Times New Roman"/>
      <w:b/>
      <w:caps/>
      <w:sz w:val="22"/>
      <w:lang w:val="en-US" w:eastAsia="en-US" w:bidi="ar-SA"/>
    </w:rPr>
  </w:style>
  <w:style w:type="character" w:customStyle="1" w:styleId="Heading2Char">
    <w:name w:val="Heading 2 Char"/>
    <w:basedOn w:val="DefaultParagraphFont"/>
    <w:link w:val="Heading2"/>
    <w:uiPriority w:val="99"/>
    <w:locked/>
    <w:rsid w:val="00535A3E"/>
    <w:rPr>
      <w:rFonts w:cs="Times New Roman"/>
      <w:b/>
      <w:sz w:val="22"/>
      <w:lang w:val="en-US" w:eastAsia="en-US" w:bidi="ar-SA"/>
    </w:rPr>
  </w:style>
  <w:style w:type="character" w:customStyle="1" w:styleId="Heading3Char">
    <w:name w:val="Heading 3 Char"/>
    <w:basedOn w:val="DefaultParagraphFont"/>
    <w:link w:val="Heading3"/>
    <w:uiPriority w:val="99"/>
    <w:locked/>
    <w:rsid w:val="00535A3E"/>
    <w:rPr>
      <w:rFonts w:cs="Times New Roman"/>
      <w:b/>
      <w:sz w:val="22"/>
      <w:lang w:val="en-US" w:eastAsia="en-US" w:bidi="ar-SA"/>
    </w:rPr>
  </w:style>
  <w:style w:type="character" w:customStyle="1" w:styleId="Heading4Char">
    <w:name w:val="Heading 4 Char"/>
    <w:basedOn w:val="DefaultParagraphFont"/>
    <w:link w:val="Heading4"/>
    <w:uiPriority w:val="99"/>
    <w:semiHidden/>
    <w:locked/>
    <w:rsid w:val="00B466BD"/>
    <w:rPr>
      <w:rFonts w:cs="Times New Roman"/>
      <w:b/>
      <w:sz w:val="22"/>
      <w:lang w:val="en-US" w:eastAsia="en-US" w:bidi="ar-SA"/>
    </w:rPr>
  </w:style>
  <w:style w:type="character" w:customStyle="1" w:styleId="Heading5Char">
    <w:name w:val="Heading 5 Char"/>
    <w:basedOn w:val="DefaultParagraphFont"/>
    <w:link w:val="Heading5"/>
    <w:uiPriority w:val="99"/>
    <w:semiHidden/>
    <w:locked/>
    <w:rsid w:val="00B466BD"/>
    <w:rPr>
      <w:rFonts w:cs="Times New Roman"/>
      <w:b/>
      <w:sz w:val="22"/>
      <w:lang w:val="en-US" w:eastAsia="en-US" w:bidi="ar-SA"/>
    </w:rPr>
  </w:style>
  <w:style w:type="character" w:customStyle="1" w:styleId="Heading6Char">
    <w:name w:val="Heading 6 Char"/>
    <w:basedOn w:val="DefaultParagraphFont"/>
    <w:link w:val="Heading6"/>
    <w:uiPriority w:val="99"/>
    <w:semiHidden/>
    <w:locked/>
    <w:rsid w:val="00B466BD"/>
    <w:rPr>
      <w:rFonts w:cs="Times New Roman"/>
      <w:b/>
      <w:sz w:val="22"/>
      <w:lang w:val="en-US" w:eastAsia="en-US" w:bidi="ar-SA"/>
    </w:rPr>
  </w:style>
  <w:style w:type="character" w:customStyle="1" w:styleId="Heading7Char">
    <w:name w:val="Heading 7 Char"/>
    <w:basedOn w:val="DefaultParagraphFont"/>
    <w:link w:val="Heading7"/>
    <w:uiPriority w:val="99"/>
    <w:semiHidden/>
    <w:locked/>
    <w:rsid w:val="00B466BD"/>
    <w:rPr>
      <w:rFonts w:cs="Times New Roman"/>
      <w:b/>
      <w:sz w:val="22"/>
      <w:lang w:val="en-US" w:eastAsia="en-US" w:bidi="ar-SA"/>
    </w:rPr>
  </w:style>
  <w:style w:type="character" w:customStyle="1" w:styleId="Heading8Char">
    <w:name w:val="Heading 8 Char"/>
    <w:basedOn w:val="DefaultParagraphFont"/>
    <w:link w:val="Heading8"/>
    <w:uiPriority w:val="99"/>
    <w:semiHidden/>
    <w:locked/>
    <w:rsid w:val="00B466BD"/>
    <w:rPr>
      <w:rFonts w:cs="Times New Roman"/>
      <w:b/>
      <w:sz w:val="22"/>
      <w:lang w:val="en-US" w:eastAsia="en-US" w:bidi="ar-SA"/>
    </w:rPr>
  </w:style>
  <w:style w:type="character" w:customStyle="1" w:styleId="Heading9Char">
    <w:name w:val="Heading 9 Char"/>
    <w:basedOn w:val="DefaultParagraphFont"/>
    <w:link w:val="Heading9"/>
    <w:uiPriority w:val="99"/>
    <w:semiHidden/>
    <w:locked/>
    <w:rsid w:val="00B466BD"/>
    <w:rPr>
      <w:rFonts w:cs="Times New Roman"/>
      <w:b/>
      <w:sz w:val="22"/>
      <w:lang w:val="en-US" w:eastAsia="en-US" w:bidi="ar-SA"/>
    </w:rPr>
  </w:style>
  <w:style w:type="paragraph" w:styleId="BalloonText">
    <w:name w:val="Balloon Text"/>
    <w:basedOn w:val="Normal"/>
    <w:link w:val="BalloonTextChar"/>
    <w:uiPriority w:val="99"/>
    <w:semiHidden/>
    <w:rsid w:val="00535A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6BD"/>
    <w:rPr>
      <w:rFonts w:cs="Times New Roman"/>
      <w:sz w:val="2"/>
    </w:rPr>
  </w:style>
  <w:style w:type="paragraph" w:customStyle="1" w:styleId="ParaNum">
    <w:name w:val="ParaNum"/>
    <w:basedOn w:val="Normal"/>
    <w:link w:val="ParaNumChar"/>
    <w:rsid w:val="00535A3E"/>
    <w:pPr>
      <w:numPr>
        <w:numId w:val="2"/>
      </w:numPr>
      <w:spacing w:after="120"/>
    </w:pPr>
  </w:style>
  <w:style w:type="character" w:customStyle="1" w:styleId="ParaNumChar">
    <w:name w:val="ParaNum Char"/>
    <w:link w:val="ParaNum"/>
    <w:locked/>
    <w:rsid w:val="00535A3E"/>
    <w:rPr>
      <w:sz w:val="22"/>
      <w:lang w:val="en-US" w:eastAsia="en-US"/>
    </w:rPr>
  </w:style>
  <w:style w:type="paragraph" w:styleId="EndnoteText">
    <w:name w:val="endnote text"/>
    <w:basedOn w:val="Normal"/>
    <w:link w:val="EndnoteTextChar"/>
    <w:uiPriority w:val="99"/>
    <w:semiHidden/>
    <w:rsid w:val="00535A3E"/>
    <w:rPr>
      <w:sz w:val="20"/>
    </w:rPr>
  </w:style>
  <w:style w:type="character" w:customStyle="1" w:styleId="EndnoteTextChar">
    <w:name w:val="Endnote Text Char"/>
    <w:basedOn w:val="DefaultParagraphFont"/>
    <w:link w:val="EndnoteText"/>
    <w:uiPriority w:val="99"/>
    <w:semiHidden/>
    <w:locked/>
    <w:rsid w:val="00B466BD"/>
    <w:rPr>
      <w:rFonts w:cs="Times New Roman"/>
    </w:rPr>
  </w:style>
  <w:style w:type="character" w:styleId="EndnoteReference">
    <w:name w:val="endnote reference"/>
    <w:basedOn w:val="DefaultParagraphFont"/>
    <w:uiPriority w:val="99"/>
    <w:semiHidden/>
    <w:rsid w:val="00535A3E"/>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basedOn w:val="Normal"/>
    <w:link w:val="FootnoteTextChar2"/>
    <w:semiHidden/>
    <w:rsid w:val="00535A3E"/>
    <w:pPr>
      <w:spacing w:after="120"/>
    </w:pPr>
    <w:rPr>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semiHidden/>
    <w:locked/>
    <w:rsid w:val="00535A3E"/>
    <w:rPr>
      <w:rFonts w:cs="Times New Roman"/>
      <w:lang w:val="en-US" w:eastAsia="en-US"/>
    </w:rPr>
  </w:style>
  <w:style w:type="character" w:styleId="FootnoteReference">
    <w:name w:val="footnote reference"/>
    <w:aliases w:val="Appel note de bas de p,o,fr,(NECG) Footnote Reference,Style 12,Style 124,Style 3,Style 17,FR,Style 13,Footnote Reference/,Style 6"/>
    <w:basedOn w:val="DefaultParagraphFont"/>
    <w:semiHidden/>
    <w:rsid w:val="00535A3E"/>
    <w:rPr>
      <w:rFonts w:ascii="Times New Roman" w:hAnsi="Times New Roman" w:cs="Times New Roman"/>
      <w:color w:val="auto"/>
      <w:sz w:val="22"/>
      <w:vertAlign w:val="superscript"/>
    </w:rPr>
  </w:style>
  <w:style w:type="paragraph" w:styleId="TOC1">
    <w:name w:val="toc 1"/>
    <w:basedOn w:val="Normal"/>
    <w:next w:val="Normal"/>
    <w:uiPriority w:val="99"/>
    <w:semiHidden/>
    <w:rsid w:val="00535A3E"/>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535A3E"/>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535A3E"/>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535A3E"/>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535A3E"/>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216C9F"/>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216C9F"/>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216C9F"/>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535A3E"/>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535A3E"/>
    <w:pPr>
      <w:tabs>
        <w:tab w:val="right" w:pos="9360"/>
      </w:tabs>
      <w:suppressAutoHyphens/>
    </w:pPr>
  </w:style>
  <w:style w:type="character" w:customStyle="1" w:styleId="EquationCaption">
    <w:name w:val="_Equation Caption"/>
    <w:uiPriority w:val="99"/>
    <w:rsid w:val="00535A3E"/>
  </w:style>
  <w:style w:type="paragraph" w:styleId="Header">
    <w:name w:val="header"/>
    <w:basedOn w:val="Normal"/>
    <w:link w:val="HeaderChar"/>
    <w:autoRedefine/>
    <w:uiPriority w:val="99"/>
    <w:rsid w:val="00535A3E"/>
    <w:pPr>
      <w:tabs>
        <w:tab w:val="center" w:pos="4680"/>
        <w:tab w:val="right" w:pos="9360"/>
      </w:tabs>
    </w:pPr>
    <w:rPr>
      <w:b/>
    </w:rPr>
  </w:style>
  <w:style w:type="character" w:customStyle="1" w:styleId="HeaderChar">
    <w:name w:val="Header Char"/>
    <w:basedOn w:val="DefaultParagraphFont"/>
    <w:link w:val="Header"/>
    <w:uiPriority w:val="99"/>
    <w:semiHidden/>
    <w:locked/>
    <w:rsid w:val="00B466BD"/>
    <w:rPr>
      <w:rFonts w:cs="Times New Roman"/>
      <w:sz w:val="22"/>
    </w:rPr>
  </w:style>
  <w:style w:type="paragraph" w:styleId="Footer">
    <w:name w:val="footer"/>
    <w:basedOn w:val="Normal"/>
    <w:link w:val="FooterChar"/>
    <w:uiPriority w:val="99"/>
    <w:rsid w:val="00535A3E"/>
    <w:pPr>
      <w:tabs>
        <w:tab w:val="center" w:pos="4320"/>
        <w:tab w:val="right" w:pos="8640"/>
      </w:tabs>
    </w:pPr>
  </w:style>
  <w:style w:type="character" w:customStyle="1" w:styleId="FooterChar">
    <w:name w:val="Footer Char"/>
    <w:basedOn w:val="DefaultParagraphFont"/>
    <w:link w:val="Footer"/>
    <w:uiPriority w:val="99"/>
    <w:locked/>
    <w:rsid w:val="00B466BD"/>
    <w:rPr>
      <w:rFonts w:cs="Times New Roman"/>
      <w:sz w:val="22"/>
    </w:rPr>
  </w:style>
  <w:style w:type="character" w:styleId="PageNumber">
    <w:name w:val="page number"/>
    <w:basedOn w:val="DefaultParagraphFont"/>
    <w:uiPriority w:val="99"/>
    <w:rsid w:val="00535A3E"/>
    <w:rPr>
      <w:rFonts w:cs="Times New Roman"/>
    </w:rPr>
  </w:style>
  <w:style w:type="paragraph" w:styleId="BlockText">
    <w:name w:val="Block Text"/>
    <w:basedOn w:val="Normal"/>
    <w:uiPriority w:val="99"/>
    <w:rsid w:val="00535A3E"/>
    <w:pPr>
      <w:spacing w:after="240"/>
      <w:ind w:left="1440" w:right="1440"/>
    </w:pPr>
  </w:style>
  <w:style w:type="paragraph" w:customStyle="1" w:styleId="Paratitle">
    <w:name w:val="Para title"/>
    <w:basedOn w:val="Normal"/>
    <w:uiPriority w:val="99"/>
    <w:rsid w:val="00216C9F"/>
    <w:pPr>
      <w:tabs>
        <w:tab w:val="center" w:pos="9270"/>
      </w:tabs>
      <w:spacing w:after="240"/>
    </w:pPr>
    <w:rPr>
      <w:spacing w:val="-2"/>
    </w:rPr>
  </w:style>
  <w:style w:type="paragraph" w:customStyle="1" w:styleId="Bullet">
    <w:name w:val="Bullet"/>
    <w:basedOn w:val="Normal"/>
    <w:uiPriority w:val="99"/>
    <w:rsid w:val="00535A3E"/>
    <w:pPr>
      <w:numPr>
        <w:numId w:val="1"/>
      </w:numPr>
      <w:tabs>
        <w:tab w:val="clear" w:pos="360"/>
        <w:tab w:val="left" w:pos="2160"/>
      </w:tabs>
      <w:spacing w:after="220"/>
      <w:ind w:left="2160" w:hanging="720"/>
    </w:pPr>
  </w:style>
  <w:style w:type="paragraph" w:customStyle="1" w:styleId="TableFormat">
    <w:name w:val="TableFormat"/>
    <w:basedOn w:val="Bullet"/>
    <w:uiPriority w:val="99"/>
    <w:rsid w:val="00535A3E"/>
    <w:pPr>
      <w:numPr>
        <w:numId w:val="0"/>
      </w:numPr>
      <w:tabs>
        <w:tab w:val="clear" w:pos="2160"/>
        <w:tab w:val="left" w:pos="5040"/>
      </w:tabs>
      <w:ind w:left="5040" w:hanging="3600"/>
    </w:pPr>
  </w:style>
  <w:style w:type="paragraph" w:customStyle="1" w:styleId="TOCTitle">
    <w:name w:val="TOC Title"/>
    <w:basedOn w:val="Normal"/>
    <w:uiPriority w:val="99"/>
    <w:rsid w:val="00535A3E"/>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535A3E"/>
    <w:pPr>
      <w:jc w:val="center"/>
    </w:pPr>
    <w:rPr>
      <w:rFonts w:ascii="Times New Roman Bold" w:hAnsi="Times New Roman Bold"/>
      <w:b/>
      <w:bCs/>
      <w:caps/>
      <w:szCs w:val="22"/>
    </w:rPr>
  </w:style>
  <w:style w:type="character" w:styleId="Hyperlink">
    <w:name w:val="Hyperlink"/>
    <w:basedOn w:val="DefaultParagraphFont"/>
    <w:uiPriority w:val="99"/>
    <w:rsid w:val="00535A3E"/>
    <w:rPr>
      <w:rFonts w:cs="Times New Roman"/>
      <w:color w:val="0000FF"/>
      <w:u w:val="single"/>
    </w:rPr>
  </w:style>
  <w:style w:type="paragraph" w:styleId="Caption">
    <w:name w:val="caption"/>
    <w:basedOn w:val="Normal"/>
    <w:next w:val="Normal"/>
    <w:uiPriority w:val="99"/>
    <w:qFormat/>
    <w:rsid w:val="00535A3E"/>
    <w:pPr>
      <w:spacing w:before="120" w:after="120"/>
    </w:pPr>
    <w:rPr>
      <w:b/>
    </w:rPr>
  </w:style>
  <w:style w:type="paragraph" w:customStyle="1" w:styleId="NumberedList">
    <w:name w:val="Numbered List"/>
    <w:basedOn w:val="Normal"/>
    <w:uiPriority w:val="99"/>
    <w:rsid w:val="00216C9F"/>
    <w:pPr>
      <w:numPr>
        <w:numId w:val="4"/>
      </w:numPr>
      <w:spacing w:after="220"/>
    </w:pPr>
  </w:style>
  <w:style w:type="paragraph" w:styleId="Title">
    <w:name w:val="Title"/>
    <w:basedOn w:val="Normal"/>
    <w:link w:val="TitleChar"/>
    <w:uiPriority w:val="99"/>
    <w:qFormat/>
    <w:rsid w:val="00535A3E"/>
    <w:pPr>
      <w:jc w:val="center"/>
    </w:pPr>
    <w:rPr>
      <w:b/>
    </w:rPr>
  </w:style>
  <w:style w:type="character" w:customStyle="1" w:styleId="TitleChar">
    <w:name w:val="Title Char"/>
    <w:basedOn w:val="DefaultParagraphFont"/>
    <w:link w:val="Title"/>
    <w:uiPriority w:val="99"/>
    <w:locked/>
    <w:rsid w:val="00B466BD"/>
    <w:rPr>
      <w:rFonts w:ascii="Cambria" w:hAnsi="Cambria" w:cs="Times New Roman"/>
      <w:b/>
      <w:bCs/>
      <w:kern w:val="28"/>
      <w:sz w:val="32"/>
      <w:szCs w:val="32"/>
    </w:rPr>
  </w:style>
  <w:style w:type="character" w:customStyle="1" w:styleId="maintext1">
    <w:name w:val="maintext1"/>
    <w:uiPriority w:val="99"/>
    <w:rsid w:val="00535A3E"/>
    <w:rPr>
      <w:rFonts w:ascii="Verdana" w:hAnsi="Verdana"/>
      <w:color w:val="000000"/>
      <w:sz w:val="13"/>
      <w:u w:val="none"/>
      <w:effect w:val="none"/>
    </w:rPr>
  </w:style>
  <w:style w:type="character" w:styleId="FollowedHyperlink">
    <w:name w:val="FollowedHyperlink"/>
    <w:basedOn w:val="DefaultParagraphFont"/>
    <w:uiPriority w:val="99"/>
    <w:rsid w:val="00535A3E"/>
    <w:rPr>
      <w:rFonts w:cs="Times New Roman"/>
      <w:color w:val="800080"/>
      <w:u w:val="single"/>
    </w:rPr>
  </w:style>
  <w:style w:type="paragraph" w:customStyle="1" w:styleId="Filename">
    <w:name w:val="Filename"/>
    <w:uiPriority w:val="99"/>
    <w:rsid w:val="00535A3E"/>
    <w:rPr>
      <w:rFonts w:eastAsia="MS Mincho"/>
      <w:sz w:val="20"/>
      <w:szCs w:val="20"/>
    </w:rPr>
  </w:style>
  <w:style w:type="paragraph" w:customStyle="1" w:styleId="default">
    <w:name w:val="default"/>
    <w:basedOn w:val="Normal"/>
    <w:uiPriority w:val="99"/>
    <w:rsid w:val="00216C9F"/>
    <w:pPr>
      <w:autoSpaceDE w:val="0"/>
      <w:autoSpaceDN w:val="0"/>
    </w:pPr>
    <w:rPr>
      <w:rFonts w:ascii="Arial" w:hAnsi="Arial" w:cs="Arial"/>
      <w:sz w:val="24"/>
      <w:szCs w:val="24"/>
    </w:rPr>
  </w:style>
  <w:style w:type="paragraph" w:styleId="HTMLPreformatted">
    <w:name w:val="HTML Preformatted"/>
    <w:basedOn w:val="Normal"/>
    <w:link w:val="HTMLPreformattedChar"/>
    <w:uiPriority w:val="99"/>
    <w:rsid w:val="0053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semiHidden/>
    <w:locked/>
    <w:rsid w:val="00B466BD"/>
    <w:rPr>
      <w:rFonts w:ascii="Courier New" w:hAnsi="Courier New" w:cs="Courier New"/>
    </w:rPr>
  </w:style>
  <w:style w:type="paragraph" w:styleId="NormalWeb">
    <w:name w:val="Normal (Web)"/>
    <w:basedOn w:val="Normal"/>
    <w:uiPriority w:val="99"/>
    <w:rsid w:val="00535A3E"/>
    <w:rPr>
      <w:rFonts w:eastAsia="MS Mincho"/>
      <w:sz w:val="24"/>
      <w:szCs w:val="24"/>
    </w:rPr>
  </w:style>
  <w:style w:type="paragraph" w:customStyle="1" w:styleId="Default0">
    <w:name w:val="Default"/>
    <w:uiPriority w:val="99"/>
    <w:rsid w:val="00535A3E"/>
    <w:pPr>
      <w:autoSpaceDE w:val="0"/>
      <w:autoSpaceDN w:val="0"/>
      <w:adjustRightInd w:val="0"/>
    </w:pPr>
    <w:rPr>
      <w:rFonts w:eastAsia="MS Mincho"/>
      <w:color w:val="000000"/>
      <w:sz w:val="24"/>
      <w:szCs w:val="24"/>
      <w:lang w:eastAsia="ja-JP"/>
    </w:rPr>
  </w:style>
  <w:style w:type="character" w:customStyle="1" w:styleId="regulartext">
    <w:name w:val="regulartext"/>
    <w:basedOn w:val="DefaultParagraphFont"/>
    <w:uiPriority w:val="99"/>
    <w:rsid w:val="00535A3E"/>
    <w:rPr>
      <w:rFonts w:cs="Times New Roman"/>
    </w:rPr>
  </w:style>
  <w:style w:type="character" w:customStyle="1" w:styleId="text-gray-small1">
    <w:name w:val="text-gray-small1"/>
    <w:uiPriority w:val="99"/>
    <w:rsid w:val="00535A3E"/>
    <w:rPr>
      <w:rFonts w:ascii="Verdana" w:hAnsi="Verdana"/>
      <w:color w:val="666666"/>
    </w:rPr>
  </w:style>
  <w:style w:type="character" w:customStyle="1" w:styleId="a">
    <w:name w:val="脚注番号"/>
    <w:uiPriority w:val="99"/>
    <w:rsid w:val="00535A3E"/>
    <w:rPr>
      <w:vertAlign w:val="superscript"/>
    </w:rPr>
  </w:style>
  <w:style w:type="paragraph" w:styleId="ListParagraph">
    <w:name w:val="List Paragraph"/>
    <w:basedOn w:val="Normal"/>
    <w:uiPriority w:val="99"/>
    <w:qFormat/>
    <w:rsid w:val="00535A3E"/>
    <w:pPr>
      <w:ind w:left="720"/>
    </w:pPr>
    <w:rPr>
      <w:rFonts w:eastAsia="MS Mincho"/>
      <w:sz w:val="20"/>
    </w:rPr>
  </w:style>
  <w:style w:type="character" w:styleId="Strong">
    <w:name w:val="Strong"/>
    <w:basedOn w:val="DefaultParagraphFont"/>
    <w:uiPriority w:val="99"/>
    <w:qFormat/>
    <w:rsid w:val="00535A3E"/>
    <w:rPr>
      <w:rFonts w:cs="Times New Roman"/>
      <w:b/>
    </w:rPr>
  </w:style>
  <w:style w:type="character" w:customStyle="1" w:styleId="FootnoteCharacters">
    <w:name w:val="Footnote Characters"/>
    <w:uiPriority w:val="99"/>
    <w:rsid w:val="00535A3E"/>
    <w:rPr>
      <w:vertAlign w:val="superscript"/>
    </w:rPr>
  </w:style>
  <w:style w:type="character" w:customStyle="1" w:styleId="WW-FootnoteCharacters">
    <w:name w:val="WW-Footnote Characters"/>
    <w:uiPriority w:val="99"/>
    <w:rsid w:val="00535A3E"/>
    <w:rPr>
      <w:vertAlign w:val="superscript"/>
    </w:rPr>
  </w:style>
  <w:style w:type="character" w:customStyle="1" w:styleId="mediumb-text">
    <w:name w:val="mediumb-text"/>
    <w:basedOn w:val="DefaultParagraphFont"/>
    <w:uiPriority w:val="99"/>
    <w:rsid w:val="00535A3E"/>
    <w:rPr>
      <w:rFonts w:cs="Times New Roman"/>
    </w:rPr>
  </w:style>
  <w:style w:type="character" w:customStyle="1" w:styleId="FootnoteTextChar1Char2Char">
    <w:name w:val="Footnote Text Char1 Char2 Char"/>
    <w:aliases w:val="Footnote Text Char Char2 Char Char,Footnote Text Char1 Char2 Char Char Char,Footnote Text Char Char2 Char Char Char Char,Footnote Text Char1 Char2 Char Char Char Char Char,footnote text Char"/>
    <w:uiPriority w:val="99"/>
    <w:rsid w:val="00535A3E"/>
    <w:rPr>
      <w:lang w:val="en-US" w:eastAsia="en-US"/>
    </w:rPr>
  </w:style>
  <w:style w:type="character" w:styleId="Emphasis">
    <w:name w:val="Emphasis"/>
    <w:basedOn w:val="DefaultParagraphFont"/>
    <w:uiPriority w:val="99"/>
    <w:qFormat/>
    <w:rsid w:val="00535A3E"/>
    <w:rPr>
      <w:rFonts w:cs="Times New Roman"/>
      <w:i/>
    </w:rPr>
  </w:style>
  <w:style w:type="paragraph" w:styleId="BodyText">
    <w:name w:val="Body Text"/>
    <w:basedOn w:val="Normal"/>
    <w:link w:val="BodyTextChar"/>
    <w:uiPriority w:val="99"/>
    <w:rsid w:val="00216C9F"/>
    <w:pPr>
      <w:widowControl w:val="0"/>
      <w:ind w:right="-108"/>
    </w:pPr>
    <w:rPr>
      <w:kern w:val="28"/>
      <w:sz w:val="16"/>
    </w:rPr>
  </w:style>
  <w:style w:type="character" w:customStyle="1" w:styleId="BodyTextChar">
    <w:name w:val="Body Text Char"/>
    <w:basedOn w:val="DefaultParagraphFont"/>
    <w:link w:val="BodyText"/>
    <w:uiPriority w:val="99"/>
    <w:semiHidden/>
    <w:locked/>
    <w:rsid w:val="00B466BD"/>
    <w:rPr>
      <w:rFonts w:cs="Times New Roman"/>
      <w:kern w:val="28"/>
      <w:sz w:val="16"/>
      <w:lang w:val="en-US" w:eastAsia="en-US" w:bidi="ar-SA"/>
    </w:rPr>
  </w:style>
  <w:style w:type="character" w:customStyle="1" w:styleId="Footnote">
    <w:name w:val="Footnote"/>
    <w:basedOn w:val="DefaultParagraphFont"/>
    <w:rsid w:val="00535A3E"/>
    <w:rPr>
      <w:rFonts w:cs="Times New Roman"/>
    </w:rPr>
  </w:style>
  <w:style w:type="character" w:styleId="CommentReference">
    <w:name w:val="annotation reference"/>
    <w:basedOn w:val="DefaultParagraphFont"/>
    <w:uiPriority w:val="99"/>
    <w:semiHidden/>
    <w:rsid w:val="00535A3E"/>
    <w:rPr>
      <w:rFonts w:cs="Times New Roman"/>
      <w:sz w:val="16"/>
    </w:rPr>
  </w:style>
  <w:style w:type="paragraph" w:styleId="CommentText">
    <w:name w:val="annotation text"/>
    <w:basedOn w:val="Normal"/>
    <w:link w:val="CommentTextChar"/>
    <w:uiPriority w:val="99"/>
    <w:semiHidden/>
    <w:rsid w:val="00535A3E"/>
    <w:rPr>
      <w:sz w:val="20"/>
    </w:rPr>
  </w:style>
  <w:style w:type="character" w:customStyle="1" w:styleId="CommentTextChar">
    <w:name w:val="Comment Text Char"/>
    <w:basedOn w:val="DefaultParagraphFont"/>
    <w:link w:val="CommentText"/>
    <w:uiPriority w:val="99"/>
    <w:semiHidden/>
    <w:locked/>
    <w:rsid w:val="00535A3E"/>
    <w:rPr>
      <w:rFonts w:cs="Times New Roman"/>
    </w:rPr>
  </w:style>
  <w:style w:type="paragraph" w:styleId="CommentSubject">
    <w:name w:val="annotation subject"/>
    <w:basedOn w:val="CommentText"/>
    <w:next w:val="CommentText"/>
    <w:link w:val="CommentSubjectChar"/>
    <w:uiPriority w:val="99"/>
    <w:semiHidden/>
    <w:rsid w:val="00535A3E"/>
    <w:rPr>
      <w:b/>
      <w:bCs/>
    </w:rPr>
  </w:style>
  <w:style w:type="character" w:customStyle="1" w:styleId="CommentSubjectChar">
    <w:name w:val="Comment Subject Char"/>
    <w:basedOn w:val="CommentTextChar"/>
    <w:link w:val="CommentSubject"/>
    <w:uiPriority w:val="99"/>
    <w:semiHidden/>
    <w:locked/>
    <w:rsid w:val="00B466BD"/>
    <w:rPr>
      <w:rFonts w:cs="Times New Roman"/>
      <w:b/>
      <w:bCs/>
    </w:rPr>
  </w:style>
  <w:style w:type="character" w:customStyle="1" w:styleId="apple-style-span">
    <w:name w:val="apple-style-span"/>
    <w:basedOn w:val="DefaultParagraphFont"/>
    <w:uiPriority w:val="99"/>
    <w:rsid w:val="00535A3E"/>
    <w:rPr>
      <w:rFonts w:cs="Times New Roman"/>
    </w:rPr>
  </w:style>
  <w:style w:type="character" w:customStyle="1" w:styleId="apple-converted-space">
    <w:name w:val="apple-converted-space"/>
    <w:basedOn w:val="DefaultParagraphFont"/>
    <w:uiPriority w:val="99"/>
    <w:rsid w:val="00535A3E"/>
    <w:rPr>
      <w:rFonts w:cs="Times New Roman"/>
    </w:rPr>
  </w:style>
  <w:style w:type="character" w:customStyle="1" w:styleId="updatebodytest1">
    <w:name w:val="updatebodytest1"/>
    <w:uiPriority w:val="99"/>
    <w:rsid w:val="00535A3E"/>
    <w:rPr>
      <w:rFonts w:ascii="Arial" w:hAnsi="Arial"/>
      <w:sz w:val="18"/>
    </w:rPr>
  </w:style>
  <w:style w:type="paragraph" w:customStyle="1" w:styleId="part">
    <w:name w:val="part"/>
    <w:basedOn w:val="Normal"/>
    <w:uiPriority w:val="99"/>
    <w:rsid w:val="00535A3E"/>
    <w:pPr>
      <w:spacing w:before="100" w:beforeAutospacing="1" w:after="100" w:afterAutospacing="1"/>
    </w:pPr>
    <w:rPr>
      <w:b/>
      <w:bCs/>
      <w:sz w:val="24"/>
      <w:szCs w:val="24"/>
    </w:rPr>
  </w:style>
  <w:style w:type="paragraph" w:customStyle="1" w:styleId="tablenote">
    <w:name w:val="table_note"/>
    <w:basedOn w:val="Normal"/>
    <w:uiPriority w:val="99"/>
    <w:rsid w:val="00535A3E"/>
    <w:pPr>
      <w:spacing w:before="100" w:beforeAutospacing="1" w:after="100" w:afterAutospacing="1"/>
    </w:pPr>
    <w:rPr>
      <w:sz w:val="24"/>
      <w:szCs w:val="24"/>
    </w:rPr>
  </w:style>
  <w:style w:type="paragraph" w:customStyle="1" w:styleId="subpart">
    <w:name w:val="subpart"/>
    <w:basedOn w:val="Normal"/>
    <w:uiPriority w:val="99"/>
    <w:rsid w:val="00535A3E"/>
    <w:pPr>
      <w:shd w:val="clear" w:color="auto" w:fill="FFFFFF"/>
      <w:spacing w:before="100" w:beforeAutospacing="1" w:after="100" w:afterAutospacing="1"/>
    </w:pPr>
    <w:rPr>
      <w:color w:val="0000FF"/>
      <w:szCs w:val="22"/>
    </w:rPr>
  </w:style>
  <w:style w:type="paragraph" w:customStyle="1" w:styleId="tabletitle">
    <w:name w:val="table_title"/>
    <w:basedOn w:val="Normal"/>
    <w:uiPriority w:val="99"/>
    <w:rsid w:val="00535A3E"/>
    <w:pPr>
      <w:spacing w:before="100" w:beforeAutospacing="1" w:after="100" w:afterAutospacing="1"/>
    </w:pPr>
    <w:rPr>
      <w:sz w:val="24"/>
      <w:szCs w:val="24"/>
    </w:rPr>
  </w:style>
  <w:style w:type="paragraph" w:customStyle="1" w:styleId="RuleHeadings">
    <w:name w:val="Rule Headings"/>
    <w:autoRedefine/>
    <w:uiPriority w:val="99"/>
    <w:rsid w:val="00535A3E"/>
    <w:pPr>
      <w:tabs>
        <w:tab w:val="left" w:pos="360"/>
      </w:tabs>
      <w:spacing w:after="220"/>
      <w:ind w:left="360"/>
    </w:pPr>
    <w:rPr>
      <w:b/>
      <w:bC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ALTS FOOTNOTE Char Char,fn Char Char,fn Char2"/>
    <w:locked/>
    <w:rsid w:val="00535A3E"/>
    <w:rPr>
      <w:lang w:val="en-US" w:eastAsia="en-US"/>
    </w:rPr>
  </w:style>
  <w:style w:type="character" w:customStyle="1" w:styleId="ParaNumChar1">
    <w:name w:val="ParaNum Char1"/>
    <w:uiPriority w:val="99"/>
    <w:rsid w:val="00535A3E"/>
    <w:rPr>
      <w:snapToGrid w:val="0"/>
      <w:kern w:val="28"/>
      <w:sz w:val="22"/>
      <w:lang w:val="en-US" w:eastAsia="en-US"/>
    </w:rPr>
  </w:style>
  <w:style w:type="paragraph" w:styleId="Revision">
    <w:name w:val="Revision"/>
    <w:hidden/>
    <w:uiPriority w:val="99"/>
    <w:semiHidden/>
    <w:rsid w:val="00535A3E"/>
    <w:rPr>
      <w:szCs w:val="20"/>
    </w:rPr>
  </w:style>
  <w:style w:type="paragraph" w:customStyle="1" w:styleId="StyleParaNumAfter12pt">
    <w:name w:val="Style ParaNum + After:  12 pt"/>
    <w:basedOn w:val="ParaNum"/>
    <w:uiPriority w:val="99"/>
    <w:rsid w:val="00535A3E"/>
    <w:pPr>
      <w:numPr>
        <w:numId w:val="7"/>
      </w:numPr>
      <w:spacing w:after="220"/>
    </w:pPr>
  </w:style>
  <w:style w:type="character" w:customStyle="1" w:styleId="intextad">
    <w:name w:val="intext_ad"/>
    <w:basedOn w:val="DefaultParagraphFont"/>
    <w:uiPriority w:val="99"/>
    <w:rsid w:val="00535A3E"/>
    <w:rPr>
      <w:rFonts w:cs="Times New Roman"/>
    </w:rPr>
  </w:style>
  <w:style w:type="paragraph" w:customStyle="1" w:styleId="paranum0">
    <w:name w:val="paranum"/>
    <w:basedOn w:val="Normal"/>
    <w:uiPriority w:val="99"/>
    <w:rsid w:val="00535A3E"/>
    <w:pPr>
      <w:tabs>
        <w:tab w:val="num" w:pos="1080"/>
      </w:tabs>
      <w:spacing w:after="120"/>
      <w:ind w:firstLine="720"/>
    </w:pPr>
    <w:rPr>
      <w:szCs w:val="22"/>
    </w:rPr>
  </w:style>
  <w:style w:type="paragraph" w:styleId="DocumentMap">
    <w:name w:val="Document Map"/>
    <w:basedOn w:val="Normal"/>
    <w:link w:val="DocumentMapChar"/>
    <w:uiPriority w:val="99"/>
    <w:semiHidden/>
    <w:rsid w:val="00535A3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466BD"/>
    <w:rPr>
      <w:rFonts w:cs="Times New Roman"/>
      <w:sz w:val="2"/>
    </w:rPr>
  </w:style>
  <w:style w:type="character" w:customStyle="1" w:styleId="CharChar2">
    <w:name w:val="Char Char2"/>
    <w:uiPriority w:val="99"/>
    <w:locked/>
    <w:rsid w:val="00E6639A"/>
    <w:rPr>
      <w:b/>
      <w:sz w:val="22"/>
      <w:lang w:val="en-US" w:eastAsia="en-US"/>
    </w:rPr>
  </w:style>
  <w:style w:type="character" w:customStyle="1" w:styleId="CharChar1">
    <w:name w:val="Char Char1"/>
    <w:basedOn w:val="DefaultParagraphFont"/>
    <w:uiPriority w:val="99"/>
    <w:locked/>
    <w:rsid w:val="00216C9F"/>
    <w:rPr>
      <w:rFonts w:cs="Times New Roman"/>
      <w:b/>
      <w:sz w:val="22"/>
    </w:rPr>
  </w:style>
  <w:style w:type="character" w:customStyle="1" w:styleId="CharChar">
    <w:name w:val="Char Char"/>
    <w:basedOn w:val="DefaultParagraphFont"/>
    <w:uiPriority w:val="99"/>
    <w:semiHidden/>
    <w:rsid w:val="00E6639A"/>
    <w:rPr>
      <w:rFonts w:cs="Times New Roman"/>
    </w:rPr>
  </w:style>
  <w:style w:type="character" w:customStyle="1" w:styleId="CharChar21">
    <w:name w:val="Char Char21"/>
    <w:uiPriority w:val="99"/>
    <w:locked/>
    <w:rsid w:val="00216C9F"/>
    <w:rPr>
      <w:b/>
      <w:sz w:val="22"/>
      <w:lang w:val="en-US" w:eastAsia="en-US"/>
    </w:rPr>
  </w:style>
  <w:style w:type="character" w:customStyle="1" w:styleId="CharChar3">
    <w:name w:val="Char Char3"/>
    <w:basedOn w:val="DefaultParagraphFont"/>
    <w:uiPriority w:val="99"/>
    <w:semiHidden/>
    <w:rsid w:val="00216C9F"/>
    <w:rPr>
      <w:rFonts w:cs="Times New Roman"/>
    </w:rPr>
  </w:style>
  <w:style w:type="paragraph" w:styleId="PlainText">
    <w:name w:val="Plain Text"/>
    <w:basedOn w:val="Normal"/>
    <w:link w:val="PlainTextChar"/>
    <w:uiPriority w:val="99"/>
    <w:unhideWhenUsed/>
    <w:locked/>
    <w:rsid w:val="00D6020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6020D"/>
    <w:rPr>
      <w:rFonts w:ascii="Calibri" w:eastAsiaTheme="minorHAns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5A3E"/>
    <w:rPr>
      <w:szCs w:val="20"/>
    </w:rPr>
  </w:style>
  <w:style w:type="paragraph" w:styleId="Heading1">
    <w:name w:val="heading 1"/>
    <w:basedOn w:val="Normal"/>
    <w:next w:val="ParaNum"/>
    <w:link w:val="Heading1Char"/>
    <w:uiPriority w:val="99"/>
    <w:qFormat/>
    <w:rsid w:val="00535A3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535A3E"/>
    <w:pPr>
      <w:keepNext/>
      <w:numPr>
        <w:ilvl w:val="1"/>
        <w:numId w:val="3"/>
      </w:numPr>
      <w:spacing w:after="120"/>
      <w:ind w:left="720"/>
      <w:jc w:val="both"/>
      <w:outlineLvl w:val="1"/>
    </w:pPr>
    <w:rPr>
      <w:b/>
    </w:rPr>
  </w:style>
  <w:style w:type="paragraph" w:styleId="Heading3">
    <w:name w:val="heading 3"/>
    <w:basedOn w:val="Normal"/>
    <w:next w:val="ParaNum"/>
    <w:link w:val="Heading3Char"/>
    <w:uiPriority w:val="99"/>
    <w:qFormat/>
    <w:rsid w:val="00216C9F"/>
    <w:pPr>
      <w:keepNext/>
      <w:numPr>
        <w:ilvl w:val="2"/>
        <w:numId w:val="3"/>
      </w:numPr>
      <w:spacing w:after="120"/>
      <w:outlineLvl w:val="2"/>
    </w:pPr>
    <w:rPr>
      <w:b/>
    </w:rPr>
  </w:style>
  <w:style w:type="paragraph" w:styleId="Heading4">
    <w:name w:val="heading 4"/>
    <w:basedOn w:val="Normal"/>
    <w:next w:val="ParaNum"/>
    <w:link w:val="Heading4Char"/>
    <w:uiPriority w:val="99"/>
    <w:qFormat/>
    <w:rsid w:val="00216C9F"/>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216C9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216C9F"/>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216C9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216C9F"/>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9"/>
    <w:qFormat/>
    <w:rsid w:val="00216C9F"/>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6BD"/>
    <w:rPr>
      <w:rFonts w:ascii="Times New Roman Bold" w:hAnsi="Times New Roman Bold" w:cs="Times New Roman"/>
      <w:b/>
      <w:caps/>
      <w:sz w:val="22"/>
      <w:lang w:val="en-US" w:eastAsia="en-US" w:bidi="ar-SA"/>
    </w:rPr>
  </w:style>
  <w:style w:type="character" w:customStyle="1" w:styleId="Heading2Char">
    <w:name w:val="Heading 2 Char"/>
    <w:basedOn w:val="DefaultParagraphFont"/>
    <w:link w:val="Heading2"/>
    <w:uiPriority w:val="99"/>
    <w:locked/>
    <w:rsid w:val="00535A3E"/>
    <w:rPr>
      <w:rFonts w:cs="Times New Roman"/>
      <w:b/>
      <w:sz w:val="22"/>
      <w:lang w:val="en-US" w:eastAsia="en-US" w:bidi="ar-SA"/>
    </w:rPr>
  </w:style>
  <w:style w:type="character" w:customStyle="1" w:styleId="Heading3Char">
    <w:name w:val="Heading 3 Char"/>
    <w:basedOn w:val="DefaultParagraphFont"/>
    <w:link w:val="Heading3"/>
    <w:uiPriority w:val="99"/>
    <w:locked/>
    <w:rsid w:val="00535A3E"/>
    <w:rPr>
      <w:rFonts w:cs="Times New Roman"/>
      <w:b/>
      <w:sz w:val="22"/>
      <w:lang w:val="en-US" w:eastAsia="en-US" w:bidi="ar-SA"/>
    </w:rPr>
  </w:style>
  <w:style w:type="character" w:customStyle="1" w:styleId="Heading4Char">
    <w:name w:val="Heading 4 Char"/>
    <w:basedOn w:val="DefaultParagraphFont"/>
    <w:link w:val="Heading4"/>
    <w:uiPriority w:val="99"/>
    <w:semiHidden/>
    <w:locked/>
    <w:rsid w:val="00B466BD"/>
    <w:rPr>
      <w:rFonts w:cs="Times New Roman"/>
      <w:b/>
      <w:sz w:val="22"/>
      <w:lang w:val="en-US" w:eastAsia="en-US" w:bidi="ar-SA"/>
    </w:rPr>
  </w:style>
  <w:style w:type="character" w:customStyle="1" w:styleId="Heading5Char">
    <w:name w:val="Heading 5 Char"/>
    <w:basedOn w:val="DefaultParagraphFont"/>
    <w:link w:val="Heading5"/>
    <w:uiPriority w:val="99"/>
    <w:semiHidden/>
    <w:locked/>
    <w:rsid w:val="00B466BD"/>
    <w:rPr>
      <w:rFonts w:cs="Times New Roman"/>
      <w:b/>
      <w:sz w:val="22"/>
      <w:lang w:val="en-US" w:eastAsia="en-US" w:bidi="ar-SA"/>
    </w:rPr>
  </w:style>
  <w:style w:type="character" w:customStyle="1" w:styleId="Heading6Char">
    <w:name w:val="Heading 6 Char"/>
    <w:basedOn w:val="DefaultParagraphFont"/>
    <w:link w:val="Heading6"/>
    <w:uiPriority w:val="99"/>
    <w:semiHidden/>
    <w:locked/>
    <w:rsid w:val="00B466BD"/>
    <w:rPr>
      <w:rFonts w:cs="Times New Roman"/>
      <w:b/>
      <w:sz w:val="22"/>
      <w:lang w:val="en-US" w:eastAsia="en-US" w:bidi="ar-SA"/>
    </w:rPr>
  </w:style>
  <w:style w:type="character" w:customStyle="1" w:styleId="Heading7Char">
    <w:name w:val="Heading 7 Char"/>
    <w:basedOn w:val="DefaultParagraphFont"/>
    <w:link w:val="Heading7"/>
    <w:uiPriority w:val="99"/>
    <w:semiHidden/>
    <w:locked/>
    <w:rsid w:val="00B466BD"/>
    <w:rPr>
      <w:rFonts w:cs="Times New Roman"/>
      <w:b/>
      <w:sz w:val="22"/>
      <w:lang w:val="en-US" w:eastAsia="en-US" w:bidi="ar-SA"/>
    </w:rPr>
  </w:style>
  <w:style w:type="character" w:customStyle="1" w:styleId="Heading8Char">
    <w:name w:val="Heading 8 Char"/>
    <w:basedOn w:val="DefaultParagraphFont"/>
    <w:link w:val="Heading8"/>
    <w:uiPriority w:val="99"/>
    <w:semiHidden/>
    <w:locked/>
    <w:rsid w:val="00B466BD"/>
    <w:rPr>
      <w:rFonts w:cs="Times New Roman"/>
      <w:b/>
      <w:sz w:val="22"/>
      <w:lang w:val="en-US" w:eastAsia="en-US" w:bidi="ar-SA"/>
    </w:rPr>
  </w:style>
  <w:style w:type="character" w:customStyle="1" w:styleId="Heading9Char">
    <w:name w:val="Heading 9 Char"/>
    <w:basedOn w:val="DefaultParagraphFont"/>
    <w:link w:val="Heading9"/>
    <w:uiPriority w:val="99"/>
    <w:semiHidden/>
    <w:locked/>
    <w:rsid w:val="00B466BD"/>
    <w:rPr>
      <w:rFonts w:cs="Times New Roman"/>
      <w:b/>
      <w:sz w:val="22"/>
      <w:lang w:val="en-US" w:eastAsia="en-US" w:bidi="ar-SA"/>
    </w:rPr>
  </w:style>
  <w:style w:type="paragraph" w:styleId="BalloonText">
    <w:name w:val="Balloon Text"/>
    <w:basedOn w:val="Normal"/>
    <w:link w:val="BalloonTextChar"/>
    <w:uiPriority w:val="99"/>
    <w:semiHidden/>
    <w:rsid w:val="00535A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6BD"/>
    <w:rPr>
      <w:rFonts w:cs="Times New Roman"/>
      <w:sz w:val="2"/>
    </w:rPr>
  </w:style>
  <w:style w:type="paragraph" w:customStyle="1" w:styleId="ParaNum">
    <w:name w:val="ParaNum"/>
    <w:basedOn w:val="Normal"/>
    <w:link w:val="ParaNumChar"/>
    <w:rsid w:val="00535A3E"/>
    <w:pPr>
      <w:numPr>
        <w:numId w:val="2"/>
      </w:numPr>
      <w:spacing w:after="120"/>
    </w:pPr>
  </w:style>
  <w:style w:type="character" w:customStyle="1" w:styleId="ParaNumChar">
    <w:name w:val="ParaNum Char"/>
    <w:link w:val="ParaNum"/>
    <w:locked/>
    <w:rsid w:val="00535A3E"/>
    <w:rPr>
      <w:sz w:val="22"/>
      <w:lang w:val="en-US" w:eastAsia="en-US"/>
    </w:rPr>
  </w:style>
  <w:style w:type="paragraph" w:styleId="EndnoteText">
    <w:name w:val="endnote text"/>
    <w:basedOn w:val="Normal"/>
    <w:link w:val="EndnoteTextChar"/>
    <w:uiPriority w:val="99"/>
    <w:semiHidden/>
    <w:rsid w:val="00535A3E"/>
    <w:rPr>
      <w:sz w:val="20"/>
    </w:rPr>
  </w:style>
  <w:style w:type="character" w:customStyle="1" w:styleId="EndnoteTextChar">
    <w:name w:val="Endnote Text Char"/>
    <w:basedOn w:val="DefaultParagraphFont"/>
    <w:link w:val="EndnoteText"/>
    <w:uiPriority w:val="99"/>
    <w:semiHidden/>
    <w:locked/>
    <w:rsid w:val="00B466BD"/>
    <w:rPr>
      <w:rFonts w:cs="Times New Roman"/>
    </w:rPr>
  </w:style>
  <w:style w:type="character" w:styleId="EndnoteReference">
    <w:name w:val="endnote reference"/>
    <w:basedOn w:val="DefaultParagraphFont"/>
    <w:uiPriority w:val="99"/>
    <w:semiHidden/>
    <w:rsid w:val="00535A3E"/>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basedOn w:val="Normal"/>
    <w:link w:val="FootnoteTextChar2"/>
    <w:semiHidden/>
    <w:rsid w:val="00535A3E"/>
    <w:pPr>
      <w:spacing w:after="120"/>
    </w:pPr>
    <w:rPr>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semiHidden/>
    <w:locked/>
    <w:rsid w:val="00535A3E"/>
    <w:rPr>
      <w:rFonts w:cs="Times New Roman"/>
      <w:lang w:val="en-US" w:eastAsia="en-US"/>
    </w:rPr>
  </w:style>
  <w:style w:type="character" w:styleId="FootnoteReference">
    <w:name w:val="footnote reference"/>
    <w:aliases w:val="Appel note de bas de p,o,fr,(NECG) Footnote Reference,Style 12,Style 124,Style 3,Style 17,FR,Style 13,Footnote Reference/,Style 6"/>
    <w:basedOn w:val="DefaultParagraphFont"/>
    <w:semiHidden/>
    <w:rsid w:val="00535A3E"/>
    <w:rPr>
      <w:rFonts w:ascii="Times New Roman" w:hAnsi="Times New Roman" w:cs="Times New Roman"/>
      <w:color w:val="auto"/>
      <w:sz w:val="22"/>
      <w:vertAlign w:val="superscript"/>
    </w:rPr>
  </w:style>
  <w:style w:type="paragraph" w:styleId="TOC1">
    <w:name w:val="toc 1"/>
    <w:basedOn w:val="Normal"/>
    <w:next w:val="Normal"/>
    <w:uiPriority w:val="99"/>
    <w:semiHidden/>
    <w:rsid w:val="00535A3E"/>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535A3E"/>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535A3E"/>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535A3E"/>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535A3E"/>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216C9F"/>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216C9F"/>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216C9F"/>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535A3E"/>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535A3E"/>
    <w:pPr>
      <w:tabs>
        <w:tab w:val="right" w:pos="9360"/>
      </w:tabs>
      <w:suppressAutoHyphens/>
    </w:pPr>
  </w:style>
  <w:style w:type="character" w:customStyle="1" w:styleId="EquationCaption">
    <w:name w:val="_Equation Caption"/>
    <w:uiPriority w:val="99"/>
    <w:rsid w:val="00535A3E"/>
  </w:style>
  <w:style w:type="paragraph" w:styleId="Header">
    <w:name w:val="header"/>
    <w:basedOn w:val="Normal"/>
    <w:link w:val="HeaderChar"/>
    <w:autoRedefine/>
    <w:uiPriority w:val="99"/>
    <w:rsid w:val="00535A3E"/>
    <w:pPr>
      <w:tabs>
        <w:tab w:val="center" w:pos="4680"/>
        <w:tab w:val="right" w:pos="9360"/>
      </w:tabs>
    </w:pPr>
    <w:rPr>
      <w:b/>
    </w:rPr>
  </w:style>
  <w:style w:type="character" w:customStyle="1" w:styleId="HeaderChar">
    <w:name w:val="Header Char"/>
    <w:basedOn w:val="DefaultParagraphFont"/>
    <w:link w:val="Header"/>
    <w:uiPriority w:val="99"/>
    <w:semiHidden/>
    <w:locked/>
    <w:rsid w:val="00B466BD"/>
    <w:rPr>
      <w:rFonts w:cs="Times New Roman"/>
      <w:sz w:val="22"/>
    </w:rPr>
  </w:style>
  <w:style w:type="paragraph" w:styleId="Footer">
    <w:name w:val="footer"/>
    <w:basedOn w:val="Normal"/>
    <w:link w:val="FooterChar"/>
    <w:uiPriority w:val="99"/>
    <w:rsid w:val="00535A3E"/>
    <w:pPr>
      <w:tabs>
        <w:tab w:val="center" w:pos="4320"/>
        <w:tab w:val="right" w:pos="8640"/>
      </w:tabs>
    </w:pPr>
  </w:style>
  <w:style w:type="character" w:customStyle="1" w:styleId="FooterChar">
    <w:name w:val="Footer Char"/>
    <w:basedOn w:val="DefaultParagraphFont"/>
    <w:link w:val="Footer"/>
    <w:uiPriority w:val="99"/>
    <w:locked/>
    <w:rsid w:val="00B466BD"/>
    <w:rPr>
      <w:rFonts w:cs="Times New Roman"/>
      <w:sz w:val="22"/>
    </w:rPr>
  </w:style>
  <w:style w:type="character" w:styleId="PageNumber">
    <w:name w:val="page number"/>
    <w:basedOn w:val="DefaultParagraphFont"/>
    <w:uiPriority w:val="99"/>
    <w:rsid w:val="00535A3E"/>
    <w:rPr>
      <w:rFonts w:cs="Times New Roman"/>
    </w:rPr>
  </w:style>
  <w:style w:type="paragraph" w:styleId="BlockText">
    <w:name w:val="Block Text"/>
    <w:basedOn w:val="Normal"/>
    <w:uiPriority w:val="99"/>
    <w:rsid w:val="00535A3E"/>
    <w:pPr>
      <w:spacing w:after="240"/>
      <w:ind w:left="1440" w:right="1440"/>
    </w:pPr>
  </w:style>
  <w:style w:type="paragraph" w:customStyle="1" w:styleId="Paratitle">
    <w:name w:val="Para title"/>
    <w:basedOn w:val="Normal"/>
    <w:uiPriority w:val="99"/>
    <w:rsid w:val="00216C9F"/>
    <w:pPr>
      <w:tabs>
        <w:tab w:val="center" w:pos="9270"/>
      </w:tabs>
      <w:spacing w:after="240"/>
    </w:pPr>
    <w:rPr>
      <w:spacing w:val="-2"/>
    </w:rPr>
  </w:style>
  <w:style w:type="paragraph" w:customStyle="1" w:styleId="Bullet">
    <w:name w:val="Bullet"/>
    <w:basedOn w:val="Normal"/>
    <w:uiPriority w:val="99"/>
    <w:rsid w:val="00535A3E"/>
    <w:pPr>
      <w:numPr>
        <w:numId w:val="1"/>
      </w:numPr>
      <w:tabs>
        <w:tab w:val="clear" w:pos="360"/>
        <w:tab w:val="left" w:pos="2160"/>
      </w:tabs>
      <w:spacing w:after="220"/>
      <w:ind w:left="2160" w:hanging="720"/>
    </w:pPr>
  </w:style>
  <w:style w:type="paragraph" w:customStyle="1" w:styleId="TableFormat">
    <w:name w:val="TableFormat"/>
    <w:basedOn w:val="Bullet"/>
    <w:uiPriority w:val="99"/>
    <w:rsid w:val="00535A3E"/>
    <w:pPr>
      <w:numPr>
        <w:numId w:val="0"/>
      </w:numPr>
      <w:tabs>
        <w:tab w:val="clear" w:pos="2160"/>
        <w:tab w:val="left" w:pos="5040"/>
      </w:tabs>
      <w:ind w:left="5040" w:hanging="3600"/>
    </w:pPr>
  </w:style>
  <w:style w:type="paragraph" w:customStyle="1" w:styleId="TOCTitle">
    <w:name w:val="TOC Title"/>
    <w:basedOn w:val="Normal"/>
    <w:uiPriority w:val="99"/>
    <w:rsid w:val="00535A3E"/>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535A3E"/>
    <w:pPr>
      <w:jc w:val="center"/>
    </w:pPr>
    <w:rPr>
      <w:rFonts w:ascii="Times New Roman Bold" w:hAnsi="Times New Roman Bold"/>
      <w:b/>
      <w:bCs/>
      <w:caps/>
      <w:szCs w:val="22"/>
    </w:rPr>
  </w:style>
  <w:style w:type="character" w:styleId="Hyperlink">
    <w:name w:val="Hyperlink"/>
    <w:basedOn w:val="DefaultParagraphFont"/>
    <w:uiPriority w:val="99"/>
    <w:rsid w:val="00535A3E"/>
    <w:rPr>
      <w:rFonts w:cs="Times New Roman"/>
      <w:color w:val="0000FF"/>
      <w:u w:val="single"/>
    </w:rPr>
  </w:style>
  <w:style w:type="paragraph" w:styleId="Caption">
    <w:name w:val="caption"/>
    <w:basedOn w:val="Normal"/>
    <w:next w:val="Normal"/>
    <w:uiPriority w:val="99"/>
    <w:qFormat/>
    <w:rsid w:val="00535A3E"/>
    <w:pPr>
      <w:spacing w:before="120" w:after="120"/>
    </w:pPr>
    <w:rPr>
      <w:b/>
    </w:rPr>
  </w:style>
  <w:style w:type="paragraph" w:customStyle="1" w:styleId="NumberedList">
    <w:name w:val="Numbered List"/>
    <w:basedOn w:val="Normal"/>
    <w:uiPriority w:val="99"/>
    <w:rsid w:val="00216C9F"/>
    <w:pPr>
      <w:numPr>
        <w:numId w:val="4"/>
      </w:numPr>
      <w:spacing w:after="220"/>
    </w:pPr>
  </w:style>
  <w:style w:type="paragraph" w:styleId="Title">
    <w:name w:val="Title"/>
    <w:basedOn w:val="Normal"/>
    <w:link w:val="TitleChar"/>
    <w:uiPriority w:val="99"/>
    <w:qFormat/>
    <w:rsid w:val="00535A3E"/>
    <w:pPr>
      <w:jc w:val="center"/>
    </w:pPr>
    <w:rPr>
      <w:b/>
    </w:rPr>
  </w:style>
  <w:style w:type="character" w:customStyle="1" w:styleId="TitleChar">
    <w:name w:val="Title Char"/>
    <w:basedOn w:val="DefaultParagraphFont"/>
    <w:link w:val="Title"/>
    <w:uiPriority w:val="99"/>
    <w:locked/>
    <w:rsid w:val="00B466BD"/>
    <w:rPr>
      <w:rFonts w:ascii="Cambria" w:hAnsi="Cambria" w:cs="Times New Roman"/>
      <w:b/>
      <w:bCs/>
      <w:kern w:val="28"/>
      <w:sz w:val="32"/>
      <w:szCs w:val="32"/>
    </w:rPr>
  </w:style>
  <w:style w:type="character" w:customStyle="1" w:styleId="maintext1">
    <w:name w:val="maintext1"/>
    <w:uiPriority w:val="99"/>
    <w:rsid w:val="00535A3E"/>
    <w:rPr>
      <w:rFonts w:ascii="Verdana" w:hAnsi="Verdana"/>
      <w:color w:val="000000"/>
      <w:sz w:val="13"/>
      <w:u w:val="none"/>
      <w:effect w:val="none"/>
    </w:rPr>
  </w:style>
  <w:style w:type="character" w:styleId="FollowedHyperlink">
    <w:name w:val="FollowedHyperlink"/>
    <w:basedOn w:val="DefaultParagraphFont"/>
    <w:uiPriority w:val="99"/>
    <w:rsid w:val="00535A3E"/>
    <w:rPr>
      <w:rFonts w:cs="Times New Roman"/>
      <w:color w:val="800080"/>
      <w:u w:val="single"/>
    </w:rPr>
  </w:style>
  <w:style w:type="paragraph" w:customStyle="1" w:styleId="Filename">
    <w:name w:val="Filename"/>
    <w:uiPriority w:val="99"/>
    <w:rsid w:val="00535A3E"/>
    <w:rPr>
      <w:rFonts w:eastAsia="MS Mincho"/>
      <w:sz w:val="20"/>
      <w:szCs w:val="20"/>
    </w:rPr>
  </w:style>
  <w:style w:type="paragraph" w:customStyle="1" w:styleId="default">
    <w:name w:val="default"/>
    <w:basedOn w:val="Normal"/>
    <w:uiPriority w:val="99"/>
    <w:rsid w:val="00216C9F"/>
    <w:pPr>
      <w:autoSpaceDE w:val="0"/>
      <w:autoSpaceDN w:val="0"/>
    </w:pPr>
    <w:rPr>
      <w:rFonts w:ascii="Arial" w:hAnsi="Arial" w:cs="Arial"/>
      <w:sz w:val="24"/>
      <w:szCs w:val="24"/>
    </w:rPr>
  </w:style>
  <w:style w:type="paragraph" w:styleId="HTMLPreformatted">
    <w:name w:val="HTML Preformatted"/>
    <w:basedOn w:val="Normal"/>
    <w:link w:val="HTMLPreformattedChar"/>
    <w:uiPriority w:val="99"/>
    <w:rsid w:val="0053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semiHidden/>
    <w:locked/>
    <w:rsid w:val="00B466BD"/>
    <w:rPr>
      <w:rFonts w:ascii="Courier New" w:hAnsi="Courier New" w:cs="Courier New"/>
    </w:rPr>
  </w:style>
  <w:style w:type="paragraph" w:styleId="NormalWeb">
    <w:name w:val="Normal (Web)"/>
    <w:basedOn w:val="Normal"/>
    <w:uiPriority w:val="99"/>
    <w:rsid w:val="00535A3E"/>
    <w:rPr>
      <w:rFonts w:eastAsia="MS Mincho"/>
      <w:sz w:val="24"/>
      <w:szCs w:val="24"/>
    </w:rPr>
  </w:style>
  <w:style w:type="paragraph" w:customStyle="1" w:styleId="Default0">
    <w:name w:val="Default"/>
    <w:uiPriority w:val="99"/>
    <w:rsid w:val="00535A3E"/>
    <w:pPr>
      <w:autoSpaceDE w:val="0"/>
      <w:autoSpaceDN w:val="0"/>
      <w:adjustRightInd w:val="0"/>
    </w:pPr>
    <w:rPr>
      <w:rFonts w:eastAsia="MS Mincho"/>
      <w:color w:val="000000"/>
      <w:sz w:val="24"/>
      <w:szCs w:val="24"/>
      <w:lang w:eastAsia="ja-JP"/>
    </w:rPr>
  </w:style>
  <w:style w:type="character" w:customStyle="1" w:styleId="regulartext">
    <w:name w:val="regulartext"/>
    <w:basedOn w:val="DefaultParagraphFont"/>
    <w:uiPriority w:val="99"/>
    <w:rsid w:val="00535A3E"/>
    <w:rPr>
      <w:rFonts w:cs="Times New Roman"/>
    </w:rPr>
  </w:style>
  <w:style w:type="character" w:customStyle="1" w:styleId="text-gray-small1">
    <w:name w:val="text-gray-small1"/>
    <w:uiPriority w:val="99"/>
    <w:rsid w:val="00535A3E"/>
    <w:rPr>
      <w:rFonts w:ascii="Verdana" w:hAnsi="Verdana"/>
      <w:color w:val="666666"/>
    </w:rPr>
  </w:style>
  <w:style w:type="character" w:customStyle="1" w:styleId="a">
    <w:name w:val="脚注番号"/>
    <w:uiPriority w:val="99"/>
    <w:rsid w:val="00535A3E"/>
    <w:rPr>
      <w:vertAlign w:val="superscript"/>
    </w:rPr>
  </w:style>
  <w:style w:type="paragraph" w:styleId="ListParagraph">
    <w:name w:val="List Paragraph"/>
    <w:basedOn w:val="Normal"/>
    <w:uiPriority w:val="99"/>
    <w:qFormat/>
    <w:rsid w:val="00535A3E"/>
    <w:pPr>
      <w:ind w:left="720"/>
    </w:pPr>
    <w:rPr>
      <w:rFonts w:eastAsia="MS Mincho"/>
      <w:sz w:val="20"/>
    </w:rPr>
  </w:style>
  <w:style w:type="character" w:styleId="Strong">
    <w:name w:val="Strong"/>
    <w:basedOn w:val="DefaultParagraphFont"/>
    <w:uiPriority w:val="99"/>
    <w:qFormat/>
    <w:rsid w:val="00535A3E"/>
    <w:rPr>
      <w:rFonts w:cs="Times New Roman"/>
      <w:b/>
    </w:rPr>
  </w:style>
  <w:style w:type="character" w:customStyle="1" w:styleId="FootnoteCharacters">
    <w:name w:val="Footnote Characters"/>
    <w:uiPriority w:val="99"/>
    <w:rsid w:val="00535A3E"/>
    <w:rPr>
      <w:vertAlign w:val="superscript"/>
    </w:rPr>
  </w:style>
  <w:style w:type="character" w:customStyle="1" w:styleId="WW-FootnoteCharacters">
    <w:name w:val="WW-Footnote Characters"/>
    <w:uiPriority w:val="99"/>
    <w:rsid w:val="00535A3E"/>
    <w:rPr>
      <w:vertAlign w:val="superscript"/>
    </w:rPr>
  </w:style>
  <w:style w:type="character" w:customStyle="1" w:styleId="mediumb-text">
    <w:name w:val="mediumb-text"/>
    <w:basedOn w:val="DefaultParagraphFont"/>
    <w:uiPriority w:val="99"/>
    <w:rsid w:val="00535A3E"/>
    <w:rPr>
      <w:rFonts w:cs="Times New Roman"/>
    </w:rPr>
  </w:style>
  <w:style w:type="character" w:customStyle="1" w:styleId="FootnoteTextChar1Char2Char">
    <w:name w:val="Footnote Text Char1 Char2 Char"/>
    <w:aliases w:val="Footnote Text Char Char2 Char Char,Footnote Text Char1 Char2 Char Char Char,Footnote Text Char Char2 Char Char Char Char,Footnote Text Char1 Char2 Char Char Char Char Char,footnote text Char"/>
    <w:uiPriority w:val="99"/>
    <w:rsid w:val="00535A3E"/>
    <w:rPr>
      <w:lang w:val="en-US" w:eastAsia="en-US"/>
    </w:rPr>
  </w:style>
  <w:style w:type="character" w:styleId="Emphasis">
    <w:name w:val="Emphasis"/>
    <w:basedOn w:val="DefaultParagraphFont"/>
    <w:uiPriority w:val="99"/>
    <w:qFormat/>
    <w:rsid w:val="00535A3E"/>
    <w:rPr>
      <w:rFonts w:cs="Times New Roman"/>
      <w:i/>
    </w:rPr>
  </w:style>
  <w:style w:type="paragraph" w:styleId="BodyText">
    <w:name w:val="Body Text"/>
    <w:basedOn w:val="Normal"/>
    <w:link w:val="BodyTextChar"/>
    <w:uiPriority w:val="99"/>
    <w:rsid w:val="00216C9F"/>
    <w:pPr>
      <w:widowControl w:val="0"/>
      <w:ind w:right="-108"/>
    </w:pPr>
    <w:rPr>
      <w:kern w:val="28"/>
      <w:sz w:val="16"/>
    </w:rPr>
  </w:style>
  <w:style w:type="character" w:customStyle="1" w:styleId="BodyTextChar">
    <w:name w:val="Body Text Char"/>
    <w:basedOn w:val="DefaultParagraphFont"/>
    <w:link w:val="BodyText"/>
    <w:uiPriority w:val="99"/>
    <w:semiHidden/>
    <w:locked/>
    <w:rsid w:val="00B466BD"/>
    <w:rPr>
      <w:rFonts w:cs="Times New Roman"/>
      <w:kern w:val="28"/>
      <w:sz w:val="16"/>
      <w:lang w:val="en-US" w:eastAsia="en-US" w:bidi="ar-SA"/>
    </w:rPr>
  </w:style>
  <w:style w:type="character" w:customStyle="1" w:styleId="Footnote">
    <w:name w:val="Footnote"/>
    <w:basedOn w:val="DefaultParagraphFont"/>
    <w:rsid w:val="00535A3E"/>
    <w:rPr>
      <w:rFonts w:cs="Times New Roman"/>
    </w:rPr>
  </w:style>
  <w:style w:type="character" w:styleId="CommentReference">
    <w:name w:val="annotation reference"/>
    <w:basedOn w:val="DefaultParagraphFont"/>
    <w:uiPriority w:val="99"/>
    <w:semiHidden/>
    <w:rsid w:val="00535A3E"/>
    <w:rPr>
      <w:rFonts w:cs="Times New Roman"/>
      <w:sz w:val="16"/>
    </w:rPr>
  </w:style>
  <w:style w:type="paragraph" w:styleId="CommentText">
    <w:name w:val="annotation text"/>
    <w:basedOn w:val="Normal"/>
    <w:link w:val="CommentTextChar"/>
    <w:uiPriority w:val="99"/>
    <w:semiHidden/>
    <w:rsid w:val="00535A3E"/>
    <w:rPr>
      <w:sz w:val="20"/>
    </w:rPr>
  </w:style>
  <w:style w:type="character" w:customStyle="1" w:styleId="CommentTextChar">
    <w:name w:val="Comment Text Char"/>
    <w:basedOn w:val="DefaultParagraphFont"/>
    <w:link w:val="CommentText"/>
    <w:uiPriority w:val="99"/>
    <w:semiHidden/>
    <w:locked/>
    <w:rsid w:val="00535A3E"/>
    <w:rPr>
      <w:rFonts w:cs="Times New Roman"/>
    </w:rPr>
  </w:style>
  <w:style w:type="paragraph" w:styleId="CommentSubject">
    <w:name w:val="annotation subject"/>
    <w:basedOn w:val="CommentText"/>
    <w:next w:val="CommentText"/>
    <w:link w:val="CommentSubjectChar"/>
    <w:uiPriority w:val="99"/>
    <w:semiHidden/>
    <w:rsid w:val="00535A3E"/>
    <w:rPr>
      <w:b/>
      <w:bCs/>
    </w:rPr>
  </w:style>
  <w:style w:type="character" w:customStyle="1" w:styleId="CommentSubjectChar">
    <w:name w:val="Comment Subject Char"/>
    <w:basedOn w:val="CommentTextChar"/>
    <w:link w:val="CommentSubject"/>
    <w:uiPriority w:val="99"/>
    <w:semiHidden/>
    <w:locked/>
    <w:rsid w:val="00B466BD"/>
    <w:rPr>
      <w:rFonts w:cs="Times New Roman"/>
      <w:b/>
      <w:bCs/>
    </w:rPr>
  </w:style>
  <w:style w:type="character" w:customStyle="1" w:styleId="apple-style-span">
    <w:name w:val="apple-style-span"/>
    <w:basedOn w:val="DefaultParagraphFont"/>
    <w:uiPriority w:val="99"/>
    <w:rsid w:val="00535A3E"/>
    <w:rPr>
      <w:rFonts w:cs="Times New Roman"/>
    </w:rPr>
  </w:style>
  <w:style w:type="character" w:customStyle="1" w:styleId="apple-converted-space">
    <w:name w:val="apple-converted-space"/>
    <w:basedOn w:val="DefaultParagraphFont"/>
    <w:uiPriority w:val="99"/>
    <w:rsid w:val="00535A3E"/>
    <w:rPr>
      <w:rFonts w:cs="Times New Roman"/>
    </w:rPr>
  </w:style>
  <w:style w:type="character" w:customStyle="1" w:styleId="updatebodytest1">
    <w:name w:val="updatebodytest1"/>
    <w:uiPriority w:val="99"/>
    <w:rsid w:val="00535A3E"/>
    <w:rPr>
      <w:rFonts w:ascii="Arial" w:hAnsi="Arial"/>
      <w:sz w:val="18"/>
    </w:rPr>
  </w:style>
  <w:style w:type="paragraph" w:customStyle="1" w:styleId="part">
    <w:name w:val="part"/>
    <w:basedOn w:val="Normal"/>
    <w:uiPriority w:val="99"/>
    <w:rsid w:val="00535A3E"/>
    <w:pPr>
      <w:spacing w:before="100" w:beforeAutospacing="1" w:after="100" w:afterAutospacing="1"/>
    </w:pPr>
    <w:rPr>
      <w:b/>
      <w:bCs/>
      <w:sz w:val="24"/>
      <w:szCs w:val="24"/>
    </w:rPr>
  </w:style>
  <w:style w:type="paragraph" w:customStyle="1" w:styleId="tablenote">
    <w:name w:val="table_note"/>
    <w:basedOn w:val="Normal"/>
    <w:uiPriority w:val="99"/>
    <w:rsid w:val="00535A3E"/>
    <w:pPr>
      <w:spacing w:before="100" w:beforeAutospacing="1" w:after="100" w:afterAutospacing="1"/>
    </w:pPr>
    <w:rPr>
      <w:sz w:val="24"/>
      <w:szCs w:val="24"/>
    </w:rPr>
  </w:style>
  <w:style w:type="paragraph" w:customStyle="1" w:styleId="subpart">
    <w:name w:val="subpart"/>
    <w:basedOn w:val="Normal"/>
    <w:uiPriority w:val="99"/>
    <w:rsid w:val="00535A3E"/>
    <w:pPr>
      <w:shd w:val="clear" w:color="auto" w:fill="FFFFFF"/>
      <w:spacing w:before="100" w:beforeAutospacing="1" w:after="100" w:afterAutospacing="1"/>
    </w:pPr>
    <w:rPr>
      <w:color w:val="0000FF"/>
      <w:szCs w:val="22"/>
    </w:rPr>
  </w:style>
  <w:style w:type="paragraph" w:customStyle="1" w:styleId="tabletitle">
    <w:name w:val="table_title"/>
    <w:basedOn w:val="Normal"/>
    <w:uiPriority w:val="99"/>
    <w:rsid w:val="00535A3E"/>
    <w:pPr>
      <w:spacing w:before="100" w:beforeAutospacing="1" w:after="100" w:afterAutospacing="1"/>
    </w:pPr>
    <w:rPr>
      <w:sz w:val="24"/>
      <w:szCs w:val="24"/>
    </w:rPr>
  </w:style>
  <w:style w:type="paragraph" w:customStyle="1" w:styleId="RuleHeadings">
    <w:name w:val="Rule Headings"/>
    <w:autoRedefine/>
    <w:uiPriority w:val="99"/>
    <w:rsid w:val="00535A3E"/>
    <w:pPr>
      <w:tabs>
        <w:tab w:val="left" w:pos="360"/>
      </w:tabs>
      <w:spacing w:after="220"/>
      <w:ind w:left="360"/>
    </w:pPr>
    <w:rPr>
      <w:b/>
      <w:bC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ALTS FOOTNOTE Char Char,fn Char Char,fn Char2"/>
    <w:locked/>
    <w:rsid w:val="00535A3E"/>
    <w:rPr>
      <w:lang w:val="en-US" w:eastAsia="en-US"/>
    </w:rPr>
  </w:style>
  <w:style w:type="character" w:customStyle="1" w:styleId="ParaNumChar1">
    <w:name w:val="ParaNum Char1"/>
    <w:uiPriority w:val="99"/>
    <w:rsid w:val="00535A3E"/>
    <w:rPr>
      <w:snapToGrid w:val="0"/>
      <w:kern w:val="28"/>
      <w:sz w:val="22"/>
      <w:lang w:val="en-US" w:eastAsia="en-US"/>
    </w:rPr>
  </w:style>
  <w:style w:type="paragraph" w:styleId="Revision">
    <w:name w:val="Revision"/>
    <w:hidden/>
    <w:uiPriority w:val="99"/>
    <w:semiHidden/>
    <w:rsid w:val="00535A3E"/>
    <w:rPr>
      <w:szCs w:val="20"/>
    </w:rPr>
  </w:style>
  <w:style w:type="paragraph" w:customStyle="1" w:styleId="StyleParaNumAfter12pt">
    <w:name w:val="Style ParaNum + After:  12 pt"/>
    <w:basedOn w:val="ParaNum"/>
    <w:uiPriority w:val="99"/>
    <w:rsid w:val="00535A3E"/>
    <w:pPr>
      <w:numPr>
        <w:numId w:val="7"/>
      </w:numPr>
      <w:spacing w:after="220"/>
    </w:pPr>
  </w:style>
  <w:style w:type="character" w:customStyle="1" w:styleId="intextad">
    <w:name w:val="intext_ad"/>
    <w:basedOn w:val="DefaultParagraphFont"/>
    <w:uiPriority w:val="99"/>
    <w:rsid w:val="00535A3E"/>
    <w:rPr>
      <w:rFonts w:cs="Times New Roman"/>
    </w:rPr>
  </w:style>
  <w:style w:type="paragraph" w:customStyle="1" w:styleId="paranum0">
    <w:name w:val="paranum"/>
    <w:basedOn w:val="Normal"/>
    <w:uiPriority w:val="99"/>
    <w:rsid w:val="00535A3E"/>
    <w:pPr>
      <w:tabs>
        <w:tab w:val="num" w:pos="1080"/>
      </w:tabs>
      <w:spacing w:after="120"/>
      <w:ind w:firstLine="720"/>
    </w:pPr>
    <w:rPr>
      <w:szCs w:val="22"/>
    </w:rPr>
  </w:style>
  <w:style w:type="paragraph" w:styleId="DocumentMap">
    <w:name w:val="Document Map"/>
    <w:basedOn w:val="Normal"/>
    <w:link w:val="DocumentMapChar"/>
    <w:uiPriority w:val="99"/>
    <w:semiHidden/>
    <w:rsid w:val="00535A3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466BD"/>
    <w:rPr>
      <w:rFonts w:cs="Times New Roman"/>
      <w:sz w:val="2"/>
    </w:rPr>
  </w:style>
  <w:style w:type="character" w:customStyle="1" w:styleId="CharChar2">
    <w:name w:val="Char Char2"/>
    <w:uiPriority w:val="99"/>
    <w:locked/>
    <w:rsid w:val="00E6639A"/>
    <w:rPr>
      <w:b/>
      <w:sz w:val="22"/>
      <w:lang w:val="en-US" w:eastAsia="en-US"/>
    </w:rPr>
  </w:style>
  <w:style w:type="character" w:customStyle="1" w:styleId="CharChar1">
    <w:name w:val="Char Char1"/>
    <w:basedOn w:val="DefaultParagraphFont"/>
    <w:uiPriority w:val="99"/>
    <w:locked/>
    <w:rsid w:val="00216C9F"/>
    <w:rPr>
      <w:rFonts w:cs="Times New Roman"/>
      <w:b/>
      <w:sz w:val="22"/>
    </w:rPr>
  </w:style>
  <w:style w:type="character" w:customStyle="1" w:styleId="CharChar">
    <w:name w:val="Char Char"/>
    <w:basedOn w:val="DefaultParagraphFont"/>
    <w:uiPriority w:val="99"/>
    <w:semiHidden/>
    <w:rsid w:val="00E6639A"/>
    <w:rPr>
      <w:rFonts w:cs="Times New Roman"/>
    </w:rPr>
  </w:style>
  <w:style w:type="character" w:customStyle="1" w:styleId="CharChar21">
    <w:name w:val="Char Char21"/>
    <w:uiPriority w:val="99"/>
    <w:locked/>
    <w:rsid w:val="00216C9F"/>
    <w:rPr>
      <w:b/>
      <w:sz w:val="22"/>
      <w:lang w:val="en-US" w:eastAsia="en-US"/>
    </w:rPr>
  </w:style>
  <w:style w:type="character" w:customStyle="1" w:styleId="CharChar3">
    <w:name w:val="Char Char3"/>
    <w:basedOn w:val="DefaultParagraphFont"/>
    <w:uiPriority w:val="99"/>
    <w:semiHidden/>
    <w:rsid w:val="00216C9F"/>
    <w:rPr>
      <w:rFonts w:cs="Times New Roman"/>
    </w:rPr>
  </w:style>
  <w:style w:type="paragraph" w:styleId="PlainText">
    <w:name w:val="Plain Text"/>
    <w:basedOn w:val="Normal"/>
    <w:link w:val="PlainTextChar"/>
    <w:uiPriority w:val="99"/>
    <w:unhideWhenUsed/>
    <w:locked/>
    <w:rsid w:val="00D6020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6020D"/>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4722">
      <w:bodyDiv w:val="1"/>
      <w:marLeft w:val="0"/>
      <w:marRight w:val="0"/>
      <w:marTop w:val="0"/>
      <w:marBottom w:val="0"/>
      <w:divBdr>
        <w:top w:val="none" w:sz="0" w:space="0" w:color="auto"/>
        <w:left w:val="none" w:sz="0" w:space="0" w:color="auto"/>
        <w:bottom w:val="none" w:sz="0" w:space="0" w:color="auto"/>
        <w:right w:val="none" w:sz="0" w:space="0" w:color="auto"/>
      </w:divBdr>
    </w:div>
    <w:div w:id="560335970">
      <w:bodyDiv w:val="1"/>
      <w:marLeft w:val="0"/>
      <w:marRight w:val="0"/>
      <w:marTop w:val="0"/>
      <w:marBottom w:val="0"/>
      <w:divBdr>
        <w:top w:val="none" w:sz="0" w:space="0" w:color="auto"/>
        <w:left w:val="none" w:sz="0" w:space="0" w:color="auto"/>
        <w:bottom w:val="none" w:sz="0" w:space="0" w:color="auto"/>
        <w:right w:val="none" w:sz="0" w:space="0" w:color="auto"/>
      </w:divBdr>
    </w:div>
    <w:div w:id="649864992">
      <w:bodyDiv w:val="1"/>
      <w:marLeft w:val="0"/>
      <w:marRight w:val="0"/>
      <w:marTop w:val="0"/>
      <w:marBottom w:val="0"/>
      <w:divBdr>
        <w:top w:val="none" w:sz="0" w:space="0" w:color="auto"/>
        <w:left w:val="none" w:sz="0" w:space="0" w:color="auto"/>
        <w:bottom w:val="none" w:sz="0" w:space="0" w:color="auto"/>
        <w:right w:val="none" w:sz="0" w:space="0" w:color="auto"/>
      </w:divBdr>
    </w:div>
    <w:div w:id="17065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1856</Words>
  <Characters>10525</Characters>
  <Application>Microsoft Office Word</Application>
  <DocSecurity>0</DocSecurity>
  <Lines>181</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12424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2012-12-03T17:54:00Z</cp:lastPrinted>
  <dcterms:created xsi:type="dcterms:W3CDTF">2013-05-28T20:27:00Z</dcterms:created>
  <dcterms:modified xsi:type="dcterms:W3CDTF">2013-05-28T20:27:00Z</dcterms:modified>
  <cp:category> </cp:category>
  <cp:contentStatus> </cp:contentStatus>
</cp:coreProperties>
</file>