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96BFBE" w14:textId="77777777" w:rsidR="00BC1312" w:rsidRDefault="00F04B5D" w:rsidP="00BC1312">
      <w:pPr>
        <w:spacing w:after="0"/>
        <w:jc w:val="center"/>
        <w:rPr>
          <w:rFonts w:cs="Times New Roman"/>
          <w:b/>
        </w:rPr>
      </w:pPr>
      <w:bookmarkStart w:id="0" w:name="_GoBack"/>
      <w:bookmarkEnd w:id="0"/>
      <w:r w:rsidRPr="00854315">
        <w:rPr>
          <w:rFonts w:cs="Times New Roman"/>
          <w:b/>
        </w:rPr>
        <w:t xml:space="preserve">STATEMENT OF </w:t>
      </w:r>
    </w:p>
    <w:p w14:paraId="120E3A39" w14:textId="3E46C7FF" w:rsidR="00F04B5D" w:rsidRDefault="00F04B5D" w:rsidP="00BC1312">
      <w:pPr>
        <w:spacing w:after="0"/>
        <w:jc w:val="center"/>
        <w:rPr>
          <w:rFonts w:cs="Times New Roman"/>
          <w:b/>
        </w:rPr>
      </w:pPr>
      <w:r w:rsidRPr="00854315">
        <w:rPr>
          <w:rFonts w:cs="Times New Roman"/>
          <w:b/>
        </w:rPr>
        <w:t>COMMISSIONER PAI</w:t>
      </w:r>
      <w:r w:rsidR="00106A74">
        <w:rPr>
          <w:rFonts w:cs="Times New Roman"/>
          <w:b/>
        </w:rPr>
        <w:br/>
      </w:r>
      <w:r w:rsidRPr="00854315">
        <w:rPr>
          <w:rFonts w:cs="Times New Roman"/>
          <w:b/>
        </w:rPr>
        <w:t>APPROVING IN PART AND CONCURRING IN PART</w:t>
      </w:r>
    </w:p>
    <w:p w14:paraId="0B428315" w14:textId="77777777" w:rsidR="00BC1312" w:rsidRPr="00854315" w:rsidRDefault="00BC1312" w:rsidP="00BC1312">
      <w:pPr>
        <w:spacing w:after="0"/>
        <w:jc w:val="center"/>
        <w:rPr>
          <w:rFonts w:cs="Times New Roman"/>
          <w:b/>
        </w:rPr>
      </w:pPr>
    </w:p>
    <w:p w14:paraId="46DC6371" w14:textId="049BAAAC" w:rsidR="00F04B5D" w:rsidRDefault="00F04B5D" w:rsidP="00711366">
      <w:pPr>
        <w:ind w:left="720" w:hanging="720"/>
        <w:rPr>
          <w:rFonts w:cs="Times New Roman"/>
        </w:rPr>
      </w:pPr>
      <w:r w:rsidRPr="00854315">
        <w:rPr>
          <w:rFonts w:cs="Times New Roman"/>
        </w:rPr>
        <w:t>Re:</w:t>
      </w:r>
      <w:r w:rsidRPr="00854315">
        <w:rPr>
          <w:rFonts w:cs="Times New Roman"/>
        </w:rPr>
        <w:tab/>
      </w:r>
      <w:r w:rsidR="00630E7C" w:rsidRPr="00630E7C">
        <w:rPr>
          <w:rFonts w:cs="Times New Roman"/>
          <w:i/>
        </w:rPr>
        <w:t>Closed Captioning of Internet Protocol-Delivered Video Programming</w:t>
      </w:r>
      <w:r w:rsidR="0099244D">
        <w:rPr>
          <w:rFonts w:cs="Times New Roman"/>
          <w:i/>
        </w:rPr>
        <w:t>:  Implementation of the Twenty-First Century Communications and Video Accessibility Act of 2010</w:t>
      </w:r>
      <w:r w:rsidRPr="00106A74">
        <w:rPr>
          <w:rFonts w:cs="Times New Roman"/>
        </w:rPr>
        <w:t xml:space="preserve">, </w:t>
      </w:r>
      <w:r w:rsidRPr="00854315">
        <w:rPr>
          <w:rFonts w:cs="Times New Roman"/>
        </w:rPr>
        <w:t>MB Docket No. 1</w:t>
      </w:r>
      <w:r w:rsidR="00630E7C">
        <w:rPr>
          <w:rFonts w:cs="Times New Roman"/>
        </w:rPr>
        <w:t>1</w:t>
      </w:r>
      <w:r w:rsidRPr="00854315">
        <w:rPr>
          <w:rFonts w:cs="Times New Roman"/>
        </w:rPr>
        <w:t>-1</w:t>
      </w:r>
      <w:r w:rsidR="00630E7C">
        <w:rPr>
          <w:rFonts w:cs="Times New Roman"/>
        </w:rPr>
        <w:t>54</w:t>
      </w:r>
      <w:r w:rsidR="00711366">
        <w:rPr>
          <w:rFonts w:cs="Times New Roman"/>
        </w:rPr>
        <w:t>.</w:t>
      </w:r>
    </w:p>
    <w:p w14:paraId="0FDFC284" w14:textId="4321B036" w:rsidR="006525DC" w:rsidRDefault="00C34834" w:rsidP="00711366">
      <w:pPr>
        <w:ind w:firstLine="720"/>
        <w:rPr>
          <w:rFonts w:cs="Times New Roman"/>
        </w:rPr>
      </w:pPr>
      <w:r>
        <w:rPr>
          <w:rFonts w:cs="Times New Roman"/>
        </w:rPr>
        <w:t xml:space="preserve">Voltaire’s </w:t>
      </w:r>
      <w:r>
        <w:rPr>
          <w:rFonts w:cs="Times New Roman"/>
          <w:i/>
        </w:rPr>
        <w:t xml:space="preserve">La </w:t>
      </w:r>
      <w:r w:rsidRPr="00C34834">
        <w:rPr>
          <w:rFonts w:cs="Times New Roman"/>
          <w:i/>
        </w:rPr>
        <w:t>B</w:t>
      </w:r>
      <w:r w:rsidRPr="004043A8">
        <w:rPr>
          <w:rFonts w:cs="Times New Roman"/>
          <w:i/>
          <w:color w:val="000000"/>
        </w:rPr>
        <w:t>é</w:t>
      </w:r>
      <w:r w:rsidRPr="00C34834">
        <w:rPr>
          <w:rFonts w:cs="Times New Roman"/>
          <w:i/>
        </w:rPr>
        <w:t xml:space="preserve">guele </w:t>
      </w:r>
      <w:r>
        <w:rPr>
          <w:rFonts w:cs="Times New Roman"/>
        </w:rPr>
        <w:t>opens with an observation invaluable for Commission officials involved in the collaborative arts:</w:t>
      </w:r>
      <w:r w:rsidR="00D80B9F">
        <w:rPr>
          <w:rFonts w:cs="Times New Roman"/>
        </w:rPr>
        <w:t xml:space="preserve"> </w:t>
      </w:r>
      <w:r>
        <w:rPr>
          <w:rFonts w:cs="Times New Roman"/>
        </w:rPr>
        <w:t xml:space="preserve"> “</w:t>
      </w:r>
      <w:r w:rsidR="00383723">
        <w:rPr>
          <w:rFonts w:cs="Times New Roman"/>
        </w:rPr>
        <w:t>[</w:t>
      </w:r>
      <w:r w:rsidR="00383723" w:rsidRPr="004043A8">
        <w:rPr>
          <w:rFonts w:cs="Times New Roman"/>
          <w:i/>
        </w:rPr>
        <w:t>L</w:t>
      </w:r>
      <w:r w:rsidR="00383723">
        <w:rPr>
          <w:rFonts w:cs="Times New Roman"/>
        </w:rPr>
        <w:t>]</w:t>
      </w:r>
      <w:r w:rsidR="00383723" w:rsidRPr="004043A8">
        <w:rPr>
          <w:rFonts w:cs="Times New Roman"/>
          <w:i/>
        </w:rPr>
        <w:t>e mieux est l’ennemi du bien</w:t>
      </w:r>
      <w:r w:rsidR="00383723">
        <w:rPr>
          <w:rFonts w:cs="Times New Roman"/>
        </w:rPr>
        <w:t>,” or “</w:t>
      </w:r>
      <w:r>
        <w:rPr>
          <w:rFonts w:cs="Times New Roman"/>
        </w:rPr>
        <w:t xml:space="preserve">The best [or perfect] is the enemy of the good.”  </w:t>
      </w:r>
      <w:r w:rsidR="00F60FA0">
        <w:rPr>
          <w:rFonts w:cs="Times New Roman"/>
        </w:rPr>
        <w:t>It</w:t>
      </w:r>
      <w:r>
        <w:rPr>
          <w:rFonts w:cs="Times New Roman"/>
        </w:rPr>
        <w:t>’</w:t>
      </w:r>
      <w:r w:rsidR="00F60FA0">
        <w:rPr>
          <w:rFonts w:cs="Times New Roman"/>
        </w:rPr>
        <w:t xml:space="preserve">s in this spirit that I am voting to approve in part and concur in part in this Order on Reconsideration and Further Notice of Proposed Rulemaking. </w:t>
      </w:r>
      <w:r w:rsidR="002F7A46">
        <w:rPr>
          <w:rFonts w:cs="Times New Roman"/>
        </w:rPr>
        <w:t xml:space="preserve"> </w:t>
      </w:r>
      <w:r w:rsidR="000B0EE9">
        <w:rPr>
          <w:rFonts w:cs="Times New Roman"/>
        </w:rPr>
        <w:t xml:space="preserve">Although </w:t>
      </w:r>
      <w:r>
        <w:rPr>
          <w:rFonts w:cs="Times New Roman"/>
        </w:rPr>
        <w:t xml:space="preserve">not </w:t>
      </w:r>
      <w:r w:rsidR="00875C80">
        <w:rPr>
          <w:rFonts w:cs="Times New Roman"/>
        </w:rPr>
        <w:t>“the best,”</w:t>
      </w:r>
      <w:r w:rsidR="00F60FA0">
        <w:rPr>
          <w:rFonts w:cs="Times New Roman"/>
        </w:rPr>
        <w:t xml:space="preserve"> </w:t>
      </w:r>
      <w:r w:rsidR="00C8618B">
        <w:rPr>
          <w:rFonts w:cs="Times New Roman"/>
        </w:rPr>
        <w:t xml:space="preserve">today’s item </w:t>
      </w:r>
      <w:r w:rsidR="00F60FA0">
        <w:rPr>
          <w:rFonts w:cs="Times New Roman"/>
        </w:rPr>
        <w:t xml:space="preserve">improves upon </w:t>
      </w:r>
      <w:r w:rsidR="00B3080B">
        <w:rPr>
          <w:rFonts w:cs="Times New Roman"/>
        </w:rPr>
        <w:t xml:space="preserve">the </w:t>
      </w:r>
      <w:r>
        <w:rPr>
          <w:rFonts w:cs="Times New Roman"/>
        </w:rPr>
        <w:t xml:space="preserve">earlier </w:t>
      </w:r>
      <w:r w:rsidR="00B3080B" w:rsidRPr="004043A8">
        <w:rPr>
          <w:rFonts w:cs="Times New Roman"/>
          <w:i/>
        </w:rPr>
        <w:t xml:space="preserve">IP </w:t>
      </w:r>
      <w:r w:rsidR="000F79B6" w:rsidRPr="004043A8">
        <w:rPr>
          <w:rFonts w:cs="Times New Roman"/>
          <w:i/>
        </w:rPr>
        <w:t xml:space="preserve">Closed </w:t>
      </w:r>
      <w:r w:rsidR="00B3080B" w:rsidRPr="004043A8">
        <w:rPr>
          <w:rFonts w:cs="Times New Roman"/>
          <w:i/>
        </w:rPr>
        <w:t>Captioning Order</w:t>
      </w:r>
      <w:r w:rsidR="00B3080B">
        <w:rPr>
          <w:rFonts w:cs="Times New Roman"/>
        </w:rPr>
        <w:t>.</w:t>
      </w:r>
      <w:r w:rsidR="000F79B6">
        <w:rPr>
          <w:rStyle w:val="FootnoteReference"/>
          <w:rFonts w:cs="Times New Roman"/>
        </w:rPr>
        <w:footnoteReference w:id="1"/>
      </w:r>
    </w:p>
    <w:p w14:paraId="1635FAFA" w14:textId="6C7B9A5A" w:rsidR="005B4286" w:rsidRDefault="002822A9" w:rsidP="00711366">
      <w:pPr>
        <w:ind w:firstLine="720"/>
        <w:rPr>
          <w:rFonts w:cs="Times New Roman"/>
        </w:rPr>
      </w:pPr>
      <w:r>
        <w:rPr>
          <w:rFonts w:cs="Times New Roman"/>
        </w:rPr>
        <w:t xml:space="preserve">Let’s start with the many </w:t>
      </w:r>
      <w:r w:rsidR="00B04B04">
        <w:rPr>
          <w:rFonts w:cs="Times New Roman"/>
        </w:rPr>
        <w:t xml:space="preserve">areas </w:t>
      </w:r>
      <w:r>
        <w:rPr>
          <w:rFonts w:cs="Times New Roman"/>
        </w:rPr>
        <w:t xml:space="preserve">where I agree with </w:t>
      </w:r>
      <w:r w:rsidR="00015521">
        <w:rPr>
          <w:rFonts w:cs="Times New Roman"/>
        </w:rPr>
        <w:t>my colleagues</w:t>
      </w:r>
      <w:r>
        <w:rPr>
          <w:rFonts w:cs="Times New Roman"/>
        </w:rPr>
        <w:t xml:space="preserve">. </w:t>
      </w:r>
      <w:r w:rsidR="002F7A46">
        <w:rPr>
          <w:rFonts w:cs="Times New Roman"/>
        </w:rPr>
        <w:t xml:space="preserve"> </w:t>
      </w:r>
      <w:r w:rsidR="00F85037">
        <w:rPr>
          <w:rFonts w:cs="Times New Roman"/>
        </w:rPr>
        <w:t>To begin with</w:t>
      </w:r>
      <w:r w:rsidR="00015521">
        <w:rPr>
          <w:rFonts w:cs="Times New Roman"/>
        </w:rPr>
        <w:t>, I support the Commission’s decision to deny</w:t>
      </w:r>
      <w:r>
        <w:rPr>
          <w:rFonts w:cs="Times New Roman"/>
        </w:rPr>
        <w:t xml:space="preserve"> TVGuard</w:t>
      </w:r>
      <w:r w:rsidR="00015521">
        <w:rPr>
          <w:rFonts w:cs="Times New Roman"/>
        </w:rPr>
        <w:t xml:space="preserve">ian’s petition for reconsideration. </w:t>
      </w:r>
      <w:r w:rsidR="002F7A46">
        <w:rPr>
          <w:rFonts w:cs="Times New Roman"/>
        </w:rPr>
        <w:t xml:space="preserve"> </w:t>
      </w:r>
      <w:r w:rsidR="00015521">
        <w:rPr>
          <w:rFonts w:cs="Times New Roman"/>
        </w:rPr>
        <w:t xml:space="preserve">I also agree with our decision to leave in place the Commission’s determination that video clips shouldn’t be covered by our IP closed captioning rules. </w:t>
      </w:r>
      <w:r w:rsidR="002F7A46">
        <w:rPr>
          <w:rFonts w:cs="Times New Roman"/>
        </w:rPr>
        <w:t xml:space="preserve"> </w:t>
      </w:r>
      <w:r w:rsidR="00B900F6">
        <w:rPr>
          <w:rFonts w:cs="Times New Roman"/>
        </w:rPr>
        <w:t>Furthermore</w:t>
      </w:r>
      <w:r w:rsidR="00015521">
        <w:rPr>
          <w:rFonts w:cs="Times New Roman"/>
        </w:rPr>
        <w:t xml:space="preserve">, I </w:t>
      </w:r>
      <w:r w:rsidR="00C8618B">
        <w:rPr>
          <w:rFonts w:cs="Times New Roman"/>
        </w:rPr>
        <w:t xml:space="preserve">too believe we should </w:t>
      </w:r>
      <w:r w:rsidR="00015521">
        <w:rPr>
          <w:rFonts w:cs="Times New Roman"/>
        </w:rPr>
        <w:t xml:space="preserve">clarify that </w:t>
      </w:r>
      <w:r w:rsidR="00B04B04">
        <w:rPr>
          <w:rFonts w:cs="Times New Roman"/>
        </w:rPr>
        <w:t xml:space="preserve">the Commission’s January 1, 2014 compliance deadline applies to the date of </w:t>
      </w:r>
      <w:r w:rsidR="001D7C0B">
        <w:rPr>
          <w:rFonts w:cs="Times New Roman"/>
        </w:rPr>
        <w:t xml:space="preserve">an apparatus’s </w:t>
      </w:r>
      <w:r w:rsidR="00B04B04">
        <w:rPr>
          <w:rFonts w:cs="Times New Roman"/>
        </w:rPr>
        <w:t>manufacture</w:t>
      </w:r>
      <w:r w:rsidR="00C8618B">
        <w:rPr>
          <w:rFonts w:cs="Times New Roman"/>
        </w:rPr>
        <w:t xml:space="preserve">.  Finally, I endorse </w:t>
      </w:r>
      <w:r w:rsidR="00B900F6" w:rsidRPr="00B900F6">
        <w:rPr>
          <w:rFonts w:cs="Times New Roman"/>
        </w:rPr>
        <w:t>seeking further comment on whether any synchronization requirements should be placed on apparatus manufacturers</w:t>
      </w:r>
      <w:r w:rsidR="00B04B04">
        <w:rPr>
          <w:rFonts w:cs="Times New Roman"/>
        </w:rPr>
        <w:t>.</w:t>
      </w:r>
    </w:p>
    <w:p w14:paraId="2FEA0510" w14:textId="5CDD4DEE" w:rsidR="00B3080B" w:rsidRDefault="00F85037" w:rsidP="00711366">
      <w:pPr>
        <w:ind w:firstLine="720"/>
        <w:rPr>
          <w:rFonts w:cs="Times New Roman"/>
        </w:rPr>
      </w:pPr>
      <w:r>
        <w:rPr>
          <w:rFonts w:cs="Times New Roman"/>
        </w:rPr>
        <w:t xml:space="preserve">However, </w:t>
      </w:r>
      <w:r w:rsidR="00B3080B">
        <w:rPr>
          <w:rFonts w:cs="Times New Roman"/>
        </w:rPr>
        <w:t xml:space="preserve">I concur in part because I </w:t>
      </w:r>
      <w:r w:rsidR="00B04B04">
        <w:rPr>
          <w:rFonts w:cs="Times New Roman"/>
        </w:rPr>
        <w:t xml:space="preserve">would interpret </w:t>
      </w:r>
      <w:r w:rsidR="00B3080B">
        <w:rPr>
          <w:rFonts w:cs="Times New Roman"/>
        </w:rPr>
        <w:t>the text of the</w:t>
      </w:r>
      <w:r w:rsidR="00B04B04" w:rsidRPr="00B04B04">
        <w:t xml:space="preserve"> </w:t>
      </w:r>
      <w:r w:rsidR="00B04B04" w:rsidRPr="00B04B04">
        <w:rPr>
          <w:rFonts w:cs="Times New Roman"/>
        </w:rPr>
        <w:t xml:space="preserve">Twenty-First </w:t>
      </w:r>
      <w:r w:rsidR="00C8618B">
        <w:rPr>
          <w:rFonts w:cs="Times New Roman"/>
        </w:rPr>
        <w:t xml:space="preserve">Century </w:t>
      </w:r>
      <w:r w:rsidR="00B04B04" w:rsidRPr="00B04B04">
        <w:rPr>
          <w:rFonts w:cs="Times New Roman"/>
        </w:rPr>
        <w:t>Communications and Video Accessibility Act of 2010</w:t>
      </w:r>
      <w:r w:rsidR="00B3080B">
        <w:rPr>
          <w:rFonts w:cs="Times New Roman"/>
        </w:rPr>
        <w:t xml:space="preserve"> </w:t>
      </w:r>
      <w:r w:rsidR="00B04B04">
        <w:rPr>
          <w:rFonts w:cs="Times New Roman"/>
        </w:rPr>
        <w:t>(</w:t>
      </w:r>
      <w:r w:rsidR="00B3080B">
        <w:rPr>
          <w:rFonts w:cs="Times New Roman"/>
        </w:rPr>
        <w:t>CVAA</w:t>
      </w:r>
      <w:r w:rsidR="00B04B04">
        <w:rPr>
          <w:rFonts w:cs="Times New Roman"/>
        </w:rPr>
        <w:t>)</w:t>
      </w:r>
      <w:r w:rsidR="00B3080B">
        <w:rPr>
          <w:rFonts w:cs="Times New Roman"/>
        </w:rPr>
        <w:t xml:space="preserve"> differently </w:t>
      </w:r>
      <w:r w:rsidR="00B04B04">
        <w:rPr>
          <w:rFonts w:cs="Times New Roman"/>
        </w:rPr>
        <w:t>with respect to</w:t>
      </w:r>
      <w:r w:rsidR="00B3080B">
        <w:rPr>
          <w:rFonts w:cs="Times New Roman"/>
        </w:rPr>
        <w:t xml:space="preserve"> two issues.</w:t>
      </w:r>
    </w:p>
    <w:p w14:paraId="3FD11227" w14:textId="60570CF7" w:rsidR="00791759" w:rsidRDefault="007F23FF" w:rsidP="00106A74">
      <w:pPr>
        <w:ind w:firstLine="720"/>
        <w:rPr>
          <w:rFonts w:cs="Times New Roman"/>
        </w:rPr>
      </w:pPr>
      <w:r w:rsidRPr="00F85037">
        <w:rPr>
          <w:rFonts w:cs="Times New Roman"/>
          <w:i/>
        </w:rPr>
        <w:t>First</w:t>
      </w:r>
      <w:r>
        <w:rPr>
          <w:rFonts w:cs="Times New Roman"/>
        </w:rPr>
        <w:t xml:space="preserve">, </w:t>
      </w:r>
      <w:r w:rsidR="00C86D1C">
        <w:rPr>
          <w:rFonts w:cs="Times New Roman"/>
        </w:rPr>
        <w:t xml:space="preserve">I would </w:t>
      </w:r>
      <w:r w:rsidR="00B857C1">
        <w:rPr>
          <w:rFonts w:cs="Times New Roman"/>
        </w:rPr>
        <w:t>use</w:t>
      </w:r>
      <w:r w:rsidR="00C86D1C">
        <w:rPr>
          <w:rFonts w:cs="Times New Roman"/>
        </w:rPr>
        <w:t xml:space="preserve"> a different </w:t>
      </w:r>
      <w:r w:rsidR="001D7C0B">
        <w:rPr>
          <w:rFonts w:cs="Times New Roman"/>
        </w:rPr>
        <w:t>test to evaluate whether an apparatus is covered by o</w:t>
      </w:r>
      <w:r w:rsidR="00F066B8">
        <w:rPr>
          <w:rFonts w:cs="Times New Roman"/>
        </w:rPr>
        <w:t xml:space="preserve">ur IP closed captioning rules. </w:t>
      </w:r>
      <w:r w:rsidR="002F7A46">
        <w:rPr>
          <w:rFonts w:cs="Times New Roman"/>
        </w:rPr>
        <w:t xml:space="preserve"> </w:t>
      </w:r>
      <w:r w:rsidR="003B3C39">
        <w:rPr>
          <w:rFonts w:cs="Times New Roman"/>
        </w:rPr>
        <w:t xml:space="preserve">The statute </w:t>
      </w:r>
      <w:r w:rsidR="00FD4941">
        <w:rPr>
          <w:rFonts w:cs="Times New Roman"/>
        </w:rPr>
        <w:t xml:space="preserve">only </w:t>
      </w:r>
      <w:r w:rsidR="003B3C39">
        <w:rPr>
          <w:rFonts w:cs="Times New Roman"/>
        </w:rPr>
        <w:t>covers devices</w:t>
      </w:r>
      <w:r>
        <w:rPr>
          <w:rFonts w:cs="Times New Roman"/>
        </w:rPr>
        <w:t xml:space="preserve"> “</w:t>
      </w:r>
      <w:r w:rsidRPr="001D7C0B">
        <w:rPr>
          <w:rFonts w:cs="Times New Roman"/>
          <w:i/>
        </w:rPr>
        <w:t>designed to</w:t>
      </w:r>
      <w:r>
        <w:rPr>
          <w:rFonts w:cs="Times New Roman"/>
        </w:rPr>
        <w:t xml:space="preserve"> receive or play back video programming</w:t>
      </w:r>
      <w:r w:rsidR="001D7C0B">
        <w:rPr>
          <w:rFonts w:cs="Times New Roman"/>
        </w:rPr>
        <w:t>.”</w:t>
      </w:r>
      <w:r w:rsidR="001D7C0B">
        <w:rPr>
          <w:rStyle w:val="FootnoteReference"/>
          <w:rFonts w:cs="Times New Roman"/>
        </w:rPr>
        <w:footnoteReference w:id="2"/>
      </w:r>
      <w:r w:rsidR="002F7A46">
        <w:rPr>
          <w:rFonts w:cs="Times New Roman"/>
        </w:rPr>
        <w:t xml:space="preserve"> </w:t>
      </w:r>
      <w:r w:rsidR="009E20DA">
        <w:rPr>
          <w:rFonts w:cs="Times New Roman"/>
        </w:rPr>
        <w:t xml:space="preserve"> </w:t>
      </w:r>
      <w:r w:rsidR="001D7C0B">
        <w:rPr>
          <w:rFonts w:cs="Times New Roman"/>
        </w:rPr>
        <w:t xml:space="preserve">This, in my view, </w:t>
      </w:r>
      <w:r w:rsidR="009E20DA">
        <w:rPr>
          <w:rFonts w:cs="Times New Roman"/>
        </w:rPr>
        <w:t>require</w:t>
      </w:r>
      <w:r w:rsidR="001D7C0B">
        <w:rPr>
          <w:rFonts w:cs="Times New Roman"/>
        </w:rPr>
        <w:t>s</w:t>
      </w:r>
      <w:r w:rsidR="009E20DA">
        <w:rPr>
          <w:rFonts w:cs="Times New Roman"/>
        </w:rPr>
        <w:t xml:space="preserve"> more </w:t>
      </w:r>
      <w:r>
        <w:rPr>
          <w:rFonts w:cs="Times New Roman"/>
        </w:rPr>
        <w:t xml:space="preserve">than </w:t>
      </w:r>
      <w:r w:rsidR="001D7C0B">
        <w:rPr>
          <w:rFonts w:cs="Times New Roman"/>
        </w:rPr>
        <w:t xml:space="preserve">looking </w:t>
      </w:r>
      <w:r>
        <w:rPr>
          <w:rFonts w:cs="Times New Roman"/>
        </w:rPr>
        <w:t>just</w:t>
      </w:r>
      <w:r w:rsidR="001D7C0B">
        <w:rPr>
          <w:rFonts w:cs="Times New Roman"/>
        </w:rPr>
        <w:t xml:space="preserve"> to </w:t>
      </w:r>
      <w:r w:rsidR="001A6F09">
        <w:rPr>
          <w:rFonts w:cs="Times New Roman"/>
        </w:rPr>
        <w:t>an apparatus’</w:t>
      </w:r>
      <w:r w:rsidR="00D80B9F">
        <w:rPr>
          <w:rFonts w:cs="Times New Roman"/>
        </w:rPr>
        <w:t>s</w:t>
      </w:r>
      <w:r w:rsidR="001A6F09">
        <w:rPr>
          <w:rFonts w:cs="Times New Roman"/>
        </w:rPr>
        <w:t xml:space="preserve"> </w:t>
      </w:r>
      <w:r w:rsidR="001D7C0B">
        <w:rPr>
          <w:rFonts w:cs="Times New Roman"/>
        </w:rPr>
        <w:t>capabilit</w:t>
      </w:r>
      <w:r w:rsidR="001A6F09">
        <w:rPr>
          <w:rFonts w:cs="Times New Roman"/>
        </w:rPr>
        <w:t>ies</w:t>
      </w:r>
      <w:r w:rsidR="001D7C0B">
        <w:rPr>
          <w:rFonts w:cs="Times New Roman"/>
        </w:rPr>
        <w:t xml:space="preserve">, the standard adopted in the </w:t>
      </w:r>
      <w:r w:rsidR="00A86911">
        <w:rPr>
          <w:rFonts w:cs="Times New Roman"/>
        </w:rPr>
        <w:t xml:space="preserve">prior </w:t>
      </w:r>
      <w:r w:rsidR="00D80B9F">
        <w:rPr>
          <w:rFonts w:cs="Times New Roman"/>
        </w:rPr>
        <w:t>o</w:t>
      </w:r>
      <w:r w:rsidR="001D7C0B">
        <w:rPr>
          <w:rFonts w:cs="Times New Roman"/>
        </w:rPr>
        <w:t>rder and reaffirmed today</w:t>
      </w:r>
      <w:r>
        <w:rPr>
          <w:rFonts w:cs="Times New Roman"/>
        </w:rPr>
        <w:t>.</w:t>
      </w:r>
      <w:r w:rsidR="004F46C9">
        <w:rPr>
          <w:rStyle w:val="FootnoteReference"/>
          <w:rFonts w:cs="Times New Roman"/>
        </w:rPr>
        <w:footnoteReference w:id="3"/>
      </w:r>
      <w:r>
        <w:rPr>
          <w:rFonts w:cs="Times New Roman"/>
        </w:rPr>
        <w:t xml:space="preserve"> </w:t>
      </w:r>
      <w:r w:rsidR="002F7A46">
        <w:rPr>
          <w:rFonts w:cs="Times New Roman"/>
        </w:rPr>
        <w:t xml:space="preserve"> </w:t>
      </w:r>
      <w:r>
        <w:rPr>
          <w:rFonts w:cs="Times New Roman"/>
        </w:rPr>
        <w:t xml:space="preserve">The word </w:t>
      </w:r>
      <w:r w:rsidR="00A86911">
        <w:rPr>
          <w:rFonts w:cs="Times New Roman"/>
        </w:rPr>
        <w:t>“</w:t>
      </w:r>
      <w:r w:rsidRPr="00A86911">
        <w:rPr>
          <w:rFonts w:cs="Times New Roman"/>
        </w:rPr>
        <w:t>design</w:t>
      </w:r>
      <w:r w:rsidR="001A6F09">
        <w:rPr>
          <w:rFonts w:cs="Times New Roman"/>
        </w:rPr>
        <w:t>ed</w:t>
      </w:r>
      <w:r w:rsidR="00A86911">
        <w:rPr>
          <w:rFonts w:cs="Times New Roman"/>
        </w:rPr>
        <w:t>”</w:t>
      </w:r>
      <w:r w:rsidRPr="00A86911">
        <w:rPr>
          <w:rFonts w:cs="Times New Roman"/>
        </w:rPr>
        <w:t xml:space="preserve"> </w:t>
      </w:r>
      <w:r>
        <w:rPr>
          <w:rFonts w:cs="Times New Roman"/>
        </w:rPr>
        <w:t xml:space="preserve">indicates </w:t>
      </w:r>
      <w:r w:rsidR="001A6F09">
        <w:rPr>
          <w:rFonts w:cs="Times New Roman"/>
        </w:rPr>
        <w:t xml:space="preserve">manifested </w:t>
      </w:r>
      <w:r>
        <w:rPr>
          <w:rFonts w:cs="Times New Roman"/>
        </w:rPr>
        <w:t>intent,</w:t>
      </w:r>
      <w:r w:rsidR="008F0F3F">
        <w:rPr>
          <w:rStyle w:val="FootnoteReference"/>
          <w:rFonts w:cs="Times New Roman"/>
        </w:rPr>
        <w:footnoteReference w:id="4"/>
      </w:r>
      <w:r>
        <w:rPr>
          <w:rFonts w:cs="Times New Roman"/>
        </w:rPr>
        <w:t xml:space="preserve"> and </w:t>
      </w:r>
      <w:r w:rsidR="00C92061">
        <w:rPr>
          <w:rFonts w:cs="Times New Roman"/>
        </w:rPr>
        <w:t>interpreting</w:t>
      </w:r>
      <w:r>
        <w:rPr>
          <w:rFonts w:cs="Times New Roman"/>
        </w:rPr>
        <w:t xml:space="preserve"> the statute as not requiring </w:t>
      </w:r>
      <w:r w:rsidR="00A82C35" w:rsidRPr="00F85037">
        <w:rPr>
          <w:rFonts w:cs="Times New Roman"/>
          <w:i/>
        </w:rPr>
        <w:t>any</w:t>
      </w:r>
      <w:r w:rsidR="00A82C35">
        <w:rPr>
          <w:rFonts w:cs="Times New Roman"/>
        </w:rPr>
        <w:t xml:space="preserve"> measure of </w:t>
      </w:r>
      <w:r>
        <w:rPr>
          <w:rFonts w:cs="Times New Roman"/>
        </w:rPr>
        <w:t xml:space="preserve">intent essentially reads the </w:t>
      </w:r>
      <w:r w:rsidR="001A6F09">
        <w:rPr>
          <w:rFonts w:cs="Times New Roman"/>
        </w:rPr>
        <w:t xml:space="preserve">phrase </w:t>
      </w:r>
      <w:r>
        <w:rPr>
          <w:rFonts w:cs="Times New Roman"/>
        </w:rPr>
        <w:t>“designed to” out of the statute.</w:t>
      </w:r>
      <w:r w:rsidR="00D95CAE">
        <w:rPr>
          <w:rStyle w:val="FootnoteReference"/>
          <w:rFonts w:cs="Times New Roman"/>
        </w:rPr>
        <w:footnoteReference w:id="5"/>
      </w:r>
    </w:p>
    <w:p w14:paraId="52B225C1" w14:textId="6FAC5847" w:rsidR="00A82C35" w:rsidRDefault="00A82C35" w:rsidP="00106A74">
      <w:pPr>
        <w:ind w:firstLine="720"/>
        <w:rPr>
          <w:rFonts w:cs="Times New Roman"/>
        </w:rPr>
      </w:pPr>
      <w:r>
        <w:rPr>
          <w:rFonts w:cs="Times New Roman"/>
        </w:rPr>
        <w:t xml:space="preserve">To be sure, today’s item claims that the Commission </w:t>
      </w:r>
      <w:r w:rsidR="00102E21">
        <w:rPr>
          <w:rFonts w:cs="Times New Roman"/>
        </w:rPr>
        <w:t>looks</w:t>
      </w:r>
      <w:r>
        <w:rPr>
          <w:rFonts w:cs="Times New Roman"/>
        </w:rPr>
        <w:t xml:space="preserve"> to “the device’s functionality . . . to determine what the device was designed to accomplish.”</w:t>
      </w:r>
      <w:r>
        <w:rPr>
          <w:rStyle w:val="FootnoteReference"/>
          <w:rFonts w:cs="Times New Roman"/>
        </w:rPr>
        <w:footnoteReference w:id="6"/>
      </w:r>
      <w:r>
        <w:rPr>
          <w:rFonts w:cs="Times New Roman"/>
        </w:rPr>
        <w:t xml:space="preserve"> </w:t>
      </w:r>
      <w:r w:rsidR="002F7A46">
        <w:rPr>
          <w:rFonts w:cs="Times New Roman"/>
        </w:rPr>
        <w:t xml:space="preserve"> </w:t>
      </w:r>
      <w:r>
        <w:rPr>
          <w:rFonts w:cs="Times New Roman"/>
        </w:rPr>
        <w:t>But functionality is not always aligned with intent.</w:t>
      </w:r>
      <w:r w:rsidR="002F7A46">
        <w:rPr>
          <w:rFonts w:cs="Times New Roman"/>
        </w:rPr>
        <w:t xml:space="preserve">  </w:t>
      </w:r>
      <w:r>
        <w:rPr>
          <w:rFonts w:cs="Times New Roman"/>
        </w:rPr>
        <w:t xml:space="preserve">Take, for example, the drug commonly known as Propecia. </w:t>
      </w:r>
      <w:r w:rsidR="002F7A46">
        <w:rPr>
          <w:rFonts w:cs="Times New Roman"/>
        </w:rPr>
        <w:t xml:space="preserve"> </w:t>
      </w:r>
      <w:r w:rsidR="00791759">
        <w:rPr>
          <w:rFonts w:cs="Times New Roman"/>
        </w:rPr>
        <w:t xml:space="preserve">Although </w:t>
      </w:r>
      <w:r>
        <w:rPr>
          <w:rFonts w:cs="Times New Roman"/>
        </w:rPr>
        <w:t xml:space="preserve">it </w:t>
      </w:r>
      <w:r w:rsidR="0077772D">
        <w:rPr>
          <w:rFonts w:cs="Times New Roman"/>
        </w:rPr>
        <w:t xml:space="preserve">certainly </w:t>
      </w:r>
      <w:r w:rsidR="00FD4941">
        <w:rPr>
          <w:rFonts w:cs="Times New Roman"/>
        </w:rPr>
        <w:t>is capable</w:t>
      </w:r>
      <w:r>
        <w:rPr>
          <w:rFonts w:cs="Times New Roman"/>
        </w:rPr>
        <w:t xml:space="preserve"> of reversing male pattern baldness, Propecia was </w:t>
      </w:r>
      <w:r w:rsidR="00F066B8">
        <w:rPr>
          <w:rFonts w:cs="Times New Roman"/>
        </w:rPr>
        <w:t>not designed for this purpose.</w:t>
      </w:r>
      <w:r w:rsidR="002F7A46">
        <w:rPr>
          <w:rFonts w:cs="Times New Roman"/>
        </w:rPr>
        <w:t xml:space="preserve"> </w:t>
      </w:r>
      <w:r w:rsidR="00F066B8">
        <w:rPr>
          <w:rFonts w:cs="Times New Roman"/>
        </w:rPr>
        <w:t xml:space="preserve"> </w:t>
      </w:r>
      <w:r>
        <w:rPr>
          <w:rFonts w:cs="Times New Roman"/>
        </w:rPr>
        <w:t>Rather, it was develope</w:t>
      </w:r>
      <w:r w:rsidR="00265A2E">
        <w:rPr>
          <w:rFonts w:cs="Times New Roman"/>
        </w:rPr>
        <w:t xml:space="preserve">d to </w:t>
      </w:r>
      <w:r w:rsidR="00265A2E">
        <w:rPr>
          <w:rFonts w:cs="Times New Roman"/>
        </w:rPr>
        <w:lastRenderedPageBreak/>
        <w:t>treat enlarged prostates.</w:t>
      </w:r>
      <w:r w:rsidR="007E5709">
        <w:rPr>
          <w:rStyle w:val="FootnoteReference"/>
          <w:rFonts w:cs="Times New Roman"/>
        </w:rPr>
        <w:footnoteReference w:id="7"/>
      </w:r>
      <w:r w:rsidR="00875C80">
        <w:rPr>
          <w:rFonts w:cs="Times New Roman"/>
        </w:rPr>
        <w:t xml:space="preserve">  Similarly, while a credit card </w:t>
      </w:r>
      <w:r w:rsidR="007E5709">
        <w:rPr>
          <w:rFonts w:cs="Times New Roman"/>
        </w:rPr>
        <w:t>can sometimes</w:t>
      </w:r>
      <w:r w:rsidR="00875C80">
        <w:rPr>
          <w:rFonts w:cs="Times New Roman"/>
        </w:rPr>
        <w:t xml:space="preserve"> </w:t>
      </w:r>
      <w:r w:rsidR="007E5709">
        <w:rPr>
          <w:rFonts w:cs="Times New Roman"/>
        </w:rPr>
        <w:t>open</w:t>
      </w:r>
      <w:r w:rsidR="00875C80">
        <w:rPr>
          <w:rFonts w:cs="Times New Roman"/>
        </w:rPr>
        <w:t xml:space="preserve"> locked doors,</w:t>
      </w:r>
      <w:r w:rsidR="00875C80">
        <w:rPr>
          <w:rStyle w:val="FootnoteReference"/>
          <w:rFonts w:cs="Times New Roman"/>
        </w:rPr>
        <w:footnoteReference w:id="8"/>
      </w:r>
      <w:r w:rsidR="00875C80">
        <w:rPr>
          <w:rFonts w:cs="Times New Roman"/>
        </w:rPr>
        <w:t xml:space="preserve"> </w:t>
      </w:r>
      <w:r w:rsidR="00230100">
        <w:rPr>
          <w:rFonts w:cs="Times New Roman"/>
        </w:rPr>
        <w:t>I don’t think anyone</w:t>
      </w:r>
      <w:r w:rsidR="00875C80">
        <w:rPr>
          <w:rFonts w:cs="Times New Roman"/>
        </w:rPr>
        <w:t xml:space="preserve"> would say that it was designed </w:t>
      </w:r>
      <w:r w:rsidR="008F481C">
        <w:rPr>
          <w:rFonts w:cs="Times New Roman"/>
        </w:rPr>
        <w:t>to do so</w:t>
      </w:r>
      <w:r w:rsidR="00875C80">
        <w:rPr>
          <w:rFonts w:cs="Times New Roman"/>
        </w:rPr>
        <w:t>.</w:t>
      </w:r>
    </w:p>
    <w:p w14:paraId="175F30D0" w14:textId="5B81B0A7" w:rsidR="009D2966" w:rsidRDefault="009D2966" w:rsidP="009D2966">
      <w:pPr>
        <w:ind w:firstLine="720"/>
        <w:rPr>
          <w:rFonts w:cs="Times New Roman"/>
        </w:rPr>
      </w:pPr>
      <w:r w:rsidRPr="009D2966">
        <w:rPr>
          <w:rFonts w:cs="Times New Roman"/>
        </w:rPr>
        <w:t xml:space="preserve">I </w:t>
      </w:r>
      <w:r>
        <w:rPr>
          <w:rFonts w:cs="Times New Roman"/>
        </w:rPr>
        <w:t>share my colleagues</w:t>
      </w:r>
      <w:r w:rsidR="00A86911">
        <w:rPr>
          <w:rFonts w:cs="Times New Roman"/>
        </w:rPr>
        <w:t>’</w:t>
      </w:r>
      <w:r>
        <w:rPr>
          <w:rFonts w:cs="Times New Roman"/>
        </w:rPr>
        <w:t xml:space="preserve"> concern</w:t>
      </w:r>
      <w:r w:rsidRPr="009D2966">
        <w:rPr>
          <w:rFonts w:cs="Times New Roman"/>
        </w:rPr>
        <w:t xml:space="preserve"> that a </w:t>
      </w:r>
      <w:r w:rsidRPr="00D80B9F">
        <w:rPr>
          <w:rFonts w:cs="Times New Roman"/>
        </w:rPr>
        <w:t>subjective intent</w:t>
      </w:r>
      <w:r w:rsidRPr="009D2966">
        <w:rPr>
          <w:rFonts w:cs="Times New Roman"/>
        </w:rPr>
        <w:t xml:space="preserve"> test</w:t>
      </w:r>
      <w:r w:rsidR="00F85037">
        <w:rPr>
          <w:rFonts w:cs="Times New Roman"/>
        </w:rPr>
        <w:t xml:space="preserve"> would grant</w:t>
      </w:r>
      <w:r w:rsidRPr="009D2966">
        <w:rPr>
          <w:rFonts w:cs="Times New Roman"/>
        </w:rPr>
        <w:t xml:space="preserve"> </w:t>
      </w:r>
      <w:r w:rsidR="00AF48F4">
        <w:rPr>
          <w:rFonts w:cs="Times New Roman"/>
        </w:rPr>
        <w:t xml:space="preserve">manufacturers </w:t>
      </w:r>
      <w:r w:rsidRPr="009D2966">
        <w:rPr>
          <w:rFonts w:cs="Times New Roman"/>
        </w:rPr>
        <w:t xml:space="preserve">too much </w:t>
      </w:r>
      <w:r w:rsidR="00AF48F4">
        <w:rPr>
          <w:rFonts w:cs="Times New Roman"/>
        </w:rPr>
        <w:t>leeway</w:t>
      </w:r>
      <w:r w:rsidR="00AF48F4" w:rsidRPr="009D2966">
        <w:rPr>
          <w:rFonts w:cs="Times New Roman"/>
        </w:rPr>
        <w:t xml:space="preserve"> </w:t>
      </w:r>
      <w:r w:rsidRPr="009D2966">
        <w:rPr>
          <w:rFonts w:cs="Times New Roman"/>
        </w:rPr>
        <w:t>by allowing them to “evade our requirements by claiming that they did not intend such use.”</w:t>
      </w:r>
      <w:r>
        <w:rPr>
          <w:rStyle w:val="FootnoteReference"/>
          <w:rFonts w:cs="Times New Roman"/>
        </w:rPr>
        <w:footnoteReference w:id="9"/>
      </w:r>
      <w:r w:rsidRPr="009D2966">
        <w:rPr>
          <w:rFonts w:cs="Times New Roman"/>
        </w:rPr>
        <w:t xml:space="preserve"> </w:t>
      </w:r>
      <w:r w:rsidR="002F7A46">
        <w:rPr>
          <w:rFonts w:cs="Times New Roman"/>
        </w:rPr>
        <w:t xml:space="preserve"> </w:t>
      </w:r>
      <w:r>
        <w:rPr>
          <w:rFonts w:cs="Times New Roman"/>
        </w:rPr>
        <w:t xml:space="preserve">This is one reason why </w:t>
      </w:r>
      <w:r w:rsidR="0077772D">
        <w:rPr>
          <w:rFonts w:cs="Times New Roman"/>
        </w:rPr>
        <w:t xml:space="preserve">I </w:t>
      </w:r>
      <w:r>
        <w:rPr>
          <w:rFonts w:cs="Times New Roman"/>
        </w:rPr>
        <w:t>favor using</w:t>
      </w:r>
      <w:r w:rsidR="00D95CAE">
        <w:rPr>
          <w:rFonts w:cs="Times New Roman"/>
        </w:rPr>
        <w:t xml:space="preserve"> </w:t>
      </w:r>
      <w:r w:rsidR="00324049">
        <w:rPr>
          <w:rFonts w:cs="Times New Roman"/>
        </w:rPr>
        <w:t xml:space="preserve">an </w:t>
      </w:r>
      <w:r w:rsidR="00324049" w:rsidRPr="00D80B9F">
        <w:rPr>
          <w:rFonts w:cs="Times New Roman"/>
        </w:rPr>
        <w:t>objective intent</w:t>
      </w:r>
      <w:r w:rsidR="00324049">
        <w:rPr>
          <w:rFonts w:cs="Times New Roman"/>
        </w:rPr>
        <w:t xml:space="preserve"> test</w:t>
      </w:r>
      <w:r w:rsidR="008D6952">
        <w:rPr>
          <w:rFonts w:cs="Times New Roman"/>
        </w:rPr>
        <w:t xml:space="preserve"> </w:t>
      </w:r>
      <w:r w:rsidR="00D95CAE">
        <w:rPr>
          <w:rFonts w:cs="Times New Roman"/>
        </w:rPr>
        <w:t xml:space="preserve">to </w:t>
      </w:r>
      <w:r>
        <w:rPr>
          <w:rFonts w:cs="Times New Roman"/>
        </w:rPr>
        <w:t xml:space="preserve">determine whether an apparatus is covered by </w:t>
      </w:r>
      <w:r w:rsidR="003B3C39">
        <w:rPr>
          <w:rFonts w:cs="Times New Roman"/>
        </w:rPr>
        <w:t xml:space="preserve">the statute and </w:t>
      </w:r>
      <w:r>
        <w:rPr>
          <w:rFonts w:cs="Times New Roman"/>
        </w:rPr>
        <w:t>our IP closed captioning rules.</w:t>
      </w:r>
      <w:r w:rsidR="002F7A46">
        <w:rPr>
          <w:rFonts w:cs="Times New Roman"/>
        </w:rPr>
        <w:t xml:space="preserve"> </w:t>
      </w:r>
      <w:r>
        <w:rPr>
          <w:rFonts w:cs="Times New Roman"/>
        </w:rPr>
        <w:t xml:space="preserve"> In particular, we should ask whether </w:t>
      </w:r>
      <w:r w:rsidR="00324049">
        <w:rPr>
          <w:rFonts w:cs="Times New Roman"/>
        </w:rPr>
        <w:t xml:space="preserve">a reasonable </w:t>
      </w:r>
      <w:r w:rsidR="00FD4941">
        <w:rPr>
          <w:rFonts w:cs="Times New Roman"/>
        </w:rPr>
        <w:t xml:space="preserve">person </w:t>
      </w:r>
      <w:r w:rsidR="00324049">
        <w:rPr>
          <w:rFonts w:cs="Times New Roman"/>
        </w:rPr>
        <w:t xml:space="preserve">would conclude </w:t>
      </w:r>
      <w:r>
        <w:rPr>
          <w:rFonts w:cs="Times New Roman"/>
        </w:rPr>
        <w:t xml:space="preserve">that </w:t>
      </w:r>
      <w:r w:rsidR="00324049">
        <w:rPr>
          <w:rFonts w:cs="Times New Roman"/>
        </w:rPr>
        <w:t xml:space="preserve">a device </w:t>
      </w:r>
      <w:r>
        <w:rPr>
          <w:rFonts w:cs="Times New Roman"/>
        </w:rPr>
        <w:t>was</w:t>
      </w:r>
      <w:r w:rsidR="00324049">
        <w:rPr>
          <w:rFonts w:cs="Times New Roman"/>
        </w:rPr>
        <w:t xml:space="preserve"> </w:t>
      </w:r>
      <w:r w:rsidR="003B3C39">
        <w:rPr>
          <w:rFonts w:cs="Times New Roman"/>
        </w:rPr>
        <w:t>intended</w:t>
      </w:r>
      <w:r w:rsidR="00324049">
        <w:rPr>
          <w:rFonts w:cs="Times New Roman"/>
        </w:rPr>
        <w:t xml:space="preserve"> to </w:t>
      </w:r>
      <w:r w:rsidR="001D536B">
        <w:rPr>
          <w:rFonts w:cs="Times New Roman"/>
        </w:rPr>
        <w:t>receive or play back video programming</w:t>
      </w:r>
      <w:r w:rsidR="00324049">
        <w:rPr>
          <w:rFonts w:cs="Times New Roman"/>
        </w:rPr>
        <w:t>.</w:t>
      </w:r>
      <w:r>
        <w:rPr>
          <w:rStyle w:val="FootnoteReference"/>
          <w:rFonts w:cs="Times New Roman"/>
        </w:rPr>
        <w:footnoteReference w:id="10"/>
      </w:r>
      <w:r w:rsidR="00324049">
        <w:rPr>
          <w:rFonts w:cs="Times New Roman"/>
        </w:rPr>
        <w:t xml:space="preserve"> </w:t>
      </w:r>
      <w:r w:rsidR="002F7A46">
        <w:rPr>
          <w:rFonts w:cs="Times New Roman"/>
        </w:rPr>
        <w:t xml:space="preserve"> </w:t>
      </w:r>
      <w:r>
        <w:rPr>
          <w:rFonts w:cs="Times New Roman"/>
        </w:rPr>
        <w:t xml:space="preserve">While a device’s functionality would certainly be </w:t>
      </w:r>
      <w:r w:rsidR="00A86911">
        <w:rPr>
          <w:rFonts w:cs="Times New Roman"/>
        </w:rPr>
        <w:t xml:space="preserve">highly </w:t>
      </w:r>
      <w:r>
        <w:rPr>
          <w:rFonts w:cs="Times New Roman"/>
        </w:rPr>
        <w:t>probative evidence in such an inquiry, it would not al</w:t>
      </w:r>
      <w:r w:rsidR="00471D25">
        <w:rPr>
          <w:rFonts w:cs="Times New Roman"/>
        </w:rPr>
        <w:t>ways be outcome determinative.</w:t>
      </w:r>
      <w:r w:rsidR="002F7A46">
        <w:rPr>
          <w:rFonts w:cs="Times New Roman"/>
        </w:rPr>
        <w:t xml:space="preserve"> </w:t>
      </w:r>
      <w:r w:rsidR="00471D25">
        <w:rPr>
          <w:rFonts w:cs="Times New Roman"/>
        </w:rPr>
        <w:t xml:space="preserve"> </w:t>
      </w:r>
      <w:r>
        <w:rPr>
          <w:rFonts w:cs="Times New Roman"/>
        </w:rPr>
        <w:t>For example, I do not believe that a reasonable person would conclude that the devices that are the subject of the waivers granted in today’s item</w:t>
      </w:r>
      <w:r w:rsidR="00A62B4E">
        <w:rPr>
          <w:rFonts w:cs="Times New Roman"/>
        </w:rPr>
        <w:t>, such as digital still cameras and baby monitors,</w:t>
      </w:r>
      <w:r>
        <w:rPr>
          <w:rFonts w:cs="Times New Roman"/>
        </w:rPr>
        <w:t xml:space="preserve"> </w:t>
      </w:r>
      <w:r w:rsidR="00F85037">
        <w:rPr>
          <w:rFonts w:cs="Times New Roman"/>
        </w:rPr>
        <w:t>were</w:t>
      </w:r>
      <w:r>
        <w:rPr>
          <w:rFonts w:cs="Times New Roman"/>
        </w:rPr>
        <w:t xml:space="preserve"> intended to receive </w:t>
      </w:r>
      <w:r w:rsidR="00FD4941">
        <w:rPr>
          <w:rFonts w:cs="Times New Roman"/>
        </w:rPr>
        <w:t>or play back video programming.</w:t>
      </w:r>
    </w:p>
    <w:p w14:paraId="39E04AEB" w14:textId="52E3354C" w:rsidR="00324049" w:rsidRDefault="004D0FFB" w:rsidP="009D2966">
      <w:pPr>
        <w:ind w:firstLine="720"/>
        <w:rPr>
          <w:rFonts w:cs="Times New Roman"/>
        </w:rPr>
      </w:pPr>
      <w:r>
        <w:rPr>
          <w:rFonts w:cs="Times New Roman"/>
        </w:rPr>
        <w:t>That said</w:t>
      </w:r>
      <w:r w:rsidR="005712F6">
        <w:rPr>
          <w:rFonts w:cs="Times New Roman"/>
        </w:rPr>
        <w:t xml:space="preserve">, the Commission </w:t>
      </w:r>
      <w:r w:rsidR="0077772D">
        <w:rPr>
          <w:rFonts w:cs="Times New Roman"/>
        </w:rPr>
        <w:t xml:space="preserve">today </w:t>
      </w:r>
      <w:r w:rsidR="005712F6">
        <w:rPr>
          <w:rFonts w:cs="Times New Roman"/>
        </w:rPr>
        <w:t>reaches a similar re</w:t>
      </w:r>
      <w:r w:rsidR="00471D25">
        <w:rPr>
          <w:rFonts w:cs="Times New Roman"/>
        </w:rPr>
        <w:t xml:space="preserve">sult </w:t>
      </w:r>
      <w:r w:rsidR="00B84B0E">
        <w:rPr>
          <w:rFonts w:cs="Times New Roman"/>
        </w:rPr>
        <w:t xml:space="preserve">by taking </w:t>
      </w:r>
      <w:r w:rsidR="00471D25">
        <w:rPr>
          <w:rFonts w:cs="Times New Roman"/>
        </w:rPr>
        <w:t xml:space="preserve">a different path. </w:t>
      </w:r>
      <w:r w:rsidR="002F7A46">
        <w:rPr>
          <w:rFonts w:cs="Times New Roman"/>
        </w:rPr>
        <w:t xml:space="preserve"> </w:t>
      </w:r>
      <w:r w:rsidR="005712F6">
        <w:rPr>
          <w:rFonts w:cs="Times New Roman"/>
        </w:rPr>
        <w:t xml:space="preserve">In particular, the Commission’s application of the </w:t>
      </w:r>
      <w:r w:rsidR="00F10BD6">
        <w:rPr>
          <w:rFonts w:cs="Times New Roman"/>
        </w:rPr>
        <w:t xml:space="preserve">“primarily designed” test </w:t>
      </w:r>
      <w:r w:rsidR="002257E1">
        <w:rPr>
          <w:rFonts w:cs="Times New Roman"/>
        </w:rPr>
        <w:t xml:space="preserve">to grant </w:t>
      </w:r>
      <w:r w:rsidR="00F10BD6">
        <w:rPr>
          <w:rFonts w:cs="Times New Roman"/>
        </w:rPr>
        <w:t>waivers</w:t>
      </w:r>
      <w:r w:rsidR="002257E1">
        <w:rPr>
          <w:rFonts w:cs="Times New Roman"/>
        </w:rPr>
        <w:t>,</w:t>
      </w:r>
      <w:r w:rsidR="00840FF4">
        <w:rPr>
          <w:rStyle w:val="FootnoteReference"/>
          <w:rFonts w:cs="Times New Roman"/>
        </w:rPr>
        <w:footnoteReference w:id="11"/>
      </w:r>
      <w:r w:rsidR="00F10BD6">
        <w:rPr>
          <w:rFonts w:cs="Times New Roman"/>
        </w:rPr>
        <w:t xml:space="preserve"> </w:t>
      </w:r>
      <w:r w:rsidR="005712F6">
        <w:rPr>
          <w:rFonts w:cs="Times New Roman"/>
        </w:rPr>
        <w:t>in which it assesses</w:t>
      </w:r>
      <w:r w:rsidR="00F10BD6">
        <w:rPr>
          <w:rFonts w:cs="Times New Roman"/>
        </w:rPr>
        <w:t xml:space="preserve"> whether </w:t>
      </w:r>
      <w:r w:rsidR="00F85037">
        <w:rPr>
          <w:rFonts w:cs="Times New Roman"/>
        </w:rPr>
        <w:t xml:space="preserve">an </w:t>
      </w:r>
      <w:r w:rsidR="00F10BD6">
        <w:rPr>
          <w:rFonts w:cs="Times New Roman"/>
        </w:rPr>
        <w:t xml:space="preserve">apparatus’s </w:t>
      </w:r>
      <w:r w:rsidR="00840FF4">
        <w:rPr>
          <w:rFonts w:cs="Times New Roman"/>
        </w:rPr>
        <w:t xml:space="preserve">video capability </w:t>
      </w:r>
      <w:r w:rsidR="00F10BD6">
        <w:rPr>
          <w:rFonts w:cs="Times New Roman"/>
        </w:rPr>
        <w:t>is only incidental</w:t>
      </w:r>
      <w:r w:rsidR="005712F6">
        <w:rPr>
          <w:rFonts w:cs="Times New Roman"/>
        </w:rPr>
        <w:t>, will generally arrive at the same outcome as an objective intent test</w:t>
      </w:r>
      <w:r w:rsidR="00F10BD6">
        <w:rPr>
          <w:rFonts w:cs="Times New Roman"/>
        </w:rPr>
        <w:t>.</w:t>
      </w:r>
      <w:r w:rsidR="00106A74">
        <w:rPr>
          <w:rFonts w:cs="Times New Roman"/>
        </w:rPr>
        <w:t xml:space="preserve"> </w:t>
      </w:r>
      <w:r w:rsidR="002F7A46">
        <w:rPr>
          <w:rFonts w:cs="Times New Roman"/>
        </w:rPr>
        <w:t xml:space="preserve"> </w:t>
      </w:r>
      <w:r w:rsidR="005712F6">
        <w:rPr>
          <w:rFonts w:cs="Times New Roman"/>
        </w:rPr>
        <w:t xml:space="preserve">So while </w:t>
      </w:r>
      <w:r w:rsidR="00C00326">
        <w:rPr>
          <w:rFonts w:cs="Times New Roman"/>
        </w:rPr>
        <w:t xml:space="preserve">my preferred </w:t>
      </w:r>
      <w:r w:rsidR="005712F6">
        <w:rPr>
          <w:rFonts w:cs="Times New Roman"/>
        </w:rPr>
        <w:t xml:space="preserve">approach would give meaning to the phrase “designed to” in the statute and lighten the workload of the Commission and stakeholders in addressing future waiver requests, </w:t>
      </w:r>
      <w:r w:rsidR="00FD4941">
        <w:rPr>
          <w:rFonts w:cs="Times New Roman"/>
        </w:rPr>
        <w:t xml:space="preserve">I think </w:t>
      </w:r>
      <w:r w:rsidR="005712F6">
        <w:rPr>
          <w:rFonts w:cs="Times New Roman"/>
        </w:rPr>
        <w:t xml:space="preserve">the real-world outcome of today’s item is </w:t>
      </w:r>
      <w:r w:rsidR="00414FC4">
        <w:rPr>
          <w:rFonts w:cs="Times New Roman"/>
        </w:rPr>
        <w:t>generally</w:t>
      </w:r>
      <w:r w:rsidR="005712F6">
        <w:rPr>
          <w:rFonts w:cs="Times New Roman"/>
        </w:rPr>
        <w:t xml:space="preserve"> acceptable </w:t>
      </w:r>
      <w:r w:rsidR="003B3C39">
        <w:rPr>
          <w:rFonts w:cs="Times New Roman"/>
        </w:rPr>
        <w:t xml:space="preserve">in the context of closed captioning </w:t>
      </w:r>
      <w:r w:rsidR="00A86911">
        <w:rPr>
          <w:rFonts w:cs="Times New Roman"/>
        </w:rPr>
        <w:t>(</w:t>
      </w:r>
      <w:r w:rsidR="005712F6">
        <w:rPr>
          <w:rFonts w:cs="Times New Roman"/>
        </w:rPr>
        <w:t xml:space="preserve">and </w:t>
      </w:r>
      <w:r w:rsidR="00414FC4">
        <w:rPr>
          <w:rFonts w:cs="Times New Roman"/>
        </w:rPr>
        <w:t xml:space="preserve">definitely </w:t>
      </w:r>
      <w:r w:rsidR="005712F6">
        <w:rPr>
          <w:rFonts w:cs="Times New Roman"/>
        </w:rPr>
        <w:t>an improvement over the status quo</w:t>
      </w:r>
      <w:r w:rsidR="00A86911">
        <w:rPr>
          <w:rFonts w:cs="Times New Roman"/>
        </w:rPr>
        <w:t>)</w:t>
      </w:r>
      <w:r w:rsidR="002F7A46">
        <w:rPr>
          <w:rFonts w:cs="Times New Roman"/>
        </w:rPr>
        <w:t>.</w:t>
      </w:r>
    </w:p>
    <w:p w14:paraId="6CA6EB6A" w14:textId="2968880F" w:rsidR="00676631" w:rsidRDefault="00676631" w:rsidP="00106A74">
      <w:pPr>
        <w:ind w:firstLine="720"/>
      </w:pPr>
      <w:r w:rsidRPr="00FD4941">
        <w:rPr>
          <w:rFonts w:cs="Times New Roman"/>
          <w:i/>
        </w:rPr>
        <w:t>Second</w:t>
      </w:r>
      <w:r>
        <w:rPr>
          <w:rFonts w:cs="Times New Roman"/>
        </w:rPr>
        <w:t>,</w:t>
      </w:r>
      <w:r w:rsidR="00E4586F">
        <w:rPr>
          <w:rFonts w:cs="Times New Roman"/>
        </w:rPr>
        <w:t xml:space="preserve"> I </w:t>
      </w:r>
      <w:r w:rsidR="002D32F7">
        <w:rPr>
          <w:rFonts w:cs="Times New Roman"/>
        </w:rPr>
        <w:t xml:space="preserve">would </w:t>
      </w:r>
      <w:r w:rsidR="00D94A6D">
        <w:rPr>
          <w:rFonts w:cs="Times New Roman"/>
        </w:rPr>
        <w:t xml:space="preserve">not </w:t>
      </w:r>
      <w:r w:rsidR="002D32F7">
        <w:rPr>
          <w:rFonts w:cs="Times New Roman"/>
        </w:rPr>
        <w:t>interpret</w:t>
      </w:r>
      <w:r w:rsidR="00E4586F">
        <w:rPr>
          <w:rFonts w:cs="Times New Roman"/>
        </w:rPr>
        <w:t xml:space="preserve"> the CVAA </w:t>
      </w:r>
      <w:r w:rsidR="00D94A6D">
        <w:rPr>
          <w:rFonts w:cs="Times New Roman"/>
        </w:rPr>
        <w:t>to impose a close</w:t>
      </w:r>
      <w:r w:rsidR="006746C9">
        <w:rPr>
          <w:rFonts w:cs="Times New Roman"/>
        </w:rPr>
        <w:t>d-captioning</w:t>
      </w:r>
      <w:r w:rsidR="00D94A6D">
        <w:rPr>
          <w:rFonts w:cs="Times New Roman"/>
        </w:rPr>
        <w:t xml:space="preserve"> requirement on</w:t>
      </w:r>
      <w:r w:rsidR="002D32F7">
        <w:rPr>
          <w:rFonts w:cs="Times New Roman"/>
        </w:rPr>
        <w:t xml:space="preserve"> removable media players</w:t>
      </w:r>
      <w:r w:rsidR="00E4586F">
        <w:rPr>
          <w:rFonts w:cs="Times New Roman"/>
        </w:rPr>
        <w:t xml:space="preserve">. </w:t>
      </w:r>
      <w:r w:rsidR="002F7A46">
        <w:rPr>
          <w:rFonts w:cs="Times New Roman"/>
        </w:rPr>
        <w:t xml:space="preserve"> </w:t>
      </w:r>
      <w:r w:rsidR="002D32F7">
        <w:rPr>
          <w:rFonts w:cs="Times New Roman"/>
        </w:rPr>
        <w:t xml:space="preserve">The </w:t>
      </w:r>
      <w:r w:rsidR="00DA42DB">
        <w:rPr>
          <w:rFonts w:cs="Times New Roman"/>
        </w:rPr>
        <w:t xml:space="preserve">statute </w:t>
      </w:r>
      <w:r w:rsidR="008269D2">
        <w:rPr>
          <w:rFonts w:cs="Times New Roman"/>
        </w:rPr>
        <w:t xml:space="preserve">applies </w:t>
      </w:r>
      <w:r w:rsidR="002D32F7">
        <w:rPr>
          <w:rFonts w:cs="Times New Roman"/>
        </w:rPr>
        <w:t xml:space="preserve">such requirements on </w:t>
      </w:r>
      <w:r w:rsidR="00D94A6D">
        <w:rPr>
          <w:rFonts w:cs="Times New Roman"/>
        </w:rPr>
        <w:t>“</w:t>
      </w:r>
      <w:r w:rsidR="002D32F7">
        <w:rPr>
          <w:rFonts w:cs="Times New Roman"/>
        </w:rPr>
        <w:t xml:space="preserve">apparatus designed to receive or play back </w:t>
      </w:r>
      <w:r w:rsidR="002D32F7" w:rsidRPr="004043A8">
        <w:rPr>
          <w:rFonts w:cs="Times New Roman"/>
          <w:i/>
        </w:rPr>
        <w:t>video programming</w:t>
      </w:r>
      <w:r w:rsidR="002D32F7">
        <w:rPr>
          <w:rFonts w:cs="Times New Roman"/>
        </w:rPr>
        <w:t xml:space="preserve"> </w:t>
      </w:r>
      <w:r w:rsidR="002D32F7" w:rsidRPr="002D32F7">
        <w:rPr>
          <w:rFonts w:cs="Times New Roman"/>
          <w:i/>
        </w:rPr>
        <w:t>transmitted simultaneously with sound</w:t>
      </w:r>
      <w:r w:rsidR="002D32F7">
        <w:rPr>
          <w:rFonts w:cs="Times New Roman"/>
        </w:rPr>
        <w:t>.”</w:t>
      </w:r>
      <w:r w:rsidR="002D32F7">
        <w:rPr>
          <w:rStyle w:val="FootnoteReference"/>
          <w:rFonts w:cs="Times New Roman"/>
        </w:rPr>
        <w:footnoteReference w:id="12"/>
      </w:r>
      <w:r w:rsidR="002D32F7">
        <w:rPr>
          <w:rFonts w:cs="Times New Roman"/>
        </w:rPr>
        <w:t xml:space="preserve"> </w:t>
      </w:r>
      <w:r w:rsidR="002F7A46">
        <w:rPr>
          <w:rFonts w:cs="Times New Roman"/>
        </w:rPr>
        <w:t xml:space="preserve"> </w:t>
      </w:r>
      <w:r w:rsidR="00D94A6D">
        <w:rPr>
          <w:rFonts w:cs="Times New Roman"/>
        </w:rPr>
        <w:t>T</w:t>
      </w:r>
      <w:r w:rsidR="002D32F7">
        <w:rPr>
          <w:rFonts w:cs="Times New Roman"/>
        </w:rPr>
        <w:t xml:space="preserve">he word “transmitted” </w:t>
      </w:r>
      <w:r w:rsidR="00DA42DB">
        <w:rPr>
          <w:rFonts w:cs="Times New Roman"/>
        </w:rPr>
        <w:t>is most logically read</w:t>
      </w:r>
      <w:r w:rsidR="002D32F7">
        <w:rPr>
          <w:rFonts w:cs="Times New Roman"/>
        </w:rPr>
        <w:t xml:space="preserve"> to refer to </w:t>
      </w:r>
      <w:r w:rsidR="002C1CF9">
        <w:rPr>
          <w:rFonts w:cs="Times New Roman"/>
        </w:rPr>
        <w:t xml:space="preserve">the transmission of programming </w:t>
      </w:r>
      <w:r w:rsidR="002D32F7">
        <w:rPr>
          <w:rFonts w:cs="Times New Roman"/>
        </w:rPr>
        <w:t>to the device (</w:t>
      </w:r>
      <w:r w:rsidR="002D32F7" w:rsidRPr="004043A8">
        <w:rPr>
          <w:rFonts w:cs="Times New Roman"/>
          <w:i/>
        </w:rPr>
        <w:t>e</w:t>
      </w:r>
      <w:r w:rsidR="002D32F7">
        <w:rPr>
          <w:rFonts w:cs="Times New Roman"/>
        </w:rPr>
        <w:t>.</w:t>
      </w:r>
      <w:r w:rsidR="002D32F7" w:rsidRPr="004043A8">
        <w:rPr>
          <w:rFonts w:cs="Times New Roman"/>
          <w:i/>
        </w:rPr>
        <w:t>g</w:t>
      </w:r>
      <w:r w:rsidR="002D32F7">
        <w:rPr>
          <w:rFonts w:cs="Times New Roman"/>
        </w:rPr>
        <w:t>., from a cable head-end to a set-top box) rather than from the device to the end user (</w:t>
      </w:r>
      <w:r w:rsidR="002D32F7" w:rsidRPr="004043A8">
        <w:rPr>
          <w:rFonts w:cs="Times New Roman"/>
          <w:i/>
        </w:rPr>
        <w:t>e</w:t>
      </w:r>
      <w:r w:rsidR="002D32F7">
        <w:rPr>
          <w:rFonts w:cs="Times New Roman"/>
        </w:rPr>
        <w:t>.</w:t>
      </w:r>
      <w:r w:rsidR="002D32F7" w:rsidRPr="004043A8">
        <w:rPr>
          <w:rFonts w:cs="Times New Roman"/>
          <w:i/>
        </w:rPr>
        <w:t>g</w:t>
      </w:r>
      <w:r w:rsidR="002D32F7">
        <w:rPr>
          <w:rFonts w:cs="Times New Roman"/>
        </w:rPr>
        <w:t xml:space="preserve">., </w:t>
      </w:r>
      <w:r w:rsidR="005C39F6">
        <w:rPr>
          <w:rFonts w:cs="Times New Roman"/>
        </w:rPr>
        <w:t xml:space="preserve">from a </w:t>
      </w:r>
      <w:r w:rsidR="00B84B0E">
        <w:rPr>
          <w:rFonts w:cs="Times New Roman"/>
        </w:rPr>
        <w:t>television</w:t>
      </w:r>
      <w:r w:rsidR="005C39F6">
        <w:rPr>
          <w:rFonts w:cs="Times New Roman"/>
        </w:rPr>
        <w:t xml:space="preserve"> to a</w:t>
      </w:r>
      <w:r w:rsidR="00B84B0E">
        <w:rPr>
          <w:rFonts w:cs="Times New Roman"/>
        </w:rPr>
        <w:t xml:space="preserve"> viewer</w:t>
      </w:r>
      <w:r w:rsidR="005C39F6">
        <w:rPr>
          <w:rFonts w:cs="Times New Roman"/>
        </w:rPr>
        <w:t xml:space="preserve">). </w:t>
      </w:r>
      <w:r w:rsidR="002F7A46">
        <w:rPr>
          <w:rFonts w:cs="Times New Roman"/>
        </w:rPr>
        <w:t xml:space="preserve"> </w:t>
      </w:r>
      <w:r w:rsidR="00B81A7A">
        <w:rPr>
          <w:rFonts w:cs="Times New Roman"/>
        </w:rPr>
        <w:t xml:space="preserve">That’s certainly the </w:t>
      </w:r>
      <w:r w:rsidR="00DA42DB">
        <w:rPr>
          <w:rFonts w:cs="Times New Roman"/>
        </w:rPr>
        <w:t>usual meaning of</w:t>
      </w:r>
      <w:r w:rsidR="002E08BA">
        <w:rPr>
          <w:rFonts w:cs="Times New Roman"/>
        </w:rPr>
        <w:t xml:space="preserve"> </w:t>
      </w:r>
      <w:r w:rsidR="00287C7D">
        <w:rPr>
          <w:rFonts w:cs="Times New Roman"/>
        </w:rPr>
        <w:t>the word “</w:t>
      </w:r>
      <w:r w:rsidR="002E08BA">
        <w:rPr>
          <w:rFonts w:cs="Times New Roman"/>
        </w:rPr>
        <w:t>transmit</w:t>
      </w:r>
      <w:r w:rsidR="00287C7D">
        <w:rPr>
          <w:rFonts w:cs="Times New Roman"/>
        </w:rPr>
        <w:t>”</w:t>
      </w:r>
      <w:r w:rsidR="002E08BA">
        <w:rPr>
          <w:rFonts w:cs="Times New Roman"/>
        </w:rPr>
        <w:t xml:space="preserve"> </w:t>
      </w:r>
      <w:r w:rsidR="00DA42DB">
        <w:rPr>
          <w:rFonts w:cs="Times New Roman"/>
        </w:rPr>
        <w:t>in communications law.</w:t>
      </w:r>
      <w:r w:rsidR="002E08BA">
        <w:rPr>
          <w:rStyle w:val="FootnoteReference"/>
          <w:rFonts w:cs="Times New Roman"/>
        </w:rPr>
        <w:footnoteReference w:id="13"/>
      </w:r>
      <w:r w:rsidR="00DA42DB">
        <w:rPr>
          <w:rFonts w:cs="Times New Roman"/>
        </w:rPr>
        <w:t xml:space="preserve"> </w:t>
      </w:r>
      <w:r w:rsidR="00FD4941">
        <w:rPr>
          <w:rFonts w:cs="Times New Roman"/>
        </w:rPr>
        <w:t xml:space="preserve"> </w:t>
      </w:r>
      <w:r w:rsidR="00DA42DB">
        <w:rPr>
          <w:rFonts w:cs="Times New Roman"/>
        </w:rPr>
        <w:t xml:space="preserve">Moreover, </w:t>
      </w:r>
      <w:r w:rsidR="00B84B0E">
        <w:rPr>
          <w:rFonts w:cs="Times New Roman"/>
        </w:rPr>
        <w:t xml:space="preserve">absent a clear indication to the contrary, we should </w:t>
      </w:r>
      <w:r w:rsidR="00F32EC1">
        <w:rPr>
          <w:rFonts w:cs="Times New Roman"/>
        </w:rPr>
        <w:t>hesitate</w:t>
      </w:r>
      <w:r w:rsidR="00B84B0E">
        <w:rPr>
          <w:rFonts w:cs="Times New Roman"/>
        </w:rPr>
        <w:t xml:space="preserve"> to </w:t>
      </w:r>
      <w:r w:rsidR="003C222A">
        <w:rPr>
          <w:rFonts w:cs="Times New Roman"/>
        </w:rPr>
        <w:t>extend our jurisdiction</w:t>
      </w:r>
      <w:r w:rsidR="00B84B0E">
        <w:rPr>
          <w:rFonts w:cs="Times New Roman"/>
        </w:rPr>
        <w:t xml:space="preserve"> beyond its traditional bounds.  Congress</w:t>
      </w:r>
      <w:r w:rsidR="003C222A">
        <w:rPr>
          <w:rFonts w:cs="Times New Roman"/>
        </w:rPr>
        <w:t xml:space="preserve">, after </w:t>
      </w:r>
      <w:r w:rsidR="003C222A">
        <w:rPr>
          <w:rFonts w:cs="Times New Roman"/>
        </w:rPr>
        <w:lastRenderedPageBreak/>
        <w:t>all,</w:t>
      </w:r>
      <w:r w:rsidR="00B84B0E">
        <w:rPr>
          <w:rFonts w:cs="Times New Roman"/>
        </w:rPr>
        <w:t xml:space="preserve"> does not “hide elephants in mouseholes.”</w:t>
      </w:r>
      <w:r w:rsidR="00B84B0E">
        <w:rPr>
          <w:rStyle w:val="FootnoteReference"/>
          <w:rFonts w:cs="Times New Roman"/>
        </w:rPr>
        <w:footnoteReference w:id="14"/>
      </w:r>
      <w:r w:rsidR="00EF4F65">
        <w:rPr>
          <w:rFonts w:cs="Times New Roman"/>
        </w:rPr>
        <w:t xml:space="preserve">  </w:t>
      </w:r>
      <w:r w:rsidR="00B0237C">
        <w:rPr>
          <w:rFonts w:cs="Times New Roman"/>
        </w:rPr>
        <w:t xml:space="preserve">Several other statutory </w:t>
      </w:r>
      <w:r w:rsidR="00EF4F65">
        <w:rPr>
          <w:rFonts w:cs="Times New Roman"/>
        </w:rPr>
        <w:t xml:space="preserve">considerations </w:t>
      </w:r>
      <w:r w:rsidR="008F481C">
        <w:rPr>
          <w:rFonts w:cs="Times New Roman"/>
        </w:rPr>
        <w:t xml:space="preserve">also </w:t>
      </w:r>
      <w:r w:rsidR="00B0237C">
        <w:rPr>
          <w:rFonts w:cs="Times New Roman"/>
        </w:rPr>
        <w:t xml:space="preserve">counsel </w:t>
      </w:r>
      <w:r w:rsidR="00EF4F65">
        <w:rPr>
          <w:rFonts w:cs="Times New Roman"/>
        </w:rPr>
        <w:t>a more restrained approach</w:t>
      </w:r>
      <w:r w:rsidR="00B0237C">
        <w:rPr>
          <w:rFonts w:cs="Times New Roman"/>
        </w:rPr>
        <w:t xml:space="preserve"> with respect to removable media players</w:t>
      </w:r>
      <w:r w:rsidR="00EF4F65">
        <w:rPr>
          <w:rFonts w:cs="Times New Roman"/>
        </w:rPr>
        <w:t>.</w:t>
      </w:r>
      <w:r w:rsidR="00EF4F65">
        <w:rPr>
          <w:rStyle w:val="FootnoteReference"/>
          <w:rFonts w:cs="Times New Roman"/>
        </w:rPr>
        <w:footnoteReference w:id="15"/>
      </w:r>
    </w:p>
    <w:p w14:paraId="5AA23DBD" w14:textId="069936CD" w:rsidR="006746C9" w:rsidRDefault="00B0237C" w:rsidP="00106A74">
      <w:pPr>
        <w:ind w:firstLine="720"/>
      </w:pPr>
      <w:r>
        <w:t>L</w:t>
      </w:r>
      <w:r w:rsidR="00DA42DB">
        <w:t>ooking at the bigger picture</w:t>
      </w:r>
      <w:r w:rsidR="00D11584">
        <w:t xml:space="preserve">, I </w:t>
      </w:r>
      <w:r w:rsidR="00F85037">
        <w:t>also</w:t>
      </w:r>
      <w:r w:rsidR="00DA42DB">
        <w:t xml:space="preserve"> believe that the structure of the CVAA</w:t>
      </w:r>
      <w:r w:rsidR="00F85037">
        <w:t xml:space="preserve"> (as well as the Communications Act)</w:t>
      </w:r>
      <w:r w:rsidR="00DA42DB">
        <w:t xml:space="preserve"> suggests that Congress </w:t>
      </w:r>
      <w:r w:rsidR="00F85037">
        <w:t>did not intend</w:t>
      </w:r>
      <w:r w:rsidR="00DA42DB">
        <w:t xml:space="preserve"> to impose closed-captioning requirements on DVD and Blu-ray players</w:t>
      </w:r>
      <w:r w:rsidR="00D11584">
        <w:t xml:space="preserve">. </w:t>
      </w:r>
      <w:r w:rsidR="002F7A46">
        <w:t xml:space="preserve"> </w:t>
      </w:r>
      <w:r w:rsidR="003B3C39">
        <w:t>G</w:t>
      </w:r>
      <w:r w:rsidR="00DA42DB">
        <w:t xml:space="preserve">iven that </w:t>
      </w:r>
      <w:r w:rsidR="004D0FFB">
        <w:t xml:space="preserve">distributors of </w:t>
      </w:r>
      <w:r w:rsidR="007B0160">
        <w:t>DVD</w:t>
      </w:r>
      <w:r w:rsidR="004D0FFB">
        <w:t>s</w:t>
      </w:r>
      <w:r w:rsidR="007B0160">
        <w:t xml:space="preserve"> and Blu-ray disc</w:t>
      </w:r>
      <w:r w:rsidR="008E26EE">
        <w:t>s</w:t>
      </w:r>
      <w:r w:rsidR="007B0160">
        <w:t xml:space="preserve"> are under no </w:t>
      </w:r>
      <w:r w:rsidR="00F85037">
        <w:t xml:space="preserve">legal </w:t>
      </w:r>
      <w:r w:rsidR="007B0160">
        <w:t>obligation to include closed captioning</w:t>
      </w:r>
      <w:r w:rsidR="00F85037">
        <w:t xml:space="preserve"> </w:t>
      </w:r>
      <w:r w:rsidR="008E26EE">
        <w:t xml:space="preserve">along </w:t>
      </w:r>
      <w:r w:rsidR="00F85037">
        <w:t>with</w:t>
      </w:r>
      <w:r w:rsidR="00A86911">
        <w:t xml:space="preserve"> their video programming</w:t>
      </w:r>
      <w:r w:rsidR="007B0160">
        <w:t>,</w:t>
      </w:r>
      <w:r w:rsidR="007B0160">
        <w:rPr>
          <w:rStyle w:val="FootnoteReference"/>
        </w:rPr>
        <w:footnoteReference w:id="16"/>
      </w:r>
      <w:r w:rsidR="007B0160">
        <w:t xml:space="preserve"> </w:t>
      </w:r>
      <w:r w:rsidR="007B2733">
        <w:t xml:space="preserve">it doesn’t seem to me </w:t>
      </w:r>
      <w:r w:rsidR="007B0160">
        <w:t xml:space="preserve">that </w:t>
      </w:r>
      <w:r w:rsidR="007B2733">
        <w:t xml:space="preserve">Congress meant </w:t>
      </w:r>
      <w:r w:rsidR="007B0160">
        <w:t>to require DVD and Blu-ray players to display closed captio</w:t>
      </w:r>
      <w:r w:rsidR="00A86911">
        <w:t>ns</w:t>
      </w:r>
      <w:r w:rsidR="007B0160">
        <w:t>.</w:t>
      </w:r>
      <w:r w:rsidR="003B3C39">
        <w:t xml:space="preserve"> </w:t>
      </w:r>
      <w:r w:rsidR="002F7A46">
        <w:t xml:space="preserve"> </w:t>
      </w:r>
      <w:r w:rsidR="003B3C39">
        <w:t>Indeed, Blu</w:t>
      </w:r>
      <w:r w:rsidR="003B3C39" w:rsidRPr="003B3C39">
        <w:t>-ray discs do not even have a standa</w:t>
      </w:r>
      <w:r w:rsidR="00A86911">
        <w:t>rd format for closed captioning.</w:t>
      </w:r>
      <w:r w:rsidR="00F85037">
        <w:rPr>
          <w:rStyle w:val="FootnoteReference"/>
        </w:rPr>
        <w:footnoteReference w:id="17"/>
      </w:r>
    </w:p>
    <w:p w14:paraId="1D275BCC" w14:textId="2CC9F1DA" w:rsidR="00D11584" w:rsidRDefault="007B0160" w:rsidP="00106A74">
      <w:pPr>
        <w:ind w:firstLine="720"/>
      </w:pPr>
      <w:r>
        <w:t>Nevertheless</w:t>
      </w:r>
      <w:r w:rsidR="00FF1105">
        <w:t xml:space="preserve">, I </w:t>
      </w:r>
      <w:r>
        <w:t xml:space="preserve">appreciate the Commission’s </w:t>
      </w:r>
      <w:r w:rsidR="00FF1105">
        <w:t xml:space="preserve">decision </w:t>
      </w:r>
      <w:r>
        <w:t xml:space="preserve">today to delay application of the closed-captioning requirements to DVD and Blu-ray players pending resolution of the Further Notice of Proposed Rulemaking on this issue. </w:t>
      </w:r>
      <w:r w:rsidR="002F7A46">
        <w:t xml:space="preserve"> </w:t>
      </w:r>
      <w:r w:rsidR="008269D2">
        <w:t xml:space="preserve">If we </w:t>
      </w:r>
      <w:r w:rsidR="007D703D">
        <w:t xml:space="preserve">ultimately levy </w:t>
      </w:r>
      <w:r w:rsidR="003B3C39">
        <w:t>these</w:t>
      </w:r>
      <w:r>
        <w:t xml:space="preserve"> requirements on removable media players</w:t>
      </w:r>
      <w:r w:rsidR="008269D2">
        <w:t>, I hope we do so</w:t>
      </w:r>
      <w:r>
        <w:t xml:space="preserve"> in a minimally intrusive manner.</w:t>
      </w:r>
    </w:p>
    <w:p w14:paraId="09F95650" w14:textId="2A47EEB2" w:rsidR="006525DC" w:rsidRDefault="006525DC" w:rsidP="006525DC">
      <w:pPr>
        <w:ind w:firstLine="720"/>
        <w:rPr>
          <w:rFonts w:cs="Times New Roman"/>
        </w:rPr>
      </w:pPr>
      <w:r>
        <w:rPr>
          <w:rFonts w:cs="Times New Roman"/>
        </w:rPr>
        <w:t>Finally, I would like to</w:t>
      </w:r>
      <w:r w:rsidRPr="006525DC">
        <w:rPr>
          <w:rFonts w:cs="Times New Roman"/>
        </w:rPr>
        <w:t xml:space="preserve"> thank my colleagues for their willingness to incorporate my </w:t>
      </w:r>
      <w:r w:rsidR="00C00326">
        <w:rPr>
          <w:rFonts w:cs="Times New Roman"/>
        </w:rPr>
        <w:t xml:space="preserve">suggestions </w:t>
      </w:r>
      <w:r w:rsidRPr="006525DC">
        <w:rPr>
          <w:rFonts w:cs="Times New Roman"/>
        </w:rPr>
        <w:t xml:space="preserve">and commend Chairwoman Clyburn for her leadership in implementing </w:t>
      </w:r>
      <w:r w:rsidR="00D92759">
        <w:rPr>
          <w:rFonts w:cs="Times New Roman"/>
        </w:rPr>
        <w:t>the CVAA.</w:t>
      </w:r>
      <w:r w:rsidR="002F7A46">
        <w:rPr>
          <w:rFonts w:cs="Times New Roman"/>
        </w:rPr>
        <w:t xml:space="preserve"> </w:t>
      </w:r>
      <w:r>
        <w:rPr>
          <w:rFonts w:cs="Times New Roman"/>
        </w:rPr>
        <w:t xml:space="preserve"> Less than a month into her tenure as the head of our agency, we have already adopted two items that </w:t>
      </w:r>
      <w:r w:rsidR="00DD2484">
        <w:rPr>
          <w:rFonts w:cs="Times New Roman"/>
        </w:rPr>
        <w:t xml:space="preserve">bring </w:t>
      </w:r>
      <w:r>
        <w:rPr>
          <w:rFonts w:cs="Times New Roman"/>
        </w:rPr>
        <w:t xml:space="preserve">us closer to </w:t>
      </w:r>
      <w:r w:rsidR="00A02C0A">
        <w:rPr>
          <w:rFonts w:cs="Times New Roman"/>
        </w:rPr>
        <w:t>realizing the statute’s promise</w:t>
      </w:r>
      <w:r>
        <w:rPr>
          <w:rFonts w:cs="Times New Roman"/>
        </w:rPr>
        <w:t>.</w:t>
      </w:r>
      <w:r w:rsidR="003B3C39">
        <w:rPr>
          <w:rFonts w:cs="Times New Roman"/>
        </w:rPr>
        <w:t xml:space="preserve"> </w:t>
      </w:r>
      <w:r w:rsidR="002F7A46">
        <w:rPr>
          <w:rFonts w:cs="Times New Roman"/>
        </w:rPr>
        <w:t xml:space="preserve"> </w:t>
      </w:r>
      <w:r w:rsidR="003B3C39">
        <w:rPr>
          <w:rFonts w:cs="Times New Roman"/>
        </w:rPr>
        <w:t>Th</w:t>
      </w:r>
      <w:r w:rsidR="00F85037">
        <w:rPr>
          <w:rFonts w:cs="Times New Roman"/>
        </w:rPr>
        <w:t>is</w:t>
      </w:r>
      <w:r w:rsidR="003B3C39">
        <w:rPr>
          <w:rFonts w:cs="Times New Roman"/>
        </w:rPr>
        <w:t xml:space="preserve"> is a significant</w:t>
      </w:r>
      <w:r w:rsidR="008F481C">
        <w:rPr>
          <w:rFonts w:cs="Times New Roman"/>
        </w:rPr>
        <w:t xml:space="preserve"> </w:t>
      </w:r>
      <w:r w:rsidR="003B3C39">
        <w:rPr>
          <w:rFonts w:cs="Times New Roman"/>
        </w:rPr>
        <w:t>accomplishment.</w:t>
      </w:r>
    </w:p>
    <w:sectPr w:rsidR="006525D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D0D98" w14:textId="77777777" w:rsidR="00F533AD" w:rsidRDefault="00F533AD" w:rsidP="00BE5BF6">
      <w:pPr>
        <w:spacing w:after="0"/>
      </w:pPr>
      <w:r>
        <w:separator/>
      </w:r>
    </w:p>
  </w:endnote>
  <w:endnote w:type="continuationSeparator" w:id="0">
    <w:p w14:paraId="313EDE14" w14:textId="77777777" w:rsidR="00F533AD" w:rsidRDefault="00F533AD" w:rsidP="00BE5B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BD54E9" w14:textId="77777777" w:rsidR="00574B83" w:rsidRDefault="00574B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9492C" w14:textId="77777777" w:rsidR="00574B83" w:rsidRDefault="00574B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56FE17" w14:textId="77777777" w:rsidR="00574B83" w:rsidRDefault="00574B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973096" w14:textId="77777777" w:rsidR="00F533AD" w:rsidRDefault="00F533AD" w:rsidP="00BE5BF6">
      <w:pPr>
        <w:spacing w:after="0"/>
      </w:pPr>
      <w:r>
        <w:separator/>
      </w:r>
    </w:p>
  </w:footnote>
  <w:footnote w:type="continuationSeparator" w:id="0">
    <w:p w14:paraId="7E3BC8B3" w14:textId="77777777" w:rsidR="00F533AD" w:rsidRDefault="00F533AD" w:rsidP="00BE5BF6">
      <w:pPr>
        <w:spacing w:after="0"/>
      </w:pPr>
      <w:r>
        <w:continuationSeparator/>
      </w:r>
    </w:p>
  </w:footnote>
  <w:footnote w:id="1">
    <w:p w14:paraId="03F8B397" w14:textId="77777777" w:rsidR="008269D2" w:rsidRDefault="008269D2" w:rsidP="00416C9A">
      <w:pPr>
        <w:pStyle w:val="FootnoteText"/>
        <w:spacing w:after="120"/>
      </w:pPr>
      <w:r>
        <w:rPr>
          <w:rStyle w:val="FootnoteReference"/>
        </w:rPr>
        <w:footnoteRef/>
      </w:r>
      <w:r>
        <w:t xml:space="preserve"> </w:t>
      </w:r>
      <w:r>
        <w:rPr>
          <w:i/>
        </w:rPr>
        <w:t>Closed Captioning of Internet Protocol-Delivered Video Programming: Implementation of the Twenty-First Century Communications and Video Accessibility Act of 2010</w:t>
      </w:r>
      <w:r w:rsidRPr="008127D4">
        <w:t xml:space="preserve">, </w:t>
      </w:r>
      <w:r>
        <w:t xml:space="preserve">MB Docket No. 11-154, </w:t>
      </w:r>
      <w:r w:rsidRPr="009A26DE">
        <w:t>Report and Order</w:t>
      </w:r>
      <w:r>
        <w:t>, 27 FCC Rcd 787 (2012) (</w:t>
      </w:r>
      <w:r w:rsidRPr="008127D4">
        <w:rPr>
          <w:i/>
        </w:rPr>
        <w:t>IP Closed Captioning Order</w:t>
      </w:r>
      <w:r>
        <w:t>).</w:t>
      </w:r>
    </w:p>
  </w:footnote>
  <w:footnote w:id="2">
    <w:p w14:paraId="770E53AF" w14:textId="77777777" w:rsidR="008269D2" w:rsidRDefault="008269D2" w:rsidP="00416C9A">
      <w:pPr>
        <w:pStyle w:val="FootnoteText"/>
        <w:spacing w:after="120"/>
      </w:pPr>
      <w:r>
        <w:rPr>
          <w:rStyle w:val="FootnoteReference"/>
        </w:rPr>
        <w:footnoteRef/>
      </w:r>
      <w:r>
        <w:t xml:space="preserve"> 47 U.S.C. </w:t>
      </w:r>
      <w:r w:rsidRPr="007F23FF">
        <w:t>§</w:t>
      </w:r>
      <w:r>
        <w:t xml:space="preserve"> 303(u)(1) (emphasis added).</w:t>
      </w:r>
    </w:p>
  </w:footnote>
  <w:footnote w:id="3">
    <w:p w14:paraId="7BAD6ABD" w14:textId="3ED80C7F" w:rsidR="008269D2" w:rsidRDefault="008269D2" w:rsidP="00416C9A">
      <w:pPr>
        <w:pStyle w:val="FootnoteText"/>
        <w:spacing w:after="120"/>
      </w:pPr>
      <w:r>
        <w:rPr>
          <w:rStyle w:val="FootnoteReference"/>
        </w:rPr>
        <w:footnoteRef/>
      </w:r>
      <w:r>
        <w:t xml:space="preserve"> </w:t>
      </w:r>
      <w:r w:rsidRPr="008127D4">
        <w:rPr>
          <w:i/>
        </w:rPr>
        <w:t>IP Closed Captioning Order</w:t>
      </w:r>
      <w:r>
        <w:t>, 27 FCC Rcd at 842, para. 95; Order on Reconsideration and Further Notice of Proposed Rulemaking at para. 5 (</w:t>
      </w:r>
      <w:r w:rsidRPr="00F066B8">
        <w:rPr>
          <w:i/>
        </w:rPr>
        <w:t>Recon</w:t>
      </w:r>
      <w:r>
        <w:rPr>
          <w:i/>
        </w:rPr>
        <w:t>. Order</w:t>
      </w:r>
      <w:r>
        <w:t>).</w:t>
      </w:r>
    </w:p>
  </w:footnote>
  <w:footnote w:id="4">
    <w:p w14:paraId="46E4D2C4" w14:textId="053831F4" w:rsidR="008269D2" w:rsidRDefault="008269D2" w:rsidP="00416C9A">
      <w:pPr>
        <w:pStyle w:val="FootnoteText"/>
        <w:spacing w:after="120"/>
      </w:pPr>
      <w:r>
        <w:rPr>
          <w:rStyle w:val="FootnoteReference"/>
        </w:rPr>
        <w:footnoteRef/>
      </w:r>
      <w:r>
        <w:t xml:space="preserve"> </w:t>
      </w:r>
      <w:r w:rsidRPr="008F0F3F">
        <w:rPr>
          <w:i/>
        </w:rPr>
        <w:t>See</w:t>
      </w:r>
      <w:r w:rsidR="001B404C" w:rsidRPr="001B404C">
        <w:t xml:space="preserve"> Webster</w:t>
      </w:r>
      <w:r w:rsidR="001B404C">
        <w:t>’</w:t>
      </w:r>
      <w:r w:rsidR="001B404C" w:rsidRPr="001B404C">
        <w:t xml:space="preserve">s New International Dictionary </w:t>
      </w:r>
      <w:r w:rsidR="001B404C">
        <w:t>707</w:t>
      </w:r>
      <w:r w:rsidR="001B404C" w:rsidRPr="001B404C">
        <w:t xml:space="preserve"> (2d ed. 1940)</w:t>
      </w:r>
      <w:r w:rsidR="001B404C">
        <w:t xml:space="preserve"> (defining “design” as “to conceive or execute a scheme or plan for the making of anything” or “to plan; to intend”)</w:t>
      </w:r>
      <w:r>
        <w:t>.</w:t>
      </w:r>
    </w:p>
  </w:footnote>
  <w:footnote w:id="5">
    <w:p w14:paraId="537677A7" w14:textId="6717AB4A" w:rsidR="008269D2" w:rsidRPr="00A765DC" w:rsidRDefault="008269D2" w:rsidP="00416C9A">
      <w:pPr>
        <w:pStyle w:val="FootnoteText"/>
        <w:spacing w:after="120"/>
      </w:pPr>
      <w:r>
        <w:rPr>
          <w:rStyle w:val="FootnoteReference"/>
        </w:rPr>
        <w:footnoteRef/>
      </w:r>
      <w:r>
        <w:t xml:space="preserve"> Under the Commission’s interpretation, the result would be the same whether the statute read “apparatus that receives or plays back video programming” or (as it does) “apparatus designed to receive or play back video programming.”  </w:t>
      </w:r>
      <w:r>
        <w:rPr>
          <w:i/>
        </w:rPr>
        <w:t xml:space="preserve">See </w:t>
      </w:r>
      <w:r>
        <w:t xml:space="preserve">47 U.S.C. </w:t>
      </w:r>
      <w:r w:rsidRPr="007F23FF">
        <w:t>§</w:t>
      </w:r>
      <w:r>
        <w:t xml:space="preserve"> 303(u)(1).</w:t>
      </w:r>
    </w:p>
  </w:footnote>
  <w:footnote w:id="6">
    <w:p w14:paraId="02D92254" w14:textId="77777777" w:rsidR="008269D2" w:rsidRDefault="008269D2" w:rsidP="00416C9A">
      <w:pPr>
        <w:pStyle w:val="FootnoteText"/>
        <w:spacing w:after="120"/>
      </w:pPr>
      <w:r>
        <w:rPr>
          <w:rStyle w:val="FootnoteReference"/>
        </w:rPr>
        <w:footnoteRef/>
      </w:r>
      <w:r>
        <w:t xml:space="preserve"> </w:t>
      </w:r>
      <w:r w:rsidRPr="00BB7CD6">
        <w:rPr>
          <w:i/>
        </w:rPr>
        <w:t>Recon</w:t>
      </w:r>
      <w:r>
        <w:rPr>
          <w:i/>
        </w:rPr>
        <w:t>.</w:t>
      </w:r>
      <w:r w:rsidRPr="00BB7CD6">
        <w:rPr>
          <w:i/>
        </w:rPr>
        <w:t xml:space="preserve"> Order</w:t>
      </w:r>
      <w:r>
        <w:t xml:space="preserve"> at para. 7.</w:t>
      </w:r>
    </w:p>
  </w:footnote>
  <w:footnote w:id="7">
    <w:p w14:paraId="30565F23" w14:textId="3F499B69" w:rsidR="008F481C" w:rsidRPr="001B404C" w:rsidRDefault="007E5709" w:rsidP="001B404C">
      <w:pPr>
        <w:rPr>
          <w:sz w:val="20"/>
          <w:szCs w:val="20"/>
        </w:rPr>
      </w:pPr>
      <w:r w:rsidRPr="001B404C">
        <w:rPr>
          <w:rStyle w:val="FootnoteReference"/>
          <w:sz w:val="20"/>
          <w:szCs w:val="20"/>
        </w:rPr>
        <w:footnoteRef/>
      </w:r>
      <w:r w:rsidRPr="001B404C">
        <w:rPr>
          <w:sz w:val="20"/>
          <w:szCs w:val="20"/>
        </w:rPr>
        <w:t xml:space="preserve"> </w:t>
      </w:r>
      <w:r w:rsidR="001B404C" w:rsidRPr="001B404C">
        <w:rPr>
          <w:i/>
          <w:sz w:val="20"/>
          <w:szCs w:val="20"/>
        </w:rPr>
        <w:t>See</w:t>
      </w:r>
      <w:r w:rsidR="001B404C" w:rsidRPr="001B404C">
        <w:rPr>
          <w:sz w:val="20"/>
          <w:szCs w:val="20"/>
        </w:rPr>
        <w:t xml:space="preserve"> Susan Scutti, “Schizophrenic Drugs That Can Kill Antibiotic-Resistant Bacteria,” Medical Daily, May 17, 2013</w:t>
      </w:r>
      <w:r w:rsidR="001B404C">
        <w:rPr>
          <w:sz w:val="20"/>
          <w:szCs w:val="20"/>
        </w:rPr>
        <w:t xml:space="preserve"> </w:t>
      </w:r>
      <w:r w:rsidR="001B404C" w:rsidRPr="001B404C">
        <w:rPr>
          <w:sz w:val="20"/>
          <w:szCs w:val="20"/>
        </w:rPr>
        <w:t xml:space="preserve">(“Propecia, for instance, was originally marketed as Proscar and was intended to treat the benign enlargement of the prostate. </w:t>
      </w:r>
      <w:r w:rsidR="000B0EE9">
        <w:rPr>
          <w:sz w:val="20"/>
          <w:szCs w:val="20"/>
        </w:rPr>
        <w:t xml:space="preserve"> </w:t>
      </w:r>
      <w:r w:rsidR="001B404C" w:rsidRPr="001B404C">
        <w:rPr>
          <w:sz w:val="20"/>
          <w:szCs w:val="20"/>
        </w:rPr>
        <w:t xml:space="preserve">After five years on the market, it became known that one of the side effects of Proscar was hair growth on bald men; now it is used to treat male-pattern baldness.”), </w:t>
      </w:r>
      <w:r w:rsidR="001B404C" w:rsidRPr="001B404C">
        <w:rPr>
          <w:i/>
          <w:sz w:val="20"/>
          <w:szCs w:val="20"/>
        </w:rPr>
        <w:t>available at</w:t>
      </w:r>
      <w:r w:rsidR="001B404C" w:rsidRPr="001B404C">
        <w:rPr>
          <w:sz w:val="20"/>
          <w:szCs w:val="20"/>
        </w:rPr>
        <w:t xml:space="preserve"> </w:t>
      </w:r>
      <w:hyperlink r:id="rId1" w:history="1">
        <w:r w:rsidR="001B404C" w:rsidRPr="001B404C">
          <w:rPr>
            <w:rStyle w:val="Hyperlink"/>
            <w:sz w:val="20"/>
            <w:szCs w:val="20"/>
          </w:rPr>
          <w:t>http://www.medicaldaily.com/articles/15661/20130517/schizophrenia-drugs-kill-antibiotic-resistant-bacteria.htm</w:t>
        </w:r>
      </w:hyperlink>
      <w:r w:rsidR="001B404C" w:rsidRPr="001B404C">
        <w:rPr>
          <w:sz w:val="20"/>
          <w:szCs w:val="20"/>
        </w:rPr>
        <w:t>.</w:t>
      </w:r>
    </w:p>
  </w:footnote>
  <w:footnote w:id="8">
    <w:p w14:paraId="06AF18BD" w14:textId="6A386178" w:rsidR="00875C80" w:rsidRDefault="00875C80" w:rsidP="00416C9A">
      <w:pPr>
        <w:pStyle w:val="FootnoteText"/>
        <w:spacing w:after="120"/>
      </w:pPr>
      <w:r>
        <w:rPr>
          <w:rStyle w:val="FootnoteReference"/>
        </w:rPr>
        <w:footnoteRef/>
      </w:r>
      <w:r>
        <w:t xml:space="preserve"> </w:t>
      </w:r>
      <w:r w:rsidR="007E5709" w:rsidRPr="00D80B9F">
        <w:rPr>
          <w:i/>
        </w:rPr>
        <w:t>See, e.g.</w:t>
      </w:r>
      <w:r w:rsidR="007E5709">
        <w:t xml:space="preserve">, </w:t>
      </w:r>
      <w:r w:rsidRPr="00D80B9F">
        <w:rPr>
          <w:i/>
        </w:rPr>
        <w:t>The French Connection</w:t>
      </w:r>
      <w:r>
        <w:t xml:space="preserve"> (20</w:t>
      </w:r>
      <w:r w:rsidRPr="00875C80">
        <w:t>th</w:t>
      </w:r>
      <w:r>
        <w:t xml:space="preserve"> Century Fox 1971).</w:t>
      </w:r>
    </w:p>
  </w:footnote>
  <w:footnote w:id="9">
    <w:p w14:paraId="5F06B021" w14:textId="34DB80DA" w:rsidR="008269D2" w:rsidRDefault="008269D2" w:rsidP="00416C9A">
      <w:pPr>
        <w:pStyle w:val="FootnoteText"/>
        <w:spacing w:after="120"/>
      </w:pPr>
      <w:r>
        <w:rPr>
          <w:rStyle w:val="FootnoteReference"/>
        </w:rPr>
        <w:footnoteRef/>
      </w:r>
      <w:r>
        <w:t xml:space="preserve"> </w:t>
      </w:r>
      <w:r>
        <w:rPr>
          <w:i/>
        </w:rPr>
        <w:t>Id</w:t>
      </w:r>
      <w:r>
        <w:t>.</w:t>
      </w:r>
    </w:p>
  </w:footnote>
  <w:footnote w:id="10">
    <w:p w14:paraId="1E9FC400" w14:textId="63EAEFAE" w:rsidR="008269D2" w:rsidRDefault="008269D2" w:rsidP="00416C9A">
      <w:pPr>
        <w:pStyle w:val="FootnoteText"/>
        <w:tabs>
          <w:tab w:val="left" w:pos="2880"/>
        </w:tabs>
        <w:spacing w:after="120"/>
      </w:pPr>
      <w:r>
        <w:rPr>
          <w:rStyle w:val="FootnoteReference"/>
        </w:rPr>
        <w:footnoteRef/>
      </w:r>
      <w:r>
        <w:t xml:space="preserve"> Similar intent tests are used in other contexts.  </w:t>
      </w:r>
      <w:r w:rsidRPr="009A0399">
        <w:rPr>
          <w:i/>
        </w:rPr>
        <w:t>See, e.g.</w:t>
      </w:r>
      <w:r>
        <w:t xml:space="preserve">, </w:t>
      </w:r>
      <w:r w:rsidRPr="009A0399">
        <w:rPr>
          <w:i/>
        </w:rPr>
        <w:t>Sigma-Tau Pharmaceuticals, Inc. v. Schwetz</w:t>
      </w:r>
      <w:r w:rsidRPr="009A0399">
        <w:t>, 288 F.3d 141, 146 (4th Cir. 2002)</w:t>
      </w:r>
      <w:r>
        <w:t xml:space="preserve"> (explaining FDA’s objective intent test in assessing drugs, which involves examining both direct expressions by manufacturers and “the circumstances surrounding the distribution of the article”).</w:t>
      </w:r>
    </w:p>
  </w:footnote>
  <w:footnote w:id="11">
    <w:p w14:paraId="722EEE97" w14:textId="76664319" w:rsidR="008269D2" w:rsidRDefault="008269D2" w:rsidP="00416C9A">
      <w:pPr>
        <w:pStyle w:val="FootnoteText"/>
        <w:spacing w:after="120"/>
      </w:pPr>
      <w:r>
        <w:rPr>
          <w:rStyle w:val="FootnoteReference"/>
        </w:rPr>
        <w:footnoteRef/>
      </w:r>
      <w:r>
        <w:t xml:space="preserve"> </w:t>
      </w:r>
      <w:r w:rsidRPr="00840FF4">
        <w:rPr>
          <w:i/>
        </w:rPr>
        <w:t xml:space="preserve">See </w:t>
      </w:r>
      <w:r w:rsidRPr="00BB7CD6">
        <w:rPr>
          <w:i/>
        </w:rPr>
        <w:t>Recon</w:t>
      </w:r>
      <w:r>
        <w:rPr>
          <w:i/>
        </w:rPr>
        <w:t>.</w:t>
      </w:r>
      <w:r w:rsidRPr="00BB7CD6">
        <w:rPr>
          <w:i/>
        </w:rPr>
        <w:t xml:space="preserve"> Order</w:t>
      </w:r>
      <w:r>
        <w:t xml:space="preserve"> at para. 12.</w:t>
      </w:r>
    </w:p>
  </w:footnote>
  <w:footnote w:id="12">
    <w:p w14:paraId="0D8418B6" w14:textId="77777777" w:rsidR="008269D2" w:rsidRDefault="008269D2" w:rsidP="00416C9A">
      <w:pPr>
        <w:pStyle w:val="FootnoteText"/>
        <w:spacing w:after="120"/>
      </w:pPr>
      <w:r>
        <w:rPr>
          <w:rStyle w:val="FootnoteReference"/>
        </w:rPr>
        <w:footnoteRef/>
      </w:r>
      <w:r>
        <w:t xml:space="preserve"> 47 U.S.C. </w:t>
      </w:r>
      <w:r w:rsidRPr="007F23FF">
        <w:t>§</w:t>
      </w:r>
      <w:r>
        <w:t xml:space="preserve"> 303(u)(1) (emphasis added).</w:t>
      </w:r>
    </w:p>
  </w:footnote>
  <w:footnote w:id="13">
    <w:p w14:paraId="1FB4A95A" w14:textId="72E9E015" w:rsidR="008269D2" w:rsidRDefault="008269D2" w:rsidP="00416C9A">
      <w:pPr>
        <w:pStyle w:val="FootnoteText"/>
        <w:spacing w:after="120"/>
      </w:pPr>
      <w:r>
        <w:rPr>
          <w:rStyle w:val="FootnoteReference"/>
        </w:rPr>
        <w:footnoteRef/>
      </w:r>
      <w:r>
        <w:t xml:space="preserve"> </w:t>
      </w:r>
      <w:r w:rsidRPr="002E08BA">
        <w:rPr>
          <w:i/>
        </w:rPr>
        <w:t>See, e.g.</w:t>
      </w:r>
      <w:r>
        <w:t>, 47 U.S.C.</w:t>
      </w:r>
      <w:r w:rsidRPr="002E08BA">
        <w:t xml:space="preserve"> </w:t>
      </w:r>
      <w:r w:rsidRPr="007F23FF">
        <w:t>§</w:t>
      </w:r>
      <w:r>
        <w:t xml:space="preserve"> 152(a); </w:t>
      </w:r>
      <w:r w:rsidRPr="008127D4">
        <w:rPr>
          <w:i/>
        </w:rPr>
        <w:t>Am. Library Ass’n v. FCC</w:t>
      </w:r>
      <w:r w:rsidRPr="00242B6C">
        <w:t>, 406 F.3d 689, 705 (D.C. Cir. 2005)</w:t>
      </w:r>
      <w:r>
        <w:t xml:space="preserve"> (invalidating certain regulations affecting how DTV devices share content with recording devices because such sharing occurs “after a transmission is complete”)</w:t>
      </w:r>
      <w:r w:rsidR="000B0EE9">
        <w:t xml:space="preserve">; </w:t>
      </w:r>
      <w:r w:rsidR="000B0EE9">
        <w:rPr>
          <w:i/>
        </w:rPr>
        <w:t>see also, e.g.</w:t>
      </w:r>
      <w:r w:rsidR="000B0EE9">
        <w:t xml:space="preserve">, </w:t>
      </w:r>
      <w:r w:rsidR="000B0EE9" w:rsidRPr="001B404C">
        <w:t>Webster</w:t>
      </w:r>
      <w:r w:rsidR="000B0EE9">
        <w:t>’</w:t>
      </w:r>
      <w:r w:rsidR="000B0EE9" w:rsidRPr="001B404C">
        <w:t xml:space="preserve">s New International Dictionary </w:t>
      </w:r>
      <w:r w:rsidR="000B0EE9">
        <w:t>2692–93</w:t>
      </w:r>
      <w:r w:rsidR="000B0EE9" w:rsidRPr="001B404C">
        <w:t xml:space="preserve"> (2d ed. 1940)</w:t>
      </w:r>
      <w:r w:rsidR="000B0EE9">
        <w:t xml:space="preserve"> (defining “transmit” as “to send or transfer from one person or place to another; to forward by rail, post, wire, etc.</w:t>
      </w:r>
      <w:r w:rsidR="005C4603">
        <w:t>”)</w:t>
      </w:r>
      <w:r>
        <w:t>.</w:t>
      </w:r>
    </w:p>
  </w:footnote>
  <w:footnote w:id="14">
    <w:p w14:paraId="70D1B41D" w14:textId="77777777" w:rsidR="008269D2" w:rsidRDefault="008269D2" w:rsidP="00416C9A">
      <w:pPr>
        <w:pStyle w:val="FootnoteText"/>
        <w:spacing w:after="120"/>
      </w:pPr>
      <w:r>
        <w:rPr>
          <w:rStyle w:val="FootnoteReference"/>
        </w:rPr>
        <w:footnoteRef/>
      </w:r>
      <w:r>
        <w:t xml:space="preserve"> </w:t>
      </w:r>
      <w:r w:rsidRPr="000F6FA2">
        <w:rPr>
          <w:i/>
        </w:rPr>
        <w:t>Whitman v. American Trucking Association</w:t>
      </w:r>
      <w:r w:rsidRPr="00B84B0E">
        <w:t>, 531 U.S. 457, 468 (2001)</w:t>
      </w:r>
      <w:r>
        <w:t>.</w:t>
      </w:r>
    </w:p>
  </w:footnote>
  <w:footnote w:id="15">
    <w:p w14:paraId="6C3906BC" w14:textId="77777777" w:rsidR="00416C9A" w:rsidRDefault="008269D2" w:rsidP="00416C9A">
      <w:pPr>
        <w:pStyle w:val="FootnoteText"/>
        <w:spacing w:after="120"/>
      </w:pPr>
      <w:r>
        <w:rPr>
          <w:rStyle w:val="FootnoteReference"/>
        </w:rPr>
        <w:footnoteRef/>
      </w:r>
      <w:r>
        <w:t xml:space="preserve"> </w:t>
      </w:r>
      <w:r w:rsidR="00004CB9">
        <w:t>For one, the statute uses the past participle “transmitted,” which suggests completed action—</w:t>
      </w:r>
      <w:r w:rsidR="00004CB9" w:rsidRPr="001350CC">
        <w:rPr>
          <w:i/>
        </w:rPr>
        <w:t>i.e.</w:t>
      </w:r>
      <w:r w:rsidR="00004CB9">
        <w:t>, video programming that has already been transmitted simultaneously with sound, not video programming that is being or will be transmitted simultaneously with sound.</w:t>
      </w:r>
    </w:p>
    <w:p w14:paraId="4E28288D" w14:textId="56A36F7E" w:rsidR="008269D2" w:rsidRDefault="00004CB9" w:rsidP="00416C9A">
      <w:pPr>
        <w:pStyle w:val="FootnoteText"/>
        <w:spacing w:after="120"/>
      </w:pPr>
      <w:r>
        <w:t xml:space="preserve">For another, </w:t>
      </w:r>
      <w:r w:rsidR="00416C9A">
        <w:t xml:space="preserve">before the CVAA amended section 303(u), that section discussed “video programming broadcast simultaneously with sound”—a clear reference to how the device received the programming, not how it was displayed.  In amending that statutory term, Congress broadened the provision to encompass non-broadcast transmissions; it </w:t>
      </w:r>
      <w:r w:rsidR="001350CC">
        <w:t>seems unlikely that</w:t>
      </w:r>
      <w:r w:rsidR="00416C9A">
        <w:t xml:space="preserve"> Congress meant not to broaden the provision but to change its fundamental scope.  This is especially so in light of the fact that </w:t>
      </w:r>
      <w:r>
        <w:t xml:space="preserve">Congress adopted the CVAA to adapt the Communications Act to </w:t>
      </w:r>
      <w:r w:rsidR="00416C9A">
        <w:t>the “</w:t>
      </w:r>
      <w:r w:rsidR="00416C9A" w:rsidRPr="00416C9A">
        <w:t>fundamental transformation, driven by growth in broadband</w:t>
      </w:r>
      <w:r w:rsidR="00416C9A">
        <w:t>,”</w:t>
      </w:r>
      <w:r>
        <w:t xml:space="preserve"> </w:t>
      </w:r>
      <w:r w:rsidR="00416C9A">
        <w:t xml:space="preserve">of the communications marketplace since 1996, House Report 111-563, at 19 (Committee on Energy and Commerce July 26, 2010); Congress was certainly aware of the development of the Sony </w:t>
      </w:r>
      <w:r w:rsidR="0099244D">
        <w:t>B</w:t>
      </w:r>
      <w:r w:rsidR="00416C9A">
        <w:t>etamax, the VCR, the computer diskette, the DVD player, the Zip drive, the USB card, the Blu-Ray player, and other removable media players, but adapting the law to them was not the purpose of the CVAA.</w:t>
      </w:r>
    </w:p>
    <w:p w14:paraId="36147380" w14:textId="4145B0B4" w:rsidR="005C4603" w:rsidRPr="00004CB9" w:rsidRDefault="005C4603" w:rsidP="005C4603">
      <w:pPr>
        <w:pStyle w:val="FootnoteText"/>
        <w:spacing w:after="120"/>
      </w:pPr>
      <w:r>
        <w:t xml:space="preserve">For yet another, this interpretation of “transmitted” </w:t>
      </w:r>
      <w:r w:rsidR="001350CC">
        <w:t>cannot be applied coherently</w:t>
      </w:r>
      <w:r>
        <w:t xml:space="preserve"> to other statutory provisions that use the same term.  Section 203 of the CVAA also includes section 303(z) of the Communications Act, and uses parallel language about recording devices—but if a recording device doesn’t play back any video programming (and thus does not itself “transmit” the programming simultaneously with sound to the user), does the question become whether video programming might eventually be transmitted (or is intended to be transmitted) simultaneously with sound?  Similarly, section 201(e)(2)(F) of the CVAA </w:t>
      </w:r>
      <w:r w:rsidR="003C7EFF">
        <w:t xml:space="preserve">requires </w:t>
      </w:r>
      <w:r>
        <w:t xml:space="preserve">“a recommendation for the standards, protocols, and procedures used to enable the functions of apparatus designed to receive or display video programming </w:t>
      </w:r>
      <w:r w:rsidRPr="005C4603">
        <w:rPr>
          <w:i/>
        </w:rPr>
        <w:t>transmitted</w:t>
      </w:r>
      <w:r>
        <w:t xml:space="preserve"> simultaneously with sound (including apparatus designed to receive or display video programming </w:t>
      </w:r>
      <w:r w:rsidRPr="005C4603">
        <w:rPr>
          <w:i/>
        </w:rPr>
        <w:t>transmitted</w:t>
      </w:r>
      <w:r>
        <w:t xml:space="preserve"> by means of services using Internet protocol) to be accessible to and usable by individuals with disabilities” (emphases added).  </w:t>
      </w:r>
      <w:r w:rsidR="0099244D">
        <w:t>Under the Commission’s interpretation, h</w:t>
      </w:r>
      <w:r>
        <w:t xml:space="preserve">ow could video programming be “transmitted” to </w:t>
      </w:r>
      <w:r w:rsidR="003C7EFF">
        <w:t>the</w:t>
      </w:r>
      <w:r>
        <w:t xml:space="preserve"> user</w:t>
      </w:r>
      <w:r w:rsidR="003C7EFF">
        <w:t xml:space="preserve"> “by means of services using Internet protocol”?</w:t>
      </w:r>
    </w:p>
  </w:footnote>
  <w:footnote w:id="16">
    <w:p w14:paraId="37F7B53F" w14:textId="77777777" w:rsidR="008269D2" w:rsidRDefault="008269D2" w:rsidP="00416C9A">
      <w:pPr>
        <w:pStyle w:val="FootnoteText"/>
        <w:spacing w:after="120"/>
      </w:pPr>
      <w:r>
        <w:rPr>
          <w:rStyle w:val="FootnoteReference"/>
        </w:rPr>
        <w:footnoteRef/>
      </w:r>
      <w:r>
        <w:t xml:space="preserve"> </w:t>
      </w:r>
      <w:r w:rsidRPr="00C36360">
        <w:rPr>
          <w:i/>
        </w:rPr>
        <w:t>See</w:t>
      </w:r>
      <w:r>
        <w:t xml:space="preserve"> </w:t>
      </w:r>
      <w:r w:rsidRPr="000F79B6">
        <w:rPr>
          <w:i/>
        </w:rPr>
        <w:t>IP Closed Captioning Order</w:t>
      </w:r>
      <w:r>
        <w:t>, 27 FCC Rcd at 846, para. 99 &amp; n.398.</w:t>
      </w:r>
    </w:p>
  </w:footnote>
  <w:footnote w:id="17">
    <w:p w14:paraId="34F0FD57" w14:textId="4F6E8A12" w:rsidR="008269D2" w:rsidRDefault="008269D2" w:rsidP="00416C9A">
      <w:pPr>
        <w:pStyle w:val="FootnoteText"/>
        <w:spacing w:after="120"/>
      </w:pPr>
      <w:r>
        <w:rPr>
          <w:rStyle w:val="FootnoteReference"/>
        </w:rPr>
        <w:footnoteRef/>
      </w:r>
      <w:r>
        <w:t xml:space="preserve"> </w:t>
      </w:r>
      <w:r w:rsidRPr="00BB7CD6">
        <w:rPr>
          <w:i/>
        </w:rPr>
        <w:t>See Recon Order</w:t>
      </w:r>
      <w:r>
        <w:t xml:space="preserve"> at para. 21 &amp; n.78; </w:t>
      </w:r>
      <w:r>
        <w:rPr>
          <w:i/>
        </w:rPr>
        <w:t>see also</w:t>
      </w:r>
      <w:r>
        <w:t xml:space="preserve"> Reply Comments of CEA at 7 n.32.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C0B7F" w14:textId="77777777" w:rsidR="00574B83" w:rsidRDefault="00574B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D9BA14" w14:textId="77777777" w:rsidR="00574B83" w:rsidRDefault="00574B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0EA5F" w14:textId="77777777" w:rsidR="00574B83" w:rsidRDefault="00574B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4BA"/>
    <w:rsid w:val="000038AD"/>
    <w:rsid w:val="00004CB9"/>
    <w:rsid w:val="00015521"/>
    <w:rsid w:val="00024F96"/>
    <w:rsid w:val="00065343"/>
    <w:rsid w:val="00066423"/>
    <w:rsid w:val="000A1DBD"/>
    <w:rsid w:val="000B0EE9"/>
    <w:rsid w:val="000C118F"/>
    <w:rsid w:val="000D0777"/>
    <w:rsid w:val="000F6FA2"/>
    <w:rsid w:val="000F79B6"/>
    <w:rsid w:val="00102173"/>
    <w:rsid w:val="00102E21"/>
    <w:rsid w:val="00105F0B"/>
    <w:rsid w:val="00106A74"/>
    <w:rsid w:val="00111EFA"/>
    <w:rsid w:val="001350CC"/>
    <w:rsid w:val="001518F8"/>
    <w:rsid w:val="001640A1"/>
    <w:rsid w:val="00165033"/>
    <w:rsid w:val="001A6F09"/>
    <w:rsid w:val="001B404C"/>
    <w:rsid w:val="001D536B"/>
    <w:rsid w:val="001D7C0B"/>
    <w:rsid w:val="00214D2D"/>
    <w:rsid w:val="002167BA"/>
    <w:rsid w:val="00223231"/>
    <w:rsid w:val="002257E1"/>
    <w:rsid w:val="00230100"/>
    <w:rsid w:val="00236D71"/>
    <w:rsid w:val="00242261"/>
    <w:rsid w:val="00242B6C"/>
    <w:rsid w:val="00265A2E"/>
    <w:rsid w:val="00271901"/>
    <w:rsid w:val="002822A9"/>
    <w:rsid w:val="00287C7D"/>
    <w:rsid w:val="002923F3"/>
    <w:rsid w:val="002C1CF9"/>
    <w:rsid w:val="002D069C"/>
    <w:rsid w:val="002D32F7"/>
    <w:rsid w:val="002E08BA"/>
    <w:rsid w:val="002F7A46"/>
    <w:rsid w:val="00324049"/>
    <w:rsid w:val="00324F65"/>
    <w:rsid w:val="003346D8"/>
    <w:rsid w:val="00383723"/>
    <w:rsid w:val="003847CC"/>
    <w:rsid w:val="003959AB"/>
    <w:rsid w:val="003B3C39"/>
    <w:rsid w:val="003C222A"/>
    <w:rsid w:val="003C7EFF"/>
    <w:rsid w:val="004043A8"/>
    <w:rsid w:val="00414FC4"/>
    <w:rsid w:val="00416C9A"/>
    <w:rsid w:val="004324BA"/>
    <w:rsid w:val="004612D0"/>
    <w:rsid w:val="00471D25"/>
    <w:rsid w:val="00474A8F"/>
    <w:rsid w:val="004B677E"/>
    <w:rsid w:val="004C3E31"/>
    <w:rsid w:val="004C415F"/>
    <w:rsid w:val="004D0FFB"/>
    <w:rsid w:val="004E2F8D"/>
    <w:rsid w:val="004F46C9"/>
    <w:rsid w:val="005632FE"/>
    <w:rsid w:val="00565541"/>
    <w:rsid w:val="005712F6"/>
    <w:rsid w:val="00574B83"/>
    <w:rsid w:val="005B4286"/>
    <w:rsid w:val="005C0174"/>
    <w:rsid w:val="005C39F6"/>
    <w:rsid w:val="005C3D5F"/>
    <w:rsid w:val="005C4603"/>
    <w:rsid w:val="005C591B"/>
    <w:rsid w:val="005D25C9"/>
    <w:rsid w:val="005E08D7"/>
    <w:rsid w:val="00630E7C"/>
    <w:rsid w:val="0063427E"/>
    <w:rsid w:val="00634E5F"/>
    <w:rsid w:val="006525DC"/>
    <w:rsid w:val="006746C9"/>
    <w:rsid w:val="00676631"/>
    <w:rsid w:val="00680D63"/>
    <w:rsid w:val="00691940"/>
    <w:rsid w:val="006A5B53"/>
    <w:rsid w:val="006C42A5"/>
    <w:rsid w:val="006D7117"/>
    <w:rsid w:val="006F6B67"/>
    <w:rsid w:val="00710F4E"/>
    <w:rsid w:val="00711366"/>
    <w:rsid w:val="00725CA7"/>
    <w:rsid w:val="0077772D"/>
    <w:rsid w:val="00791759"/>
    <w:rsid w:val="007B0160"/>
    <w:rsid w:val="007B1E52"/>
    <w:rsid w:val="007B2733"/>
    <w:rsid w:val="007B2C16"/>
    <w:rsid w:val="007C72AC"/>
    <w:rsid w:val="007D33D8"/>
    <w:rsid w:val="007D456A"/>
    <w:rsid w:val="007D703D"/>
    <w:rsid w:val="007E1FD6"/>
    <w:rsid w:val="007E5709"/>
    <w:rsid w:val="007F23FF"/>
    <w:rsid w:val="007F2974"/>
    <w:rsid w:val="008127D4"/>
    <w:rsid w:val="008269D2"/>
    <w:rsid w:val="00840FF4"/>
    <w:rsid w:val="00875C80"/>
    <w:rsid w:val="008B1523"/>
    <w:rsid w:val="008D6952"/>
    <w:rsid w:val="008E26EE"/>
    <w:rsid w:val="008F0F3F"/>
    <w:rsid w:val="008F481C"/>
    <w:rsid w:val="00913684"/>
    <w:rsid w:val="00943814"/>
    <w:rsid w:val="00961AE6"/>
    <w:rsid w:val="00977336"/>
    <w:rsid w:val="00991139"/>
    <w:rsid w:val="0099244D"/>
    <w:rsid w:val="009A0399"/>
    <w:rsid w:val="009A26DE"/>
    <w:rsid w:val="009B1A59"/>
    <w:rsid w:val="009D15F2"/>
    <w:rsid w:val="009D1E33"/>
    <w:rsid w:val="009D2966"/>
    <w:rsid w:val="009E20DA"/>
    <w:rsid w:val="009E2AD4"/>
    <w:rsid w:val="009F5717"/>
    <w:rsid w:val="00A02C0A"/>
    <w:rsid w:val="00A20DA9"/>
    <w:rsid w:val="00A3213C"/>
    <w:rsid w:val="00A451C2"/>
    <w:rsid w:val="00A61857"/>
    <w:rsid w:val="00A62B4E"/>
    <w:rsid w:val="00A765DC"/>
    <w:rsid w:val="00A76832"/>
    <w:rsid w:val="00A80D55"/>
    <w:rsid w:val="00A82C35"/>
    <w:rsid w:val="00A8550C"/>
    <w:rsid w:val="00A86911"/>
    <w:rsid w:val="00AB1F7B"/>
    <w:rsid w:val="00AB3977"/>
    <w:rsid w:val="00AC14CC"/>
    <w:rsid w:val="00AF06D6"/>
    <w:rsid w:val="00AF48F4"/>
    <w:rsid w:val="00B0237C"/>
    <w:rsid w:val="00B04B04"/>
    <w:rsid w:val="00B20269"/>
    <w:rsid w:val="00B3080B"/>
    <w:rsid w:val="00B32DCF"/>
    <w:rsid w:val="00B37764"/>
    <w:rsid w:val="00B37FD0"/>
    <w:rsid w:val="00B668DF"/>
    <w:rsid w:val="00B758AD"/>
    <w:rsid w:val="00B81A7A"/>
    <w:rsid w:val="00B84B0E"/>
    <w:rsid w:val="00B857C1"/>
    <w:rsid w:val="00B900F6"/>
    <w:rsid w:val="00BA4F85"/>
    <w:rsid w:val="00BB197C"/>
    <w:rsid w:val="00BB7CD6"/>
    <w:rsid w:val="00BC1312"/>
    <w:rsid w:val="00BC3834"/>
    <w:rsid w:val="00BD5FE4"/>
    <w:rsid w:val="00BE5BF6"/>
    <w:rsid w:val="00BF3D53"/>
    <w:rsid w:val="00C00326"/>
    <w:rsid w:val="00C20698"/>
    <w:rsid w:val="00C217DA"/>
    <w:rsid w:val="00C34834"/>
    <w:rsid w:val="00C36360"/>
    <w:rsid w:val="00C41AC9"/>
    <w:rsid w:val="00C578AD"/>
    <w:rsid w:val="00C62BD5"/>
    <w:rsid w:val="00C76930"/>
    <w:rsid w:val="00C779A1"/>
    <w:rsid w:val="00C8408B"/>
    <w:rsid w:val="00C8618B"/>
    <w:rsid w:val="00C86D1C"/>
    <w:rsid w:val="00C92061"/>
    <w:rsid w:val="00C92A6D"/>
    <w:rsid w:val="00CE78F6"/>
    <w:rsid w:val="00D11584"/>
    <w:rsid w:val="00D30EFE"/>
    <w:rsid w:val="00D80B9F"/>
    <w:rsid w:val="00D92759"/>
    <w:rsid w:val="00D94A6D"/>
    <w:rsid w:val="00D95CAE"/>
    <w:rsid w:val="00DA42DB"/>
    <w:rsid w:val="00DD2484"/>
    <w:rsid w:val="00DF3E08"/>
    <w:rsid w:val="00E00B75"/>
    <w:rsid w:val="00E04228"/>
    <w:rsid w:val="00E4586F"/>
    <w:rsid w:val="00E70D86"/>
    <w:rsid w:val="00E8149E"/>
    <w:rsid w:val="00E87812"/>
    <w:rsid w:val="00EE79CC"/>
    <w:rsid w:val="00EF4F65"/>
    <w:rsid w:val="00F04B5D"/>
    <w:rsid w:val="00F066B8"/>
    <w:rsid w:val="00F10BD6"/>
    <w:rsid w:val="00F32EC1"/>
    <w:rsid w:val="00F47CBE"/>
    <w:rsid w:val="00F533AD"/>
    <w:rsid w:val="00F56F91"/>
    <w:rsid w:val="00F60FA0"/>
    <w:rsid w:val="00F85037"/>
    <w:rsid w:val="00FC2ABE"/>
    <w:rsid w:val="00FD2D10"/>
    <w:rsid w:val="00FD2E07"/>
    <w:rsid w:val="00FD4941"/>
    <w:rsid w:val="00FF1105"/>
    <w:rsid w:val="00FF4C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1D9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5BF6"/>
    <w:pPr>
      <w:spacing w:after="0"/>
    </w:pPr>
    <w:rPr>
      <w:sz w:val="20"/>
      <w:szCs w:val="20"/>
    </w:rPr>
  </w:style>
  <w:style w:type="character" w:customStyle="1" w:styleId="FootnoteTextChar">
    <w:name w:val="Footnote Text Char"/>
    <w:basedOn w:val="DefaultParagraphFont"/>
    <w:link w:val="FootnoteText"/>
    <w:uiPriority w:val="99"/>
    <w:rsid w:val="00BE5BF6"/>
    <w:rPr>
      <w:sz w:val="20"/>
      <w:szCs w:val="20"/>
    </w:rPr>
  </w:style>
  <w:style w:type="character" w:styleId="FootnoteReference">
    <w:name w:val="footnote reference"/>
    <w:basedOn w:val="DefaultParagraphFont"/>
    <w:uiPriority w:val="99"/>
    <w:unhideWhenUsed/>
    <w:rsid w:val="00BE5BF6"/>
    <w:rPr>
      <w:vertAlign w:val="superscript"/>
    </w:rPr>
  </w:style>
  <w:style w:type="paragraph" w:styleId="BalloonText">
    <w:name w:val="Balloon Text"/>
    <w:basedOn w:val="Normal"/>
    <w:link w:val="BalloonTextChar"/>
    <w:uiPriority w:val="99"/>
    <w:semiHidden/>
    <w:unhideWhenUsed/>
    <w:rsid w:val="00FF4C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94"/>
    <w:rPr>
      <w:rFonts w:ascii="Tahoma" w:hAnsi="Tahoma" w:cs="Tahoma"/>
      <w:sz w:val="16"/>
      <w:szCs w:val="16"/>
    </w:rPr>
  </w:style>
  <w:style w:type="character" w:styleId="Hyperlink">
    <w:name w:val="Hyperlink"/>
    <w:basedOn w:val="DefaultParagraphFont"/>
    <w:uiPriority w:val="99"/>
    <w:unhideWhenUsed/>
    <w:rsid w:val="00265A2E"/>
    <w:rPr>
      <w:color w:val="0000FF" w:themeColor="hyperlink"/>
      <w:u w:val="single"/>
    </w:rPr>
  </w:style>
  <w:style w:type="character" w:styleId="CommentReference">
    <w:name w:val="annotation reference"/>
    <w:basedOn w:val="DefaultParagraphFont"/>
    <w:uiPriority w:val="99"/>
    <w:semiHidden/>
    <w:unhideWhenUsed/>
    <w:rsid w:val="006A5B53"/>
    <w:rPr>
      <w:sz w:val="18"/>
      <w:szCs w:val="18"/>
    </w:rPr>
  </w:style>
  <w:style w:type="paragraph" w:styleId="CommentText">
    <w:name w:val="annotation text"/>
    <w:basedOn w:val="Normal"/>
    <w:link w:val="CommentTextChar"/>
    <w:uiPriority w:val="99"/>
    <w:semiHidden/>
    <w:unhideWhenUsed/>
    <w:rsid w:val="006A5B53"/>
    <w:rPr>
      <w:sz w:val="24"/>
      <w:szCs w:val="24"/>
    </w:rPr>
  </w:style>
  <w:style w:type="character" w:customStyle="1" w:styleId="CommentTextChar">
    <w:name w:val="Comment Text Char"/>
    <w:basedOn w:val="DefaultParagraphFont"/>
    <w:link w:val="CommentText"/>
    <w:uiPriority w:val="99"/>
    <w:semiHidden/>
    <w:rsid w:val="006A5B5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A5B53"/>
    <w:rPr>
      <w:b/>
      <w:bCs/>
      <w:sz w:val="20"/>
      <w:szCs w:val="20"/>
    </w:rPr>
  </w:style>
  <w:style w:type="character" w:customStyle="1" w:styleId="CommentSubjectChar">
    <w:name w:val="Comment Subject Char"/>
    <w:basedOn w:val="CommentTextChar"/>
    <w:link w:val="CommentSubject"/>
    <w:uiPriority w:val="99"/>
    <w:semiHidden/>
    <w:rsid w:val="006A5B53"/>
    <w:rPr>
      <w:rFonts w:ascii="Times New Roman" w:hAnsi="Times New Roman"/>
      <w:b/>
      <w:bCs/>
      <w:sz w:val="20"/>
      <w:szCs w:val="20"/>
    </w:rPr>
  </w:style>
  <w:style w:type="paragraph" w:styleId="Revision">
    <w:name w:val="Revision"/>
    <w:hidden/>
    <w:uiPriority w:val="99"/>
    <w:semiHidden/>
    <w:rsid w:val="001A6F09"/>
    <w:pPr>
      <w:spacing w:after="0" w:line="240" w:lineRule="auto"/>
    </w:pPr>
    <w:rPr>
      <w:rFonts w:ascii="Times New Roman" w:hAnsi="Times New Roman"/>
    </w:rPr>
  </w:style>
  <w:style w:type="paragraph" w:styleId="Header">
    <w:name w:val="header"/>
    <w:basedOn w:val="Normal"/>
    <w:link w:val="HeaderChar"/>
    <w:uiPriority w:val="99"/>
    <w:unhideWhenUsed/>
    <w:rsid w:val="00574B83"/>
    <w:pPr>
      <w:tabs>
        <w:tab w:val="center" w:pos="4680"/>
        <w:tab w:val="right" w:pos="9360"/>
      </w:tabs>
      <w:spacing w:after="0"/>
    </w:pPr>
  </w:style>
  <w:style w:type="character" w:customStyle="1" w:styleId="HeaderChar">
    <w:name w:val="Header Char"/>
    <w:basedOn w:val="DefaultParagraphFont"/>
    <w:link w:val="Header"/>
    <w:uiPriority w:val="99"/>
    <w:rsid w:val="00574B83"/>
    <w:rPr>
      <w:rFonts w:ascii="Times New Roman" w:hAnsi="Times New Roman"/>
    </w:rPr>
  </w:style>
  <w:style w:type="paragraph" w:styleId="Footer">
    <w:name w:val="footer"/>
    <w:basedOn w:val="Normal"/>
    <w:link w:val="FooterChar"/>
    <w:uiPriority w:val="99"/>
    <w:unhideWhenUsed/>
    <w:rsid w:val="00574B83"/>
    <w:pPr>
      <w:tabs>
        <w:tab w:val="center" w:pos="4680"/>
        <w:tab w:val="right" w:pos="9360"/>
      </w:tabs>
      <w:spacing w:after="0"/>
    </w:pPr>
  </w:style>
  <w:style w:type="character" w:customStyle="1" w:styleId="FooterChar">
    <w:name w:val="Footer Char"/>
    <w:basedOn w:val="DefaultParagraphFont"/>
    <w:link w:val="Footer"/>
    <w:uiPriority w:val="99"/>
    <w:rsid w:val="00574B83"/>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C94"/>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BE5BF6"/>
    <w:pPr>
      <w:spacing w:after="0"/>
    </w:pPr>
    <w:rPr>
      <w:sz w:val="20"/>
      <w:szCs w:val="20"/>
    </w:rPr>
  </w:style>
  <w:style w:type="character" w:customStyle="1" w:styleId="FootnoteTextChar">
    <w:name w:val="Footnote Text Char"/>
    <w:basedOn w:val="DefaultParagraphFont"/>
    <w:link w:val="FootnoteText"/>
    <w:uiPriority w:val="99"/>
    <w:rsid w:val="00BE5BF6"/>
    <w:rPr>
      <w:sz w:val="20"/>
      <w:szCs w:val="20"/>
    </w:rPr>
  </w:style>
  <w:style w:type="character" w:styleId="FootnoteReference">
    <w:name w:val="footnote reference"/>
    <w:basedOn w:val="DefaultParagraphFont"/>
    <w:uiPriority w:val="99"/>
    <w:unhideWhenUsed/>
    <w:rsid w:val="00BE5BF6"/>
    <w:rPr>
      <w:vertAlign w:val="superscript"/>
    </w:rPr>
  </w:style>
  <w:style w:type="paragraph" w:styleId="BalloonText">
    <w:name w:val="Balloon Text"/>
    <w:basedOn w:val="Normal"/>
    <w:link w:val="BalloonTextChar"/>
    <w:uiPriority w:val="99"/>
    <w:semiHidden/>
    <w:unhideWhenUsed/>
    <w:rsid w:val="00FF4C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4C94"/>
    <w:rPr>
      <w:rFonts w:ascii="Tahoma" w:hAnsi="Tahoma" w:cs="Tahoma"/>
      <w:sz w:val="16"/>
      <w:szCs w:val="16"/>
    </w:rPr>
  </w:style>
  <w:style w:type="character" w:styleId="Hyperlink">
    <w:name w:val="Hyperlink"/>
    <w:basedOn w:val="DefaultParagraphFont"/>
    <w:uiPriority w:val="99"/>
    <w:unhideWhenUsed/>
    <w:rsid w:val="00265A2E"/>
    <w:rPr>
      <w:color w:val="0000FF" w:themeColor="hyperlink"/>
      <w:u w:val="single"/>
    </w:rPr>
  </w:style>
  <w:style w:type="character" w:styleId="CommentReference">
    <w:name w:val="annotation reference"/>
    <w:basedOn w:val="DefaultParagraphFont"/>
    <w:uiPriority w:val="99"/>
    <w:semiHidden/>
    <w:unhideWhenUsed/>
    <w:rsid w:val="006A5B53"/>
    <w:rPr>
      <w:sz w:val="18"/>
      <w:szCs w:val="18"/>
    </w:rPr>
  </w:style>
  <w:style w:type="paragraph" w:styleId="CommentText">
    <w:name w:val="annotation text"/>
    <w:basedOn w:val="Normal"/>
    <w:link w:val="CommentTextChar"/>
    <w:uiPriority w:val="99"/>
    <w:semiHidden/>
    <w:unhideWhenUsed/>
    <w:rsid w:val="006A5B53"/>
    <w:rPr>
      <w:sz w:val="24"/>
      <w:szCs w:val="24"/>
    </w:rPr>
  </w:style>
  <w:style w:type="character" w:customStyle="1" w:styleId="CommentTextChar">
    <w:name w:val="Comment Text Char"/>
    <w:basedOn w:val="DefaultParagraphFont"/>
    <w:link w:val="CommentText"/>
    <w:uiPriority w:val="99"/>
    <w:semiHidden/>
    <w:rsid w:val="006A5B53"/>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6A5B53"/>
    <w:rPr>
      <w:b/>
      <w:bCs/>
      <w:sz w:val="20"/>
      <w:szCs w:val="20"/>
    </w:rPr>
  </w:style>
  <w:style w:type="character" w:customStyle="1" w:styleId="CommentSubjectChar">
    <w:name w:val="Comment Subject Char"/>
    <w:basedOn w:val="CommentTextChar"/>
    <w:link w:val="CommentSubject"/>
    <w:uiPriority w:val="99"/>
    <w:semiHidden/>
    <w:rsid w:val="006A5B53"/>
    <w:rPr>
      <w:rFonts w:ascii="Times New Roman" w:hAnsi="Times New Roman"/>
      <w:b/>
      <w:bCs/>
      <w:sz w:val="20"/>
      <w:szCs w:val="20"/>
    </w:rPr>
  </w:style>
  <w:style w:type="paragraph" w:styleId="Revision">
    <w:name w:val="Revision"/>
    <w:hidden/>
    <w:uiPriority w:val="99"/>
    <w:semiHidden/>
    <w:rsid w:val="001A6F09"/>
    <w:pPr>
      <w:spacing w:after="0" w:line="240" w:lineRule="auto"/>
    </w:pPr>
    <w:rPr>
      <w:rFonts w:ascii="Times New Roman" w:hAnsi="Times New Roman"/>
    </w:rPr>
  </w:style>
  <w:style w:type="paragraph" w:styleId="Header">
    <w:name w:val="header"/>
    <w:basedOn w:val="Normal"/>
    <w:link w:val="HeaderChar"/>
    <w:uiPriority w:val="99"/>
    <w:unhideWhenUsed/>
    <w:rsid w:val="00574B83"/>
    <w:pPr>
      <w:tabs>
        <w:tab w:val="center" w:pos="4680"/>
        <w:tab w:val="right" w:pos="9360"/>
      </w:tabs>
      <w:spacing w:after="0"/>
    </w:pPr>
  </w:style>
  <w:style w:type="character" w:customStyle="1" w:styleId="HeaderChar">
    <w:name w:val="Header Char"/>
    <w:basedOn w:val="DefaultParagraphFont"/>
    <w:link w:val="Header"/>
    <w:uiPriority w:val="99"/>
    <w:rsid w:val="00574B83"/>
    <w:rPr>
      <w:rFonts w:ascii="Times New Roman" w:hAnsi="Times New Roman"/>
    </w:rPr>
  </w:style>
  <w:style w:type="paragraph" w:styleId="Footer">
    <w:name w:val="footer"/>
    <w:basedOn w:val="Normal"/>
    <w:link w:val="FooterChar"/>
    <w:uiPriority w:val="99"/>
    <w:unhideWhenUsed/>
    <w:rsid w:val="00574B83"/>
    <w:pPr>
      <w:tabs>
        <w:tab w:val="center" w:pos="4680"/>
        <w:tab w:val="right" w:pos="9360"/>
      </w:tabs>
      <w:spacing w:after="0"/>
    </w:pPr>
  </w:style>
  <w:style w:type="character" w:customStyle="1" w:styleId="FooterChar">
    <w:name w:val="Footer Char"/>
    <w:basedOn w:val="DefaultParagraphFont"/>
    <w:link w:val="Footer"/>
    <w:uiPriority w:val="99"/>
    <w:rsid w:val="00574B83"/>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6128">
      <w:bodyDiv w:val="1"/>
      <w:marLeft w:val="0"/>
      <w:marRight w:val="0"/>
      <w:marTop w:val="0"/>
      <w:marBottom w:val="0"/>
      <w:divBdr>
        <w:top w:val="none" w:sz="0" w:space="0" w:color="auto"/>
        <w:left w:val="none" w:sz="0" w:space="0" w:color="auto"/>
        <w:bottom w:val="none" w:sz="0" w:space="0" w:color="auto"/>
        <w:right w:val="none" w:sz="0" w:space="0" w:color="auto"/>
      </w:divBdr>
    </w:div>
    <w:div w:id="98449060">
      <w:bodyDiv w:val="1"/>
      <w:marLeft w:val="0"/>
      <w:marRight w:val="0"/>
      <w:marTop w:val="0"/>
      <w:marBottom w:val="0"/>
      <w:divBdr>
        <w:top w:val="none" w:sz="0" w:space="0" w:color="auto"/>
        <w:left w:val="none" w:sz="0" w:space="0" w:color="auto"/>
        <w:bottom w:val="none" w:sz="0" w:space="0" w:color="auto"/>
        <w:right w:val="none" w:sz="0" w:space="0" w:color="auto"/>
      </w:divBdr>
      <w:divsChild>
        <w:div w:id="353769230">
          <w:marLeft w:val="0"/>
          <w:marRight w:val="0"/>
          <w:marTop w:val="0"/>
          <w:marBottom w:val="0"/>
          <w:divBdr>
            <w:top w:val="none" w:sz="0" w:space="0" w:color="auto"/>
            <w:left w:val="none" w:sz="0" w:space="0" w:color="auto"/>
            <w:bottom w:val="none" w:sz="0" w:space="0" w:color="auto"/>
            <w:right w:val="none" w:sz="0" w:space="0" w:color="auto"/>
          </w:divBdr>
          <w:divsChild>
            <w:div w:id="5962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07838">
      <w:bodyDiv w:val="1"/>
      <w:marLeft w:val="0"/>
      <w:marRight w:val="0"/>
      <w:marTop w:val="0"/>
      <w:marBottom w:val="0"/>
      <w:divBdr>
        <w:top w:val="none" w:sz="0" w:space="0" w:color="auto"/>
        <w:left w:val="none" w:sz="0" w:space="0" w:color="auto"/>
        <w:bottom w:val="none" w:sz="0" w:space="0" w:color="auto"/>
        <w:right w:val="none" w:sz="0" w:space="0" w:color="auto"/>
      </w:divBdr>
      <w:divsChild>
        <w:div w:id="383457010">
          <w:marLeft w:val="0"/>
          <w:marRight w:val="0"/>
          <w:marTop w:val="0"/>
          <w:marBottom w:val="0"/>
          <w:divBdr>
            <w:top w:val="none" w:sz="0" w:space="0" w:color="auto"/>
            <w:left w:val="none" w:sz="0" w:space="0" w:color="auto"/>
            <w:bottom w:val="none" w:sz="0" w:space="0" w:color="auto"/>
            <w:right w:val="none" w:sz="0" w:space="0" w:color="auto"/>
          </w:divBdr>
        </w:div>
        <w:div w:id="1661274185">
          <w:marLeft w:val="0"/>
          <w:marRight w:val="0"/>
          <w:marTop w:val="0"/>
          <w:marBottom w:val="0"/>
          <w:divBdr>
            <w:top w:val="none" w:sz="0" w:space="0" w:color="auto"/>
            <w:left w:val="none" w:sz="0" w:space="0" w:color="auto"/>
            <w:bottom w:val="none" w:sz="0" w:space="0" w:color="auto"/>
            <w:right w:val="none" w:sz="0" w:space="0" w:color="auto"/>
          </w:divBdr>
        </w:div>
        <w:div w:id="1373770433">
          <w:marLeft w:val="0"/>
          <w:marRight w:val="0"/>
          <w:marTop w:val="0"/>
          <w:marBottom w:val="0"/>
          <w:divBdr>
            <w:top w:val="none" w:sz="0" w:space="0" w:color="auto"/>
            <w:left w:val="none" w:sz="0" w:space="0" w:color="auto"/>
            <w:bottom w:val="none" w:sz="0" w:space="0" w:color="auto"/>
            <w:right w:val="none" w:sz="0" w:space="0" w:color="auto"/>
          </w:divBdr>
        </w:div>
        <w:div w:id="23988324">
          <w:marLeft w:val="0"/>
          <w:marRight w:val="0"/>
          <w:marTop w:val="0"/>
          <w:marBottom w:val="0"/>
          <w:divBdr>
            <w:top w:val="none" w:sz="0" w:space="0" w:color="auto"/>
            <w:left w:val="none" w:sz="0" w:space="0" w:color="auto"/>
            <w:bottom w:val="none" w:sz="0" w:space="0" w:color="auto"/>
            <w:right w:val="none" w:sz="0" w:space="0" w:color="auto"/>
          </w:divBdr>
        </w:div>
        <w:div w:id="1979384282">
          <w:marLeft w:val="0"/>
          <w:marRight w:val="0"/>
          <w:marTop w:val="0"/>
          <w:marBottom w:val="0"/>
          <w:divBdr>
            <w:top w:val="none" w:sz="0" w:space="0" w:color="auto"/>
            <w:left w:val="none" w:sz="0" w:space="0" w:color="auto"/>
            <w:bottom w:val="none" w:sz="0" w:space="0" w:color="auto"/>
            <w:right w:val="none" w:sz="0" w:space="0" w:color="auto"/>
          </w:divBdr>
        </w:div>
        <w:div w:id="356734659">
          <w:marLeft w:val="0"/>
          <w:marRight w:val="0"/>
          <w:marTop w:val="0"/>
          <w:marBottom w:val="0"/>
          <w:divBdr>
            <w:top w:val="none" w:sz="0" w:space="0" w:color="auto"/>
            <w:left w:val="none" w:sz="0" w:space="0" w:color="auto"/>
            <w:bottom w:val="none" w:sz="0" w:space="0" w:color="auto"/>
            <w:right w:val="none" w:sz="0" w:space="0" w:color="auto"/>
          </w:divBdr>
        </w:div>
        <w:div w:id="100347478">
          <w:marLeft w:val="0"/>
          <w:marRight w:val="0"/>
          <w:marTop w:val="0"/>
          <w:marBottom w:val="0"/>
          <w:divBdr>
            <w:top w:val="none" w:sz="0" w:space="0" w:color="auto"/>
            <w:left w:val="none" w:sz="0" w:space="0" w:color="auto"/>
            <w:bottom w:val="none" w:sz="0" w:space="0" w:color="auto"/>
            <w:right w:val="none" w:sz="0" w:space="0" w:color="auto"/>
          </w:divBdr>
        </w:div>
        <w:div w:id="638150837">
          <w:marLeft w:val="0"/>
          <w:marRight w:val="0"/>
          <w:marTop w:val="0"/>
          <w:marBottom w:val="0"/>
          <w:divBdr>
            <w:top w:val="none" w:sz="0" w:space="0" w:color="auto"/>
            <w:left w:val="none" w:sz="0" w:space="0" w:color="auto"/>
            <w:bottom w:val="none" w:sz="0" w:space="0" w:color="auto"/>
            <w:right w:val="none" w:sz="0" w:space="0" w:color="auto"/>
          </w:divBdr>
        </w:div>
        <w:div w:id="461273034">
          <w:marLeft w:val="0"/>
          <w:marRight w:val="0"/>
          <w:marTop w:val="0"/>
          <w:marBottom w:val="0"/>
          <w:divBdr>
            <w:top w:val="none" w:sz="0" w:space="0" w:color="auto"/>
            <w:left w:val="none" w:sz="0" w:space="0" w:color="auto"/>
            <w:bottom w:val="none" w:sz="0" w:space="0" w:color="auto"/>
            <w:right w:val="none" w:sz="0" w:space="0" w:color="auto"/>
          </w:divBdr>
        </w:div>
      </w:divsChild>
    </w:div>
    <w:div w:id="484013401">
      <w:bodyDiv w:val="1"/>
      <w:marLeft w:val="0"/>
      <w:marRight w:val="0"/>
      <w:marTop w:val="0"/>
      <w:marBottom w:val="0"/>
      <w:divBdr>
        <w:top w:val="none" w:sz="0" w:space="0" w:color="auto"/>
        <w:left w:val="none" w:sz="0" w:space="0" w:color="auto"/>
        <w:bottom w:val="none" w:sz="0" w:space="0" w:color="auto"/>
        <w:right w:val="none" w:sz="0" w:space="0" w:color="auto"/>
      </w:divBdr>
      <w:divsChild>
        <w:div w:id="1067143431">
          <w:marLeft w:val="0"/>
          <w:marRight w:val="0"/>
          <w:marTop w:val="0"/>
          <w:marBottom w:val="0"/>
          <w:divBdr>
            <w:top w:val="none" w:sz="0" w:space="0" w:color="auto"/>
            <w:left w:val="none" w:sz="0" w:space="0" w:color="auto"/>
            <w:bottom w:val="none" w:sz="0" w:space="0" w:color="auto"/>
            <w:right w:val="none" w:sz="0" w:space="0" w:color="auto"/>
          </w:divBdr>
          <w:divsChild>
            <w:div w:id="108772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36834">
      <w:bodyDiv w:val="1"/>
      <w:marLeft w:val="0"/>
      <w:marRight w:val="0"/>
      <w:marTop w:val="0"/>
      <w:marBottom w:val="0"/>
      <w:divBdr>
        <w:top w:val="none" w:sz="0" w:space="0" w:color="auto"/>
        <w:left w:val="none" w:sz="0" w:space="0" w:color="auto"/>
        <w:bottom w:val="none" w:sz="0" w:space="0" w:color="auto"/>
        <w:right w:val="none" w:sz="0" w:space="0" w:color="auto"/>
      </w:divBdr>
      <w:divsChild>
        <w:div w:id="598149458">
          <w:marLeft w:val="0"/>
          <w:marRight w:val="0"/>
          <w:marTop w:val="0"/>
          <w:marBottom w:val="0"/>
          <w:divBdr>
            <w:top w:val="none" w:sz="0" w:space="0" w:color="auto"/>
            <w:left w:val="none" w:sz="0" w:space="0" w:color="auto"/>
            <w:bottom w:val="none" w:sz="0" w:space="0" w:color="auto"/>
            <w:right w:val="none" w:sz="0" w:space="0" w:color="auto"/>
          </w:divBdr>
          <w:divsChild>
            <w:div w:id="117874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820671">
      <w:bodyDiv w:val="1"/>
      <w:marLeft w:val="0"/>
      <w:marRight w:val="0"/>
      <w:marTop w:val="0"/>
      <w:marBottom w:val="0"/>
      <w:divBdr>
        <w:top w:val="none" w:sz="0" w:space="0" w:color="auto"/>
        <w:left w:val="none" w:sz="0" w:space="0" w:color="auto"/>
        <w:bottom w:val="none" w:sz="0" w:space="0" w:color="auto"/>
        <w:right w:val="none" w:sz="0" w:space="0" w:color="auto"/>
      </w:divBdr>
      <w:divsChild>
        <w:div w:id="1564490521">
          <w:marLeft w:val="0"/>
          <w:marRight w:val="0"/>
          <w:marTop w:val="0"/>
          <w:marBottom w:val="0"/>
          <w:divBdr>
            <w:top w:val="none" w:sz="0" w:space="0" w:color="auto"/>
            <w:left w:val="none" w:sz="0" w:space="0" w:color="auto"/>
            <w:bottom w:val="none" w:sz="0" w:space="0" w:color="auto"/>
            <w:right w:val="none" w:sz="0" w:space="0" w:color="auto"/>
          </w:divBdr>
          <w:divsChild>
            <w:div w:id="20722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14517">
      <w:bodyDiv w:val="1"/>
      <w:marLeft w:val="0"/>
      <w:marRight w:val="0"/>
      <w:marTop w:val="0"/>
      <w:marBottom w:val="0"/>
      <w:divBdr>
        <w:top w:val="none" w:sz="0" w:space="0" w:color="auto"/>
        <w:left w:val="none" w:sz="0" w:space="0" w:color="auto"/>
        <w:bottom w:val="none" w:sz="0" w:space="0" w:color="auto"/>
        <w:right w:val="none" w:sz="0" w:space="0" w:color="auto"/>
      </w:divBdr>
      <w:divsChild>
        <w:div w:id="1086341948">
          <w:marLeft w:val="0"/>
          <w:marRight w:val="0"/>
          <w:marTop w:val="0"/>
          <w:marBottom w:val="0"/>
          <w:divBdr>
            <w:top w:val="none" w:sz="0" w:space="0" w:color="auto"/>
            <w:left w:val="none" w:sz="0" w:space="0" w:color="auto"/>
            <w:bottom w:val="none" w:sz="0" w:space="0" w:color="auto"/>
            <w:right w:val="none" w:sz="0" w:space="0" w:color="auto"/>
          </w:divBdr>
          <w:divsChild>
            <w:div w:id="775906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90827">
      <w:bodyDiv w:val="1"/>
      <w:marLeft w:val="0"/>
      <w:marRight w:val="0"/>
      <w:marTop w:val="0"/>
      <w:marBottom w:val="0"/>
      <w:divBdr>
        <w:top w:val="none" w:sz="0" w:space="0" w:color="auto"/>
        <w:left w:val="none" w:sz="0" w:space="0" w:color="auto"/>
        <w:bottom w:val="none" w:sz="0" w:space="0" w:color="auto"/>
        <w:right w:val="none" w:sz="0" w:space="0" w:color="auto"/>
      </w:divBdr>
      <w:divsChild>
        <w:div w:id="148207113">
          <w:marLeft w:val="0"/>
          <w:marRight w:val="0"/>
          <w:marTop w:val="0"/>
          <w:marBottom w:val="0"/>
          <w:divBdr>
            <w:top w:val="none" w:sz="0" w:space="0" w:color="auto"/>
            <w:left w:val="none" w:sz="0" w:space="0" w:color="auto"/>
            <w:bottom w:val="none" w:sz="0" w:space="0" w:color="auto"/>
            <w:right w:val="none" w:sz="0" w:space="0" w:color="auto"/>
          </w:divBdr>
          <w:divsChild>
            <w:div w:id="77636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08346">
      <w:bodyDiv w:val="1"/>
      <w:marLeft w:val="0"/>
      <w:marRight w:val="0"/>
      <w:marTop w:val="0"/>
      <w:marBottom w:val="0"/>
      <w:divBdr>
        <w:top w:val="none" w:sz="0" w:space="0" w:color="auto"/>
        <w:left w:val="none" w:sz="0" w:space="0" w:color="auto"/>
        <w:bottom w:val="none" w:sz="0" w:space="0" w:color="auto"/>
        <w:right w:val="none" w:sz="0" w:space="0" w:color="auto"/>
      </w:divBdr>
      <w:divsChild>
        <w:div w:id="1292246671">
          <w:marLeft w:val="0"/>
          <w:marRight w:val="0"/>
          <w:marTop w:val="0"/>
          <w:marBottom w:val="0"/>
          <w:divBdr>
            <w:top w:val="none" w:sz="0" w:space="0" w:color="auto"/>
            <w:left w:val="none" w:sz="0" w:space="0" w:color="auto"/>
            <w:bottom w:val="none" w:sz="0" w:space="0" w:color="auto"/>
            <w:right w:val="none" w:sz="0" w:space="0" w:color="auto"/>
          </w:divBdr>
          <w:divsChild>
            <w:div w:id="2772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1856">
      <w:bodyDiv w:val="1"/>
      <w:marLeft w:val="0"/>
      <w:marRight w:val="0"/>
      <w:marTop w:val="0"/>
      <w:marBottom w:val="0"/>
      <w:divBdr>
        <w:top w:val="none" w:sz="0" w:space="0" w:color="auto"/>
        <w:left w:val="none" w:sz="0" w:space="0" w:color="auto"/>
        <w:bottom w:val="none" w:sz="0" w:space="0" w:color="auto"/>
        <w:right w:val="none" w:sz="0" w:space="0" w:color="auto"/>
      </w:divBdr>
      <w:divsChild>
        <w:div w:id="175580095">
          <w:marLeft w:val="0"/>
          <w:marRight w:val="0"/>
          <w:marTop w:val="0"/>
          <w:marBottom w:val="0"/>
          <w:divBdr>
            <w:top w:val="none" w:sz="0" w:space="0" w:color="auto"/>
            <w:left w:val="none" w:sz="0" w:space="0" w:color="auto"/>
            <w:bottom w:val="none" w:sz="0" w:space="0" w:color="auto"/>
            <w:right w:val="none" w:sz="0" w:space="0" w:color="auto"/>
          </w:divBdr>
          <w:divsChild>
            <w:div w:id="55890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79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edicaldaily.com/articles/15661/20130517/schizophrenia-drugs-kill-antibiotic-resistant-bacteria.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987</Words>
  <Characters>5323</Characters>
  <Application>Microsoft Office Word</Application>
  <DocSecurity>0</DocSecurity>
  <Lines>71</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2013-06-14T15:16:00Z</cp:lastPrinted>
  <dcterms:created xsi:type="dcterms:W3CDTF">2013-06-14T18:38:00Z</dcterms:created>
  <dcterms:modified xsi:type="dcterms:W3CDTF">2013-06-14T18:38:00Z</dcterms:modified>
  <cp:category> </cp:category>
  <cp:contentStatus> </cp:contentStatus>
</cp:coreProperties>
</file>