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1D" w:rsidRPr="00777421" w:rsidRDefault="00377A1D">
      <w:pPr>
        <w:widowControl/>
        <w:jc w:val="center"/>
        <w:rPr>
          <w:b/>
        </w:rPr>
      </w:pPr>
      <w:bookmarkStart w:id="0" w:name="_GoBack"/>
      <w:bookmarkEnd w:id="0"/>
      <w:r w:rsidRPr="00777421">
        <w:rPr>
          <w:b/>
          <w:kern w:val="0"/>
          <w:szCs w:val="22"/>
        </w:rPr>
        <w:t>Before</w:t>
      </w:r>
      <w:r w:rsidRPr="00777421">
        <w:rPr>
          <w:b/>
        </w:rPr>
        <w:t xml:space="preserve"> the</w:t>
      </w:r>
    </w:p>
    <w:p w:rsidR="00377A1D" w:rsidRPr="00777421" w:rsidRDefault="00377A1D">
      <w:pPr>
        <w:pStyle w:val="StyleBoldCentered"/>
        <w:rPr>
          <w:rFonts w:ascii="Times New Roman" w:hAnsi="Times New Roman"/>
          <w:caps w:val="0"/>
        </w:rPr>
      </w:pPr>
      <w:r w:rsidRPr="00777421">
        <w:rPr>
          <w:rFonts w:ascii="Times New Roman" w:hAnsi="Times New Roman"/>
        </w:rPr>
        <w:t>F</w:t>
      </w:r>
      <w:r w:rsidRPr="00777421">
        <w:rPr>
          <w:rFonts w:ascii="Times New Roman" w:hAnsi="Times New Roman"/>
          <w:caps w:val="0"/>
        </w:rPr>
        <w:t>ederal Communications Commission</w:t>
      </w:r>
    </w:p>
    <w:p w:rsidR="00377A1D" w:rsidRPr="00777421" w:rsidRDefault="00377A1D">
      <w:pPr>
        <w:pStyle w:val="StyleBoldCentered"/>
        <w:rPr>
          <w:rFonts w:ascii="Times New Roman" w:hAnsi="Times New Roman"/>
        </w:rPr>
      </w:pPr>
      <w:r w:rsidRPr="00777421">
        <w:rPr>
          <w:rFonts w:ascii="Times New Roman" w:hAnsi="Times New Roman"/>
          <w:caps w:val="0"/>
        </w:rPr>
        <w:t>Washington, D.C. 20554</w:t>
      </w:r>
    </w:p>
    <w:p w:rsidR="00377A1D" w:rsidRPr="00777421" w:rsidRDefault="00377A1D"/>
    <w:tbl>
      <w:tblPr>
        <w:tblW w:w="0" w:type="auto"/>
        <w:tblLayout w:type="fixed"/>
        <w:tblLook w:val="0000" w:firstRow="0" w:lastRow="0" w:firstColumn="0" w:lastColumn="0" w:noHBand="0" w:noVBand="0"/>
      </w:tblPr>
      <w:tblGrid>
        <w:gridCol w:w="4698"/>
        <w:gridCol w:w="630"/>
        <w:gridCol w:w="4248"/>
      </w:tblGrid>
      <w:tr w:rsidR="00377A1D" w:rsidRPr="00777421">
        <w:tc>
          <w:tcPr>
            <w:tcW w:w="4698" w:type="dxa"/>
          </w:tcPr>
          <w:p w:rsidR="00377A1D" w:rsidRPr="00777421" w:rsidRDefault="00377A1D">
            <w:pPr>
              <w:tabs>
                <w:tab w:val="center" w:pos="4680"/>
              </w:tabs>
              <w:suppressAutoHyphens/>
              <w:rPr>
                <w:spacing w:val="-2"/>
              </w:rPr>
            </w:pPr>
            <w:r w:rsidRPr="00777421">
              <w:rPr>
                <w:spacing w:val="-2"/>
              </w:rPr>
              <w:t>In the Matter of</w:t>
            </w:r>
          </w:p>
          <w:p w:rsidR="00377A1D" w:rsidRPr="00777421" w:rsidRDefault="00377A1D">
            <w:pPr>
              <w:tabs>
                <w:tab w:val="center" w:pos="4680"/>
              </w:tabs>
              <w:suppressAutoHyphens/>
              <w:rPr>
                <w:spacing w:val="-2"/>
              </w:rPr>
            </w:pPr>
          </w:p>
          <w:p w:rsidR="00377A1D" w:rsidRPr="00641E48" w:rsidRDefault="000C137D">
            <w:pPr>
              <w:tabs>
                <w:tab w:val="center" w:pos="4680"/>
              </w:tabs>
              <w:suppressAutoHyphens/>
              <w:rPr>
                <w:spacing w:val="-2"/>
              </w:rPr>
            </w:pPr>
            <w:r w:rsidRPr="00641E48">
              <w:rPr>
                <w:spacing w:val="-2"/>
              </w:rPr>
              <w:t>TV Max</w:t>
            </w:r>
            <w:r w:rsidR="00377A1D" w:rsidRPr="00641E48">
              <w:rPr>
                <w:spacing w:val="-2"/>
              </w:rPr>
              <w:t>, Inc.</w:t>
            </w:r>
            <w:r w:rsidR="001F4A01" w:rsidRPr="00641E48">
              <w:rPr>
                <w:spacing w:val="-2"/>
              </w:rPr>
              <w:t xml:space="preserve"> </w:t>
            </w:r>
            <w:r w:rsidR="00F3344A" w:rsidRPr="00641E48">
              <w:rPr>
                <w:spacing w:val="-2"/>
              </w:rPr>
              <w:t xml:space="preserve">and </w:t>
            </w:r>
            <w:r w:rsidR="006C3EAA" w:rsidRPr="00641E48">
              <w:rPr>
                <w:spacing w:val="-2"/>
              </w:rPr>
              <w:t>Broadband Ventures Six, LLC</w:t>
            </w:r>
            <w:r w:rsidR="00A97982" w:rsidRPr="00641E48">
              <w:rPr>
                <w:spacing w:val="-2"/>
              </w:rPr>
              <w:t xml:space="preserve"> </w:t>
            </w:r>
            <w:r w:rsidR="006C3EAA" w:rsidRPr="00641E48">
              <w:rPr>
                <w:spacing w:val="-2"/>
              </w:rPr>
              <w:t xml:space="preserve">d/b/a Wavevision, </w:t>
            </w:r>
            <w:r w:rsidR="0013028D" w:rsidRPr="00641E48">
              <w:rPr>
                <w:spacing w:val="-2"/>
              </w:rPr>
              <w:t xml:space="preserve">Thomas M. Balun, Eric Meltzer, </w:t>
            </w:r>
            <w:r w:rsidR="002F6B48" w:rsidRPr="00641E48">
              <w:rPr>
                <w:spacing w:val="-2"/>
              </w:rPr>
              <w:t xml:space="preserve">and </w:t>
            </w:r>
            <w:r w:rsidR="0013028D" w:rsidRPr="00641E48">
              <w:rPr>
                <w:spacing w:val="-2"/>
              </w:rPr>
              <w:t xml:space="preserve">Richard Gomez, </w:t>
            </w:r>
            <w:r w:rsidR="006C3EAA" w:rsidRPr="00641E48">
              <w:rPr>
                <w:i/>
                <w:spacing w:val="-2"/>
              </w:rPr>
              <w:t>et al.</w:t>
            </w:r>
          </w:p>
          <w:p w:rsidR="00B070C5" w:rsidRPr="00777421" w:rsidRDefault="00B070C5">
            <w:pPr>
              <w:tabs>
                <w:tab w:val="center" w:pos="4680"/>
              </w:tabs>
              <w:suppressAutoHyphens/>
              <w:rPr>
                <w:b/>
                <w:spacing w:val="-2"/>
              </w:rPr>
            </w:pPr>
          </w:p>
          <w:p w:rsidR="007E09C5" w:rsidRPr="00777421" w:rsidRDefault="007E09C5" w:rsidP="00441D4D">
            <w:pPr>
              <w:tabs>
                <w:tab w:val="center" w:pos="4680"/>
              </w:tabs>
              <w:suppressAutoHyphens/>
              <w:rPr>
                <w:b/>
                <w:spacing w:val="-2"/>
              </w:rPr>
            </w:pPr>
          </w:p>
        </w:tc>
        <w:tc>
          <w:tcPr>
            <w:tcW w:w="630" w:type="dxa"/>
          </w:tcPr>
          <w:p w:rsidR="00377A1D" w:rsidRPr="00777421" w:rsidRDefault="00377A1D">
            <w:pPr>
              <w:tabs>
                <w:tab w:val="center" w:pos="4680"/>
              </w:tabs>
              <w:suppressAutoHyphens/>
              <w:rPr>
                <w:spacing w:val="-2"/>
              </w:rPr>
            </w:pPr>
            <w:r w:rsidRPr="00777421">
              <w:rPr>
                <w:spacing w:val="-2"/>
              </w:rPr>
              <w:t>)</w:t>
            </w:r>
          </w:p>
          <w:p w:rsidR="00377A1D" w:rsidRPr="00777421" w:rsidRDefault="00377A1D">
            <w:pPr>
              <w:tabs>
                <w:tab w:val="center" w:pos="4680"/>
              </w:tabs>
              <w:suppressAutoHyphens/>
              <w:rPr>
                <w:spacing w:val="-2"/>
              </w:rPr>
            </w:pPr>
            <w:r w:rsidRPr="00777421">
              <w:rPr>
                <w:spacing w:val="-2"/>
              </w:rPr>
              <w:t>)</w:t>
            </w:r>
          </w:p>
          <w:p w:rsidR="00377A1D" w:rsidRPr="00777421" w:rsidRDefault="00377A1D">
            <w:pPr>
              <w:tabs>
                <w:tab w:val="center" w:pos="4680"/>
              </w:tabs>
              <w:suppressAutoHyphens/>
              <w:rPr>
                <w:spacing w:val="-2"/>
              </w:rPr>
            </w:pPr>
            <w:r w:rsidRPr="00777421">
              <w:rPr>
                <w:spacing w:val="-2"/>
              </w:rPr>
              <w:t>)</w:t>
            </w:r>
          </w:p>
          <w:p w:rsidR="00377A1D" w:rsidRPr="00777421" w:rsidRDefault="00377A1D">
            <w:pPr>
              <w:tabs>
                <w:tab w:val="center" w:pos="4680"/>
              </w:tabs>
              <w:suppressAutoHyphens/>
              <w:rPr>
                <w:spacing w:val="-2"/>
              </w:rPr>
            </w:pPr>
            <w:r w:rsidRPr="00777421">
              <w:rPr>
                <w:spacing w:val="-2"/>
              </w:rPr>
              <w:t>)</w:t>
            </w:r>
          </w:p>
          <w:p w:rsidR="00377A1D" w:rsidRPr="00777421" w:rsidRDefault="00377A1D">
            <w:pPr>
              <w:tabs>
                <w:tab w:val="center" w:pos="4680"/>
              </w:tabs>
              <w:suppressAutoHyphens/>
              <w:rPr>
                <w:spacing w:val="-2"/>
              </w:rPr>
            </w:pPr>
            <w:r w:rsidRPr="00777421">
              <w:rPr>
                <w:spacing w:val="-2"/>
              </w:rPr>
              <w:t>)</w:t>
            </w:r>
          </w:p>
          <w:p w:rsidR="00377A1D" w:rsidRPr="00777421" w:rsidRDefault="00377A1D">
            <w:pPr>
              <w:tabs>
                <w:tab w:val="center" w:pos="4680"/>
              </w:tabs>
              <w:suppressAutoHyphens/>
              <w:rPr>
                <w:spacing w:val="-2"/>
              </w:rPr>
            </w:pPr>
            <w:r w:rsidRPr="00777421">
              <w:rPr>
                <w:spacing w:val="-2"/>
              </w:rPr>
              <w:t>)</w:t>
            </w:r>
          </w:p>
          <w:p w:rsidR="008657D1" w:rsidRPr="00777421" w:rsidRDefault="008657D1" w:rsidP="008657D1">
            <w:pPr>
              <w:tabs>
                <w:tab w:val="center" w:pos="4680"/>
              </w:tabs>
              <w:suppressAutoHyphens/>
              <w:rPr>
                <w:spacing w:val="-2"/>
              </w:rPr>
            </w:pPr>
            <w:r w:rsidRPr="00777421">
              <w:rPr>
                <w:spacing w:val="-2"/>
              </w:rPr>
              <w:t>)</w:t>
            </w:r>
          </w:p>
          <w:p w:rsidR="008657D1" w:rsidRPr="00777421" w:rsidRDefault="008657D1" w:rsidP="008657D1">
            <w:pPr>
              <w:tabs>
                <w:tab w:val="center" w:pos="4680"/>
              </w:tabs>
              <w:suppressAutoHyphens/>
              <w:rPr>
                <w:spacing w:val="-2"/>
              </w:rPr>
            </w:pPr>
            <w:r w:rsidRPr="00777421">
              <w:rPr>
                <w:spacing w:val="-2"/>
              </w:rPr>
              <w:t>)</w:t>
            </w:r>
          </w:p>
          <w:p w:rsidR="008657D1" w:rsidRPr="00777421" w:rsidRDefault="008657D1" w:rsidP="008657D1">
            <w:pPr>
              <w:tabs>
                <w:tab w:val="center" w:pos="4680"/>
              </w:tabs>
              <w:suppressAutoHyphens/>
              <w:rPr>
                <w:spacing w:val="-2"/>
              </w:rPr>
            </w:pPr>
            <w:r w:rsidRPr="00777421">
              <w:rPr>
                <w:spacing w:val="-2"/>
              </w:rPr>
              <w:t>)</w:t>
            </w:r>
          </w:p>
          <w:p w:rsidR="008657D1" w:rsidRPr="00777421" w:rsidRDefault="008657D1" w:rsidP="008657D1">
            <w:pPr>
              <w:tabs>
                <w:tab w:val="center" w:pos="4680"/>
              </w:tabs>
              <w:suppressAutoHyphens/>
              <w:rPr>
                <w:spacing w:val="-2"/>
              </w:rPr>
            </w:pPr>
            <w:r w:rsidRPr="00777421">
              <w:rPr>
                <w:spacing w:val="-2"/>
              </w:rPr>
              <w:t>)</w:t>
            </w:r>
          </w:p>
          <w:p w:rsidR="008657D1" w:rsidRPr="00777421" w:rsidRDefault="008657D1" w:rsidP="008657D1">
            <w:pPr>
              <w:tabs>
                <w:tab w:val="center" w:pos="4680"/>
              </w:tabs>
              <w:suppressAutoHyphens/>
              <w:rPr>
                <w:spacing w:val="-2"/>
              </w:rPr>
            </w:pPr>
            <w:r w:rsidRPr="00777421">
              <w:rPr>
                <w:spacing w:val="-2"/>
              </w:rPr>
              <w:t>)</w:t>
            </w:r>
          </w:p>
          <w:p w:rsidR="008657D1" w:rsidRPr="00777421" w:rsidRDefault="008657D1" w:rsidP="008657D1">
            <w:pPr>
              <w:tabs>
                <w:tab w:val="center" w:pos="4680"/>
              </w:tabs>
              <w:suppressAutoHyphens/>
              <w:rPr>
                <w:spacing w:val="-2"/>
              </w:rPr>
            </w:pPr>
            <w:r w:rsidRPr="00777421">
              <w:rPr>
                <w:spacing w:val="-2"/>
              </w:rPr>
              <w:t>)</w:t>
            </w:r>
          </w:p>
          <w:p w:rsidR="008657D1" w:rsidRPr="00777421" w:rsidRDefault="008657D1" w:rsidP="008657D1">
            <w:pPr>
              <w:tabs>
                <w:tab w:val="center" w:pos="4680"/>
              </w:tabs>
              <w:suppressAutoHyphens/>
              <w:rPr>
                <w:spacing w:val="-2"/>
              </w:rPr>
            </w:pPr>
            <w:r w:rsidRPr="00777421">
              <w:rPr>
                <w:spacing w:val="-2"/>
              </w:rPr>
              <w:t>)</w:t>
            </w:r>
          </w:p>
          <w:p w:rsidR="008657D1" w:rsidRPr="00777421" w:rsidRDefault="008657D1" w:rsidP="008657D1">
            <w:pPr>
              <w:tabs>
                <w:tab w:val="center" w:pos="4680"/>
              </w:tabs>
              <w:suppressAutoHyphens/>
              <w:rPr>
                <w:spacing w:val="-2"/>
              </w:rPr>
            </w:pPr>
            <w:r w:rsidRPr="00777421">
              <w:rPr>
                <w:spacing w:val="-2"/>
              </w:rPr>
              <w:t>)</w:t>
            </w:r>
          </w:p>
          <w:p w:rsidR="008657D1" w:rsidRPr="00777421" w:rsidRDefault="008657D1" w:rsidP="008657D1">
            <w:pPr>
              <w:tabs>
                <w:tab w:val="center" w:pos="4680"/>
              </w:tabs>
              <w:suppressAutoHyphens/>
              <w:rPr>
                <w:spacing w:val="-2"/>
              </w:rPr>
            </w:pPr>
            <w:r w:rsidRPr="00777421">
              <w:rPr>
                <w:spacing w:val="-2"/>
              </w:rPr>
              <w:t>)</w:t>
            </w:r>
          </w:p>
          <w:p w:rsidR="008657D1" w:rsidRPr="00777421" w:rsidRDefault="008657D1" w:rsidP="008657D1">
            <w:pPr>
              <w:tabs>
                <w:tab w:val="center" w:pos="4680"/>
              </w:tabs>
              <w:suppressAutoHyphens/>
              <w:rPr>
                <w:spacing w:val="-2"/>
              </w:rPr>
            </w:pPr>
            <w:r w:rsidRPr="00777421">
              <w:rPr>
                <w:spacing w:val="-2"/>
              </w:rPr>
              <w:t>)</w:t>
            </w:r>
          </w:p>
          <w:p w:rsidR="00C36FDE" w:rsidRPr="00777421" w:rsidRDefault="00C36FDE" w:rsidP="001F4A01">
            <w:pPr>
              <w:tabs>
                <w:tab w:val="center" w:pos="4680"/>
              </w:tabs>
              <w:suppressAutoHyphens/>
              <w:rPr>
                <w:spacing w:val="-2"/>
              </w:rPr>
            </w:pPr>
          </w:p>
        </w:tc>
        <w:tc>
          <w:tcPr>
            <w:tcW w:w="4248" w:type="dxa"/>
          </w:tcPr>
          <w:p w:rsidR="00377A1D" w:rsidRPr="00777421" w:rsidRDefault="00377A1D">
            <w:pPr>
              <w:tabs>
                <w:tab w:val="center" w:pos="4680"/>
              </w:tabs>
              <w:suppressAutoHyphens/>
              <w:rPr>
                <w:spacing w:val="-2"/>
              </w:rPr>
            </w:pPr>
          </w:p>
          <w:p w:rsidR="00377A1D" w:rsidRPr="00777421" w:rsidRDefault="00377A1D">
            <w:pPr>
              <w:tabs>
                <w:tab w:val="center" w:pos="4680"/>
              </w:tabs>
              <w:suppressAutoHyphens/>
              <w:rPr>
                <w:spacing w:val="-2"/>
              </w:rPr>
            </w:pPr>
          </w:p>
          <w:p w:rsidR="00377A1D" w:rsidRPr="00777421" w:rsidRDefault="00377A1D">
            <w:pPr>
              <w:tabs>
                <w:tab w:val="center" w:pos="4680"/>
              </w:tabs>
              <w:suppressAutoHyphens/>
              <w:rPr>
                <w:spacing w:val="-2"/>
              </w:rPr>
            </w:pPr>
            <w:r w:rsidRPr="00777421">
              <w:rPr>
                <w:spacing w:val="-2"/>
              </w:rPr>
              <w:t>MB Docket No. 12-</w:t>
            </w:r>
            <w:r w:rsidR="00C36FDE" w:rsidRPr="00777421">
              <w:rPr>
                <w:spacing w:val="-2"/>
              </w:rPr>
              <w:t>113</w:t>
            </w:r>
          </w:p>
          <w:p w:rsidR="00377A1D" w:rsidRPr="00777421" w:rsidRDefault="00377A1D">
            <w:pPr>
              <w:tabs>
                <w:tab w:val="center" w:pos="4680"/>
              </w:tabs>
              <w:suppressAutoHyphens/>
              <w:rPr>
                <w:spacing w:val="-2"/>
              </w:rPr>
            </w:pPr>
            <w:r w:rsidRPr="00777421">
              <w:rPr>
                <w:spacing w:val="-2"/>
              </w:rPr>
              <w:t>CSR No. 8</w:t>
            </w:r>
            <w:r w:rsidR="00C36FDE" w:rsidRPr="00777421">
              <w:rPr>
                <w:spacing w:val="-2"/>
              </w:rPr>
              <w:t>623</w:t>
            </w:r>
            <w:r w:rsidRPr="00777421">
              <w:rPr>
                <w:spacing w:val="-2"/>
              </w:rPr>
              <w:t>-C</w:t>
            </w:r>
          </w:p>
          <w:p w:rsidR="00377A1D" w:rsidRPr="00777421" w:rsidRDefault="00377A1D">
            <w:pPr>
              <w:tabs>
                <w:tab w:val="center" w:pos="4680"/>
              </w:tabs>
              <w:suppressAutoHyphens/>
              <w:rPr>
                <w:spacing w:val="-2"/>
              </w:rPr>
            </w:pPr>
          </w:p>
          <w:p w:rsidR="008657D1" w:rsidRPr="00777421" w:rsidRDefault="008657D1" w:rsidP="008657D1">
            <w:pPr>
              <w:tabs>
                <w:tab w:val="center" w:pos="4680"/>
              </w:tabs>
              <w:suppressAutoHyphens/>
              <w:rPr>
                <w:spacing w:val="-2"/>
              </w:rPr>
            </w:pPr>
            <w:r w:rsidRPr="00777421">
              <w:rPr>
                <w:spacing w:val="-2"/>
              </w:rPr>
              <w:t>MB Docket No. 12-181</w:t>
            </w:r>
          </w:p>
          <w:p w:rsidR="008657D1" w:rsidRPr="00777421" w:rsidRDefault="008657D1" w:rsidP="008657D1">
            <w:pPr>
              <w:tabs>
                <w:tab w:val="center" w:pos="4680"/>
              </w:tabs>
              <w:suppressAutoHyphens/>
              <w:rPr>
                <w:spacing w:val="-2"/>
              </w:rPr>
            </w:pPr>
            <w:r w:rsidRPr="00777421">
              <w:rPr>
                <w:spacing w:val="-2"/>
              </w:rPr>
              <w:t>CSR No. 8669-C</w:t>
            </w:r>
          </w:p>
          <w:p w:rsidR="008657D1" w:rsidRPr="00777421" w:rsidRDefault="008657D1" w:rsidP="008657D1">
            <w:pPr>
              <w:tabs>
                <w:tab w:val="center" w:pos="4680"/>
              </w:tabs>
              <w:suppressAutoHyphens/>
              <w:rPr>
                <w:spacing w:val="-2"/>
              </w:rPr>
            </w:pPr>
          </w:p>
          <w:p w:rsidR="008657D1" w:rsidRPr="00777421" w:rsidRDefault="008657D1" w:rsidP="008657D1">
            <w:pPr>
              <w:tabs>
                <w:tab w:val="center" w:pos="4680"/>
              </w:tabs>
              <w:suppressAutoHyphens/>
              <w:rPr>
                <w:spacing w:val="-2"/>
              </w:rPr>
            </w:pPr>
            <w:r w:rsidRPr="00777421">
              <w:rPr>
                <w:spacing w:val="-2"/>
              </w:rPr>
              <w:t>MB Docket No. 12-222</w:t>
            </w:r>
          </w:p>
          <w:p w:rsidR="008657D1" w:rsidRPr="00777421" w:rsidRDefault="008657D1" w:rsidP="008657D1">
            <w:pPr>
              <w:tabs>
                <w:tab w:val="center" w:pos="4680"/>
              </w:tabs>
              <w:suppressAutoHyphens/>
              <w:rPr>
                <w:spacing w:val="-2"/>
              </w:rPr>
            </w:pPr>
            <w:r w:rsidRPr="00777421">
              <w:rPr>
                <w:spacing w:val="-2"/>
              </w:rPr>
              <w:t>CSR No. 8694-C</w:t>
            </w:r>
          </w:p>
          <w:p w:rsidR="008657D1" w:rsidRPr="00777421" w:rsidRDefault="008657D1" w:rsidP="008657D1">
            <w:pPr>
              <w:tabs>
                <w:tab w:val="center" w:pos="4680"/>
              </w:tabs>
              <w:suppressAutoHyphens/>
              <w:rPr>
                <w:spacing w:val="-2"/>
              </w:rPr>
            </w:pPr>
          </w:p>
          <w:p w:rsidR="008657D1" w:rsidRPr="00777421" w:rsidRDefault="008657D1" w:rsidP="008657D1">
            <w:pPr>
              <w:tabs>
                <w:tab w:val="center" w:pos="4680"/>
              </w:tabs>
              <w:suppressAutoHyphens/>
              <w:rPr>
                <w:spacing w:val="-2"/>
              </w:rPr>
            </w:pPr>
            <w:r w:rsidRPr="00777421">
              <w:rPr>
                <w:spacing w:val="-2"/>
              </w:rPr>
              <w:t>MB Docket No. 12-266</w:t>
            </w:r>
          </w:p>
          <w:p w:rsidR="008657D1" w:rsidRPr="00777421" w:rsidRDefault="008657D1" w:rsidP="008657D1">
            <w:pPr>
              <w:tabs>
                <w:tab w:val="center" w:pos="4680"/>
              </w:tabs>
              <w:suppressAutoHyphens/>
              <w:rPr>
                <w:spacing w:val="-2"/>
              </w:rPr>
            </w:pPr>
            <w:r w:rsidRPr="00777421">
              <w:rPr>
                <w:spacing w:val="-2"/>
              </w:rPr>
              <w:t>CSR No. 8707-C</w:t>
            </w:r>
          </w:p>
          <w:p w:rsidR="008657D1" w:rsidRPr="00777421" w:rsidRDefault="008657D1" w:rsidP="008657D1">
            <w:pPr>
              <w:tabs>
                <w:tab w:val="center" w:pos="4680"/>
              </w:tabs>
              <w:suppressAutoHyphens/>
              <w:rPr>
                <w:spacing w:val="-2"/>
              </w:rPr>
            </w:pPr>
          </w:p>
          <w:p w:rsidR="008657D1" w:rsidRPr="00641E48" w:rsidRDefault="00A53CAE" w:rsidP="008657D1">
            <w:pPr>
              <w:tabs>
                <w:tab w:val="center" w:pos="4680"/>
              </w:tabs>
              <w:suppressAutoHyphens/>
              <w:rPr>
                <w:spacing w:val="-2"/>
                <w:szCs w:val="22"/>
              </w:rPr>
            </w:pPr>
            <w:r w:rsidRPr="00A53CAE">
              <w:rPr>
                <w:spacing w:val="-2"/>
              </w:rPr>
              <w:t xml:space="preserve">NAL/Acct. No.: </w:t>
            </w:r>
            <w:r w:rsidR="0071714C">
              <w:rPr>
                <w:spacing w:val="-2"/>
              </w:rPr>
              <w:t xml:space="preserve"> </w:t>
            </w:r>
            <w:r w:rsidRPr="00A53CAE">
              <w:rPr>
                <w:spacing w:val="-2"/>
              </w:rPr>
              <w:t>201341410008</w:t>
            </w:r>
          </w:p>
          <w:p w:rsidR="008657D1" w:rsidRPr="00777421" w:rsidRDefault="008657D1" w:rsidP="008657D1">
            <w:pPr>
              <w:tabs>
                <w:tab w:val="center" w:pos="4680"/>
              </w:tabs>
              <w:suppressAutoHyphens/>
              <w:rPr>
                <w:spacing w:val="-2"/>
              </w:rPr>
            </w:pPr>
            <w:r w:rsidRPr="00641E48">
              <w:rPr>
                <w:spacing w:val="-2"/>
              </w:rPr>
              <w:t xml:space="preserve">FRN:  </w:t>
            </w:r>
            <w:r w:rsidR="007E409C" w:rsidRPr="00641E48">
              <w:rPr>
                <w:spacing w:val="-2"/>
              </w:rPr>
              <w:t>0009645938</w:t>
            </w:r>
          </w:p>
        </w:tc>
      </w:tr>
    </w:tbl>
    <w:p w:rsidR="00377A1D" w:rsidRPr="00777421" w:rsidRDefault="00377A1D"/>
    <w:p w:rsidR="00377A1D" w:rsidRPr="00777421" w:rsidRDefault="00377A1D">
      <w:pPr>
        <w:pStyle w:val="StyleBoldCentered"/>
        <w:rPr>
          <w:rFonts w:ascii="Times New Roman" w:hAnsi="Times New Roman"/>
        </w:rPr>
      </w:pPr>
      <w:r w:rsidRPr="00777421">
        <w:rPr>
          <w:rFonts w:ascii="Times New Roman" w:hAnsi="Times New Roman"/>
        </w:rPr>
        <w:t>Notice of apparent liability for forfeiture</w:t>
      </w:r>
      <w:r w:rsidR="005065D4" w:rsidRPr="00777421">
        <w:rPr>
          <w:rFonts w:ascii="Times New Roman" w:hAnsi="Times New Roman"/>
        </w:rPr>
        <w:t xml:space="preserve"> and order</w:t>
      </w:r>
    </w:p>
    <w:p w:rsidR="00377A1D" w:rsidRPr="00777421" w:rsidRDefault="00377A1D">
      <w:pPr>
        <w:tabs>
          <w:tab w:val="left" w:pos="-720"/>
        </w:tabs>
        <w:suppressAutoHyphens/>
        <w:spacing w:line="227" w:lineRule="auto"/>
        <w:rPr>
          <w:spacing w:val="-2"/>
        </w:rPr>
      </w:pPr>
    </w:p>
    <w:p w:rsidR="00377A1D" w:rsidRPr="00777421" w:rsidRDefault="00377A1D">
      <w:pPr>
        <w:tabs>
          <w:tab w:val="left" w:pos="720"/>
          <w:tab w:val="left" w:pos="5760"/>
        </w:tabs>
        <w:suppressAutoHyphens/>
        <w:spacing w:line="227" w:lineRule="auto"/>
        <w:rPr>
          <w:b/>
          <w:spacing w:val="-2"/>
        </w:rPr>
      </w:pPr>
      <w:r w:rsidRPr="00777421">
        <w:rPr>
          <w:b/>
          <w:spacing w:val="-2"/>
        </w:rPr>
        <w:t xml:space="preserve">Adopted:  </w:t>
      </w:r>
      <w:r w:rsidR="00E14610">
        <w:rPr>
          <w:b/>
          <w:spacing w:val="-2"/>
        </w:rPr>
        <w:t>June</w:t>
      </w:r>
      <w:r w:rsidR="00795BCD" w:rsidRPr="00777421">
        <w:rPr>
          <w:b/>
          <w:spacing w:val="-2"/>
        </w:rPr>
        <w:t xml:space="preserve"> </w:t>
      </w:r>
      <w:r w:rsidR="004D19EE">
        <w:rPr>
          <w:b/>
          <w:spacing w:val="-2"/>
        </w:rPr>
        <w:t>24</w:t>
      </w:r>
      <w:r w:rsidR="00C36FDE" w:rsidRPr="00777421">
        <w:rPr>
          <w:b/>
          <w:spacing w:val="-2"/>
        </w:rPr>
        <w:t>, 201</w:t>
      </w:r>
      <w:r w:rsidR="008E189E" w:rsidRPr="00777421">
        <w:rPr>
          <w:b/>
          <w:spacing w:val="-2"/>
        </w:rPr>
        <w:t>3</w:t>
      </w:r>
      <w:r w:rsidRPr="00777421">
        <w:rPr>
          <w:b/>
          <w:spacing w:val="-2"/>
        </w:rPr>
        <w:tab/>
      </w:r>
      <w:r w:rsidR="00C36FDE" w:rsidRPr="00777421">
        <w:rPr>
          <w:b/>
          <w:spacing w:val="-2"/>
        </w:rPr>
        <w:tab/>
      </w:r>
      <w:r w:rsidRPr="00777421">
        <w:rPr>
          <w:b/>
          <w:spacing w:val="-2"/>
        </w:rPr>
        <w:t xml:space="preserve">Released:  </w:t>
      </w:r>
      <w:r w:rsidR="00E14610">
        <w:rPr>
          <w:b/>
          <w:spacing w:val="-2"/>
        </w:rPr>
        <w:t>June</w:t>
      </w:r>
      <w:r w:rsidR="00795BCD" w:rsidRPr="00777421">
        <w:rPr>
          <w:b/>
          <w:spacing w:val="-2"/>
        </w:rPr>
        <w:t xml:space="preserve"> </w:t>
      </w:r>
      <w:r w:rsidR="004D19EE">
        <w:rPr>
          <w:b/>
          <w:spacing w:val="-2"/>
        </w:rPr>
        <w:t>2</w:t>
      </w:r>
      <w:r w:rsidR="009779A5">
        <w:rPr>
          <w:b/>
          <w:spacing w:val="-2"/>
        </w:rPr>
        <w:t>5</w:t>
      </w:r>
      <w:r w:rsidR="00C36FDE" w:rsidRPr="00777421">
        <w:rPr>
          <w:b/>
          <w:spacing w:val="-2"/>
        </w:rPr>
        <w:t>, 201</w:t>
      </w:r>
      <w:r w:rsidR="008E189E" w:rsidRPr="00777421">
        <w:rPr>
          <w:b/>
          <w:spacing w:val="-2"/>
        </w:rPr>
        <w:t>3</w:t>
      </w:r>
    </w:p>
    <w:p w:rsidR="00377A1D" w:rsidRPr="00777421" w:rsidRDefault="00377A1D"/>
    <w:p w:rsidR="00377A1D" w:rsidRPr="00777421" w:rsidRDefault="00377A1D">
      <w:r w:rsidRPr="00777421">
        <w:t>By the</w:t>
      </w:r>
      <w:r w:rsidRPr="00777421">
        <w:rPr>
          <w:spacing w:val="-2"/>
        </w:rPr>
        <w:t xml:space="preserve"> </w:t>
      </w:r>
      <w:r w:rsidR="00BE0281" w:rsidRPr="00777421">
        <w:rPr>
          <w:spacing w:val="-2"/>
        </w:rPr>
        <w:t>Commission</w:t>
      </w:r>
      <w:r w:rsidRPr="00777421">
        <w:rPr>
          <w:spacing w:val="-2"/>
        </w:rPr>
        <w:t>:</w:t>
      </w:r>
    </w:p>
    <w:p w:rsidR="00377A1D" w:rsidRPr="00777421" w:rsidRDefault="00377A1D">
      <w:pPr>
        <w:rPr>
          <w:b/>
        </w:rPr>
      </w:pPr>
    </w:p>
    <w:p w:rsidR="00377A1D" w:rsidRPr="00777421" w:rsidRDefault="00377A1D">
      <w:pPr>
        <w:pStyle w:val="Heading1"/>
        <w:rPr>
          <w:rFonts w:ascii="Times New Roman" w:hAnsi="Times New Roman"/>
        </w:rPr>
      </w:pPr>
      <w:r w:rsidRPr="00777421">
        <w:rPr>
          <w:rFonts w:ascii="Times New Roman" w:hAnsi="Times New Roman"/>
        </w:rPr>
        <w:t>INTRODUCTION</w:t>
      </w:r>
    </w:p>
    <w:p w:rsidR="00377A1D" w:rsidRPr="00777421" w:rsidRDefault="00377A1D" w:rsidP="00CF2E45">
      <w:pPr>
        <w:pStyle w:val="ParaNum"/>
      </w:pPr>
      <w:r w:rsidRPr="00777421">
        <w:t>In this Notice of Apparent Liability For Forfeiture (“</w:t>
      </w:r>
      <w:r w:rsidRPr="00777421">
        <w:rPr>
          <w:i/>
        </w:rPr>
        <w:t>NAL</w:t>
      </w:r>
      <w:r w:rsidRPr="00777421">
        <w:t>”)</w:t>
      </w:r>
      <w:r w:rsidR="002F32E1" w:rsidRPr="00777421">
        <w:t xml:space="preserve"> and Order</w:t>
      </w:r>
      <w:r w:rsidRPr="00777421">
        <w:t xml:space="preserve">, we find that </w:t>
      </w:r>
      <w:r w:rsidR="000C137D" w:rsidRPr="00777421">
        <w:t>TV Max</w:t>
      </w:r>
      <w:r w:rsidR="003E3B3A" w:rsidRPr="00777421">
        <w:t>, Inc.</w:t>
      </w:r>
      <w:r w:rsidR="008F7CF7" w:rsidRPr="00777421">
        <w:rPr>
          <w:rStyle w:val="FootnoteReference"/>
        </w:rPr>
        <w:t xml:space="preserve"> </w:t>
      </w:r>
      <w:r w:rsidR="006C3EAA" w:rsidRPr="00777421">
        <w:t xml:space="preserve">and Broadband Ventures Six, LLC </w:t>
      </w:r>
      <w:r w:rsidR="003E3B3A" w:rsidRPr="00777421">
        <w:t>(</w:t>
      </w:r>
      <w:r w:rsidR="00547388" w:rsidRPr="00777421">
        <w:t xml:space="preserve">each </w:t>
      </w:r>
      <w:r w:rsidR="003E3B3A" w:rsidRPr="00777421">
        <w:t>d/b/a Wavevision)</w:t>
      </w:r>
      <w:r w:rsidR="00C94A56" w:rsidRPr="00777421">
        <w:t>,</w:t>
      </w:r>
      <w:r w:rsidR="003E3B3A" w:rsidRPr="00777421">
        <w:t xml:space="preserve"> </w:t>
      </w:r>
      <w:r w:rsidR="006C3EAA" w:rsidRPr="00777421">
        <w:t xml:space="preserve">and </w:t>
      </w:r>
      <w:r w:rsidR="000B473A" w:rsidRPr="00777421">
        <w:t xml:space="preserve">certain of </w:t>
      </w:r>
      <w:r w:rsidR="00547388" w:rsidRPr="00777421">
        <w:t>their</w:t>
      </w:r>
      <w:r w:rsidR="006C3EAA" w:rsidRPr="00777421">
        <w:t xml:space="preserve"> affiliates, subsidiaries</w:t>
      </w:r>
      <w:r w:rsidR="00272616" w:rsidRPr="00777421">
        <w:t>,</w:t>
      </w:r>
      <w:r w:rsidR="006C3EAA" w:rsidRPr="00777421">
        <w:t xml:space="preserve"> other related entities</w:t>
      </w:r>
      <w:r w:rsidR="00272616" w:rsidRPr="00777421">
        <w:t>,</w:t>
      </w:r>
      <w:r w:rsidR="0013028D" w:rsidRPr="00777421">
        <w:t xml:space="preserve"> and their controlling parties</w:t>
      </w:r>
      <w:r w:rsidR="006C3EAA" w:rsidRPr="00777421">
        <w:t>,</w:t>
      </w:r>
      <w:r w:rsidR="00CF2E45" w:rsidRPr="00777421">
        <w:rPr>
          <w:rStyle w:val="FootnoteReference"/>
        </w:rPr>
        <w:footnoteReference w:id="2"/>
      </w:r>
      <w:r w:rsidR="00CF2E45" w:rsidRPr="00777421">
        <w:t xml:space="preserve"> </w:t>
      </w:r>
      <w:r w:rsidR="00D75D6E" w:rsidRPr="00777421">
        <w:t xml:space="preserve">apparently </w:t>
      </w:r>
      <w:r w:rsidRPr="00777421">
        <w:t>willfully and repeatedly violated Section 325 of the Communications Act of 1934, as amended (the “Act”), and Section 76.64 of the Commission</w:t>
      </w:r>
      <w:r w:rsidR="009B32E6" w:rsidRPr="00777421">
        <w:t>’</w:t>
      </w:r>
      <w:r w:rsidRPr="00777421">
        <w:t>s rules, by retransmitting the signal</w:t>
      </w:r>
      <w:r w:rsidR="00CB7168" w:rsidRPr="00777421">
        <w:t>s</w:t>
      </w:r>
      <w:r w:rsidRPr="00777421">
        <w:t xml:space="preserve"> of </w:t>
      </w:r>
      <w:r w:rsidR="00CB7168" w:rsidRPr="00777421">
        <w:t>six</w:t>
      </w:r>
      <w:r w:rsidRPr="00777421">
        <w:t xml:space="preserve"> </w:t>
      </w:r>
      <w:r w:rsidR="007770E9" w:rsidRPr="00777421">
        <w:t xml:space="preserve">television </w:t>
      </w:r>
      <w:r w:rsidRPr="00777421">
        <w:t>broadcast station</w:t>
      </w:r>
      <w:r w:rsidR="00CB7168" w:rsidRPr="00777421">
        <w:t>s</w:t>
      </w:r>
      <w:r w:rsidRPr="00777421">
        <w:t xml:space="preserve"> </w:t>
      </w:r>
      <w:r w:rsidR="00B26F28" w:rsidRPr="00777421">
        <w:t>(</w:t>
      </w:r>
      <w:r w:rsidR="00523B47" w:rsidRPr="00777421">
        <w:t xml:space="preserve">collectively, </w:t>
      </w:r>
      <w:r w:rsidR="00B26F28" w:rsidRPr="00777421">
        <w:t>the “Stations”)</w:t>
      </w:r>
      <w:r w:rsidR="00422F7A" w:rsidRPr="00777421">
        <w:rPr>
          <w:rStyle w:val="FootnoteReference"/>
        </w:rPr>
        <w:footnoteReference w:id="3"/>
      </w:r>
      <w:r w:rsidR="00B26F28" w:rsidRPr="00777421">
        <w:t xml:space="preserve"> </w:t>
      </w:r>
      <w:r w:rsidRPr="00777421">
        <w:t>without “the express authority” of the originating station</w:t>
      </w:r>
      <w:r w:rsidR="00CB7168" w:rsidRPr="00777421">
        <w:t>s</w:t>
      </w:r>
      <w:r w:rsidRPr="00777421">
        <w:t>.</w:t>
      </w:r>
      <w:r w:rsidRPr="00777421">
        <w:rPr>
          <w:rStyle w:val="FootnoteReference"/>
        </w:rPr>
        <w:footnoteReference w:id="4"/>
      </w:r>
      <w:r w:rsidRPr="00777421">
        <w:t xml:space="preserve">  Based upon </w:t>
      </w:r>
      <w:r w:rsidR="00053371" w:rsidRPr="00777421">
        <w:t>the record before us</w:t>
      </w:r>
      <w:r w:rsidRPr="00777421">
        <w:t xml:space="preserve">, </w:t>
      </w:r>
      <w:r w:rsidR="00053371" w:rsidRPr="00777421">
        <w:t xml:space="preserve">including complaints filed by the licensees of </w:t>
      </w:r>
      <w:r w:rsidR="006C1F5C" w:rsidRPr="00777421">
        <w:t xml:space="preserve">the </w:t>
      </w:r>
      <w:r w:rsidR="006871EB" w:rsidRPr="00777421">
        <w:t>S</w:t>
      </w:r>
      <w:r w:rsidR="00053371" w:rsidRPr="00777421">
        <w:t xml:space="preserve">tations, </w:t>
      </w:r>
      <w:r w:rsidRPr="00777421">
        <w:t xml:space="preserve">we find </w:t>
      </w:r>
      <w:r w:rsidR="000C137D" w:rsidRPr="00777421">
        <w:t>TV Max</w:t>
      </w:r>
      <w:r w:rsidRPr="00777421">
        <w:t xml:space="preserve"> apparently liable for a monetary forfeiture in the amount of </w:t>
      </w:r>
      <w:r w:rsidR="009C0656">
        <w:t>two million two hundred fifty thousand dollars ($2,250,000)</w:t>
      </w:r>
      <w:r w:rsidRPr="00777421">
        <w:t>.</w:t>
      </w:r>
      <w:r w:rsidR="00053371" w:rsidRPr="00777421">
        <w:t xml:space="preserve">  </w:t>
      </w:r>
      <w:r w:rsidR="005065D4" w:rsidRPr="00777421">
        <w:t>In addition, w</w:t>
      </w:r>
      <w:r w:rsidR="00053371" w:rsidRPr="00777421">
        <w:t xml:space="preserve">e </w:t>
      </w:r>
      <w:r w:rsidR="005065D4" w:rsidRPr="00777421">
        <w:t>direct</w:t>
      </w:r>
      <w:r w:rsidR="00053371" w:rsidRPr="00777421">
        <w:t xml:space="preserve"> </w:t>
      </w:r>
      <w:r w:rsidR="000C137D" w:rsidRPr="00777421">
        <w:t>TV Max</w:t>
      </w:r>
      <w:r w:rsidR="002F6B48" w:rsidRPr="00777421">
        <w:t>, Inc.</w:t>
      </w:r>
      <w:r w:rsidR="00053371" w:rsidRPr="00777421">
        <w:t xml:space="preserve"> to submit</w:t>
      </w:r>
      <w:r w:rsidR="005065D4" w:rsidRPr="00777421">
        <w:t>, no later than</w:t>
      </w:r>
      <w:r w:rsidR="00053371" w:rsidRPr="00777421">
        <w:t xml:space="preserve"> thirty (30) calendar days</w:t>
      </w:r>
      <w:r w:rsidR="002475D3" w:rsidRPr="00777421">
        <w:t xml:space="preserve"> from the release date of this </w:t>
      </w:r>
      <w:r w:rsidR="005065D4" w:rsidRPr="00777421">
        <w:t xml:space="preserve">NAL and </w:t>
      </w:r>
      <w:r w:rsidR="006871EB" w:rsidRPr="00777421">
        <w:t>O</w:t>
      </w:r>
      <w:r w:rsidR="002475D3" w:rsidRPr="00777421">
        <w:t>rder</w:t>
      </w:r>
      <w:r w:rsidR="006871EB" w:rsidRPr="00777421">
        <w:t>,</w:t>
      </w:r>
      <w:r w:rsidR="00261079" w:rsidRPr="00777421">
        <w:t xml:space="preserve"> </w:t>
      </w:r>
      <w:r w:rsidR="00053371" w:rsidRPr="00777421">
        <w:t xml:space="preserve">a </w:t>
      </w:r>
      <w:r w:rsidR="005065D4" w:rsidRPr="00777421">
        <w:t xml:space="preserve">statement signed </w:t>
      </w:r>
      <w:r w:rsidR="00053371" w:rsidRPr="00777421">
        <w:t xml:space="preserve">under penalty of perjury </w:t>
      </w:r>
      <w:r w:rsidR="005065D4" w:rsidRPr="00777421">
        <w:t>by an officer or director of the company</w:t>
      </w:r>
      <w:r w:rsidR="00053371" w:rsidRPr="00777421">
        <w:t xml:space="preserve"> describing in detail the steps it has taken to </w:t>
      </w:r>
      <w:r w:rsidR="002F3487" w:rsidRPr="00777421">
        <w:t xml:space="preserve">immediately come into compliance with the requirements of </w:t>
      </w:r>
      <w:r w:rsidR="002F3487" w:rsidRPr="00777421">
        <w:lastRenderedPageBreak/>
        <w:t>Section 325 of the Act and Section 76.64 of the Commission</w:t>
      </w:r>
      <w:r w:rsidR="009B32E6" w:rsidRPr="00777421">
        <w:t>’</w:t>
      </w:r>
      <w:r w:rsidR="002F3487" w:rsidRPr="00777421">
        <w:t>s rules.</w:t>
      </w:r>
      <w:r w:rsidR="00587E26" w:rsidRPr="00777421">
        <w:rPr>
          <w:rStyle w:val="FootnoteReference"/>
        </w:rPr>
        <w:footnoteReference w:id="5"/>
      </w:r>
      <w:r w:rsidR="002F3487" w:rsidRPr="00777421">
        <w:t xml:space="preserve"> </w:t>
      </w:r>
      <w:bookmarkStart w:id="1" w:name="SR;349"/>
      <w:bookmarkStart w:id="2" w:name="SR;350"/>
      <w:bookmarkStart w:id="3" w:name="SR;352"/>
      <w:bookmarkStart w:id="4" w:name="SR;354"/>
      <w:bookmarkStart w:id="5" w:name="SR;376"/>
      <w:bookmarkStart w:id="6" w:name="SR;394"/>
      <w:bookmarkEnd w:id="1"/>
      <w:bookmarkEnd w:id="2"/>
      <w:bookmarkEnd w:id="3"/>
      <w:bookmarkEnd w:id="4"/>
      <w:bookmarkEnd w:id="5"/>
      <w:bookmarkEnd w:id="6"/>
    </w:p>
    <w:p w:rsidR="00377A1D" w:rsidRPr="00777421" w:rsidRDefault="00377A1D">
      <w:pPr>
        <w:pStyle w:val="ParaNum"/>
        <w:numPr>
          <w:ilvl w:val="0"/>
          <w:numId w:val="0"/>
        </w:numPr>
        <w:rPr>
          <w:b/>
        </w:rPr>
      </w:pPr>
      <w:r w:rsidRPr="00777421">
        <w:rPr>
          <w:b/>
        </w:rPr>
        <w:t>II.</w:t>
      </w:r>
      <w:r w:rsidRPr="00777421">
        <w:tab/>
      </w:r>
      <w:r w:rsidRPr="00777421">
        <w:rPr>
          <w:b/>
        </w:rPr>
        <w:t>BACKGROUND</w:t>
      </w:r>
    </w:p>
    <w:p w:rsidR="004F1622" w:rsidRPr="00777421" w:rsidRDefault="000C137D" w:rsidP="00C819E6">
      <w:pPr>
        <w:pStyle w:val="ParaNum"/>
      </w:pPr>
      <w:r w:rsidRPr="00777421">
        <w:t>TV Max</w:t>
      </w:r>
      <w:r w:rsidR="00FB65AF" w:rsidRPr="00777421">
        <w:t xml:space="preserve"> is a cable television operator that serves more than 10,000 subscribers </w:t>
      </w:r>
      <w:r w:rsidR="00FE38A9" w:rsidRPr="00777421">
        <w:t>in the Houston, Texas Designated Market Area (“DMA”)</w:t>
      </w:r>
      <w:r w:rsidR="00175B82" w:rsidRPr="00777421">
        <w:t>,</w:t>
      </w:r>
      <w:r w:rsidR="00C819E6" w:rsidRPr="00777421">
        <w:t xml:space="preserve"> in 245 multiple-dwelling unit buildings (MDUs)</w:t>
      </w:r>
      <w:r w:rsidR="00FE38A9" w:rsidRPr="00777421">
        <w:t>.</w:t>
      </w:r>
      <w:r w:rsidR="009F2055" w:rsidRPr="00777421">
        <w:rPr>
          <w:rStyle w:val="FootnoteReference"/>
        </w:rPr>
        <w:footnoteReference w:id="6"/>
      </w:r>
      <w:r w:rsidR="00FB65AF" w:rsidRPr="00777421">
        <w:t xml:space="preserve">  </w:t>
      </w:r>
      <w:r w:rsidR="00053371" w:rsidRPr="00777421">
        <w:t>Fox Television Holdings, Inc. (“FOX”), Univision Communications, Inc. (“Univision”), Post-Newsweek Stations, Houston, Inc. (“Post-Newsweek”) and ABC, Inc. (“ABC”) (</w:t>
      </w:r>
      <w:r w:rsidR="006871EB" w:rsidRPr="00777421">
        <w:t xml:space="preserve">collectively, </w:t>
      </w:r>
      <w:r w:rsidR="00053371" w:rsidRPr="00777421">
        <w:t>the “Licensees”)</w:t>
      </w:r>
      <w:r w:rsidR="00B30974" w:rsidRPr="00777421">
        <w:t xml:space="preserve"> are</w:t>
      </w:r>
      <w:r w:rsidR="00F3344A" w:rsidRPr="00777421">
        <w:t xml:space="preserve"> </w:t>
      </w:r>
      <w:r w:rsidR="00B30974" w:rsidRPr="00777421">
        <w:t xml:space="preserve"> </w:t>
      </w:r>
      <w:r w:rsidR="006871EB" w:rsidRPr="00777421">
        <w:t xml:space="preserve">the respective </w:t>
      </w:r>
      <w:r w:rsidR="00B30974" w:rsidRPr="00777421">
        <w:t xml:space="preserve">licensees of </w:t>
      </w:r>
      <w:r w:rsidR="006C1F5C" w:rsidRPr="00777421">
        <w:t xml:space="preserve">the </w:t>
      </w:r>
      <w:r w:rsidR="006871EB" w:rsidRPr="00777421">
        <w:t>S</w:t>
      </w:r>
      <w:r w:rsidR="00B30974" w:rsidRPr="00777421">
        <w:t>tations</w:t>
      </w:r>
      <w:r w:rsidR="00523B47" w:rsidRPr="00777421">
        <w:t>,</w:t>
      </w:r>
      <w:r w:rsidR="00053371" w:rsidRPr="00777421">
        <w:rPr>
          <w:rStyle w:val="FootnoteReference"/>
        </w:rPr>
        <w:footnoteReference w:id="7"/>
      </w:r>
      <w:r w:rsidR="00B30974" w:rsidRPr="00777421">
        <w:t xml:space="preserve"> </w:t>
      </w:r>
      <w:r w:rsidR="006C1F5C" w:rsidRPr="00777421">
        <w:t>each</w:t>
      </w:r>
      <w:r w:rsidR="00053371" w:rsidRPr="00777421">
        <w:t xml:space="preserve"> </w:t>
      </w:r>
      <w:r w:rsidR="0024068C" w:rsidRPr="00777421">
        <w:t xml:space="preserve">of which </w:t>
      </w:r>
      <w:r w:rsidR="00377A1D" w:rsidRPr="00777421">
        <w:t>broadcast</w:t>
      </w:r>
      <w:r w:rsidR="00F5591C" w:rsidRPr="00777421">
        <w:t>s</w:t>
      </w:r>
      <w:r w:rsidR="00377A1D" w:rsidRPr="00777421">
        <w:t xml:space="preserve"> within </w:t>
      </w:r>
      <w:r w:rsidR="008819C8" w:rsidRPr="00777421">
        <w:t xml:space="preserve">the Houston, Texas </w:t>
      </w:r>
      <w:r w:rsidR="00377A1D" w:rsidRPr="00777421">
        <w:t>DMA.</w:t>
      </w:r>
      <w:r w:rsidR="00377A1D" w:rsidRPr="00777421">
        <w:rPr>
          <w:rStyle w:val="FootnoteReference"/>
        </w:rPr>
        <w:footnoteReference w:id="8"/>
      </w:r>
    </w:p>
    <w:p w:rsidR="00377A1D" w:rsidRPr="00777421" w:rsidRDefault="00377A1D" w:rsidP="00C819E6">
      <w:pPr>
        <w:pStyle w:val="ParaNum"/>
      </w:pPr>
      <w:r w:rsidRPr="00777421">
        <w:t>For the 2012-2014 carriage cycle,</w:t>
      </w:r>
      <w:r w:rsidR="00316800" w:rsidRPr="00777421">
        <w:rPr>
          <w:rStyle w:val="FootnoteReference"/>
        </w:rPr>
        <w:footnoteReference w:id="9"/>
      </w:r>
      <w:r w:rsidRPr="00777421">
        <w:t xml:space="preserve"> </w:t>
      </w:r>
      <w:r w:rsidR="007770E9" w:rsidRPr="00777421">
        <w:t>e</w:t>
      </w:r>
      <w:r w:rsidR="00D43560" w:rsidRPr="00777421">
        <w:t xml:space="preserve">ach of the Licensees </w:t>
      </w:r>
      <w:r w:rsidRPr="00777421">
        <w:t xml:space="preserve">elected retransmission consent for </w:t>
      </w:r>
      <w:r w:rsidR="00D43560" w:rsidRPr="00777421">
        <w:t>their</w:t>
      </w:r>
      <w:r w:rsidR="006871EB" w:rsidRPr="00777421">
        <w:t xml:space="preserve"> respective</w:t>
      </w:r>
      <w:r w:rsidR="00D43560" w:rsidRPr="00777421">
        <w:t xml:space="preserve"> station(s) </w:t>
      </w:r>
      <w:r w:rsidR="00C36597" w:rsidRPr="00777421">
        <w:t xml:space="preserve">with respect to the </w:t>
      </w:r>
      <w:r w:rsidR="000C137D" w:rsidRPr="00777421">
        <w:t>TV Max</w:t>
      </w:r>
      <w:r w:rsidR="00C36597" w:rsidRPr="00777421">
        <w:t xml:space="preserve"> cable system</w:t>
      </w:r>
      <w:r w:rsidRPr="00777421">
        <w:t>.</w:t>
      </w:r>
      <w:r w:rsidRPr="00777421">
        <w:rPr>
          <w:rStyle w:val="FootnoteReference"/>
        </w:rPr>
        <w:footnoteReference w:id="10"/>
      </w:r>
      <w:r w:rsidRPr="00777421">
        <w:t xml:space="preserve">  </w:t>
      </w:r>
      <w:r w:rsidR="000C137D" w:rsidRPr="00777421">
        <w:t>TV Max</w:t>
      </w:r>
      <w:r w:rsidR="002D2C90" w:rsidRPr="00777421">
        <w:t xml:space="preserve"> previously had in place retransmission agreements with each of the Licensees</w:t>
      </w:r>
      <w:r w:rsidR="00C81019" w:rsidRPr="00777421">
        <w:t>, but i</w:t>
      </w:r>
      <w:r w:rsidR="002D2C90" w:rsidRPr="00777421">
        <w:t>ts agreement</w:t>
      </w:r>
      <w:r w:rsidR="00DD5FF2" w:rsidRPr="00777421">
        <w:t>s</w:t>
      </w:r>
      <w:r w:rsidR="002D2C90" w:rsidRPr="00777421">
        <w:t xml:space="preserve"> with FOX, Univision, and Post-Newsweek expired December 31, 2011, and its agreement with ABC expired March 2, 2012.</w:t>
      </w:r>
      <w:r w:rsidR="00D3257A" w:rsidRPr="00777421">
        <w:rPr>
          <w:rStyle w:val="FootnoteReference"/>
        </w:rPr>
        <w:footnoteReference w:id="11"/>
      </w:r>
      <w:r w:rsidR="002D2C90" w:rsidRPr="00777421">
        <w:t xml:space="preserve">  </w:t>
      </w:r>
      <w:r w:rsidR="000C137D" w:rsidRPr="00777421">
        <w:t>TV Max</w:t>
      </w:r>
      <w:r w:rsidRPr="00777421">
        <w:t xml:space="preserve"> continue</w:t>
      </w:r>
      <w:r w:rsidR="002D2C90" w:rsidRPr="00777421">
        <w:t>s to</w:t>
      </w:r>
      <w:r w:rsidRPr="00777421">
        <w:t xml:space="preserve"> carry </w:t>
      </w:r>
      <w:r w:rsidR="00C36597" w:rsidRPr="00777421">
        <w:t>the Stations</w:t>
      </w:r>
      <w:r w:rsidRPr="00777421">
        <w:t xml:space="preserve"> despite the absence of an extension or renewal agreement</w:t>
      </w:r>
      <w:r w:rsidR="006C1F5C" w:rsidRPr="00777421">
        <w:t xml:space="preserve"> with them</w:t>
      </w:r>
      <w:r w:rsidRPr="00777421">
        <w:t>.</w:t>
      </w:r>
      <w:r w:rsidRPr="00777421">
        <w:rPr>
          <w:rStyle w:val="FootnoteReference"/>
        </w:rPr>
        <w:footnoteReference w:id="12"/>
      </w:r>
      <w:r w:rsidRPr="00777421">
        <w:t xml:space="preserve">  </w:t>
      </w:r>
      <w:r w:rsidR="003E19B0" w:rsidRPr="00777421">
        <w:t>The Licensees each</w:t>
      </w:r>
      <w:r w:rsidRPr="00777421">
        <w:t xml:space="preserve"> informed </w:t>
      </w:r>
      <w:r w:rsidR="000C137D" w:rsidRPr="00777421">
        <w:t>TV Max</w:t>
      </w:r>
      <w:r w:rsidR="00976E1E" w:rsidRPr="00777421">
        <w:t xml:space="preserve"> </w:t>
      </w:r>
      <w:r w:rsidRPr="00777421">
        <w:t xml:space="preserve">that </w:t>
      </w:r>
      <w:r w:rsidR="000C137D" w:rsidRPr="00777421">
        <w:t>TV Max</w:t>
      </w:r>
      <w:r w:rsidRPr="00777421">
        <w:t xml:space="preserve"> was not permitted to retransmit </w:t>
      </w:r>
      <w:r w:rsidR="00C36597" w:rsidRPr="00777421">
        <w:t>the Stations</w:t>
      </w:r>
      <w:r w:rsidRPr="00777421">
        <w:t xml:space="preserve"> </w:t>
      </w:r>
      <w:r w:rsidR="00976E1E" w:rsidRPr="00777421">
        <w:t>because</w:t>
      </w:r>
      <w:r w:rsidRPr="00777421">
        <w:t xml:space="preserve"> the agreement</w:t>
      </w:r>
      <w:r w:rsidR="004F1622" w:rsidRPr="00777421">
        <w:t>s</w:t>
      </w:r>
      <w:r w:rsidRPr="00777421">
        <w:t xml:space="preserve"> </w:t>
      </w:r>
      <w:r w:rsidR="00A10601" w:rsidRPr="00777421">
        <w:t xml:space="preserve">had either </w:t>
      </w:r>
      <w:r w:rsidRPr="00777421">
        <w:t>expired</w:t>
      </w:r>
      <w:r w:rsidR="00A10601" w:rsidRPr="00777421">
        <w:t xml:space="preserve"> or were terminated under the terms of the agreement</w:t>
      </w:r>
      <w:r w:rsidRPr="00777421">
        <w:t>.</w:t>
      </w:r>
      <w:r w:rsidRPr="00777421">
        <w:rPr>
          <w:rStyle w:val="FootnoteReference"/>
        </w:rPr>
        <w:footnoteReference w:id="13"/>
      </w:r>
      <w:r w:rsidRPr="00777421">
        <w:t xml:space="preserve">  </w:t>
      </w:r>
      <w:r w:rsidR="00B30974" w:rsidRPr="00777421">
        <w:t xml:space="preserve">The Licensees </w:t>
      </w:r>
      <w:r w:rsidR="00B30974" w:rsidRPr="00777421">
        <w:lastRenderedPageBreak/>
        <w:t xml:space="preserve">each filed a complaint with the Commission alleging that </w:t>
      </w:r>
      <w:r w:rsidR="000C137D" w:rsidRPr="00777421">
        <w:t>TV Max</w:t>
      </w:r>
      <w:r w:rsidR="00B30974" w:rsidRPr="00777421">
        <w:t xml:space="preserve"> retransmitted without consent the signals of one or more of its stations.</w:t>
      </w:r>
      <w:r w:rsidR="00B30974" w:rsidRPr="00777421">
        <w:rPr>
          <w:rStyle w:val="FootnoteReference"/>
        </w:rPr>
        <w:footnoteReference w:id="14"/>
      </w:r>
    </w:p>
    <w:p w:rsidR="003A5250" w:rsidRPr="00777421" w:rsidRDefault="00377A1D" w:rsidP="003637E9">
      <w:pPr>
        <w:pStyle w:val="ParaNum"/>
      </w:pPr>
      <w:r w:rsidRPr="00777421">
        <w:t xml:space="preserve">In response, </w:t>
      </w:r>
      <w:r w:rsidR="000C137D" w:rsidRPr="00777421">
        <w:t>TV Max</w:t>
      </w:r>
      <w:r w:rsidRPr="00777421">
        <w:t xml:space="preserve"> does not refute that it retransmitted </w:t>
      </w:r>
      <w:r w:rsidR="009F2055" w:rsidRPr="00777421">
        <w:t>the Stations</w:t>
      </w:r>
      <w:r w:rsidRPr="00777421">
        <w:t xml:space="preserve"> without</w:t>
      </w:r>
      <w:r w:rsidR="006C1F5C" w:rsidRPr="00777421">
        <w:t xml:space="preserve"> their</w:t>
      </w:r>
      <w:r w:rsidRPr="00777421">
        <w:t xml:space="preserve"> express, written consent.  </w:t>
      </w:r>
      <w:r w:rsidR="007B3168" w:rsidRPr="00777421">
        <w:t xml:space="preserve">Rather, </w:t>
      </w:r>
      <w:r w:rsidR="000C137D" w:rsidRPr="00777421">
        <w:t>TV Max</w:t>
      </w:r>
      <w:r w:rsidR="00C819E6" w:rsidRPr="00777421">
        <w:t xml:space="preserve"> </w:t>
      </w:r>
      <w:r w:rsidR="00C33B91" w:rsidRPr="00777421">
        <w:t xml:space="preserve">states it </w:t>
      </w:r>
      <w:r w:rsidR="00C819E6" w:rsidRPr="00777421">
        <w:t xml:space="preserve">decided to carry </w:t>
      </w:r>
      <w:r w:rsidR="006871EB" w:rsidRPr="00777421">
        <w:t>the S</w:t>
      </w:r>
      <w:r w:rsidR="00C819E6" w:rsidRPr="00777421">
        <w:t>tations without</w:t>
      </w:r>
      <w:r w:rsidR="006871EB" w:rsidRPr="00777421">
        <w:t xml:space="preserve"> the Licensees</w:t>
      </w:r>
      <w:r w:rsidR="009B32E6" w:rsidRPr="00777421">
        <w:t>’</w:t>
      </w:r>
      <w:r w:rsidR="006C1F5C" w:rsidRPr="00777421">
        <w:t xml:space="preserve"> consent</w:t>
      </w:r>
      <w:r w:rsidR="006871EB" w:rsidRPr="00777421">
        <w:t>, and without</w:t>
      </w:r>
      <w:r w:rsidR="00C819E6" w:rsidRPr="00777421">
        <w:t xml:space="preserve"> paying retransmission consent fees</w:t>
      </w:r>
      <w:r w:rsidR="006C1F5C" w:rsidRPr="00777421">
        <w:t>,</w:t>
      </w:r>
      <w:r w:rsidR="00C819E6" w:rsidRPr="00777421">
        <w:t xml:space="preserve"> by invoking the master antenna television (MATV) exception to the retransmission consent requirement</w:t>
      </w:r>
      <w:r w:rsidR="00C33B91" w:rsidRPr="00777421">
        <w:t xml:space="preserve"> because all of its subscribers reside in MDUs</w:t>
      </w:r>
      <w:r w:rsidR="00C50EC8" w:rsidRPr="00777421">
        <w:t>.</w:t>
      </w:r>
      <w:r w:rsidR="000808A4" w:rsidRPr="00777421">
        <w:rPr>
          <w:rStyle w:val="FootnoteReference"/>
        </w:rPr>
        <w:footnoteReference w:id="15"/>
      </w:r>
      <w:r w:rsidR="008804D6" w:rsidRPr="00777421">
        <w:t xml:space="preserve">  </w:t>
      </w:r>
      <w:r w:rsidR="00C50EC8" w:rsidRPr="00777421">
        <w:t>Nevertheless</w:t>
      </w:r>
      <w:r w:rsidR="000A5209" w:rsidRPr="00777421">
        <w:t xml:space="preserve">, </w:t>
      </w:r>
      <w:r w:rsidR="000C137D" w:rsidRPr="00777421">
        <w:t>TV Max</w:t>
      </w:r>
      <w:r w:rsidR="000A5209" w:rsidRPr="00777421">
        <w:t xml:space="preserve"> admits that it retransmitted</w:t>
      </w:r>
      <w:r w:rsidR="006E0F07" w:rsidRPr="00777421">
        <w:t>,</w:t>
      </w:r>
      <w:r w:rsidR="000A5209" w:rsidRPr="00777421">
        <w:t xml:space="preserve"> </w:t>
      </w:r>
      <w:r w:rsidR="006E0F07" w:rsidRPr="00777421">
        <w:t xml:space="preserve">from its headend, </w:t>
      </w:r>
      <w:r w:rsidR="000A5209" w:rsidRPr="00777421">
        <w:t xml:space="preserve">the </w:t>
      </w:r>
      <w:r w:rsidR="001700F6" w:rsidRPr="00777421">
        <w:t>S</w:t>
      </w:r>
      <w:r w:rsidR="000A5209" w:rsidRPr="00777421">
        <w:t>tations</w:t>
      </w:r>
      <w:r w:rsidR="009B32E6" w:rsidRPr="00777421">
        <w:t>’</w:t>
      </w:r>
      <w:r w:rsidR="000A5209" w:rsidRPr="00777421">
        <w:t xml:space="preserve"> signals without retransmission consent before MATV systems on all of its MDU buildings were </w:t>
      </w:r>
      <w:r w:rsidR="00AD482E" w:rsidRPr="00777421">
        <w:t>installed</w:t>
      </w:r>
      <w:r w:rsidR="000A5209" w:rsidRPr="00777421">
        <w:t>.</w:t>
      </w:r>
      <w:r w:rsidR="000A5209" w:rsidRPr="00777421">
        <w:rPr>
          <w:rStyle w:val="FootnoteReference"/>
        </w:rPr>
        <w:footnoteReference w:id="16"/>
      </w:r>
    </w:p>
    <w:p w:rsidR="00C50EC8" w:rsidRPr="00777421" w:rsidRDefault="000C137D">
      <w:pPr>
        <w:pStyle w:val="ParaNum"/>
      </w:pPr>
      <w:r w:rsidRPr="00777421">
        <w:t>TV Max</w:t>
      </w:r>
      <w:r w:rsidR="000A5209" w:rsidRPr="00777421">
        <w:t xml:space="preserve"> </w:t>
      </w:r>
      <w:r w:rsidR="00C50EC8" w:rsidRPr="00777421">
        <w:t xml:space="preserve">states that it </w:t>
      </w:r>
      <w:r w:rsidR="000A5209" w:rsidRPr="00777421">
        <w:t xml:space="preserve">began to convert all </w:t>
      </w:r>
      <w:r w:rsidR="002033EC" w:rsidRPr="00777421">
        <w:t xml:space="preserve">of its </w:t>
      </w:r>
      <w:r w:rsidR="000A5209" w:rsidRPr="00777421">
        <w:t>MDU buildings to MATV systems</w:t>
      </w:r>
      <w:r w:rsidR="00C50EC8" w:rsidRPr="00777421">
        <w:t xml:space="preserve"> in November 2011</w:t>
      </w:r>
      <w:r w:rsidR="000A5209" w:rsidRPr="00777421">
        <w:t xml:space="preserve"> and had hoped to complete the installations before the </w:t>
      </w:r>
      <w:r w:rsidR="00F5591C" w:rsidRPr="00777421">
        <w:t xml:space="preserve">first of the </w:t>
      </w:r>
      <w:r w:rsidR="000A5209" w:rsidRPr="00777421">
        <w:t>retransmission consent agreements expired on December 31, 2011</w:t>
      </w:r>
      <w:r w:rsidR="0034287D" w:rsidRPr="00777421">
        <w:t>.</w:t>
      </w:r>
      <w:r w:rsidR="0034287D" w:rsidRPr="00777421">
        <w:rPr>
          <w:rStyle w:val="FootnoteReference"/>
        </w:rPr>
        <w:footnoteReference w:id="17"/>
      </w:r>
      <w:r w:rsidR="0034287D" w:rsidRPr="00777421">
        <w:t xml:space="preserve">  </w:t>
      </w:r>
      <w:r w:rsidRPr="00777421">
        <w:t>TV Max</w:t>
      </w:r>
      <w:r w:rsidR="000A5209" w:rsidRPr="00777421">
        <w:t xml:space="preserve"> admits, however, that no more than half of its 245 </w:t>
      </w:r>
      <w:r w:rsidR="007A1558" w:rsidRPr="00777421">
        <w:t xml:space="preserve">MDU </w:t>
      </w:r>
      <w:r w:rsidR="000A5209" w:rsidRPr="00777421">
        <w:t xml:space="preserve">buildings had operational MATV systems as of </w:t>
      </w:r>
      <w:r w:rsidR="0034287D" w:rsidRPr="00777421">
        <w:t>January</w:t>
      </w:r>
      <w:r w:rsidR="000A5209" w:rsidRPr="00777421">
        <w:t xml:space="preserve"> 1, 2012.</w:t>
      </w:r>
      <w:r w:rsidR="000A5209" w:rsidRPr="00777421">
        <w:rPr>
          <w:rStyle w:val="FootnoteReference"/>
        </w:rPr>
        <w:footnoteReference w:id="18"/>
      </w:r>
      <w:r w:rsidR="000A5209" w:rsidRPr="00777421">
        <w:t xml:space="preserve">  </w:t>
      </w:r>
      <w:r w:rsidRPr="00777421">
        <w:t>TV Max</w:t>
      </w:r>
      <w:r w:rsidR="000A5209" w:rsidRPr="00777421">
        <w:t xml:space="preserve"> further concedes that it had not installed MATV systems on at least 19 </w:t>
      </w:r>
      <w:r w:rsidR="006C1F5C" w:rsidRPr="00777421">
        <w:t xml:space="preserve">of its </w:t>
      </w:r>
      <w:r w:rsidR="000A5209" w:rsidRPr="00777421">
        <w:t>buildings as of July 19, 2012</w:t>
      </w:r>
      <w:r w:rsidR="003A5250" w:rsidRPr="00777421">
        <w:t xml:space="preserve"> but nonetheless continued to </w:t>
      </w:r>
      <w:r w:rsidR="00ED28D2" w:rsidRPr="00777421">
        <w:t xml:space="preserve">retransmit </w:t>
      </w:r>
      <w:r w:rsidR="003A5250" w:rsidRPr="00777421">
        <w:t>the Stations</w:t>
      </w:r>
      <w:r w:rsidR="009B32E6" w:rsidRPr="00777421">
        <w:t>’</w:t>
      </w:r>
      <w:r w:rsidR="003A5250" w:rsidRPr="00777421">
        <w:t xml:space="preserve"> signals throughout this time period</w:t>
      </w:r>
      <w:r w:rsidR="000A5209" w:rsidRPr="00777421">
        <w:t>,</w:t>
      </w:r>
      <w:r w:rsidR="000B30B9" w:rsidRPr="00777421">
        <w:rPr>
          <w:rStyle w:val="FootnoteReference"/>
        </w:rPr>
        <w:footnoteReference w:id="19"/>
      </w:r>
      <w:r w:rsidR="000A5209" w:rsidRPr="00777421">
        <w:t xml:space="preserve"> despite the filing of</w:t>
      </w:r>
      <w:r w:rsidR="002475D3" w:rsidRPr="00777421">
        <w:t xml:space="preserve"> complaints by</w:t>
      </w:r>
      <w:r w:rsidR="000A5209" w:rsidRPr="00777421">
        <w:t xml:space="preserve"> FOX in April</w:t>
      </w:r>
      <w:r w:rsidR="002475D3" w:rsidRPr="00777421">
        <w:t xml:space="preserve"> and Univision in June</w:t>
      </w:r>
      <w:r w:rsidR="00475C95" w:rsidRPr="00777421">
        <w:t>,</w:t>
      </w:r>
      <w:r w:rsidR="002475D3" w:rsidRPr="00777421">
        <w:t xml:space="preserve"> and letters sent by each Licensee informing </w:t>
      </w:r>
      <w:r w:rsidRPr="00777421">
        <w:t>TV Max</w:t>
      </w:r>
      <w:r w:rsidR="002475D3" w:rsidRPr="00777421">
        <w:t xml:space="preserve"> it was not permitted to retransmit the Stations</w:t>
      </w:r>
      <w:r w:rsidR="009B32E6" w:rsidRPr="00777421">
        <w:t>’</w:t>
      </w:r>
      <w:r w:rsidR="002475D3" w:rsidRPr="00777421">
        <w:t xml:space="preserve"> signals</w:t>
      </w:r>
      <w:r w:rsidR="000A5209" w:rsidRPr="00777421">
        <w:t>.</w:t>
      </w:r>
      <w:r w:rsidR="00475C95" w:rsidRPr="00777421">
        <w:rPr>
          <w:rStyle w:val="FootnoteReference"/>
        </w:rPr>
        <w:footnoteReference w:id="20"/>
      </w:r>
      <w:r w:rsidR="000A5209" w:rsidRPr="00777421">
        <w:t xml:space="preserve">  </w:t>
      </w:r>
      <w:r w:rsidR="000B30B9" w:rsidRPr="00777421">
        <w:t>On</w:t>
      </w:r>
      <w:r w:rsidR="000A5209" w:rsidRPr="00777421">
        <w:t xml:space="preserve"> July 26, 2012</w:t>
      </w:r>
      <w:r w:rsidR="000B30B9" w:rsidRPr="00777421">
        <w:t>,</w:t>
      </w:r>
      <w:r w:rsidR="000A5209" w:rsidRPr="00777421">
        <w:t xml:space="preserve"> </w:t>
      </w:r>
      <w:r w:rsidRPr="00777421">
        <w:t>TV Max</w:t>
      </w:r>
      <w:r w:rsidR="000A5209" w:rsidRPr="00777421">
        <w:t xml:space="preserve"> asserted that it had completed installation of MATV systems on all of its MDU buildings.</w:t>
      </w:r>
      <w:r w:rsidR="00E22E8A" w:rsidRPr="00777421">
        <w:rPr>
          <w:rStyle w:val="FootnoteReference"/>
        </w:rPr>
        <w:footnoteReference w:id="21"/>
      </w:r>
      <w:r w:rsidR="008804D6" w:rsidRPr="00777421">
        <w:t xml:space="preserve">  </w:t>
      </w:r>
      <w:r w:rsidRPr="00777421">
        <w:t>TV Max</w:t>
      </w:r>
      <w:r w:rsidR="00C50EC8" w:rsidRPr="00777421">
        <w:t xml:space="preserve"> acknowledged, however, that, as of that time, “[b]roadcast signals are delivered to MDU residents using both the fiber ring and the MATV systems,”</w:t>
      </w:r>
      <w:r w:rsidR="00C50EC8" w:rsidRPr="00777421">
        <w:rPr>
          <w:rStyle w:val="FootnoteReference"/>
        </w:rPr>
        <w:footnoteReference w:id="22"/>
      </w:r>
      <w:r w:rsidR="00C50EC8" w:rsidRPr="00777421">
        <w:t xml:space="preserve"> meaning that </w:t>
      </w:r>
      <w:r w:rsidRPr="00777421">
        <w:t>TV Max</w:t>
      </w:r>
      <w:r w:rsidR="00C50EC8" w:rsidRPr="00777421">
        <w:t xml:space="preserve"> retransmitted at least some broadcast signals received at its off-site cable headend rather than through the on-site MATV system.</w:t>
      </w:r>
    </w:p>
    <w:p w:rsidR="006C3EAA" w:rsidRPr="00777421" w:rsidRDefault="001D69A2" w:rsidP="006C3EAA">
      <w:pPr>
        <w:pStyle w:val="ParaNum"/>
      </w:pPr>
      <w:r w:rsidRPr="00777421">
        <w:t>The Licensees</w:t>
      </w:r>
      <w:r w:rsidR="00D728BE" w:rsidRPr="00777421">
        <w:t xml:space="preserve"> </w:t>
      </w:r>
      <w:r w:rsidR="00FC449E" w:rsidRPr="00777421">
        <w:t xml:space="preserve">challenge </w:t>
      </w:r>
      <w:r w:rsidR="000C137D" w:rsidRPr="00777421">
        <w:t>TV Max</w:t>
      </w:r>
      <w:r w:rsidR="009B32E6" w:rsidRPr="00777421">
        <w:t>’</w:t>
      </w:r>
      <w:r w:rsidR="00FC449E" w:rsidRPr="00777421">
        <w:t>s assertion that it qualif</w:t>
      </w:r>
      <w:r w:rsidR="006F2C7E" w:rsidRPr="00777421">
        <w:t>ies</w:t>
      </w:r>
      <w:r w:rsidR="00FC449E" w:rsidRPr="00777421">
        <w:t xml:space="preserve"> for the MATV </w:t>
      </w:r>
      <w:r w:rsidR="008D6B16" w:rsidRPr="00777421">
        <w:t>e</w:t>
      </w:r>
      <w:r w:rsidR="00FC449E" w:rsidRPr="00777421">
        <w:t>xception.</w:t>
      </w:r>
      <w:r w:rsidR="00FC449E" w:rsidRPr="00777421">
        <w:rPr>
          <w:rStyle w:val="FootnoteReference"/>
        </w:rPr>
        <w:footnoteReference w:id="23"/>
      </w:r>
      <w:r w:rsidR="00C63643" w:rsidRPr="00777421">
        <w:t xml:space="preserve">  </w:t>
      </w:r>
      <w:r w:rsidR="00957DA7" w:rsidRPr="00777421">
        <w:t>Moreover</w:t>
      </w:r>
      <w:r w:rsidR="00C63643" w:rsidRPr="00777421">
        <w:t xml:space="preserve">, </w:t>
      </w:r>
      <w:r w:rsidRPr="00777421">
        <w:t>the Licensees</w:t>
      </w:r>
      <w:r w:rsidR="00C63643" w:rsidRPr="00777421">
        <w:t xml:space="preserve"> </w:t>
      </w:r>
      <w:r w:rsidR="00957DA7" w:rsidRPr="00777421">
        <w:t>point out</w:t>
      </w:r>
      <w:r w:rsidR="00C63643" w:rsidRPr="00777421">
        <w:t xml:space="preserve"> </w:t>
      </w:r>
      <w:r w:rsidR="000C137D" w:rsidRPr="00777421">
        <w:t>TV Max</w:t>
      </w:r>
      <w:r w:rsidR="009B32E6" w:rsidRPr="00777421">
        <w:t>’</w:t>
      </w:r>
      <w:r w:rsidR="00C63643" w:rsidRPr="00777421">
        <w:t xml:space="preserve">s “ongoing intentional violation” for the time period prior to </w:t>
      </w:r>
      <w:r w:rsidR="000C137D" w:rsidRPr="00777421">
        <w:t>TV Max</w:t>
      </w:r>
      <w:r w:rsidR="009B32E6" w:rsidRPr="00777421">
        <w:t>’</w:t>
      </w:r>
      <w:r w:rsidR="00C63643" w:rsidRPr="00777421">
        <w:t>s alleged completion of MATV systems on all of its MDU buildings.</w:t>
      </w:r>
      <w:r w:rsidR="00C63643" w:rsidRPr="00777421">
        <w:rPr>
          <w:rStyle w:val="FootnoteReference"/>
        </w:rPr>
        <w:footnoteReference w:id="24"/>
      </w:r>
    </w:p>
    <w:p w:rsidR="00547388" w:rsidRPr="00777421" w:rsidRDefault="003637E9" w:rsidP="006C3EAA">
      <w:pPr>
        <w:pStyle w:val="ParaNum"/>
      </w:pPr>
      <w:r w:rsidRPr="00777421">
        <w:t xml:space="preserve">On December 20, 2012, </w:t>
      </w:r>
      <w:r w:rsidR="00547388" w:rsidRPr="00777421">
        <w:t>as a result of its investigation of the matters raised in the complaints, culminating in a lengthy conference call on December 10, 201</w:t>
      </w:r>
      <w:r w:rsidR="00343B8E" w:rsidRPr="00777421">
        <w:t>2</w:t>
      </w:r>
      <w:r w:rsidR="00547388" w:rsidRPr="00777421">
        <w:t xml:space="preserve"> with representatives of TV Max</w:t>
      </w:r>
      <w:r w:rsidR="00343B8E" w:rsidRPr="00777421">
        <w:t xml:space="preserve">, including </w:t>
      </w:r>
      <w:r w:rsidR="00A97982" w:rsidRPr="00777421">
        <w:t xml:space="preserve">TV Max CEO </w:t>
      </w:r>
      <w:r w:rsidR="00343B8E" w:rsidRPr="00777421">
        <w:t>T</w:t>
      </w:r>
      <w:r w:rsidR="00A97982" w:rsidRPr="00777421">
        <w:t>h</w:t>
      </w:r>
      <w:r w:rsidR="00343B8E" w:rsidRPr="00777421">
        <w:t>om</w:t>
      </w:r>
      <w:r w:rsidR="00A97982" w:rsidRPr="00777421">
        <w:t>as</w:t>
      </w:r>
      <w:r w:rsidR="00343B8E" w:rsidRPr="00777421">
        <w:t xml:space="preserve"> Balun,</w:t>
      </w:r>
      <w:r w:rsidR="00547388" w:rsidRPr="00777421">
        <w:t xml:space="preserve"> and </w:t>
      </w:r>
      <w:r w:rsidR="00343B8E" w:rsidRPr="00777421">
        <w:t xml:space="preserve">of </w:t>
      </w:r>
      <w:r w:rsidR="00547388" w:rsidRPr="00777421">
        <w:t xml:space="preserve">each of the Licensees, </w:t>
      </w:r>
      <w:r w:rsidRPr="00777421">
        <w:t xml:space="preserve">the Media Bureau issued a letter to </w:t>
      </w:r>
      <w:r w:rsidR="000C137D" w:rsidRPr="00777421">
        <w:t>TV Max</w:t>
      </w:r>
      <w:r w:rsidRPr="00777421">
        <w:t xml:space="preserve"> </w:t>
      </w:r>
      <w:r w:rsidR="00A97982" w:rsidRPr="00777421">
        <w:t xml:space="preserve">containing </w:t>
      </w:r>
      <w:r w:rsidRPr="00777421">
        <w:t xml:space="preserve">its initial finding that </w:t>
      </w:r>
      <w:r w:rsidR="000C137D" w:rsidRPr="00777421">
        <w:t>TV Max</w:t>
      </w:r>
      <w:r w:rsidRPr="00777421">
        <w:t xml:space="preserve"> ha</w:t>
      </w:r>
      <w:r w:rsidR="00547388" w:rsidRPr="00777421">
        <w:t>d</w:t>
      </w:r>
      <w:r w:rsidRPr="00777421">
        <w:t xml:space="preserve"> willfully and repeatedly violated, and continue</w:t>
      </w:r>
      <w:r w:rsidR="00547388" w:rsidRPr="00777421">
        <w:t>d</w:t>
      </w:r>
      <w:r w:rsidRPr="00777421">
        <w:t xml:space="preserve"> to violate, the Commission</w:t>
      </w:r>
      <w:r w:rsidR="009B32E6" w:rsidRPr="00777421">
        <w:t>’</w:t>
      </w:r>
      <w:r w:rsidRPr="00777421">
        <w:t>s retransmission consent rules</w:t>
      </w:r>
      <w:r w:rsidR="008B6BCD" w:rsidRPr="00777421">
        <w:t>,</w:t>
      </w:r>
      <w:r w:rsidRPr="00777421">
        <w:t xml:space="preserve"> and</w:t>
      </w:r>
      <w:r w:rsidR="00F86B3C" w:rsidRPr="00777421">
        <w:t xml:space="preserve"> stating that it </w:t>
      </w:r>
      <w:r w:rsidR="006B0F32" w:rsidRPr="00777421">
        <w:t xml:space="preserve">planned </w:t>
      </w:r>
      <w:r w:rsidR="00F86B3C" w:rsidRPr="00777421">
        <w:t>to</w:t>
      </w:r>
      <w:r w:rsidRPr="00777421">
        <w:t xml:space="preserve"> recommend that the Commission issue a Notice of Apparent Liability for Forfeiture for these violations.</w:t>
      </w:r>
      <w:r w:rsidRPr="00777421">
        <w:rPr>
          <w:rStyle w:val="FootnoteReference"/>
        </w:rPr>
        <w:footnoteReference w:id="25"/>
      </w:r>
      <w:r w:rsidR="003A5250" w:rsidRPr="00777421">
        <w:t xml:space="preserve">  </w:t>
      </w:r>
      <w:r w:rsidR="005842EF" w:rsidRPr="00777421">
        <w:t>T</w:t>
      </w:r>
      <w:r w:rsidR="006B0F32" w:rsidRPr="00777421">
        <w:t>h</w:t>
      </w:r>
      <w:r w:rsidR="00A97982" w:rsidRPr="00777421">
        <w:t>us, th</w:t>
      </w:r>
      <w:r w:rsidR="006B0F32" w:rsidRPr="00777421">
        <w:t xml:space="preserve">e Bureau stated </w:t>
      </w:r>
      <w:r w:rsidR="006871EB" w:rsidRPr="00777421">
        <w:t xml:space="preserve">its initial conclusions </w:t>
      </w:r>
      <w:r w:rsidR="006B0F32" w:rsidRPr="00777421">
        <w:t xml:space="preserve">that </w:t>
      </w:r>
      <w:r w:rsidR="000C137D" w:rsidRPr="00777421">
        <w:t>TV Max</w:t>
      </w:r>
      <w:r w:rsidR="006B0F32" w:rsidRPr="00777421">
        <w:t xml:space="preserve"> admittedly </w:t>
      </w:r>
      <w:r w:rsidR="00D93F1F" w:rsidRPr="00777421">
        <w:t xml:space="preserve">had </w:t>
      </w:r>
      <w:r w:rsidR="006B0F32" w:rsidRPr="00777421">
        <w:t xml:space="preserve">retransmitted broadcast signals without consent before having installed MATV systems on all </w:t>
      </w:r>
      <w:r w:rsidR="005842EF" w:rsidRPr="00777421">
        <w:t>of it</w:t>
      </w:r>
      <w:r w:rsidR="006B0F32" w:rsidRPr="00777421">
        <w:t>s</w:t>
      </w:r>
      <w:r w:rsidR="005842EF" w:rsidRPr="00777421">
        <w:t xml:space="preserve"> MDU</w:t>
      </w:r>
      <w:r w:rsidR="006C1F5C" w:rsidRPr="00777421">
        <w:t xml:space="preserve"> buildings</w:t>
      </w:r>
      <w:r w:rsidR="005842EF" w:rsidRPr="00777421">
        <w:t>, and that even after installing MATV systems</w:t>
      </w:r>
      <w:r w:rsidR="006871EB" w:rsidRPr="00777421">
        <w:t>,</w:t>
      </w:r>
      <w:r w:rsidR="005842EF" w:rsidRPr="00777421">
        <w:t xml:space="preserve"> </w:t>
      </w:r>
      <w:r w:rsidR="000C137D" w:rsidRPr="00777421">
        <w:t>TV Max</w:t>
      </w:r>
      <w:r w:rsidR="009B32E6" w:rsidRPr="00777421">
        <w:t>’</w:t>
      </w:r>
      <w:r w:rsidR="005842EF" w:rsidRPr="00777421">
        <w:t>s method of providing broadcast signals to MDU residents did not fall within the MATV exception.  I</w:t>
      </w:r>
      <w:r w:rsidR="00290A7D" w:rsidRPr="00777421">
        <w:t>n</w:t>
      </w:r>
      <w:r w:rsidR="005842EF" w:rsidRPr="00777421">
        <w:t xml:space="preserve"> particular, t</w:t>
      </w:r>
      <w:r w:rsidR="009250E9" w:rsidRPr="00777421">
        <w:t xml:space="preserve">he Bureau </w:t>
      </w:r>
      <w:r w:rsidR="005842EF" w:rsidRPr="00777421">
        <w:t xml:space="preserve">referred to </w:t>
      </w:r>
      <w:r w:rsidR="000C137D" w:rsidRPr="00777421">
        <w:t>TV Max</w:t>
      </w:r>
      <w:r w:rsidR="009B32E6" w:rsidRPr="00777421">
        <w:t>’</w:t>
      </w:r>
      <w:r w:rsidR="009250E9" w:rsidRPr="00777421">
        <w:t>s admission that “[b]roadcast signals are delivered to MDU residents using both the fiber ring and the MATV systems</w:t>
      </w:r>
      <w:r w:rsidR="00C50EC8" w:rsidRPr="00777421">
        <w:t>.”</w:t>
      </w:r>
      <w:r w:rsidR="00C50EC8" w:rsidRPr="00777421">
        <w:rPr>
          <w:rStyle w:val="FootnoteReference"/>
        </w:rPr>
        <w:footnoteReference w:id="26"/>
      </w:r>
      <w:r w:rsidR="009250E9" w:rsidRPr="00777421">
        <w:t xml:space="preserve"> </w:t>
      </w:r>
    </w:p>
    <w:p w:rsidR="006C3EAA" w:rsidRPr="00777421" w:rsidRDefault="006C3EAA" w:rsidP="006C3EAA">
      <w:pPr>
        <w:pStyle w:val="ParaNum"/>
      </w:pPr>
      <w:r w:rsidRPr="00777421">
        <w:t xml:space="preserve">On March 28, 2013, the Bureau requested that TV Max and each of the Licensees advise </w:t>
      </w:r>
      <w:r w:rsidR="00343B8E" w:rsidRPr="00777421">
        <w:t>it</w:t>
      </w:r>
      <w:r w:rsidRPr="00777421">
        <w:t xml:space="preserve"> of the status of their dispute</w:t>
      </w:r>
      <w:r w:rsidR="00343B8E" w:rsidRPr="00777421">
        <w:t>, including</w:t>
      </w:r>
      <w:r w:rsidR="00B653CF" w:rsidRPr="00777421">
        <w:t xml:space="preserve"> TV Max’s carriage of the Stations</w:t>
      </w:r>
      <w:r w:rsidR="00FF6B53" w:rsidRPr="00777421">
        <w:t xml:space="preserve"> and whether it had retransmission agreements in place with </w:t>
      </w:r>
      <w:r w:rsidR="00994A06" w:rsidRPr="00777421">
        <w:t>each</w:t>
      </w:r>
      <w:r w:rsidR="00FF6B53" w:rsidRPr="00777421">
        <w:t xml:space="preserve"> licensee</w:t>
      </w:r>
      <w:r w:rsidR="00B653CF" w:rsidRPr="00777421">
        <w:t>.</w:t>
      </w:r>
      <w:r w:rsidR="00D93F1F" w:rsidRPr="00777421">
        <w:t xml:space="preserve"> </w:t>
      </w:r>
      <w:r w:rsidRPr="00777421">
        <w:t xml:space="preserve">In their </w:t>
      </w:r>
      <w:r w:rsidR="00547388" w:rsidRPr="00777421">
        <w:t xml:space="preserve">respective </w:t>
      </w:r>
      <w:r w:rsidRPr="00777421">
        <w:t xml:space="preserve">responses, each of the Licensees indicated that TV Max continued to carry the Stations without their consent, despite the </w:t>
      </w:r>
      <w:r w:rsidR="00B653CF" w:rsidRPr="00777421">
        <w:t xml:space="preserve">conclusion in the </w:t>
      </w:r>
      <w:r w:rsidRPr="00777421">
        <w:t>Bureau’s Initial Finding Letter</w:t>
      </w:r>
      <w:r w:rsidR="00B653CF" w:rsidRPr="00777421">
        <w:t xml:space="preserve"> that such carriage was illegal and </w:t>
      </w:r>
      <w:r w:rsidR="00FF6B53" w:rsidRPr="00777421">
        <w:t>the Bureau’s</w:t>
      </w:r>
      <w:r w:rsidR="000B473A" w:rsidRPr="00777421">
        <w:t xml:space="preserve"> </w:t>
      </w:r>
      <w:r w:rsidR="006139EB" w:rsidRPr="00777421">
        <w:t xml:space="preserve">stated </w:t>
      </w:r>
      <w:r w:rsidR="000B473A" w:rsidRPr="00777421">
        <w:t xml:space="preserve">expectation that such operations </w:t>
      </w:r>
      <w:r w:rsidR="00B653CF" w:rsidRPr="00777421">
        <w:t>should cease</w:t>
      </w:r>
      <w:r w:rsidR="006139EB" w:rsidRPr="00777421">
        <w:t xml:space="preserve"> immediately</w:t>
      </w:r>
      <w:r w:rsidRPr="00777421">
        <w:t>.</w:t>
      </w:r>
      <w:r w:rsidRPr="00777421">
        <w:rPr>
          <w:rStyle w:val="FootnoteReference"/>
        </w:rPr>
        <w:footnoteReference w:id="27"/>
      </w:r>
      <w:r w:rsidRPr="00777421">
        <w:t xml:space="preserve">  In contrast, in its response, TV Max </w:t>
      </w:r>
      <w:r w:rsidR="00F3344A" w:rsidRPr="00777421">
        <w:t>did not</w:t>
      </w:r>
      <w:r w:rsidRPr="00777421">
        <w:t xml:space="preserve"> acknowledge that it was still engaging in such activities</w:t>
      </w:r>
      <w:r w:rsidR="00A97982" w:rsidRPr="00777421">
        <w:t>,</w:t>
      </w:r>
      <w:r w:rsidRPr="00777421">
        <w:t xml:space="preserve"> stating only, for each of the Stations involved, that “since June 7, 2012, the Stations have not been carried on any fiber ring owned or controlled by TV Max.”</w:t>
      </w:r>
      <w:r w:rsidRPr="00777421">
        <w:rPr>
          <w:rStyle w:val="FootnoteReference"/>
        </w:rPr>
        <w:footnoteReference w:id="28"/>
      </w:r>
      <w:r w:rsidRPr="00777421">
        <w:t xml:space="preserve">  Its </w:t>
      </w:r>
      <w:r w:rsidR="00F3344A" w:rsidRPr="00777421">
        <w:t xml:space="preserve">apparent </w:t>
      </w:r>
      <w:r w:rsidR="00A97982" w:rsidRPr="00777421">
        <w:t xml:space="preserve">representations </w:t>
      </w:r>
      <w:r w:rsidR="00F3344A" w:rsidRPr="00777421">
        <w:t>that it was no longer improperly carrying the Stations</w:t>
      </w:r>
      <w:r w:rsidRPr="00777421">
        <w:t xml:space="preserve"> </w:t>
      </w:r>
      <w:r w:rsidR="00F3344A" w:rsidRPr="00777421">
        <w:t xml:space="preserve">seem </w:t>
      </w:r>
      <w:r w:rsidRPr="00777421">
        <w:t xml:space="preserve">inconsistent with the record evidence, including </w:t>
      </w:r>
      <w:r w:rsidR="00D93F1F" w:rsidRPr="00777421">
        <w:t xml:space="preserve">the Licensees’ responses to the Bureau’s inquiry and TV Max’s own </w:t>
      </w:r>
      <w:r w:rsidRPr="00777421">
        <w:t>prior statements to the Commission.</w:t>
      </w:r>
      <w:r w:rsidRPr="00777421">
        <w:rPr>
          <w:rStyle w:val="FootnoteReference"/>
        </w:rPr>
        <w:footnoteReference w:id="29"/>
      </w:r>
      <w:r w:rsidR="00A21144" w:rsidRPr="00777421">
        <w:t xml:space="preserve"> Indeed</w:t>
      </w:r>
      <w:r w:rsidRPr="00777421">
        <w:t xml:space="preserve">, during the conference call with the parties and FCC staff on December 10, 2012, TV Max’s CEO Thomas Balun confirmed that TV Max was </w:t>
      </w:r>
      <w:r w:rsidR="00D75D6E" w:rsidRPr="00777421">
        <w:t xml:space="preserve">still </w:t>
      </w:r>
      <w:r w:rsidRPr="00777421">
        <w:t xml:space="preserve">transmitting the signals of all of the </w:t>
      </w:r>
      <w:r w:rsidR="00A97982" w:rsidRPr="00777421">
        <w:t>S</w:t>
      </w:r>
      <w:r w:rsidRPr="00777421">
        <w:t>tations over its fiber ring.</w:t>
      </w:r>
    </w:p>
    <w:p w:rsidR="006C3EAA" w:rsidRPr="00777421" w:rsidRDefault="006C3EAA" w:rsidP="006C3EAA">
      <w:pPr>
        <w:pStyle w:val="ParaNum"/>
      </w:pPr>
      <w:r w:rsidRPr="00777421">
        <w:t>As the Licensees pointed out to the Commission in a joint letter dated April 18, 2013,</w:t>
      </w:r>
      <w:r w:rsidR="00A97982" w:rsidRPr="00777421">
        <w:rPr>
          <w:rStyle w:val="FootnoteReference"/>
        </w:rPr>
        <w:footnoteReference w:id="30"/>
      </w:r>
      <w:r w:rsidRPr="00777421">
        <w:t xml:space="preserve"> TV Max, has</w:t>
      </w:r>
      <w:r w:rsidR="008B3993" w:rsidRPr="00777421">
        <w:t>, in fact,</w:t>
      </w:r>
      <w:r w:rsidRPr="00777421">
        <w:t xml:space="preserve"> continued </w:t>
      </w:r>
      <w:r w:rsidR="000B473A" w:rsidRPr="00777421">
        <w:t xml:space="preserve">the </w:t>
      </w:r>
      <w:r w:rsidR="00CE7DFF" w:rsidRPr="00777421">
        <w:t>operations</w:t>
      </w:r>
      <w:r w:rsidRPr="00777421">
        <w:t xml:space="preserve"> that the Bureau</w:t>
      </w:r>
      <w:r w:rsidR="003C2DFE" w:rsidRPr="00777421">
        <w:t xml:space="preserve"> on December 20</w:t>
      </w:r>
      <w:r w:rsidRPr="00777421">
        <w:t xml:space="preserve"> advised </w:t>
      </w:r>
      <w:r w:rsidR="00CE7DFF" w:rsidRPr="00777421">
        <w:t>were</w:t>
      </w:r>
      <w:r w:rsidRPr="00777421">
        <w:t xml:space="preserve"> contrary to the Act and rules</w:t>
      </w:r>
      <w:r w:rsidR="003C2DFE" w:rsidRPr="00777421">
        <w:t xml:space="preserve">.  Despite the Bureau’s </w:t>
      </w:r>
      <w:r w:rsidR="006139EB" w:rsidRPr="00777421">
        <w:t>stated</w:t>
      </w:r>
      <w:r w:rsidR="000B473A" w:rsidRPr="00777421">
        <w:t xml:space="preserve"> expectation that TV Max immediately </w:t>
      </w:r>
      <w:r w:rsidR="003C2DFE" w:rsidRPr="00777421">
        <w:t>discontinue retransmission of the Stations without their consent and in the absence of an applicable exemption to the retransmission consent requirement, TV Max,</w:t>
      </w:r>
      <w:r w:rsidR="00A21144" w:rsidRPr="00777421">
        <w:t xml:space="preserve"> </w:t>
      </w:r>
      <w:r w:rsidRPr="00777421">
        <w:t xml:space="preserve">through a number </w:t>
      </w:r>
      <w:r w:rsidR="00A21144" w:rsidRPr="00777421">
        <w:t xml:space="preserve">of </w:t>
      </w:r>
      <w:r w:rsidRPr="00777421">
        <w:t>commonly owned and controlled companies</w:t>
      </w:r>
      <w:r w:rsidR="003C2DFE" w:rsidRPr="00777421">
        <w:t xml:space="preserve"> continued the apparently violative retransmissions</w:t>
      </w:r>
      <w:r w:rsidRPr="00777421">
        <w:t xml:space="preserve">.  </w:t>
      </w:r>
      <w:r w:rsidR="00A21144" w:rsidRPr="00777421">
        <w:t>As the Licensees note, o</w:t>
      </w:r>
      <w:r w:rsidRPr="00777421">
        <w:t xml:space="preserve">n December 3, 2012, TV Max e-mailed the Bureau and counsel for each of the Licensees “to provide the </w:t>
      </w:r>
      <w:r w:rsidR="006760E0" w:rsidRPr="00777421">
        <w:t xml:space="preserve">Media Bureau and the </w:t>
      </w:r>
      <w:r w:rsidRPr="00777421">
        <w:t>complainants with updated information concerning TV Max as required by Section 76</w:t>
      </w:r>
      <w:r w:rsidR="00A21144" w:rsidRPr="00777421">
        <w:t>.6</w:t>
      </w:r>
      <w:r w:rsidRPr="00777421">
        <w:t>(a)(6) of the Commission’s rules,</w:t>
      </w:r>
      <w:r w:rsidR="006760E0" w:rsidRPr="00777421">
        <w:t>”</w:t>
      </w:r>
      <w:r w:rsidRPr="00777421">
        <w:t xml:space="preserve"> namely that “certain” of its assets had been </w:t>
      </w:r>
      <w:r w:rsidR="006760E0" w:rsidRPr="00777421">
        <w:t>“</w:t>
      </w:r>
      <w:r w:rsidRPr="00777421">
        <w:t xml:space="preserve">acquired by Broadband Ventures Six, LLC and Broadband Fiber, LLC, each a Delaware limited liability company.” </w:t>
      </w:r>
      <w:r w:rsidR="00A21144" w:rsidRPr="00777421">
        <w:t xml:space="preserve"> </w:t>
      </w:r>
      <w:r w:rsidRPr="00777421">
        <w:t>Specifically, TV Max advised that, effective July 1, 2012,</w:t>
      </w:r>
      <w:r w:rsidR="00A21144" w:rsidRPr="00777421">
        <w:rPr>
          <w:rStyle w:val="FootnoteReference"/>
        </w:rPr>
        <w:footnoteReference w:id="31"/>
      </w:r>
      <w:r w:rsidRPr="00777421">
        <w:t xml:space="preserve"> “TV Max’s head-end and cable television subscriber assets were acquired by Broadband Ventures Six, LLC, and TV Max’s fiber optic network facility located in Houston, Texas, was acquired by Broadband Fiber, LLC.”  TV Max indicated that, while it “continues to exist and operate as holder of a cable television franchise with the City of Houston, the relevant service provider is Broadband Ventures Six, LLC.”</w:t>
      </w:r>
      <w:r w:rsidRPr="00777421">
        <w:rPr>
          <w:rStyle w:val="FootnoteReference"/>
        </w:rPr>
        <w:t xml:space="preserve"> </w:t>
      </w:r>
      <w:r w:rsidRPr="00777421">
        <w:rPr>
          <w:rStyle w:val="FootnoteReference"/>
        </w:rPr>
        <w:footnoteReference w:id="32"/>
      </w:r>
      <w:r w:rsidRPr="00777421">
        <w:t xml:space="preserve"> As the Licensees </w:t>
      </w:r>
      <w:r w:rsidR="00C02715" w:rsidRPr="00777421">
        <w:t>maintain</w:t>
      </w:r>
      <w:r w:rsidRPr="00777421">
        <w:t xml:space="preserve"> in their April 18 filing, both of those entities are corporate affiliates of and under common control with TV Max.  </w:t>
      </w:r>
      <w:r w:rsidR="00473B07" w:rsidRPr="00777421">
        <w:t xml:space="preserve">TV Max does not deny these allegations.  </w:t>
      </w:r>
      <w:r w:rsidRPr="00777421">
        <w:t xml:space="preserve">Our review of the </w:t>
      </w:r>
      <w:r w:rsidR="006760E0" w:rsidRPr="00777421">
        <w:t>record</w:t>
      </w:r>
      <w:r w:rsidR="00B653CF" w:rsidRPr="00777421">
        <w:t xml:space="preserve"> </w:t>
      </w:r>
      <w:r w:rsidRPr="00777421">
        <w:t>lead</w:t>
      </w:r>
      <w:r w:rsidR="00B653CF" w:rsidRPr="00777421">
        <w:t>s</w:t>
      </w:r>
      <w:r w:rsidRPr="00777421">
        <w:t xml:space="preserve"> us to agree</w:t>
      </w:r>
      <w:r w:rsidR="00C02715" w:rsidRPr="00777421">
        <w:t xml:space="preserve"> with this assessment</w:t>
      </w:r>
      <w:r w:rsidRPr="00777421">
        <w:t>.</w:t>
      </w:r>
    </w:p>
    <w:p w:rsidR="00B653CF" w:rsidRPr="00777421" w:rsidRDefault="00B653CF" w:rsidP="000B473A">
      <w:pPr>
        <w:pStyle w:val="FootnoteText"/>
        <w:numPr>
          <w:ilvl w:val="0"/>
          <w:numId w:val="5"/>
        </w:numPr>
        <w:tabs>
          <w:tab w:val="left" w:pos="720"/>
        </w:tabs>
        <w:rPr>
          <w:snapToGrid w:val="0"/>
          <w:kern w:val="28"/>
          <w:sz w:val="22"/>
        </w:rPr>
      </w:pPr>
      <w:r w:rsidRPr="00777421">
        <w:rPr>
          <w:snapToGrid w:val="0"/>
          <w:kern w:val="28"/>
          <w:sz w:val="22"/>
        </w:rPr>
        <w:t xml:space="preserve">According to the records of the Texas Secretary of State, </w:t>
      </w:r>
      <w:r w:rsidR="004E4AF3" w:rsidRPr="00777421">
        <w:rPr>
          <w:snapToGrid w:val="0"/>
          <w:kern w:val="28"/>
          <w:sz w:val="22"/>
        </w:rPr>
        <w:t xml:space="preserve">provided as Attachments 1 and 2 to the </w:t>
      </w:r>
      <w:r w:rsidR="00A97982" w:rsidRPr="00777421">
        <w:rPr>
          <w:snapToGrid w:val="0"/>
          <w:kern w:val="28"/>
          <w:sz w:val="22"/>
        </w:rPr>
        <w:t>April 18 Licensee Letter</w:t>
      </w:r>
      <w:r w:rsidR="004E4AF3" w:rsidRPr="00777421">
        <w:rPr>
          <w:snapToGrid w:val="0"/>
          <w:kern w:val="28"/>
          <w:sz w:val="22"/>
        </w:rPr>
        <w:t xml:space="preserve">, </w:t>
      </w:r>
      <w:r w:rsidRPr="00777421">
        <w:rPr>
          <w:snapToGrid w:val="0"/>
          <w:kern w:val="28"/>
          <w:sz w:val="22"/>
        </w:rPr>
        <w:t>TV Max and Broadband Ventures Six</w:t>
      </w:r>
      <w:r w:rsidR="004E4AF3" w:rsidRPr="00777421">
        <w:rPr>
          <w:snapToGrid w:val="0"/>
          <w:kern w:val="28"/>
          <w:sz w:val="22"/>
        </w:rPr>
        <w:t>, LLC (“BV6”)</w:t>
      </w:r>
      <w:r w:rsidRPr="00777421">
        <w:rPr>
          <w:snapToGrid w:val="0"/>
          <w:kern w:val="28"/>
          <w:sz w:val="22"/>
        </w:rPr>
        <w:t xml:space="preserve"> </w:t>
      </w:r>
      <w:r w:rsidR="00473B07" w:rsidRPr="00777421">
        <w:rPr>
          <w:snapToGrid w:val="0"/>
          <w:kern w:val="28"/>
          <w:sz w:val="22"/>
        </w:rPr>
        <w:t>appear to be</w:t>
      </w:r>
      <w:r w:rsidRPr="00777421">
        <w:rPr>
          <w:snapToGrid w:val="0"/>
          <w:kern w:val="28"/>
          <w:sz w:val="22"/>
        </w:rPr>
        <w:t xml:space="preserve"> under the common control of two individuals: T</w:t>
      </w:r>
      <w:r w:rsidR="003C3002" w:rsidRPr="00777421">
        <w:rPr>
          <w:snapToGrid w:val="0"/>
          <w:kern w:val="28"/>
          <w:sz w:val="22"/>
        </w:rPr>
        <w:t>h</w:t>
      </w:r>
      <w:r w:rsidRPr="00777421">
        <w:rPr>
          <w:snapToGrid w:val="0"/>
          <w:kern w:val="28"/>
          <w:sz w:val="22"/>
        </w:rPr>
        <w:t>om</w:t>
      </w:r>
      <w:r w:rsidR="003C3002" w:rsidRPr="00777421">
        <w:rPr>
          <w:snapToGrid w:val="0"/>
          <w:kern w:val="28"/>
          <w:sz w:val="22"/>
        </w:rPr>
        <w:t>as</w:t>
      </w:r>
      <w:r w:rsidRPr="00777421">
        <w:rPr>
          <w:snapToGrid w:val="0"/>
          <w:kern w:val="28"/>
          <w:sz w:val="22"/>
        </w:rPr>
        <w:t xml:space="preserve"> </w:t>
      </w:r>
      <w:r w:rsidR="003C3002" w:rsidRPr="00777421">
        <w:rPr>
          <w:snapToGrid w:val="0"/>
          <w:kern w:val="28"/>
          <w:sz w:val="22"/>
        </w:rPr>
        <w:t xml:space="preserve">M. </w:t>
      </w:r>
      <w:r w:rsidRPr="00777421">
        <w:rPr>
          <w:snapToGrid w:val="0"/>
          <w:kern w:val="28"/>
          <w:sz w:val="22"/>
        </w:rPr>
        <w:t>Balun and Eric Meltzer</w:t>
      </w:r>
      <w:r w:rsidR="00F3344A" w:rsidRPr="00777421">
        <w:rPr>
          <w:snapToGrid w:val="0"/>
          <w:kern w:val="28"/>
          <w:sz w:val="22"/>
        </w:rPr>
        <w:t xml:space="preserve">. </w:t>
      </w:r>
      <w:r w:rsidR="00473B07" w:rsidRPr="00777421">
        <w:rPr>
          <w:snapToGrid w:val="0"/>
          <w:kern w:val="28"/>
          <w:sz w:val="22"/>
        </w:rPr>
        <w:t xml:space="preserve"> </w:t>
      </w:r>
      <w:r w:rsidR="00F3344A" w:rsidRPr="00777421">
        <w:rPr>
          <w:snapToGrid w:val="0"/>
          <w:kern w:val="28"/>
          <w:sz w:val="22"/>
        </w:rPr>
        <w:t>They are listed as the</w:t>
      </w:r>
      <w:r w:rsidR="003C3002" w:rsidRPr="00777421">
        <w:rPr>
          <w:snapToGrid w:val="0"/>
          <w:kern w:val="28"/>
          <w:sz w:val="22"/>
        </w:rPr>
        <w:t xml:space="preserve"> officers and directors</w:t>
      </w:r>
      <w:r w:rsidR="00F3344A" w:rsidRPr="00777421">
        <w:rPr>
          <w:snapToGrid w:val="0"/>
          <w:kern w:val="28"/>
          <w:sz w:val="22"/>
        </w:rPr>
        <w:t xml:space="preserve"> of TV Max, Inc., along with</w:t>
      </w:r>
      <w:r w:rsidR="003C3002" w:rsidRPr="00777421">
        <w:rPr>
          <w:snapToGrid w:val="0"/>
          <w:kern w:val="28"/>
          <w:sz w:val="22"/>
        </w:rPr>
        <w:t xml:space="preserve"> Christian J. Balun</w:t>
      </w:r>
      <w:r w:rsidR="00473B07" w:rsidRPr="00777421">
        <w:rPr>
          <w:snapToGrid w:val="0"/>
          <w:kern w:val="28"/>
          <w:sz w:val="22"/>
        </w:rPr>
        <w:t xml:space="preserve"> and Matthew T. Balun</w:t>
      </w:r>
      <w:r w:rsidR="00D50B55" w:rsidRPr="00777421">
        <w:rPr>
          <w:snapToGrid w:val="0"/>
          <w:kern w:val="28"/>
          <w:sz w:val="22"/>
        </w:rPr>
        <w:t>.  For BV6, o</w:t>
      </w:r>
      <w:r w:rsidR="00F3344A" w:rsidRPr="00777421">
        <w:rPr>
          <w:snapToGrid w:val="0"/>
          <w:kern w:val="28"/>
          <w:sz w:val="22"/>
        </w:rPr>
        <w:t xml:space="preserve">nly Thomas </w:t>
      </w:r>
      <w:r w:rsidR="003A6BF6" w:rsidRPr="00777421">
        <w:rPr>
          <w:snapToGrid w:val="0"/>
          <w:kern w:val="28"/>
          <w:sz w:val="22"/>
        </w:rPr>
        <w:t>Balun</w:t>
      </w:r>
      <w:r w:rsidR="00F3344A" w:rsidRPr="00777421">
        <w:rPr>
          <w:snapToGrid w:val="0"/>
          <w:kern w:val="28"/>
          <w:sz w:val="22"/>
        </w:rPr>
        <w:t xml:space="preserve"> and Eric Meltzer are listed</w:t>
      </w:r>
      <w:r w:rsidR="00D50B55" w:rsidRPr="00777421">
        <w:rPr>
          <w:snapToGrid w:val="0"/>
          <w:kern w:val="28"/>
          <w:sz w:val="22"/>
        </w:rPr>
        <w:t>,</w:t>
      </w:r>
      <w:r w:rsidR="00F3344A" w:rsidRPr="00777421">
        <w:rPr>
          <w:snapToGrid w:val="0"/>
          <w:kern w:val="28"/>
          <w:sz w:val="22"/>
        </w:rPr>
        <w:t xml:space="preserve"> as it</w:t>
      </w:r>
      <w:r w:rsidR="003C3002" w:rsidRPr="00777421">
        <w:rPr>
          <w:snapToGrid w:val="0"/>
          <w:kern w:val="28"/>
          <w:sz w:val="22"/>
        </w:rPr>
        <w:t xml:space="preserve">s two </w:t>
      </w:r>
      <w:r w:rsidR="00F3344A" w:rsidRPr="00777421">
        <w:rPr>
          <w:snapToGrid w:val="0"/>
          <w:kern w:val="28"/>
          <w:sz w:val="22"/>
        </w:rPr>
        <w:t>“</w:t>
      </w:r>
      <w:r w:rsidR="003C3002" w:rsidRPr="00777421">
        <w:rPr>
          <w:snapToGrid w:val="0"/>
          <w:kern w:val="28"/>
          <w:sz w:val="22"/>
        </w:rPr>
        <w:t>managers</w:t>
      </w:r>
      <w:r w:rsidRPr="00777421">
        <w:rPr>
          <w:snapToGrid w:val="0"/>
          <w:kern w:val="28"/>
          <w:sz w:val="22"/>
        </w:rPr>
        <w:t>.</w:t>
      </w:r>
      <w:r w:rsidR="00F3344A" w:rsidRPr="00777421">
        <w:rPr>
          <w:snapToGrid w:val="0"/>
          <w:kern w:val="28"/>
          <w:sz w:val="22"/>
        </w:rPr>
        <w:t>”</w:t>
      </w:r>
      <w:r w:rsidRPr="00777421">
        <w:rPr>
          <w:snapToGrid w:val="0"/>
          <w:kern w:val="28"/>
          <w:sz w:val="22"/>
        </w:rPr>
        <w:t xml:space="preserve"> </w:t>
      </w:r>
      <w:r w:rsidR="006139EB" w:rsidRPr="00777421">
        <w:rPr>
          <w:snapToGrid w:val="0"/>
          <w:kern w:val="28"/>
          <w:sz w:val="22"/>
        </w:rPr>
        <w:t>I</w:t>
      </w:r>
      <w:r w:rsidR="005D7930" w:rsidRPr="00777421">
        <w:rPr>
          <w:snapToGrid w:val="0"/>
          <w:kern w:val="28"/>
          <w:sz w:val="22"/>
        </w:rPr>
        <w:t xml:space="preserve">n Attachment 3, only Richard Gomez is listed for Broadband Fiber LLC (“BF”), as its “Governing Person.” </w:t>
      </w:r>
      <w:r w:rsidR="003C3002" w:rsidRPr="00777421">
        <w:rPr>
          <w:snapToGrid w:val="0"/>
          <w:kern w:val="28"/>
          <w:sz w:val="22"/>
        </w:rPr>
        <w:t>Attachments 2 and 3</w:t>
      </w:r>
      <w:r w:rsidR="004E4AF3" w:rsidRPr="00777421">
        <w:rPr>
          <w:snapToGrid w:val="0"/>
          <w:kern w:val="28"/>
          <w:sz w:val="22"/>
        </w:rPr>
        <w:t xml:space="preserve"> reveal that BV6</w:t>
      </w:r>
      <w:r w:rsidRPr="00777421">
        <w:rPr>
          <w:snapToGrid w:val="0"/>
          <w:kern w:val="28"/>
          <w:sz w:val="22"/>
        </w:rPr>
        <w:t xml:space="preserve"> and </w:t>
      </w:r>
      <w:r w:rsidR="005D7930" w:rsidRPr="00777421">
        <w:rPr>
          <w:snapToGrid w:val="0"/>
          <w:kern w:val="28"/>
          <w:sz w:val="22"/>
        </w:rPr>
        <w:t>BF</w:t>
      </w:r>
      <w:r w:rsidRPr="00777421">
        <w:rPr>
          <w:snapToGrid w:val="0"/>
          <w:kern w:val="28"/>
          <w:sz w:val="22"/>
        </w:rPr>
        <w:t xml:space="preserve"> share a common mailing address:  290 King of Prussia Road, Radnor, Pennsylvania 19087.</w:t>
      </w:r>
      <w:r w:rsidR="007D680D" w:rsidRPr="00777421">
        <w:rPr>
          <w:snapToGrid w:val="0"/>
          <w:kern w:val="28"/>
          <w:sz w:val="22"/>
        </w:rPr>
        <w:t xml:space="preserve"> </w:t>
      </w:r>
      <w:r w:rsidR="005822EF" w:rsidRPr="00777421">
        <w:rPr>
          <w:snapToGrid w:val="0"/>
          <w:kern w:val="28"/>
          <w:sz w:val="22"/>
        </w:rPr>
        <w:t xml:space="preserve"> </w:t>
      </w:r>
      <w:r w:rsidR="00F7770F" w:rsidRPr="00777421">
        <w:rPr>
          <w:snapToGrid w:val="0"/>
          <w:kern w:val="28"/>
          <w:sz w:val="22"/>
        </w:rPr>
        <w:t>Those records further indicate that BF did not file with the Secretary of State for authority to transact business in Texas until October 23, 2012, well after the June 7, 2012 date on which TV Max claims it no longer owned the Houston fiber ring</w:t>
      </w:r>
      <w:r w:rsidR="000F5DA2" w:rsidRPr="00777421">
        <w:rPr>
          <w:snapToGrid w:val="0"/>
          <w:kern w:val="28"/>
          <w:sz w:val="22"/>
        </w:rPr>
        <w:t xml:space="preserve"> and July 1, 2012, when it has represented that its assignment of the fiber network assets to BF occurred, which assets BF then began to lease to BV6.</w:t>
      </w:r>
      <w:r w:rsidR="00F7770F" w:rsidRPr="00777421">
        <w:rPr>
          <w:snapToGrid w:val="0"/>
          <w:kern w:val="28"/>
          <w:sz w:val="22"/>
        </w:rPr>
        <w:t xml:space="preserve"> </w:t>
      </w:r>
    </w:p>
    <w:p w:rsidR="00B653CF" w:rsidRPr="00777421" w:rsidRDefault="00B653CF" w:rsidP="000B473A">
      <w:pPr>
        <w:pStyle w:val="FootnoteText"/>
        <w:numPr>
          <w:ilvl w:val="0"/>
          <w:numId w:val="5"/>
        </w:numPr>
        <w:tabs>
          <w:tab w:val="left" w:pos="720"/>
        </w:tabs>
        <w:rPr>
          <w:snapToGrid w:val="0"/>
          <w:kern w:val="28"/>
          <w:sz w:val="22"/>
        </w:rPr>
      </w:pPr>
      <w:r w:rsidRPr="00777421">
        <w:rPr>
          <w:snapToGrid w:val="0"/>
          <w:kern w:val="28"/>
          <w:sz w:val="22"/>
        </w:rPr>
        <w:t>In its application to the Texas Public Utilities Commission (PUC) for authority to operate</w:t>
      </w:r>
      <w:r w:rsidR="004E4AF3" w:rsidRPr="00777421">
        <w:rPr>
          <w:snapToGrid w:val="0"/>
          <w:kern w:val="28"/>
          <w:sz w:val="22"/>
        </w:rPr>
        <w:t xml:space="preserve"> (Attachment 4 to the </w:t>
      </w:r>
      <w:r w:rsidR="00A97982" w:rsidRPr="00777421">
        <w:rPr>
          <w:snapToGrid w:val="0"/>
          <w:kern w:val="28"/>
          <w:sz w:val="22"/>
        </w:rPr>
        <w:t>April 18 Licensee Letter</w:t>
      </w:r>
      <w:r w:rsidR="004E4AF3" w:rsidRPr="00777421">
        <w:rPr>
          <w:snapToGrid w:val="0"/>
          <w:kern w:val="28"/>
          <w:sz w:val="22"/>
        </w:rPr>
        <w:t>)</w:t>
      </w:r>
      <w:r w:rsidRPr="00777421">
        <w:rPr>
          <w:snapToGrid w:val="0"/>
          <w:kern w:val="28"/>
          <w:sz w:val="22"/>
        </w:rPr>
        <w:t xml:space="preserve">, </w:t>
      </w:r>
      <w:r w:rsidR="004E4AF3" w:rsidRPr="00777421">
        <w:rPr>
          <w:snapToGrid w:val="0"/>
          <w:kern w:val="28"/>
          <w:sz w:val="22"/>
        </w:rPr>
        <w:t>BF</w:t>
      </w:r>
      <w:r w:rsidR="00AC7F4C" w:rsidRPr="00777421">
        <w:rPr>
          <w:snapToGrid w:val="0"/>
          <w:kern w:val="28"/>
          <w:sz w:val="22"/>
        </w:rPr>
        <w:t>, represented b</w:t>
      </w:r>
      <w:r w:rsidR="00605699" w:rsidRPr="00777421">
        <w:rPr>
          <w:snapToGrid w:val="0"/>
          <w:kern w:val="28"/>
          <w:sz w:val="22"/>
        </w:rPr>
        <w:t>y Carl Kandutsch, also</w:t>
      </w:r>
      <w:r w:rsidR="00AC7F4C" w:rsidRPr="00777421">
        <w:rPr>
          <w:snapToGrid w:val="0"/>
          <w:kern w:val="28"/>
          <w:sz w:val="22"/>
        </w:rPr>
        <w:t xml:space="preserve"> </w:t>
      </w:r>
      <w:r w:rsidR="00605699" w:rsidRPr="00777421">
        <w:rPr>
          <w:snapToGrid w:val="0"/>
          <w:kern w:val="28"/>
          <w:sz w:val="22"/>
        </w:rPr>
        <w:t>TV Max’s attorney in the subject proceeding,</w:t>
      </w:r>
      <w:r w:rsidRPr="00777421">
        <w:rPr>
          <w:snapToGrid w:val="0"/>
          <w:kern w:val="28"/>
          <w:sz w:val="22"/>
        </w:rPr>
        <w:t xml:space="preserve"> identifie</w:t>
      </w:r>
      <w:r w:rsidR="00FF6B53" w:rsidRPr="00777421">
        <w:rPr>
          <w:snapToGrid w:val="0"/>
          <w:kern w:val="28"/>
          <w:sz w:val="22"/>
        </w:rPr>
        <w:t>s</w:t>
      </w:r>
      <w:r w:rsidRPr="00777421">
        <w:rPr>
          <w:snapToGrid w:val="0"/>
          <w:kern w:val="28"/>
          <w:sz w:val="22"/>
        </w:rPr>
        <w:t xml:space="preserve"> TV Max as “an affiliate of Applicant” in disclosing the subject </w:t>
      </w:r>
      <w:r w:rsidR="004E4AF3" w:rsidRPr="00777421">
        <w:rPr>
          <w:snapToGrid w:val="0"/>
          <w:kern w:val="28"/>
          <w:sz w:val="22"/>
        </w:rPr>
        <w:t xml:space="preserve">FCC </w:t>
      </w:r>
      <w:r w:rsidRPr="00777421">
        <w:rPr>
          <w:snapToGrid w:val="0"/>
          <w:kern w:val="28"/>
          <w:sz w:val="22"/>
        </w:rPr>
        <w:t xml:space="preserve">complaints by the </w:t>
      </w:r>
      <w:r w:rsidR="004E4AF3" w:rsidRPr="00777421">
        <w:rPr>
          <w:snapToGrid w:val="0"/>
          <w:kern w:val="28"/>
          <w:sz w:val="22"/>
        </w:rPr>
        <w:t xml:space="preserve">Licensees </w:t>
      </w:r>
      <w:r w:rsidRPr="00777421">
        <w:rPr>
          <w:snapToGrid w:val="0"/>
          <w:kern w:val="28"/>
          <w:sz w:val="22"/>
        </w:rPr>
        <w:t>against TV Max</w:t>
      </w:r>
      <w:r w:rsidR="007D680D" w:rsidRPr="00777421">
        <w:rPr>
          <w:snapToGrid w:val="0"/>
          <w:kern w:val="28"/>
          <w:sz w:val="22"/>
        </w:rPr>
        <w:t xml:space="preserve"> in the response to Question 13 (a)</w:t>
      </w:r>
      <w:r w:rsidRPr="00777421">
        <w:rPr>
          <w:snapToGrid w:val="0"/>
          <w:kern w:val="28"/>
          <w:sz w:val="22"/>
        </w:rPr>
        <w:t xml:space="preserve">.  </w:t>
      </w:r>
      <w:r w:rsidR="003C3002" w:rsidRPr="00777421">
        <w:rPr>
          <w:snapToGrid w:val="0"/>
          <w:kern w:val="28"/>
          <w:sz w:val="22"/>
        </w:rPr>
        <w:t>The response to Question 2(h)</w:t>
      </w:r>
      <w:r w:rsidRPr="00777421">
        <w:rPr>
          <w:snapToGrid w:val="0"/>
          <w:kern w:val="28"/>
          <w:sz w:val="22"/>
        </w:rPr>
        <w:t xml:space="preserve"> notes that Broadband Ventures Group, LLC wholly owns </w:t>
      </w:r>
      <w:r w:rsidR="004E4AF3" w:rsidRPr="00777421">
        <w:rPr>
          <w:snapToGrid w:val="0"/>
          <w:kern w:val="28"/>
          <w:sz w:val="22"/>
        </w:rPr>
        <w:t>both BF and BV6</w:t>
      </w:r>
      <w:r w:rsidRPr="00777421">
        <w:rPr>
          <w:snapToGrid w:val="0"/>
          <w:kern w:val="28"/>
          <w:sz w:val="22"/>
        </w:rPr>
        <w:t xml:space="preserve">.  </w:t>
      </w:r>
      <w:r w:rsidR="003C3002" w:rsidRPr="00777421">
        <w:rPr>
          <w:snapToGrid w:val="0"/>
          <w:kern w:val="28"/>
          <w:sz w:val="22"/>
        </w:rPr>
        <w:t xml:space="preserve">Under Question 2(f), </w:t>
      </w:r>
      <w:r w:rsidR="007D680D" w:rsidRPr="00777421">
        <w:rPr>
          <w:snapToGrid w:val="0"/>
          <w:kern w:val="28"/>
          <w:sz w:val="22"/>
        </w:rPr>
        <w:t>t</w:t>
      </w:r>
      <w:r w:rsidRPr="00777421">
        <w:rPr>
          <w:snapToGrid w:val="0"/>
          <w:kern w:val="28"/>
          <w:sz w:val="22"/>
        </w:rPr>
        <w:t xml:space="preserve">he filing identifies Richard Gomez as Vice President of </w:t>
      </w:r>
      <w:r w:rsidR="004E4AF3" w:rsidRPr="00777421">
        <w:rPr>
          <w:snapToGrid w:val="0"/>
          <w:kern w:val="28"/>
          <w:sz w:val="22"/>
        </w:rPr>
        <w:t>BF</w:t>
      </w:r>
      <w:r w:rsidRPr="00777421">
        <w:rPr>
          <w:snapToGrid w:val="0"/>
          <w:kern w:val="28"/>
          <w:sz w:val="22"/>
        </w:rPr>
        <w:t xml:space="preserve">.  </w:t>
      </w:r>
      <w:r w:rsidR="004E4AF3" w:rsidRPr="00777421">
        <w:rPr>
          <w:snapToGrid w:val="0"/>
          <w:kern w:val="28"/>
          <w:sz w:val="22"/>
        </w:rPr>
        <w:t xml:space="preserve">As noted at Attachment 5 to </w:t>
      </w:r>
      <w:r w:rsidR="00A97982" w:rsidRPr="00777421">
        <w:rPr>
          <w:snapToGrid w:val="0"/>
          <w:kern w:val="28"/>
          <w:sz w:val="22"/>
        </w:rPr>
        <w:t>the FOX</w:t>
      </w:r>
      <w:r w:rsidR="00181CCF" w:rsidRPr="00777421">
        <w:rPr>
          <w:snapToGrid w:val="0"/>
          <w:kern w:val="28"/>
          <w:sz w:val="22"/>
        </w:rPr>
        <w:t xml:space="preserve"> Complaint</w:t>
      </w:r>
      <w:r w:rsidR="004E4AF3" w:rsidRPr="00777421">
        <w:rPr>
          <w:snapToGrid w:val="0"/>
          <w:kern w:val="28"/>
          <w:sz w:val="22"/>
        </w:rPr>
        <w:t xml:space="preserve">, </w:t>
      </w:r>
      <w:r w:rsidRPr="00777421">
        <w:rPr>
          <w:snapToGrid w:val="0"/>
          <w:kern w:val="28"/>
          <w:sz w:val="22"/>
        </w:rPr>
        <w:t>Gomez also is Vice President and General Manager of TV Max.</w:t>
      </w:r>
      <w:r w:rsidR="003C3002" w:rsidRPr="00777421">
        <w:rPr>
          <w:snapToGrid w:val="0"/>
          <w:kern w:val="28"/>
          <w:sz w:val="22"/>
        </w:rPr>
        <w:t xml:space="preserve">  Finally, in the response to Question 17, BF indicates that, in June 2010, the entity Broadband Ventures IV acquired 73</w:t>
      </w:r>
      <w:r w:rsidR="007D680D" w:rsidRPr="00777421">
        <w:rPr>
          <w:snapToGrid w:val="0"/>
          <w:kern w:val="28"/>
          <w:sz w:val="22"/>
        </w:rPr>
        <w:t>.</w:t>
      </w:r>
      <w:r w:rsidR="003C3002" w:rsidRPr="00777421">
        <w:rPr>
          <w:snapToGrid w:val="0"/>
          <w:kern w:val="28"/>
          <w:sz w:val="22"/>
        </w:rPr>
        <w:t xml:space="preserve">8 percent of TV Max Holdings, and that TV Max Houston, LP, “an indirect wholly owned subsidiary </w:t>
      </w:r>
      <w:r w:rsidR="007F2CA1" w:rsidRPr="00777421">
        <w:rPr>
          <w:snapToGrid w:val="0"/>
          <w:kern w:val="28"/>
          <w:sz w:val="22"/>
        </w:rPr>
        <w:t>of TV Max Holdings, Inc.” is the entity that  assigned its “CATV and cable television subscriber-related assets” to BV6 in June 2012 and its fiber optic network assets to BF the following month, the transactions reported to the Commission by TV Max in its December 3, 2012 email.</w:t>
      </w:r>
    </w:p>
    <w:p w:rsidR="00B653CF" w:rsidRPr="00777421" w:rsidRDefault="007F2CA1" w:rsidP="000B473A">
      <w:pPr>
        <w:pStyle w:val="FootnoteText"/>
        <w:numPr>
          <w:ilvl w:val="0"/>
          <w:numId w:val="5"/>
        </w:numPr>
        <w:tabs>
          <w:tab w:val="left" w:pos="720"/>
        </w:tabs>
        <w:rPr>
          <w:snapToGrid w:val="0"/>
          <w:kern w:val="28"/>
          <w:sz w:val="22"/>
        </w:rPr>
      </w:pPr>
      <w:r w:rsidRPr="00777421">
        <w:rPr>
          <w:snapToGrid w:val="0"/>
          <w:kern w:val="28"/>
          <w:sz w:val="22"/>
        </w:rPr>
        <w:t>In its March 1, 2013</w:t>
      </w:r>
      <w:r w:rsidR="00B653CF" w:rsidRPr="00777421">
        <w:rPr>
          <w:snapToGrid w:val="0"/>
          <w:kern w:val="28"/>
          <w:sz w:val="22"/>
        </w:rPr>
        <w:t xml:space="preserve"> </w:t>
      </w:r>
      <w:r w:rsidRPr="00777421">
        <w:rPr>
          <w:snapToGrid w:val="0"/>
          <w:kern w:val="28"/>
          <w:sz w:val="22"/>
        </w:rPr>
        <w:t>filing responding to PUC staff questions, BF</w:t>
      </w:r>
      <w:r w:rsidR="00B653CF" w:rsidRPr="00777421">
        <w:rPr>
          <w:snapToGrid w:val="0"/>
          <w:kern w:val="28"/>
          <w:sz w:val="22"/>
        </w:rPr>
        <w:t xml:space="preserve"> states that, as of June 7, 2012, </w:t>
      </w:r>
      <w:r w:rsidR="00C735C6" w:rsidRPr="00777421">
        <w:rPr>
          <w:snapToGrid w:val="0"/>
          <w:kern w:val="28"/>
          <w:sz w:val="22"/>
        </w:rPr>
        <w:t>BV6</w:t>
      </w:r>
      <w:r w:rsidR="00B653CF" w:rsidRPr="00777421">
        <w:rPr>
          <w:snapToGrid w:val="0"/>
          <w:kern w:val="28"/>
          <w:sz w:val="22"/>
        </w:rPr>
        <w:t xml:space="preserve"> “leased capacity (‘dark fiber’) on the fiber optic network owned and operated by TVMax Houston, LP,” and that </w:t>
      </w:r>
      <w:r w:rsidRPr="00777421">
        <w:rPr>
          <w:snapToGrid w:val="0"/>
          <w:kern w:val="28"/>
          <w:sz w:val="22"/>
        </w:rPr>
        <w:t>BF</w:t>
      </w:r>
      <w:r w:rsidR="00B653CF" w:rsidRPr="00777421">
        <w:rPr>
          <w:snapToGrid w:val="0"/>
          <w:kern w:val="28"/>
          <w:sz w:val="22"/>
        </w:rPr>
        <w:t xml:space="preserve"> subsequently acquired the fiber network from TV Max on July 1, 2012.</w:t>
      </w:r>
      <w:r w:rsidR="008B3993" w:rsidRPr="00777421">
        <w:rPr>
          <w:snapToGrid w:val="0"/>
          <w:kern w:val="28"/>
          <w:sz w:val="22"/>
        </w:rPr>
        <w:t xml:space="preserve"> </w:t>
      </w:r>
      <w:r w:rsidR="00B653CF" w:rsidRPr="00777421">
        <w:rPr>
          <w:snapToGrid w:val="0"/>
          <w:kern w:val="28"/>
          <w:sz w:val="22"/>
        </w:rPr>
        <w:t xml:space="preserve">As a result of these transactions, </w:t>
      </w:r>
      <w:r w:rsidR="009B23B3" w:rsidRPr="00777421">
        <w:rPr>
          <w:snapToGrid w:val="0"/>
          <w:kern w:val="28"/>
          <w:sz w:val="22"/>
        </w:rPr>
        <w:t>BF</w:t>
      </w:r>
      <w:r w:rsidR="00B653CF" w:rsidRPr="00777421">
        <w:rPr>
          <w:snapToGrid w:val="0"/>
          <w:kern w:val="28"/>
          <w:sz w:val="22"/>
        </w:rPr>
        <w:t xml:space="preserve"> asserts, “TVMax continues to hold the City of Houston municipal cable franchise,</w:t>
      </w:r>
      <w:r w:rsidR="009B23B3" w:rsidRPr="00777421">
        <w:rPr>
          <w:snapToGrid w:val="0"/>
          <w:kern w:val="28"/>
          <w:sz w:val="22"/>
        </w:rPr>
        <w:t>”</w:t>
      </w:r>
      <w:r w:rsidR="00B653CF" w:rsidRPr="00777421">
        <w:rPr>
          <w:snapToGrid w:val="0"/>
          <w:kern w:val="28"/>
          <w:sz w:val="22"/>
        </w:rPr>
        <w:t xml:space="preserve"> but </w:t>
      </w:r>
      <w:r w:rsidR="009B23B3" w:rsidRPr="00777421">
        <w:rPr>
          <w:snapToGrid w:val="0"/>
          <w:kern w:val="28"/>
          <w:sz w:val="22"/>
        </w:rPr>
        <w:t>“</w:t>
      </w:r>
      <w:r w:rsidR="00B653CF" w:rsidRPr="00777421">
        <w:rPr>
          <w:snapToGrid w:val="0"/>
          <w:kern w:val="28"/>
          <w:sz w:val="22"/>
        </w:rPr>
        <w:t>BV 6 is a private cable operator</w:t>
      </w:r>
      <w:r w:rsidR="009B23B3" w:rsidRPr="00777421">
        <w:rPr>
          <w:snapToGrid w:val="0"/>
          <w:kern w:val="28"/>
          <w:sz w:val="22"/>
        </w:rPr>
        <w:t>”</w:t>
      </w:r>
      <w:r w:rsidR="00B653CF" w:rsidRPr="00777421">
        <w:rPr>
          <w:snapToGrid w:val="0"/>
          <w:kern w:val="28"/>
          <w:sz w:val="22"/>
        </w:rPr>
        <w:t xml:space="preserve"> that </w:t>
      </w:r>
      <w:r w:rsidR="009B23B3" w:rsidRPr="00777421">
        <w:rPr>
          <w:snapToGrid w:val="0"/>
          <w:kern w:val="28"/>
          <w:sz w:val="22"/>
        </w:rPr>
        <w:t>“</w:t>
      </w:r>
      <w:r w:rsidR="00B653CF" w:rsidRPr="00777421">
        <w:rPr>
          <w:snapToGrid w:val="0"/>
          <w:kern w:val="28"/>
          <w:sz w:val="22"/>
        </w:rPr>
        <w:t>leases dark fiber that is owned by [</w:t>
      </w:r>
      <w:r w:rsidR="009B23B3" w:rsidRPr="00777421">
        <w:rPr>
          <w:snapToGrid w:val="0"/>
          <w:kern w:val="28"/>
          <w:sz w:val="22"/>
        </w:rPr>
        <w:t>BF</w:t>
      </w:r>
      <w:r w:rsidR="00B653CF" w:rsidRPr="00777421">
        <w:rPr>
          <w:snapToGrid w:val="0"/>
          <w:kern w:val="28"/>
          <w:sz w:val="22"/>
        </w:rPr>
        <w:t>] and used for the transmission of video programming signals to subscribing residents of multi-dwelling buildings served by BV 6.</w:t>
      </w:r>
      <w:r w:rsidR="009B23B3" w:rsidRPr="00777421">
        <w:rPr>
          <w:snapToGrid w:val="0"/>
          <w:kern w:val="28"/>
          <w:sz w:val="22"/>
        </w:rPr>
        <w:t>”</w:t>
      </w:r>
      <w:r w:rsidR="00B653CF" w:rsidRPr="00777421">
        <w:rPr>
          <w:snapToGrid w:val="0"/>
          <w:kern w:val="28"/>
          <w:sz w:val="22"/>
        </w:rPr>
        <w:t xml:space="preserve">  </w:t>
      </w:r>
      <w:r w:rsidR="00473B07" w:rsidRPr="00777421">
        <w:rPr>
          <w:snapToGrid w:val="0"/>
          <w:kern w:val="28"/>
          <w:sz w:val="22"/>
        </w:rPr>
        <w:t>TV Max CEO Tom Balun is noted as the “sponsor” of each such response.</w:t>
      </w:r>
      <w:r w:rsidR="00181CCF" w:rsidRPr="00777421">
        <w:rPr>
          <w:rStyle w:val="FootnoteReference"/>
        </w:rPr>
        <w:footnoteReference w:id="33"/>
      </w:r>
    </w:p>
    <w:p w:rsidR="00B653CF" w:rsidRPr="00777421" w:rsidRDefault="008B3993" w:rsidP="00F3344A">
      <w:pPr>
        <w:pStyle w:val="ParaNum"/>
      </w:pPr>
      <w:r w:rsidRPr="00777421">
        <w:t>T</w:t>
      </w:r>
      <w:r w:rsidR="007D680D" w:rsidRPr="00777421">
        <w:t>he public record and the prior statements from TV Max</w:t>
      </w:r>
      <w:r w:rsidRPr="00777421">
        <w:t xml:space="preserve"> </w:t>
      </w:r>
      <w:r w:rsidR="00F3344A" w:rsidRPr="00777421">
        <w:t xml:space="preserve">suggest that </w:t>
      </w:r>
      <w:r w:rsidRPr="00777421">
        <w:t xml:space="preserve">TV Max’s April 5, 2013 representation to the </w:t>
      </w:r>
      <w:r w:rsidR="00CE7DFF" w:rsidRPr="00777421">
        <w:t>Bureau that, “since June 7, 2012</w:t>
      </w:r>
      <w:r w:rsidRPr="00777421">
        <w:t>, the [S]tations have not been carried on any fiber ring owned or controlled by TV Max</w:t>
      </w:r>
      <w:r w:rsidR="00CE7DFF" w:rsidRPr="00777421">
        <w:t>”</w:t>
      </w:r>
      <w:r w:rsidR="00F3344A" w:rsidRPr="00777421">
        <w:t xml:space="preserve"> was lacking in candor</w:t>
      </w:r>
      <w:r w:rsidRPr="00777421">
        <w:t xml:space="preserve">.  In light of the Licensees’ letters to TV Max requesting that it cease carriage of their stations with the expiration of their retransmission consent agreements, the Licensees’ complaints before the Commission, and the Bureau’s ongoing investigation, </w:t>
      </w:r>
      <w:r w:rsidR="00F3344A" w:rsidRPr="00777421">
        <w:t xml:space="preserve">it appears that </w:t>
      </w:r>
      <w:r w:rsidRPr="00777421">
        <w:t>TV Max simply assigned the cable operation and fiber</w:t>
      </w:r>
      <w:r w:rsidR="005D7930" w:rsidRPr="00777421">
        <w:t xml:space="preserve"> </w:t>
      </w:r>
      <w:r w:rsidRPr="00777421">
        <w:t>optic network to two related companies</w:t>
      </w:r>
      <w:r w:rsidR="00121334" w:rsidRPr="00777421">
        <w:t xml:space="preserve"> in an effort</w:t>
      </w:r>
      <w:r w:rsidRPr="00777421">
        <w:t xml:space="preserve"> to </w:t>
      </w:r>
      <w:r w:rsidR="00121334" w:rsidRPr="00777421">
        <w:t xml:space="preserve">evade responsibility for its </w:t>
      </w:r>
      <w:r w:rsidR="00963867" w:rsidRPr="00777421">
        <w:t>ongoing</w:t>
      </w:r>
      <w:r w:rsidR="00121334" w:rsidRPr="00777421">
        <w:t xml:space="preserve"> violations.</w:t>
      </w:r>
      <w:r w:rsidRPr="00777421">
        <w:t xml:space="preserve"> </w:t>
      </w:r>
      <w:r w:rsidR="00B653CF" w:rsidRPr="00777421">
        <w:t xml:space="preserve">To the extent that TV Max seeks to avoid </w:t>
      </w:r>
      <w:r w:rsidR="00121334" w:rsidRPr="00777421">
        <w:t xml:space="preserve">the consequences of its illegal operation </w:t>
      </w:r>
      <w:r w:rsidR="00B653CF" w:rsidRPr="00777421">
        <w:t>through the use of various related and commonly controlled corporate entities, the Commission and the courts have long stated that, “[w]here the statutory purpose could … be easily frustrated through the use of separate … entities, the Commission is entitled to look through corporate form and treat separate entities as one and the same for purposes of regulation.  We have treated affiliated entities collectively where necessary to ensure compliance with the Communications Act and Commission policies and regulations.”</w:t>
      </w:r>
      <w:r w:rsidR="00A524FA">
        <w:rPr>
          <w:rStyle w:val="FootnoteReference"/>
        </w:rPr>
        <w:footnoteReference w:id="34"/>
      </w:r>
      <w:r w:rsidR="00B653CF" w:rsidRPr="00777421">
        <w:t xml:space="preserve">  As a result of its evasion, the record is unclear as to the precise relationship of these entities and their </w:t>
      </w:r>
      <w:r w:rsidR="004E4AF3" w:rsidRPr="00777421">
        <w:t xml:space="preserve">respective </w:t>
      </w:r>
      <w:r w:rsidR="00B653CF" w:rsidRPr="00777421">
        <w:t>role</w:t>
      </w:r>
      <w:r w:rsidR="004E4AF3" w:rsidRPr="00777421">
        <w:t>s</w:t>
      </w:r>
      <w:r w:rsidR="00B653CF" w:rsidRPr="00777421">
        <w:t xml:space="preserve"> in TV Max’s </w:t>
      </w:r>
      <w:r w:rsidR="00917736" w:rsidRPr="00777421">
        <w:t xml:space="preserve">ongoing </w:t>
      </w:r>
      <w:r w:rsidR="00B653CF" w:rsidRPr="00777421">
        <w:t xml:space="preserve">misconduct. However, </w:t>
      </w:r>
      <w:r w:rsidR="00C735C6" w:rsidRPr="00777421">
        <w:t xml:space="preserve">what </w:t>
      </w:r>
      <w:r w:rsidR="00963867" w:rsidRPr="00777421">
        <w:t xml:space="preserve">the record </w:t>
      </w:r>
      <w:r w:rsidR="008D22BE" w:rsidRPr="00777421">
        <w:t>suggests</w:t>
      </w:r>
      <w:r w:rsidR="001C1F32" w:rsidRPr="00777421">
        <w:t xml:space="preserve"> </w:t>
      </w:r>
      <w:r w:rsidR="00C735C6" w:rsidRPr="00777421">
        <w:t xml:space="preserve">is </w:t>
      </w:r>
      <w:r w:rsidR="00B653CF" w:rsidRPr="00777421">
        <w:t>that their functions are controlled by TV Max</w:t>
      </w:r>
      <w:r w:rsidR="00F3344A" w:rsidRPr="00777421">
        <w:t>, Inc.</w:t>
      </w:r>
      <w:r w:rsidR="00B653CF" w:rsidRPr="00777421">
        <w:t xml:space="preserve"> and its principals</w:t>
      </w:r>
      <w:r w:rsidR="004E4AF3" w:rsidRPr="00777421">
        <w:t>, including M</w:t>
      </w:r>
      <w:r w:rsidR="0013028D" w:rsidRPr="00777421">
        <w:t>essrs</w:t>
      </w:r>
      <w:r w:rsidR="00E469A7" w:rsidRPr="00777421">
        <w:t>. Balun</w:t>
      </w:r>
      <w:r w:rsidR="0013028D" w:rsidRPr="00777421">
        <w:t>, Meltzer and Gomez</w:t>
      </w:r>
      <w:r w:rsidR="00B653CF" w:rsidRPr="00777421">
        <w:t xml:space="preserve">.  </w:t>
      </w:r>
      <w:r w:rsidR="006905D2" w:rsidRPr="00777421">
        <w:t>We</w:t>
      </w:r>
      <w:r w:rsidR="006139EB" w:rsidRPr="00777421">
        <w:t xml:space="preserve"> reject</w:t>
      </w:r>
      <w:r w:rsidR="004E4AF3" w:rsidRPr="00777421">
        <w:t xml:space="preserve"> TV Max’s </w:t>
      </w:r>
      <w:r w:rsidR="00C94A56" w:rsidRPr="00777421">
        <w:t>apparent attempt to evade responsibility</w:t>
      </w:r>
      <w:r w:rsidR="00222E26" w:rsidRPr="00777421">
        <w:t xml:space="preserve"> before the Commission</w:t>
      </w:r>
      <w:r w:rsidR="00B653CF" w:rsidRPr="00777421">
        <w:t>,</w:t>
      </w:r>
      <w:r w:rsidR="00B653CF" w:rsidRPr="00777421">
        <w:rPr>
          <w:rStyle w:val="FootnoteReference"/>
          <w:szCs w:val="22"/>
        </w:rPr>
        <w:t xml:space="preserve"> </w:t>
      </w:r>
      <w:r w:rsidR="006139EB" w:rsidRPr="00777421">
        <w:rPr>
          <w:szCs w:val="22"/>
        </w:rPr>
        <w:t>and</w:t>
      </w:r>
      <w:r w:rsidR="00B653CF" w:rsidRPr="00777421">
        <w:t xml:space="preserve"> find that, for all purposes relevant here, the record supports treating these entities</w:t>
      </w:r>
      <w:r w:rsidR="00533839" w:rsidRPr="00777421">
        <w:t xml:space="preserve"> </w:t>
      </w:r>
      <w:r w:rsidR="0013028D" w:rsidRPr="00777421">
        <w:t xml:space="preserve">and their controlling parties </w:t>
      </w:r>
      <w:r w:rsidR="00B653CF" w:rsidRPr="00777421">
        <w:t>as one and the same.</w:t>
      </w:r>
      <w:r w:rsidR="00653D22" w:rsidRPr="00777421">
        <w:rPr>
          <w:rStyle w:val="FootnoteReference"/>
        </w:rPr>
        <w:footnoteReference w:id="35"/>
      </w:r>
      <w:r w:rsidR="00653D22" w:rsidRPr="00777421">
        <w:t xml:space="preserve"> </w:t>
      </w:r>
    </w:p>
    <w:p w:rsidR="00D70DEB" w:rsidRPr="00777421" w:rsidRDefault="00D70DEB" w:rsidP="00D70DEB">
      <w:pPr>
        <w:pStyle w:val="ParaNum"/>
        <w:rPr>
          <w:szCs w:val="22"/>
        </w:rPr>
      </w:pPr>
      <w:r w:rsidRPr="00777421">
        <w:rPr>
          <w:szCs w:val="22"/>
        </w:rPr>
        <w:t>Section 503(b)(1) of the Act provides that any person who is determined by the Commission to have willfully or repeatedly failed to comply with any provision of the Act or any rule, regulation, or order issued by the Commission shall be liable for a forfeiture penalty.</w:t>
      </w:r>
      <w:r w:rsidRPr="00777421">
        <w:rPr>
          <w:rStyle w:val="FootnoteReference"/>
          <w:szCs w:val="22"/>
        </w:rPr>
        <w:footnoteReference w:id="36"/>
      </w:r>
      <w:r w:rsidRPr="00777421">
        <w:rPr>
          <w:szCs w:val="22"/>
        </w:rPr>
        <w:t xml:space="preserve">  Section 312(f)(1) of the Act defines willful as “the conscious and deliberate commission or omission of [any] act, irrespective of any intent to violate” the law.</w:t>
      </w:r>
      <w:r w:rsidRPr="00777421">
        <w:rPr>
          <w:rStyle w:val="FootnoteReference"/>
          <w:szCs w:val="22"/>
        </w:rPr>
        <w:footnoteReference w:id="37"/>
      </w:r>
      <w:r w:rsidRPr="00777421">
        <w:rPr>
          <w:szCs w:val="22"/>
        </w:rPr>
        <w:t xml:space="preserve">  The legislative history to Section 312(f)(1) of the Act clarifies that this definition of willful applies to both Sections 312 and 503(b) of the Act,</w:t>
      </w:r>
      <w:r w:rsidRPr="00777421">
        <w:rPr>
          <w:rStyle w:val="FootnoteReference"/>
          <w:szCs w:val="22"/>
        </w:rPr>
        <w:footnoteReference w:id="38"/>
      </w:r>
      <w:r w:rsidRPr="00777421">
        <w:rPr>
          <w:szCs w:val="22"/>
        </w:rPr>
        <w:t xml:space="preserve"> and the Commission has so interpreted the term in the Section 503(b) context.</w:t>
      </w:r>
      <w:r w:rsidRPr="00777421">
        <w:rPr>
          <w:rStyle w:val="FootnoteReference"/>
          <w:szCs w:val="22"/>
        </w:rPr>
        <w:footnoteReference w:id="39"/>
      </w:r>
      <w:r w:rsidRPr="00777421">
        <w:rPr>
          <w:szCs w:val="22"/>
        </w:rPr>
        <w:t xml:space="preserve">  The Commission may also assess a forfeiture for violations that are merely repeated and not willful.</w:t>
      </w:r>
      <w:r w:rsidRPr="00777421">
        <w:rPr>
          <w:vertAlign w:val="superscript"/>
        </w:rPr>
        <w:footnoteReference w:id="40"/>
      </w:r>
      <w:r w:rsidRPr="00777421">
        <w:rPr>
          <w:szCs w:val="22"/>
        </w:rPr>
        <w:t xml:space="preserve">  “Repeated” means that the act was committed or omitted more than once or lasts more than one day.</w:t>
      </w:r>
      <w:r w:rsidRPr="00777421">
        <w:rPr>
          <w:vertAlign w:val="superscript"/>
        </w:rPr>
        <w:footnoteReference w:id="41"/>
      </w:r>
      <w:r w:rsidRPr="00777421">
        <w:rPr>
          <w:szCs w:val="22"/>
        </w:rPr>
        <w:t xml:space="preserve">  In order to impose a forfeiture, the Commission must issue a notice of apparent liability identifying the alleged violation and proposing a forfeiture amount, and the person against whom the notice has been issued must have an opportunity to show, in writing, why no such penalty should be imposed or why it should be reduced and must include a detailed factual statement and pertinent documents and affidavits as support.</w:t>
      </w:r>
      <w:r w:rsidRPr="00777421">
        <w:rPr>
          <w:rStyle w:val="FootnoteReference"/>
          <w:szCs w:val="22"/>
        </w:rPr>
        <w:footnoteReference w:id="42"/>
      </w:r>
      <w:r w:rsidRPr="00777421">
        <w:rPr>
          <w:szCs w:val="22"/>
        </w:rPr>
        <w:t xml:space="preserve">  The Commission will then adjust the proposed forfeiture as necessary or appropriate based on the response and issue a final forfeiture if it finds, by a preponderance of the evidence, that the person has willfully or repeatedly violated the Act or a Commission rule.</w:t>
      </w:r>
      <w:r w:rsidRPr="00777421">
        <w:rPr>
          <w:rStyle w:val="FootnoteReference"/>
          <w:szCs w:val="22"/>
        </w:rPr>
        <w:footnoteReference w:id="43"/>
      </w:r>
      <w:r w:rsidRPr="00777421">
        <w:rPr>
          <w:szCs w:val="22"/>
        </w:rPr>
        <w:t xml:space="preserve"> </w:t>
      </w:r>
    </w:p>
    <w:p w:rsidR="00D70DEB" w:rsidRPr="00777421" w:rsidRDefault="00D70DEB" w:rsidP="00D70DEB">
      <w:pPr>
        <w:pStyle w:val="ParaNum"/>
      </w:pPr>
      <w:r w:rsidRPr="00777421">
        <w:t>Section 325 of the Act requires cable systems and other MVPDs to obtain “the express authority of the originating station” to retransmit a broadcasting station</w:t>
      </w:r>
      <w:r w:rsidR="009B32E6" w:rsidRPr="00777421">
        <w:t>’</w:t>
      </w:r>
      <w:r w:rsidRPr="00777421">
        <w:t>s signal.</w:t>
      </w:r>
      <w:r w:rsidRPr="00777421">
        <w:rPr>
          <w:rStyle w:val="FootnoteReference"/>
          <w:szCs w:val="22"/>
        </w:rPr>
        <w:footnoteReference w:id="44"/>
      </w:r>
      <w:r w:rsidRPr="00777421">
        <w:t xml:space="preserve">  The Commission codified this requirement in Section 76.64 of the rules, which further requires retransmission consent agreements to be in writing and to “specify the extent of the consent being granted.</w:t>
      </w:r>
      <w:r w:rsidRPr="00777421">
        <w:rPr>
          <w:rStyle w:val="FootnoteReference"/>
          <w:szCs w:val="22"/>
        </w:rPr>
        <w:footnoteReference w:id="45"/>
      </w:r>
      <w:r w:rsidRPr="00777421">
        <w:t xml:space="preserve">  The Commission has stated that “properly documented retransmission of a television signal without consent would be grounds for imposition of a forfeiture.”</w:t>
      </w:r>
      <w:r w:rsidRPr="00777421">
        <w:rPr>
          <w:rStyle w:val="FootnoteReference"/>
          <w:szCs w:val="22"/>
        </w:rPr>
        <w:footnoteReference w:id="46"/>
      </w:r>
    </w:p>
    <w:p w:rsidR="00D70DEB" w:rsidRPr="00777421" w:rsidRDefault="00D70DEB" w:rsidP="00D70DEB">
      <w:pPr>
        <w:pStyle w:val="ParaNum"/>
      </w:pPr>
      <w:r w:rsidRPr="00777421">
        <w:t>Section 76.64(e) provides that the retransmission consent requirements do not apply “to broadcast signals received by master antenna television [MATV] facilities.”</w:t>
      </w:r>
      <w:r w:rsidRPr="00777421">
        <w:rPr>
          <w:rStyle w:val="FootnoteReference"/>
        </w:rPr>
        <w:footnoteReference w:id="47"/>
      </w:r>
      <w:r w:rsidRPr="00777421">
        <w:t xml:space="preserve">  Specifically, the rule states:</w:t>
      </w:r>
    </w:p>
    <w:p w:rsidR="00D70DEB" w:rsidRPr="00777421" w:rsidRDefault="00D70DEB" w:rsidP="00D70DEB">
      <w:pPr>
        <w:pStyle w:val="ParaNum"/>
        <w:numPr>
          <w:ilvl w:val="0"/>
          <w:numId w:val="0"/>
        </w:numPr>
        <w:ind w:left="1440" w:right="1440"/>
      </w:pPr>
      <w:r w:rsidRPr="00777421">
        <w:t>The retransmission consent requirements of this section are not applicable to broadcast signals received by master antenna television facilities or by direct over-the-air reception in conjunction with the provision of service by a multichannel video program distributor provided that the multichannel video program distributor makes reception of such signals available without charge and at the subscribers option and provided further that the antenna facility used for the reception of such signals is either owned by the subscriber or the building owner; or under the control and available for purchase by the subscriber or the building owner upon termination of service.</w:t>
      </w:r>
      <w:r w:rsidRPr="00777421">
        <w:rPr>
          <w:rStyle w:val="FootnoteReference"/>
        </w:rPr>
        <w:footnoteReference w:id="48"/>
      </w:r>
    </w:p>
    <w:p w:rsidR="00D70DEB" w:rsidRPr="00777421" w:rsidRDefault="00D70DEB" w:rsidP="00D70DEB">
      <w:pPr>
        <w:pStyle w:val="ParaNum"/>
        <w:numPr>
          <w:ilvl w:val="0"/>
          <w:numId w:val="0"/>
        </w:numPr>
      </w:pPr>
      <w:r w:rsidRPr="00777421">
        <w:t>In explaining the basis for the MATV exception, the Commission used the analogy “of an individual purchasing and installing a roof top antenna to receive broadcast signals.”</w:t>
      </w:r>
      <w:r w:rsidRPr="00777421">
        <w:rPr>
          <w:rStyle w:val="FootnoteReference"/>
        </w:rPr>
        <w:footnoteReference w:id="49"/>
      </w:r>
    </w:p>
    <w:p w:rsidR="00377A1D" w:rsidRPr="00777421" w:rsidRDefault="00377A1D" w:rsidP="001E52A9">
      <w:pPr>
        <w:pStyle w:val="Heading1"/>
        <w:numPr>
          <w:ilvl w:val="0"/>
          <w:numId w:val="3"/>
        </w:numPr>
      </w:pPr>
      <w:r w:rsidRPr="00777421">
        <w:t>DISCUSSION</w:t>
      </w:r>
    </w:p>
    <w:p w:rsidR="006F5639" w:rsidRPr="00777421" w:rsidRDefault="006F5639" w:rsidP="0024068C">
      <w:pPr>
        <w:pStyle w:val="Heading2"/>
      </w:pPr>
      <w:r w:rsidRPr="00777421">
        <w:t>Retransmission of Broadcast Signals Without Consent</w:t>
      </w:r>
    </w:p>
    <w:p w:rsidR="006F0B88" w:rsidRPr="00777421" w:rsidRDefault="006E2BF8" w:rsidP="006E2BF8">
      <w:pPr>
        <w:pStyle w:val="ParaNum"/>
      </w:pPr>
      <w:r w:rsidRPr="00777421">
        <w:t xml:space="preserve">Based upon the evidence before us, and in view of the applicable law and Commission precedent, we </w:t>
      </w:r>
      <w:r w:rsidR="00377A1D" w:rsidRPr="00777421">
        <w:t xml:space="preserve">conclude that </w:t>
      </w:r>
      <w:r w:rsidR="000C137D" w:rsidRPr="00777421">
        <w:t>TV Max</w:t>
      </w:r>
      <w:r w:rsidR="00377A1D" w:rsidRPr="00777421">
        <w:t xml:space="preserve"> </w:t>
      </w:r>
      <w:r w:rsidR="00492677" w:rsidRPr="00777421">
        <w:t>has willfully and repeatedly violated</w:t>
      </w:r>
      <w:r w:rsidRPr="00777421">
        <w:t xml:space="preserve"> Section 325 of the Act and Section 76.64 of the Commission</w:t>
      </w:r>
      <w:r w:rsidR="009B32E6" w:rsidRPr="00777421">
        <w:t>’</w:t>
      </w:r>
      <w:r w:rsidRPr="00777421">
        <w:t>s rules</w:t>
      </w:r>
      <w:r w:rsidR="00492677" w:rsidRPr="00777421">
        <w:t xml:space="preserve">, and </w:t>
      </w:r>
      <w:r w:rsidR="00E22C8A" w:rsidRPr="00777421">
        <w:t>persists in its violation of</w:t>
      </w:r>
      <w:r w:rsidRPr="00777421">
        <w:t xml:space="preserve"> these provisions</w:t>
      </w:r>
      <w:r w:rsidR="00492677" w:rsidRPr="00777421">
        <w:t xml:space="preserve">, by </w:t>
      </w:r>
      <w:r w:rsidR="00377A1D" w:rsidRPr="00777421">
        <w:t>retransmi</w:t>
      </w:r>
      <w:r w:rsidR="00492677" w:rsidRPr="00777421">
        <w:t>tting</w:t>
      </w:r>
      <w:r w:rsidR="00377A1D" w:rsidRPr="00777421">
        <w:t xml:space="preserve"> </w:t>
      </w:r>
      <w:r w:rsidR="00DD6AC2" w:rsidRPr="00777421">
        <w:t>the Stations</w:t>
      </w:r>
      <w:r w:rsidR="009B32E6" w:rsidRPr="00777421">
        <w:t>’</w:t>
      </w:r>
      <w:r w:rsidR="00377A1D" w:rsidRPr="00777421">
        <w:t xml:space="preserve"> signal</w:t>
      </w:r>
      <w:r w:rsidR="00DD6AC2" w:rsidRPr="00777421">
        <w:t>s</w:t>
      </w:r>
      <w:r w:rsidR="00377A1D" w:rsidRPr="00777421">
        <w:t xml:space="preserve"> without the express authority of the originating station</w:t>
      </w:r>
      <w:r w:rsidR="00DC3C66" w:rsidRPr="00777421">
        <w:t>s</w:t>
      </w:r>
      <w:r w:rsidR="00377A1D" w:rsidRPr="00777421">
        <w:t xml:space="preserve">.  </w:t>
      </w:r>
      <w:r w:rsidR="006670E6" w:rsidRPr="00777421">
        <w:t>A</w:t>
      </w:r>
      <w:r w:rsidR="006F0B88" w:rsidRPr="00777421">
        <w:t xml:space="preserve">s </w:t>
      </w:r>
      <w:r w:rsidR="00DA29AF" w:rsidRPr="00777421">
        <w:t>discussed</w:t>
      </w:r>
      <w:r w:rsidR="006F0B88" w:rsidRPr="00777421">
        <w:t xml:space="preserve"> below, the violations are based on </w:t>
      </w:r>
      <w:r w:rsidR="00FA087E" w:rsidRPr="00777421">
        <w:t xml:space="preserve">(1) </w:t>
      </w:r>
      <w:r w:rsidR="000C137D" w:rsidRPr="00777421">
        <w:t>TV Max</w:t>
      </w:r>
      <w:r w:rsidR="009B32E6" w:rsidRPr="00777421">
        <w:t>’</w:t>
      </w:r>
      <w:r w:rsidR="00FA087E" w:rsidRPr="00777421">
        <w:t xml:space="preserve">s admitted carriage of the Stations from the time their retransmission consent agreements expired </w:t>
      </w:r>
      <w:r w:rsidR="00596061" w:rsidRPr="00777421">
        <w:t xml:space="preserve">through </w:t>
      </w:r>
      <w:r w:rsidR="00FA087E" w:rsidRPr="00777421">
        <w:t xml:space="preserve">at least July </w:t>
      </w:r>
      <w:r w:rsidR="00596061" w:rsidRPr="00777421">
        <w:t>25</w:t>
      </w:r>
      <w:r w:rsidR="00FA087E" w:rsidRPr="00777421">
        <w:t>, 2012 without the Stations</w:t>
      </w:r>
      <w:r w:rsidR="009B32E6" w:rsidRPr="00777421">
        <w:t>’</w:t>
      </w:r>
      <w:r w:rsidR="00FA087E" w:rsidRPr="00777421">
        <w:t xml:space="preserve"> consent and without a master antenna television (MATV) system in place in all the buildings it serves; and (2) </w:t>
      </w:r>
      <w:r w:rsidR="000C137D" w:rsidRPr="00777421">
        <w:t>TV Max</w:t>
      </w:r>
      <w:r w:rsidR="009B32E6" w:rsidRPr="00777421">
        <w:t>’</w:t>
      </w:r>
      <w:r w:rsidR="00FA087E" w:rsidRPr="00777421">
        <w:t xml:space="preserve">s ongoing carriage of the </w:t>
      </w:r>
      <w:r w:rsidR="00374E13" w:rsidRPr="00777421">
        <w:t>S</w:t>
      </w:r>
      <w:r w:rsidR="00FA087E" w:rsidRPr="00777421">
        <w:t xml:space="preserve">tations without </w:t>
      </w:r>
      <w:r w:rsidR="00501C4B" w:rsidRPr="00777421">
        <w:t xml:space="preserve">their </w:t>
      </w:r>
      <w:r w:rsidR="00FA087E" w:rsidRPr="00777421">
        <w:t xml:space="preserve">consent since July 26, 2012 </w:t>
      </w:r>
      <w:r w:rsidR="00374E13" w:rsidRPr="00777421">
        <w:t>because it was not exclusively using its MATV facilities to retransmit the broadcast signals to its subscribers.</w:t>
      </w:r>
    </w:p>
    <w:p w:rsidR="00657354" w:rsidRPr="00777421" w:rsidRDefault="000C137D" w:rsidP="003F4DA5">
      <w:pPr>
        <w:pStyle w:val="ParaNum"/>
      </w:pPr>
      <w:r w:rsidRPr="00777421">
        <w:t>TV Max</w:t>
      </w:r>
      <w:r w:rsidR="006F0B88" w:rsidRPr="00777421">
        <w:t xml:space="preserve"> concedes </w:t>
      </w:r>
      <w:r w:rsidR="00A036A6" w:rsidRPr="00777421">
        <w:t xml:space="preserve">that </w:t>
      </w:r>
      <w:r w:rsidR="006F0B88" w:rsidRPr="00777421">
        <w:t xml:space="preserve">it violated the retransmission consent rules for </w:t>
      </w:r>
      <w:r w:rsidR="00A036A6" w:rsidRPr="00777421">
        <w:t xml:space="preserve">the </w:t>
      </w:r>
      <w:r w:rsidR="006F0B88" w:rsidRPr="00777421">
        <w:t>almost seven</w:t>
      </w:r>
      <w:r w:rsidR="006805EC" w:rsidRPr="00777421">
        <w:t>-</w:t>
      </w:r>
      <w:r w:rsidR="006F0B88" w:rsidRPr="00777421">
        <w:t>month</w:t>
      </w:r>
      <w:r w:rsidR="00A036A6" w:rsidRPr="00777421">
        <w:t xml:space="preserve"> time period </w:t>
      </w:r>
      <w:r w:rsidR="00596061" w:rsidRPr="00777421">
        <w:t xml:space="preserve">from </w:t>
      </w:r>
      <w:r w:rsidR="00A036A6" w:rsidRPr="00777421">
        <w:t xml:space="preserve">January 1, 2012 to July </w:t>
      </w:r>
      <w:r w:rsidR="00527E26" w:rsidRPr="00777421">
        <w:t>25</w:t>
      </w:r>
      <w:r w:rsidR="00A036A6" w:rsidRPr="00777421">
        <w:t>, 2012 –</w:t>
      </w:r>
      <w:r w:rsidR="006F0B88" w:rsidRPr="00777421">
        <w:t xml:space="preserve"> the time period that it </w:t>
      </w:r>
      <w:r w:rsidR="00A036A6" w:rsidRPr="00777421">
        <w:t xml:space="preserve">did not have </w:t>
      </w:r>
      <w:r w:rsidR="006F0B88" w:rsidRPr="00777421">
        <w:t xml:space="preserve">MATV </w:t>
      </w:r>
      <w:r w:rsidR="00A036A6" w:rsidRPr="00777421">
        <w:t>systems in place for</w:t>
      </w:r>
      <w:r w:rsidR="006F0B88" w:rsidRPr="00777421">
        <w:t xml:space="preserve"> all of its MDU buildings</w:t>
      </w:r>
      <w:r w:rsidR="00A036A6" w:rsidRPr="00777421">
        <w:t xml:space="preserve"> </w:t>
      </w:r>
      <w:r w:rsidR="0078689A" w:rsidRPr="00777421">
        <w:t>and retransmitted the Stations</w:t>
      </w:r>
      <w:r w:rsidR="009B32E6" w:rsidRPr="00777421">
        <w:t>’</w:t>
      </w:r>
      <w:r w:rsidR="0078689A" w:rsidRPr="00777421">
        <w:t xml:space="preserve"> signals without the broadcasters</w:t>
      </w:r>
      <w:r w:rsidR="009B32E6" w:rsidRPr="00777421">
        <w:t>’</w:t>
      </w:r>
      <w:r w:rsidR="0078689A" w:rsidRPr="00777421">
        <w:t xml:space="preserve"> consent</w:t>
      </w:r>
      <w:r w:rsidR="00CE7DFF" w:rsidRPr="00777421">
        <w:t>.</w:t>
      </w:r>
      <w:r w:rsidR="006F0B88" w:rsidRPr="00777421">
        <w:rPr>
          <w:rStyle w:val="FootnoteReference"/>
        </w:rPr>
        <w:footnoteReference w:id="50"/>
      </w:r>
      <w:r w:rsidR="006F0B88" w:rsidRPr="00777421">
        <w:t xml:space="preserve">  </w:t>
      </w:r>
      <w:r w:rsidRPr="00777421">
        <w:t>TV Max</w:t>
      </w:r>
      <w:r w:rsidR="00CF49E7" w:rsidRPr="00777421">
        <w:t xml:space="preserve"> continued to retransmit the signals while it installed MATV systems on its MDU buildings and did not claim to have completed such installation on all buildings until July 26, 2012.</w:t>
      </w:r>
      <w:r w:rsidR="000E1A57" w:rsidRPr="00777421">
        <w:rPr>
          <w:rStyle w:val="FootnoteReference"/>
        </w:rPr>
        <w:footnoteReference w:id="51"/>
      </w:r>
      <w:r w:rsidR="00CF49E7" w:rsidRPr="00777421">
        <w:t xml:space="preserve">  </w:t>
      </w:r>
      <w:r w:rsidRPr="00777421">
        <w:t>TV Max</w:t>
      </w:r>
      <w:r w:rsidR="00CF49E7" w:rsidRPr="00777421">
        <w:t xml:space="preserve"> asserts that its violation</w:t>
      </w:r>
      <w:r w:rsidR="0078689A" w:rsidRPr="00777421">
        <w:t>s</w:t>
      </w:r>
      <w:r w:rsidR="00CF49E7" w:rsidRPr="00777421">
        <w:t xml:space="preserve"> </w:t>
      </w:r>
      <w:r w:rsidR="0078689A" w:rsidRPr="00777421">
        <w:t xml:space="preserve">are </w:t>
      </w:r>
      <w:r w:rsidR="00CF49E7" w:rsidRPr="00777421">
        <w:t xml:space="preserve">not “willful” because it did not </w:t>
      </w:r>
      <w:r w:rsidR="0095346C" w:rsidRPr="00777421">
        <w:t xml:space="preserve">charge </w:t>
      </w:r>
      <w:r w:rsidR="00CF49E7" w:rsidRPr="00777421">
        <w:t xml:space="preserve">building residents for the broadcast signals and “has been working diligently and in good faith” to complete the MATV systems to qualify for the </w:t>
      </w:r>
      <w:r w:rsidR="008D6B16" w:rsidRPr="00777421">
        <w:t>e</w:t>
      </w:r>
      <w:r w:rsidR="00CF49E7" w:rsidRPr="00777421">
        <w:t>xception.</w:t>
      </w:r>
      <w:r w:rsidR="005C4CCE" w:rsidRPr="00777421">
        <w:rPr>
          <w:rStyle w:val="FootnoteReference"/>
        </w:rPr>
        <w:footnoteReference w:id="52"/>
      </w:r>
      <w:r w:rsidR="005C4CCE" w:rsidRPr="00777421">
        <w:t xml:space="preserve"> </w:t>
      </w:r>
      <w:r w:rsidR="00CF49E7" w:rsidRPr="00777421">
        <w:t xml:space="preserve"> Section 76.64(e), however, provides no exception to operators that are in the process of converting to a MATV system</w:t>
      </w:r>
      <w:r w:rsidR="00C50EC8" w:rsidRPr="00777421">
        <w:t xml:space="preserve">.  </w:t>
      </w:r>
      <w:r w:rsidR="0095346C" w:rsidRPr="00777421">
        <w:t xml:space="preserve">Further, although the MATV exception requires that subscribers not be charged for the broadcast signals, </w:t>
      </w:r>
      <w:r w:rsidR="002353B2" w:rsidRPr="00777421">
        <w:t>the exception also requires that the broadcast signals be received by the MATV facilities.</w:t>
      </w:r>
      <w:r w:rsidR="006E2BF8" w:rsidRPr="00777421">
        <w:t xml:space="preserve"> </w:t>
      </w:r>
      <w:r w:rsidR="006E5E07" w:rsidRPr="00777421">
        <w:t xml:space="preserve"> </w:t>
      </w:r>
      <w:r w:rsidR="003F4DA5" w:rsidRPr="00777421">
        <w:t>By also delivering the Stations</w:t>
      </w:r>
      <w:r w:rsidR="009B32E6" w:rsidRPr="00777421">
        <w:t>’</w:t>
      </w:r>
      <w:r w:rsidR="003F4DA5" w:rsidRPr="00777421">
        <w:t xml:space="preserve"> signals to its MDU subscribers from </w:t>
      </w:r>
      <w:r w:rsidR="00653D22" w:rsidRPr="00777421">
        <w:t>an</w:t>
      </w:r>
      <w:r w:rsidR="003F4DA5" w:rsidRPr="00777421">
        <w:t xml:space="preserve"> off-site headend</w:t>
      </w:r>
      <w:r w:rsidR="00653D22" w:rsidRPr="00777421">
        <w:t xml:space="preserve"> via fiber or other means,</w:t>
      </w:r>
      <w:r w:rsidR="003F4DA5" w:rsidRPr="00777421">
        <w:t xml:space="preserve"> and not solely by</w:t>
      </w:r>
      <w:r w:rsidR="00653D22" w:rsidRPr="00777421">
        <w:t xml:space="preserve"> a</w:t>
      </w:r>
      <w:r w:rsidR="003F4DA5" w:rsidRPr="00777421">
        <w:t xml:space="preserve"> MATV system, </w:t>
      </w:r>
      <w:r w:rsidRPr="00777421">
        <w:t>TV Max</w:t>
      </w:r>
      <w:r w:rsidR="003F4DA5" w:rsidRPr="00777421">
        <w:t xml:space="preserve"> fails to meet the narrow exception to the retransmission consent rules allowed under the Section 76.64(e) MATV exception.</w:t>
      </w:r>
      <w:r w:rsidR="006A7FC1" w:rsidRPr="00777421">
        <w:rPr>
          <w:rStyle w:val="FootnoteReference"/>
        </w:rPr>
        <w:footnoteReference w:id="53"/>
      </w:r>
      <w:r w:rsidR="00CF49E7" w:rsidRPr="00777421">
        <w:t xml:space="preserve">  </w:t>
      </w:r>
      <w:r w:rsidRPr="00777421">
        <w:t>TV Max</w:t>
      </w:r>
      <w:r w:rsidR="00CF49E7" w:rsidRPr="00777421">
        <w:t xml:space="preserve"> consciously and deliberately retransmitted </w:t>
      </w:r>
      <w:r w:rsidR="00657354" w:rsidRPr="00777421">
        <w:t xml:space="preserve">the Stations </w:t>
      </w:r>
      <w:r w:rsidR="00CF49E7" w:rsidRPr="00777421">
        <w:t xml:space="preserve">without having written </w:t>
      </w:r>
      <w:r w:rsidR="00C50EC8" w:rsidRPr="00777421">
        <w:t xml:space="preserve">retransmission </w:t>
      </w:r>
      <w:r w:rsidR="00CF49E7" w:rsidRPr="00777421">
        <w:t>consent agreements in place.  The violation</w:t>
      </w:r>
      <w:r w:rsidR="00124106" w:rsidRPr="00777421">
        <w:t>s</w:t>
      </w:r>
      <w:r w:rsidR="00CF49E7" w:rsidRPr="00777421">
        <w:t xml:space="preserve"> </w:t>
      </w:r>
      <w:r w:rsidR="00124106" w:rsidRPr="00777421">
        <w:t>are</w:t>
      </w:r>
      <w:r w:rsidR="00CF49E7" w:rsidRPr="00777421">
        <w:t xml:space="preserve"> therefore willful</w:t>
      </w:r>
      <w:r w:rsidR="00C50EC8" w:rsidRPr="00777421">
        <w:t>.</w:t>
      </w:r>
      <w:r w:rsidR="00F462CA" w:rsidRPr="00777421">
        <w:rPr>
          <w:rStyle w:val="FootnoteReference"/>
        </w:rPr>
        <w:footnoteReference w:id="54"/>
      </w:r>
      <w:r w:rsidR="00CF49E7" w:rsidRPr="00777421">
        <w:t xml:space="preserve">  Furthermore, because </w:t>
      </w:r>
      <w:r w:rsidRPr="00777421">
        <w:t>TV Max</w:t>
      </w:r>
      <w:r w:rsidR="00CF49E7" w:rsidRPr="00777421">
        <w:t xml:space="preserve"> retransmitted the Stations</w:t>
      </w:r>
      <w:r w:rsidR="009B32E6" w:rsidRPr="00777421">
        <w:t>’</w:t>
      </w:r>
      <w:r w:rsidR="00CF49E7" w:rsidRPr="00777421">
        <w:t xml:space="preserve"> signals for more than one day, the violations </w:t>
      </w:r>
      <w:r w:rsidR="006A7FC1" w:rsidRPr="00777421">
        <w:t>are</w:t>
      </w:r>
      <w:r w:rsidR="00CF49E7" w:rsidRPr="00777421">
        <w:t xml:space="preserve"> not only willful, but also repeated</w:t>
      </w:r>
      <w:r w:rsidR="00C50EC8" w:rsidRPr="00777421">
        <w:t>.</w:t>
      </w:r>
      <w:r w:rsidR="00F462CA" w:rsidRPr="00777421">
        <w:rPr>
          <w:rStyle w:val="FootnoteReference"/>
        </w:rPr>
        <w:footnoteReference w:id="55"/>
      </w:r>
      <w:r w:rsidR="00CF49E7" w:rsidRPr="00777421">
        <w:t xml:space="preserve">  </w:t>
      </w:r>
      <w:r w:rsidR="00657354" w:rsidRPr="00777421">
        <w:t xml:space="preserve">Therefore, </w:t>
      </w:r>
      <w:r w:rsidRPr="00777421">
        <w:t>TV Max</w:t>
      </w:r>
      <w:r w:rsidR="00657354" w:rsidRPr="00777421">
        <w:t xml:space="preserve"> willfully and repeatedly violated the retransmission consent rules for this nearly seven-month time period.</w:t>
      </w:r>
      <w:r w:rsidR="00657354" w:rsidRPr="00777421">
        <w:rPr>
          <w:rStyle w:val="FootnoteReference"/>
        </w:rPr>
        <w:footnoteReference w:id="56"/>
      </w:r>
      <w:r w:rsidR="00B6267C" w:rsidRPr="00777421">
        <w:t xml:space="preserve">  </w:t>
      </w:r>
      <w:r w:rsidRPr="00777421">
        <w:t>TV Max</w:t>
      </w:r>
      <w:r w:rsidR="009B32E6" w:rsidRPr="00777421">
        <w:t>’</w:t>
      </w:r>
      <w:r w:rsidR="006805EC" w:rsidRPr="00777421">
        <w:t>s violation was particularly</w:t>
      </w:r>
      <w:r w:rsidR="00B6267C" w:rsidRPr="00777421">
        <w:t xml:space="preserve"> flagrant</w:t>
      </w:r>
      <w:r w:rsidR="006805EC" w:rsidRPr="00777421">
        <w:t xml:space="preserve"> because it knew</w:t>
      </w:r>
      <w:r w:rsidR="00B6267C" w:rsidRPr="00777421">
        <w:t xml:space="preserve"> that it could not possibly qualify for the MATV </w:t>
      </w:r>
      <w:r w:rsidR="008D6B16" w:rsidRPr="00777421">
        <w:t>e</w:t>
      </w:r>
      <w:r w:rsidR="00B6267C" w:rsidRPr="00777421">
        <w:t>xception during this nearly seven-month time period</w:t>
      </w:r>
      <w:r w:rsidR="00D55927" w:rsidRPr="00777421">
        <w:t xml:space="preserve"> </w:t>
      </w:r>
      <w:r w:rsidR="006E5E07" w:rsidRPr="00777421">
        <w:t xml:space="preserve">because, </w:t>
      </w:r>
      <w:r w:rsidR="00D55927" w:rsidRPr="00777421">
        <w:t>as it admits</w:t>
      </w:r>
      <w:r w:rsidR="006E5E07" w:rsidRPr="00777421">
        <w:t>,</w:t>
      </w:r>
      <w:r w:rsidR="00D55927" w:rsidRPr="00777421">
        <w:t xml:space="preserve"> it</w:t>
      </w:r>
      <w:r w:rsidR="00B6267C" w:rsidRPr="00777421">
        <w:t xml:space="preserve"> did not</w:t>
      </w:r>
      <w:r w:rsidR="00D55927" w:rsidRPr="00777421">
        <w:t xml:space="preserve"> even</w:t>
      </w:r>
      <w:r w:rsidR="00B6267C" w:rsidRPr="00777421">
        <w:t xml:space="preserve"> have a MATV system in place </w:t>
      </w:r>
      <w:r w:rsidR="0078689A" w:rsidRPr="00777421">
        <w:t xml:space="preserve">for </w:t>
      </w:r>
      <w:r w:rsidR="00B6267C" w:rsidRPr="00777421">
        <w:t xml:space="preserve">all </w:t>
      </w:r>
      <w:r w:rsidR="0078689A" w:rsidRPr="00777421">
        <w:t xml:space="preserve">of its </w:t>
      </w:r>
      <w:r w:rsidR="00B6267C" w:rsidRPr="00777421">
        <w:t>MDUs.</w:t>
      </w:r>
      <w:r w:rsidR="006760E0" w:rsidRPr="00777421">
        <w:t xml:space="preserve">  In addition, it has continued</w:t>
      </w:r>
      <w:r w:rsidR="0065272E" w:rsidRPr="00777421">
        <w:t xml:space="preserve"> retransmitting the Stations without their consent</w:t>
      </w:r>
      <w:r w:rsidR="006760E0" w:rsidRPr="00777421">
        <w:t>, notwithstanding the Bureau’s Initial Finding Letter advising TV Max that its operation was not in compliance with the Act and the rules and indicating its expectation that it would immediately come into compliance with the law.</w:t>
      </w:r>
    </w:p>
    <w:p w:rsidR="008B7271" w:rsidRPr="00777421" w:rsidRDefault="00240E38" w:rsidP="006B0FA6">
      <w:pPr>
        <w:pStyle w:val="ParaNum"/>
      </w:pPr>
      <w:r w:rsidRPr="00777421">
        <w:t xml:space="preserve">Moreover, we </w:t>
      </w:r>
      <w:r w:rsidR="008B7271" w:rsidRPr="00777421">
        <w:t>find</w:t>
      </w:r>
      <w:r w:rsidRPr="00777421">
        <w:t xml:space="preserve"> that </w:t>
      </w:r>
      <w:r w:rsidR="000C137D" w:rsidRPr="00777421">
        <w:t>TV Max</w:t>
      </w:r>
      <w:r w:rsidR="009B32E6" w:rsidRPr="00777421">
        <w:t>’</w:t>
      </w:r>
      <w:r w:rsidRPr="00777421">
        <w:t>s unlawful retransmission of the Stations</w:t>
      </w:r>
      <w:r w:rsidR="009B32E6" w:rsidRPr="00777421">
        <w:t>’</w:t>
      </w:r>
      <w:r w:rsidRPr="00777421">
        <w:t xml:space="preserve"> signals over its cable system to its cable subscribers is not cured by its installation of MATV systems on its MDU buildings.  </w:t>
      </w:r>
      <w:r w:rsidR="008B7271" w:rsidRPr="00777421">
        <w:t xml:space="preserve">The MATV </w:t>
      </w:r>
      <w:r w:rsidR="008D6B16" w:rsidRPr="00777421">
        <w:t>e</w:t>
      </w:r>
      <w:r w:rsidR="008B7271" w:rsidRPr="00777421">
        <w:t>xception in Section 76.64(e) pertains only to “broadcast signals received by master antenna television facilities.”</w:t>
      </w:r>
      <w:r w:rsidR="008B7271" w:rsidRPr="00777421">
        <w:rPr>
          <w:rStyle w:val="FootnoteReference"/>
        </w:rPr>
        <w:footnoteReference w:id="57"/>
      </w:r>
      <w:r w:rsidR="008B7271" w:rsidRPr="00777421">
        <w:t xml:space="preserve">  </w:t>
      </w:r>
      <w:r w:rsidRPr="00777421">
        <w:t xml:space="preserve">The record shows that </w:t>
      </w:r>
      <w:r w:rsidR="000C137D" w:rsidRPr="00777421">
        <w:t>TV Max</w:t>
      </w:r>
      <w:r w:rsidRPr="00777421">
        <w:t xml:space="preserve"> is retransmitting the Stations</w:t>
      </w:r>
      <w:r w:rsidR="009B32E6" w:rsidRPr="00777421">
        <w:t>’</w:t>
      </w:r>
      <w:r w:rsidRPr="00777421">
        <w:t xml:space="preserve"> signals from </w:t>
      </w:r>
      <w:r w:rsidR="0065272E" w:rsidRPr="00777421">
        <w:t>an</w:t>
      </w:r>
      <w:r w:rsidRPr="00777421">
        <w:t xml:space="preserve"> off-site (central) headend that serves multiple MDUs (“off-site headend”) rather than </w:t>
      </w:r>
      <w:r w:rsidR="00C5716A" w:rsidRPr="00777421">
        <w:t xml:space="preserve">exclusively </w:t>
      </w:r>
      <w:r w:rsidRPr="00777421">
        <w:t>using the MATV antenna</w:t>
      </w:r>
      <w:r w:rsidR="00F5591C" w:rsidRPr="00777421">
        <w:t>s</w:t>
      </w:r>
      <w:r w:rsidRPr="00777421">
        <w:t xml:space="preserve"> at the individual buildings for all of its customers.</w:t>
      </w:r>
      <w:r w:rsidRPr="00777421">
        <w:rPr>
          <w:rStyle w:val="FootnoteReference"/>
        </w:rPr>
        <w:footnoteReference w:id="58"/>
      </w:r>
      <w:r w:rsidRPr="00777421">
        <w:t xml:space="preserve">  </w:t>
      </w:r>
      <w:r w:rsidR="000C137D" w:rsidRPr="00777421">
        <w:t>TV Max</w:t>
      </w:r>
      <w:r w:rsidR="004F3794" w:rsidRPr="00777421">
        <w:t xml:space="preserve"> states</w:t>
      </w:r>
      <w:r w:rsidR="00785738" w:rsidRPr="00777421">
        <w:t xml:space="preserve"> </w:t>
      </w:r>
      <w:r w:rsidR="004F3794" w:rsidRPr="00777421">
        <w:t xml:space="preserve">that it </w:t>
      </w:r>
      <w:r w:rsidR="00C5716A" w:rsidRPr="00777421">
        <w:t>uses both the MATV system and its cable headend to provide subscribers the broadcast signals in question</w:t>
      </w:r>
      <w:r w:rsidR="00785738" w:rsidRPr="00777421">
        <w:t>.</w:t>
      </w:r>
      <w:r w:rsidR="00785738" w:rsidRPr="00777421">
        <w:rPr>
          <w:rStyle w:val="FootnoteReference"/>
        </w:rPr>
        <w:footnoteReference w:id="59"/>
      </w:r>
      <w:r w:rsidR="004F3794" w:rsidRPr="00777421">
        <w:t xml:space="preserve">  </w:t>
      </w:r>
      <w:r w:rsidR="00D20AAB" w:rsidRPr="00777421">
        <w:t xml:space="preserve">Nevertheless, </w:t>
      </w:r>
      <w:r w:rsidR="000C137D" w:rsidRPr="00777421">
        <w:t>TV Max</w:t>
      </w:r>
      <w:r w:rsidRPr="00777421">
        <w:t xml:space="preserve"> claims</w:t>
      </w:r>
      <w:r w:rsidR="00A74FA7" w:rsidRPr="00777421">
        <w:t xml:space="preserve"> that</w:t>
      </w:r>
      <w:r w:rsidRPr="00777421">
        <w:t xml:space="preserve"> it complies with the MATV </w:t>
      </w:r>
      <w:r w:rsidR="008D6B16" w:rsidRPr="00777421">
        <w:t>e</w:t>
      </w:r>
      <w:r w:rsidRPr="00777421">
        <w:t>xception because the broadcast signals received by the MATV systems are made available to all MDU residents at no charge and at the resident</w:t>
      </w:r>
      <w:r w:rsidR="009B32E6" w:rsidRPr="00777421">
        <w:t>’</w:t>
      </w:r>
      <w:r w:rsidRPr="00777421">
        <w:t>s option.</w:t>
      </w:r>
      <w:r w:rsidRPr="00777421">
        <w:rPr>
          <w:rStyle w:val="FootnoteReference"/>
          <w:szCs w:val="28"/>
        </w:rPr>
        <w:footnoteReference w:id="60"/>
      </w:r>
      <w:r w:rsidRPr="00777421">
        <w:t xml:space="preserve">  The </w:t>
      </w:r>
      <w:r w:rsidR="00C50EC8" w:rsidRPr="00777421">
        <w:t>MATV exception in Section 76.64(e) pertains only to “broadcast signals received by master antenna television facilities.”</w:t>
      </w:r>
      <w:r w:rsidR="00C50EC8" w:rsidRPr="00777421">
        <w:rPr>
          <w:rStyle w:val="FootnoteReference"/>
        </w:rPr>
        <w:footnoteReference w:id="61"/>
      </w:r>
      <w:r w:rsidR="00C50EC8" w:rsidRPr="00777421">
        <w:t xml:space="preserve">  It</w:t>
      </w:r>
      <w:r w:rsidRPr="00777421">
        <w:t xml:space="preserve"> does not apply to signals retransmitted from an off-site headend facility, even if the customer also has access to a MATV or over-the-air version of the signal</w:t>
      </w:r>
      <w:r w:rsidR="0078279C" w:rsidRPr="00777421">
        <w:t xml:space="preserve"> and has the option whether or not to receive the stations</w:t>
      </w:r>
      <w:r w:rsidRPr="00777421">
        <w:t xml:space="preserve">.  The MATV </w:t>
      </w:r>
      <w:r w:rsidR="008D6B16" w:rsidRPr="00777421">
        <w:t>e</w:t>
      </w:r>
      <w:r w:rsidRPr="00777421">
        <w:t>xception applies only when an operator merely facilitates a subscriber</w:t>
      </w:r>
      <w:r w:rsidR="009B32E6" w:rsidRPr="00777421">
        <w:t>’</w:t>
      </w:r>
      <w:r w:rsidRPr="00777421">
        <w:t>s access to an over-the-air television signal received by a MATV antenna and where the signal made available without charge to subscribers is the same over-the-air signal received by the MATV antenna.</w:t>
      </w:r>
      <w:r w:rsidRPr="00777421">
        <w:rPr>
          <w:rStyle w:val="FootnoteReference"/>
        </w:rPr>
        <w:footnoteReference w:id="62"/>
      </w:r>
      <w:r w:rsidRPr="00777421">
        <w:t xml:space="preserve">  </w:t>
      </w:r>
      <w:r w:rsidR="000C137D" w:rsidRPr="00777421">
        <w:t>TV Max</w:t>
      </w:r>
      <w:r w:rsidR="006B0FA6" w:rsidRPr="00777421">
        <w:t>’s</w:t>
      </w:r>
      <w:r w:rsidRPr="00777421">
        <w:t xml:space="preserve"> </w:t>
      </w:r>
      <w:r w:rsidR="006B0FA6" w:rsidRPr="00777421">
        <w:t>retransmission of</w:t>
      </w:r>
      <w:r w:rsidRPr="00777421">
        <w:t xml:space="preserve"> broadcast signals received at </w:t>
      </w:r>
      <w:r w:rsidR="0065272E" w:rsidRPr="00777421">
        <w:t>the</w:t>
      </w:r>
      <w:r w:rsidRPr="00777421">
        <w:t xml:space="preserve"> off-site headend does not qualify for the MATV </w:t>
      </w:r>
      <w:r w:rsidR="008D6B16" w:rsidRPr="00777421">
        <w:t>e</w:t>
      </w:r>
      <w:r w:rsidRPr="00777421">
        <w:t xml:space="preserve">xception and, therefore, </w:t>
      </w:r>
      <w:r w:rsidR="000C137D" w:rsidRPr="00777421">
        <w:t>TV Max</w:t>
      </w:r>
      <w:r w:rsidR="002E4FAF" w:rsidRPr="00777421">
        <w:t xml:space="preserve"> </w:t>
      </w:r>
      <w:r w:rsidR="00E22C8A" w:rsidRPr="00777421">
        <w:t>persists in its willful and repeated violation of the retransmission consent rules by transmitting the broadcasters’ signals to subscribers without the Stations’ consents</w:t>
      </w:r>
      <w:r w:rsidRPr="00777421">
        <w:t>.</w:t>
      </w:r>
    </w:p>
    <w:p w:rsidR="006F5639" w:rsidRPr="00777421" w:rsidRDefault="006F5639" w:rsidP="0024068C">
      <w:pPr>
        <w:pStyle w:val="Heading2"/>
      </w:pPr>
      <w:r w:rsidRPr="00777421">
        <w:t>Proposed Forfeiture Amount and Reporting Requirement</w:t>
      </w:r>
    </w:p>
    <w:p w:rsidR="00794EF6" w:rsidRPr="00777421" w:rsidRDefault="00E164BB" w:rsidP="00A411A1">
      <w:pPr>
        <w:pStyle w:val="ParaNum"/>
      </w:pPr>
      <w:r w:rsidRPr="00777421">
        <w:t xml:space="preserve">Applying the Forfeiture Policy Statement, Section 1.80 of the Rules, and the statutory factors to the instant case, we conclude that </w:t>
      </w:r>
      <w:r w:rsidR="000C137D" w:rsidRPr="00777421">
        <w:t>TV Max</w:t>
      </w:r>
      <w:r w:rsidRPr="00777421">
        <w:t xml:space="preserve"> is apparently liable for a forfeiture in the amount of</w:t>
      </w:r>
      <w:r w:rsidR="009C6C27" w:rsidRPr="00777421">
        <w:t xml:space="preserve"> </w:t>
      </w:r>
      <w:r w:rsidR="009C0656">
        <w:t>two million two hundred fifty thousand dollars ($2,250,000)</w:t>
      </w:r>
      <w:r w:rsidRPr="00777421">
        <w:t xml:space="preserve">.  </w:t>
      </w:r>
      <w:r w:rsidR="00377A1D" w:rsidRPr="00777421">
        <w:t>The Commission</w:t>
      </w:r>
      <w:r w:rsidR="009B32E6" w:rsidRPr="00777421">
        <w:t>’</w:t>
      </w:r>
      <w:r w:rsidR="00377A1D" w:rsidRPr="00777421">
        <w:t xml:space="preserve">s </w:t>
      </w:r>
      <w:r w:rsidR="00377A1D" w:rsidRPr="00777421">
        <w:rPr>
          <w:i/>
        </w:rPr>
        <w:t>Forfeiture Policy Statement</w:t>
      </w:r>
      <w:r w:rsidR="00377A1D" w:rsidRPr="00777421">
        <w:t xml:space="preserve"> and Section 1.80 of the Commission</w:t>
      </w:r>
      <w:r w:rsidR="009B32E6" w:rsidRPr="00777421">
        <w:t>’</w:t>
      </w:r>
      <w:r w:rsidR="00377A1D" w:rsidRPr="00777421">
        <w:t xml:space="preserve">s rules specify a base forfeiture amount of seven thousand five hundred dollars ($7,500) for each </w:t>
      </w:r>
      <w:r w:rsidR="00377A1D" w:rsidRPr="00777421">
        <w:rPr>
          <w:szCs w:val="22"/>
        </w:rPr>
        <w:t>violation</w:t>
      </w:r>
      <w:r w:rsidR="00377A1D" w:rsidRPr="00777421">
        <w:t xml:space="preserve"> of the cable broadcast carriage rules</w:t>
      </w:r>
      <w:r w:rsidR="000C1A87" w:rsidRPr="00777421">
        <w:t xml:space="preserve">, </w:t>
      </w:r>
      <w:r w:rsidR="00D302E0" w:rsidRPr="00777421">
        <w:t>up to</w:t>
      </w:r>
      <w:r w:rsidR="000C1A87" w:rsidRPr="00777421">
        <w:t xml:space="preserve"> a maximum amount of $37,500 for each violation (or each day) if the violator is a cable operator</w:t>
      </w:r>
      <w:r w:rsidR="00377A1D" w:rsidRPr="00777421">
        <w:t>.</w:t>
      </w:r>
      <w:r w:rsidR="00377A1D" w:rsidRPr="00777421">
        <w:rPr>
          <w:rStyle w:val="FootnoteReference"/>
          <w:szCs w:val="22"/>
        </w:rPr>
        <w:footnoteReference w:id="63"/>
      </w:r>
      <w:r w:rsidR="00377A1D" w:rsidRPr="00777421">
        <w:t xml:space="preserve">  In assessing the </w:t>
      </w:r>
      <w:r w:rsidR="005512B5" w:rsidRPr="00777421">
        <w:t xml:space="preserve">proposed </w:t>
      </w:r>
      <w:r w:rsidR="00377A1D" w:rsidRPr="00777421">
        <w:t>monetary forfeiture amount, we must take into account the statutory factors set forth in Section 503(b)(2)(E) of the Act and Section 1.80 of the Commission</w:t>
      </w:r>
      <w:r w:rsidR="009B32E6" w:rsidRPr="00777421">
        <w:t>’</w:t>
      </w:r>
      <w:r w:rsidR="00377A1D" w:rsidRPr="00777421">
        <w:t>s rules,</w:t>
      </w:r>
      <w:r w:rsidR="00377A1D" w:rsidRPr="00777421">
        <w:rPr>
          <w:rStyle w:val="FootnoteReference"/>
          <w:szCs w:val="22"/>
        </w:rPr>
        <w:footnoteReference w:id="64"/>
      </w:r>
      <w:r w:rsidR="00377A1D" w:rsidRPr="00777421">
        <w:t xml:space="preserve"> which include the nature, circumstances, extent, and gravity of the violation, and</w:t>
      </w:r>
      <w:r w:rsidR="00BF4C97" w:rsidRPr="00777421">
        <w:t>,</w:t>
      </w:r>
      <w:r w:rsidR="00377A1D" w:rsidRPr="00777421">
        <w:t xml:space="preserve"> with respect to the violator, the degree of culpability, any history of prior offenses, ability to pay, and other such matters as justice may require.</w:t>
      </w:r>
      <w:r w:rsidR="00377A1D" w:rsidRPr="00777421">
        <w:rPr>
          <w:rStyle w:val="FootnoteReference"/>
        </w:rPr>
        <w:footnoteReference w:id="65"/>
      </w:r>
    </w:p>
    <w:p w:rsidR="008A3B30" w:rsidRPr="00777421" w:rsidRDefault="0065272E" w:rsidP="004C0A7D">
      <w:pPr>
        <w:pStyle w:val="ParaNum"/>
      </w:pPr>
      <w:r w:rsidRPr="00777421">
        <w:t>A</w:t>
      </w:r>
      <w:r w:rsidR="00794EF6" w:rsidRPr="00777421">
        <w:t xml:space="preserve">s detailed above, </w:t>
      </w:r>
      <w:r w:rsidR="000C137D" w:rsidRPr="00777421">
        <w:t>TV Max</w:t>
      </w:r>
      <w:r w:rsidR="00794EF6" w:rsidRPr="00777421">
        <w:t xml:space="preserve"> has willfully and repeatedly violated, and </w:t>
      </w:r>
      <w:r w:rsidR="004F421F" w:rsidRPr="00777421">
        <w:t>is still currently violating</w:t>
      </w:r>
      <w:r w:rsidR="00794EF6" w:rsidRPr="00777421">
        <w:t>, the Commission</w:t>
      </w:r>
      <w:r w:rsidR="009B32E6" w:rsidRPr="00777421">
        <w:t>’</w:t>
      </w:r>
      <w:r w:rsidR="00794EF6" w:rsidRPr="00777421">
        <w:t>s retransmission consent rules</w:t>
      </w:r>
      <w:r w:rsidR="004F421F" w:rsidRPr="00777421">
        <w:t>.</w:t>
      </w:r>
      <w:r w:rsidR="00794EF6" w:rsidRPr="00777421">
        <w:t xml:space="preserve"> </w:t>
      </w:r>
      <w:r w:rsidR="00113BAC" w:rsidRPr="00777421">
        <w:t xml:space="preserve"> </w:t>
      </w:r>
      <w:r w:rsidR="009057B7" w:rsidRPr="00777421">
        <w:t>The</w:t>
      </w:r>
      <w:r w:rsidR="00140DF1" w:rsidRPr="00777421">
        <w:t>se</w:t>
      </w:r>
      <w:r w:rsidR="009057B7" w:rsidRPr="00777421">
        <w:t xml:space="preserve"> violations have occurred for more than 365 days and involve six separate stations.</w:t>
      </w:r>
      <w:r w:rsidR="009057B7" w:rsidRPr="00777421">
        <w:rPr>
          <w:rStyle w:val="FootnoteReference"/>
        </w:rPr>
        <w:footnoteReference w:id="66"/>
      </w:r>
      <w:r w:rsidR="009057B7" w:rsidRPr="00777421">
        <w:t xml:space="preserve">  </w:t>
      </w:r>
      <w:r w:rsidR="00794EF6" w:rsidRPr="00777421">
        <w:t xml:space="preserve">Given the longstanding and repeated nature of </w:t>
      </w:r>
      <w:r w:rsidR="000C137D" w:rsidRPr="00777421">
        <w:t>TV Max</w:t>
      </w:r>
      <w:r w:rsidR="009B32E6" w:rsidRPr="00777421">
        <w:t>’</w:t>
      </w:r>
      <w:r w:rsidR="00794EF6" w:rsidRPr="00777421">
        <w:t>s unauthorized carriage of multiple broadcast stations</w:t>
      </w:r>
      <w:r w:rsidR="009B32E6" w:rsidRPr="00777421">
        <w:t>’</w:t>
      </w:r>
      <w:r w:rsidR="00794EF6" w:rsidRPr="00777421">
        <w:t xml:space="preserve"> signals, as well as the egregious nature of the violations which continued even after the Bureau issued its Initial Findings Letter, we consider </w:t>
      </w:r>
      <w:r w:rsidR="000C137D" w:rsidRPr="00777421">
        <w:t>TV Max</w:t>
      </w:r>
      <w:r w:rsidR="009B32E6" w:rsidRPr="00777421">
        <w:t>’</w:t>
      </w:r>
      <w:r w:rsidR="00794EF6" w:rsidRPr="00777421">
        <w:t>s violations of the retransmission consent requirements to be very serious.</w:t>
      </w:r>
      <w:r w:rsidR="00193C07" w:rsidRPr="00777421">
        <w:t xml:space="preserve">  </w:t>
      </w:r>
      <w:r w:rsidR="009057B7" w:rsidRPr="00777421">
        <w:t>In addition, w</w:t>
      </w:r>
      <w:r w:rsidR="00D67348" w:rsidRPr="00777421">
        <w:t xml:space="preserve">e find </w:t>
      </w:r>
      <w:r w:rsidR="00446B11" w:rsidRPr="00777421">
        <w:t>that</w:t>
      </w:r>
      <w:r w:rsidR="00D67348" w:rsidRPr="00777421">
        <w:t xml:space="preserve"> several factors </w:t>
      </w:r>
      <w:r w:rsidR="007F0374" w:rsidRPr="007F0374">
        <w:t xml:space="preserve">would ordinarily </w:t>
      </w:r>
      <w:r w:rsidR="00D67348" w:rsidRPr="00777421">
        <w:t>warrant an upward adjustment of the forfeiture amount, including egregious misconduct, repeated violation, intentional violation, and substantial economic gain.</w:t>
      </w:r>
      <w:r w:rsidR="00D67348" w:rsidRPr="00777421">
        <w:rPr>
          <w:rStyle w:val="FootnoteReference"/>
        </w:rPr>
        <w:footnoteReference w:id="67"/>
      </w:r>
      <w:r w:rsidR="00D67348" w:rsidRPr="00777421">
        <w:t xml:space="preserve">  </w:t>
      </w:r>
      <w:r w:rsidR="005A596E" w:rsidRPr="00777421">
        <w:t xml:space="preserve">At the same time, however, </w:t>
      </w:r>
      <w:r w:rsidR="009057B7" w:rsidRPr="00777421">
        <w:t xml:space="preserve">in determining the forfeiture amount, we also note that </w:t>
      </w:r>
      <w:r w:rsidR="005A596E" w:rsidRPr="00777421">
        <w:t>TV Max</w:t>
      </w:r>
      <w:r w:rsidR="00D67348" w:rsidRPr="00777421">
        <w:t xml:space="preserve"> has only 10,000 subscribers</w:t>
      </w:r>
      <w:r w:rsidR="004F421F" w:rsidRPr="00777421">
        <w:t xml:space="preserve">, </w:t>
      </w:r>
      <w:r w:rsidR="00D67348" w:rsidRPr="00777421">
        <w:t>apparently operates in only one market</w:t>
      </w:r>
      <w:r w:rsidR="004F421F" w:rsidRPr="00777421">
        <w:t>,</w:t>
      </w:r>
      <w:r w:rsidR="00D67348" w:rsidRPr="00777421">
        <w:t xml:space="preserve"> and is not affiliated with a larger cable operator or other large corporate entity</w:t>
      </w:r>
      <w:r w:rsidR="005A596E" w:rsidRPr="00777421">
        <w:t xml:space="preserve">.  Given these special circumstances, we </w:t>
      </w:r>
      <w:r w:rsidR="004C0A7D" w:rsidRPr="004C0A7D">
        <w:t xml:space="preserve">believe that an upward adjustment </w:t>
      </w:r>
      <w:r w:rsidR="009057B7" w:rsidRPr="00777421">
        <w:t>would lead to an inappropriately high forfeiture amount.</w:t>
      </w:r>
      <w:r w:rsidR="00104573" w:rsidRPr="00777421">
        <w:rPr>
          <w:rStyle w:val="FootnoteReference"/>
        </w:rPr>
        <w:footnoteReference w:id="68"/>
      </w:r>
      <w:r w:rsidR="00104573" w:rsidRPr="00777421">
        <w:t xml:space="preserve">  </w:t>
      </w:r>
      <w:r w:rsidR="002B34A0" w:rsidRPr="00777421">
        <w:t xml:space="preserve">Therefore, </w:t>
      </w:r>
      <w:r w:rsidR="005A596E" w:rsidRPr="00777421">
        <w:t>taking into account the unique facts of this case</w:t>
      </w:r>
      <w:r w:rsidR="00104573" w:rsidRPr="00777421">
        <w:t xml:space="preserve">, </w:t>
      </w:r>
      <w:r w:rsidR="00794EF6" w:rsidRPr="00777421">
        <w:t xml:space="preserve">we find </w:t>
      </w:r>
      <w:r w:rsidR="00D302E0" w:rsidRPr="00777421">
        <w:t xml:space="preserve">a </w:t>
      </w:r>
      <w:r w:rsidR="00794EF6" w:rsidRPr="00777421">
        <w:t>forfeiture amount of $</w:t>
      </w:r>
      <w:r w:rsidR="00D67348" w:rsidRPr="00777421">
        <w:t>2</w:t>
      </w:r>
      <w:r w:rsidR="009C0656">
        <w:t>.25</w:t>
      </w:r>
      <w:r w:rsidR="00D67348" w:rsidRPr="00777421">
        <w:t xml:space="preserve"> </w:t>
      </w:r>
      <w:r w:rsidR="00794EF6" w:rsidRPr="00777421">
        <w:t>million is warranted</w:t>
      </w:r>
      <w:r w:rsidR="001A2A06" w:rsidRPr="00777421">
        <w:t>.</w:t>
      </w:r>
      <w:r w:rsidR="001A2A06" w:rsidRPr="00777421">
        <w:rPr>
          <w:rStyle w:val="FootnoteReference"/>
        </w:rPr>
        <w:footnoteReference w:id="69"/>
      </w:r>
      <w:r w:rsidR="00D67348" w:rsidRPr="00777421">
        <w:t xml:space="preserve">  Our goal is to ensure that the forfeiture amount is sufficient to act as a deterrent to future violations and to ensure that the forfeiture is not considered merely an affordable cost of doing business.</w:t>
      </w:r>
      <w:r w:rsidR="005A596E" w:rsidRPr="00777421">
        <w:t xml:space="preserve"> </w:t>
      </w:r>
      <w:r w:rsidR="00113BAC" w:rsidRPr="00777421">
        <w:t xml:space="preserve"> </w:t>
      </w:r>
      <w:r w:rsidR="005A596E" w:rsidRPr="00777421">
        <w:t>We find that</w:t>
      </w:r>
      <w:r w:rsidR="00D03214" w:rsidRPr="00777421">
        <w:t>,</w:t>
      </w:r>
      <w:r w:rsidR="005A596E" w:rsidRPr="00777421">
        <w:t xml:space="preserve"> given TV Max’s relatively small size and limited operations</w:t>
      </w:r>
      <w:r w:rsidR="00D03214" w:rsidRPr="00777421">
        <w:t>,</w:t>
      </w:r>
      <w:r w:rsidR="005A596E" w:rsidRPr="00777421">
        <w:t xml:space="preserve"> </w:t>
      </w:r>
      <w:r w:rsidR="00D03214" w:rsidRPr="00777421">
        <w:t>this goal is satisfied with our proposed forfeiture amount.</w:t>
      </w:r>
    </w:p>
    <w:p w:rsidR="0054636B" w:rsidRPr="00777421" w:rsidRDefault="00187792" w:rsidP="009E26CF">
      <w:pPr>
        <w:pStyle w:val="ParaNum"/>
      </w:pPr>
      <w:bookmarkStart w:id="7" w:name="FN[FN83]"/>
      <w:bookmarkStart w:id="8" w:name="FN[FN84]"/>
      <w:bookmarkStart w:id="9" w:name="SR;4454"/>
      <w:bookmarkStart w:id="10" w:name="SR;4463"/>
      <w:bookmarkStart w:id="11" w:name="SR;4464"/>
      <w:bookmarkStart w:id="12" w:name="SR;4465"/>
      <w:bookmarkStart w:id="13" w:name="FN[FN85]"/>
      <w:bookmarkEnd w:id="7"/>
      <w:bookmarkEnd w:id="8"/>
      <w:bookmarkEnd w:id="9"/>
      <w:bookmarkEnd w:id="10"/>
      <w:bookmarkEnd w:id="11"/>
      <w:bookmarkEnd w:id="12"/>
      <w:bookmarkEnd w:id="13"/>
      <w:r w:rsidRPr="00777421">
        <w:t xml:space="preserve">Furthermore, </w:t>
      </w:r>
      <w:r w:rsidR="00CB4C1F" w:rsidRPr="00777421">
        <w:t>to the extent it has not already done so,</w:t>
      </w:r>
      <w:r w:rsidR="002475D3" w:rsidRPr="00777421">
        <w:t xml:space="preserve"> </w:t>
      </w:r>
      <w:r w:rsidR="006139EB" w:rsidRPr="00777421">
        <w:t xml:space="preserve">as the Bureau advised TV Max in its December 20 Initial Finding Letter, </w:t>
      </w:r>
      <w:r w:rsidR="002475D3" w:rsidRPr="00777421">
        <w:t>we expect</w:t>
      </w:r>
      <w:r w:rsidR="00CB4C1F" w:rsidRPr="00777421">
        <w:t xml:space="preserve"> </w:t>
      </w:r>
      <w:r w:rsidR="00FF6B53" w:rsidRPr="00777421">
        <w:t>it</w:t>
      </w:r>
      <w:r w:rsidRPr="00777421">
        <w:t xml:space="preserve"> </w:t>
      </w:r>
      <w:r w:rsidR="0047489A" w:rsidRPr="00777421">
        <w:t xml:space="preserve">to </w:t>
      </w:r>
      <w:r w:rsidRPr="00777421">
        <w:t xml:space="preserve">immediately </w:t>
      </w:r>
      <w:r w:rsidR="0047489A" w:rsidRPr="00777421">
        <w:t>come into compliance with the retransmission consent requirements</w:t>
      </w:r>
      <w:r w:rsidR="00BF4C97" w:rsidRPr="00777421">
        <w:t>.</w:t>
      </w:r>
      <w:r w:rsidR="00ED00CB" w:rsidRPr="00777421">
        <w:rPr>
          <w:rStyle w:val="FootnoteReference"/>
        </w:rPr>
        <w:footnoteReference w:id="70"/>
      </w:r>
      <w:r w:rsidR="00BF4C97" w:rsidRPr="00777421">
        <w:t xml:space="preserve">  </w:t>
      </w:r>
      <w:r w:rsidR="0004546F" w:rsidRPr="00777421">
        <w:t xml:space="preserve">Failure to cease carriage of the signals without the Stations’ consent will constitute an apparent further violation that will potentially subject </w:t>
      </w:r>
      <w:r w:rsidR="000C137D" w:rsidRPr="00777421">
        <w:t>TV Max</w:t>
      </w:r>
      <w:r w:rsidR="0004546F" w:rsidRPr="00777421">
        <w:t xml:space="preserve"> to additional enforcement sanctions.  </w:t>
      </w:r>
      <w:r w:rsidR="00BF4C97" w:rsidRPr="00777421">
        <w:t>W</w:t>
      </w:r>
      <w:r w:rsidR="00DF6B95" w:rsidRPr="00777421">
        <w:t xml:space="preserve">e </w:t>
      </w:r>
      <w:r w:rsidR="009B2F6F" w:rsidRPr="00777421">
        <w:t xml:space="preserve">direct </w:t>
      </w:r>
      <w:r w:rsidR="000C137D" w:rsidRPr="00777421">
        <w:t>TV Max</w:t>
      </w:r>
      <w:r w:rsidR="00BF4C97" w:rsidRPr="00777421">
        <w:t xml:space="preserve"> </w:t>
      </w:r>
      <w:r w:rsidR="009B2F6F" w:rsidRPr="00777421">
        <w:t xml:space="preserve">to </w:t>
      </w:r>
      <w:r w:rsidR="00D54D3E" w:rsidRPr="00777421">
        <w:t>submit a written statement signed under penalty of perjury, pursuant to Section 1.16 of the rules,</w:t>
      </w:r>
      <w:r w:rsidR="00D54D3E" w:rsidRPr="00777421">
        <w:rPr>
          <w:rStyle w:val="FootnoteReference"/>
        </w:rPr>
        <w:footnoteReference w:id="71"/>
      </w:r>
      <w:r w:rsidR="00D54D3E" w:rsidRPr="00777421">
        <w:t xml:space="preserve"> by an officer or director of </w:t>
      </w:r>
      <w:r w:rsidR="000C137D" w:rsidRPr="00777421">
        <w:t>TV Max</w:t>
      </w:r>
      <w:r w:rsidR="00D54D3E" w:rsidRPr="00777421">
        <w:t>, describing in detail the steps it has taken to immediately come into compliance with the requirements of Section 325 of the Act and Section 76.64 of the Commission</w:t>
      </w:r>
      <w:r w:rsidR="009B32E6" w:rsidRPr="00777421">
        <w:t>’</w:t>
      </w:r>
      <w:r w:rsidR="00D54D3E" w:rsidRPr="00777421">
        <w:t>s rules</w:t>
      </w:r>
      <w:r w:rsidR="00D774CC" w:rsidRPr="00777421">
        <w:t>.</w:t>
      </w:r>
      <w:r w:rsidR="00CB4C1F" w:rsidRPr="00777421">
        <w:rPr>
          <w:rStyle w:val="FootnoteReference"/>
        </w:rPr>
        <w:footnoteReference w:id="72"/>
      </w:r>
      <w:r w:rsidR="00CB4C1F" w:rsidRPr="00777421">
        <w:t xml:space="preserve">  </w:t>
      </w:r>
      <w:r w:rsidR="0054636B" w:rsidRPr="00777421">
        <w:t xml:space="preserve">This statement must be </w:t>
      </w:r>
      <w:r w:rsidR="009E26CF" w:rsidRPr="00777421">
        <w:t xml:space="preserve">submitted no later than thirty (30) calendar days from the release date of this </w:t>
      </w:r>
      <w:r w:rsidR="009E26CF" w:rsidRPr="00777421">
        <w:rPr>
          <w:i/>
        </w:rPr>
        <w:t>NAL</w:t>
      </w:r>
      <w:r w:rsidR="009E26CF" w:rsidRPr="00777421">
        <w:t xml:space="preserve"> and Order.</w:t>
      </w:r>
    </w:p>
    <w:p w:rsidR="00377A1D" w:rsidRPr="00777421" w:rsidRDefault="00377A1D">
      <w:pPr>
        <w:pStyle w:val="Heading1"/>
        <w:ind w:left="0" w:firstLine="0"/>
      </w:pPr>
      <w:r w:rsidRPr="00777421">
        <w:rPr>
          <w:rFonts w:ascii="Times New Roman" w:hAnsi="Times New Roman"/>
        </w:rPr>
        <w:t>ORDERING CLAUSES</w:t>
      </w:r>
    </w:p>
    <w:p w:rsidR="00377A1D" w:rsidRPr="00777421" w:rsidRDefault="00377A1D" w:rsidP="00BC663F">
      <w:pPr>
        <w:pStyle w:val="ParaNum"/>
      </w:pPr>
      <w:r w:rsidRPr="00777421">
        <w:rPr>
          <w:b/>
        </w:rPr>
        <w:t>ACCORDINGLY, IT IS ORDERED</w:t>
      </w:r>
      <w:r w:rsidRPr="00777421">
        <w:t xml:space="preserve">, </w:t>
      </w:r>
      <w:r w:rsidRPr="00777421">
        <w:rPr>
          <w:szCs w:val="22"/>
        </w:rPr>
        <w:t>pursuant to Section 503(b) of the Act,</w:t>
      </w:r>
      <w:r w:rsidRPr="00777421">
        <w:rPr>
          <w:rStyle w:val="FootnoteReference"/>
          <w:szCs w:val="22"/>
        </w:rPr>
        <w:footnoteReference w:id="73"/>
      </w:r>
      <w:r w:rsidRPr="00777421">
        <w:rPr>
          <w:szCs w:val="22"/>
        </w:rPr>
        <w:t xml:space="preserve"> and Sections 0.61, 0.283, and 1.80 of the Commission</w:t>
      </w:r>
      <w:r w:rsidR="009B32E6" w:rsidRPr="00777421">
        <w:rPr>
          <w:szCs w:val="22"/>
        </w:rPr>
        <w:t>’</w:t>
      </w:r>
      <w:r w:rsidRPr="00777421">
        <w:rPr>
          <w:szCs w:val="22"/>
        </w:rPr>
        <w:t>s rules,</w:t>
      </w:r>
      <w:r w:rsidRPr="00777421">
        <w:rPr>
          <w:rStyle w:val="FootnoteReference"/>
          <w:szCs w:val="22"/>
        </w:rPr>
        <w:footnoteReference w:id="74"/>
      </w:r>
      <w:r w:rsidRPr="00777421">
        <w:rPr>
          <w:szCs w:val="22"/>
        </w:rPr>
        <w:t xml:space="preserve"> </w:t>
      </w:r>
      <w:r w:rsidRPr="00777421">
        <w:t xml:space="preserve">that </w:t>
      </w:r>
      <w:r w:rsidR="00343B8E" w:rsidRPr="00777421">
        <w:t xml:space="preserve">TV Max, Inc., TV Max, LP, TV Max Houston, Inc., TV Max Holdings, Inc., TV Max Houston, LP, </w:t>
      </w:r>
      <w:r w:rsidR="002A73EE" w:rsidRPr="00777421">
        <w:t xml:space="preserve">TV Max Houston GP, LLC, TV Max </w:t>
      </w:r>
      <w:r w:rsidR="007C192D" w:rsidRPr="00777421">
        <w:t>Corporate</w:t>
      </w:r>
      <w:r w:rsidR="002A73EE" w:rsidRPr="00777421">
        <w:t xml:space="preserve">, Inc., </w:t>
      </w:r>
      <w:r w:rsidR="00343B8E" w:rsidRPr="00777421">
        <w:t>Broadband Ventures Group, LLC, Broadband Fiber, LLC, Broadband Ventures IV, LLC</w:t>
      </w:r>
      <w:r w:rsidR="002A73EE" w:rsidRPr="00777421">
        <w:t>,</w:t>
      </w:r>
      <w:r w:rsidR="00343B8E" w:rsidRPr="00777421">
        <w:t xml:space="preserve"> Broadband Ventures Six, </w:t>
      </w:r>
      <w:r w:rsidR="00F647FC" w:rsidRPr="00777421">
        <w:t xml:space="preserve">LLC, </w:t>
      </w:r>
      <w:r w:rsidR="006139EB" w:rsidRPr="00777421">
        <w:t xml:space="preserve">Thomas M. Balun, Eric Meltzer and Richard Gomez, </w:t>
      </w:r>
      <w:r w:rsidR="00343B8E" w:rsidRPr="00777421">
        <w:t xml:space="preserve">are </w:t>
      </w:r>
      <w:r w:rsidRPr="00777421">
        <w:t xml:space="preserve">hereby </w:t>
      </w:r>
      <w:r w:rsidRPr="00777421">
        <w:rPr>
          <w:b/>
        </w:rPr>
        <w:t>NOTIFIED</w:t>
      </w:r>
      <w:r w:rsidRPr="00777421">
        <w:t xml:space="preserve"> of </w:t>
      </w:r>
      <w:r w:rsidR="0013028D" w:rsidRPr="00777421">
        <w:t>their</w:t>
      </w:r>
      <w:r w:rsidRPr="00777421">
        <w:t xml:space="preserve"> </w:t>
      </w:r>
      <w:r w:rsidRPr="00777421">
        <w:rPr>
          <w:b/>
        </w:rPr>
        <w:t xml:space="preserve">APPARENT </w:t>
      </w:r>
      <w:r w:rsidR="00EB0AC3" w:rsidRPr="00777421">
        <w:rPr>
          <w:b/>
        </w:rPr>
        <w:t>JOINT AND SEVERAL</w:t>
      </w:r>
      <w:r w:rsidR="00343B8E" w:rsidRPr="00777421">
        <w:rPr>
          <w:b/>
        </w:rPr>
        <w:t xml:space="preserve"> </w:t>
      </w:r>
      <w:r w:rsidRPr="00777421">
        <w:rPr>
          <w:b/>
        </w:rPr>
        <w:t>LIABILITY FOR FORFEITURE</w:t>
      </w:r>
      <w:r w:rsidRPr="00777421">
        <w:t xml:space="preserve"> in the amount of </w:t>
      </w:r>
      <w:r w:rsidR="009C0656">
        <w:t>two million two hundred fifty thousand dollars ($2,250,000)</w:t>
      </w:r>
      <w:r w:rsidR="00FF6B53" w:rsidRPr="00777421">
        <w:t xml:space="preserve"> </w:t>
      </w:r>
      <w:r w:rsidRPr="00777421">
        <w:t xml:space="preserve">for </w:t>
      </w:r>
      <w:r w:rsidRPr="00777421">
        <w:rPr>
          <w:szCs w:val="22"/>
        </w:rPr>
        <w:t>willfully</w:t>
      </w:r>
      <w:r w:rsidRPr="00777421">
        <w:t xml:space="preserve"> and repeatedly violating Section 325 of the Communications Act of 1934, as amended, and Section 76.64 of the Commission</w:t>
      </w:r>
      <w:r w:rsidR="009B32E6" w:rsidRPr="00777421">
        <w:t>’</w:t>
      </w:r>
      <w:r w:rsidRPr="00777421">
        <w:t>s rules.</w:t>
      </w:r>
    </w:p>
    <w:p w:rsidR="00377A1D" w:rsidRPr="00777421" w:rsidRDefault="00377A1D" w:rsidP="00012EFE">
      <w:pPr>
        <w:pStyle w:val="ParaNum"/>
      </w:pPr>
      <w:r w:rsidRPr="00777421">
        <w:rPr>
          <w:b/>
        </w:rPr>
        <w:t>IT IS FURTHER ORDERED</w:t>
      </w:r>
      <w:r w:rsidRPr="00777421">
        <w:t>, pursuant</w:t>
      </w:r>
      <w:r w:rsidRPr="00777421">
        <w:rPr>
          <w:szCs w:val="22"/>
        </w:rPr>
        <w:t xml:space="preserve"> to Section 1.80 of the Commission</w:t>
      </w:r>
      <w:r w:rsidR="009B32E6" w:rsidRPr="00777421">
        <w:rPr>
          <w:szCs w:val="22"/>
        </w:rPr>
        <w:t>’</w:t>
      </w:r>
      <w:r w:rsidRPr="00777421">
        <w:rPr>
          <w:szCs w:val="22"/>
        </w:rPr>
        <w:t xml:space="preserve">s rules, that within thirty (30) days of the release of this </w:t>
      </w:r>
      <w:r w:rsidRPr="00777421">
        <w:rPr>
          <w:i/>
          <w:szCs w:val="22"/>
        </w:rPr>
        <w:t>NAL</w:t>
      </w:r>
      <w:r w:rsidRPr="00777421">
        <w:t xml:space="preserve">, </w:t>
      </w:r>
      <w:r w:rsidR="00343B8E" w:rsidRPr="00777421">
        <w:t xml:space="preserve">TV Max, Inc., TV Max, LP, TV Max Houston, Inc., TV Max Holdings, Inc., TV Max Houston, LP, </w:t>
      </w:r>
      <w:r w:rsidR="00377AAC" w:rsidRPr="00777421">
        <w:t>TV M</w:t>
      </w:r>
      <w:r w:rsidR="002A73EE" w:rsidRPr="00777421">
        <w:t>ax</w:t>
      </w:r>
      <w:r w:rsidR="00377AAC" w:rsidRPr="00777421">
        <w:t xml:space="preserve"> Houston GP, LLC, TV Max Corporate, Inc., </w:t>
      </w:r>
      <w:r w:rsidR="00343B8E" w:rsidRPr="00777421">
        <w:t>Broadband Ventures Group, LLC, Broadband Fiber, LLC, Broadband Ventures IV, LLC</w:t>
      </w:r>
      <w:r w:rsidR="002A73EE" w:rsidRPr="00777421">
        <w:t>,</w:t>
      </w:r>
      <w:r w:rsidR="00343B8E" w:rsidRPr="00777421">
        <w:t xml:space="preserve"> Broadband Ventures Six, </w:t>
      </w:r>
      <w:r w:rsidR="00F647FC" w:rsidRPr="00777421">
        <w:t>LLC</w:t>
      </w:r>
      <w:r w:rsidR="00377AAC" w:rsidRPr="00777421">
        <w:t>, Thomas M. Balun, Eric Meltzer and Richard Gomez,</w:t>
      </w:r>
      <w:r w:rsidR="00343B8E" w:rsidRPr="00777421">
        <w:t xml:space="preserve"> </w:t>
      </w:r>
      <w:r w:rsidRPr="00777421">
        <w:rPr>
          <w:b/>
        </w:rPr>
        <w:t>SHALL PAY</w:t>
      </w:r>
      <w:r w:rsidRPr="00777421">
        <w:t xml:space="preserve"> the full amount of the proposed forfeiture or </w:t>
      </w:r>
      <w:r w:rsidRPr="00777421">
        <w:rPr>
          <w:b/>
        </w:rPr>
        <w:t>SHALL FILE</w:t>
      </w:r>
      <w:r w:rsidRPr="00777421">
        <w:t xml:space="preserve"> a written statement seeking reduction or cancellation of the proposed forfeiture, including a detailed factual statement in support of </w:t>
      </w:r>
      <w:r w:rsidR="00343B8E" w:rsidRPr="00777421">
        <w:t xml:space="preserve">their </w:t>
      </w:r>
      <w:r w:rsidRPr="00777421">
        <w:t>request for reduction or cancellation of the proposed forfeiture, and supported by pertinent documents and affidavits.</w:t>
      </w:r>
    </w:p>
    <w:p w:rsidR="002475D3" w:rsidRPr="00777421" w:rsidRDefault="00412C3B" w:rsidP="00012EFE">
      <w:pPr>
        <w:pStyle w:val="ParaNum"/>
      </w:pPr>
      <w:r w:rsidRPr="00777421">
        <w:rPr>
          <w:b/>
        </w:rPr>
        <w:t xml:space="preserve">IT IS FURTHER ORDERED </w:t>
      </w:r>
      <w:r w:rsidRPr="00777421">
        <w:t xml:space="preserve">that </w:t>
      </w:r>
      <w:r w:rsidR="000C137D" w:rsidRPr="00777421">
        <w:t>TV Max</w:t>
      </w:r>
      <w:r w:rsidRPr="00777421">
        <w:t xml:space="preserve"> </w:t>
      </w:r>
      <w:r w:rsidR="00E232C8" w:rsidRPr="00777421">
        <w:rPr>
          <w:b/>
        </w:rPr>
        <w:t>SHALL SUBMIT</w:t>
      </w:r>
      <w:r w:rsidR="00E232C8" w:rsidRPr="00777421">
        <w:t xml:space="preserve"> a written statement as described in paragraph 1</w:t>
      </w:r>
      <w:r w:rsidR="00FF6B53" w:rsidRPr="00777421">
        <w:t>9</w:t>
      </w:r>
      <w:r w:rsidR="00E232C8" w:rsidRPr="00777421">
        <w:t xml:space="preserve">, no later than thirty (30) calendar days from the release date of this </w:t>
      </w:r>
      <w:r w:rsidR="00E232C8" w:rsidRPr="00777421">
        <w:rPr>
          <w:i/>
        </w:rPr>
        <w:t>NAL</w:t>
      </w:r>
      <w:r w:rsidR="00E232C8" w:rsidRPr="00777421">
        <w:t xml:space="preserve"> and Order.  This statement must be mailed to Steven A. Broeckaert, Senior Deputy Chief, Policy Division, Media Bureau, Federal Communications Commission, 445 12</w:t>
      </w:r>
      <w:r w:rsidR="00E232C8" w:rsidRPr="00777421">
        <w:rPr>
          <w:vertAlign w:val="superscript"/>
        </w:rPr>
        <w:t>th</w:t>
      </w:r>
      <w:r w:rsidR="00E232C8" w:rsidRPr="00777421">
        <w:t xml:space="preserve"> Street, S.W., Washington DC 20554, and a copy of this statement must also be transmitted via email to Steven A. Broeckaert at </w:t>
      </w:r>
      <w:hyperlink r:id="rId8" w:history="1">
        <w:r w:rsidR="00E232C8" w:rsidRPr="00777421">
          <w:rPr>
            <w:rStyle w:val="Hyperlink"/>
          </w:rPr>
          <w:t>Steven.Broeckaert@fcc.gov</w:t>
        </w:r>
      </w:hyperlink>
      <w:r w:rsidR="00E232C8" w:rsidRPr="00777421">
        <w:t xml:space="preserve"> and Evan Baranoff at </w:t>
      </w:r>
      <w:hyperlink r:id="rId9" w:history="1">
        <w:r w:rsidR="00E232C8" w:rsidRPr="00777421">
          <w:rPr>
            <w:rStyle w:val="Hyperlink"/>
          </w:rPr>
          <w:t>Evan.Baranoff@fcc.gov</w:t>
        </w:r>
      </w:hyperlink>
      <w:r w:rsidR="00E232C8" w:rsidRPr="00777421">
        <w:t>.</w:t>
      </w:r>
    </w:p>
    <w:p w:rsidR="00C03C6C" w:rsidRPr="00777421" w:rsidRDefault="00C03C6C" w:rsidP="00C03C6C">
      <w:pPr>
        <w:pStyle w:val="ParaNum"/>
      </w:pPr>
      <w:r w:rsidRPr="00777421">
        <w:t xml:space="preserve">Payment of the forfeiture must be made by check or similar instrument, wire transfer, or credit card, and must include the NAL/Account number and FRN referenced above. </w:t>
      </w:r>
      <w:r w:rsidR="00695355" w:rsidRPr="00777421">
        <w:t xml:space="preserve"> </w:t>
      </w:r>
      <w:r w:rsidR="00343B8E" w:rsidRPr="00777421">
        <w:t>Each paying party</w:t>
      </w:r>
      <w:r w:rsidR="00905F5C" w:rsidRPr="00777421">
        <w:t xml:space="preserve"> must also send electronic notification within forty-eight (48) hours of the date said payment is made to </w:t>
      </w:r>
      <w:hyperlink r:id="rId10" w:history="1">
        <w:r w:rsidR="00905F5C" w:rsidRPr="00777421">
          <w:rPr>
            <w:rStyle w:val="Hyperlink"/>
          </w:rPr>
          <w:t>Steven.Broeckaert@fcc.gov</w:t>
        </w:r>
      </w:hyperlink>
      <w:r w:rsidR="00905F5C" w:rsidRPr="00777421">
        <w:t xml:space="preserve"> and </w:t>
      </w:r>
      <w:hyperlink r:id="rId11" w:history="1">
        <w:r w:rsidR="00905F5C" w:rsidRPr="00777421">
          <w:rPr>
            <w:rStyle w:val="Hyperlink"/>
          </w:rPr>
          <w:t>Evan.Baranoff@fcc.gov</w:t>
        </w:r>
      </w:hyperlink>
      <w:r w:rsidR="00905F5C" w:rsidRPr="00777421">
        <w:t xml:space="preserve">.  </w:t>
      </w:r>
      <w:r w:rsidRPr="00777421">
        <w:t>Regardless of the form of payment, a completed FCC Form 159 (Remittance Advice) must be submitted.</w:t>
      </w:r>
      <w:r w:rsidR="00FE5275" w:rsidRPr="00777421">
        <w:rPr>
          <w:rStyle w:val="FootnoteReference"/>
        </w:rPr>
        <w:footnoteReference w:id="75"/>
      </w:r>
      <w:r w:rsidR="00FE5275" w:rsidRPr="00777421">
        <w:t xml:space="preserve"> </w:t>
      </w:r>
      <w:r w:rsidRPr="00777421">
        <w:t xml:space="preserve"> When completing the FCC Form 159, enter the Account Number in block number 23A (call sign/other ID) and enter the letters “FORF” in block number 24A (payment type code). </w:t>
      </w:r>
      <w:r w:rsidR="00905F5C" w:rsidRPr="00777421">
        <w:t xml:space="preserve"> </w:t>
      </w:r>
      <w:r w:rsidRPr="00777421">
        <w:t>Below are additional instructions you should follow based on the form of payment you select:</w:t>
      </w:r>
    </w:p>
    <w:p w:rsidR="00C03C6C" w:rsidRPr="00777421" w:rsidRDefault="00C03C6C" w:rsidP="001E52A9">
      <w:pPr>
        <w:pStyle w:val="ListParagraph"/>
        <w:numPr>
          <w:ilvl w:val="0"/>
          <w:numId w:val="4"/>
        </w:numPr>
        <w:spacing w:before="120" w:after="120"/>
      </w:pPr>
      <w:r w:rsidRPr="00777421">
        <w:t xml:space="preserve">Payment by check or money order must be made payable to the order of the Federal Communications Commission. </w:t>
      </w:r>
      <w:r w:rsidR="00905F5C" w:rsidRPr="00777421">
        <w:t xml:space="preserve"> </w:t>
      </w:r>
      <w:r w:rsidRPr="00777421">
        <w:t>Such payments (along with the completed Form 159) must be mailed to Federal Communications Commission, P.O. Box 979088, St. Louis, MO 63197-9000, or sent via overnight mail to U.S. Bank — Government Lockbox #979088, SL-MO-C2-GL, 1005 Convention Plaza, St. Louis, MO 63101.</w:t>
      </w:r>
    </w:p>
    <w:p w:rsidR="00C03C6C" w:rsidRPr="00777421" w:rsidRDefault="00C03C6C" w:rsidP="001E52A9">
      <w:pPr>
        <w:pStyle w:val="ListParagraph"/>
        <w:numPr>
          <w:ilvl w:val="0"/>
          <w:numId w:val="4"/>
        </w:numPr>
        <w:spacing w:before="120" w:after="120"/>
      </w:pPr>
      <w:r w:rsidRPr="00777421">
        <w:t xml:space="preserve">Payment by wire transfer must be made to ABA Number 021030004, receiving bank TREAS/NYC, and Account Number 27000001. </w:t>
      </w:r>
      <w:r w:rsidR="00905F5C" w:rsidRPr="00777421">
        <w:t xml:space="preserve"> </w:t>
      </w:r>
      <w:r w:rsidRPr="00777421">
        <w:t>To complete the wire transfer and ensure appropriate crediting of the wired funds, a completed Form 159 must be faxed to U.S. Bank at (314) 418-4232 on the same business day the wire transfer is initiated.</w:t>
      </w:r>
    </w:p>
    <w:p w:rsidR="00C03C6C" w:rsidRPr="00777421" w:rsidRDefault="00C03C6C" w:rsidP="001E52A9">
      <w:pPr>
        <w:pStyle w:val="ListParagraph"/>
        <w:numPr>
          <w:ilvl w:val="0"/>
          <w:numId w:val="4"/>
        </w:numPr>
        <w:spacing w:before="120" w:after="120"/>
      </w:pPr>
      <w:r w:rsidRPr="00777421">
        <w:t xml:space="preserve">Payment by credit card must be made by providing the required credit card information on FCC Form 159 and signing and dating the Form 159 to authorize the credit card payment. </w:t>
      </w:r>
      <w:r w:rsidR="00905F5C" w:rsidRPr="00777421">
        <w:t xml:space="preserve"> </w:t>
      </w:r>
      <w:r w:rsidRPr="00777421">
        <w:t>The completed Form 159 must then be mailed to Federal Communications Commission, P.O. Box 979088, St. Louis, MO 63197-9000, or sent via overnight mail to U.S. Bank — Government Lockbox #979088, SL-MO-C2-GL, 1005 Convention Plaza, St. Louis, MO 63101.</w:t>
      </w:r>
    </w:p>
    <w:p w:rsidR="00980A9E" w:rsidRPr="00777421" w:rsidRDefault="00980A9E" w:rsidP="0024068C">
      <w:pPr>
        <w:pStyle w:val="ParaNum"/>
      </w:pPr>
      <w:r w:rsidRPr="00777421">
        <w:t>Any request for full payment under an installment plan should be sent to:  Chief Financial Officer—Financial Operations, Federal Communications Commission, 445 12th Street, S.W., Room 1-A625, Washington, D.C. 20554.</w:t>
      </w:r>
      <w:r w:rsidRPr="00777421">
        <w:rPr>
          <w:rStyle w:val="FootnoteReference"/>
        </w:rPr>
        <w:footnoteReference w:id="76"/>
      </w:r>
      <w:r w:rsidRPr="00777421">
        <w:t xml:space="preserve">  If you have questions regarding payment procedures, please contact the Financial Operations Group Help Desk by phone, 1-877-480-3201, or by e-mail, </w:t>
      </w:r>
      <w:hyperlink r:id="rId12" w:history="1">
        <w:r w:rsidRPr="00777421">
          <w:rPr>
            <w:rStyle w:val="Hyperlink"/>
          </w:rPr>
          <w:t>ARINQUIRIES@fcc.gov</w:t>
        </w:r>
      </w:hyperlink>
      <w:r w:rsidRPr="00777421">
        <w:t xml:space="preserve">. </w:t>
      </w:r>
    </w:p>
    <w:p w:rsidR="00C03C6C" w:rsidRPr="00777421" w:rsidRDefault="00C03C6C" w:rsidP="00C03C6C">
      <w:pPr>
        <w:pStyle w:val="ParaNum"/>
      </w:pPr>
      <w:r w:rsidRPr="00777421">
        <w:t xml:space="preserve">The written statement seeking reduction or cancellation of the proposed forfeiture, if any, must include a detailed factual statement supported by appropriate documentation and affidavits pursuant to Sections 1.16 and 1.80(f)(3) of the </w:t>
      </w:r>
      <w:r w:rsidR="009B5F7A" w:rsidRPr="00777421">
        <w:t>r</w:t>
      </w:r>
      <w:r w:rsidRPr="00777421">
        <w:t>ules.</w:t>
      </w:r>
      <w:r w:rsidR="009B5F7A" w:rsidRPr="00777421">
        <w:rPr>
          <w:rStyle w:val="FootnoteReference"/>
        </w:rPr>
        <w:footnoteReference w:id="77"/>
      </w:r>
      <w:r w:rsidRPr="00777421">
        <w:t xml:space="preserve"> </w:t>
      </w:r>
      <w:r w:rsidR="009B5F7A" w:rsidRPr="00777421">
        <w:t xml:space="preserve"> </w:t>
      </w:r>
      <w:r w:rsidRPr="00777421">
        <w:t>Mail th</w:t>
      </w:r>
      <w:r w:rsidR="009B5F7A" w:rsidRPr="00777421">
        <w:t>is</w:t>
      </w:r>
      <w:r w:rsidRPr="00777421">
        <w:t xml:space="preserve"> written statement </w:t>
      </w:r>
      <w:r w:rsidR="009B5F7A" w:rsidRPr="00777421">
        <w:t>to Steven A. Broeckaert, Senior Deputy Chief, Policy Division, Media Bureau, Federal Communications Commission, 445 12</w:t>
      </w:r>
      <w:r w:rsidR="009B5F7A" w:rsidRPr="00777421">
        <w:rPr>
          <w:vertAlign w:val="superscript"/>
        </w:rPr>
        <w:t>th</w:t>
      </w:r>
      <w:r w:rsidR="009B5F7A" w:rsidRPr="00777421">
        <w:t xml:space="preserve"> Street, S.W., Washington DC 20554, </w:t>
      </w:r>
      <w:r w:rsidRPr="00777421">
        <w:t xml:space="preserve">and include the NAL/Acct. No. referenced in the caption. </w:t>
      </w:r>
      <w:r w:rsidR="009B5F7A" w:rsidRPr="00777421">
        <w:t xml:space="preserve"> A copy of this statement must also be sent via email to Steven A. Broeckaert at </w:t>
      </w:r>
      <w:hyperlink r:id="rId13" w:history="1">
        <w:r w:rsidR="009B5F7A" w:rsidRPr="00777421">
          <w:rPr>
            <w:rStyle w:val="Hyperlink"/>
          </w:rPr>
          <w:t>Steven.Broeckaert@fcc.gov</w:t>
        </w:r>
      </w:hyperlink>
      <w:r w:rsidR="009B5F7A" w:rsidRPr="00777421">
        <w:t xml:space="preserve"> and Evan Baranoff at </w:t>
      </w:r>
      <w:hyperlink r:id="rId14" w:history="1">
        <w:r w:rsidR="009B5F7A" w:rsidRPr="00777421">
          <w:rPr>
            <w:rStyle w:val="Hyperlink"/>
          </w:rPr>
          <w:t>Evan.Baranoff@fcc.gov</w:t>
        </w:r>
      </w:hyperlink>
      <w:r w:rsidRPr="00777421">
        <w:t>.</w:t>
      </w:r>
    </w:p>
    <w:p w:rsidR="00C03C6C" w:rsidRPr="00777421" w:rsidRDefault="00C03C6C" w:rsidP="00C03C6C">
      <w:pPr>
        <w:pStyle w:val="ParaNum"/>
      </w:pPr>
      <w:r w:rsidRPr="00777421">
        <w:t xml:space="preserve">The Commission will not consider reducing or canceling a forfeiture in response to a claim of inability to pay unless </w:t>
      </w:r>
      <w:r w:rsidR="009B5F7A" w:rsidRPr="00777421">
        <w:t>the respondent submits</w:t>
      </w:r>
      <w:r w:rsidR="00752DAF" w:rsidRPr="00777421">
        <w:t xml:space="preserve">, with respect to TV Max, Inc., TV Max, LP, TV Max Houston, Inc., TV Max Holdings, Inc., TV Max Houston, LP, </w:t>
      </w:r>
      <w:r w:rsidR="00377AAC" w:rsidRPr="00777421">
        <w:t xml:space="preserve">TV </w:t>
      </w:r>
      <w:r w:rsidR="008D22BE" w:rsidRPr="00777421">
        <w:t xml:space="preserve">Max </w:t>
      </w:r>
      <w:r w:rsidR="00377AAC" w:rsidRPr="00777421">
        <w:t xml:space="preserve">Houston GP, LLC, TV Max Corporate, Inc., </w:t>
      </w:r>
      <w:r w:rsidR="00752DAF" w:rsidRPr="00777421">
        <w:t>Broadband Ventures Group, LLC, Broadband Fiber, LLC, Broadband Ventures IV, LLC</w:t>
      </w:r>
      <w:r w:rsidR="002A73EE" w:rsidRPr="00777421">
        <w:t>,</w:t>
      </w:r>
      <w:r w:rsidR="00752DAF" w:rsidRPr="00777421">
        <w:t xml:space="preserve"> Broadband Ventures Six, LLC</w:t>
      </w:r>
      <w:r w:rsidR="00377AAC" w:rsidRPr="00777421">
        <w:t>, Thomas M. Balun, Eric Meltzer and Richard Gomez</w:t>
      </w:r>
      <w:r w:rsidR="009B5F7A" w:rsidRPr="00777421">
        <w:t>: (1) federal tax returns for the most recent three-year period; (2) financial statements prepared according to generally accepted accounting practices (“GAAP”); or (3) some other reliable and objective documentation that accurately reflects the respondent</w:t>
      </w:r>
      <w:r w:rsidR="009B32E6" w:rsidRPr="00777421">
        <w:t>’</w:t>
      </w:r>
      <w:r w:rsidR="009B5F7A" w:rsidRPr="00777421">
        <w:t>s current financial status.  Any claim of inability to pay must specifically identify the basis for the claim by reference to the financial documentation submitted.</w:t>
      </w:r>
    </w:p>
    <w:p w:rsidR="0095047B" w:rsidRPr="00777421" w:rsidRDefault="00377A1D" w:rsidP="00012EFE">
      <w:pPr>
        <w:pStyle w:val="ParaNum"/>
      </w:pPr>
      <w:r w:rsidRPr="00777421">
        <w:rPr>
          <w:b/>
        </w:rPr>
        <w:t xml:space="preserve">IT IS </w:t>
      </w:r>
      <w:r w:rsidRPr="00777421">
        <w:rPr>
          <w:b/>
          <w:szCs w:val="22"/>
        </w:rPr>
        <w:t>FURTHER</w:t>
      </w:r>
      <w:r w:rsidRPr="00777421">
        <w:rPr>
          <w:b/>
        </w:rPr>
        <w:t xml:space="preserve"> ORDERED</w:t>
      </w:r>
      <w:r w:rsidRPr="00777421">
        <w:t xml:space="preserve"> that the complaint</w:t>
      </w:r>
      <w:r w:rsidR="00421AB2" w:rsidRPr="00777421">
        <w:t>s</w:t>
      </w:r>
      <w:r w:rsidRPr="00777421">
        <w:t xml:space="preserve"> in th</w:t>
      </w:r>
      <w:r w:rsidR="00421AB2" w:rsidRPr="00777421">
        <w:t xml:space="preserve">e above-referenced </w:t>
      </w:r>
      <w:r w:rsidRPr="00777421">
        <w:t>proceeding</w:t>
      </w:r>
      <w:r w:rsidR="00421AB2" w:rsidRPr="00777421">
        <w:t>s</w:t>
      </w:r>
      <w:r w:rsidRPr="00777421">
        <w:t xml:space="preserve"> </w:t>
      </w:r>
      <w:r w:rsidR="00421AB2" w:rsidRPr="00777421">
        <w:rPr>
          <w:b/>
        </w:rPr>
        <w:t>ARE</w:t>
      </w:r>
      <w:r w:rsidRPr="00777421">
        <w:rPr>
          <w:b/>
          <w:bCs/>
        </w:rPr>
        <w:t xml:space="preserve"> GRANTED</w:t>
      </w:r>
      <w:r w:rsidRPr="00777421">
        <w:t xml:space="preserve"> to the extent indicated herein, and the complaint proceeding</w:t>
      </w:r>
      <w:r w:rsidR="00424730" w:rsidRPr="00777421">
        <w:t>s</w:t>
      </w:r>
      <w:r w:rsidRPr="00777421">
        <w:t xml:space="preserve"> </w:t>
      </w:r>
      <w:r w:rsidR="00424730" w:rsidRPr="00777421">
        <w:rPr>
          <w:b/>
        </w:rPr>
        <w:t>ARE</w:t>
      </w:r>
      <w:r w:rsidR="00424730" w:rsidRPr="00777421">
        <w:rPr>
          <w:b/>
          <w:bCs/>
        </w:rPr>
        <w:t xml:space="preserve"> </w:t>
      </w:r>
      <w:r w:rsidRPr="00777421">
        <w:rPr>
          <w:b/>
          <w:bCs/>
        </w:rPr>
        <w:t>HEREBY TERMINATED</w:t>
      </w:r>
      <w:r w:rsidRPr="00777421">
        <w:t>.</w:t>
      </w:r>
    </w:p>
    <w:p w:rsidR="00377A1D" w:rsidRPr="00777421" w:rsidRDefault="00377A1D" w:rsidP="00FA6BD7">
      <w:pPr>
        <w:pStyle w:val="ParaNum"/>
      </w:pPr>
      <w:r w:rsidRPr="00777421">
        <w:rPr>
          <w:b/>
        </w:rPr>
        <w:t>IT IS FURTHER ORDERED</w:t>
      </w:r>
      <w:r w:rsidRPr="00777421">
        <w:t xml:space="preserve"> that a copy of this </w:t>
      </w:r>
      <w:r w:rsidRPr="00777421">
        <w:rPr>
          <w:i/>
        </w:rPr>
        <w:t xml:space="preserve">NAL </w:t>
      </w:r>
      <w:r w:rsidR="00324408" w:rsidRPr="00777421">
        <w:t xml:space="preserve">and Order </w:t>
      </w:r>
      <w:r w:rsidRPr="00777421">
        <w:t>shall be sent, by First Class Mail and Certified Mail-</w:t>
      </w:r>
      <w:r w:rsidRPr="00777421">
        <w:rPr>
          <w:szCs w:val="22"/>
        </w:rPr>
        <w:t>Return</w:t>
      </w:r>
      <w:r w:rsidRPr="00777421">
        <w:t xml:space="preserve"> Receipt Requested, to </w:t>
      </w:r>
      <w:r w:rsidR="00343B8E" w:rsidRPr="00777421">
        <w:t xml:space="preserve">TV Max, Inc., TV Max, LP, TV Max Houston, Inc., TV Max Holdings, Inc., TV Max Houston, LP, </w:t>
      </w:r>
      <w:r w:rsidR="00377AAC" w:rsidRPr="00777421">
        <w:t>TV M</w:t>
      </w:r>
      <w:r w:rsidR="008D22BE" w:rsidRPr="00777421">
        <w:t>ax</w:t>
      </w:r>
      <w:r w:rsidR="00377AAC" w:rsidRPr="00777421">
        <w:t xml:space="preserve"> Houston GP, LLC, TV Max Corporate, Inc., </w:t>
      </w:r>
      <w:r w:rsidR="00343B8E" w:rsidRPr="00777421">
        <w:t>Broadband Ventures Group, LLC, Broadband Fiber, LLC, Broadband Ventures IV, LLC and Broadband Ventures Six, LLC</w:t>
      </w:r>
      <w:r w:rsidR="00304F3F" w:rsidRPr="00777421">
        <w:t xml:space="preserve">, Attention: Thomas </w:t>
      </w:r>
      <w:r w:rsidR="002A73EE" w:rsidRPr="00777421">
        <w:t xml:space="preserve">M. </w:t>
      </w:r>
      <w:r w:rsidR="00304F3F" w:rsidRPr="00777421">
        <w:t>Balu</w:t>
      </w:r>
      <w:r w:rsidR="00D96A25" w:rsidRPr="00777421">
        <w:t>n</w:t>
      </w:r>
      <w:r w:rsidR="00304F3F" w:rsidRPr="00777421">
        <w:t xml:space="preserve">, </w:t>
      </w:r>
      <w:r w:rsidR="00A904BC" w:rsidRPr="00777421">
        <w:t xml:space="preserve">CEO, </w:t>
      </w:r>
      <w:r w:rsidR="00050A6C" w:rsidRPr="00777421">
        <w:t>10300 Westoffice Drive</w:t>
      </w:r>
      <w:r w:rsidR="003614B4" w:rsidRPr="00777421">
        <w:t>, Suite 200</w:t>
      </w:r>
      <w:r w:rsidR="00050A6C" w:rsidRPr="00777421">
        <w:t>,</w:t>
      </w:r>
      <w:r w:rsidR="003614B4" w:rsidRPr="00777421">
        <w:t xml:space="preserve"> Houston, </w:t>
      </w:r>
      <w:r w:rsidR="00A904BC" w:rsidRPr="00777421">
        <w:t>TX</w:t>
      </w:r>
      <w:r w:rsidR="003614B4" w:rsidRPr="00777421">
        <w:t xml:space="preserve"> 77042</w:t>
      </w:r>
      <w:r w:rsidR="00377AAC" w:rsidRPr="00777421">
        <w:t>;</w:t>
      </w:r>
      <w:r w:rsidR="00304F3F" w:rsidRPr="00777421">
        <w:t xml:space="preserve"> </w:t>
      </w:r>
      <w:r w:rsidR="00FA6BD7" w:rsidRPr="00777421">
        <w:t xml:space="preserve">and to Thomas M. Balun, 10300 Westoffice Drive, Suite 200, Houston, TX 77042, Eric Meltzer, 10300 Westoffice Drive, Suite 200, Houston, TX 77042, and Richard Gomez, 10300 Westoffice Drive, Suite 200, Houston, TX 77042; </w:t>
      </w:r>
      <w:r w:rsidR="00304F3F" w:rsidRPr="00777421">
        <w:t xml:space="preserve">and to </w:t>
      </w:r>
      <w:r w:rsidR="00424730" w:rsidRPr="00777421">
        <w:t xml:space="preserve">Carl E. Kandutsch, </w:t>
      </w:r>
      <w:r w:rsidR="0013028D" w:rsidRPr="00777421">
        <w:t>their a</w:t>
      </w:r>
      <w:r w:rsidR="00424730" w:rsidRPr="00777421">
        <w:t>ttorney</w:t>
      </w:r>
      <w:r w:rsidR="0013028D" w:rsidRPr="00777421">
        <w:t xml:space="preserve">, </w:t>
      </w:r>
      <w:r w:rsidR="00304F3F" w:rsidRPr="00777421">
        <w:t>2520 Avenue K, Suit</w:t>
      </w:r>
      <w:r w:rsidR="00424730" w:rsidRPr="00777421">
        <w:t>e 700-760, Plano, Texas 75074.</w:t>
      </w:r>
    </w:p>
    <w:p w:rsidR="00010B04" w:rsidRPr="00777421" w:rsidRDefault="00010B04" w:rsidP="00010B04">
      <w:pPr>
        <w:pStyle w:val="ParaNum"/>
        <w:numPr>
          <w:ilvl w:val="0"/>
          <w:numId w:val="0"/>
        </w:numPr>
      </w:pPr>
    </w:p>
    <w:p w:rsidR="00010B04" w:rsidRPr="00777421" w:rsidRDefault="00010B04" w:rsidP="00010B04">
      <w:pPr>
        <w:pStyle w:val="ParaNum"/>
        <w:numPr>
          <w:ilvl w:val="0"/>
          <w:numId w:val="0"/>
        </w:numPr>
        <w:spacing w:after="0"/>
        <w:ind w:left="2880" w:firstLine="720"/>
      </w:pPr>
      <w:r w:rsidRPr="00777421">
        <w:t>FEDERAL COMMUNICATIONS COMMISSION</w:t>
      </w:r>
    </w:p>
    <w:p w:rsidR="00010B04" w:rsidRPr="00777421" w:rsidRDefault="00010B04" w:rsidP="00010B04">
      <w:pPr>
        <w:pStyle w:val="ParaNum"/>
        <w:numPr>
          <w:ilvl w:val="0"/>
          <w:numId w:val="0"/>
        </w:numPr>
        <w:spacing w:after="0"/>
      </w:pPr>
    </w:p>
    <w:p w:rsidR="00010B04" w:rsidRPr="00777421" w:rsidRDefault="00010B04" w:rsidP="00010B04">
      <w:pPr>
        <w:pStyle w:val="ParaNum"/>
        <w:numPr>
          <w:ilvl w:val="0"/>
          <w:numId w:val="0"/>
        </w:numPr>
        <w:spacing w:after="0"/>
      </w:pPr>
    </w:p>
    <w:p w:rsidR="00010B04" w:rsidRPr="00777421" w:rsidRDefault="00010B04" w:rsidP="00010B04">
      <w:pPr>
        <w:pStyle w:val="ParaNum"/>
        <w:numPr>
          <w:ilvl w:val="0"/>
          <w:numId w:val="0"/>
        </w:numPr>
        <w:spacing w:after="0"/>
      </w:pPr>
    </w:p>
    <w:p w:rsidR="00010B04" w:rsidRPr="00777421" w:rsidRDefault="00010B04" w:rsidP="00010B04">
      <w:pPr>
        <w:pStyle w:val="ParaNum"/>
        <w:numPr>
          <w:ilvl w:val="0"/>
          <w:numId w:val="0"/>
        </w:numPr>
        <w:spacing w:after="0"/>
      </w:pPr>
    </w:p>
    <w:p w:rsidR="00010B04" w:rsidRPr="00777421" w:rsidRDefault="00010B04" w:rsidP="00010B04">
      <w:pPr>
        <w:pStyle w:val="ParaNum"/>
        <w:numPr>
          <w:ilvl w:val="0"/>
          <w:numId w:val="0"/>
        </w:numPr>
        <w:spacing w:after="0"/>
      </w:pPr>
      <w:r w:rsidRPr="00777421">
        <w:tab/>
      </w:r>
      <w:r w:rsidRPr="00777421">
        <w:tab/>
      </w:r>
      <w:r w:rsidRPr="00777421">
        <w:tab/>
      </w:r>
      <w:r w:rsidRPr="00777421">
        <w:tab/>
      </w:r>
      <w:r w:rsidRPr="00777421">
        <w:tab/>
        <w:t>Marlene H. Dortch</w:t>
      </w:r>
    </w:p>
    <w:p w:rsidR="00010B04" w:rsidRPr="0093585D" w:rsidRDefault="00010B04" w:rsidP="00010B04">
      <w:pPr>
        <w:pStyle w:val="ParaNum"/>
        <w:numPr>
          <w:ilvl w:val="0"/>
          <w:numId w:val="0"/>
        </w:numPr>
        <w:spacing w:after="0"/>
      </w:pPr>
      <w:r w:rsidRPr="00777421">
        <w:tab/>
      </w:r>
      <w:r w:rsidRPr="00777421">
        <w:tab/>
      </w:r>
      <w:r w:rsidRPr="00777421">
        <w:tab/>
      </w:r>
      <w:r w:rsidRPr="00777421">
        <w:tab/>
      </w:r>
      <w:r w:rsidRPr="00777421">
        <w:tab/>
        <w:t>Secretary</w:t>
      </w:r>
    </w:p>
    <w:sectPr w:rsidR="00010B04" w:rsidRPr="0093585D" w:rsidSect="00116F29">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4E1" w:rsidRDefault="001974E1">
      <w:pPr>
        <w:spacing w:line="20" w:lineRule="exact"/>
      </w:pPr>
    </w:p>
  </w:endnote>
  <w:endnote w:type="continuationSeparator" w:id="0">
    <w:p w:rsidR="001974E1" w:rsidRDefault="001974E1">
      <w:r>
        <w:t xml:space="preserve"> </w:t>
      </w:r>
    </w:p>
  </w:endnote>
  <w:endnote w:type="continuationNotice" w:id="1">
    <w:p w:rsidR="001974E1" w:rsidRDefault="001974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EC" w:rsidRDefault="00C0422F">
    <w:pPr>
      <w:pStyle w:val="Footer"/>
      <w:framePr w:wrap="around" w:vAnchor="text" w:hAnchor="margin" w:xAlign="center" w:y="1"/>
    </w:pPr>
    <w:r>
      <w:fldChar w:fldCharType="begin"/>
    </w:r>
    <w:r w:rsidR="003448EC">
      <w:instrText xml:space="preserve">PAGE  </w:instrText>
    </w:r>
    <w:r>
      <w:fldChar w:fldCharType="end"/>
    </w:r>
  </w:p>
  <w:p w:rsidR="003448EC" w:rsidRDefault="00344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EC" w:rsidRDefault="00C0422F">
    <w:pPr>
      <w:pStyle w:val="Footer"/>
      <w:framePr w:wrap="around" w:vAnchor="text" w:hAnchor="margin" w:xAlign="center" w:y="1"/>
    </w:pPr>
    <w:r>
      <w:fldChar w:fldCharType="begin"/>
    </w:r>
    <w:r w:rsidR="003448EC">
      <w:instrText xml:space="preserve">PAGE  </w:instrText>
    </w:r>
    <w:r>
      <w:fldChar w:fldCharType="separate"/>
    </w:r>
    <w:r w:rsidR="00FA3DD3">
      <w:rPr>
        <w:noProof/>
      </w:rPr>
      <w:t>2</w:t>
    </w:r>
    <w:r>
      <w:fldChar w:fldCharType="end"/>
    </w:r>
  </w:p>
  <w:p w:rsidR="003448EC" w:rsidRDefault="003448EC">
    <w:pPr>
      <w:spacing w:before="140" w:line="100" w:lineRule="exact"/>
      <w:rPr>
        <w:sz w:val="10"/>
      </w:rPr>
    </w:pPr>
  </w:p>
  <w:p w:rsidR="003448EC" w:rsidRDefault="003448EC">
    <w:pPr>
      <w:suppressAutoHyphens/>
      <w:spacing w:line="227" w:lineRule="auto"/>
    </w:pPr>
  </w:p>
  <w:p w:rsidR="003448EC" w:rsidRDefault="003448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EC" w:rsidRDefault="003448E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4E1" w:rsidRDefault="001974E1">
      <w:r>
        <w:separator/>
      </w:r>
    </w:p>
  </w:footnote>
  <w:footnote w:type="continuationSeparator" w:id="0">
    <w:p w:rsidR="001974E1" w:rsidRDefault="001974E1">
      <w:pPr>
        <w:rPr>
          <w:sz w:val="20"/>
        </w:rPr>
      </w:pPr>
      <w:r>
        <w:rPr>
          <w:sz w:val="20"/>
        </w:rPr>
        <w:t xml:space="preserve">(Continued from previous page)  </w:t>
      </w:r>
      <w:r>
        <w:rPr>
          <w:sz w:val="20"/>
        </w:rPr>
        <w:separator/>
      </w:r>
    </w:p>
  </w:footnote>
  <w:footnote w:type="continuationNotice" w:id="1">
    <w:p w:rsidR="001974E1" w:rsidRDefault="001974E1">
      <w:pPr>
        <w:rPr>
          <w:sz w:val="20"/>
        </w:rPr>
      </w:pPr>
      <w:r>
        <w:rPr>
          <w:sz w:val="20"/>
        </w:rPr>
        <w:t>(continued….)</w:t>
      </w:r>
    </w:p>
  </w:footnote>
  <w:footnote w:id="2">
    <w:p w:rsidR="00CF2E45" w:rsidRPr="008D7781" w:rsidRDefault="00CF2E45" w:rsidP="00CF2E45">
      <w:pPr>
        <w:pStyle w:val="FootnoteText"/>
      </w:pPr>
      <w:r w:rsidRPr="008D7781">
        <w:rPr>
          <w:rStyle w:val="FootnoteReference"/>
        </w:rPr>
        <w:footnoteRef/>
      </w:r>
      <w:r w:rsidRPr="008D7781">
        <w:t xml:space="preserve"> </w:t>
      </w:r>
      <w:r w:rsidR="002A73EE" w:rsidRPr="008D7781">
        <w:t xml:space="preserve">Based upon </w:t>
      </w:r>
      <w:r w:rsidR="009D4253" w:rsidRPr="008D7781">
        <w:t>the record before u</w:t>
      </w:r>
      <w:r w:rsidR="002A73EE" w:rsidRPr="008D7781">
        <w:t>s, t</w:t>
      </w:r>
      <w:r w:rsidR="00343B8E" w:rsidRPr="008D7781">
        <w:t>hese entities</w:t>
      </w:r>
      <w:r w:rsidR="0013028D" w:rsidRPr="008D7781">
        <w:t xml:space="preserve"> and individuals</w:t>
      </w:r>
      <w:r w:rsidR="00343B8E" w:rsidRPr="008D7781">
        <w:t xml:space="preserve"> include TV Max, Inc., TV Max, LP, TV Max Houston, Inc., TV Max Holdings, Inc., TV Max Houston, LP, </w:t>
      </w:r>
      <w:r w:rsidR="00C0422F" w:rsidRPr="008D7781">
        <w:t>TV Max Houston GP, LLC</w:t>
      </w:r>
      <w:r w:rsidR="002F6B48" w:rsidRPr="008D7781">
        <w:t xml:space="preserve">, TV Max Corporate, Inc., </w:t>
      </w:r>
      <w:r w:rsidR="00343B8E" w:rsidRPr="008D7781">
        <w:t>Broadband Ventures Group, LLC, Broadband Fiber, LLC, Broadband Ventures IV, LLC and Broadband Ventures Six, LLC</w:t>
      </w:r>
      <w:r w:rsidR="00D93F1F" w:rsidRPr="008D7781">
        <w:t xml:space="preserve">, </w:t>
      </w:r>
      <w:r w:rsidR="0013028D" w:rsidRPr="008D7781">
        <w:t>and their common controlling parties, Thomas M. Balun, Eric Meltzer and Richard Gomez</w:t>
      </w:r>
      <w:r w:rsidR="00343B8E" w:rsidRPr="008D7781">
        <w:t xml:space="preserve">. </w:t>
      </w:r>
      <w:r w:rsidR="002F6B48" w:rsidRPr="008D7781">
        <w:t xml:space="preserve"> </w:t>
      </w:r>
      <w:r w:rsidR="006B6842" w:rsidRPr="008D7781">
        <w:t>As discussed</w:t>
      </w:r>
      <w:r w:rsidR="006B6842" w:rsidRPr="008D7781">
        <w:rPr>
          <w:i/>
        </w:rPr>
        <w:t>, infra</w:t>
      </w:r>
      <w:r w:rsidR="006B6842" w:rsidRPr="008D7781">
        <w:t xml:space="preserve">, </w:t>
      </w:r>
      <w:r w:rsidR="006C3EAA" w:rsidRPr="008D7781">
        <w:t>at paragraph</w:t>
      </w:r>
      <w:r w:rsidR="00D93F1F" w:rsidRPr="008D7781">
        <w:t xml:space="preserve"> 9</w:t>
      </w:r>
      <w:r w:rsidR="006C3EAA" w:rsidRPr="008D7781">
        <w:t xml:space="preserve">, </w:t>
      </w:r>
      <w:r w:rsidR="006B6842" w:rsidRPr="008D7781">
        <w:t>t</w:t>
      </w:r>
      <w:r w:rsidRPr="008D7781">
        <w:t>he record</w:t>
      </w:r>
      <w:r w:rsidR="006B6842" w:rsidRPr="008D7781">
        <w:t xml:space="preserve"> supports treating these entities</w:t>
      </w:r>
      <w:r w:rsidR="0013028D" w:rsidRPr="008D7781">
        <w:t xml:space="preserve"> and individuals</w:t>
      </w:r>
      <w:r w:rsidR="006B6842" w:rsidRPr="008D7781">
        <w:t xml:space="preserve"> as one and the same.</w:t>
      </w:r>
      <w:r w:rsidR="006C3EAA" w:rsidRPr="008D7781">
        <w:t xml:space="preserve"> </w:t>
      </w:r>
      <w:r w:rsidR="002F6B48" w:rsidRPr="008D7781">
        <w:t xml:space="preserve"> </w:t>
      </w:r>
      <w:r w:rsidR="006C3EAA" w:rsidRPr="008D7781">
        <w:t xml:space="preserve">For purposes of simplicity, unless otherwise noted, they will </w:t>
      </w:r>
      <w:r w:rsidR="0013028D" w:rsidRPr="008D7781">
        <w:t xml:space="preserve">collectively </w:t>
      </w:r>
      <w:r w:rsidR="006C3EAA" w:rsidRPr="008D7781">
        <w:t>be referred to herein as “TV Max.”</w:t>
      </w:r>
    </w:p>
  </w:footnote>
  <w:footnote w:id="3">
    <w:p w:rsidR="003448EC" w:rsidRPr="008D7781" w:rsidRDefault="003448EC">
      <w:pPr>
        <w:pStyle w:val="FootnoteText"/>
      </w:pPr>
      <w:r w:rsidRPr="008D7781">
        <w:rPr>
          <w:rStyle w:val="FootnoteReference"/>
        </w:rPr>
        <w:footnoteRef/>
      </w:r>
      <w:r w:rsidRPr="008D7781">
        <w:t xml:space="preserve"> The six stations involved are KTXH(TV), KRIV(TV), KXLN-DT, KFTH-DT, KPRC-TV, and KTRK-TV.</w:t>
      </w:r>
    </w:p>
  </w:footnote>
  <w:footnote w:id="4">
    <w:p w:rsidR="003448EC" w:rsidRPr="008D7781" w:rsidRDefault="003448EC">
      <w:pPr>
        <w:pStyle w:val="FootnoteText"/>
      </w:pPr>
      <w:r w:rsidRPr="008D7781">
        <w:rPr>
          <w:rStyle w:val="FootnoteReference"/>
          <w:sz w:val="20"/>
        </w:rPr>
        <w:footnoteRef/>
      </w:r>
      <w:r w:rsidRPr="008D7781">
        <w:t xml:space="preserve"> 47 U.S.C. § 325(b)(1)(A); 47 C.F.R. § 76.64(a).  </w:t>
      </w:r>
    </w:p>
  </w:footnote>
  <w:footnote w:id="5">
    <w:p w:rsidR="00587E26" w:rsidRPr="008D7781" w:rsidRDefault="00587E26" w:rsidP="00587E26">
      <w:pPr>
        <w:pStyle w:val="FootnoteText"/>
      </w:pPr>
      <w:r w:rsidRPr="008D7781">
        <w:rPr>
          <w:rStyle w:val="FootnoteReference"/>
        </w:rPr>
        <w:footnoteRef/>
      </w:r>
      <w:r w:rsidRPr="008D7781">
        <w:t xml:space="preserve"> </w:t>
      </w:r>
      <w:r w:rsidR="006552DE" w:rsidRPr="008D7781">
        <w:rPr>
          <w:i/>
        </w:rPr>
        <w:t>See infra</w:t>
      </w:r>
      <w:r w:rsidR="006552DE" w:rsidRPr="008D7781">
        <w:t xml:space="preserve"> </w:t>
      </w:r>
      <w:r w:rsidR="00ED00CB" w:rsidRPr="008D7781">
        <w:t>¶</w:t>
      </w:r>
      <w:r w:rsidR="006B3A48" w:rsidRPr="008D7781">
        <w:t>¶ 1</w:t>
      </w:r>
      <w:r w:rsidR="00FF6B53" w:rsidRPr="008D7781">
        <w:t>9</w:t>
      </w:r>
      <w:r w:rsidR="006B3A48" w:rsidRPr="008D7781">
        <w:t xml:space="preserve"> and </w:t>
      </w:r>
      <w:r w:rsidR="00FF6B53" w:rsidRPr="008D7781">
        <w:t>21</w:t>
      </w:r>
      <w:r w:rsidR="00ED00CB" w:rsidRPr="008D7781">
        <w:t>.</w:t>
      </w:r>
    </w:p>
  </w:footnote>
  <w:footnote w:id="6">
    <w:p w:rsidR="003448EC" w:rsidRPr="008D7781" w:rsidRDefault="003448EC" w:rsidP="009F2055">
      <w:pPr>
        <w:pStyle w:val="FootnoteText"/>
      </w:pPr>
      <w:r w:rsidRPr="008D7781">
        <w:rPr>
          <w:rStyle w:val="FootnoteReference"/>
        </w:rPr>
        <w:footnoteRef/>
      </w:r>
      <w:r w:rsidRPr="008D7781">
        <w:t xml:space="preserve"> </w:t>
      </w:r>
      <w:r w:rsidR="00C81019" w:rsidRPr="008D7781">
        <w:rPr>
          <w:i/>
        </w:rPr>
        <w:t>See</w:t>
      </w:r>
      <w:r w:rsidR="00C81019" w:rsidRPr="008D7781">
        <w:t xml:space="preserve">, </w:t>
      </w:r>
      <w:r w:rsidR="00C81019" w:rsidRPr="008D7781">
        <w:rPr>
          <w:i/>
        </w:rPr>
        <w:t>e.g.</w:t>
      </w:r>
      <w:r w:rsidR="00C81019" w:rsidRPr="008D7781">
        <w:t xml:space="preserve">, Answer of </w:t>
      </w:r>
      <w:r w:rsidR="000C137D" w:rsidRPr="008D7781">
        <w:t>TV Max</w:t>
      </w:r>
      <w:r w:rsidR="00C81019" w:rsidRPr="008D7781">
        <w:t xml:space="preserve"> to Univision Complaint, MB Docket No. 12-181, dated Jul. 19, 2012, at 1-2.  </w:t>
      </w:r>
      <w:r w:rsidR="000B473A" w:rsidRPr="008D7781">
        <w:t xml:space="preserve">According to </w:t>
      </w:r>
      <w:r w:rsidR="000C137D" w:rsidRPr="008D7781">
        <w:t>TV Max</w:t>
      </w:r>
      <w:r w:rsidR="000B473A" w:rsidRPr="008D7781">
        <w:t>, it</w:t>
      </w:r>
      <w:r w:rsidR="00C81019" w:rsidRPr="008D7781">
        <w:t xml:space="preserve"> currently holds a cable television franchise with the City of Houston, TX.</w:t>
      </w:r>
      <w:r w:rsidRPr="008D7781">
        <w:t xml:space="preserve">  </w:t>
      </w:r>
      <w:r w:rsidRPr="008D7781">
        <w:rPr>
          <w:i/>
        </w:rPr>
        <w:t>Id</w:t>
      </w:r>
      <w:r w:rsidRPr="008D7781">
        <w:t>.</w:t>
      </w:r>
      <w:r w:rsidR="00410AAE" w:rsidRPr="008D7781">
        <w:t xml:space="preserve"> </w:t>
      </w:r>
    </w:p>
  </w:footnote>
  <w:footnote w:id="7">
    <w:p w:rsidR="00053371" w:rsidRPr="008D7781" w:rsidRDefault="00053371" w:rsidP="00053371">
      <w:pPr>
        <w:pStyle w:val="FootnoteText"/>
      </w:pPr>
      <w:r w:rsidRPr="008D7781">
        <w:rPr>
          <w:rStyle w:val="FootnoteReference"/>
        </w:rPr>
        <w:footnoteRef/>
      </w:r>
      <w:r w:rsidRPr="008D7781">
        <w:t xml:space="preserve"> FOX is the parent company of the licensee of full-power television stations KTXH(TV) and KRIV(TV), Houston, TX.  Univision is the parent company of the licensee of full-power television stations KXLN-DT, Rosenberg, TX and KFTH-DT, Alvin, TX.  Post-Newsweek is the licensee of full-power television station KPRC-TV, Houston, TX.  ABC is the parent company of the licensee of full-power television station KTRK-TV, Houston, TX.</w:t>
      </w:r>
    </w:p>
  </w:footnote>
  <w:footnote w:id="8">
    <w:p w:rsidR="003448EC" w:rsidRPr="008D7781" w:rsidRDefault="003448EC">
      <w:pPr>
        <w:pStyle w:val="FootnoteText"/>
      </w:pPr>
      <w:r w:rsidRPr="008D7781">
        <w:rPr>
          <w:rStyle w:val="FootnoteReference"/>
        </w:rPr>
        <w:footnoteRef/>
      </w:r>
      <w:r w:rsidRPr="008D7781">
        <w:t xml:space="preserve"> </w:t>
      </w:r>
      <w:r w:rsidR="000A32A0" w:rsidRPr="008D7781">
        <w:rPr>
          <w:i/>
        </w:rPr>
        <w:t xml:space="preserve">See </w:t>
      </w:r>
      <w:r w:rsidR="000A32A0" w:rsidRPr="008D7781">
        <w:t>FOX Complaint Concerning KTXH(TV) and KRIV(TV), Houston TX, MB Docket No. 12-113, CSR No. 8623-C (dated Apr. 12, 2012) at 2 (“FOX Complaint”); Univision Complaint Concerning KXLN-DT, Rosenberg, TX and KFTH-DT, Alvin, TX, MB Docket No. 12-181, CSR No. 8669-C (dated Jun. 21, 2012) at 2 (“Univision Complaint”); Post-Newsweek Complaint Concerning KPRC-TV, Houston, TX, MB Docket No. 12-222, CSR No. 8694-C (dated Jul. 31, 2012) at 2 (“Post-Newsweek Complaint”); ABC Complaint Concerning KTRK-TV, Houston, TX, MB Docket No. 12-266, CSR No. 8707-C (dated Sept. 5, 2012) at 2 (“ABC Complaint”).</w:t>
      </w:r>
    </w:p>
  </w:footnote>
  <w:footnote w:id="9">
    <w:p w:rsidR="00316800" w:rsidRPr="008D7781" w:rsidRDefault="00316800">
      <w:pPr>
        <w:pStyle w:val="FootnoteText"/>
      </w:pPr>
      <w:r w:rsidRPr="008D7781">
        <w:rPr>
          <w:rStyle w:val="FootnoteReference"/>
        </w:rPr>
        <w:footnoteRef/>
      </w:r>
      <w:r w:rsidRPr="008D7781">
        <w:t xml:space="preserve"> Commercial television stations are required to make elections between retransmission consent and must-carry status at three year</w:t>
      </w:r>
      <w:r w:rsidR="00B30974" w:rsidRPr="008D7781">
        <w:t xml:space="preserve"> intervals.  47 C.F.R. § 76.64(f).</w:t>
      </w:r>
    </w:p>
  </w:footnote>
  <w:footnote w:id="10">
    <w:p w:rsidR="003448EC" w:rsidRPr="008D7781" w:rsidRDefault="003448EC">
      <w:pPr>
        <w:pStyle w:val="FootnoteText"/>
      </w:pPr>
      <w:r w:rsidRPr="008D7781">
        <w:rPr>
          <w:rStyle w:val="FootnoteReference"/>
        </w:rPr>
        <w:footnoteRef/>
      </w:r>
      <w:r w:rsidRPr="008D7781">
        <w:t xml:space="preserve"> </w:t>
      </w:r>
      <w:r w:rsidRPr="008D7781">
        <w:rPr>
          <w:i/>
        </w:rPr>
        <w:t>See</w:t>
      </w:r>
      <w:r w:rsidRPr="008D7781">
        <w:t xml:space="preserve"> FOX Complaint at Attachment 1, Exhibit A; Univision Complaint at Exhibit 1; Post-Newsweek Complaint at Exhibit 1; ABC Complaint at Exhibit B.</w:t>
      </w:r>
    </w:p>
  </w:footnote>
  <w:footnote w:id="11">
    <w:p w:rsidR="003448EC" w:rsidRPr="008D7781" w:rsidRDefault="003448EC" w:rsidP="00D3257A">
      <w:pPr>
        <w:pStyle w:val="FootnoteText"/>
      </w:pPr>
      <w:r w:rsidRPr="008D7781">
        <w:rPr>
          <w:rStyle w:val="FootnoteReference"/>
        </w:rPr>
        <w:footnoteRef/>
      </w:r>
      <w:r w:rsidRPr="008D7781">
        <w:t xml:space="preserve"> </w:t>
      </w:r>
      <w:r w:rsidRPr="008D7781">
        <w:rPr>
          <w:i/>
        </w:rPr>
        <w:t>See</w:t>
      </w:r>
      <w:r w:rsidRPr="008D7781">
        <w:t xml:space="preserve"> FOX Complaint at 2; Univision Complaint at 2-3; Post-Newsweek Complaint at 2; ABC Complaint at 2-5.</w:t>
      </w:r>
    </w:p>
  </w:footnote>
  <w:footnote w:id="12">
    <w:p w:rsidR="003448EC" w:rsidRPr="008D7781" w:rsidRDefault="003448EC">
      <w:pPr>
        <w:pStyle w:val="FootnoteText"/>
      </w:pPr>
      <w:r w:rsidRPr="008D7781">
        <w:rPr>
          <w:rStyle w:val="FootnoteReference"/>
        </w:rPr>
        <w:footnoteRef/>
      </w:r>
      <w:r w:rsidRPr="008D7781">
        <w:t xml:space="preserve"> </w:t>
      </w:r>
      <w:r w:rsidRPr="008D7781">
        <w:rPr>
          <w:i/>
        </w:rPr>
        <w:t>See</w:t>
      </w:r>
      <w:r w:rsidRPr="008D7781">
        <w:t xml:space="preserve"> FOX Complaint at 5; Univision Complaint at </w:t>
      </w:r>
      <w:r w:rsidR="0095110F" w:rsidRPr="008D7781">
        <w:t>2-</w:t>
      </w:r>
      <w:r w:rsidRPr="008D7781">
        <w:t>3; Post-Newsweek Complaint at 4; A</w:t>
      </w:r>
      <w:r w:rsidR="0095110F" w:rsidRPr="008D7781">
        <w:t>BC Complaint at 6.</w:t>
      </w:r>
      <w:r w:rsidR="00C50EC8" w:rsidRPr="008D7781">
        <w:t xml:space="preserve"> </w:t>
      </w:r>
      <w:r w:rsidR="005D5870" w:rsidRPr="008D7781">
        <w:t xml:space="preserve"> </w:t>
      </w:r>
      <w:r w:rsidR="005D5870" w:rsidRPr="008D7781">
        <w:rPr>
          <w:i/>
        </w:rPr>
        <w:t>See also</w:t>
      </w:r>
      <w:r w:rsidR="005D5870" w:rsidRPr="008D7781">
        <w:t xml:space="preserve"> </w:t>
      </w:r>
      <w:r w:rsidR="006D1ECF" w:rsidRPr="008D7781">
        <w:t xml:space="preserve">Letter of Eve R. Pogoriler, Covington &amp; Burling (Univision counsel) dated Apr. 2, 2013; Letter of Jennifer A. Johnson, Covington &amp; Burling (Post-Newsweek counsel) dated Apr. 2, 2013; Email of Tom W. Davidson, Akin Gump Strauss Hauer &amp; Feld LLP (ABC counsel) dated Apr. 2, 2013; Letter of Ellen S. Agress, FOX Senior Vice President, dated Apr. 3, 2013; </w:t>
      </w:r>
      <w:r w:rsidR="006D1ECF" w:rsidRPr="008D7781">
        <w:rPr>
          <w:i/>
        </w:rPr>
        <w:t>and see</w:t>
      </w:r>
      <w:r w:rsidR="006D1ECF" w:rsidRPr="008D7781">
        <w:t xml:space="preserve"> </w:t>
      </w:r>
      <w:r w:rsidR="00C50EC8" w:rsidRPr="008D7781">
        <w:t xml:space="preserve">the </w:t>
      </w:r>
      <w:r w:rsidR="000C137D" w:rsidRPr="008D7781">
        <w:t>Wavevision</w:t>
      </w:r>
      <w:r w:rsidR="00C50EC8" w:rsidRPr="008D7781">
        <w:t xml:space="preserve"> </w:t>
      </w:r>
      <w:r w:rsidR="005D5870" w:rsidRPr="008D7781">
        <w:t>channel line-up shown at</w:t>
      </w:r>
      <w:r w:rsidR="00C50EC8" w:rsidRPr="008D7781">
        <w:t xml:space="preserve">: </w:t>
      </w:r>
      <w:hyperlink r:id="rId1" w:history="1">
        <w:r w:rsidR="00C50EC8" w:rsidRPr="008D7781">
          <w:rPr>
            <w:rStyle w:val="Hyperlink"/>
          </w:rPr>
          <w:t>http://www.wavevision.com/houston/channel-line-up</w:t>
        </w:r>
      </w:hyperlink>
      <w:r w:rsidR="006D1ECF" w:rsidRPr="008D7781">
        <w:rPr>
          <w:rStyle w:val="Hyperlink"/>
        </w:rPr>
        <w:t xml:space="preserve"> </w:t>
      </w:r>
      <w:r w:rsidR="00EF43ED" w:rsidRPr="008D7781">
        <w:t>(</w:t>
      </w:r>
      <w:r w:rsidR="00585314">
        <w:t xml:space="preserve">last </w:t>
      </w:r>
      <w:r w:rsidR="00EF43ED" w:rsidRPr="008D7781">
        <w:t xml:space="preserve">visited </w:t>
      </w:r>
      <w:r w:rsidR="00EB0CCC">
        <w:t>June 21</w:t>
      </w:r>
      <w:r w:rsidR="00EF43ED" w:rsidRPr="008D7781">
        <w:t>, 2013).</w:t>
      </w:r>
    </w:p>
  </w:footnote>
  <w:footnote w:id="13">
    <w:p w:rsidR="003448EC" w:rsidRPr="008D7781" w:rsidRDefault="003448EC">
      <w:pPr>
        <w:pStyle w:val="FootnoteText"/>
      </w:pPr>
      <w:r w:rsidRPr="008D7781">
        <w:rPr>
          <w:rStyle w:val="FootnoteReference"/>
        </w:rPr>
        <w:footnoteRef/>
      </w:r>
      <w:r w:rsidRPr="008D7781">
        <w:t xml:space="preserve"> </w:t>
      </w:r>
      <w:r w:rsidR="00976E1E" w:rsidRPr="008D7781">
        <w:rPr>
          <w:i/>
        </w:rPr>
        <w:t>See</w:t>
      </w:r>
      <w:r w:rsidR="00976E1E" w:rsidRPr="008D7781">
        <w:t xml:space="preserve"> FOX Complaint at 3-5 </w:t>
      </w:r>
      <w:r w:rsidR="001109C8" w:rsidRPr="008D7781">
        <w:t xml:space="preserve">and Attachments 3 and 4 </w:t>
      </w:r>
      <w:r w:rsidR="00976E1E" w:rsidRPr="008D7781">
        <w:t xml:space="preserve">(stating it sent letters </w:t>
      </w:r>
      <w:r w:rsidR="00103AF9" w:rsidRPr="008D7781">
        <w:t xml:space="preserve">to </w:t>
      </w:r>
      <w:r w:rsidR="000C137D" w:rsidRPr="008D7781">
        <w:t>TV Max</w:t>
      </w:r>
      <w:r w:rsidR="00103AF9" w:rsidRPr="008D7781">
        <w:t xml:space="preserve"> </w:t>
      </w:r>
      <w:r w:rsidR="00976E1E" w:rsidRPr="008D7781">
        <w:t>both before and after the agreement expired); Univision Complaint at 3 (</w:t>
      </w:r>
      <w:r w:rsidR="006C5D79" w:rsidRPr="008D7781">
        <w:t xml:space="preserve">stating </w:t>
      </w:r>
      <w:r w:rsidR="004B6B9F" w:rsidRPr="008D7781">
        <w:t>Univision actually terminated</w:t>
      </w:r>
      <w:r w:rsidR="00103AF9" w:rsidRPr="008D7781">
        <w:t xml:space="preserve"> its agreement with </w:t>
      </w:r>
      <w:r w:rsidR="000C137D" w:rsidRPr="008D7781">
        <w:t>TV Max</w:t>
      </w:r>
      <w:r w:rsidR="00103AF9" w:rsidRPr="008D7781">
        <w:t xml:space="preserve"> </w:t>
      </w:r>
      <w:r w:rsidR="004B6B9F" w:rsidRPr="008D7781">
        <w:t>based on an uncured material breach for failure to pay starting in mid-2010 and</w:t>
      </w:r>
      <w:r w:rsidR="00A10601" w:rsidRPr="008D7781">
        <w:t>, after sending several default notice letters over the course of 2011,</w:t>
      </w:r>
      <w:r w:rsidR="004B6B9F" w:rsidRPr="008D7781">
        <w:t xml:space="preserve"> by letter dated November 30, 2011 directed </w:t>
      </w:r>
      <w:r w:rsidR="000C137D" w:rsidRPr="008D7781">
        <w:t>TV Max</w:t>
      </w:r>
      <w:r w:rsidR="004B6B9F" w:rsidRPr="008D7781">
        <w:t xml:space="preserve"> to either pay the full amount of delinquent payments or to cease transmitting the stations </w:t>
      </w:r>
      <w:r w:rsidR="00A10601" w:rsidRPr="008D7781">
        <w:t>effective</w:t>
      </w:r>
      <w:r w:rsidR="004B6B9F" w:rsidRPr="008D7781">
        <w:t xml:space="preserve"> December 3, 2011</w:t>
      </w:r>
      <w:r w:rsidR="00976E1E" w:rsidRPr="008D7781">
        <w:t xml:space="preserve">); Post-Newsweek Complaint at </w:t>
      </w:r>
      <w:r w:rsidR="00103AF9" w:rsidRPr="008D7781">
        <w:t xml:space="preserve">2 (stating it sent letters to </w:t>
      </w:r>
      <w:r w:rsidR="000C137D" w:rsidRPr="008D7781">
        <w:t>TV Max</w:t>
      </w:r>
      <w:r w:rsidR="00103AF9" w:rsidRPr="008D7781">
        <w:t xml:space="preserve"> in January and March of 2012)</w:t>
      </w:r>
      <w:r w:rsidR="00976E1E" w:rsidRPr="008D7781">
        <w:t xml:space="preserve">; ABC Complaint at </w:t>
      </w:r>
      <w:r w:rsidR="001109C8" w:rsidRPr="008D7781">
        <w:t xml:space="preserve">5 (stating it sent a letter to </w:t>
      </w:r>
      <w:r w:rsidR="000C137D" w:rsidRPr="008D7781">
        <w:t>TV Max</w:t>
      </w:r>
      <w:r w:rsidR="001109C8" w:rsidRPr="008D7781">
        <w:t xml:space="preserve"> in March 2012)</w:t>
      </w:r>
      <w:r w:rsidR="00976E1E" w:rsidRPr="008D7781">
        <w:t>.</w:t>
      </w:r>
    </w:p>
  </w:footnote>
  <w:footnote w:id="14">
    <w:p w:rsidR="00B30974" w:rsidRPr="008D7781" w:rsidRDefault="00B30974" w:rsidP="00B30974">
      <w:pPr>
        <w:pStyle w:val="FootnoteText"/>
      </w:pPr>
      <w:r w:rsidRPr="008D7781">
        <w:rPr>
          <w:rStyle w:val="FootnoteReference"/>
        </w:rPr>
        <w:footnoteRef/>
      </w:r>
      <w:r w:rsidRPr="008D7781">
        <w:t xml:space="preserve"> </w:t>
      </w:r>
      <w:r w:rsidRPr="008D7781">
        <w:rPr>
          <w:i/>
        </w:rPr>
        <w:t>See</w:t>
      </w:r>
      <w:r w:rsidRPr="008D7781">
        <w:t xml:space="preserve"> FOX Complaint </w:t>
      </w:r>
      <w:r w:rsidR="00C50EC8" w:rsidRPr="008D7781">
        <w:t>at 3-5</w:t>
      </w:r>
      <w:r w:rsidR="00D75D6E" w:rsidRPr="008D7781">
        <w:t xml:space="preserve"> </w:t>
      </w:r>
      <w:r w:rsidRPr="008D7781">
        <w:t xml:space="preserve">and </w:t>
      </w:r>
      <w:r w:rsidR="00C50EC8" w:rsidRPr="008D7781">
        <w:t xml:space="preserve">Attachments 3 and 4 (stating it sent letters to </w:t>
      </w:r>
      <w:r w:rsidR="000C137D" w:rsidRPr="008D7781">
        <w:t>TV Max</w:t>
      </w:r>
      <w:r w:rsidR="00C50EC8" w:rsidRPr="008D7781">
        <w:t xml:space="preserve"> both before and after the agreement expired</w:t>
      </w:r>
      <w:r w:rsidR="00FF6B53" w:rsidRPr="008D7781">
        <w:t>.</w:t>
      </w:r>
      <w:r w:rsidRPr="008D7781">
        <w:t xml:space="preserve">”); Univision  Complaint </w:t>
      </w:r>
      <w:r w:rsidR="00C50EC8" w:rsidRPr="008D7781">
        <w:t xml:space="preserve">at 3 (stating it terminated its agreement with </w:t>
      </w:r>
      <w:r w:rsidR="000C137D" w:rsidRPr="008D7781">
        <w:t>TV Max</w:t>
      </w:r>
      <w:r w:rsidR="00C50EC8" w:rsidRPr="008D7781">
        <w:t xml:space="preserve"> even before its agreement was scheduled to expire because </w:t>
      </w:r>
      <w:r w:rsidR="000C137D" w:rsidRPr="008D7781">
        <w:t>TV Max</w:t>
      </w:r>
      <w:r w:rsidR="00C50EC8" w:rsidRPr="008D7781">
        <w:t xml:space="preserve"> failed to make the required payments</w:t>
      </w:r>
      <w:r w:rsidRPr="008D7781">
        <w:t xml:space="preserve">; Post-Newsweek Complaint </w:t>
      </w:r>
      <w:r w:rsidR="00C50EC8" w:rsidRPr="008D7781">
        <w:t xml:space="preserve">at 2 (stating it sent letters to </w:t>
      </w:r>
      <w:r w:rsidR="000C137D" w:rsidRPr="008D7781">
        <w:t>TV Max</w:t>
      </w:r>
      <w:r w:rsidR="00C50EC8" w:rsidRPr="008D7781">
        <w:t xml:space="preserve"> in January and March of 2012</w:t>
      </w:r>
      <w:r w:rsidR="00FF6B53" w:rsidRPr="008D7781">
        <w:t>)</w:t>
      </w:r>
      <w:r w:rsidRPr="008D7781">
        <w:t xml:space="preserve">; ABC Complaint </w:t>
      </w:r>
      <w:r w:rsidR="00C50EC8" w:rsidRPr="008D7781">
        <w:t xml:space="preserve">at 5 (stating it sent a letter to </w:t>
      </w:r>
      <w:r w:rsidR="000C137D" w:rsidRPr="008D7781">
        <w:t>TV Max</w:t>
      </w:r>
      <w:r w:rsidR="00C50EC8" w:rsidRPr="008D7781">
        <w:t xml:space="preserve"> in March 2012</w:t>
      </w:r>
      <w:r w:rsidRPr="008D7781">
        <w:t>).</w:t>
      </w:r>
      <w:r w:rsidR="00460010" w:rsidRPr="008D7781">
        <w:t xml:space="preserve">  The Licensees seek an order from the Commission directing </w:t>
      </w:r>
      <w:r w:rsidR="000C137D" w:rsidRPr="008D7781">
        <w:t>TV Max</w:t>
      </w:r>
      <w:r w:rsidR="00460010" w:rsidRPr="008D7781">
        <w:t xml:space="preserve"> to comply with the law and to cease retransmitting the Stations without consent, as well as imposing appropriate sanctions for these willful, repeated and ongoing violations.  </w:t>
      </w:r>
      <w:r w:rsidR="00460010" w:rsidRPr="008D7781">
        <w:rPr>
          <w:i/>
        </w:rPr>
        <w:t>See</w:t>
      </w:r>
      <w:r w:rsidR="00460010" w:rsidRPr="008D7781">
        <w:t xml:space="preserve"> FOX Complaint at 1-2; Univision Complaint at 1-2; Post-Newsweek Complaint at 1-2; ABC Complaint at 1-2.</w:t>
      </w:r>
    </w:p>
  </w:footnote>
  <w:footnote w:id="15">
    <w:p w:rsidR="000808A4" w:rsidRPr="008D7781" w:rsidRDefault="000808A4">
      <w:pPr>
        <w:pStyle w:val="FootnoteText"/>
      </w:pPr>
      <w:r w:rsidRPr="008D7781">
        <w:rPr>
          <w:rStyle w:val="FootnoteReference"/>
        </w:rPr>
        <w:footnoteRef/>
      </w:r>
      <w:r w:rsidRPr="008D7781">
        <w:t xml:space="preserve"> </w:t>
      </w:r>
      <w:r w:rsidR="008D4DBF" w:rsidRPr="008D7781">
        <w:rPr>
          <w:i/>
        </w:rPr>
        <w:t>See</w:t>
      </w:r>
      <w:r w:rsidR="008D4DBF" w:rsidRPr="008D7781">
        <w:t xml:space="preserve">, </w:t>
      </w:r>
      <w:r w:rsidR="008D4DBF" w:rsidRPr="008D7781">
        <w:rPr>
          <w:i/>
        </w:rPr>
        <w:t>e.g.</w:t>
      </w:r>
      <w:r w:rsidR="008D4DBF" w:rsidRPr="008D7781">
        <w:t xml:space="preserve">, Response of </w:t>
      </w:r>
      <w:r w:rsidR="000C137D" w:rsidRPr="008D7781">
        <w:t>TV Max</w:t>
      </w:r>
      <w:r w:rsidR="008D4DBF" w:rsidRPr="008D7781">
        <w:t xml:space="preserve"> to FOX Complaint, dated May 1, 2012, at </w:t>
      </w:r>
      <w:r w:rsidR="007419AF" w:rsidRPr="008D7781">
        <w:t xml:space="preserve">5 (stating “this plan was formulated and implemented for the specific purpose of qualifying </w:t>
      </w:r>
      <w:r w:rsidR="000C137D" w:rsidRPr="008D7781">
        <w:t>TV Max</w:t>
      </w:r>
      <w:r w:rsidR="009B32E6" w:rsidRPr="008D7781">
        <w:t>’</w:t>
      </w:r>
      <w:r w:rsidR="007419AF" w:rsidRPr="008D7781">
        <w:t>s MDU operations for exemption from retransmission consent fees”)</w:t>
      </w:r>
      <w:r w:rsidR="00F9033F" w:rsidRPr="008D7781">
        <w:t>;</w:t>
      </w:r>
      <w:r w:rsidR="003A5250" w:rsidRPr="008D7781">
        <w:t xml:space="preserve"> 47 C.F.R. § 76.64(e)).</w:t>
      </w:r>
      <w:r w:rsidR="00F9033F" w:rsidRPr="008D7781">
        <w:t xml:space="preserve">  </w:t>
      </w:r>
      <w:r w:rsidR="003F677A" w:rsidRPr="008D7781">
        <w:t>As discussed in more detail below, t</w:t>
      </w:r>
      <w:r w:rsidR="00F9033F" w:rsidRPr="008D7781">
        <w:t>he MATV exception</w:t>
      </w:r>
      <w:r w:rsidR="003F677A" w:rsidRPr="008D7781">
        <w:t xml:space="preserve"> provides that retransmission consent requirements are not applicable to broadcast signals received by master antenna television facilities under certain circumstances.  </w:t>
      </w:r>
      <w:r w:rsidR="003F677A" w:rsidRPr="008D7781">
        <w:rPr>
          <w:i/>
        </w:rPr>
        <w:t xml:space="preserve">See </w:t>
      </w:r>
      <w:r w:rsidR="003F677A" w:rsidRPr="008D7781">
        <w:t xml:space="preserve">¶ </w:t>
      </w:r>
      <w:r w:rsidR="00FF6B53" w:rsidRPr="008D7781">
        <w:t>13</w:t>
      </w:r>
      <w:r w:rsidR="003F677A" w:rsidRPr="008D7781">
        <w:t xml:space="preserve">, </w:t>
      </w:r>
      <w:r w:rsidR="003F677A" w:rsidRPr="008D7781">
        <w:rPr>
          <w:i/>
        </w:rPr>
        <w:t>infra</w:t>
      </w:r>
      <w:r w:rsidR="003F677A" w:rsidRPr="008D7781">
        <w:t>.</w:t>
      </w:r>
    </w:p>
  </w:footnote>
  <w:footnote w:id="16">
    <w:p w:rsidR="000A5209" w:rsidRPr="008D7781" w:rsidRDefault="000A5209">
      <w:pPr>
        <w:pStyle w:val="FootnoteText"/>
      </w:pPr>
      <w:r w:rsidRPr="008D7781">
        <w:rPr>
          <w:rStyle w:val="FootnoteReference"/>
        </w:rPr>
        <w:footnoteRef/>
      </w:r>
      <w:r w:rsidRPr="008D7781">
        <w:t xml:space="preserve"> </w:t>
      </w:r>
      <w:r w:rsidRPr="008D7781">
        <w:rPr>
          <w:i/>
        </w:rPr>
        <w:t>See</w:t>
      </w:r>
      <w:r w:rsidRPr="008D7781">
        <w:t xml:space="preserve">, </w:t>
      </w:r>
      <w:r w:rsidRPr="008D7781">
        <w:rPr>
          <w:i/>
        </w:rPr>
        <w:t>e.g.</w:t>
      </w:r>
      <w:r w:rsidRPr="008D7781">
        <w:t xml:space="preserve">, Surreply of </w:t>
      </w:r>
      <w:r w:rsidR="000C137D" w:rsidRPr="008D7781">
        <w:t>TV Max</w:t>
      </w:r>
      <w:r w:rsidRPr="008D7781">
        <w:t xml:space="preserve"> to </w:t>
      </w:r>
      <w:r w:rsidR="0034287D" w:rsidRPr="008D7781">
        <w:t>FOX</w:t>
      </w:r>
      <w:r w:rsidRPr="008D7781">
        <w:t xml:space="preserve"> Reply, dated May 25, 2012</w:t>
      </w:r>
      <w:r w:rsidR="0034287D" w:rsidRPr="008D7781">
        <w:t>,</w:t>
      </w:r>
      <w:r w:rsidRPr="008D7781">
        <w:t xml:space="preserve"> at 3 (“</w:t>
      </w:r>
      <w:r w:rsidR="000C137D" w:rsidRPr="008D7781">
        <w:t>TV Max</w:t>
      </w:r>
      <w:r w:rsidRPr="008D7781">
        <w:t xml:space="preserve"> admits to non-compliance with the retransmission consent regime insofar as it had failed to install MATV systems at 100% of the MDU buildings served by the company at the time the prior retransmission consent agreement with Fox expired on December 31, 2011.”).</w:t>
      </w:r>
      <w:r w:rsidR="003B60AE" w:rsidRPr="008D7781">
        <w:t xml:space="preserve">  </w:t>
      </w:r>
      <w:r w:rsidR="003B60AE" w:rsidRPr="008D7781">
        <w:rPr>
          <w:i/>
        </w:rPr>
        <w:t>See also</w:t>
      </w:r>
      <w:r w:rsidR="003B60AE" w:rsidRPr="008D7781">
        <w:t xml:space="preserve"> Answer of </w:t>
      </w:r>
      <w:r w:rsidR="000C137D" w:rsidRPr="008D7781">
        <w:t>TV Max</w:t>
      </w:r>
      <w:r w:rsidR="003B60AE" w:rsidRPr="008D7781">
        <w:t xml:space="preserve"> to ABC </w:t>
      </w:r>
      <w:r w:rsidR="008D177C" w:rsidRPr="008D7781">
        <w:t>Complaint</w:t>
      </w:r>
      <w:r w:rsidR="006C5D79" w:rsidRPr="008D7781">
        <w:t xml:space="preserve"> </w:t>
      </w:r>
      <w:r w:rsidR="008D177C" w:rsidRPr="008D7781">
        <w:t xml:space="preserve">at </w:t>
      </w:r>
      <w:r w:rsidR="003B60AE" w:rsidRPr="008D7781">
        <w:t>2-3</w:t>
      </w:r>
      <w:r w:rsidR="008D177C" w:rsidRPr="008D7781">
        <w:t xml:space="preserve"> (</w:t>
      </w:r>
      <w:r w:rsidR="003B60AE" w:rsidRPr="008D7781">
        <w:t>stat</w:t>
      </w:r>
      <w:r w:rsidR="008D177C" w:rsidRPr="008D7781">
        <w:t>ing</w:t>
      </w:r>
      <w:r w:rsidR="003B60AE" w:rsidRPr="008D7781">
        <w:t xml:space="preserve"> that its “failure to complete all [MATV] installations by January 1, 2012 was not attributable to lack of good faith efforts to comply with </w:t>
      </w:r>
      <w:r w:rsidR="008D177C" w:rsidRPr="008D7781">
        <w:t>applicable laws and regulations</w:t>
      </w:r>
      <w:r w:rsidR="003B60AE" w:rsidRPr="008D7781">
        <w:t>”</w:t>
      </w:r>
      <w:r w:rsidR="008D177C" w:rsidRPr="008D7781">
        <w:t>).</w:t>
      </w:r>
    </w:p>
  </w:footnote>
  <w:footnote w:id="17">
    <w:p w:rsidR="0034287D" w:rsidRPr="008D7781" w:rsidRDefault="0034287D">
      <w:pPr>
        <w:pStyle w:val="FootnoteText"/>
      </w:pPr>
      <w:r w:rsidRPr="008D7781">
        <w:rPr>
          <w:rStyle w:val="FootnoteReference"/>
        </w:rPr>
        <w:footnoteRef/>
      </w:r>
      <w:r w:rsidRPr="008D7781">
        <w:t xml:space="preserve"> </w:t>
      </w:r>
      <w:r w:rsidRPr="008D7781">
        <w:rPr>
          <w:i/>
        </w:rPr>
        <w:t>See</w:t>
      </w:r>
      <w:r w:rsidRPr="008D7781">
        <w:t xml:space="preserve">, </w:t>
      </w:r>
      <w:r w:rsidRPr="008D7781">
        <w:rPr>
          <w:i/>
        </w:rPr>
        <w:t>e.g.</w:t>
      </w:r>
      <w:r w:rsidRPr="008D7781">
        <w:t xml:space="preserve">, Answer of </w:t>
      </w:r>
      <w:r w:rsidR="000C137D" w:rsidRPr="008D7781">
        <w:t>TV Max</w:t>
      </w:r>
      <w:r w:rsidRPr="008D7781">
        <w:t xml:space="preserve"> to ABC Complaint, dated Sept. 24, 2012, at 2 (“</w:t>
      </w:r>
      <w:r w:rsidR="000C137D" w:rsidRPr="008D7781">
        <w:t>TV Max</w:t>
      </w:r>
      <w:r w:rsidR="009B32E6" w:rsidRPr="008D7781">
        <w:t>’</w:t>
      </w:r>
      <w:r w:rsidRPr="008D7781">
        <w:t>s management hoped and expected to convert all MDU buildings to MATV systems by the time the ABC retransmission consent agreement expired on December 31, 2011”).</w:t>
      </w:r>
    </w:p>
  </w:footnote>
  <w:footnote w:id="18">
    <w:p w:rsidR="000A5209" w:rsidRPr="008D7781" w:rsidRDefault="000A5209" w:rsidP="000A5209">
      <w:pPr>
        <w:pStyle w:val="FootnoteText"/>
      </w:pPr>
      <w:r w:rsidRPr="008D7781">
        <w:rPr>
          <w:rStyle w:val="FootnoteReference"/>
        </w:rPr>
        <w:footnoteRef/>
      </w:r>
      <w:r w:rsidRPr="008D7781">
        <w:t xml:space="preserve"> </w:t>
      </w:r>
      <w:r w:rsidR="000C137D" w:rsidRPr="008D7781">
        <w:t>TV Max</w:t>
      </w:r>
      <w:r w:rsidRPr="008D7781">
        <w:t xml:space="preserve"> Response to FOX Complaint at Attachment 1 (Balun Declaration) (“As of January 1, 2012, about 50% of the MDU buildings served by </w:t>
      </w:r>
      <w:r w:rsidR="000C137D" w:rsidRPr="008D7781">
        <w:t>TV Max</w:t>
      </w:r>
      <w:r w:rsidRPr="008D7781">
        <w:t xml:space="preserve"> had been fully converted to MA TV systems. </w:t>
      </w:r>
      <w:r w:rsidR="00067AA3" w:rsidRPr="008D7781">
        <w:t xml:space="preserve"> </w:t>
      </w:r>
      <w:r w:rsidRPr="008D7781">
        <w:t>Currently [May 1, 2012], about 50% of the MDU buildings have been fully converted to MA TV systems</w:t>
      </w:r>
      <w:r w:rsidR="00D93F1F" w:rsidRPr="008D7781">
        <w:t>.</w:t>
      </w:r>
      <w:r w:rsidRPr="008D7781">
        <w:t xml:space="preserve"> …”).</w:t>
      </w:r>
    </w:p>
  </w:footnote>
  <w:footnote w:id="19">
    <w:p w:rsidR="000B30B9" w:rsidRPr="008D7781" w:rsidRDefault="000B30B9" w:rsidP="000B30B9">
      <w:pPr>
        <w:pStyle w:val="FootnoteText"/>
      </w:pPr>
      <w:r w:rsidRPr="008D7781">
        <w:rPr>
          <w:rStyle w:val="FootnoteReference"/>
        </w:rPr>
        <w:footnoteRef/>
      </w:r>
      <w:r w:rsidRPr="008D7781">
        <w:t xml:space="preserve"> </w:t>
      </w:r>
      <w:r w:rsidRPr="008D7781">
        <w:rPr>
          <w:i/>
        </w:rPr>
        <w:t>See</w:t>
      </w:r>
      <w:r w:rsidRPr="008D7781">
        <w:t xml:space="preserve"> Letter of Carl E. Kandutsch</w:t>
      </w:r>
      <w:r w:rsidR="00BB48D5" w:rsidRPr="008D7781">
        <w:t>,</w:t>
      </w:r>
      <w:r w:rsidRPr="008D7781">
        <w:t xml:space="preserve"> </w:t>
      </w:r>
      <w:r w:rsidR="000C137D" w:rsidRPr="008D7781">
        <w:t>TV Max</w:t>
      </w:r>
      <w:r w:rsidRPr="008D7781">
        <w:t xml:space="preserve"> counsel</w:t>
      </w:r>
      <w:r w:rsidR="00BB48D5" w:rsidRPr="008D7781">
        <w:t>,</w:t>
      </w:r>
      <w:r w:rsidRPr="008D7781">
        <w:t xml:space="preserve"> dated Jul. 18, 2012.</w:t>
      </w:r>
    </w:p>
  </w:footnote>
  <w:footnote w:id="20">
    <w:p w:rsidR="00475C95" w:rsidRPr="008D7781" w:rsidRDefault="00475C95">
      <w:pPr>
        <w:pStyle w:val="FootnoteText"/>
      </w:pPr>
      <w:r w:rsidRPr="008D7781">
        <w:rPr>
          <w:rStyle w:val="FootnoteReference"/>
        </w:rPr>
        <w:footnoteRef/>
      </w:r>
      <w:r w:rsidRPr="008D7781">
        <w:t xml:space="preserve"> </w:t>
      </w:r>
      <w:r w:rsidRPr="008D7781">
        <w:rPr>
          <w:i/>
        </w:rPr>
        <w:t>See supra</w:t>
      </w:r>
      <w:r w:rsidRPr="008D7781">
        <w:t xml:space="preserve"> notes 13 and 14.</w:t>
      </w:r>
    </w:p>
  </w:footnote>
  <w:footnote w:id="21">
    <w:p w:rsidR="003448EC" w:rsidRPr="008D7781" w:rsidRDefault="003448EC" w:rsidP="00E22E8A">
      <w:pPr>
        <w:pStyle w:val="FootnoteText"/>
      </w:pPr>
      <w:r w:rsidRPr="008D7781">
        <w:rPr>
          <w:rStyle w:val="FootnoteReference"/>
        </w:rPr>
        <w:footnoteRef/>
      </w:r>
      <w:r w:rsidRPr="008D7781">
        <w:t xml:space="preserve"> </w:t>
      </w:r>
      <w:r w:rsidR="00BB48D5" w:rsidRPr="008D7781">
        <w:rPr>
          <w:i/>
        </w:rPr>
        <w:t>See</w:t>
      </w:r>
      <w:r w:rsidR="00BB48D5" w:rsidRPr="008D7781">
        <w:t xml:space="preserve"> Email of Carl Kandutsch, </w:t>
      </w:r>
      <w:r w:rsidR="000C137D" w:rsidRPr="008D7781">
        <w:t>TV Max</w:t>
      </w:r>
      <w:r w:rsidR="00BB48D5" w:rsidRPr="008D7781">
        <w:t xml:space="preserve"> </w:t>
      </w:r>
      <w:r w:rsidR="0029791E" w:rsidRPr="008D7781">
        <w:t>c</w:t>
      </w:r>
      <w:r w:rsidR="00BB48D5" w:rsidRPr="008D7781">
        <w:t xml:space="preserve">ounsel, dated Jul. 26, 2012 (“Kandutsch July 26 Email”) at 1 (stating “all MDU buildings served by </w:t>
      </w:r>
      <w:r w:rsidR="000C137D" w:rsidRPr="008D7781">
        <w:t>TV Max</w:t>
      </w:r>
      <w:r w:rsidR="00BB48D5" w:rsidRPr="008D7781">
        <w:t xml:space="preserve"> have been equipped with MATV systems that are the property of the building owner.”).</w:t>
      </w:r>
      <w:r w:rsidR="00527E26">
        <w:t xml:space="preserve">  </w:t>
      </w:r>
      <w:r w:rsidR="00527E26" w:rsidRPr="008D7781">
        <w:rPr>
          <w:i/>
        </w:rPr>
        <w:t>See</w:t>
      </w:r>
      <w:r w:rsidR="00527E26">
        <w:rPr>
          <w:i/>
        </w:rPr>
        <w:t xml:space="preserve"> also</w:t>
      </w:r>
      <w:r w:rsidR="00527E26" w:rsidRPr="008D7781">
        <w:t xml:space="preserve"> Answer of TV Max to ABC Complaint, dated Sept. 24, 2012, at </w:t>
      </w:r>
      <w:r w:rsidR="00527E26">
        <w:t>3.</w:t>
      </w:r>
    </w:p>
  </w:footnote>
  <w:footnote w:id="22">
    <w:p w:rsidR="00C50EC8" w:rsidRPr="008D7781" w:rsidRDefault="00C50EC8">
      <w:pPr>
        <w:pStyle w:val="FootnoteText"/>
      </w:pPr>
      <w:r w:rsidRPr="008D7781">
        <w:rPr>
          <w:rStyle w:val="FootnoteReference"/>
        </w:rPr>
        <w:footnoteRef/>
      </w:r>
      <w:r w:rsidRPr="008D7781">
        <w:t xml:space="preserve"> </w:t>
      </w:r>
      <w:r w:rsidRPr="008D7781">
        <w:rPr>
          <w:i/>
        </w:rPr>
        <w:t>See</w:t>
      </w:r>
      <w:r w:rsidRPr="008D7781">
        <w:t xml:space="preserve"> Kandutsch July 26 Email at 1.</w:t>
      </w:r>
    </w:p>
  </w:footnote>
  <w:footnote w:id="23">
    <w:p w:rsidR="003448EC" w:rsidRPr="008D7781" w:rsidRDefault="003448EC">
      <w:pPr>
        <w:pStyle w:val="FootnoteText"/>
      </w:pPr>
      <w:r w:rsidRPr="008D7781">
        <w:rPr>
          <w:rStyle w:val="FootnoteReference"/>
        </w:rPr>
        <w:footnoteRef/>
      </w:r>
      <w:r w:rsidRPr="008D7781">
        <w:t xml:space="preserve"> </w:t>
      </w:r>
      <w:r w:rsidRPr="008D7781">
        <w:rPr>
          <w:i/>
        </w:rPr>
        <w:t xml:space="preserve">See, e.g., </w:t>
      </w:r>
      <w:r w:rsidRPr="008D7781">
        <w:t>Letter of Antoinette Cook Bush, Skadden, Arps, Slate, Meagher &amp; Flom LLP (FOX counsel) dated Jul. 11, 2012.</w:t>
      </w:r>
    </w:p>
  </w:footnote>
  <w:footnote w:id="24">
    <w:p w:rsidR="003448EC" w:rsidRPr="008D7781" w:rsidRDefault="003448EC">
      <w:pPr>
        <w:pStyle w:val="FootnoteText"/>
      </w:pPr>
      <w:r w:rsidRPr="008D7781">
        <w:rPr>
          <w:rStyle w:val="FootnoteReference"/>
        </w:rPr>
        <w:footnoteRef/>
      </w:r>
      <w:r w:rsidRPr="008D7781">
        <w:t xml:space="preserve"> </w:t>
      </w:r>
      <w:r w:rsidRPr="008D7781">
        <w:rPr>
          <w:i/>
        </w:rPr>
        <w:t>Id</w:t>
      </w:r>
      <w:r w:rsidRPr="008D7781">
        <w:t>. at 2.</w:t>
      </w:r>
    </w:p>
  </w:footnote>
  <w:footnote w:id="25">
    <w:p w:rsidR="003637E9" w:rsidRPr="008D7781" w:rsidRDefault="003637E9">
      <w:pPr>
        <w:pStyle w:val="FootnoteText"/>
      </w:pPr>
      <w:r w:rsidRPr="008D7781">
        <w:rPr>
          <w:rStyle w:val="FootnoteReference"/>
        </w:rPr>
        <w:footnoteRef/>
      </w:r>
      <w:r w:rsidRPr="008D7781">
        <w:t xml:space="preserve"> </w:t>
      </w:r>
      <w:r w:rsidRPr="008D7781">
        <w:rPr>
          <w:i/>
        </w:rPr>
        <w:t>See</w:t>
      </w:r>
      <w:r w:rsidRPr="008D7781">
        <w:t xml:space="preserve"> Letter by William T. Lake, Chief, Media Bureau, to Carl Kandutsch, </w:t>
      </w:r>
      <w:r w:rsidR="000C137D" w:rsidRPr="008D7781">
        <w:t>TV Max</w:t>
      </w:r>
      <w:r w:rsidR="00BB48D5" w:rsidRPr="008D7781">
        <w:t xml:space="preserve"> counsel</w:t>
      </w:r>
      <w:r w:rsidRPr="008D7781">
        <w:t>, dated Dec. 20, 2012</w:t>
      </w:r>
      <w:r w:rsidR="002033EC" w:rsidRPr="008D7781">
        <w:t xml:space="preserve"> (“Initial Finding Letter”)</w:t>
      </w:r>
      <w:r w:rsidRPr="008D7781">
        <w:t>.</w:t>
      </w:r>
      <w:r w:rsidR="003A5250" w:rsidRPr="008D7781">
        <w:t xml:space="preserve">  </w:t>
      </w:r>
      <w:r w:rsidR="001700F6" w:rsidRPr="008D7781">
        <w:t xml:space="preserve">The Letter stated </w:t>
      </w:r>
      <w:r w:rsidR="00523B47" w:rsidRPr="008D7781">
        <w:t>the Bureau</w:t>
      </w:r>
      <w:r w:rsidR="009B32E6" w:rsidRPr="008D7781">
        <w:t>’</w:t>
      </w:r>
      <w:r w:rsidR="00523B47" w:rsidRPr="008D7781">
        <w:t xml:space="preserve">s </w:t>
      </w:r>
      <w:r w:rsidR="001700F6" w:rsidRPr="008D7781">
        <w:t xml:space="preserve">expectation that </w:t>
      </w:r>
      <w:r w:rsidR="000C137D" w:rsidRPr="008D7781">
        <w:t>TV Max</w:t>
      </w:r>
      <w:r w:rsidR="001700F6" w:rsidRPr="008D7781">
        <w:t xml:space="preserve"> would “immediately stop retransmitting the Stations</w:t>
      </w:r>
      <w:r w:rsidR="009B32E6" w:rsidRPr="008D7781">
        <w:t>’</w:t>
      </w:r>
      <w:r w:rsidR="001700F6" w:rsidRPr="008D7781">
        <w:t xml:space="preserve"> signals without consent and come into compliance with the Commission</w:t>
      </w:r>
      <w:r w:rsidR="009B32E6" w:rsidRPr="008D7781">
        <w:t>’</w:t>
      </w:r>
      <w:r w:rsidR="001700F6" w:rsidRPr="008D7781">
        <w:t xml:space="preserve">s rules” and noted that </w:t>
      </w:r>
      <w:r w:rsidR="000C137D" w:rsidRPr="008D7781">
        <w:t>TV Max</w:t>
      </w:r>
      <w:r w:rsidR="009B32E6" w:rsidRPr="008D7781">
        <w:t>’</w:t>
      </w:r>
      <w:r w:rsidR="001700F6" w:rsidRPr="008D7781">
        <w:t xml:space="preserve">s “failure to do so may subject </w:t>
      </w:r>
      <w:r w:rsidR="000C137D" w:rsidRPr="008D7781">
        <w:t>TV Max</w:t>
      </w:r>
      <w:r w:rsidR="001700F6" w:rsidRPr="008D7781">
        <w:t xml:space="preserve"> to further enforcement action.”  </w:t>
      </w:r>
      <w:r w:rsidR="001700F6" w:rsidRPr="008D7781">
        <w:rPr>
          <w:i/>
        </w:rPr>
        <w:t>Id</w:t>
      </w:r>
      <w:r w:rsidR="001700F6" w:rsidRPr="008D7781">
        <w:t>. at 1.</w:t>
      </w:r>
    </w:p>
  </w:footnote>
  <w:footnote w:id="26">
    <w:p w:rsidR="00C50EC8" w:rsidRPr="008D7781" w:rsidRDefault="00C50EC8" w:rsidP="009250E9">
      <w:pPr>
        <w:pStyle w:val="FootnoteText"/>
      </w:pPr>
      <w:r w:rsidRPr="008D7781">
        <w:rPr>
          <w:rStyle w:val="FootnoteReference"/>
        </w:rPr>
        <w:footnoteRef/>
      </w:r>
      <w:r w:rsidRPr="008D7781">
        <w:t xml:space="preserve"> </w:t>
      </w:r>
      <w:r w:rsidRPr="008D7781">
        <w:rPr>
          <w:i/>
        </w:rPr>
        <w:t>See</w:t>
      </w:r>
      <w:r w:rsidRPr="008D7781">
        <w:t xml:space="preserve"> Initial Finding Letter at 3, n.10 (quoting the Kandutsch July 26 Email</w:t>
      </w:r>
      <w:r w:rsidRPr="008D7781" w:rsidDel="00BB48D5">
        <w:t xml:space="preserve"> </w:t>
      </w:r>
      <w:r w:rsidRPr="008D7781">
        <w:t>at 1).</w:t>
      </w:r>
      <w:r w:rsidR="004E7F49" w:rsidRPr="008D7781">
        <w:t xml:space="preserve">  </w:t>
      </w:r>
      <w:r w:rsidR="000C137D" w:rsidRPr="008D7781">
        <w:t>TV Max</w:t>
      </w:r>
      <w:r w:rsidR="005B12B4" w:rsidRPr="008D7781">
        <w:t xml:space="preserve"> uses the term “fiber ring” to refer to its metropolitan distribution of television signals over optical fiber, as opposed to in-building distribution (via coaxial cables).  </w:t>
      </w:r>
      <w:r w:rsidR="000C137D" w:rsidRPr="008D7781">
        <w:t>TV Max</w:t>
      </w:r>
      <w:r w:rsidR="005B12B4" w:rsidRPr="008D7781">
        <w:t xml:space="preserve"> provided a schematic drawing of its MATV system within an MDU.  </w:t>
      </w:r>
      <w:r w:rsidR="005B12B4" w:rsidRPr="008D7781">
        <w:rPr>
          <w:i/>
        </w:rPr>
        <w:t>See</w:t>
      </w:r>
      <w:r w:rsidR="005B12B4" w:rsidRPr="008D7781">
        <w:t xml:space="preserve"> Attachment 4 (Schematic Drawing) to the Response of </w:t>
      </w:r>
      <w:r w:rsidR="000C137D" w:rsidRPr="008D7781">
        <w:t>TV Max</w:t>
      </w:r>
      <w:r w:rsidR="005B12B4" w:rsidRPr="008D7781">
        <w:t xml:space="preserve"> to Media Bureau Inquiries Dated June 13, 2012.  Based on our engineering review of the schematic drawing, the Stations</w:t>
      </w:r>
      <w:r w:rsidR="009B32E6" w:rsidRPr="008D7781">
        <w:t>’</w:t>
      </w:r>
      <w:r w:rsidR="005B12B4" w:rsidRPr="008D7781">
        <w:t xml:space="preserve"> signals are received at the </w:t>
      </w:r>
      <w:r w:rsidR="008B6BCD" w:rsidRPr="008D7781">
        <w:t xml:space="preserve">off-site </w:t>
      </w:r>
      <w:r w:rsidR="005B12B4" w:rsidRPr="008D7781">
        <w:t xml:space="preserve">headend and transmitted along with other cable programming via the fiber ring to </w:t>
      </w:r>
      <w:r w:rsidR="008B6BCD" w:rsidRPr="008D7781">
        <w:t xml:space="preserve">the </w:t>
      </w:r>
      <w:r w:rsidR="005B12B4" w:rsidRPr="008D7781">
        <w:t>MDUs.  T</w:t>
      </w:r>
      <w:r w:rsidR="008B6BCD" w:rsidRPr="008D7781">
        <w:t>he fact</w:t>
      </w:r>
      <w:r w:rsidR="005B12B4" w:rsidRPr="008D7781">
        <w:t xml:space="preserve"> that the signals are additionally received at an MATV system does not </w:t>
      </w:r>
      <w:r w:rsidR="008B6BCD" w:rsidRPr="008D7781">
        <w:t xml:space="preserve">override </w:t>
      </w:r>
      <w:r w:rsidR="005B12B4" w:rsidRPr="008D7781">
        <w:t xml:space="preserve">the fact that the signals are being retransmitted via the fiber ring without consent.  As discussed below, </w:t>
      </w:r>
      <w:r w:rsidR="00410AAE" w:rsidRPr="008D7781">
        <w:t>an MVPD</w:t>
      </w:r>
      <w:r w:rsidR="005B12B4" w:rsidRPr="008D7781">
        <w:t xml:space="preserve"> must exclusively use the broadcast signals received from the MATV antenna for all customers in order to qualify for the MATV</w:t>
      </w:r>
      <w:r w:rsidR="00410AAE" w:rsidRPr="008D7781">
        <w:t xml:space="preserve"> </w:t>
      </w:r>
      <w:r w:rsidR="005B12B4" w:rsidRPr="008D7781">
        <w:t>exception.</w:t>
      </w:r>
    </w:p>
  </w:footnote>
  <w:footnote w:id="27">
    <w:p w:rsidR="006C3EAA" w:rsidRPr="008D7781" w:rsidRDefault="006C3EAA" w:rsidP="006C3EAA">
      <w:pPr>
        <w:pStyle w:val="FootnoteText"/>
      </w:pPr>
      <w:r w:rsidRPr="008D7781">
        <w:rPr>
          <w:rStyle w:val="FootnoteReference"/>
        </w:rPr>
        <w:footnoteRef/>
      </w:r>
      <w:r w:rsidRPr="008D7781">
        <w:t xml:space="preserve"> </w:t>
      </w:r>
      <w:r w:rsidRPr="008D7781">
        <w:rPr>
          <w:i/>
        </w:rPr>
        <w:t>See</w:t>
      </w:r>
      <w:r w:rsidRPr="008D7781">
        <w:t xml:space="preserve"> Letter of Eve R. Pogoriler, Covington &amp; Burling (Univision counsel) dated Apr. 2, 2013; Letter of Jennifer A. Johnson, Covington &amp; Burling (Post-Newsweek counsel) dated Apr. 2, 2013; Email of Tom W. Davidson, Akin Gump Strauss Hauer &amp; Feld LLP (ABC counsel) dated Apr. 2, 2013; Letter of Ellen S. Agress, FOX Senior Vice President, dated Apr. 3, 2013.</w:t>
      </w:r>
    </w:p>
  </w:footnote>
  <w:footnote w:id="28">
    <w:p w:rsidR="006C3EAA" w:rsidRPr="008D7781" w:rsidRDefault="006C3EAA" w:rsidP="006C3EAA">
      <w:pPr>
        <w:pStyle w:val="FootnoteText"/>
      </w:pPr>
      <w:r w:rsidRPr="008D7781">
        <w:rPr>
          <w:rStyle w:val="FootnoteReference"/>
        </w:rPr>
        <w:footnoteRef/>
      </w:r>
      <w:r w:rsidRPr="008D7781">
        <w:t xml:space="preserve"> </w:t>
      </w:r>
      <w:r w:rsidRPr="008D7781">
        <w:rPr>
          <w:i/>
        </w:rPr>
        <w:t>See</w:t>
      </w:r>
      <w:r w:rsidRPr="008D7781">
        <w:t xml:space="preserve"> Email of Carl Kandutsch, TV Max counsel, dated Apr. 5, 2012 (“Kandutsch Apr. 5 Email”).</w:t>
      </w:r>
    </w:p>
  </w:footnote>
  <w:footnote w:id="29">
    <w:p w:rsidR="006C3EAA" w:rsidRPr="008D7781" w:rsidRDefault="006C3EAA" w:rsidP="006C3EAA">
      <w:pPr>
        <w:pStyle w:val="FootnoteText"/>
      </w:pPr>
      <w:r w:rsidRPr="008D7781">
        <w:rPr>
          <w:rStyle w:val="FootnoteReference"/>
        </w:rPr>
        <w:footnoteRef/>
      </w:r>
      <w:r w:rsidRPr="008D7781">
        <w:t xml:space="preserve"> </w:t>
      </w:r>
      <w:r w:rsidRPr="008D7781">
        <w:rPr>
          <w:i/>
        </w:rPr>
        <w:t>See</w:t>
      </w:r>
      <w:r w:rsidRPr="008D7781">
        <w:t xml:space="preserve">, </w:t>
      </w:r>
      <w:r w:rsidRPr="008D7781">
        <w:rPr>
          <w:i/>
        </w:rPr>
        <w:t>e.g.</w:t>
      </w:r>
      <w:r w:rsidRPr="008D7781">
        <w:t>, Kandutsch July 26 Email (In response to the Bureau’s question on July 25, 2012, asking “In the buildings that TV Max has converted to MATV, does it still deliver broadcast signals via its fiber ring,”  TV Max responded: “Yes. Broadcast signals are delivered to MDU residents using both the fiber ring and the MATV systems.”).</w:t>
      </w:r>
    </w:p>
  </w:footnote>
  <w:footnote w:id="30">
    <w:p w:rsidR="00A97982" w:rsidRPr="008D7781" w:rsidRDefault="00A97982">
      <w:pPr>
        <w:pStyle w:val="FootnoteText"/>
      </w:pPr>
      <w:r w:rsidRPr="008D7781">
        <w:rPr>
          <w:rStyle w:val="FootnoteReference"/>
        </w:rPr>
        <w:footnoteRef/>
      </w:r>
      <w:r w:rsidRPr="008D7781">
        <w:t xml:space="preserve"> </w:t>
      </w:r>
      <w:r w:rsidRPr="00641E48">
        <w:rPr>
          <w:i/>
        </w:rPr>
        <w:t>See</w:t>
      </w:r>
      <w:r w:rsidRPr="008D7781">
        <w:t xml:space="preserve"> Letter of Ellen S. Agress, </w:t>
      </w:r>
      <w:r w:rsidR="00181CCF" w:rsidRPr="008D7781">
        <w:t>FOX Senior Vice President</w:t>
      </w:r>
      <w:r w:rsidRPr="008D7781">
        <w:t xml:space="preserve">, Christopher G. Wood, </w:t>
      </w:r>
      <w:r w:rsidR="00181CCF" w:rsidRPr="008D7781">
        <w:t>Univision Senior Vice President and Associate General Counsel</w:t>
      </w:r>
      <w:r w:rsidRPr="008D7781">
        <w:t>, Jennifer A. Johnson</w:t>
      </w:r>
      <w:r w:rsidR="00D75D6E" w:rsidRPr="008D7781">
        <w:t xml:space="preserve">, </w:t>
      </w:r>
      <w:r w:rsidRPr="008D7781">
        <w:t xml:space="preserve"> </w:t>
      </w:r>
      <w:r w:rsidR="00D75D6E" w:rsidRPr="008D7781">
        <w:t xml:space="preserve">Covington &amp; Burling (Post-Newsweek counsel) </w:t>
      </w:r>
      <w:r w:rsidRPr="008D7781">
        <w:t>and Susan L. Fox</w:t>
      </w:r>
      <w:r w:rsidR="00181CCF" w:rsidRPr="008D7781">
        <w:t>, ABC Vice President,</w:t>
      </w:r>
      <w:r w:rsidRPr="008D7781">
        <w:t xml:space="preserve"> dated April 18, 2013 (“April 18 Licensee Letter”).</w:t>
      </w:r>
      <w:r w:rsidR="00B311B3" w:rsidRPr="008D7781">
        <w:t xml:space="preserve"> </w:t>
      </w:r>
      <w:r w:rsidR="00F82B57">
        <w:t xml:space="preserve"> </w:t>
      </w:r>
      <w:r w:rsidR="00B311B3" w:rsidRPr="008D7781">
        <w:t>TV Max has not responded to this submission.</w:t>
      </w:r>
    </w:p>
  </w:footnote>
  <w:footnote w:id="31">
    <w:p w:rsidR="00A21144" w:rsidRPr="008D7781" w:rsidRDefault="00A21144">
      <w:pPr>
        <w:pStyle w:val="FootnoteText"/>
      </w:pPr>
      <w:r w:rsidRPr="008D7781">
        <w:rPr>
          <w:rStyle w:val="FootnoteReference"/>
        </w:rPr>
        <w:footnoteRef/>
      </w:r>
      <w:r w:rsidRPr="008D7781">
        <w:t xml:space="preserve"> Section 76.6(a)(6) of the Rules, which notes the responsibility of parties to a pending complaint proceeding “for the continuing accuracy and completeness of all information and supporting authority furnished,” requires  that such information “be current and updated as necessary and in a timely manner at any time before a dec</w:t>
      </w:r>
      <w:r w:rsidR="00D75D6E" w:rsidRPr="008D7781">
        <w:t>ision is rendered on the merits</w:t>
      </w:r>
      <w:r w:rsidRPr="008D7781">
        <w:t xml:space="preserve"> of the complaint.” 47 C.F.R. §76.6(a)(6).  TV Max failed to explain why it waited </w:t>
      </w:r>
      <w:r w:rsidR="005D5091" w:rsidRPr="008D7781">
        <w:t>more than</w:t>
      </w:r>
      <w:r w:rsidR="00C02715" w:rsidRPr="008D7781">
        <w:t xml:space="preserve"> five months before advising the Commission of th</w:t>
      </w:r>
      <w:r w:rsidR="006139EB" w:rsidRPr="008D7781">
        <w:t>ese</w:t>
      </w:r>
      <w:r w:rsidR="00C02715" w:rsidRPr="008D7781">
        <w:t xml:space="preserve"> development</w:t>
      </w:r>
      <w:r w:rsidR="006139EB" w:rsidRPr="008D7781">
        <w:t>s</w:t>
      </w:r>
      <w:r w:rsidR="00C02715" w:rsidRPr="008D7781">
        <w:t>.</w:t>
      </w:r>
    </w:p>
  </w:footnote>
  <w:footnote w:id="32">
    <w:p w:rsidR="006C3EAA" w:rsidRPr="008D7781" w:rsidRDefault="006C3EAA" w:rsidP="006C3EAA">
      <w:pPr>
        <w:pStyle w:val="FootnoteText"/>
      </w:pPr>
      <w:r w:rsidRPr="008D7781">
        <w:rPr>
          <w:rStyle w:val="FootnoteReference"/>
        </w:rPr>
        <w:footnoteRef/>
      </w:r>
      <w:r w:rsidRPr="008D7781">
        <w:t xml:space="preserve"> </w:t>
      </w:r>
      <w:r w:rsidRPr="008D7781">
        <w:rPr>
          <w:i/>
        </w:rPr>
        <w:t xml:space="preserve">See </w:t>
      </w:r>
      <w:r w:rsidRPr="008D7781">
        <w:t>Email of Carl Kandutsch, TV Max counsel, dated Dec. 3, 2012 (“Kandutsch Dec. 3 Email”)</w:t>
      </w:r>
    </w:p>
  </w:footnote>
  <w:footnote w:id="33">
    <w:p w:rsidR="00181CCF" w:rsidRPr="008D7781" w:rsidRDefault="00181CCF">
      <w:pPr>
        <w:pStyle w:val="FootnoteText"/>
      </w:pPr>
      <w:r w:rsidRPr="008D7781">
        <w:rPr>
          <w:rStyle w:val="FootnoteReference"/>
        </w:rPr>
        <w:footnoteRef/>
      </w:r>
      <w:r w:rsidRPr="008D7781">
        <w:t xml:space="preserve"> </w:t>
      </w:r>
      <w:r w:rsidRPr="00641E48">
        <w:rPr>
          <w:i/>
        </w:rPr>
        <w:t>See</w:t>
      </w:r>
      <w:r w:rsidRPr="008D7781">
        <w:t xml:space="preserve"> Letter of Ellen S. Agress, FOX Senior Vice President, dated April 3, 2013, Exhibit 1</w:t>
      </w:r>
      <w:r w:rsidR="009B23B3" w:rsidRPr="008D7781">
        <w:t xml:space="preserve">, </w:t>
      </w:r>
      <w:r w:rsidR="00C3672D" w:rsidRPr="008D7781">
        <w:t xml:space="preserve">at </w:t>
      </w:r>
      <w:r w:rsidR="009B23B3" w:rsidRPr="008D7781">
        <w:t>1-2</w:t>
      </w:r>
      <w:r w:rsidRPr="008D7781">
        <w:t>.</w:t>
      </w:r>
    </w:p>
  </w:footnote>
  <w:footnote w:id="34">
    <w:p w:rsidR="00A524FA" w:rsidRDefault="00A524FA">
      <w:pPr>
        <w:pStyle w:val="FootnoteText"/>
      </w:pPr>
      <w:r>
        <w:rPr>
          <w:rStyle w:val="FootnoteReference"/>
        </w:rPr>
        <w:footnoteRef/>
      </w:r>
      <w:r>
        <w:t xml:space="preserve"> </w:t>
      </w:r>
      <w:r w:rsidRPr="00777421">
        <w:rPr>
          <w:i/>
        </w:rPr>
        <w:t>Improving Public Safety Communications in the 800 MHz Band</w:t>
      </w:r>
      <w:r w:rsidRPr="00777421">
        <w:t xml:space="preserve">, WT Docket No. 02-55, ET Docket No. 00-258, ET Docket No. 95-18, Fifth Report and Order, Eleventh Report and Order, Sixth Report and Order, and Declaratory Ruling, 25 FCC Rcd 13874, 13887, ¶ 33 (2010); </w:t>
      </w:r>
      <w:r w:rsidRPr="00641E48">
        <w:rPr>
          <w:i/>
        </w:rPr>
        <w:t>see also</w:t>
      </w:r>
      <w:r w:rsidRPr="00777421">
        <w:t xml:space="preserve"> </w:t>
      </w:r>
      <w:r w:rsidRPr="00777421">
        <w:rPr>
          <w:i/>
        </w:rPr>
        <w:t>Lansdowne on the Potomac Homeowners Ass’n, Inc. v. OpenBand at Lansdowne, LLC</w:t>
      </w:r>
      <w:r w:rsidRPr="00777421">
        <w:t>, 12-1925, 2013 WL 1364274, at p. 25 (4th Cir. Apr. 5, 2013).</w:t>
      </w:r>
    </w:p>
  </w:footnote>
  <w:footnote w:id="35">
    <w:p w:rsidR="00653D22" w:rsidRPr="008D7781" w:rsidRDefault="00653D22" w:rsidP="00653D22">
      <w:pPr>
        <w:pStyle w:val="FootnoteText"/>
      </w:pPr>
      <w:r w:rsidRPr="008D7781">
        <w:rPr>
          <w:rStyle w:val="FootnoteReference"/>
        </w:rPr>
        <w:footnoteRef/>
      </w:r>
      <w:r w:rsidRPr="008D7781">
        <w:t xml:space="preserve"> We further note that, to the extent that TV Max</w:t>
      </w:r>
      <w:r w:rsidR="001C1F32" w:rsidRPr="008D7781">
        <w:t>, Inc.</w:t>
      </w:r>
      <w:r w:rsidRPr="008D7781">
        <w:t xml:space="preserve"> or any of the captioned enterprises are retransmitting the Stations without their consent and by means of a fiber ring or any means other than the master antenna, they are violating the Act and the rules</w:t>
      </w:r>
      <w:r w:rsidR="009C368F" w:rsidRPr="008D7781">
        <w:t xml:space="preserve">, </w:t>
      </w:r>
      <w:r w:rsidR="005512B5" w:rsidRPr="008D7781">
        <w:t>whether</w:t>
      </w:r>
      <w:r w:rsidR="009C368F" w:rsidRPr="008D7781">
        <w:t xml:space="preserve"> or not they own the fiber ring.</w:t>
      </w:r>
    </w:p>
  </w:footnote>
  <w:footnote w:id="36">
    <w:p w:rsidR="00D70DEB" w:rsidRPr="008D7781" w:rsidRDefault="00D70DEB" w:rsidP="00D70DEB">
      <w:pPr>
        <w:pStyle w:val="FootnoteText"/>
      </w:pPr>
      <w:r w:rsidRPr="008D7781">
        <w:rPr>
          <w:rStyle w:val="FootnoteReference"/>
          <w:sz w:val="20"/>
        </w:rPr>
        <w:footnoteRef/>
      </w:r>
      <w:r w:rsidRPr="008D7781">
        <w:rPr>
          <w:i/>
        </w:rPr>
        <w:t xml:space="preserve"> See</w:t>
      </w:r>
      <w:r w:rsidRPr="008D7781">
        <w:t xml:space="preserve"> 47 U.S.C. § 503(b)(1)(B); 47 C.F.R. § 1.80(a)(2).  </w:t>
      </w:r>
    </w:p>
  </w:footnote>
  <w:footnote w:id="37">
    <w:p w:rsidR="00D70DEB" w:rsidRPr="008D7781" w:rsidRDefault="00D70DEB" w:rsidP="00D70DEB">
      <w:pPr>
        <w:pStyle w:val="FootnoteText"/>
      </w:pPr>
      <w:r w:rsidRPr="008D7781">
        <w:rPr>
          <w:rStyle w:val="FootnoteReference"/>
          <w:sz w:val="20"/>
        </w:rPr>
        <w:footnoteRef/>
      </w:r>
      <w:r w:rsidRPr="008D7781">
        <w:t xml:space="preserve"> 47 U.S.C. § 312(f)(1).</w:t>
      </w:r>
    </w:p>
  </w:footnote>
  <w:footnote w:id="38">
    <w:p w:rsidR="00D70DEB" w:rsidRPr="008D7781" w:rsidRDefault="00D70DEB" w:rsidP="00D70DEB">
      <w:pPr>
        <w:pStyle w:val="FootnoteText"/>
      </w:pPr>
      <w:r w:rsidRPr="008D7781">
        <w:rPr>
          <w:rStyle w:val="FootnoteReference"/>
          <w:sz w:val="20"/>
        </w:rPr>
        <w:footnoteRef/>
      </w:r>
      <w:r w:rsidRPr="008D7781">
        <w:t xml:space="preserve"> </w:t>
      </w:r>
      <w:r w:rsidRPr="008D7781">
        <w:rPr>
          <w:i/>
        </w:rPr>
        <w:t>See</w:t>
      </w:r>
      <w:r w:rsidRPr="008D7781">
        <w:t xml:space="preserve"> H.R. Rep. No. 97-765, 97</w:t>
      </w:r>
      <w:r w:rsidRPr="008D7781">
        <w:rPr>
          <w:vertAlign w:val="superscript"/>
        </w:rPr>
        <w:t>th</w:t>
      </w:r>
      <w:r w:rsidRPr="008D7781">
        <w:t xml:space="preserve"> Cong. 2d Sess. 51 (1982).</w:t>
      </w:r>
    </w:p>
  </w:footnote>
  <w:footnote w:id="39">
    <w:p w:rsidR="00D70DEB" w:rsidRPr="008D7781" w:rsidRDefault="00D70DEB" w:rsidP="00D70DEB">
      <w:pPr>
        <w:pStyle w:val="FootnoteText"/>
      </w:pPr>
      <w:r w:rsidRPr="008D7781">
        <w:rPr>
          <w:rStyle w:val="FootnoteReference"/>
          <w:sz w:val="20"/>
        </w:rPr>
        <w:footnoteRef/>
      </w:r>
      <w:r w:rsidRPr="008D7781">
        <w:t xml:space="preserve"> </w:t>
      </w:r>
      <w:r w:rsidRPr="008D7781">
        <w:rPr>
          <w:i/>
          <w:iCs/>
        </w:rPr>
        <w:t>See, e.g., Southern California Broadcasting Co.</w:t>
      </w:r>
      <w:r w:rsidRPr="008D7781">
        <w:t>, Memorandum Opinion and Order, 6 FCC Rcd 4387, 4388 (1991).</w:t>
      </w:r>
    </w:p>
  </w:footnote>
  <w:footnote w:id="40">
    <w:p w:rsidR="00D70DEB" w:rsidRPr="008D7781" w:rsidRDefault="00D70DEB" w:rsidP="00D70DEB">
      <w:pPr>
        <w:pStyle w:val="FootnoteText"/>
      </w:pPr>
      <w:r w:rsidRPr="008D7781">
        <w:rPr>
          <w:rStyle w:val="FootnoteReference"/>
          <w:sz w:val="20"/>
        </w:rPr>
        <w:footnoteRef/>
      </w:r>
      <w:r w:rsidRPr="008D7781">
        <w:t xml:space="preserve"> </w:t>
      </w:r>
      <w:r w:rsidRPr="008D7781">
        <w:rPr>
          <w:i/>
        </w:rPr>
        <w:t>See, e.g.,</w:t>
      </w:r>
      <w:r w:rsidRPr="008D7781">
        <w:t xml:space="preserve"> </w:t>
      </w:r>
      <w:r w:rsidRPr="008D7781">
        <w:rPr>
          <w:i/>
        </w:rPr>
        <w:t>Callais Cablevision, Inc., Grand Isle, Louisiana</w:t>
      </w:r>
      <w:r w:rsidRPr="008D7781">
        <w:t>, Notice of Apparent Liability for Monetary Forfeiture, 16 FCC Rcd 1359, 1362, ¶ 10 (2001) (“</w:t>
      </w:r>
      <w:r w:rsidRPr="008D7781">
        <w:rPr>
          <w:i/>
        </w:rPr>
        <w:t>Callais Cablevision, Inc.</w:t>
      </w:r>
      <w:r w:rsidRPr="008D7781">
        <w:t xml:space="preserve">”) (issuing a Notice of Apparent Liability for, </w:t>
      </w:r>
      <w:r w:rsidRPr="008D7781">
        <w:rPr>
          <w:i/>
        </w:rPr>
        <w:t>inter alia</w:t>
      </w:r>
      <w:r w:rsidRPr="008D7781">
        <w:t>, a cable television operator</w:t>
      </w:r>
      <w:r w:rsidR="009B32E6" w:rsidRPr="008D7781">
        <w:t>’</w:t>
      </w:r>
      <w:r w:rsidRPr="008D7781">
        <w:t xml:space="preserve">s repeated signal leakage). </w:t>
      </w:r>
    </w:p>
  </w:footnote>
  <w:footnote w:id="41">
    <w:p w:rsidR="00D70DEB" w:rsidRPr="008D7781" w:rsidRDefault="00D70DEB" w:rsidP="00D70DEB">
      <w:pPr>
        <w:pStyle w:val="FootnoteText"/>
      </w:pPr>
      <w:r w:rsidRPr="008D7781">
        <w:rPr>
          <w:rStyle w:val="FootnoteReference"/>
          <w:sz w:val="20"/>
        </w:rPr>
        <w:footnoteRef/>
      </w:r>
      <w:r w:rsidRPr="008D7781">
        <w:t xml:space="preserve"> </w:t>
      </w:r>
      <w:r w:rsidRPr="008D7781">
        <w:rPr>
          <w:i/>
        </w:rPr>
        <w:t xml:space="preserve">Southern California </w:t>
      </w:r>
      <w:r w:rsidRPr="008D7781">
        <w:rPr>
          <w:i/>
          <w:iCs/>
        </w:rPr>
        <w:t>Broadcasting</w:t>
      </w:r>
      <w:r w:rsidRPr="008D7781">
        <w:rPr>
          <w:i/>
        </w:rPr>
        <w:t xml:space="preserve"> Co., </w:t>
      </w:r>
      <w:r w:rsidRPr="008D7781">
        <w:t xml:space="preserve">6 FCC Rcd at 4388, ¶ 5; </w:t>
      </w:r>
      <w:r w:rsidRPr="008D7781">
        <w:rPr>
          <w:i/>
        </w:rPr>
        <w:t xml:space="preserve">Callais Cablevision, Inc., </w:t>
      </w:r>
      <w:r w:rsidRPr="008D7781">
        <w:t>16 FCC Rcd at 1362, ¶ 9.</w:t>
      </w:r>
    </w:p>
  </w:footnote>
  <w:footnote w:id="42">
    <w:p w:rsidR="00D70DEB" w:rsidRPr="008D7781" w:rsidRDefault="00D70DEB" w:rsidP="00D70DEB">
      <w:pPr>
        <w:pStyle w:val="FootnoteText"/>
      </w:pPr>
      <w:r w:rsidRPr="008D7781">
        <w:rPr>
          <w:rStyle w:val="FootnoteReference"/>
          <w:sz w:val="20"/>
        </w:rPr>
        <w:footnoteRef/>
      </w:r>
      <w:r w:rsidRPr="008D7781">
        <w:t xml:space="preserve"> </w:t>
      </w:r>
      <w:r w:rsidRPr="008D7781">
        <w:rPr>
          <w:i/>
        </w:rPr>
        <w:t>See</w:t>
      </w:r>
      <w:r w:rsidRPr="008D7781">
        <w:t xml:space="preserve"> 47 U.S.C. § 503(b)(4); 47 C.F.R. § 1.80(f).</w:t>
      </w:r>
    </w:p>
  </w:footnote>
  <w:footnote w:id="43">
    <w:p w:rsidR="00D70DEB" w:rsidRPr="008D7781" w:rsidRDefault="00D70DEB" w:rsidP="00D70DEB">
      <w:pPr>
        <w:pStyle w:val="FootnoteText"/>
      </w:pPr>
      <w:r w:rsidRPr="008D7781">
        <w:rPr>
          <w:rStyle w:val="FootnoteReference"/>
          <w:sz w:val="20"/>
        </w:rPr>
        <w:footnoteRef/>
      </w:r>
      <w:r w:rsidRPr="008D7781">
        <w:rPr>
          <w:i/>
        </w:rPr>
        <w:t xml:space="preserve"> See, e.g., SBC Communications, Inc</w:t>
      </w:r>
      <w:r w:rsidRPr="008D7781">
        <w:t>.,</w:t>
      </w:r>
      <w:r w:rsidRPr="008D7781">
        <w:rPr>
          <w:i/>
        </w:rPr>
        <w:t xml:space="preserve"> </w:t>
      </w:r>
      <w:r w:rsidRPr="008D7781">
        <w:t xml:space="preserve">Forfeiture Order, 17 FCC Rcd 7589, 7591, ¶ 4 (2002) (forfeiture paid). </w:t>
      </w:r>
    </w:p>
  </w:footnote>
  <w:footnote w:id="44">
    <w:p w:rsidR="00D70DEB" w:rsidRPr="008D7781" w:rsidRDefault="00D70DEB" w:rsidP="00D70DEB">
      <w:pPr>
        <w:pStyle w:val="FootnoteText"/>
      </w:pPr>
      <w:r w:rsidRPr="008D7781">
        <w:rPr>
          <w:rStyle w:val="FootnoteReference"/>
        </w:rPr>
        <w:footnoteRef/>
      </w:r>
      <w:r w:rsidRPr="008D7781">
        <w:t xml:space="preserve"> 47 U.S.C. § 325(b)(1)(A).  Although Section 325(b) sets forth certain limited exceptions to the retransmission consent requirement, none applies to the present situation. </w:t>
      </w:r>
    </w:p>
  </w:footnote>
  <w:footnote w:id="45">
    <w:p w:rsidR="00D70DEB" w:rsidRPr="008D7781" w:rsidRDefault="00D70DEB" w:rsidP="00D70DEB">
      <w:pPr>
        <w:pStyle w:val="FootnoteText"/>
      </w:pPr>
      <w:r w:rsidRPr="008D7781">
        <w:rPr>
          <w:rStyle w:val="FootnoteReference"/>
        </w:rPr>
        <w:footnoteRef/>
      </w:r>
      <w:r w:rsidRPr="008D7781">
        <w:t xml:space="preserve"> 47 C.F.R. § 76.64(a), (j).</w:t>
      </w:r>
    </w:p>
  </w:footnote>
  <w:footnote w:id="46">
    <w:p w:rsidR="00D70DEB" w:rsidRPr="008D7781" w:rsidRDefault="00D70DEB" w:rsidP="00D70DEB">
      <w:pPr>
        <w:pStyle w:val="FootnoteText"/>
      </w:pPr>
      <w:r w:rsidRPr="008D7781">
        <w:rPr>
          <w:rStyle w:val="FootnoteReference"/>
        </w:rPr>
        <w:footnoteRef/>
      </w:r>
      <w:r w:rsidRPr="008D7781">
        <w:t xml:space="preserve"> </w:t>
      </w:r>
      <w:r w:rsidRPr="008D7781">
        <w:rPr>
          <w:i/>
        </w:rPr>
        <w:t>Implementation of the Cable Television Consumer Protection and Competition Act of 1992, Broadcast Signal Carriage Issues</w:t>
      </w:r>
      <w:r w:rsidRPr="008D7781">
        <w:t>, Report and Order, 8 FCC Rcd 2965, 3005, ¶ 175 (1993) (“</w:t>
      </w:r>
      <w:r w:rsidRPr="008D7781">
        <w:rPr>
          <w:i/>
        </w:rPr>
        <w:t>Must Carry Order</w:t>
      </w:r>
      <w:r w:rsidRPr="008D7781">
        <w:t>”).</w:t>
      </w:r>
    </w:p>
  </w:footnote>
  <w:footnote w:id="47">
    <w:p w:rsidR="00D70DEB" w:rsidRPr="008D7781" w:rsidRDefault="00D70DEB" w:rsidP="00D70DEB">
      <w:pPr>
        <w:pStyle w:val="FootnoteText"/>
      </w:pPr>
      <w:r w:rsidRPr="008D7781">
        <w:rPr>
          <w:rStyle w:val="FootnoteReference"/>
        </w:rPr>
        <w:footnoteRef/>
      </w:r>
      <w:r w:rsidRPr="008D7781">
        <w:t xml:space="preserve"> 47 C.F.R. § 76.64(e).</w:t>
      </w:r>
    </w:p>
  </w:footnote>
  <w:footnote w:id="48">
    <w:p w:rsidR="00D70DEB" w:rsidRPr="008D7781" w:rsidRDefault="00D70DEB" w:rsidP="00D70DEB">
      <w:pPr>
        <w:pStyle w:val="FootnoteText"/>
      </w:pPr>
      <w:r w:rsidRPr="008D7781">
        <w:rPr>
          <w:rStyle w:val="FootnoteReference"/>
        </w:rPr>
        <w:footnoteRef/>
      </w:r>
      <w:r w:rsidRPr="008D7781">
        <w:t xml:space="preserve"> </w:t>
      </w:r>
      <w:r w:rsidRPr="008D7781">
        <w:rPr>
          <w:i/>
        </w:rPr>
        <w:t>Id</w:t>
      </w:r>
      <w:r w:rsidRPr="008D7781">
        <w:t>.</w:t>
      </w:r>
    </w:p>
  </w:footnote>
  <w:footnote w:id="49">
    <w:p w:rsidR="00D70DEB" w:rsidRPr="008D7781" w:rsidRDefault="00D70DEB" w:rsidP="00D70DEB">
      <w:pPr>
        <w:pStyle w:val="FootnoteText"/>
      </w:pPr>
      <w:r w:rsidRPr="008D7781">
        <w:rPr>
          <w:rStyle w:val="FootnoteReference"/>
        </w:rPr>
        <w:footnoteRef/>
      </w:r>
      <w:r w:rsidRPr="008D7781">
        <w:t xml:space="preserve"> </w:t>
      </w:r>
      <w:r w:rsidRPr="008D7781">
        <w:rPr>
          <w:i/>
        </w:rPr>
        <w:t>See Must Carry Order</w:t>
      </w:r>
      <w:r w:rsidRPr="008D7781">
        <w:t xml:space="preserve">, 8 FCC Rcd at 2997-98, ¶ 135; </w:t>
      </w:r>
      <w:r w:rsidRPr="008D7781">
        <w:rPr>
          <w:i/>
        </w:rPr>
        <w:t>modified by</w:t>
      </w:r>
      <w:r w:rsidRPr="008D7781">
        <w:t xml:space="preserve"> Memorandum Opinion &amp; Order, 9 FCC Rcd 6723, at ¶ 79 (1994); </w:t>
      </w:r>
      <w:r w:rsidRPr="008D7781">
        <w:rPr>
          <w:i/>
        </w:rPr>
        <w:t>corrected by</w:t>
      </w:r>
      <w:r w:rsidRPr="008D7781">
        <w:t xml:space="preserve"> Erratum, 9 FCC Rcd 7882 (CSB 1994). </w:t>
      </w:r>
    </w:p>
  </w:footnote>
  <w:footnote w:id="50">
    <w:p w:rsidR="003448EC" w:rsidRPr="008D7781" w:rsidRDefault="003448EC">
      <w:pPr>
        <w:pStyle w:val="FootnoteText"/>
      </w:pPr>
      <w:r w:rsidRPr="008D7781">
        <w:rPr>
          <w:rStyle w:val="FootnoteReference"/>
        </w:rPr>
        <w:footnoteRef/>
      </w:r>
      <w:r w:rsidRPr="008D7781">
        <w:t xml:space="preserve"> </w:t>
      </w:r>
      <w:r w:rsidRPr="008D7781">
        <w:rPr>
          <w:i/>
        </w:rPr>
        <w:t>See</w:t>
      </w:r>
      <w:r w:rsidRPr="008D7781">
        <w:t xml:space="preserve">, </w:t>
      </w:r>
      <w:r w:rsidRPr="008D7781">
        <w:rPr>
          <w:i/>
        </w:rPr>
        <w:t>e.g.</w:t>
      </w:r>
      <w:r w:rsidRPr="008D7781">
        <w:t xml:space="preserve">, </w:t>
      </w:r>
      <w:r w:rsidR="000C137D" w:rsidRPr="008D7781">
        <w:t>TV Max</w:t>
      </w:r>
      <w:r w:rsidRPr="008D7781">
        <w:t xml:space="preserve"> Surreply to FOX Reply (dated May 25, 2012) at 3 (“</w:t>
      </w:r>
      <w:r w:rsidR="000C137D" w:rsidRPr="008D7781">
        <w:t>TV Max</w:t>
      </w:r>
      <w:r w:rsidRPr="008D7781">
        <w:t xml:space="preserve"> admits to non-compliance with the retransmission consent regime insofar as it had failed to install MATV systems at 100% of the MDU buildings served by the company at the time the prior retransmission consent agreement with Fox expired on December 31, 2011.”).</w:t>
      </w:r>
      <w:r w:rsidR="0078689A" w:rsidRPr="008D7781">
        <w:t xml:space="preserve">  As noted above, each of the retransmission agreements expired December 31, 2011, except for </w:t>
      </w:r>
      <w:r w:rsidR="00C94A56" w:rsidRPr="008D7781">
        <w:t xml:space="preserve">that of </w:t>
      </w:r>
      <w:r w:rsidR="0078689A" w:rsidRPr="008D7781">
        <w:t>ABC</w:t>
      </w:r>
      <w:r w:rsidR="00C94A56" w:rsidRPr="008D7781">
        <w:t>,</w:t>
      </w:r>
      <w:r w:rsidR="0078689A" w:rsidRPr="008D7781">
        <w:t xml:space="preserve"> which expired March 2, 2012.  </w:t>
      </w:r>
      <w:r w:rsidR="0078689A" w:rsidRPr="008D7781">
        <w:rPr>
          <w:i/>
        </w:rPr>
        <w:t>See</w:t>
      </w:r>
      <w:r w:rsidR="0078689A" w:rsidRPr="008D7781">
        <w:t xml:space="preserve"> </w:t>
      </w:r>
      <w:r w:rsidR="00B66E3C" w:rsidRPr="008D7781">
        <w:rPr>
          <w:i/>
        </w:rPr>
        <w:t>supra</w:t>
      </w:r>
      <w:r w:rsidR="00B66E3C" w:rsidRPr="008D7781">
        <w:t xml:space="preserve"> ¶ 3</w:t>
      </w:r>
      <w:r w:rsidR="0078689A" w:rsidRPr="008D7781">
        <w:t>.</w:t>
      </w:r>
    </w:p>
  </w:footnote>
  <w:footnote w:id="51">
    <w:p w:rsidR="003448EC" w:rsidRPr="008D7781" w:rsidRDefault="003448EC" w:rsidP="00527E26">
      <w:pPr>
        <w:pStyle w:val="FootnoteText"/>
      </w:pPr>
      <w:r w:rsidRPr="008D7781">
        <w:rPr>
          <w:rStyle w:val="FootnoteReference"/>
        </w:rPr>
        <w:footnoteRef/>
      </w:r>
      <w:r w:rsidRPr="008D7781">
        <w:t xml:space="preserve"> </w:t>
      </w:r>
      <w:r w:rsidR="00527E26" w:rsidRPr="008D7781">
        <w:rPr>
          <w:i/>
        </w:rPr>
        <w:t>See</w:t>
      </w:r>
      <w:r w:rsidR="00527E26" w:rsidRPr="008D7781">
        <w:t xml:space="preserve">, </w:t>
      </w:r>
      <w:r w:rsidR="00527E26" w:rsidRPr="008D7781">
        <w:rPr>
          <w:i/>
        </w:rPr>
        <w:t>e.g.</w:t>
      </w:r>
      <w:r w:rsidR="00527E26" w:rsidRPr="008D7781">
        <w:t xml:space="preserve">, Answer of TV Max to ABC Complaint, dated Sept. 24, 2012, at </w:t>
      </w:r>
      <w:r w:rsidR="00527E26">
        <w:t>3</w:t>
      </w:r>
      <w:r w:rsidR="00527E26" w:rsidRPr="008D7781">
        <w:t xml:space="preserve"> (</w:t>
      </w:r>
      <w:r w:rsidR="00527E26">
        <w:t xml:space="preserve">stating </w:t>
      </w:r>
      <w:r w:rsidR="00527E26" w:rsidRPr="008D7781">
        <w:t>“</w:t>
      </w:r>
      <w:r w:rsidR="00527E26">
        <w:t xml:space="preserve">as of July 26, 2012, master antennas have been fully installed and are currently operational at all MDU buildings served by TV Max.”).  </w:t>
      </w:r>
      <w:r w:rsidRPr="008D7781">
        <w:rPr>
          <w:i/>
        </w:rPr>
        <w:t>See</w:t>
      </w:r>
      <w:r w:rsidRPr="008D7781">
        <w:t xml:space="preserve"> </w:t>
      </w:r>
      <w:r w:rsidR="00527E26" w:rsidRPr="00527E26">
        <w:rPr>
          <w:i/>
        </w:rPr>
        <w:t>also</w:t>
      </w:r>
      <w:r w:rsidR="00527E26">
        <w:t xml:space="preserve"> </w:t>
      </w:r>
      <w:r w:rsidR="00BB48D5" w:rsidRPr="008D7781">
        <w:t>Kandutsch July 26 Email at 1</w:t>
      </w:r>
      <w:r w:rsidRPr="008D7781">
        <w:t>.</w:t>
      </w:r>
    </w:p>
  </w:footnote>
  <w:footnote w:id="52">
    <w:p w:rsidR="003448EC" w:rsidRPr="008D7781" w:rsidRDefault="003448EC">
      <w:pPr>
        <w:pStyle w:val="FootnoteText"/>
      </w:pPr>
      <w:r w:rsidRPr="008D7781">
        <w:rPr>
          <w:rStyle w:val="FootnoteReference"/>
        </w:rPr>
        <w:footnoteRef/>
      </w:r>
      <w:r w:rsidRPr="008D7781">
        <w:t xml:space="preserve"> </w:t>
      </w:r>
      <w:r w:rsidRPr="008D7781">
        <w:rPr>
          <w:i/>
        </w:rPr>
        <w:t>See</w:t>
      </w:r>
      <w:r w:rsidRPr="008D7781">
        <w:t xml:space="preserve">, </w:t>
      </w:r>
      <w:r w:rsidRPr="008D7781">
        <w:rPr>
          <w:i/>
        </w:rPr>
        <w:t>e.g.</w:t>
      </w:r>
      <w:r w:rsidRPr="008D7781">
        <w:t xml:space="preserve">, </w:t>
      </w:r>
      <w:r w:rsidR="000C137D" w:rsidRPr="008D7781">
        <w:t>TV Max</w:t>
      </w:r>
      <w:r w:rsidRPr="008D7781">
        <w:t xml:space="preserve"> Surreply to Univision Reply (dated August 6, 2012) at 1-2.</w:t>
      </w:r>
    </w:p>
  </w:footnote>
  <w:footnote w:id="53">
    <w:p w:rsidR="006A7FC1" w:rsidRPr="008D7781" w:rsidRDefault="006A7FC1">
      <w:pPr>
        <w:pStyle w:val="FootnoteText"/>
      </w:pPr>
      <w:r w:rsidRPr="008D7781">
        <w:rPr>
          <w:rStyle w:val="FootnoteReference"/>
        </w:rPr>
        <w:footnoteRef/>
      </w:r>
      <w:r w:rsidRPr="008D7781">
        <w:t xml:space="preserve"> </w:t>
      </w:r>
      <w:r w:rsidRPr="008D7781">
        <w:rPr>
          <w:i/>
        </w:rPr>
        <w:t>See</w:t>
      </w:r>
      <w:r w:rsidRPr="008D7781">
        <w:t xml:space="preserve"> 47 C.F.R. § 76.64(e).</w:t>
      </w:r>
    </w:p>
  </w:footnote>
  <w:footnote w:id="54">
    <w:p w:rsidR="00F462CA" w:rsidRPr="008D7781" w:rsidRDefault="00F462CA">
      <w:pPr>
        <w:pStyle w:val="FootnoteText"/>
      </w:pPr>
      <w:r w:rsidRPr="008D7781">
        <w:rPr>
          <w:rStyle w:val="FootnoteReference"/>
        </w:rPr>
        <w:footnoteRef/>
      </w:r>
      <w:r w:rsidRPr="008D7781">
        <w:t xml:space="preserve"> </w:t>
      </w:r>
      <w:r w:rsidRPr="008D7781">
        <w:rPr>
          <w:i/>
        </w:rPr>
        <w:t>See</w:t>
      </w:r>
      <w:r w:rsidRPr="008D7781">
        <w:t xml:space="preserve"> 47 U.S.C. § 312(f)(1).  </w:t>
      </w:r>
    </w:p>
  </w:footnote>
  <w:footnote w:id="55">
    <w:p w:rsidR="00F462CA" w:rsidRPr="008D7781" w:rsidRDefault="00F462CA">
      <w:pPr>
        <w:pStyle w:val="FootnoteText"/>
      </w:pPr>
      <w:r w:rsidRPr="008D7781">
        <w:rPr>
          <w:rStyle w:val="FootnoteReference"/>
        </w:rPr>
        <w:footnoteRef/>
      </w:r>
      <w:r w:rsidRPr="008D7781">
        <w:t xml:space="preserve"> </w:t>
      </w:r>
      <w:r w:rsidRPr="008D7781">
        <w:rPr>
          <w:i/>
        </w:rPr>
        <w:t>See</w:t>
      </w:r>
      <w:r w:rsidRPr="008D7781">
        <w:t xml:space="preserve"> </w:t>
      </w:r>
      <w:r w:rsidRPr="008D7781">
        <w:rPr>
          <w:i/>
        </w:rPr>
        <w:t xml:space="preserve">Southern California </w:t>
      </w:r>
      <w:r w:rsidRPr="008D7781">
        <w:rPr>
          <w:i/>
          <w:iCs/>
        </w:rPr>
        <w:t>Broadcasting</w:t>
      </w:r>
      <w:r w:rsidRPr="008D7781">
        <w:rPr>
          <w:i/>
        </w:rPr>
        <w:t xml:space="preserve"> Co., </w:t>
      </w:r>
      <w:r w:rsidRPr="008D7781">
        <w:t xml:space="preserve">6 FCC Rcd at 4388, ¶ 5; </w:t>
      </w:r>
      <w:r w:rsidRPr="008D7781">
        <w:rPr>
          <w:i/>
        </w:rPr>
        <w:t xml:space="preserve">Callais Cablevision, Inc., </w:t>
      </w:r>
      <w:r w:rsidRPr="008D7781">
        <w:t>16 FCC Rcd at 1362, ¶ 9.</w:t>
      </w:r>
    </w:p>
  </w:footnote>
  <w:footnote w:id="56">
    <w:p w:rsidR="00657354" w:rsidRPr="008D7781" w:rsidRDefault="00657354">
      <w:pPr>
        <w:pStyle w:val="FootnoteText"/>
      </w:pPr>
      <w:r w:rsidRPr="008D7781">
        <w:rPr>
          <w:rStyle w:val="FootnoteReference"/>
        </w:rPr>
        <w:footnoteRef/>
      </w:r>
      <w:r w:rsidRPr="008D7781">
        <w:t xml:space="preserve"> There is a gap of 208 days from when the agreements expired with FOX, Univision and Post-Newsweek and 146 days from when the extension agreement expired with ABC, and when </w:t>
      </w:r>
      <w:r w:rsidR="000C137D" w:rsidRPr="008D7781">
        <w:t>TV Max</w:t>
      </w:r>
      <w:r w:rsidRPr="008D7781">
        <w:t xml:space="preserve"> </w:t>
      </w:r>
      <w:r w:rsidR="00D96A25" w:rsidRPr="008D7781">
        <w:t xml:space="preserve">asserted that it </w:t>
      </w:r>
      <w:r w:rsidRPr="008D7781">
        <w:t xml:space="preserve">completed installation of the MATV antennas in all its buildings.  Nonetheless, during this gap period, </w:t>
      </w:r>
      <w:r w:rsidR="000C137D" w:rsidRPr="008D7781">
        <w:t>TV Max</w:t>
      </w:r>
      <w:r w:rsidRPr="008D7781">
        <w:t xml:space="preserve"> continued to retransmit the broadcast signals to its customers</w:t>
      </w:r>
      <w:r w:rsidR="00C50EC8" w:rsidRPr="008D7781">
        <w:t xml:space="preserve"> without consent from the Stations whose signals were retransmitted.</w:t>
      </w:r>
    </w:p>
  </w:footnote>
  <w:footnote w:id="57">
    <w:p w:rsidR="008B7271" w:rsidRPr="008D7781" w:rsidRDefault="008B7271" w:rsidP="008B7271">
      <w:pPr>
        <w:pStyle w:val="FootnoteText"/>
      </w:pPr>
      <w:r w:rsidRPr="008D7781">
        <w:rPr>
          <w:rStyle w:val="FootnoteReference"/>
        </w:rPr>
        <w:footnoteRef/>
      </w:r>
      <w:r w:rsidRPr="008D7781">
        <w:t xml:space="preserve"> 47 C.F.R. § 76.64(e).</w:t>
      </w:r>
    </w:p>
  </w:footnote>
  <w:footnote w:id="58">
    <w:p w:rsidR="00240E38" w:rsidRPr="008D7781" w:rsidRDefault="00240E38" w:rsidP="00240E38">
      <w:pPr>
        <w:pStyle w:val="FootnoteText"/>
      </w:pPr>
      <w:r w:rsidRPr="008D7781">
        <w:rPr>
          <w:rStyle w:val="FootnoteReference"/>
        </w:rPr>
        <w:footnoteRef/>
      </w:r>
      <w:r w:rsidRPr="008D7781">
        <w:t xml:space="preserve"> </w:t>
      </w:r>
      <w:r w:rsidRPr="008D7781">
        <w:rPr>
          <w:i/>
        </w:rPr>
        <w:t>See</w:t>
      </w:r>
      <w:r w:rsidRPr="008D7781">
        <w:t xml:space="preserve"> </w:t>
      </w:r>
      <w:r w:rsidR="00BB48D5" w:rsidRPr="008D7781">
        <w:t>Kandutsch July 26 Email</w:t>
      </w:r>
      <w:r w:rsidR="00BB48D5" w:rsidRPr="008D7781" w:rsidDel="00BB48D5">
        <w:t xml:space="preserve"> </w:t>
      </w:r>
      <w:r w:rsidR="00BB48D5" w:rsidRPr="008D7781">
        <w:t xml:space="preserve">at 1 </w:t>
      </w:r>
      <w:r w:rsidRPr="008D7781">
        <w:t>(“Answer to Interrogatory,” stating “Broadcast signals are delivered to MDU residents using both the fiber ring and the MATV systems.”).</w:t>
      </w:r>
    </w:p>
  </w:footnote>
  <w:footnote w:id="59">
    <w:p w:rsidR="00785738" w:rsidRPr="008D7781" w:rsidRDefault="00785738" w:rsidP="00785738">
      <w:pPr>
        <w:pStyle w:val="FootnoteText"/>
      </w:pPr>
      <w:r w:rsidRPr="008D7781">
        <w:rPr>
          <w:rStyle w:val="FootnoteReference"/>
        </w:rPr>
        <w:footnoteRef/>
      </w:r>
      <w:r w:rsidRPr="008D7781">
        <w:t xml:space="preserve"> </w:t>
      </w:r>
      <w:r w:rsidRPr="008D7781">
        <w:rPr>
          <w:i/>
        </w:rPr>
        <w:t>See id</w:t>
      </w:r>
      <w:r w:rsidRPr="008D7781">
        <w:t xml:space="preserve">.  Moreover, in a conference call with the parties </w:t>
      </w:r>
      <w:r w:rsidR="0065287F" w:rsidRPr="008D7781">
        <w:t xml:space="preserve">and FCC staff </w:t>
      </w:r>
      <w:r w:rsidRPr="008D7781">
        <w:t xml:space="preserve">on December 10, 2012, </w:t>
      </w:r>
      <w:r w:rsidR="000C137D" w:rsidRPr="008D7781">
        <w:t>TV Max</w:t>
      </w:r>
      <w:r w:rsidR="009B32E6" w:rsidRPr="008D7781">
        <w:t>’</w:t>
      </w:r>
      <w:r w:rsidRPr="008D7781">
        <w:t xml:space="preserve">s CEO Thomas Balun confirmed that </w:t>
      </w:r>
      <w:r w:rsidR="000C137D" w:rsidRPr="008D7781">
        <w:t>TV Max</w:t>
      </w:r>
      <w:r w:rsidRPr="008D7781">
        <w:t xml:space="preserve"> was transmitting the signals of all of the broadcast stations over </w:t>
      </w:r>
      <w:r w:rsidR="00E469A7" w:rsidRPr="008D7781">
        <w:t xml:space="preserve">its </w:t>
      </w:r>
      <w:r w:rsidR="00C50EC8" w:rsidRPr="008D7781">
        <w:t xml:space="preserve">fiber </w:t>
      </w:r>
      <w:r w:rsidR="00EB2239" w:rsidRPr="008D7781">
        <w:t>ring.</w:t>
      </w:r>
      <w:r w:rsidR="00E469A7" w:rsidRPr="008D7781">
        <w:t xml:space="preserve"> He made no mention of BV6 or BF, which, according to TV M</w:t>
      </w:r>
      <w:r w:rsidR="001C1F32" w:rsidRPr="008D7781">
        <w:t>ax</w:t>
      </w:r>
      <w:r w:rsidR="00E469A7" w:rsidRPr="008D7781">
        <w:t>’s April 5, 2013 e-mail response to the Bureau’s March 23 inquiry, had respectively succeeded TV Max as the provider of the cable service in Houston</w:t>
      </w:r>
      <w:r w:rsidR="00FF6B53" w:rsidRPr="008D7781">
        <w:t>,</w:t>
      </w:r>
      <w:r w:rsidR="00E469A7" w:rsidRPr="008D7781">
        <w:t xml:space="preserve"> and </w:t>
      </w:r>
      <w:r w:rsidR="00FF6B53" w:rsidRPr="008D7781">
        <w:t xml:space="preserve">as </w:t>
      </w:r>
      <w:r w:rsidR="00E469A7" w:rsidRPr="008D7781">
        <w:t>owner of the fiber ring since June 7, 201</w:t>
      </w:r>
      <w:r w:rsidR="001C1F32" w:rsidRPr="008D7781">
        <w:t>2</w:t>
      </w:r>
      <w:r w:rsidR="00E469A7" w:rsidRPr="008D7781">
        <w:t xml:space="preserve">, </w:t>
      </w:r>
      <w:r w:rsidR="005D5091" w:rsidRPr="008D7781">
        <w:t>more than</w:t>
      </w:r>
      <w:r w:rsidR="00E469A7" w:rsidRPr="008D7781">
        <w:t xml:space="preserve"> six months earlier.</w:t>
      </w:r>
    </w:p>
  </w:footnote>
  <w:footnote w:id="60">
    <w:p w:rsidR="00240E38" w:rsidRPr="008D7781" w:rsidRDefault="00240E38" w:rsidP="00240E38">
      <w:pPr>
        <w:pStyle w:val="FootnoteText"/>
      </w:pPr>
      <w:r w:rsidRPr="008D7781">
        <w:rPr>
          <w:rStyle w:val="FootnoteReference"/>
        </w:rPr>
        <w:footnoteRef/>
      </w:r>
      <w:r w:rsidRPr="008D7781">
        <w:t xml:space="preserve"> </w:t>
      </w:r>
      <w:r w:rsidR="000C137D" w:rsidRPr="008D7781">
        <w:t>TV Max</w:t>
      </w:r>
      <w:r w:rsidRPr="008D7781">
        <w:t xml:space="preserve"> Surreply to FOX at 2-3.</w:t>
      </w:r>
    </w:p>
  </w:footnote>
  <w:footnote w:id="61">
    <w:p w:rsidR="00C50EC8" w:rsidRPr="008D7781" w:rsidRDefault="00C50EC8" w:rsidP="009663F0">
      <w:pPr>
        <w:pStyle w:val="FootnoteText"/>
      </w:pPr>
      <w:r w:rsidRPr="008D7781">
        <w:rPr>
          <w:rStyle w:val="FootnoteReference"/>
        </w:rPr>
        <w:footnoteRef/>
      </w:r>
      <w:r w:rsidRPr="008D7781">
        <w:t xml:space="preserve"> 47 C.F.R. § 76.64(e).</w:t>
      </w:r>
    </w:p>
  </w:footnote>
  <w:footnote w:id="62">
    <w:p w:rsidR="00240E38" w:rsidRPr="008D7781" w:rsidRDefault="00240E38" w:rsidP="00240E38">
      <w:pPr>
        <w:pStyle w:val="FootnoteText"/>
      </w:pPr>
      <w:r w:rsidRPr="008D7781">
        <w:rPr>
          <w:rStyle w:val="FootnoteReference"/>
        </w:rPr>
        <w:footnoteRef/>
      </w:r>
      <w:r w:rsidRPr="008D7781">
        <w:t xml:space="preserve"> </w:t>
      </w:r>
      <w:r w:rsidRPr="008D7781">
        <w:rPr>
          <w:i/>
        </w:rPr>
        <w:t>Id</w:t>
      </w:r>
      <w:r w:rsidRPr="008D7781">
        <w:t>.</w:t>
      </w:r>
    </w:p>
  </w:footnote>
  <w:footnote w:id="63">
    <w:p w:rsidR="003448EC" w:rsidRPr="008D7781" w:rsidRDefault="003448EC">
      <w:pPr>
        <w:pStyle w:val="FootnoteText"/>
      </w:pPr>
      <w:r w:rsidRPr="008D7781">
        <w:rPr>
          <w:rStyle w:val="FootnoteReference"/>
          <w:sz w:val="20"/>
        </w:rPr>
        <w:footnoteRef/>
      </w:r>
      <w:r w:rsidRPr="008D7781">
        <w:rPr>
          <w:i/>
        </w:rPr>
        <w:t xml:space="preserve"> See The Commission</w:t>
      </w:r>
      <w:r w:rsidR="009B32E6" w:rsidRPr="008D7781">
        <w:rPr>
          <w:i/>
        </w:rPr>
        <w:t>’</w:t>
      </w:r>
      <w:r w:rsidRPr="008D7781">
        <w:rPr>
          <w:i/>
        </w:rPr>
        <w:t>s Forfeiture Policy Statement and Amendment of Section 1.80 of the Rules to Incorporate the Forfeiture Guidelines</w:t>
      </w:r>
      <w:r w:rsidRPr="008D7781">
        <w:t xml:space="preserve">, Report and Order, 12 FCC Rcd 17087, 17115 (1997), </w:t>
      </w:r>
      <w:r w:rsidRPr="008D7781">
        <w:rPr>
          <w:i/>
        </w:rPr>
        <w:t>recons. denied</w:t>
      </w:r>
      <w:r w:rsidRPr="008D7781">
        <w:t xml:space="preserve"> 15 FCC Rcd 303 (1999) (“</w:t>
      </w:r>
      <w:r w:rsidRPr="008D7781">
        <w:rPr>
          <w:i/>
        </w:rPr>
        <w:t>Forfeiture Policy Statement</w:t>
      </w:r>
      <w:r w:rsidRPr="008D7781">
        <w:t>”);</w:t>
      </w:r>
      <w:r w:rsidRPr="008D7781">
        <w:rPr>
          <w:i/>
        </w:rPr>
        <w:t xml:space="preserve"> </w:t>
      </w:r>
      <w:r w:rsidRPr="008D7781">
        <w:t xml:space="preserve">47 C.F.R. § 1.80(b).  </w:t>
      </w:r>
      <w:r w:rsidR="008D6B16" w:rsidRPr="008D7781">
        <w:rPr>
          <w:i/>
        </w:rPr>
        <w:t>See also</w:t>
      </w:r>
      <w:r w:rsidR="008D6B16" w:rsidRPr="008D7781">
        <w:t xml:space="preserve"> </w:t>
      </w:r>
      <w:r w:rsidR="008D6B16" w:rsidRPr="008D7781">
        <w:rPr>
          <w:i/>
        </w:rPr>
        <w:t>Bailey Cable TV, Inc.</w:t>
      </w:r>
      <w:r w:rsidR="008D6B16" w:rsidRPr="008D7781">
        <w:t>, MB Docket No. 12-35, Notice of Apparent Liability for Forfeiture, 27 FCC Rcd 2625 (MB 2012) (identifying a total base forfeiture amount of $255,000 for a 34-day violation of the retransmission consent rules but reducing the proposed forfeiture to $15,000 based on the operator</w:t>
      </w:r>
      <w:r w:rsidR="009B32E6" w:rsidRPr="008D7781">
        <w:t>’</w:t>
      </w:r>
      <w:r w:rsidR="008D6B16" w:rsidRPr="008D7781">
        <w:t xml:space="preserve">s inability to pay); Forfeiture Order, 27 FCC Rcd 7473 (MB 2012) (imposing the $15,000 forfeiture); </w:t>
      </w:r>
      <w:r w:rsidR="008D6B16" w:rsidRPr="008D7781">
        <w:rPr>
          <w:i/>
        </w:rPr>
        <w:t>and see Bailey Cable TV, Inc.</w:t>
      </w:r>
      <w:r w:rsidR="008D6B16" w:rsidRPr="008D7781">
        <w:t>, MB Docket No. 12-34, Notice of Apparent Liability for Forfeiture, 27 FCC Rcd 2631 (MB 2012) (identifying a total base forfeiture amount of $255,000 for a 34-day violation but reducing the proposed forfeiture to $15,000 based on the operator</w:t>
      </w:r>
      <w:r w:rsidR="009B32E6" w:rsidRPr="008D7781">
        <w:t>’</w:t>
      </w:r>
      <w:r w:rsidR="008D6B16" w:rsidRPr="008D7781">
        <w:t>s inability to pay); Forfeiture Order, 27 FCC Rcd 7470 (MB 2012) (imposing the $15,000 forfeiture).</w:t>
      </w:r>
      <w:r w:rsidR="00C50EC8" w:rsidRPr="008D7781">
        <w:t xml:space="preserve"> </w:t>
      </w:r>
    </w:p>
  </w:footnote>
  <w:footnote w:id="64">
    <w:p w:rsidR="003448EC" w:rsidRPr="008D7781" w:rsidRDefault="003448EC">
      <w:pPr>
        <w:pStyle w:val="FootnoteText"/>
      </w:pPr>
      <w:r w:rsidRPr="008D7781">
        <w:rPr>
          <w:rStyle w:val="FootnoteReference"/>
          <w:sz w:val="20"/>
        </w:rPr>
        <w:footnoteRef/>
      </w:r>
      <w:r w:rsidRPr="008D7781">
        <w:t xml:space="preserve"> </w:t>
      </w:r>
      <w:r w:rsidRPr="008D7781">
        <w:rPr>
          <w:i/>
        </w:rPr>
        <w:t xml:space="preserve">See </w:t>
      </w:r>
      <w:r w:rsidRPr="008D7781">
        <w:t>47 U.S.C. § 503(b)(2)(E); 47 C.F.R § 1.80(b)(4).</w:t>
      </w:r>
    </w:p>
  </w:footnote>
  <w:footnote w:id="65">
    <w:p w:rsidR="003448EC" w:rsidRPr="008D7781" w:rsidRDefault="003448EC">
      <w:pPr>
        <w:pStyle w:val="FootnoteText"/>
      </w:pPr>
      <w:r w:rsidRPr="008D7781">
        <w:rPr>
          <w:rStyle w:val="FootnoteReference"/>
          <w:sz w:val="20"/>
        </w:rPr>
        <w:footnoteRef/>
      </w:r>
      <w:r w:rsidRPr="008D7781">
        <w:t xml:space="preserve"> </w:t>
      </w:r>
      <w:r w:rsidRPr="008D7781">
        <w:rPr>
          <w:i/>
        </w:rPr>
        <w:t>See id.</w:t>
      </w:r>
    </w:p>
  </w:footnote>
  <w:footnote w:id="66">
    <w:p w:rsidR="009057B7" w:rsidRPr="008D7781" w:rsidRDefault="009057B7" w:rsidP="009057B7">
      <w:pPr>
        <w:pStyle w:val="FootnoteText"/>
      </w:pPr>
      <w:r w:rsidRPr="008D7781">
        <w:rPr>
          <w:rStyle w:val="FootnoteReference"/>
        </w:rPr>
        <w:footnoteRef/>
      </w:r>
      <w:r w:rsidRPr="008D7781">
        <w:t xml:space="preserve"> We note that under Section 503(b)(6) of the Act, we may only propose forfeitures for violations that occurred within one year of the date of issuance of this NAL.  </w:t>
      </w:r>
      <w:r w:rsidRPr="008D7781">
        <w:rPr>
          <w:i/>
        </w:rPr>
        <w:t>See</w:t>
      </w:r>
      <w:r w:rsidRPr="008D7781">
        <w:t xml:space="preserve"> 47 U.S.C. § 503(b)(6).  Therefore, we are proposing a forfeiture only for violations that occurred within one year of this NAL (</w:t>
      </w:r>
      <w:r w:rsidRPr="008D7781">
        <w:rPr>
          <w:i/>
        </w:rPr>
        <w:t>i.e.,</w:t>
      </w:r>
      <w:r w:rsidRPr="008D7781">
        <w:t xml:space="preserve"> those that occurred within the most recent 365 days of the issuance of the NAL).  It is a well-settled principle of law, however, that the Commission may properly consider prior offenses that occurred more than one year before a violation to establish the context for determining an appropriate forfeiture amount.  </w:t>
      </w:r>
      <w:r w:rsidRPr="008D7781">
        <w:rPr>
          <w:i/>
        </w:rPr>
        <w:t xml:space="preserve">See, e.g., InPhonic, Inc., </w:t>
      </w:r>
      <w:r w:rsidRPr="008D7781">
        <w:t xml:space="preserve">Order of Forfeiture and Further Notice of Apparent Liability for Forfeiture, 22 FCC Rcd 8689, 8701 ¶ 28 (2007); </w:t>
      </w:r>
      <w:r w:rsidRPr="008D7781">
        <w:rPr>
          <w:i/>
        </w:rPr>
        <w:t xml:space="preserve">Roadrunner Transp., Inc., </w:t>
      </w:r>
      <w:r w:rsidRPr="008D7781">
        <w:t>Forfeiture Order, 15 FCC Rcd 9669, 9671-72 ¶ 8 (2000) (“While the Commission may not …find the Licensees liable for violations committed prior to [the NAL], it may lawfully look at facts arising before that date in determining an appropriate forfeiture amount”).  We further note that, in assessing the magnitude of the forfeiture amount proposed herein, we need not, and do not, make a determination of whether the violations are subject to the statutory forfeiture limit for a “continuing” violation in Section 503 of the Act.</w:t>
      </w:r>
    </w:p>
  </w:footnote>
  <w:footnote w:id="67">
    <w:p w:rsidR="00D67348" w:rsidRPr="008D7781" w:rsidRDefault="00D67348">
      <w:pPr>
        <w:pStyle w:val="FootnoteText"/>
      </w:pPr>
      <w:r w:rsidRPr="008D7781">
        <w:rPr>
          <w:rStyle w:val="FootnoteReference"/>
        </w:rPr>
        <w:footnoteRef/>
      </w:r>
      <w:r w:rsidRPr="008D7781">
        <w:t xml:space="preserve"> </w:t>
      </w:r>
      <w:r w:rsidRPr="008D7781">
        <w:rPr>
          <w:i/>
        </w:rPr>
        <w:t>See</w:t>
      </w:r>
      <w:r w:rsidRPr="008D7781">
        <w:t xml:space="preserve"> 47 C.F.R. § 1.80(b)(8).</w:t>
      </w:r>
    </w:p>
  </w:footnote>
  <w:footnote w:id="68">
    <w:p w:rsidR="00104573" w:rsidRPr="008D7781" w:rsidRDefault="00104573">
      <w:pPr>
        <w:pStyle w:val="FootnoteText"/>
      </w:pPr>
      <w:r w:rsidRPr="008D7781">
        <w:rPr>
          <w:rStyle w:val="FootnoteReference"/>
        </w:rPr>
        <w:footnoteRef/>
      </w:r>
      <w:r w:rsidRPr="008D7781">
        <w:t xml:space="preserve"> Such calculation could, however, be quite appropriate in other cases.</w:t>
      </w:r>
    </w:p>
  </w:footnote>
  <w:footnote w:id="69">
    <w:p w:rsidR="001A2A06" w:rsidRPr="008D7781" w:rsidRDefault="001A2A06" w:rsidP="001A2A06">
      <w:pPr>
        <w:pStyle w:val="FootnoteText"/>
      </w:pPr>
      <w:r w:rsidRPr="008D7781">
        <w:rPr>
          <w:rStyle w:val="FootnoteReference"/>
        </w:rPr>
        <w:footnoteRef/>
      </w:r>
      <w:r w:rsidR="008703FA" w:rsidRPr="008D7781">
        <w:t xml:space="preserve"> </w:t>
      </w:r>
      <w:r w:rsidR="000047F1" w:rsidRPr="008D7781">
        <w:rPr>
          <w:i/>
        </w:rPr>
        <w:t>See</w:t>
      </w:r>
      <w:r w:rsidR="000047F1" w:rsidRPr="008D7781">
        <w:t xml:space="preserve"> 47 C.F.R. § 1.80(b).  </w:t>
      </w:r>
      <w:r w:rsidR="00493C6C" w:rsidRPr="008D7781">
        <w:t xml:space="preserve">While TV Max provided some financial information in response to the Bureau’s request, it did not provide </w:t>
      </w:r>
      <w:r w:rsidR="00101B62" w:rsidRPr="008D7781">
        <w:t xml:space="preserve">all of the information requested, nor </w:t>
      </w:r>
      <w:r w:rsidR="00493C6C" w:rsidRPr="008D7781">
        <w:t xml:space="preserve">sufficient information for us to assess whether a downward adjustment for inability to pay is appropriate here.  </w:t>
      </w:r>
      <w:r w:rsidR="00F4673F" w:rsidRPr="008D7781">
        <w:rPr>
          <w:i/>
        </w:rPr>
        <w:t>See</w:t>
      </w:r>
      <w:r w:rsidR="00F4673F" w:rsidRPr="008D7781">
        <w:t xml:space="preserve"> Letter by Steven A. Broeckaert, Senior Deputy Chief, Policy Division, Media Bureau, to Carl Kandutsch, TV Max counsel, dated Apr. 12, 2013.  </w:t>
      </w:r>
      <w:r w:rsidR="00493C6C" w:rsidRPr="008D7781">
        <w:t>We note, however, that TV Max will have an opportunity to provide complete financial information in response to this NAL.</w:t>
      </w:r>
      <w:r w:rsidR="00CB6229" w:rsidRPr="008D7781">
        <w:t xml:space="preserve">  </w:t>
      </w:r>
      <w:r w:rsidR="00CB6229" w:rsidRPr="008D7781">
        <w:rPr>
          <w:i/>
        </w:rPr>
        <w:t xml:space="preserve">See </w:t>
      </w:r>
      <w:r w:rsidR="00752DAF" w:rsidRPr="008D7781">
        <w:rPr>
          <w:i/>
        </w:rPr>
        <w:t>infra</w:t>
      </w:r>
      <w:r w:rsidR="00CB6229" w:rsidRPr="008D7781">
        <w:t xml:space="preserve"> ¶¶ 2</w:t>
      </w:r>
      <w:r w:rsidR="00FF6B53" w:rsidRPr="008D7781">
        <w:t>5</w:t>
      </w:r>
      <w:r w:rsidR="00CB6229" w:rsidRPr="008D7781">
        <w:t>-2</w:t>
      </w:r>
      <w:r w:rsidR="00FF6B53" w:rsidRPr="008D7781">
        <w:t>6</w:t>
      </w:r>
      <w:r w:rsidR="00CB6229" w:rsidRPr="008D7781">
        <w:t>.</w:t>
      </w:r>
      <w:r w:rsidR="00101B62" w:rsidRPr="008D7781">
        <w:t xml:space="preserve">  </w:t>
      </w:r>
    </w:p>
  </w:footnote>
  <w:footnote w:id="70">
    <w:p w:rsidR="00ED00CB" w:rsidRPr="008D7781" w:rsidRDefault="00ED00CB" w:rsidP="00ED00CB">
      <w:pPr>
        <w:pStyle w:val="FootnoteText"/>
      </w:pPr>
      <w:r w:rsidRPr="008D7781">
        <w:rPr>
          <w:rStyle w:val="FootnoteReference"/>
        </w:rPr>
        <w:footnoteRef/>
      </w:r>
      <w:r w:rsidRPr="008D7781">
        <w:t xml:space="preserve"> </w:t>
      </w:r>
      <w:r w:rsidRPr="008D7781">
        <w:rPr>
          <w:i/>
        </w:rPr>
        <w:t>See</w:t>
      </w:r>
      <w:r w:rsidRPr="008D7781">
        <w:t xml:space="preserve"> </w:t>
      </w:r>
      <w:r w:rsidR="0094745D" w:rsidRPr="008D7781">
        <w:rPr>
          <w:i/>
        </w:rPr>
        <w:t>id</w:t>
      </w:r>
      <w:r w:rsidRPr="008D7781">
        <w:t>.</w:t>
      </w:r>
    </w:p>
  </w:footnote>
  <w:footnote w:id="71">
    <w:p w:rsidR="00D54D3E" w:rsidRPr="008D7781" w:rsidRDefault="00D54D3E">
      <w:pPr>
        <w:pStyle w:val="FootnoteText"/>
      </w:pPr>
      <w:r w:rsidRPr="008D7781">
        <w:rPr>
          <w:rStyle w:val="FootnoteReference"/>
        </w:rPr>
        <w:footnoteRef/>
      </w:r>
      <w:r w:rsidRPr="008D7781">
        <w:t xml:space="preserve"> 47 C.F.R. § 1.16.</w:t>
      </w:r>
    </w:p>
  </w:footnote>
  <w:footnote w:id="72">
    <w:p w:rsidR="00CB4C1F" w:rsidRPr="008D7781" w:rsidRDefault="00CB4C1F">
      <w:pPr>
        <w:pStyle w:val="FootnoteText"/>
      </w:pPr>
      <w:r w:rsidRPr="008D7781">
        <w:rPr>
          <w:rStyle w:val="FootnoteReference"/>
        </w:rPr>
        <w:footnoteRef/>
      </w:r>
      <w:r w:rsidRPr="008D7781">
        <w:t xml:space="preserve"> </w:t>
      </w:r>
      <w:r w:rsidR="00ED00CB" w:rsidRPr="008D7781">
        <w:t>The declarant must have first-hand knowledge of the matters asserted.</w:t>
      </w:r>
    </w:p>
  </w:footnote>
  <w:footnote w:id="73">
    <w:p w:rsidR="003448EC" w:rsidRPr="008D7781" w:rsidRDefault="003448EC">
      <w:pPr>
        <w:pStyle w:val="FootnoteText"/>
      </w:pPr>
      <w:r w:rsidRPr="008D7781">
        <w:rPr>
          <w:rStyle w:val="FootnoteReference"/>
        </w:rPr>
        <w:footnoteRef/>
      </w:r>
      <w:r w:rsidRPr="008D7781">
        <w:t xml:space="preserve"> </w:t>
      </w:r>
      <w:r w:rsidRPr="008D7781">
        <w:rPr>
          <w:i/>
        </w:rPr>
        <w:t>See</w:t>
      </w:r>
      <w:r w:rsidRPr="008D7781">
        <w:t xml:space="preserve"> 47 U.S.C. § 503(b).</w:t>
      </w:r>
    </w:p>
  </w:footnote>
  <w:footnote w:id="74">
    <w:p w:rsidR="003448EC" w:rsidRPr="008D7781" w:rsidRDefault="003448EC">
      <w:pPr>
        <w:pStyle w:val="FootnoteText"/>
      </w:pPr>
      <w:r w:rsidRPr="008D7781">
        <w:rPr>
          <w:rStyle w:val="FootnoteReference"/>
        </w:rPr>
        <w:footnoteRef/>
      </w:r>
      <w:r w:rsidRPr="008D7781">
        <w:t xml:space="preserve"> </w:t>
      </w:r>
      <w:r w:rsidRPr="008D7781">
        <w:rPr>
          <w:i/>
        </w:rPr>
        <w:t xml:space="preserve">See </w:t>
      </w:r>
      <w:r w:rsidRPr="008D7781">
        <w:t>47 C.F.R. §§ 0.61, 0.283, and 1.80.</w:t>
      </w:r>
    </w:p>
  </w:footnote>
  <w:footnote w:id="75">
    <w:p w:rsidR="00FE5275" w:rsidRPr="008D7781" w:rsidRDefault="00FE5275">
      <w:pPr>
        <w:pStyle w:val="FootnoteText"/>
      </w:pPr>
      <w:r w:rsidRPr="008D7781">
        <w:rPr>
          <w:rStyle w:val="FootnoteReference"/>
        </w:rPr>
        <w:footnoteRef/>
      </w:r>
      <w:r w:rsidRPr="008D7781">
        <w:t xml:space="preserve"> An FCC Form 159 and detailed instructions for completing the form may be obtained at</w:t>
      </w:r>
      <w:r w:rsidR="007331EC" w:rsidRPr="008D7781">
        <w:t xml:space="preserve"> </w:t>
      </w:r>
      <w:hyperlink r:id="rId2" w:history="1">
        <w:r w:rsidR="007331EC" w:rsidRPr="008D7781">
          <w:rPr>
            <w:rStyle w:val="Hyperlink"/>
          </w:rPr>
          <w:t>http://transition.fcc.gov/Forms/Form159/159.pdf</w:t>
        </w:r>
      </w:hyperlink>
      <w:r w:rsidRPr="008D7781">
        <w:t>.</w:t>
      </w:r>
    </w:p>
  </w:footnote>
  <w:footnote w:id="76">
    <w:p w:rsidR="00980A9E" w:rsidRPr="008D7781" w:rsidRDefault="00980A9E" w:rsidP="00980A9E">
      <w:pPr>
        <w:pStyle w:val="FootnoteText"/>
      </w:pPr>
      <w:r w:rsidRPr="008D7781">
        <w:rPr>
          <w:rStyle w:val="FootnoteReference"/>
        </w:rPr>
        <w:footnoteRef/>
      </w:r>
      <w:r w:rsidRPr="008D7781">
        <w:t xml:space="preserve"> </w:t>
      </w:r>
      <w:r w:rsidRPr="008D7781">
        <w:rPr>
          <w:i/>
        </w:rPr>
        <w:t>See id</w:t>
      </w:r>
      <w:r w:rsidRPr="008D7781">
        <w:t>. § 1.1914.</w:t>
      </w:r>
    </w:p>
  </w:footnote>
  <w:footnote w:id="77">
    <w:p w:rsidR="009B5F7A" w:rsidRDefault="009B5F7A">
      <w:pPr>
        <w:pStyle w:val="FootnoteText"/>
      </w:pPr>
      <w:r w:rsidRPr="008D7781">
        <w:rPr>
          <w:rStyle w:val="FootnoteReference"/>
        </w:rPr>
        <w:footnoteRef/>
      </w:r>
      <w:r w:rsidRPr="008D7781">
        <w:t xml:space="preserve"> 47 C.F.R. §§ 1.16 and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FF" w:rsidRDefault="00761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12" w:rsidRDefault="003448EC" w:rsidP="00A30212">
    <w:pPr>
      <w:pStyle w:val="Header"/>
    </w:pPr>
    <w:r w:rsidRPr="00E953D7">
      <w:tab/>
      <w:t>Fed</w:t>
    </w:r>
    <w:r w:rsidR="000115BC">
      <w:t>eral Communications Commission</w:t>
    </w:r>
    <w:r w:rsidR="000115BC">
      <w:tab/>
      <w:t xml:space="preserve">FCC </w:t>
    </w:r>
    <w:r w:rsidRPr="00E953D7">
      <w:t>1</w:t>
    </w:r>
    <w:r w:rsidR="00347B1F">
      <w:t>3</w:t>
    </w:r>
    <w:r w:rsidRPr="00E953D7">
      <w:t>-</w:t>
    </w:r>
    <w:r w:rsidR="004D19EE">
      <w:t>86</w:t>
    </w:r>
  </w:p>
  <w:p w:rsidR="003448EC" w:rsidRDefault="00585CA7" w:rsidP="00A30212">
    <w:pPr>
      <w:pStyle w:val="Header"/>
    </w:pPr>
    <w:r>
      <w:rPr>
        <w:noProof/>
        <w:snapToGrid/>
      </w:rPr>
      <mc:AlternateContent>
        <mc:Choice Requires="wps">
          <w:drawing>
            <wp:anchor distT="4294967294" distB="4294967294" distL="114300" distR="114300" simplePos="0" relativeHeight="251663360" behindDoc="0" locked="0" layoutInCell="1" allowOverlap="1" wp14:anchorId="06187145" wp14:editId="72BE1644">
              <wp:simplePos x="0" y="0"/>
              <wp:positionH relativeFrom="column">
                <wp:posOffset>8255</wp:posOffset>
              </wp:positionH>
              <wp:positionV relativeFrom="paragraph">
                <wp:posOffset>-3176</wp:posOffset>
              </wp:positionV>
              <wp:extent cx="5939155" cy="0"/>
              <wp:effectExtent l="0" t="0" r="234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9155" cy="0"/>
                      </a:xfrm>
                      <a:prstGeom prst="line">
                        <a:avLst/>
                      </a:prstGeom>
                      <a:noFill/>
                      <a:ln w="222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25pt" to="46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" strokeweight="1.75pt">
              <v:stroke endcap="round"/>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EC" w:rsidRPr="00B8443C" w:rsidRDefault="003448EC" w:rsidP="00A30212">
    <w:pPr>
      <w:pStyle w:val="Header"/>
    </w:pPr>
    <w:r w:rsidRPr="00B8443C">
      <w:tab/>
      <w:t>Fed</w:t>
    </w:r>
    <w:r w:rsidR="000115BC">
      <w:t>eral Communications Commission</w:t>
    </w:r>
    <w:r w:rsidR="000115BC">
      <w:tab/>
      <w:t xml:space="preserve">FCC </w:t>
    </w:r>
    <w:r w:rsidRPr="00B8443C">
      <w:t>1</w:t>
    </w:r>
    <w:r w:rsidR="00347B1F">
      <w:t>3</w:t>
    </w:r>
    <w:r w:rsidRPr="00B8443C">
      <w:t>-</w:t>
    </w:r>
    <w:r w:rsidR="004D19EE">
      <w:t>86</w:t>
    </w:r>
  </w:p>
  <w:p w:rsidR="00B8443C" w:rsidRPr="00B8443C" w:rsidRDefault="00585CA7" w:rsidP="00A30212">
    <w:pPr>
      <w:pStyle w:val="Header"/>
    </w:pPr>
    <w:r>
      <w:rPr>
        <w:noProof/>
        <w:snapToGrid/>
      </w:rPr>
      <mc:AlternateContent>
        <mc:Choice Requires="wps">
          <w:drawing>
            <wp:anchor distT="4294967294" distB="4294967294" distL="114300" distR="114300" simplePos="0" relativeHeight="251665408" behindDoc="0" locked="0" layoutInCell="1" allowOverlap="1" wp14:anchorId="09A9C5D6" wp14:editId="5117528C">
              <wp:simplePos x="0" y="0"/>
              <wp:positionH relativeFrom="column">
                <wp:posOffset>10160</wp:posOffset>
              </wp:positionH>
              <wp:positionV relativeFrom="paragraph">
                <wp:posOffset>6984</wp:posOffset>
              </wp:positionV>
              <wp:extent cx="5939155" cy="0"/>
              <wp:effectExtent l="0" t="0" r="2349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9155" cy="0"/>
                      </a:xfrm>
                      <a:prstGeom prst="line">
                        <a:avLst/>
                      </a:prstGeom>
                      <a:noFill/>
                      <a:ln w="222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55pt" to="46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" strokeweight="1.75pt">
              <v:stroke endcap="round"/>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2E5245"/>
    <w:multiLevelType w:val="hybridMultilevel"/>
    <w:tmpl w:val="F264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A070D"/>
    <w:multiLevelType w:val="multilevel"/>
    <w:tmpl w:val="51663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5114236"/>
    <w:multiLevelType w:val="hybridMultilevel"/>
    <w:tmpl w:val="8FCA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884387B"/>
    <w:multiLevelType w:val="hybridMultilevel"/>
    <w:tmpl w:val="BE067CB8"/>
    <w:lvl w:ilvl="0" w:tplc="F648D7A6">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EB85E92"/>
    <w:multiLevelType w:val="hybridMultilevel"/>
    <w:tmpl w:val="A522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6"/>
    <w:lvlOverride w:ilvl="0">
      <w:startOverride w:val="3"/>
    </w:lvlOverride>
  </w:num>
  <w:num w:numId="4">
    <w:abstractNumId w:val="10"/>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4"/>
  </w:num>
  <w:num w:numId="11">
    <w:abstractNumId w:val="0"/>
  </w:num>
  <w:num w:numId="12">
    <w:abstractNumId w:val="7"/>
  </w:num>
  <w:num w:numId="13">
    <w:abstractNumId w:val="9"/>
    <w:lvlOverride w:ilvl="0">
      <w:startOverride w:val="1"/>
    </w:lvlOverride>
  </w:num>
  <w:num w:numId="14">
    <w:abstractNumId w:val="9"/>
    <w:lvlOverride w:ilvl="0">
      <w:startOverride w:val="1"/>
    </w:lvlOverride>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F4"/>
    <w:rsid w:val="00001B0A"/>
    <w:rsid w:val="000047F1"/>
    <w:rsid w:val="00010B04"/>
    <w:rsid w:val="000115BC"/>
    <w:rsid w:val="000126E4"/>
    <w:rsid w:val="00012EFE"/>
    <w:rsid w:val="00015571"/>
    <w:rsid w:val="00015577"/>
    <w:rsid w:val="00016859"/>
    <w:rsid w:val="00016C3C"/>
    <w:rsid w:val="00017741"/>
    <w:rsid w:val="00017963"/>
    <w:rsid w:val="00020E14"/>
    <w:rsid w:val="00021733"/>
    <w:rsid w:val="00022AEC"/>
    <w:rsid w:val="00025704"/>
    <w:rsid w:val="00031445"/>
    <w:rsid w:val="00031FEE"/>
    <w:rsid w:val="000361EB"/>
    <w:rsid w:val="0003636F"/>
    <w:rsid w:val="00036B74"/>
    <w:rsid w:val="00041DB0"/>
    <w:rsid w:val="0004546F"/>
    <w:rsid w:val="00050A6C"/>
    <w:rsid w:val="00053371"/>
    <w:rsid w:val="00053EA3"/>
    <w:rsid w:val="00054108"/>
    <w:rsid w:val="0005532C"/>
    <w:rsid w:val="0005770E"/>
    <w:rsid w:val="00062E6A"/>
    <w:rsid w:val="00067AA3"/>
    <w:rsid w:val="00071440"/>
    <w:rsid w:val="000747EC"/>
    <w:rsid w:val="000765C7"/>
    <w:rsid w:val="000773F5"/>
    <w:rsid w:val="000808A4"/>
    <w:rsid w:val="000841D0"/>
    <w:rsid w:val="00084D8A"/>
    <w:rsid w:val="00085060"/>
    <w:rsid w:val="000860F4"/>
    <w:rsid w:val="00086B32"/>
    <w:rsid w:val="000952AB"/>
    <w:rsid w:val="00097544"/>
    <w:rsid w:val="00097976"/>
    <w:rsid w:val="000A1EDF"/>
    <w:rsid w:val="000A32A0"/>
    <w:rsid w:val="000A3886"/>
    <w:rsid w:val="000A3A5F"/>
    <w:rsid w:val="000A5209"/>
    <w:rsid w:val="000A7B39"/>
    <w:rsid w:val="000B0C8B"/>
    <w:rsid w:val="000B2341"/>
    <w:rsid w:val="000B2B16"/>
    <w:rsid w:val="000B30B9"/>
    <w:rsid w:val="000B473A"/>
    <w:rsid w:val="000C137D"/>
    <w:rsid w:val="000C1A87"/>
    <w:rsid w:val="000D050F"/>
    <w:rsid w:val="000D43C4"/>
    <w:rsid w:val="000E1A57"/>
    <w:rsid w:val="000E3CC0"/>
    <w:rsid w:val="000F5DA2"/>
    <w:rsid w:val="00101B62"/>
    <w:rsid w:val="00102656"/>
    <w:rsid w:val="00103AF9"/>
    <w:rsid w:val="00104573"/>
    <w:rsid w:val="001105B4"/>
    <w:rsid w:val="001109C8"/>
    <w:rsid w:val="00113BAC"/>
    <w:rsid w:val="00116F29"/>
    <w:rsid w:val="00116FDE"/>
    <w:rsid w:val="00117DCE"/>
    <w:rsid w:val="0012001B"/>
    <w:rsid w:val="00121334"/>
    <w:rsid w:val="00121B21"/>
    <w:rsid w:val="00121C30"/>
    <w:rsid w:val="00124106"/>
    <w:rsid w:val="0013028D"/>
    <w:rsid w:val="00133634"/>
    <w:rsid w:val="001339AF"/>
    <w:rsid w:val="00133CA9"/>
    <w:rsid w:val="001349E2"/>
    <w:rsid w:val="00135FFD"/>
    <w:rsid w:val="00140DF1"/>
    <w:rsid w:val="00147C31"/>
    <w:rsid w:val="00150BA7"/>
    <w:rsid w:val="00157C32"/>
    <w:rsid w:val="00164820"/>
    <w:rsid w:val="001700F6"/>
    <w:rsid w:val="001724C9"/>
    <w:rsid w:val="00175249"/>
    <w:rsid w:val="00175B82"/>
    <w:rsid w:val="00181CCF"/>
    <w:rsid w:val="00184BA5"/>
    <w:rsid w:val="001871CC"/>
    <w:rsid w:val="00187792"/>
    <w:rsid w:val="00187BE2"/>
    <w:rsid w:val="00192A85"/>
    <w:rsid w:val="00193C07"/>
    <w:rsid w:val="001974E1"/>
    <w:rsid w:val="001A2A06"/>
    <w:rsid w:val="001B02D2"/>
    <w:rsid w:val="001B1ECA"/>
    <w:rsid w:val="001B3D73"/>
    <w:rsid w:val="001B3E84"/>
    <w:rsid w:val="001B3FB1"/>
    <w:rsid w:val="001C1F32"/>
    <w:rsid w:val="001C2F5D"/>
    <w:rsid w:val="001C5214"/>
    <w:rsid w:val="001D3E55"/>
    <w:rsid w:val="001D69A2"/>
    <w:rsid w:val="001D71B6"/>
    <w:rsid w:val="001E03A6"/>
    <w:rsid w:val="001E1423"/>
    <w:rsid w:val="001E51BB"/>
    <w:rsid w:val="001E52A9"/>
    <w:rsid w:val="001E5845"/>
    <w:rsid w:val="001F32C4"/>
    <w:rsid w:val="001F4A01"/>
    <w:rsid w:val="001F4C82"/>
    <w:rsid w:val="0020012F"/>
    <w:rsid w:val="00201517"/>
    <w:rsid w:val="002033EC"/>
    <w:rsid w:val="00211C04"/>
    <w:rsid w:val="002123F7"/>
    <w:rsid w:val="0021393A"/>
    <w:rsid w:val="00214579"/>
    <w:rsid w:val="00221EEC"/>
    <w:rsid w:val="00222E26"/>
    <w:rsid w:val="00224FAC"/>
    <w:rsid w:val="00230DA3"/>
    <w:rsid w:val="0023230F"/>
    <w:rsid w:val="002353B2"/>
    <w:rsid w:val="00235C34"/>
    <w:rsid w:val="0024068C"/>
    <w:rsid w:val="00240E38"/>
    <w:rsid w:val="00242ABC"/>
    <w:rsid w:val="00242C75"/>
    <w:rsid w:val="00242F94"/>
    <w:rsid w:val="002475D3"/>
    <w:rsid w:val="00250EF2"/>
    <w:rsid w:val="00251D2B"/>
    <w:rsid w:val="00254DB7"/>
    <w:rsid w:val="00260E34"/>
    <w:rsid w:val="00261079"/>
    <w:rsid w:val="00262341"/>
    <w:rsid w:val="00264578"/>
    <w:rsid w:val="0026480D"/>
    <w:rsid w:val="00265334"/>
    <w:rsid w:val="00271A72"/>
    <w:rsid w:val="0027226F"/>
    <w:rsid w:val="00272616"/>
    <w:rsid w:val="00277B53"/>
    <w:rsid w:val="00283570"/>
    <w:rsid w:val="00286705"/>
    <w:rsid w:val="00290A0A"/>
    <w:rsid w:val="00290A7D"/>
    <w:rsid w:val="00290B5F"/>
    <w:rsid w:val="00291DFE"/>
    <w:rsid w:val="002929BE"/>
    <w:rsid w:val="00292A4B"/>
    <w:rsid w:val="0029791E"/>
    <w:rsid w:val="002A4F6B"/>
    <w:rsid w:val="002A6186"/>
    <w:rsid w:val="002A73EE"/>
    <w:rsid w:val="002B2707"/>
    <w:rsid w:val="002B34A0"/>
    <w:rsid w:val="002C07F4"/>
    <w:rsid w:val="002C0C3C"/>
    <w:rsid w:val="002C285D"/>
    <w:rsid w:val="002C2F82"/>
    <w:rsid w:val="002C754C"/>
    <w:rsid w:val="002D2C90"/>
    <w:rsid w:val="002E4FAF"/>
    <w:rsid w:val="002F32E1"/>
    <w:rsid w:val="002F3487"/>
    <w:rsid w:val="002F4F4E"/>
    <w:rsid w:val="002F64D6"/>
    <w:rsid w:val="002F6B48"/>
    <w:rsid w:val="00304F3F"/>
    <w:rsid w:val="00307699"/>
    <w:rsid w:val="0031271F"/>
    <w:rsid w:val="00314617"/>
    <w:rsid w:val="00316800"/>
    <w:rsid w:val="003232D4"/>
    <w:rsid w:val="00323D0B"/>
    <w:rsid w:val="00324408"/>
    <w:rsid w:val="00327F39"/>
    <w:rsid w:val="0033327E"/>
    <w:rsid w:val="00333D33"/>
    <w:rsid w:val="0034287D"/>
    <w:rsid w:val="00342AB2"/>
    <w:rsid w:val="003430A7"/>
    <w:rsid w:val="00343B8E"/>
    <w:rsid w:val="003448EC"/>
    <w:rsid w:val="003450AA"/>
    <w:rsid w:val="00347B1F"/>
    <w:rsid w:val="003516B7"/>
    <w:rsid w:val="00357C12"/>
    <w:rsid w:val="00360083"/>
    <w:rsid w:val="003614B4"/>
    <w:rsid w:val="003632E0"/>
    <w:rsid w:val="003637E9"/>
    <w:rsid w:val="0037355C"/>
    <w:rsid w:val="00374E13"/>
    <w:rsid w:val="003772BE"/>
    <w:rsid w:val="00377A1D"/>
    <w:rsid w:val="00377AAC"/>
    <w:rsid w:val="00384392"/>
    <w:rsid w:val="00390AC8"/>
    <w:rsid w:val="0039530D"/>
    <w:rsid w:val="003964F7"/>
    <w:rsid w:val="003A5250"/>
    <w:rsid w:val="003A6BF6"/>
    <w:rsid w:val="003B60AE"/>
    <w:rsid w:val="003C2DFE"/>
    <w:rsid w:val="003C3002"/>
    <w:rsid w:val="003C4599"/>
    <w:rsid w:val="003C5839"/>
    <w:rsid w:val="003C655E"/>
    <w:rsid w:val="003D0BD8"/>
    <w:rsid w:val="003D533D"/>
    <w:rsid w:val="003D7624"/>
    <w:rsid w:val="003E19B0"/>
    <w:rsid w:val="003E372E"/>
    <w:rsid w:val="003E3B3A"/>
    <w:rsid w:val="003E416A"/>
    <w:rsid w:val="003F4DA5"/>
    <w:rsid w:val="003F677A"/>
    <w:rsid w:val="004006A4"/>
    <w:rsid w:val="004017D2"/>
    <w:rsid w:val="00404867"/>
    <w:rsid w:val="00410A83"/>
    <w:rsid w:val="00410AAE"/>
    <w:rsid w:val="00410C12"/>
    <w:rsid w:val="00412C3B"/>
    <w:rsid w:val="00415F72"/>
    <w:rsid w:val="00421AB2"/>
    <w:rsid w:val="00422F7A"/>
    <w:rsid w:val="0042348B"/>
    <w:rsid w:val="00424730"/>
    <w:rsid w:val="004263A5"/>
    <w:rsid w:val="0043116C"/>
    <w:rsid w:val="00435899"/>
    <w:rsid w:val="004370C6"/>
    <w:rsid w:val="004378B3"/>
    <w:rsid w:val="00437E32"/>
    <w:rsid w:val="0044045A"/>
    <w:rsid w:val="00441D4D"/>
    <w:rsid w:val="00446B11"/>
    <w:rsid w:val="0045291A"/>
    <w:rsid w:val="00453813"/>
    <w:rsid w:val="00454617"/>
    <w:rsid w:val="004546AA"/>
    <w:rsid w:val="00456588"/>
    <w:rsid w:val="00460010"/>
    <w:rsid w:val="00467F54"/>
    <w:rsid w:val="0047236D"/>
    <w:rsid w:val="00473144"/>
    <w:rsid w:val="00473B07"/>
    <w:rsid w:val="0047489A"/>
    <w:rsid w:val="00475C95"/>
    <w:rsid w:val="00475FF5"/>
    <w:rsid w:val="00476AC8"/>
    <w:rsid w:val="00477BBA"/>
    <w:rsid w:val="0048021D"/>
    <w:rsid w:val="00482043"/>
    <w:rsid w:val="004838B7"/>
    <w:rsid w:val="00492677"/>
    <w:rsid w:val="00493C6C"/>
    <w:rsid w:val="00493DE2"/>
    <w:rsid w:val="0049662E"/>
    <w:rsid w:val="004A0504"/>
    <w:rsid w:val="004A566B"/>
    <w:rsid w:val="004B500E"/>
    <w:rsid w:val="004B591E"/>
    <w:rsid w:val="004B6B9F"/>
    <w:rsid w:val="004C0A4C"/>
    <w:rsid w:val="004C0A7D"/>
    <w:rsid w:val="004C11E9"/>
    <w:rsid w:val="004C14E7"/>
    <w:rsid w:val="004C3095"/>
    <w:rsid w:val="004C671F"/>
    <w:rsid w:val="004D09F8"/>
    <w:rsid w:val="004D0C90"/>
    <w:rsid w:val="004D0D19"/>
    <w:rsid w:val="004D0DCE"/>
    <w:rsid w:val="004D19EE"/>
    <w:rsid w:val="004D3FAB"/>
    <w:rsid w:val="004D4041"/>
    <w:rsid w:val="004D5AE8"/>
    <w:rsid w:val="004D5DAE"/>
    <w:rsid w:val="004D69D6"/>
    <w:rsid w:val="004E0199"/>
    <w:rsid w:val="004E051C"/>
    <w:rsid w:val="004E4AF3"/>
    <w:rsid w:val="004E4EB6"/>
    <w:rsid w:val="004E53DC"/>
    <w:rsid w:val="004E5C63"/>
    <w:rsid w:val="004E7F49"/>
    <w:rsid w:val="004F1622"/>
    <w:rsid w:val="004F28A5"/>
    <w:rsid w:val="004F3794"/>
    <w:rsid w:val="004F38F5"/>
    <w:rsid w:val="004F421F"/>
    <w:rsid w:val="004F6CDC"/>
    <w:rsid w:val="00501C4B"/>
    <w:rsid w:val="00505934"/>
    <w:rsid w:val="005065D4"/>
    <w:rsid w:val="00511361"/>
    <w:rsid w:val="00511842"/>
    <w:rsid w:val="00512F39"/>
    <w:rsid w:val="00523B47"/>
    <w:rsid w:val="00525C59"/>
    <w:rsid w:val="00527E26"/>
    <w:rsid w:val="00530763"/>
    <w:rsid w:val="00533839"/>
    <w:rsid w:val="00536B18"/>
    <w:rsid w:val="00542AC3"/>
    <w:rsid w:val="00542BBC"/>
    <w:rsid w:val="00544F44"/>
    <w:rsid w:val="0054636B"/>
    <w:rsid w:val="00546AFA"/>
    <w:rsid w:val="00547388"/>
    <w:rsid w:val="005512B5"/>
    <w:rsid w:val="005515E3"/>
    <w:rsid w:val="00553243"/>
    <w:rsid w:val="00557748"/>
    <w:rsid w:val="00557F7F"/>
    <w:rsid w:val="0056136E"/>
    <w:rsid w:val="005630B8"/>
    <w:rsid w:val="00571ECC"/>
    <w:rsid w:val="005724D9"/>
    <w:rsid w:val="00575A03"/>
    <w:rsid w:val="00575E18"/>
    <w:rsid w:val="00576BD6"/>
    <w:rsid w:val="005822EF"/>
    <w:rsid w:val="005842EF"/>
    <w:rsid w:val="00585314"/>
    <w:rsid w:val="00585CA7"/>
    <w:rsid w:val="0058698F"/>
    <w:rsid w:val="00586FD8"/>
    <w:rsid w:val="00587601"/>
    <w:rsid w:val="00587E26"/>
    <w:rsid w:val="00596061"/>
    <w:rsid w:val="005A4439"/>
    <w:rsid w:val="005A45BE"/>
    <w:rsid w:val="005A53E7"/>
    <w:rsid w:val="005A5897"/>
    <w:rsid w:val="005A596E"/>
    <w:rsid w:val="005A5A9E"/>
    <w:rsid w:val="005B12B4"/>
    <w:rsid w:val="005B1B7E"/>
    <w:rsid w:val="005B7F6C"/>
    <w:rsid w:val="005C2A02"/>
    <w:rsid w:val="005C334D"/>
    <w:rsid w:val="005C3AA6"/>
    <w:rsid w:val="005C4CCE"/>
    <w:rsid w:val="005D407F"/>
    <w:rsid w:val="005D5091"/>
    <w:rsid w:val="005D5870"/>
    <w:rsid w:val="005D7930"/>
    <w:rsid w:val="005E386A"/>
    <w:rsid w:val="005E4F24"/>
    <w:rsid w:val="005E6800"/>
    <w:rsid w:val="005F3D3C"/>
    <w:rsid w:val="005F53B8"/>
    <w:rsid w:val="006005F2"/>
    <w:rsid w:val="0060438F"/>
    <w:rsid w:val="00604EEF"/>
    <w:rsid w:val="00605699"/>
    <w:rsid w:val="006100CB"/>
    <w:rsid w:val="006139EB"/>
    <w:rsid w:val="00615E14"/>
    <w:rsid w:val="0062024C"/>
    <w:rsid w:val="00632F37"/>
    <w:rsid w:val="006333ED"/>
    <w:rsid w:val="0064037A"/>
    <w:rsid w:val="00641E48"/>
    <w:rsid w:val="00646293"/>
    <w:rsid w:val="00646C4C"/>
    <w:rsid w:val="0065272E"/>
    <w:rsid w:val="0065287F"/>
    <w:rsid w:val="00653D22"/>
    <w:rsid w:val="006551F9"/>
    <w:rsid w:val="006552DE"/>
    <w:rsid w:val="00657354"/>
    <w:rsid w:val="006601E1"/>
    <w:rsid w:val="00661305"/>
    <w:rsid w:val="006670E6"/>
    <w:rsid w:val="00667AF6"/>
    <w:rsid w:val="00671033"/>
    <w:rsid w:val="00674316"/>
    <w:rsid w:val="006760E0"/>
    <w:rsid w:val="00676C91"/>
    <w:rsid w:val="006805EC"/>
    <w:rsid w:val="006813DA"/>
    <w:rsid w:val="0068265B"/>
    <w:rsid w:val="006830BA"/>
    <w:rsid w:val="006853CB"/>
    <w:rsid w:val="006871EB"/>
    <w:rsid w:val="006905D2"/>
    <w:rsid w:val="0069129D"/>
    <w:rsid w:val="006942C4"/>
    <w:rsid w:val="00695355"/>
    <w:rsid w:val="006A12C4"/>
    <w:rsid w:val="006A4891"/>
    <w:rsid w:val="006A5220"/>
    <w:rsid w:val="006A52B8"/>
    <w:rsid w:val="006A5F9B"/>
    <w:rsid w:val="006A7FC1"/>
    <w:rsid w:val="006B0F32"/>
    <w:rsid w:val="006B0FA6"/>
    <w:rsid w:val="006B3A48"/>
    <w:rsid w:val="006B6842"/>
    <w:rsid w:val="006C1F5C"/>
    <w:rsid w:val="006C3EAA"/>
    <w:rsid w:val="006C49B6"/>
    <w:rsid w:val="006C5D79"/>
    <w:rsid w:val="006C7DCD"/>
    <w:rsid w:val="006D045E"/>
    <w:rsid w:val="006D1314"/>
    <w:rsid w:val="006D1ECF"/>
    <w:rsid w:val="006D66DC"/>
    <w:rsid w:val="006D6DF2"/>
    <w:rsid w:val="006D76BE"/>
    <w:rsid w:val="006D772D"/>
    <w:rsid w:val="006E0F07"/>
    <w:rsid w:val="006E2BF8"/>
    <w:rsid w:val="006E5E07"/>
    <w:rsid w:val="006F0B88"/>
    <w:rsid w:val="006F2C7E"/>
    <w:rsid w:val="006F5639"/>
    <w:rsid w:val="00702165"/>
    <w:rsid w:val="00702D87"/>
    <w:rsid w:val="00703A2E"/>
    <w:rsid w:val="00704C24"/>
    <w:rsid w:val="007067E8"/>
    <w:rsid w:val="00710557"/>
    <w:rsid w:val="007151FA"/>
    <w:rsid w:val="0071534C"/>
    <w:rsid w:val="0071714C"/>
    <w:rsid w:val="00720100"/>
    <w:rsid w:val="0072238C"/>
    <w:rsid w:val="0072361D"/>
    <w:rsid w:val="00725E55"/>
    <w:rsid w:val="00731663"/>
    <w:rsid w:val="007323B6"/>
    <w:rsid w:val="00732A3B"/>
    <w:rsid w:val="007331EC"/>
    <w:rsid w:val="007338CF"/>
    <w:rsid w:val="007419AF"/>
    <w:rsid w:val="00750CA6"/>
    <w:rsid w:val="00752DAF"/>
    <w:rsid w:val="00756A67"/>
    <w:rsid w:val="00760683"/>
    <w:rsid w:val="00760948"/>
    <w:rsid w:val="0076172C"/>
    <w:rsid w:val="0076185C"/>
    <w:rsid w:val="007619FF"/>
    <w:rsid w:val="00772F2F"/>
    <w:rsid w:val="0077320A"/>
    <w:rsid w:val="00773DBA"/>
    <w:rsid w:val="00776D86"/>
    <w:rsid w:val="007770E9"/>
    <w:rsid w:val="00777421"/>
    <w:rsid w:val="0078279C"/>
    <w:rsid w:val="00782B9C"/>
    <w:rsid w:val="00785738"/>
    <w:rsid w:val="0078631E"/>
    <w:rsid w:val="0078653D"/>
    <w:rsid w:val="00786590"/>
    <w:rsid w:val="0078689A"/>
    <w:rsid w:val="00787E70"/>
    <w:rsid w:val="007910DF"/>
    <w:rsid w:val="007926D6"/>
    <w:rsid w:val="00794EF6"/>
    <w:rsid w:val="00795BCD"/>
    <w:rsid w:val="007A1558"/>
    <w:rsid w:val="007A1CAB"/>
    <w:rsid w:val="007A263E"/>
    <w:rsid w:val="007A3351"/>
    <w:rsid w:val="007A638C"/>
    <w:rsid w:val="007B3168"/>
    <w:rsid w:val="007B4BF1"/>
    <w:rsid w:val="007B6EB1"/>
    <w:rsid w:val="007B7E62"/>
    <w:rsid w:val="007C192D"/>
    <w:rsid w:val="007C6EED"/>
    <w:rsid w:val="007D5E17"/>
    <w:rsid w:val="007D680D"/>
    <w:rsid w:val="007E06E0"/>
    <w:rsid w:val="007E09C5"/>
    <w:rsid w:val="007E171A"/>
    <w:rsid w:val="007E2E78"/>
    <w:rsid w:val="007E409C"/>
    <w:rsid w:val="007E6222"/>
    <w:rsid w:val="007F0374"/>
    <w:rsid w:val="007F2CA1"/>
    <w:rsid w:val="007F3A48"/>
    <w:rsid w:val="007F78F7"/>
    <w:rsid w:val="007F7D92"/>
    <w:rsid w:val="008008FD"/>
    <w:rsid w:val="008011B7"/>
    <w:rsid w:val="00801DDD"/>
    <w:rsid w:val="00815681"/>
    <w:rsid w:val="008214E9"/>
    <w:rsid w:val="00823716"/>
    <w:rsid w:val="00825576"/>
    <w:rsid w:val="00827D57"/>
    <w:rsid w:val="00833C09"/>
    <w:rsid w:val="008442E3"/>
    <w:rsid w:val="00845BA5"/>
    <w:rsid w:val="008506D4"/>
    <w:rsid w:val="0085394F"/>
    <w:rsid w:val="00853BB6"/>
    <w:rsid w:val="008614CD"/>
    <w:rsid w:val="00861FFE"/>
    <w:rsid w:val="008627E1"/>
    <w:rsid w:val="008657D1"/>
    <w:rsid w:val="008659A5"/>
    <w:rsid w:val="00866AC0"/>
    <w:rsid w:val="00866CCD"/>
    <w:rsid w:val="008703FA"/>
    <w:rsid w:val="008709F3"/>
    <w:rsid w:val="008804D6"/>
    <w:rsid w:val="008819C8"/>
    <w:rsid w:val="008918AB"/>
    <w:rsid w:val="008932FA"/>
    <w:rsid w:val="008A27A9"/>
    <w:rsid w:val="008A3B30"/>
    <w:rsid w:val="008A6375"/>
    <w:rsid w:val="008A678B"/>
    <w:rsid w:val="008A6CF1"/>
    <w:rsid w:val="008B3993"/>
    <w:rsid w:val="008B3E8B"/>
    <w:rsid w:val="008B47AF"/>
    <w:rsid w:val="008B55FE"/>
    <w:rsid w:val="008B6BCD"/>
    <w:rsid w:val="008B7271"/>
    <w:rsid w:val="008B7A6E"/>
    <w:rsid w:val="008C3833"/>
    <w:rsid w:val="008C6B99"/>
    <w:rsid w:val="008D0DE9"/>
    <w:rsid w:val="008D177C"/>
    <w:rsid w:val="008D22BE"/>
    <w:rsid w:val="008D4DBF"/>
    <w:rsid w:val="008D6595"/>
    <w:rsid w:val="008D6B16"/>
    <w:rsid w:val="008D7781"/>
    <w:rsid w:val="008E06B2"/>
    <w:rsid w:val="008E189E"/>
    <w:rsid w:val="008E7688"/>
    <w:rsid w:val="008E7A4F"/>
    <w:rsid w:val="008F2674"/>
    <w:rsid w:val="008F3F43"/>
    <w:rsid w:val="008F50E8"/>
    <w:rsid w:val="008F7CF7"/>
    <w:rsid w:val="00902AD6"/>
    <w:rsid w:val="00903ACA"/>
    <w:rsid w:val="00905048"/>
    <w:rsid w:val="009057B7"/>
    <w:rsid w:val="00905F5C"/>
    <w:rsid w:val="00907EE2"/>
    <w:rsid w:val="00917736"/>
    <w:rsid w:val="009232E3"/>
    <w:rsid w:val="009250E9"/>
    <w:rsid w:val="00925316"/>
    <w:rsid w:val="009267E6"/>
    <w:rsid w:val="00927744"/>
    <w:rsid w:val="00927FAF"/>
    <w:rsid w:val="00932B31"/>
    <w:rsid w:val="0093585D"/>
    <w:rsid w:val="00937726"/>
    <w:rsid w:val="00940939"/>
    <w:rsid w:val="00941E24"/>
    <w:rsid w:val="00945E9F"/>
    <w:rsid w:val="0094745D"/>
    <w:rsid w:val="0095047B"/>
    <w:rsid w:val="0095110F"/>
    <w:rsid w:val="0095346C"/>
    <w:rsid w:val="0095547A"/>
    <w:rsid w:val="00957DA7"/>
    <w:rsid w:val="00960D8B"/>
    <w:rsid w:val="009632AC"/>
    <w:rsid w:val="00963867"/>
    <w:rsid w:val="009663F0"/>
    <w:rsid w:val="0096679B"/>
    <w:rsid w:val="009718EE"/>
    <w:rsid w:val="00975F03"/>
    <w:rsid w:val="00976E1E"/>
    <w:rsid w:val="009779A5"/>
    <w:rsid w:val="00980A9E"/>
    <w:rsid w:val="00981495"/>
    <w:rsid w:val="009820F4"/>
    <w:rsid w:val="00994A06"/>
    <w:rsid w:val="009A0218"/>
    <w:rsid w:val="009A7E05"/>
    <w:rsid w:val="009B0A20"/>
    <w:rsid w:val="009B23B3"/>
    <w:rsid w:val="009B2E39"/>
    <w:rsid w:val="009B2F6F"/>
    <w:rsid w:val="009B32E6"/>
    <w:rsid w:val="009B5F7A"/>
    <w:rsid w:val="009C0656"/>
    <w:rsid w:val="009C368F"/>
    <w:rsid w:val="009C63A2"/>
    <w:rsid w:val="009C6C27"/>
    <w:rsid w:val="009D33D4"/>
    <w:rsid w:val="009D365D"/>
    <w:rsid w:val="009D4253"/>
    <w:rsid w:val="009D768E"/>
    <w:rsid w:val="009E0E24"/>
    <w:rsid w:val="009E10D0"/>
    <w:rsid w:val="009E26CF"/>
    <w:rsid w:val="009E407C"/>
    <w:rsid w:val="009E626E"/>
    <w:rsid w:val="009F106F"/>
    <w:rsid w:val="009F2055"/>
    <w:rsid w:val="00A01E2B"/>
    <w:rsid w:val="00A036A6"/>
    <w:rsid w:val="00A0545C"/>
    <w:rsid w:val="00A06088"/>
    <w:rsid w:val="00A078B8"/>
    <w:rsid w:val="00A10601"/>
    <w:rsid w:val="00A11F57"/>
    <w:rsid w:val="00A21144"/>
    <w:rsid w:val="00A2442C"/>
    <w:rsid w:val="00A25940"/>
    <w:rsid w:val="00A25A41"/>
    <w:rsid w:val="00A272D4"/>
    <w:rsid w:val="00A27821"/>
    <w:rsid w:val="00A30212"/>
    <w:rsid w:val="00A411A1"/>
    <w:rsid w:val="00A42BEE"/>
    <w:rsid w:val="00A43365"/>
    <w:rsid w:val="00A43524"/>
    <w:rsid w:val="00A43C35"/>
    <w:rsid w:val="00A45EF6"/>
    <w:rsid w:val="00A47A19"/>
    <w:rsid w:val="00A507E4"/>
    <w:rsid w:val="00A50CF2"/>
    <w:rsid w:val="00A51101"/>
    <w:rsid w:val="00A524FA"/>
    <w:rsid w:val="00A53CAE"/>
    <w:rsid w:val="00A56651"/>
    <w:rsid w:val="00A60593"/>
    <w:rsid w:val="00A62E24"/>
    <w:rsid w:val="00A64346"/>
    <w:rsid w:val="00A6665C"/>
    <w:rsid w:val="00A74FA7"/>
    <w:rsid w:val="00A8064D"/>
    <w:rsid w:val="00A86A9D"/>
    <w:rsid w:val="00A904BC"/>
    <w:rsid w:val="00A95A08"/>
    <w:rsid w:val="00A97982"/>
    <w:rsid w:val="00AA1E42"/>
    <w:rsid w:val="00AA707E"/>
    <w:rsid w:val="00AB2C6E"/>
    <w:rsid w:val="00AB47FD"/>
    <w:rsid w:val="00AB510B"/>
    <w:rsid w:val="00AC5CA6"/>
    <w:rsid w:val="00AC6695"/>
    <w:rsid w:val="00AC7F4C"/>
    <w:rsid w:val="00AD25FC"/>
    <w:rsid w:val="00AD482E"/>
    <w:rsid w:val="00AE53FC"/>
    <w:rsid w:val="00AF11B2"/>
    <w:rsid w:val="00AF1BE5"/>
    <w:rsid w:val="00AF28E6"/>
    <w:rsid w:val="00AF2942"/>
    <w:rsid w:val="00AF3301"/>
    <w:rsid w:val="00AF34C6"/>
    <w:rsid w:val="00AF65C0"/>
    <w:rsid w:val="00B01F84"/>
    <w:rsid w:val="00B06198"/>
    <w:rsid w:val="00B068BA"/>
    <w:rsid w:val="00B070C5"/>
    <w:rsid w:val="00B072B2"/>
    <w:rsid w:val="00B11648"/>
    <w:rsid w:val="00B11BF5"/>
    <w:rsid w:val="00B13CC4"/>
    <w:rsid w:val="00B140F3"/>
    <w:rsid w:val="00B24559"/>
    <w:rsid w:val="00B252C5"/>
    <w:rsid w:val="00B26F28"/>
    <w:rsid w:val="00B30974"/>
    <w:rsid w:val="00B311B3"/>
    <w:rsid w:val="00B3450A"/>
    <w:rsid w:val="00B34619"/>
    <w:rsid w:val="00B400EF"/>
    <w:rsid w:val="00B41167"/>
    <w:rsid w:val="00B41A1E"/>
    <w:rsid w:val="00B41A86"/>
    <w:rsid w:val="00B4348E"/>
    <w:rsid w:val="00B542FA"/>
    <w:rsid w:val="00B5514A"/>
    <w:rsid w:val="00B56012"/>
    <w:rsid w:val="00B61EF8"/>
    <w:rsid w:val="00B6267C"/>
    <w:rsid w:val="00B653CF"/>
    <w:rsid w:val="00B66558"/>
    <w:rsid w:val="00B66E3C"/>
    <w:rsid w:val="00B71BB0"/>
    <w:rsid w:val="00B736DA"/>
    <w:rsid w:val="00B7563F"/>
    <w:rsid w:val="00B8443C"/>
    <w:rsid w:val="00B850F8"/>
    <w:rsid w:val="00B864E7"/>
    <w:rsid w:val="00B91159"/>
    <w:rsid w:val="00B91959"/>
    <w:rsid w:val="00B93B16"/>
    <w:rsid w:val="00B97AAF"/>
    <w:rsid w:val="00BA3682"/>
    <w:rsid w:val="00BA73C8"/>
    <w:rsid w:val="00BB1745"/>
    <w:rsid w:val="00BB2062"/>
    <w:rsid w:val="00BB48D5"/>
    <w:rsid w:val="00BB6559"/>
    <w:rsid w:val="00BC0A45"/>
    <w:rsid w:val="00BC2E4D"/>
    <w:rsid w:val="00BC538B"/>
    <w:rsid w:val="00BC663F"/>
    <w:rsid w:val="00BC6E0F"/>
    <w:rsid w:val="00BD150F"/>
    <w:rsid w:val="00BD5258"/>
    <w:rsid w:val="00BD56C8"/>
    <w:rsid w:val="00BE0281"/>
    <w:rsid w:val="00BE4ADD"/>
    <w:rsid w:val="00BF2542"/>
    <w:rsid w:val="00BF360A"/>
    <w:rsid w:val="00BF4C97"/>
    <w:rsid w:val="00BF7D76"/>
    <w:rsid w:val="00C02715"/>
    <w:rsid w:val="00C03078"/>
    <w:rsid w:val="00C03C6C"/>
    <w:rsid w:val="00C0422F"/>
    <w:rsid w:val="00C055AA"/>
    <w:rsid w:val="00C059BA"/>
    <w:rsid w:val="00C11D1F"/>
    <w:rsid w:val="00C153E2"/>
    <w:rsid w:val="00C172C4"/>
    <w:rsid w:val="00C205D2"/>
    <w:rsid w:val="00C260A9"/>
    <w:rsid w:val="00C33B91"/>
    <w:rsid w:val="00C36597"/>
    <w:rsid w:val="00C3672D"/>
    <w:rsid w:val="00C3688F"/>
    <w:rsid w:val="00C36FDE"/>
    <w:rsid w:val="00C46774"/>
    <w:rsid w:val="00C46D27"/>
    <w:rsid w:val="00C473D0"/>
    <w:rsid w:val="00C47B69"/>
    <w:rsid w:val="00C50EC8"/>
    <w:rsid w:val="00C51897"/>
    <w:rsid w:val="00C528CB"/>
    <w:rsid w:val="00C53FFD"/>
    <w:rsid w:val="00C5716A"/>
    <w:rsid w:val="00C5728E"/>
    <w:rsid w:val="00C63643"/>
    <w:rsid w:val="00C65268"/>
    <w:rsid w:val="00C735C6"/>
    <w:rsid w:val="00C75203"/>
    <w:rsid w:val="00C76612"/>
    <w:rsid w:val="00C7757F"/>
    <w:rsid w:val="00C8006C"/>
    <w:rsid w:val="00C801F0"/>
    <w:rsid w:val="00C80776"/>
    <w:rsid w:val="00C81019"/>
    <w:rsid w:val="00C819E6"/>
    <w:rsid w:val="00C904DA"/>
    <w:rsid w:val="00C928B1"/>
    <w:rsid w:val="00C94A56"/>
    <w:rsid w:val="00CA478E"/>
    <w:rsid w:val="00CB01C3"/>
    <w:rsid w:val="00CB369B"/>
    <w:rsid w:val="00CB4C1F"/>
    <w:rsid w:val="00CB535A"/>
    <w:rsid w:val="00CB6229"/>
    <w:rsid w:val="00CB7168"/>
    <w:rsid w:val="00CB75B4"/>
    <w:rsid w:val="00CD179D"/>
    <w:rsid w:val="00CD418E"/>
    <w:rsid w:val="00CE4E44"/>
    <w:rsid w:val="00CE63C8"/>
    <w:rsid w:val="00CE7DFF"/>
    <w:rsid w:val="00CF2E45"/>
    <w:rsid w:val="00CF49E7"/>
    <w:rsid w:val="00D01FD7"/>
    <w:rsid w:val="00D03214"/>
    <w:rsid w:val="00D12024"/>
    <w:rsid w:val="00D20AAB"/>
    <w:rsid w:val="00D21005"/>
    <w:rsid w:val="00D223E4"/>
    <w:rsid w:val="00D2527B"/>
    <w:rsid w:val="00D265AD"/>
    <w:rsid w:val="00D3022F"/>
    <w:rsid w:val="00D302E0"/>
    <w:rsid w:val="00D3257A"/>
    <w:rsid w:val="00D4186F"/>
    <w:rsid w:val="00D43560"/>
    <w:rsid w:val="00D50708"/>
    <w:rsid w:val="00D50B55"/>
    <w:rsid w:val="00D52DE1"/>
    <w:rsid w:val="00D5380C"/>
    <w:rsid w:val="00D54D3E"/>
    <w:rsid w:val="00D55256"/>
    <w:rsid w:val="00D55927"/>
    <w:rsid w:val="00D57503"/>
    <w:rsid w:val="00D5762D"/>
    <w:rsid w:val="00D60102"/>
    <w:rsid w:val="00D603A6"/>
    <w:rsid w:val="00D64FBF"/>
    <w:rsid w:val="00D67348"/>
    <w:rsid w:val="00D70DEB"/>
    <w:rsid w:val="00D71B24"/>
    <w:rsid w:val="00D728BE"/>
    <w:rsid w:val="00D7548A"/>
    <w:rsid w:val="00D75D6E"/>
    <w:rsid w:val="00D774CC"/>
    <w:rsid w:val="00D77DD5"/>
    <w:rsid w:val="00D8214D"/>
    <w:rsid w:val="00D86495"/>
    <w:rsid w:val="00D93F1F"/>
    <w:rsid w:val="00D96A25"/>
    <w:rsid w:val="00DA20AD"/>
    <w:rsid w:val="00DA29AF"/>
    <w:rsid w:val="00DA2D9E"/>
    <w:rsid w:val="00DA64EC"/>
    <w:rsid w:val="00DA7523"/>
    <w:rsid w:val="00DA75C1"/>
    <w:rsid w:val="00DA7F0A"/>
    <w:rsid w:val="00DB46AC"/>
    <w:rsid w:val="00DB622C"/>
    <w:rsid w:val="00DC1BD4"/>
    <w:rsid w:val="00DC3C66"/>
    <w:rsid w:val="00DD5FF2"/>
    <w:rsid w:val="00DD6AC2"/>
    <w:rsid w:val="00DE5F75"/>
    <w:rsid w:val="00DF090D"/>
    <w:rsid w:val="00DF0EB4"/>
    <w:rsid w:val="00DF5174"/>
    <w:rsid w:val="00DF6B95"/>
    <w:rsid w:val="00DF7DDA"/>
    <w:rsid w:val="00E049BF"/>
    <w:rsid w:val="00E06EF4"/>
    <w:rsid w:val="00E118FF"/>
    <w:rsid w:val="00E14610"/>
    <w:rsid w:val="00E164BB"/>
    <w:rsid w:val="00E22286"/>
    <w:rsid w:val="00E22C8A"/>
    <w:rsid w:val="00E22E8A"/>
    <w:rsid w:val="00E232C8"/>
    <w:rsid w:val="00E35C24"/>
    <w:rsid w:val="00E402A0"/>
    <w:rsid w:val="00E452EB"/>
    <w:rsid w:val="00E469A7"/>
    <w:rsid w:val="00E51DC4"/>
    <w:rsid w:val="00E5243C"/>
    <w:rsid w:val="00E62A3F"/>
    <w:rsid w:val="00E65EF8"/>
    <w:rsid w:val="00E73C3B"/>
    <w:rsid w:val="00E76902"/>
    <w:rsid w:val="00E82485"/>
    <w:rsid w:val="00E8797F"/>
    <w:rsid w:val="00E9077E"/>
    <w:rsid w:val="00E93F0C"/>
    <w:rsid w:val="00E94243"/>
    <w:rsid w:val="00E953D7"/>
    <w:rsid w:val="00EB0AC3"/>
    <w:rsid w:val="00EB0CCC"/>
    <w:rsid w:val="00EB0F06"/>
    <w:rsid w:val="00EB2239"/>
    <w:rsid w:val="00EB4909"/>
    <w:rsid w:val="00EB5452"/>
    <w:rsid w:val="00EC0EE0"/>
    <w:rsid w:val="00EC2787"/>
    <w:rsid w:val="00EC4A8A"/>
    <w:rsid w:val="00EC56DC"/>
    <w:rsid w:val="00EC6B06"/>
    <w:rsid w:val="00ED00CB"/>
    <w:rsid w:val="00ED1596"/>
    <w:rsid w:val="00ED28D2"/>
    <w:rsid w:val="00ED41E2"/>
    <w:rsid w:val="00EE35CB"/>
    <w:rsid w:val="00EF1FFA"/>
    <w:rsid w:val="00EF43ED"/>
    <w:rsid w:val="00F0299B"/>
    <w:rsid w:val="00F03218"/>
    <w:rsid w:val="00F03399"/>
    <w:rsid w:val="00F04343"/>
    <w:rsid w:val="00F05165"/>
    <w:rsid w:val="00F07526"/>
    <w:rsid w:val="00F1067F"/>
    <w:rsid w:val="00F1353D"/>
    <w:rsid w:val="00F1518D"/>
    <w:rsid w:val="00F15F13"/>
    <w:rsid w:val="00F21708"/>
    <w:rsid w:val="00F24196"/>
    <w:rsid w:val="00F2557A"/>
    <w:rsid w:val="00F32101"/>
    <w:rsid w:val="00F3344A"/>
    <w:rsid w:val="00F345B5"/>
    <w:rsid w:val="00F3462A"/>
    <w:rsid w:val="00F37761"/>
    <w:rsid w:val="00F462CA"/>
    <w:rsid w:val="00F4673F"/>
    <w:rsid w:val="00F5591C"/>
    <w:rsid w:val="00F57949"/>
    <w:rsid w:val="00F60058"/>
    <w:rsid w:val="00F6079F"/>
    <w:rsid w:val="00F6218E"/>
    <w:rsid w:val="00F62D24"/>
    <w:rsid w:val="00F647FC"/>
    <w:rsid w:val="00F6489F"/>
    <w:rsid w:val="00F66660"/>
    <w:rsid w:val="00F71B95"/>
    <w:rsid w:val="00F720EF"/>
    <w:rsid w:val="00F72E69"/>
    <w:rsid w:val="00F73C79"/>
    <w:rsid w:val="00F74A66"/>
    <w:rsid w:val="00F74C0C"/>
    <w:rsid w:val="00F7770F"/>
    <w:rsid w:val="00F811C4"/>
    <w:rsid w:val="00F82B57"/>
    <w:rsid w:val="00F86B3C"/>
    <w:rsid w:val="00F874B5"/>
    <w:rsid w:val="00F9033F"/>
    <w:rsid w:val="00FA087E"/>
    <w:rsid w:val="00FA1B4E"/>
    <w:rsid w:val="00FA3DD3"/>
    <w:rsid w:val="00FA6BD7"/>
    <w:rsid w:val="00FB275E"/>
    <w:rsid w:val="00FB2967"/>
    <w:rsid w:val="00FB2E4F"/>
    <w:rsid w:val="00FB65AF"/>
    <w:rsid w:val="00FB6685"/>
    <w:rsid w:val="00FC14DD"/>
    <w:rsid w:val="00FC3F9F"/>
    <w:rsid w:val="00FC449E"/>
    <w:rsid w:val="00FC6116"/>
    <w:rsid w:val="00FC6609"/>
    <w:rsid w:val="00FD1B1C"/>
    <w:rsid w:val="00FD3649"/>
    <w:rsid w:val="00FD48CC"/>
    <w:rsid w:val="00FE0302"/>
    <w:rsid w:val="00FE38A9"/>
    <w:rsid w:val="00FE3D69"/>
    <w:rsid w:val="00FE5275"/>
    <w:rsid w:val="00FE5C7E"/>
    <w:rsid w:val="00FF25BF"/>
    <w:rsid w:val="00FF4EB8"/>
    <w:rsid w:val="00FF662C"/>
    <w:rsid w:val="00FF6B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uiPriority="99" w:qFormat="1"/>
    <w:lsdException w:name="Emphasis" w:qFormat="1"/>
    <w:lsdException w:name="Document Map"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D3"/>
    <w:pPr>
      <w:widowControl w:val="0"/>
    </w:pPr>
    <w:rPr>
      <w:snapToGrid w:val="0"/>
      <w:kern w:val="28"/>
      <w:sz w:val="22"/>
    </w:rPr>
  </w:style>
  <w:style w:type="paragraph" w:styleId="Heading1">
    <w:name w:val="heading 1"/>
    <w:basedOn w:val="Normal"/>
    <w:next w:val="ParaNum"/>
    <w:link w:val="Heading1Char"/>
    <w:qFormat/>
    <w:rsid w:val="00FA3DD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A3DD3"/>
    <w:pPr>
      <w:keepNext/>
      <w:numPr>
        <w:ilvl w:val="1"/>
        <w:numId w:val="2"/>
      </w:numPr>
      <w:spacing w:after="120"/>
      <w:outlineLvl w:val="1"/>
    </w:pPr>
    <w:rPr>
      <w:b/>
    </w:rPr>
  </w:style>
  <w:style w:type="paragraph" w:styleId="Heading3">
    <w:name w:val="heading 3"/>
    <w:basedOn w:val="Normal"/>
    <w:next w:val="ParaNum"/>
    <w:link w:val="Heading3Char"/>
    <w:qFormat/>
    <w:rsid w:val="00FA3DD3"/>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FA3DD3"/>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A3DD3"/>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FA3DD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A3DD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A3DD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A3DD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semiHidden/>
    <w:rsid w:val="00FA3D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A3DD3"/>
  </w:style>
  <w:style w:type="paragraph" w:styleId="BalloonText">
    <w:name w:val="Balloon Text"/>
    <w:basedOn w:val="Normal"/>
    <w:link w:val="BalloonTextChar1"/>
    <w:uiPriority w:val="99"/>
    <w:semiHidden/>
    <w:rsid w:val="00116F29"/>
    <w:rPr>
      <w:rFonts w:ascii="Tahoma" w:hAnsi="Tahoma" w:cs="Tahoma"/>
      <w:sz w:val="16"/>
      <w:szCs w:val="16"/>
    </w:rPr>
  </w:style>
  <w:style w:type="character" w:customStyle="1" w:styleId="BalloonTextChar">
    <w:name w:val="Balloon Text Char"/>
    <w:basedOn w:val="DefaultParagraphFont"/>
    <w:uiPriority w:val="99"/>
    <w:semiHidden/>
    <w:rsid w:val="00C057D0"/>
    <w:rPr>
      <w:rFonts w:ascii="Lucida Grande" w:hAnsi="Lucida Grande"/>
      <w:sz w:val="18"/>
      <w:szCs w:val="18"/>
    </w:rPr>
  </w:style>
  <w:style w:type="character" w:customStyle="1" w:styleId="BalloonTextChar0">
    <w:name w:val="Balloon Text Char"/>
    <w:basedOn w:val="DefaultParagraphFont"/>
    <w:uiPriority w:val="99"/>
    <w:semiHidden/>
    <w:rsid w:val="00A91EFC"/>
    <w:rPr>
      <w:rFonts w:ascii="Lucida Grande" w:hAnsi="Lucida Grande"/>
      <w:sz w:val="18"/>
      <w:szCs w:val="18"/>
    </w:rPr>
  </w:style>
  <w:style w:type="character" w:customStyle="1" w:styleId="BalloonTextChar2">
    <w:name w:val="Balloon Text Char"/>
    <w:basedOn w:val="DefaultParagraphFont"/>
    <w:uiPriority w:val="99"/>
    <w:semiHidden/>
    <w:rsid w:val="006D464B"/>
    <w:rPr>
      <w:rFonts w:ascii="Lucida Grande" w:hAnsi="Lucida Grande"/>
      <w:sz w:val="18"/>
      <w:szCs w:val="18"/>
    </w:rPr>
  </w:style>
  <w:style w:type="paragraph" w:customStyle="1" w:styleId="ParaNum">
    <w:name w:val="ParaNum"/>
    <w:basedOn w:val="Normal"/>
    <w:link w:val="ParaNumChar1"/>
    <w:rsid w:val="00FA3DD3"/>
    <w:pPr>
      <w:numPr>
        <w:numId w:val="1"/>
      </w:numPr>
      <w:tabs>
        <w:tab w:val="clear" w:pos="1080"/>
        <w:tab w:val="num" w:pos="1440"/>
      </w:tabs>
      <w:spacing w:after="120"/>
    </w:pPr>
  </w:style>
  <w:style w:type="paragraph" w:styleId="EndnoteText">
    <w:name w:val="endnote text"/>
    <w:basedOn w:val="Normal"/>
    <w:link w:val="EndnoteTextChar"/>
    <w:semiHidden/>
    <w:rsid w:val="00FA3DD3"/>
    <w:rPr>
      <w:sz w:val="20"/>
    </w:rPr>
  </w:style>
  <w:style w:type="character" w:styleId="EndnoteReference">
    <w:name w:val="endnote reference"/>
    <w:basedOn w:val="DefaultParagraphFont"/>
    <w:semiHidden/>
    <w:rsid w:val="00FA3DD3"/>
    <w:rPr>
      <w:vertAlign w:val="superscript"/>
    </w:rPr>
  </w:style>
  <w:style w:type="paragraph" w:styleId="FootnoteText">
    <w:name w:val="footnote text"/>
    <w:aliases w:val="Footnote Text Char2,Footnote Text Char Char,Footnote Text Char2 Char Char,Footnote Text Char1 Char Char Char,Footnote Text Char Char Char Char Char,Footnote Text Char1 Char Char Char Char Char,Footnote Text Char,Footnote Text Char1 Char Ch"/>
    <w:link w:val="FootnoteTextChar1"/>
    <w:semiHidden/>
    <w:rsid w:val="00FA3DD3"/>
    <w:pPr>
      <w:spacing w:after="120"/>
    </w:pPr>
  </w:style>
  <w:style w:type="character" w:styleId="FootnoteReference">
    <w:name w:val="footnote reference"/>
    <w:aliases w:val="Style 12,(NECG) Footnote Reference"/>
    <w:basedOn w:val="DefaultParagraphFont"/>
    <w:semiHidden/>
    <w:rsid w:val="00FA3DD3"/>
    <w:rPr>
      <w:rFonts w:ascii="Times New Roman" w:hAnsi="Times New Roman"/>
      <w:dstrike w:val="0"/>
      <w:color w:val="auto"/>
      <w:sz w:val="22"/>
      <w:vertAlign w:val="superscript"/>
    </w:rPr>
  </w:style>
  <w:style w:type="paragraph" w:styleId="TOC1">
    <w:name w:val="toc 1"/>
    <w:basedOn w:val="Normal"/>
    <w:next w:val="Normal"/>
    <w:semiHidden/>
    <w:rsid w:val="00FA3DD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A3DD3"/>
    <w:pPr>
      <w:tabs>
        <w:tab w:val="left" w:pos="720"/>
        <w:tab w:val="right" w:leader="dot" w:pos="9360"/>
      </w:tabs>
      <w:suppressAutoHyphens/>
      <w:ind w:left="720" w:right="720" w:hanging="360"/>
    </w:pPr>
    <w:rPr>
      <w:noProof/>
    </w:rPr>
  </w:style>
  <w:style w:type="paragraph" w:styleId="TOC3">
    <w:name w:val="toc 3"/>
    <w:basedOn w:val="Normal"/>
    <w:next w:val="Normal"/>
    <w:semiHidden/>
    <w:rsid w:val="00FA3DD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A3DD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3DD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3DD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3DD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3DD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3DD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A3DD3"/>
    <w:pPr>
      <w:tabs>
        <w:tab w:val="right" w:pos="9360"/>
      </w:tabs>
      <w:suppressAutoHyphens/>
    </w:pPr>
  </w:style>
  <w:style w:type="character" w:customStyle="1" w:styleId="EquationCaption">
    <w:name w:val="_Equation Caption"/>
    <w:rsid w:val="00FA3DD3"/>
  </w:style>
  <w:style w:type="paragraph" w:styleId="Header">
    <w:name w:val="header"/>
    <w:basedOn w:val="Normal"/>
    <w:link w:val="HeaderChar"/>
    <w:autoRedefine/>
    <w:rsid w:val="00FA3DD3"/>
    <w:pPr>
      <w:tabs>
        <w:tab w:val="center" w:pos="4680"/>
        <w:tab w:val="right" w:pos="9360"/>
      </w:tabs>
    </w:pPr>
    <w:rPr>
      <w:b/>
    </w:rPr>
  </w:style>
  <w:style w:type="paragraph" w:styleId="Footer">
    <w:name w:val="footer"/>
    <w:basedOn w:val="Normal"/>
    <w:link w:val="FooterChar"/>
    <w:rsid w:val="00FA3DD3"/>
    <w:pPr>
      <w:tabs>
        <w:tab w:val="center" w:pos="4320"/>
        <w:tab w:val="right" w:pos="8640"/>
      </w:tabs>
    </w:pPr>
  </w:style>
  <w:style w:type="character" w:styleId="PageNumber">
    <w:name w:val="page number"/>
    <w:basedOn w:val="DefaultParagraphFont"/>
    <w:rsid w:val="00FA3DD3"/>
  </w:style>
  <w:style w:type="paragraph" w:styleId="BlockText">
    <w:name w:val="Block Text"/>
    <w:basedOn w:val="Normal"/>
    <w:rsid w:val="00FA3DD3"/>
    <w:pPr>
      <w:spacing w:after="240"/>
      <w:ind w:left="1440" w:right="1440"/>
    </w:pPr>
  </w:style>
  <w:style w:type="paragraph" w:customStyle="1" w:styleId="Paratitle">
    <w:name w:val="Para title"/>
    <w:basedOn w:val="Normal"/>
    <w:rsid w:val="00FA3DD3"/>
    <w:pPr>
      <w:tabs>
        <w:tab w:val="center" w:pos="9270"/>
      </w:tabs>
      <w:spacing w:after="240"/>
    </w:pPr>
    <w:rPr>
      <w:spacing w:val="-2"/>
    </w:rPr>
  </w:style>
  <w:style w:type="paragraph" w:customStyle="1" w:styleId="Bullet">
    <w:name w:val="Bullet"/>
    <w:basedOn w:val="Normal"/>
    <w:rsid w:val="00FA3DD3"/>
    <w:pPr>
      <w:numPr>
        <w:numId w:val="1"/>
      </w:numPr>
      <w:tabs>
        <w:tab w:val="left" w:pos="2160"/>
      </w:tabs>
      <w:spacing w:after="220"/>
      <w:ind w:left="2160" w:hanging="720"/>
    </w:pPr>
  </w:style>
  <w:style w:type="paragraph" w:customStyle="1" w:styleId="TableFormat">
    <w:name w:val="TableFormat"/>
    <w:basedOn w:val="Bullet"/>
    <w:rsid w:val="00FA3DD3"/>
    <w:pPr>
      <w:numPr>
        <w:numId w:val="0"/>
      </w:numPr>
      <w:tabs>
        <w:tab w:val="clear" w:pos="2160"/>
        <w:tab w:val="left" w:pos="5040"/>
      </w:tabs>
      <w:ind w:left="5040" w:hanging="3600"/>
    </w:pPr>
  </w:style>
  <w:style w:type="paragraph" w:customStyle="1" w:styleId="TOCTitle">
    <w:name w:val="TOC Title"/>
    <w:basedOn w:val="Normal"/>
    <w:rsid w:val="00FA3DD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3DD3"/>
    <w:pPr>
      <w:jc w:val="center"/>
    </w:pPr>
    <w:rPr>
      <w:rFonts w:ascii="Times New Roman Bold" w:hAnsi="Times New Roman Bold"/>
      <w:b/>
      <w:bCs/>
      <w:caps/>
      <w:szCs w:val="22"/>
    </w:rPr>
  </w:style>
  <w:style w:type="character" w:styleId="Hyperlink">
    <w:name w:val="Hyperlink"/>
    <w:basedOn w:val="DefaultParagraphFont"/>
    <w:rsid w:val="00FA3DD3"/>
    <w:rPr>
      <w:color w:val="0000FF"/>
      <w:u w:val="single"/>
    </w:rPr>
  </w:style>
  <w:style w:type="character" w:customStyle="1" w:styleId="FootnoteTextChar2Char">
    <w:name w:val="Footnote Text Char2 Char"/>
    <w:aliases w:val="Footnote Text Char Char Char,Footnote Text Char2 Char Char Char,Footnote Text Char1 Char Char Char Char,Footnote Text Char Char Char Char Char Char,Footnote Text Char1 Char Char Char Char Char Char,Footnote Text Char Char1"/>
    <w:uiPriority w:val="99"/>
    <w:rsid w:val="00116F29"/>
    <w:rPr>
      <w:lang w:val="en-US" w:eastAsia="en-US" w:bidi="ar-SA"/>
    </w:rPr>
  </w:style>
  <w:style w:type="paragraph" w:styleId="BodyTextIndent">
    <w:name w:val="Body Text Indent"/>
    <w:basedOn w:val="Normal"/>
    <w:link w:val="BodyTextIndentChar"/>
    <w:uiPriority w:val="99"/>
    <w:rsid w:val="00116F29"/>
    <w:pPr>
      <w:widowControl/>
      <w:tabs>
        <w:tab w:val="left" w:pos="0"/>
      </w:tabs>
      <w:suppressAutoHyphens/>
      <w:ind w:left="3600"/>
    </w:pPr>
    <w:rPr>
      <w:snapToGrid/>
      <w:spacing w:val="-2"/>
      <w:kern w:val="0"/>
    </w:rPr>
  </w:style>
  <w:style w:type="paragraph" w:styleId="DocumentMap">
    <w:name w:val="Document Map"/>
    <w:basedOn w:val="Normal"/>
    <w:link w:val="DocumentMapChar"/>
    <w:uiPriority w:val="99"/>
    <w:semiHidden/>
    <w:rsid w:val="00116F29"/>
    <w:pPr>
      <w:shd w:val="clear" w:color="auto" w:fill="000080"/>
    </w:pPr>
    <w:rPr>
      <w:rFonts w:ascii="Tahoma" w:hAnsi="Tahoma" w:cs="Tahoma"/>
      <w:sz w:val="20"/>
    </w:rPr>
  </w:style>
  <w:style w:type="character" w:customStyle="1" w:styleId="searchterm1">
    <w:name w:val="searchterm1"/>
    <w:uiPriority w:val="99"/>
    <w:rsid w:val="00116F29"/>
    <w:rPr>
      <w:b/>
      <w:bCs/>
      <w:shd w:val="clear" w:color="auto" w:fill="FFFF00"/>
    </w:rPr>
  </w:style>
  <w:style w:type="character" w:customStyle="1" w:styleId="bestsection1">
    <w:name w:val="bestsection1"/>
    <w:uiPriority w:val="99"/>
    <w:rsid w:val="00116F29"/>
    <w:rPr>
      <w:color w:val="FF0000"/>
    </w:rPr>
  </w:style>
  <w:style w:type="character" w:styleId="Strong">
    <w:name w:val="Strong"/>
    <w:uiPriority w:val="99"/>
    <w:qFormat/>
    <w:rsid w:val="00116F29"/>
    <w:rPr>
      <w:b/>
      <w:bCs/>
    </w:rPr>
  </w:style>
  <w:style w:type="character" w:styleId="CommentReference">
    <w:name w:val="annotation reference"/>
    <w:uiPriority w:val="99"/>
    <w:semiHidden/>
    <w:rsid w:val="00116F29"/>
    <w:rPr>
      <w:sz w:val="16"/>
      <w:szCs w:val="16"/>
    </w:rPr>
  </w:style>
  <w:style w:type="paragraph" w:styleId="CommentText">
    <w:name w:val="annotation text"/>
    <w:basedOn w:val="Normal"/>
    <w:link w:val="CommentTextChar"/>
    <w:uiPriority w:val="99"/>
    <w:semiHidden/>
    <w:rsid w:val="00116F29"/>
    <w:rPr>
      <w:sz w:val="20"/>
    </w:rPr>
  </w:style>
  <w:style w:type="paragraph" w:styleId="CommentSubject">
    <w:name w:val="annotation subject"/>
    <w:basedOn w:val="CommentText"/>
    <w:next w:val="CommentText"/>
    <w:link w:val="CommentSubjectChar"/>
    <w:uiPriority w:val="99"/>
    <w:semiHidden/>
    <w:rsid w:val="00116F29"/>
    <w:rPr>
      <w:b/>
      <w:bCs/>
    </w:rPr>
  </w:style>
  <w:style w:type="character" w:customStyle="1" w:styleId="HeaderChar">
    <w:name w:val="Header Char"/>
    <w:link w:val="Header"/>
    <w:rsid w:val="00A30212"/>
    <w:rPr>
      <w:b/>
      <w:snapToGrid w:val="0"/>
      <w:kern w:val="28"/>
      <w:sz w:val="22"/>
    </w:rPr>
  </w:style>
  <w:style w:type="character" w:customStyle="1" w:styleId="apple-converted-space">
    <w:name w:val="apple-converted-space"/>
    <w:basedOn w:val="DefaultParagraphFont"/>
    <w:uiPriority w:val="99"/>
    <w:rsid w:val="00116F29"/>
  </w:style>
  <w:style w:type="character" w:customStyle="1" w:styleId="ParaNumChar1">
    <w:name w:val="ParaNum Char1"/>
    <w:link w:val="ParaNum"/>
    <w:rsid w:val="00010B04"/>
    <w:rPr>
      <w:snapToGrid w:val="0"/>
      <w:kern w:val="28"/>
      <w:sz w:val="22"/>
    </w:rPr>
  </w:style>
  <w:style w:type="character" w:customStyle="1" w:styleId="Heading1Char">
    <w:name w:val="Heading 1 Char"/>
    <w:link w:val="Heading1"/>
    <w:locked/>
    <w:rsid w:val="00F60058"/>
    <w:rPr>
      <w:rFonts w:ascii="Times New Roman Bold" w:hAnsi="Times New Roman Bold"/>
      <w:b/>
      <w:caps/>
      <w:snapToGrid w:val="0"/>
      <w:kern w:val="28"/>
      <w:sz w:val="22"/>
    </w:rPr>
  </w:style>
  <w:style w:type="character" w:customStyle="1" w:styleId="Heading2Char">
    <w:name w:val="Heading 2 Char"/>
    <w:link w:val="Heading2"/>
    <w:locked/>
    <w:rsid w:val="00F60058"/>
    <w:rPr>
      <w:b/>
      <w:snapToGrid w:val="0"/>
      <w:kern w:val="28"/>
      <w:sz w:val="22"/>
    </w:rPr>
  </w:style>
  <w:style w:type="character" w:customStyle="1" w:styleId="Heading3Char">
    <w:name w:val="Heading 3 Char"/>
    <w:link w:val="Heading3"/>
    <w:locked/>
    <w:rsid w:val="00F60058"/>
    <w:rPr>
      <w:b/>
      <w:snapToGrid w:val="0"/>
      <w:kern w:val="28"/>
      <w:sz w:val="22"/>
    </w:rPr>
  </w:style>
  <w:style w:type="character" w:customStyle="1" w:styleId="Heading4Char">
    <w:name w:val="Heading 4 Char"/>
    <w:link w:val="Heading4"/>
    <w:locked/>
    <w:rsid w:val="00F60058"/>
    <w:rPr>
      <w:b/>
      <w:snapToGrid w:val="0"/>
      <w:kern w:val="28"/>
      <w:sz w:val="22"/>
    </w:rPr>
  </w:style>
  <w:style w:type="character" w:customStyle="1" w:styleId="Heading5Char">
    <w:name w:val="Heading 5 Char"/>
    <w:link w:val="Heading5"/>
    <w:locked/>
    <w:rsid w:val="00F60058"/>
    <w:rPr>
      <w:b/>
      <w:snapToGrid w:val="0"/>
      <w:kern w:val="28"/>
      <w:sz w:val="22"/>
    </w:rPr>
  </w:style>
  <w:style w:type="character" w:customStyle="1" w:styleId="Heading6Char">
    <w:name w:val="Heading 6 Char"/>
    <w:link w:val="Heading6"/>
    <w:locked/>
    <w:rsid w:val="00F60058"/>
    <w:rPr>
      <w:b/>
      <w:snapToGrid w:val="0"/>
      <w:kern w:val="28"/>
      <w:sz w:val="22"/>
    </w:rPr>
  </w:style>
  <w:style w:type="character" w:customStyle="1" w:styleId="Heading7Char">
    <w:name w:val="Heading 7 Char"/>
    <w:link w:val="Heading7"/>
    <w:locked/>
    <w:rsid w:val="00F60058"/>
    <w:rPr>
      <w:b/>
      <w:snapToGrid w:val="0"/>
      <w:kern w:val="28"/>
      <w:sz w:val="22"/>
    </w:rPr>
  </w:style>
  <w:style w:type="character" w:customStyle="1" w:styleId="Heading8Char">
    <w:name w:val="Heading 8 Char"/>
    <w:link w:val="Heading8"/>
    <w:locked/>
    <w:rsid w:val="00F60058"/>
    <w:rPr>
      <w:b/>
      <w:snapToGrid w:val="0"/>
      <w:kern w:val="28"/>
      <w:sz w:val="22"/>
    </w:rPr>
  </w:style>
  <w:style w:type="character" w:customStyle="1" w:styleId="Heading9Char">
    <w:name w:val="Heading 9 Char"/>
    <w:link w:val="Heading9"/>
    <w:locked/>
    <w:rsid w:val="00F60058"/>
    <w:rPr>
      <w:b/>
      <w:snapToGrid w:val="0"/>
      <w:kern w:val="28"/>
      <w:sz w:val="22"/>
    </w:rPr>
  </w:style>
  <w:style w:type="character" w:customStyle="1" w:styleId="EndnoteTextChar">
    <w:name w:val="Endnote Text Char"/>
    <w:link w:val="EndnoteText"/>
    <w:semiHidden/>
    <w:locked/>
    <w:rsid w:val="00F60058"/>
    <w:rPr>
      <w:snapToGrid w:val="0"/>
      <w:kern w:val="28"/>
    </w:rPr>
  </w:style>
  <w:style w:type="character" w:customStyle="1" w:styleId="FootnoteTextChar2Char1Char">
    <w:name w:val="Footnote Text Char2 Char1 Char"/>
    <w:aliases w:val="Footnote Text Char Char Char1 Char,Footnote Text Char2 Char Char Char1 Char,Footnote Text Char1 Char Char Char Char1 Char,Footnote Text Char Char Char Char Char Char1 Char"/>
    <w:uiPriority w:val="99"/>
    <w:semiHidden/>
    <w:rsid w:val="00F60058"/>
    <w:rPr>
      <w:rFonts w:cs="Times New Roman"/>
      <w:kern w:val="28"/>
      <w:sz w:val="20"/>
      <w:szCs w:val="20"/>
    </w:rPr>
  </w:style>
  <w:style w:type="character" w:customStyle="1" w:styleId="FootnoteTextChar1">
    <w:name w:val="Footnote Text Char1"/>
    <w:aliases w:val="Footnote Text Char2 Char1,Footnote Text Char Char Char1,Footnote Text Char2 Char Char Char1,Footnote Text Char1 Char Char Char Char1,Footnote Text Char Char Char Char Char Char1,Footnote Text Char1 Char Char Char Char Char Char1"/>
    <w:link w:val="FootnoteText"/>
    <w:semiHidden/>
    <w:locked/>
    <w:rsid w:val="00F60058"/>
  </w:style>
  <w:style w:type="character" w:customStyle="1" w:styleId="FooterChar">
    <w:name w:val="Footer Char"/>
    <w:link w:val="Footer"/>
    <w:locked/>
    <w:rsid w:val="00F60058"/>
    <w:rPr>
      <w:snapToGrid w:val="0"/>
      <w:kern w:val="28"/>
      <w:sz w:val="22"/>
    </w:rPr>
  </w:style>
  <w:style w:type="character" w:customStyle="1" w:styleId="BodyTextIndentChar">
    <w:name w:val="Body Text Indent Char"/>
    <w:link w:val="BodyTextIndent"/>
    <w:uiPriority w:val="99"/>
    <w:locked/>
    <w:rsid w:val="00F60058"/>
    <w:rPr>
      <w:spacing w:val="-2"/>
      <w:sz w:val="22"/>
    </w:rPr>
  </w:style>
  <w:style w:type="character" w:customStyle="1" w:styleId="DocumentMapChar">
    <w:name w:val="Document Map Char"/>
    <w:link w:val="DocumentMap"/>
    <w:uiPriority w:val="99"/>
    <w:semiHidden/>
    <w:locked/>
    <w:rsid w:val="00F60058"/>
    <w:rPr>
      <w:rFonts w:ascii="Tahoma" w:hAnsi="Tahoma" w:cs="Tahoma"/>
      <w:snapToGrid w:val="0"/>
      <w:kern w:val="28"/>
      <w:shd w:val="clear" w:color="auto" w:fill="000080"/>
    </w:rPr>
  </w:style>
  <w:style w:type="character" w:customStyle="1" w:styleId="BalloonTextChar1">
    <w:name w:val="Balloon Text Char1"/>
    <w:link w:val="BalloonText"/>
    <w:uiPriority w:val="99"/>
    <w:semiHidden/>
    <w:locked/>
    <w:rsid w:val="00F60058"/>
    <w:rPr>
      <w:rFonts w:ascii="Tahoma" w:hAnsi="Tahoma" w:cs="Tahoma"/>
      <w:snapToGrid w:val="0"/>
      <w:kern w:val="28"/>
      <w:sz w:val="16"/>
      <w:szCs w:val="16"/>
    </w:rPr>
  </w:style>
  <w:style w:type="character" w:customStyle="1" w:styleId="CommentTextChar">
    <w:name w:val="Comment Text Char"/>
    <w:link w:val="CommentText"/>
    <w:uiPriority w:val="99"/>
    <w:semiHidden/>
    <w:locked/>
    <w:rsid w:val="00F60058"/>
    <w:rPr>
      <w:snapToGrid w:val="0"/>
      <w:kern w:val="28"/>
    </w:rPr>
  </w:style>
  <w:style w:type="character" w:customStyle="1" w:styleId="CommentSubjectChar">
    <w:name w:val="Comment Subject Char"/>
    <w:link w:val="CommentSubject"/>
    <w:uiPriority w:val="99"/>
    <w:semiHidden/>
    <w:locked/>
    <w:rsid w:val="00F60058"/>
    <w:rPr>
      <w:b/>
      <w:bCs/>
      <w:snapToGrid w:val="0"/>
      <w:kern w:val="28"/>
    </w:rPr>
  </w:style>
  <w:style w:type="paragraph" w:styleId="ListParagraph">
    <w:name w:val="List Paragraph"/>
    <w:basedOn w:val="Normal"/>
    <w:uiPriority w:val="34"/>
    <w:qFormat/>
    <w:rsid w:val="00C03C6C"/>
    <w:pPr>
      <w:ind w:left="720"/>
      <w:contextualSpacing/>
    </w:pPr>
  </w:style>
  <w:style w:type="character" w:styleId="FollowedHyperlink">
    <w:name w:val="FollowedHyperlink"/>
    <w:basedOn w:val="DefaultParagraphFont"/>
    <w:rsid w:val="007331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uiPriority="99" w:qFormat="1"/>
    <w:lsdException w:name="Emphasis" w:qFormat="1"/>
    <w:lsdException w:name="Document Map"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D3"/>
    <w:pPr>
      <w:widowControl w:val="0"/>
    </w:pPr>
    <w:rPr>
      <w:snapToGrid w:val="0"/>
      <w:kern w:val="28"/>
      <w:sz w:val="22"/>
    </w:rPr>
  </w:style>
  <w:style w:type="paragraph" w:styleId="Heading1">
    <w:name w:val="heading 1"/>
    <w:basedOn w:val="Normal"/>
    <w:next w:val="ParaNum"/>
    <w:link w:val="Heading1Char"/>
    <w:qFormat/>
    <w:rsid w:val="00FA3DD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A3DD3"/>
    <w:pPr>
      <w:keepNext/>
      <w:numPr>
        <w:ilvl w:val="1"/>
        <w:numId w:val="2"/>
      </w:numPr>
      <w:spacing w:after="120"/>
      <w:outlineLvl w:val="1"/>
    </w:pPr>
    <w:rPr>
      <w:b/>
    </w:rPr>
  </w:style>
  <w:style w:type="paragraph" w:styleId="Heading3">
    <w:name w:val="heading 3"/>
    <w:basedOn w:val="Normal"/>
    <w:next w:val="ParaNum"/>
    <w:link w:val="Heading3Char"/>
    <w:qFormat/>
    <w:rsid w:val="00FA3DD3"/>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FA3DD3"/>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A3DD3"/>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FA3DD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A3DD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A3DD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A3DD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semiHidden/>
    <w:rsid w:val="00FA3D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A3DD3"/>
  </w:style>
  <w:style w:type="paragraph" w:styleId="BalloonText">
    <w:name w:val="Balloon Text"/>
    <w:basedOn w:val="Normal"/>
    <w:link w:val="BalloonTextChar1"/>
    <w:uiPriority w:val="99"/>
    <w:semiHidden/>
    <w:rsid w:val="00116F29"/>
    <w:rPr>
      <w:rFonts w:ascii="Tahoma" w:hAnsi="Tahoma" w:cs="Tahoma"/>
      <w:sz w:val="16"/>
      <w:szCs w:val="16"/>
    </w:rPr>
  </w:style>
  <w:style w:type="character" w:customStyle="1" w:styleId="BalloonTextChar">
    <w:name w:val="Balloon Text Char"/>
    <w:basedOn w:val="DefaultParagraphFont"/>
    <w:uiPriority w:val="99"/>
    <w:semiHidden/>
    <w:rsid w:val="00C057D0"/>
    <w:rPr>
      <w:rFonts w:ascii="Lucida Grande" w:hAnsi="Lucida Grande"/>
      <w:sz w:val="18"/>
      <w:szCs w:val="18"/>
    </w:rPr>
  </w:style>
  <w:style w:type="character" w:customStyle="1" w:styleId="BalloonTextChar0">
    <w:name w:val="Balloon Text Char"/>
    <w:basedOn w:val="DefaultParagraphFont"/>
    <w:uiPriority w:val="99"/>
    <w:semiHidden/>
    <w:rsid w:val="00A91EFC"/>
    <w:rPr>
      <w:rFonts w:ascii="Lucida Grande" w:hAnsi="Lucida Grande"/>
      <w:sz w:val="18"/>
      <w:szCs w:val="18"/>
    </w:rPr>
  </w:style>
  <w:style w:type="character" w:customStyle="1" w:styleId="BalloonTextChar2">
    <w:name w:val="Balloon Text Char"/>
    <w:basedOn w:val="DefaultParagraphFont"/>
    <w:uiPriority w:val="99"/>
    <w:semiHidden/>
    <w:rsid w:val="006D464B"/>
    <w:rPr>
      <w:rFonts w:ascii="Lucida Grande" w:hAnsi="Lucida Grande"/>
      <w:sz w:val="18"/>
      <w:szCs w:val="18"/>
    </w:rPr>
  </w:style>
  <w:style w:type="paragraph" w:customStyle="1" w:styleId="ParaNum">
    <w:name w:val="ParaNum"/>
    <w:basedOn w:val="Normal"/>
    <w:link w:val="ParaNumChar1"/>
    <w:rsid w:val="00FA3DD3"/>
    <w:pPr>
      <w:numPr>
        <w:numId w:val="1"/>
      </w:numPr>
      <w:tabs>
        <w:tab w:val="clear" w:pos="1080"/>
        <w:tab w:val="num" w:pos="1440"/>
      </w:tabs>
      <w:spacing w:after="120"/>
    </w:pPr>
  </w:style>
  <w:style w:type="paragraph" w:styleId="EndnoteText">
    <w:name w:val="endnote text"/>
    <w:basedOn w:val="Normal"/>
    <w:link w:val="EndnoteTextChar"/>
    <w:semiHidden/>
    <w:rsid w:val="00FA3DD3"/>
    <w:rPr>
      <w:sz w:val="20"/>
    </w:rPr>
  </w:style>
  <w:style w:type="character" w:styleId="EndnoteReference">
    <w:name w:val="endnote reference"/>
    <w:basedOn w:val="DefaultParagraphFont"/>
    <w:semiHidden/>
    <w:rsid w:val="00FA3DD3"/>
    <w:rPr>
      <w:vertAlign w:val="superscript"/>
    </w:rPr>
  </w:style>
  <w:style w:type="paragraph" w:styleId="FootnoteText">
    <w:name w:val="footnote text"/>
    <w:aliases w:val="Footnote Text Char2,Footnote Text Char Char,Footnote Text Char2 Char Char,Footnote Text Char1 Char Char Char,Footnote Text Char Char Char Char Char,Footnote Text Char1 Char Char Char Char Char,Footnote Text Char,Footnote Text Char1 Char Ch"/>
    <w:link w:val="FootnoteTextChar1"/>
    <w:semiHidden/>
    <w:rsid w:val="00FA3DD3"/>
    <w:pPr>
      <w:spacing w:after="120"/>
    </w:pPr>
  </w:style>
  <w:style w:type="character" w:styleId="FootnoteReference">
    <w:name w:val="footnote reference"/>
    <w:aliases w:val="Style 12,(NECG) Footnote Reference"/>
    <w:basedOn w:val="DefaultParagraphFont"/>
    <w:semiHidden/>
    <w:rsid w:val="00FA3DD3"/>
    <w:rPr>
      <w:rFonts w:ascii="Times New Roman" w:hAnsi="Times New Roman"/>
      <w:dstrike w:val="0"/>
      <w:color w:val="auto"/>
      <w:sz w:val="22"/>
      <w:vertAlign w:val="superscript"/>
    </w:rPr>
  </w:style>
  <w:style w:type="paragraph" w:styleId="TOC1">
    <w:name w:val="toc 1"/>
    <w:basedOn w:val="Normal"/>
    <w:next w:val="Normal"/>
    <w:semiHidden/>
    <w:rsid w:val="00FA3DD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A3DD3"/>
    <w:pPr>
      <w:tabs>
        <w:tab w:val="left" w:pos="720"/>
        <w:tab w:val="right" w:leader="dot" w:pos="9360"/>
      </w:tabs>
      <w:suppressAutoHyphens/>
      <w:ind w:left="720" w:right="720" w:hanging="360"/>
    </w:pPr>
    <w:rPr>
      <w:noProof/>
    </w:rPr>
  </w:style>
  <w:style w:type="paragraph" w:styleId="TOC3">
    <w:name w:val="toc 3"/>
    <w:basedOn w:val="Normal"/>
    <w:next w:val="Normal"/>
    <w:semiHidden/>
    <w:rsid w:val="00FA3DD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A3DD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3DD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3DD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3DD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3DD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3DD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A3DD3"/>
    <w:pPr>
      <w:tabs>
        <w:tab w:val="right" w:pos="9360"/>
      </w:tabs>
      <w:suppressAutoHyphens/>
    </w:pPr>
  </w:style>
  <w:style w:type="character" w:customStyle="1" w:styleId="EquationCaption">
    <w:name w:val="_Equation Caption"/>
    <w:rsid w:val="00FA3DD3"/>
  </w:style>
  <w:style w:type="paragraph" w:styleId="Header">
    <w:name w:val="header"/>
    <w:basedOn w:val="Normal"/>
    <w:link w:val="HeaderChar"/>
    <w:autoRedefine/>
    <w:rsid w:val="00FA3DD3"/>
    <w:pPr>
      <w:tabs>
        <w:tab w:val="center" w:pos="4680"/>
        <w:tab w:val="right" w:pos="9360"/>
      </w:tabs>
    </w:pPr>
    <w:rPr>
      <w:b/>
    </w:rPr>
  </w:style>
  <w:style w:type="paragraph" w:styleId="Footer">
    <w:name w:val="footer"/>
    <w:basedOn w:val="Normal"/>
    <w:link w:val="FooterChar"/>
    <w:rsid w:val="00FA3DD3"/>
    <w:pPr>
      <w:tabs>
        <w:tab w:val="center" w:pos="4320"/>
        <w:tab w:val="right" w:pos="8640"/>
      </w:tabs>
    </w:pPr>
  </w:style>
  <w:style w:type="character" w:styleId="PageNumber">
    <w:name w:val="page number"/>
    <w:basedOn w:val="DefaultParagraphFont"/>
    <w:rsid w:val="00FA3DD3"/>
  </w:style>
  <w:style w:type="paragraph" w:styleId="BlockText">
    <w:name w:val="Block Text"/>
    <w:basedOn w:val="Normal"/>
    <w:rsid w:val="00FA3DD3"/>
    <w:pPr>
      <w:spacing w:after="240"/>
      <w:ind w:left="1440" w:right="1440"/>
    </w:pPr>
  </w:style>
  <w:style w:type="paragraph" w:customStyle="1" w:styleId="Paratitle">
    <w:name w:val="Para title"/>
    <w:basedOn w:val="Normal"/>
    <w:rsid w:val="00FA3DD3"/>
    <w:pPr>
      <w:tabs>
        <w:tab w:val="center" w:pos="9270"/>
      </w:tabs>
      <w:spacing w:after="240"/>
    </w:pPr>
    <w:rPr>
      <w:spacing w:val="-2"/>
    </w:rPr>
  </w:style>
  <w:style w:type="paragraph" w:customStyle="1" w:styleId="Bullet">
    <w:name w:val="Bullet"/>
    <w:basedOn w:val="Normal"/>
    <w:rsid w:val="00FA3DD3"/>
    <w:pPr>
      <w:numPr>
        <w:numId w:val="1"/>
      </w:numPr>
      <w:tabs>
        <w:tab w:val="left" w:pos="2160"/>
      </w:tabs>
      <w:spacing w:after="220"/>
      <w:ind w:left="2160" w:hanging="720"/>
    </w:pPr>
  </w:style>
  <w:style w:type="paragraph" w:customStyle="1" w:styleId="TableFormat">
    <w:name w:val="TableFormat"/>
    <w:basedOn w:val="Bullet"/>
    <w:rsid w:val="00FA3DD3"/>
    <w:pPr>
      <w:numPr>
        <w:numId w:val="0"/>
      </w:numPr>
      <w:tabs>
        <w:tab w:val="clear" w:pos="2160"/>
        <w:tab w:val="left" w:pos="5040"/>
      </w:tabs>
      <w:ind w:left="5040" w:hanging="3600"/>
    </w:pPr>
  </w:style>
  <w:style w:type="paragraph" w:customStyle="1" w:styleId="TOCTitle">
    <w:name w:val="TOC Title"/>
    <w:basedOn w:val="Normal"/>
    <w:rsid w:val="00FA3DD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3DD3"/>
    <w:pPr>
      <w:jc w:val="center"/>
    </w:pPr>
    <w:rPr>
      <w:rFonts w:ascii="Times New Roman Bold" w:hAnsi="Times New Roman Bold"/>
      <w:b/>
      <w:bCs/>
      <w:caps/>
      <w:szCs w:val="22"/>
    </w:rPr>
  </w:style>
  <w:style w:type="character" w:styleId="Hyperlink">
    <w:name w:val="Hyperlink"/>
    <w:basedOn w:val="DefaultParagraphFont"/>
    <w:rsid w:val="00FA3DD3"/>
    <w:rPr>
      <w:color w:val="0000FF"/>
      <w:u w:val="single"/>
    </w:rPr>
  </w:style>
  <w:style w:type="character" w:customStyle="1" w:styleId="FootnoteTextChar2Char">
    <w:name w:val="Footnote Text Char2 Char"/>
    <w:aliases w:val="Footnote Text Char Char Char,Footnote Text Char2 Char Char Char,Footnote Text Char1 Char Char Char Char,Footnote Text Char Char Char Char Char Char,Footnote Text Char1 Char Char Char Char Char Char,Footnote Text Char Char1"/>
    <w:uiPriority w:val="99"/>
    <w:rsid w:val="00116F29"/>
    <w:rPr>
      <w:lang w:val="en-US" w:eastAsia="en-US" w:bidi="ar-SA"/>
    </w:rPr>
  </w:style>
  <w:style w:type="paragraph" w:styleId="BodyTextIndent">
    <w:name w:val="Body Text Indent"/>
    <w:basedOn w:val="Normal"/>
    <w:link w:val="BodyTextIndentChar"/>
    <w:uiPriority w:val="99"/>
    <w:rsid w:val="00116F29"/>
    <w:pPr>
      <w:widowControl/>
      <w:tabs>
        <w:tab w:val="left" w:pos="0"/>
      </w:tabs>
      <w:suppressAutoHyphens/>
      <w:ind w:left="3600"/>
    </w:pPr>
    <w:rPr>
      <w:snapToGrid/>
      <w:spacing w:val="-2"/>
      <w:kern w:val="0"/>
    </w:rPr>
  </w:style>
  <w:style w:type="paragraph" w:styleId="DocumentMap">
    <w:name w:val="Document Map"/>
    <w:basedOn w:val="Normal"/>
    <w:link w:val="DocumentMapChar"/>
    <w:uiPriority w:val="99"/>
    <w:semiHidden/>
    <w:rsid w:val="00116F29"/>
    <w:pPr>
      <w:shd w:val="clear" w:color="auto" w:fill="000080"/>
    </w:pPr>
    <w:rPr>
      <w:rFonts w:ascii="Tahoma" w:hAnsi="Tahoma" w:cs="Tahoma"/>
      <w:sz w:val="20"/>
    </w:rPr>
  </w:style>
  <w:style w:type="character" w:customStyle="1" w:styleId="searchterm1">
    <w:name w:val="searchterm1"/>
    <w:uiPriority w:val="99"/>
    <w:rsid w:val="00116F29"/>
    <w:rPr>
      <w:b/>
      <w:bCs/>
      <w:shd w:val="clear" w:color="auto" w:fill="FFFF00"/>
    </w:rPr>
  </w:style>
  <w:style w:type="character" w:customStyle="1" w:styleId="bestsection1">
    <w:name w:val="bestsection1"/>
    <w:uiPriority w:val="99"/>
    <w:rsid w:val="00116F29"/>
    <w:rPr>
      <w:color w:val="FF0000"/>
    </w:rPr>
  </w:style>
  <w:style w:type="character" w:styleId="Strong">
    <w:name w:val="Strong"/>
    <w:uiPriority w:val="99"/>
    <w:qFormat/>
    <w:rsid w:val="00116F29"/>
    <w:rPr>
      <w:b/>
      <w:bCs/>
    </w:rPr>
  </w:style>
  <w:style w:type="character" w:styleId="CommentReference">
    <w:name w:val="annotation reference"/>
    <w:uiPriority w:val="99"/>
    <w:semiHidden/>
    <w:rsid w:val="00116F29"/>
    <w:rPr>
      <w:sz w:val="16"/>
      <w:szCs w:val="16"/>
    </w:rPr>
  </w:style>
  <w:style w:type="paragraph" w:styleId="CommentText">
    <w:name w:val="annotation text"/>
    <w:basedOn w:val="Normal"/>
    <w:link w:val="CommentTextChar"/>
    <w:uiPriority w:val="99"/>
    <w:semiHidden/>
    <w:rsid w:val="00116F29"/>
    <w:rPr>
      <w:sz w:val="20"/>
    </w:rPr>
  </w:style>
  <w:style w:type="paragraph" w:styleId="CommentSubject">
    <w:name w:val="annotation subject"/>
    <w:basedOn w:val="CommentText"/>
    <w:next w:val="CommentText"/>
    <w:link w:val="CommentSubjectChar"/>
    <w:uiPriority w:val="99"/>
    <w:semiHidden/>
    <w:rsid w:val="00116F29"/>
    <w:rPr>
      <w:b/>
      <w:bCs/>
    </w:rPr>
  </w:style>
  <w:style w:type="character" w:customStyle="1" w:styleId="HeaderChar">
    <w:name w:val="Header Char"/>
    <w:link w:val="Header"/>
    <w:rsid w:val="00A30212"/>
    <w:rPr>
      <w:b/>
      <w:snapToGrid w:val="0"/>
      <w:kern w:val="28"/>
      <w:sz w:val="22"/>
    </w:rPr>
  </w:style>
  <w:style w:type="character" w:customStyle="1" w:styleId="apple-converted-space">
    <w:name w:val="apple-converted-space"/>
    <w:basedOn w:val="DefaultParagraphFont"/>
    <w:uiPriority w:val="99"/>
    <w:rsid w:val="00116F29"/>
  </w:style>
  <w:style w:type="character" w:customStyle="1" w:styleId="ParaNumChar1">
    <w:name w:val="ParaNum Char1"/>
    <w:link w:val="ParaNum"/>
    <w:rsid w:val="00010B04"/>
    <w:rPr>
      <w:snapToGrid w:val="0"/>
      <w:kern w:val="28"/>
      <w:sz w:val="22"/>
    </w:rPr>
  </w:style>
  <w:style w:type="character" w:customStyle="1" w:styleId="Heading1Char">
    <w:name w:val="Heading 1 Char"/>
    <w:link w:val="Heading1"/>
    <w:locked/>
    <w:rsid w:val="00F60058"/>
    <w:rPr>
      <w:rFonts w:ascii="Times New Roman Bold" w:hAnsi="Times New Roman Bold"/>
      <w:b/>
      <w:caps/>
      <w:snapToGrid w:val="0"/>
      <w:kern w:val="28"/>
      <w:sz w:val="22"/>
    </w:rPr>
  </w:style>
  <w:style w:type="character" w:customStyle="1" w:styleId="Heading2Char">
    <w:name w:val="Heading 2 Char"/>
    <w:link w:val="Heading2"/>
    <w:locked/>
    <w:rsid w:val="00F60058"/>
    <w:rPr>
      <w:b/>
      <w:snapToGrid w:val="0"/>
      <w:kern w:val="28"/>
      <w:sz w:val="22"/>
    </w:rPr>
  </w:style>
  <w:style w:type="character" w:customStyle="1" w:styleId="Heading3Char">
    <w:name w:val="Heading 3 Char"/>
    <w:link w:val="Heading3"/>
    <w:locked/>
    <w:rsid w:val="00F60058"/>
    <w:rPr>
      <w:b/>
      <w:snapToGrid w:val="0"/>
      <w:kern w:val="28"/>
      <w:sz w:val="22"/>
    </w:rPr>
  </w:style>
  <w:style w:type="character" w:customStyle="1" w:styleId="Heading4Char">
    <w:name w:val="Heading 4 Char"/>
    <w:link w:val="Heading4"/>
    <w:locked/>
    <w:rsid w:val="00F60058"/>
    <w:rPr>
      <w:b/>
      <w:snapToGrid w:val="0"/>
      <w:kern w:val="28"/>
      <w:sz w:val="22"/>
    </w:rPr>
  </w:style>
  <w:style w:type="character" w:customStyle="1" w:styleId="Heading5Char">
    <w:name w:val="Heading 5 Char"/>
    <w:link w:val="Heading5"/>
    <w:locked/>
    <w:rsid w:val="00F60058"/>
    <w:rPr>
      <w:b/>
      <w:snapToGrid w:val="0"/>
      <w:kern w:val="28"/>
      <w:sz w:val="22"/>
    </w:rPr>
  </w:style>
  <w:style w:type="character" w:customStyle="1" w:styleId="Heading6Char">
    <w:name w:val="Heading 6 Char"/>
    <w:link w:val="Heading6"/>
    <w:locked/>
    <w:rsid w:val="00F60058"/>
    <w:rPr>
      <w:b/>
      <w:snapToGrid w:val="0"/>
      <w:kern w:val="28"/>
      <w:sz w:val="22"/>
    </w:rPr>
  </w:style>
  <w:style w:type="character" w:customStyle="1" w:styleId="Heading7Char">
    <w:name w:val="Heading 7 Char"/>
    <w:link w:val="Heading7"/>
    <w:locked/>
    <w:rsid w:val="00F60058"/>
    <w:rPr>
      <w:b/>
      <w:snapToGrid w:val="0"/>
      <w:kern w:val="28"/>
      <w:sz w:val="22"/>
    </w:rPr>
  </w:style>
  <w:style w:type="character" w:customStyle="1" w:styleId="Heading8Char">
    <w:name w:val="Heading 8 Char"/>
    <w:link w:val="Heading8"/>
    <w:locked/>
    <w:rsid w:val="00F60058"/>
    <w:rPr>
      <w:b/>
      <w:snapToGrid w:val="0"/>
      <w:kern w:val="28"/>
      <w:sz w:val="22"/>
    </w:rPr>
  </w:style>
  <w:style w:type="character" w:customStyle="1" w:styleId="Heading9Char">
    <w:name w:val="Heading 9 Char"/>
    <w:link w:val="Heading9"/>
    <w:locked/>
    <w:rsid w:val="00F60058"/>
    <w:rPr>
      <w:b/>
      <w:snapToGrid w:val="0"/>
      <w:kern w:val="28"/>
      <w:sz w:val="22"/>
    </w:rPr>
  </w:style>
  <w:style w:type="character" w:customStyle="1" w:styleId="EndnoteTextChar">
    <w:name w:val="Endnote Text Char"/>
    <w:link w:val="EndnoteText"/>
    <w:semiHidden/>
    <w:locked/>
    <w:rsid w:val="00F60058"/>
    <w:rPr>
      <w:snapToGrid w:val="0"/>
      <w:kern w:val="28"/>
    </w:rPr>
  </w:style>
  <w:style w:type="character" w:customStyle="1" w:styleId="FootnoteTextChar2Char1Char">
    <w:name w:val="Footnote Text Char2 Char1 Char"/>
    <w:aliases w:val="Footnote Text Char Char Char1 Char,Footnote Text Char2 Char Char Char1 Char,Footnote Text Char1 Char Char Char Char1 Char,Footnote Text Char Char Char Char Char Char1 Char"/>
    <w:uiPriority w:val="99"/>
    <w:semiHidden/>
    <w:rsid w:val="00F60058"/>
    <w:rPr>
      <w:rFonts w:cs="Times New Roman"/>
      <w:kern w:val="28"/>
      <w:sz w:val="20"/>
      <w:szCs w:val="20"/>
    </w:rPr>
  </w:style>
  <w:style w:type="character" w:customStyle="1" w:styleId="FootnoteTextChar1">
    <w:name w:val="Footnote Text Char1"/>
    <w:aliases w:val="Footnote Text Char2 Char1,Footnote Text Char Char Char1,Footnote Text Char2 Char Char Char1,Footnote Text Char1 Char Char Char Char1,Footnote Text Char Char Char Char Char Char1,Footnote Text Char1 Char Char Char Char Char Char1"/>
    <w:link w:val="FootnoteText"/>
    <w:semiHidden/>
    <w:locked/>
    <w:rsid w:val="00F60058"/>
  </w:style>
  <w:style w:type="character" w:customStyle="1" w:styleId="FooterChar">
    <w:name w:val="Footer Char"/>
    <w:link w:val="Footer"/>
    <w:locked/>
    <w:rsid w:val="00F60058"/>
    <w:rPr>
      <w:snapToGrid w:val="0"/>
      <w:kern w:val="28"/>
      <w:sz w:val="22"/>
    </w:rPr>
  </w:style>
  <w:style w:type="character" w:customStyle="1" w:styleId="BodyTextIndentChar">
    <w:name w:val="Body Text Indent Char"/>
    <w:link w:val="BodyTextIndent"/>
    <w:uiPriority w:val="99"/>
    <w:locked/>
    <w:rsid w:val="00F60058"/>
    <w:rPr>
      <w:spacing w:val="-2"/>
      <w:sz w:val="22"/>
    </w:rPr>
  </w:style>
  <w:style w:type="character" w:customStyle="1" w:styleId="DocumentMapChar">
    <w:name w:val="Document Map Char"/>
    <w:link w:val="DocumentMap"/>
    <w:uiPriority w:val="99"/>
    <w:semiHidden/>
    <w:locked/>
    <w:rsid w:val="00F60058"/>
    <w:rPr>
      <w:rFonts w:ascii="Tahoma" w:hAnsi="Tahoma" w:cs="Tahoma"/>
      <w:snapToGrid w:val="0"/>
      <w:kern w:val="28"/>
      <w:shd w:val="clear" w:color="auto" w:fill="000080"/>
    </w:rPr>
  </w:style>
  <w:style w:type="character" w:customStyle="1" w:styleId="BalloonTextChar1">
    <w:name w:val="Balloon Text Char1"/>
    <w:link w:val="BalloonText"/>
    <w:uiPriority w:val="99"/>
    <w:semiHidden/>
    <w:locked/>
    <w:rsid w:val="00F60058"/>
    <w:rPr>
      <w:rFonts w:ascii="Tahoma" w:hAnsi="Tahoma" w:cs="Tahoma"/>
      <w:snapToGrid w:val="0"/>
      <w:kern w:val="28"/>
      <w:sz w:val="16"/>
      <w:szCs w:val="16"/>
    </w:rPr>
  </w:style>
  <w:style w:type="character" w:customStyle="1" w:styleId="CommentTextChar">
    <w:name w:val="Comment Text Char"/>
    <w:link w:val="CommentText"/>
    <w:uiPriority w:val="99"/>
    <w:semiHidden/>
    <w:locked/>
    <w:rsid w:val="00F60058"/>
    <w:rPr>
      <w:snapToGrid w:val="0"/>
      <w:kern w:val="28"/>
    </w:rPr>
  </w:style>
  <w:style w:type="character" w:customStyle="1" w:styleId="CommentSubjectChar">
    <w:name w:val="Comment Subject Char"/>
    <w:link w:val="CommentSubject"/>
    <w:uiPriority w:val="99"/>
    <w:semiHidden/>
    <w:locked/>
    <w:rsid w:val="00F60058"/>
    <w:rPr>
      <w:b/>
      <w:bCs/>
      <w:snapToGrid w:val="0"/>
      <w:kern w:val="28"/>
    </w:rPr>
  </w:style>
  <w:style w:type="paragraph" w:styleId="ListParagraph">
    <w:name w:val="List Paragraph"/>
    <w:basedOn w:val="Normal"/>
    <w:uiPriority w:val="34"/>
    <w:qFormat/>
    <w:rsid w:val="00C03C6C"/>
    <w:pPr>
      <w:ind w:left="720"/>
      <w:contextualSpacing/>
    </w:pPr>
  </w:style>
  <w:style w:type="character" w:styleId="FollowedHyperlink">
    <w:name w:val="FollowedHyperlink"/>
    <w:basedOn w:val="DefaultParagraphFont"/>
    <w:rsid w:val="007331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35301">
      <w:bodyDiv w:val="1"/>
      <w:marLeft w:val="0"/>
      <w:marRight w:val="0"/>
      <w:marTop w:val="0"/>
      <w:marBottom w:val="0"/>
      <w:divBdr>
        <w:top w:val="none" w:sz="0" w:space="0" w:color="auto"/>
        <w:left w:val="none" w:sz="0" w:space="0" w:color="auto"/>
        <w:bottom w:val="none" w:sz="0" w:space="0" w:color="auto"/>
        <w:right w:val="none" w:sz="0" w:space="0" w:color="auto"/>
      </w:divBdr>
    </w:div>
    <w:div w:id="523053447">
      <w:marLeft w:val="0"/>
      <w:marRight w:val="0"/>
      <w:marTop w:val="0"/>
      <w:marBottom w:val="0"/>
      <w:divBdr>
        <w:top w:val="none" w:sz="0" w:space="0" w:color="auto"/>
        <w:left w:val="none" w:sz="0" w:space="0" w:color="auto"/>
        <w:bottom w:val="none" w:sz="0" w:space="0" w:color="auto"/>
        <w:right w:val="none" w:sz="0" w:space="0" w:color="auto"/>
      </w:divBdr>
      <w:divsChild>
        <w:div w:id="523053448">
          <w:marLeft w:val="0"/>
          <w:marRight w:val="0"/>
          <w:marTop w:val="0"/>
          <w:marBottom w:val="0"/>
          <w:divBdr>
            <w:top w:val="none" w:sz="0" w:space="0" w:color="auto"/>
            <w:left w:val="none" w:sz="0" w:space="0" w:color="auto"/>
            <w:bottom w:val="none" w:sz="0" w:space="0" w:color="auto"/>
            <w:right w:val="none" w:sz="0" w:space="0" w:color="auto"/>
          </w:divBdr>
        </w:div>
      </w:divsChild>
    </w:div>
    <w:div w:id="910769014">
      <w:bodyDiv w:val="1"/>
      <w:marLeft w:val="0"/>
      <w:marRight w:val="0"/>
      <w:marTop w:val="0"/>
      <w:marBottom w:val="0"/>
      <w:divBdr>
        <w:top w:val="none" w:sz="0" w:space="0" w:color="auto"/>
        <w:left w:val="none" w:sz="0" w:space="0" w:color="auto"/>
        <w:bottom w:val="none" w:sz="0" w:space="0" w:color="auto"/>
        <w:right w:val="none" w:sz="0" w:space="0" w:color="auto"/>
      </w:divBdr>
      <w:divsChild>
        <w:div w:id="103665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Broeckaert@fcc.gov" TargetMode="External"/><Relationship Id="rId13" Type="http://schemas.openxmlformats.org/officeDocument/2006/relationships/hyperlink" Target="mailto:Steven.Broeckaert@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INQUIRIES@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an.Baranoff@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even.Broeckaert@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van.Baranoff@fcc.gov" TargetMode="External"/><Relationship Id="rId14" Type="http://schemas.openxmlformats.org/officeDocument/2006/relationships/hyperlink" Target="mailto:Evan.Baranoff@fc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ransition.fcc.gov/Forms/Form159/159.pdf" TargetMode="External"/><Relationship Id="rId1" Type="http://schemas.openxmlformats.org/officeDocument/2006/relationships/hyperlink" Target="http://www.wavevision.com/houston/channel-line-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5189</Words>
  <Characters>27475</Characters>
  <Application>Microsoft Office Word</Application>
  <DocSecurity>0</DocSecurity>
  <Lines>405</Lines>
  <Paragraphs>79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32709</CharactersWithSpaces>
  <SharedDoc>false</SharedDoc>
  <HyperlinkBase> </HyperlinkBase>
  <HLinks>
    <vt:vector size="24" baseType="variant">
      <vt:variant>
        <vt:i4>1114222</vt:i4>
      </vt:variant>
      <vt:variant>
        <vt:i4>9</vt:i4>
      </vt:variant>
      <vt:variant>
        <vt:i4>0</vt:i4>
      </vt:variant>
      <vt:variant>
        <vt:i4>5</vt:i4>
      </vt:variant>
      <vt:variant>
        <vt:lpwstr>mailto:Diana.Sokolow@fcc.gov</vt:lpwstr>
      </vt:variant>
      <vt:variant>
        <vt:lpwstr/>
      </vt:variant>
      <vt:variant>
        <vt:i4>6422640</vt:i4>
      </vt:variant>
      <vt:variant>
        <vt:i4>6</vt:i4>
      </vt:variant>
      <vt:variant>
        <vt:i4>0</vt:i4>
      </vt:variant>
      <vt:variant>
        <vt:i4>5</vt:i4>
      </vt:variant>
      <vt:variant>
        <vt:lpwstr>mailto:</vt:lpwstr>
      </vt:variant>
      <vt:variant>
        <vt:lpwstr/>
      </vt:variant>
      <vt:variant>
        <vt:i4>1114222</vt:i4>
      </vt:variant>
      <vt:variant>
        <vt:i4>3</vt:i4>
      </vt:variant>
      <vt:variant>
        <vt:i4>0</vt:i4>
      </vt:variant>
      <vt:variant>
        <vt:i4>5</vt:i4>
      </vt:variant>
      <vt:variant>
        <vt:lpwstr>mailto:Diana.Sokolow@fcc.gov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2013-06-05T17:55:00Z</cp:lastPrinted>
  <dcterms:created xsi:type="dcterms:W3CDTF">2013-06-25T15:28:00Z</dcterms:created>
  <dcterms:modified xsi:type="dcterms:W3CDTF">2013-06-25T15:28:00Z</dcterms:modified>
  <cp:category> </cp:category>
  <cp:contentStatus> </cp:contentStatus>
</cp:coreProperties>
</file>