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4E" w:rsidRPr="00403C26" w:rsidRDefault="008F264E" w:rsidP="009868F3">
      <w:pPr>
        <w:jc w:val="center"/>
        <w:rPr>
          <w:b/>
          <w:szCs w:val="22"/>
        </w:rPr>
      </w:pPr>
      <w:bookmarkStart w:id="0" w:name="_GoBack"/>
      <w:bookmarkEnd w:id="0"/>
      <w:r w:rsidRPr="00403C26">
        <w:rPr>
          <w:b/>
          <w:szCs w:val="22"/>
        </w:rPr>
        <w:t>Before the</w:t>
      </w:r>
    </w:p>
    <w:p w:rsidR="008F264E" w:rsidRPr="00403C26" w:rsidRDefault="008F264E" w:rsidP="009868F3">
      <w:pPr>
        <w:jc w:val="center"/>
        <w:rPr>
          <w:b/>
          <w:szCs w:val="22"/>
        </w:rPr>
      </w:pPr>
      <w:r w:rsidRPr="00403C26">
        <w:rPr>
          <w:b/>
          <w:szCs w:val="22"/>
        </w:rPr>
        <w:t>Federal Communications Commission</w:t>
      </w:r>
    </w:p>
    <w:p w:rsidR="008F264E" w:rsidRPr="00403C26" w:rsidRDefault="008F264E" w:rsidP="009868F3">
      <w:pPr>
        <w:jc w:val="center"/>
        <w:rPr>
          <w:b/>
          <w:szCs w:val="22"/>
        </w:rPr>
      </w:pPr>
      <w:r w:rsidRPr="00403C26">
        <w:rPr>
          <w:b/>
          <w:szCs w:val="22"/>
        </w:rPr>
        <w:t>Washington, D.C. 20554</w:t>
      </w:r>
    </w:p>
    <w:p w:rsidR="008F264E" w:rsidRPr="00403C26" w:rsidRDefault="008F264E" w:rsidP="009868F3">
      <w:pPr>
        <w:rPr>
          <w:szCs w:val="22"/>
        </w:rPr>
      </w:pPr>
    </w:p>
    <w:p w:rsidR="008F264E" w:rsidRPr="00403C26" w:rsidRDefault="008F264E" w:rsidP="009868F3">
      <w:pPr>
        <w:rPr>
          <w:szCs w:val="22"/>
        </w:rPr>
      </w:pPr>
    </w:p>
    <w:tbl>
      <w:tblPr>
        <w:tblW w:w="0" w:type="auto"/>
        <w:tblLayout w:type="fixed"/>
        <w:tblLook w:val="0000" w:firstRow="0" w:lastRow="0" w:firstColumn="0" w:lastColumn="0" w:noHBand="0" w:noVBand="0"/>
      </w:tblPr>
      <w:tblGrid>
        <w:gridCol w:w="4698"/>
        <w:gridCol w:w="720"/>
        <w:gridCol w:w="4230"/>
      </w:tblGrid>
      <w:tr w:rsidR="008F264E" w:rsidRPr="00403C26" w:rsidTr="00CC10B4">
        <w:tc>
          <w:tcPr>
            <w:tcW w:w="4698" w:type="dxa"/>
          </w:tcPr>
          <w:p w:rsidR="008F264E" w:rsidRPr="00403C26" w:rsidRDefault="008F264E" w:rsidP="009868F3">
            <w:pPr>
              <w:ind w:right="-18"/>
              <w:rPr>
                <w:szCs w:val="22"/>
              </w:rPr>
            </w:pPr>
            <w:r w:rsidRPr="00403C26">
              <w:rPr>
                <w:szCs w:val="22"/>
              </w:rPr>
              <w:t>In the Matter of</w:t>
            </w:r>
          </w:p>
          <w:p w:rsidR="008F264E" w:rsidRPr="00403C26" w:rsidRDefault="008F264E" w:rsidP="009868F3">
            <w:pPr>
              <w:ind w:right="-18"/>
              <w:rPr>
                <w:szCs w:val="22"/>
              </w:rPr>
            </w:pPr>
          </w:p>
          <w:p w:rsidR="008F264E" w:rsidRPr="00403C26" w:rsidRDefault="00F84D78" w:rsidP="009868F3">
            <w:pPr>
              <w:ind w:right="-18"/>
              <w:rPr>
                <w:szCs w:val="22"/>
              </w:rPr>
            </w:pPr>
            <w:r w:rsidRPr="00403C26">
              <w:rPr>
                <w:szCs w:val="22"/>
              </w:rPr>
              <w:t>AMERICAN CIVIL LIBERTIES UNION OF NORTHERN CALIFORNIA</w:t>
            </w:r>
          </w:p>
          <w:p w:rsidR="00F84D78" w:rsidRPr="00403C26" w:rsidRDefault="00F84D78" w:rsidP="009868F3">
            <w:pPr>
              <w:ind w:right="-18"/>
              <w:rPr>
                <w:szCs w:val="22"/>
              </w:rPr>
            </w:pPr>
          </w:p>
          <w:p w:rsidR="008F264E" w:rsidRPr="00403C26" w:rsidRDefault="008F264E" w:rsidP="009868F3">
            <w:pPr>
              <w:ind w:right="-18"/>
              <w:rPr>
                <w:szCs w:val="22"/>
              </w:rPr>
            </w:pPr>
            <w:r w:rsidRPr="00403C26">
              <w:rPr>
                <w:szCs w:val="22"/>
              </w:rPr>
              <w:t>On Request for Inspection of Records</w:t>
            </w:r>
          </w:p>
          <w:p w:rsidR="008F264E" w:rsidRPr="00403C26" w:rsidRDefault="008F264E" w:rsidP="009868F3">
            <w:pPr>
              <w:ind w:right="-18"/>
              <w:rPr>
                <w:szCs w:val="22"/>
              </w:rPr>
            </w:pPr>
          </w:p>
        </w:tc>
        <w:tc>
          <w:tcPr>
            <w:tcW w:w="720" w:type="dxa"/>
          </w:tcPr>
          <w:p w:rsidR="008F264E" w:rsidRPr="00403C26" w:rsidRDefault="008F264E" w:rsidP="009868F3">
            <w:pPr>
              <w:rPr>
                <w:b/>
                <w:szCs w:val="22"/>
              </w:rPr>
            </w:pPr>
            <w:r w:rsidRPr="00403C26">
              <w:rPr>
                <w:b/>
                <w:szCs w:val="22"/>
              </w:rPr>
              <w:t>)</w:t>
            </w:r>
          </w:p>
          <w:p w:rsidR="008F264E" w:rsidRPr="00403C26" w:rsidRDefault="008F264E" w:rsidP="009868F3">
            <w:pPr>
              <w:rPr>
                <w:b/>
                <w:szCs w:val="22"/>
              </w:rPr>
            </w:pPr>
            <w:r w:rsidRPr="00403C26">
              <w:rPr>
                <w:b/>
                <w:szCs w:val="22"/>
              </w:rPr>
              <w:t>)</w:t>
            </w:r>
          </w:p>
          <w:p w:rsidR="008F264E" w:rsidRPr="00403C26" w:rsidRDefault="008F264E" w:rsidP="009868F3">
            <w:pPr>
              <w:rPr>
                <w:b/>
                <w:szCs w:val="22"/>
              </w:rPr>
            </w:pPr>
            <w:r w:rsidRPr="00403C26">
              <w:rPr>
                <w:b/>
                <w:szCs w:val="22"/>
              </w:rPr>
              <w:t>)</w:t>
            </w:r>
          </w:p>
          <w:p w:rsidR="008F264E" w:rsidRPr="00403C26" w:rsidRDefault="008F264E" w:rsidP="009868F3">
            <w:pPr>
              <w:rPr>
                <w:b/>
                <w:szCs w:val="22"/>
              </w:rPr>
            </w:pPr>
            <w:r w:rsidRPr="00403C26">
              <w:rPr>
                <w:b/>
                <w:szCs w:val="22"/>
              </w:rPr>
              <w:t>)</w:t>
            </w:r>
          </w:p>
          <w:p w:rsidR="008F264E" w:rsidRPr="00403C26" w:rsidRDefault="008F264E" w:rsidP="009868F3">
            <w:pPr>
              <w:rPr>
                <w:b/>
                <w:szCs w:val="22"/>
              </w:rPr>
            </w:pPr>
            <w:r w:rsidRPr="00403C26">
              <w:rPr>
                <w:b/>
                <w:szCs w:val="22"/>
              </w:rPr>
              <w:t>)</w:t>
            </w:r>
          </w:p>
          <w:p w:rsidR="008F264E" w:rsidRPr="00403C26" w:rsidRDefault="008F264E" w:rsidP="009868F3">
            <w:pPr>
              <w:rPr>
                <w:b/>
                <w:szCs w:val="22"/>
              </w:rPr>
            </w:pPr>
            <w:r w:rsidRPr="00403C26">
              <w:rPr>
                <w:b/>
                <w:szCs w:val="22"/>
              </w:rPr>
              <w:t>)</w:t>
            </w:r>
          </w:p>
        </w:tc>
        <w:tc>
          <w:tcPr>
            <w:tcW w:w="4230" w:type="dxa"/>
          </w:tcPr>
          <w:p w:rsidR="008F264E" w:rsidRPr="00403C26" w:rsidRDefault="008F264E" w:rsidP="009868F3">
            <w:pPr>
              <w:rPr>
                <w:szCs w:val="22"/>
              </w:rPr>
            </w:pPr>
          </w:p>
          <w:p w:rsidR="008F264E" w:rsidRPr="00403C26" w:rsidRDefault="008F264E" w:rsidP="009868F3">
            <w:pPr>
              <w:rPr>
                <w:szCs w:val="22"/>
              </w:rPr>
            </w:pPr>
          </w:p>
          <w:p w:rsidR="008F264E" w:rsidRPr="00403C26" w:rsidRDefault="008F264E" w:rsidP="009868F3">
            <w:pPr>
              <w:rPr>
                <w:szCs w:val="22"/>
              </w:rPr>
            </w:pPr>
            <w:r w:rsidRPr="00403C26">
              <w:rPr>
                <w:szCs w:val="22"/>
              </w:rPr>
              <w:t>FOIA Control No. 20</w:t>
            </w:r>
            <w:r w:rsidR="00F84D78" w:rsidRPr="00403C26">
              <w:rPr>
                <w:szCs w:val="22"/>
              </w:rPr>
              <w:t>13-255</w:t>
            </w:r>
          </w:p>
          <w:p w:rsidR="008F264E" w:rsidRPr="00403C26" w:rsidRDefault="008F264E" w:rsidP="009868F3">
            <w:pPr>
              <w:rPr>
                <w:szCs w:val="22"/>
              </w:rPr>
            </w:pPr>
          </w:p>
        </w:tc>
      </w:tr>
    </w:tbl>
    <w:p w:rsidR="008F264E" w:rsidRPr="00403C26" w:rsidRDefault="008F264E" w:rsidP="009868F3">
      <w:pPr>
        <w:rPr>
          <w:szCs w:val="22"/>
        </w:rPr>
      </w:pPr>
    </w:p>
    <w:p w:rsidR="008F264E" w:rsidRPr="00403C26" w:rsidRDefault="008F264E" w:rsidP="009868F3">
      <w:pPr>
        <w:spacing w:before="120"/>
        <w:jc w:val="center"/>
        <w:rPr>
          <w:b/>
          <w:szCs w:val="22"/>
        </w:rPr>
      </w:pPr>
      <w:r w:rsidRPr="00403C26">
        <w:rPr>
          <w:b/>
          <w:spacing w:val="-2"/>
          <w:szCs w:val="22"/>
        </w:rPr>
        <w:t>MEMORANDUM OPINION AND ORDER</w:t>
      </w:r>
    </w:p>
    <w:p w:rsidR="008F264E" w:rsidRPr="00403C26" w:rsidRDefault="008F264E" w:rsidP="009868F3">
      <w:pPr>
        <w:rPr>
          <w:szCs w:val="22"/>
        </w:rPr>
      </w:pPr>
    </w:p>
    <w:p w:rsidR="008F264E" w:rsidRPr="00403C26" w:rsidRDefault="008F264E" w:rsidP="009868F3">
      <w:pPr>
        <w:tabs>
          <w:tab w:val="right" w:pos="9360"/>
        </w:tabs>
        <w:rPr>
          <w:b/>
          <w:szCs w:val="22"/>
        </w:rPr>
      </w:pPr>
      <w:r w:rsidRPr="00403C26">
        <w:rPr>
          <w:b/>
          <w:szCs w:val="22"/>
        </w:rPr>
        <w:t xml:space="preserve">Adopted:  </w:t>
      </w:r>
      <w:r w:rsidR="002D65FC">
        <w:rPr>
          <w:b/>
          <w:szCs w:val="22"/>
        </w:rPr>
        <w:t>July 29, 2014</w:t>
      </w:r>
      <w:r w:rsidRPr="00403C26">
        <w:rPr>
          <w:b/>
          <w:szCs w:val="22"/>
        </w:rPr>
        <w:tab/>
        <w:t xml:space="preserve">Released:  </w:t>
      </w:r>
      <w:r w:rsidR="003E225E">
        <w:rPr>
          <w:b/>
          <w:szCs w:val="22"/>
        </w:rPr>
        <w:t xml:space="preserve">August </w:t>
      </w:r>
      <w:r w:rsidR="00B13201">
        <w:rPr>
          <w:b/>
          <w:szCs w:val="22"/>
        </w:rPr>
        <w:t>7</w:t>
      </w:r>
      <w:r w:rsidR="00DB38D9">
        <w:rPr>
          <w:b/>
          <w:szCs w:val="22"/>
        </w:rPr>
        <w:t xml:space="preserve">, </w:t>
      </w:r>
      <w:r w:rsidR="002D65FC">
        <w:rPr>
          <w:b/>
          <w:szCs w:val="22"/>
        </w:rPr>
        <w:t>2014</w:t>
      </w:r>
    </w:p>
    <w:p w:rsidR="008F264E" w:rsidRPr="00403C26" w:rsidRDefault="008F264E" w:rsidP="009868F3">
      <w:pPr>
        <w:tabs>
          <w:tab w:val="left" w:pos="5760"/>
        </w:tabs>
        <w:rPr>
          <w:b/>
          <w:szCs w:val="22"/>
        </w:rPr>
      </w:pPr>
    </w:p>
    <w:p w:rsidR="008F264E" w:rsidRPr="00403C26" w:rsidRDefault="008F264E" w:rsidP="009868F3">
      <w:pPr>
        <w:tabs>
          <w:tab w:val="left" w:pos="5760"/>
        </w:tabs>
        <w:rPr>
          <w:szCs w:val="22"/>
        </w:rPr>
      </w:pPr>
      <w:r w:rsidRPr="00403C26">
        <w:rPr>
          <w:szCs w:val="22"/>
        </w:rPr>
        <w:t xml:space="preserve">By the </w:t>
      </w:r>
      <w:r w:rsidRPr="00403C26">
        <w:rPr>
          <w:spacing w:val="-2"/>
          <w:szCs w:val="22"/>
        </w:rPr>
        <w:t>Commission:</w:t>
      </w:r>
    </w:p>
    <w:p w:rsidR="008F264E" w:rsidRPr="00403C26" w:rsidRDefault="008F264E" w:rsidP="009868F3">
      <w:pPr>
        <w:tabs>
          <w:tab w:val="left" w:pos="5760"/>
        </w:tabs>
        <w:rPr>
          <w:b/>
          <w:szCs w:val="22"/>
        </w:rPr>
      </w:pPr>
    </w:p>
    <w:p w:rsidR="008F264E" w:rsidRPr="00403C26" w:rsidRDefault="008F264E" w:rsidP="00C6430E">
      <w:pPr>
        <w:pStyle w:val="Heading1"/>
      </w:pPr>
      <w:r w:rsidRPr="00403C26">
        <w:t>INTRODUCTION</w:t>
      </w:r>
    </w:p>
    <w:p w:rsidR="00B15724" w:rsidRPr="00403C26" w:rsidRDefault="00B15724" w:rsidP="009868F3">
      <w:pPr>
        <w:pStyle w:val="ParaNum"/>
        <w:rPr>
          <w:szCs w:val="22"/>
        </w:rPr>
      </w:pPr>
      <w:r w:rsidRPr="00403C26">
        <w:rPr>
          <w:szCs w:val="22"/>
        </w:rPr>
        <w:t>This Memorandum Opinion and Order</w:t>
      </w:r>
      <w:r w:rsidR="00F84D78" w:rsidRPr="00403C26">
        <w:rPr>
          <w:szCs w:val="22"/>
        </w:rPr>
        <w:t xml:space="preserve"> </w:t>
      </w:r>
      <w:r w:rsidR="00AE32A5" w:rsidRPr="00403C26">
        <w:rPr>
          <w:szCs w:val="22"/>
        </w:rPr>
        <w:t>grants in part</w:t>
      </w:r>
      <w:r w:rsidR="00A803F2">
        <w:rPr>
          <w:szCs w:val="22"/>
        </w:rPr>
        <w:t xml:space="preserve"> and </w:t>
      </w:r>
      <w:r w:rsidR="00AE32A5" w:rsidRPr="00403C26">
        <w:rPr>
          <w:szCs w:val="22"/>
        </w:rPr>
        <w:t xml:space="preserve">denies in part </w:t>
      </w:r>
      <w:r w:rsidR="0060540A">
        <w:rPr>
          <w:szCs w:val="22"/>
        </w:rPr>
        <w:t xml:space="preserve">two </w:t>
      </w:r>
      <w:r w:rsidR="00CD6719" w:rsidRPr="00403C26">
        <w:rPr>
          <w:szCs w:val="22"/>
        </w:rPr>
        <w:t>application</w:t>
      </w:r>
      <w:r w:rsidR="00AE32A5" w:rsidRPr="00403C26">
        <w:rPr>
          <w:szCs w:val="22"/>
        </w:rPr>
        <w:t>s</w:t>
      </w:r>
      <w:r w:rsidR="00CD6719" w:rsidRPr="00403C26">
        <w:rPr>
          <w:szCs w:val="22"/>
        </w:rPr>
        <w:t xml:space="preserve"> for review</w:t>
      </w:r>
      <w:r w:rsidR="00335E9C">
        <w:rPr>
          <w:szCs w:val="22"/>
        </w:rPr>
        <w:t xml:space="preserve"> </w:t>
      </w:r>
      <w:r w:rsidR="004D771B">
        <w:rPr>
          <w:szCs w:val="22"/>
        </w:rPr>
        <w:t xml:space="preserve">(AFRs) </w:t>
      </w:r>
      <w:r w:rsidR="00335E9C">
        <w:rPr>
          <w:szCs w:val="22"/>
        </w:rPr>
        <w:t>of Freedom of Information Act (FOIA) decisions</w:t>
      </w:r>
      <w:r w:rsidR="00CD6719" w:rsidRPr="00403C26">
        <w:rPr>
          <w:szCs w:val="22"/>
        </w:rPr>
        <w:t xml:space="preserve"> </w:t>
      </w:r>
      <w:r w:rsidR="00335E9C">
        <w:rPr>
          <w:szCs w:val="22"/>
        </w:rPr>
        <w:t xml:space="preserve">filed </w:t>
      </w:r>
      <w:r w:rsidR="00CD6719" w:rsidRPr="00403C26">
        <w:rPr>
          <w:szCs w:val="22"/>
        </w:rPr>
        <w:t>by the American Civil Liberties Union of Northern California (ACLU)</w:t>
      </w:r>
      <w:r w:rsidR="00335E9C">
        <w:rPr>
          <w:szCs w:val="22"/>
        </w:rPr>
        <w:t>.</w:t>
      </w:r>
      <w:r w:rsidR="00CD6719" w:rsidRPr="00403C26">
        <w:rPr>
          <w:rStyle w:val="FootnoteReference"/>
          <w:sz w:val="22"/>
          <w:szCs w:val="22"/>
        </w:rPr>
        <w:footnoteReference w:id="1"/>
      </w:r>
      <w:r w:rsidR="00EC46CD">
        <w:rPr>
          <w:szCs w:val="22"/>
        </w:rPr>
        <w:t xml:space="preserve"> </w:t>
      </w:r>
      <w:r w:rsidR="00335E9C">
        <w:rPr>
          <w:szCs w:val="22"/>
        </w:rPr>
        <w:t xml:space="preserve"> ACLU challenges two decisions by </w:t>
      </w:r>
      <w:r w:rsidR="00EC46CD">
        <w:rPr>
          <w:szCs w:val="22"/>
        </w:rPr>
        <w:t>t</w:t>
      </w:r>
      <w:r w:rsidR="00CD6719" w:rsidRPr="00403C26">
        <w:rPr>
          <w:szCs w:val="22"/>
        </w:rPr>
        <w:t>he Office of Engineering and Technology (OET)</w:t>
      </w:r>
      <w:r w:rsidR="003E30BB">
        <w:rPr>
          <w:szCs w:val="22"/>
        </w:rPr>
        <w:t xml:space="preserve"> </w:t>
      </w:r>
      <w:r w:rsidR="00335E9C">
        <w:rPr>
          <w:szCs w:val="22"/>
        </w:rPr>
        <w:t xml:space="preserve">responding to a FOIA </w:t>
      </w:r>
      <w:r w:rsidR="00CD6719" w:rsidRPr="00403C26">
        <w:rPr>
          <w:szCs w:val="22"/>
        </w:rPr>
        <w:t>request</w:t>
      </w:r>
      <w:r w:rsidR="00EC46CD">
        <w:rPr>
          <w:szCs w:val="22"/>
        </w:rPr>
        <w:t xml:space="preserve"> for records concerning mobile tracking technologies and cell site simulators</w:t>
      </w:r>
      <w:r w:rsidR="00CD6719" w:rsidRPr="00403C26">
        <w:rPr>
          <w:szCs w:val="22"/>
        </w:rPr>
        <w:t>.</w:t>
      </w:r>
      <w:r w:rsidR="00AE32A5" w:rsidRPr="00403C26">
        <w:rPr>
          <w:rStyle w:val="FootnoteReference"/>
          <w:sz w:val="22"/>
          <w:szCs w:val="22"/>
        </w:rPr>
        <w:footnoteReference w:id="2"/>
      </w:r>
      <w:r w:rsidR="00CD6719" w:rsidRPr="00403C26">
        <w:rPr>
          <w:szCs w:val="22"/>
        </w:rPr>
        <w:t xml:space="preserve">  We find that </w:t>
      </w:r>
      <w:r w:rsidR="00382A79">
        <w:rPr>
          <w:szCs w:val="22"/>
        </w:rPr>
        <w:t>OET conducted an adequate search for responsive documents</w:t>
      </w:r>
      <w:r w:rsidR="00EC46CD">
        <w:rPr>
          <w:szCs w:val="22"/>
        </w:rPr>
        <w:t>,</w:t>
      </w:r>
      <w:r w:rsidR="00382A79">
        <w:rPr>
          <w:szCs w:val="22"/>
        </w:rPr>
        <w:t xml:space="preserve"> and was justified in withholding most of the material it declined to release.  We find, however, that </w:t>
      </w:r>
      <w:r w:rsidR="002C42F7">
        <w:rPr>
          <w:szCs w:val="22"/>
        </w:rPr>
        <w:t>OET mistakenly withheld some e-mail communications that did not qualify as deliberative material.  We will release these communications.</w:t>
      </w:r>
    </w:p>
    <w:p w:rsidR="008F264E" w:rsidRPr="00403C26" w:rsidRDefault="008F264E" w:rsidP="00C6430E">
      <w:pPr>
        <w:pStyle w:val="Heading1"/>
      </w:pPr>
      <w:r w:rsidRPr="00403C26">
        <w:t>BACKGROUND</w:t>
      </w:r>
    </w:p>
    <w:p w:rsidR="00EC46CD" w:rsidRDefault="00F84D78" w:rsidP="009868F3">
      <w:pPr>
        <w:pStyle w:val="ParaNum"/>
        <w:autoSpaceDE w:val="0"/>
        <w:autoSpaceDN w:val="0"/>
        <w:adjustRightInd w:val="0"/>
        <w:rPr>
          <w:szCs w:val="22"/>
        </w:rPr>
      </w:pPr>
      <w:r w:rsidRPr="00403C26">
        <w:rPr>
          <w:szCs w:val="22"/>
        </w:rPr>
        <w:t>ACLU’s FOIA Request s</w:t>
      </w:r>
      <w:r w:rsidR="002C3600" w:rsidRPr="00403C26">
        <w:rPr>
          <w:szCs w:val="22"/>
        </w:rPr>
        <w:t>ought</w:t>
      </w:r>
      <w:r w:rsidRPr="00403C26">
        <w:rPr>
          <w:szCs w:val="22"/>
        </w:rPr>
        <w:t xml:space="preserve"> </w:t>
      </w:r>
      <w:r w:rsidR="00EC46CD">
        <w:rPr>
          <w:szCs w:val="22"/>
        </w:rPr>
        <w:t xml:space="preserve">the following </w:t>
      </w:r>
      <w:r w:rsidRPr="00403C26">
        <w:rPr>
          <w:szCs w:val="22"/>
        </w:rPr>
        <w:t xml:space="preserve">records </w:t>
      </w:r>
      <w:r w:rsidRPr="00403C26">
        <w:rPr>
          <w:color w:val="111312"/>
          <w:szCs w:val="22"/>
        </w:rPr>
        <w:t>“pertaining to mobile tracking technology commonly known as a StingRay or cell site simulator but more generically known as an IMSI Catcher</w:t>
      </w:r>
      <w:r w:rsidRPr="00403C26">
        <w:rPr>
          <w:szCs w:val="22"/>
        </w:rPr>
        <w:t>”</w:t>
      </w:r>
      <w:r w:rsidR="002C42F7">
        <w:rPr>
          <w:szCs w:val="22"/>
        </w:rPr>
        <w:t xml:space="preserve"> in products sold by Harris Corporation, Martone  Radio Technology, and Cellxion:</w:t>
      </w:r>
      <w:r w:rsidRPr="00403C26">
        <w:rPr>
          <w:rStyle w:val="FootnoteReference"/>
          <w:sz w:val="22"/>
          <w:szCs w:val="22"/>
        </w:rPr>
        <w:footnoteReference w:id="3"/>
      </w:r>
      <w:r w:rsidRPr="00403C26">
        <w:rPr>
          <w:szCs w:val="22"/>
        </w:rPr>
        <w:t xml:space="preserve">  </w:t>
      </w:r>
    </w:p>
    <w:p w:rsidR="00EC46CD" w:rsidRDefault="00882240" w:rsidP="005260C9">
      <w:pPr>
        <w:widowControl/>
        <w:numPr>
          <w:ilvl w:val="0"/>
          <w:numId w:val="19"/>
        </w:numPr>
        <w:autoSpaceDE w:val="0"/>
        <w:autoSpaceDN w:val="0"/>
        <w:adjustRightInd w:val="0"/>
        <w:ind w:left="1440"/>
        <w:rPr>
          <w:szCs w:val="22"/>
        </w:rPr>
      </w:pPr>
      <w:r>
        <w:rPr>
          <w:szCs w:val="22"/>
        </w:rPr>
        <w:t xml:space="preserve">Category A.  </w:t>
      </w:r>
      <w:r w:rsidR="00EC46CD" w:rsidRPr="00403C26">
        <w:rPr>
          <w:szCs w:val="22"/>
        </w:rPr>
        <w:t>Policies, procedures, practices, legal opinions, memoranda, briefs, correspondence (including e-mails), pertaining to IMSI catchers, including whether such devices can be manufactured, imported, sold, offered for sale, or used consistent with the Federal Communications Act or regulations promulgated thereunder and why such devices are or are not distinguishable from cell phone jammers.</w:t>
      </w:r>
    </w:p>
    <w:p w:rsidR="009974DA" w:rsidRPr="00403C26" w:rsidRDefault="009974DA" w:rsidP="005260C9">
      <w:pPr>
        <w:widowControl/>
        <w:autoSpaceDE w:val="0"/>
        <w:autoSpaceDN w:val="0"/>
        <w:adjustRightInd w:val="0"/>
        <w:ind w:left="1440"/>
        <w:rPr>
          <w:szCs w:val="22"/>
        </w:rPr>
      </w:pPr>
    </w:p>
    <w:p w:rsidR="00EC46CD" w:rsidRDefault="00882240" w:rsidP="005260C9">
      <w:pPr>
        <w:widowControl/>
        <w:numPr>
          <w:ilvl w:val="0"/>
          <w:numId w:val="19"/>
        </w:numPr>
        <w:autoSpaceDE w:val="0"/>
        <w:autoSpaceDN w:val="0"/>
        <w:adjustRightInd w:val="0"/>
        <w:ind w:left="1440"/>
        <w:rPr>
          <w:szCs w:val="22"/>
        </w:rPr>
      </w:pPr>
      <w:r>
        <w:rPr>
          <w:szCs w:val="22"/>
        </w:rPr>
        <w:lastRenderedPageBreak/>
        <w:t xml:space="preserve">Category B.  </w:t>
      </w:r>
      <w:r w:rsidR="00EC46CD" w:rsidRPr="00641E31">
        <w:rPr>
          <w:szCs w:val="22"/>
        </w:rPr>
        <w:t>Use of IMSI catchers to intercept the contents of communications, including prohibitions on the use of such interception functionality by law enforcement agencies.</w:t>
      </w:r>
    </w:p>
    <w:p w:rsidR="009974DA" w:rsidRDefault="009974DA" w:rsidP="005260C9">
      <w:pPr>
        <w:pStyle w:val="ListParagraph"/>
        <w:ind w:left="1440"/>
        <w:rPr>
          <w:szCs w:val="22"/>
        </w:rPr>
      </w:pPr>
    </w:p>
    <w:p w:rsidR="009974DA" w:rsidRPr="00641E31" w:rsidRDefault="009974DA" w:rsidP="005260C9">
      <w:pPr>
        <w:widowControl/>
        <w:autoSpaceDE w:val="0"/>
        <w:autoSpaceDN w:val="0"/>
        <w:adjustRightInd w:val="0"/>
        <w:ind w:left="1440"/>
        <w:rPr>
          <w:szCs w:val="22"/>
        </w:rPr>
      </w:pPr>
    </w:p>
    <w:p w:rsidR="00EC46CD" w:rsidRDefault="00882240" w:rsidP="005260C9">
      <w:pPr>
        <w:widowControl/>
        <w:numPr>
          <w:ilvl w:val="0"/>
          <w:numId w:val="19"/>
        </w:numPr>
        <w:autoSpaceDE w:val="0"/>
        <w:autoSpaceDN w:val="0"/>
        <w:adjustRightInd w:val="0"/>
        <w:ind w:left="1440"/>
        <w:rPr>
          <w:szCs w:val="22"/>
        </w:rPr>
      </w:pPr>
      <w:r>
        <w:rPr>
          <w:szCs w:val="22"/>
        </w:rPr>
        <w:t xml:space="preserve">Category C.  </w:t>
      </w:r>
      <w:r w:rsidR="00EC46CD" w:rsidRPr="00641E31">
        <w:rPr>
          <w:szCs w:val="22"/>
        </w:rPr>
        <w:t xml:space="preserve">Communications with the wireless carriers (including, but not limited to AT&amp;T, Verizon, Sprint and T-Mobile) regarding IMSI catchers and more generally, third party interception of wireless telephone communications. </w:t>
      </w:r>
    </w:p>
    <w:p w:rsidR="009974DA" w:rsidRPr="00641E31" w:rsidRDefault="009974DA" w:rsidP="005260C9">
      <w:pPr>
        <w:widowControl/>
        <w:autoSpaceDE w:val="0"/>
        <w:autoSpaceDN w:val="0"/>
        <w:adjustRightInd w:val="0"/>
        <w:ind w:left="1440"/>
        <w:rPr>
          <w:szCs w:val="22"/>
        </w:rPr>
      </w:pPr>
    </w:p>
    <w:p w:rsidR="00EC46CD" w:rsidRDefault="00882240" w:rsidP="005260C9">
      <w:pPr>
        <w:widowControl/>
        <w:numPr>
          <w:ilvl w:val="0"/>
          <w:numId w:val="19"/>
        </w:numPr>
        <w:autoSpaceDE w:val="0"/>
        <w:autoSpaceDN w:val="0"/>
        <w:adjustRightInd w:val="0"/>
        <w:ind w:left="1440"/>
        <w:rPr>
          <w:szCs w:val="22"/>
        </w:rPr>
      </w:pPr>
      <w:r>
        <w:rPr>
          <w:szCs w:val="22"/>
        </w:rPr>
        <w:t xml:space="preserve">Category D.  </w:t>
      </w:r>
      <w:r w:rsidR="00EC46CD" w:rsidRPr="00641E31">
        <w:rPr>
          <w:szCs w:val="22"/>
        </w:rPr>
        <w:t>Requests for authorization pertaining to IMSI catchers, including but not limited to equipment authorization applications, license applications, experimental license or special temporary authority applications, and materials submitted to the FCC in support thereof.</w:t>
      </w:r>
    </w:p>
    <w:p w:rsidR="009974DA" w:rsidRPr="00641E31" w:rsidRDefault="009974DA" w:rsidP="005260C9">
      <w:pPr>
        <w:widowControl/>
        <w:autoSpaceDE w:val="0"/>
        <w:autoSpaceDN w:val="0"/>
        <w:adjustRightInd w:val="0"/>
        <w:ind w:left="1440"/>
        <w:rPr>
          <w:szCs w:val="22"/>
        </w:rPr>
      </w:pPr>
    </w:p>
    <w:p w:rsidR="00EC46CD" w:rsidRDefault="00882240" w:rsidP="005260C9">
      <w:pPr>
        <w:widowControl/>
        <w:numPr>
          <w:ilvl w:val="0"/>
          <w:numId w:val="19"/>
        </w:numPr>
        <w:autoSpaceDE w:val="0"/>
        <w:autoSpaceDN w:val="0"/>
        <w:adjustRightInd w:val="0"/>
        <w:ind w:left="1440"/>
        <w:rPr>
          <w:szCs w:val="22"/>
        </w:rPr>
      </w:pPr>
      <w:r>
        <w:rPr>
          <w:szCs w:val="22"/>
        </w:rPr>
        <w:t xml:space="preserve">Category E.  </w:t>
      </w:r>
      <w:r w:rsidR="00EC46CD" w:rsidRPr="00641E31">
        <w:rPr>
          <w:szCs w:val="22"/>
        </w:rPr>
        <w:t xml:space="preserve">Review and analysis of requests for authorization described in category </w:t>
      </w:r>
      <w:r w:rsidR="00FE7F28">
        <w:rPr>
          <w:szCs w:val="22"/>
        </w:rPr>
        <w:t>D</w:t>
      </w:r>
      <w:r w:rsidR="00EC46CD" w:rsidRPr="00641E31">
        <w:rPr>
          <w:szCs w:val="22"/>
        </w:rPr>
        <w:t xml:space="preserve"> above, including review and analysis of specific requests for authorization as well as generally applicable criteria and guidelines.</w:t>
      </w:r>
    </w:p>
    <w:p w:rsidR="009974DA" w:rsidRPr="00641E31" w:rsidRDefault="009974DA" w:rsidP="005260C9">
      <w:pPr>
        <w:widowControl/>
        <w:autoSpaceDE w:val="0"/>
        <w:autoSpaceDN w:val="0"/>
        <w:adjustRightInd w:val="0"/>
        <w:ind w:left="1440"/>
        <w:rPr>
          <w:szCs w:val="22"/>
        </w:rPr>
      </w:pPr>
    </w:p>
    <w:p w:rsidR="00EC46CD" w:rsidRDefault="00882240" w:rsidP="005260C9">
      <w:pPr>
        <w:widowControl/>
        <w:numPr>
          <w:ilvl w:val="0"/>
          <w:numId w:val="19"/>
        </w:numPr>
        <w:autoSpaceDE w:val="0"/>
        <w:autoSpaceDN w:val="0"/>
        <w:adjustRightInd w:val="0"/>
        <w:spacing w:after="120"/>
        <w:ind w:left="1440"/>
        <w:rPr>
          <w:szCs w:val="22"/>
        </w:rPr>
      </w:pPr>
      <w:r>
        <w:rPr>
          <w:szCs w:val="22"/>
        </w:rPr>
        <w:t xml:space="preserve">Category F.  </w:t>
      </w:r>
      <w:r w:rsidR="00EC46CD" w:rsidRPr="00403C26">
        <w:rPr>
          <w:szCs w:val="22"/>
        </w:rPr>
        <w:t>Any other document pertaining to IMSI catchers, including but not limited to intraagency and interagency documents including, but not limited to the Department of Justice (and all of its components), the National Security Agency and the Department of Homeland Security.</w:t>
      </w:r>
      <w:r w:rsidR="00EC46CD" w:rsidRPr="00403C26">
        <w:rPr>
          <w:rStyle w:val="FootnoteReference"/>
          <w:sz w:val="22"/>
          <w:szCs w:val="22"/>
        </w:rPr>
        <w:t xml:space="preserve"> </w:t>
      </w:r>
      <w:r w:rsidR="00EC46CD" w:rsidRPr="00403C26">
        <w:rPr>
          <w:rStyle w:val="FootnoteReference"/>
          <w:sz w:val="22"/>
          <w:szCs w:val="22"/>
        </w:rPr>
        <w:footnoteReference w:id="4"/>
      </w:r>
    </w:p>
    <w:p w:rsidR="008F264E" w:rsidRPr="005E58F6" w:rsidRDefault="00FA0D0D" w:rsidP="00DE5DF6">
      <w:pPr>
        <w:pStyle w:val="ParaNum"/>
        <w:widowControl/>
      </w:pPr>
      <w:r w:rsidRPr="00490572">
        <w:t xml:space="preserve">In its </w:t>
      </w:r>
      <w:r w:rsidR="007326F7" w:rsidRPr="00490572">
        <w:t xml:space="preserve">First </w:t>
      </w:r>
      <w:r w:rsidRPr="00490572">
        <w:t xml:space="preserve">Decision, OET found that the Commission had no records responsive to categories </w:t>
      </w:r>
      <w:r w:rsidR="00D36ABA" w:rsidRPr="00490572">
        <w:t>A</w:t>
      </w:r>
      <w:r w:rsidR="004D771B" w:rsidRPr="00490572">
        <w:t>, B, C, or F</w:t>
      </w:r>
      <w:r w:rsidRPr="00490572">
        <w:t xml:space="preserve"> </w:t>
      </w:r>
      <w:r w:rsidR="00615804" w:rsidRPr="00490572">
        <w:t>o</w:t>
      </w:r>
      <w:r w:rsidRPr="00490572">
        <w:t>f the Request.</w:t>
      </w:r>
      <w:r w:rsidRPr="00403C26">
        <w:rPr>
          <w:rStyle w:val="FootnoteReference"/>
          <w:sz w:val="22"/>
          <w:szCs w:val="22"/>
        </w:rPr>
        <w:footnoteReference w:id="5"/>
      </w:r>
      <w:r w:rsidRPr="00490572">
        <w:t xml:space="preserve">  With respect to categories </w:t>
      </w:r>
      <w:r w:rsidR="00D36ABA" w:rsidRPr="00490572">
        <w:t>D</w:t>
      </w:r>
      <w:r w:rsidRPr="00490572">
        <w:t xml:space="preserve"> and </w:t>
      </w:r>
      <w:r w:rsidR="00D36ABA" w:rsidRPr="00490572">
        <w:t>E</w:t>
      </w:r>
      <w:r w:rsidRPr="00490572">
        <w:t>, OET found no records concerning either Martone Radio Technology products or Cellxion products</w:t>
      </w:r>
      <w:r w:rsidR="00D36ABA" w:rsidRPr="00490572">
        <w:t>.</w:t>
      </w:r>
      <w:r w:rsidRPr="00403C26">
        <w:rPr>
          <w:rStyle w:val="FootnoteReference"/>
          <w:sz w:val="22"/>
          <w:szCs w:val="22"/>
        </w:rPr>
        <w:footnoteReference w:id="6"/>
      </w:r>
      <w:r w:rsidRPr="00490572">
        <w:t xml:space="preserve"> </w:t>
      </w:r>
      <w:r w:rsidR="00D36ABA" w:rsidRPr="00490572">
        <w:t xml:space="preserve"> OET stated </w:t>
      </w:r>
      <w:r w:rsidRPr="00490572">
        <w:t xml:space="preserve">that information concerning Harris Corporation (Harris) products </w:t>
      </w:r>
      <w:r w:rsidR="003C23AE" w:rsidRPr="00490572">
        <w:t>is</w:t>
      </w:r>
      <w:r w:rsidRPr="00490572">
        <w:t xml:space="preserve"> publicly available in the Commission’s Equipment Authorization System (EAS) database</w:t>
      </w:r>
      <w:r w:rsidR="00D36ABA" w:rsidRPr="00490572">
        <w:t>, and a</w:t>
      </w:r>
      <w:r w:rsidR="00085100" w:rsidRPr="00490572">
        <w:t>dditionally released several letters supporting Harris’ equipment authorization application</w:t>
      </w:r>
      <w:r w:rsidR="00ED46FF" w:rsidRPr="00490572">
        <w:t>s</w:t>
      </w:r>
      <w:r w:rsidR="00085100" w:rsidRPr="00490572">
        <w:t xml:space="preserve"> and a letter </w:t>
      </w:r>
      <w:r w:rsidR="004D771B" w:rsidRPr="00490572">
        <w:t>from</w:t>
      </w:r>
      <w:r w:rsidR="00085100" w:rsidRPr="00490572">
        <w:t xml:space="preserve"> Harris seeking confidential treatment for certain information in its application</w:t>
      </w:r>
      <w:r w:rsidR="00ED46FF" w:rsidRPr="00490572">
        <w:t>s</w:t>
      </w:r>
      <w:r w:rsidR="00085100" w:rsidRPr="00490572">
        <w:t>.</w:t>
      </w:r>
      <w:r w:rsidR="00CA26A8" w:rsidRPr="00403C26">
        <w:rPr>
          <w:rStyle w:val="FootnoteReference"/>
          <w:sz w:val="22"/>
          <w:szCs w:val="22"/>
        </w:rPr>
        <w:footnoteReference w:id="7"/>
      </w:r>
      <w:r w:rsidR="00085100" w:rsidRPr="00490572">
        <w:t xml:space="preserve">  </w:t>
      </w:r>
      <w:r w:rsidR="004D771B" w:rsidRPr="00490572">
        <w:t>OET</w:t>
      </w:r>
      <w:r w:rsidR="004A61FE" w:rsidRPr="00490572">
        <w:t>,</w:t>
      </w:r>
      <w:r w:rsidR="00CA26A8" w:rsidRPr="00490572">
        <w:t xml:space="preserve"> however</w:t>
      </w:r>
      <w:r w:rsidR="004A61FE" w:rsidRPr="00490572">
        <w:t>,</w:t>
      </w:r>
      <w:r w:rsidR="00CA26A8" w:rsidRPr="00490572">
        <w:t xml:space="preserve"> withheld other documents related to the Harris application</w:t>
      </w:r>
      <w:r w:rsidR="00ED46FF" w:rsidRPr="00490572">
        <w:t>s</w:t>
      </w:r>
      <w:r w:rsidR="00CA26A8" w:rsidRPr="00490572">
        <w:t xml:space="preserve"> under FOIA Exemption</w:t>
      </w:r>
      <w:r w:rsidR="004D771B" w:rsidRPr="00490572">
        <w:t>s</w:t>
      </w:r>
      <w:r w:rsidR="00CA26A8" w:rsidRPr="00490572">
        <w:t xml:space="preserve"> 4</w:t>
      </w:r>
      <w:r w:rsidR="002F36AE" w:rsidRPr="00490572">
        <w:t>,</w:t>
      </w:r>
      <w:r w:rsidR="006C32B6" w:rsidRPr="00403C26">
        <w:rPr>
          <w:rStyle w:val="FootnoteReference"/>
          <w:sz w:val="22"/>
          <w:szCs w:val="22"/>
        </w:rPr>
        <w:footnoteReference w:id="8"/>
      </w:r>
      <w:r w:rsidR="008F264E" w:rsidRPr="00490572">
        <w:t xml:space="preserve"> </w:t>
      </w:r>
      <w:r w:rsidR="00720E58" w:rsidRPr="00490572">
        <w:t>5</w:t>
      </w:r>
      <w:r w:rsidR="00D36ABA" w:rsidRPr="00490572">
        <w:t>,</w:t>
      </w:r>
      <w:r w:rsidR="006C32B6" w:rsidRPr="00403C26">
        <w:rPr>
          <w:rStyle w:val="FootnoteReference"/>
          <w:sz w:val="22"/>
          <w:szCs w:val="22"/>
        </w:rPr>
        <w:footnoteReference w:id="9"/>
      </w:r>
      <w:r w:rsidR="006C32B6" w:rsidRPr="00490572">
        <w:t xml:space="preserve"> </w:t>
      </w:r>
      <w:r w:rsidR="00C55E4B" w:rsidRPr="00490572">
        <w:t xml:space="preserve">and </w:t>
      </w:r>
      <w:r w:rsidR="00720E58" w:rsidRPr="00490572">
        <w:t>7(E</w:t>
      </w:r>
      <w:r w:rsidR="00D36ABA" w:rsidRPr="00490572">
        <w:t>).</w:t>
      </w:r>
      <w:r w:rsidR="00CA0639" w:rsidRPr="00403C26">
        <w:rPr>
          <w:rStyle w:val="FootnoteReference"/>
          <w:sz w:val="22"/>
          <w:szCs w:val="22"/>
        </w:rPr>
        <w:footnoteReference w:id="10"/>
      </w:r>
      <w:r w:rsidR="00D36ABA" w:rsidRPr="00490572">
        <w:t xml:space="preserve">  </w:t>
      </w:r>
      <w:r w:rsidR="004D771B" w:rsidRPr="00490572">
        <w:t xml:space="preserve">OET also withheld </w:t>
      </w:r>
      <w:r w:rsidR="002F36AE" w:rsidRPr="005E58F6">
        <w:t>“certain intra-agency and interagency emails and documents because they are classified or because taken together with other information they could endanger national and homeland security”</w:t>
      </w:r>
      <w:r w:rsidR="002F36AE">
        <w:rPr>
          <w:rStyle w:val="FootnoteReference"/>
          <w:szCs w:val="22"/>
        </w:rPr>
        <w:footnoteReference w:id="11"/>
      </w:r>
      <w:r w:rsidR="002F36AE" w:rsidRPr="005E58F6">
        <w:t xml:space="preserve"> </w:t>
      </w:r>
      <w:r w:rsidR="005E58F6" w:rsidRPr="005E58F6">
        <w:t>under Exemption</w:t>
      </w:r>
      <w:r w:rsidR="004D771B">
        <w:t>s</w:t>
      </w:r>
      <w:r w:rsidR="005E58F6" w:rsidRPr="005E58F6">
        <w:t xml:space="preserve"> 1,</w:t>
      </w:r>
      <w:r w:rsidR="00720E58" w:rsidRPr="00403C26">
        <w:rPr>
          <w:rStyle w:val="FootnoteReference"/>
          <w:sz w:val="22"/>
          <w:szCs w:val="22"/>
        </w:rPr>
        <w:footnoteReference w:id="12"/>
      </w:r>
      <w:r w:rsidR="00720E58" w:rsidRPr="005E58F6">
        <w:t xml:space="preserve"> </w:t>
      </w:r>
      <w:r w:rsidR="005E58F6" w:rsidRPr="005E58F6">
        <w:t>5</w:t>
      </w:r>
      <w:r w:rsidR="00594403">
        <w:t>,</w:t>
      </w:r>
      <w:r w:rsidR="00D36ABA">
        <w:rPr>
          <w:rStyle w:val="FootnoteReference"/>
        </w:rPr>
        <w:footnoteReference w:id="13"/>
      </w:r>
      <w:r w:rsidR="005E58F6" w:rsidRPr="005E58F6">
        <w:t xml:space="preserve"> 7(A)</w:t>
      </w:r>
      <w:r w:rsidR="00594403">
        <w:t>,</w:t>
      </w:r>
      <w:r w:rsidR="005E58F6">
        <w:rPr>
          <w:rStyle w:val="FootnoteReference"/>
          <w:szCs w:val="22"/>
        </w:rPr>
        <w:footnoteReference w:id="14"/>
      </w:r>
      <w:r w:rsidR="005E58F6" w:rsidRPr="005E58F6">
        <w:t xml:space="preserve"> and 7(E).</w:t>
      </w:r>
      <w:r w:rsidR="005E58F6">
        <w:rPr>
          <w:rStyle w:val="FootnoteReference"/>
          <w:szCs w:val="22"/>
        </w:rPr>
        <w:footnoteReference w:id="15"/>
      </w:r>
      <w:r w:rsidR="008F264E" w:rsidRPr="005E58F6">
        <w:t xml:space="preserve">   </w:t>
      </w:r>
      <w:r w:rsidR="002F3AD7">
        <w:t xml:space="preserve">OET did not </w:t>
      </w:r>
      <w:r w:rsidR="0041370C">
        <w:t>specify the category of the Request to which these documents related.</w:t>
      </w:r>
    </w:p>
    <w:p w:rsidR="00FB594C" w:rsidRDefault="004601AD" w:rsidP="009868F3">
      <w:pPr>
        <w:pStyle w:val="ParaNum"/>
        <w:widowControl/>
        <w:rPr>
          <w:szCs w:val="22"/>
        </w:rPr>
      </w:pPr>
      <w:r w:rsidRPr="005042A8">
        <w:rPr>
          <w:szCs w:val="22"/>
        </w:rPr>
        <w:lastRenderedPageBreak/>
        <w:t>ACLU</w:t>
      </w:r>
      <w:r w:rsidR="004D771B">
        <w:rPr>
          <w:szCs w:val="22"/>
        </w:rPr>
        <w:t>’s</w:t>
      </w:r>
      <w:r w:rsidRPr="005042A8">
        <w:rPr>
          <w:szCs w:val="22"/>
        </w:rPr>
        <w:t xml:space="preserve"> </w:t>
      </w:r>
      <w:r w:rsidR="006A1A09" w:rsidRPr="005042A8">
        <w:rPr>
          <w:szCs w:val="22"/>
        </w:rPr>
        <w:t xml:space="preserve">First </w:t>
      </w:r>
      <w:r w:rsidRPr="005042A8">
        <w:rPr>
          <w:szCs w:val="22"/>
        </w:rPr>
        <w:t xml:space="preserve">AFR </w:t>
      </w:r>
      <w:r w:rsidR="00FA738C" w:rsidRPr="005042A8">
        <w:rPr>
          <w:szCs w:val="22"/>
        </w:rPr>
        <w:t>assert</w:t>
      </w:r>
      <w:r w:rsidR="003C23AE">
        <w:rPr>
          <w:szCs w:val="22"/>
        </w:rPr>
        <w:t xml:space="preserve">s </w:t>
      </w:r>
      <w:r w:rsidR="00FA738C" w:rsidRPr="005042A8">
        <w:rPr>
          <w:szCs w:val="22"/>
        </w:rPr>
        <w:t xml:space="preserve">that </w:t>
      </w:r>
      <w:r w:rsidR="00D533C6" w:rsidRPr="005042A8">
        <w:rPr>
          <w:szCs w:val="22"/>
        </w:rPr>
        <w:t>OET</w:t>
      </w:r>
      <w:r w:rsidR="005042A8" w:rsidRPr="005042A8">
        <w:rPr>
          <w:szCs w:val="22"/>
        </w:rPr>
        <w:t xml:space="preserve">’s </w:t>
      </w:r>
      <w:r w:rsidR="00D533C6" w:rsidRPr="005042A8">
        <w:rPr>
          <w:szCs w:val="22"/>
        </w:rPr>
        <w:t xml:space="preserve">search </w:t>
      </w:r>
      <w:r w:rsidR="005042A8" w:rsidRPr="005042A8">
        <w:rPr>
          <w:szCs w:val="22"/>
        </w:rPr>
        <w:t>was inadequate</w:t>
      </w:r>
      <w:r w:rsidR="00ED7EC3">
        <w:rPr>
          <w:szCs w:val="22"/>
        </w:rPr>
        <w:t xml:space="preserve"> </w:t>
      </w:r>
      <w:r w:rsidR="00277EE6">
        <w:rPr>
          <w:szCs w:val="22"/>
        </w:rPr>
        <w:t xml:space="preserve">and </w:t>
      </w:r>
      <w:r w:rsidR="00277EE6" w:rsidRPr="005042A8">
        <w:rPr>
          <w:szCs w:val="22"/>
        </w:rPr>
        <w:t>that</w:t>
      </w:r>
      <w:r w:rsidR="005042A8" w:rsidRPr="005042A8">
        <w:rPr>
          <w:szCs w:val="22"/>
        </w:rPr>
        <w:t xml:space="preserve"> </w:t>
      </w:r>
      <w:r w:rsidR="00FA738C" w:rsidRPr="005042A8">
        <w:rPr>
          <w:szCs w:val="22"/>
        </w:rPr>
        <w:t>OET did not adequately justify the application of the various exemptions that OET relied on in withholding records.</w:t>
      </w:r>
      <w:r w:rsidR="00FB594C">
        <w:rPr>
          <w:szCs w:val="22"/>
        </w:rPr>
        <w:t xml:space="preserve">  More specifically, </w:t>
      </w:r>
      <w:r w:rsidR="00FB594C" w:rsidRPr="005042A8">
        <w:t>ACLU assert</w:t>
      </w:r>
      <w:r w:rsidR="003C23AE">
        <w:t>s</w:t>
      </w:r>
      <w:r w:rsidR="00E14FA0">
        <w:t xml:space="preserve">, first, </w:t>
      </w:r>
      <w:r w:rsidR="00FB594C" w:rsidRPr="005042A8">
        <w:t xml:space="preserve">that in applying Exemption 4, OET did not demonstrate that disclosure of the records would cause competitive harm or impair the government’s ability to obtain information.   </w:t>
      </w:r>
      <w:r w:rsidR="00FB594C">
        <w:t xml:space="preserve">Second, </w:t>
      </w:r>
      <w:r w:rsidR="00FB594C" w:rsidRPr="005042A8">
        <w:t>ACLU point</w:t>
      </w:r>
      <w:r w:rsidR="003C23AE">
        <w:t>s</w:t>
      </w:r>
      <w:r w:rsidR="00FB594C" w:rsidRPr="005042A8">
        <w:t xml:space="preserve"> out that Exemption 5 does not apply to communications with private entities or to factual, as opposed to deliberative information.  </w:t>
      </w:r>
      <w:r w:rsidR="00FB594C">
        <w:t>Third, w</w:t>
      </w:r>
      <w:r w:rsidR="00FB594C" w:rsidRPr="005042A8">
        <w:t>ith respect to Exemption 7(E), ACLU fault</w:t>
      </w:r>
      <w:r w:rsidR="003C23AE">
        <w:t>s</w:t>
      </w:r>
      <w:r w:rsidR="00FB594C" w:rsidRPr="005042A8">
        <w:t xml:space="preserve"> OET for not showing that the records in question were compiled for law enforcement purposes and contend</w:t>
      </w:r>
      <w:r w:rsidR="003C23AE">
        <w:t>s</w:t>
      </w:r>
      <w:r w:rsidR="00FB594C" w:rsidRPr="005042A8">
        <w:t xml:space="preserve"> that information concerning the use of IMSI catchers cannot be withheld because such uses are already publicly known.    </w:t>
      </w:r>
      <w:r w:rsidR="00FB594C">
        <w:t xml:space="preserve">Fourth, </w:t>
      </w:r>
      <w:r w:rsidR="00FB594C" w:rsidRPr="005042A8">
        <w:t>ACLU argue</w:t>
      </w:r>
      <w:r w:rsidR="00E82887">
        <w:t>s</w:t>
      </w:r>
      <w:r w:rsidR="00FB594C" w:rsidRPr="005042A8">
        <w:t xml:space="preserve"> that OET did not justify the application of Exemption 1, because the use of IMSI catchers has been publicly acknowledged and OET did not show how disclosure would harm national security.  Finally, ACLU dispute</w:t>
      </w:r>
      <w:r w:rsidR="00E82887">
        <w:t>s</w:t>
      </w:r>
      <w:r w:rsidR="00FB594C" w:rsidRPr="005042A8">
        <w:t xml:space="preserve"> OET’s invocation of Exemption 7(A) on the grounds that OET did not show that the relevant records were compiled for law enforcement purposes or identify the investigation that would be harmed by disclosure.</w:t>
      </w:r>
      <w:r w:rsidR="00FB594C">
        <w:rPr>
          <w:szCs w:val="22"/>
        </w:rPr>
        <w:t xml:space="preserve">  </w:t>
      </w:r>
      <w:r w:rsidR="00FA738C" w:rsidRPr="005042A8">
        <w:rPr>
          <w:szCs w:val="22"/>
        </w:rPr>
        <w:t xml:space="preserve"> </w:t>
      </w:r>
      <w:r w:rsidR="008F264E" w:rsidRPr="005042A8">
        <w:rPr>
          <w:szCs w:val="22"/>
        </w:rPr>
        <w:t xml:space="preserve"> </w:t>
      </w:r>
    </w:p>
    <w:p w:rsidR="00FB594C" w:rsidRDefault="00FA738C" w:rsidP="009868F3">
      <w:pPr>
        <w:pStyle w:val="ParaNum"/>
        <w:widowControl/>
        <w:rPr>
          <w:szCs w:val="22"/>
        </w:rPr>
      </w:pPr>
      <w:r w:rsidRPr="005042A8">
        <w:rPr>
          <w:szCs w:val="22"/>
        </w:rPr>
        <w:t>After consultation with the Office of General Counsel (OGC),</w:t>
      </w:r>
      <w:r w:rsidR="005042A8">
        <w:rPr>
          <w:rStyle w:val="FootnoteReference"/>
          <w:szCs w:val="22"/>
        </w:rPr>
        <w:footnoteReference w:id="16"/>
      </w:r>
      <w:r w:rsidRPr="005042A8">
        <w:rPr>
          <w:szCs w:val="22"/>
        </w:rPr>
        <w:t xml:space="preserve"> OET concluded that the most efficient means for resolving the issues raised in the </w:t>
      </w:r>
      <w:r w:rsidR="00070FC2" w:rsidRPr="005042A8">
        <w:rPr>
          <w:szCs w:val="22"/>
        </w:rPr>
        <w:t xml:space="preserve">First </w:t>
      </w:r>
      <w:r w:rsidRPr="005042A8">
        <w:rPr>
          <w:szCs w:val="22"/>
        </w:rPr>
        <w:t>AFR would be for OET to issue a supplemental response to the Request.  ACLU agreed with this approach and OET accordingly issued its Supplemental Decision</w:t>
      </w:r>
      <w:r w:rsidR="00F4545D" w:rsidRPr="005042A8">
        <w:rPr>
          <w:szCs w:val="22"/>
        </w:rPr>
        <w:t xml:space="preserve"> providing further explanation </w:t>
      </w:r>
      <w:r w:rsidR="005042A8" w:rsidRPr="005042A8">
        <w:rPr>
          <w:szCs w:val="22"/>
        </w:rPr>
        <w:t xml:space="preserve">concerning </w:t>
      </w:r>
      <w:r w:rsidR="00F4545D" w:rsidRPr="005042A8">
        <w:rPr>
          <w:szCs w:val="22"/>
        </w:rPr>
        <w:t xml:space="preserve">the scope of its search and </w:t>
      </w:r>
      <w:r w:rsidR="005042A8" w:rsidRPr="005042A8">
        <w:rPr>
          <w:szCs w:val="22"/>
        </w:rPr>
        <w:t xml:space="preserve">its </w:t>
      </w:r>
      <w:r w:rsidR="00F4545D" w:rsidRPr="005042A8">
        <w:rPr>
          <w:szCs w:val="22"/>
        </w:rPr>
        <w:t xml:space="preserve">reasons for </w:t>
      </w:r>
      <w:r w:rsidR="005042A8" w:rsidRPr="005042A8">
        <w:rPr>
          <w:szCs w:val="22"/>
        </w:rPr>
        <w:t xml:space="preserve">invoking </w:t>
      </w:r>
      <w:r w:rsidR="00F4545D" w:rsidRPr="005042A8">
        <w:rPr>
          <w:szCs w:val="22"/>
        </w:rPr>
        <w:t>the various exemptions</w:t>
      </w:r>
      <w:r w:rsidRPr="005042A8">
        <w:rPr>
          <w:szCs w:val="22"/>
        </w:rPr>
        <w:t>.</w:t>
      </w:r>
      <w:r w:rsidR="00D22441" w:rsidRPr="00403C26">
        <w:rPr>
          <w:rStyle w:val="FootnoteReference"/>
          <w:sz w:val="22"/>
          <w:szCs w:val="22"/>
        </w:rPr>
        <w:footnoteReference w:id="17"/>
      </w:r>
      <w:r w:rsidR="00F262C4" w:rsidRPr="005042A8">
        <w:rPr>
          <w:szCs w:val="22"/>
        </w:rPr>
        <w:t xml:space="preserve">  </w:t>
      </w:r>
    </w:p>
    <w:p w:rsidR="00591CFE" w:rsidRPr="005042A8" w:rsidRDefault="00FB594C" w:rsidP="009868F3">
      <w:pPr>
        <w:pStyle w:val="ParaNum"/>
        <w:widowControl/>
        <w:rPr>
          <w:szCs w:val="22"/>
        </w:rPr>
      </w:pPr>
      <w:r>
        <w:rPr>
          <w:szCs w:val="22"/>
        </w:rPr>
        <w:t xml:space="preserve">In its Supplemental Decision, </w:t>
      </w:r>
      <w:r w:rsidR="00F262C4" w:rsidRPr="005042A8">
        <w:rPr>
          <w:szCs w:val="22"/>
        </w:rPr>
        <w:t>OET explained that it had consulted with all bureaus and offices that were likely to have responsive materials.</w:t>
      </w:r>
      <w:r w:rsidR="00F262C4">
        <w:rPr>
          <w:rStyle w:val="FootnoteReference"/>
          <w:szCs w:val="22"/>
        </w:rPr>
        <w:footnoteReference w:id="18"/>
      </w:r>
      <w:r w:rsidR="00F262C4" w:rsidRPr="005042A8">
        <w:rPr>
          <w:szCs w:val="22"/>
        </w:rPr>
        <w:t xml:space="preserve"> </w:t>
      </w:r>
      <w:r w:rsidR="009460D0" w:rsidRPr="005042A8">
        <w:rPr>
          <w:szCs w:val="22"/>
        </w:rPr>
        <w:t xml:space="preserve"> </w:t>
      </w:r>
      <w:r w:rsidR="00F262C4" w:rsidRPr="005042A8">
        <w:rPr>
          <w:szCs w:val="22"/>
        </w:rPr>
        <w:t xml:space="preserve">OET stated that the information withheld </w:t>
      </w:r>
      <w:r w:rsidR="005C31AE" w:rsidRPr="005042A8">
        <w:rPr>
          <w:szCs w:val="22"/>
        </w:rPr>
        <w:t xml:space="preserve">under Exemption 4 </w:t>
      </w:r>
      <w:r w:rsidR="00F262C4" w:rsidRPr="005042A8">
        <w:rPr>
          <w:szCs w:val="22"/>
        </w:rPr>
        <w:t>concerning Harris’ authorization applications constituted trade secrets</w:t>
      </w:r>
      <w:r w:rsidR="005042A8">
        <w:rPr>
          <w:szCs w:val="22"/>
        </w:rPr>
        <w:t xml:space="preserve"> and thus competitive harm was not an issue in its analysis</w:t>
      </w:r>
      <w:r w:rsidR="00F262C4" w:rsidRPr="005042A8">
        <w:rPr>
          <w:szCs w:val="22"/>
        </w:rPr>
        <w:t>.</w:t>
      </w:r>
      <w:r w:rsidR="00F262C4">
        <w:rPr>
          <w:rStyle w:val="FootnoteReference"/>
          <w:szCs w:val="22"/>
        </w:rPr>
        <w:footnoteReference w:id="19"/>
      </w:r>
      <w:r w:rsidR="00F262C4" w:rsidRPr="005042A8">
        <w:rPr>
          <w:szCs w:val="22"/>
        </w:rPr>
        <w:t xml:space="preserve">  Further OET explained that the material withheld under Exemption 5 consisted of intra- and interagency e-mails (not communications with private parties) containing deliberations </w:t>
      </w:r>
      <w:r w:rsidR="005042A8">
        <w:rPr>
          <w:szCs w:val="22"/>
        </w:rPr>
        <w:t xml:space="preserve">about </w:t>
      </w:r>
      <w:r w:rsidR="00F262C4" w:rsidRPr="005042A8">
        <w:rPr>
          <w:szCs w:val="22"/>
        </w:rPr>
        <w:t>the grant or denial of authorizations.</w:t>
      </w:r>
      <w:r w:rsidR="00F262C4">
        <w:rPr>
          <w:rStyle w:val="FootnoteReference"/>
          <w:szCs w:val="22"/>
        </w:rPr>
        <w:footnoteReference w:id="20"/>
      </w:r>
      <w:r w:rsidR="00F262C4" w:rsidRPr="005042A8">
        <w:rPr>
          <w:szCs w:val="22"/>
        </w:rPr>
        <w:t xml:space="preserve">  As to Exemption 7(E), OET related that material withheld consisted of the portions of</w:t>
      </w:r>
      <w:r w:rsidR="00E13B99" w:rsidRPr="005042A8">
        <w:rPr>
          <w:szCs w:val="22"/>
        </w:rPr>
        <w:t xml:space="preserve"> intra- and interagency e-mails reflecting consultation with law enforcement agencies about investigation techniques, the details of which are not publicly known.</w:t>
      </w:r>
      <w:r w:rsidR="00E13B99">
        <w:rPr>
          <w:rStyle w:val="FootnoteReference"/>
          <w:szCs w:val="22"/>
        </w:rPr>
        <w:footnoteReference w:id="21"/>
      </w:r>
      <w:r w:rsidR="00E13B99" w:rsidRPr="005042A8">
        <w:rPr>
          <w:szCs w:val="22"/>
        </w:rPr>
        <w:t xml:space="preserve">  Finally, OET indicated that material withheld under Exemption 1 </w:t>
      </w:r>
      <w:r w:rsidR="00102ABD" w:rsidRPr="005042A8">
        <w:rPr>
          <w:szCs w:val="22"/>
        </w:rPr>
        <w:t>was classified by agencies that shared this information with the Commission and that the technical information withheld has not been publicly disclosed.</w:t>
      </w:r>
      <w:r w:rsidR="00102ABD">
        <w:rPr>
          <w:rStyle w:val="FootnoteReference"/>
          <w:szCs w:val="22"/>
        </w:rPr>
        <w:footnoteReference w:id="22"/>
      </w:r>
      <w:r w:rsidR="00102ABD" w:rsidRPr="005042A8">
        <w:rPr>
          <w:szCs w:val="22"/>
        </w:rPr>
        <w:t xml:space="preserve">  OET noted that the Commission does not have declassification authority.</w:t>
      </w:r>
      <w:r w:rsidR="005042A8" w:rsidRPr="00403C26">
        <w:rPr>
          <w:rStyle w:val="FootnoteReference"/>
          <w:sz w:val="22"/>
          <w:szCs w:val="22"/>
        </w:rPr>
        <w:footnoteReference w:id="23"/>
      </w:r>
    </w:p>
    <w:p w:rsidR="008F264E" w:rsidRPr="00403C26" w:rsidRDefault="00A61ED6" w:rsidP="009868F3">
      <w:pPr>
        <w:pStyle w:val="ParaNum"/>
        <w:widowControl/>
        <w:rPr>
          <w:szCs w:val="22"/>
        </w:rPr>
      </w:pPr>
      <w:r w:rsidRPr="00403C26">
        <w:rPr>
          <w:szCs w:val="22"/>
        </w:rPr>
        <w:t>ACLU</w:t>
      </w:r>
      <w:r w:rsidR="00E82887">
        <w:rPr>
          <w:szCs w:val="22"/>
        </w:rPr>
        <w:t xml:space="preserve">’s </w:t>
      </w:r>
      <w:r w:rsidR="005042A8">
        <w:rPr>
          <w:szCs w:val="22"/>
        </w:rPr>
        <w:t xml:space="preserve">Second </w:t>
      </w:r>
      <w:r w:rsidRPr="00403C26">
        <w:rPr>
          <w:szCs w:val="22"/>
        </w:rPr>
        <w:t xml:space="preserve">AFR </w:t>
      </w:r>
      <w:r w:rsidR="00E82887">
        <w:rPr>
          <w:szCs w:val="22"/>
        </w:rPr>
        <w:t xml:space="preserve">is </w:t>
      </w:r>
      <w:r w:rsidR="009478EA">
        <w:rPr>
          <w:szCs w:val="22"/>
        </w:rPr>
        <w:t xml:space="preserve">directed at </w:t>
      </w:r>
      <w:r w:rsidR="002B175B" w:rsidRPr="00403C26">
        <w:rPr>
          <w:szCs w:val="22"/>
        </w:rPr>
        <w:t>OET’s Supplemental Decision.</w:t>
      </w:r>
      <w:r w:rsidR="002B175B" w:rsidRPr="00403C26">
        <w:rPr>
          <w:rStyle w:val="FootnoteReference"/>
          <w:sz w:val="22"/>
          <w:szCs w:val="22"/>
        </w:rPr>
        <w:footnoteReference w:id="24"/>
      </w:r>
      <w:r w:rsidR="002B175B" w:rsidRPr="00403C26">
        <w:rPr>
          <w:szCs w:val="22"/>
        </w:rPr>
        <w:t xml:space="preserve">  </w:t>
      </w:r>
      <w:bookmarkStart w:id="1" w:name="_Ref342994361"/>
      <w:r w:rsidR="004637C0">
        <w:rPr>
          <w:szCs w:val="22"/>
        </w:rPr>
        <w:t xml:space="preserve">In its </w:t>
      </w:r>
      <w:r w:rsidR="005042A8">
        <w:rPr>
          <w:szCs w:val="22"/>
        </w:rPr>
        <w:t xml:space="preserve">Second </w:t>
      </w:r>
      <w:r w:rsidR="004637C0">
        <w:rPr>
          <w:szCs w:val="22"/>
        </w:rPr>
        <w:t xml:space="preserve">AFR, the ACLU </w:t>
      </w:r>
      <w:r w:rsidR="00FB594C">
        <w:rPr>
          <w:szCs w:val="22"/>
        </w:rPr>
        <w:t xml:space="preserve">asserts that the Supplemental Decision failed to provide adequate responses to the objections in </w:t>
      </w:r>
      <w:r w:rsidR="00FE7F28">
        <w:rPr>
          <w:szCs w:val="22"/>
        </w:rPr>
        <w:t xml:space="preserve">the </w:t>
      </w:r>
      <w:r w:rsidR="00FB594C">
        <w:rPr>
          <w:szCs w:val="22"/>
        </w:rPr>
        <w:t xml:space="preserve">First AFR.  Thus, ACLU contends that the </w:t>
      </w:r>
      <w:r w:rsidR="00E14FA0">
        <w:rPr>
          <w:szCs w:val="22"/>
        </w:rPr>
        <w:t xml:space="preserve">arguments </w:t>
      </w:r>
      <w:r w:rsidR="00FB594C">
        <w:rPr>
          <w:szCs w:val="22"/>
        </w:rPr>
        <w:t xml:space="preserve">described in paragraph 4, above, continue </w:t>
      </w:r>
      <w:r w:rsidR="00E14FA0">
        <w:rPr>
          <w:szCs w:val="22"/>
        </w:rPr>
        <w:t xml:space="preserve">to </w:t>
      </w:r>
      <w:r w:rsidR="00FB594C">
        <w:rPr>
          <w:szCs w:val="22"/>
        </w:rPr>
        <w:t>apply with equal force, des</w:t>
      </w:r>
      <w:r w:rsidR="00E14FA0">
        <w:rPr>
          <w:szCs w:val="22"/>
        </w:rPr>
        <w:t>pite t</w:t>
      </w:r>
      <w:r w:rsidR="00FB594C">
        <w:rPr>
          <w:szCs w:val="22"/>
        </w:rPr>
        <w:t xml:space="preserve">he issuance of the Supplemental Decision.  </w:t>
      </w:r>
      <w:r w:rsidR="004C4378">
        <w:rPr>
          <w:szCs w:val="22"/>
        </w:rPr>
        <w:t xml:space="preserve">More specifically, ACLU contends that OET’s Supplemental Decision failed to demonstrate that the search conducted was reasonably calculated to uncover all relevant documents.  As to Exemption 4, ACLU </w:t>
      </w:r>
      <w:r w:rsidR="006F5FD6">
        <w:rPr>
          <w:szCs w:val="22"/>
        </w:rPr>
        <w:t xml:space="preserve">argues </w:t>
      </w:r>
      <w:r w:rsidR="004C4378">
        <w:rPr>
          <w:szCs w:val="22"/>
        </w:rPr>
        <w:t xml:space="preserve">that OET still has not shown that the material withheld is confidential.  With respect to Exemption 5, ACLU argues that deliberative material may not be withheld if it is adopted by the agency or is the agency’s “working law.”  ACLU </w:t>
      </w:r>
      <w:r w:rsidR="000E03F5">
        <w:rPr>
          <w:szCs w:val="22"/>
        </w:rPr>
        <w:t xml:space="preserve">also </w:t>
      </w:r>
      <w:r w:rsidR="004C4378">
        <w:rPr>
          <w:szCs w:val="22"/>
        </w:rPr>
        <w:t>asserts that material regarding IMSI catchers may not be withheld under Exemption 1, because government use of IMSI catchers has been publicly disclosed.</w:t>
      </w:r>
      <w:r w:rsidR="00FD1187">
        <w:rPr>
          <w:szCs w:val="22"/>
        </w:rPr>
        <w:t xml:space="preserve"> </w:t>
      </w:r>
      <w:r w:rsidR="000E03F5">
        <w:rPr>
          <w:szCs w:val="22"/>
        </w:rPr>
        <w:t xml:space="preserve"> Finally, ACLU contends that OET did not show that any responsive records were compiled for law enforcement purposes, as required for application of Exemption 7, or that disclosure would pose a risk of circumvention </w:t>
      </w:r>
      <w:r w:rsidR="00FE7F28">
        <w:rPr>
          <w:szCs w:val="22"/>
        </w:rPr>
        <w:t xml:space="preserve">of the law </w:t>
      </w:r>
      <w:r w:rsidR="000E03F5">
        <w:rPr>
          <w:szCs w:val="22"/>
        </w:rPr>
        <w:t xml:space="preserve">under Exemption 7(E).  </w:t>
      </w:r>
    </w:p>
    <w:bookmarkEnd w:id="1"/>
    <w:p w:rsidR="008F264E" w:rsidRPr="00403C26" w:rsidRDefault="008F264E" w:rsidP="00C6430E">
      <w:pPr>
        <w:pStyle w:val="Heading1"/>
      </w:pPr>
      <w:r w:rsidRPr="00403C26">
        <w:t>DISCUSSION</w:t>
      </w:r>
    </w:p>
    <w:p w:rsidR="00B32A3D" w:rsidRPr="00166AF5" w:rsidRDefault="00B32A3D" w:rsidP="009868F3">
      <w:pPr>
        <w:pStyle w:val="ParaNum"/>
        <w:rPr>
          <w:szCs w:val="22"/>
        </w:rPr>
      </w:pPr>
      <w:bookmarkStart w:id="2" w:name="_Ref339626568"/>
      <w:r>
        <w:rPr>
          <w:szCs w:val="22"/>
        </w:rPr>
        <w:t>Upon review of OET’s decisions, and the ACLU’s arguments, we grant in part and deny in part the ACLU’s AFRs.</w:t>
      </w:r>
    </w:p>
    <w:p w:rsidR="008F264E" w:rsidRPr="00403C26" w:rsidRDefault="00B32A3D" w:rsidP="00DE5DF6">
      <w:pPr>
        <w:pStyle w:val="ParaNum"/>
        <w:widowControl/>
        <w:spacing w:before="240"/>
        <w:rPr>
          <w:szCs w:val="22"/>
        </w:rPr>
      </w:pPr>
      <w:r>
        <w:rPr>
          <w:b/>
          <w:szCs w:val="22"/>
        </w:rPr>
        <w:t>S</w:t>
      </w:r>
      <w:r w:rsidR="008855BC" w:rsidRPr="00403C26">
        <w:rPr>
          <w:b/>
          <w:szCs w:val="22"/>
        </w:rPr>
        <w:t xml:space="preserve">cope of Search.  </w:t>
      </w:r>
      <w:r w:rsidR="002F6EEE">
        <w:rPr>
          <w:szCs w:val="22"/>
        </w:rPr>
        <w:t xml:space="preserve">We agree with ACLU that OET did not fully demonstrate that </w:t>
      </w:r>
      <w:r w:rsidR="002F6EEE" w:rsidRPr="00403C26">
        <w:rPr>
          <w:szCs w:val="22"/>
        </w:rPr>
        <w:t>it conducted a search “reasonably calculated to uncover all relevant documents.”</w:t>
      </w:r>
      <w:r w:rsidR="002F6EEE" w:rsidRPr="00403C26">
        <w:rPr>
          <w:rStyle w:val="FootnoteReference"/>
          <w:sz w:val="22"/>
          <w:szCs w:val="22"/>
        </w:rPr>
        <w:footnoteReference w:id="25"/>
      </w:r>
      <w:r w:rsidR="002F6EEE" w:rsidRPr="00403C26">
        <w:rPr>
          <w:szCs w:val="22"/>
        </w:rPr>
        <w:t xml:space="preserve">  </w:t>
      </w:r>
      <w:r w:rsidR="000F79CB" w:rsidRPr="00403C26">
        <w:rPr>
          <w:szCs w:val="22"/>
        </w:rPr>
        <w:t>The Supplemental Decision lists the bureaus and offices</w:t>
      </w:r>
      <w:r w:rsidR="00D9386D" w:rsidRPr="00403C26">
        <w:rPr>
          <w:szCs w:val="22"/>
        </w:rPr>
        <w:t xml:space="preserve"> </w:t>
      </w:r>
      <w:r w:rsidR="004D62CA" w:rsidRPr="00403C26">
        <w:rPr>
          <w:szCs w:val="22"/>
        </w:rPr>
        <w:t xml:space="preserve">that were </w:t>
      </w:r>
      <w:r w:rsidR="000F79CB" w:rsidRPr="00403C26">
        <w:rPr>
          <w:szCs w:val="22"/>
        </w:rPr>
        <w:t>consulted as part of the search for responsive records</w:t>
      </w:r>
      <w:r w:rsidR="004D62CA" w:rsidRPr="00403C26">
        <w:rPr>
          <w:szCs w:val="22"/>
        </w:rPr>
        <w:t>,</w:t>
      </w:r>
      <w:r w:rsidR="000F79CB" w:rsidRPr="00403C26">
        <w:rPr>
          <w:szCs w:val="22"/>
        </w:rPr>
        <w:t xml:space="preserve"> but does not otherwise describe the methodology employed or the records searched.</w:t>
      </w:r>
      <w:r w:rsidR="000F79CB" w:rsidRPr="00403C26">
        <w:rPr>
          <w:rStyle w:val="FootnoteReference"/>
          <w:sz w:val="22"/>
          <w:szCs w:val="22"/>
        </w:rPr>
        <w:footnoteReference w:id="26"/>
      </w:r>
      <w:r w:rsidR="000F79CB" w:rsidRPr="00403C26">
        <w:rPr>
          <w:szCs w:val="22"/>
        </w:rPr>
        <w:t xml:space="preserve">  </w:t>
      </w:r>
      <w:r w:rsidR="009478EA">
        <w:rPr>
          <w:szCs w:val="22"/>
        </w:rPr>
        <w:t>W</w:t>
      </w:r>
      <w:r w:rsidR="00EA3DD8" w:rsidRPr="00403C26">
        <w:rPr>
          <w:szCs w:val="22"/>
        </w:rPr>
        <w:t xml:space="preserve">e </w:t>
      </w:r>
      <w:r w:rsidR="009478EA">
        <w:rPr>
          <w:szCs w:val="22"/>
        </w:rPr>
        <w:t xml:space="preserve">nevertheless </w:t>
      </w:r>
      <w:r w:rsidR="00EA3DD8" w:rsidRPr="00403C26">
        <w:rPr>
          <w:szCs w:val="22"/>
        </w:rPr>
        <w:t>find that the search was in</w:t>
      </w:r>
      <w:r w:rsidR="0095563B" w:rsidRPr="00403C26">
        <w:rPr>
          <w:szCs w:val="22"/>
        </w:rPr>
        <w:t xml:space="preserve"> fact</w:t>
      </w:r>
      <w:r w:rsidR="00EA3DD8" w:rsidRPr="00403C26">
        <w:rPr>
          <w:szCs w:val="22"/>
        </w:rPr>
        <w:t xml:space="preserve"> adequate.  </w:t>
      </w:r>
      <w:r w:rsidR="00F06C3F" w:rsidRPr="00403C26">
        <w:rPr>
          <w:szCs w:val="22"/>
        </w:rPr>
        <w:t xml:space="preserve">We have determined that OET followed the </w:t>
      </w:r>
      <w:r w:rsidR="009C357F">
        <w:rPr>
          <w:szCs w:val="22"/>
        </w:rPr>
        <w:t xml:space="preserve">standard </w:t>
      </w:r>
      <w:r w:rsidR="00960331">
        <w:rPr>
          <w:szCs w:val="22"/>
        </w:rPr>
        <w:t>procedures</w:t>
      </w:r>
      <w:r w:rsidR="00960331" w:rsidRPr="00403C26">
        <w:rPr>
          <w:szCs w:val="22"/>
        </w:rPr>
        <w:t xml:space="preserve"> </w:t>
      </w:r>
      <w:r w:rsidR="0013472C" w:rsidRPr="00403C26">
        <w:rPr>
          <w:szCs w:val="22"/>
        </w:rPr>
        <w:t>employed when the Commission receives a FOIA request.</w:t>
      </w:r>
      <w:r w:rsidR="00960331">
        <w:rPr>
          <w:rStyle w:val="FootnoteReference"/>
          <w:szCs w:val="22"/>
        </w:rPr>
        <w:footnoteReference w:id="27"/>
      </w:r>
      <w:r w:rsidR="0013472C" w:rsidRPr="00403C26">
        <w:rPr>
          <w:szCs w:val="22"/>
        </w:rPr>
        <w:t xml:space="preserve">  </w:t>
      </w:r>
      <w:r w:rsidR="00D83808" w:rsidRPr="00403C26">
        <w:rPr>
          <w:szCs w:val="22"/>
        </w:rPr>
        <w:t xml:space="preserve">OET, </w:t>
      </w:r>
      <w:r w:rsidR="00960331">
        <w:rPr>
          <w:szCs w:val="22"/>
        </w:rPr>
        <w:t xml:space="preserve">the office that is the primary custodian of records for records responsive to this request, was </w:t>
      </w:r>
      <w:r w:rsidR="00D83808" w:rsidRPr="00403C26">
        <w:rPr>
          <w:szCs w:val="22"/>
        </w:rPr>
        <w:t xml:space="preserve">designated the </w:t>
      </w:r>
      <w:r w:rsidR="00AE1ADD">
        <w:rPr>
          <w:szCs w:val="22"/>
        </w:rPr>
        <w:t>lead</w:t>
      </w:r>
      <w:r w:rsidR="00D83808" w:rsidRPr="00403C26">
        <w:rPr>
          <w:szCs w:val="22"/>
        </w:rPr>
        <w:t xml:space="preserve"> </w:t>
      </w:r>
      <w:r w:rsidR="00B86555" w:rsidRPr="00403C26">
        <w:rPr>
          <w:szCs w:val="22"/>
        </w:rPr>
        <w:t xml:space="preserve">office for responding to the FOIA Request </w:t>
      </w:r>
      <w:r w:rsidR="00CC261C" w:rsidRPr="00403C26">
        <w:rPr>
          <w:szCs w:val="22"/>
        </w:rPr>
        <w:t>by the Commission’s FOIA Office</w:t>
      </w:r>
      <w:r w:rsidR="00960331">
        <w:rPr>
          <w:szCs w:val="22"/>
        </w:rPr>
        <w:t>.</w:t>
      </w:r>
      <w:r w:rsidR="00960331">
        <w:rPr>
          <w:rStyle w:val="FootnoteReference"/>
          <w:szCs w:val="22"/>
        </w:rPr>
        <w:footnoteReference w:id="28"/>
      </w:r>
      <w:r w:rsidR="00CC261C" w:rsidRPr="00403C26">
        <w:rPr>
          <w:szCs w:val="22"/>
        </w:rPr>
        <w:t xml:space="preserve"> </w:t>
      </w:r>
      <w:r w:rsidR="00960331">
        <w:rPr>
          <w:szCs w:val="22"/>
        </w:rPr>
        <w:t xml:space="preserve">  OMD/PERM </w:t>
      </w:r>
      <w:r w:rsidR="009C357F">
        <w:rPr>
          <w:szCs w:val="22"/>
        </w:rPr>
        <w:t xml:space="preserve">and/or OET </w:t>
      </w:r>
      <w:r w:rsidR="00960331">
        <w:rPr>
          <w:szCs w:val="22"/>
        </w:rPr>
        <w:t xml:space="preserve">also </w:t>
      </w:r>
      <w:r w:rsidR="009C357F">
        <w:rPr>
          <w:szCs w:val="22"/>
        </w:rPr>
        <w:t xml:space="preserve">contacted </w:t>
      </w:r>
      <w:r w:rsidR="00960331" w:rsidRPr="00960331">
        <w:rPr>
          <w:szCs w:val="22"/>
        </w:rPr>
        <w:t>the Public Safety and Homeland Security Bureau, the Wireless Telecommunications Bureau, the Office of General Counsel, and the Enforcement Bureau</w:t>
      </w:r>
      <w:r w:rsidR="00960331">
        <w:rPr>
          <w:szCs w:val="22"/>
        </w:rPr>
        <w:t xml:space="preserve"> for the purpos</w:t>
      </w:r>
      <w:r w:rsidR="009C357F">
        <w:rPr>
          <w:szCs w:val="22"/>
        </w:rPr>
        <w:t>e</w:t>
      </w:r>
      <w:r w:rsidR="00960331">
        <w:rPr>
          <w:szCs w:val="22"/>
        </w:rPr>
        <w:t xml:space="preserve"> of searching for and locating the records.  </w:t>
      </w:r>
      <w:r w:rsidR="00F200C6" w:rsidRPr="00403C26">
        <w:rPr>
          <w:szCs w:val="22"/>
        </w:rPr>
        <w:t xml:space="preserve">ACLU’s </w:t>
      </w:r>
      <w:r w:rsidR="00CC261C" w:rsidRPr="00403C26">
        <w:rPr>
          <w:szCs w:val="22"/>
        </w:rPr>
        <w:t xml:space="preserve">FOIA Request </w:t>
      </w:r>
      <w:r w:rsidR="00D1134E">
        <w:rPr>
          <w:szCs w:val="22"/>
        </w:rPr>
        <w:t xml:space="preserve">was circulated </w:t>
      </w:r>
      <w:r w:rsidR="00CC261C" w:rsidRPr="00403C26">
        <w:rPr>
          <w:szCs w:val="22"/>
        </w:rPr>
        <w:t xml:space="preserve">by e-mail to </w:t>
      </w:r>
      <w:r w:rsidR="00D1134E">
        <w:rPr>
          <w:szCs w:val="22"/>
        </w:rPr>
        <w:t xml:space="preserve">the </w:t>
      </w:r>
      <w:r w:rsidR="00D9386D" w:rsidRPr="00403C26">
        <w:rPr>
          <w:szCs w:val="22"/>
        </w:rPr>
        <w:t xml:space="preserve">personnel </w:t>
      </w:r>
      <w:r w:rsidR="00D1134E">
        <w:rPr>
          <w:szCs w:val="22"/>
        </w:rPr>
        <w:t xml:space="preserve">of the relevant </w:t>
      </w:r>
      <w:r w:rsidR="00CC261C" w:rsidRPr="00403C26">
        <w:rPr>
          <w:szCs w:val="22"/>
        </w:rPr>
        <w:t xml:space="preserve">bureaus and </w:t>
      </w:r>
      <w:r w:rsidR="002938F3" w:rsidRPr="00403C26">
        <w:rPr>
          <w:szCs w:val="22"/>
        </w:rPr>
        <w:t>offices.</w:t>
      </w:r>
      <w:r w:rsidR="00960331">
        <w:rPr>
          <w:szCs w:val="22"/>
        </w:rPr>
        <w:t xml:space="preserve">  </w:t>
      </w:r>
      <w:r w:rsidR="00CC261C" w:rsidRPr="00403C26">
        <w:rPr>
          <w:szCs w:val="22"/>
        </w:rPr>
        <w:t xml:space="preserve">After ACLU filed its </w:t>
      </w:r>
      <w:r w:rsidR="00960331">
        <w:rPr>
          <w:szCs w:val="22"/>
        </w:rPr>
        <w:t xml:space="preserve">First </w:t>
      </w:r>
      <w:r w:rsidR="00CC261C" w:rsidRPr="00403C26">
        <w:rPr>
          <w:szCs w:val="22"/>
        </w:rPr>
        <w:t xml:space="preserve">AFR, OET also </w:t>
      </w:r>
      <w:r w:rsidR="00960331">
        <w:rPr>
          <w:szCs w:val="22"/>
        </w:rPr>
        <w:t xml:space="preserve">contacted </w:t>
      </w:r>
      <w:r w:rsidR="00CC261C" w:rsidRPr="00403C26">
        <w:rPr>
          <w:szCs w:val="22"/>
        </w:rPr>
        <w:t>the Office of Strategic Planning and Policy Analysis, and the Consumer and Governmental Affairs Bureau</w:t>
      </w:r>
      <w:r w:rsidR="00960331">
        <w:rPr>
          <w:szCs w:val="22"/>
        </w:rPr>
        <w:t>, to search for responsive records</w:t>
      </w:r>
      <w:r w:rsidR="00CC261C" w:rsidRPr="00403C26">
        <w:rPr>
          <w:szCs w:val="22"/>
        </w:rPr>
        <w:t>.</w:t>
      </w:r>
      <w:r w:rsidR="00CC261C" w:rsidRPr="00403C26">
        <w:rPr>
          <w:rStyle w:val="FootnoteReference"/>
          <w:sz w:val="22"/>
          <w:szCs w:val="22"/>
        </w:rPr>
        <w:footnoteReference w:id="29"/>
      </w:r>
      <w:r w:rsidR="00CC261C" w:rsidRPr="00403C26">
        <w:rPr>
          <w:szCs w:val="22"/>
        </w:rPr>
        <w:t xml:space="preserve"> </w:t>
      </w:r>
      <w:r w:rsidR="000F79CB" w:rsidRPr="00403C26">
        <w:rPr>
          <w:szCs w:val="22"/>
        </w:rPr>
        <w:t xml:space="preserve"> </w:t>
      </w:r>
      <w:r w:rsidR="00281644" w:rsidRPr="00403C26">
        <w:rPr>
          <w:szCs w:val="22"/>
        </w:rPr>
        <w:t>Commission staff understand that</w:t>
      </w:r>
      <w:r w:rsidR="000F79CB" w:rsidRPr="00403C26">
        <w:rPr>
          <w:szCs w:val="22"/>
        </w:rPr>
        <w:t xml:space="preserve">, upon receiving a </w:t>
      </w:r>
      <w:r w:rsidR="009D2532">
        <w:rPr>
          <w:szCs w:val="22"/>
        </w:rPr>
        <w:t xml:space="preserve">FOIA request, </w:t>
      </w:r>
      <w:r w:rsidR="000279B3" w:rsidRPr="00403C26">
        <w:rPr>
          <w:szCs w:val="22"/>
        </w:rPr>
        <w:t xml:space="preserve">they are required </w:t>
      </w:r>
      <w:r w:rsidR="00281644" w:rsidRPr="00403C26">
        <w:rPr>
          <w:szCs w:val="22"/>
        </w:rPr>
        <w:t xml:space="preserve">to </w:t>
      </w:r>
      <w:r w:rsidR="00876C5E" w:rsidRPr="00403C26">
        <w:rPr>
          <w:szCs w:val="22"/>
        </w:rPr>
        <w:t xml:space="preserve">forward </w:t>
      </w:r>
      <w:r w:rsidR="00281644" w:rsidRPr="00403C26">
        <w:rPr>
          <w:szCs w:val="22"/>
        </w:rPr>
        <w:t xml:space="preserve">any responsive records in their files, as well as </w:t>
      </w:r>
      <w:r w:rsidR="00AA6F32" w:rsidRPr="00403C26">
        <w:rPr>
          <w:szCs w:val="22"/>
        </w:rPr>
        <w:t xml:space="preserve">responsive </w:t>
      </w:r>
      <w:r w:rsidR="007D4179" w:rsidRPr="00403C26">
        <w:rPr>
          <w:szCs w:val="22"/>
        </w:rPr>
        <w:t>records available from other sources</w:t>
      </w:r>
      <w:r w:rsidR="00476DE9" w:rsidRPr="00403C26">
        <w:rPr>
          <w:szCs w:val="22"/>
        </w:rPr>
        <w:t xml:space="preserve">, </w:t>
      </w:r>
      <w:r w:rsidR="00FE7F28">
        <w:rPr>
          <w:szCs w:val="22"/>
        </w:rPr>
        <w:t>such as</w:t>
      </w:r>
      <w:r w:rsidR="00476DE9" w:rsidRPr="00403C26">
        <w:rPr>
          <w:szCs w:val="22"/>
        </w:rPr>
        <w:t xml:space="preserve"> </w:t>
      </w:r>
      <w:r w:rsidR="00281644" w:rsidRPr="00403C26">
        <w:rPr>
          <w:szCs w:val="22"/>
        </w:rPr>
        <w:t>databases</w:t>
      </w:r>
      <w:r w:rsidR="007D4179" w:rsidRPr="00403C26">
        <w:rPr>
          <w:szCs w:val="22"/>
        </w:rPr>
        <w:t xml:space="preserve">, </w:t>
      </w:r>
      <w:r w:rsidR="00281644" w:rsidRPr="00403C26">
        <w:rPr>
          <w:szCs w:val="22"/>
        </w:rPr>
        <w:t>to which they have access.</w:t>
      </w:r>
      <w:r w:rsidR="00CC261C" w:rsidRPr="00403C26">
        <w:rPr>
          <w:szCs w:val="22"/>
        </w:rPr>
        <w:t xml:space="preserve"> </w:t>
      </w:r>
      <w:r w:rsidR="006F2DEA">
        <w:rPr>
          <w:rStyle w:val="FootnoteReference"/>
          <w:szCs w:val="22"/>
        </w:rPr>
        <w:footnoteReference w:id="30"/>
      </w:r>
      <w:r w:rsidR="008F264E" w:rsidRPr="00403C26">
        <w:rPr>
          <w:szCs w:val="22"/>
        </w:rPr>
        <w:t xml:space="preserve">  </w:t>
      </w:r>
      <w:r w:rsidR="00020599" w:rsidRPr="00403C26">
        <w:rPr>
          <w:szCs w:val="22"/>
        </w:rPr>
        <w:t xml:space="preserve">In this regard, we are justified in relying on staff to </w:t>
      </w:r>
      <w:r w:rsidR="002B4A68" w:rsidRPr="00403C26">
        <w:rPr>
          <w:szCs w:val="22"/>
        </w:rPr>
        <w:t xml:space="preserve">apply their personal </w:t>
      </w:r>
      <w:r w:rsidR="0084677D" w:rsidRPr="00403C26">
        <w:rPr>
          <w:szCs w:val="22"/>
        </w:rPr>
        <w:t xml:space="preserve">knowledge </w:t>
      </w:r>
      <w:r w:rsidR="002B4A68" w:rsidRPr="00403C26">
        <w:rPr>
          <w:szCs w:val="22"/>
        </w:rPr>
        <w:t xml:space="preserve">of relevant matters and </w:t>
      </w:r>
      <w:r w:rsidR="00D9386D" w:rsidRPr="00403C26">
        <w:rPr>
          <w:szCs w:val="22"/>
        </w:rPr>
        <w:t xml:space="preserve">to </w:t>
      </w:r>
      <w:r w:rsidR="00020599" w:rsidRPr="00403C26">
        <w:rPr>
          <w:szCs w:val="22"/>
        </w:rPr>
        <w:t>identify relevant sources of records</w:t>
      </w:r>
      <w:r w:rsidR="002B4A68" w:rsidRPr="00403C26">
        <w:rPr>
          <w:szCs w:val="22"/>
        </w:rPr>
        <w:t>.</w:t>
      </w:r>
      <w:r w:rsidR="009D2532" w:rsidRPr="009D2532">
        <w:rPr>
          <w:rStyle w:val="FootnoteReference"/>
          <w:sz w:val="22"/>
          <w:szCs w:val="22"/>
        </w:rPr>
        <w:t xml:space="preserve"> </w:t>
      </w:r>
      <w:r w:rsidR="009D2532" w:rsidRPr="00403C26">
        <w:rPr>
          <w:rStyle w:val="FootnoteReference"/>
          <w:sz w:val="22"/>
          <w:szCs w:val="22"/>
        </w:rPr>
        <w:footnoteReference w:id="31"/>
      </w:r>
      <w:r w:rsidR="002B4A68" w:rsidRPr="00403C26">
        <w:rPr>
          <w:szCs w:val="22"/>
        </w:rPr>
        <w:t xml:space="preserve">  Accordingly, we </w:t>
      </w:r>
      <w:r w:rsidR="009D2532">
        <w:rPr>
          <w:szCs w:val="22"/>
        </w:rPr>
        <w:t>are satisfied that an adequate search was conducted in response to ACLU’s Request</w:t>
      </w:r>
      <w:r w:rsidR="00020599" w:rsidRPr="00403C26">
        <w:rPr>
          <w:szCs w:val="22"/>
        </w:rPr>
        <w:t>.</w:t>
      </w:r>
      <w:r w:rsidR="009D2532">
        <w:rPr>
          <w:rStyle w:val="FootnoteReference"/>
          <w:szCs w:val="22"/>
        </w:rPr>
        <w:footnoteReference w:id="32"/>
      </w:r>
      <w:r w:rsidR="00020599" w:rsidRPr="00403C26">
        <w:rPr>
          <w:szCs w:val="22"/>
        </w:rPr>
        <w:t xml:space="preserve"> </w:t>
      </w:r>
    </w:p>
    <w:p w:rsidR="00D17A28" w:rsidRDefault="00C36764" w:rsidP="009868F3">
      <w:pPr>
        <w:pStyle w:val="ParaNum"/>
        <w:rPr>
          <w:szCs w:val="22"/>
        </w:rPr>
      </w:pPr>
      <w:r w:rsidRPr="00403C26">
        <w:rPr>
          <w:b/>
          <w:szCs w:val="22"/>
        </w:rPr>
        <w:t xml:space="preserve">Exemption 4.  </w:t>
      </w:r>
      <w:r w:rsidR="00606BFF">
        <w:rPr>
          <w:szCs w:val="22"/>
        </w:rPr>
        <w:t>We disagree with ACLU’s contention that OET improperly relied on Exemption 4 because it failed to demonstrate that the withheld material was confidential.  We find that OET properly justified withholding certain records associated with Harris’ equipment authorization applications under Exemption 4 as trade secrets</w:t>
      </w:r>
      <w:r w:rsidR="00A56A49" w:rsidRPr="00403C26">
        <w:rPr>
          <w:szCs w:val="22"/>
        </w:rPr>
        <w:t>.</w:t>
      </w:r>
      <w:r w:rsidR="00960331">
        <w:rPr>
          <w:rStyle w:val="FootnoteReference"/>
          <w:szCs w:val="22"/>
        </w:rPr>
        <w:footnoteReference w:id="33"/>
      </w:r>
      <w:r w:rsidR="00A56A49" w:rsidRPr="00403C26">
        <w:rPr>
          <w:szCs w:val="22"/>
        </w:rPr>
        <w:t xml:space="preserve">  These records contain schematics, photographs, and other material</w:t>
      </w:r>
      <w:r w:rsidR="00791212" w:rsidRPr="00403C26">
        <w:rPr>
          <w:szCs w:val="22"/>
        </w:rPr>
        <w:t>s describing the circuitry, functions, and operation of the device encompassed by the application</w:t>
      </w:r>
      <w:r w:rsidR="00ED46FF" w:rsidRPr="00403C26">
        <w:rPr>
          <w:szCs w:val="22"/>
        </w:rPr>
        <w:t>s</w:t>
      </w:r>
      <w:r w:rsidR="00791212" w:rsidRPr="00403C26">
        <w:rPr>
          <w:szCs w:val="22"/>
        </w:rPr>
        <w:t xml:space="preserve">. </w:t>
      </w:r>
      <w:r w:rsidR="00713E35">
        <w:rPr>
          <w:szCs w:val="22"/>
        </w:rPr>
        <w:t xml:space="preserve"> </w:t>
      </w:r>
      <w:r w:rsidR="00791212" w:rsidRPr="00403C26">
        <w:rPr>
          <w:szCs w:val="22"/>
        </w:rPr>
        <w:t xml:space="preserve">OET found that </w:t>
      </w:r>
      <w:r w:rsidR="004C5768">
        <w:rPr>
          <w:szCs w:val="22"/>
        </w:rPr>
        <w:t xml:space="preserve">disclosure of </w:t>
      </w:r>
      <w:r w:rsidR="00791212" w:rsidRPr="00403C26">
        <w:rPr>
          <w:szCs w:val="22"/>
        </w:rPr>
        <w:t xml:space="preserve">this </w:t>
      </w:r>
      <w:r w:rsidR="004C5768">
        <w:rPr>
          <w:szCs w:val="22"/>
        </w:rPr>
        <w:t xml:space="preserve">material would reveal valuable proprietary information about technologies that Harris has developed and its manufacturing process that would give  Harris’ competitors unwarranted insight into the specifics of Harris’ products.  OET therefore concluded that the material </w:t>
      </w:r>
      <w:r w:rsidR="00791212" w:rsidRPr="00403C26">
        <w:rPr>
          <w:szCs w:val="22"/>
        </w:rPr>
        <w:t>falls within the definition of trade secrets for purposes of Exemption 4.</w:t>
      </w:r>
      <w:r w:rsidR="008729E4" w:rsidRPr="00403C26">
        <w:rPr>
          <w:rStyle w:val="FootnoteReference"/>
          <w:sz w:val="22"/>
          <w:szCs w:val="22"/>
        </w:rPr>
        <w:footnoteReference w:id="34"/>
      </w:r>
      <w:r w:rsidR="008729E4" w:rsidRPr="00403C26">
        <w:rPr>
          <w:szCs w:val="22"/>
        </w:rPr>
        <w:t xml:space="preserve"> </w:t>
      </w:r>
      <w:r w:rsidR="00791212" w:rsidRPr="00403C26">
        <w:rPr>
          <w:szCs w:val="22"/>
        </w:rPr>
        <w:t xml:space="preserve">  </w:t>
      </w:r>
    </w:p>
    <w:p w:rsidR="008F264E" w:rsidRPr="00403C26" w:rsidRDefault="00791212" w:rsidP="009868F3">
      <w:pPr>
        <w:pStyle w:val="ParaNum"/>
        <w:rPr>
          <w:szCs w:val="22"/>
        </w:rPr>
      </w:pPr>
      <w:r w:rsidRPr="00403C26">
        <w:rPr>
          <w:szCs w:val="22"/>
        </w:rPr>
        <w:t xml:space="preserve">ACLU’s </w:t>
      </w:r>
      <w:r w:rsidR="009478EA">
        <w:rPr>
          <w:szCs w:val="22"/>
        </w:rPr>
        <w:t>Second</w:t>
      </w:r>
      <w:r w:rsidRPr="00403C26">
        <w:rPr>
          <w:szCs w:val="22"/>
        </w:rPr>
        <w:t xml:space="preserve"> AFR does not address OET’s finding that </w:t>
      </w:r>
      <w:r w:rsidR="008729E4" w:rsidRPr="00403C26">
        <w:rPr>
          <w:szCs w:val="22"/>
        </w:rPr>
        <w:t>t</w:t>
      </w:r>
      <w:r w:rsidR="00D9386D" w:rsidRPr="00403C26">
        <w:rPr>
          <w:szCs w:val="22"/>
        </w:rPr>
        <w:t>h</w:t>
      </w:r>
      <w:r w:rsidR="008729E4" w:rsidRPr="00403C26">
        <w:rPr>
          <w:szCs w:val="22"/>
        </w:rPr>
        <w:t xml:space="preserve">is </w:t>
      </w:r>
      <w:r w:rsidRPr="00403C26">
        <w:rPr>
          <w:szCs w:val="22"/>
        </w:rPr>
        <w:t xml:space="preserve">information should be withheld as trade secrets.  Instead, ACLU argues that OET failed to justify a finding that the withheld material </w:t>
      </w:r>
      <w:r w:rsidR="008B55AA" w:rsidRPr="00403C26">
        <w:rPr>
          <w:szCs w:val="22"/>
        </w:rPr>
        <w:t>is</w:t>
      </w:r>
      <w:r w:rsidRPr="00403C26">
        <w:rPr>
          <w:szCs w:val="22"/>
        </w:rPr>
        <w:t xml:space="preserve"> confidential for purposes of Exemption 4</w:t>
      </w:r>
      <w:r w:rsidR="00AA5D96">
        <w:rPr>
          <w:szCs w:val="22"/>
        </w:rPr>
        <w:t xml:space="preserve"> – </w:t>
      </w:r>
      <w:r w:rsidR="00AA5D96">
        <w:rPr>
          <w:i/>
          <w:szCs w:val="22"/>
        </w:rPr>
        <w:t xml:space="preserve">i.e., </w:t>
      </w:r>
      <w:r w:rsidR="00AA5D96">
        <w:rPr>
          <w:szCs w:val="22"/>
        </w:rPr>
        <w:t>that OET did not show that disclosure would impair the government’s ability to collect relevant information or that disclosure would cause competitive harm</w:t>
      </w:r>
      <w:r w:rsidRPr="00403C26">
        <w:rPr>
          <w:szCs w:val="22"/>
        </w:rPr>
        <w:t>.</w:t>
      </w:r>
      <w:r w:rsidR="008729E4" w:rsidRPr="00403C26">
        <w:rPr>
          <w:rStyle w:val="FootnoteReference"/>
          <w:sz w:val="22"/>
          <w:szCs w:val="22"/>
        </w:rPr>
        <w:footnoteReference w:id="35"/>
      </w:r>
      <w:r w:rsidRPr="00403C26">
        <w:rPr>
          <w:szCs w:val="22"/>
        </w:rPr>
        <w:t xml:space="preserve"> </w:t>
      </w:r>
      <w:r w:rsidR="00A56A49" w:rsidRPr="00403C26">
        <w:rPr>
          <w:szCs w:val="22"/>
        </w:rPr>
        <w:t xml:space="preserve"> </w:t>
      </w:r>
      <w:r w:rsidR="00FB00AE">
        <w:rPr>
          <w:szCs w:val="22"/>
        </w:rPr>
        <w:t>ACLU thus equates OET’s finding that the exempt material constitute</w:t>
      </w:r>
      <w:r w:rsidR="00BA21CB">
        <w:rPr>
          <w:szCs w:val="22"/>
        </w:rPr>
        <w:t>s</w:t>
      </w:r>
      <w:r w:rsidR="004B5B9B">
        <w:rPr>
          <w:szCs w:val="22"/>
        </w:rPr>
        <w:t xml:space="preserve"> </w:t>
      </w:r>
      <w:r w:rsidR="00FB00AE">
        <w:rPr>
          <w:szCs w:val="22"/>
        </w:rPr>
        <w:t xml:space="preserve">trade secrets with a finding that it is confidential.  </w:t>
      </w:r>
      <w:r w:rsidR="004B5B9B">
        <w:rPr>
          <w:szCs w:val="22"/>
        </w:rPr>
        <w:t>The two</w:t>
      </w:r>
      <w:r w:rsidR="00D17A28">
        <w:rPr>
          <w:szCs w:val="22"/>
        </w:rPr>
        <w:t xml:space="preserve"> standards</w:t>
      </w:r>
      <w:r w:rsidR="004B5B9B">
        <w:rPr>
          <w:szCs w:val="22"/>
        </w:rPr>
        <w:t>, however</w:t>
      </w:r>
      <w:r w:rsidR="00277EE6">
        <w:rPr>
          <w:szCs w:val="22"/>
        </w:rPr>
        <w:t>,</w:t>
      </w:r>
      <w:r w:rsidR="004B5B9B">
        <w:rPr>
          <w:szCs w:val="22"/>
        </w:rPr>
        <w:t xml:space="preserve"> represent separate and distinct bases for applying Exemption 4</w:t>
      </w:r>
      <w:r w:rsidR="008C0511">
        <w:rPr>
          <w:szCs w:val="22"/>
        </w:rPr>
        <w:t>.</w:t>
      </w:r>
      <w:r w:rsidR="00C30EA7" w:rsidRPr="00403C26">
        <w:rPr>
          <w:rStyle w:val="FootnoteReference"/>
          <w:sz w:val="22"/>
          <w:szCs w:val="22"/>
        </w:rPr>
        <w:footnoteReference w:id="36"/>
      </w:r>
      <w:r w:rsidR="00C30EA7" w:rsidRPr="00403C26">
        <w:rPr>
          <w:szCs w:val="22"/>
        </w:rPr>
        <w:t xml:space="preserve">  </w:t>
      </w:r>
      <w:r w:rsidR="004B5B9B">
        <w:rPr>
          <w:szCs w:val="22"/>
        </w:rPr>
        <w:t xml:space="preserve">OET made no finding that the material met the standard for being confidential, as opposed to the </w:t>
      </w:r>
      <w:r w:rsidR="00D17A28">
        <w:rPr>
          <w:szCs w:val="22"/>
        </w:rPr>
        <w:t xml:space="preserve">criteria </w:t>
      </w:r>
      <w:r w:rsidR="004B5B9B">
        <w:rPr>
          <w:szCs w:val="22"/>
        </w:rPr>
        <w:t xml:space="preserve">for being a trade secret.   </w:t>
      </w:r>
      <w:r w:rsidR="00414830" w:rsidRPr="00403C26">
        <w:rPr>
          <w:szCs w:val="22"/>
        </w:rPr>
        <w:t xml:space="preserve">Because ACLU fails to </w:t>
      </w:r>
      <w:r w:rsidR="00C74CC9">
        <w:rPr>
          <w:szCs w:val="22"/>
        </w:rPr>
        <w:t xml:space="preserve">challenge </w:t>
      </w:r>
      <w:r w:rsidR="00414830" w:rsidRPr="00403C26">
        <w:rPr>
          <w:szCs w:val="22"/>
        </w:rPr>
        <w:t xml:space="preserve">OET’s </w:t>
      </w:r>
      <w:r w:rsidR="008B55AA" w:rsidRPr="00403C26">
        <w:rPr>
          <w:szCs w:val="22"/>
        </w:rPr>
        <w:t xml:space="preserve">trade secrets </w:t>
      </w:r>
      <w:r w:rsidR="00414830" w:rsidRPr="00403C26">
        <w:rPr>
          <w:szCs w:val="22"/>
        </w:rPr>
        <w:t xml:space="preserve">finding, the </w:t>
      </w:r>
      <w:r w:rsidR="009478EA">
        <w:rPr>
          <w:szCs w:val="22"/>
        </w:rPr>
        <w:t>Second</w:t>
      </w:r>
      <w:r w:rsidR="00414830" w:rsidRPr="00403C26">
        <w:rPr>
          <w:szCs w:val="22"/>
        </w:rPr>
        <w:t xml:space="preserve"> AFR provides no basis to question </w:t>
      </w:r>
      <w:r w:rsidR="008B55AA" w:rsidRPr="00403C26">
        <w:rPr>
          <w:szCs w:val="22"/>
        </w:rPr>
        <w:t>OET’s Exemption 4 analysis</w:t>
      </w:r>
      <w:r w:rsidR="001F41C9">
        <w:rPr>
          <w:szCs w:val="22"/>
        </w:rPr>
        <w:t>, which appears correct</w:t>
      </w:r>
      <w:r w:rsidR="008B55AA" w:rsidRPr="00403C26">
        <w:rPr>
          <w:szCs w:val="22"/>
        </w:rPr>
        <w:t>.</w:t>
      </w:r>
      <w:r w:rsidR="00783A02">
        <w:rPr>
          <w:rStyle w:val="FootnoteReference"/>
          <w:szCs w:val="22"/>
        </w:rPr>
        <w:footnoteReference w:id="37"/>
      </w:r>
      <w:r w:rsidR="00E947BB">
        <w:rPr>
          <w:szCs w:val="22"/>
        </w:rPr>
        <w:t xml:space="preserve"> </w:t>
      </w:r>
      <w:r w:rsidR="008B55AA" w:rsidRPr="00403C26">
        <w:rPr>
          <w:szCs w:val="22"/>
        </w:rPr>
        <w:t xml:space="preserve"> </w:t>
      </w:r>
      <w:r w:rsidR="002707F6" w:rsidRPr="00403C26">
        <w:rPr>
          <w:szCs w:val="22"/>
        </w:rPr>
        <w:t xml:space="preserve">  </w:t>
      </w:r>
      <w:r w:rsidR="008F264E" w:rsidRPr="00403C26">
        <w:rPr>
          <w:szCs w:val="22"/>
        </w:rPr>
        <w:t xml:space="preserve"> </w:t>
      </w:r>
    </w:p>
    <w:p w:rsidR="00DB7FD2" w:rsidRPr="009868F3" w:rsidRDefault="00CA4113" w:rsidP="009868F3">
      <w:pPr>
        <w:pStyle w:val="ParaNum"/>
        <w:rPr>
          <w:szCs w:val="22"/>
        </w:rPr>
      </w:pPr>
      <w:r w:rsidRPr="00403C26">
        <w:rPr>
          <w:b/>
          <w:color w:val="000000"/>
          <w:szCs w:val="22"/>
        </w:rPr>
        <w:t xml:space="preserve">Exemption 5.  </w:t>
      </w:r>
      <w:r w:rsidR="008C0511">
        <w:rPr>
          <w:color w:val="000000"/>
          <w:szCs w:val="22"/>
        </w:rPr>
        <w:t xml:space="preserve">We find that OET properly withheld the majority of communications </w:t>
      </w:r>
      <w:r w:rsidR="006746DF" w:rsidRPr="00403C26">
        <w:rPr>
          <w:color w:val="000000"/>
          <w:szCs w:val="22"/>
        </w:rPr>
        <w:t>related to Harris’ equipment authorization application</w:t>
      </w:r>
      <w:r w:rsidR="00ED46FF" w:rsidRPr="00403C26">
        <w:rPr>
          <w:color w:val="000000"/>
          <w:szCs w:val="22"/>
        </w:rPr>
        <w:t>s</w:t>
      </w:r>
      <w:r w:rsidR="006746DF" w:rsidRPr="00403C26">
        <w:rPr>
          <w:color w:val="000000"/>
          <w:szCs w:val="22"/>
        </w:rPr>
        <w:t xml:space="preserve"> </w:t>
      </w:r>
      <w:r w:rsidRPr="00403C26">
        <w:rPr>
          <w:color w:val="000000"/>
          <w:szCs w:val="22"/>
        </w:rPr>
        <w:t xml:space="preserve">under </w:t>
      </w:r>
      <w:r w:rsidR="008C0511">
        <w:rPr>
          <w:color w:val="000000"/>
          <w:szCs w:val="22"/>
        </w:rPr>
        <w:t xml:space="preserve">the deliberative process privilege </w:t>
      </w:r>
      <w:r w:rsidR="00DB7FD2">
        <w:rPr>
          <w:color w:val="000000"/>
          <w:szCs w:val="22"/>
        </w:rPr>
        <w:t xml:space="preserve">encompassed by </w:t>
      </w:r>
      <w:r w:rsidRPr="00403C26">
        <w:rPr>
          <w:color w:val="000000"/>
          <w:szCs w:val="22"/>
        </w:rPr>
        <w:t xml:space="preserve">Exemption 5.  </w:t>
      </w:r>
      <w:r w:rsidR="003B1E03">
        <w:rPr>
          <w:color w:val="000000"/>
          <w:szCs w:val="22"/>
        </w:rPr>
        <w:t>T</w:t>
      </w:r>
      <w:r w:rsidR="003B1E03" w:rsidRPr="00403C26">
        <w:rPr>
          <w:color w:val="000000"/>
          <w:szCs w:val="22"/>
        </w:rPr>
        <w:t>he deliberative process privilege permits withholding information about intra-agency and inter-agency communications that is both predecisional and deliberative.</w:t>
      </w:r>
      <w:r w:rsidR="003B1E03" w:rsidRPr="00403C26">
        <w:rPr>
          <w:rStyle w:val="FootnoteReference"/>
          <w:sz w:val="22"/>
          <w:szCs w:val="22"/>
        </w:rPr>
        <w:footnoteReference w:id="38"/>
      </w:r>
      <w:r w:rsidR="003B1E03" w:rsidRPr="00403C26">
        <w:rPr>
          <w:color w:val="000000"/>
          <w:szCs w:val="22"/>
        </w:rPr>
        <w:t xml:space="preserve">  </w:t>
      </w:r>
      <w:r w:rsidR="00DB7FD2">
        <w:rPr>
          <w:color w:val="000000"/>
          <w:szCs w:val="22"/>
        </w:rPr>
        <w:t xml:space="preserve"> </w:t>
      </w:r>
      <w:r w:rsidR="00193C77">
        <w:rPr>
          <w:color w:val="000000"/>
          <w:szCs w:val="22"/>
        </w:rPr>
        <w:t>Here, i</w:t>
      </w:r>
      <w:r w:rsidR="00DB7FD2">
        <w:rPr>
          <w:color w:val="000000"/>
          <w:szCs w:val="22"/>
        </w:rPr>
        <w:t>t applies to the records properly described by OET</w:t>
      </w:r>
      <w:r w:rsidR="002A1640">
        <w:rPr>
          <w:color w:val="000000"/>
          <w:szCs w:val="22"/>
        </w:rPr>
        <w:t xml:space="preserve"> </w:t>
      </w:r>
      <w:r w:rsidR="006746DF" w:rsidRPr="00403C26">
        <w:rPr>
          <w:color w:val="000000"/>
          <w:szCs w:val="22"/>
        </w:rPr>
        <w:t>as intra-agency and inter-agency documents</w:t>
      </w:r>
      <w:r w:rsidR="00DB7FD2">
        <w:rPr>
          <w:color w:val="000000"/>
          <w:szCs w:val="22"/>
        </w:rPr>
        <w:t xml:space="preserve"> including </w:t>
      </w:r>
      <w:r w:rsidR="006735B6" w:rsidRPr="00403C26">
        <w:rPr>
          <w:color w:val="000000"/>
          <w:szCs w:val="22"/>
        </w:rPr>
        <w:t xml:space="preserve">e-mails </w:t>
      </w:r>
      <w:r w:rsidR="006746DF" w:rsidRPr="00403C26">
        <w:rPr>
          <w:color w:val="000000"/>
          <w:szCs w:val="22"/>
        </w:rPr>
        <w:t>between personnel of the FCC and other federal agencies</w:t>
      </w:r>
      <w:r w:rsidR="002A1640">
        <w:rPr>
          <w:rStyle w:val="FootnoteReference"/>
          <w:szCs w:val="22"/>
        </w:rPr>
        <w:footnoteReference w:id="39"/>
      </w:r>
      <w:r w:rsidR="006746DF" w:rsidRPr="00403C26">
        <w:rPr>
          <w:color w:val="000000"/>
          <w:szCs w:val="22"/>
        </w:rPr>
        <w:t xml:space="preserve"> discussing </w:t>
      </w:r>
      <w:r w:rsidR="004B5B9B">
        <w:rPr>
          <w:color w:val="000000"/>
          <w:szCs w:val="22"/>
        </w:rPr>
        <w:t xml:space="preserve">components and design </w:t>
      </w:r>
      <w:r w:rsidR="006746DF" w:rsidRPr="00403C26">
        <w:rPr>
          <w:color w:val="000000"/>
          <w:szCs w:val="22"/>
        </w:rPr>
        <w:t>elements of the subject devices and the propriety and/or the conditions under which equipment authorization could or should be granted.</w:t>
      </w:r>
      <w:r w:rsidR="006746DF" w:rsidRPr="00403C26">
        <w:rPr>
          <w:rStyle w:val="FootnoteReference"/>
          <w:sz w:val="22"/>
          <w:szCs w:val="22"/>
        </w:rPr>
        <w:footnoteReference w:id="40"/>
      </w:r>
      <w:r w:rsidR="006746DF" w:rsidRPr="00403C26">
        <w:rPr>
          <w:color w:val="000000"/>
          <w:szCs w:val="22"/>
        </w:rPr>
        <w:t xml:space="preserve">  </w:t>
      </w:r>
    </w:p>
    <w:p w:rsidR="00616027" w:rsidRPr="00616027" w:rsidRDefault="00DB7FD2" w:rsidP="009868F3">
      <w:pPr>
        <w:pStyle w:val="ParaNum"/>
        <w:rPr>
          <w:szCs w:val="22"/>
        </w:rPr>
      </w:pPr>
      <w:r>
        <w:rPr>
          <w:color w:val="000000"/>
          <w:szCs w:val="22"/>
        </w:rPr>
        <w:t xml:space="preserve">Our examination of the responsive e-mails confirms that, in the main, they consist of exempt staff deliberations.  </w:t>
      </w:r>
      <w:r w:rsidR="00BE39CB">
        <w:rPr>
          <w:color w:val="000000"/>
          <w:szCs w:val="22"/>
        </w:rPr>
        <w:t xml:space="preserve"> The</w:t>
      </w:r>
      <w:r w:rsidR="00BE39CB" w:rsidRPr="00403C26">
        <w:rPr>
          <w:color w:val="000000"/>
          <w:szCs w:val="22"/>
        </w:rPr>
        <w:t xml:space="preserve"> e-mails are both predecisional and deliberative and therefore fall within the scope of Exemption 5.  The e-mails include the discussion of several topics relevant to whether Harris’ equipment authorization applications should be granted and on what terms.  The topics discussed include (1) the procedures applicable to processing the applications, (2)  the factors to be taken into account in ruling on the applications, (3) Harris’ request for confidentiality, (4) whether conditions should be attached to any grant of the applications, and (5) the application of equipment labeling requirements to Harris’ devices.  We find that these e-mails are deliberative, inasmuch as they reflect the staff’s exchange of views on these topics. We also find that the communications are predecisional, since they were discussions preliminary to </w:t>
      </w:r>
      <w:r w:rsidR="00BE39CB" w:rsidRPr="00403C26">
        <w:rPr>
          <w:szCs w:val="22"/>
        </w:rPr>
        <w:t xml:space="preserve">the decisions granting the applications and were </w:t>
      </w:r>
      <w:r w:rsidR="00BE39CB">
        <w:rPr>
          <w:szCs w:val="22"/>
        </w:rPr>
        <w:t xml:space="preserve">in no </w:t>
      </w:r>
      <w:r w:rsidR="00BE39CB" w:rsidRPr="00403C26">
        <w:rPr>
          <w:szCs w:val="22"/>
        </w:rPr>
        <w:t>sense adopted by those decisions</w:t>
      </w:r>
      <w:r w:rsidR="00BE39CB">
        <w:rPr>
          <w:szCs w:val="22"/>
        </w:rPr>
        <w:t xml:space="preserve"> once they were made</w:t>
      </w:r>
      <w:r w:rsidR="00BE39CB" w:rsidRPr="00403C26">
        <w:rPr>
          <w:szCs w:val="22"/>
        </w:rPr>
        <w:t xml:space="preserve">.  </w:t>
      </w:r>
      <w:r w:rsidR="00BE39CB" w:rsidRPr="00577EA9">
        <w:t xml:space="preserve"> </w:t>
      </w:r>
    </w:p>
    <w:p w:rsidR="00BE39CB" w:rsidRPr="00577EA9" w:rsidRDefault="00BE39CB" w:rsidP="009868F3">
      <w:pPr>
        <w:pStyle w:val="ParaNum"/>
        <w:rPr>
          <w:szCs w:val="22"/>
        </w:rPr>
      </w:pPr>
      <w:r>
        <w:rPr>
          <w:color w:val="000000"/>
          <w:szCs w:val="22"/>
        </w:rPr>
        <w:t xml:space="preserve">We are thus unpersuaded by </w:t>
      </w:r>
      <w:r w:rsidR="000C5D0A" w:rsidRPr="00403C26">
        <w:rPr>
          <w:color w:val="000000"/>
          <w:szCs w:val="22"/>
        </w:rPr>
        <w:t>ACLU</w:t>
      </w:r>
      <w:r>
        <w:rPr>
          <w:color w:val="000000"/>
          <w:szCs w:val="22"/>
        </w:rPr>
        <w:t xml:space="preserve">’s observation </w:t>
      </w:r>
      <w:r w:rsidR="000C5D0A" w:rsidRPr="00403C26">
        <w:rPr>
          <w:color w:val="000000"/>
          <w:szCs w:val="22"/>
        </w:rPr>
        <w:t xml:space="preserve">that material cannot be found predecisional if </w:t>
      </w:r>
      <w:r w:rsidR="006610C6" w:rsidRPr="00403C26">
        <w:rPr>
          <w:color w:val="000000"/>
          <w:szCs w:val="22"/>
        </w:rPr>
        <w:t xml:space="preserve">it is effectively adopted by an agency </w:t>
      </w:r>
      <w:r w:rsidR="00616027">
        <w:rPr>
          <w:color w:val="000000"/>
          <w:szCs w:val="22"/>
        </w:rPr>
        <w:t>as its position on an issue or is used in dealings with the public</w:t>
      </w:r>
      <w:r w:rsidR="00BB485D">
        <w:rPr>
          <w:color w:val="000000"/>
          <w:szCs w:val="22"/>
        </w:rPr>
        <w:t>,</w:t>
      </w:r>
      <w:r w:rsidR="006610C6" w:rsidRPr="00403C26">
        <w:rPr>
          <w:rStyle w:val="FootnoteReference"/>
          <w:sz w:val="22"/>
          <w:szCs w:val="22"/>
        </w:rPr>
        <w:footnoteReference w:id="41"/>
      </w:r>
      <w:r w:rsidR="006610C6" w:rsidRPr="00403C26">
        <w:rPr>
          <w:color w:val="000000"/>
          <w:szCs w:val="22"/>
        </w:rPr>
        <w:t xml:space="preserve"> or if it represents the agency’s “working law.”</w:t>
      </w:r>
      <w:r w:rsidR="006610C6" w:rsidRPr="00403C26">
        <w:rPr>
          <w:rStyle w:val="FootnoteReference"/>
          <w:sz w:val="22"/>
          <w:szCs w:val="22"/>
        </w:rPr>
        <w:footnoteReference w:id="42"/>
      </w:r>
      <w:r w:rsidR="006610C6" w:rsidRPr="00403C26">
        <w:rPr>
          <w:color w:val="000000"/>
          <w:szCs w:val="22"/>
        </w:rPr>
        <w:t xml:space="preserve"> </w:t>
      </w:r>
      <w:r w:rsidR="000B6DA0" w:rsidRPr="00403C26">
        <w:rPr>
          <w:color w:val="000000"/>
          <w:szCs w:val="22"/>
        </w:rPr>
        <w:t xml:space="preserve"> </w:t>
      </w:r>
      <w:r>
        <w:t>It is well established that the predecisional character of a document is not altered by the fact that an agency has subsequently made a final decision, even if the final document reflects the predecisional material.</w:t>
      </w:r>
      <w:r w:rsidRPr="00B00730">
        <w:rPr>
          <w:rStyle w:val="FootnoteReference"/>
        </w:rPr>
        <w:t xml:space="preserve"> </w:t>
      </w:r>
      <w:r>
        <w:rPr>
          <w:rStyle w:val="FootnoteReference"/>
        </w:rPr>
        <w:footnoteReference w:id="43"/>
      </w:r>
      <w:r>
        <w:t xml:space="preserve">  We see no indication that OET intended to adopt or incorporate the exempt material in its decisions.</w:t>
      </w:r>
      <w:r>
        <w:rPr>
          <w:rStyle w:val="FootnoteReference"/>
        </w:rPr>
        <w:footnoteReference w:id="44"/>
      </w:r>
      <w:r>
        <w:t xml:space="preserve">  </w:t>
      </w:r>
    </w:p>
    <w:p w:rsidR="000C5D0A" w:rsidRPr="00403C26" w:rsidRDefault="009478EA" w:rsidP="009868F3">
      <w:pPr>
        <w:pStyle w:val="ParaNum"/>
        <w:rPr>
          <w:szCs w:val="22"/>
        </w:rPr>
      </w:pPr>
      <w:r>
        <w:rPr>
          <w:color w:val="000000"/>
          <w:szCs w:val="22"/>
        </w:rPr>
        <w:t xml:space="preserve">As to </w:t>
      </w:r>
      <w:r w:rsidR="000B6DA0" w:rsidRPr="00403C26">
        <w:rPr>
          <w:color w:val="000000"/>
          <w:szCs w:val="22"/>
        </w:rPr>
        <w:t>ACLU</w:t>
      </w:r>
      <w:r w:rsidR="00BE39CB">
        <w:rPr>
          <w:color w:val="000000"/>
          <w:szCs w:val="22"/>
        </w:rPr>
        <w:t xml:space="preserve">’s observation that </w:t>
      </w:r>
      <w:r w:rsidR="000B6DA0" w:rsidRPr="00403C26">
        <w:rPr>
          <w:color w:val="000000"/>
          <w:szCs w:val="22"/>
        </w:rPr>
        <w:t>any factual, as opposed to deliberative, material must be disclosed unless it is inextricably intertwined with exempt material</w:t>
      </w:r>
      <w:r>
        <w:rPr>
          <w:color w:val="000000"/>
          <w:szCs w:val="22"/>
        </w:rPr>
        <w:t>,</w:t>
      </w:r>
      <w:r w:rsidR="000B6DA0" w:rsidRPr="00403C26">
        <w:rPr>
          <w:rStyle w:val="FootnoteReference"/>
          <w:sz w:val="22"/>
          <w:szCs w:val="22"/>
        </w:rPr>
        <w:footnoteReference w:id="45"/>
      </w:r>
      <w:r w:rsidR="000B6DA0" w:rsidRPr="00403C26">
        <w:rPr>
          <w:color w:val="000000"/>
          <w:szCs w:val="22"/>
        </w:rPr>
        <w:t xml:space="preserve"> </w:t>
      </w:r>
      <w:r>
        <w:rPr>
          <w:color w:val="000000"/>
          <w:szCs w:val="22"/>
        </w:rPr>
        <w:t>w</w:t>
      </w:r>
      <w:r w:rsidR="00BE39CB" w:rsidRPr="00BE39CB">
        <w:rPr>
          <w:color w:val="000000"/>
          <w:szCs w:val="22"/>
        </w:rPr>
        <w:t xml:space="preserve">e found no segregable factual material.  The staff sometimes made reference to factual matters in the course of their discussions, but we see no way of segregating these passing references in an intelligible manner without disclosing the staff’s deliberations.  </w:t>
      </w:r>
      <w:r w:rsidR="00BE39CB">
        <w:rPr>
          <w:color w:val="000000"/>
          <w:szCs w:val="22"/>
        </w:rPr>
        <w:t>Further, i</w:t>
      </w:r>
      <w:r w:rsidR="00BE39CB" w:rsidRPr="00BE39CB">
        <w:rPr>
          <w:color w:val="000000"/>
          <w:szCs w:val="22"/>
        </w:rPr>
        <w:t xml:space="preserve">nasmuch as disclosure of this type of deliberation would tend to chill staff discussion, we find no basis to release this material on a discretionary basis.  </w:t>
      </w:r>
    </w:p>
    <w:p w:rsidR="008F594B" w:rsidRPr="00403C26" w:rsidRDefault="00BE39CB" w:rsidP="009868F3">
      <w:pPr>
        <w:pStyle w:val="ParaNum"/>
        <w:rPr>
          <w:szCs w:val="22"/>
        </w:rPr>
      </w:pPr>
      <w:r>
        <w:rPr>
          <w:szCs w:val="22"/>
        </w:rPr>
        <w:t xml:space="preserve">We will, however, modify OET’s findings in some respects.  </w:t>
      </w:r>
      <w:r w:rsidR="000A5EAC" w:rsidRPr="00403C26">
        <w:rPr>
          <w:szCs w:val="22"/>
        </w:rPr>
        <w:t xml:space="preserve">We </w:t>
      </w:r>
      <w:r>
        <w:rPr>
          <w:szCs w:val="22"/>
        </w:rPr>
        <w:t>find</w:t>
      </w:r>
      <w:r w:rsidR="00BB485D">
        <w:rPr>
          <w:szCs w:val="22"/>
        </w:rPr>
        <w:t xml:space="preserve"> </w:t>
      </w:r>
      <w:r w:rsidR="000A5EAC" w:rsidRPr="00403C26">
        <w:rPr>
          <w:szCs w:val="22"/>
        </w:rPr>
        <w:t xml:space="preserve">that </w:t>
      </w:r>
      <w:r>
        <w:rPr>
          <w:szCs w:val="22"/>
        </w:rPr>
        <w:t xml:space="preserve">some </w:t>
      </w:r>
      <w:r w:rsidR="000A5EAC" w:rsidRPr="00403C26">
        <w:rPr>
          <w:szCs w:val="22"/>
        </w:rPr>
        <w:t xml:space="preserve">e-mail chains </w:t>
      </w:r>
      <w:r>
        <w:rPr>
          <w:szCs w:val="22"/>
        </w:rPr>
        <w:t xml:space="preserve">withheld by OET </w:t>
      </w:r>
      <w:r w:rsidR="000A5EAC" w:rsidRPr="00403C26">
        <w:rPr>
          <w:szCs w:val="22"/>
        </w:rPr>
        <w:t>incorporate a number of e-mails between FCC personnel and personnel of Harris</w:t>
      </w:r>
      <w:r w:rsidR="00032893" w:rsidRPr="00403C26">
        <w:rPr>
          <w:szCs w:val="22"/>
        </w:rPr>
        <w:t xml:space="preserve">, which were </w:t>
      </w:r>
      <w:r w:rsidR="00BB485D">
        <w:rPr>
          <w:szCs w:val="22"/>
        </w:rPr>
        <w:t xml:space="preserve">apparently </w:t>
      </w:r>
      <w:r w:rsidR="00153CA7" w:rsidRPr="00403C26">
        <w:rPr>
          <w:szCs w:val="22"/>
        </w:rPr>
        <w:t>overlooked by OET in its Supplemental Decision</w:t>
      </w:r>
      <w:r w:rsidR="000A5EAC" w:rsidRPr="00403C26">
        <w:rPr>
          <w:szCs w:val="22"/>
        </w:rPr>
        <w:t>.  These e-mails do not fall within the scope of Exemption 5</w:t>
      </w:r>
      <w:r w:rsidR="0035681F">
        <w:rPr>
          <w:szCs w:val="22"/>
        </w:rPr>
        <w:t xml:space="preserve"> </w:t>
      </w:r>
      <w:r w:rsidR="000A5EAC" w:rsidRPr="00403C26">
        <w:rPr>
          <w:szCs w:val="22"/>
        </w:rPr>
        <w:t>because they are not intra-agency or inter-agency communications</w:t>
      </w:r>
      <w:r w:rsidR="005B5872">
        <w:rPr>
          <w:szCs w:val="22"/>
        </w:rPr>
        <w:t>, inasmuch as Harris is a private party who is not acting in a capacity that is “intra-agency.”</w:t>
      </w:r>
      <w:r w:rsidR="00277EE6">
        <w:rPr>
          <w:rStyle w:val="FootnoteReference"/>
          <w:szCs w:val="22"/>
        </w:rPr>
        <w:footnoteReference w:id="46"/>
      </w:r>
      <w:r w:rsidR="000A5EAC" w:rsidRPr="00403C26">
        <w:rPr>
          <w:szCs w:val="22"/>
        </w:rPr>
        <w:t xml:space="preserve">  </w:t>
      </w:r>
      <w:r w:rsidR="004C756A" w:rsidRPr="00403C26">
        <w:rPr>
          <w:color w:val="000000"/>
          <w:szCs w:val="22"/>
        </w:rPr>
        <w:t>We therefore direct OET to disclose them.  However, we further find that some of the material in these e-mails is exempt and should be redacted.  This includes the names of lower-level Commission employees, which are exempt under Exemption 6.</w:t>
      </w:r>
      <w:r w:rsidR="00B53358" w:rsidRPr="00403C26">
        <w:rPr>
          <w:rStyle w:val="FootnoteReference"/>
          <w:sz w:val="22"/>
          <w:szCs w:val="22"/>
        </w:rPr>
        <w:footnoteReference w:id="47"/>
      </w:r>
      <w:r w:rsidR="00334AAC" w:rsidRPr="00403C26">
        <w:rPr>
          <w:color w:val="000000"/>
          <w:szCs w:val="22"/>
        </w:rPr>
        <w:t xml:space="preserve">  We also find that the kind of technical information previously described as exempt under Exemption 4 should be redacted from the e-mails here.</w:t>
      </w:r>
      <w:r w:rsidR="00E947BB">
        <w:rPr>
          <w:color w:val="000000"/>
          <w:szCs w:val="22"/>
        </w:rPr>
        <w:t xml:space="preserve">  To the extent the chains contain intra-agency e-mails subject to Exemption 5, </w:t>
      </w:r>
      <w:r w:rsidR="004E4803">
        <w:rPr>
          <w:color w:val="000000"/>
          <w:szCs w:val="22"/>
        </w:rPr>
        <w:t>as discussed below,</w:t>
      </w:r>
      <w:r w:rsidR="00CD41B1">
        <w:rPr>
          <w:color w:val="000000"/>
          <w:szCs w:val="22"/>
        </w:rPr>
        <w:t xml:space="preserve"> </w:t>
      </w:r>
      <w:r w:rsidR="00E947BB">
        <w:rPr>
          <w:color w:val="000000"/>
          <w:szCs w:val="22"/>
        </w:rPr>
        <w:t xml:space="preserve">these should </w:t>
      </w:r>
      <w:r w:rsidR="00193C77">
        <w:rPr>
          <w:color w:val="000000"/>
          <w:szCs w:val="22"/>
        </w:rPr>
        <w:t xml:space="preserve">also </w:t>
      </w:r>
      <w:r w:rsidR="00E947BB">
        <w:rPr>
          <w:color w:val="000000"/>
          <w:szCs w:val="22"/>
        </w:rPr>
        <w:t>be withheld.</w:t>
      </w:r>
    </w:p>
    <w:p w:rsidR="000B6DA0" w:rsidRPr="00BE39CB" w:rsidRDefault="00542F3F" w:rsidP="009868F3">
      <w:pPr>
        <w:pStyle w:val="ParaNum"/>
        <w:rPr>
          <w:szCs w:val="22"/>
        </w:rPr>
      </w:pPr>
      <w:r>
        <w:rPr>
          <w:color w:val="000000"/>
          <w:szCs w:val="22"/>
        </w:rPr>
        <w:t xml:space="preserve">Additionally, </w:t>
      </w:r>
      <w:r w:rsidR="00032893" w:rsidRPr="009868F3">
        <w:rPr>
          <w:color w:val="000000"/>
          <w:szCs w:val="22"/>
        </w:rPr>
        <w:t>w</w:t>
      </w:r>
      <w:r w:rsidR="00992AE3" w:rsidRPr="009868F3">
        <w:rPr>
          <w:color w:val="000000"/>
          <w:szCs w:val="22"/>
        </w:rPr>
        <w:t xml:space="preserve">e find that a document attached to one of the e-mails is not predecisional.  This document consists of a chart summarizing standards for granting certain kinds of confidentiality requests.  We find that the chart </w:t>
      </w:r>
      <w:r w:rsidR="009A4DA4">
        <w:rPr>
          <w:color w:val="000000"/>
          <w:szCs w:val="22"/>
        </w:rPr>
        <w:t>has been adopted by OET as an internal set of guid</w:t>
      </w:r>
      <w:r w:rsidR="00566458">
        <w:rPr>
          <w:color w:val="000000"/>
          <w:szCs w:val="22"/>
        </w:rPr>
        <w:t>elines</w:t>
      </w:r>
      <w:r w:rsidR="009A4DA4">
        <w:rPr>
          <w:color w:val="000000"/>
          <w:szCs w:val="22"/>
        </w:rPr>
        <w:t xml:space="preserve"> that are </w:t>
      </w:r>
      <w:r w:rsidR="00992AE3" w:rsidRPr="009868F3">
        <w:rPr>
          <w:color w:val="000000"/>
          <w:szCs w:val="22"/>
        </w:rPr>
        <w:t xml:space="preserve">used generally by OET staff </w:t>
      </w:r>
      <w:r w:rsidR="009A4DA4">
        <w:rPr>
          <w:color w:val="000000"/>
          <w:szCs w:val="22"/>
        </w:rPr>
        <w:t xml:space="preserve">in resolving </w:t>
      </w:r>
      <w:r w:rsidR="00992AE3" w:rsidRPr="009868F3">
        <w:rPr>
          <w:color w:val="000000"/>
          <w:szCs w:val="22"/>
        </w:rPr>
        <w:t>confidentiality requests</w:t>
      </w:r>
      <w:r w:rsidR="00566458">
        <w:rPr>
          <w:color w:val="000000"/>
          <w:szCs w:val="22"/>
        </w:rPr>
        <w:t xml:space="preserve">, </w:t>
      </w:r>
      <w:r w:rsidR="00787508" w:rsidRPr="009868F3">
        <w:rPr>
          <w:color w:val="000000"/>
          <w:szCs w:val="22"/>
        </w:rPr>
        <w:t xml:space="preserve">although it is not a </w:t>
      </w:r>
      <w:r w:rsidR="00566458">
        <w:rPr>
          <w:color w:val="000000"/>
          <w:szCs w:val="22"/>
        </w:rPr>
        <w:t xml:space="preserve">formal binding regulation.  It </w:t>
      </w:r>
      <w:r w:rsidR="00992AE3" w:rsidRPr="009868F3">
        <w:rPr>
          <w:color w:val="000000"/>
          <w:szCs w:val="22"/>
        </w:rPr>
        <w:t>therefore constitutes OET’s “working law”</w:t>
      </w:r>
      <w:r w:rsidR="00E4242B" w:rsidRPr="009868F3">
        <w:rPr>
          <w:color w:val="000000"/>
          <w:szCs w:val="22"/>
        </w:rPr>
        <w:t xml:space="preserve"> </w:t>
      </w:r>
      <w:r w:rsidR="00566458">
        <w:rPr>
          <w:color w:val="000000"/>
          <w:szCs w:val="22"/>
        </w:rPr>
        <w:t xml:space="preserve">(for making confidentiality determinations) </w:t>
      </w:r>
      <w:r w:rsidR="00E4242B" w:rsidRPr="009868F3">
        <w:rPr>
          <w:color w:val="000000"/>
          <w:szCs w:val="22"/>
        </w:rPr>
        <w:t>not covered by Exemption 5.</w:t>
      </w:r>
      <w:r w:rsidR="000C1DA2" w:rsidRPr="009868F3">
        <w:rPr>
          <w:rStyle w:val="FootnoteReference"/>
          <w:color w:val="000000"/>
          <w:szCs w:val="22"/>
        </w:rPr>
        <w:footnoteReference w:id="48"/>
      </w:r>
      <w:r w:rsidR="00992AE3" w:rsidRPr="009868F3">
        <w:rPr>
          <w:color w:val="000000"/>
          <w:szCs w:val="22"/>
        </w:rPr>
        <w:t xml:space="preserve">  We direct OE</w:t>
      </w:r>
      <w:r w:rsidR="00992AE3" w:rsidRPr="00BE39CB">
        <w:rPr>
          <w:szCs w:val="22"/>
        </w:rPr>
        <w:t>T to disclose it to ACLU.</w:t>
      </w:r>
    </w:p>
    <w:p w:rsidR="00757B76" w:rsidRPr="00CD6B27" w:rsidRDefault="00910727" w:rsidP="00CD6B27">
      <w:pPr>
        <w:pStyle w:val="ParaNum"/>
      </w:pPr>
      <w:r w:rsidRPr="00CD6B27">
        <w:rPr>
          <w:b/>
        </w:rPr>
        <w:t xml:space="preserve">Exemption 1.  </w:t>
      </w:r>
      <w:r w:rsidR="007D663F" w:rsidRPr="00CD6B27">
        <w:t>Finally, we find that OET properly withheld records under Exemption 1.</w:t>
      </w:r>
      <w:r w:rsidR="00CF3377">
        <w:rPr>
          <w:rStyle w:val="FootnoteReference"/>
          <w:szCs w:val="22"/>
        </w:rPr>
        <w:footnoteReference w:id="49"/>
      </w:r>
      <w:r w:rsidR="007D663F" w:rsidRPr="00CD6B27">
        <w:t xml:space="preserve">  We find no merit to ACLU’s claim that </w:t>
      </w:r>
      <w:r w:rsidR="005B2BB2" w:rsidRPr="00CD6B27">
        <w:t xml:space="preserve">that </w:t>
      </w:r>
      <w:r w:rsidR="007D663F" w:rsidRPr="00CD6B27">
        <w:t xml:space="preserve">Exemption 1 does not apply because </w:t>
      </w:r>
      <w:r w:rsidR="005B2BB2" w:rsidRPr="00CD6B27">
        <w:t>the Government has officially acknowledged its use of IMSI catchers (</w:t>
      </w:r>
      <w:r w:rsidR="005B2BB2" w:rsidRPr="00CD6B27">
        <w:rPr>
          <w:i/>
          <w:iCs/>
        </w:rPr>
        <w:t>e.g</w:t>
      </w:r>
      <w:r w:rsidR="005B2BB2" w:rsidRPr="00CD6B27">
        <w:t>., FBI production of documents pursuant to a separate FOIA)</w:t>
      </w:r>
      <w:r w:rsidR="005B2BB2" w:rsidRPr="00BE39CB">
        <w:rPr>
          <w:rStyle w:val="FootnoteReference"/>
          <w:szCs w:val="22"/>
        </w:rPr>
        <w:footnoteReference w:id="50"/>
      </w:r>
      <w:r w:rsidR="005B2BB2" w:rsidRPr="00CD6B27">
        <w:t xml:space="preserve"> and that no explanation was provided as to why the disclosure could be expected to harm national security.</w:t>
      </w:r>
      <w:r w:rsidR="005B2BB2" w:rsidRPr="00BE39CB">
        <w:rPr>
          <w:rStyle w:val="FootnoteReference"/>
          <w:szCs w:val="22"/>
        </w:rPr>
        <w:footnoteReference w:id="51"/>
      </w:r>
      <w:r w:rsidR="005B2BB2" w:rsidRPr="00CD6B27">
        <w:t>  Our review of the agency’s records withheld under Exemption 1 reveals that they are classified, and thus, subject to the application of Exemption 1.</w:t>
      </w:r>
      <w:r w:rsidR="00D454BC" w:rsidRPr="001C53DC">
        <w:rPr>
          <w:rStyle w:val="FootnoteReference"/>
          <w:szCs w:val="22"/>
        </w:rPr>
        <w:footnoteReference w:id="52"/>
      </w:r>
      <w:r w:rsidR="005B2BB2" w:rsidRPr="00CD6B27">
        <w:t xml:space="preserve">  We further find that</w:t>
      </w:r>
      <w:r w:rsidR="007D663F" w:rsidRPr="00CD6B27">
        <w:t xml:space="preserve"> the fact that the government generally acknowledged in separate litigation that it uses IMSI catchers does not change the analysis.  The document</w:t>
      </w:r>
      <w:r w:rsidR="00B6688D" w:rsidRPr="00CD6B27">
        <w:t>s</w:t>
      </w:r>
      <w:r w:rsidR="007D663F" w:rsidRPr="00CD6B27">
        <w:t xml:space="preserve"> here </w:t>
      </w:r>
      <w:r w:rsidR="005B2BB2" w:rsidRPr="00CD6B27">
        <w:t xml:space="preserve">concern matters that are not in the public domain.  These records relate to spectrum management, and their release could harm our national security by disclosing operational parameters, </w:t>
      </w:r>
      <w:r w:rsidR="00F30960" w:rsidRPr="00CD6B27">
        <w:t xml:space="preserve">inasmuch as </w:t>
      </w:r>
      <w:r w:rsidR="000C6352" w:rsidRPr="00CD6B27">
        <w:t>widespread knowledge of these parameters co</w:t>
      </w:r>
      <w:r w:rsidR="005B2BB2" w:rsidRPr="00CD6B27">
        <w:t>uld compromise the effective operation of systems using the spectrum.  Finally, we find that any further description in a public document such as this memorandum opinion and order could compromise these operational parameters.</w:t>
      </w:r>
      <w:r w:rsidR="005B2BB2">
        <w:rPr>
          <w:rStyle w:val="FootnoteReference"/>
        </w:rPr>
        <w:footnoteReference w:id="53"/>
      </w:r>
    </w:p>
    <w:bookmarkEnd w:id="2"/>
    <w:p w:rsidR="008F264E" w:rsidRPr="00403C26" w:rsidRDefault="008F264E" w:rsidP="00C6430E">
      <w:pPr>
        <w:pStyle w:val="Heading1"/>
      </w:pPr>
      <w:r w:rsidRPr="00403C26">
        <w:t>ORDERING CLAUSE</w:t>
      </w:r>
      <w:r w:rsidR="00943ED6" w:rsidRPr="00403C26">
        <w:t>S</w:t>
      </w:r>
    </w:p>
    <w:p w:rsidR="0091192B" w:rsidRPr="00E3242C" w:rsidRDefault="008F264E" w:rsidP="009868F3">
      <w:pPr>
        <w:pStyle w:val="ParaNum"/>
        <w:rPr>
          <w:szCs w:val="22"/>
        </w:rPr>
      </w:pPr>
      <w:r w:rsidRPr="00E3242C">
        <w:rPr>
          <w:szCs w:val="22"/>
        </w:rPr>
        <w:t>IT IS ORDERED that the application</w:t>
      </w:r>
      <w:r w:rsidR="00B83C28" w:rsidRPr="00E3242C">
        <w:rPr>
          <w:szCs w:val="22"/>
        </w:rPr>
        <w:t>s</w:t>
      </w:r>
      <w:r w:rsidRPr="00E3242C">
        <w:rPr>
          <w:szCs w:val="22"/>
        </w:rPr>
        <w:t xml:space="preserve"> for review filed by </w:t>
      </w:r>
      <w:r w:rsidR="008616B1" w:rsidRPr="00E3242C">
        <w:rPr>
          <w:szCs w:val="22"/>
        </w:rPr>
        <w:t>the American Civil Liberties Union of Northern Califo</w:t>
      </w:r>
      <w:r w:rsidR="000833BF" w:rsidRPr="00E3242C">
        <w:rPr>
          <w:szCs w:val="22"/>
        </w:rPr>
        <w:t>r</w:t>
      </w:r>
      <w:r w:rsidR="008616B1" w:rsidRPr="00E3242C">
        <w:rPr>
          <w:szCs w:val="22"/>
        </w:rPr>
        <w:t>nia</w:t>
      </w:r>
      <w:r w:rsidR="00B83C28" w:rsidRPr="00E3242C">
        <w:rPr>
          <w:szCs w:val="22"/>
        </w:rPr>
        <w:t xml:space="preserve"> ARE GRANTED in part and ARE DENIED in part.</w:t>
      </w:r>
      <w:r w:rsidR="00E3242C" w:rsidRPr="00E3242C">
        <w:rPr>
          <w:szCs w:val="22"/>
        </w:rPr>
        <w:t xml:space="preserve">  ACLU </w:t>
      </w:r>
      <w:r w:rsidR="00E3242C">
        <w:t>may seek judicial review of this action pursuant to 5 U.S.C. § 552(a)(4)(B</w:t>
      </w:r>
      <w:r w:rsidR="00CD41B1">
        <w:t>).</w:t>
      </w:r>
      <w:r w:rsidRPr="00403C26">
        <w:rPr>
          <w:rStyle w:val="FootnoteReference"/>
          <w:sz w:val="22"/>
          <w:szCs w:val="22"/>
        </w:rPr>
        <w:footnoteReference w:id="54"/>
      </w:r>
    </w:p>
    <w:p w:rsidR="008F264E" w:rsidRDefault="008F264E" w:rsidP="009868F3">
      <w:pPr>
        <w:pStyle w:val="ParaNum"/>
        <w:rPr>
          <w:szCs w:val="22"/>
        </w:rPr>
      </w:pPr>
      <w:r w:rsidRPr="00403C26">
        <w:rPr>
          <w:szCs w:val="22"/>
        </w:rPr>
        <w:t xml:space="preserve">The officials responsible for this action are the following:  </w:t>
      </w:r>
      <w:r w:rsidR="008B55AA" w:rsidRPr="00403C26">
        <w:rPr>
          <w:szCs w:val="22"/>
        </w:rPr>
        <w:t>Cha</w:t>
      </w:r>
      <w:r w:rsidR="001E0200" w:rsidRPr="00403C26">
        <w:rPr>
          <w:szCs w:val="22"/>
        </w:rPr>
        <w:t>irman</w:t>
      </w:r>
      <w:r w:rsidR="008B55AA" w:rsidRPr="00403C26">
        <w:rPr>
          <w:szCs w:val="22"/>
        </w:rPr>
        <w:t xml:space="preserve"> Wheeler and Commissioners </w:t>
      </w:r>
      <w:r w:rsidRPr="00403C26">
        <w:rPr>
          <w:szCs w:val="22"/>
        </w:rPr>
        <w:t>Clyburn</w:t>
      </w:r>
      <w:r w:rsidR="008B55AA" w:rsidRPr="00403C26">
        <w:rPr>
          <w:szCs w:val="22"/>
        </w:rPr>
        <w:t xml:space="preserve">, </w:t>
      </w:r>
      <w:r w:rsidRPr="00403C26">
        <w:rPr>
          <w:szCs w:val="22"/>
        </w:rPr>
        <w:t>Rosenworcel</w:t>
      </w:r>
      <w:r w:rsidR="008B55AA" w:rsidRPr="00403C26">
        <w:rPr>
          <w:szCs w:val="22"/>
        </w:rPr>
        <w:t xml:space="preserve">, </w:t>
      </w:r>
      <w:r w:rsidRPr="00403C26">
        <w:rPr>
          <w:szCs w:val="22"/>
        </w:rPr>
        <w:t>Pai</w:t>
      </w:r>
      <w:r w:rsidR="008B55AA" w:rsidRPr="00403C26">
        <w:rPr>
          <w:szCs w:val="22"/>
        </w:rPr>
        <w:t>,</w:t>
      </w:r>
      <w:r w:rsidR="003E16F0" w:rsidRPr="00403C26">
        <w:rPr>
          <w:szCs w:val="22"/>
        </w:rPr>
        <w:t xml:space="preserve"> </w:t>
      </w:r>
      <w:r w:rsidR="008B55AA" w:rsidRPr="00403C26">
        <w:rPr>
          <w:szCs w:val="22"/>
        </w:rPr>
        <w:t>and O’Rielly</w:t>
      </w:r>
      <w:r w:rsidRPr="00403C26">
        <w:rPr>
          <w:szCs w:val="22"/>
        </w:rPr>
        <w:t>.</w:t>
      </w:r>
    </w:p>
    <w:p w:rsidR="00E5183B" w:rsidRDefault="00E5183B" w:rsidP="0017296B">
      <w:r>
        <w:tab/>
      </w:r>
      <w:r>
        <w:tab/>
      </w:r>
      <w:r>
        <w:tab/>
      </w:r>
      <w:r>
        <w:tab/>
      </w:r>
      <w:r>
        <w:tab/>
      </w:r>
      <w:r>
        <w:tab/>
        <w:t>FEDERAL COMMUNICATIONS COMMISSION</w:t>
      </w:r>
    </w:p>
    <w:p w:rsidR="00E5183B" w:rsidRDefault="00E5183B" w:rsidP="0017296B"/>
    <w:p w:rsidR="00E5183B" w:rsidRDefault="00E5183B" w:rsidP="0017296B"/>
    <w:p w:rsidR="00E5183B" w:rsidRDefault="00E5183B" w:rsidP="0017296B"/>
    <w:p w:rsidR="00E5183B" w:rsidRDefault="00E5183B" w:rsidP="0017296B"/>
    <w:p w:rsidR="00E5183B" w:rsidRDefault="00E5183B" w:rsidP="0017296B">
      <w:r>
        <w:tab/>
      </w:r>
      <w:r>
        <w:tab/>
      </w:r>
      <w:r>
        <w:tab/>
      </w:r>
      <w:r>
        <w:tab/>
      </w:r>
      <w:r>
        <w:tab/>
      </w:r>
      <w:r>
        <w:tab/>
        <w:t>Marlene H. Dortch</w:t>
      </w:r>
    </w:p>
    <w:p w:rsidR="00E5183B" w:rsidRDefault="00E5183B" w:rsidP="0017296B">
      <w:r>
        <w:tab/>
      </w:r>
      <w:r>
        <w:tab/>
      </w:r>
      <w:r>
        <w:tab/>
      </w:r>
      <w:r>
        <w:tab/>
      </w:r>
      <w:r>
        <w:tab/>
      </w:r>
      <w:r>
        <w:tab/>
        <w:t>Secretary</w:t>
      </w:r>
    </w:p>
    <w:p w:rsidR="00E5183B" w:rsidRPr="00403C26" w:rsidRDefault="00E5183B" w:rsidP="00E5183B">
      <w:pPr>
        <w:pStyle w:val="ParaNum"/>
        <w:numPr>
          <w:ilvl w:val="0"/>
          <w:numId w:val="0"/>
        </w:numPr>
        <w:ind w:left="720"/>
        <w:rPr>
          <w:szCs w:val="22"/>
        </w:rPr>
      </w:pPr>
    </w:p>
    <w:sectPr w:rsidR="00E5183B" w:rsidRPr="00403C26" w:rsidSect="00EE31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217A56" w15:done="0"/>
  <w15:commentEx w15:paraId="035F0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9A" w:rsidRDefault="00396F9A" w:rsidP="008F264E">
      <w:r>
        <w:separator/>
      </w:r>
    </w:p>
  </w:endnote>
  <w:endnote w:type="continuationSeparator" w:id="0">
    <w:p w:rsidR="00396F9A" w:rsidRDefault="00396F9A" w:rsidP="008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2A" w:rsidRDefault="00425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453226">
    <w:pPr>
      <w:pStyle w:val="Footer"/>
      <w:jc w:val="center"/>
    </w:pPr>
    <w:r>
      <w:rPr>
        <w:rStyle w:val="PageNumber"/>
      </w:rPr>
      <w:fldChar w:fldCharType="begin"/>
    </w:r>
    <w:r w:rsidR="00B830CA">
      <w:rPr>
        <w:rStyle w:val="PageNumber"/>
      </w:rPr>
      <w:instrText xml:space="preserve"> PAGE </w:instrText>
    </w:r>
    <w:r>
      <w:rPr>
        <w:rStyle w:val="PageNumber"/>
      </w:rPr>
      <w:fldChar w:fldCharType="separate"/>
    </w:r>
    <w:r w:rsidR="00CF69B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2A" w:rsidRDefault="0042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9A" w:rsidRDefault="00396F9A" w:rsidP="008F264E">
      <w:r>
        <w:separator/>
      </w:r>
    </w:p>
  </w:footnote>
  <w:footnote w:type="continuationSeparator" w:id="0">
    <w:p w:rsidR="00396F9A" w:rsidRDefault="00396F9A" w:rsidP="008F264E">
      <w:r>
        <w:continuationSeparator/>
      </w:r>
    </w:p>
  </w:footnote>
  <w:footnote w:id="1">
    <w:p w:rsidR="00CD6719" w:rsidRPr="00CD6719" w:rsidRDefault="00CD6719">
      <w:pPr>
        <w:pStyle w:val="FootnoteText"/>
      </w:pPr>
      <w:r>
        <w:rPr>
          <w:rStyle w:val="FootnoteReference"/>
        </w:rPr>
        <w:footnoteRef/>
      </w:r>
      <w:r>
        <w:t xml:space="preserve"> </w:t>
      </w:r>
      <w:r>
        <w:rPr>
          <w:i/>
        </w:rPr>
        <w:t xml:space="preserve">See </w:t>
      </w:r>
      <w:r>
        <w:t>Letter from Linda Lye</w:t>
      </w:r>
      <w:r w:rsidR="00D85769">
        <w:t>, Staff Attorney, American Civil Liberties Union of Northern California</w:t>
      </w:r>
      <w:r>
        <w:t xml:space="preserve"> to Sean Lev, </w:t>
      </w:r>
      <w:r w:rsidR="00AE32A5">
        <w:t xml:space="preserve">[then] </w:t>
      </w:r>
      <w:r>
        <w:t>General Counsel (Jul. 18, 2013) (</w:t>
      </w:r>
      <w:r w:rsidR="007326F7">
        <w:t xml:space="preserve">First </w:t>
      </w:r>
      <w:r>
        <w:t>AFR)</w:t>
      </w:r>
      <w:r w:rsidR="002B175B">
        <w:t xml:space="preserve">; Letter from Linda Lye to Sean Lev, </w:t>
      </w:r>
      <w:r w:rsidR="00AE32A5">
        <w:t xml:space="preserve">[then] </w:t>
      </w:r>
      <w:r w:rsidR="002B175B">
        <w:t>General Counsel (Oct. 23, 2013) (</w:t>
      </w:r>
      <w:r w:rsidR="00D36ABA">
        <w:t xml:space="preserve">Second </w:t>
      </w:r>
      <w:r w:rsidR="002B175B">
        <w:t>AFR)</w:t>
      </w:r>
      <w:r>
        <w:t>.</w:t>
      </w:r>
    </w:p>
  </w:footnote>
  <w:footnote w:id="2">
    <w:p w:rsidR="00AE32A5" w:rsidRPr="00AE32A5" w:rsidRDefault="00AE32A5">
      <w:pPr>
        <w:pStyle w:val="FootnoteText"/>
      </w:pPr>
      <w:r>
        <w:rPr>
          <w:rStyle w:val="FootnoteReference"/>
        </w:rPr>
        <w:footnoteRef/>
      </w:r>
      <w:r>
        <w:t xml:space="preserve"> </w:t>
      </w:r>
      <w:r>
        <w:rPr>
          <w:i/>
        </w:rPr>
        <w:t xml:space="preserve">See </w:t>
      </w:r>
      <w:r>
        <w:t>Letter from Linda Lye to Federal Communications Commission (Apr. 11, 2013) (Request).</w:t>
      </w:r>
    </w:p>
  </w:footnote>
  <w:footnote w:id="3">
    <w:p w:rsidR="00F84D78" w:rsidRPr="00403C26" w:rsidRDefault="00F84D78" w:rsidP="00F84D78">
      <w:pPr>
        <w:pStyle w:val="FootnoteText"/>
      </w:pPr>
      <w:r>
        <w:rPr>
          <w:rStyle w:val="FootnoteReference"/>
        </w:rPr>
        <w:footnoteRef/>
      </w:r>
      <w:r>
        <w:t xml:space="preserve"> </w:t>
      </w:r>
      <w:r w:rsidR="00403C26">
        <w:rPr>
          <w:i/>
        </w:rPr>
        <w:t xml:space="preserve">See </w:t>
      </w:r>
      <w:r w:rsidR="00403C26">
        <w:t xml:space="preserve">Request at 1.  </w:t>
      </w:r>
      <w:r w:rsidR="00335E9C">
        <w:t xml:space="preserve">The FOIA request defined </w:t>
      </w:r>
      <w:r>
        <w:t>IMSI catcher</w:t>
      </w:r>
      <w:r w:rsidR="00CF3377">
        <w:t>s</w:t>
      </w:r>
      <w:r>
        <w:t xml:space="preserve"> as </w:t>
      </w:r>
      <w:r w:rsidRPr="0044479B">
        <w:t>“technology that simulates a cell tower and t</w:t>
      </w:r>
      <w:r>
        <w:t>h</w:t>
      </w:r>
      <w:r w:rsidRPr="0044479B">
        <w:t>us triggers an automatic response from wireless devices on a particular cellular network in the range of the device</w:t>
      </w:r>
      <w:r w:rsidR="00403C26">
        <w:t xml:space="preserve">.” </w:t>
      </w:r>
      <w:r w:rsidR="00403C26">
        <w:rPr>
          <w:i/>
        </w:rPr>
        <w:t xml:space="preserve">See id. </w:t>
      </w:r>
      <w:r w:rsidR="00403C26">
        <w:t xml:space="preserve">at 3.  </w:t>
      </w:r>
      <w:r w:rsidRPr="0044479B">
        <w:t xml:space="preserve"> </w:t>
      </w:r>
      <w:r>
        <w:t xml:space="preserve">ACLU’s Request specifically referred to </w:t>
      </w:r>
      <w:r w:rsidRPr="0044479B">
        <w:t>Harris Corporation product</w:t>
      </w:r>
      <w:r w:rsidR="00403C26">
        <w:t xml:space="preserve">s: </w:t>
      </w:r>
      <w:r w:rsidRPr="0044479B">
        <w:t>TriggerFish, Stingray, Stingray II, AmberJack, HailStorm, Kingfish, Loggerhead; Martone Radio Technology products: Max-G, Max-W, Spartacus, Spartacus-II products; and Cellxion products: Optima, Quadra, UGX-300</w:t>
      </w:r>
      <w:r w:rsidR="00403C26">
        <w:t xml:space="preserve">, </w:t>
      </w:r>
      <w:r w:rsidRPr="0044479B">
        <w:t>GX-200, GX-Duo, and GX-Solo</w:t>
      </w:r>
      <w:r w:rsidR="00403C26">
        <w:t xml:space="preserve">.  </w:t>
      </w:r>
      <w:r w:rsidR="00403C26">
        <w:rPr>
          <w:i/>
        </w:rPr>
        <w:t>See id.</w:t>
      </w:r>
    </w:p>
  </w:footnote>
  <w:footnote w:id="4">
    <w:p w:rsidR="00EC46CD" w:rsidRPr="00FA0D0D" w:rsidRDefault="00EC46CD" w:rsidP="00EC46CD">
      <w:pPr>
        <w:pStyle w:val="FootnoteText"/>
      </w:pPr>
      <w:r>
        <w:rPr>
          <w:rStyle w:val="FootnoteReference"/>
        </w:rPr>
        <w:footnoteRef/>
      </w:r>
      <w:r>
        <w:t xml:space="preserve"> </w:t>
      </w:r>
      <w:r>
        <w:rPr>
          <w:i/>
        </w:rPr>
        <w:t xml:space="preserve">See </w:t>
      </w:r>
      <w:r>
        <w:t>Request at 3-4.</w:t>
      </w:r>
    </w:p>
  </w:footnote>
  <w:footnote w:id="5">
    <w:p w:rsidR="00FA0D0D" w:rsidRPr="00FA0D0D" w:rsidRDefault="00FA0D0D">
      <w:pPr>
        <w:pStyle w:val="FootnoteText"/>
      </w:pPr>
      <w:r>
        <w:rPr>
          <w:rStyle w:val="FootnoteReference"/>
        </w:rPr>
        <w:footnoteRef/>
      </w:r>
      <w:r>
        <w:t xml:space="preserve"> </w:t>
      </w:r>
      <w:r>
        <w:rPr>
          <w:i/>
        </w:rPr>
        <w:t xml:space="preserve">See </w:t>
      </w:r>
      <w:r w:rsidR="00147153">
        <w:t xml:space="preserve">Letter from Julius P. Knapp, Chief, Office of Engineering and Technology </w:t>
      </w:r>
      <w:r w:rsidR="00882240">
        <w:t xml:space="preserve">to Linda Lye </w:t>
      </w:r>
      <w:r w:rsidR="00147153">
        <w:t>(</w:t>
      </w:r>
      <w:r w:rsidR="00882240">
        <w:t>Jun. 19, 2013) (</w:t>
      </w:r>
      <w:r w:rsidR="00615804">
        <w:t xml:space="preserve">First </w:t>
      </w:r>
      <w:r>
        <w:t>Decision</w:t>
      </w:r>
      <w:r w:rsidR="00882240">
        <w:t>)</w:t>
      </w:r>
      <w:r>
        <w:t xml:space="preserve"> at 2.</w:t>
      </w:r>
    </w:p>
  </w:footnote>
  <w:footnote w:id="6">
    <w:p w:rsidR="00FA0D0D" w:rsidRPr="00FA0D0D" w:rsidRDefault="00FA0D0D">
      <w:pPr>
        <w:pStyle w:val="FootnoteText"/>
      </w:pPr>
      <w:r>
        <w:rPr>
          <w:rStyle w:val="FootnoteReference"/>
        </w:rPr>
        <w:footnoteRef/>
      </w:r>
      <w:r>
        <w:t xml:space="preserve"> </w:t>
      </w:r>
      <w:r>
        <w:rPr>
          <w:i/>
        </w:rPr>
        <w:t xml:space="preserve">See id. </w:t>
      </w:r>
    </w:p>
  </w:footnote>
  <w:footnote w:id="7">
    <w:p w:rsidR="00CA26A8" w:rsidRPr="00CA26A8" w:rsidRDefault="00CA26A8">
      <w:pPr>
        <w:pStyle w:val="FootnoteText"/>
        <w:rPr>
          <w:i/>
        </w:rPr>
      </w:pPr>
      <w:r>
        <w:rPr>
          <w:rStyle w:val="FootnoteReference"/>
        </w:rPr>
        <w:footnoteRef/>
      </w:r>
      <w:r>
        <w:t xml:space="preserve"> </w:t>
      </w:r>
      <w:r>
        <w:rPr>
          <w:i/>
        </w:rPr>
        <w:t xml:space="preserve">See id. </w:t>
      </w:r>
    </w:p>
  </w:footnote>
  <w:footnote w:id="8">
    <w:p w:rsidR="006C32B6" w:rsidRDefault="006C32B6">
      <w:pPr>
        <w:pStyle w:val="FootnoteText"/>
      </w:pPr>
      <w:r>
        <w:rPr>
          <w:rStyle w:val="FootnoteReference"/>
        </w:rPr>
        <w:footnoteRef/>
      </w:r>
      <w:r>
        <w:t xml:space="preserve"> </w:t>
      </w:r>
      <w:r>
        <w:rPr>
          <w:i/>
        </w:rPr>
        <w:t xml:space="preserve">See </w:t>
      </w:r>
      <w:r>
        <w:t>5 U.S.C. § 552(b)(4)</w:t>
      </w:r>
      <w:r w:rsidR="00D36ABA">
        <w:t xml:space="preserve"> (</w:t>
      </w:r>
      <w:r w:rsidR="00D36ABA" w:rsidRPr="00D36ABA">
        <w:t>“trade secrets and commercial or financial information obtained from a person and privileged or confidential”</w:t>
      </w:r>
      <w:r w:rsidR="00D36ABA">
        <w:t>).</w:t>
      </w:r>
    </w:p>
  </w:footnote>
  <w:footnote w:id="9">
    <w:p w:rsidR="006C32B6" w:rsidRDefault="006C32B6">
      <w:pPr>
        <w:pStyle w:val="FootnoteText"/>
      </w:pPr>
      <w:r>
        <w:rPr>
          <w:rStyle w:val="FootnoteReference"/>
        </w:rPr>
        <w:footnoteRef/>
      </w:r>
      <w:r>
        <w:t xml:space="preserve"> </w:t>
      </w:r>
      <w:r>
        <w:rPr>
          <w:i/>
        </w:rPr>
        <w:t xml:space="preserve">See </w:t>
      </w:r>
      <w:r>
        <w:t>5 U.S.C. § 552(b)(5)</w:t>
      </w:r>
      <w:r w:rsidR="00D36ABA">
        <w:t xml:space="preserve"> (“</w:t>
      </w:r>
      <w:r w:rsidR="00D36ABA" w:rsidRPr="00D36ABA">
        <w:t>inter-agency or intra-agency memorandums or letters which would not be available to a party other than an agenc</w:t>
      </w:r>
      <w:r w:rsidR="00D36ABA">
        <w:t>y in litigation with the agency”).</w:t>
      </w:r>
    </w:p>
  </w:footnote>
  <w:footnote w:id="10">
    <w:p w:rsidR="00CA0639" w:rsidRDefault="00CA0639">
      <w:pPr>
        <w:pStyle w:val="FootnoteText"/>
      </w:pPr>
      <w:r>
        <w:rPr>
          <w:rStyle w:val="FootnoteReference"/>
        </w:rPr>
        <w:footnoteRef/>
      </w:r>
      <w:r>
        <w:t xml:space="preserve"> </w:t>
      </w:r>
      <w:r>
        <w:rPr>
          <w:i/>
        </w:rPr>
        <w:t xml:space="preserve">See </w:t>
      </w:r>
      <w:r>
        <w:t>5 U.S.C. § 552(b)(7)(E)</w:t>
      </w:r>
      <w:r w:rsidR="00D36ABA">
        <w:t xml:space="preserve"> (“</w:t>
      </w:r>
      <w:r w:rsidR="00D36ABA" w:rsidRPr="00645724">
        <w:rPr>
          <w:szCs w:val="22"/>
        </w:rPr>
        <w:t>records or information compiled for law enforcement purposes, but only to the extent that the production of such law enforcement records or information . . . (E) would disclose techniques and procedures for law enforcement investigations or prosecutions, or would disclose guidelines for law enforcement investigations or prosecutions if such disclosure could reasonably be expected to risk circumvention of the law.”</w:t>
      </w:r>
      <w:r w:rsidR="00D36ABA">
        <w:rPr>
          <w:szCs w:val="22"/>
        </w:rPr>
        <w:t>).</w:t>
      </w:r>
    </w:p>
  </w:footnote>
  <w:footnote w:id="11">
    <w:p w:rsidR="002F36AE" w:rsidRPr="002F36AE" w:rsidRDefault="002F36AE">
      <w:pPr>
        <w:pStyle w:val="FootnoteText"/>
      </w:pPr>
      <w:r>
        <w:rPr>
          <w:rStyle w:val="FootnoteReference"/>
        </w:rPr>
        <w:footnoteRef/>
      </w:r>
      <w:r>
        <w:t xml:space="preserve"> </w:t>
      </w:r>
      <w:r>
        <w:rPr>
          <w:i/>
        </w:rPr>
        <w:t xml:space="preserve">See </w:t>
      </w:r>
      <w:r w:rsidR="0002225E">
        <w:t>First Decision</w:t>
      </w:r>
      <w:r w:rsidR="006D5450" w:rsidRPr="007E6EFD">
        <w:t xml:space="preserve"> </w:t>
      </w:r>
      <w:r>
        <w:t>at 2.</w:t>
      </w:r>
      <w:r w:rsidR="005E58F6">
        <w:t xml:space="preserve">  </w:t>
      </w:r>
      <w:r>
        <w:t xml:space="preserve">  </w:t>
      </w:r>
    </w:p>
  </w:footnote>
  <w:footnote w:id="12">
    <w:p w:rsidR="00720E58" w:rsidRPr="008E64A7" w:rsidRDefault="00720E58" w:rsidP="00720E58">
      <w:pPr>
        <w:pStyle w:val="FootnoteText"/>
      </w:pPr>
      <w:r>
        <w:rPr>
          <w:rStyle w:val="FootnoteReference"/>
        </w:rPr>
        <w:footnoteRef/>
      </w:r>
      <w:r>
        <w:t xml:space="preserve"> </w:t>
      </w:r>
      <w:r>
        <w:rPr>
          <w:i/>
        </w:rPr>
        <w:t xml:space="preserve">See </w:t>
      </w:r>
      <w:r>
        <w:t>5 U.S.C. § 552(b)(1)</w:t>
      </w:r>
      <w:r w:rsidR="00D36ABA">
        <w:t xml:space="preserve"> (records that are</w:t>
      </w:r>
      <w:r w:rsidR="00D36ABA" w:rsidRPr="00D36ABA">
        <w:t xml:space="preserve"> “(A) specifically authorized under criteria established by an Executive order to be kept secret in the interest of national defense or foreign policy and (B) are in fact properly classified p</w:t>
      </w:r>
      <w:r w:rsidR="00D36ABA">
        <w:t>ursuant to such Executive order”).</w:t>
      </w:r>
    </w:p>
  </w:footnote>
  <w:footnote w:id="13">
    <w:p w:rsidR="00D36ABA" w:rsidRPr="00D36ABA" w:rsidRDefault="00D36ABA">
      <w:pPr>
        <w:pStyle w:val="FootnoteText"/>
      </w:pPr>
      <w:r>
        <w:rPr>
          <w:rStyle w:val="FootnoteReference"/>
        </w:rPr>
        <w:footnoteRef/>
      </w:r>
      <w:r>
        <w:t xml:space="preserve"> </w:t>
      </w:r>
      <w:r>
        <w:rPr>
          <w:i/>
        </w:rPr>
        <w:t xml:space="preserve">See </w:t>
      </w:r>
      <w:r w:rsidR="00594403">
        <w:rPr>
          <w:i/>
        </w:rPr>
        <w:t xml:space="preserve">supra </w:t>
      </w:r>
      <w:r w:rsidR="00D92B26">
        <w:t xml:space="preserve">note </w:t>
      </w:r>
      <w:r w:rsidR="00594403">
        <w:t>9</w:t>
      </w:r>
      <w:r>
        <w:t>.</w:t>
      </w:r>
    </w:p>
  </w:footnote>
  <w:footnote w:id="14">
    <w:p w:rsidR="005E58F6" w:rsidRPr="005E58F6" w:rsidRDefault="005E58F6">
      <w:pPr>
        <w:pStyle w:val="FootnoteText"/>
      </w:pPr>
      <w:r>
        <w:rPr>
          <w:rStyle w:val="FootnoteReference"/>
        </w:rPr>
        <w:footnoteRef/>
      </w:r>
      <w:r>
        <w:t xml:space="preserve"> </w:t>
      </w:r>
      <w:r>
        <w:rPr>
          <w:i/>
        </w:rPr>
        <w:t xml:space="preserve">See </w:t>
      </w:r>
      <w:r>
        <w:t>5 U.S.C. § 552(b)(7)(A)</w:t>
      </w:r>
      <w:r w:rsidR="00D36ABA">
        <w:t xml:space="preserve"> (“</w:t>
      </w:r>
      <w:r w:rsidR="00D36ABA" w:rsidRPr="00D36ABA">
        <w:t>records or information compiled for law enforcement purposes, but only to the extent that the production of such law enforcement records or information (A) could reasonably be expected to interfere with enforcement proceedings</w:t>
      </w:r>
      <w:r w:rsidR="00D36ABA">
        <w:t>”).</w:t>
      </w:r>
    </w:p>
  </w:footnote>
  <w:footnote w:id="15">
    <w:p w:rsidR="005E58F6" w:rsidRPr="005E58F6" w:rsidRDefault="005E58F6">
      <w:pPr>
        <w:pStyle w:val="FootnoteText"/>
      </w:pPr>
      <w:r>
        <w:rPr>
          <w:rStyle w:val="FootnoteReference"/>
        </w:rPr>
        <w:footnoteRef/>
      </w:r>
      <w:r>
        <w:t xml:space="preserve"> </w:t>
      </w:r>
      <w:r>
        <w:rPr>
          <w:i/>
        </w:rPr>
        <w:t xml:space="preserve">See </w:t>
      </w:r>
      <w:r w:rsidR="00594403">
        <w:rPr>
          <w:i/>
        </w:rPr>
        <w:t xml:space="preserve">supra </w:t>
      </w:r>
      <w:r w:rsidR="00D92B26">
        <w:t>note</w:t>
      </w:r>
      <w:r w:rsidR="00FE7F28">
        <w:t xml:space="preserve"> </w:t>
      </w:r>
      <w:r w:rsidR="00D36ABA">
        <w:t>1</w:t>
      </w:r>
      <w:r w:rsidR="00594403">
        <w:t>0</w:t>
      </w:r>
      <w:r w:rsidR="00D36ABA">
        <w:t>.</w:t>
      </w:r>
    </w:p>
  </w:footnote>
  <w:footnote w:id="16">
    <w:p w:rsidR="005042A8" w:rsidRPr="005042A8" w:rsidRDefault="005042A8">
      <w:pPr>
        <w:pStyle w:val="FootnoteText"/>
      </w:pPr>
      <w:r>
        <w:rPr>
          <w:rStyle w:val="FootnoteReference"/>
        </w:rPr>
        <w:footnoteRef/>
      </w:r>
      <w:r>
        <w:t xml:space="preserve"> </w:t>
      </w:r>
      <w:r>
        <w:rPr>
          <w:i/>
        </w:rPr>
        <w:t>See</w:t>
      </w:r>
      <w:r>
        <w:t xml:space="preserve"> 47 C.F.R. § 0.461(j) note.</w:t>
      </w:r>
    </w:p>
  </w:footnote>
  <w:footnote w:id="17">
    <w:p w:rsidR="00D22441" w:rsidRPr="00D22441" w:rsidRDefault="00D22441">
      <w:pPr>
        <w:pStyle w:val="FootnoteText"/>
      </w:pPr>
      <w:r>
        <w:rPr>
          <w:rStyle w:val="FootnoteReference"/>
        </w:rPr>
        <w:footnoteRef/>
      </w:r>
      <w:r>
        <w:t xml:space="preserve"> </w:t>
      </w:r>
      <w:r>
        <w:rPr>
          <w:i/>
        </w:rPr>
        <w:t xml:space="preserve">See </w:t>
      </w:r>
      <w:r w:rsidR="00882240">
        <w:t>Letter from Julius P. Knapp, Chief, Office of Engineering and Techno</w:t>
      </w:r>
      <w:r w:rsidR="007251BA">
        <w:t>l</w:t>
      </w:r>
      <w:r w:rsidR="00882240">
        <w:t>ogy to Linda Lye (Sept. 23, 2013) (</w:t>
      </w:r>
      <w:r>
        <w:t>Supplemental Decision</w:t>
      </w:r>
      <w:r w:rsidR="00882240">
        <w:t>)</w:t>
      </w:r>
      <w:r>
        <w:t xml:space="preserve"> at 1.</w:t>
      </w:r>
    </w:p>
  </w:footnote>
  <w:footnote w:id="18">
    <w:p w:rsidR="00F262C4" w:rsidRPr="00F262C4" w:rsidRDefault="00F262C4">
      <w:pPr>
        <w:pStyle w:val="FootnoteText"/>
      </w:pPr>
      <w:r>
        <w:rPr>
          <w:rStyle w:val="FootnoteReference"/>
        </w:rPr>
        <w:footnoteRef/>
      </w:r>
      <w:r>
        <w:t xml:space="preserve"> </w:t>
      </w:r>
      <w:r>
        <w:rPr>
          <w:i/>
        </w:rPr>
        <w:t xml:space="preserve">See id. </w:t>
      </w:r>
      <w:r>
        <w:t>at 2.</w:t>
      </w:r>
    </w:p>
  </w:footnote>
  <w:footnote w:id="19">
    <w:p w:rsidR="00F262C4" w:rsidRDefault="00F262C4">
      <w:pPr>
        <w:pStyle w:val="FootnoteText"/>
      </w:pPr>
      <w:r>
        <w:rPr>
          <w:rStyle w:val="FootnoteReference"/>
        </w:rPr>
        <w:footnoteRef/>
      </w:r>
      <w:r>
        <w:t xml:space="preserve"> </w:t>
      </w:r>
      <w:r>
        <w:rPr>
          <w:i/>
        </w:rPr>
        <w:t xml:space="preserve">See id. </w:t>
      </w:r>
      <w:r>
        <w:t>at 2-3.</w:t>
      </w:r>
    </w:p>
  </w:footnote>
  <w:footnote w:id="20">
    <w:p w:rsidR="00F262C4" w:rsidRDefault="00F262C4">
      <w:pPr>
        <w:pStyle w:val="FootnoteText"/>
      </w:pPr>
      <w:r>
        <w:rPr>
          <w:rStyle w:val="FootnoteReference"/>
        </w:rPr>
        <w:footnoteRef/>
      </w:r>
      <w:r>
        <w:t xml:space="preserve"> </w:t>
      </w:r>
      <w:r>
        <w:rPr>
          <w:i/>
        </w:rPr>
        <w:t xml:space="preserve">See id. </w:t>
      </w:r>
      <w:r>
        <w:t>at 3.</w:t>
      </w:r>
    </w:p>
  </w:footnote>
  <w:footnote w:id="21">
    <w:p w:rsidR="00E13B99" w:rsidRPr="00E13B99" w:rsidRDefault="00E13B99">
      <w:pPr>
        <w:pStyle w:val="FootnoteText"/>
        <w:rPr>
          <w:i/>
        </w:rPr>
      </w:pPr>
      <w:r>
        <w:rPr>
          <w:rStyle w:val="FootnoteReference"/>
        </w:rPr>
        <w:footnoteRef/>
      </w:r>
      <w:r>
        <w:t xml:space="preserve"> </w:t>
      </w:r>
      <w:r>
        <w:rPr>
          <w:i/>
        </w:rPr>
        <w:t>See id.</w:t>
      </w:r>
    </w:p>
  </w:footnote>
  <w:footnote w:id="22">
    <w:p w:rsidR="00102ABD" w:rsidRPr="00102ABD" w:rsidRDefault="00102ABD">
      <w:pPr>
        <w:pStyle w:val="FootnoteText"/>
      </w:pPr>
      <w:r>
        <w:rPr>
          <w:rStyle w:val="FootnoteReference"/>
        </w:rPr>
        <w:footnoteRef/>
      </w:r>
      <w:r>
        <w:t xml:space="preserve"> </w:t>
      </w:r>
      <w:r>
        <w:rPr>
          <w:i/>
        </w:rPr>
        <w:t xml:space="preserve">See id. </w:t>
      </w:r>
      <w:r>
        <w:t>at 4.</w:t>
      </w:r>
    </w:p>
  </w:footnote>
  <w:footnote w:id="23">
    <w:p w:rsidR="005042A8" w:rsidRPr="005042A8" w:rsidRDefault="005042A8" w:rsidP="00166AF5">
      <w:pPr>
        <w:pStyle w:val="FootnoteText"/>
        <w:jc w:val="both"/>
        <w:rPr>
          <w:szCs w:val="22"/>
        </w:rPr>
      </w:pPr>
      <w:r>
        <w:rPr>
          <w:rStyle w:val="FootnoteReference"/>
        </w:rPr>
        <w:footnoteRef/>
      </w:r>
      <w:r>
        <w:t xml:space="preserve"> </w:t>
      </w:r>
      <w:r>
        <w:rPr>
          <w:i/>
        </w:rPr>
        <w:t xml:space="preserve">See id. </w:t>
      </w:r>
    </w:p>
  </w:footnote>
  <w:footnote w:id="24">
    <w:p w:rsidR="002B175B" w:rsidRPr="002B175B" w:rsidRDefault="002B175B">
      <w:pPr>
        <w:pStyle w:val="FootnoteText"/>
      </w:pPr>
      <w:r>
        <w:rPr>
          <w:rStyle w:val="FootnoteReference"/>
        </w:rPr>
        <w:footnoteRef/>
      </w:r>
      <w:r>
        <w:t xml:space="preserve"> </w:t>
      </w:r>
      <w:r>
        <w:rPr>
          <w:i/>
        </w:rPr>
        <w:t xml:space="preserve">See supra </w:t>
      </w:r>
      <w:r>
        <w:t>note 1.</w:t>
      </w:r>
      <w:r w:rsidR="004D62CA">
        <w:t xml:space="preserve">  </w:t>
      </w:r>
    </w:p>
  </w:footnote>
  <w:footnote w:id="25">
    <w:p w:rsidR="002F6EEE" w:rsidRPr="002B175B" w:rsidRDefault="002F6EEE" w:rsidP="002F6EEE">
      <w:pPr>
        <w:pStyle w:val="FootnoteText"/>
      </w:pPr>
      <w:r>
        <w:rPr>
          <w:rStyle w:val="FootnoteReference"/>
        </w:rPr>
        <w:footnoteRef/>
      </w:r>
      <w:r>
        <w:t xml:space="preserve"> </w:t>
      </w:r>
      <w:r>
        <w:rPr>
          <w:i/>
        </w:rPr>
        <w:t xml:space="preserve">See </w:t>
      </w:r>
      <w:r w:rsidR="001C53DC">
        <w:rPr>
          <w:i/>
        </w:rPr>
        <w:t xml:space="preserve">id. </w:t>
      </w:r>
      <w:r w:rsidR="001C53DC">
        <w:t>a</w:t>
      </w:r>
      <w:r>
        <w:t xml:space="preserve">t 1; </w:t>
      </w:r>
      <w:r>
        <w:rPr>
          <w:i/>
        </w:rPr>
        <w:t xml:space="preserve">Weisberg v. U.S. Dep’t of Justice, </w:t>
      </w:r>
      <w:r>
        <w:t xml:space="preserve">705 F.2d 1344, 1351 (D.C. Cir. 1983).  </w:t>
      </w:r>
    </w:p>
  </w:footnote>
  <w:footnote w:id="26">
    <w:p w:rsidR="000F79CB" w:rsidRPr="00B766DA" w:rsidRDefault="000F79CB" w:rsidP="000F79CB">
      <w:pPr>
        <w:pStyle w:val="FootnoteText"/>
      </w:pPr>
      <w:r>
        <w:rPr>
          <w:rStyle w:val="FootnoteReference"/>
        </w:rPr>
        <w:footnoteRef/>
      </w:r>
      <w:r>
        <w:t xml:space="preserve"> </w:t>
      </w:r>
      <w:r>
        <w:rPr>
          <w:i/>
        </w:rPr>
        <w:t xml:space="preserve">See </w:t>
      </w:r>
      <w:r>
        <w:t>Supplemental Decision at 2.</w:t>
      </w:r>
    </w:p>
  </w:footnote>
  <w:footnote w:id="27">
    <w:p w:rsidR="00960331" w:rsidRDefault="00960331">
      <w:pPr>
        <w:pStyle w:val="FootnoteText"/>
      </w:pPr>
      <w:r>
        <w:rPr>
          <w:rStyle w:val="FootnoteReference"/>
        </w:rPr>
        <w:footnoteRef/>
      </w:r>
      <w:r>
        <w:t xml:space="preserve"> </w:t>
      </w:r>
      <w:r w:rsidR="00535F78">
        <w:t>47 CFR 0.461(d)(2), (e)(1), (f)(1)</w:t>
      </w:r>
    </w:p>
  </w:footnote>
  <w:footnote w:id="28">
    <w:p w:rsidR="00960331" w:rsidRPr="00966DAA" w:rsidRDefault="00960331" w:rsidP="006F2DEA">
      <w:pPr>
        <w:pStyle w:val="FootnoteText"/>
        <w:spacing w:after="0"/>
      </w:pPr>
      <w:r>
        <w:rPr>
          <w:rStyle w:val="FootnoteReference"/>
        </w:rPr>
        <w:footnoteRef/>
      </w:r>
      <w:r>
        <w:t xml:space="preserve"> </w:t>
      </w:r>
      <w:r w:rsidR="00890156">
        <w:t xml:space="preserve">Pursuant to the Commission’s </w:t>
      </w:r>
      <w:r w:rsidR="00535F78">
        <w:t>FOIA Directive</w:t>
      </w:r>
      <w:r w:rsidR="00890156">
        <w:t xml:space="preserve">, FCCINST 1179.2 (Apr. 16, 2012) ¶ 4(D)(3), </w:t>
      </w:r>
      <w:r w:rsidR="00890156" w:rsidRPr="000A062F">
        <w:rPr>
          <w:i/>
        </w:rPr>
        <w:t xml:space="preserve">available at </w:t>
      </w:r>
      <w:r w:rsidR="005260C9" w:rsidRPr="005260C9">
        <w:t>http://transition.fcc.gov/foia/e-room-foia-management-2012.pdf</w:t>
      </w:r>
      <w:r w:rsidR="00890156">
        <w:t xml:space="preserve">, the Performance Evaluation and Records Management Branch of the Office of </w:t>
      </w:r>
      <w:r w:rsidR="009238CC">
        <w:t>M</w:t>
      </w:r>
      <w:r w:rsidR="00890156">
        <w:t>anaging Director (OMD/PERM) is responsible</w:t>
      </w:r>
      <w:r w:rsidR="009238CC">
        <w:t xml:space="preserve">, where multiple </w:t>
      </w:r>
      <w:r w:rsidR="009D2532">
        <w:t xml:space="preserve">bureaus or </w:t>
      </w:r>
      <w:r w:rsidR="009238CC">
        <w:t xml:space="preserve">offices are likely to have responsive documents, </w:t>
      </w:r>
      <w:r w:rsidR="00890156">
        <w:t>for assigning FOIA requests</w:t>
      </w:r>
      <w:r w:rsidR="009238CC">
        <w:t xml:space="preserve"> </w:t>
      </w:r>
      <w:r w:rsidR="00890156">
        <w:t xml:space="preserve">to </w:t>
      </w:r>
      <w:r w:rsidR="009238CC">
        <w:t>a</w:t>
      </w:r>
      <w:r w:rsidR="00890156">
        <w:t xml:space="preserve"> lead </w:t>
      </w:r>
      <w:r w:rsidR="009D2532">
        <w:t xml:space="preserve">bureau </w:t>
      </w:r>
      <w:r w:rsidR="00890156">
        <w:t xml:space="preserve">or </w:t>
      </w:r>
      <w:r w:rsidR="000C2085">
        <w:t xml:space="preserve">office </w:t>
      </w:r>
      <w:r w:rsidR="00890156">
        <w:t>to prepare an initial</w:t>
      </w:r>
      <w:r w:rsidR="009238CC">
        <w:t xml:space="preserve"> </w:t>
      </w:r>
      <w:r w:rsidR="00890156">
        <w:t>res</w:t>
      </w:r>
      <w:r w:rsidR="009238CC">
        <w:t>p</w:t>
      </w:r>
      <w:r w:rsidR="00890156">
        <w:t xml:space="preserve">onse with the assistance of other offices and bureaus.  </w:t>
      </w:r>
    </w:p>
  </w:footnote>
  <w:footnote w:id="29">
    <w:p w:rsidR="006F2DEA" w:rsidRDefault="006F2DEA" w:rsidP="006F2DEA">
      <w:pPr>
        <w:pStyle w:val="FootnoteText"/>
        <w:spacing w:after="0"/>
      </w:pPr>
    </w:p>
    <w:p w:rsidR="006F2DEA" w:rsidRDefault="00CC261C" w:rsidP="006F2DEA">
      <w:pPr>
        <w:pStyle w:val="FootnoteText"/>
        <w:spacing w:after="0"/>
      </w:pPr>
      <w:r>
        <w:rPr>
          <w:rStyle w:val="FootnoteReference"/>
        </w:rPr>
        <w:footnoteRef/>
      </w:r>
      <w:r>
        <w:t xml:space="preserve"> </w:t>
      </w:r>
      <w:r>
        <w:rPr>
          <w:i/>
        </w:rPr>
        <w:t xml:space="preserve">See </w:t>
      </w:r>
      <w:r w:rsidR="004D62CA">
        <w:t xml:space="preserve">Supplemental Decision at 2.  </w:t>
      </w:r>
    </w:p>
    <w:p w:rsidR="00CC261C" w:rsidRPr="00CC261C" w:rsidRDefault="00CC261C" w:rsidP="006F2DEA">
      <w:pPr>
        <w:pStyle w:val="FootnoteText"/>
        <w:spacing w:after="0"/>
      </w:pPr>
      <w:r>
        <w:t xml:space="preserve">  </w:t>
      </w:r>
    </w:p>
  </w:footnote>
  <w:footnote w:id="30">
    <w:p w:rsidR="006F2DEA" w:rsidRPr="009D2532" w:rsidRDefault="006F2DEA">
      <w:pPr>
        <w:pStyle w:val="FootnoteText"/>
      </w:pPr>
      <w:r>
        <w:rPr>
          <w:rStyle w:val="FootnoteReference"/>
        </w:rPr>
        <w:footnoteRef/>
      </w:r>
      <w:r>
        <w:t xml:space="preserve"> </w:t>
      </w:r>
      <w:r w:rsidR="009D2532">
        <w:t xml:space="preserve">Under the Commission’s FOIA Directive, bureaus and offices are responsible for thoroughly searching files and records for the material requested.  </w:t>
      </w:r>
      <w:r w:rsidR="009D2532">
        <w:rPr>
          <w:i/>
        </w:rPr>
        <w:t xml:space="preserve">See </w:t>
      </w:r>
      <w:r w:rsidR="009D2532">
        <w:t>FCCINST 1179.2 ¶ 5(D)(1)(c).</w:t>
      </w:r>
    </w:p>
  </w:footnote>
  <w:footnote w:id="31">
    <w:p w:rsidR="009D2532" w:rsidRPr="00B766DA" w:rsidRDefault="009D2532" w:rsidP="009D2532">
      <w:pPr>
        <w:pStyle w:val="FootnoteText"/>
      </w:pPr>
      <w:r>
        <w:rPr>
          <w:rStyle w:val="FootnoteReference"/>
        </w:rPr>
        <w:footnoteRef/>
      </w:r>
      <w:r>
        <w:t xml:space="preserve"> </w:t>
      </w:r>
      <w:r>
        <w:rPr>
          <w:i/>
        </w:rPr>
        <w:t xml:space="preserve">See American-Arab Anti-Discrimination Committee v. U.S. Dep’t of Homeland Security, </w:t>
      </w:r>
      <w:r>
        <w:t>516 F. Supp.2d 83, 87-88 (D.D.C. 2007) (crediting statement by employee with personal knowledge that agency did not maintain responsive records).</w:t>
      </w:r>
    </w:p>
  </w:footnote>
  <w:footnote w:id="32">
    <w:p w:rsidR="009D2532" w:rsidRPr="00A3356D" w:rsidRDefault="009D2532">
      <w:pPr>
        <w:pStyle w:val="FootnoteText"/>
      </w:pPr>
      <w:r>
        <w:rPr>
          <w:rStyle w:val="FootnoteReference"/>
        </w:rPr>
        <w:footnoteRef/>
      </w:r>
      <w:r>
        <w:t xml:space="preserve"> </w:t>
      </w:r>
      <w:r>
        <w:rPr>
          <w:i/>
        </w:rPr>
        <w:t xml:space="preserve">See Electronic Frontier Foundation, </w:t>
      </w:r>
      <w:r>
        <w:t xml:space="preserve">26 FCC Rcd 14925, </w:t>
      </w:r>
      <w:r w:rsidR="00A3356D">
        <w:t xml:space="preserve">14927 ¶ 9 (2011) (where multiple bureaus and offices diligently searched for relevant information and talked to relevant personnel in an effort to discover whether responsive material existed and where it might be found, search was adequate); </w:t>
      </w:r>
      <w:r w:rsidR="00A3356D">
        <w:rPr>
          <w:i/>
        </w:rPr>
        <w:t xml:space="preserve">Leo Wrobel, Jr., </w:t>
      </w:r>
      <w:r w:rsidR="00A3356D">
        <w:t xml:space="preserve">21 FCC Rcd 2848, 2850 ¶ 6 (2006) (fact that search failed to produce a particular document does not render search inadequate where search </w:t>
      </w:r>
      <w:r w:rsidR="00FE7F28">
        <w:t xml:space="preserve">was </w:t>
      </w:r>
      <w:r w:rsidR="00A3356D">
        <w:t>clearly designed to uncover relevant documents).</w:t>
      </w:r>
    </w:p>
  </w:footnote>
  <w:footnote w:id="33">
    <w:p w:rsidR="00960331" w:rsidRDefault="00960331">
      <w:pPr>
        <w:pStyle w:val="FootnoteText"/>
      </w:pPr>
      <w:r>
        <w:rPr>
          <w:rStyle w:val="FootnoteReference"/>
        </w:rPr>
        <w:footnoteRef/>
      </w:r>
      <w:r>
        <w:t xml:space="preserve"> </w:t>
      </w:r>
      <w:r w:rsidR="00244911">
        <w:rPr>
          <w:i/>
        </w:rPr>
        <w:t xml:space="preserve">See </w:t>
      </w:r>
      <w:r w:rsidR="00244911" w:rsidRPr="00244911">
        <w:t>Supplemental Decision at 2-3.</w:t>
      </w:r>
    </w:p>
  </w:footnote>
  <w:footnote w:id="34">
    <w:p w:rsidR="008729E4" w:rsidRPr="00791212" w:rsidRDefault="008729E4" w:rsidP="008729E4">
      <w:pPr>
        <w:pStyle w:val="FootnoteText"/>
      </w:pPr>
      <w:r>
        <w:rPr>
          <w:rStyle w:val="FootnoteReference"/>
        </w:rPr>
        <w:footnoteRef/>
      </w:r>
      <w:r>
        <w:t xml:space="preserve"> </w:t>
      </w:r>
      <w:r>
        <w:rPr>
          <w:i/>
        </w:rPr>
        <w:t xml:space="preserve">See </w:t>
      </w:r>
      <w:r w:rsidR="00244911">
        <w:rPr>
          <w:i/>
        </w:rPr>
        <w:t>id.</w:t>
      </w:r>
      <w:r w:rsidR="00FE7F28">
        <w:t>;</w:t>
      </w:r>
      <w:r w:rsidR="00244911">
        <w:rPr>
          <w:i/>
        </w:rPr>
        <w:t xml:space="preserve"> </w:t>
      </w:r>
      <w:r w:rsidR="00FE7F28">
        <w:rPr>
          <w:i/>
        </w:rPr>
        <w:t>s</w:t>
      </w:r>
      <w:r w:rsidR="004044C9">
        <w:rPr>
          <w:i/>
        </w:rPr>
        <w:t xml:space="preserve">ee also Public Citizen Health Group v. FDA, </w:t>
      </w:r>
      <w:r w:rsidR="004044C9">
        <w:t>704 F.2d 1280, 1288 (D.C. Cir. 1983), which defined a trade secret for purposes of the FOIA as a “secret, commercially valuable . . . process or device that is used for the making . . . of trade commodities and that can be said to be the end product of either innovation or substantial effort.</w:t>
      </w:r>
      <w:r w:rsidR="00D12DA3">
        <w:t>”</w:t>
      </w:r>
      <w:r w:rsidR="004044C9">
        <w:t xml:space="preserve">  </w:t>
      </w:r>
    </w:p>
  </w:footnote>
  <w:footnote w:id="35">
    <w:p w:rsidR="008729E4" w:rsidRPr="008729E4" w:rsidRDefault="008729E4">
      <w:pPr>
        <w:pStyle w:val="FootnoteText"/>
      </w:pPr>
      <w:r>
        <w:rPr>
          <w:rStyle w:val="FootnoteReference"/>
        </w:rPr>
        <w:footnoteRef/>
      </w:r>
      <w:r>
        <w:t xml:space="preserve"> </w:t>
      </w:r>
      <w:r>
        <w:rPr>
          <w:i/>
        </w:rPr>
        <w:t xml:space="preserve">See </w:t>
      </w:r>
      <w:r w:rsidR="009478EA">
        <w:rPr>
          <w:i/>
        </w:rPr>
        <w:t>Second</w:t>
      </w:r>
      <w:r>
        <w:t xml:space="preserve"> AFR at 2, </w:t>
      </w:r>
      <w:r>
        <w:rPr>
          <w:i/>
        </w:rPr>
        <w:t xml:space="preserve">citing GC Micro Corp. v. Defense Logistics Agency, </w:t>
      </w:r>
      <w:r>
        <w:t>33 F.3d 1109, 1112</w:t>
      </w:r>
      <w:r w:rsidR="00C74CC9">
        <w:t xml:space="preserve"> </w:t>
      </w:r>
      <w:r>
        <w:t>(9</w:t>
      </w:r>
      <w:r w:rsidRPr="008729E4">
        <w:t>th</w:t>
      </w:r>
      <w:r>
        <w:t xml:space="preserve"> Cir. 1994); </w:t>
      </w:r>
      <w:r>
        <w:rPr>
          <w:i/>
        </w:rPr>
        <w:t xml:space="preserve">National Parks and Conservation Ass’n v. Morton, </w:t>
      </w:r>
      <w:r>
        <w:t>498 F.2d 765, 770 (D.C. Cir. 1974).</w:t>
      </w:r>
    </w:p>
  </w:footnote>
  <w:footnote w:id="36">
    <w:p w:rsidR="00C30EA7" w:rsidRPr="00C30EA7" w:rsidRDefault="00C30EA7">
      <w:pPr>
        <w:pStyle w:val="FootnoteText"/>
      </w:pPr>
      <w:r>
        <w:rPr>
          <w:rStyle w:val="FootnoteReference"/>
        </w:rPr>
        <w:footnoteRef/>
      </w:r>
      <w:r>
        <w:t xml:space="preserve"> </w:t>
      </w:r>
      <w:r>
        <w:rPr>
          <w:i/>
        </w:rPr>
        <w:t xml:space="preserve">See Public Citizen Health Group v. FDA, </w:t>
      </w:r>
      <w:r>
        <w:t xml:space="preserve">704 F.2d </w:t>
      </w:r>
      <w:r w:rsidR="004044C9">
        <w:t xml:space="preserve">at 1286 </w:t>
      </w:r>
      <w:r>
        <w:t>(</w:t>
      </w:r>
      <w:r w:rsidR="008B55AA">
        <w:t>if documents are trade secrets, no further inquiry is necessary; otherwise a showing of confidentiality must be made)</w:t>
      </w:r>
      <w:r w:rsidR="00713E35">
        <w:t>.</w:t>
      </w:r>
    </w:p>
  </w:footnote>
  <w:footnote w:id="37">
    <w:p w:rsidR="00783A02" w:rsidRDefault="00783A02">
      <w:pPr>
        <w:pStyle w:val="FootnoteText"/>
      </w:pPr>
      <w:r>
        <w:rPr>
          <w:rStyle w:val="FootnoteReference"/>
        </w:rPr>
        <w:footnoteRef/>
      </w:r>
      <w:r>
        <w:t xml:space="preserve"> Our review of the records disclosed a sales brochure</w:t>
      </w:r>
      <w:r w:rsidR="00193C77">
        <w:t xml:space="preserve"> distributed to law enforcement agencies</w:t>
      </w:r>
      <w:r>
        <w:t xml:space="preserve"> for Harris’ Stingray device.  We direct OET to release this brochure with Exemption 4 material redacted.</w:t>
      </w:r>
      <w:r w:rsidR="00FE7F28">
        <w:t xml:space="preserve"> </w:t>
      </w:r>
    </w:p>
  </w:footnote>
  <w:footnote w:id="38">
    <w:p w:rsidR="003B1E03" w:rsidRDefault="003B1E03" w:rsidP="003B1E03">
      <w:pPr>
        <w:pStyle w:val="FootnoteText"/>
      </w:pPr>
      <w:r>
        <w:rPr>
          <w:rStyle w:val="FootnoteReference"/>
        </w:rPr>
        <w:footnoteRef/>
      </w:r>
      <w:r>
        <w:t xml:space="preserve"> </w:t>
      </w:r>
      <w:r w:rsidRPr="004F6BA5">
        <w:t xml:space="preserve">To fall within the scope of the deliberate process privilege encompassed by Exemption 5, records must be both pre-decisional, </w:t>
      </w:r>
      <w:r w:rsidRPr="004F6BA5">
        <w:rPr>
          <w:i/>
        </w:rPr>
        <w:t xml:space="preserve">i.e., </w:t>
      </w:r>
      <w:r w:rsidRPr="004F6BA5">
        <w:t>“[they were] generated before the adoption of an agency policy [</w:t>
      </w:r>
      <w:r w:rsidRPr="004F6BA5">
        <w:rPr>
          <w:i/>
        </w:rPr>
        <w:t xml:space="preserve">i.e., </w:t>
      </w:r>
      <w:r w:rsidRPr="004F6BA5">
        <w:t xml:space="preserve">a decision],” and deliberative, </w:t>
      </w:r>
      <w:r w:rsidRPr="004F6BA5">
        <w:rPr>
          <w:i/>
        </w:rPr>
        <w:t xml:space="preserve">i.e., </w:t>
      </w:r>
      <w:r w:rsidRPr="004F6BA5">
        <w:t xml:space="preserve">“[they reflect] the give-and-take of the consultative process.  </w:t>
      </w:r>
      <w:r>
        <w:rPr>
          <w:i/>
        </w:rPr>
        <w:t xml:space="preserve">See </w:t>
      </w:r>
      <w:r w:rsidRPr="004F6BA5">
        <w:rPr>
          <w:i/>
        </w:rPr>
        <w:t xml:space="preserve">Senate of the Commonwealth of Puerto Rico v. U.S. Dep’t of Justice, </w:t>
      </w:r>
      <w:r w:rsidRPr="004F6BA5">
        <w:t>823 F.2d 574, 585 (D.C. Cir. 1987).</w:t>
      </w:r>
    </w:p>
  </w:footnote>
  <w:footnote w:id="39">
    <w:p w:rsidR="002A1640" w:rsidRDefault="002A1640">
      <w:pPr>
        <w:pStyle w:val="FootnoteText"/>
      </w:pPr>
      <w:r>
        <w:rPr>
          <w:rStyle w:val="FootnoteReference"/>
        </w:rPr>
        <w:footnoteRef/>
      </w:r>
      <w:r>
        <w:t xml:space="preserve">  </w:t>
      </w:r>
      <w:r w:rsidR="00CC2267">
        <w:rPr>
          <w:i/>
        </w:rPr>
        <w:t xml:space="preserve">See Dep’t of Interior v. Klamath Water Users Protective Ass’n, </w:t>
      </w:r>
      <w:r w:rsidR="00CC2267">
        <w:t>532 U.S. 1, 11-12</w:t>
      </w:r>
      <w:r w:rsidR="00CF3377">
        <w:t xml:space="preserve"> </w:t>
      </w:r>
      <w:r w:rsidR="00CC2267">
        <w:t>(2001) (</w:t>
      </w:r>
      <w:r w:rsidR="00246565">
        <w:t xml:space="preserve">threshold requirement for applying Exemption 5 is that the </w:t>
      </w:r>
      <w:r w:rsidR="0035681F">
        <w:t xml:space="preserve">documents are intra-agency or inter-agency </w:t>
      </w:r>
      <w:r w:rsidR="00246565">
        <w:t>communications</w:t>
      </w:r>
      <w:r w:rsidR="0039057F">
        <w:t>).</w:t>
      </w:r>
      <w:r w:rsidR="00CC2267">
        <w:t xml:space="preserve">  </w:t>
      </w:r>
    </w:p>
  </w:footnote>
  <w:footnote w:id="40">
    <w:p w:rsidR="006746DF" w:rsidRPr="006746DF" w:rsidRDefault="006746DF">
      <w:pPr>
        <w:pStyle w:val="FootnoteText"/>
      </w:pPr>
      <w:r>
        <w:rPr>
          <w:rStyle w:val="FootnoteReference"/>
        </w:rPr>
        <w:footnoteRef/>
      </w:r>
      <w:r>
        <w:t xml:space="preserve"> </w:t>
      </w:r>
      <w:r>
        <w:rPr>
          <w:i/>
        </w:rPr>
        <w:t xml:space="preserve">See </w:t>
      </w:r>
      <w:r>
        <w:t>Supplemental Decision at 3.</w:t>
      </w:r>
    </w:p>
  </w:footnote>
  <w:footnote w:id="41">
    <w:p w:rsidR="006610C6" w:rsidRPr="006610C6" w:rsidRDefault="006610C6">
      <w:pPr>
        <w:pStyle w:val="FootnoteText"/>
      </w:pPr>
      <w:r>
        <w:rPr>
          <w:rStyle w:val="FootnoteReference"/>
        </w:rPr>
        <w:footnoteRef/>
      </w:r>
      <w:r>
        <w:t xml:space="preserve"> </w:t>
      </w:r>
      <w:r w:rsidRPr="006610C6">
        <w:rPr>
          <w:i/>
        </w:rPr>
        <w:t xml:space="preserve">See </w:t>
      </w:r>
      <w:r w:rsidR="009478EA" w:rsidRPr="00AA7F5B">
        <w:t>Second</w:t>
      </w:r>
      <w:r w:rsidR="00DB67D4" w:rsidRPr="009478EA">
        <w:t xml:space="preserve"> </w:t>
      </w:r>
      <w:r w:rsidR="00DB67D4">
        <w:t xml:space="preserve">AFR at 2; </w:t>
      </w:r>
      <w:r w:rsidRPr="006610C6">
        <w:rPr>
          <w:i/>
        </w:rPr>
        <w:t>Coastal States Gas Corp. v. Dep’t of Energy,</w:t>
      </w:r>
      <w:r>
        <w:rPr>
          <w:i/>
        </w:rPr>
        <w:t xml:space="preserve"> </w:t>
      </w:r>
      <w:r>
        <w:t>617 F.32d 854, 866 (D.C. Cir. 1980).</w:t>
      </w:r>
    </w:p>
  </w:footnote>
  <w:footnote w:id="42">
    <w:p w:rsidR="006610C6" w:rsidRPr="006610C6" w:rsidRDefault="006610C6">
      <w:pPr>
        <w:pStyle w:val="FootnoteText"/>
      </w:pPr>
      <w:r>
        <w:rPr>
          <w:rStyle w:val="FootnoteReference"/>
        </w:rPr>
        <w:footnoteRef/>
      </w:r>
      <w:r>
        <w:t xml:space="preserve"> </w:t>
      </w:r>
      <w:r>
        <w:rPr>
          <w:i/>
        </w:rPr>
        <w:t xml:space="preserve">See </w:t>
      </w:r>
      <w:r w:rsidR="009478EA">
        <w:t xml:space="preserve">Second </w:t>
      </w:r>
      <w:r w:rsidR="00DB67D4">
        <w:t xml:space="preserve">AFR at 2; </w:t>
      </w:r>
      <w:r>
        <w:rPr>
          <w:i/>
        </w:rPr>
        <w:t xml:space="preserve">NLRB v. Sears Roebuck &amp; Co., </w:t>
      </w:r>
      <w:r>
        <w:t>421 U.S. 132, 152-53 (1975).</w:t>
      </w:r>
    </w:p>
  </w:footnote>
  <w:footnote w:id="43">
    <w:p w:rsidR="00BE39CB" w:rsidRDefault="00BE39CB" w:rsidP="00BE39CB">
      <w:pPr>
        <w:pStyle w:val="FootnoteText"/>
        <w:spacing w:after="0"/>
      </w:pPr>
      <w:r>
        <w:rPr>
          <w:rStyle w:val="FootnoteReference"/>
        </w:rPr>
        <w:footnoteRef/>
      </w:r>
      <w:r>
        <w:t xml:space="preserve"> </w:t>
      </w:r>
      <w:r>
        <w:rPr>
          <w:i/>
        </w:rPr>
        <w:t>See, e.g., Fed. Open Mkt. Comm. v. Merrill</w:t>
      </w:r>
      <w:r>
        <w:t xml:space="preserve">, 443 U.S. 340, 359-60 (1979); </w:t>
      </w:r>
      <w:r w:rsidRPr="0082792A">
        <w:rPr>
          <w:i/>
        </w:rPr>
        <w:t>Electronic Privacy Information Center v. Transportation Sec. Admin</w:t>
      </w:r>
      <w:r w:rsidRPr="0082792A">
        <w:t>., 928 F.Supp.2d 156, 169 (D.D.C. Mar 07, 2013)</w:t>
      </w:r>
      <w:r>
        <w:t xml:space="preserve">; </w:t>
      </w:r>
      <w:r>
        <w:rPr>
          <w:i/>
        </w:rPr>
        <w:t>John Dunbar</w:t>
      </w:r>
      <w:r>
        <w:t xml:space="preserve">, 23 FCC Rcd 9850, 9851 (2008).  </w:t>
      </w:r>
    </w:p>
    <w:p w:rsidR="00BE39CB" w:rsidRPr="00F5565F" w:rsidRDefault="00BE39CB" w:rsidP="00BE39CB">
      <w:pPr>
        <w:pStyle w:val="FootnoteText"/>
        <w:spacing w:after="0"/>
      </w:pPr>
    </w:p>
  </w:footnote>
  <w:footnote w:id="44">
    <w:p w:rsidR="00BE39CB" w:rsidRPr="001951F2" w:rsidRDefault="00BE39CB" w:rsidP="00BE39CB">
      <w:pPr>
        <w:pStyle w:val="FootnoteText"/>
      </w:pPr>
      <w:r>
        <w:rPr>
          <w:rStyle w:val="FootnoteReference"/>
        </w:rPr>
        <w:footnoteRef/>
      </w:r>
      <w:r>
        <w:t xml:space="preserve"> </w:t>
      </w:r>
      <w:r>
        <w:rPr>
          <w:i/>
        </w:rPr>
        <w:t>NLRB v. Sears, Roebuck &amp; Co.</w:t>
      </w:r>
      <w:r>
        <w:t>, 421 U.S. U.S. 132, 161 (1975) (agency may waive the deliberative process privilege by choosing expressly to adopt or incorporate protected material by reference).</w:t>
      </w:r>
    </w:p>
  </w:footnote>
  <w:footnote w:id="45">
    <w:p w:rsidR="000B6DA0" w:rsidRDefault="000B6DA0">
      <w:pPr>
        <w:pStyle w:val="FootnoteText"/>
      </w:pPr>
      <w:r>
        <w:rPr>
          <w:rStyle w:val="FootnoteReference"/>
        </w:rPr>
        <w:footnoteRef/>
      </w:r>
      <w:r>
        <w:t xml:space="preserve"> </w:t>
      </w:r>
      <w:r w:rsidRPr="000B6DA0">
        <w:rPr>
          <w:i/>
        </w:rPr>
        <w:t xml:space="preserve">See </w:t>
      </w:r>
      <w:r w:rsidR="009478EA">
        <w:t xml:space="preserve">Second </w:t>
      </w:r>
      <w:r w:rsidR="00DB67D4">
        <w:t xml:space="preserve">AFR at 2; </w:t>
      </w:r>
      <w:r w:rsidRPr="000B6DA0">
        <w:rPr>
          <w:i/>
        </w:rPr>
        <w:t>Ryan v. Dep’t of Justice</w:t>
      </w:r>
      <w:r>
        <w:t>, 617 F.2d 781, 790-91 (D.C. Cir. 1980).</w:t>
      </w:r>
    </w:p>
  </w:footnote>
  <w:footnote w:id="46">
    <w:p w:rsidR="00277EE6" w:rsidRPr="00277EE6" w:rsidRDefault="00277EE6">
      <w:pPr>
        <w:pStyle w:val="FootnoteText"/>
      </w:pPr>
      <w:r>
        <w:rPr>
          <w:rStyle w:val="FootnoteReference"/>
        </w:rPr>
        <w:footnoteRef/>
      </w:r>
      <w:r>
        <w:t xml:space="preserve"> </w:t>
      </w:r>
      <w:r>
        <w:rPr>
          <w:i/>
        </w:rPr>
        <w:t xml:space="preserve">See supra </w:t>
      </w:r>
      <w:r>
        <w:t>note</w:t>
      </w:r>
      <w:r w:rsidR="004C6F83">
        <w:t xml:space="preserve"> 39</w:t>
      </w:r>
      <w:r>
        <w:t>.</w:t>
      </w:r>
    </w:p>
  </w:footnote>
  <w:footnote w:id="47">
    <w:p w:rsidR="00B53358" w:rsidRPr="00F47EDF" w:rsidRDefault="00B53358">
      <w:pPr>
        <w:pStyle w:val="FootnoteText"/>
      </w:pPr>
      <w:r>
        <w:rPr>
          <w:rStyle w:val="FootnoteReference"/>
        </w:rPr>
        <w:footnoteRef/>
      </w:r>
      <w:r>
        <w:t xml:space="preserve"> Exemption 6 protects “personnel and medical files and similar files the disclosure of which wo</w:t>
      </w:r>
      <w:r w:rsidR="000D5B38">
        <w:t>u</w:t>
      </w:r>
      <w:r>
        <w:t xml:space="preserve">ld constitute a clearly unwarranted invasion of personal privacy.”  </w:t>
      </w:r>
      <w:r>
        <w:rPr>
          <w:i/>
        </w:rPr>
        <w:t xml:space="preserve">See </w:t>
      </w:r>
      <w:r>
        <w:t xml:space="preserve">5 U.S.C. § 552(b)(6).  </w:t>
      </w:r>
      <w:r w:rsidR="00F47EDF">
        <w:rPr>
          <w:i/>
        </w:rPr>
        <w:t xml:space="preserve">See </w:t>
      </w:r>
      <w:r w:rsidR="000D5B38">
        <w:rPr>
          <w:i/>
        </w:rPr>
        <w:t xml:space="preserve">also </w:t>
      </w:r>
      <w:r w:rsidR="00F47EDF">
        <w:rPr>
          <w:i/>
        </w:rPr>
        <w:t xml:space="preserve">Judicial Watch, Inc. v. U.S., </w:t>
      </w:r>
      <w:r w:rsidR="00F47EDF">
        <w:t>84 Fed. Appx. 335, 338-39 (4</w:t>
      </w:r>
      <w:r w:rsidR="00F47EDF" w:rsidRPr="00F47EDF">
        <w:t>th</w:t>
      </w:r>
      <w:r w:rsidR="00F47EDF">
        <w:t xml:space="preserve"> Cir. 2004)</w:t>
      </w:r>
      <w:r w:rsidR="000D5B38">
        <w:t xml:space="preserve"> </w:t>
      </w:r>
      <w:r w:rsidR="00F47EDF">
        <w:t xml:space="preserve">(names of lower level IRS employees protected under Exemption 6).    </w:t>
      </w:r>
      <w:r w:rsidR="00FB39A0">
        <w:t>We find that disclosure of the employee</w:t>
      </w:r>
      <w:r w:rsidR="00DE6268">
        <w:t>s</w:t>
      </w:r>
      <w:r w:rsidR="00FB39A0">
        <w:t>’ names might subject them to harassment and that disclosure would not serve a substantial public interest.</w:t>
      </w:r>
    </w:p>
  </w:footnote>
  <w:footnote w:id="48">
    <w:p w:rsidR="000C1DA2" w:rsidRPr="000C1DA2" w:rsidRDefault="000C1DA2">
      <w:pPr>
        <w:pStyle w:val="FootnoteText"/>
      </w:pPr>
      <w:r>
        <w:rPr>
          <w:rStyle w:val="FootnoteReference"/>
        </w:rPr>
        <w:footnoteRef/>
      </w:r>
      <w:r>
        <w:t xml:space="preserve"> </w:t>
      </w:r>
      <w:r>
        <w:rPr>
          <w:i/>
        </w:rPr>
        <w:t xml:space="preserve">See </w:t>
      </w:r>
      <w:r w:rsidR="00152E54">
        <w:rPr>
          <w:i/>
        </w:rPr>
        <w:t xml:space="preserve">NLRB v. Sears Roebuck &amp; Co., </w:t>
      </w:r>
      <w:r w:rsidR="00152E54">
        <w:t>421 U.S. at 153</w:t>
      </w:r>
      <w:r w:rsidR="00152E54">
        <w:rPr>
          <w:color w:val="000000"/>
        </w:rPr>
        <w:t>;</w:t>
      </w:r>
      <w:r w:rsidR="00152E54" w:rsidRPr="00152E54">
        <w:rPr>
          <w:rFonts w:ascii="Verdana" w:hAnsi="Verdana"/>
          <w:color w:val="000000"/>
          <w:shd w:val="clear" w:color="auto" w:fill="FFFFFF"/>
        </w:rPr>
        <w:t xml:space="preserve"> </w:t>
      </w:r>
      <w:r w:rsidR="00152E54">
        <w:rPr>
          <w:rFonts w:ascii="Verdana" w:hAnsi="Verdana"/>
          <w:color w:val="000000"/>
          <w:shd w:val="clear" w:color="auto" w:fill="FFFFFF"/>
        </w:rPr>
        <w:t>(</w:t>
      </w:r>
      <w:r w:rsidR="00193C77">
        <w:t>“</w:t>
      </w:r>
      <w:r w:rsidR="00152E54" w:rsidRPr="005260C9">
        <w:rPr>
          <w:color w:val="000000"/>
          <w:shd w:val="clear" w:color="auto" w:fill="FFFFFF"/>
        </w:rPr>
        <w:t>Exemption 5,</w:t>
      </w:r>
      <w:r w:rsidR="00152E54" w:rsidRPr="00152E54">
        <w:rPr>
          <w:color w:val="000000"/>
          <w:shd w:val="clear" w:color="auto" w:fill="FFFFFF"/>
        </w:rPr>
        <w:t xml:space="preserve"> properly construed, calls for </w:t>
      </w:r>
      <w:r w:rsidR="00152E54" w:rsidRPr="005260C9">
        <w:rPr>
          <w:color w:val="000000"/>
          <w:shd w:val="clear" w:color="auto" w:fill="FFFFFF"/>
        </w:rPr>
        <w:t>disclosure of al</w:t>
      </w:r>
      <w:r w:rsidR="00152E54" w:rsidRPr="00152E54">
        <w:rPr>
          <w:color w:val="000000"/>
          <w:shd w:val="clear" w:color="auto" w:fill="FFFFFF"/>
        </w:rPr>
        <w:t>l opinions and interpretations</w:t>
      </w:r>
      <w:r w:rsidR="00152E54" w:rsidRPr="005260C9">
        <w:rPr>
          <w:color w:val="000000"/>
          <w:shd w:val="clear" w:color="auto" w:fill="FFFFFF"/>
        </w:rPr>
        <w:t xml:space="preserve"> which embody the agency's effective law and policy, and the withholding of all papers which reflect the agency's group thinking</w:t>
      </w:r>
      <w:bookmarkStart w:id="3" w:name="sp_708_1518"/>
      <w:bookmarkStart w:id="4" w:name="SDU_1518"/>
      <w:bookmarkStart w:id="5" w:name="citeas((Cite_as:_421_U.S._132,_*153,_95_"/>
      <w:bookmarkEnd w:id="3"/>
      <w:bookmarkEnd w:id="4"/>
      <w:bookmarkEnd w:id="5"/>
      <w:r w:rsidR="00152E54">
        <w:rPr>
          <w:rStyle w:val="starpage"/>
          <w:b/>
          <w:bCs/>
          <w:i/>
          <w:iCs/>
          <w:color w:val="800080"/>
          <w:shd w:val="clear" w:color="auto" w:fill="FFFFFF"/>
        </w:rPr>
        <w:t xml:space="preserve"> </w:t>
      </w:r>
      <w:r w:rsidR="00152E54" w:rsidRPr="005260C9">
        <w:rPr>
          <w:color w:val="000000"/>
          <w:shd w:val="clear" w:color="auto" w:fill="FFFFFF"/>
        </w:rPr>
        <w:t>in the process of working out its policy and determining what its law shall be.</w:t>
      </w:r>
      <w:r w:rsidR="00152E54">
        <w:rPr>
          <w:color w:val="000000"/>
          <w:shd w:val="clear" w:color="auto" w:fill="FFFFFF"/>
        </w:rPr>
        <w:t>”) (</w:t>
      </w:r>
      <w:r w:rsidR="00152E54">
        <w:rPr>
          <w:i/>
          <w:color w:val="000000"/>
          <w:shd w:val="clear" w:color="auto" w:fill="FFFFFF"/>
        </w:rPr>
        <w:t>citations and quotations omitted).</w:t>
      </w:r>
      <w:r w:rsidR="00152E54">
        <w:rPr>
          <w:color w:val="000000"/>
          <w:shd w:val="clear" w:color="auto" w:fill="FFFFFF"/>
        </w:rPr>
        <w:t xml:space="preserve"> </w:t>
      </w:r>
      <w:r w:rsidR="00F462DA">
        <w:rPr>
          <w:color w:val="000000"/>
          <w:shd w:val="clear" w:color="auto" w:fill="FFFFFF"/>
        </w:rPr>
        <w:t xml:space="preserve"> </w:t>
      </w:r>
      <w:r w:rsidR="00152E54">
        <w:rPr>
          <w:i/>
          <w:color w:val="000000"/>
          <w:shd w:val="clear" w:color="auto" w:fill="FFFFFF"/>
        </w:rPr>
        <w:t>See also</w:t>
      </w:r>
      <w:r w:rsidR="00F462DA">
        <w:rPr>
          <w:i/>
          <w:color w:val="000000"/>
          <w:shd w:val="clear" w:color="auto" w:fill="FFFFFF"/>
        </w:rPr>
        <w:t xml:space="preserve"> </w:t>
      </w:r>
      <w:r w:rsidR="00381E35">
        <w:rPr>
          <w:i/>
        </w:rPr>
        <w:t xml:space="preserve">Brennan Center for Justice at New York University School of Law v. U.S. Dep’t of Justice, </w:t>
      </w:r>
      <w:r w:rsidR="00381E35">
        <w:t>697 F.3d 184, 199-200 (2d Cir. 2012) (i</w:t>
      </w:r>
      <w:r w:rsidR="00381E35">
        <w:rPr>
          <w:color w:val="000000"/>
        </w:rPr>
        <w:t>f an agency's memorandum or other document has become its “effective law and policy,” it will be subject to disclosure as the “working law” of the agency)</w:t>
      </w:r>
      <w:r w:rsidR="00F462DA">
        <w:rPr>
          <w:color w:val="000000"/>
        </w:rPr>
        <w:t xml:space="preserve"> and</w:t>
      </w:r>
      <w:r w:rsidR="0048081D">
        <w:rPr>
          <w:i/>
          <w:color w:val="000000"/>
        </w:rPr>
        <w:t xml:space="preserve"> </w:t>
      </w:r>
      <w:r>
        <w:rPr>
          <w:i/>
        </w:rPr>
        <w:t xml:space="preserve">Electronic Frontier Foundation v. Dep’t of Defense, </w:t>
      </w:r>
      <w:r>
        <w:t xml:space="preserve">No. C 09-05640 SI (N.D. Cal. 2012) (document containing FBI policies and protocols considered working law, not covered by Exemption 5), </w:t>
      </w:r>
      <w:r>
        <w:rPr>
          <w:i/>
        </w:rPr>
        <w:t xml:space="preserve">reported at </w:t>
      </w:r>
      <w:r>
        <w:t>2012 WL 4364532 at *13 n.10</w:t>
      </w:r>
      <w:r w:rsidR="00566458">
        <w:t xml:space="preserve"> </w:t>
      </w:r>
      <w:r>
        <w:t>.</w:t>
      </w:r>
    </w:p>
  </w:footnote>
  <w:footnote w:id="49">
    <w:p w:rsidR="00CF3377" w:rsidRDefault="00CF3377">
      <w:pPr>
        <w:pStyle w:val="FootnoteText"/>
      </w:pPr>
      <w:r>
        <w:rPr>
          <w:rStyle w:val="FootnoteReference"/>
        </w:rPr>
        <w:footnoteRef/>
      </w:r>
      <w:r>
        <w:t xml:space="preserve"> We note that some of these documents are interagency or interagency documents pertaining to IMSI catchers and thus responsive to Category F of ACLU’s request.  Accordingly, we find that OET was incorrect in finding that there were no documents responsive to Category F.  Nonetheless, we find that the error was harmless, given the fact that OET identified the documents in its decision and provided an adequate justification for withholding them.</w:t>
      </w:r>
    </w:p>
  </w:footnote>
  <w:footnote w:id="50">
    <w:p w:rsidR="005B2BB2" w:rsidRDefault="005B2BB2" w:rsidP="005B2BB2">
      <w:pPr>
        <w:pStyle w:val="FootnoteText"/>
      </w:pPr>
      <w:r>
        <w:rPr>
          <w:rStyle w:val="FootnoteReference"/>
        </w:rPr>
        <w:footnoteRef/>
      </w:r>
      <w:r>
        <w:t xml:space="preserve"> </w:t>
      </w:r>
      <w:r>
        <w:rPr>
          <w:i/>
          <w:iCs/>
        </w:rPr>
        <w:t>See EPIC v. FBI</w:t>
      </w:r>
      <w:r>
        <w:t>, No. 12-667 (D.D.C. Apr. 27, 2012)</w:t>
      </w:r>
      <w:r w:rsidR="003E478E">
        <w:t xml:space="preserve"> (relevant material can be found online at </w:t>
      </w:r>
      <w:r w:rsidR="005260C9" w:rsidRPr="005260C9">
        <w:t>http://epic.org/privacy/litigation/</w:t>
      </w:r>
      <w:r w:rsidR="003E478E">
        <w:t>.</w:t>
      </w:r>
      <w:r w:rsidR="00577EA9">
        <w:t>)</w:t>
      </w:r>
      <w:r w:rsidR="003E478E">
        <w:t xml:space="preserve">  </w:t>
      </w:r>
      <w:r>
        <w:t xml:space="preserve">We conducted a comprehensive review of the released document set, and found that a significant portion of all documents were either wholly or partially redacted. </w:t>
      </w:r>
      <w:r w:rsidR="00F84A10">
        <w:t xml:space="preserve"> </w:t>
      </w:r>
    </w:p>
  </w:footnote>
  <w:footnote w:id="51">
    <w:p w:rsidR="005B2BB2" w:rsidRPr="005B2BB2" w:rsidRDefault="005B2BB2">
      <w:pPr>
        <w:pStyle w:val="FootnoteText"/>
      </w:pPr>
      <w:r>
        <w:rPr>
          <w:rStyle w:val="FootnoteReference"/>
        </w:rPr>
        <w:footnoteRef/>
      </w:r>
      <w:r>
        <w:t xml:space="preserve"> </w:t>
      </w:r>
      <w:r>
        <w:rPr>
          <w:i/>
        </w:rPr>
        <w:t xml:space="preserve">See </w:t>
      </w:r>
      <w:r w:rsidR="009478EA">
        <w:t>Second</w:t>
      </w:r>
      <w:r>
        <w:t xml:space="preserve"> AFR at 4.</w:t>
      </w:r>
    </w:p>
  </w:footnote>
  <w:footnote w:id="52">
    <w:p w:rsidR="00D454BC" w:rsidRDefault="00D454BC" w:rsidP="00D454BC">
      <w:pPr>
        <w:pStyle w:val="FootnoteText"/>
      </w:pPr>
      <w:r>
        <w:rPr>
          <w:rStyle w:val="FootnoteReference"/>
        </w:rPr>
        <w:footnoteRef/>
      </w:r>
      <w:r>
        <w:t xml:space="preserve"> Because we find that OET properly withheld these documents under Exemption 1, we do not reach the question of whether they might also be exempt under Exemption 7.</w:t>
      </w:r>
    </w:p>
  </w:footnote>
  <w:footnote w:id="53">
    <w:p w:rsidR="005B2BB2" w:rsidRPr="00840F2E" w:rsidRDefault="005B2BB2" w:rsidP="005B2BB2">
      <w:pPr>
        <w:pStyle w:val="FootnoteText"/>
        <w:rPr>
          <w:b/>
        </w:rPr>
      </w:pPr>
      <w:r>
        <w:rPr>
          <w:rStyle w:val="FootnoteReference"/>
        </w:rPr>
        <w:footnoteRef/>
      </w:r>
      <w:r>
        <w:t xml:space="preserve"> </w:t>
      </w:r>
      <w:r>
        <w:rPr>
          <w:i/>
        </w:rPr>
        <w:t xml:space="preserve">See Campbell v. U.S. Dep’t of Justice, </w:t>
      </w:r>
      <w:r>
        <w:t xml:space="preserve">164 F.3d 20, 30-31 (D.C. Cir. 1998) (agency must show with reasonable specificity why documents fall within the exemption, but too much detail could defeat the purpose of the exemption; in special circumstances, even minimal detail can constitute sensitive information). </w:t>
      </w:r>
    </w:p>
  </w:footnote>
  <w:footnote w:id="54">
    <w:p w:rsidR="008F264E" w:rsidRDefault="008F264E" w:rsidP="006610C6">
      <w:pPr>
        <w:pStyle w:val="NormalWeb"/>
        <w:spacing w:before="0" w:beforeAutospacing="0" w:after="120" w:afterAutospacing="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910727">
        <w:rPr>
          <w:sz w:val="20"/>
          <w:szCs w:val="20"/>
        </w:rPr>
        <w:t xml:space="preserve">ACLU’s </w:t>
      </w:r>
      <w:r>
        <w:rPr>
          <w:sz w:val="20"/>
          <w:szCs w:val="20"/>
        </w:rPr>
        <w:t xml:space="preserve">right to pursue litigation.  </w:t>
      </w:r>
      <w:r w:rsidR="00910727">
        <w:rPr>
          <w:sz w:val="20"/>
          <w:szCs w:val="20"/>
        </w:rPr>
        <w:t>ACLU</w:t>
      </w:r>
      <w:r>
        <w:rPr>
          <w:sz w:val="20"/>
          <w:szCs w:val="20"/>
        </w:rPr>
        <w:t xml:space="preserve"> may contact OGIS in any of the following ways: </w:t>
      </w:r>
    </w:p>
    <w:p w:rsidR="008F264E" w:rsidRDefault="008F264E" w:rsidP="00E76996">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2A" w:rsidRDefault="00425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B830CA">
    <w:pPr>
      <w:pStyle w:val="Header"/>
      <w:rPr>
        <w:b w:val="0"/>
      </w:rPr>
    </w:pPr>
    <w:r>
      <w:tab/>
      <w:t>Federal Communications Commission</w:t>
    </w:r>
    <w:r>
      <w:tab/>
      <w:t>FCC 1</w:t>
    </w:r>
    <w:r w:rsidR="00910727">
      <w:t>4</w:t>
    </w:r>
    <w:r>
      <w:t>-</w:t>
    </w:r>
    <w:r w:rsidR="002D65FC">
      <w:t>105</w:t>
    </w:r>
    <w:r>
      <w:t xml:space="preserve"> </w:t>
    </w:r>
  </w:p>
  <w:p w:rsidR="007C7482" w:rsidRDefault="00D13CCB">
    <w:pPr>
      <w:pStyle w:val="Header"/>
    </w:pPr>
    <w:r>
      <w:rPr>
        <w:noProof/>
        <w:snapToGrid/>
      </w:rPr>
      <mc:AlternateContent>
        <mc:Choice Requires="wps">
          <w:drawing>
            <wp:anchor distT="4294967291" distB="4294967291" distL="114300" distR="114300" simplePos="0" relativeHeight="251660288" behindDoc="0" locked="0" layoutInCell="0" allowOverlap="1" wp14:anchorId="01F0EF80" wp14:editId="1320ACD0">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B830CA">
    <w:pPr>
      <w:pStyle w:val="Header"/>
      <w:rPr>
        <w:b w:val="0"/>
      </w:rPr>
    </w:pPr>
    <w:r>
      <w:tab/>
      <w:t>Federal Communications Commission</w:t>
    </w:r>
    <w:r>
      <w:tab/>
      <w:t>FCC 1</w:t>
    </w:r>
    <w:r w:rsidR="00910727">
      <w:t>4</w:t>
    </w:r>
    <w:r>
      <w:t>-</w:t>
    </w:r>
    <w:r w:rsidR="002D65FC">
      <w:t>105</w:t>
    </w:r>
  </w:p>
  <w:p w:rsidR="007C7482" w:rsidRDefault="00D13CCB">
    <w:pPr>
      <w:pStyle w:val="Header"/>
    </w:pPr>
    <w:r>
      <w:rPr>
        <w:noProof/>
        <w:snapToGrid/>
      </w:rPr>
      <mc:AlternateContent>
        <mc:Choice Requires="wps">
          <w:drawing>
            <wp:anchor distT="4294967291" distB="4294967291" distL="114300" distR="114300" simplePos="0" relativeHeight="251659264" behindDoc="0" locked="0" layoutInCell="0" allowOverlap="1" wp14:anchorId="67925A97" wp14:editId="74AA3815">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D03F28"/>
    <w:multiLevelType w:val="hybridMultilevel"/>
    <w:tmpl w:val="30EE67AE"/>
    <w:lvl w:ilvl="0" w:tplc="698ED6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B396D"/>
    <w:multiLevelType w:val="hybridMultilevel"/>
    <w:tmpl w:val="B8F41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E0776"/>
    <w:multiLevelType w:val="hybridMultilevel"/>
    <w:tmpl w:val="430EE86C"/>
    <w:lvl w:ilvl="0" w:tplc="2A2A1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1B3D"/>
    <w:multiLevelType w:val="singleLevel"/>
    <w:tmpl w:val="CABC07A4"/>
    <w:lvl w:ilvl="0">
      <w:start w:val="1"/>
      <w:numFmt w:val="decimal"/>
      <w:lvlText w:val="%1."/>
      <w:lvlJc w:val="left"/>
      <w:pPr>
        <w:tabs>
          <w:tab w:val="num" w:pos="4410"/>
        </w:tabs>
        <w:ind w:left="3330" w:firstLine="720"/>
      </w:pPr>
      <w:rPr>
        <w:rFonts w:ascii="Times New Roman" w:hAnsi="Times New Roman" w:hint="default"/>
        <w:b w:val="0"/>
        <w:i w:val="0"/>
        <w:caps w:val="0"/>
        <w:strike w:val="0"/>
        <w:dstrike w:val="0"/>
        <w:vanish w:val="0"/>
        <w:sz w:val="24"/>
        <w:szCs w:val="24"/>
        <w:u w:val="none"/>
        <w:vertAlign w:val="baseline"/>
      </w:rPr>
    </w:lvl>
  </w:abstractNum>
  <w:abstractNum w:abstractNumId="8">
    <w:nsid w:val="43BE16D1"/>
    <w:multiLevelType w:val="hybridMultilevel"/>
    <w:tmpl w:val="2BC20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5EA36885"/>
    <w:multiLevelType w:val="hybridMultilevel"/>
    <w:tmpl w:val="895068D4"/>
    <w:lvl w:ilvl="0" w:tplc="11986B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7"/>
  </w:num>
  <w:num w:numId="3">
    <w:abstractNumId w:val="1"/>
  </w:num>
  <w:num w:numId="4">
    <w:abstractNumId w:val="11"/>
  </w:num>
  <w:num w:numId="5">
    <w:abstractNumId w:val="2"/>
  </w:num>
  <w:num w:numId="6">
    <w:abstractNumId w:val="12"/>
  </w:num>
  <w:num w:numId="7">
    <w:abstractNumId w:val="4"/>
  </w:num>
  <w:num w:numId="8">
    <w:abstractNumId w:val="9"/>
  </w:num>
  <w:num w:numId="9">
    <w:abstractNumId w:val="3"/>
  </w:num>
  <w:num w:numId="10">
    <w:abstractNumId w:val="0"/>
  </w:num>
  <w:num w:numId="11">
    <w:abstractNumId w:val="4"/>
  </w:num>
  <w:num w:numId="12">
    <w:abstractNumId w:val="4"/>
  </w:num>
  <w:num w:numId="13">
    <w:abstractNumId w:val="4"/>
  </w:num>
  <w:num w:numId="14">
    <w:abstractNumId w:val="6"/>
  </w:num>
  <w:num w:numId="15">
    <w:abstractNumId w:val="12"/>
  </w:num>
  <w:num w:numId="16">
    <w:abstractNumId w:val="12"/>
    <w:lvlOverride w:ilvl="0">
      <w:startOverride w:val="1"/>
    </w:lvlOverride>
  </w:num>
  <w:num w:numId="17">
    <w:abstractNumId w:val="12"/>
  </w:num>
  <w:num w:numId="18">
    <w:abstractNumId w:val="8"/>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w15:presenceInfo w15:providerId="None" w15:userId="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4E"/>
    <w:rsid w:val="00005101"/>
    <w:rsid w:val="00006822"/>
    <w:rsid w:val="00016CB2"/>
    <w:rsid w:val="00020599"/>
    <w:rsid w:val="0002225E"/>
    <w:rsid w:val="000279B3"/>
    <w:rsid w:val="00032893"/>
    <w:rsid w:val="0003707C"/>
    <w:rsid w:val="00044F87"/>
    <w:rsid w:val="000463FD"/>
    <w:rsid w:val="00047A88"/>
    <w:rsid w:val="00055CD6"/>
    <w:rsid w:val="000569E4"/>
    <w:rsid w:val="00070FC2"/>
    <w:rsid w:val="000828D6"/>
    <w:rsid w:val="000833BF"/>
    <w:rsid w:val="00084448"/>
    <w:rsid w:val="00085100"/>
    <w:rsid w:val="00094F1B"/>
    <w:rsid w:val="000A062F"/>
    <w:rsid w:val="000A1CFF"/>
    <w:rsid w:val="000A5EAC"/>
    <w:rsid w:val="000B6DA0"/>
    <w:rsid w:val="000C0576"/>
    <w:rsid w:val="000C1DA2"/>
    <w:rsid w:val="000C2085"/>
    <w:rsid w:val="000C5D0A"/>
    <w:rsid w:val="000C6352"/>
    <w:rsid w:val="000D5B38"/>
    <w:rsid w:val="000E03F5"/>
    <w:rsid w:val="000E2672"/>
    <w:rsid w:val="000E2E57"/>
    <w:rsid w:val="000E5465"/>
    <w:rsid w:val="000E7B67"/>
    <w:rsid w:val="000F79CB"/>
    <w:rsid w:val="00102ABD"/>
    <w:rsid w:val="00104045"/>
    <w:rsid w:val="001276CE"/>
    <w:rsid w:val="0013472C"/>
    <w:rsid w:val="00137F34"/>
    <w:rsid w:val="00147153"/>
    <w:rsid w:val="00152E54"/>
    <w:rsid w:val="00153CA7"/>
    <w:rsid w:val="00166AF5"/>
    <w:rsid w:val="00187455"/>
    <w:rsid w:val="00193C77"/>
    <w:rsid w:val="001941A0"/>
    <w:rsid w:val="001A79A6"/>
    <w:rsid w:val="001C53DC"/>
    <w:rsid w:val="001C57B5"/>
    <w:rsid w:val="001D04AA"/>
    <w:rsid w:val="001E0200"/>
    <w:rsid w:val="001E4A98"/>
    <w:rsid w:val="001E4CC0"/>
    <w:rsid w:val="001F41C9"/>
    <w:rsid w:val="001F5436"/>
    <w:rsid w:val="00201600"/>
    <w:rsid w:val="00212C91"/>
    <w:rsid w:val="00236C84"/>
    <w:rsid w:val="00237743"/>
    <w:rsid w:val="00244911"/>
    <w:rsid w:val="00246565"/>
    <w:rsid w:val="00246CAD"/>
    <w:rsid w:val="00251C2A"/>
    <w:rsid w:val="002603C3"/>
    <w:rsid w:val="002707F6"/>
    <w:rsid w:val="00277EE6"/>
    <w:rsid w:val="00281644"/>
    <w:rsid w:val="00285DE2"/>
    <w:rsid w:val="00287CEA"/>
    <w:rsid w:val="00291C2B"/>
    <w:rsid w:val="002938F3"/>
    <w:rsid w:val="002978FF"/>
    <w:rsid w:val="00297C31"/>
    <w:rsid w:val="002A1443"/>
    <w:rsid w:val="002A1640"/>
    <w:rsid w:val="002B175B"/>
    <w:rsid w:val="002B4A68"/>
    <w:rsid w:val="002B67C4"/>
    <w:rsid w:val="002C3600"/>
    <w:rsid w:val="002C42F7"/>
    <w:rsid w:val="002D65FC"/>
    <w:rsid w:val="002D713F"/>
    <w:rsid w:val="002E24B2"/>
    <w:rsid w:val="002E56CD"/>
    <w:rsid w:val="002F36AE"/>
    <w:rsid w:val="002F3AD7"/>
    <w:rsid w:val="002F60D0"/>
    <w:rsid w:val="002F6EEE"/>
    <w:rsid w:val="00301619"/>
    <w:rsid w:val="00304FB9"/>
    <w:rsid w:val="00307E03"/>
    <w:rsid w:val="003222DA"/>
    <w:rsid w:val="00334AAC"/>
    <w:rsid w:val="00335D4A"/>
    <w:rsid w:val="00335E9C"/>
    <w:rsid w:val="00354A67"/>
    <w:rsid w:val="0035681F"/>
    <w:rsid w:val="003615F5"/>
    <w:rsid w:val="00381E35"/>
    <w:rsid w:val="00382232"/>
    <w:rsid w:val="00382540"/>
    <w:rsid w:val="00382A79"/>
    <w:rsid w:val="00386CA2"/>
    <w:rsid w:val="0039057F"/>
    <w:rsid w:val="003944EF"/>
    <w:rsid w:val="00396F9A"/>
    <w:rsid w:val="003A098C"/>
    <w:rsid w:val="003A4FAA"/>
    <w:rsid w:val="003A5D03"/>
    <w:rsid w:val="003A5D7F"/>
    <w:rsid w:val="003B06E7"/>
    <w:rsid w:val="003B1E03"/>
    <w:rsid w:val="003C1AC3"/>
    <w:rsid w:val="003C23AE"/>
    <w:rsid w:val="003D18B1"/>
    <w:rsid w:val="003E030C"/>
    <w:rsid w:val="003E16F0"/>
    <w:rsid w:val="003E225E"/>
    <w:rsid w:val="003E30BB"/>
    <w:rsid w:val="003E478E"/>
    <w:rsid w:val="003F3752"/>
    <w:rsid w:val="00403C26"/>
    <w:rsid w:val="004044C9"/>
    <w:rsid w:val="0041370C"/>
    <w:rsid w:val="00414830"/>
    <w:rsid w:val="0042396B"/>
    <w:rsid w:val="00425F2A"/>
    <w:rsid w:val="0043083D"/>
    <w:rsid w:val="0043111E"/>
    <w:rsid w:val="0043278A"/>
    <w:rsid w:val="00453226"/>
    <w:rsid w:val="004601AD"/>
    <w:rsid w:val="00460EA2"/>
    <w:rsid w:val="00460FC8"/>
    <w:rsid w:val="004637C0"/>
    <w:rsid w:val="00476DE9"/>
    <w:rsid w:val="0048081D"/>
    <w:rsid w:val="004831F2"/>
    <w:rsid w:val="0048581C"/>
    <w:rsid w:val="00490572"/>
    <w:rsid w:val="00495EC8"/>
    <w:rsid w:val="004A61FE"/>
    <w:rsid w:val="004B5B9B"/>
    <w:rsid w:val="004C4378"/>
    <w:rsid w:val="004C5768"/>
    <w:rsid w:val="004C6F83"/>
    <w:rsid w:val="004C756A"/>
    <w:rsid w:val="004D22BD"/>
    <w:rsid w:val="004D62CA"/>
    <w:rsid w:val="004D771B"/>
    <w:rsid w:val="004E307B"/>
    <w:rsid w:val="004E4803"/>
    <w:rsid w:val="004F08A7"/>
    <w:rsid w:val="004F4213"/>
    <w:rsid w:val="004F4E13"/>
    <w:rsid w:val="004F787C"/>
    <w:rsid w:val="005021CE"/>
    <w:rsid w:val="005042A8"/>
    <w:rsid w:val="0051677B"/>
    <w:rsid w:val="005176BD"/>
    <w:rsid w:val="005260C9"/>
    <w:rsid w:val="00535F78"/>
    <w:rsid w:val="00542F3F"/>
    <w:rsid w:val="00544DE0"/>
    <w:rsid w:val="00560890"/>
    <w:rsid w:val="00566458"/>
    <w:rsid w:val="005745DD"/>
    <w:rsid w:val="00577EA9"/>
    <w:rsid w:val="00591850"/>
    <w:rsid w:val="00591CFE"/>
    <w:rsid w:val="00594403"/>
    <w:rsid w:val="0059781A"/>
    <w:rsid w:val="005A1B65"/>
    <w:rsid w:val="005A7725"/>
    <w:rsid w:val="005B2BB2"/>
    <w:rsid w:val="005B5872"/>
    <w:rsid w:val="005B5B73"/>
    <w:rsid w:val="005B6891"/>
    <w:rsid w:val="005C31AE"/>
    <w:rsid w:val="005C7EC5"/>
    <w:rsid w:val="005D6FCF"/>
    <w:rsid w:val="005E5576"/>
    <w:rsid w:val="005E58F6"/>
    <w:rsid w:val="005F37A2"/>
    <w:rsid w:val="00603C6D"/>
    <w:rsid w:val="0060540A"/>
    <w:rsid w:val="006057AE"/>
    <w:rsid w:val="00605D8D"/>
    <w:rsid w:val="00606BFF"/>
    <w:rsid w:val="006113C6"/>
    <w:rsid w:val="00613FC4"/>
    <w:rsid w:val="00615804"/>
    <w:rsid w:val="00616027"/>
    <w:rsid w:val="00630B6D"/>
    <w:rsid w:val="00651AA1"/>
    <w:rsid w:val="00657456"/>
    <w:rsid w:val="006610C6"/>
    <w:rsid w:val="00670625"/>
    <w:rsid w:val="00671452"/>
    <w:rsid w:val="006735B6"/>
    <w:rsid w:val="006746DF"/>
    <w:rsid w:val="006A0E4E"/>
    <w:rsid w:val="006A1A09"/>
    <w:rsid w:val="006A5F7A"/>
    <w:rsid w:val="006A66A3"/>
    <w:rsid w:val="006A796F"/>
    <w:rsid w:val="006C32B6"/>
    <w:rsid w:val="006C4922"/>
    <w:rsid w:val="006D5450"/>
    <w:rsid w:val="006E1B20"/>
    <w:rsid w:val="006E6638"/>
    <w:rsid w:val="006F072B"/>
    <w:rsid w:val="006F07A5"/>
    <w:rsid w:val="006F1E15"/>
    <w:rsid w:val="006F2DEA"/>
    <w:rsid w:val="006F5FD6"/>
    <w:rsid w:val="00700419"/>
    <w:rsid w:val="0071112F"/>
    <w:rsid w:val="00713E35"/>
    <w:rsid w:val="00716F38"/>
    <w:rsid w:val="00720E58"/>
    <w:rsid w:val="007251BA"/>
    <w:rsid w:val="007326F7"/>
    <w:rsid w:val="007515F4"/>
    <w:rsid w:val="0075178C"/>
    <w:rsid w:val="00756A2F"/>
    <w:rsid w:val="00757B76"/>
    <w:rsid w:val="007604A6"/>
    <w:rsid w:val="00765387"/>
    <w:rsid w:val="00770AEB"/>
    <w:rsid w:val="00783A02"/>
    <w:rsid w:val="00787508"/>
    <w:rsid w:val="00791212"/>
    <w:rsid w:val="007A1BA2"/>
    <w:rsid w:val="007A5722"/>
    <w:rsid w:val="007B0CB3"/>
    <w:rsid w:val="007B7392"/>
    <w:rsid w:val="007C17A1"/>
    <w:rsid w:val="007D4179"/>
    <w:rsid w:val="007D663F"/>
    <w:rsid w:val="007E16FA"/>
    <w:rsid w:val="007E6EFD"/>
    <w:rsid w:val="007E753D"/>
    <w:rsid w:val="00802328"/>
    <w:rsid w:val="008132B1"/>
    <w:rsid w:val="008150A5"/>
    <w:rsid w:val="0084050D"/>
    <w:rsid w:val="00842042"/>
    <w:rsid w:val="0084677D"/>
    <w:rsid w:val="008616B1"/>
    <w:rsid w:val="00865267"/>
    <w:rsid w:val="008729E4"/>
    <w:rsid w:val="00873C61"/>
    <w:rsid w:val="008751D5"/>
    <w:rsid w:val="00876744"/>
    <w:rsid w:val="00876C5E"/>
    <w:rsid w:val="00882240"/>
    <w:rsid w:val="008855BC"/>
    <w:rsid w:val="00885F8D"/>
    <w:rsid w:val="00890156"/>
    <w:rsid w:val="0089215E"/>
    <w:rsid w:val="00894B1F"/>
    <w:rsid w:val="008A0CA6"/>
    <w:rsid w:val="008B14BC"/>
    <w:rsid w:val="008B1DD0"/>
    <w:rsid w:val="008B55AA"/>
    <w:rsid w:val="008C0511"/>
    <w:rsid w:val="008D76C6"/>
    <w:rsid w:val="008E64A7"/>
    <w:rsid w:val="008F1A50"/>
    <w:rsid w:val="008F264E"/>
    <w:rsid w:val="008F594B"/>
    <w:rsid w:val="008F7014"/>
    <w:rsid w:val="0090478A"/>
    <w:rsid w:val="00910727"/>
    <w:rsid w:val="0091192B"/>
    <w:rsid w:val="00920578"/>
    <w:rsid w:val="00922682"/>
    <w:rsid w:val="009238CC"/>
    <w:rsid w:val="00926F9A"/>
    <w:rsid w:val="0092718E"/>
    <w:rsid w:val="00931700"/>
    <w:rsid w:val="00931E59"/>
    <w:rsid w:val="009368D7"/>
    <w:rsid w:val="00937F65"/>
    <w:rsid w:val="00943978"/>
    <w:rsid w:val="00943ED6"/>
    <w:rsid w:val="009460D0"/>
    <w:rsid w:val="009478EA"/>
    <w:rsid w:val="00947DBB"/>
    <w:rsid w:val="00950D35"/>
    <w:rsid w:val="0095563B"/>
    <w:rsid w:val="00957438"/>
    <w:rsid w:val="009602E7"/>
    <w:rsid w:val="00960331"/>
    <w:rsid w:val="00961874"/>
    <w:rsid w:val="00966DAA"/>
    <w:rsid w:val="00971290"/>
    <w:rsid w:val="0097223C"/>
    <w:rsid w:val="0097573F"/>
    <w:rsid w:val="009759CC"/>
    <w:rsid w:val="00980B63"/>
    <w:rsid w:val="0098110A"/>
    <w:rsid w:val="00982964"/>
    <w:rsid w:val="0098305B"/>
    <w:rsid w:val="009868F3"/>
    <w:rsid w:val="00991FDF"/>
    <w:rsid w:val="00992AE3"/>
    <w:rsid w:val="00993C7E"/>
    <w:rsid w:val="009974DA"/>
    <w:rsid w:val="00997733"/>
    <w:rsid w:val="009A46E3"/>
    <w:rsid w:val="009A4DA4"/>
    <w:rsid w:val="009B0E0E"/>
    <w:rsid w:val="009B3916"/>
    <w:rsid w:val="009B5D66"/>
    <w:rsid w:val="009C3010"/>
    <w:rsid w:val="009C357F"/>
    <w:rsid w:val="009D2532"/>
    <w:rsid w:val="009E2707"/>
    <w:rsid w:val="009E41A2"/>
    <w:rsid w:val="00A13412"/>
    <w:rsid w:val="00A14FE5"/>
    <w:rsid w:val="00A244C2"/>
    <w:rsid w:val="00A3299E"/>
    <w:rsid w:val="00A3356D"/>
    <w:rsid w:val="00A34F50"/>
    <w:rsid w:val="00A3520D"/>
    <w:rsid w:val="00A356EE"/>
    <w:rsid w:val="00A4545A"/>
    <w:rsid w:val="00A56A49"/>
    <w:rsid w:val="00A57034"/>
    <w:rsid w:val="00A61ED6"/>
    <w:rsid w:val="00A63254"/>
    <w:rsid w:val="00A803F2"/>
    <w:rsid w:val="00A90313"/>
    <w:rsid w:val="00AA0FFE"/>
    <w:rsid w:val="00AA5D96"/>
    <w:rsid w:val="00AA6F32"/>
    <w:rsid w:val="00AA7F5B"/>
    <w:rsid w:val="00AC1D31"/>
    <w:rsid w:val="00AC2C86"/>
    <w:rsid w:val="00AD026C"/>
    <w:rsid w:val="00AD3668"/>
    <w:rsid w:val="00AD69BA"/>
    <w:rsid w:val="00AE1ADD"/>
    <w:rsid w:val="00AE32A5"/>
    <w:rsid w:val="00AE3992"/>
    <w:rsid w:val="00AE68A4"/>
    <w:rsid w:val="00AF4B09"/>
    <w:rsid w:val="00B02410"/>
    <w:rsid w:val="00B0399E"/>
    <w:rsid w:val="00B05D39"/>
    <w:rsid w:val="00B13201"/>
    <w:rsid w:val="00B14E27"/>
    <w:rsid w:val="00B15724"/>
    <w:rsid w:val="00B17857"/>
    <w:rsid w:val="00B307E5"/>
    <w:rsid w:val="00B32A3D"/>
    <w:rsid w:val="00B34644"/>
    <w:rsid w:val="00B37212"/>
    <w:rsid w:val="00B43AA4"/>
    <w:rsid w:val="00B43D52"/>
    <w:rsid w:val="00B53358"/>
    <w:rsid w:val="00B53DBB"/>
    <w:rsid w:val="00B64EC2"/>
    <w:rsid w:val="00B66685"/>
    <w:rsid w:val="00B6688D"/>
    <w:rsid w:val="00B72468"/>
    <w:rsid w:val="00B74E74"/>
    <w:rsid w:val="00B766DA"/>
    <w:rsid w:val="00B830CA"/>
    <w:rsid w:val="00B83C28"/>
    <w:rsid w:val="00B86555"/>
    <w:rsid w:val="00B95D34"/>
    <w:rsid w:val="00BA21CB"/>
    <w:rsid w:val="00BA30CA"/>
    <w:rsid w:val="00BA579B"/>
    <w:rsid w:val="00BA6A1A"/>
    <w:rsid w:val="00BB485D"/>
    <w:rsid w:val="00BB7A1B"/>
    <w:rsid w:val="00BD6F0B"/>
    <w:rsid w:val="00BE39CB"/>
    <w:rsid w:val="00C25FC6"/>
    <w:rsid w:val="00C272C5"/>
    <w:rsid w:val="00C30EA7"/>
    <w:rsid w:val="00C32076"/>
    <w:rsid w:val="00C36764"/>
    <w:rsid w:val="00C37EF5"/>
    <w:rsid w:val="00C46E51"/>
    <w:rsid w:val="00C54B6D"/>
    <w:rsid w:val="00C55720"/>
    <w:rsid w:val="00C55E4B"/>
    <w:rsid w:val="00C57061"/>
    <w:rsid w:val="00C6430E"/>
    <w:rsid w:val="00C65F45"/>
    <w:rsid w:val="00C70AF3"/>
    <w:rsid w:val="00C74CC9"/>
    <w:rsid w:val="00CA0639"/>
    <w:rsid w:val="00CA26A8"/>
    <w:rsid w:val="00CA4113"/>
    <w:rsid w:val="00CB09E5"/>
    <w:rsid w:val="00CC1AF3"/>
    <w:rsid w:val="00CC2267"/>
    <w:rsid w:val="00CC261C"/>
    <w:rsid w:val="00CC5E23"/>
    <w:rsid w:val="00CD29BF"/>
    <w:rsid w:val="00CD41B1"/>
    <w:rsid w:val="00CD6719"/>
    <w:rsid w:val="00CD6B27"/>
    <w:rsid w:val="00CF3377"/>
    <w:rsid w:val="00CF69B8"/>
    <w:rsid w:val="00CF76E6"/>
    <w:rsid w:val="00D107B6"/>
    <w:rsid w:val="00D1134E"/>
    <w:rsid w:val="00D12DA3"/>
    <w:rsid w:val="00D13CCB"/>
    <w:rsid w:val="00D14328"/>
    <w:rsid w:val="00D17A28"/>
    <w:rsid w:val="00D22441"/>
    <w:rsid w:val="00D36ABA"/>
    <w:rsid w:val="00D454BC"/>
    <w:rsid w:val="00D5095A"/>
    <w:rsid w:val="00D533C6"/>
    <w:rsid w:val="00D55536"/>
    <w:rsid w:val="00D5623D"/>
    <w:rsid w:val="00D575E1"/>
    <w:rsid w:val="00D83808"/>
    <w:rsid w:val="00D85769"/>
    <w:rsid w:val="00D9143F"/>
    <w:rsid w:val="00D92B26"/>
    <w:rsid w:val="00D9386D"/>
    <w:rsid w:val="00DA27E0"/>
    <w:rsid w:val="00DB38D9"/>
    <w:rsid w:val="00DB67D4"/>
    <w:rsid w:val="00DB7FD2"/>
    <w:rsid w:val="00DD72DC"/>
    <w:rsid w:val="00DE5DF6"/>
    <w:rsid w:val="00DE6268"/>
    <w:rsid w:val="00DF393C"/>
    <w:rsid w:val="00DF44E2"/>
    <w:rsid w:val="00DF5DB9"/>
    <w:rsid w:val="00E01FA0"/>
    <w:rsid w:val="00E13B99"/>
    <w:rsid w:val="00E14FA0"/>
    <w:rsid w:val="00E3069B"/>
    <w:rsid w:val="00E3242C"/>
    <w:rsid w:val="00E4242B"/>
    <w:rsid w:val="00E4510E"/>
    <w:rsid w:val="00E5183B"/>
    <w:rsid w:val="00E53B69"/>
    <w:rsid w:val="00E55758"/>
    <w:rsid w:val="00E76996"/>
    <w:rsid w:val="00E82887"/>
    <w:rsid w:val="00E848FE"/>
    <w:rsid w:val="00E86335"/>
    <w:rsid w:val="00E901A9"/>
    <w:rsid w:val="00E947BB"/>
    <w:rsid w:val="00EA3DD8"/>
    <w:rsid w:val="00EB0AA7"/>
    <w:rsid w:val="00EB0BE7"/>
    <w:rsid w:val="00EB18ED"/>
    <w:rsid w:val="00EC46CD"/>
    <w:rsid w:val="00EC5EED"/>
    <w:rsid w:val="00ED0FC3"/>
    <w:rsid w:val="00ED46FF"/>
    <w:rsid w:val="00ED6054"/>
    <w:rsid w:val="00ED6334"/>
    <w:rsid w:val="00ED7EC3"/>
    <w:rsid w:val="00F06C3F"/>
    <w:rsid w:val="00F14511"/>
    <w:rsid w:val="00F15CE7"/>
    <w:rsid w:val="00F17831"/>
    <w:rsid w:val="00F200C6"/>
    <w:rsid w:val="00F262C4"/>
    <w:rsid w:val="00F27C44"/>
    <w:rsid w:val="00F30960"/>
    <w:rsid w:val="00F4545D"/>
    <w:rsid w:val="00F462DA"/>
    <w:rsid w:val="00F47EDF"/>
    <w:rsid w:val="00F52960"/>
    <w:rsid w:val="00F6070E"/>
    <w:rsid w:val="00F675CF"/>
    <w:rsid w:val="00F67BDC"/>
    <w:rsid w:val="00F759B8"/>
    <w:rsid w:val="00F84A10"/>
    <w:rsid w:val="00F84D78"/>
    <w:rsid w:val="00F902E4"/>
    <w:rsid w:val="00F93371"/>
    <w:rsid w:val="00F96C19"/>
    <w:rsid w:val="00F96F43"/>
    <w:rsid w:val="00F97677"/>
    <w:rsid w:val="00FA0D0D"/>
    <w:rsid w:val="00FA738C"/>
    <w:rsid w:val="00FB00AE"/>
    <w:rsid w:val="00FB39A0"/>
    <w:rsid w:val="00FB594C"/>
    <w:rsid w:val="00FB7162"/>
    <w:rsid w:val="00FC19C3"/>
    <w:rsid w:val="00FC4EF4"/>
    <w:rsid w:val="00FD0B3B"/>
    <w:rsid w:val="00FD1187"/>
    <w:rsid w:val="00FD314C"/>
    <w:rsid w:val="00FD633A"/>
    <w:rsid w:val="00FE0C66"/>
    <w:rsid w:val="00FE37A7"/>
    <w:rsid w:val="00FE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B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F69B8"/>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69B8"/>
    <w:pPr>
      <w:keepNext/>
      <w:numPr>
        <w:ilvl w:val="1"/>
        <w:numId w:val="7"/>
      </w:numPr>
      <w:spacing w:after="120"/>
      <w:outlineLvl w:val="1"/>
    </w:pPr>
    <w:rPr>
      <w:b/>
    </w:rPr>
  </w:style>
  <w:style w:type="paragraph" w:styleId="Heading3">
    <w:name w:val="heading 3"/>
    <w:basedOn w:val="Normal"/>
    <w:next w:val="ParaNum"/>
    <w:link w:val="Heading3Char"/>
    <w:qFormat/>
    <w:rsid w:val="00CF69B8"/>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CF69B8"/>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CF69B8"/>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CF69B8"/>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CF69B8"/>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CF69B8"/>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69B8"/>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69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9B8"/>
  </w:style>
  <w:style w:type="character" w:customStyle="1" w:styleId="Heading1Char">
    <w:name w:val="Heading 1 Char"/>
    <w:link w:val="Heading1"/>
    <w:rsid w:val="00B766DA"/>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B766DA"/>
    <w:rPr>
      <w:rFonts w:ascii="Times New Roman" w:eastAsia="Times New Roman" w:hAnsi="Times New Roman" w:cs="Times New Roman"/>
      <w:b/>
      <w:snapToGrid w:val="0"/>
      <w:kern w:val="28"/>
      <w:szCs w:val="20"/>
    </w:rPr>
  </w:style>
  <w:style w:type="character" w:customStyle="1" w:styleId="Heading3Char">
    <w:name w:val="Heading 3 Char"/>
    <w:link w:val="Heading3"/>
    <w:rsid w:val="00B766DA"/>
    <w:rPr>
      <w:rFonts w:ascii="Times New Roman" w:eastAsia="Times New Roman" w:hAnsi="Times New Roman" w:cs="Times New Roman"/>
      <w:b/>
      <w:snapToGrid w:val="0"/>
      <w:kern w:val="28"/>
      <w:szCs w:val="20"/>
    </w:rPr>
  </w:style>
  <w:style w:type="character" w:customStyle="1" w:styleId="Heading4Char">
    <w:name w:val="Heading 4 Char"/>
    <w:link w:val="Heading4"/>
    <w:rsid w:val="00B766DA"/>
    <w:rPr>
      <w:rFonts w:ascii="Times New Roman" w:eastAsia="Times New Roman" w:hAnsi="Times New Roman" w:cs="Times New Roman"/>
      <w:b/>
      <w:snapToGrid w:val="0"/>
      <w:kern w:val="28"/>
      <w:szCs w:val="20"/>
    </w:rPr>
  </w:style>
  <w:style w:type="character" w:customStyle="1" w:styleId="Heading5Char">
    <w:name w:val="Heading 5 Char"/>
    <w:link w:val="Heading5"/>
    <w:rsid w:val="00B766DA"/>
    <w:rPr>
      <w:rFonts w:ascii="Times New Roman" w:eastAsia="Times New Roman" w:hAnsi="Times New Roman" w:cs="Times New Roman"/>
      <w:b/>
      <w:snapToGrid w:val="0"/>
      <w:kern w:val="28"/>
      <w:szCs w:val="20"/>
    </w:rPr>
  </w:style>
  <w:style w:type="character" w:customStyle="1" w:styleId="Heading6Char">
    <w:name w:val="Heading 6 Char"/>
    <w:link w:val="Heading6"/>
    <w:rsid w:val="00B766DA"/>
    <w:rPr>
      <w:rFonts w:ascii="Times New Roman" w:eastAsia="Times New Roman" w:hAnsi="Times New Roman" w:cs="Times New Roman"/>
      <w:b/>
      <w:snapToGrid w:val="0"/>
      <w:kern w:val="28"/>
      <w:szCs w:val="20"/>
    </w:rPr>
  </w:style>
  <w:style w:type="character" w:customStyle="1" w:styleId="Heading7Char">
    <w:name w:val="Heading 7 Char"/>
    <w:link w:val="Heading7"/>
    <w:rsid w:val="00B766DA"/>
    <w:rPr>
      <w:rFonts w:ascii="Times New Roman" w:eastAsia="Times New Roman" w:hAnsi="Times New Roman" w:cs="Times New Roman"/>
      <w:b/>
      <w:snapToGrid w:val="0"/>
      <w:kern w:val="28"/>
      <w:szCs w:val="20"/>
    </w:rPr>
  </w:style>
  <w:style w:type="character" w:customStyle="1" w:styleId="Heading8Char">
    <w:name w:val="Heading 8 Char"/>
    <w:link w:val="Heading8"/>
    <w:rsid w:val="00B766DA"/>
    <w:rPr>
      <w:rFonts w:ascii="Times New Roman" w:eastAsia="Times New Roman" w:hAnsi="Times New Roman" w:cs="Times New Roman"/>
      <w:b/>
      <w:snapToGrid w:val="0"/>
      <w:kern w:val="28"/>
      <w:szCs w:val="20"/>
    </w:rPr>
  </w:style>
  <w:style w:type="character" w:customStyle="1" w:styleId="Heading9Char">
    <w:name w:val="Heading 9 Char"/>
    <w:link w:val="Heading9"/>
    <w:rsid w:val="00B766DA"/>
    <w:rPr>
      <w:rFonts w:ascii="Times New Roman" w:eastAsia="Times New Roman" w:hAnsi="Times New Roman" w:cs="Times New Roman"/>
      <w:b/>
      <w:snapToGrid w:val="0"/>
      <w:kern w:val="28"/>
      <w:szCs w:val="20"/>
    </w:rPr>
  </w:style>
  <w:style w:type="paragraph" w:customStyle="1" w:styleId="ParaNum">
    <w:name w:val="ParaNum"/>
    <w:basedOn w:val="Normal"/>
    <w:rsid w:val="00CF69B8"/>
    <w:pPr>
      <w:numPr>
        <w:numId w:val="6"/>
      </w:numPr>
      <w:tabs>
        <w:tab w:val="clear" w:pos="1080"/>
        <w:tab w:val="num" w:pos="1440"/>
      </w:tabs>
      <w:spacing w:after="120"/>
    </w:pPr>
  </w:style>
  <w:style w:type="paragraph" w:styleId="FootnoteText">
    <w:name w:val="footnote text"/>
    <w:link w:val="FootnoteTextChar"/>
    <w:rsid w:val="00CF69B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CF69B8"/>
    <w:rPr>
      <w:rFonts w:ascii="Times New Roman" w:hAnsi="Times New Roman"/>
      <w:dstrike w:val="0"/>
      <w:color w:val="auto"/>
      <w:sz w:val="20"/>
      <w:vertAlign w:val="superscript"/>
    </w:rPr>
  </w:style>
  <w:style w:type="paragraph" w:styleId="Header">
    <w:name w:val="header"/>
    <w:basedOn w:val="Normal"/>
    <w:link w:val="HeaderChar"/>
    <w:autoRedefine/>
    <w:rsid w:val="00CF69B8"/>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CF69B8"/>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CF69B8"/>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CF69B8"/>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CF69B8"/>
    <w:rPr>
      <w:vertAlign w:val="superscript"/>
    </w:rPr>
  </w:style>
  <w:style w:type="paragraph" w:styleId="TOC1">
    <w:name w:val="toc 1"/>
    <w:basedOn w:val="Normal"/>
    <w:next w:val="Normal"/>
    <w:semiHidden/>
    <w:rsid w:val="00CF69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69B8"/>
    <w:pPr>
      <w:tabs>
        <w:tab w:val="left" w:pos="720"/>
        <w:tab w:val="right" w:leader="dot" w:pos="9360"/>
      </w:tabs>
      <w:suppressAutoHyphens/>
      <w:ind w:left="720" w:right="720" w:hanging="360"/>
    </w:pPr>
    <w:rPr>
      <w:noProof/>
    </w:rPr>
  </w:style>
  <w:style w:type="paragraph" w:styleId="TOC3">
    <w:name w:val="toc 3"/>
    <w:basedOn w:val="Normal"/>
    <w:next w:val="Normal"/>
    <w:semiHidden/>
    <w:rsid w:val="00CF69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69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69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69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69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69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69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69B8"/>
    <w:pPr>
      <w:tabs>
        <w:tab w:val="right" w:pos="9360"/>
      </w:tabs>
      <w:suppressAutoHyphens/>
    </w:pPr>
  </w:style>
  <w:style w:type="character" w:customStyle="1" w:styleId="EquationCaption">
    <w:name w:val="_Equation Caption"/>
    <w:rsid w:val="00CF69B8"/>
  </w:style>
  <w:style w:type="paragraph" w:styleId="BlockText">
    <w:name w:val="Block Text"/>
    <w:basedOn w:val="Normal"/>
    <w:rsid w:val="00CF69B8"/>
    <w:pPr>
      <w:spacing w:after="240"/>
      <w:ind w:left="1440" w:right="1440"/>
    </w:pPr>
  </w:style>
  <w:style w:type="paragraph" w:customStyle="1" w:styleId="Paratitle">
    <w:name w:val="Para title"/>
    <w:basedOn w:val="Normal"/>
    <w:rsid w:val="00CF69B8"/>
    <w:pPr>
      <w:tabs>
        <w:tab w:val="center" w:pos="9270"/>
      </w:tabs>
      <w:spacing w:after="240"/>
    </w:pPr>
    <w:rPr>
      <w:spacing w:val="-2"/>
    </w:rPr>
  </w:style>
  <w:style w:type="paragraph" w:customStyle="1" w:styleId="Bullet">
    <w:name w:val="Bullet"/>
    <w:basedOn w:val="Normal"/>
    <w:rsid w:val="00CF69B8"/>
    <w:pPr>
      <w:tabs>
        <w:tab w:val="left" w:pos="2160"/>
      </w:tabs>
      <w:spacing w:after="220"/>
      <w:ind w:left="2160" w:hanging="720"/>
    </w:pPr>
  </w:style>
  <w:style w:type="paragraph" w:customStyle="1" w:styleId="TableFormat">
    <w:name w:val="TableFormat"/>
    <w:basedOn w:val="Bullet"/>
    <w:rsid w:val="00CF69B8"/>
    <w:pPr>
      <w:tabs>
        <w:tab w:val="clear" w:pos="2160"/>
        <w:tab w:val="left" w:pos="5040"/>
      </w:tabs>
      <w:ind w:left="5040" w:hanging="3600"/>
    </w:pPr>
  </w:style>
  <w:style w:type="paragraph" w:customStyle="1" w:styleId="TOCTitle">
    <w:name w:val="TOC Title"/>
    <w:basedOn w:val="Normal"/>
    <w:rsid w:val="00CF69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69B8"/>
    <w:pPr>
      <w:jc w:val="center"/>
    </w:pPr>
    <w:rPr>
      <w:rFonts w:ascii="Times New Roman Bold" w:hAnsi="Times New Roman Bold"/>
      <w:b/>
      <w:bCs/>
      <w:caps/>
      <w:szCs w:val="22"/>
    </w:rPr>
  </w:style>
  <w:style w:type="character" w:styleId="Hyperlink">
    <w:name w:val="Hyperlink"/>
    <w:rsid w:val="00CF69B8"/>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 w:type="paragraph" w:styleId="ListParagraph">
    <w:name w:val="List Paragraph"/>
    <w:basedOn w:val="Normal"/>
    <w:uiPriority w:val="34"/>
    <w:qFormat/>
    <w:rsid w:val="00403C26"/>
    <w:pPr>
      <w:ind w:left="720"/>
      <w:contextualSpacing/>
    </w:pPr>
  </w:style>
  <w:style w:type="character" w:customStyle="1" w:styleId="starpage">
    <w:name w:val="starpage"/>
    <w:basedOn w:val="DefaultParagraphFont"/>
    <w:rsid w:val="00152E54"/>
  </w:style>
  <w:style w:type="character" w:customStyle="1" w:styleId="apple-converted-space">
    <w:name w:val="apple-converted-space"/>
    <w:basedOn w:val="DefaultParagraphFont"/>
    <w:rsid w:val="00152E54"/>
  </w:style>
  <w:style w:type="paragraph" w:styleId="Revision">
    <w:name w:val="Revision"/>
    <w:hidden/>
    <w:uiPriority w:val="99"/>
    <w:semiHidden/>
    <w:rsid w:val="006F5FD6"/>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B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F69B8"/>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69B8"/>
    <w:pPr>
      <w:keepNext/>
      <w:numPr>
        <w:ilvl w:val="1"/>
        <w:numId w:val="7"/>
      </w:numPr>
      <w:spacing w:after="120"/>
      <w:outlineLvl w:val="1"/>
    </w:pPr>
    <w:rPr>
      <w:b/>
    </w:rPr>
  </w:style>
  <w:style w:type="paragraph" w:styleId="Heading3">
    <w:name w:val="heading 3"/>
    <w:basedOn w:val="Normal"/>
    <w:next w:val="ParaNum"/>
    <w:link w:val="Heading3Char"/>
    <w:qFormat/>
    <w:rsid w:val="00CF69B8"/>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CF69B8"/>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CF69B8"/>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CF69B8"/>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CF69B8"/>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CF69B8"/>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69B8"/>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69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9B8"/>
  </w:style>
  <w:style w:type="character" w:customStyle="1" w:styleId="Heading1Char">
    <w:name w:val="Heading 1 Char"/>
    <w:link w:val="Heading1"/>
    <w:rsid w:val="00B766DA"/>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B766DA"/>
    <w:rPr>
      <w:rFonts w:ascii="Times New Roman" w:eastAsia="Times New Roman" w:hAnsi="Times New Roman" w:cs="Times New Roman"/>
      <w:b/>
      <w:snapToGrid w:val="0"/>
      <w:kern w:val="28"/>
      <w:szCs w:val="20"/>
    </w:rPr>
  </w:style>
  <w:style w:type="character" w:customStyle="1" w:styleId="Heading3Char">
    <w:name w:val="Heading 3 Char"/>
    <w:link w:val="Heading3"/>
    <w:rsid w:val="00B766DA"/>
    <w:rPr>
      <w:rFonts w:ascii="Times New Roman" w:eastAsia="Times New Roman" w:hAnsi="Times New Roman" w:cs="Times New Roman"/>
      <w:b/>
      <w:snapToGrid w:val="0"/>
      <w:kern w:val="28"/>
      <w:szCs w:val="20"/>
    </w:rPr>
  </w:style>
  <w:style w:type="character" w:customStyle="1" w:styleId="Heading4Char">
    <w:name w:val="Heading 4 Char"/>
    <w:link w:val="Heading4"/>
    <w:rsid w:val="00B766DA"/>
    <w:rPr>
      <w:rFonts w:ascii="Times New Roman" w:eastAsia="Times New Roman" w:hAnsi="Times New Roman" w:cs="Times New Roman"/>
      <w:b/>
      <w:snapToGrid w:val="0"/>
      <w:kern w:val="28"/>
      <w:szCs w:val="20"/>
    </w:rPr>
  </w:style>
  <w:style w:type="character" w:customStyle="1" w:styleId="Heading5Char">
    <w:name w:val="Heading 5 Char"/>
    <w:link w:val="Heading5"/>
    <w:rsid w:val="00B766DA"/>
    <w:rPr>
      <w:rFonts w:ascii="Times New Roman" w:eastAsia="Times New Roman" w:hAnsi="Times New Roman" w:cs="Times New Roman"/>
      <w:b/>
      <w:snapToGrid w:val="0"/>
      <w:kern w:val="28"/>
      <w:szCs w:val="20"/>
    </w:rPr>
  </w:style>
  <w:style w:type="character" w:customStyle="1" w:styleId="Heading6Char">
    <w:name w:val="Heading 6 Char"/>
    <w:link w:val="Heading6"/>
    <w:rsid w:val="00B766DA"/>
    <w:rPr>
      <w:rFonts w:ascii="Times New Roman" w:eastAsia="Times New Roman" w:hAnsi="Times New Roman" w:cs="Times New Roman"/>
      <w:b/>
      <w:snapToGrid w:val="0"/>
      <w:kern w:val="28"/>
      <w:szCs w:val="20"/>
    </w:rPr>
  </w:style>
  <w:style w:type="character" w:customStyle="1" w:styleId="Heading7Char">
    <w:name w:val="Heading 7 Char"/>
    <w:link w:val="Heading7"/>
    <w:rsid w:val="00B766DA"/>
    <w:rPr>
      <w:rFonts w:ascii="Times New Roman" w:eastAsia="Times New Roman" w:hAnsi="Times New Roman" w:cs="Times New Roman"/>
      <w:b/>
      <w:snapToGrid w:val="0"/>
      <w:kern w:val="28"/>
      <w:szCs w:val="20"/>
    </w:rPr>
  </w:style>
  <w:style w:type="character" w:customStyle="1" w:styleId="Heading8Char">
    <w:name w:val="Heading 8 Char"/>
    <w:link w:val="Heading8"/>
    <w:rsid w:val="00B766DA"/>
    <w:rPr>
      <w:rFonts w:ascii="Times New Roman" w:eastAsia="Times New Roman" w:hAnsi="Times New Roman" w:cs="Times New Roman"/>
      <w:b/>
      <w:snapToGrid w:val="0"/>
      <w:kern w:val="28"/>
      <w:szCs w:val="20"/>
    </w:rPr>
  </w:style>
  <w:style w:type="character" w:customStyle="1" w:styleId="Heading9Char">
    <w:name w:val="Heading 9 Char"/>
    <w:link w:val="Heading9"/>
    <w:rsid w:val="00B766DA"/>
    <w:rPr>
      <w:rFonts w:ascii="Times New Roman" w:eastAsia="Times New Roman" w:hAnsi="Times New Roman" w:cs="Times New Roman"/>
      <w:b/>
      <w:snapToGrid w:val="0"/>
      <w:kern w:val="28"/>
      <w:szCs w:val="20"/>
    </w:rPr>
  </w:style>
  <w:style w:type="paragraph" w:customStyle="1" w:styleId="ParaNum">
    <w:name w:val="ParaNum"/>
    <w:basedOn w:val="Normal"/>
    <w:rsid w:val="00CF69B8"/>
    <w:pPr>
      <w:numPr>
        <w:numId w:val="6"/>
      </w:numPr>
      <w:tabs>
        <w:tab w:val="clear" w:pos="1080"/>
        <w:tab w:val="num" w:pos="1440"/>
      </w:tabs>
      <w:spacing w:after="120"/>
    </w:pPr>
  </w:style>
  <w:style w:type="paragraph" w:styleId="FootnoteText">
    <w:name w:val="footnote text"/>
    <w:link w:val="FootnoteTextChar"/>
    <w:rsid w:val="00CF69B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CF69B8"/>
    <w:rPr>
      <w:rFonts w:ascii="Times New Roman" w:hAnsi="Times New Roman"/>
      <w:dstrike w:val="0"/>
      <w:color w:val="auto"/>
      <w:sz w:val="20"/>
      <w:vertAlign w:val="superscript"/>
    </w:rPr>
  </w:style>
  <w:style w:type="paragraph" w:styleId="Header">
    <w:name w:val="header"/>
    <w:basedOn w:val="Normal"/>
    <w:link w:val="HeaderChar"/>
    <w:autoRedefine/>
    <w:rsid w:val="00CF69B8"/>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CF69B8"/>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CF69B8"/>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CF69B8"/>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CF69B8"/>
    <w:rPr>
      <w:vertAlign w:val="superscript"/>
    </w:rPr>
  </w:style>
  <w:style w:type="paragraph" w:styleId="TOC1">
    <w:name w:val="toc 1"/>
    <w:basedOn w:val="Normal"/>
    <w:next w:val="Normal"/>
    <w:semiHidden/>
    <w:rsid w:val="00CF69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69B8"/>
    <w:pPr>
      <w:tabs>
        <w:tab w:val="left" w:pos="720"/>
        <w:tab w:val="right" w:leader="dot" w:pos="9360"/>
      </w:tabs>
      <w:suppressAutoHyphens/>
      <w:ind w:left="720" w:right="720" w:hanging="360"/>
    </w:pPr>
    <w:rPr>
      <w:noProof/>
    </w:rPr>
  </w:style>
  <w:style w:type="paragraph" w:styleId="TOC3">
    <w:name w:val="toc 3"/>
    <w:basedOn w:val="Normal"/>
    <w:next w:val="Normal"/>
    <w:semiHidden/>
    <w:rsid w:val="00CF69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69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69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69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69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69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69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69B8"/>
    <w:pPr>
      <w:tabs>
        <w:tab w:val="right" w:pos="9360"/>
      </w:tabs>
      <w:suppressAutoHyphens/>
    </w:pPr>
  </w:style>
  <w:style w:type="character" w:customStyle="1" w:styleId="EquationCaption">
    <w:name w:val="_Equation Caption"/>
    <w:rsid w:val="00CF69B8"/>
  </w:style>
  <w:style w:type="paragraph" w:styleId="BlockText">
    <w:name w:val="Block Text"/>
    <w:basedOn w:val="Normal"/>
    <w:rsid w:val="00CF69B8"/>
    <w:pPr>
      <w:spacing w:after="240"/>
      <w:ind w:left="1440" w:right="1440"/>
    </w:pPr>
  </w:style>
  <w:style w:type="paragraph" w:customStyle="1" w:styleId="Paratitle">
    <w:name w:val="Para title"/>
    <w:basedOn w:val="Normal"/>
    <w:rsid w:val="00CF69B8"/>
    <w:pPr>
      <w:tabs>
        <w:tab w:val="center" w:pos="9270"/>
      </w:tabs>
      <w:spacing w:after="240"/>
    </w:pPr>
    <w:rPr>
      <w:spacing w:val="-2"/>
    </w:rPr>
  </w:style>
  <w:style w:type="paragraph" w:customStyle="1" w:styleId="Bullet">
    <w:name w:val="Bullet"/>
    <w:basedOn w:val="Normal"/>
    <w:rsid w:val="00CF69B8"/>
    <w:pPr>
      <w:tabs>
        <w:tab w:val="left" w:pos="2160"/>
      </w:tabs>
      <w:spacing w:after="220"/>
      <w:ind w:left="2160" w:hanging="720"/>
    </w:pPr>
  </w:style>
  <w:style w:type="paragraph" w:customStyle="1" w:styleId="TableFormat">
    <w:name w:val="TableFormat"/>
    <w:basedOn w:val="Bullet"/>
    <w:rsid w:val="00CF69B8"/>
    <w:pPr>
      <w:tabs>
        <w:tab w:val="clear" w:pos="2160"/>
        <w:tab w:val="left" w:pos="5040"/>
      </w:tabs>
      <w:ind w:left="5040" w:hanging="3600"/>
    </w:pPr>
  </w:style>
  <w:style w:type="paragraph" w:customStyle="1" w:styleId="TOCTitle">
    <w:name w:val="TOC Title"/>
    <w:basedOn w:val="Normal"/>
    <w:rsid w:val="00CF69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69B8"/>
    <w:pPr>
      <w:jc w:val="center"/>
    </w:pPr>
    <w:rPr>
      <w:rFonts w:ascii="Times New Roman Bold" w:hAnsi="Times New Roman Bold"/>
      <w:b/>
      <w:bCs/>
      <w:caps/>
      <w:szCs w:val="22"/>
    </w:rPr>
  </w:style>
  <w:style w:type="character" w:styleId="Hyperlink">
    <w:name w:val="Hyperlink"/>
    <w:rsid w:val="00CF69B8"/>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 w:type="paragraph" w:styleId="ListParagraph">
    <w:name w:val="List Paragraph"/>
    <w:basedOn w:val="Normal"/>
    <w:uiPriority w:val="34"/>
    <w:qFormat/>
    <w:rsid w:val="00403C26"/>
    <w:pPr>
      <w:ind w:left="720"/>
      <w:contextualSpacing/>
    </w:pPr>
  </w:style>
  <w:style w:type="character" w:customStyle="1" w:styleId="starpage">
    <w:name w:val="starpage"/>
    <w:basedOn w:val="DefaultParagraphFont"/>
    <w:rsid w:val="00152E54"/>
  </w:style>
  <w:style w:type="character" w:customStyle="1" w:styleId="apple-converted-space">
    <w:name w:val="apple-converted-space"/>
    <w:basedOn w:val="DefaultParagraphFont"/>
    <w:rsid w:val="00152E54"/>
  </w:style>
  <w:style w:type="paragraph" w:styleId="Revision">
    <w:name w:val="Revision"/>
    <w:hidden/>
    <w:uiPriority w:val="99"/>
    <w:semiHidden/>
    <w:rsid w:val="006F5FD6"/>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2689</Words>
  <Characters>15156</Characters>
  <Application>Microsoft Office Word</Application>
  <DocSecurity>0</DocSecurity>
  <Lines>234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2014-07-30T13:26:00Z</cp:lastPrinted>
  <dcterms:created xsi:type="dcterms:W3CDTF">2014-08-07T14:44:00Z</dcterms:created>
  <dcterms:modified xsi:type="dcterms:W3CDTF">2014-08-07T14:44:00Z</dcterms:modified>
  <cp:category> </cp:category>
  <cp:contentStatus> </cp:contentStatus>
</cp:coreProperties>
</file>