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E66A17">
        <w:tc>
          <w:tcPr>
            <w:tcW w:w="4698" w:type="dxa"/>
          </w:tcPr>
          <w:p w:rsidR="00E66A17" w:rsidRPr="00150FBA" w:rsidRDefault="00E66A17" w:rsidP="002572B6">
            <w:pPr>
              <w:ind w:right="-18"/>
              <w:rPr>
                <w:szCs w:val="22"/>
              </w:rPr>
            </w:pPr>
            <w:r w:rsidRPr="00150FBA">
              <w:rPr>
                <w:szCs w:val="22"/>
              </w:rPr>
              <w:t xml:space="preserve">In </w:t>
            </w:r>
            <w:r>
              <w:rPr>
                <w:szCs w:val="22"/>
              </w:rPr>
              <w:t>th</w:t>
            </w:r>
            <w:r w:rsidRPr="00150FBA">
              <w:rPr>
                <w:szCs w:val="22"/>
              </w:rPr>
              <w:t>e</w:t>
            </w:r>
            <w:r>
              <w:rPr>
                <w:szCs w:val="22"/>
              </w:rPr>
              <w:t xml:space="preserve"> Matter of</w:t>
            </w:r>
            <w:r w:rsidRPr="00150FBA">
              <w:rPr>
                <w:szCs w:val="22"/>
              </w:rPr>
              <w:t xml:space="preserve">  </w:t>
            </w:r>
          </w:p>
          <w:p w:rsidR="00E66A17" w:rsidRPr="00150FBA" w:rsidRDefault="00E66A17" w:rsidP="002572B6">
            <w:pPr>
              <w:ind w:right="-18"/>
              <w:rPr>
                <w:szCs w:val="22"/>
              </w:rPr>
            </w:pPr>
          </w:p>
          <w:p w:rsidR="00E66A17" w:rsidRPr="001D7234" w:rsidRDefault="00627DE9" w:rsidP="002572B6">
            <w:pPr>
              <w:ind w:right="-18"/>
              <w:rPr>
                <w:szCs w:val="22"/>
              </w:rPr>
            </w:pPr>
            <w:r>
              <w:rPr>
                <w:szCs w:val="22"/>
              </w:rPr>
              <w:t>ACCESS</w:t>
            </w:r>
          </w:p>
          <w:p w:rsidR="00E66A17" w:rsidRDefault="00E66A17" w:rsidP="002572B6">
            <w:pPr>
              <w:ind w:right="-18"/>
              <w:rPr>
                <w:b/>
                <w:szCs w:val="22"/>
              </w:rPr>
            </w:pPr>
          </w:p>
          <w:p w:rsidR="00E66A17" w:rsidRDefault="00E66A17" w:rsidP="002572B6">
            <w:pPr>
              <w:ind w:right="-18"/>
              <w:rPr>
                <w:szCs w:val="22"/>
              </w:rPr>
            </w:pPr>
            <w:r>
              <w:rPr>
                <w:szCs w:val="22"/>
              </w:rPr>
              <w:t xml:space="preserve">Application for a New </w:t>
            </w:r>
            <w:r w:rsidR="00627DE9">
              <w:rPr>
                <w:szCs w:val="22"/>
              </w:rPr>
              <w:t>LPFM</w:t>
            </w:r>
            <w:r>
              <w:rPr>
                <w:szCs w:val="22"/>
              </w:rPr>
              <w:t xml:space="preserve"> Station at</w:t>
            </w:r>
          </w:p>
          <w:p w:rsidR="00E66A17" w:rsidRDefault="00627DE9" w:rsidP="002572B6">
            <w:pPr>
              <w:ind w:right="-18"/>
              <w:rPr>
                <w:szCs w:val="22"/>
              </w:rPr>
            </w:pPr>
            <w:r>
              <w:rPr>
                <w:szCs w:val="22"/>
              </w:rPr>
              <w:t>San Diego, California</w:t>
            </w:r>
          </w:p>
          <w:p w:rsidR="00E66A17" w:rsidRPr="00150FBA" w:rsidRDefault="00E66A17" w:rsidP="002572B6">
            <w:pPr>
              <w:ind w:right="-18"/>
              <w:rPr>
                <w:b/>
                <w:szCs w:val="22"/>
              </w:rPr>
            </w:pPr>
            <w:r w:rsidRPr="00150FBA">
              <w:rPr>
                <w:szCs w:val="22"/>
              </w:rPr>
              <w:t xml:space="preserve"> </w:t>
            </w:r>
          </w:p>
        </w:tc>
        <w:tc>
          <w:tcPr>
            <w:tcW w:w="630" w:type="dxa"/>
          </w:tcPr>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 xml:space="preserve">) </w:t>
            </w:r>
          </w:p>
        </w:tc>
        <w:tc>
          <w:tcPr>
            <w:tcW w:w="4248" w:type="dxa"/>
          </w:tcPr>
          <w:p w:rsidR="00E66A17" w:rsidRPr="00150FBA" w:rsidRDefault="00E66A17" w:rsidP="002572B6">
            <w:pPr>
              <w:rPr>
                <w:szCs w:val="22"/>
              </w:rPr>
            </w:pPr>
          </w:p>
          <w:p w:rsidR="00E66A17" w:rsidRDefault="00E66A17" w:rsidP="002572B6">
            <w:pPr>
              <w:rPr>
                <w:szCs w:val="22"/>
              </w:rPr>
            </w:pPr>
          </w:p>
          <w:p w:rsidR="00E66A17" w:rsidRDefault="00E66A17" w:rsidP="002572B6">
            <w:pPr>
              <w:rPr>
                <w:szCs w:val="22"/>
              </w:rPr>
            </w:pPr>
          </w:p>
          <w:p w:rsidR="00A13CA2" w:rsidRDefault="00A13CA2" w:rsidP="002572B6">
            <w:pPr>
              <w:rPr>
                <w:szCs w:val="22"/>
              </w:rPr>
            </w:pPr>
          </w:p>
          <w:p w:rsidR="00627DE9" w:rsidRPr="00150FBA" w:rsidRDefault="00627DE9" w:rsidP="00627DE9">
            <w:pPr>
              <w:rPr>
                <w:szCs w:val="22"/>
              </w:rPr>
            </w:pPr>
            <w:r w:rsidRPr="00150FBA">
              <w:rPr>
                <w:szCs w:val="22"/>
              </w:rPr>
              <w:t xml:space="preserve">File No. </w:t>
            </w:r>
            <w:r w:rsidR="00792287">
              <w:rPr>
                <w:szCs w:val="22"/>
              </w:rPr>
              <w:t>BNPL-20131114AUJ</w:t>
            </w:r>
          </w:p>
          <w:p w:rsidR="00E66A17" w:rsidRPr="00150FBA" w:rsidRDefault="00E66A17" w:rsidP="00C54986">
            <w:pPr>
              <w:rPr>
                <w:szCs w:val="22"/>
              </w:rPr>
            </w:pPr>
            <w:r w:rsidRPr="00150FBA">
              <w:rPr>
                <w:szCs w:val="22"/>
              </w:rPr>
              <w:t xml:space="preserve">Facility ID No. </w:t>
            </w:r>
            <w:r w:rsidR="00792287">
              <w:rPr>
                <w:szCs w:val="22"/>
              </w:rPr>
              <w:t>196521</w:t>
            </w:r>
            <w:r w:rsidRPr="00150FBA">
              <w:rPr>
                <w:szCs w:val="22"/>
              </w:rPr>
              <w:t xml:space="preserve">         </w:t>
            </w:r>
          </w:p>
        </w:tc>
      </w:tr>
    </w:tbl>
    <w:p w:rsidR="007B35C9" w:rsidRDefault="007B35C9" w:rsidP="00F021FA">
      <w:pPr>
        <w:pStyle w:val="StyleBoldCentered"/>
      </w:pPr>
    </w:p>
    <w:p w:rsidR="00841AB1" w:rsidRDefault="00E66A17"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05280A">
        <w:rPr>
          <w:b/>
          <w:spacing w:val="-2"/>
        </w:rPr>
        <w:t>July 31,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E38E4">
        <w:rPr>
          <w:b/>
          <w:spacing w:val="-2"/>
        </w:rPr>
        <w:t>July 31</w:t>
      </w:r>
      <w:r w:rsidR="0005280A">
        <w:rPr>
          <w:b/>
          <w:spacing w:val="-2"/>
        </w:rPr>
        <w:t>, 2014</w:t>
      </w:r>
    </w:p>
    <w:p w:rsidR="00822CE0" w:rsidRDefault="00822CE0"/>
    <w:p w:rsidR="004C2EE3" w:rsidRDefault="004C2EE3">
      <w:pPr>
        <w:rPr>
          <w:spacing w:val="-2"/>
        </w:rPr>
      </w:pPr>
      <w:r>
        <w:t xml:space="preserve">By </w:t>
      </w:r>
      <w:r w:rsidR="004E4A22">
        <w:t>the</w:t>
      </w:r>
      <w:r w:rsidR="002A2D2E">
        <w:t xml:space="preserve"> </w:t>
      </w:r>
      <w:r w:rsidR="00E66A17">
        <w:rPr>
          <w:spacing w:val="-2"/>
        </w:rPr>
        <w:t>Commission</w:t>
      </w:r>
      <w:r>
        <w:rPr>
          <w:spacing w:val="-2"/>
        </w:rPr>
        <w:t>:</w:t>
      </w:r>
    </w:p>
    <w:p w:rsidR="00412FC5" w:rsidRDefault="00412FC5" w:rsidP="00412FC5"/>
    <w:p w:rsidR="00632015" w:rsidRPr="00FA0B28" w:rsidRDefault="00E66A17" w:rsidP="00A5171B">
      <w:pPr>
        <w:pStyle w:val="ParaNum"/>
        <w:rPr>
          <w:szCs w:val="22"/>
        </w:rPr>
      </w:pPr>
      <w:r w:rsidRPr="00150FBA">
        <w:t xml:space="preserve">The Commission has before it </w:t>
      </w:r>
      <w:r>
        <w:t>an</w:t>
      </w:r>
      <w:r w:rsidRPr="00150FBA">
        <w:t xml:space="preserve"> Application for Review (“AFR</w:t>
      </w:r>
      <w:r>
        <w:t>”</w:t>
      </w:r>
      <w:r w:rsidRPr="00150FBA">
        <w:t xml:space="preserve">) </w:t>
      </w:r>
      <w:r>
        <w:t xml:space="preserve">filed by </w:t>
      </w:r>
      <w:r w:rsidR="00792287">
        <w:t>ACCESS</w:t>
      </w:r>
      <w:r>
        <w:t xml:space="preserve"> on </w:t>
      </w:r>
      <w:r w:rsidR="00650E85">
        <w:t>February 10</w:t>
      </w:r>
      <w:r w:rsidR="00DE25E9">
        <w:t>, 201</w:t>
      </w:r>
      <w:r w:rsidR="005B7770">
        <w:t>4</w:t>
      </w:r>
      <w:r>
        <w:t xml:space="preserve">.  In the AFR, </w:t>
      </w:r>
      <w:r w:rsidR="00650E85">
        <w:t>ACCESS</w:t>
      </w:r>
      <w:r>
        <w:t xml:space="preserve"> seeks review of </w:t>
      </w:r>
      <w:r w:rsidR="00650E85">
        <w:t>the Media Bureau (“Bureau”) staff letter</w:t>
      </w:r>
      <w:r w:rsidR="00C8132F">
        <w:rPr>
          <w:rStyle w:val="FootnoteReference"/>
        </w:rPr>
        <w:footnoteReference w:id="2"/>
      </w:r>
      <w:r w:rsidR="00650E85">
        <w:t xml:space="preserve"> that dismissed its application for a new LPFM station at San Diego, California</w:t>
      </w:r>
      <w:r w:rsidR="00C8132F">
        <w:t xml:space="preserve">, for failing to </w:t>
      </w:r>
      <w:r w:rsidR="001860D8">
        <w:t xml:space="preserve">meet the minimum </w:t>
      </w:r>
      <w:r w:rsidR="001860D8" w:rsidRPr="00FA0B28">
        <w:rPr>
          <w:szCs w:val="22"/>
        </w:rPr>
        <w:t>spacing requir</w:t>
      </w:r>
      <w:r w:rsidR="00C8132F" w:rsidRPr="00FA0B28">
        <w:rPr>
          <w:szCs w:val="22"/>
        </w:rPr>
        <w:t>e</w:t>
      </w:r>
      <w:r w:rsidR="001860D8" w:rsidRPr="00FA0B28">
        <w:rPr>
          <w:szCs w:val="22"/>
        </w:rPr>
        <w:t>ment</w:t>
      </w:r>
      <w:r w:rsidR="00C8132F" w:rsidRPr="00FA0B28">
        <w:rPr>
          <w:szCs w:val="22"/>
        </w:rPr>
        <w:t>s of Section 73.807 of the Commission’s Rules</w:t>
      </w:r>
      <w:r w:rsidR="00FA0B28">
        <w:rPr>
          <w:szCs w:val="22"/>
        </w:rPr>
        <w:t xml:space="preserve"> (“Rules”)</w:t>
      </w:r>
      <w:r w:rsidR="00650E85" w:rsidRPr="00FA0B28">
        <w:rPr>
          <w:szCs w:val="22"/>
        </w:rPr>
        <w:t>.</w:t>
      </w:r>
      <w:r w:rsidR="00C8132F" w:rsidRPr="00FA0B28">
        <w:rPr>
          <w:rStyle w:val="FootnoteReference"/>
          <w:sz w:val="22"/>
          <w:szCs w:val="22"/>
        </w:rPr>
        <w:footnoteReference w:id="3"/>
      </w:r>
      <w:r w:rsidR="000F087B" w:rsidRPr="00FA0B28">
        <w:rPr>
          <w:szCs w:val="22"/>
        </w:rPr>
        <w:t xml:space="preserve">  </w:t>
      </w:r>
      <w:r w:rsidR="00632015" w:rsidRPr="00FA0B28">
        <w:rPr>
          <w:szCs w:val="22"/>
        </w:rPr>
        <w:t>ACCESS acknowledges that the dismissal of its application was “complete</w:t>
      </w:r>
      <w:r w:rsidR="000F087B" w:rsidRPr="00FA0B28">
        <w:rPr>
          <w:szCs w:val="22"/>
        </w:rPr>
        <w:t>ly</w:t>
      </w:r>
      <w:r w:rsidR="00632015" w:rsidRPr="00FA0B28">
        <w:rPr>
          <w:szCs w:val="22"/>
        </w:rPr>
        <w:t xml:space="preserve"> valid under existing law and policy,” but argues that the international third-channel spacing requirements have proven to be unnecessary.</w:t>
      </w:r>
      <w:r w:rsidR="00632015" w:rsidRPr="00FA0B28">
        <w:rPr>
          <w:rStyle w:val="FootnoteReference"/>
          <w:sz w:val="22"/>
          <w:szCs w:val="22"/>
        </w:rPr>
        <w:footnoteReference w:id="4"/>
      </w:r>
      <w:r w:rsidR="00632015" w:rsidRPr="00FA0B28">
        <w:rPr>
          <w:szCs w:val="22"/>
        </w:rPr>
        <w:t xml:space="preserve">  Accordingly, ACCESS requests that the Commission refrain from dismissing its application in order to allow </w:t>
      </w:r>
      <w:r w:rsidR="00DE7652" w:rsidRPr="00FA0B28">
        <w:rPr>
          <w:szCs w:val="22"/>
        </w:rPr>
        <w:t xml:space="preserve">the Commission to encourage </w:t>
      </w:r>
      <w:r w:rsidR="00632015" w:rsidRPr="00FA0B28">
        <w:rPr>
          <w:szCs w:val="22"/>
        </w:rPr>
        <w:t xml:space="preserve">Mexico to </w:t>
      </w:r>
      <w:r w:rsidR="002262CE">
        <w:rPr>
          <w:szCs w:val="22"/>
        </w:rPr>
        <w:t>change</w:t>
      </w:r>
      <w:r w:rsidR="00632015" w:rsidRPr="00FA0B28">
        <w:rPr>
          <w:szCs w:val="22"/>
        </w:rPr>
        <w:t xml:space="preserve"> its spacing requirements.</w:t>
      </w:r>
      <w:r w:rsidR="00632015" w:rsidRPr="00FA0B28">
        <w:rPr>
          <w:rStyle w:val="FootnoteReference"/>
          <w:sz w:val="22"/>
          <w:szCs w:val="22"/>
        </w:rPr>
        <w:footnoteReference w:id="5"/>
      </w:r>
    </w:p>
    <w:p w:rsidR="005F4E1B" w:rsidRPr="005F4E1B" w:rsidRDefault="00FA0B28" w:rsidP="0017154F">
      <w:pPr>
        <w:pStyle w:val="ParaNum"/>
        <w:widowControl/>
      </w:pPr>
      <w:r w:rsidRPr="00FA0B28">
        <w:t>Section 5(c)(5) of the Communications Act of 1934, as amended, and Section 1.115(c) of the Rules bar applications for review that rely “on questions of fact or law upon which the [designated authority issuing the decision] has been afforded no opportunity to pass.”</w:t>
      </w:r>
      <w:r w:rsidRPr="00FA0B28">
        <w:rPr>
          <w:rStyle w:val="FootnoteReference"/>
          <w:sz w:val="22"/>
          <w:szCs w:val="22"/>
        </w:rPr>
        <w:footnoteReference w:id="6"/>
      </w:r>
      <w:r w:rsidRPr="00FA0B28">
        <w:t xml:space="preserve">  </w:t>
      </w:r>
      <w:r w:rsidR="00DE7652" w:rsidRPr="00FA0B28">
        <w:t xml:space="preserve">As </w:t>
      </w:r>
      <w:r w:rsidR="005F4E1B" w:rsidRPr="00FA0B28">
        <w:t xml:space="preserve">ACCESS </w:t>
      </w:r>
      <w:r w:rsidR="00DE7652" w:rsidRPr="00FA0B28">
        <w:t xml:space="preserve">admits, it </w:t>
      </w:r>
      <w:r w:rsidR="005F4E1B" w:rsidRPr="00FA0B28">
        <w:t>never</w:t>
      </w:r>
      <w:r w:rsidR="005F4E1B">
        <w:t xml:space="preserve"> </w:t>
      </w:r>
      <w:r>
        <w:lastRenderedPageBreak/>
        <w:t xml:space="preserve">presented to the Bureau its argument that </w:t>
      </w:r>
      <w:r w:rsidR="005F4E1B">
        <w:t>its application should be held pending</w:t>
      </w:r>
      <w:r>
        <w:t xml:space="preserve"> a possible</w:t>
      </w:r>
      <w:r w:rsidR="005F4E1B">
        <w:t xml:space="preserve"> </w:t>
      </w:r>
      <w:r w:rsidR="007171F6">
        <w:t>revision</w:t>
      </w:r>
      <w:r w:rsidR="005F4E1B">
        <w:t xml:space="preserve"> of Section 73.807.</w:t>
      </w:r>
      <w:r w:rsidR="005F4E1B">
        <w:rPr>
          <w:rStyle w:val="FootnoteReference"/>
        </w:rPr>
        <w:footnoteReference w:id="7"/>
      </w:r>
      <w:r w:rsidR="005F4E1B">
        <w:t xml:space="preserve"> </w:t>
      </w:r>
      <w:r>
        <w:t xml:space="preserve"> </w:t>
      </w:r>
      <w:r w:rsidR="005F4E1B">
        <w:t xml:space="preserve">Accordingly, we will dismiss the </w:t>
      </w:r>
      <w:r>
        <w:t>AFR.</w:t>
      </w:r>
      <w:r w:rsidR="00A75E78">
        <w:rPr>
          <w:rStyle w:val="FootnoteReference"/>
        </w:rPr>
        <w:footnoteReference w:id="8"/>
      </w:r>
      <w:r w:rsidR="005F4E1B">
        <w:t xml:space="preserve">  </w:t>
      </w:r>
    </w:p>
    <w:p w:rsidR="00E66A17" w:rsidRPr="00EC5899" w:rsidRDefault="00E66A17" w:rsidP="00A5171B">
      <w:pPr>
        <w:pStyle w:val="ParaNum"/>
      </w:pPr>
      <w:r w:rsidRPr="00EC5899">
        <w:t>ACCORDINGLY, IT IS ORDERED that, pursuant to Section 5(c)(5) of the Communications Act of 1934, as amended,</w:t>
      </w:r>
      <w:r w:rsidRPr="00EC5899">
        <w:rPr>
          <w:rStyle w:val="FootnoteReference"/>
          <w:szCs w:val="22"/>
        </w:rPr>
        <w:footnoteReference w:id="9"/>
      </w:r>
      <w:r w:rsidRPr="00EC5899">
        <w:t xml:space="preserve"> and Section 1.115(c) of the Commission’s Rules,</w:t>
      </w:r>
      <w:r w:rsidRPr="00EC5899">
        <w:rPr>
          <w:rStyle w:val="FootnoteReference"/>
          <w:szCs w:val="22"/>
        </w:rPr>
        <w:footnoteReference w:id="10"/>
      </w:r>
      <w:r w:rsidRPr="00EC5899">
        <w:t xml:space="preserve"> the Application for Review filed by </w:t>
      </w:r>
      <w:r w:rsidR="000F087B">
        <w:t>ACCESS</w:t>
      </w:r>
      <w:r w:rsidRPr="00EC5899">
        <w:t xml:space="preserve"> IS D</w:t>
      </w:r>
      <w:r w:rsidR="000F087B">
        <w:t>ISMISSED</w:t>
      </w:r>
      <w:r w:rsidRPr="00EC5899">
        <w:t xml:space="preserve">.  </w:t>
      </w:r>
    </w:p>
    <w:p w:rsidR="00E66A17" w:rsidRPr="006358C3" w:rsidRDefault="00E66A17" w:rsidP="00E66A17">
      <w:r w:rsidRPr="006358C3">
        <w:tab/>
      </w:r>
      <w:r w:rsidRPr="006358C3">
        <w:tab/>
      </w:r>
      <w:r w:rsidRPr="006358C3">
        <w:tab/>
      </w:r>
      <w:r w:rsidRPr="006358C3">
        <w:tab/>
      </w:r>
      <w:r w:rsidRPr="006358C3">
        <w:tab/>
      </w:r>
      <w:r w:rsidRPr="006358C3">
        <w:tab/>
        <w:t>FEDERAL COMMUNICATIONS COMMISSION</w:t>
      </w:r>
    </w:p>
    <w:p w:rsidR="00E66A17" w:rsidRDefault="00E66A17" w:rsidP="00E66A17"/>
    <w:p w:rsidR="00E66A17" w:rsidRDefault="00E66A17" w:rsidP="00E66A17"/>
    <w:p w:rsidR="00E66A17" w:rsidRDefault="00E66A17" w:rsidP="00E66A17"/>
    <w:p w:rsidR="008F3DB3" w:rsidRPr="006358C3" w:rsidRDefault="008F3DB3" w:rsidP="00E66A17"/>
    <w:p w:rsidR="00E66A17" w:rsidRPr="006358C3" w:rsidRDefault="00E66A17" w:rsidP="00E66A17">
      <w:r>
        <w:t xml:space="preserve"> </w:t>
      </w:r>
      <w:r>
        <w:tab/>
      </w:r>
      <w:r>
        <w:tab/>
      </w:r>
      <w:r>
        <w:tab/>
      </w:r>
      <w:r>
        <w:tab/>
      </w:r>
      <w:r>
        <w:tab/>
      </w:r>
      <w:r>
        <w:tab/>
      </w:r>
      <w:r w:rsidRPr="006358C3">
        <w:t>Marlene H. Dortch</w:t>
      </w:r>
    </w:p>
    <w:p w:rsidR="002C00E8" w:rsidRPr="002C00E8" w:rsidRDefault="00E66A17" w:rsidP="007B35C9">
      <w:r>
        <w:t xml:space="preserve"> </w:t>
      </w:r>
      <w:r>
        <w:tab/>
      </w:r>
      <w:r>
        <w:tab/>
      </w:r>
      <w:r>
        <w:tab/>
      </w:r>
      <w:r>
        <w:tab/>
      </w:r>
      <w:r>
        <w:tab/>
      </w:r>
      <w:r>
        <w:tab/>
      </w:r>
      <w:r w:rsidRPr="006358C3">
        <w:t>Secretary</w:t>
      </w:r>
    </w:p>
    <w:sectPr w:rsidR="002C00E8" w:rsidRPr="002C00E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41" w:rsidRDefault="00CA7341">
      <w:pPr>
        <w:spacing w:line="20" w:lineRule="exact"/>
      </w:pPr>
    </w:p>
  </w:endnote>
  <w:endnote w:type="continuationSeparator" w:id="0">
    <w:p w:rsidR="00CA7341" w:rsidRDefault="00CA7341">
      <w:r>
        <w:t xml:space="preserve"> </w:t>
      </w:r>
    </w:p>
  </w:endnote>
  <w:endnote w:type="continuationNotice" w:id="1">
    <w:p w:rsidR="00CA7341" w:rsidRDefault="00CA73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72D1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41" w:rsidRDefault="00CA7341">
      <w:r>
        <w:separator/>
      </w:r>
    </w:p>
  </w:footnote>
  <w:footnote w:type="continuationSeparator" w:id="0">
    <w:p w:rsidR="00CA7341" w:rsidRDefault="00CA7341" w:rsidP="00C721AC">
      <w:pPr>
        <w:spacing w:before="120"/>
        <w:rPr>
          <w:sz w:val="20"/>
        </w:rPr>
      </w:pPr>
      <w:r>
        <w:rPr>
          <w:sz w:val="20"/>
        </w:rPr>
        <w:t xml:space="preserve">(Continued from previous page)  </w:t>
      </w:r>
      <w:r>
        <w:rPr>
          <w:sz w:val="20"/>
        </w:rPr>
        <w:separator/>
      </w:r>
    </w:p>
  </w:footnote>
  <w:footnote w:type="continuationNotice" w:id="1">
    <w:p w:rsidR="00CA7341" w:rsidRDefault="00CA7341" w:rsidP="00C721AC">
      <w:pPr>
        <w:jc w:val="right"/>
        <w:rPr>
          <w:sz w:val="20"/>
        </w:rPr>
      </w:pPr>
      <w:r>
        <w:rPr>
          <w:sz w:val="20"/>
        </w:rPr>
        <w:t>(continued….)</w:t>
      </w:r>
    </w:p>
  </w:footnote>
  <w:footnote w:id="2">
    <w:p w:rsidR="00C8132F" w:rsidRPr="00C73651" w:rsidRDefault="00C8132F" w:rsidP="00C8132F">
      <w:pPr>
        <w:pStyle w:val="FootnoteText"/>
      </w:pPr>
      <w:r w:rsidRPr="00C73651">
        <w:rPr>
          <w:rStyle w:val="FootnoteReference"/>
        </w:rPr>
        <w:footnoteRef/>
      </w:r>
      <w:r w:rsidRPr="00C73651">
        <w:t xml:space="preserve"> </w:t>
      </w:r>
      <w:r w:rsidRPr="00C73651">
        <w:rPr>
          <w:i/>
        </w:rPr>
        <w:t>Letter to ACCESS from James Bradshaw</w:t>
      </w:r>
      <w:r w:rsidRPr="00C73651">
        <w:t>, Ref. 1800B3 (MB Jan. 10, 2014) (“</w:t>
      </w:r>
      <w:r w:rsidRPr="00C73651">
        <w:rPr>
          <w:i/>
        </w:rPr>
        <w:t>Staff Letter</w:t>
      </w:r>
      <w:r w:rsidRPr="00C73651">
        <w:t>”)</w:t>
      </w:r>
    </w:p>
  </w:footnote>
  <w:footnote w:id="3">
    <w:p w:rsidR="00C8132F" w:rsidRPr="00C73651" w:rsidRDefault="00C8132F">
      <w:pPr>
        <w:pStyle w:val="FootnoteText"/>
      </w:pPr>
      <w:r w:rsidRPr="00C73651">
        <w:rPr>
          <w:rStyle w:val="FootnoteReference"/>
        </w:rPr>
        <w:footnoteRef/>
      </w:r>
      <w:r w:rsidRPr="00C73651">
        <w:t xml:space="preserve"> 47 C.F.R. § 73.807.  The Station propose</w:t>
      </w:r>
      <w:r w:rsidR="006B4A4C" w:rsidRPr="00C73651">
        <w:t>s</w:t>
      </w:r>
      <w:r w:rsidRPr="00C73651">
        <w:t xml:space="preserve"> to operate on Channel 262.  As noted in the </w:t>
      </w:r>
      <w:r w:rsidRPr="00C73651">
        <w:rPr>
          <w:i/>
        </w:rPr>
        <w:t>Staff Letter</w:t>
      </w:r>
      <w:r w:rsidRPr="00C73651">
        <w:t xml:space="preserve">, the Station’s proposed site is located 43.2 kilometers from </w:t>
      </w:r>
      <w:r w:rsidR="002262CE" w:rsidRPr="00C73651">
        <w:t xml:space="preserve">third-adjacent </w:t>
      </w:r>
      <w:r w:rsidRPr="00C73651">
        <w:t xml:space="preserve">XHTY-FM on Channel 259C1 in Tijuana, BN, Mexico.  The minimum spacing requirement </w:t>
      </w:r>
      <w:r w:rsidR="006316CA">
        <w:t>is</w:t>
      </w:r>
      <w:r w:rsidRPr="00C73651">
        <w:t xml:space="preserve"> 73 </w:t>
      </w:r>
      <w:r w:rsidR="001860D8" w:rsidRPr="00C73651">
        <w:t>kilometers</w:t>
      </w:r>
      <w:r w:rsidRPr="00C73651">
        <w:t xml:space="preserve">.  </w:t>
      </w:r>
      <w:r w:rsidRPr="00C73651">
        <w:rPr>
          <w:i/>
        </w:rPr>
        <w:t>See Staff Letter</w:t>
      </w:r>
      <w:r w:rsidRPr="00C73651">
        <w:t xml:space="preserve">.  </w:t>
      </w:r>
      <w:r w:rsidRPr="00C73651">
        <w:rPr>
          <w:i/>
        </w:rPr>
        <w:t>See also</w:t>
      </w:r>
      <w:r w:rsidRPr="00C73651">
        <w:t xml:space="preserve"> 47 C.F.R. § 73.807(g)(2).</w:t>
      </w:r>
      <w:r w:rsidR="00FA0B28" w:rsidRPr="00C73651">
        <w:t xml:space="preserve">  </w:t>
      </w:r>
      <w:r w:rsidR="00313F05" w:rsidRPr="00C73651">
        <w:t xml:space="preserve">The </w:t>
      </w:r>
      <w:r w:rsidR="00313F05" w:rsidRPr="00C73651">
        <w:rPr>
          <w:i/>
        </w:rPr>
        <w:t>Fifth Report and Order</w:t>
      </w:r>
      <w:r w:rsidR="00313F05" w:rsidRPr="00C73651">
        <w:t xml:space="preserve"> in the LPFM proceeding generally eliminated</w:t>
      </w:r>
      <w:r w:rsidR="002262CE" w:rsidRPr="00C73651">
        <w:t xml:space="preserve"> the</w:t>
      </w:r>
      <w:r w:rsidR="00313F05" w:rsidRPr="00C73651">
        <w:t xml:space="preserve"> third-adjacent channel spacing requirement, but, as ACCESS acknowledges, explicitly maintained</w:t>
      </w:r>
      <w:r w:rsidR="002262CE" w:rsidRPr="00C73651">
        <w:t xml:space="preserve"> the</w:t>
      </w:r>
      <w:r w:rsidR="00313F05" w:rsidRPr="00C73651">
        <w:t xml:space="preserve"> </w:t>
      </w:r>
      <w:r w:rsidR="006B4A4C" w:rsidRPr="00C73651">
        <w:t>international third-adjacent channel protection</w:t>
      </w:r>
      <w:r w:rsidR="00313F05" w:rsidRPr="00C73651">
        <w:t xml:space="preserve"> requirements</w:t>
      </w:r>
      <w:r w:rsidR="002262CE" w:rsidRPr="00C73651">
        <w:t>, which are mandated by treaties between the United States and Canada, and the United States and Mexico</w:t>
      </w:r>
      <w:r w:rsidR="00313F05" w:rsidRPr="00C73651">
        <w:t xml:space="preserve">.  </w:t>
      </w:r>
      <w:r w:rsidR="00313F05" w:rsidRPr="00C73651">
        <w:rPr>
          <w:i/>
        </w:rPr>
        <w:t>See Creation of a Low Power Radio Service, Fifth Report and Order¸ Fourth Notice of Proposed Rulemaking and Fourth Order on Reconsideration</w:t>
      </w:r>
      <w:r w:rsidR="00313F05" w:rsidRPr="00C73651">
        <w:t>, 27 FCC Rcd 3315, 3321</w:t>
      </w:r>
      <w:r w:rsidR="006B4A4C" w:rsidRPr="00C73651">
        <w:t>, n.44</w:t>
      </w:r>
      <w:r w:rsidR="00313F05" w:rsidRPr="00C73651">
        <w:t xml:space="preserve"> (2012).  </w:t>
      </w:r>
      <w:r w:rsidR="00FA0B28" w:rsidRPr="00C73651">
        <w:t>In the AFR, ACCESS explains that its application failed to comply with the</w:t>
      </w:r>
      <w:r w:rsidR="00911527" w:rsidRPr="00C73651">
        <w:t xml:space="preserve"> international</w:t>
      </w:r>
      <w:r w:rsidR="00FA0B28" w:rsidRPr="00C73651">
        <w:t xml:space="preserve"> spacing requirements because its engineering consultant’s software package, FM Commander Vsoft, eliminated both domestic and international </w:t>
      </w:r>
      <w:r w:rsidR="006316CA">
        <w:t xml:space="preserve">third-adjacent </w:t>
      </w:r>
      <w:r w:rsidR="00911527" w:rsidRPr="00C73651">
        <w:t>spacing</w:t>
      </w:r>
      <w:r w:rsidR="006316CA">
        <w:t xml:space="preserve"> protection</w:t>
      </w:r>
      <w:r w:rsidR="00911527" w:rsidRPr="00C73651">
        <w:t>.</w:t>
      </w:r>
      <w:r w:rsidR="00313F05" w:rsidRPr="00C73651">
        <w:t xml:space="preserve">  </w:t>
      </w:r>
      <w:r w:rsidR="00FA0B28" w:rsidRPr="00C73651">
        <w:t>AFR</w:t>
      </w:r>
      <w:r w:rsidR="00313F05" w:rsidRPr="00C73651">
        <w:t xml:space="preserve"> at 2.</w:t>
      </w:r>
    </w:p>
  </w:footnote>
  <w:footnote w:id="4">
    <w:p w:rsidR="00632015" w:rsidRPr="00C73651" w:rsidRDefault="00632015">
      <w:pPr>
        <w:pStyle w:val="FootnoteText"/>
        <w:rPr>
          <w:i/>
        </w:rPr>
      </w:pPr>
      <w:r w:rsidRPr="00C73651">
        <w:rPr>
          <w:rStyle w:val="FootnoteReference"/>
        </w:rPr>
        <w:footnoteRef/>
      </w:r>
      <w:r w:rsidRPr="00C73651">
        <w:t xml:space="preserve"> </w:t>
      </w:r>
      <w:r w:rsidRPr="00C73651">
        <w:rPr>
          <w:i/>
        </w:rPr>
        <w:t>Id.</w:t>
      </w:r>
      <w:r w:rsidRPr="00C73651">
        <w:t xml:space="preserve"> at 2.</w:t>
      </w:r>
      <w:r w:rsidR="00101CE0" w:rsidRPr="00C73651">
        <w:t xml:space="preserve">  </w:t>
      </w:r>
    </w:p>
  </w:footnote>
  <w:footnote w:id="5">
    <w:p w:rsidR="00632015" w:rsidRPr="00C73651" w:rsidRDefault="00632015">
      <w:pPr>
        <w:pStyle w:val="FootnoteText"/>
      </w:pPr>
      <w:r w:rsidRPr="00C73651">
        <w:rPr>
          <w:rStyle w:val="FootnoteReference"/>
        </w:rPr>
        <w:footnoteRef/>
      </w:r>
      <w:r w:rsidRPr="00C73651">
        <w:t xml:space="preserve"> </w:t>
      </w:r>
      <w:r w:rsidRPr="00C73651">
        <w:rPr>
          <w:i/>
        </w:rPr>
        <w:t>Id.</w:t>
      </w:r>
      <w:r w:rsidRPr="00C73651">
        <w:t xml:space="preserve"> at 3.</w:t>
      </w:r>
    </w:p>
  </w:footnote>
  <w:footnote w:id="6">
    <w:p w:rsidR="00FA0B28" w:rsidRPr="00C73651" w:rsidRDefault="00FA0B28" w:rsidP="00FA0B28">
      <w:pPr>
        <w:pStyle w:val="FootnoteText"/>
      </w:pPr>
      <w:r w:rsidRPr="00C73651">
        <w:rPr>
          <w:rStyle w:val="FootnoteReference"/>
        </w:rPr>
        <w:footnoteRef/>
      </w:r>
      <w:r w:rsidRPr="00C73651">
        <w:t xml:space="preserve"> </w:t>
      </w:r>
      <w:r w:rsidRPr="00C73651">
        <w:rPr>
          <w:i/>
          <w:iCs/>
        </w:rPr>
        <w:t>See</w:t>
      </w:r>
      <w:r w:rsidRPr="00C73651">
        <w:t xml:space="preserve"> 47 U.S.C. § 155(c)(5); 47 C.F.R. § 1.115(c); </w:t>
      </w:r>
      <w:r w:rsidRPr="00C73651">
        <w:rPr>
          <w:i/>
        </w:rPr>
        <w:t xml:space="preserve">BDPCS, Inc. v. FCC, </w:t>
      </w:r>
      <w:r w:rsidRPr="00C73651">
        <w:t>351 F.3d 1177, 1184 (D.C. Cir. 2003) (upholding Commission’s order dismissing arguments under Section 1.115(c) because that rule does not allow the Commission to grant an application for review if it relies upon arguments that were not presented below).</w:t>
      </w:r>
    </w:p>
  </w:footnote>
  <w:footnote w:id="7">
    <w:p w:rsidR="005F4E1B" w:rsidRPr="00C73651" w:rsidRDefault="005F4E1B">
      <w:pPr>
        <w:pStyle w:val="FootnoteText"/>
      </w:pPr>
      <w:r w:rsidRPr="00C73651">
        <w:rPr>
          <w:rStyle w:val="FootnoteReference"/>
        </w:rPr>
        <w:footnoteRef/>
      </w:r>
      <w:r w:rsidRPr="00C73651">
        <w:t xml:space="preserve"> ACCESS argues that “no purpose would be served by seeking relief at the staff level, because staff are bound to follow and implement </w:t>
      </w:r>
      <w:r w:rsidR="007171F6" w:rsidRPr="00C73651">
        <w:t>existing</w:t>
      </w:r>
      <w:r w:rsidRPr="00C73651">
        <w:t xml:space="preserve"> Commission policy, as they have done here.”  </w:t>
      </w:r>
      <w:r w:rsidR="00DE7652" w:rsidRPr="00C73651">
        <w:t xml:space="preserve">Petition at 2, n.1. </w:t>
      </w:r>
      <w:r w:rsidR="00911527" w:rsidRPr="00C73651">
        <w:t xml:space="preserve"> </w:t>
      </w:r>
      <w:r w:rsidR="00F67BC4" w:rsidRPr="00C73651">
        <w:t>However, ACCESS has not requested a waiver of Section 1.115(c)</w:t>
      </w:r>
      <w:r w:rsidR="00AC6DDE" w:rsidRPr="00C73651">
        <w:t xml:space="preserve"> and we will not grant one </w:t>
      </w:r>
      <w:r w:rsidR="00AC6DDE" w:rsidRPr="00C73651">
        <w:rPr>
          <w:i/>
        </w:rPr>
        <w:t>sua sponte</w:t>
      </w:r>
      <w:r w:rsidR="00AC6DDE" w:rsidRPr="00C73651">
        <w:t>.</w:t>
      </w:r>
    </w:p>
  </w:footnote>
  <w:footnote w:id="8">
    <w:p w:rsidR="00A75E78" w:rsidRPr="00F67E13" w:rsidRDefault="00A75E78">
      <w:pPr>
        <w:pStyle w:val="FootnoteText"/>
      </w:pPr>
      <w:r w:rsidRPr="00C73651">
        <w:rPr>
          <w:rStyle w:val="FootnoteReference"/>
        </w:rPr>
        <w:footnoteRef/>
      </w:r>
      <w:r w:rsidRPr="00C73651">
        <w:t xml:space="preserve"> Additionally,</w:t>
      </w:r>
      <w:r w:rsidR="00390B82" w:rsidRPr="00C73651">
        <w:t xml:space="preserve"> </w:t>
      </w:r>
      <w:r w:rsidR="001F6C78">
        <w:t xml:space="preserve">as a separate and independent ground for our denial of the relief sought by ACCESS, </w:t>
      </w:r>
      <w:r w:rsidRPr="00C73651">
        <w:t>were</w:t>
      </w:r>
      <w:r w:rsidR="00390B82" w:rsidRPr="00C73651">
        <w:t xml:space="preserve"> we</w:t>
      </w:r>
      <w:r w:rsidRPr="00C73651">
        <w:t xml:space="preserve"> to consider the AFR, we would deny it.  </w:t>
      </w:r>
      <w:r w:rsidR="006316CA" w:rsidRPr="004B38A1">
        <w:rPr>
          <w:i/>
        </w:rPr>
        <w:t>See Iglesia Pentecostal Cristo Missionera</w:t>
      </w:r>
      <w:r w:rsidR="006316CA">
        <w:t xml:space="preserve">, Memorandum Opinion and Order, 23 FCC Rcd 2230 (2008) (denying a request to keep a defective LPFM application pending until Congress addresses the domestic third-adjacent protection standard).  </w:t>
      </w:r>
      <w:r w:rsidRPr="00C73651">
        <w:t xml:space="preserve">ACCESS’ proposal – to withhold action on </w:t>
      </w:r>
      <w:r w:rsidR="00C73651">
        <w:t xml:space="preserve">defective </w:t>
      </w:r>
      <w:r w:rsidRPr="00C73651">
        <w:t xml:space="preserve">applications pending a possible revision of the </w:t>
      </w:r>
      <w:r w:rsidR="00754D43">
        <w:t>law</w:t>
      </w:r>
      <w:r w:rsidRPr="00C73651">
        <w:t xml:space="preserve"> </w:t>
      </w:r>
      <w:r w:rsidR="002F0FB0" w:rsidRPr="00C73651">
        <w:t>–</w:t>
      </w:r>
      <w:r w:rsidRPr="00C73651">
        <w:t xml:space="preserve"> </w:t>
      </w:r>
      <w:r w:rsidR="002F0FB0" w:rsidRPr="00C73651">
        <w:t xml:space="preserve">would </w:t>
      </w:r>
      <w:r w:rsidR="00F67E13">
        <w:t xml:space="preserve">require the Bureau to speculate </w:t>
      </w:r>
      <w:r w:rsidR="00BF2BD6">
        <w:t>whether, and, if so, how the treaty with Mexico</w:t>
      </w:r>
      <w:r w:rsidR="00F67E13">
        <w:t xml:space="preserve"> may be changed at some unknown point in the future.  Moreover, it would </w:t>
      </w:r>
      <w:r w:rsidR="00390B82" w:rsidRPr="00C73651">
        <w:t xml:space="preserve">encourage parties to file applications that cannot be granted.  The </w:t>
      </w:r>
      <w:r w:rsidR="00390B82" w:rsidRPr="00C73651">
        <w:rPr>
          <w:color w:val="000000"/>
        </w:rPr>
        <w:t xml:space="preserve">Commission has </w:t>
      </w:r>
      <w:r w:rsidR="00C73651" w:rsidRPr="00C73651">
        <w:rPr>
          <w:color w:val="000000"/>
        </w:rPr>
        <w:t xml:space="preserve">previously </w:t>
      </w:r>
      <w:r w:rsidR="00390B82" w:rsidRPr="00C73651">
        <w:rPr>
          <w:color w:val="000000"/>
        </w:rPr>
        <w:t xml:space="preserve">expressed concerns about the </w:t>
      </w:r>
      <w:bookmarkStart w:id="1" w:name="SR;700"/>
      <w:bookmarkStart w:id="2" w:name="SearchTerm"/>
      <w:bookmarkEnd w:id="1"/>
      <w:r w:rsidR="00390B82" w:rsidRPr="00C73651">
        <w:rPr>
          <w:color w:val="000000"/>
        </w:rPr>
        <w:t>burdens on</w:t>
      </w:r>
      <w:r w:rsidR="00C73651">
        <w:rPr>
          <w:color w:val="000000"/>
        </w:rPr>
        <w:t xml:space="preserve"> the</w:t>
      </w:r>
      <w:r w:rsidR="00390B82" w:rsidRPr="00C73651">
        <w:rPr>
          <w:color w:val="000000"/>
        </w:rPr>
        <w:t xml:space="preserve"> staff </w:t>
      </w:r>
      <w:bookmarkEnd w:id="2"/>
      <w:r w:rsidR="00390B82" w:rsidRPr="00C73651">
        <w:rPr>
          <w:color w:val="000000"/>
        </w:rPr>
        <w:t xml:space="preserve">and the processing delays caused by </w:t>
      </w:r>
      <w:r w:rsidR="00C73651" w:rsidRPr="00C73651">
        <w:rPr>
          <w:color w:val="000000"/>
        </w:rPr>
        <w:t>such application</w:t>
      </w:r>
      <w:r w:rsidR="00C73651">
        <w:rPr>
          <w:color w:val="000000"/>
        </w:rPr>
        <w:t>s</w:t>
      </w:r>
      <w:r w:rsidR="0043453B">
        <w:rPr>
          <w:color w:val="000000"/>
        </w:rPr>
        <w:t>, as well as the fundamental unfairness to parties that chose to defer filings because they could not comply with current Rules</w:t>
      </w:r>
      <w:r w:rsidR="00C73651" w:rsidRPr="00C73651">
        <w:rPr>
          <w:color w:val="000000"/>
        </w:rPr>
        <w:t xml:space="preserve">.  </w:t>
      </w:r>
      <w:r w:rsidR="00C73651" w:rsidRPr="00C73651">
        <w:rPr>
          <w:i/>
          <w:color w:val="000000"/>
        </w:rPr>
        <w:t xml:space="preserve">See </w:t>
      </w:r>
      <w:r w:rsidR="006316CA">
        <w:rPr>
          <w:i/>
          <w:color w:val="000000"/>
        </w:rPr>
        <w:t>Heartland Ministries, Inc.</w:t>
      </w:r>
      <w:r w:rsidR="006316CA">
        <w:rPr>
          <w:color w:val="000000"/>
        </w:rPr>
        <w:t>, 25 FCC Rcd at 3575-76,</w:t>
      </w:r>
      <w:r w:rsidR="00BF2BD6">
        <w:rPr>
          <w:color w:val="000000"/>
        </w:rPr>
        <w:t xml:space="preserve"> n. 25,</w:t>
      </w:r>
      <w:r w:rsidR="006316CA">
        <w:rPr>
          <w:color w:val="000000"/>
        </w:rPr>
        <w:t xml:space="preserve"> </w:t>
      </w:r>
      <w:r w:rsidR="006316CA" w:rsidRPr="004B38A1">
        <w:rPr>
          <w:i/>
          <w:color w:val="000000"/>
        </w:rPr>
        <w:t>citing</w:t>
      </w:r>
      <w:r w:rsidR="006316CA">
        <w:rPr>
          <w:color w:val="000000"/>
        </w:rPr>
        <w:t xml:space="preserve"> </w:t>
      </w:r>
      <w:r w:rsidR="00C73651" w:rsidRPr="00C73651">
        <w:rPr>
          <w:i/>
          <w:color w:val="000000"/>
        </w:rPr>
        <w:t>Commission States Future Policy on Incomplete and Patently Defective AM and FM Construction Permit Applications</w:t>
      </w:r>
      <w:r w:rsidR="00C73651" w:rsidRPr="00C73651">
        <w:rPr>
          <w:color w:val="000000"/>
        </w:rPr>
        <w:t xml:space="preserve">, Public Notice, </w:t>
      </w:r>
      <w:r w:rsidR="0043453B">
        <w:rPr>
          <w:color w:val="000000"/>
        </w:rPr>
        <w:t>49 Fed. Reg. 47331 (Dec. 3, 1984)</w:t>
      </w:r>
      <w:r w:rsidR="00C73651" w:rsidRPr="00C73651">
        <w:rPr>
          <w:color w:val="000000"/>
        </w:rPr>
        <w:t xml:space="preserve"> (“</w:t>
      </w:r>
      <w:r w:rsidR="00390B82" w:rsidRPr="00C73651">
        <w:rPr>
          <w:color w:val="000000"/>
        </w:rPr>
        <w:t xml:space="preserve">Incomplete and patently defective applications place an inordinate burden on our processing staff.  This burden entails repeated requests by the staff for information clearly called for in the application.  This delays the processing of not only the incomplete and patently defective applications, but also the processing of grantable applications. </w:t>
      </w:r>
      <w:r w:rsidR="00C73651" w:rsidRPr="00C73651">
        <w:rPr>
          <w:color w:val="000000"/>
        </w:rPr>
        <w:t xml:space="preserve"> </w:t>
      </w:r>
      <w:r w:rsidR="00390B82" w:rsidRPr="00C73651">
        <w:rPr>
          <w:color w:val="000000"/>
        </w:rPr>
        <w:t>Most important, service to the public in the initiation of new broadcast service is delayed.”)</w:t>
      </w:r>
      <w:r w:rsidR="00F67E13">
        <w:rPr>
          <w:color w:val="000000"/>
        </w:rPr>
        <w:t xml:space="preserve">.  </w:t>
      </w:r>
      <w:r w:rsidR="00FF0312">
        <w:rPr>
          <w:color w:val="000000"/>
        </w:rPr>
        <w:t xml:space="preserve">Finally, ACCESS’s citation of section 1.115(b)(2) of the rules, which includes as the factors that may be cited in an application for review “[t]he action involves application of a precedent or policy which </w:t>
      </w:r>
      <w:r w:rsidR="00BD4808">
        <w:rPr>
          <w:color w:val="000000"/>
        </w:rPr>
        <w:t>should be overturned or revised,</w:t>
      </w:r>
      <w:r w:rsidR="00FF0312">
        <w:rPr>
          <w:color w:val="000000"/>
        </w:rPr>
        <w:t xml:space="preserve">” </w:t>
      </w:r>
      <w:r w:rsidR="00BD4808">
        <w:rPr>
          <w:color w:val="000000"/>
        </w:rPr>
        <w:t xml:space="preserve">is unavailing. </w:t>
      </w:r>
      <w:r w:rsidR="002B7443">
        <w:rPr>
          <w:color w:val="000000"/>
        </w:rPr>
        <w:t xml:space="preserve"> </w:t>
      </w:r>
      <w:r w:rsidR="00FF0312">
        <w:rPr>
          <w:color w:val="000000"/>
        </w:rPr>
        <w:t xml:space="preserve">AFR at 2. </w:t>
      </w:r>
      <w:r w:rsidR="002B7443">
        <w:rPr>
          <w:color w:val="000000"/>
        </w:rPr>
        <w:t xml:space="preserve"> </w:t>
      </w:r>
      <w:r w:rsidR="00FF0312">
        <w:rPr>
          <w:color w:val="000000"/>
        </w:rPr>
        <w:t>ACCESS’s application was dismissed because of its proposal’s failure to comply with a rule (</w:t>
      </w:r>
      <w:r w:rsidR="00BD4808">
        <w:rPr>
          <w:color w:val="000000"/>
        </w:rPr>
        <w:t>47 C.F.R. §</w:t>
      </w:r>
      <w:r w:rsidR="00FF0312">
        <w:rPr>
          <w:color w:val="000000"/>
        </w:rPr>
        <w:t xml:space="preserve">73.807(g)), not a </w:t>
      </w:r>
      <w:r w:rsidR="00BD4808">
        <w:rPr>
          <w:color w:val="000000"/>
        </w:rPr>
        <w:t xml:space="preserve">Commission </w:t>
      </w:r>
      <w:r w:rsidR="00FF0312">
        <w:rPr>
          <w:color w:val="000000"/>
        </w:rPr>
        <w:t xml:space="preserve">precedent or policy. </w:t>
      </w:r>
    </w:p>
  </w:footnote>
  <w:footnote w:id="9">
    <w:p w:rsidR="00E66A17" w:rsidRPr="00C73651" w:rsidRDefault="00E66A17" w:rsidP="00294204">
      <w:pPr>
        <w:pStyle w:val="FootnoteText"/>
      </w:pPr>
      <w:r w:rsidRPr="00C73651">
        <w:rPr>
          <w:rStyle w:val="FootnoteReference"/>
        </w:rPr>
        <w:footnoteRef/>
      </w:r>
      <w:r w:rsidRPr="00C73651">
        <w:t xml:space="preserve"> 47 U.S.C. § 155(c)(5).</w:t>
      </w:r>
    </w:p>
  </w:footnote>
  <w:footnote w:id="10">
    <w:p w:rsidR="00E66A17" w:rsidRPr="00C73651" w:rsidRDefault="00E66A17" w:rsidP="00294204">
      <w:pPr>
        <w:pStyle w:val="FootnoteText"/>
      </w:pPr>
      <w:r w:rsidRPr="00C73651">
        <w:rPr>
          <w:rStyle w:val="FootnoteReference"/>
        </w:rPr>
        <w:footnoteRef/>
      </w:r>
      <w:r w:rsidRPr="00C73651">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43" w:rsidRDefault="00F634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05280A">
      <w:t>FCC 14-108</w:t>
    </w:r>
  </w:p>
  <w:p w:rsidR="00D25FB5" w:rsidRDefault="00E66A1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2E26465" wp14:editId="62323C1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66A17"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5280A">
      <w:rPr>
        <w:spacing w:val="-2"/>
      </w:rPr>
      <w:t>FCC 14-108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50B23DE6"/>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20A77"/>
    <w:rsid w:val="00036039"/>
    <w:rsid w:val="00037F90"/>
    <w:rsid w:val="00041DD6"/>
    <w:rsid w:val="0005280A"/>
    <w:rsid w:val="000633EE"/>
    <w:rsid w:val="000875BF"/>
    <w:rsid w:val="00096D8C"/>
    <w:rsid w:val="000B570F"/>
    <w:rsid w:val="000C0B65"/>
    <w:rsid w:val="000C7B27"/>
    <w:rsid w:val="000E05FE"/>
    <w:rsid w:val="000E0A7C"/>
    <w:rsid w:val="000E3D42"/>
    <w:rsid w:val="000F087B"/>
    <w:rsid w:val="00101CE0"/>
    <w:rsid w:val="001037C9"/>
    <w:rsid w:val="00122925"/>
    <w:rsid w:val="00122BD5"/>
    <w:rsid w:val="00126D3C"/>
    <w:rsid w:val="00133F79"/>
    <w:rsid w:val="00137A75"/>
    <w:rsid w:val="0015742E"/>
    <w:rsid w:val="0017154F"/>
    <w:rsid w:val="001856CD"/>
    <w:rsid w:val="0018580D"/>
    <w:rsid w:val="001860D8"/>
    <w:rsid w:val="001949F2"/>
    <w:rsid w:val="00194A66"/>
    <w:rsid w:val="001A156C"/>
    <w:rsid w:val="001A3DD3"/>
    <w:rsid w:val="001B6FB8"/>
    <w:rsid w:val="001C0A21"/>
    <w:rsid w:val="001D6BCF"/>
    <w:rsid w:val="001D7234"/>
    <w:rsid w:val="001E01CA"/>
    <w:rsid w:val="001E7E90"/>
    <w:rsid w:val="001F4889"/>
    <w:rsid w:val="001F6C78"/>
    <w:rsid w:val="002262CE"/>
    <w:rsid w:val="00243BF4"/>
    <w:rsid w:val="002534D7"/>
    <w:rsid w:val="00255FFF"/>
    <w:rsid w:val="002679A2"/>
    <w:rsid w:val="0027548F"/>
    <w:rsid w:val="00275CF5"/>
    <w:rsid w:val="0028301F"/>
    <w:rsid w:val="00285017"/>
    <w:rsid w:val="00294204"/>
    <w:rsid w:val="00296A04"/>
    <w:rsid w:val="002A09FF"/>
    <w:rsid w:val="002A2D2E"/>
    <w:rsid w:val="002B2C5F"/>
    <w:rsid w:val="002B7443"/>
    <w:rsid w:val="002B7FC6"/>
    <w:rsid w:val="002C00E8"/>
    <w:rsid w:val="002C360E"/>
    <w:rsid w:val="002F0FB0"/>
    <w:rsid w:val="002F44EC"/>
    <w:rsid w:val="0031390A"/>
    <w:rsid w:val="00313F05"/>
    <w:rsid w:val="00343749"/>
    <w:rsid w:val="0035295B"/>
    <w:rsid w:val="00360054"/>
    <w:rsid w:val="003660ED"/>
    <w:rsid w:val="00387346"/>
    <w:rsid w:val="00390B82"/>
    <w:rsid w:val="00392367"/>
    <w:rsid w:val="003B0550"/>
    <w:rsid w:val="003B3213"/>
    <w:rsid w:val="003B694F"/>
    <w:rsid w:val="003C385B"/>
    <w:rsid w:val="003D2024"/>
    <w:rsid w:val="003E260E"/>
    <w:rsid w:val="003F171C"/>
    <w:rsid w:val="003F4D1D"/>
    <w:rsid w:val="00402552"/>
    <w:rsid w:val="00412FC5"/>
    <w:rsid w:val="00414505"/>
    <w:rsid w:val="00422276"/>
    <w:rsid w:val="004242F1"/>
    <w:rsid w:val="0043453B"/>
    <w:rsid w:val="00435A0C"/>
    <w:rsid w:val="00445A00"/>
    <w:rsid w:val="00451B0F"/>
    <w:rsid w:val="00490081"/>
    <w:rsid w:val="0049659A"/>
    <w:rsid w:val="004B1BFC"/>
    <w:rsid w:val="004B38A1"/>
    <w:rsid w:val="004C2EE3"/>
    <w:rsid w:val="004C7B99"/>
    <w:rsid w:val="004E4A22"/>
    <w:rsid w:val="004F276C"/>
    <w:rsid w:val="00511968"/>
    <w:rsid w:val="00523ED5"/>
    <w:rsid w:val="005315B3"/>
    <w:rsid w:val="00537ECA"/>
    <w:rsid w:val="00550CDF"/>
    <w:rsid w:val="0055614C"/>
    <w:rsid w:val="00567A12"/>
    <w:rsid w:val="005805B8"/>
    <w:rsid w:val="005916A0"/>
    <w:rsid w:val="005A18AC"/>
    <w:rsid w:val="005A20C2"/>
    <w:rsid w:val="005B7770"/>
    <w:rsid w:val="005E14C2"/>
    <w:rsid w:val="005E4A6F"/>
    <w:rsid w:val="005E6396"/>
    <w:rsid w:val="005F4E1B"/>
    <w:rsid w:val="00607304"/>
    <w:rsid w:val="00607BA5"/>
    <w:rsid w:val="0061180A"/>
    <w:rsid w:val="00612E9A"/>
    <w:rsid w:val="00626EB6"/>
    <w:rsid w:val="00627DE9"/>
    <w:rsid w:val="006316CA"/>
    <w:rsid w:val="00632015"/>
    <w:rsid w:val="00650E85"/>
    <w:rsid w:val="00653650"/>
    <w:rsid w:val="00655D03"/>
    <w:rsid w:val="0067193A"/>
    <w:rsid w:val="00683388"/>
    <w:rsid w:val="00683F84"/>
    <w:rsid w:val="006A6A81"/>
    <w:rsid w:val="006B4A4C"/>
    <w:rsid w:val="006C38CF"/>
    <w:rsid w:val="006C5460"/>
    <w:rsid w:val="006D10A3"/>
    <w:rsid w:val="006E4F37"/>
    <w:rsid w:val="006F7393"/>
    <w:rsid w:val="0070224F"/>
    <w:rsid w:val="007115F7"/>
    <w:rsid w:val="007147B5"/>
    <w:rsid w:val="007171F6"/>
    <w:rsid w:val="00723292"/>
    <w:rsid w:val="00726BE0"/>
    <w:rsid w:val="00734E43"/>
    <w:rsid w:val="00754D43"/>
    <w:rsid w:val="007807BA"/>
    <w:rsid w:val="00785689"/>
    <w:rsid w:val="00785CD1"/>
    <w:rsid w:val="00792287"/>
    <w:rsid w:val="0079754B"/>
    <w:rsid w:val="007A1E6D"/>
    <w:rsid w:val="007B0EB2"/>
    <w:rsid w:val="007B35C9"/>
    <w:rsid w:val="007B7A68"/>
    <w:rsid w:val="007D433B"/>
    <w:rsid w:val="007F4B30"/>
    <w:rsid w:val="00810B6F"/>
    <w:rsid w:val="00815531"/>
    <w:rsid w:val="00822CE0"/>
    <w:rsid w:val="00830F22"/>
    <w:rsid w:val="00837CEA"/>
    <w:rsid w:val="00841AB1"/>
    <w:rsid w:val="0084279E"/>
    <w:rsid w:val="0084529A"/>
    <w:rsid w:val="00885637"/>
    <w:rsid w:val="008A27C6"/>
    <w:rsid w:val="008C68F1"/>
    <w:rsid w:val="008E00BE"/>
    <w:rsid w:val="008F3C4A"/>
    <w:rsid w:val="008F3DB3"/>
    <w:rsid w:val="008F529E"/>
    <w:rsid w:val="0090562F"/>
    <w:rsid w:val="009106B2"/>
    <w:rsid w:val="00911527"/>
    <w:rsid w:val="00920606"/>
    <w:rsid w:val="00921803"/>
    <w:rsid w:val="00926503"/>
    <w:rsid w:val="00927443"/>
    <w:rsid w:val="00946EE4"/>
    <w:rsid w:val="00946FB4"/>
    <w:rsid w:val="009509EF"/>
    <w:rsid w:val="009726D8"/>
    <w:rsid w:val="0097521B"/>
    <w:rsid w:val="00976EE8"/>
    <w:rsid w:val="009E38E4"/>
    <w:rsid w:val="009E52DC"/>
    <w:rsid w:val="009E71BE"/>
    <w:rsid w:val="009F76DB"/>
    <w:rsid w:val="00A10779"/>
    <w:rsid w:val="00A116CC"/>
    <w:rsid w:val="00A13CA2"/>
    <w:rsid w:val="00A32C3B"/>
    <w:rsid w:val="00A45F4F"/>
    <w:rsid w:val="00A5171B"/>
    <w:rsid w:val="00A600A9"/>
    <w:rsid w:val="00A71B74"/>
    <w:rsid w:val="00A75E78"/>
    <w:rsid w:val="00A95AC4"/>
    <w:rsid w:val="00AA55B7"/>
    <w:rsid w:val="00AA5B9E"/>
    <w:rsid w:val="00AB2407"/>
    <w:rsid w:val="00AB53DF"/>
    <w:rsid w:val="00AC6DDE"/>
    <w:rsid w:val="00AE64C3"/>
    <w:rsid w:val="00AF7BA5"/>
    <w:rsid w:val="00B04B79"/>
    <w:rsid w:val="00B07E5C"/>
    <w:rsid w:val="00B12573"/>
    <w:rsid w:val="00B35CCB"/>
    <w:rsid w:val="00B7728F"/>
    <w:rsid w:val="00B811F7"/>
    <w:rsid w:val="00B96AD6"/>
    <w:rsid w:val="00B96AFB"/>
    <w:rsid w:val="00B97E6C"/>
    <w:rsid w:val="00BA5DC6"/>
    <w:rsid w:val="00BA6196"/>
    <w:rsid w:val="00BB01DB"/>
    <w:rsid w:val="00BC6D8C"/>
    <w:rsid w:val="00BD1EF8"/>
    <w:rsid w:val="00BD4808"/>
    <w:rsid w:val="00BF2BD6"/>
    <w:rsid w:val="00C320E1"/>
    <w:rsid w:val="00C34006"/>
    <w:rsid w:val="00C426B1"/>
    <w:rsid w:val="00C54986"/>
    <w:rsid w:val="00C57194"/>
    <w:rsid w:val="00C66160"/>
    <w:rsid w:val="00C721AC"/>
    <w:rsid w:val="00C73651"/>
    <w:rsid w:val="00C8132F"/>
    <w:rsid w:val="00C90D6A"/>
    <w:rsid w:val="00C972D6"/>
    <w:rsid w:val="00CA247E"/>
    <w:rsid w:val="00CA5513"/>
    <w:rsid w:val="00CA7341"/>
    <w:rsid w:val="00CC72B6"/>
    <w:rsid w:val="00CC77B3"/>
    <w:rsid w:val="00CE467E"/>
    <w:rsid w:val="00CF0D91"/>
    <w:rsid w:val="00D01A98"/>
    <w:rsid w:val="00D0218D"/>
    <w:rsid w:val="00D14616"/>
    <w:rsid w:val="00D20539"/>
    <w:rsid w:val="00D243ED"/>
    <w:rsid w:val="00D25FB5"/>
    <w:rsid w:val="00D35DED"/>
    <w:rsid w:val="00D44223"/>
    <w:rsid w:val="00D45600"/>
    <w:rsid w:val="00D4629A"/>
    <w:rsid w:val="00D56E80"/>
    <w:rsid w:val="00D72D1C"/>
    <w:rsid w:val="00D80517"/>
    <w:rsid w:val="00DA2140"/>
    <w:rsid w:val="00DA2529"/>
    <w:rsid w:val="00DB130A"/>
    <w:rsid w:val="00DB2EBB"/>
    <w:rsid w:val="00DC0E91"/>
    <w:rsid w:val="00DC10A1"/>
    <w:rsid w:val="00DC655F"/>
    <w:rsid w:val="00DD0B59"/>
    <w:rsid w:val="00DD7EBD"/>
    <w:rsid w:val="00DE25E9"/>
    <w:rsid w:val="00DE7652"/>
    <w:rsid w:val="00DF62B6"/>
    <w:rsid w:val="00E03701"/>
    <w:rsid w:val="00E04ECE"/>
    <w:rsid w:val="00E07225"/>
    <w:rsid w:val="00E17E46"/>
    <w:rsid w:val="00E40C6F"/>
    <w:rsid w:val="00E51741"/>
    <w:rsid w:val="00E5409F"/>
    <w:rsid w:val="00E574A3"/>
    <w:rsid w:val="00E66A17"/>
    <w:rsid w:val="00E80AA5"/>
    <w:rsid w:val="00EB5E29"/>
    <w:rsid w:val="00EE0482"/>
    <w:rsid w:val="00EE6488"/>
    <w:rsid w:val="00EE6ABE"/>
    <w:rsid w:val="00EF1FC0"/>
    <w:rsid w:val="00F021FA"/>
    <w:rsid w:val="00F20DDD"/>
    <w:rsid w:val="00F270BE"/>
    <w:rsid w:val="00F456B4"/>
    <w:rsid w:val="00F62E97"/>
    <w:rsid w:val="00F63443"/>
    <w:rsid w:val="00F64209"/>
    <w:rsid w:val="00F67BC4"/>
    <w:rsid w:val="00F67E13"/>
    <w:rsid w:val="00F70BAE"/>
    <w:rsid w:val="00F77F4F"/>
    <w:rsid w:val="00F84455"/>
    <w:rsid w:val="00F93BF5"/>
    <w:rsid w:val="00FA0B28"/>
    <w:rsid w:val="00FD33D2"/>
    <w:rsid w:val="00FF0312"/>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0E3D42"/>
    <w:pPr>
      <w:spacing w:after="120"/>
    </w:pPr>
  </w:style>
  <w:style w:type="character" w:styleId="FootnoteReference">
    <w:name w:val="footnote reference"/>
    <w:aliases w:val="Style 12,(NECG) Footnote Reference,Appel note de bas de p,Style 124,o,fr,Style 3,Style 1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2B7FC6"/>
    <w:rPr>
      <w:rFonts w:ascii="Tahoma" w:hAnsi="Tahoma" w:cs="Tahoma"/>
      <w:sz w:val="16"/>
      <w:szCs w:val="16"/>
    </w:rPr>
  </w:style>
  <w:style w:type="character" w:customStyle="1" w:styleId="BalloonTextChar">
    <w:name w:val="Balloon Text Char"/>
    <w:basedOn w:val="DefaultParagraphFont"/>
    <w:link w:val="BalloonText"/>
    <w:rsid w:val="002B7FC6"/>
    <w:rPr>
      <w:rFonts w:ascii="Tahoma" w:hAnsi="Tahoma" w:cs="Tahoma"/>
      <w:snapToGrid w:val="0"/>
      <w:kern w:val="28"/>
      <w:sz w:val="16"/>
      <w:szCs w:val="16"/>
    </w:rPr>
  </w:style>
  <w:style w:type="character" w:styleId="CommentReference">
    <w:name w:val="annotation reference"/>
    <w:basedOn w:val="DefaultParagraphFont"/>
    <w:rsid w:val="008F3C4A"/>
    <w:rPr>
      <w:sz w:val="16"/>
      <w:szCs w:val="16"/>
    </w:rPr>
  </w:style>
  <w:style w:type="paragraph" w:styleId="CommentText">
    <w:name w:val="annotation text"/>
    <w:basedOn w:val="Normal"/>
    <w:link w:val="CommentTextChar"/>
    <w:rsid w:val="008F3C4A"/>
    <w:rPr>
      <w:sz w:val="20"/>
    </w:rPr>
  </w:style>
  <w:style w:type="character" w:customStyle="1" w:styleId="CommentTextChar">
    <w:name w:val="Comment Text Char"/>
    <w:basedOn w:val="DefaultParagraphFont"/>
    <w:link w:val="CommentText"/>
    <w:rsid w:val="008F3C4A"/>
    <w:rPr>
      <w:snapToGrid w:val="0"/>
      <w:kern w:val="28"/>
    </w:rPr>
  </w:style>
  <w:style w:type="paragraph" w:styleId="CommentSubject">
    <w:name w:val="annotation subject"/>
    <w:basedOn w:val="CommentText"/>
    <w:next w:val="CommentText"/>
    <w:link w:val="CommentSubjectChar"/>
    <w:rsid w:val="008F3C4A"/>
    <w:rPr>
      <w:b/>
      <w:bCs/>
    </w:rPr>
  </w:style>
  <w:style w:type="character" w:customStyle="1" w:styleId="CommentSubjectChar">
    <w:name w:val="Comment Subject Char"/>
    <w:basedOn w:val="CommentTextChar"/>
    <w:link w:val="CommentSubject"/>
    <w:rsid w:val="008F3C4A"/>
    <w:rPr>
      <w:b/>
      <w:bCs/>
      <w:snapToGrid w:val="0"/>
      <w:kern w:val="28"/>
    </w:rPr>
  </w:style>
  <w:style w:type="paragraph" w:styleId="ListParagraph">
    <w:name w:val="List Paragraph"/>
    <w:basedOn w:val="Normal"/>
    <w:uiPriority w:val="34"/>
    <w:qFormat/>
    <w:rsid w:val="005315B3"/>
    <w:pPr>
      <w:ind w:left="720"/>
      <w:contextualSpacing/>
    </w:p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w:basedOn w:val="DefaultParagraphFont"/>
    <w:rsid w:val="005F4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0E3D42"/>
    <w:pPr>
      <w:spacing w:after="120"/>
    </w:pPr>
  </w:style>
  <w:style w:type="character" w:styleId="FootnoteReference">
    <w:name w:val="footnote reference"/>
    <w:aliases w:val="Style 12,(NECG) Footnote Reference,Appel note de bas de p,Style 124,o,fr,Style 3,Style 1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2B7FC6"/>
    <w:rPr>
      <w:rFonts w:ascii="Tahoma" w:hAnsi="Tahoma" w:cs="Tahoma"/>
      <w:sz w:val="16"/>
      <w:szCs w:val="16"/>
    </w:rPr>
  </w:style>
  <w:style w:type="character" w:customStyle="1" w:styleId="BalloonTextChar">
    <w:name w:val="Balloon Text Char"/>
    <w:basedOn w:val="DefaultParagraphFont"/>
    <w:link w:val="BalloonText"/>
    <w:rsid w:val="002B7FC6"/>
    <w:rPr>
      <w:rFonts w:ascii="Tahoma" w:hAnsi="Tahoma" w:cs="Tahoma"/>
      <w:snapToGrid w:val="0"/>
      <w:kern w:val="28"/>
      <w:sz w:val="16"/>
      <w:szCs w:val="16"/>
    </w:rPr>
  </w:style>
  <w:style w:type="character" w:styleId="CommentReference">
    <w:name w:val="annotation reference"/>
    <w:basedOn w:val="DefaultParagraphFont"/>
    <w:rsid w:val="008F3C4A"/>
    <w:rPr>
      <w:sz w:val="16"/>
      <w:szCs w:val="16"/>
    </w:rPr>
  </w:style>
  <w:style w:type="paragraph" w:styleId="CommentText">
    <w:name w:val="annotation text"/>
    <w:basedOn w:val="Normal"/>
    <w:link w:val="CommentTextChar"/>
    <w:rsid w:val="008F3C4A"/>
    <w:rPr>
      <w:sz w:val="20"/>
    </w:rPr>
  </w:style>
  <w:style w:type="character" w:customStyle="1" w:styleId="CommentTextChar">
    <w:name w:val="Comment Text Char"/>
    <w:basedOn w:val="DefaultParagraphFont"/>
    <w:link w:val="CommentText"/>
    <w:rsid w:val="008F3C4A"/>
    <w:rPr>
      <w:snapToGrid w:val="0"/>
      <w:kern w:val="28"/>
    </w:rPr>
  </w:style>
  <w:style w:type="paragraph" w:styleId="CommentSubject">
    <w:name w:val="annotation subject"/>
    <w:basedOn w:val="CommentText"/>
    <w:next w:val="CommentText"/>
    <w:link w:val="CommentSubjectChar"/>
    <w:rsid w:val="008F3C4A"/>
    <w:rPr>
      <w:b/>
      <w:bCs/>
    </w:rPr>
  </w:style>
  <w:style w:type="character" w:customStyle="1" w:styleId="CommentSubjectChar">
    <w:name w:val="Comment Subject Char"/>
    <w:basedOn w:val="CommentTextChar"/>
    <w:link w:val="CommentSubject"/>
    <w:rsid w:val="008F3C4A"/>
    <w:rPr>
      <w:b/>
      <w:bCs/>
      <w:snapToGrid w:val="0"/>
      <w:kern w:val="28"/>
    </w:rPr>
  </w:style>
  <w:style w:type="paragraph" w:styleId="ListParagraph">
    <w:name w:val="List Paragraph"/>
    <w:basedOn w:val="Normal"/>
    <w:uiPriority w:val="34"/>
    <w:qFormat/>
    <w:rsid w:val="005315B3"/>
    <w:pPr>
      <w:ind w:left="720"/>
      <w:contextualSpacing/>
    </w:p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w:basedOn w:val="DefaultParagraphFont"/>
    <w:rsid w:val="005F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280</Words>
  <Characters>1527</Characters>
  <Application>Microsoft Office Word</Application>
  <DocSecurity>0</DocSecurity>
  <Lines>54</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2014-07-31T17:37:00Z</dcterms:created>
  <dcterms:modified xsi:type="dcterms:W3CDTF">2014-07-31T17:37:00Z</dcterms:modified>
  <cp:category> </cp:category>
  <cp:contentStatus> </cp:contentStatus>
</cp:coreProperties>
</file>