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 w:rsidP="003E7243">
            <w:pPr>
              <w:tabs>
                <w:tab w:val="center" w:pos="468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 </w:t>
            </w:r>
            <w:r w:rsidR="006A5E23">
              <w:rPr>
                <w:spacing w:val="-2"/>
              </w:rPr>
              <w:t>the Matter of</w:t>
            </w:r>
          </w:p>
          <w:p w:rsidR="004C2EE3" w:rsidRDefault="004C2EE3" w:rsidP="003E7243">
            <w:pPr>
              <w:tabs>
                <w:tab w:val="center" w:pos="4680"/>
              </w:tabs>
              <w:suppressAutoHyphens/>
              <w:jc w:val="both"/>
              <w:rPr>
                <w:spacing w:val="-2"/>
              </w:rPr>
            </w:pPr>
          </w:p>
          <w:p w:rsidR="004C2EE3" w:rsidRPr="007115F7" w:rsidRDefault="00C90A77" w:rsidP="00F14CE8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Amendment of Section 25.119(f) of the Commission’s Rules to </w:t>
            </w:r>
            <w:r w:rsidR="00F14CE8">
              <w:rPr>
                <w:spacing w:val="-2"/>
              </w:rPr>
              <w:t>Modify</w:t>
            </w:r>
            <w:r w:rsidR="00F14CE8" w:rsidRPr="00136DD7">
              <w:rPr>
                <w:spacing w:val="-2"/>
              </w:rPr>
              <w:t xml:space="preserve"> </w:t>
            </w:r>
            <w:r w:rsidR="00136DD7" w:rsidRPr="00136DD7">
              <w:rPr>
                <w:spacing w:val="-2"/>
              </w:rPr>
              <w:t xml:space="preserve">the </w:t>
            </w:r>
            <w:r w:rsidR="00620221">
              <w:rPr>
                <w:spacing w:val="-2"/>
              </w:rPr>
              <w:t>Consummation</w:t>
            </w:r>
            <w:r w:rsidR="00136DD7" w:rsidRPr="00136DD7">
              <w:rPr>
                <w:spacing w:val="-2"/>
              </w:rPr>
              <w:t xml:space="preserve"> </w:t>
            </w:r>
            <w:r w:rsidR="00891C23">
              <w:rPr>
                <w:spacing w:val="-2"/>
              </w:rPr>
              <w:t xml:space="preserve">Deadline for </w:t>
            </w:r>
            <w:r w:rsidR="006A5E23">
              <w:rPr>
                <w:spacing w:val="-2"/>
              </w:rPr>
              <w:t xml:space="preserve">Satellite </w:t>
            </w:r>
            <w:r w:rsidR="00DA35D3">
              <w:rPr>
                <w:spacing w:val="-2"/>
              </w:rPr>
              <w:t xml:space="preserve">Space and Earth Station </w:t>
            </w:r>
            <w:r w:rsidR="008C292A">
              <w:rPr>
                <w:spacing w:val="-2"/>
              </w:rPr>
              <w:t xml:space="preserve">License </w:t>
            </w:r>
            <w:r>
              <w:rPr>
                <w:spacing w:val="-2"/>
              </w:rPr>
              <w:t>Assignments</w:t>
            </w:r>
            <w:r w:rsidR="00136DD7">
              <w:t xml:space="preserve"> </w:t>
            </w:r>
            <w:r w:rsidR="00136DD7" w:rsidRPr="00136DD7">
              <w:rPr>
                <w:spacing w:val="-2"/>
              </w:rPr>
              <w:t>and Transfers of Control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 w:rsidP="006A5E2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4C2EE3" w:rsidRDefault="004C2EE3" w:rsidP="0070224F"/>
    <w:p w:rsidR="00841AB1" w:rsidRDefault="00C90A77" w:rsidP="00F021FA">
      <w:pPr>
        <w:pStyle w:val="StyleBoldCentered"/>
      </w:pPr>
      <w:r>
        <w:t>Order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6D65CB" w:rsidRPr="006D65CB">
        <w:rPr>
          <w:b/>
          <w:spacing w:val="-2"/>
        </w:rPr>
        <w:t>July 31, 2014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6D65CB" w:rsidRPr="006D65CB">
        <w:rPr>
          <w:b/>
          <w:spacing w:val="-2"/>
        </w:rPr>
        <w:t>August 1, 2014</w:t>
      </w:r>
    </w:p>
    <w:p w:rsidR="00822CE0" w:rsidRDefault="00822CE0"/>
    <w:p w:rsidR="004C2EE3" w:rsidRDefault="004C2EE3" w:rsidP="0069545C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2354EF">
        <w:rPr>
          <w:spacing w:val="-2"/>
        </w:rPr>
        <w:t>Commission</w:t>
      </w:r>
      <w:r>
        <w:rPr>
          <w:spacing w:val="-2"/>
        </w:rPr>
        <w:t>:</w:t>
      </w:r>
    </w:p>
    <w:p w:rsidR="00822CE0" w:rsidRDefault="00822CE0" w:rsidP="0069545C">
      <w:pPr>
        <w:rPr>
          <w:spacing w:val="-2"/>
        </w:rPr>
      </w:pPr>
    </w:p>
    <w:p w:rsidR="00D50BEF" w:rsidRDefault="00FA2800" w:rsidP="00A03852">
      <w:pPr>
        <w:pStyle w:val="ParaNum"/>
      </w:pPr>
      <w:r>
        <w:t xml:space="preserve">By this Order, we amend section 25.119(f) of the Commission's rules to extend the time by which parties must </w:t>
      </w:r>
      <w:r w:rsidR="0030669C">
        <w:t>consummate</w:t>
      </w:r>
      <w:r>
        <w:t xml:space="preserve"> an approved </w:t>
      </w:r>
      <w:r w:rsidR="006A5E23">
        <w:t xml:space="preserve">satellite </w:t>
      </w:r>
      <w:r w:rsidR="007C082E">
        <w:t>space station or earth station license</w:t>
      </w:r>
      <w:r>
        <w:t xml:space="preserve"> assignment </w:t>
      </w:r>
      <w:r w:rsidR="007C082E">
        <w:t xml:space="preserve">or transfer of control </w:t>
      </w:r>
      <w:r>
        <w:t xml:space="preserve">from 60 to 180 days. </w:t>
      </w:r>
      <w:r w:rsidR="00DA35D3">
        <w:t xml:space="preserve"> </w:t>
      </w:r>
      <w:r w:rsidR="00EA7657" w:rsidRPr="00AD1226">
        <w:t>This</w:t>
      </w:r>
      <w:r w:rsidRPr="00AD1226">
        <w:t xml:space="preserve"> amendment </w:t>
      </w:r>
      <w:r w:rsidR="00806019" w:rsidRPr="00AD1226">
        <w:t>is part of</w:t>
      </w:r>
      <w:r w:rsidR="000873B8">
        <w:t xml:space="preserve"> the Commission’s p</w:t>
      </w:r>
      <w:r w:rsidR="00EA7657" w:rsidRPr="00AD1226">
        <w:t xml:space="preserve">rocess </w:t>
      </w:r>
      <w:r w:rsidR="000873B8">
        <w:t>r</w:t>
      </w:r>
      <w:r w:rsidR="00EA7657" w:rsidRPr="00AD1226">
        <w:t xml:space="preserve">eform </w:t>
      </w:r>
      <w:r w:rsidR="000873B8">
        <w:t>i</w:t>
      </w:r>
      <w:r w:rsidR="00EA7657" w:rsidRPr="00AD1226">
        <w:t>nitiative</w:t>
      </w:r>
      <w:r w:rsidR="00E65C0E" w:rsidRPr="00AD1226">
        <w:rPr>
          <w:rStyle w:val="FootnoteReference"/>
        </w:rPr>
        <w:footnoteReference w:id="2"/>
      </w:r>
      <w:r w:rsidR="00EA7657" w:rsidRPr="00AD1226">
        <w:t xml:space="preserve"> and </w:t>
      </w:r>
      <w:r w:rsidR="00806019" w:rsidRPr="00AD1226">
        <w:t>will</w:t>
      </w:r>
      <w:r w:rsidR="00D50BEF" w:rsidRPr="00AD1226">
        <w:t xml:space="preserve"> </w:t>
      </w:r>
      <w:r w:rsidR="00671848" w:rsidRPr="00AD1226">
        <w:t>provid</w:t>
      </w:r>
      <w:r w:rsidR="00312AE8" w:rsidRPr="00AD1226">
        <w:t>e</w:t>
      </w:r>
      <w:r w:rsidR="00671848" w:rsidRPr="00AD1226">
        <w:t xml:space="preserve"> parties </w:t>
      </w:r>
      <w:r w:rsidR="009729EF" w:rsidRPr="00AD1226">
        <w:t>greater</w:t>
      </w:r>
      <w:r w:rsidR="00671848" w:rsidRPr="00AD1226">
        <w:t xml:space="preserve"> flexibility to set closing dates</w:t>
      </w:r>
      <w:r w:rsidR="005C5142" w:rsidRPr="00AD1226">
        <w:t xml:space="preserve">, decrease the need to file extension of time requests, and </w:t>
      </w:r>
      <w:r w:rsidR="00977087" w:rsidRPr="00AD1226">
        <w:t>harmonize this</w:t>
      </w:r>
      <w:r w:rsidR="005C5142" w:rsidRPr="00AD1226">
        <w:t xml:space="preserve"> consummation deadline with that in </w:t>
      </w:r>
      <w:r w:rsidR="006A5E23">
        <w:t>other</w:t>
      </w:r>
      <w:r w:rsidR="005C5142" w:rsidRPr="00AD1226">
        <w:t xml:space="preserve"> wireless services</w:t>
      </w:r>
      <w:r w:rsidR="005C5142">
        <w:t>.</w:t>
      </w:r>
      <w:r w:rsidR="00F861CA">
        <w:rPr>
          <w:rStyle w:val="FootnoteReference"/>
        </w:rPr>
        <w:footnoteReference w:id="3"/>
      </w:r>
      <w:r w:rsidR="00A03852">
        <w:t xml:space="preserve">  </w:t>
      </w:r>
      <w:r w:rsidR="00A03852" w:rsidRPr="00A03852">
        <w:t>Because this amendment involves a rule of agency procedure, general notice and an opportunity to comment are not required.</w:t>
      </w:r>
      <w:r w:rsidR="00A03852">
        <w:rPr>
          <w:rStyle w:val="FootnoteReference"/>
        </w:rPr>
        <w:footnoteReference w:id="4"/>
      </w:r>
    </w:p>
    <w:p w:rsidR="006A5E23" w:rsidRDefault="004F6216" w:rsidP="0069545C">
      <w:pPr>
        <w:pStyle w:val="ParaNum"/>
      </w:pPr>
      <w:r>
        <w:t>S</w:t>
      </w:r>
      <w:r w:rsidR="00FA2800">
        <w:t xml:space="preserve">ection </w:t>
      </w:r>
      <w:r w:rsidR="00E65C0E">
        <w:t xml:space="preserve">25.119(f) </w:t>
      </w:r>
      <w:r w:rsidR="00FA2800">
        <w:t xml:space="preserve">of the Commission's rules requires </w:t>
      </w:r>
      <w:r w:rsidR="00C94570">
        <w:t xml:space="preserve">space </w:t>
      </w:r>
      <w:r w:rsidR="00BA5153">
        <w:t xml:space="preserve">station </w:t>
      </w:r>
      <w:r w:rsidR="00C94570">
        <w:t>and earth station</w:t>
      </w:r>
      <w:r w:rsidR="00FA2800">
        <w:t xml:space="preserve"> licensees to </w:t>
      </w:r>
      <w:r w:rsidR="00B831BD">
        <w:t>consummate</w:t>
      </w:r>
      <w:r w:rsidR="00FA2800">
        <w:t xml:space="preserve"> a</w:t>
      </w:r>
      <w:r w:rsidR="00B71446">
        <w:t>n assignment or transfer of control</w:t>
      </w:r>
      <w:r w:rsidR="00FA2800">
        <w:t xml:space="preserve"> within 60 days </w:t>
      </w:r>
      <w:r w:rsidRPr="00C601F9">
        <w:t>from the date of</w:t>
      </w:r>
      <w:r w:rsidR="002C256B">
        <w:t xml:space="preserve"> </w:t>
      </w:r>
      <w:r w:rsidRPr="00C601F9">
        <w:t>authorization</w:t>
      </w:r>
      <w:r w:rsidR="00FA2800">
        <w:t>.</w:t>
      </w:r>
      <w:r w:rsidR="00C94570">
        <w:rPr>
          <w:rStyle w:val="FootnoteReference"/>
        </w:rPr>
        <w:footnoteReference w:id="5"/>
      </w:r>
      <w:r w:rsidR="00A339F1">
        <w:t xml:space="preserve">  </w:t>
      </w:r>
      <w:r w:rsidR="00DB232A">
        <w:t xml:space="preserve">This </w:t>
      </w:r>
      <w:r w:rsidR="0064766E">
        <w:t>period</w:t>
      </w:r>
      <w:r w:rsidR="00DB232A">
        <w:t xml:space="preserve"> is </w:t>
      </w:r>
      <w:r w:rsidR="00F9287E">
        <w:t>shorter than</w:t>
      </w:r>
      <w:r w:rsidR="00DB232A">
        <w:t xml:space="preserve"> </w:t>
      </w:r>
      <w:r w:rsidR="00AF53AB">
        <w:t>the 180-day consummation period</w:t>
      </w:r>
      <w:r w:rsidR="00DB232A">
        <w:t xml:space="preserve"> for wireless licenses, which are often </w:t>
      </w:r>
      <w:r w:rsidR="00AF53AB">
        <w:t>involved</w:t>
      </w:r>
      <w:r w:rsidR="00DB232A">
        <w:t xml:space="preserve"> in the same transaction </w:t>
      </w:r>
      <w:r w:rsidR="006C3F17">
        <w:t>with</w:t>
      </w:r>
      <w:r w:rsidR="00DB232A">
        <w:t xml:space="preserve"> satellite licenses.  </w:t>
      </w:r>
      <w:r w:rsidR="005B012D">
        <w:t xml:space="preserve">Moreover, many </w:t>
      </w:r>
      <w:r w:rsidR="003E166E">
        <w:t>space station</w:t>
      </w:r>
      <w:r w:rsidR="005B012D">
        <w:t xml:space="preserve"> and earth station licensees </w:t>
      </w:r>
      <w:r w:rsidR="00AF53AB">
        <w:t>seek Commission approval well in adva</w:t>
      </w:r>
      <w:r w:rsidR="00A05A42">
        <w:t>nce</w:t>
      </w:r>
      <w:r w:rsidR="006A5E23">
        <w:t xml:space="preserve"> of closing a transaction</w:t>
      </w:r>
      <w:r w:rsidR="00A05A42">
        <w:t>,</w:t>
      </w:r>
      <w:r w:rsidR="00AF53AB">
        <w:t xml:space="preserve"> and</w:t>
      </w:r>
      <w:r w:rsidR="006A5E23">
        <w:t xml:space="preserve"> may</w:t>
      </w:r>
      <w:r w:rsidR="00AF53AB">
        <w:t xml:space="preserve"> need more than 60 days to consummate after Commission </w:t>
      </w:r>
      <w:r w:rsidR="00546583">
        <w:t>authorization</w:t>
      </w:r>
      <w:r w:rsidR="00AF53AB">
        <w:t>.</w:t>
      </w:r>
      <w:r w:rsidR="003165B7">
        <w:t xml:space="preserve"> </w:t>
      </w:r>
      <w:r w:rsidR="00AF53AB">
        <w:t xml:space="preserve"> </w:t>
      </w:r>
      <w:r w:rsidR="00AC66B0">
        <w:t>This can result in the filing of requests to extend the consummation deadline, and t</w:t>
      </w:r>
      <w:r w:rsidR="007B39B3">
        <w:t xml:space="preserve">hese requests </w:t>
      </w:r>
      <w:r w:rsidR="00620652">
        <w:t xml:space="preserve">have been </w:t>
      </w:r>
      <w:r w:rsidR="007B39B3">
        <w:t>granted.</w:t>
      </w:r>
      <w:r w:rsidR="00E95406">
        <w:rPr>
          <w:rStyle w:val="FootnoteReference"/>
        </w:rPr>
        <w:footnoteReference w:id="6"/>
      </w:r>
    </w:p>
    <w:p w:rsidR="004A6F24" w:rsidRDefault="00EA08F1" w:rsidP="004A6F24">
      <w:pPr>
        <w:pStyle w:val="ParaNum"/>
      </w:pPr>
      <w:r>
        <w:t xml:space="preserve">To </w:t>
      </w:r>
      <w:r w:rsidR="00232211">
        <w:t>address</w:t>
      </w:r>
      <w:r>
        <w:t xml:space="preserve"> this issue, </w:t>
      </w:r>
      <w:r w:rsidR="00D73890">
        <w:t>a staff working group</w:t>
      </w:r>
      <w:r>
        <w:t xml:space="preserve"> </w:t>
      </w:r>
      <w:r w:rsidR="006A5E23">
        <w:t>recommended, under</w:t>
      </w:r>
      <w:r w:rsidR="005D006C">
        <w:t xml:space="preserve"> Recommendation 5.30 of </w:t>
      </w:r>
      <w:r>
        <w:t xml:space="preserve">its </w:t>
      </w:r>
      <w:r w:rsidR="0092086A">
        <w:t>Process Reform</w:t>
      </w:r>
      <w:r>
        <w:t xml:space="preserve"> </w:t>
      </w:r>
      <w:r w:rsidR="0092086A">
        <w:t>Report</w:t>
      </w:r>
      <w:r w:rsidR="006A5E23">
        <w:t>,</w:t>
      </w:r>
      <w:r w:rsidR="0092086A">
        <w:t xml:space="preserve"> </w:t>
      </w:r>
      <w:r>
        <w:t>extend</w:t>
      </w:r>
      <w:r w:rsidR="006A5E23">
        <w:t>ing</w:t>
      </w:r>
      <w:r>
        <w:t xml:space="preserve"> the </w:t>
      </w:r>
      <w:r w:rsidRPr="00EA08F1">
        <w:t xml:space="preserve">60-day </w:t>
      </w:r>
      <w:r w:rsidR="00FB78D7" w:rsidRPr="00EA08F1">
        <w:t xml:space="preserve">consummation </w:t>
      </w:r>
      <w:r w:rsidRPr="00EA08F1">
        <w:t>period to 180 days</w:t>
      </w:r>
      <w:r>
        <w:t>.</w:t>
      </w:r>
      <w:r w:rsidR="0092086A">
        <w:rPr>
          <w:rStyle w:val="FootnoteReference"/>
        </w:rPr>
        <w:footnoteReference w:id="7"/>
      </w:r>
      <w:r>
        <w:t xml:space="preserve">  </w:t>
      </w:r>
      <w:r w:rsidR="00232211">
        <w:t xml:space="preserve">We find that it is </w:t>
      </w:r>
      <w:r w:rsidR="00232211">
        <w:lastRenderedPageBreak/>
        <w:t>in th</w:t>
      </w:r>
      <w:r w:rsidR="004A6F24">
        <w:t xml:space="preserve">e public interest to adopt this recommendation.  The amendment will remove unnecessary administrative burdens by eliminating the filing of </w:t>
      </w:r>
      <w:r w:rsidR="00620652">
        <w:t xml:space="preserve">such </w:t>
      </w:r>
      <w:r w:rsidR="004A6F24">
        <w:t>extension of time requests</w:t>
      </w:r>
      <w:r w:rsidR="00620652">
        <w:t>.</w:t>
      </w:r>
      <w:r w:rsidR="004A6F24">
        <w:t xml:space="preserve">  A 180-day deadline may also facilitate transactions involving a company holding licenses in multiple services.</w:t>
      </w:r>
    </w:p>
    <w:p w:rsidR="00E53707" w:rsidRDefault="008C6666" w:rsidP="007B39B3">
      <w:pPr>
        <w:pStyle w:val="ParaNum"/>
      </w:pPr>
      <w:r>
        <w:t xml:space="preserve">We </w:t>
      </w:r>
      <w:r w:rsidR="00E53707">
        <w:t xml:space="preserve">hereby modify </w:t>
      </w:r>
      <w:r w:rsidR="00BA4ED3">
        <w:t>section 25.119(f) of our rules</w:t>
      </w:r>
      <w:r w:rsidR="00E53707">
        <w:t xml:space="preserve"> consistent with Recommendation 5.30</w:t>
      </w:r>
      <w:r w:rsidR="00BA4ED3">
        <w:t>.</w:t>
      </w:r>
      <w:r w:rsidR="006A209E">
        <w:t xml:space="preserve"> </w:t>
      </w:r>
      <w:r w:rsidR="00BA4ED3">
        <w:t xml:space="preserve"> </w:t>
      </w:r>
      <w:r w:rsidR="002F1DA5">
        <w:t>Accordingly</w:t>
      </w:r>
      <w:r w:rsidR="00FA2800">
        <w:t xml:space="preserve">, parties to an approved license transfer or assignment will be required to consummate the transaction within 180 days </w:t>
      </w:r>
      <w:r w:rsidR="002369D1" w:rsidRPr="00C601F9">
        <w:t>from the date of authorization</w:t>
      </w:r>
      <w:r w:rsidR="00B970DF">
        <w:t>, instead of within 60 days</w:t>
      </w:r>
      <w:r w:rsidR="00FA2800">
        <w:t>.</w:t>
      </w:r>
      <w:r w:rsidR="00C471A6">
        <w:t xml:space="preserve"> </w:t>
      </w:r>
      <w:r w:rsidR="00FA2800">
        <w:t xml:space="preserve"> </w:t>
      </w:r>
      <w:r w:rsidR="00B970DF">
        <w:t>There are no ot</w:t>
      </w:r>
      <w:r w:rsidR="008B6299">
        <w:t>her changes to the current rule</w:t>
      </w:r>
      <w:r w:rsidR="00973366">
        <w:t xml:space="preserve">.  </w:t>
      </w:r>
      <w:r w:rsidR="00E53707">
        <w:t xml:space="preserve">The amended </w:t>
      </w:r>
      <w:r w:rsidR="0030669C">
        <w:t>first sentence of section 25.119(f)</w:t>
      </w:r>
      <w:r w:rsidR="00E53707">
        <w:t xml:space="preserve"> </w:t>
      </w:r>
      <w:r w:rsidR="000978A8">
        <w:t xml:space="preserve">of our rules </w:t>
      </w:r>
      <w:r w:rsidR="00E53707">
        <w:t>will read as follows:</w:t>
      </w:r>
    </w:p>
    <w:p w:rsidR="0079234C" w:rsidRDefault="0079234C" w:rsidP="009A30A4">
      <w:pPr>
        <w:pStyle w:val="ParaNum"/>
        <w:numPr>
          <w:ilvl w:val="0"/>
          <w:numId w:val="0"/>
        </w:numPr>
        <w:ind w:left="720" w:firstLine="360"/>
      </w:pPr>
      <w:r>
        <w:t xml:space="preserve">(f) </w:t>
      </w:r>
      <w:r w:rsidRPr="0079234C">
        <w:t>Assignments and transfers of control shall be completed within 180 days from the date of authorization. * * *</w:t>
      </w:r>
    </w:p>
    <w:p w:rsidR="00FA2800" w:rsidRDefault="00FA2800" w:rsidP="00E434C3">
      <w:pPr>
        <w:pStyle w:val="ParaNum"/>
      </w:pPr>
      <w:r>
        <w:t>Accordingly, IT IS ORDERED that, pursuant to section</w:t>
      </w:r>
      <w:r w:rsidR="0097183A">
        <w:t>s</w:t>
      </w:r>
      <w:r>
        <w:t xml:space="preserve"> 4(i) </w:t>
      </w:r>
      <w:r w:rsidR="0097183A">
        <w:t xml:space="preserve">and 4(j) </w:t>
      </w:r>
      <w:r>
        <w:t>of the Communications Act, as amended, 47 U.S.C. §</w:t>
      </w:r>
      <w:r w:rsidR="0097183A">
        <w:t>§</w:t>
      </w:r>
      <w:r>
        <w:t xml:space="preserve"> 154(i),</w:t>
      </w:r>
      <w:r w:rsidR="0097183A">
        <w:t xml:space="preserve"> (j),</w:t>
      </w:r>
      <w:r>
        <w:t xml:space="preserve"> </w:t>
      </w:r>
      <w:r w:rsidR="00E434C3" w:rsidRPr="00E434C3">
        <w:t>and section 553(b)(A) of the Administrative Procedure Act</w:t>
      </w:r>
      <w:r w:rsidR="00954B30">
        <w:t xml:space="preserve"> (APA)</w:t>
      </w:r>
      <w:r w:rsidR="00E434C3" w:rsidRPr="00E434C3">
        <w:t xml:space="preserve">, 5 U.S.C. § 553(b)(A), </w:t>
      </w:r>
      <w:r>
        <w:t xml:space="preserve">section </w:t>
      </w:r>
      <w:r w:rsidR="00796BA7" w:rsidRPr="00796BA7">
        <w:t xml:space="preserve">25.119(f) </w:t>
      </w:r>
      <w:r>
        <w:t xml:space="preserve">of the Commission's rules, 47 </w:t>
      </w:r>
      <w:r w:rsidR="00AD32C2">
        <w:t>C</w:t>
      </w:r>
      <w:r>
        <w:t>.</w:t>
      </w:r>
      <w:r w:rsidR="00AD32C2">
        <w:t>F</w:t>
      </w:r>
      <w:r>
        <w:t>.</w:t>
      </w:r>
      <w:r w:rsidR="00AD32C2">
        <w:t>R</w:t>
      </w:r>
      <w:r>
        <w:t xml:space="preserve">. § </w:t>
      </w:r>
      <w:r w:rsidR="00796BA7" w:rsidRPr="00796BA7">
        <w:t>25.119(f)</w:t>
      </w:r>
      <w:r w:rsidR="00796BA7">
        <w:t>,</w:t>
      </w:r>
      <w:r w:rsidR="00796BA7" w:rsidRPr="00796BA7">
        <w:t xml:space="preserve"> </w:t>
      </w:r>
      <w:r>
        <w:t>is amended as described above.</w:t>
      </w:r>
    </w:p>
    <w:p w:rsidR="00FA2800" w:rsidRDefault="00FA2800" w:rsidP="0069545C">
      <w:pPr>
        <w:pStyle w:val="ParaNum"/>
      </w:pPr>
      <w:r>
        <w:t>IT IS FURTHER ORDERED that this Order is effective upon publication in the Federal Register</w:t>
      </w:r>
      <w:r w:rsidR="00954B30">
        <w:t>, pursuant to section 553(d)(1) of the APA, 5 U.S.C. § 553(d)(1)</w:t>
      </w:r>
      <w:r>
        <w:t>.</w:t>
      </w:r>
      <w:r w:rsidR="0097183A">
        <w:rPr>
          <w:rStyle w:val="FootnoteReference"/>
        </w:rPr>
        <w:footnoteReference w:id="8"/>
      </w:r>
      <w:r w:rsidR="008D3F9F">
        <w:t xml:space="preserve"> </w:t>
      </w:r>
      <w:r>
        <w:t xml:space="preserve"> As a result, the new rule will apply to all transfers and assignments that are pending or have been approved, but not consummated, at the time of, and after, Federal Register publication.</w:t>
      </w:r>
    </w:p>
    <w:p w:rsidR="003442E3" w:rsidRDefault="003442E3" w:rsidP="00F616B7">
      <w:pPr>
        <w:pStyle w:val="ParaNum"/>
        <w:numPr>
          <w:ilvl w:val="0"/>
          <w:numId w:val="0"/>
        </w:numPr>
        <w:spacing w:after="0"/>
        <w:ind w:left="720"/>
      </w:pPr>
    </w:p>
    <w:p w:rsidR="003442E3" w:rsidRDefault="003442E3" w:rsidP="00F616B7">
      <w:pPr>
        <w:pStyle w:val="ParaNum"/>
        <w:numPr>
          <w:ilvl w:val="0"/>
          <w:numId w:val="0"/>
        </w:num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3442E3" w:rsidRDefault="003442E3" w:rsidP="00F616B7">
      <w:pPr>
        <w:pStyle w:val="ParaNum"/>
        <w:numPr>
          <w:ilvl w:val="0"/>
          <w:numId w:val="0"/>
        </w:numPr>
        <w:spacing w:after="0"/>
        <w:ind w:left="720"/>
      </w:pPr>
    </w:p>
    <w:p w:rsidR="003442E3" w:rsidRDefault="003442E3" w:rsidP="00F616B7">
      <w:pPr>
        <w:pStyle w:val="ParaNum"/>
        <w:numPr>
          <w:ilvl w:val="0"/>
          <w:numId w:val="0"/>
        </w:numPr>
        <w:spacing w:after="0"/>
        <w:ind w:left="720"/>
      </w:pPr>
    </w:p>
    <w:p w:rsidR="003442E3" w:rsidRDefault="003442E3" w:rsidP="00F616B7">
      <w:pPr>
        <w:pStyle w:val="ParaNum"/>
        <w:numPr>
          <w:ilvl w:val="0"/>
          <w:numId w:val="0"/>
        </w:numPr>
        <w:spacing w:after="0"/>
        <w:ind w:left="720"/>
      </w:pPr>
    </w:p>
    <w:p w:rsidR="006B47DC" w:rsidRDefault="006B47DC" w:rsidP="00F616B7">
      <w:pPr>
        <w:pStyle w:val="ParaNum"/>
        <w:numPr>
          <w:ilvl w:val="0"/>
          <w:numId w:val="0"/>
        </w:numPr>
        <w:spacing w:after="0"/>
        <w:ind w:left="720"/>
      </w:pPr>
    </w:p>
    <w:p w:rsidR="0091026D" w:rsidRDefault="003442E3">
      <w:pPr>
        <w:pStyle w:val="ParaNum"/>
        <w:numPr>
          <w:ilvl w:val="0"/>
          <w:numId w:val="0"/>
        </w:num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  <w:t>Marlene H. Dortch</w:t>
      </w:r>
    </w:p>
    <w:p w:rsidR="0091026D" w:rsidRDefault="003442E3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69545C" w:rsidRPr="00FA2800" w:rsidRDefault="0069545C">
      <w:pPr>
        <w:pStyle w:val="ParaNum"/>
        <w:numPr>
          <w:ilvl w:val="0"/>
          <w:numId w:val="0"/>
        </w:numPr>
      </w:pPr>
    </w:p>
    <w:sectPr w:rsidR="0069545C" w:rsidRPr="00FA2800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E5" w:rsidRDefault="004066E5">
      <w:pPr>
        <w:spacing w:line="20" w:lineRule="exact"/>
      </w:pPr>
    </w:p>
  </w:endnote>
  <w:endnote w:type="continuationSeparator" w:id="0">
    <w:p w:rsidR="004066E5" w:rsidRDefault="004066E5">
      <w:r>
        <w:t xml:space="preserve"> </w:t>
      </w:r>
    </w:p>
  </w:endnote>
  <w:endnote w:type="continuationNotice" w:id="1">
    <w:p w:rsidR="004066E5" w:rsidRDefault="004066E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F4" w:rsidRDefault="004E12F4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E12F4" w:rsidRDefault="004E1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F4" w:rsidRDefault="004E12F4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C5D8B">
      <w:rPr>
        <w:noProof/>
      </w:rPr>
      <w:t>2</w:t>
    </w:r>
    <w:r>
      <w:fldChar w:fldCharType="end"/>
    </w:r>
  </w:p>
  <w:p w:rsidR="004E12F4" w:rsidRDefault="004E12F4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F4" w:rsidRDefault="004E12F4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E5" w:rsidRDefault="004066E5">
      <w:r>
        <w:separator/>
      </w:r>
    </w:p>
  </w:footnote>
  <w:footnote w:type="continuationSeparator" w:id="0">
    <w:p w:rsidR="004066E5" w:rsidRDefault="004066E5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4066E5" w:rsidRDefault="004066E5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4E12F4" w:rsidRDefault="004E12F4" w:rsidP="00205E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2F9C">
        <w:rPr>
          <w:i/>
        </w:rPr>
        <w:t>See</w:t>
      </w:r>
      <w:r>
        <w:t xml:space="preserve"> </w:t>
      </w:r>
      <w:r w:rsidRPr="00434396">
        <w:t>Report on FCC Process Reform</w:t>
      </w:r>
      <w:r>
        <w:t xml:space="preserve">, GN Docket No. 14-25 </w:t>
      </w:r>
      <w:r w:rsidRPr="00434396">
        <w:t>(</w:t>
      </w:r>
      <w:r>
        <w:t xml:space="preserve">Staff Working Group, </w:t>
      </w:r>
      <w:r w:rsidRPr="00434396">
        <w:t>Feb. 14, 2014)</w:t>
      </w:r>
      <w:r>
        <w:t xml:space="preserve"> (Process Reform Report).</w:t>
      </w:r>
    </w:p>
  </w:footnote>
  <w:footnote w:id="3">
    <w:p w:rsidR="004E12F4" w:rsidRPr="0092644D" w:rsidRDefault="004E12F4" w:rsidP="006954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</w:t>
      </w:r>
      <w:r w:rsidRPr="00767C00">
        <w:t>47 C.F.R. § 1.948(d)</w:t>
      </w:r>
      <w:r>
        <w:t xml:space="preserve"> (180-day consummation deadline for wireless license transfers and assignments requiring prior Commission approval).</w:t>
      </w:r>
    </w:p>
  </w:footnote>
  <w:footnote w:id="4">
    <w:p w:rsidR="004E12F4" w:rsidRDefault="004E12F4">
      <w:pPr>
        <w:pStyle w:val="FootnoteText"/>
      </w:pPr>
      <w:r>
        <w:rPr>
          <w:rStyle w:val="FootnoteReference"/>
        </w:rPr>
        <w:footnoteRef/>
      </w:r>
      <w:r>
        <w:t xml:space="preserve"> 5 U.S.C. § 553(b)</w:t>
      </w:r>
      <w:r w:rsidRPr="00E65C0E">
        <w:t>(A).</w:t>
      </w:r>
      <w:r>
        <w:t xml:space="preserve">  </w:t>
      </w:r>
      <w:r w:rsidRPr="001C1301">
        <w:rPr>
          <w:i/>
        </w:rPr>
        <w:t>See also</w:t>
      </w:r>
      <w:r>
        <w:t xml:space="preserve"> 47 C.F.R. </w:t>
      </w:r>
      <w:r w:rsidRPr="004F4BBF">
        <w:t>§ 1.412(b)(5) (prior notice not required for amendments to rules relating to Commission organization,</w:t>
      </w:r>
      <w:r>
        <w:t xml:space="preserve"> </w:t>
      </w:r>
      <w:r w:rsidRPr="004F4BBF">
        <w:t>procedure, or practice</w:t>
      </w:r>
      <w:r>
        <w:t>).</w:t>
      </w:r>
      <w:r w:rsidRPr="004F4BBF">
        <w:t xml:space="preserve"> </w:t>
      </w:r>
      <w:r>
        <w:t xml:space="preserve"> Nonetheless, the Commission issued a public notice seeking comment on this action and received comments.  </w:t>
      </w:r>
      <w:r w:rsidRPr="001C1301">
        <w:rPr>
          <w:i/>
        </w:rPr>
        <w:t>See</w:t>
      </w:r>
      <w:r>
        <w:t xml:space="preserve"> </w:t>
      </w:r>
      <w:r w:rsidRPr="001C1301">
        <w:rPr>
          <w:i/>
        </w:rPr>
        <w:t>infra</w:t>
      </w:r>
      <w:r>
        <w:t xml:space="preserve"> note 6.</w:t>
      </w:r>
    </w:p>
  </w:footnote>
  <w:footnote w:id="5">
    <w:p w:rsidR="004E12F4" w:rsidRDefault="004E12F4" w:rsidP="006954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4570">
        <w:t xml:space="preserve">47 C.F.R. § </w:t>
      </w:r>
      <w:r>
        <w:t>25</w:t>
      </w:r>
      <w:r w:rsidRPr="00C94570">
        <w:t>.</w:t>
      </w:r>
      <w:r>
        <w:t>119</w:t>
      </w:r>
      <w:r w:rsidRPr="00C94570">
        <w:t>(</w:t>
      </w:r>
      <w:r>
        <w:t>f</w:t>
      </w:r>
      <w:r w:rsidRPr="00C94570">
        <w:t>)</w:t>
      </w:r>
      <w:r>
        <w:t>.</w:t>
      </w:r>
    </w:p>
  </w:footnote>
  <w:footnote w:id="6">
    <w:p w:rsidR="004E12F4" w:rsidRPr="00E95406" w:rsidRDefault="004E12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See, e.g.</w:t>
      </w:r>
      <w:r>
        <w:t xml:space="preserve">, </w:t>
      </w:r>
      <w:r w:rsidRPr="009C7D7E">
        <w:t>Sirius XM Radio Inc.</w:t>
      </w:r>
      <w:r>
        <w:t xml:space="preserve">, File No. </w:t>
      </w:r>
      <w:r w:rsidRPr="007B01CD">
        <w:t>SAT-T/C-20130522-00074</w:t>
      </w:r>
      <w:r>
        <w:t xml:space="preserve"> (extension granted July 23, 2013); </w:t>
      </w:r>
      <w:r w:rsidRPr="00D8138E">
        <w:t>Shared Data Networks, LLC</w:t>
      </w:r>
      <w:r>
        <w:t xml:space="preserve">, File No. </w:t>
      </w:r>
      <w:r w:rsidRPr="000C3739">
        <w:t>SES-T/C-20130612-00491</w:t>
      </w:r>
      <w:r>
        <w:t xml:space="preserve"> (extension granted Sept. 30, 2013); </w:t>
      </w:r>
      <w:r w:rsidRPr="00B43F8F">
        <w:t>Cox Radio, Inc.</w:t>
      </w:r>
      <w:r>
        <w:t xml:space="preserve">, File No. </w:t>
      </w:r>
      <w:r w:rsidRPr="00B43F8F">
        <w:t>SES-T/C-20121221-01137</w:t>
      </w:r>
      <w:r>
        <w:t xml:space="preserve"> (extension granted Mar. 12, 2013).</w:t>
      </w:r>
    </w:p>
  </w:footnote>
  <w:footnote w:id="7">
    <w:p w:rsidR="004E12F4" w:rsidRPr="00232211" w:rsidRDefault="004E12F4" w:rsidP="0069545C">
      <w:pPr>
        <w:pStyle w:val="FootnoteText"/>
      </w:pPr>
      <w:r>
        <w:rPr>
          <w:rStyle w:val="FootnoteReference"/>
        </w:rPr>
        <w:footnoteRef/>
      </w:r>
      <w:r>
        <w:t xml:space="preserve"> Process Reform Report at 73, Recommendation 5.30.</w:t>
      </w:r>
      <w:r>
        <w:rPr>
          <w:snapToGrid w:val="0"/>
          <w:kern w:val="28"/>
          <w:sz w:val="22"/>
        </w:rPr>
        <w:t xml:space="preserve">  </w:t>
      </w:r>
      <w:r>
        <w:rPr>
          <w:snapToGrid w:val="0"/>
          <w:kern w:val="28"/>
        </w:rPr>
        <w:t>A</w:t>
      </w:r>
      <w:r w:rsidRPr="007846F4">
        <w:rPr>
          <w:snapToGrid w:val="0"/>
          <w:kern w:val="28"/>
        </w:rPr>
        <w:t xml:space="preserve"> public notice </w:t>
      </w:r>
      <w:r>
        <w:rPr>
          <w:snapToGrid w:val="0"/>
          <w:kern w:val="28"/>
        </w:rPr>
        <w:t xml:space="preserve">was issued </w:t>
      </w:r>
      <w:r w:rsidRPr="007846F4">
        <w:rPr>
          <w:snapToGrid w:val="0"/>
          <w:kern w:val="28"/>
        </w:rPr>
        <w:t xml:space="preserve">seeking comment on the </w:t>
      </w:r>
      <w:r>
        <w:rPr>
          <w:snapToGrid w:val="0"/>
          <w:kern w:val="28"/>
        </w:rPr>
        <w:t xml:space="preserve">Process Reform </w:t>
      </w:r>
      <w:r w:rsidRPr="007846F4">
        <w:rPr>
          <w:snapToGrid w:val="0"/>
          <w:kern w:val="28"/>
        </w:rPr>
        <w:t>Report</w:t>
      </w:r>
      <w:r>
        <w:rPr>
          <w:snapToGrid w:val="0"/>
          <w:kern w:val="28"/>
        </w:rPr>
        <w:t xml:space="preserve">. </w:t>
      </w:r>
      <w:r w:rsidRPr="007846F4">
        <w:rPr>
          <w:snapToGrid w:val="0"/>
          <w:kern w:val="28"/>
        </w:rPr>
        <w:t xml:space="preserve"> FCC Seeks Public Comment on Report on Process Reform, </w:t>
      </w:r>
      <w:r w:rsidRPr="007846F4">
        <w:rPr>
          <w:i/>
          <w:snapToGrid w:val="0"/>
          <w:kern w:val="28"/>
        </w:rPr>
        <w:t>Public Notice,</w:t>
      </w:r>
      <w:r w:rsidRPr="007846F4">
        <w:rPr>
          <w:snapToGrid w:val="0"/>
          <w:kern w:val="28"/>
        </w:rPr>
        <w:t xml:space="preserve"> </w:t>
      </w:r>
      <w:r w:rsidRPr="00B30294">
        <w:rPr>
          <w:snapToGrid w:val="0"/>
          <w:kern w:val="28"/>
        </w:rPr>
        <w:t xml:space="preserve">GN Docket </w:t>
      </w:r>
      <w:r>
        <w:rPr>
          <w:snapToGrid w:val="0"/>
          <w:kern w:val="28"/>
        </w:rPr>
        <w:t xml:space="preserve">No. </w:t>
      </w:r>
      <w:r w:rsidRPr="00B30294">
        <w:rPr>
          <w:snapToGrid w:val="0"/>
          <w:kern w:val="28"/>
        </w:rPr>
        <w:t>14-</w:t>
      </w:r>
      <w:r>
        <w:rPr>
          <w:snapToGrid w:val="0"/>
          <w:kern w:val="28"/>
        </w:rPr>
        <w:t xml:space="preserve">25, </w:t>
      </w:r>
      <w:r w:rsidRPr="007846F4">
        <w:rPr>
          <w:snapToGrid w:val="0"/>
          <w:kern w:val="28"/>
        </w:rPr>
        <w:t xml:space="preserve">DA 14-199 </w:t>
      </w:r>
      <w:r w:rsidRPr="00604FAB">
        <w:rPr>
          <w:snapToGrid w:val="0"/>
          <w:kern w:val="28"/>
        </w:rPr>
        <w:t>(Feb. 14, 2014)</w:t>
      </w:r>
      <w:r>
        <w:rPr>
          <w:snapToGrid w:val="0"/>
          <w:kern w:val="28"/>
        </w:rPr>
        <w:t>.</w:t>
      </w:r>
      <w:r w:rsidRPr="00604FAB">
        <w:rPr>
          <w:snapToGrid w:val="0"/>
          <w:kern w:val="28"/>
        </w:rPr>
        <w:t xml:space="preserve"> </w:t>
      </w:r>
      <w:r w:rsidRPr="007846F4">
        <w:rPr>
          <w:snapToGrid w:val="0"/>
          <w:kern w:val="28"/>
        </w:rPr>
        <w:t xml:space="preserve"> </w:t>
      </w:r>
      <w:r>
        <w:rPr>
          <w:snapToGrid w:val="0"/>
          <w:kern w:val="28"/>
        </w:rPr>
        <w:t xml:space="preserve">In response, </w:t>
      </w:r>
      <w:r w:rsidRPr="007846F4">
        <w:rPr>
          <w:snapToGrid w:val="0"/>
          <w:kern w:val="28"/>
        </w:rPr>
        <w:t xml:space="preserve">SES Americom, Inc. and EchoStar Satellite Operating Company, writing also for its subsidiary Hughes Network Systems, LLC, </w:t>
      </w:r>
      <w:r>
        <w:rPr>
          <w:snapToGrid w:val="0"/>
          <w:kern w:val="28"/>
        </w:rPr>
        <w:t xml:space="preserve">filed comments.  </w:t>
      </w:r>
      <w:r>
        <w:t xml:space="preserve">All three companies </w:t>
      </w:r>
      <w:r w:rsidRPr="007846F4">
        <w:rPr>
          <w:snapToGrid w:val="0"/>
          <w:kern w:val="28"/>
        </w:rPr>
        <w:t xml:space="preserve">supported the recommendation.  </w:t>
      </w:r>
      <w:r w:rsidRPr="00232211">
        <w:rPr>
          <w:i/>
        </w:rPr>
        <w:t>See</w:t>
      </w:r>
      <w:r w:rsidRPr="00232211">
        <w:t xml:space="preserve"> Comments of SES Americom, Inc., GN Docket No. 14-25, at 3 (filed Mar</w:t>
      </w:r>
      <w:r>
        <w:t>.</w:t>
      </w:r>
      <w:r w:rsidRPr="00232211">
        <w:t xml:space="preserve"> 31, 2014); Comments of EchoStar Satellite Operating Company and Hughes Network Systems, LLC, GN Docket No. 14-25, at 14-15 (filed Apr</w:t>
      </w:r>
      <w:r>
        <w:t>.</w:t>
      </w:r>
      <w:r w:rsidRPr="00232211">
        <w:t xml:space="preserve"> 1, 2014).</w:t>
      </w:r>
      <w:r>
        <w:t xml:space="preserve">  There were no objections.</w:t>
      </w:r>
    </w:p>
  </w:footnote>
  <w:footnote w:id="8">
    <w:p w:rsidR="004E12F4" w:rsidRDefault="004E12F4">
      <w:pPr>
        <w:pStyle w:val="FootnoteText"/>
      </w:pPr>
      <w:r>
        <w:rPr>
          <w:rStyle w:val="FootnoteReference"/>
        </w:rPr>
        <w:footnoteRef/>
      </w:r>
      <w:r>
        <w:t xml:space="preserve"> Under section 553(d)(1), rules that grant or recognize an exemption or relieve a restriction may take effect less than 30 days after publication of the rule in the Federal Register.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2F" w:rsidRDefault="00F24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F4" w:rsidRDefault="004E12F4" w:rsidP="00810B6F">
    <w:pPr>
      <w:pStyle w:val="Header"/>
      <w:rPr>
        <w:b w:val="0"/>
      </w:rPr>
    </w:pPr>
    <w:r>
      <w:tab/>
      <w:t>Federal Communications Commission</w:t>
    </w:r>
    <w:r>
      <w:tab/>
      <w:t>FCC 14-</w:t>
    </w:r>
    <w:r w:rsidRPr="006D65CB">
      <w:t>109</w:t>
    </w:r>
  </w:p>
  <w:p w:rsidR="004E12F4" w:rsidRDefault="004E12F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2097805" wp14:editId="704E55B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4E12F4" w:rsidRDefault="004E12F4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F4" w:rsidRDefault="004E12F4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>
      <w:rPr>
        <w:spacing w:val="-2"/>
      </w:rPr>
      <w:t>FCC 14-</w:t>
    </w:r>
    <w:r w:rsidRPr="006D65CB">
      <w:rPr>
        <w:spacing w:val="-2"/>
      </w:rPr>
      <w:t>109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2B"/>
    <w:rsid w:val="000038C0"/>
    <w:rsid w:val="00004472"/>
    <w:rsid w:val="000058F0"/>
    <w:rsid w:val="00027F4F"/>
    <w:rsid w:val="00036039"/>
    <w:rsid w:val="00037F90"/>
    <w:rsid w:val="00043BA7"/>
    <w:rsid w:val="000461AD"/>
    <w:rsid w:val="000517E4"/>
    <w:rsid w:val="000705A0"/>
    <w:rsid w:val="00074A52"/>
    <w:rsid w:val="000873B8"/>
    <w:rsid w:val="000875BF"/>
    <w:rsid w:val="00096D8C"/>
    <w:rsid w:val="000978A8"/>
    <w:rsid w:val="000B2E25"/>
    <w:rsid w:val="000C0B65"/>
    <w:rsid w:val="000C2CB5"/>
    <w:rsid w:val="000C3739"/>
    <w:rsid w:val="000C4165"/>
    <w:rsid w:val="000D56FF"/>
    <w:rsid w:val="000E05FE"/>
    <w:rsid w:val="000E3D42"/>
    <w:rsid w:val="000F2D88"/>
    <w:rsid w:val="000F62AD"/>
    <w:rsid w:val="001010C3"/>
    <w:rsid w:val="00113D7F"/>
    <w:rsid w:val="001156BD"/>
    <w:rsid w:val="00122BD5"/>
    <w:rsid w:val="0012731C"/>
    <w:rsid w:val="0013384F"/>
    <w:rsid w:val="00133F79"/>
    <w:rsid w:val="00136DD7"/>
    <w:rsid w:val="00143223"/>
    <w:rsid w:val="00154320"/>
    <w:rsid w:val="001552BD"/>
    <w:rsid w:val="00155D8A"/>
    <w:rsid w:val="00173D17"/>
    <w:rsid w:val="00180DE3"/>
    <w:rsid w:val="00194A66"/>
    <w:rsid w:val="00197D56"/>
    <w:rsid w:val="001A1AF2"/>
    <w:rsid w:val="001A1E74"/>
    <w:rsid w:val="001A3468"/>
    <w:rsid w:val="001C1301"/>
    <w:rsid w:val="001C3C2C"/>
    <w:rsid w:val="001D6BCF"/>
    <w:rsid w:val="001E01CA"/>
    <w:rsid w:val="001E1E4A"/>
    <w:rsid w:val="001F7AEC"/>
    <w:rsid w:val="00200760"/>
    <w:rsid w:val="00205EC9"/>
    <w:rsid w:val="002067B9"/>
    <w:rsid w:val="002105C0"/>
    <w:rsid w:val="00220EA7"/>
    <w:rsid w:val="00227B69"/>
    <w:rsid w:val="00232211"/>
    <w:rsid w:val="002354EF"/>
    <w:rsid w:val="0023561B"/>
    <w:rsid w:val="002369D1"/>
    <w:rsid w:val="002426DC"/>
    <w:rsid w:val="002621DC"/>
    <w:rsid w:val="00264401"/>
    <w:rsid w:val="002668A0"/>
    <w:rsid w:val="0027445C"/>
    <w:rsid w:val="00275CF5"/>
    <w:rsid w:val="0028301F"/>
    <w:rsid w:val="00284251"/>
    <w:rsid w:val="00285017"/>
    <w:rsid w:val="002931D0"/>
    <w:rsid w:val="00295289"/>
    <w:rsid w:val="002A179F"/>
    <w:rsid w:val="002A1CA5"/>
    <w:rsid w:val="002A2D2E"/>
    <w:rsid w:val="002A6222"/>
    <w:rsid w:val="002C00E8"/>
    <w:rsid w:val="002C256B"/>
    <w:rsid w:val="002D30B3"/>
    <w:rsid w:val="002D5782"/>
    <w:rsid w:val="002D58F7"/>
    <w:rsid w:val="002E4426"/>
    <w:rsid w:val="002F1DA5"/>
    <w:rsid w:val="002F5D97"/>
    <w:rsid w:val="0030400F"/>
    <w:rsid w:val="0030669C"/>
    <w:rsid w:val="00312AE8"/>
    <w:rsid w:val="003156AD"/>
    <w:rsid w:val="003165B7"/>
    <w:rsid w:val="00332A32"/>
    <w:rsid w:val="0034102B"/>
    <w:rsid w:val="00342047"/>
    <w:rsid w:val="00343749"/>
    <w:rsid w:val="003442E3"/>
    <w:rsid w:val="00345B9E"/>
    <w:rsid w:val="00354DC2"/>
    <w:rsid w:val="003660ED"/>
    <w:rsid w:val="00367569"/>
    <w:rsid w:val="00390052"/>
    <w:rsid w:val="0039776C"/>
    <w:rsid w:val="003A7F40"/>
    <w:rsid w:val="003B0550"/>
    <w:rsid w:val="003B4112"/>
    <w:rsid w:val="003B694F"/>
    <w:rsid w:val="003C0944"/>
    <w:rsid w:val="003C2ED5"/>
    <w:rsid w:val="003C5CEA"/>
    <w:rsid w:val="003E166E"/>
    <w:rsid w:val="003E7243"/>
    <w:rsid w:val="003F171C"/>
    <w:rsid w:val="004066E5"/>
    <w:rsid w:val="00407F4B"/>
    <w:rsid w:val="00410981"/>
    <w:rsid w:val="00412FC5"/>
    <w:rsid w:val="0041650F"/>
    <w:rsid w:val="00422276"/>
    <w:rsid w:val="004242F1"/>
    <w:rsid w:val="00426679"/>
    <w:rsid w:val="00434396"/>
    <w:rsid w:val="0044555D"/>
    <w:rsid w:val="00445A00"/>
    <w:rsid w:val="00451B0F"/>
    <w:rsid w:val="0046441B"/>
    <w:rsid w:val="004663C8"/>
    <w:rsid w:val="00480854"/>
    <w:rsid w:val="00485BE9"/>
    <w:rsid w:val="00490F6C"/>
    <w:rsid w:val="00491596"/>
    <w:rsid w:val="00495658"/>
    <w:rsid w:val="004A47B4"/>
    <w:rsid w:val="004A6F24"/>
    <w:rsid w:val="004B677E"/>
    <w:rsid w:val="004C2EE3"/>
    <w:rsid w:val="004C3D25"/>
    <w:rsid w:val="004D0A79"/>
    <w:rsid w:val="004D12BF"/>
    <w:rsid w:val="004D3C6B"/>
    <w:rsid w:val="004E12F4"/>
    <w:rsid w:val="004E4A22"/>
    <w:rsid w:val="004F4BBF"/>
    <w:rsid w:val="004F6216"/>
    <w:rsid w:val="00500265"/>
    <w:rsid w:val="00511968"/>
    <w:rsid w:val="00516B4B"/>
    <w:rsid w:val="00533054"/>
    <w:rsid w:val="005439FB"/>
    <w:rsid w:val="00546583"/>
    <w:rsid w:val="00553FBF"/>
    <w:rsid w:val="0055460D"/>
    <w:rsid w:val="00555796"/>
    <w:rsid w:val="0055614C"/>
    <w:rsid w:val="00556752"/>
    <w:rsid w:val="00571EF4"/>
    <w:rsid w:val="0057338D"/>
    <w:rsid w:val="0057560C"/>
    <w:rsid w:val="005759A3"/>
    <w:rsid w:val="005B012D"/>
    <w:rsid w:val="005B01C1"/>
    <w:rsid w:val="005B1AA9"/>
    <w:rsid w:val="005B2C16"/>
    <w:rsid w:val="005B2F9C"/>
    <w:rsid w:val="005C5142"/>
    <w:rsid w:val="005D006C"/>
    <w:rsid w:val="005D21ED"/>
    <w:rsid w:val="005E0C0A"/>
    <w:rsid w:val="005E14C2"/>
    <w:rsid w:val="005E4420"/>
    <w:rsid w:val="00603480"/>
    <w:rsid w:val="00604FAB"/>
    <w:rsid w:val="00607BA5"/>
    <w:rsid w:val="0061180A"/>
    <w:rsid w:val="00620221"/>
    <w:rsid w:val="00620652"/>
    <w:rsid w:val="00625A75"/>
    <w:rsid w:val="00626EB6"/>
    <w:rsid w:val="00643A60"/>
    <w:rsid w:val="0064766E"/>
    <w:rsid w:val="00655D03"/>
    <w:rsid w:val="00671848"/>
    <w:rsid w:val="00682DC2"/>
    <w:rsid w:val="00683388"/>
    <w:rsid w:val="00683F84"/>
    <w:rsid w:val="00691B86"/>
    <w:rsid w:val="00694186"/>
    <w:rsid w:val="0069545C"/>
    <w:rsid w:val="006A209E"/>
    <w:rsid w:val="006A3F02"/>
    <w:rsid w:val="006A5E23"/>
    <w:rsid w:val="006A6A81"/>
    <w:rsid w:val="006B47DC"/>
    <w:rsid w:val="006B7C19"/>
    <w:rsid w:val="006C3F17"/>
    <w:rsid w:val="006C53E6"/>
    <w:rsid w:val="006C5D7A"/>
    <w:rsid w:val="006D036A"/>
    <w:rsid w:val="006D11FD"/>
    <w:rsid w:val="006D21D5"/>
    <w:rsid w:val="006D3997"/>
    <w:rsid w:val="006D65CB"/>
    <w:rsid w:val="006F2F9B"/>
    <w:rsid w:val="006F7393"/>
    <w:rsid w:val="0070224F"/>
    <w:rsid w:val="007115F7"/>
    <w:rsid w:val="007271ED"/>
    <w:rsid w:val="00735A3D"/>
    <w:rsid w:val="00752178"/>
    <w:rsid w:val="0075384F"/>
    <w:rsid w:val="00767C00"/>
    <w:rsid w:val="00772847"/>
    <w:rsid w:val="00772963"/>
    <w:rsid w:val="00775B8C"/>
    <w:rsid w:val="00775EA2"/>
    <w:rsid w:val="007846F4"/>
    <w:rsid w:val="00785689"/>
    <w:rsid w:val="00790CDE"/>
    <w:rsid w:val="0079234C"/>
    <w:rsid w:val="00796BA7"/>
    <w:rsid w:val="0079754B"/>
    <w:rsid w:val="007A1E6D"/>
    <w:rsid w:val="007A2128"/>
    <w:rsid w:val="007B01CD"/>
    <w:rsid w:val="007B0EB2"/>
    <w:rsid w:val="007B39B3"/>
    <w:rsid w:val="007B49F4"/>
    <w:rsid w:val="007C082E"/>
    <w:rsid w:val="007C4469"/>
    <w:rsid w:val="007D2DF8"/>
    <w:rsid w:val="007D4840"/>
    <w:rsid w:val="00806019"/>
    <w:rsid w:val="00810B6F"/>
    <w:rsid w:val="00822CE0"/>
    <w:rsid w:val="00841AB1"/>
    <w:rsid w:val="00885FB6"/>
    <w:rsid w:val="0088647B"/>
    <w:rsid w:val="00890D95"/>
    <w:rsid w:val="00891C23"/>
    <w:rsid w:val="008A0D1A"/>
    <w:rsid w:val="008A65D8"/>
    <w:rsid w:val="008B2CD7"/>
    <w:rsid w:val="008B6299"/>
    <w:rsid w:val="008C292A"/>
    <w:rsid w:val="008C4B13"/>
    <w:rsid w:val="008C6666"/>
    <w:rsid w:val="008C68F1"/>
    <w:rsid w:val="008D1FC3"/>
    <w:rsid w:val="008D3F9F"/>
    <w:rsid w:val="008E3783"/>
    <w:rsid w:val="008F7227"/>
    <w:rsid w:val="0090259A"/>
    <w:rsid w:val="0091026D"/>
    <w:rsid w:val="0091579F"/>
    <w:rsid w:val="0092086A"/>
    <w:rsid w:val="00921803"/>
    <w:rsid w:val="0092644D"/>
    <w:rsid w:val="00926503"/>
    <w:rsid w:val="00935415"/>
    <w:rsid w:val="009372E3"/>
    <w:rsid w:val="009500CE"/>
    <w:rsid w:val="00954B30"/>
    <w:rsid w:val="00964F95"/>
    <w:rsid w:val="0097183A"/>
    <w:rsid w:val="009726D8"/>
    <w:rsid w:val="009729EF"/>
    <w:rsid w:val="00973366"/>
    <w:rsid w:val="00977087"/>
    <w:rsid w:val="009831B1"/>
    <w:rsid w:val="00993591"/>
    <w:rsid w:val="009A30A4"/>
    <w:rsid w:val="009A4E22"/>
    <w:rsid w:val="009A5186"/>
    <w:rsid w:val="009A79ED"/>
    <w:rsid w:val="009B48DA"/>
    <w:rsid w:val="009B7A3D"/>
    <w:rsid w:val="009C4CEC"/>
    <w:rsid w:val="009C5D8B"/>
    <w:rsid w:val="009C7D7E"/>
    <w:rsid w:val="009D56BB"/>
    <w:rsid w:val="009E1392"/>
    <w:rsid w:val="009E6DA6"/>
    <w:rsid w:val="009F76DB"/>
    <w:rsid w:val="00A03061"/>
    <w:rsid w:val="00A03852"/>
    <w:rsid w:val="00A05A42"/>
    <w:rsid w:val="00A113D6"/>
    <w:rsid w:val="00A17CD5"/>
    <w:rsid w:val="00A22FC9"/>
    <w:rsid w:val="00A234A5"/>
    <w:rsid w:val="00A27B8C"/>
    <w:rsid w:val="00A32ABA"/>
    <w:rsid w:val="00A32C3B"/>
    <w:rsid w:val="00A339F1"/>
    <w:rsid w:val="00A33B5B"/>
    <w:rsid w:val="00A33BF1"/>
    <w:rsid w:val="00A41B34"/>
    <w:rsid w:val="00A45F4F"/>
    <w:rsid w:val="00A600A9"/>
    <w:rsid w:val="00A65E3C"/>
    <w:rsid w:val="00A835AE"/>
    <w:rsid w:val="00A97CB9"/>
    <w:rsid w:val="00AA1198"/>
    <w:rsid w:val="00AA55B7"/>
    <w:rsid w:val="00AA5B9E"/>
    <w:rsid w:val="00AB2407"/>
    <w:rsid w:val="00AB53DF"/>
    <w:rsid w:val="00AB76BA"/>
    <w:rsid w:val="00AC2FAF"/>
    <w:rsid w:val="00AC66B0"/>
    <w:rsid w:val="00AD1226"/>
    <w:rsid w:val="00AD32C2"/>
    <w:rsid w:val="00AD663B"/>
    <w:rsid w:val="00AE095B"/>
    <w:rsid w:val="00AF2250"/>
    <w:rsid w:val="00AF53AB"/>
    <w:rsid w:val="00B07E5C"/>
    <w:rsid w:val="00B14CBE"/>
    <w:rsid w:val="00B273EF"/>
    <w:rsid w:val="00B33A41"/>
    <w:rsid w:val="00B43F8F"/>
    <w:rsid w:val="00B51483"/>
    <w:rsid w:val="00B53A90"/>
    <w:rsid w:val="00B6493F"/>
    <w:rsid w:val="00B71446"/>
    <w:rsid w:val="00B811F7"/>
    <w:rsid w:val="00B831BD"/>
    <w:rsid w:val="00B8725D"/>
    <w:rsid w:val="00B91CC2"/>
    <w:rsid w:val="00B970DF"/>
    <w:rsid w:val="00B976E2"/>
    <w:rsid w:val="00BA4ED3"/>
    <w:rsid w:val="00BA5153"/>
    <w:rsid w:val="00BA5DC6"/>
    <w:rsid w:val="00BA6196"/>
    <w:rsid w:val="00BA662F"/>
    <w:rsid w:val="00BB5B0B"/>
    <w:rsid w:val="00BB77E0"/>
    <w:rsid w:val="00BC0C44"/>
    <w:rsid w:val="00BC6D8C"/>
    <w:rsid w:val="00BC7316"/>
    <w:rsid w:val="00C017A5"/>
    <w:rsid w:val="00C270D8"/>
    <w:rsid w:val="00C34006"/>
    <w:rsid w:val="00C343FE"/>
    <w:rsid w:val="00C37679"/>
    <w:rsid w:val="00C426B1"/>
    <w:rsid w:val="00C471A6"/>
    <w:rsid w:val="00C471DC"/>
    <w:rsid w:val="00C5737D"/>
    <w:rsid w:val="00C601F9"/>
    <w:rsid w:val="00C634CA"/>
    <w:rsid w:val="00C66160"/>
    <w:rsid w:val="00C721AC"/>
    <w:rsid w:val="00C75F24"/>
    <w:rsid w:val="00C82303"/>
    <w:rsid w:val="00C82463"/>
    <w:rsid w:val="00C840B7"/>
    <w:rsid w:val="00C90A77"/>
    <w:rsid w:val="00C90D6A"/>
    <w:rsid w:val="00C94570"/>
    <w:rsid w:val="00C97E2D"/>
    <w:rsid w:val="00CA247E"/>
    <w:rsid w:val="00CA51A5"/>
    <w:rsid w:val="00CB3408"/>
    <w:rsid w:val="00CC1D31"/>
    <w:rsid w:val="00CC427C"/>
    <w:rsid w:val="00CC72B6"/>
    <w:rsid w:val="00CD0E86"/>
    <w:rsid w:val="00CD33DD"/>
    <w:rsid w:val="00CE39E7"/>
    <w:rsid w:val="00CE5FCE"/>
    <w:rsid w:val="00CF1AB7"/>
    <w:rsid w:val="00CF2052"/>
    <w:rsid w:val="00CF7B93"/>
    <w:rsid w:val="00D00DD1"/>
    <w:rsid w:val="00D01168"/>
    <w:rsid w:val="00D017DC"/>
    <w:rsid w:val="00D0218D"/>
    <w:rsid w:val="00D23ADC"/>
    <w:rsid w:val="00D25FB5"/>
    <w:rsid w:val="00D31425"/>
    <w:rsid w:val="00D33DC6"/>
    <w:rsid w:val="00D3514C"/>
    <w:rsid w:val="00D43345"/>
    <w:rsid w:val="00D44223"/>
    <w:rsid w:val="00D457F0"/>
    <w:rsid w:val="00D50BEF"/>
    <w:rsid w:val="00D54B4F"/>
    <w:rsid w:val="00D57D26"/>
    <w:rsid w:val="00D658ED"/>
    <w:rsid w:val="00D66D44"/>
    <w:rsid w:val="00D73890"/>
    <w:rsid w:val="00D766CC"/>
    <w:rsid w:val="00D8138E"/>
    <w:rsid w:val="00D81772"/>
    <w:rsid w:val="00D83983"/>
    <w:rsid w:val="00D9482F"/>
    <w:rsid w:val="00DA2529"/>
    <w:rsid w:val="00DA2D78"/>
    <w:rsid w:val="00DA35D3"/>
    <w:rsid w:val="00DA51EE"/>
    <w:rsid w:val="00DB130A"/>
    <w:rsid w:val="00DB232A"/>
    <w:rsid w:val="00DB2565"/>
    <w:rsid w:val="00DB28D8"/>
    <w:rsid w:val="00DB2EBB"/>
    <w:rsid w:val="00DC10A1"/>
    <w:rsid w:val="00DC301C"/>
    <w:rsid w:val="00DC655F"/>
    <w:rsid w:val="00DD0B59"/>
    <w:rsid w:val="00DD7EBD"/>
    <w:rsid w:val="00DE18CD"/>
    <w:rsid w:val="00DF62B6"/>
    <w:rsid w:val="00DF7B15"/>
    <w:rsid w:val="00E02BC8"/>
    <w:rsid w:val="00E03848"/>
    <w:rsid w:val="00E07225"/>
    <w:rsid w:val="00E166BA"/>
    <w:rsid w:val="00E17E1D"/>
    <w:rsid w:val="00E235CE"/>
    <w:rsid w:val="00E36486"/>
    <w:rsid w:val="00E434C3"/>
    <w:rsid w:val="00E440DE"/>
    <w:rsid w:val="00E500B9"/>
    <w:rsid w:val="00E519BD"/>
    <w:rsid w:val="00E53707"/>
    <w:rsid w:val="00E5409F"/>
    <w:rsid w:val="00E567FD"/>
    <w:rsid w:val="00E65C0E"/>
    <w:rsid w:val="00E70858"/>
    <w:rsid w:val="00E72F71"/>
    <w:rsid w:val="00E84C32"/>
    <w:rsid w:val="00E946A6"/>
    <w:rsid w:val="00E95406"/>
    <w:rsid w:val="00EA08F1"/>
    <w:rsid w:val="00EA5B9F"/>
    <w:rsid w:val="00EA7657"/>
    <w:rsid w:val="00EC055F"/>
    <w:rsid w:val="00EC2D27"/>
    <w:rsid w:val="00ED4429"/>
    <w:rsid w:val="00EE13A6"/>
    <w:rsid w:val="00EE50B2"/>
    <w:rsid w:val="00EE6078"/>
    <w:rsid w:val="00EE6488"/>
    <w:rsid w:val="00F00184"/>
    <w:rsid w:val="00F021FA"/>
    <w:rsid w:val="00F149CF"/>
    <w:rsid w:val="00F14CE8"/>
    <w:rsid w:val="00F17DAB"/>
    <w:rsid w:val="00F24435"/>
    <w:rsid w:val="00F24A2F"/>
    <w:rsid w:val="00F25880"/>
    <w:rsid w:val="00F26D39"/>
    <w:rsid w:val="00F306A8"/>
    <w:rsid w:val="00F34133"/>
    <w:rsid w:val="00F361AF"/>
    <w:rsid w:val="00F475A0"/>
    <w:rsid w:val="00F54611"/>
    <w:rsid w:val="00F56473"/>
    <w:rsid w:val="00F616B7"/>
    <w:rsid w:val="00F62E97"/>
    <w:rsid w:val="00F64209"/>
    <w:rsid w:val="00F70384"/>
    <w:rsid w:val="00F70771"/>
    <w:rsid w:val="00F7733C"/>
    <w:rsid w:val="00F77C2B"/>
    <w:rsid w:val="00F861CA"/>
    <w:rsid w:val="00F9287E"/>
    <w:rsid w:val="00F93BF5"/>
    <w:rsid w:val="00F94230"/>
    <w:rsid w:val="00FA2800"/>
    <w:rsid w:val="00FB78D7"/>
    <w:rsid w:val="00FC10D8"/>
    <w:rsid w:val="00FC3473"/>
    <w:rsid w:val="00FC4621"/>
    <w:rsid w:val="00FC4711"/>
    <w:rsid w:val="00FC55E3"/>
    <w:rsid w:val="00FC64A9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8B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9C5D8B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9C5D8B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9C5D8B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9C5D8B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9C5D8B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9C5D8B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9C5D8B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9C5D8B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9C5D8B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9C5D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C5D8B"/>
  </w:style>
  <w:style w:type="paragraph" w:customStyle="1" w:styleId="ParaNum">
    <w:name w:val="ParaNum"/>
    <w:basedOn w:val="Normal"/>
    <w:rsid w:val="009C5D8B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9C5D8B"/>
    <w:rPr>
      <w:sz w:val="20"/>
    </w:rPr>
  </w:style>
  <w:style w:type="character" w:styleId="EndnoteReference">
    <w:name w:val="endnote reference"/>
    <w:semiHidden/>
    <w:rsid w:val="009C5D8B"/>
    <w:rPr>
      <w:vertAlign w:val="superscript"/>
    </w:rPr>
  </w:style>
  <w:style w:type="paragraph" w:styleId="FootnoteText">
    <w:name w:val="footnote text"/>
    <w:rsid w:val="009C5D8B"/>
    <w:pPr>
      <w:spacing w:after="120"/>
    </w:pPr>
  </w:style>
  <w:style w:type="character" w:styleId="FootnoteReference">
    <w:name w:val="footnote reference"/>
    <w:rsid w:val="009C5D8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9C5D8B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9C5D8B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9C5D8B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9C5D8B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9C5D8B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9C5D8B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9C5D8B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9C5D8B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9C5D8B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9C5D8B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C5D8B"/>
  </w:style>
  <w:style w:type="paragraph" w:styleId="Header">
    <w:name w:val="header"/>
    <w:basedOn w:val="Normal"/>
    <w:autoRedefine/>
    <w:rsid w:val="009C5D8B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9C5D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5D8B"/>
  </w:style>
  <w:style w:type="paragraph" w:styleId="BlockText">
    <w:name w:val="Block Text"/>
    <w:basedOn w:val="Normal"/>
    <w:rsid w:val="009C5D8B"/>
    <w:pPr>
      <w:spacing w:after="240"/>
      <w:ind w:left="1440" w:right="1440"/>
    </w:pPr>
  </w:style>
  <w:style w:type="paragraph" w:customStyle="1" w:styleId="Paratitle">
    <w:name w:val="Para title"/>
    <w:basedOn w:val="Normal"/>
    <w:rsid w:val="009C5D8B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9C5D8B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9C5D8B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9C5D8B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C5D8B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9C5D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5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E23"/>
    <w:rPr>
      <w:rFonts w:ascii="Tahoma" w:hAnsi="Tahoma" w:cs="Tahoma"/>
      <w:snapToGrid w:val="0"/>
      <w:kern w:val="28"/>
      <w:sz w:val="16"/>
      <w:szCs w:val="16"/>
    </w:rPr>
  </w:style>
  <w:style w:type="character" w:styleId="CommentReference">
    <w:name w:val="annotation reference"/>
    <w:basedOn w:val="DefaultParagraphFont"/>
    <w:rsid w:val="003156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56A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56A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15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56AD"/>
    <w:rPr>
      <w:b/>
      <w:bCs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8B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9C5D8B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9C5D8B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9C5D8B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9C5D8B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9C5D8B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9C5D8B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9C5D8B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9C5D8B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9C5D8B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9C5D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C5D8B"/>
  </w:style>
  <w:style w:type="paragraph" w:customStyle="1" w:styleId="ParaNum">
    <w:name w:val="ParaNum"/>
    <w:basedOn w:val="Normal"/>
    <w:rsid w:val="009C5D8B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9C5D8B"/>
    <w:rPr>
      <w:sz w:val="20"/>
    </w:rPr>
  </w:style>
  <w:style w:type="character" w:styleId="EndnoteReference">
    <w:name w:val="endnote reference"/>
    <w:semiHidden/>
    <w:rsid w:val="009C5D8B"/>
    <w:rPr>
      <w:vertAlign w:val="superscript"/>
    </w:rPr>
  </w:style>
  <w:style w:type="paragraph" w:styleId="FootnoteText">
    <w:name w:val="footnote text"/>
    <w:rsid w:val="009C5D8B"/>
    <w:pPr>
      <w:spacing w:after="120"/>
    </w:pPr>
  </w:style>
  <w:style w:type="character" w:styleId="FootnoteReference">
    <w:name w:val="footnote reference"/>
    <w:rsid w:val="009C5D8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9C5D8B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9C5D8B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9C5D8B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9C5D8B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9C5D8B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9C5D8B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9C5D8B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9C5D8B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9C5D8B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9C5D8B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C5D8B"/>
  </w:style>
  <w:style w:type="paragraph" w:styleId="Header">
    <w:name w:val="header"/>
    <w:basedOn w:val="Normal"/>
    <w:autoRedefine/>
    <w:rsid w:val="009C5D8B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9C5D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5D8B"/>
  </w:style>
  <w:style w:type="paragraph" w:styleId="BlockText">
    <w:name w:val="Block Text"/>
    <w:basedOn w:val="Normal"/>
    <w:rsid w:val="009C5D8B"/>
    <w:pPr>
      <w:spacing w:after="240"/>
      <w:ind w:left="1440" w:right="1440"/>
    </w:pPr>
  </w:style>
  <w:style w:type="paragraph" w:customStyle="1" w:styleId="Paratitle">
    <w:name w:val="Para title"/>
    <w:basedOn w:val="Normal"/>
    <w:rsid w:val="009C5D8B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9C5D8B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9C5D8B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9C5D8B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C5D8B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9C5D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5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E23"/>
    <w:rPr>
      <w:rFonts w:ascii="Tahoma" w:hAnsi="Tahoma" w:cs="Tahoma"/>
      <w:snapToGrid w:val="0"/>
      <w:kern w:val="28"/>
      <w:sz w:val="16"/>
      <w:szCs w:val="16"/>
    </w:rPr>
  </w:style>
  <w:style w:type="character" w:styleId="CommentReference">
    <w:name w:val="annotation reference"/>
    <w:basedOn w:val="DefaultParagraphFont"/>
    <w:rsid w:val="003156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56A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56A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15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56AD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529</Words>
  <Characters>2857</Characters>
  <Application>Microsoft Office Word</Application>
  <DocSecurity>0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2014-08-01T17:03:00Z</dcterms:created>
  <dcterms:modified xsi:type="dcterms:W3CDTF">2014-08-01T17:03:00Z</dcterms:modified>
  <cp:category> </cp:category>
  <cp:contentStatus> </cp:contentStatus>
</cp:coreProperties>
</file>