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D8" w:rsidRPr="00F372CA" w:rsidRDefault="004F22D8" w:rsidP="00470E99">
      <w:pPr>
        <w:pStyle w:val="Title"/>
        <w:keepNext/>
        <w:keepLines/>
      </w:pPr>
      <w:bookmarkStart w:id="0" w:name="_GoBack"/>
      <w:bookmarkEnd w:id="0"/>
      <w:r w:rsidRPr="00F372CA">
        <w:t>Before the</w:t>
      </w:r>
    </w:p>
    <w:p w:rsidR="004F22D8" w:rsidRPr="00F372CA" w:rsidRDefault="004F22D8" w:rsidP="00470E99">
      <w:pPr>
        <w:keepNext/>
        <w:keepLines/>
        <w:jc w:val="center"/>
        <w:rPr>
          <w:b/>
        </w:rPr>
      </w:pPr>
      <w:r w:rsidRPr="00F372CA">
        <w:rPr>
          <w:b/>
        </w:rPr>
        <w:t>Federal Communications Commission</w:t>
      </w:r>
    </w:p>
    <w:p w:rsidR="004F22D8" w:rsidRPr="00F372CA" w:rsidRDefault="004F22D8" w:rsidP="00470E99">
      <w:pPr>
        <w:keepNext/>
        <w:keepLines/>
        <w:jc w:val="center"/>
        <w:rPr>
          <w:b/>
        </w:rPr>
      </w:pPr>
      <w:r w:rsidRPr="00F372CA">
        <w:rPr>
          <w:b/>
        </w:rPr>
        <w:t>Washington, D.C. 20554</w:t>
      </w:r>
    </w:p>
    <w:p w:rsidR="004F22D8" w:rsidRPr="00F372CA" w:rsidRDefault="004F22D8" w:rsidP="00470E99">
      <w:pPr>
        <w:keepNext/>
        <w:keepLines/>
      </w:pPr>
    </w:p>
    <w:p w:rsidR="004F22D8" w:rsidRPr="00F372CA" w:rsidRDefault="004F22D8" w:rsidP="00470E99">
      <w:pPr>
        <w:keepNext/>
        <w:keepLines/>
        <w:tabs>
          <w:tab w:val="left" w:pos="-720"/>
        </w:tabs>
        <w:suppressAutoHyphens/>
        <w:spacing w:line="227" w:lineRule="auto"/>
        <w:jc w:val="both"/>
        <w:rPr>
          <w:spacing w:val="-2"/>
        </w:rPr>
      </w:pPr>
    </w:p>
    <w:tbl>
      <w:tblPr>
        <w:tblW w:w="0" w:type="auto"/>
        <w:tblLayout w:type="fixed"/>
        <w:tblLook w:val="0000" w:firstRow="0" w:lastRow="0" w:firstColumn="0" w:lastColumn="0" w:noHBand="0" w:noVBand="0"/>
      </w:tblPr>
      <w:tblGrid>
        <w:gridCol w:w="4698"/>
        <w:gridCol w:w="630"/>
        <w:gridCol w:w="4248"/>
      </w:tblGrid>
      <w:tr w:rsidR="004F22D8" w:rsidRPr="00F372CA">
        <w:tc>
          <w:tcPr>
            <w:tcW w:w="4698" w:type="dxa"/>
          </w:tcPr>
          <w:p w:rsidR="004F22D8" w:rsidRPr="00F372CA" w:rsidRDefault="004F22D8" w:rsidP="00470E99">
            <w:pPr>
              <w:keepNext/>
              <w:keepLines/>
              <w:tabs>
                <w:tab w:val="center" w:pos="4680"/>
              </w:tabs>
              <w:suppressAutoHyphens/>
              <w:rPr>
                <w:spacing w:val="-2"/>
              </w:rPr>
            </w:pPr>
            <w:r w:rsidRPr="00F372CA">
              <w:rPr>
                <w:spacing w:val="-2"/>
              </w:rPr>
              <w:t>In the Matter of</w:t>
            </w:r>
          </w:p>
          <w:p w:rsidR="004F22D8" w:rsidRPr="00F372CA" w:rsidRDefault="004F22D8" w:rsidP="00470E99">
            <w:pPr>
              <w:keepNext/>
              <w:keepLines/>
              <w:tabs>
                <w:tab w:val="center" w:pos="4680"/>
              </w:tabs>
              <w:suppressAutoHyphens/>
              <w:rPr>
                <w:spacing w:val="-2"/>
              </w:rPr>
            </w:pPr>
          </w:p>
          <w:p w:rsidR="004A7C48" w:rsidRPr="00F372CA" w:rsidRDefault="004A7C48" w:rsidP="00470E99">
            <w:pPr>
              <w:keepNext/>
              <w:keepLines/>
              <w:tabs>
                <w:tab w:val="center" w:pos="4680"/>
              </w:tabs>
              <w:suppressAutoHyphens/>
              <w:rPr>
                <w:spacing w:val="-2"/>
              </w:rPr>
            </w:pPr>
            <w:bookmarkStart w:id="1" w:name="OLE_LINK5"/>
            <w:bookmarkStart w:id="2" w:name="OLE_LINK6"/>
            <w:r w:rsidRPr="00F372CA">
              <w:rPr>
                <w:b/>
                <w:spacing w:val="-2"/>
              </w:rPr>
              <w:t>Radio License Holding XI, LLC</w:t>
            </w:r>
          </w:p>
          <w:p w:rsidR="004F22D8" w:rsidRPr="00F372CA" w:rsidRDefault="004F22D8" w:rsidP="00470E99">
            <w:pPr>
              <w:keepNext/>
              <w:keepLines/>
              <w:rPr>
                <w:b/>
              </w:rPr>
            </w:pPr>
          </w:p>
          <w:bookmarkEnd w:id="1"/>
          <w:bookmarkEnd w:id="2"/>
          <w:p w:rsidR="004F22D8" w:rsidRPr="00F372CA" w:rsidRDefault="004F22D8" w:rsidP="00470E99">
            <w:pPr>
              <w:keepNext/>
              <w:keepLines/>
            </w:pPr>
            <w:r w:rsidRPr="00F372CA">
              <w:t xml:space="preserve">Licensee of Station </w:t>
            </w:r>
            <w:r w:rsidR="00AC1E2B" w:rsidRPr="00F372CA">
              <w:rPr>
                <w:spacing w:val="-2"/>
              </w:rPr>
              <w:t>WLS(AM),</w:t>
            </w:r>
          </w:p>
          <w:p w:rsidR="004F22D8" w:rsidRPr="00F372CA" w:rsidRDefault="00C63324" w:rsidP="00470E99">
            <w:pPr>
              <w:keepNext/>
              <w:keepLines/>
            </w:pPr>
            <w:r w:rsidRPr="00F372CA">
              <w:rPr>
                <w:spacing w:val="-2"/>
              </w:rPr>
              <w:t>Chicago, Illinois</w:t>
            </w:r>
          </w:p>
        </w:tc>
        <w:tc>
          <w:tcPr>
            <w:tcW w:w="630" w:type="dxa"/>
          </w:tcPr>
          <w:p w:rsidR="004F22D8" w:rsidRPr="00F372CA" w:rsidRDefault="004F22D8" w:rsidP="00470E99">
            <w:pPr>
              <w:keepNext/>
              <w:keepLines/>
              <w:tabs>
                <w:tab w:val="center" w:pos="4680"/>
              </w:tabs>
              <w:suppressAutoHyphens/>
              <w:rPr>
                <w:b/>
                <w:spacing w:val="-2"/>
              </w:rPr>
            </w:pPr>
            <w:r w:rsidRPr="00F372CA">
              <w:rPr>
                <w:b/>
                <w:spacing w:val="-2"/>
              </w:rPr>
              <w:t>)</w:t>
            </w:r>
          </w:p>
          <w:p w:rsidR="004F22D8" w:rsidRPr="00F372CA" w:rsidRDefault="004F22D8" w:rsidP="00470E99">
            <w:pPr>
              <w:keepNext/>
              <w:keepLines/>
              <w:tabs>
                <w:tab w:val="center" w:pos="4680"/>
              </w:tabs>
              <w:suppressAutoHyphens/>
              <w:rPr>
                <w:b/>
                <w:spacing w:val="-2"/>
              </w:rPr>
            </w:pPr>
            <w:r w:rsidRPr="00F372CA">
              <w:rPr>
                <w:b/>
                <w:spacing w:val="-2"/>
              </w:rPr>
              <w:t>)</w:t>
            </w:r>
          </w:p>
          <w:p w:rsidR="004F22D8" w:rsidRPr="00F372CA" w:rsidRDefault="004F22D8" w:rsidP="00470E99">
            <w:pPr>
              <w:keepNext/>
              <w:keepLines/>
              <w:tabs>
                <w:tab w:val="center" w:pos="4680"/>
              </w:tabs>
              <w:suppressAutoHyphens/>
              <w:rPr>
                <w:b/>
                <w:spacing w:val="-2"/>
              </w:rPr>
            </w:pPr>
            <w:r w:rsidRPr="00F372CA">
              <w:rPr>
                <w:b/>
                <w:spacing w:val="-2"/>
              </w:rPr>
              <w:t>)</w:t>
            </w:r>
          </w:p>
          <w:p w:rsidR="004F22D8" w:rsidRPr="00F372CA" w:rsidRDefault="004F22D8" w:rsidP="00470E99">
            <w:pPr>
              <w:keepNext/>
              <w:keepLines/>
              <w:tabs>
                <w:tab w:val="center" w:pos="4680"/>
              </w:tabs>
              <w:suppressAutoHyphens/>
              <w:rPr>
                <w:b/>
                <w:spacing w:val="-2"/>
              </w:rPr>
            </w:pPr>
            <w:r w:rsidRPr="00F372CA">
              <w:rPr>
                <w:b/>
                <w:spacing w:val="-2"/>
              </w:rPr>
              <w:t>)</w:t>
            </w:r>
          </w:p>
          <w:p w:rsidR="004F22D8" w:rsidRPr="00F372CA" w:rsidRDefault="004F22D8" w:rsidP="00470E99">
            <w:pPr>
              <w:keepNext/>
              <w:keepLines/>
              <w:tabs>
                <w:tab w:val="center" w:pos="4680"/>
              </w:tabs>
              <w:suppressAutoHyphens/>
              <w:rPr>
                <w:b/>
                <w:spacing w:val="-2"/>
              </w:rPr>
            </w:pPr>
            <w:r w:rsidRPr="00F372CA">
              <w:rPr>
                <w:b/>
                <w:spacing w:val="-2"/>
              </w:rPr>
              <w:t>)</w:t>
            </w:r>
          </w:p>
          <w:p w:rsidR="004F22D8" w:rsidRPr="00760187" w:rsidRDefault="004F22D8" w:rsidP="00470E99">
            <w:pPr>
              <w:keepNext/>
              <w:keepLines/>
              <w:tabs>
                <w:tab w:val="center" w:pos="4680"/>
              </w:tabs>
              <w:suppressAutoHyphens/>
              <w:rPr>
                <w:b/>
                <w:spacing w:val="-2"/>
              </w:rPr>
            </w:pPr>
            <w:r w:rsidRPr="004D7C2B">
              <w:rPr>
                <w:b/>
              </w:rPr>
              <w:t>)</w:t>
            </w:r>
          </w:p>
        </w:tc>
        <w:tc>
          <w:tcPr>
            <w:tcW w:w="4248" w:type="dxa"/>
          </w:tcPr>
          <w:p w:rsidR="004F22D8" w:rsidRPr="00F372CA" w:rsidRDefault="004F22D8" w:rsidP="00470E99">
            <w:pPr>
              <w:keepNext/>
              <w:keepLines/>
              <w:tabs>
                <w:tab w:val="center" w:pos="4680"/>
              </w:tabs>
              <w:suppressAutoHyphens/>
              <w:rPr>
                <w:spacing w:val="-2"/>
              </w:rPr>
            </w:pPr>
          </w:p>
          <w:p w:rsidR="004F22D8" w:rsidRPr="00F372CA" w:rsidRDefault="004F22D8" w:rsidP="00470E99">
            <w:pPr>
              <w:keepNext/>
              <w:keepLines/>
              <w:tabs>
                <w:tab w:val="center" w:pos="4680"/>
              </w:tabs>
              <w:suppressAutoHyphens/>
              <w:rPr>
                <w:spacing w:val="-2"/>
              </w:rPr>
            </w:pPr>
          </w:p>
          <w:p w:rsidR="00EA74FC" w:rsidRPr="00F372CA" w:rsidRDefault="001D081D" w:rsidP="00470E99">
            <w:pPr>
              <w:keepNext/>
              <w:keepLines/>
              <w:tabs>
                <w:tab w:val="center" w:pos="4680"/>
              </w:tabs>
              <w:suppressAutoHyphens/>
              <w:rPr>
                <w:spacing w:val="-2"/>
              </w:rPr>
            </w:pPr>
            <w:r w:rsidRPr="00F372CA">
              <w:rPr>
                <w:spacing w:val="-2"/>
              </w:rPr>
              <w:t xml:space="preserve">File No:  </w:t>
            </w:r>
            <w:r w:rsidR="00EA74FC" w:rsidRPr="00F372CA">
              <w:rPr>
                <w:spacing w:val="-2"/>
              </w:rPr>
              <w:t>EB-09-IH-0574</w:t>
            </w:r>
          </w:p>
          <w:p w:rsidR="00445D57" w:rsidRPr="00F372CA" w:rsidRDefault="001D081D" w:rsidP="00470E99">
            <w:pPr>
              <w:keepNext/>
              <w:keepLines/>
              <w:tabs>
                <w:tab w:val="center" w:pos="4680"/>
              </w:tabs>
              <w:suppressAutoHyphens/>
              <w:rPr>
                <w:spacing w:val="-2"/>
              </w:rPr>
            </w:pPr>
            <w:r w:rsidRPr="00F372CA">
              <w:rPr>
                <w:spacing w:val="-2"/>
              </w:rPr>
              <w:t xml:space="preserve">NAL/Acct. No.:  </w:t>
            </w:r>
            <w:r w:rsidR="00445D57" w:rsidRPr="00F372CA">
              <w:rPr>
                <w:spacing w:val="-2"/>
              </w:rPr>
              <w:t>201232080012</w:t>
            </w:r>
          </w:p>
          <w:p w:rsidR="00445D57" w:rsidRPr="00F372CA" w:rsidRDefault="001D081D" w:rsidP="00470E99">
            <w:pPr>
              <w:keepNext/>
              <w:keepLines/>
            </w:pPr>
            <w:r w:rsidRPr="00F372CA">
              <w:rPr>
                <w:spacing w:val="-2"/>
              </w:rPr>
              <w:t xml:space="preserve">FRN:  </w:t>
            </w:r>
            <w:r w:rsidR="00445D57" w:rsidRPr="00F372CA">
              <w:rPr>
                <w:spacing w:val="-2"/>
              </w:rPr>
              <w:t>0014650006</w:t>
            </w:r>
          </w:p>
          <w:p w:rsidR="00445D57" w:rsidRPr="00F372CA" w:rsidRDefault="001D081D" w:rsidP="00470E99">
            <w:pPr>
              <w:keepNext/>
              <w:keepLines/>
              <w:tabs>
                <w:tab w:val="center" w:pos="4680"/>
              </w:tabs>
              <w:suppressAutoHyphens/>
              <w:rPr>
                <w:spacing w:val="-2"/>
              </w:rPr>
            </w:pPr>
            <w:r w:rsidRPr="00F372CA">
              <w:rPr>
                <w:spacing w:val="-2"/>
              </w:rPr>
              <w:t xml:space="preserve">Facility ID No.:  </w:t>
            </w:r>
            <w:r w:rsidR="00445D57" w:rsidRPr="00F372CA">
              <w:rPr>
                <w:spacing w:val="-2"/>
              </w:rPr>
              <w:t>73227</w:t>
            </w:r>
          </w:p>
          <w:p w:rsidR="004F22D8" w:rsidRPr="00F372CA" w:rsidRDefault="004F22D8" w:rsidP="00470E99">
            <w:pPr>
              <w:keepNext/>
              <w:keepLines/>
              <w:tabs>
                <w:tab w:val="center" w:pos="4680"/>
              </w:tabs>
              <w:suppressAutoHyphens/>
              <w:rPr>
                <w:color w:val="000000"/>
              </w:rPr>
            </w:pPr>
          </w:p>
        </w:tc>
      </w:tr>
    </w:tbl>
    <w:p w:rsidR="004F22D8" w:rsidRPr="00F372CA" w:rsidRDefault="004F22D8" w:rsidP="00470E99">
      <w:pPr>
        <w:keepNext/>
        <w:keepLines/>
      </w:pPr>
    </w:p>
    <w:p w:rsidR="004F22D8" w:rsidRPr="00F372CA" w:rsidRDefault="004F22D8" w:rsidP="00470E99">
      <w:pPr>
        <w:keepNext/>
        <w:keepLines/>
        <w:spacing w:before="120"/>
        <w:jc w:val="center"/>
        <w:rPr>
          <w:b/>
        </w:rPr>
      </w:pPr>
      <w:r w:rsidRPr="00F372CA">
        <w:rPr>
          <w:b/>
          <w:spacing w:val="-2"/>
        </w:rPr>
        <w:t>FORFEITURE ORDER</w:t>
      </w:r>
    </w:p>
    <w:p w:rsidR="004F22D8" w:rsidRPr="00F372CA" w:rsidRDefault="004F22D8" w:rsidP="00470E99">
      <w:pPr>
        <w:keepNext/>
        <w:keepLines/>
        <w:jc w:val="center"/>
      </w:pPr>
    </w:p>
    <w:p w:rsidR="004F22D8" w:rsidRPr="00F372CA" w:rsidRDefault="00B80425" w:rsidP="00470E99">
      <w:pPr>
        <w:keepNext/>
        <w:keepLines/>
        <w:tabs>
          <w:tab w:val="left" w:pos="5760"/>
        </w:tabs>
      </w:pPr>
      <w:r>
        <w:rPr>
          <w:b/>
        </w:rPr>
        <w:t>Adopted:  February 7, 2014</w:t>
      </w:r>
      <w:r w:rsidR="004F22D8" w:rsidRPr="00F372CA">
        <w:rPr>
          <w:b/>
        </w:rPr>
        <w:tab/>
        <w:t xml:space="preserve">          </w:t>
      </w:r>
      <w:r>
        <w:rPr>
          <w:b/>
        </w:rPr>
        <w:t xml:space="preserve">     </w:t>
      </w:r>
      <w:r w:rsidR="004E6E6D" w:rsidRPr="00F372CA">
        <w:rPr>
          <w:b/>
        </w:rPr>
        <w:t xml:space="preserve">Released:  </w:t>
      </w:r>
      <w:r>
        <w:rPr>
          <w:b/>
        </w:rPr>
        <w:t>February 10, 2014</w:t>
      </w:r>
    </w:p>
    <w:p w:rsidR="004F22D8" w:rsidRPr="00F372CA" w:rsidRDefault="004F22D8" w:rsidP="00470E99">
      <w:pPr>
        <w:keepNext/>
        <w:keepLines/>
        <w:tabs>
          <w:tab w:val="left" w:pos="5760"/>
        </w:tabs>
        <w:rPr>
          <w:b/>
        </w:rPr>
      </w:pPr>
    </w:p>
    <w:p w:rsidR="004F22D8" w:rsidRPr="00F372CA" w:rsidRDefault="004F22D8" w:rsidP="00470E99">
      <w:pPr>
        <w:keepNext/>
        <w:keepLines/>
        <w:tabs>
          <w:tab w:val="left" w:pos="5760"/>
        </w:tabs>
      </w:pPr>
      <w:r w:rsidRPr="00F372CA">
        <w:t>By the Commission:</w:t>
      </w:r>
    </w:p>
    <w:p w:rsidR="004F22D8" w:rsidRPr="00F372CA" w:rsidRDefault="004F22D8" w:rsidP="00470E99">
      <w:pPr>
        <w:pStyle w:val="Header"/>
        <w:keepNext/>
        <w:keepLines/>
        <w:tabs>
          <w:tab w:val="left" w:pos="5760"/>
        </w:tabs>
      </w:pPr>
    </w:p>
    <w:p w:rsidR="004F22D8" w:rsidRPr="00F372CA" w:rsidRDefault="004F22D8" w:rsidP="0052326C">
      <w:pPr>
        <w:pStyle w:val="Heading1"/>
      </w:pPr>
      <w:r w:rsidRPr="00F372CA">
        <w:t>INTRODUCTION</w:t>
      </w:r>
    </w:p>
    <w:p w:rsidR="004F22D8" w:rsidRPr="00F372CA" w:rsidRDefault="004F22D8" w:rsidP="0052326C">
      <w:pPr>
        <w:pStyle w:val="ParaNum"/>
      </w:pPr>
      <w:r w:rsidRPr="00F372CA">
        <w:t xml:space="preserve">In this </w:t>
      </w:r>
      <w:r w:rsidRPr="0052326C">
        <w:rPr>
          <w:szCs w:val="22"/>
        </w:rPr>
        <w:t>Forfeiture Order</w:t>
      </w:r>
      <w:r w:rsidRPr="00F372CA">
        <w:t xml:space="preserve">, </w:t>
      </w:r>
      <w:r w:rsidRPr="0052326C">
        <w:rPr>
          <w:spacing w:val="-2"/>
          <w:szCs w:val="22"/>
        </w:rPr>
        <w:t>issued pursuant to Section 503(b) of the Communication</w:t>
      </w:r>
      <w:r w:rsidR="005D09CB" w:rsidRPr="0052326C">
        <w:rPr>
          <w:spacing w:val="-2"/>
          <w:szCs w:val="22"/>
        </w:rPr>
        <w:t>s Act of 1934, as amended (Act</w:t>
      </w:r>
      <w:r w:rsidRPr="0052326C">
        <w:rPr>
          <w:spacing w:val="-2"/>
          <w:szCs w:val="22"/>
        </w:rPr>
        <w:t>),</w:t>
      </w:r>
      <w:r w:rsidRPr="00F372CA">
        <w:rPr>
          <w:rStyle w:val="FootnoteReference"/>
          <w:spacing w:val="-2"/>
          <w:szCs w:val="22"/>
        </w:rPr>
        <w:footnoteReference w:id="2"/>
      </w:r>
      <w:r w:rsidRPr="0052326C">
        <w:rPr>
          <w:spacing w:val="-2"/>
          <w:szCs w:val="22"/>
        </w:rPr>
        <w:t xml:space="preserve"> </w:t>
      </w:r>
      <w:r w:rsidRPr="00F372CA">
        <w:t xml:space="preserve">we find that </w:t>
      </w:r>
      <w:r w:rsidR="002856C0" w:rsidRPr="00F372CA">
        <w:t xml:space="preserve">Radio License Holding XI, LLC </w:t>
      </w:r>
      <w:r w:rsidR="005D09CB" w:rsidRPr="00F372CA">
        <w:t>(</w:t>
      </w:r>
      <w:r w:rsidR="001773C8" w:rsidRPr="00F372CA">
        <w:t>Radio License</w:t>
      </w:r>
      <w:r w:rsidR="005D09CB" w:rsidRPr="00F372CA">
        <w:t xml:space="preserve"> or Licensee</w:t>
      </w:r>
      <w:r w:rsidRPr="00F372CA">
        <w:t xml:space="preserve">), licensee of Station </w:t>
      </w:r>
      <w:r w:rsidR="00747DDE" w:rsidRPr="00F372CA">
        <w:t>W</w:t>
      </w:r>
      <w:r w:rsidR="001E6D31" w:rsidRPr="00F372CA">
        <w:t>LS(AM), Chicago, Illinois (Station</w:t>
      </w:r>
      <w:r w:rsidR="00747DDE" w:rsidRPr="00F372CA">
        <w:t>)</w:t>
      </w:r>
      <w:r w:rsidRPr="00F372CA">
        <w:t>, willfully and repeatedly vi</w:t>
      </w:r>
      <w:r w:rsidR="00113F73" w:rsidRPr="00F372CA">
        <w:t xml:space="preserve">olated Section 317(a)(1) of the </w:t>
      </w:r>
      <w:r w:rsidRPr="00F372CA">
        <w:t>Act</w:t>
      </w:r>
      <w:r w:rsidRPr="00F372CA">
        <w:rPr>
          <w:rStyle w:val="FootnoteReference"/>
        </w:rPr>
        <w:footnoteReference w:id="3"/>
      </w:r>
      <w:r w:rsidRPr="00F372CA">
        <w:t xml:space="preserve"> and Section 73.1212(a) of the Commission’s rules</w:t>
      </w:r>
      <w:r w:rsidRPr="00F372CA">
        <w:rPr>
          <w:rStyle w:val="FootnoteReference"/>
        </w:rPr>
        <w:footnoteReference w:id="4"/>
      </w:r>
      <w:r w:rsidRPr="00F372CA">
        <w:t xml:space="preserve"> by failing to air required sponsorship identification announcements.  Based on a review of the facts and circumstances, we find </w:t>
      </w:r>
      <w:r w:rsidR="00FE0615" w:rsidRPr="00F372CA">
        <w:t>Radio License</w:t>
      </w:r>
      <w:r w:rsidRPr="00F372CA">
        <w:t xml:space="preserve"> liable for a</w:t>
      </w:r>
      <w:r w:rsidR="00FE0615" w:rsidRPr="00F372CA">
        <w:t xml:space="preserve"> forfeiture in the amount of </w:t>
      </w:r>
      <w:r w:rsidR="004B5014">
        <w:t>forty-</w:t>
      </w:r>
      <w:r w:rsidR="005B7EC7" w:rsidRPr="00F372CA">
        <w:t>four thousand dollars (</w:t>
      </w:r>
      <w:r w:rsidR="00FE0615" w:rsidRPr="00F372CA">
        <w:t>$44</w:t>
      </w:r>
      <w:r w:rsidRPr="00F372CA">
        <w:t>,000</w:t>
      </w:r>
      <w:r w:rsidR="005B7EC7" w:rsidRPr="00F372CA">
        <w:t>)</w:t>
      </w:r>
      <w:r w:rsidRPr="00F372CA">
        <w:t xml:space="preserve">. </w:t>
      </w:r>
    </w:p>
    <w:p w:rsidR="004F22D8" w:rsidRPr="00F372CA" w:rsidRDefault="004F22D8" w:rsidP="0052326C">
      <w:pPr>
        <w:pStyle w:val="Heading1"/>
      </w:pPr>
      <w:r w:rsidRPr="00F372CA">
        <w:t>BACKGROUND</w:t>
      </w:r>
    </w:p>
    <w:p w:rsidR="00906651" w:rsidRPr="00F372CA" w:rsidRDefault="00906651" w:rsidP="0052326C">
      <w:pPr>
        <w:pStyle w:val="ParaNum"/>
      </w:pPr>
      <w:r w:rsidRPr="00F372CA">
        <w:t xml:space="preserve">The Commission received a complaint alleging </w:t>
      </w:r>
      <w:r w:rsidRPr="00F372CA">
        <w:rPr>
          <w:szCs w:val="22"/>
        </w:rPr>
        <w:t>that, on March 19, 2009, at 2:29 p.m., the Station</w:t>
      </w:r>
      <w:r w:rsidRPr="00F372CA">
        <w:t xml:space="preserve"> aired program matter on behalf of an organization ca</w:t>
      </w:r>
      <w:r w:rsidR="007D2DC0" w:rsidRPr="00F372CA">
        <w:t>lled Workers Independent News (WIN</w:t>
      </w:r>
      <w:r w:rsidRPr="00F372CA">
        <w:t>) without adequately disclosing the fact that it was an advertisement, rather than a news story.</w:t>
      </w:r>
      <w:r w:rsidRPr="00F372CA">
        <w:rPr>
          <w:rStyle w:val="FootnoteReference"/>
        </w:rPr>
        <w:footnoteReference w:id="5"/>
      </w:r>
      <w:r w:rsidRPr="00F372CA">
        <w:t xml:space="preserve">  The Enforcement Bur</w:t>
      </w:r>
      <w:r w:rsidR="006B4A3B" w:rsidRPr="00F372CA">
        <w:t xml:space="preserve">eau </w:t>
      </w:r>
      <w:r w:rsidR="007D2DC0" w:rsidRPr="00F372CA">
        <w:t>issued a letter of inquiry (LOI</w:t>
      </w:r>
      <w:r w:rsidRPr="00F372CA">
        <w:t>) to the Licensee concerning the allegations raised in the Complaint.</w:t>
      </w:r>
      <w:r w:rsidRPr="00F372CA">
        <w:rPr>
          <w:rStyle w:val="FootnoteReference"/>
        </w:rPr>
        <w:footnoteReference w:id="6"/>
      </w:r>
      <w:r w:rsidRPr="00F372CA">
        <w:t xml:space="preserve">  The Licensee responded to the LOI on February 18, 2011.</w:t>
      </w:r>
      <w:r w:rsidRPr="00F372CA">
        <w:rPr>
          <w:rStyle w:val="FootnoteReference"/>
        </w:rPr>
        <w:footnoteReference w:id="7"/>
      </w:r>
    </w:p>
    <w:p w:rsidR="001919C6" w:rsidRDefault="006C2C22" w:rsidP="0052326C">
      <w:pPr>
        <w:pStyle w:val="ParaNum"/>
      </w:pPr>
      <w:r w:rsidRPr="00F372CA">
        <w:t xml:space="preserve">In its </w:t>
      </w:r>
      <w:r w:rsidR="008C2AC7" w:rsidRPr="00F372CA">
        <w:t>LOI Response</w:t>
      </w:r>
      <w:r w:rsidRPr="00F372CA">
        <w:t>, Radio License state</w:t>
      </w:r>
      <w:r w:rsidR="00590ACF">
        <w:t>s</w:t>
      </w:r>
      <w:r w:rsidRPr="00F372CA">
        <w:t xml:space="preserve"> that, during the period </w:t>
      </w:r>
      <w:r w:rsidR="00E127E5" w:rsidRPr="00F372CA">
        <w:t xml:space="preserve">between </w:t>
      </w:r>
      <w:r w:rsidRPr="00F372CA">
        <w:t>March 18</w:t>
      </w:r>
      <w:r w:rsidR="00E127E5" w:rsidRPr="00F372CA">
        <w:t xml:space="preserve"> </w:t>
      </w:r>
      <w:r w:rsidR="00B465C5">
        <w:t>and</w:t>
      </w:r>
      <w:r w:rsidRPr="00F372CA">
        <w:t xml:space="preserve"> May 30, 2009, it aired program matter on behalf of WIN in return for consideration or the promise of consideration provided by WIN.</w:t>
      </w:r>
      <w:r w:rsidRPr="00F372CA">
        <w:rPr>
          <w:rStyle w:val="FootnoteReference"/>
        </w:rPr>
        <w:footnoteReference w:id="8"/>
      </w:r>
      <w:r w:rsidR="00E8798B">
        <w:t xml:space="preserve">  </w:t>
      </w:r>
      <w:r w:rsidRPr="00F372CA">
        <w:t xml:space="preserve">Radio License explains that the program matter consisted of a total of </w:t>
      </w:r>
      <w:r w:rsidRPr="00F372CA">
        <w:lastRenderedPageBreak/>
        <w:t xml:space="preserve">45 </w:t>
      </w:r>
      <w:r w:rsidR="00610B46" w:rsidRPr="00F372CA">
        <w:t>90</w:t>
      </w:r>
      <w:r w:rsidRPr="00F372CA">
        <w:t xml:space="preserve">-second spots, 27 </w:t>
      </w:r>
      <w:r w:rsidR="00610B46" w:rsidRPr="00F372CA">
        <w:t>15</w:t>
      </w:r>
      <w:r w:rsidRPr="00F372CA">
        <w:t>-second promot</w:t>
      </w:r>
      <w:r w:rsidR="00610B46" w:rsidRPr="00F372CA">
        <w:t>ional announcements, two two-hour programs, and one</w:t>
      </w:r>
      <w:r w:rsidRPr="00F372CA">
        <w:t xml:space="preserve"> one-hour program.</w:t>
      </w:r>
      <w:r w:rsidRPr="00F372CA">
        <w:rPr>
          <w:rStyle w:val="FootnoteReference"/>
        </w:rPr>
        <w:footnoteReference w:id="9"/>
      </w:r>
      <w:r w:rsidRPr="00F372CA">
        <w:t xml:space="preserve">  Radio License </w:t>
      </w:r>
      <w:r w:rsidR="00220A73">
        <w:t>further explains that all of this</w:t>
      </w:r>
      <w:r w:rsidRPr="00F372CA">
        <w:t xml:space="preserve"> program </w:t>
      </w:r>
      <w:r w:rsidR="00220A73">
        <w:t xml:space="preserve">matter </w:t>
      </w:r>
      <w:r w:rsidRPr="00F372CA">
        <w:t>complied with the Commission’s sponsorship identification requirements</w:t>
      </w:r>
      <w:r w:rsidRPr="00F372CA">
        <w:rPr>
          <w:rStyle w:val="FootnoteReference"/>
        </w:rPr>
        <w:footnoteReference w:id="10"/>
      </w:r>
      <w:r w:rsidRPr="00F372CA">
        <w:t xml:space="preserve"> except for 11 of the 45 </w:t>
      </w:r>
      <w:r w:rsidR="00B52C24" w:rsidRPr="00F372CA">
        <w:t>90</w:t>
      </w:r>
      <w:r w:rsidRPr="00F372CA">
        <w:t>-second spots.</w:t>
      </w:r>
      <w:r w:rsidR="00A97827">
        <w:rPr>
          <w:rStyle w:val="FootnoteReference"/>
        </w:rPr>
        <w:footnoteReference w:id="11"/>
      </w:r>
      <w:r w:rsidR="00BB3457">
        <w:t xml:space="preserve">  </w:t>
      </w:r>
      <w:r w:rsidRPr="00F372CA">
        <w:t>Radio License states that all of these 11 spots referenced “Workers Independent News” and identified the narrator, but did not specifically state that the program matter was sponsored, paid for, or furnished by WIN.</w:t>
      </w:r>
      <w:r w:rsidRPr="00F372CA">
        <w:rPr>
          <w:rStyle w:val="FootnoteReference"/>
        </w:rPr>
        <w:footnoteReference w:id="12"/>
      </w:r>
      <w:r w:rsidRPr="00F372CA">
        <w:t xml:space="preserve">  Despite this omission, </w:t>
      </w:r>
      <w:r w:rsidR="00754B52">
        <w:t xml:space="preserve">in the LOI Response, </w:t>
      </w:r>
      <w:r w:rsidRPr="00F372CA">
        <w:t>Radio License contend</w:t>
      </w:r>
      <w:r w:rsidR="001E6593">
        <w:t>ed</w:t>
      </w:r>
      <w:r w:rsidRPr="00F372CA">
        <w:t xml:space="preserve"> that the announcements satisf</w:t>
      </w:r>
      <w:r w:rsidR="00780F58">
        <w:t>ied</w:t>
      </w:r>
      <w:r w:rsidRPr="00F372CA">
        <w:t xml:space="preserve"> the Commission’s sponsorship identification requirements.</w:t>
      </w:r>
      <w:r w:rsidRPr="00F372CA">
        <w:rPr>
          <w:rStyle w:val="FootnoteReference"/>
        </w:rPr>
        <w:footnoteReference w:id="13"/>
      </w:r>
    </w:p>
    <w:p w:rsidR="001919C6" w:rsidRDefault="00FC395B" w:rsidP="0052326C">
      <w:pPr>
        <w:pStyle w:val="ParaNum"/>
      </w:pPr>
      <w:r>
        <w:t>Radio License provided recordings and transcripts for the announcements at issue.</w:t>
      </w:r>
      <w:r>
        <w:rPr>
          <w:rStyle w:val="FootnoteReference"/>
        </w:rPr>
        <w:footnoteReference w:id="14"/>
      </w:r>
      <w:r w:rsidR="001919C6">
        <w:t xml:space="preserve">  </w:t>
      </w:r>
      <w:r w:rsidR="00FD0FB1">
        <w:t>The 11 announcements at issue were informational program material</w:t>
      </w:r>
      <w:r w:rsidR="00161770">
        <w:t>, each</w:t>
      </w:r>
      <w:r w:rsidR="00FD0FB1">
        <w:t xml:space="preserve"> related to a state legislative issue impacting the local economy of Chicago.  </w:t>
      </w:r>
      <w:r w:rsidR="001919C6">
        <w:t>The transcript of one of these announcements, in its entirety, is as follows:</w:t>
      </w:r>
    </w:p>
    <w:p w:rsidR="001919C6" w:rsidRDefault="001919C6" w:rsidP="0052326C">
      <w:pPr>
        <w:ind w:left="720"/>
      </w:pPr>
      <w:r>
        <w:t>Workers Independent News, I’m Doug Cunningham.  As Federal Economic Stimulus</w:t>
      </w:r>
    </w:p>
    <w:p w:rsidR="001919C6" w:rsidRDefault="001919C6" w:rsidP="0052326C">
      <w:pPr>
        <w:ind w:left="720"/>
      </w:pPr>
      <w:r>
        <w:t>dollars flow to Chicago, State Representative Joe Lyons says it’s more critical than ever</w:t>
      </w:r>
    </w:p>
    <w:p w:rsidR="001919C6" w:rsidRDefault="001919C6" w:rsidP="0052326C">
      <w:pPr>
        <w:ind w:left="720"/>
      </w:pPr>
      <w:r>
        <w:t>that the State put together a capital bill to take maximum advantage of the stimulus to</w:t>
      </w:r>
    </w:p>
    <w:p w:rsidR="001919C6" w:rsidRDefault="001919C6" w:rsidP="0052326C">
      <w:pPr>
        <w:ind w:left="720"/>
      </w:pPr>
      <w:r>
        <w:t>put Chicago back to work.</w:t>
      </w:r>
    </w:p>
    <w:p w:rsidR="001919C6" w:rsidRDefault="001919C6" w:rsidP="0052326C">
      <w:pPr>
        <w:ind w:left="720"/>
      </w:pPr>
    </w:p>
    <w:p w:rsidR="001919C6" w:rsidRDefault="001919C6" w:rsidP="0052326C">
      <w:pPr>
        <w:ind w:left="720"/>
      </w:pPr>
      <w:r>
        <w:t xml:space="preserve">(Joe Lyons quote) “Unfortunately for the past 2 or 3 years, with the situation we’ve had </w:t>
      </w:r>
    </w:p>
    <w:p w:rsidR="001919C6" w:rsidRDefault="001919C6" w:rsidP="0052326C">
      <w:pPr>
        <w:ind w:left="720"/>
      </w:pPr>
      <w:r>
        <w:t>in this state, the time wasn’t right to put a capital bill together.  One of the major issues</w:t>
      </w:r>
    </w:p>
    <w:p w:rsidR="001919C6" w:rsidRDefault="001919C6" w:rsidP="0052326C">
      <w:pPr>
        <w:ind w:left="720"/>
      </w:pPr>
      <w:r>
        <w:t>that we will have to do before we adjourn the general assembly is get a capital bill to tap</w:t>
      </w:r>
    </w:p>
    <w:p w:rsidR="001919C6" w:rsidRDefault="001919C6" w:rsidP="0052326C">
      <w:pPr>
        <w:ind w:left="720"/>
      </w:pPr>
      <w:r>
        <w:t>into some of that [f]ederal [m]oney that can make putting (mumbled word – at :39 of the</w:t>
      </w:r>
    </w:p>
    <w:p w:rsidR="001919C6" w:rsidRDefault="001919C6" w:rsidP="0052326C">
      <w:pPr>
        <w:ind w:left="720"/>
      </w:pPr>
      <w:r>
        <w:t>clip) people to work and getting good jobs to people here in Illinois all the easier.”</w:t>
      </w:r>
    </w:p>
    <w:p w:rsidR="001919C6" w:rsidRDefault="001919C6" w:rsidP="0052326C">
      <w:pPr>
        <w:ind w:left="720"/>
      </w:pPr>
    </w:p>
    <w:p w:rsidR="001919C6" w:rsidRDefault="001919C6" w:rsidP="0052326C">
      <w:pPr>
        <w:ind w:left="720"/>
      </w:pPr>
      <w:r>
        <w:t xml:space="preserve">Lyons says securing funding for the capital bill will allow projects to be bonded out, </w:t>
      </w:r>
    </w:p>
    <w:p w:rsidR="001919C6" w:rsidRDefault="001919C6" w:rsidP="0052326C">
      <w:pPr>
        <w:ind w:left="720"/>
      </w:pPr>
      <w:r>
        <w:t>improving not only employment and the economy, but Chicago’s infrastructure as well.</w:t>
      </w:r>
    </w:p>
    <w:p w:rsidR="001919C6" w:rsidRDefault="001919C6" w:rsidP="0052326C">
      <w:pPr>
        <w:ind w:left="720"/>
      </w:pPr>
    </w:p>
    <w:p w:rsidR="001919C6" w:rsidRDefault="001919C6" w:rsidP="0052326C">
      <w:pPr>
        <w:ind w:left="720"/>
      </w:pPr>
      <w:r>
        <w:t xml:space="preserve">(Joe Lyons quote) “Ask anybody in Chicago about the crumbling street situation.  Ask </w:t>
      </w:r>
    </w:p>
    <w:p w:rsidR="001919C6" w:rsidRDefault="001919C6" w:rsidP="0052326C">
      <w:pPr>
        <w:ind w:left="720"/>
      </w:pPr>
      <w:r>
        <w:t>anybody who’s been waiting for a school addition or new windows or some project that’s</w:t>
      </w:r>
    </w:p>
    <w:p w:rsidR="001919C6" w:rsidRDefault="001919C6" w:rsidP="0052326C">
      <w:pPr>
        <w:ind w:left="720"/>
      </w:pPr>
      <w:r>
        <w:t>being done for education, ask anybody who’s been for any kind of a capital project across</w:t>
      </w:r>
    </w:p>
    <w:p w:rsidR="001919C6" w:rsidRDefault="001919C6" w:rsidP="0052326C">
      <w:pPr>
        <w:ind w:left="720"/>
      </w:pPr>
      <w:r>
        <w:t>the state, we have not had that umph that we need to kick-start this whole thing and there’s</w:t>
      </w:r>
    </w:p>
    <w:p w:rsidR="001919C6" w:rsidRDefault="001919C6" w:rsidP="0052326C">
      <w:pPr>
        <w:ind w:left="720"/>
      </w:pPr>
      <w:r>
        <w:t>going to be federal matching funds on the transportation end of it to get this done for CTA</w:t>
      </w:r>
    </w:p>
    <w:p w:rsidR="001919C6" w:rsidRDefault="001919C6" w:rsidP="0052326C">
      <w:pPr>
        <w:ind w:left="720"/>
      </w:pPr>
      <w:r>
        <w:t>or RTA.[”]</w:t>
      </w:r>
    </w:p>
    <w:p w:rsidR="001919C6" w:rsidRDefault="001919C6" w:rsidP="0052326C">
      <w:pPr>
        <w:ind w:left="720"/>
      </w:pPr>
    </w:p>
    <w:p w:rsidR="001919C6" w:rsidRDefault="001919C6" w:rsidP="0052326C">
      <w:pPr>
        <w:ind w:left="720"/>
      </w:pPr>
      <w:r>
        <w:t>The capital bill could make Olympics infrastructure preparation easier, should Chicago land</w:t>
      </w:r>
    </w:p>
    <w:p w:rsidR="001919C6" w:rsidRDefault="001919C6" w:rsidP="0052326C">
      <w:pPr>
        <w:ind w:left="720"/>
      </w:pPr>
      <w:r>
        <w:t>the 2016 Olympic Games.  As Illinois Director of Veteran’s Affairs, Dan Grant, says as construction projects ramp up, existing [s]tate programs to help veterans can be used in</w:t>
      </w:r>
    </w:p>
    <w:p w:rsidR="001919C6" w:rsidRDefault="001919C6" w:rsidP="0052326C">
      <w:pPr>
        <w:ind w:left="720"/>
      </w:pPr>
      <w:r>
        <w:t>combination with them to multiply job opportunities for veterans.</w:t>
      </w:r>
    </w:p>
    <w:p w:rsidR="001919C6" w:rsidRDefault="001919C6" w:rsidP="0052326C">
      <w:pPr>
        <w:ind w:left="720"/>
      </w:pPr>
    </w:p>
    <w:p w:rsidR="001919C6" w:rsidRDefault="001919C6" w:rsidP="0052326C">
      <w:pPr>
        <w:ind w:left="720"/>
      </w:pPr>
      <w:r>
        <w:t>(Dan Grant quote) “For example, a tax credit for employers who hire veterans, we have</w:t>
      </w:r>
    </w:p>
    <w:p w:rsidR="001919C6" w:rsidRDefault="001919C6" w:rsidP="0052326C">
      <w:pPr>
        <w:ind w:left="720"/>
      </w:pPr>
      <w:r>
        <w:t>veterans employment preference for [s]tate jobs.”</w:t>
      </w:r>
    </w:p>
    <w:p w:rsidR="001919C6" w:rsidRDefault="001919C6" w:rsidP="00B63533">
      <w:pPr>
        <w:pStyle w:val="ParaNum"/>
        <w:widowControl/>
        <w:numPr>
          <w:ilvl w:val="0"/>
          <w:numId w:val="0"/>
        </w:numPr>
        <w:spacing w:after="0"/>
        <w:ind w:firstLine="720"/>
      </w:pPr>
    </w:p>
    <w:p w:rsidR="000E4E44" w:rsidRPr="00F372CA" w:rsidRDefault="001919C6" w:rsidP="0052326C">
      <w:pPr>
        <w:ind w:left="720"/>
      </w:pPr>
      <w:r>
        <w:lastRenderedPageBreak/>
        <w:t>Doug Cunningham, Workers Independent News.</w:t>
      </w:r>
      <w:r>
        <w:rPr>
          <w:rStyle w:val="FootnoteReference"/>
        </w:rPr>
        <w:footnoteReference w:id="15"/>
      </w:r>
      <w:r w:rsidR="00FC395B">
        <w:t xml:space="preserve"> </w:t>
      </w:r>
    </w:p>
    <w:p w:rsidR="004F22D8" w:rsidRPr="00F372CA" w:rsidRDefault="004F22D8" w:rsidP="0052326C">
      <w:pPr>
        <w:pStyle w:val="ParaNum"/>
      </w:pPr>
      <w:r w:rsidRPr="00F372CA">
        <w:t xml:space="preserve">On </w:t>
      </w:r>
      <w:r w:rsidR="00C128B2" w:rsidRPr="00F372CA">
        <w:t>February 3, 2012</w:t>
      </w:r>
      <w:r w:rsidRPr="00F372CA">
        <w:t xml:space="preserve">, the Commission released a </w:t>
      </w:r>
      <w:r w:rsidRPr="00F372CA">
        <w:rPr>
          <w:i/>
        </w:rPr>
        <w:t>Notice of Apparent Liability for Forfeiture</w:t>
      </w:r>
      <w:r w:rsidR="00AA6948" w:rsidRPr="00F372CA">
        <w:t xml:space="preserve"> (</w:t>
      </w:r>
      <w:r w:rsidRPr="00F372CA">
        <w:rPr>
          <w:i/>
        </w:rPr>
        <w:t>NAL</w:t>
      </w:r>
      <w:r w:rsidRPr="00F372CA">
        <w:t>).</w:t>
      </w:r>
      <w:r w:rsidRPr="00F372CA">
        <w:rPr>
          <w:rStyle w:val="FootnoteReference"/>
        </w:rPr>
        <w:footnoteReference w:id="16"/>
      </w:r>
      <w:r w:rsidRPr="00F372CA">
        <w:t xml:space="preserve">  In the </w:t>
      </w:r>
      <w:r w:rsidRPr="00F372CA">
        <w:rPr>
          <w:i/>
        </w:rPr>
        <w:t>NAL</w:t>
      </w:r>
      <w:r w:rsidRPr="00F372CA">
        <w:t xml:space="preserve">, </w:t>
      </w:r>
      <w:r w:rsidR="00E26B57">
        <w:t>the Commission</w:t>
      </w:r>
      <w:r w:rsidRPr="00F372CA">
        <w:t xml:space="preserve"> found that </w:t>
      </w:r>
      <w:r w:rsidR="00C128B2" w:rsidRPr="00F372CA">
        <w:t>Radio License</w:t>
      </w:r>
      <w:r w:rsidRPr="00F372CA">
        <w:t xml:space="preserve"> had failed to air required sponsorship identification announcements, in apparent </w:t>
      </w:r>
      <w:r w:rsidR="00161770">
        <w:t xml:space="preserve">willful </w:t>
      </w:r>
      <w:r w:rsidRPr="00F372CA">
        <w:t xml:space="preserve">violation of the sponsorship identification laws and </w:t>
      </w:r>
      <w:r w:rsidR="00FE5A53" w:rsidRPr="00F372CA">
        <w:t xml:space="preserve">Commission’s </w:t>
      </w:r>
      <w:r w:rsidRPr="00F372CA">
        <w:t>rules, 47 U.S.C. § 317(a)(1) and 47 C.F.R. § 73.1212.</w:t>
      </w:r>
      <w:r w:rsidRPr="00F372CA">
        <w:rPr>
          <w:rStyle w:val="FootnoteReference"/>
        </w:rPr>
        <w:footnoteReference w:id="17"/>
      </w:r>
      <w:r w:rsidRPr="00F372CA">
        <w:t xml:space="preserve">  Specifically, </w:t>
      </w:r>
      <w:r w:rsidR="00E26B57">
        <w:t>the Commission</w:t>
      </w:r>
      <w:r w:rsidRPr="00F372CA">
        <w:t xml:space="preserve"> found that </w:t>
      </w:r>
      <w:r w:rsidR="00297D18" w:rsidRPr="00F372CA">
        <w:t>Radio License</w:t>
      </w:r>
      <w:r w:rsidRPr="00F372CA">
        <w:t xml:space="preserve"> aired </w:t>
      </w:r>
      <w:r w:rsidR="00D37CAB" w:rsidRPr="00F372CA">
        <w:t>11</w:t>
      </w:r>
      <w:r w:rsidRPr="00F372CA">
        <w:t xml:space="preserve"> </w:t>
      </w:r>
      <w:r w:rsidR="00297D18" w:rsidRPr="00F372CA">
        <w:t>promotional announcements</w:t>
      </w:r>
      <w:r w:rsidRPr="00F372CA">
        <w:t xml:space="preserve"> </w:t>
      </w:r>
      <w:r w:rsidR="00953E15" w:rsidRPr="00F372CA">
        <w:t>during the period between March 18</w:t>
      </w:r>
      <w:r w:rsidR="000E5669">
        <w:t xml:space="preserve"> </w:t>
      </w:r>
      <w:r w:rsidR="00953E15" w:rsidRPr="00F372CA">
        <w:t>and May 30, 2009</w:t>
      </w:r>
      <w:r w:rsidRPr="00F372CA">
        <w:t xml:space="preserve">, </w:t>
      </w:r>
      <w:r w:rsidR="003A168D" w:rsidRPr="00F372CA">
        <w:t>in return for consideration or the promise of consideration provided by WIN</w:t>
      </w:r>
      <w:r w:rsidRPr="00F372CA">
        <w:t>, without airing required sponsorship identification announcements.</w:t>
      </w:r>
      <w:r w:rsidRPr="00F372CA">
        <w:rPr>
          <w:rStyle w:val="FootnoteReference"/>
        </w:rPr>
        <w:footnoteReference w:id="18"/>
      </w:r>
      <w:r w:rsidR="00510CC9" w:rsidRPr="00F372CA">
        <w:t xml:space="preserve">  </w:t>
      </w:r>
      <w:r w:rsidRPr="00F372CA">
        <w:t>Accordingly,</w:t>
      </w:r>
      <w:r w:rsidR="00C128B2" w:rsidRPr="00F372CA">
        <w:t xml:space="preserve"> </w:t>
      </w:r>
      <w:r w:rsidR="002170F3">
        <w:t>the Commission</w:t>
      </w:r>
      <w:r w:rsidR="00C128B2" w:rsidRPr="00F372CA">
        <w:t xml:space="preserve"> proposed a forfeiture of </w:t>
      </w:r>
      <w:r w:rsidR="00A37672" w:rsidRPr="00F372CA">
        <w:t>forty</w:t>
      </w:r>
      <w:r w:rsidR="00CA00F1">
        <w:t>-</w:t>
      </w:r>
      <w:r w:rsidR="00A37672" w:rsidRPr="00F372CA">
        <w:t>four thousand dollars (</w:t>
      </w:r>
      <w:r w:rsidR="00C128B2" w:rsidRPr="00F372CA">
        <w:t>$44</w:t>
      </w:r>
      <w:r w:rsidRPr="00F372CA">
        <w:t>,000</w:t>
      </w:r>
      <w:r w:rsidR="00A37672" w:rsidRPr="00F372CA">
        <w:t>)</w:t>
      </w:r>
      <w:r w:rsidRPr="00F372CA">
        <w:t xml:space="preserve"> against </w:t>
      </w:r>
      <w:r w:rsidR="00C128B2" w:rsidRPr="00F372CA">
        <w:t>Radio License</w:t>
      </w:r>
      <w:r w:rsidRPr="00F372CA">
        <w:t>.</w:t>
      </w:r>
      <w:r w:rsidRPr="00F372CA">
        <w:rPr>
          <w:rStyle w:val="FootnoteReference"/>
        </w:rPr>
        <w:footnoteReference w:id="19"/>
      </w:r>
      <w:r w:rsidRPr="00F372CA">
        <w:t xml:space="preserve"> </w:t>
      </w:r>
    </w:p>
    <w:p w:rsidR="004F22D8" w:rsidRDefault="004F22D8" w:rsidP="0052326C">
      <w:pPr>
        <w:pStyle w:val="ParaNum"/>
      </w:pPr>
      <w:r w:rsidRPr="00F372CA">
        <w:t xml:space="preserve">On </w:t>
      </w:r>
      <w:r w:rsidR="005163A3" w:rsidRPr="00F372CA">
        <w:t>March 5, 2012</w:t>
      </w:r>
      <w:r w:rsidRPr="00F372CA">
        <w:t xml:space="preserve">, </w:t>
      </w:r>
      <w:r w:rsidR="005163A3" w:rsidRPr="00F372CA">
        <w:t>Radio License</w:t>
      </w:r>
      <w:r w:rsidRPr="00F372CA">
        <w:t xml:space="preserve"> responded to the </w:t>
      </w:r>
      <w:r w:rsidRPr="00F372CA">
        <w:rPr>
          <w:i/>
        </w:rPr>
        <w:t>NAL</w:t>
      </w:r>
      <w:r w:rsidRPr="00F372CA">
        <w:t xml:space="preserve">, requesting </w:t>
      </w:r>
      <w:r w:rsidR="00161770">
        <w:t xml:space="preserve">that </w:t>
      </w:r>
      <w:r w:rsidRPr="00F372CA">
        <w:t xml:space="preserve">the forfeiture </w:t>
      </w:r>
      <w:r w:rsidR="00161770">
        <w:t xml:space="preserve">amount </w:t>
      </w:r>
      <w:r w:rsidRPr="00F372CA">
        <w:t>be reduced</w:t>
      </w:r>
      <w:r w:rsidR="00CA00F1">
        <w:t xml:space="preserve"> to </w:t>
      </w:r>
      <w:r w:rsidR="003154D3">
        <w:t>four thousand dollars (</w:t>
      </w:r>
      <w:r w:rsidR="00CA00F1">
        <w:t>$4,000</w:t>
      </w:r>
      <w:r w:rsidR="003154D3">
        <w:t>)</w:t>
      </w:r>
      <w:r w:rsidRPr="00F372CA">
        <w:t>.</w:t>
      </w:r>
      <w:r w:rsidRPr="00F372CA">
        <w:rPr>
          <w:rStyle w:val="FootnoteReference"/>
        </w:rPr>
        <w:footnoteReference w:id="20"/>
      </w:r>
      <w:r w:rsidR="00892D2B" w:rsidRPr="00F372CA">
        <w:t xml:space="preserve">  </w:t>
      </w:r>
      <w:r w:rsidR="00945560" w:rsidRPr="00F372CA">
        <w:t xml:space="preserve">Radio License </w:t>
      </w:r>
      <w:r w:rsidR="00CA00F1">
        <w:t xml:space="preserve">asserts </w:t>
      </w:r>
      <w:r w:rsidR="00945560" w:rsidRPr="00F372CA">
        <w:t xml:space="preserve">that the Commission failed to follow the statutory </w:t>
      </w:r>
      <w:r w:rsidR="004E7201">
        <w:t xml:space="preserve">forfeiture </w:t>
      </w:r>
      <w:r w:rsidR="00945560" w:rsidRPr="00F372CA">
        <w:t xml:space="preserve">criteria set forth in Section 503(b)(2)(E) of the Act or the </w:t>
      </w:r>
      <w:r w:rsidR="004E7201">
        <w:t xml:space="preserve">forfeiture </w:t>
      </w:r>
      <w:r w:rsidR="00945560" w:rsidRPr="00F372CA">
        <w:t>criteria set forth in Section 1.80</w:t>
      </w:r>
      <w:r w:rsidR="00FB0A6F" w:rsidRPr="00F372CA">
        <w:t>(b) of the Commission’s rules</w:t>
      </w:r>
      <w:r w:rsidR="004E7201">
        <w:t>,</w:t>
      </w:r>
      <w:r w:rsidR="00945560" w:rsidRPr="00F372CA">
        <w:t xml:space="preserve"> but instead “mechanically applied” the base </w:t>
      </w:r>
      <w:r w:rsidR="004E7201">
        <w:t xml:space="preserve">sponsorship identification </w:t>
      </w:r>
      <w:r w:rsidR="00161770">
        <w:t xml:space="preserve">rule violation </w:t>
      </w:r>
      <w:r w:rsidR="00945560" w:rsidRPr="00F372CA">
        <w:t xml:space="preserve">forfeiture to each of the </w:t>
      </w:r>
      <w:r w:rsidR="00C20F57" w:rsidRPr="00F372CA">
        <w:t>11</w:t>
      </w:r>
      <w:r w:rsidR="00945560" w:rsidRPr="00F372CA">
        <w:t xml:space="preserve"> announcements</w:t>
      </w:r>
      <w:r w:rsidR="00CA00F1">
        <w:t xml:space="preserve"> at issue here</w:t>
      </w:r>
      <w:r w:rsidR="00945560" w:rsidRPr="00F372CA">
        <w:t>.</w:t>
      </w:r>
      <w:r w:rsidR="0067348A" w:rsidRPr="00F372CA">
        <w:rPr>
          <w:rStyle w:val="FootnoteReference"/>
        </w:rPr>
        <w:footnoteReference w:id="21"/>
      </w:r>
      <w:r w:rsidR="00945560" w:rsidRPr="00F372CA">
        <w:t xml:space="preserve">  </w:t>
      </w:r>
      <w:r w:rsidR="00CA00F1" w:rsidRPr="00F372CA">
        <w:t xml:space="preserve">Radio License argues that </w:t>
      </w:r>
      <w:r w:rsidR="00CA00F1">
        <w:t>in previous cases,</w:t>
      </w:r>
      <w:r w:rsidR="00CA00F1" w:rsidRPr="00F372CA">
        <w:t xml:space="preserve"> the Commission has refrained from imposing a forfeiture that might have otherwise been justified if it simply multiplied the base forfeiture amount by the number of instances in which a violation occurred.</w:t>
      </w:r>
      <w:r w:rsidR="00CA00F1" w:rsidRPr="00F372CA">
        <w:rPr>
          <w:rStyle w:val="FootnoteReference"/>
        </w:rPr>
        <w:footnoteReference w:id="22"/>
      </w:r>
      <w:r w:rsidR="00CA00F1" w:rsidRPr="00F372CA">
        <w:t xml:space="preserve">  </w:t>
      </w:r>
      <w:r w:rsidR="008F2FFD" w:rsidRPr="00F372CA">
        <w:t xml:space="preserve">Radio License </w:t>
      </w:r>
      <w:r w:rsidR="00CA00F1">
        <w:t xml:space="preserve">submits that in this instance, the Commission should reduce the forfeiture due to </w:t>
      </w:r>
      <w:r w:rsidR="00161770">
        <w:t xml:space="preserve">Radio License’s </w:t>
      </w:r>
      <w:r w:rsidR="00CA00F1">
        <w:t>inadvertent employee error, which it states caused the conduct,</w:t>
      </w:r>
      <w:r w:rsidR="00675A22">
        <w:rPr>
          <w:rStyle w:val="FootnoteReference"/>
        </w:rPr>
        <w:footnoteReference w:id="23"/>
      </w:r>
      <w:r w:rsidR="00CA00F1">
        <w:t xml:space="preserve"> and Radio License’s </w:t>
      </w:r>
      <w:r w:rsidR="005502A7">
        <w:t>actions</w:t>
      </w:r>
      <w:r w:rsidR="00CA00F1">
        <w:t xml:space="preserve"> after the conduct, which it </w:t>
      </w:r>
      <w:r w:rsidR="00675A22">
        <w:t xml:space="preserve">maintains </w:t>
      </w:r>
      <w:r w:rsidR="00CA00F1">
        <w:t>constitute corrective measures.</w:t>
      </w:r>
      <w:r w:rsidR="00675A22">
        <w:rPr>
          <w:rStyle w:val="FootnoteReference"/>
        </w:rPr>
        <w:footnoteReference w:id="24"/>
      </w:r>
      <w:r w:rsidR="00CA00F1">
        <w:t xml:space="preserve">  </w:t>
      </w:r>
    </w:p>
    <w:p w:rsidR="004F22D8" w:rsidRPr="00F372CA" w:rsidRDefault="004F22D8" w:rsidP="0052326C">
      <w:pPr>
        <w:pStyle w:val="Heading1"/>
      </w:pPr>
      <w:r w:rsidRPr="00F372CA">
        <w:t>DISCUSSION</w:t>
      </w:r>
    </w:p>
    <w:p w:rsidR="004F22D8" w:rsidRDefault="004F22D8" w:rsidP="0052326C">
      <w:pPr>
        <w:pStyle w:val="ParaNum"/>
      </w:pPr>
      <w:r w:rsidRPr="00F372CA">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F372CA">
        <w:rPr>
          <w:rStyle w:val="FootnoteReference"/>
        </w:rPr>
        <w:footnoteReference w:id="25"/>
      </w:r>
      <w:r w:rsidRPr="00F372CA">
        <w:t xml:space="preserve">  Section 312(f)(1) of the Act defines willful as “the conscious and deliberate commission or omission of [any] act, irrespective of any intent to violate” the law.</w:t>
      </w:r>
      <w:r w:rsidRPr="00F372CA">
        <w:rPr>
          <w:rStyle w:val="FootnoteReference"/>
        </w:rPr>
        <w:footnoteReference w:id="26"/>
      </w:r>
      <w:r w:rsidRPr="00F372CA">
        <w:t xml:space="preserve">  The legislative history to Section 312(f)(1) of the Act clarifies that this definition of willful applies to both Sections 312 and 503(b) of the Act</w:t>
      </w:r>
      <w:r w:rsidRPr="00F372CA">
        <w:rPr>
          <w:rStyle w:val="FootnoteReference"/>
        </w:rPr>
        <w:footnoteReference w:id="27"/>
      </w:r>
      <w:r w:rsidRPr="00F372CA">
        <w:t xml:space="preserve"> and the Commission has so interpreted the term in the Section 503(b) context.</w:t>
      </w:r>
      <w:r w:rsidRPr="00F372CA">
        <w:rPr>
          <w:rStyle w:val="FootnoteReference"/>
        </w:rPr>
        <w:footnoteReference w:id="28"/>
      </w:r>
      <w:r w:rsidRPr="00F372CA">
        <w:t xml:space="preserve">  The Commission may also assess a forfeiture for violations that are merely repeated, and not willful.</w:t>
      </w:r>
      <w:r w:rsidRPr="00F372CA">
        <w:rPr>
          <w:rStyle w:val="FootnoteReference"/>
        </w:rPr>
        <w:footnoteReference w:id="29"/>
      </w:r>
      <w:r w:rsidRPr="00F372CA">
        <w:t xml:space="preserve"> </w:t>
      </w:r>
      <w:r w:rsidRPr="00F372CA">
        <w:rPr>
          <w:i/>
        </w:rPr>
        <w:t xml:space="preserve"> </w:t>
      </w:r>
      <w:r w:rsidRPr="00F372CA">
        <w:t>“Repeated” means that the act was committed or omitted more than once, or lasts more than one day.</w:t>
      </w:r>
      <w:r w:rsidRPr="00F372CA">
        <w:rPr>
          <w:rStyle w:val="FootnoteReference"/>
        </w:rPr>
        <w:footnoteReference w:id="30"/>
      </w:r>
      <w:r w:rsidRPr="00F372CA">
        <w:t xml:space="preserve">  To impose such a forfeiture penalty, the Commission must issue a notice of apparent liability and the person against whom the notice has been issued must have an opportunity to show, in writing, why no such forfeiture penalty should be imposed.</w:t>
      </w:r>
      <w:r w:rsidRPr="00F372CA">
        <w:rPr>
          <w:rStyle w:val="FootnoteReference"/>
        </w:rPr>
        <w:footnoteReference w:id="31"/>
      </w:r>
      <w:r w:rsidRPr="00F372CA">
        <w:t xml:space="preserve">  The Commission will then issue a forfeiture if it finds by a preponderance of the evidence that the person has </w:t>
      </w:r>
      <w:r w:rsidR="005502A7">
        <w:t xml:space="preserve">willfully or repeatedly </w:t>
      </w:r>
      <w:r w:rsidRPr="00F372CA">
        <w:t>violated the Act or a Commission rule.</w:t>
      </w:r>
      <w:r w:rsidRPr="00F372CA">
        <w:rPr>
          <w:rStyle w:val="FootnoteReference"/>
        </w:rPr>
        <w:footnoteReference w:id="32"/>
      </w:r>
      <w:r w:rsidRPr="00F372CA">
        <w:t xml:space="preserve"> </w:t>
      </w:r>
    </w:p>
    <w:p w:rsidR="004F22D8" w:rsidRPr="004D7C2B" w:rsidRDefault="009211CE" w:rsidP="0052326C">
      <w:pPr>
        <w:pStyle w:val="Heading2"/>
      </w:pPr>
      <w:r w:rsidRPr="004D7C2B">
        <w:t>Radio License Violated the Sponsorship Identification Laws.</w:t>
      </w:r>
    </w:p>
    <w:p w:rsidR="002931C2" w:rsidRPr="002931C2" w:rsidRDefault="002931C2" w:rsidP="0052326C">
      <w:pPr>
        <w:pStyle w:val="ParaNum"/>
      </w:pPr>
      <w:r w:rsidRPr="002931C2">
        <w:t>Se</w:t>
      </w:r>
      <w:r>
        <w:t>ction 317(a)(1) of the Act and S</w:t>
      </w:r>
      <w:r w:rsidRPr="002931C2">
        <w:t xml:space="preserve">ection 73.1212(a) of the Commission’s rules require stations to broadcast an announcement </w:t>
      </w:r>
      <w:r w:rsidR="00981BA6">
        <w:t>if</w:t>
      </w:r>
      <w:r w:rsidRPr="002931C2">
        <w:t xml:space="preserve"> </w:t>
      </w:r>
      <w:r w:rsidR="00981BA6">
        <w:t>content is aired</w:t>
      </w:r>
      <w:r w:rsidRPr="002931C2">
        <w:t xml:space="preserve"> in exchange for valuable consideration “directly or indirectly paid</w:t>
      </w:r>
      <w:r w:rsidR="005502A7">
        <w:t>,</w:t>
      </w:r>
      <w:r w:rsidRPr="002931C2">
        <w:t xml:space="preserve"> or promised to or charged or accepted by, the station so broadcasting” at the time the material is aired.</w:t>
      </w:r>
      <w:r w:rsidRPr="002931C2">
        <w:rPr>
          <w:vertAlign w:val="superscript"/>
        </w:rPr>
        <w:footnoteReference w:id="33"/>
      </w:r>
      <w:r>
        <w:t xml:space="preserve">  Specifically, S</w:t>
      </w:r>
      <w:r w:rsidRPr="002931C2">
        <w:t>ection 317(a)(1) provides:</w:t>
      </w:r>
    </w:p>
    <w:p w:rsidR="002931C2" w:rsidRPr="002931C2" w:rsidRDefault="002931C2" w:rsidP="0052326C">
      <w:pPr>
        <w:ind w:left="720"/>
      </w:pPr>
      <w:r w:rsidRPr="002931C2">
        <w:t>All matter broadcast by any radio station for which any money, service or other valuable consideration is directly or indirectly paid, or promised to or charged or accepted by, the station so broadcasting, from any person, shall, at the time the same</w:t>
      </w:r>
      <w:r w:rsidR="0052326C">
        <w:t xml:space="preserve"> </w:t>
      </w:r>
      <w:r w:rsidRPr="002931C2">
        <w:t>is so broadcast, be announced as paid for or furnishe</w:t>
      </w:r>
      <w:r>
        <w:t xml:space="preserve">d, as the case may be, by such </w:t>
      </w:r>
      <w:r w:rsidRPr="002931C2">
        <w:t xml:space="preserve">person:  </w:t>
      </w:r>
      <w:r w:rsidRPr="002931C2">
        <w:rPr>
          <w:i/>
        </w:rPr>
        <w:t>Provided</w:t>
      </w:r>
      <w:r w:rsidRPr="002931C2">
        <w:t>, That “service or other valuable consideration” shall not include any service or property furnished without charge or at nominal charge for use on, or in connection with, a broadcast unless it is so furnished in consideration for an identification in a broadcast of any person, product, service, trademark, or brand name beyond an identification which is reasonably related to the use of such service or property on the broadcast.</w:t>
      </w:r>
      <w:r w:rsidRPr="002931C2">
        <w:rPr>
          <w:vertAlign w:val="superscript"/>
        </w:rPr>
        <w:footnoteReference w:id="34"/>
      </w:r>
      <w:r w:rsidRPr="002931C2">
        <w:t xml:space="preserve"> </w:t>
      </w:r>
    </w:p>
    <w:p w:rsidR="002931C2" w:rsidRDefault="002931C2" w:rsidP="0052326C">
      <w:pPr>
        <w:ind w:left="90"/>
      </w:pPr>
    </w:p>
    <w:p w:rsidR="002931C2" w:rsidRPr="002931C2" w:rsidRDefault="002931C2" w:rsidP="0052326C">
      <w:r w:rsidRPr="002931C2">
        <w:t>Section 73.1212(a) of the Commis</w:t>
      </w:r>
      <w:r>
        <w:t>sion’s rules, which implements S</w:t>
      </w:r>
      <w:r w:rsidRPr="002931C2">
        <w:t>ection 317(a)(1) of the Act, further provides:</w:t>
      </w:r>
    </w:p>
    <w:p w:rsidR="002931C2" w:rsidRDefault="002931C2" w:rsidP="00B63533">
      <w:pPr>
        <w:pStyle w:val="ParaNum"/>
        <w:widowControl/>
        <w:numPr>
          <w:ilvl w:val="0"/>
          <w:numId w:val="0"/>
        </w:numPr>
        <w:spacing w:after="0"/>
        <w:ind w:left="720"/>
      </w:pPr>
    </w:p>
    <w:p w:rsidR="002931C2" w:rsidRDefault="002931C2" w:rsidP="0052326C">
      <w:pPr>
        <w:ind w:left="720"/>
      </w:pPr>
      <w:r w:rsidRPr="002931C2">
        <w:t xml:space="preserve">When a broadcast station transmits any matter for which money, service, or other valuable consideration is either directly or indirectly paid or promised to, or charged or accepted by such station, the station, at the time of the broadcast, shall announce:                </w:t>
      </w:r>
    </w:p>
    <w:p w:rsidR="002931C2" w:rsidRDefault="002931C2" w:rsidP="0052326C">
      <w:pPr>
        <w:ind w:left="720"/>
      </w:pPr>
    </w:p>
    <w:p w:rsidR="002931C2" w:rsidRDefault="002931C2" w:rsidP="0052326C">
      <w:pPr>
        <w:ind w:left="720"/>
      </w:pPr>
      <w:r>
        <w:t xml:space="preserve">(1)  </w:t>
      </w:r>
      <w:r w:rsidRPr="002931C2">
        <w:t>That such matter is sponsored, paid for, or furnished, either in whole or in part, and</w:t>
      </w:r>
    </w:p>
    <w:p w:rsidR="00205028" w:rsidRDefault="002931C2" w:rsidP="0052326C">
      <w:pPr>
        <w:ind w:left="720"/>
      </w:pPr>
      <w:r>
        <w:t xml:space="preserve">(2)  </w:t>
      </w:r>
      <w:r w:rsidRPr="002931C2">
        <w:t xml:space="preserve">By whom or on whose behalf such consideration was supplied:  </w:t>
      </w:r>
      <w:r w:rsidRPr="002931C2">
        <w:rPr>
          <w:i/>
        </w:rPr>
        <w:t>Provided, however</w:t>
      </w:r>
      <w:r w:rsidR="00987D4B">
        <w:t>,</w:t>
      </w:r>
      <w:r w:rsidRPr="002931C2">
        <w:rPr>
          <w:i/>
        </w:rPr>
        <w:t xml:space="preserve"> </w:t>
      </w:r>
      <w:r w:rsidRPr="002931C2">
        <w:t xml:space="preserve">That “service or other valuable consideration” shall not include any service or property furnished </w:t>
      </w:r>
      <w:r w:rsidR="00987D4B">
        <w:t xml:space="preserve">either </w:t>
      </w:r>
      <w:r w:rsidRPr="002931C2">
        <w:t>without or at a nominal charge for use on, or in connection with, a broadcast unless it is so furnished in consideration for an identification of any person, product, service, trademark, or brand name beyond an identification reasonably related to the use of such service or property on the broadcast.</w:t>
      </w:r>
      <w:r w:rsidRPr="002931C2">
        <w:rPr>
          <w:vertAlign w:val="superscript"/>
        </w:rPr>
        <w:footnoteReference w:id="35"/>
      </w:r>
    </w:p>
    <w:p w:rsidR="002931C2" w:rsidRDefault="002931C2" w:rsidP="0052326C">
      <w:pPr>
        <w:pStyle w:val="ParaNum"/>
      </w:pPr>
      <w:r>
        <w:t xml:space="preserve">The Commission has explained that the sponsorship identification rules are “grounded in the principle that listeners and viewers are entitled to know who seeks to persuade </w:t>
      </w:r>
      <w:r w:rsidR="00987D4B">
        <w:t>them. . . .</w:t>
      </w:r>
      <w:r>
        <w:t>”</w:t>
      </w:r>
      <w:r>
        <w:rPr>
          <w:rStyle w:val="FootnoteReference"/>
        </w:rPr>
        <w:footnoteReference w:id="36"/>
      </w:r>
      <w:r>
        <w:t xml:space="preserve">  The disclosures required by the sponsorship identification rules provide listeners and viewers with information concerning the source of material in order to prevent misleading or deceiving those listeners and viewers.</w:t>
      </w:r>
      <w:r>
        <w:rPr>
          <w:rStyle w:val="FootnoteReference"/>
        </w:rPr>
        <w:footnoteReference w:id="37"/>
      </w:r>
    </w:p>
    <w:p w:rsidR="004F22D8" w:rsidRDefault="00A3746E" w:rsidP="0052326C">
      <w:pPr>
        <w:pStyle w:val="ParaNum"/>
      </w:pPr>
      <w:r>
        <w:t>In its NAL Response</w:t>
      </w:r>
      <w:r w:rsidR="009211CE">
        <w:t xml:space="preserve">, </w:t>
      </w:r>
      <w:r w:rsidR="00587170" w:rsidRPr="00F372CA">
        <w:t>Radio License</w:t>
      </w:r>
      <w:r w:rsidR="004F22D8" w:rsidRPr="00F372CA">
        <w:t xml:space="preserve"> does not deny that it violated the Commission’s rules, and we find by a preponderance of the evidence that </w:t>
      </w:r>
      <w:r w:rsidR="00854D46" w:rsidRPr="00F372CA">
        <w:t>Radio License</w:t>
      </w:r>
      <w:r w:rsidR="004F22D8" w:rsidRPr="00F372CA">
        <w:t xml:space="preserve"> willfully and repeatedly engaged in the violations described in the </w:t>
      </w:r>
      <w:r w:rsidR="004F22D8" w:rsidRPr="000F5B60">
        <w:rPr>
          <w:i/>
        </w:rPr>
        <w:t>NAL</w:t>
      </w:r>
      <w:r w:rsidR="004F22D8" w:rsidRPr="00F372CA">
        <w:t xml:space="preserve">.  More specifically, we find that </w:t>
      </w:r>
      <w:r w:rsidR="00587170" w:rsidRPr="00F372CA">
        <w:t>Radio License</w:t>
      </w:r>
      <w:r w:rsidR="004F22D8" w:rsidRPr="00F372CA">
        <w:t xml:space="preserve"> willfully and repeatedly violated Section 317(a)(1) of the Act and Section 73.1212(a) of the Commission’s rules by failing to air required sponsorship identification announcements</w:t>
      </w:r>
      <w:r w:rsidR="00DB4422">
        <w:t xml:space="preserve"> on 11 separate occasions identified in the </w:t>
      </w:r>
      <w:r w:rsidR="00DB4422" w:rsidRPr="00DB4422">
        <w:rPr>
          <w:i/>
        </w:rPr>
        <w:t>NAL</w:t>
      </w:r>
      <w:r w:rsidR="004F22D8" w:rsidRPr="00F372CA">
        <w:t>.</w:t>
      </w:r>
      <w:r w:rsidR="00082D00">
        <w:t xml:space="preserve">  Thus, we do not revisit the </w:t>
      </w:r>
      <w:r w:rsidR="00082D00" w:rsidRPr="000F5B60">
        <w:rPr>
          <w:i/>
        </w:rPr>
        <w:t>NAL</w:t>
      </w:r>
      <w:r w:rsidR="00082D00">
        <w:t>’s conclusion that Radio License violated the sponsorship identification laws.</w:t>
      </w:r>
      <w:r w:rsidR="00082D00">
        <w:rPr>
          <w:rStyle w:val="FootnoteReference"/>
        </w:rPr>
        <w:footnoteReference w:id="38"/>
      </w:r>
    </w:p>
    <w:p w:rsidR="00A1708B" w:rsidRDefault="009211CE" w:rsidP="0052326C">
      <w:pPr>
        <w:pStyle w:val="Heading2"/>
      </w:pPr>
      <w:r w:rsidRPr="004D7C2B">
        <w:t>Balancing Factors, We Find No</w:t>
      </w:r>
      <w:r w:rsidR="0038698A">
        <w:t xml:space="preserve"> Basis to Reduce the Forfeiture</w:t>
      </w:r>
      <w:r w:rsidR="007530CA">
        <w:t>.</w:t>
      </w:r>
    </w:p>
    <w:p w:rsidR="004F22D8" w:rsidRPr="00396376" w:rsidRDefault="004F22D8" w:rsidP="0052326C">
      <w:pPr>
        <w:pStyle w:val="ParaNum"/>
      </w:pPr>
      <w:r w:rsidRPr="00F372CA">
        <w:t xml:space="preserve">We now turn to the proposed forfeiture amount, which </w:t>
      </w:r>
      <w:r w:rsidR="00590ACF">
        <w:t xml:space="preserve">we </w:t>
      </w:r>
      <w:r w:rsidRPr="00F372CA">
        <w:t>assessed in accordance with Secti</w:t>
      </w:r>
      <w:r w:rsidR="00113F73" w:rsidRPr="00F372CA">
        <w:t xml:space="preserve">on 503(b) of the </w:t>
      </w:r>
      <w:r w:rsidRPr="00F372CA">
        <w:t>Act,</w:t>
      </w:r>
      <w:r w:rsidRPr="00F372CA">
        <w:rPr>
          <w:rStyle w:val="FootnoteReference"/>
          <w:szCs w:val="22"/>
        </w:rPr>
        <w:footnoteReference w:id="39"/>
      </w:r>
      <w:r w:rsidRPr="00F372CA">
        <w:t xml:space="preserve"> Section 1.80 of the Commission’s rules,</w:t>
      </w:r>
      <w:r w:rsidRPr="00F372CA">
        <w:rPr>
          <w:rStyle w:val="FootnoteReference"/>
          <w:spacing w:val="-2"/>
          <w:szCs w:val="22"/>
        </w:rPr>
        <w:footnoteReference w:id="40"/>
      </w:r>
      <w:r w:rsidRPr="00F372CA">
        <w:t xml:space="preserve"> and the Commission’s forfeiture guidelines set forth in its </w:t>
      </w:r>
      <w:r w:rsidRPr="00F372CA">
        <w:rPr>
          <w:i/>
        </w:rPr>
        <w:t>Forfeiture Policy Statement</w:t>
      </w:r>
      <w:r w:rsidRPr="00F372CA">
        <w:t>.</w:t>
      </w:r>
      <w:r w:rsidRPr="00F372CA">
        <w:rPr>
          <w:rStyle w:val="FootnoteReference"/>
          <w:szCs w:val="22"/>
        </w:rPr>
        <w:footnoteReference w:id="41"/>
      </w:r>
      <w:r w:rsidRPr="00F372CA">
        <w:t xml:space="preserve">  In assessing forfeitures, Section 503(b) of the Act requires that we take into account the nature, circumstances, extent, and gravity of the violation, and with respect to the violator, the degree of culpability, any history of prior offenses, ability to pay, and other matters as justice may require.</w:t>
      </w:r>
      <w:r w:rsidRPr="00F372CA">
        <w:rPr>
          <w:rStyle w:val="FootnoteReference"/>
          <w:spacing w:val="-2"/>
          <w:szCs w:val="22"/>
        </w:rPr>
        <w:footnoteReference w:id="42"/>
      </w:r>
      <w:r w:rsidR="00716CF3">
        <w:t xml:space="preserve">  </w:t>
      </w:r>
      <w:r w:rsidR="00F84815" w:rsidRPr="00F84815">
        <w:t>In addition, with respect to broadcast licensees, Section 503(b)(2)(A) of the</w:t>
      </w:r>
      <w:r w:rsidR="004F2F90">
        <w:t xml:space="preserve"> </w:t>
      </w:r>
      <w:r w:rsidR="00F84815" w:rsidRPr="00F84815">
        <w:t>Act authorizes monetary forfeitures of</w:t>
      </w:r>
      <w:r w:rsidR="006942A1">
        <w:t xml:space="preserve"> up to $37,</w:t>
      </w:r>
      <w:r w:rsidR="00F84815" w:rsidRPr="00F84815">
        <w:t>500 for each violation or each day of a continuing violation, except that the amount assessed for any continuing violation shall not exceed a total of $</w:t>
      </w:r>
      <w:r w:rsidR="006942A1">
        <w:t>375</w:t>
      </w:r>
      <w:r w:rsidR="00F84815" w:rsidRPr="00F84815">
        <w:t>,000 for any single act or failure to act.</w:t>
      </w:r>
      <w:r w:rsidR="00F84815">
        <w:rPr>
          <w:rStyle w:val="FootnoteReference"/>
        </w:rPr>
        <w:footnoteReference w:id="43"/>
      </w:r>
      <w:r w:rsidR="00F84815">
        <w:t xml:space="preserve">  </w:t>
      </w:r>
      <w:r w:rsidR="00716CF3">
        <w:t>W</w:t>
      </w:r>
      <w:r w:rsidR="003C75DF" w:rsidRPr="00F372CA">
        <w:t>e have examined Radio License</w:t>
      </w:r>
      <w:r w:rsidRPr="00F372CA">
        <w:t xml:space="preserve">’s </w:t>
      </w:r>
      <w:r w:rsidR="000B7612" w:rsidRPr="00F372CA">
        <w:t>NAL Response</w:t>
      </w:r>
      <w:r w:rsidRPr="00F372CA">
        <w:t xml:space="preserve"> pursuant to the afore</w:t>
      </w:r>
      <w:r w:rsidR="00FE5A53" w:rsidRPr="00F372CA">
        <w:t>mentioned statutory factors, the Commission’s</w:t>
      </w:r>
      <w:r w:rsidRPr="00F372CA">
        <w:t xml:space="preserve"> rules, and the </w:t>
      </w:r>
      <w:r w:rsidRPr="00F84815">
        <w:rPr>
          <w:i/>
        </w:rPr>
        <w:t>Forfeiture Policy Statement</w:t>
      </w:r>
      <w:r w:rsidRPr="00F372CA">
        <w:t>, and</w:t>
      </w:r>
      <w:r w:rsidR="00F44544">
        <w:t>, for the reasons discussed below</w:t>
      </w:r>
      <w:r w:rsidR="00716CF3">
        <w:t>,</w:t>
      </w:r>
      <w:r w:rsidRPr="00F372CA">
        <w:t xml:space="preserve"> </w:t>
      </w:r>
      <w:r w:rsidR="00675A22">
        <w:t xml:space="preserve">we </w:t>
      </w:r>
      <w:r w:rsidRPr="00F372CA">
        <w:t xml:space="preserve">find no basis </w:t>
      </w:r>
      <w:r w:rsidR="00675A22">
        <w:t>to reduce</w:t>
      </w:r>
      <w:r w:rsidRPr="00F372CA">
        <w:t xml:space="preserve"> the for</w:t>
      </w:r>
      <w:r w:rsidR="003C75DF" w:rsidRPr="00F372CA">
        <w:t>feiture</w:t>
      </w:r>
      <w:r w:rsidRPr="00F372CA">
        <w:t xml:space="preserve">. </w:t>
      </w:r>
    </w:p>
    <w:p w:rsidR="003154D3" w:rsidRPr="004D7C2B" w:rsidRDefault="003154D3" w:rsidP="0052326C">
      <w:pPr>
        <w:pStyle w:val="Heading3"/>
      </w:pPr>
      <w:r w:rsidRPr="004D7C2B">
        <w:t xml:space="preserve">Previous Cases Do Not </w:t>
      </w:r>
      <w:r w:rsidR="00FE0511">
        <w:t xml:space="preserve">Require </w:t>
      </w:r>
      <w:r w:rsidRPr="004D7C2B">
        <w:t xml:space="preserve">a Reduction to $4,000. </w:t>
      </w:r>
    </w:p>
    <w:p w:rsidR="0038698A" w:rsidRPr="00F84815" w:rsidRDefault="004F22D8" w:rsidP="0052326C">
      <w:pPr>
        <w:pStyle w:val="ParaNum"/>
      </w:pPr>
      <w:r w:rsidRPr="00566591">
        <w:t xml:space="preserve">First, </w:t>
      </w:r>
      <w:r w:rsidR="00FE0511" w:rsidRPr="00566591">
        <w:t xml:space="preserve">we find that precedent does </w:t>
      </w:r>
      <w:r w:rsidR="00312583" w:rsidRPr="00566591">
        <w:t xml:space="preserve">not </w:t>
      </w:r>
      <w:r w:rsidR="00FE0511" w:rsidRPr="00566591">
        <w:t xml:space="preserve">require that we treat Radio License’s conduct as one discrete violation warranting a </w:t>
      </w:r>
      <w:r w:rsidR="00987D4B" w:rsidRPr="00FA28AA">
        <w:t xml:space="preserve">base forfeiture of </w:t>
      </w:r>
      <w:r w:rsidR="00FE0511" w:rsidRPr="00566591">
        <w:t>four thousand dollar</w:t>
      </w:r>
      <w:r w:rsidR="008921CF" w:rsidRPr="00566591">
        <w:t>s</w:t>
      </w:r>
      <w:r w:rsidR="00FE0511" w:rsidRPr="00566591">
        <w:t xml:space="preserve"> ($4,000).  </w:t>
      </w:r>
      <w:r w:rsidR="001D5947" w:rsidRPr="00F372CA">
        <w:t xml:space="preserve">Radio License argues that </w:t>
      </w:r>
      <w:r w:rsidR="003154D3">
        <w:t xml:space="preserve">in previous cases, </w:t>
      </w:r>
      <w:r w:rsidR="001D5947" w:rsidRPr="00F372CA">
        <w:t>the Commission refrained from imposing forfeiture</w:t>
      </w:r>
      <w:r w:rsidR="00A52F15">
        <w:t>s</w:t>
      </w:r>
      <w:r w:rsidR="001D5947" w:rsidRPr="00F372CA">
        <w:t xml:space="preserve"> that might have otherwise been justified if it simply multiplied the base forfeiture amount by the number of instances in which a violation occurred.</w:t>
      </w:r>
      <w:r w:rsidR="001D5947" w:rsidRPr="00F372CA">
        <w:rPr>
          <w:rStyle w:val="FootnoteReference"/>
        </w:rPr>
        <w:footnoteReference w:id="44"/>
      </w:r>
      <w:r w:rsidR="001D5947" w:rsidRPr="00F372CA">
        <w:t xml:space="preserve">  </w:t>
      </w:r>
      <w:r w:rsidR="00A52F15">
        <w:t>Thus, Radio License reasons, the Commission must follow the same approach here.</w:t>
      </w:r>
      <w:r w:rsidR="00A52F15">
        <w:rPr>
          <w:rStyle w:val="FootnoteReference"/>
        </w:rPr>
        <w:footnoteReference w:id="45"/>
      </w:r>
      <w:r w:rsidR="00A52F15">
        <w:t xml:space="preserve"> </w:t>
      </w:r>
      <w:r w:rsidR="00A52F15" w:rsidRPr="00F372CA">
        <w:t xml:space="preserve"> </w:t>
      </w:r>
      <w:r w:rsidR="00842D72" w:rsidRPr="00566591">
        <w:t>W</w:t>
      </w:r>
      <w:r w:rsidR="00590ACF" w:rsidRPr="00566591">
        <w:t xml:space="preserve">e acknowledge that </w:t>
      </w:r>
      <w:r w:rsidR="002259DC" w:rsidRPr="00FA28AA">
        <w:t xml:space="preserve">certain </w:t>
      </w:r>
      <w:r w:rsidR="00590ACF" w:rsidRPr="00566591">
        <w:t xml:space="preserve">past cases, including </w:t>
      </w:r>
      <w:r w:rsidR="00DB4422" w:rsidRPr="00566591">
        <w:t xml:space="preserve">some of </w:t>
      </w:r>
      <w:r w:rsidR="00590ACF" w:rsidRPr="00566591">
        <w:t>those cited by the License</w:t>
      </w:r>
      <w:r w:rsidR="000A0DE7" w:rsidRPr="00566591">
        <w:t>e</w:t>
      </w:r>
      <w:r w:rsidR="00590ACF" w:rsidRPr="00566591">
        <w:t xml:space="preserve">, </w:t>
      </w:r>
      <w:r w:rsidR="00842D72" w:rsidRPr="00566591">
        <w:t xml:space="preserve">imposed </w:t>
      </w:r>
      <w:r w:rsidR="002259DC" w:rsidRPr="00566591">
        <w:t>forfeiture amount</w:t>
      </w:r>
      <w:r w:rsidR="00842D72" w:rsidRPr="00566591">
        <w:t>s</w:t>
      </w:r>
      <w:r w:rsidR="002259DC" w:rsidRPr="00566591">
        <w:t xml:space="preserve"> equal to the base forfeiture </w:t>
      </w:r>
      <w:r w:rsidR="004456AF">
        <w:t xml:space="preserve">for a single violation </w:t>
      </w:r>
      <w:r w:rsidR="002259DC" w:rsidRPr="00566591">
        <w:t xml:space="preserve">specified by the </w:t>
      </w:r>
      <w:r w:rsidR="008921CF" w:rsidRPr="00566591">
        <w:t xml:space="preserve">Commission’s </w:t>
      </w:r>
      <w:r w:rsidR="002259DC" w:rsidRPr="00566591">
        <w:t>rules, notwithstanding multiple instances of violation</w:t>
      </w:r>
      <w:r w:rsidR="00842D72" w:rsidRPr="00566591">
        <w:t>.</w:t>
      </w:r>
      <w:r w:rsidR="00B03909" w:rsidRPr="00F372CA">
        <w:rPr>
          <w:rStyle w:val="FootnoteReference"/>
          <w:szCs w:val="22"/>
        </w:rPr>
        <w:footnoteReference w:id="46"/>
      </w:r>
      <w:r w:rsidR="00B03909" w:rsidRPr="00566591">
        <w:t xml:space="preserve"> </w:t>
      </w:r>
      <w:r w:rsidR="00842D72" w:rsidRPr="00566591">
        <w:t xml:space="preserve"> </w:t>
      </w:r>
      <w:r w:rsidR="00842D72" w:rsidRPr="00FA28AA">
        <w:t>I</w:t>
      </w:r>
      <w:r w:rsidR="00A52F15" w:rsidRPr="00FA28AA">
        <w:t xml:space="preserve">n </w:t>
      </w:r>
      <w:r w:rsidR="00B03909" w:rsidRPr="00FA28AA">
        <w:t>more recent</w:t>
      </w:r>
      <w:r w:rsidR="00A52F15" w:rsidRPr="00FA28AA">
        <w:t xml:space="preserve"> </w:t>
      </w:r>
      <w:r w:rsidR="00B03909" w:rsidRPr="00FA28AA">
        <w:t>cases involving the sponsorship identification rules</w:t>
      </w:r>
      <w:r w:rsidR="00A52F15" w:rsidRPr="00FA28AA">
        <w:t xml:space="preserve">, </w:t>
      </w:r>
      <w:r w:rsidR="00842D72" w:rsidRPr="00FA28AA">
        <w:t xml:space="preserve">however, </w:t>
      </w:r>
      <w:r w:rsidR="00A52F15" w:rsidRPr="00566591">
        <w:t>the Commission has</w:t>
      </w:r>
      <w:r w:rsidR="00B03909" w:rsidRPr="00566591">
        <w:t xml:space="preserve"> </w:t>
      </w:r>
      <w:r w:rsidR="00A52F15" w:rsidRPr="00566591">
        <w:t xml:space="preserve">imposed </w:t>
      </w:r>
      <w:r w:rsidR="00842D72" w:rsidRPr="00566591">
        <w:t xml:space="preserve">significantly </w:t>
      </w:r>
      <w:r w:rsidR="00A52F15" w:rsidRPr="00566591">
        <w:t>higher forfeiture amounts</w:t>
      </w:r>
      <w:r w:rsidR="00DB4422" w:rsidRPr="00566591">
        <w:t xml:space="preserve"> and has calculated the forfeiture by multiplying the base forfeiture by the number of violations</w:t>
      </w:r>
      <w:r w:rsidR="00B03909" w:rsidRPr="00566591">
        <w:t>.</w:t>
      </w:r>
      <w:r w:rsidR="0088367B">
        <w:rPr>
          <w:rStyle w:val="FootnoteReference"/>
          <w:szCs w:val="22"/>
        </w:rPr>
        <w:footnoteReference w:id="47"/>
      </w:r>
      <w:r w:rsidR="00CB01E6">
        <w:t xml:space="preserve">  </w:t>
      </w:r>
      <w:r w:rsidR="006D15B3" w:rsidRPr="007E60C3">
        <w:t xml:space="preserve">We note that the cases relied on by </w:t>
      </w:r>
      <w:r w:rsidR="00943B13">
        <w:t>Radio License</w:t>
      </w:r>
      <w:r w:rsidR="006D15B3" w:rsidRPr="007E60C3">
        <w:t xml:space="preserve"> are not only older, but are Bureau-level decisions while </w:t>
      </w:r>
      <w:r w:rsidR="006D15B3" w:rsidRPr="00943B13">
        <w:rPr>
          <w:i/>
        </w:rPr>
        <w:t>Sonshine Family Television</w:t>
      </w:r>
      <w:r w:rsidR="00943B13" w:rsidRPr="00943B13">
        <w:rPr>
          <w:i/>
        </w:rPr>
        <w:t>, Inc.</w:t>
      </w:r>
      <w:r w:rsidR="006D15B3" w:rsidRPr="007E60C3">
        <w:t xml:space="preserve"> is a Commission level decision.  We are following here the approach we used in </w:t>
      </w:r>
      <w:r w:rsidR="006D15B3" w:rsidRPr="00943B13">
        <w:rPr>
          <w:i/>
        </w:rPr>
        <w:t>Sonshine</w:t>
      </w:r>
      <w:r w:rsidR="006D15B3" w:rsidRPr="007E60C3">
        <w:t>, and we intend that the Commission and the Bureau will generally take this approach to calculating forfeiture amounts for sponsorship identification violations in the future. The forfeiture amounts proposed or assessed for violations of the sponsorship identification rules in any case reflect consideration of the unique facts of each case in accordance with the aggravating and mitigating factors set forth in Section 503 of the Act and Section 1.80 of the Commission’s rules.  Thus, the base forfeiture amount in this case considers the eleven broadcasts as eleven violations, not a single violation.  As further described below, we determined the forfeiture amount in this case after consideration of all of the relevant factors in light of the unique facts of this case.  Likewise, future cases, though starting from consideration of each separate broadcast as a separate violation, may reach a different overall conclusion depending on the application of the relevant factors to the unique facts of those cases.</w:t>
      </w:r>
      <w:r w:rsidR="000737AB">
        <w:t xml:space="preserve">  </w:t>
      </w:r>
      <w:r w:rsidR="00A52F15">
        <w:t xml:space="preserve"> </w:t>
      </w:r>
    </w:p>
    <w:p w:rsidR="00760D78" w:rsidRPr="004D7C2B" w:rsidRDefault="00760D78" w:rsidP="0052326C">
      <w:pPr>
        <w:pStyle w:val="Heading3"/>
      </w:pPr>
      <w:r w:rsidRPr="004D7C2B">
        <w:t xml:space="preserve">The </w:t>
      </w:r>
      <w:r w:rsidR="00FE4C05">
        <w:t>Comm</w:t>
      </w:r>
      <w:r w:rsidR="00E54372">
        <w:t>ission Appropriately Applied Criteria</w:t>
      </w:r>
      <w:r w:rsidR="00740D63">
        <w:t xml:space="preserve"> to Determine Forfeiture</w:t>
      </w:r>
      <w:r w:rsidRPr="004D7C2B">
        <w:t xml:space="preserve">. </w:t>
      </w:r>
    </w:p>
    <w:p w:rsidR="004F22D8" w:rsidRPr="0052326C" w:rsidRDefault="0092421E" w:rsidP="0052326C">
      <w:pPr>
        <w:pStyle w:val="ParaNum"/>
      </w:pPr>
      <w:r>
        <w:t>Radio License characterizes our application of relevant statutory criteria to be “mechanical,”</w:t>
      </w:r>
      <w:r w:rsidRPr="00F372CA">
        <w:rPr>
          <w:rStyle w:val="FootnoteReference"/>
        </w:rPr>
        <w:footnoteReference w:id="48"/>
      </w:r>
      <w:r w:rsidR="001D4BB0">
        <w:t xml:space="preserve"> </w:t>
      </w:r>
      <w:r w:rsidR="00842D72">
        <w:t>and therefore deficient under the criteria set forth in the Act and the Commission’s rules.  This characterization</w:t>
      </w:r>
      <w:r w:rsidR="00DD3DF5">
        <w:t>, however, is incorrect.</w:t>
      </w:r>
      <w:r>
        <w:t xml:space="preserve">  </w:t>
      </w:r>
      <w:r w:rsidR="006A5A0D" w:rsidRPr="00F372CA">
        <w:t xml:space="preserve">Section 503(b)(2)(E) of the Act and Section </w:t>
      </w:r>
      <w:r w:rsidR="006A5A0D" w:rsidRPr="001D4BB0">
        <w:rPr>
          <w:bCs/>
        </w:rPr>
        <w:t>1.80(b)</w:t>
      </w:r>
      <w:r w:rsidR="00F87CCD">
        <w:rPr>
          <w:bCs/>
        </w:rPr>
        <w:t>(8)</w:t>
      </w:r>
      <w:r w:rsidR="00FE5A53" w:rsidRPr="00F372CA">
        <w:t xml:space="preserve"> of the Commission’s </w:t>
      </w:r>
      <w:r w:rsidR="006A5A0D" w:rsidRPr="00F372CA">
        <w:t>rules set forth the factors to be considered when determining the amount of forfeiture penalties.</w:t>
      </w:r>
      <w:r w:rsidR="0087368F" w:rsidRPr="00F372CA">
        <w:rPr>
          <w:rStyle w:val="FootnoteReference"/>
        </w:rPr>
        <w:footnoteReference w:id="49"/>
      </w:r>
      <w:r w:rsidR="006A5A0D" w:rsidRPr="00F372CA">
        <w:t xml:space="preserve">  Specifically, these provisions require that the Commission “take into account the nature, circumstances, extent</w:t>
      </w:r>
      <w:r w:rsidR="00F87CCD">
        <w:t>,</w:t>
      </w:r>
      <w:r w:rsidR="006A5A0D" w:rsidRPr="00F372CA">
        <w:t xml:space="preserve"> and gravity of the violation and, with respect to the violator, the degree of culpability, any history of prior offenses, ability to pay, and such other matters as justice may require.”</w:t>
      </w:r>
      <w:r w:rsidR="00D0295E" w:rsidRPr="00F372CA">
        <w:rPr>
          <w:rStyle w:val="FootnoteReference"/>
          <w:spacing w:val="-2"/>
          <w:szCs w:val="22"/>
        </w:rPr>
        <w:footnoteReference w:id="50"/>
      </w:r>
      <w:r w:rsidR="00D0295E" w:rsidRPr="00F372CA">
        <w:t xml:space="preserve">  </w:t>
      </w:r>
      <w:r w:rsidR="00A31F15" w:rsidRPr="00F372CA">
        <w:t>In this case,</w:t>
      </w:r>
      <w:r w:rsidR="00760D78">
        <w:t xml:space="preserve"> </w:t>
      </w:r>
      <w:r w:rsidR="00312583">
        <w:t>the Commission</w:t>
      </w:r>
      <w:r w:rsidR="00760D78">
        <w:t xml:space="preserve"> considered the number of repetitions in determining </w:t>
      </w:r>
      <w:r>
        <w:t>the extent of the violations</w:t>
      </w:r>
      <w:r w:rsidR="00760D78">
        <w:t>.</w:t>
      </w:r>
      <w:r w:rsidR="00760D78">
        <w:rPr>
          <w:rStyle w:val="FootnoteReference"/>
        </w:rPr>
        <w:footnoteReference w:id="51"/>
      </w:r>
      <w:r w:rsidR="00760D78">
        <w:t xml:space="preserve"> </w:t>
      </w:r>
      <w:r w:rsidR="00A31F15" w:rsidRPr="00F372CA">
        <w:t xml:space="preserve"> In addition, </w:t>
      </w:r>
      <w:r w:rsidR="00DD3DF5">
        <w:t xml:space="preserve">the </w:t>
      </w:r>
      <w:r w:rsidR="00312583">
        <w:t>Commission</w:t>
      </w:r>
      <w:r w:rsidR="00DD3DF5">
        <w:t xml:space="preserve"> </w:t>
      </w:r>
      <w:r>
        <w:t xml:space="preserve">considered </w:t>
      </w:r>
      <w:r w:rsidR="00A31F15" w:rsidRPr="00F372CA">
        <w:t xml:space="preserve">the </w:t>
      </w:r>
      <w:r w:rsidR="000C6DAB">
        <w:t xml:space="preserve">nature, circumstances, and </w:t>
      </w:r>
      <w:r>
        <w:t xml:space="preserve">gravity of the violations in noting that </w:t>
      </w:r>
      <w:r w:rsidR="00A31F15" w:rsidRPr="00F372CA">
        <w:t>the announcements in question w</w:t>
      </w:r>
      <w:r w:rsidR="00D0295E" w:rsidRPr="00F372CA">
        <w:t xml:space="preserve">ere formatted and presented as </w:t>
      </w:r>
      <w:r w:rsidR="00A31F15" w:rsidRPr="00F372CA">
        <w:t>news</w:t>
      </w:r>
      <w:r w:rsidR="00D0295E" w:rsidRPr="00F372CA">
        <w:t>.</w:t>
      </w:r>
      <w:r w:rsidR="001D4BB0">
        <w:rPr>
          <w:rStyle w:val="FootnoteReference"/>
        </w:rPr>
        <w:footnoteReference w:id="52"/>
      </w:r>
      <w:r w:rsidR="000B24BB" w:rsidRPr="00F372CA">
        <w:t xml:space="preserve"> </w:t>
      </w:r>
      <w:r w:rsidR="000C6DAB">
        <w:t xml:space="preserve"> </w:t>
      </w:r>
      <w:r w:rsidR="00041A34" w:rsidRPr="00F372CA">
        <w:t xml:space="preserve">Therefore, </w:t>
      </w:r>
      <w:r w:rsidR="00312583">
        <w:t>the Commission</w:t>
      </w:r>
      <w:r w:rsidR="00041A34" w:rsidRPr="00F372CA">
        <w:t xml:space="preserve"> appropriately applied the </w:t>
      </w:r>
      <w:r w:rsidR="00AD7635" w:rsidRPr="00F372CA">
        <w:t xml:space="preserve">above-referenced </w:t>
      </w:r>
      <w:r w:rsidR="00041A34" w:rsidRPr="00F372CA">
        <w:t>criteria in this case.</w:t>
      </w:r>
    </w:p>
    <w:p w:rsidR="001D4BB0" w:rsidRPr="004D7C2B" w:rsidRDefault="00B63533" w:rsidP="0052326C">
      <w:pPr>
        <w:pStyle w:val="Heading3"/>
      </w:pPr>
      <w:r>
        <w:t>No Factors Support</w:t>
      </w:r>
      <w:r w:rsidR="001D4BB0" w:rsidRPr="004D7C2B">
        <w:t xml:space="preserve"> Reducing the Forfeiture.</w:t>
      </w:r>
    </w:p>
    <w:p w:rsidR="004F22D8" w:rsidRPr="0052326C" w:rsidRDefault="000B2D12" w:rsidP="0052326C">
      <w:pPr>
        <w:pStyle w:val="ParaNum"/>
      </w:pPr>
      <w:r>
        <w:t xml:space="preserve">Radio License asserts that the </w:t>
      </w:r>
      <w:r w:rsidR="00396376">
        <w:t xml:space="preserve">cause </w:t>
      </w:r>
      <w:r w:rsidR="009E5217">
        <w:t>o</w:t>
      </w:r>
      <w:r w:rsidR="000A447B">
        <w:t>f the violation</w:t>
      </w:r>
      <w:r w:rsidR="00E901E8">
        <w:t>s</w:t>
      </w:r>
      <w:r w:rsidR="000A447B">
        <w:t>—inadvertent employee error—</w:t>
      </w:r>
      <w:r>
        <w:t xml:space="preserve">and </w:t>
      </w:r>
      <w:r w:rsidR="000A447B">
        <w:t xml:space="preserve">Radio License’s </w:t>
      </w:r>
      <w:r w:rsidR="00E901E8">
        <w:t xml:space="preserve">actions following the violations </w:t>
      </w:r>
      <w:r>
        <w:t xml:space="preserve">support a forfeiture </w:t>
      </w:r>
      <w:r w:rsidR="00C40B99">
        <w:t xml:space="preserve">amount </w:t>
      </w:r>
      <w:r>
        <w:t>decrease</w:t>
      </w:r>
      <w:r w:rsidR="001E6593">
        <w:t>.</w:t>
      </w:r>
      <w:r w:rsidR="00E901E8">
        <w:rPr>
          <w:rStyle w:val="FootnoteReference"/>
        </w:rPr>
        <w:footnoteReference w:id="53"/>
      </w:r>
      <w:r>
        <w:t xml:space="preserve"> </w:t>
      </w:r>
      <w:r w:rsidR="0003685F">
        <w:t xml:space="preserve"> </w:t>
      </w:r>
      <w:r w:rsidR="00FD0EDA" w:rsidRPr="00F372CA">
        <w:t xml:space="preserve">We disagree.  </w:t>
      </w:r>
      <w:r w:rsidR="00BC4829" w:rsidRPr="00F372CA">
        <w:t>The Commission has long held</w:t>
      </w:r>
      <w:r w:rsidR="00DD3DF5">
        <w:t xml:space="preserve"> </w:t>
      </w:r>
      <w:r w:rsidR="00BC4829" w:rsidRPr="00F372CA">
        <w:t xml:space="preserve">that a downward adjustment is not justified where violators claim their actions or omissions were due to </w:t>
      </w:r>
      <w:r w:rsidR="00BC4829" w:rsidRPr="00A67C4F">
        <w:rPr>
          <w:bCs/>
        </w:rPr>
        <w:t>inadvertent</w:t>
      </w:r>
      <w:r w:rsidR="00BC4829" w:rsidRPr="00F372CA">
        <w:t xml:space="preserve"> </w:t>
      </w:r>
      <w:r w:rsidR="00192427" w:rsidRPr="00F372CA">
        <w:t xml:space="preserve">employee </w:t>
      </w:r>
      <w:r w:rsidR="00BC4829" w:rsidRPr="00F372CA">
        <w:t>errors</w:t>
      </w:r>
      <w:r w:rsidR="003717E2" w:rsidRPr="00F372CA">
        <w:t>.</w:t>
      </w:r>
      <w:r w:rsidR="003717E2" w:rsidRPr="00F372CA">
        <w:rPr>
          <w:rStyle w:val="FootnoteReference"/>
        </w:rPr>
        <w:footnoteReference w:id="54"/>
      </w:r>
      <w:r w:rsidR="003717E2" w:rsidRPr="00F372CA">
        <w:t xml:space="preserve">  </w:t>
      </w:r>
      <w:r w:rsidR="000A447B">
        <w:t xml:space="preserve">We find no reason to depart from this precedent here.  </w:t>
      </w:r>
      <w:r w:rsidR="00646DEC">
        <w:t xml:space="preserve">Consequently, there is no basis to conclude that Radio License has demonstrated that it is entitled to mitigation of the forfeiture amount based on a lack of culpability. </w:t>
      </w:r>
    </w:p>
    <w:p w:rsidR="009E5217" w:rsidRPr="0052326C" w:rsidRDefault="0068265B" w:rsidP="0052326C">
      <w:pPr>
        <w:pStyle w:val="ParaNum"/>
      </w:pPr>
      <w:r w:rsidRPr="00F372CA">
        <w:t>Radio License</w:t>
      </w:r>
      <w:r w:rsidR="000A447B">
        <w:t xml:space="preserve"> also</w:t>
      </w:r>
      <w:r w:rsidR="004F22D8" w:rsidRPr="00F372CA">
        <w:t xml:space="preserve"> </w:t>
      </w:r>
      <w:r w:rsidR="004F22D8" w:rsidRPr="00B47FB0">
        <w:t xml:space="preserve">asserts that its efforts to comply with the Commission’s rules </w:t>
      </w:r>
      <w:r w:rsidR="00E901E8" w:rsidRPr="00B47FB0">
        <w:t xml:space="preserve">following the violations </w:t>
      </w:r>
      <w:r w:rsidR="004F22D8" w:rsidRPr="00B47FB0">
        <w:t>merit a reduction of the forfeiture amount.</w:t>
      </w:r>
      <w:r w:rsidR="004F22D8" w:rsidRPr="00F372CA">
        <w:rPr>
          <w:rStyle w:val="FootnoteReference"/>
          <w:szCs w:val="22"/>
        </w:rPr>
        <w:footnoteReference w:id="55"/>
      </w:r>
      <w:r w:rsidR="00EB0138" w:rsidRPr="00B47FB0">
        <w:t xml:space="preserve">  Specifically, the Licensee provides evidence that it discovered the failure to include a sponsorship identification </w:t>
      </w:r>
      <w:r w:rsidR="00C40B99" w:rsidRPr="00474592">
        <w:t xml:space="preserve">in each of the 11 broadcasts </w:t>
      </w:r>
      <w:r w:rsidR="00EB0138" w:rsidRPr="00886176">
        <w:t xml:space="preserve">and took </w:t>
      </w:r>
      <w:r w:rsidR="001C0601" w:rsidRPr="00886176">
        <w:t>prompt action</w:t>
      </w:r>
      <w:r w:rsidR="00EA4573" w:rsidRPr="00886176">
        <w:t xml:space="preserve"> on its own</w:t>
      </w:r>
      <w:r w:rsidR="00EB0138" w:rsidRPr="00886176">
        <w:t xml:space="preserve"> </w:t>
      </w:r>
      <w:r w:rsidR="001C0601" w:rsidRPr="00886176">
        <w:t xml:space="preserve">to correct the problem </w:t>
      </w:r>
      <w:r w:rsidR="00EB0138" w:rsidRPr="00886176">
        <w:t>before receiving our LOI.</w:t>
      </w:r>
      <w:r w:rsidR="00EB0138" w:rsidRPr="00F372CA">
        <w:rPr>
          <w:rStyle w:val="FootnoteReference"/>
          <w:szCs w:val="22"/>
        </w:rPr>
        <w:footnoteReference w:id="56"/>
      </w:r>
      <w:r w:rsidR="004962D2" w:rsidRPr="00B47FB0">
        <w:rPr>
          <w:rFonts w:ascii="Arial" w:hAnsi="Arial" w:cs="Arial"/>
          <w:sz w:val="26"/>
          <w:szCs w:val="26"/>
        </w:rPr>
        <w:t xml:space="preserve">  </w:t>
      </w:r>
      <w:r w:rsidR="00CD7172">
        <w:t>I</w:t>
      </w:r>
      <w:r w:rsidR="00E26B57">
        <w:t>n appropriate instances,</w:t>
      </w:r>
      <w:r w:rsidR="00C8632F">
        <w:t xml:space="preserve"> </w:t>
      </w:r>
      <w:r w:rsidR="00CD7172">
        <w:t xml:space="preserve">the Commission may </w:t>
      </w:r>
      <w:r w:rsidR="00C8632F">
        <w:t xml:space="preserve">reduce </w:t>
      </w:r>
      <w:r w:rsidR="00CD7172">
        <w:t xml:space="preserve">a </w:t>
      </w:r>
      <w:r w:rsidR="004F22D8" w:rsidRPr="00F372CA">
        <w:t>forfeiture</w:t>
      </w:r>
      <w:r w:rsidR="00CD7172">
        <w:t xml:space="preserve"> if</w:t>
      </w:r>
      <w:r w:rsidR="004F22D8" w:rsidRPr="00F372CA">
        <w:t xml:space="preserve"> </w:t>
      </w:r>
      <w:r w:rsidR="00E901E8">
        <w:t>a</w:t>
      </w:r>
      <w:r w:rsidR="004F22D8" w:rsidRPr="00F372CA">
        <w:t xml:space="preserve"> licensee has voluntarily disclosed its conduct or taken corrective measures to remedy its conduct before an investigation.</w:t>
      </w:r>
      <w:r w:rsidR="004F22D8" w:rsidRPr="00F372CA">
        <w:rPr>
          <w:rStyle w:val="FootnoteReference"/>
        </w:rPr>
        <w:footnoteReference w:id="57"/>
      </w:r>
      <w:r w:rsidR="00624451" w:rsidRPr="00F372CA">
        <w:t xml:space="preserve">  </w:t>
      </w:r>
      <w:r w:rsidR="00C8632F">
        <w:t xml:space="preserve">As noted above, </w:t>
      </w:r>
      <w:r w:rsidR="00CD7172">
        <w:t xml:space="preserve">however, </w:t>
      </w:r>
      <w:r w:rsidR="00C8632F" w:rsidRPr="00F372CA">
        <w:t xml:space="preserve">Section 503(b)(2)(E) of the Act and Section </w:t>
      </w:r>
      <w:r w:rsidR="00C8632F" w:rsidRPr="00B47FB0">
        <w:rPr>
          <w:bCs/>
        </w:rPr>
        <w:t>1.80(b)(</w:t>
      </w:r>
      <w:r w:rsidR="00E901E8" w:rsidRPr="00B47FB0">
        <w:rPr>
          <w:bCs/>
        </w:rPr>
        <w:t>8</w:t>
      </w:r>
      <w:r w:rsidR="00C8632F" w:rsidRPr="00B47FB0">
        <w:rPr>
          <w:bCs/>
        </w:rPr>
        <w:t>)</w:t>
      </w:r>
      <w:r w:rsidR="00C8632F" w:rsidRPr="00F372CA">
        <w:t xml:space="preserve"> of the Commission’s rules </w:t>
      </w:r>
      <w:r w:rsidR="00C8632F">
        <w:t xml:space="preserve">require consideration of a number of </w:t>
      </w:r>
      <w:r w:rsidR="00C8632F" w:rsidRPr="00F372CA">
        <w:t xml:space="preserve">factors when determining the amount of </w:t>
      </w:r>
      <w:r w:rsidR="00C8632F">
        <w:t xml:space="preserve">a </w:t>
      </w:r>
      <w:r w:rsidR="00C8632F" w:rsidRPr="00F372CA">
        <w:t>forfeiture.</w:t>
      </w:r>
      <w:r w:rsidR="00C8632F" w:rsidRPr="00F372CA">
        <w:rPr>
          <w:rStyle w:val="FootnoteReference"/>
        </w:rPr>
        <w:footnoteReference w:id="58"/>
      </w:r>
      <w:r w:rsidR="009E2FFB">
        <w:t xml:space="preserve"> </w:t>
      </w:r>
      <w:r w:rsidR="00E901E8">
        <w:t xml:space="preserve"> </w:t>
      </w:r>
      <w:r w:rsidR="00483E3D">
        <w:t>In this case, Radio License</w:t>
      </w:r>
      <w:r w:rsidR="009F37C8">
        <w:t xml:space="preserve"> states that it resumed compliance with the sponsorship identification rules in subsequent broadcasts of sponsored material, although it </w:t>
      </w:r>
      <w:r w:rsidR="00483E3D">
        <w:t>did not voluntarily disclose the violations to the Commission</w:t>
      </w:r>
      <w:r w:rsidR="0087624A">
        <w:t>.</w:t>
      </w:r>
      <w:r w:rsidR="00750022">
        <w:t xml:space="preserve"> </w:t>
      </w:r>
      <w:r w:rsidR="0087624A">
        <w:t xml:space="preserve"> Moreover, Radio License </w:t>
      </w:r>
      <w:r w:rsidR="00161770">
        <w:t xml:space="preserve">does </w:t>
      </w:r>
      <w:r w:rsidR="0087624A">
        <w:t xml:space="preserve">not </w:t>
      </w:r>
      <w:r w:rsidR="00EB19BE">
        <w:t>indicate that it had taken particular measure</w:t>
      </w:r>
      <w:r w:rsidR="00763C42">
        <w:t>s</w:t>
      </w:r>
      <w:r w:rsidR="00EB19BE">
        <w:t xml:space="preserve"> </w:t>
      </w:r>
      <w:r w:rsidR="0087624A">
        <w:t xml:space="preserve">or specific additional steps </w:t>
      </w:r>
      <w:r w:rsidR="00EB19BE">
        <w:t xml:space="preserve">intended to ensure future compliance with the sponsorship </w:t>
      </w:r>
      <w:r w:rsidR="006B2B8B">
        <w:t xml:space="preserve">identification </w:t>
      </w:r>
      <w:r w:rsidR="00EB19BE">
        <w:t>rule</w:t>
      </w:r>
      <w:r w:rsidR="00483E3D">
        <w:t>.</w:t>
      </w:r>
      <w:r w:rsidR="00C40B99">
        <w:rPr>
          <w:rStyle w:val="FootnoteReference"/>
        </w:rPr>
        <w:footnoteReference w:id="59"/>
      </w:r>
      <w:r w:rsidR="009E2FFB">
        <w:t xml:space="preserve"> </w:t>
      </w:r>
      <w:r w:rsidR="00483E3D">
        <w:t xml:space="preserve"> </w:t>
      </w:r>
      <w:r w:rsidR="00CB01E6" w:rsidRPr="00CB01E6">
        <w:t>Nor does it indicate that it took steps that were within its power to ameliorate the effects of its prior violations (e.g., broadcast announcements notifying listeners that the 11 90-second advertisements previously aired were not, in fact, news stories, but rather had been paid for by Workers Independent News).</w:t>
      </w:r>
      <w:r w:rsidR="00CB01E6">
        <w:rPr>
          <w:rStyle w:val="FootnoteReference"/>
        </w:rPr>
        <w:footnoteReference w:id="60"/>
      </w:r>
      <w:r w:rsidR="00CB01E6">
        <w:t xml:space="preserve">  </w:t>
      </w:r>
      <w:r w:rsidR="0087624A">
        <w:t>We conclude that a downward adjustment for timely remedial action is not warranted in these circumstances.</w:t>
      </w:r>
      <w:r w:rsidR="00783514">
        <w:t xml:space="preserve"> </w:t>
      </w:r>
      <w:r w:rsidR="0087624A">
        <w:t xml:space="preserve"> </w:t>
      </w:r>
      <w:r w:rsidR="00B47FB0">
        <w:t xml:space="preserve">As a result of Radio License’s repeated violations of the sponsorship identification rule, on 11 separate occasions, the Station’s listeners were </w:t>
      </w:r>
      <w:r w:rsidR="006B318F">
        <w:t xml:space="preserve">exposed to material that appeared to be objective news stories </w:t>
      </w:r>
      <w:r w:rsidR="00B47FB0">
        <w:t xml:space="preserve">deprived of the knowledge that </w:t>
      </w:r>
      <w:r w:rsidR="00BC0D9B">
        <w:t xml:space="preserve">the material </w:t>
      </w:r>
      <w:r w:rsidR="00B47FB0">
        <w:t xml:space="preserve">was, in fact, prepared to convey </w:t>
      </w:r>
      <w:r w:rsidR="00BC0D9B">
        <w:t>the</w:t>
      </w:r>
      <w:r w:rsidR="00B47FB0">
        <w:t xml:space="preserve"> particular point of view </w:t>
      </w:r>
      <w:r w:rsidR="00BC0D9B">
        <w:t xml:space="preserve">of </w:t>
      </w:r>
      <w:r w:rsidR="005627D8">
        <w:t>the organization that</w:t>
      </w:r>
      <w:r w:rsidR="006B318F">
        <w:t xml:space="preserve"> paid or promised to pay the Licensee consideration to air it</w:t>
      </w:r>
      <w:r w:rsidR="00B47FB0">
        <w:t xml:space="preserve">. </w:t>
      </w:r>
      <w:r w:rsidR="0087624A">
        <w:t xml:space="preserve"> </w:t>
      </w:r>
      <w:r w:rsidR="006B318F">
        <w:t xml:space="preserve">As the Commission has noted, </w:t>
      </w:r>
      <w:r w:rsidR="00474592">
        <w:t>audience members “are entitled to know when the program ends and the advertisement begins.”</w:t>
      </w:r>
      <w:r w:rsidR="00474592">
        <w:rPr>
          <w:rStyle w:val="FootnoteReference"/>
        </w:rPr>
        <w:footnoteReference w:id="61"/>
      </w:r>
      <w:r w:rsidR="00474592">
        <w:t xml:space="preserve">  </w:t>
      </w:r>
    </w:p>
    <w:p w:rsidR="004F22D8" w:rsidRPr="0052326C" w:rsidRDefault="009E5217" w:rsidP="0052326C">
      <w:pPr>
        <w:pStyle w:val="ParaNum"/>
      </w:pPr>
      <w:r>
        <w:t>Moreover, Radio License does not argue that its history of compliance or inability to pay wa</w:t>
      </w:r>
      <w:r w:rsidR="00646DEC">
        <w:t>rrant</w:t>
      </w:r>
      <w:r>
        <w:t xml:space="preserve"> a downward adjustment of the proposed forfeiture. </w:t>
      </w:r>
      <w:r w:rsidRPr="00F372CA">
        <w:t xml:space="preserve"> </w:t>
      </w:r>
      <w:r w:rsidR="00D847F5" w:rsidRPr="00F372CA">
        <w:t>Based on</w:t>
      </w:r>
      <w:r w:rsidR="004A4E0A" w:rsidRPr="00F372CA">
        <w:t xml:space="preserve"> the specific facts </w:t>
      </w:r>
      <w:r w:rsidR="00C8632F">
        <w:t xml:space="preserve">and </w:t>
      </w:r>
      <w:r w:rsidR="00D847F5" w:rsidRPr="00F372CA">
        <w:t>totality of the circumstances</w:t>
      </w:r>
      <w:r w:rsidR="00C8632F">
        <w:t xml:space="preserve"> in this case</w:t>
      </w:r>
      <w:r w:rsidR="00D847F5" w:rsidRPr="00F372CA">
        <w:t xml:space="preserve">, including the </w:t>
      </w:r>
      <w:r w:rsidR="006B2B8B">
        <w:t xml:space="preserve">nature, </w:t>
      </w:r>
      <w:r w:rsidR="00D847F5" w:rsidRPr="00F372CA">
        <w:t>e</w:t>
      </w:r>
      <w:r w:rsidR="00E26B57">
        <w:t>xtent</w:t>
      </w:r>
      <w:r w:rsidR="00EA0A73">
        <w:t>,</w:t>
      </w:r>
      <w:r w:rsidR="00E26B57">
        <w:t xml:space="preserve"> and gravity</w:t>
      </w:r>
      <w:r w:rsidR="00D847F5" w:rsidRPr="00F372CA">
        <w:t xml:space="preserve"> of the violation</w:t>
      </w:r>
      <w:r w:rsidR="004A4E0A" w:rsidRPr="00F372CA">
        <w:t>s</w:t>
      </w:r>
      <w:r w:rsidR="008725B8">
        <w:t xml:space="preserve">, </w:t>
      </w:r>
      <w:r>
        <w:t xml:space="preserve">and in the absence of any </w:t>
      </w:r>
      <w:r w:rsidR="000737AB">
        <w:t xml:space="preserve">creditable </w:t>
      </w:r>
      <w:r>
        <w:t>mitigating factors</w:t>
      </w:r>
      <w:r w:rsidR="00783514">
        <w:t>,</w:t>
      </w:r>
      <w:r>
        <w:t xml:space="preserve"> </w:t>
      </w:r>
      <w:r w:rsidR="004A4E0A" w:rsidRPr="00F372CA">
        <w:t xml:space="preserve">we find that the record as a whole does not support a </w:t>
      </w:r>
      <w:r w:rsidR="00D847F5" w:rsidRPr="00F372CA">
        <w:t xml:space="preserve">downward adjustment </w:t>
      </w:r>
      <w:r w:rsidR="00C8632F">
        <w:t>of the proposed forfeiture</w:t>
      </w:r>
      <w:r w:rsidR="00D847F5" w:rsidRPr="00F372CA">
        <w:t>.</w:t>
      </w:r>
      <w:r w:rsidR="007C2FF7">
        <w:rPr>
          <w:rStyle w:val="FootnoteReference"/>
        </w:rPr>
        <w:footnoteReference w:id="62"/>
      </w:r>
      <w:r w:rsidR="00773AF7" w:rsidRPr="00F372CA">
        <w:t xml:space="preserve"> </w:t>
      </w:r>
      <w:r w:rsidR="00773AF7" w:rsidRPr="0052326C">
        <w:t xml:space="preserve"> </w:t>
      </w:r>
    </w:p>
    <w:p w:rsidR="004F22D8" w:rsidRPr="00F372CA" w:rsidRDefault="004F22D8" w:rsidP="0052326C">
      <w:pPr>
        <w:pStyle w:val="Heading1"/>
      </w:pPr>
      <w:r w:rsidRPr="00F372CA">
        <w:t>ORDERING CLAUSES</w:t>
      </w:r>
    </w:p>
    <w:p w:rsidR="00D156DC" w:rsidRPr="00F372CA" w:rsidRDefault="004F22D8" w:rsidP="000C0767">
      <w:pPr>
        <w:pStyle w:val="ParaNum"/>
        <w:widowControl/>
      </w:pPr>
      <w:r w:rsidRPr="00F372CA">
        <w:t xml:space="preserve">Accordingly, </w:t>
      </w:r>
      <w:r w:rsidRPr="00F372CA">
        <w:rPr>
          <w:b/>
        </w:rPr>
        <w:t xml:space="preserve">IT IS ORDERED </w:t>
      </w:r>
      <w:r w:rsidRPr="00F372CA">
        <w:t xml:space="preserve">that, pursuant to Section 503(b) of the </w:t>
      </w:r>
      <w:r w:rsidR="003313AD" w:rsidRPr="00F372CA">
        <w:t xml:space="preserve">Communications </w:t>
      </w:r>
      <w:r w:rsidRPr="00F372CA">
        <w:t>Act</w:t>
      </w:r>
      <w:r w:rsidR="003313AD" w:rsidRPr="00F372CA">
        <w:t>, as amended,</w:t>
      </w:r>
      <w:r w:rsidRPr="00F372CA">
        <w:rPr>
          <w:rStyle w:val="FootnoteReference"/>
        </w:rPr>
        <w:footnoteReference w:id="63"/>
      </w:r>
      <w:r w:rsidRPr="00F372CA">
        <w:t xml:space="preserve"> and Section</w:t>
      </w:r>
      <w:r w:rsidR="00F47927" w:rsidRPr="00F372CA">
        <w:t xml:space="preserve"> 1.80(f)(4) of the Commission’</w:t>
      </w:r>
      <w:r w:rsidRPr="00F372CA">
        <w:t>s rules,</w:t>
      </w:r>
      <w:r w:rsidRPr="00F372CA">
        <w:rPr>
          <w:rStyle w:val="FootnoteReference"/>
        </w:rPr>
        <w:footnoteReference w:id="64"/>
      </w:r>
      <w:r w:rsidRPr="00F372CA">
        <w:t xml:space="preserve"> </w:t>
      </w:r>
      <w:r w:rsidR="00580B59" w:rsidRPr="00F372CA">
        <w:t>Radio License Holding XI, LLC</w:t>
      </w:r>
      <w:r w:rsidRPr="00F372CA">
        <w:t xml:space="preserve">, </w:t>
      </w:r>
      <w:r w:rsidRPr="00F372CA">
        <w:rPr>
          <w:b/>
        </w:rPr>
        <w:t>IS LIABLE FOR A MONETARY FORFEITURE</w:t>
      </w:r>
      <w:r w:rsidR="00B731A1" w:rsidRPr="00F372CA">
        <w:t xml:space="preserve"> in the amount of </w:t>
      </w:r>
      <w:r w:rsidR="00B9136E" w:rsidRPr="00F372CA">
        <w:t>forty</w:t>
      </w:r>
      <w:r w:rsidR="00E26B57">
        <w:t>-</w:t>
      </w:r>
      <w:r w:rsidR="00B9136E" w:rsidRPr="00F372CA">
        <w:t xml:space="preserve">four thousand dollars ($44,000) </w:t>
      </w:r>
      <w:r w:rsidRPr="00F372CA">
        <w:t xml:space="preserve">for its willful and repeated violation of Section 317(a)(1) of the </w:t>
      </w:r>
      <w:r w:rsidR="003313AD" w:rsidRPr="00F372CA">
        <w:t xml:space="preserve">Communications </w:t>
      </w:r>
      <w:r w:rsidRPr="00F372CA">
        <w:t>Act</w:t>
      </w:r>
      <w:r w:rsidR="003313AD" w:rsidRPr="00F372CA">
        <w:t>, as amended</w:t>
      </w:r>
      <w:r w:rsidR="00C6720E">
        <w:t>,</w:t>
      </w:r>
      <w:r w:rsidRPr="00F372CA">
        <w:rPr>
          <w:rStyle w:val="FootnoteReference"/>
        </w:rPr>
        <w:footnoteReference w:id="65"/>
      </w:r>
      <w:r w:rsidRPr="00F372CA">
        <w:t xml:space="preserve"> and Section 73.1212(a) of the Commission’s rules.</w:t>
      </w:r>
      <w:r w:rsidRPr="00F372CA">
        <w:rPr>
          <w:rStyle w:val="FootnoteReference"/>
        </w:rPr>
        <w:footnoteReference w:id="66"/>
      </w:r>
    </w:p>
    <w:p w:rsidR="00D156DC" w:rsidRPr="00F372CA" w:rsidRDefault="00D156DC" w:rsidP="00B63533">
      <w:pPr>
        <w:pStyle w:val="ParaNum"/>
        <w:widowControl/>
      </w:pPr>
      <w:r w:rsidRPr="00F372CA">
        <w:t xml:space="preserve">Payment of the forfeiture shall be made in the manner provided for in Section 1.80 of the Commission’s rules within </w:t>
      </w:r>
      <w:r w:rsidR="00A406FC">
        <w:t>15</w:t>
      </w:r>
      <w:r w:rsidRPr="00F372CA">
        <w:t xml:space="preserve"> days of the release of this Forfeiture Order.</w:t>
      </w:r>
      <w:r w:rsidRPr="00F372CA">
        <w:rPr>
          <w:vertAlign w:val="superscript"/>
        </w:rPr>
        <w:footnoteReference w:id="67"/>
      </w:r>
      <w:r w:rsidRPr="00F372CA">
        <w:t xml:space="preserve">  If the forfeiture is not paid within the period specified, the case may be referred to the U.S. Department of Justice for enforcement of the forfeiture pursuant to Section 504(a) of the </w:t>
      </w:r>
      <w:r w:rsidR="000F01C3" w:rsidRPr="00F372CA">
        <w:t xml:space="preserve">Communications </w:t>
      </w:r>
      <w:r w:rsidRPr="00F372CA">
        <w:t>Act</w:t>
      </w:r>
      <w:r w:rsidR="000F01C3" w:rsidRPr="00F372CA">
        <w:t>, as amended</w:t>
      </w:r>
      <w:r w:rsidRPr="00F372CA">
        <w:t>.</w:t>
      </w:r>
      <w:r w:rsidRPr="00F372CA">
        <w:rPr>
          <w:vertAlign w:val="superscript"/>
        </w:rPr>
        <w:footnoteReference w:id="68"/>
      </w:r>
      <w:r w:rsidR="000F01C3" w:rsidRPr="00F372CA">
        <w:t xml:space="preserve">  Radio License Holding XI, LLC </w:t>
      </w:r>
      <w:r w:rsidR="000F01C3" w:rsidRPr="00F372CA">
        <w:rPr>
          <w:szCs w:val="24"/>
        </w:rPr>
        <w:t>shall send electronic notification of payment to T</w:t>
      </w:r>
      <w:r w:rsidR="005F0FD6">
        <w:rPr>
          <w:szCs w:val="24"/>
        </w:rPr>
        <w:t>h</w:t>
      </w:r>
      <w:r w:rsidR="000F01C3" w:rsidRPr="00F372CA">
        <w:rPr>
          <w:szCs w:val="24"/>
        </w:rPr>
        <w:t xml:space="preserve">eresa </w:t>
      </w:r>
      <w:r w:rsidR="00B63533">
        <w:rPr>
          <w:szCs w:val="24"/>
        </w:rPr>
        <w:t xml:space="preserve">Z. </w:t>
      </w:r>
      <w:r w:rsidR="000F01C3" w:rsidRPr="00F372CA">
        <w:rPr>
          <w:szCs w:val="24"/>
        </w:rPr>
        <w:t>Cavanaugh at Ter</w:t>
      </w:r>
      <w:r w:rsidR="005F0FD6">
        <w:rPr>
          <w:szCs w:val="24"/>
        </w:rPr>
        <w:t>ry</w:t>
      </w:r>
      <w:r w:rsidR="000F01C3" w:rsidRPr="00F372CA">
        <w:rPr>
          <w:szCs w:val="24"/>
        </w:rPr>
        <w:t>.Cavanaugh@fcc.gov, Jeffrey</w:t>
      </w:r>
      <w:r w:rsidR="00B63533">
        <w:rPr>
          <w:szCs w:val="24"/>
        </w:rPr>
        <w:t xml:space="preserve"> J.</w:t>
      </w:r>
      <w:r w:rsidR="000F01C3" w:rsidRPr="00F372CA">
        <w:rPr>
          <w:szCs w:val="24"/>
        </w:rPr>
        <w:t xml:space="preserve"> Gee at Jeffrey.Gee@fcc.gov</w:t>
      </w:r>
      <w:r w:rsidR="0068501F">
        <w:rPr>
          <w:szCs w:val="24"/>
        </w:rPr>
        <w:t xml:space="preserve">, </w:t>
      </w:r>
      <w:r w:rsidR="000F01C3" w:rsidRPr="00F372CA">
        <w:rPr>
          <w:szCs w:val="24"/>
        </w:rPr>
        <w:t xml:space="preserve">Anjali Singh at </w:t>
      </w:r>
      <w:r w:rsidR="0068501F" w:rsidRPr="00F92958">
        <w:rPr>
          <w:szCs w:val="24"/>
        </w:rPr>
        <w:t>Anjali.Singh@fcc.gov</w:t>
      </w:r>
      <w:r w:rsidR="000B6494">
        <w:rPr>
          <w:szCs w:val="24"/>
        </w:rPr>
        <w:t xml:space="preserve">, </w:t>
      </w:r>
      <w:r w:rsidR="00F63CE1">
        <w:rPr>
          <w:szCs w:val="24"/>
        </w:rPr>
        <w:t xml:space="preserve">Melanie Godschall at </w:t>
      </w:r>
      <w:r w:rsidR="000B6494" w:rsidRPr="000B6494">
        <w:rPr>
          <w:szCs w:val="24"/>
        </w:rPr>
        <w:t>Melanie.Godschall@fcc.gov</w:t>
      </w:r>
      <w:r w:rsidR="000B6494">
        <w:rPr>
          <w:szCs w:val="24"/>
        </w:rPr>
        <w:t>, and Melissa Marshall at Melissa.Marshall@fcc.gov</w:t>
      </w:r>
      <w:r w:rsidR="000F01C3" w:rsidRPr="00F372CA">
        <w:rPr>
          <w:szCs w:val="24"/>
        </w:rPr>
        <w:t xml:space="preserve"> on the date said payment is made.</w:t>
      </w:r>
    </w:p>
    <w:p w:rsidR="00932303" w:rsidRPr="00F372CA" w:rsidRDefault="00932303" w:rsidP="00B63533">
      <w:pPr>
        <w:pStyle w:val="ParaNum"/>
        <w:widowControl/>
      </w:pPr>
      <w:r w:rsidRPr="00F372CA">
        <w:t xml:space="preserve">The payment </w:t>
      </w:r>
      <w:r w:rsidR="0017360E">
        <w:t xml:space="preserve">of the forfeiture </w:t>
      </w:r>
      <w:r w:rsidRPr="00F372CA">
        <w:t xml:space="preserve">must be made by check or similar instrument, wire transfer, or credit card, and must include the NAL/Account </w:t>
      </w:r>
      <w:r w:rsidR="0017360E">
        <w:t>N</w:t>
      </w:r>
      <w:r w:rsidRPr="00F372CA">
        <w:t>umber and FRN referenced above.  Regardless of the form of payment, a completed FCC Form 159 (Remittance Advice) must be submitted.</w:t>
      </w:r>
      <w:r w:rsidRPr="00F372CA">
        <w:rPr>
          <w:vertAlign w:val="superscript"/>
        </w:rPr>
        <w:footnoteReference w:id="69"/>
      </w:r>
      <w:r w:rsidRPr="00F372CA">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rsidR="00155085" w:rsidRPr="00F372CA" w:rsidRDefault="00932303" w:rsidP="00B63533">
      <w:pPr>
        <w:pStyle w:val="ParaNum"/>
        <w:widowControl/>
        <w:numPr>
          <w:ilvl w:val="0"/>
          <w:numId w:val="12"/>
        </w:numPr>
      </w:pPr>
      <w:r w:rsidRPr="00F372CA">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155085" w:rsidRPr="00F372CA" w:rsidRDefault="00932303" w:rsidP="00B63533">
      <w:pPr>
        <w:pStyle w:val="ParaNum"/>
        <w:widowControl/>
        <w:numPr>
          <w:ilvl w:val="0"/>
          <w:numId w:val="12"/>
        </w:numPr>
      </w:pPr>
      <w:r w:rsidRPr="00F372CA">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w:t>
      </w:r>
      <w:r w:rsidR="00155085" w:rsidRPr="00F372CA">
        <w:t>he wire transfer is initiated. </w:t>
      </w:r>
    </w:p>
    <w:p w:rsidR="00160B29" w:rsidRPr="00F372CA" w:rsidRDefault="00932303" w:rsidP="00B63533">
      <w:pPr>
        <w:pStyle w:val="ParaNum"/>
        <w:widowControl/>
        <w:numPr>
          <w:ilvl w:val="0"/>
          <w:numId w:val="12"/>
        </w:numPr>
      </w:pPr>
      <w:r w:rsidRPr="00F372CA">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470E99" w:rsidRPr="00F372CA" w:rsidRDefault="00160B29" w:rsidP="002511E3">
      <w:pPr>
        <w:pStyle w:val="ParaNum"/>
      </w:pPr>
      <w:r w:rsidRPr="00F372CA">
        <w:t xml:space="preserve">Any request for full payment </w:t>
      </w:r>
      <w:r w:rsidR="0017360E">
        <w:t xml:space="preserve">over time </w:t>
      </w:r>
      <w:r w:rsidRPr="00F372CA">
        <w:t>under an installment plan should be sent to:  Chief Financial Officer—Financial Operations, Federal Communications Commission, 445 12th Street, S.W., Room 1-A625, Washington, D.C.  20554.</w:t>
      </w:r>
      <w:r w:rsidRPr="00F372CA">
        <w:rPr>
          <w:vertAlign w:val="superscript"/>
        </w:rPr>
        <w:footnoteReference w:id="70"/>
      </w:r>
      <w:r w:rsidR="00AD6691" w:rsidRPr="00F372CA">
        <w:t xml:space="preserve">  </w:t>
      </w:r>
      <w:r w:rsidRPr="00F372CA">
        <w:t>If you have questions regarding payment procedures, please contact the Financial Operations Group Help Desk by phone, 1-877-480-3201, or by e</w:t>
      </w:r>
      <w:r w:rsidRPr="00F372CA">
        <w:noBreakHyphen/>
        <w:t xml:space="preserve">mail, ARINQUIRIES@fcc.gov.  </w:t>
      </w:r>
      <w:r w:rsidRPr="00F372CA">
        <w:rPr>
          <w:b/>
          <w:bCs/>
        </w:rPr>
        <w:t xml:space="preserve"> </w:t>
      </w:r>
    </w:p>
    <w:p w:rsidR="004F22D8" w:rsidRPr="00F372CA" w:rsidRDefault="004F22D8" w:rsidP="002511E3">
      <w:pPr>
        <w:pStyle w:val="ParaNum"/>
      </w:pPr>
      <w:r w:rsidRPr="00F372CA">
        <w:rPr>
          <w:b/>
        </w:rPr>
        <w:t>IT IS FURTHER ORDERED</w:t>
      </w:r>
      <w:r w:rsidRPr="00F372CA">
        <w:t xml:space="preserve"> that a copy of this Forfeiture Order shall be sent by First Class Mail and Certified Mail</w:t>
      </w:r>
      <w:r w:rsidR="0017360E">
        <w:t>,</w:t>
      </w:r>
      <w:r w:rsidRPr="00F372CA">
        <w:t xml:space="preserve"> Return Receipt Requested</w:t>
      </w:r>
      <w:r w:rsidR="0017360E">
        <w:t>,</w:t>
      </w:r>
      <w:r w:rsidRPr="00F372CA">
        <w:t xml:space="preserve"> to </w:t>
      </w:r>
      <w:r w:rsidR="00623F43" w:rsidRPr="00F372CA">
        <w:t>Radio License Holding XI, LLC</w:t>
      </w:r>
      <w:r w:rsidRPr="00F372CA">
        <w:t xml:space="preserve">, </w:t>
      </w:r>
      <w:r w:rsidR="00082F7C" w:rsidRPr="00F372CA">
        <w:t>3280 Peachtree Road, NW</w:t>
      </w:r>
      <w:r w:rsidRPr="00F372CA">
        <w:t xml:space="preserve">, </w:t>
      </w:r>
      <w:r w:rsidR="00A619B6" w:rsidRPr="00F372CA">
        <w:t>Suite 2300, Atlanta</w:t>
      </w:r>
      <w:r w:rsidRPr="00F372CA">
        <w:t xml:space="preserve">, </w:t>
      </w:r>
      <w:r w:rsidR="00A619B6" w:rsidRPr="00F372CA">
        <w:t>Georgia</w:t>
      </w:r>
      <w:r w:rsidRPr="00F372CA">
        <w:t xml:space="preserve"> </w:t>
      </w:r>
      <w:r w:rsidR="00756B75" w:rsidRPr="00F372CA">
        <w:t>30305</w:t>
      </w:r>
      <w:r w:rsidRPr="00F372CA">
        <w:t>, and to its counsel</w:t>
      </w:r>
      <w:r w:rsidR="00470E99">
        <w:t xml:space="preserve"> of record</w:t>
      </w:r>
      <w:r w:rsidR="0042487B">
        <w:t>, Lewis J. Paper, Esq. and Andrew S. Kersting, Esq.</w:t>
      </w:r>
      <w:r w:rsidR="00763C42">
        <w:t>,</w:t>
      </w:r>
      <w:r w:rsidR="0042487B">
        <w:t xml:space="preserve"> Pillsbury Winthrop Shaw Pittman LLP, 2300 N Street, NW, Washington, D.C. 20037.</w:t>
      </w:r>
    </w:p>
    <w:p w:rsidR="004F22D8" w:rsidRPr="00F372CA" w:rsidRDefault="004F22D8" w:rsidP="00470E99">
      <w:pPr>
        <w:pStyle w:val="ParaNum"/>
        <w:keepNext/>
        <w:keepLines/>
        <w:widowControl/>
        <w:numPr>
          <w:ilvl w:val="0"/>
          <w:numId w:val="0"/>
        </w:numPr>
        <w:tabs>
          <w:tab w:val="left" w:pos="4320"/>
        </w:tabs>
        <w:spacing w:after="0"/>
        <w:ind w:firstLine="720"/>
      </w:pPr>
      <w:r w:rsidRPr="00F372CA">
        <w:tab/>
        <w:t>FEDERAL COMMUNICATIONS COMMISSION</w:t>
      </w:r>
    </w:p>
    <w:p w:rsidR="004F22D8" w:rsidRPr="00F372CA" w:rsidRDefault="004F22D8" w:rsidP="00470E99">
      <w:pPr>
        <w:pStyle w:val="ParaNum"/>
        <w:keepNext/>
        <w:keepLines/>
        <w:widowControl/>
        <w:numPr>
          <w:ilvl w:val="0"/>
          <w:numId w:val="0"/>
        </w:numPr>
        <w:tabs>
          <w:tab w:val="left" w:pos="4320"/>
        </w:tabs>
        <w:spacing w:after="0"/>
      </w:pPr>
    </w:p>
    <w:p w:rsidR="004F22D8" w:rsidRPr="00F372CA" w:rsidRDefault="004F22D8" w:rsidP="00470E99">
      <w:pPr>
        <w:pStyle w:val="ParaNum"/>
        <w:keepNext/>
        <w:keepLines/>
        <w:widowControl/>
        <w:numPr>
          <w:ilvl w:val="0"/>
          <w:numId w:val="0"/>
        </w:numPr>
        <w:tabs>
          <w:tab w:val="left" w:pos="4320"/>
        </w:tabs>
        <w:spacing w:after="0"/>
      </w:pPr>
    </w:p>
    <w:p w:rsidR="004F22D8" w:rsidRPr="00F372CA" w:rsidRDefault="004F22D8" w:rsidP="00470E99">
      <w:pPr>
        <w:pStyle w:val="ParaNum"/>
        <w:keepNext/>
        <w:keepLines/>
        <w:widowControl/>
        <w:numPr>
          <w:ilvl w:val="0"/>
          <w:numId w:val="0"/>
        </w:numPr>
        <w:tabs>
          <w:tab w:val="left" w:pos="4320"/>
        </w:tabs>
        <w:spacing w:after="0"/>
      </w:pPr>
    </w:p>
    <w:p w:rsidR="004F22D8" w:rsidRPr="00F372CA" w:rsidRDefault="004F22D8" w:rsidP="00470E99">
      <w:pPr>
        <w:pStyle w:val="ParaNum"/>
        <w:keepNext/>
        <w:keepLines/>
        <w:widowControl/>
        <w:numPr>
          <w:ilvl w:val="0"/>
          <w:numId w:val="0"/>
        </w:numPr>
        <w:tabs>
          <w:tab w:val="left" w:pos="4320"/>
        </w:tabs>
        <w:spacing w:after="0"/>
      </w:pPr>
    </w:p>
    <w:p w:rsidR="004F22D8" w:rsidRPr="00F372CA" w:rsidRDefault="004F22D8" w:rsidP="00470E99">
      <w:pPr>
        <w:pStyle w:val="ParaNum"/>
        <w:keepNext/>
        <w:keepLines/>
        <w:widowControl/>
        <w:numPr>
          <w:ilvl w:val="0"/>
          <w:numId w:val="0"/>
        </w:numPr>
        <w:tabs>
          <w:tab w:val="left" w:pos="4320"/>
        </w:tabs>
        <w:spacing w:after="0"/>
      </w:pPr>
      <w:r w:rsidRPr="00F372CA">
        <w:tab/>
        <w:t>Marlene H. Dortch</w:t>
      </w:r>
    </w:p>
    <w:p w:rsidR="004F22D8" w:rsidRDefault="004F22D8" w:rsidP="00470E99">
      <w:pPr>
        <w:pStyle w:val="ParaNum"/>
        <w:keepNext/>
        <w:keepLines/>
        <w:widowControl/>
        <w:numPr>
          <w:ilvl w:val="0"/>
          <w:numId w:val="0"/>
        </w:numPr>
        <w:tabs>
          <w:tab w:val="left" w:pos="4320"/>
        </w:tabs>
        <w:spacing w:after="0"/>
      </w:pPr>
      <w:r w:rsidRPr="00F372CA">
        <w:tab/>
        <w:t>Secretary</w:t>
      </w:r>
    </w:p>
    <w:p w:rsidR="004F22D8" w:rsidRDefault="004F22D8" w:rsidP="002511E3"/>
    <w:sectPr w:rsidR="004F22D8" w:rsidSect="00457B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15" w:rsidRDefault="00FB0815">
      <w:r>
        <w:separator/>
      </w:r>
    </w:p>
  </w:endnote>
  <w:endnote w:type="continuationSeparator" w:id="0">
    <w:p w:rsidR="00FB0815" w:rsidRDefault="00FB0815">
      <w:r>
        <w:continuationSeparator/>
      </w:r>
    </w:p>
  </w:endnote>
  <w:endnote w:type="continuationNotice" w:id="1">
    <w:p w:rsidR="00FB0815" w:rsidRDefault="00FB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3E" w:rsidRDefault="00B06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40" w:rsidRDefault="00116D4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72D3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3E" w:rsidRDefault="00B06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15" w:rsidRDefault="00FB0815">
      <w:pPr>
        <w:rPr>
          <w:sz w:val="20"/>
        </w:rPr>
      </w:pPr>
      <w:r>
        <w:rPr>
          <w:sz w:val="20"/>
        </w:rPr>
        <w:separator/>
      </w:r>
    </w:p>
  </w:footnote>
  <w:footnote w:type="continuationSeparator" w:id="0">
    <w:p w:rsidR="00FB0815" w:rsidRDefault="00FB0815" w:rsidP="002511E3">
      <w:pPr>
        <w:spacing w:before="120"/>
        <w:rPr>
          <w:sz w:val="20"/>
        </w:rPr>
      </w:pPr>
      <w:r>
        <w:rPr>
          <w:sz w:val="20"/>
        </w:rPr>
        <w:t>(Continued from previous page)</w:t>
      </w:r>
      <w:r w:rsidRPr="002511E3">
        <w:rPr>
          <w:sz w:val="20"/>
        </w:rPr>
        <w:t xml:space="preserve"> </w:t>
      </w:r>
      <w:r>
        <w:rPr>
          <w:sz w:val="20"/>
        </w:rPr>
        <w:separator/>
      </w:r>
    </w:p>
  </w:footnote>
  <w:footnote w:type="continuationNotice" w:id="1">
    <w:p w:rsidR="00FB0815" w:rsidRDefault="00FB0815">
      <w:pPr>
        <w:jc w:val="right"/>
        <w:rPr>
          <w:sz w:val="20"/>
        </w:rPr>
      </w:pPr>
      <w:r>
        <w:rPr>
          <w:sz w:val="20"/>
        </w:rPr>
        <w:t>(continued....)</w:t>
      </w:r>
    </w:p>
  </w:footnote>
  <w:footnote w:id="2">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U.S.C. § 503(b).</w:t>
      </w:r>
    </w:p>
  </w:footnote>
  <w:footnote w:id="3">
    <w:p w:rsidR="00116D40" w:rsidRPr="00AC6B0E" w:rsidRDefault="00116D40" w:rsidP="00FF7384">
      <w:pPr>
        <w:pStyle w:val="FootnoteText"/>
      </w:pPr>
      <w:r w:rsidRPr="00AC6B0E">
        <w:rPr>
          <w:rStyle w:val="FootnoteReference"/>
        </w:rPr>
        <w:footnoteRef/>
      </w:r>
      <w:r w:rsidRPr="00AC6B0E">
        <w:t xml:space="preserve"> 47 U.S.C. § 317(a)(1).</w:t>
      </w:r>
    </w:p>
  </w:footnote>
  <w:footnote w:id="4">
    <w:p w:rsidR="00116D40" w:rsidRPr="00AC6B0E" w:rsidRDefault="00116D40" w:rsidP="00FF7384">
      <w:pPr>
        <w:pStyle w:val="FootnoteText"/>
      </w:pPr>
      <w:r w:rsidRPr="00AC6B0E">
        <w:rPr>
          <w:rStyle w:val="FootnoteReference"/>
        </w:rPr>
        <w:footnoteRef/>
      </w:r>
      <w:r w:rsidRPr="00AC6B0E">
        <w:t xml:space="preserve"> 47 C.F.R. § 73.1212(a).</w:t>
      </w:r>
    </w:p>
  </w:footnote>
  <w:footnote w:id="5">
    <w:p w:rsidR="00116D40" w:rsidRPr="00AC6B0E" w:rsidRDefault="00116D40" w:rsidP="00FF7384">
      <w:pPr>
        <w:pStyle w:val="FootnoteText"/>
        <w:rPr>
          <w:i/>
        </w:rPr>
      </w:pPr>
      <w:r w:rsidRPr="00AC6B0E">
        <w:rPr>
          <w:rStyle w:val="FootnoteReference"/>
        </w:rPr>
        <w:footnoteRef/>
      </w:r>
      <w:r w:rsidRPr="00AC6B0E">
        <w:t xml:space="preserve"> </w:t>
      </w:r>
      <w:r w:rsidRPr="00AC6B0E">
        <w:rPr>
          <w:i/>
        </w:rPr>
        <w:t xml:space="preserve">See </w:t>
      </w:r>
      <w:r w:rsidRPr="00AC6B0E">
        <w:t>Complaint, FCC Form 2000E Complaint No. 09-C00104365-1 at 1</w:t>
      </w:r>
      <w:r>
        <w:t>–</w:t>
      </w:r>
      <w:r w:rsidRPr="00AC6B0E">
        <w:t>2 (Mar. 19, 2009</w:t>
      </w:r>
      <w:r>
        <w:t>) (on file</w:t>
      </w:r>
      <w:r w:rsidRPr="00AC6B0E">
        <w:t xml:space="preserve"> in EB-09-IH-0574) (Complaint). </w:t>
      </w:r>
    </w:p>
  </w:footnote>
  <w:footnote w:id="6">
    <w:p w:rsidR="00116D40" w:rsidRPr="00AC6B0E" w:rsidRDefault="00116D40" w:rsidP="00FF7384">
      <w:pPr>
        <w:pStyle w:val="FootnoteText"/>
      </w:pPr>
      <w:r w:rsidRPr="00AC6B0E">
        <w:rPr>
          <w:rStyle w:val="FootnoteReference"/>
        </w:rPr>
        <w:footnoteRef/>
      </w:r>
      <w:r w:rsidRPr="00AC6B0E">
        <w:t xml:space="preserve"> </w:t>
      </w:r>
      <w:r w:rsidRPr="00AC6B0E">
        <w:rPr>
          <w:i/>
        </w:rPr>
        <w:t>See</w:t>
      </w:r>
      <w:r w:rsidRPr="00AC6B0E">
        <w:t xml:space="preserve"> Letter from Kenneth M. Scheibel, Jr., Assistant Chief, Investigations and Hearings Division, </w:t>
      </w:r>
      <w:r>
        <w:t xml:space="preserve">FCC </w:t>
      </w:r>
      <w:r w:rsidRPr="00AC6B0E">
        <w:t xml:space="preserve">Enforcement Bureau, to Radio License Holding XI, LLC (Jan. 19, 2011) (on file in EB-09-IH-0574) (LOI). </w:t>
      </w:r>
    </w:p>
  </w:footnote>
  <w:footnote w:id="7">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 xml:space="preserve">Letter from Dennis P. Corbett, Nancy A. Ory, and F. Scott Pippin, Counsel to Radio License Holding XI, LLC, Lerman Senter PLLC, to Paul Noone, Special Counsel, Investigations and Hearings Division, </w:t>
      </w:r>
      <w:r>
        <w:t>FCC Enforcement Bureau</w:t>
      </w:r>
      <w:r w:rsidRPr="00AC6B0E">
        <w:t xml:space="preserve"> (Feb. 18, 2011) (on file in EB-09-IH-0574) (LOI Response).</w:t>
      </w:r>
    </w:p>
  </w:footnote>
  <w:footnote w:id="8">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id. </w:t>
      </w:r>
      <w:r w:rsidRPr="00AC6B0E">
        <w:t xml:space="preserve">at 2–3. </w:t>
      </w:r>
    </w:p>
  </w:footnote>
  <w:footnote w:id="9">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id. </w:t>
      </w:r>
    </w:p>
  </w:footnote>
  <w:footnote w:id="10">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C.F.R. § 73.1212.</w:t>
      </w:r>
    </w:p>
  </w:footnote>
  <w:footnote w:id="11">
    <w:p w:rsidR="00116D40" w:rsidRDefault="00116D40" w:rsidP="00FF7384">
      <w:pPr>
        <w:pStyle w:val="FootnoteText"/>
      </w:pPr>
      <w:r>
        <w:rPr>
          <w:rStyle w:val="FootnoteReference"/>
        </w:rPr>
        <w:footnoteRef/>
      </w:r>
      <w:r>
        <w:t xml:space="preserve"> </w:t>
      </w:r>
      <w:r w:rsidRPr="004D7C2B">
        <w:rPr>
          <w:i/>
        </w:rPr>
        <w:t>See</w:t>
      </w:r>
      <w:r>
        <w:t xml:space="preserve"> LOI Response at 3.</w:t>
      </w:r>
    </w:p>
  </w:footnote>
  <w:footnote w:id="12">
    <w:p w:rsidR="00116D40" w:rsidRPr="00AC6B0E" w:rsidRDefault="00116D40" w:rsidP="00FF7384">
      <w:pPr>
        <w:pStyle w:val="FootnoteText"/>
      </w:pPr>
      <w:r w:rsidRPr="00AC6B0E">
        <w:rPr>
          <w:rStyle w:val="FootnoteReference"/>
        </w:rPr>
        <w:footnoteRef/>
      </w:r>
      <w:r w:rsidRPr="00AC6B0E">
        <w:t xml:space="preserve"> </w:t>
      </w:r>
      <w:r w:rsidRPr="00AC6B0E">
        <w:rPr>
          <w:i/>
        </w:rPr>
        <w:t>See</w:t>
      </w:r>
      <w:r>
        <w:rPr>
          <w:i/>
        </w:rPr>
        <w:t xml:space="preserve"> id</w:t>
      </w:r>
      <w:r w:rsidRPr="004D7C2B">
        <w:t>.</w:t>
      </w:r>
    </w:p>
  </w:footnote>
  <w:footnote w:id="13">
    <w:p w:rsidR="00116D40" w:rsidRPr="00754B52" w:rsidRDefault="00116D40" w:rsidP="00FF7384">
      <w:pPr>
        <w:pStyle w:val="FootnoteText"/>
      </w:pPr>
      <w:r w:rsidRPr="00AC6B0E">
        <w:rPr>
          <w:rStyle w:val="FootnoteReference"/>
        </w:rPr>
        <w:footnoteRef/>
      </w:r>
      <w:r w:rsidRPr="00AC6B0E">
        <w:t xml:space="preserve"> </w:t>
      </w:r>
      <w:r w:rsidRPr="00AC6B0E">
        <w:rPr>
          <w:i/>
        </w:rPr>
        <w:t>See id</w:t>
      </w:r>
      <w:r w:rsidRPr="00AC6B0E">
        <w:t>.</w:t>
      </w:r>
      <w:r>
        <w:t xml:space="preserve">  We note that Radio License does not maintain this position in its March 5, 2012, response to the NAL in this proceeding.  </w:t>
      </w:r>
      <w:r w:rsidRPr="00B427B4">
        <w:rPr>
          <w:i/>
        </w:rPr>
        <w:t>See</w:t>
      </w:r>
      <w:r>
        <w:rPr>
          <w:i/>
        </w:rPr>
        <w:t xml:space="preserve"> infra </w:t>
      </w:r>
      <w:r>
        <w:t>para. 10</w:t>
      </w:r>
      <w:r w:rsidR="000737AB">
        <w:t xml:space="preserve"> &amp;</w:t>
      </w:r>
      <w:r w:rsidR="00780F58">
        <w:t xml:space="preserve"> </w:t>
      </w:r>
      <w:r w:rsidR="00966C84">
        <w:t>note 58</w:t>
      </w:r>
      <w:r>
        <w:t>.</w:t>
      </w:r>
      <w:r>
        <w:rPr>
          <w:i/>
        </w:rPr>
        <w:t xml:space="preserve"> </w:t>
      </w:r>
    </w:p>
  </w:footnote>
  <w:footnote w:id="14">
    <w:p w:rsidR="00116D40" w:rsidRDefault="00116D40" w:rsidP="00FF7384">
      <w:pPr>
        <w:pStyle w:val="FootnoteText"/>
      </w:pPr>
      <w:r>
        <w:rPr>
          <w:rStyle w:val="FootnoteReference"/>
        </w:rPr>
        <w:footnoteRef/>
      </w:r>
      <w:r>
        <w:t xml:space="preserve"> </w:t>
      </w:r>
      <w:r>
        <w:rPr>
          <w:i/>
        </w:rPr>
        <w:t xml:space="preserve">See id. </w:t>
      </w:r>
      <w:r>
        <w:t>at Exs. A &amp; B.</w:t>
      </w:r>
    </w:p>
  </w:footnote>
  <w:footnote w:id="15">
    <w:p w:rsidR="00116D40" w:rsidRDefault="00116D40" w:rsidP="00FF7384">
      <w:pPr>
        <w:pStyle w:val="FootnoteText"/>
      </w:pPr>
      <w:r>
        <w:rPr>
          <w:rStyle w:val="FootnoteReference"/>
        </w:rPr>
        <w:footnoteRef/>
      </w:r>
      <w:r>
        <w:t xml:space="preserve"> </w:t>
      </w:r>
      <w:r>
        <w:rPr>
          <w:i/>
        </w:rPr>
        <w:t xml:space="preserve">See id. </w:t>
      </w:r>
      <w:r>
        <w:t>at Ex. A, Spot # C463, and Ex. B (audio recording), Track 6.</w:t>
      </w:r>
    </w:p>
  </w:footnote>
  <w:footnote w:id="16">
    <w:p w:rsidR="00116D40" w:rsidRPr="00AC6B0E" w:rsidRDefault="00116D40" w:rsidP="00FF7384">
      <w:pPr>
        <w:pStyle w:val="FootnoteText"/>
      </w:pPr>
      <w:r w:rsidRPr="00AC6B0E">
        <w:rPr>
          <w:rStyle w:val="FootnoteReference"/>
        </w:rPr>
        <w:footnoteRef/>
      </w:r>
      <w:r w:rsidRPr="00AC6B0E">
        <w:t xml:space="preserve"> </w:t>
      </w:r>
      <w:r w:rsidRPr="00AC6B0E">
        <w:rPr>
          <w:i/>
        </w:rPr>
        <w:t>See Radio License Holding XI, LLC</w:t>
      </w:r>
      <w:r w:rsidRPr="00AC6B0E">
        <w:t>, Notice of Apparent Liability for Forfeiture, 27 FCC Rcd 930 (2012) (</w:t>
      </w:r>
      <w:r w:rsidRPr="00AC6B0E">
        <w:rPr>
          <w:i/>
        </w:rPr>
        <w:t>NAL</w:t>
      </w:r>
      <w:r w:rsidRPr="00AC6B0E">
        <w:t>).</w:t>
      </w:r>
    </w:p>
  </w:footnote>
  <w:footnote w:id="17">
    <w:p w:rsidR="00116D40" w:rsidRPr="00AC6B0E" w:rsidRDefault="00116D40" w:rsidP="00FF7384">
      <w:pPr>
        <w:pStyle w:val="FootnoteText"/>
      </w:pPr>
      <w:r w:rsidRPr="00AC6B0E">
        <w:rPr>
          <w:rStyle w:val="FootnoteReference"/>
        </w:rPr>
        <w:footnoteRef/>
      </w:r>
      <w:r w:rsidRPr="00AC6B0E">
        <w:t xml:space="preserve"> </w:t>
      </w:r>
      <w:r w:rsidRPr="00AC6B0E">
        <w:rPr>
          <w:i/>
        </w:rPr>
        <w:t>See id.</w:t>
      </w:r>
      <w:r w:rsidRPr="00AC6B0E">
        <w:t xml:space="preserve"> at 930–35, paras. 1–11.</w:t>
      </w:r>
    </w:p>
  </w:footnote>
  <w:footnote w:id="18">
    <w:p w:rsidR="00116D40" w:rsidRPr="00AC6B0E" w:rsidRDefault="00116D40" w:rsidP="00FF7384">
      <w:pPr>
        <w:pStyle w:val="FootnoteText"/>
      </w:pPr>
      <w:r w:rsidRPr="00AC6B0E">
        <w:rPr>
          <w:rStyle w:val="FootnoteReference"/>
        </w:rPr>
        <w:footnoteRef/>
      </w:r>
      <w:r w:rsidRPr="00AC6B0E">
        <w:t xml:space="preserve"> </w:t>
      </w:r>
      <w:r w:rsidRPr="00AC6B0E">
        <w:rPr>
          <w:i/>
        </w:rPr>
        <w:t>See id.</w:t>
      </w:r>
      <w:r w:rsidRPr="00AC6B0E">
        <w:t xml:space="preserve"> at 930–31, para. 3, 932–35, paras. 6–11.</w:t>
      </w:r>
    </w:p>
  </w:footnote>
  <w:footnote w:id="19">
    <w:p w:rsidR="00116D40" w:rsidRPr="00AC6B0E" w:rsidRDefault="00116D40" w:rsidP="00FF7384">
      <w:pPr>
        <w:pStyle w:val="FootnoteText"/>
      </w:pPr>
      <w:r w:rsidRPr="00AC6B0E">
        <w:rPr>
          <w:rStyle w:val="FootnoteReference"/>
        </w:rPr>
        <w:footnoteRef/>
      </w:r>
      <w:r w:rsidRPr="00AC6B0E">
        <w:t xml:space="preserve"> </w:t>
      </w:r>
      <w:r w:rsidRPr="00AC6B0E">
        <w:rPr>
          <w:i/>
        </w:rPr>
        <w:t>See id.</w:t>
      </w:r>
      <w:r w:rsidRPr="00AC6B0E">
        <w:t xml:space="preserve"> at 935, para. 11.</w:t>
      </w:r>
    </w:p>
  </w:footnote>
  <w:footnote w:id="20">
    <w:p w:rsidR="00116D40" w:rsidRPr="00AC6B0E" w:rsidRDefault="00116D40" w:rsidP="00FF7384">
      <w:pPr>
        <w:pStyle w:val="FootnoteText"/>
      </w:pPr>
      <w:r w:rsidRPr="00AC6B0E">
        <w:rPr>
          <w:rStyle w:val="FootnoteReference"/>
        </w:rPr>
        <w:footnoteRef/>
      </w:r>
      <w:r w:rsidRPr="00AC6B0E">
        <w:t xml:space="preserve"> </w:t>
      </w:r>
      <w:r w:rsidRPr="00AC6B0E">
        <w:rPr>
          <w:i/>
        </w:rPr>
        <w:t>See</w:t>
      </w:r>
      <w:r w:rsidRPr="00AC6B0E">
        <w:t xml:space="preserve"> Letter from Andrew S. Kersting, Counsel to Radio License Holding XI, LLC, Dickstein Shapiro LLP, to Theresa Z. Cavanaugh, Acting Chief, Investigations and Hearings Division,</w:t>
      </w:r>
      <w:r>
        <w:t xml:space="preserve"> FCC</w:t>
      </w:r>
      <w:r w:rsidRPr="00AC6B0E">
        <w:t xml:space="preserve"> Enforcement Bureau</w:t>
      </w:r>
      <w:r>
        <w:t xml:space="preserve"> </w:t>
      </w:r>
      <w:r w:rsidRPr="00AC6B0E">
        <w:t>(Mar. 5, 2012) (on file in EB-09-IH-0574) (NAL Response).</w:t>
      </w:r>
      <w:r>
        <w:t xml:space="preserve">  Counsel subsequently reported an address change.  Letter from Lewis J. Paper and </w:t>
      </w:r>
      <w:r w:rsidRPr="00AC6B0E">
        <w:t xml:space="preserve">Andrew S. Kersting, Counsel to Radio License Holding XI, LLC, </w:t>
      </w:r>
      <w:r>
        <w:t>Pillsbury Winthrop Shaw Pittman LLP</w:t>
      </w:r>
      <w:r w:rsidRPr="00AC6B0E">
        <w:t>, to Theresa Z. Cavanaugh, Acting Chief, Investigations and Hearings Division,</w:t>
      </w:r>
      <w:r>
        <w:t xml:space="preserve"> FCC</w:t>
      </w:r>
      <w:r w:rsidRPr="00AC6B0E">
        <w:t xml:space="preserve"> Enforcement Bureau</w:t>
      </w:r>
      <w:r>
        <w:t xml:space="preserve"> (Apr. 11</w:t>
      </w:r>
      <w:r w:rsidRPr="00AC6B0E">
        <w:t>, 2012</w:t>
      </w:r>
      <w:r w:rsidR="000E5669">
        <w:t>) (on file</w:t>
      </w:r>
      <w:r>
        <w:t xml:space="preserve"> in </w:t>
      </w:r>
      <w:r w:rsidRPr="00AC6B0E">
        <w:t>EB-09-IH-0574)</w:t>
      </w:r>
      <w:r>
        <w:t>.</w:t>
      </w:r>
      <w:r w:rsidRPr="00AC6B0E">
        <w:t xml:space="preserve"> </w:t>
      </w:r>
    </w:p>
  </w:footnote>
  <w:footnote w:id="21">
    <w:p w:rsidR="00116D40" w:rsidRPr="00AC6B0E" w:rsidRDefault="00116D40" w:rsidP="00FF7384">
      <w:pPr>
        <w:pStyle w:val="FootnoteText"/>
      </w:pPr>
      <w:r w:rsidRPr="004E7201">
        <w:rPr>
          <w:rStyle w:val="FootnoteReference"/>
        </w:rPr>
        <w:footnoteRef/>
      </w:r>
      <w:r w:rsidRPr="00AC6B0E">
        <w:t xml:space="preserve"> </w:t>
      </w:r>
      <w:r>
        <w:t>NAL Response</w:t>
      </w:r>
      <w:r w:rsidRPr="00AC6B0E">
        <w:t xml:space="preserve"> at 2.</w:t>
      </w:r>
    </w:p>
  </w:footnote>
  <w:footnote w:id="22">
    <w:p w:rsidR="00116D40" w:rsidRPr="00AC6B0E" w:rsidRDefault="00116D40" w:rsidP="00FF7384">
      <w:pPr>
        <w:pStyle w:val="FootnoteText"/>
      </w:pPr>
      <w:r w:rsidRPr="00AC6B0E">
        <w:rPr>
          <w:rStyle w:val="FootnoteReference"/>
        </w:rPr>
        <w:footnoteRef/>
      </w:r>
      <w:r w:rsidRPr="00AC6B0E">
        <w:t xml:space="preserve"> </w:t>
      </w:r>
      <w:r w:rsidRPr="00AC6B0E">
        <w:rPr>
          <w:i/>
        </w:rPr>
        <w:t>See id</w:t>
      </w:r>
      <w:r w:rsidRPr="004D7C2B">
        <w:t>.</w:t>
      </w:r>
      <w:r w:rsidRPr="00675A22">
        <w:t xml:space="preserve"> </w:t>
      </w:r>
      <w:r w:rsidRPr="00AC6B0E">
        <w:t>at 3–4.</w:t>
      </w:r>
    </w:p>
  </w:footnote>
  <w:footnote w:id="23">
    <w:p w:rsidR="00116D40" w:rsidRDefault="00116D40" w:rsidP="00FF7384">
      <w:pPr>
        <w:pStyle w:val="FootnoteText"/>
      </w:pPr>
      <w:r>
        <w:rPr>
          <w:rStyle w:val="FootnoteReference"/>
        </w:rPr>
        <w:footnoteRef/>
      </w:r>
      <w:r>
        <w:t xml:space="preserve"> </w:t>
      </w:r>
      <w:r w:rsidRPr="004D7C2B">
        <w:rPr>
          <w:i/>
        </w:rPr>
        <w:t>See id</w:t>
      </w:r>
      <w:r w:rsidRPr="00675A22">
        <w:t xml:space="preserve">. </w:t>
      </w:r>
      <w:r>
        <w:t>at 3.</w:t>
      </w:r>
    </w:p>
  </w:footnote>
  <w:footnote w:id="24">
    <w:p w:rsidR="00116D40" w:rsidRDefault="00116D40" w:rsidP="00FF7384">
      <w:pPr>
        <w:pStyle w:val="FootnoteText"/>
      </w:pPr>
      <w:r>
        <w:rPr>
          <w:rStyle w:val="FootnoteReference"/>
        </w:rPr>
        <w:footnoteRef/>
      </w:r>
      <w:r>
        <w:t xml:space="preserve"> </w:t>
      </w:r>
      <w:r w:rsidRPr="004D7C2B">
        <w:rPr>
          <w:i/>
        </w:rPr>
        <w:t>See id</w:t>
      </w:r>
      <w:r>
        <w:t>. at 2–3.</w:t>
      </w:r>
    </w:p>
  </w:footnote>
  <w:footnote w:id="25">
    <w:p w:rsidR="00116D40" w:rsidRPr="00AC6B0E" w:rsidRDefault="00116D40" w:rsidP="00FF7384">
      <w:pPr>
        <w:pStyle w:val="FootnoteText"/>
      </w:pPr>
      <w:r w:rsidRPr="00AC6B0E">
        <w:rPr>
          <w:rStyle w:val="FootnoteReference"/>
        </w:rPr>
        <w:footnoteRef/>
      </w:r>
      <w:r w:rsidRPr="00AC6B0E">
        <w:t xml:space="preserve"> 47 U.S.C. § 503(b)(1)(B); 47 C.F.R. § 1.80(a)(</w:t>
      </w:r>
      <w:r>
        <w:t>2</w:t>
      </w:r>
      <w:r w:rsidRPr="00AC6B0E">
        <w:t xml:space="preserve">); </w:t>
      </w:r>
      <w:r w:rsidRPr="00AC6B0E">
        <w:rPr>
          <w:i/>
        </w:rPr>
        <w:t xml:space="preserve">see also </w:t>
      </w:r>
      <w:r w:rsidRPr="00AC6B0E">
        <w:t>47 U.S.C. § 503(b)(1)(D)</w:t>
      </w:r>
      <w:r w:rsidRPr="00AC6B0E">
        <w:rPr>
          <w:b/>
        </w:rPr>
        <w:t>.</w:t>
      </w:r>
      <w:r w:rsidRPr="00AC6B0E">
        <w:t xml:space="preserve">  </w:t>
      </w:r>
    </w:p>
  </w:footnote>
  <w:footnote w:id="26">
    <w:p w:rsidR="00116D40" w:rsidRPr="00AC6B0E" w:rsidRDefault="00116D40" w:rsidP="00FF7384">
      <w:pPr>
        <w:pStyle w:val="FootnoteText"/>
      </w:pPr>
      <w:r w:rsidRPr="00AC6B0E">
        <w:rPr>
          <w:rStyle w:val="FootnoteReference"/>
        </w:rPr>
        <w:footnoteRef/>
      </w:r>
      <w:r w:rsidRPr="00AC6B0E">
        <w:t xml:space="preserve"> 47 U.S.C. § 312(f)(1).</w:t>
      </w:r>
    </w:p>
  </w:footnote>
  <w:footnote w:id="27">
    <w:p w:rsidR="00116D40" w:rsidRPr="00AC6B0E" w:rsidRDefault="00116D40" w:rsidP="00FF7384">
      <w:pPr>
        <w:pStyle w:val="FootnoteText"/>
      </w:pPr>
      <w:r w:rsidRPr="00AC6B0E">
        <w:rPr>
          <w:rStyle w:val="FootnoteReference"/>
        </w:rPr>
        <w:footnoteRef/>
      </w:r>
      <w:r w:rsidRPr="00AC6B0E">
        <w:t xml:space="preserve"> H.R. Rep. No. 97-765, 97</w:t>
      </w:r>
      <w:r w:rsidRPr="00AC6B0E">
        <w:rPr>
          <w:vertAlign w:val="superscript"/>
        </w:rPr>
        <w:t>th</w:t>
      </w:r>
      <w:r w:rsidRPr="00AC6B0E">
        <w:t xml:space="preserve"> Cong. 2d Sess. 51 (1982).</w:t>
      </w:r>
    </w:p>
  </w:footnote>
  <w:footnote w:id="28">
    <w:p w:rsidR="00116D40" w:rsidRPr="00AC6B0E" w:rsidRDefault="00116D40" w:rsidP="00FF7384">
      <w:pPr>
        <w:pStyle w:val="FootnoteText"/>
      </w:pPr>
      <w:r w:rsidRPr="00AC6B0E">
        <w:rPr>
          <w:rStyle w:val="FootnoteReference"/>
        </w:rPr>
        <w:footnoteRef/>
      </w:r>
      <w:r w:rsidRPr="00AC6B0E">
        <w:t xml:space="preserve"> </w:t>
      </w:r>
      <w:r w:rsidRPr="00AC6B0E">
        <w:rPr>
          <w:i/>
        </w:rPr>
        <w:t>See, e.g.</w:t>
      </w:r>
      <w:r>
        <w:t>,</w:t>
      </w:r>
      <w:r w:rsidRPr="00AC6B0E">
        <w:rPr>
          <w:i/>
        </w:rPr>
        <w:t xml:space="preserve"> S. Cal. Broad. Co.</w:t>
      </w:r>
      <w:r w:rsidRPr="00AC6B0E">
        <w:t>, Memorandum Opinion and Order, 6 FCC Rcd 4387, 4388, para. 5 (1991) (</w:t>
      </w:r>
      <w:r w:rsidRPr="00AC6B0E">
        <w:rPr>
          <w:i/>
        </w:rPr>
        <w:t>S. Cal. Broad.</w:t>
      </w:r>
      <w:r w:rsidRPr="00AC6B0E">
        <w:t xml:space="preserve">), </w:t>
      </w:r>
      <w:r w:rsidRPr="00AC6B0E">
        <w:rPr>
          <w:i/>
          <w:iCs/>
        </w:rPr>
        <w:t>recon. denied</w:t>
      </w:r>
      <w:r w:rsidRPr="00AC6B0E">
        <w:t>, 7 FCC Rcd 3454 (1992).</w:t>
      </w:r>
    </w:p>
  </w:footnote>
  <w:footnote w:id="29">
    <w:p w:rsidR="00116D40" w:rsidRPr="00AC6B0E" w:rsidRDefault="00116D40" w:rsidP="00FF7384">
      <w:pPr>
        <w:pStyle w:val="FootnoteText"/>
      </w:pPr>
      <w:r w:rsidRPr="00AC6B0E">
        <w:rPr>
          <w:rStyle w:val="FootnoteReference"/>
        </w:rPr>
        <w:footnoteRef/>
      </w:r>
      <w:r w:rsidRPr="00AC6B0E">
        <w:t xml:space="preserve"> </w:t>
      </w:r>
      <w:r w:rsidRPr="00AC6B0E">
        <w:rPr>
          <w:i/>
        </w:rPr>
        <w:t>See, e.g.</w:t>
      </w:r>
      <w:r>
        <w:t>,</w:t>
      </w:r>
      <w:r w:rsidRPr="00AC6B0E">
        <w:t xml:space="preserve"> </w:t>
      </w:r>
      <w:r w:rsidRPr="00AC6B0E">
        <w:rPr>
          <w:i/>
        </w:rPr>
        <w:t>Callais Cablevision, Inc.</w:t>
      </w:r>
      <w:r w:rsidRPr="00AC6B0E">
        <w:t>, Notice of Apparent Liability for Monetary Forfeiture, 16 FCC Rcd 1359, 1362, para. 10 (2001) (</w:t>
      </w:r>
      <w:r w:rsidRPr="00AC6B0E">
        <w:rPr>
          <w:i/>
        </w:rPr>
        <w:t>Callais Cablevision</w:t>
      </w:r>
      <w:r w:rsidRPr="00AC6B0E">
        <w:t xml:space="preserve">) (issuing a Notice of Apparent Liability for, </w:t>
      </w:r>
      <w:r w:rsidRPr="00A80ABB">
        <w:rPr>
          <w:i/>
        </w:rPr>
        <w:t>inter alia</w:t>
      </w:r>
      <w:r w:rsidRPr="00AC6B0E">
        <w:t xml:space="preserve">, a cable television operator’s repeated </w:t>
      </w:r>
      <w:r>
        <w:t xml:space="preserve">violation of the cable </w:t>
      </w:r>
      <w:r w:rsidRPr="00AC6B0E">
        <w:t>signal leakage</w:t>
      </w:r>
      <w:r>
        <w:t xml:space="preserve"> rules</w:t>
      </w:r>
      <w:r w:rsidRPr="00AC6B0E">
        <w:t xml:space="preserve">). </w:t>
      </w:r>
    </w:p>
  </w:footnote>
  <w:footnote w:id="30">
    <w:p w:rsidR="00116D40" w:rsidRPr="00AC6B0E" w:rsidRDefault="00116D40" w:rsidP="00FF7384">
      <w:pPr>
        <w:pStyle w:val="FootnoteText"/>
      </w:pPr>
      <w:r w:rsidRPr="00AC6B0E">
        <w:rPr>
          <w:rStyle w:val="FootnoteReference"/>
        </w:rPr>
        <w:footnoteRef/>
      </w:r>
      <w:r w:rsidRPr="00AC6B0E">
        <w:t xml:space="preserve"> </w:t>
      </w:r>
      <w:r w:rsidRPr="00AC6B0E">
        <w:rPr>
          <w:i/>
        </w:rPr>
        <w:t>S. Cal. Broad.</w:t>
      </w:r>
      <w:r>
        <w:t>,</w:t>
      </w:r>
      <w:r w:rsidRPr="00AC6B0E">
        <w:rPr>
          <w:i/>
        </w:rPr>
        <w:t xml:space="preserve"> </w:t>
      </w:r>
      <w:r w:rsidRPr="00AC6B0E">
        <w:t xml:space="preserve">6 FCC Rcd at 4388, para. 5; </w:t>
      </w:r>
      <w:r w:rsidRPr="00AC6B0E">
        <w:rPr>
          <w:i/>
        </w:rPr>
        <w:t>Callais Cablevision</w:t>
      </w:r>
      <w:r>
        <w:t>,</w:t>
      </w:r>
      <w:r w:rsidRPr="00AC6B0E">
        <w:rPr>
          <w:i/>
        </w:rPr>
        <w:t xml:space="preserve"> </w:t>
      </w:r>
      <w:r w:rsidRPr="00AC6B0E">
        <w:t>16 FCC Rcd at 1362, para. 9.</w:t>
      </w:r>
    </w:p>
  </w:footnote>
  <w:footnote w:id="31">
    <w:p w:rsidR="00116D40" w:rsidRPr="00AC6B0E" w:rsidRDefault="00116D40" w:rsidP="00FF7384">
      <w:pPr>
        <w:pStyle w:val="FootnoteText"/>
      </w:pPr>
      <w:r w:rsidRPr="00AC6B0E">
        <w:rPr>
          <w:rStyle w:val="FootnoteReference"/>
        </w:rPr>
        <w:footnoteRef/>
      </w:r>
      <w:r w:rsidRPr="00AC6B0E">
        <w:t xml:space="preserve"> 47 U.S.C. § 503(b); 47 C.F.R. § 1.80(f).</w:t>
      </w:r>
    </w:p>
  </w:footnote>
  <w:footnote w:id="32">
    <w:p w:rsidR="00116D40" w:rsidRPr="00AC6B0E" w:rsidRDefault="00116D40" w:rsidP="00FF7384">
      <w:pPr>
        <w:pStyle w:val="FootnoteText"/>
      </w:pPr>
      <w:r w:rsidRPr="00AC6B0E">
        <w:rPr>
          <w:rStyle w:val="FootnoteReference"/>
        </w:rPr>
        <w:footnoteRef/>
      </w:r>
      <w:r w:rsidRPr="00AC6B0E">
        <w:rPr>
          <w:i/>
        </w:rPr>
        <w:t xml:space="preserve"> See</w:t>
      </w:r>
      <w:r w:rsidRPr="004D7C2B">
        <w:t>,</w:t>
      </w:r>
      <w:r w:rsidRPr="00AC6B0E">
        <w:rPr>
          <w:i/>
        </w:rPr>
        <w:t xml:space="preserve"> e.g.</w:t>
      </w:r>
      <w:r w:rsidRPr="004D7C2B">
        <w:t xml:space="preserve">, </w:t>
      </w:r>
      <w:r w:rsidRPr="00AC6B0E">
        <w:rPr>
          <w:i/>
        </w:rPr>
        <w:t>SBC Commc</w:t>
      </w:r>
      <w:r>
        <w:rPr>
          <w:i/>
        </w:rPr>
        <w:t>’</w:t>
      </w:r>
      <w:r w:rsidRPr="00AC6B0E">
        <w:rPr>
          <w:i/>
        </w:rPr>
        <w:t>ns, Inc</w:t>
      </w:r>
      <w:r w:rsidRPr="00AC6B0E">
        <w:t>.,</w:t>
      </w:r>
      <w:r w:rsidRPr="00AC6B0E">
        <w:rPr>
          <w:i/>
        </w:rPr>
        <w:t xml:space="preserve"> </w:t>
      </w:r>
      <w:r w:rsidRPr="00AC6B0E">
        <w:t>Forfeiture Order, 17 FCC Rcd 7589, 7591, para. 4 (2002) (forfeiture paid).</w:t>
      </w:r>
    </w:p>
  </w:footnote>
  <w:footnote w:id="33">
    <w:p w:rsidR="00116D40" w:rsidRDefault="00116D40" w:rsidP="002931C2">
      <w:pPr>
        <w:pStyle w:val="FootnoteText"/>
        <w:rPr>
          <w:i/>
        </w:rPr>
      </w:pPr>
      <w:r>
        <w:rPr>
          <w:rStyle w:val="FootnoteReference"/>
        </w:rPr>
        <w:footnoteRef/>
      </w:r>
      <w:r>
        <w:t xml:space="preserve"> 47 U.S.C. § 317(a)(1); </w:t>
      </w:r>
      <w:r>
        <w:rPr>
          <w:i/>
        </w:rPr>
        <w:t xml:space="preserve">see </w:t>
      </w:r>
      <w:r>
        <w:t xml:space="preserve">47 C.F.R. § 73.1212(a).  </w:t>
      </w:r>
    </w:p>
  </w:footnote>
  <w:footnote w:id="34">
    <w:p w:rsidR="00116D40" w:rsidRDefault="00116D40" w:rsidP="002931C2">
      <w:pPr>
        <w:pStyle w:val="FootnoteText"/>
      </w:pPr>
      <w:r>
        <w:rPr>
          <w:rStyle w:val="FootnoteReference"/>
        </w:rPr>
        <w:footnoteRef/>
      </w:r>
      <w:r>
        <w:t xml:space="preserve"> 47 U.S.C. § 317(a)(1).  </w:t>
      </w:r>
    </w:p>
  </w:footnote>
  <w:footnote w:id="35">
    <w:p w:rsidR="00116D40" w:rsidRDefault="00116D40" w:rsidP="002931C2">
      <w:pPr>
        <w:pStyle w:val="FootnoteText"/>
      </w:pPr>
      <w:r>
        <w:rPr>
          <w:rStyle w:val="FootnoteReference"/>
        </w:rPr>
        <w:footnoteRef/>
      </w:r>
      <w:r>
        <w:t xml:space="preserve"> 47 C.F.R. § 73.1212(a). </w:t>
      </w:r>
    </w:p>
  </w:footnote>
  <w:footnote w:id="36">
    <w:p w:rsidR="00116D40" w:rsidRDefault="00116D40" w:rsidP="00990D3A">
      <w:pPr>
        <w:pStyle w:val="FootnoteText"/>
      </w:pPr>
      <w:r>
        <w:rPr>
          <w:rStyle w:val="FootnoteReference"/>
        </w:rPr>
        <w:footnoteRef/>
      </w:r>
      <w:r>
        <w:t xml:space="preserve"> </w:t>
      </w:r>
      <w:r>
        <w:rPr>
          <w:i/>
        </w:rPr>
        <w:t>See, e.g.</w:t>
      </w:r>
      <w:r>
        <w:t>,</w:t>
      </w:r>
      <w:r>
        <w:rPr>
          <w:i/>
        </w:rPr>
        <w:t xml:space="preserve"> </w:t>
      </w:r>
      <w:r>
        <w:rPr>
          <w:bCs/>
          <w:i/>
          <w:iCs/>
        </w:rPr>
        <w:t>Commission</w:t>
      </w:r>
      <w:r>
        <w:rPr>
          <w:i/>
          <w:iCs/>
        </w:rPr>
        <w:t xml:space="preserve"> Reminds Broadcast Licensees, Cable Operators and Others of Requirements Applicable to Video News Releases and Seeks Comment on the Use of Video News Releases by Broadcast Licensees and Cable Operators</w:t>
      </w:r>
      <w:r>
        <w:rPr>
          <w:iCs/>
        </w:rPr>
        <w:t>,</w:t>
      </w:r>
      <w:r>
        <w:t xml:space="preserve"> Public Notice, 20 FCC Rcd 8593, 8593–94 (2005).</w:t>
      </w:r>
      <w:r w:rsidR="00966C84">
        <w:t xml:space="preserve"> </w:t>
      </w:r>
    </w:p>
  </w:footnote>
  <w:footnote w:id="37">
    <w:p w:rsidR="00116D40" w:rsidRDefault="00116D40" w:rsidP="00990D3A">
      <w:pPr>
        <w:pStyle w:val="FootnoteText"/>
      </w:pPr>
      <w:r>
        <w:rPr>
          <w:rStyle w:val="FootnoteReference"/>
        </w:rPr>
        <w:footnoteRef/>
      </w:r>
      <w:r>
        <w:t xml:space="preserve"> </w:t>
      </w:r>
      <w:r>
        <w:rPr>
          <w:i/>
        </w:rPr>
        <w:t>See Sonshine Family Television, Inc.</w:t>
      </w:r>
      <w:r>
        <w:t xml:space="preserve">, Notice of Apparent Liability for Forfeiture, 22 FCC Rcd 18686, 18694, para. 15 (2007), </w:t>
      </w:r>
      <w:r>
        <w:rPr>
          <w:i/>
        </w:rPr>
        <w:t>aff’d with reduced forfeiture</w:t>
      </w:r>
      <w:r>
        <w:t>,</w:t>
      </w:r>
      <w:r>
        <w:rPr>
          <w:i/>
        </w:rPr>
        <w:t xml:space="preserve"> </w:t>
      </w:r>
      <w:r>
        <w:t xml:space="preserve">Forfeiture Order, 24 FCC Rcd 14830, 14834, para. 12 (2009) (forfeiture reduced, based on licensee’s history of compliance) (forfeiture paid).  </w:t>
      </w:r>
    </w:p>
  </w:footnote>
  <w:footnote w:id="38">
    <w:p w:rsidR="00116D40" w:rsidRPr="00082D00" w:rsidRDefault="00116D40" w:rsidP="00FF7384">
      <w:pPr>
        <w:pStyle w:val="FootnoteText"/>
      </w:pPr>
      <w:r>
        <w:rPr>
          <w:rStyle w:val="FootnoteReference"/>
        </w:rPr>
        <w:footnoteRef/>
      </w:r>
      <w:r>
        <w:t xml:space="preserve"> </w:t>
      </w:r>
      <w:r>
        <w:rPr>
          <w:i/>
        </w:rPr>
        <w:t>NAL</w:t>
      </w:r>
      <w:r>
        <w:t>, 27 FCC Rcd at 935, para. 11.</w:t>
      </w:r>
    </w:p>
  </w:footnote>
  <w:footnote w:id="39">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U.S.C. § 503(b).</w:t>
      </w:r>
    </w:p>
  </w:footnote>
  <w:footnote w:id="40">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C.F.R. § 1.80.</w:t>
      </w:r>
    </w:p>
  </w:footnote>
  <w:footnote w:id="41">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rPr>
          <w:i/>
          <w:szCs w:val="22"/>
        </w:rPr>
        <w:t>Commission’s Forfeiture Policy Statement and Amendment of Section 1.80 of the Rules to Incorporate the Forfeiture Guidelines</w:t>
      </w:r>
      <w:r w:rsidRPr="00AC6B0E">
        <w:rPr>
          <w:szCs w:val="22"/>
        </w:rPr>
        <w:t xml:space="preserve">, Report and Order, 12 FCC Rcd 17087 (1997), </w:t>
      </w:r>
      <w:r w:rsidRPr="00AC6B0E">
        <w:rPr>
          <w:i/>
          <w:szCs w:val="22"/>
        </w:rPr>
        <w:t>recons. denied</w:t>
      </w:r>
      <w:r w:rsidRPr="00AC6B0E">
        <w:rPr>
          <w:szCs w:val="22"/>
        </w:rPr>
        <w:t>, 15 FCC Rcd 303 (1999) (</w:t>
      </w:r>
      <w:r w:rsidRPr="00AC6B0E">
        <w:rPr>
          <w:i/>
          <w:szCs w:val="22"/>
        </w:rPr>
        <w:t>Forfeiture Policy Statement</w:t>
      </w:r>
      <w:r w:rsidRPr="00AC6B0E">
        <w:rPr>
          <w:szCs w:val="22"/>
        </w:rPr>
        <w:t>).</w:t>
      </w:r>
    </w:p>
  </w:footnote>
  <w:footnote w:id="42">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U.S.C. § 503(b)(2)(E)</w:t>
      </w:r>
      <w:r>
        <w:t xml:space="preserve">; </w:t>
      </w:r>
      <w:r w:rsidR="00966C84" w:rsidRPr="00477386">
        <w:rPr>
          <w:i/>
        </w:rPr>
        <w:t>see also</w:t>
      </w:r>
      <w:r w:rsidR="00966C84">
        <w:t xml:space="preserve"> </w:t>
      </w:r>
      <w:r>
        <w:t xml:space="preserve">47 C.F.R. </w:t>
      </w:r>
      <w:r w:rsidRPr="00AC6B0E">
        <w:t>§</w:t>
      </w:r>
      <w:r>
        <w:t xml:space="preserve"> 1.80(b)(8)</w:t>
      </w:r>
      <w:r w:rsidRPr="00AC6B0E">
        <w:t>.</w:t>
      </w:r>
    </w:p>
  </w:footnote>
  <w:footnote w:id="43">
    <w:p w:rsidR="00F84815" w:rsidRDefault="00F84815" w:rsidP="00AB009B">
      <w:pPr>
        <w:pStyle w:val="FootnoteText"/>
      </w:pPr>
      <w:r>
        <w:rPr>
          <w:rStyle w:val="FootnoteReference"/>
        </w:rPr>
        <w:footnoteRef/>
      </w:r>
      <w:r>
        <w:t xml:space="preserve"> </w:t>
      </w:r>
      <w:r w:rsidRPr="00F84815">
        <w:rPr>
          <w:i/>
          <w:iCs/>
        </w:rPr>
        <w:t>See</w:t>
      </w:r>
      <w:r w:rsidRPr="00F84815">
        <w:t xml:space="preserve"> 47 U.S.C. § 503(b)(2)(A); 47 C.F.R. § 1.80(b).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Pr="00F84815">
        <w:rPr>
          <w:i/>
          <w:iCs/>
        </w:rPr>
        <w:t>See</w:t>
      </w:r>
      <w:r w:rsidRPr="00F84815">
        <w:t xml:space="preserve"> 28 U.S.C. § 2461 note (4).  The Commission most recently adjusted its penalties to account for inflation in 2013.  </w:t>
      </w:r>
      <w:r w:rsidRPr="00F84815">
        <w:rPr>
          <w:i/>
          <w:iCs/>
        </w:rPr>
        <w:t>See</w:t>
      </w:r>
      <w:r w:rsidRPr="00F84815">
        <w:t xml:space="preserve"> </w:t>
      </w:r>
      <w:r w:rsidRPr="00F84815">
        <w:rPr>
          <w:i/>
          <w:iCs/>
        </w:rPr>
        <w:t>Amendment of Section 1.80(b) of the Commission’s Rules, Adjustment of Civil Monetary Penalties to Reflect Inflation</w:t>
      </w:r>
      <w:r w:rsidRPr="00F84815">
        <w:t xml:space="preserve">, </w:t>
      </w:r>
      <w:r w:rsidRPr="00396376">
        <w:t>Order, 28 FCC Rcd 10785</w:t>
      </w:r>
      <w:r>
        <w:t xml:space="preserve"> </w:t>
      </w:r>
      <w:r w:rsidRPr="00F84815">
        <w:t xml:space="preserve">(Enf. Bur. 2013); </w:t>
      </w:r>
      <w:r w:rsidRPr="00F84815">
        <w:rPr>
          <w:i/>
          <w:iCs/>
        </w:rPr>
        <w:t>see also</w:t>
      </w:r>
      <w:r w:rsidRPr="00F84815">
        <w:t xml:space="preserve"> </w:t>
      </w:r>
      <w:r w:rsidRPr="00F84815">
        <w:rPr>
          <w:i/>
          <w:iCs/>
        </w:rPr>
        <w:t>Inflation Adjustment of Monetary Penalties</w:t>
      </w:r>
      <w:r w:rsidRPr="00F84815">
        <w:t xml:space="preserve">, 78 Fed. Reg. 49,370-01 (Aug. 14, 2013) (setting Sept. 13, 2013, as the effective date for the increases).  However, because the DCIA specifies that any inflationary adjustment “shall apply only to violations which occur after the date the increase takes effect,” we apply the forfeiture penalties in effect at the time the violation took place.  28 U.S.C. § 2461 note (6).  Here, because the violations at issue occurred before September 13, 2013, the applicable maximum penalties are based on the Commission’s previous inflation adjustment that became effective on September 2, 2008.  </w:t>
      </w:r>
      <w:r w:rsidRPr="00F84815">
        <w:rPr>
          <w:i/>
          <w:iCs/>
        </w:rPr>
        <w:t>See</w:t>
      </w:r>
      <w:r w:rsidRPr="00F84815">
        <w:t xml:space="preserve"> </w:t>
      </w:r>
      <w:r w:rsidRPr="00F84815">
        <w:rPr>
          <w:i/>
          <w:iCs/>
        </w:rPr>
        <w:t>Inflation Adjustment of Maximum Forfeiture Penalties</w:t>
      </w:r>
      <w:r w:rsidRPr="00F84815">
        <w:t>, 73 Fed. Reg. 44,663, 44,664 (July 31, 2008).</w:t>
      </w:r>
    </w:p>
  </w:footnote>
  <w:footnote w:id="44">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NAL Response at 3–4</w:t>
      </w:r>
      <w:r>
        <w:t xml:space="preserve"> </w:t>
      </w:r>
      <w:r w:rsidRPr="004D7C2B">
        <w:t>(citing</w:t>
      </w:r>
      <w:r>
        <w:t xml:space="preserve">, </w:t>
      </w:r>
      <w:r w:rsidRPr="00B03909">
        <w:rPr>
          <w:i/>
        </w:rPr>
        <w:t>e.g.</w:t>
      </w:r>
      <w:r>
        <w:t>,</w:t>
      </w:r>
      <w:r w:rsidRPr="004D7C2B">
        <w:t xml:space="preserve"> </w:t>
      </w:r>
      <w:r w:rsidRPr="004D7C2B">
        <w:rPr>
          <w:i/>
        </w:rPr>
        <w:t>AMFM Radio Licenses, L.L.C.</w:t>
      </w:r>
      <w:r w:rsidRPr="004D7C2B">
        <w:t xml:space="preserve">, Notice of Apparent Liability for Forfeiture, </w:t>
      </w:r>
      <w:r w:rsidRPr="004D7C2B">
        <w:rPr>
          <w:bCs/>
        </w:rPr>
        <w:t>15 FCC Rcd 19700, 19</w:t>
      </w:r>
      <w:r>
        <w:rPr>
          <w:bCs/>
        </w:rPr>
        <w:t>703, para. 11 (Enf. Bur. 2000)</w:t>
      </w:r>
      <w:r w:rsidRPr="004D7C2B">
        <w:rPr>
          <w:bCs/>
        </w:rPr>
        <w:t xml:space="preserve">; </w:t>
      </w:r>
      <w:r w:rsidRPr="004D7C2B">
        <w:rPr>
          <w:bCs/>
          <w:i/>
          <w:iCs/>
        </w:rPr>
        <w:t>Dallas Media Investors Corp.</w:t>
      </w:r>
      <w:r>
        <w:rPr>
          <w:bCs/>
          <w:iCs/>
        </w:rPr>
        <w:t>,</w:t>
      </w:r>
      <w:r w:rsidRPr="004D7C2B">
        <w:rPr>
          <w:bCs/>
          <w:i/>
          <w:iCs/>
        </w:rPr>
        <w:t xml:space="preserve"> </w:t>
      </w:r>
      <w:r w:rsidRPr="004D7C2B">
        <w:rPr>
          <w:bCs/>
        </w:rPr>
        <w:t>Notice of Apparent Liability for Forfeiture, 8 FCC Rcd</w:t>
      </w:r>
      <w:r>
        <w:rPr>
          <w:bCs/>
        </w:rPr>
        <w:t xml:space="preserve"> 3597–98 (Mass Med. Bur. 1993) </w:t>
      </w:r>
      <w:r w:rsidRPr="004D7C2B">
        <w:rPr>
          <w:bCs/>
        </w:rPr>
        <w:t>(proposing a twelve thousand</w:t>
      </w:r>
      <w:r>
        <w:rPr>
          <w:bCs/>
        </w:rPr>
        <w:t>,</w:t>
      </w:r>
      <w:r w:rsidRPr="004D7C2B">
        <w:rPr>
          <w:bCs/>
        </w:rPr>
        <w:t xml:space="preserve"> five hund</w:t>
      </w:r>
      <w:r>
        <w:rPr>
          <w:bCs/>
        </w:rPr>
        <w:t xml:space="preserve">red dollar ($12,500) forfeiture, double the then applicable base forfeiture, </w:t>
      </w:r>
      <w:r w:rsidRPr="004D7C2B">
        <w:rPr>
          <w:bCs/>
        </w:rPr>
        <w:t>for a licensee’s apparent violation of sponsorship identification laws</w:t>
      </w:r>
      <w:r>
        <w:rPr>
          <w:bCs/>
        </w:rPr>
        <w:t xml:space="preserve"> on 12 separate occasions</w:t>
      </w:r>
      <w:r w:rsidRPr="004D7C2B">
        <w:rPr>
          <w:bCs/>
        </w:rPr>
        <w:t xml:space="preserve">); </w:t>
      </w:r>
      <w:r w:rsidRPr="004D7C2B">
        <w:rPr>
          <w:bCs/>
          <w:i/>
        </w:rPr>
        <w:t>Mercury Broad. Co., Inc.</w:t>
      </w:r>
      <w:r w:rsidRPr="004D7C2B">
        <w:rPr>
          <w:bCs/>
        </w:rPr>
        <w:t>, Forfeiture Order, 25 FCC Rcd 4564, 4565–66, paras. 4–9 (Med. Bur. 2010) (assessing a sixteen thousand dollar ($16,000) forfeiture for a licensee’s violation of the children’s programming rule</w:t>
      </w:r>
      <w:r>
        <w:rPr>
          <w:bCs/>
        </w:rPr>
        <w:t xml:space="preserve"> on six separate occasions</w:t>
      </w:r>
      <w:r w:rsidRPr="004D7C2B">
        <w:rPr>
          <w:bCs/>
        </w:rPr>
        <w:t xml:space="preserve">); </w:t>
      </w:r>
      <w:r w:rsidRPr="004D7C2B">
        <w:rPr>
          <w:bCs/>
          <w:i/>
          <w:iCs/>
        </w:rPr>
        <w:t>WLFL Licensee, LLC</w:t>
      </w:r>
      <w:r w:rsidR="00F35549">
        <w:rPr>
          <w:bCs/>
          <w:iCs/>
        </w:rPr>
        <w:t>,</w:t>
      </w:r>
      <w:r w:rsidRPr="004D7C2B">
        <w:rPr>
          <w:bCs/>
          <w:i/>
          <w:iCs/>
        </w:rPr>
        <w:t xml:space="preserve"> </w:t>
      </w:r>
      <w:r w:rsidRPr="004D7C2B">
        <w:rPr>
          <w:bCs/>
          <w:iCs/>
        </w:rPr>
        <w:t>Notice of Apparent Liability for Forfeiture, 2</w:t>
      </w:r>
      <w:r>
        <w:rPr>
          <w:bCs/>
          <w:iCs/>
        </w:rPr>
        <w:t xml:space="preserve">3 FCC Rcd 8182 (Med. Bur. 2008) </w:t>
      </w:r>
      <w:r w:rsidRPr="004D7C2B">
        <w:rPr>
          <w:bCs/>
          <w:iCs/>
        </w:rPr>
        <w:t>(proposing a sixteen thousand</w:t>
      </w:r>
      <w:r>
        <w:rPr>
          <w:bCs/>
          <w:iCs/>
        </w:rPr>
        <w:t>,</w:t>
      </w:r>
      <w:r w:rsidRPr="004D7C2B">
        <w:rPr>
          <w:bCs/>
          <w:iCs/>
        </w:rPr>
        <w:t xml:space="preserve"> five hundred dollar ($16,500) forfeiture for a licensee’s violation of th</w:t>
      </w:r>
      <w:r>
        <w:rPr>
          <w:bCs/>
          <w:iCs/>
        </w:rPr>
        <w:t>e children’s television commercial limits on 11 separate occasions))</w:t>
      </w:r>
      <w:r w:rsidRPr="00AC6B0E">
        <w:t>.</w:t>
      </w:r>
    </w:p>
  </w:footnote>
  <w:footnote w:id="45">
    <w:p w:rsidR="00116D40" w:rsidRPr="00A52F15" w:rsidRDefault="00116D40" w:rsidP="00FF7384">
      <w:pPr>
        <w:pStyle w:val="FootnoteText"/>
      </w:pPr>
      <w:r>
        <w:rPr>
          <w:rStyle w:val="FootnoteReference"/>
        </w:rPr>
        <w:footnoteRef/>
      </w:r>
      <w:r>
        <w:t xml:space="preserve"> </w:t>
      </w:r>
      <w:r>
        <w:rPr>
          <w:i/>
        </w:rPr>
        <w:t>See id</w:t>
      </w:r>
      <w:r>
        <w:t>.</w:t>
      </w:r>
    </w:p>
  </w:footnote>
  <w:footnote w:id="46">
    <w:p w:rsidR="00116D40" w:rsidRPr="00AC6B0E" w:rsidRDefault="00116D40" w:rsidP="00FF7384">
      <w:pPr>
        <w:pStyle w:val="FootnoteText"/>
      </w:pPr>
      <w:r w:rsidRPr="00AC6B0E">
        <w:rPr>
          <w:rStyle w:val="FootnoteReference"/>
        </w:rPr>
        <w:footnoteRef/>
      </w:r>
      <w:r w:rsidRPr="00AC6B0E">
        <w:t xml:space="preserve"> </w:t>
      </w:r>
      <w:r w:rsidRPr="00AC6B0E">
        <w:rPr>
          <w:i/>
        </w:rPr>
        <w:t>See id.</w:t>
      </w:r>
      <w:r w:rsidRPr="00AC6B0E">
        <w:t xml:space="preserve"> at 3 </w:t>
      </w:r>
      <w:r w:rsidRPr="004D7C2B">
        <w:t>(citing</w:t>
      </w:r>
      <w:r>
        <w:t xml:space="preserve">, </w:t>
      </w:r>
      <w:r w:rsidRPr="00B03909">
        <w:rPr>
          <w:i/>
        </w:rPr>
        <w:t>e.g.</w:t>
      </w:r>
      <w:r>
        <w:t>,</w:t>
      </w:r>
      <w:r w:rsidRPr="004D7C2B">
        <w:t xml:space="preserve"> </w:t>
      </w:r>
      <w:r w:rsidRPr="004D7C2B">
        <w:rPr>
          <w:i/>
        </w:rPr>
        <w:t>AMFM Radio Licenses, L.L.C.</w:t>
      </w:r>
      <w:r w:rsidRPr="004D7C2B">
        <w:t xml:space="preserve">, </w:t>
      </w:r>
      <w:r w:rsidRPr="004D7C2B">
        <w:rPr>
          <w:bCs/>
        </w:rPr>
        <w:t xml:space="preserve">15 FCC Rcd </w:t>
      </w:r>
      <w:r>
        <w:rPr>
          <w:bCs/>
        </w:rPr>
        <w:t>at</w:t>
      </w:r>
      <w:r w:rsidRPr="004D7C2B">
        <w:rPr>
          <w:bCs/>
        </w:rPr>
        <w:t xml:space="preserve"> 19</w:t>
      </w:r>
      <w:r>
        <w:rPr>
          <w:bCs/>
        </w:rPr>
        <w:t xml:space="preserve">703, para. 11 </w:t>
      </w:r>
      <w:r w:rsidRPr="004D7C2B">
        <w:rPr>
          <w:bCs/>
        </w:rPr>
        <w:t>(proposing a four thousand dollar ($4,000) forfeiture for a licensee’s apparent violation of sponsorship identification laws</w:t>
      </w:r>
      <w:r>
        <w:rPr>
          <w:bCs/>
        </w:rPr>
        <w:t xml:space="preserve"> by broadcasting material without the required sponsorship identification over 100 times within a six week period</w:t>
      </w:r>
      <w:r w:rsidRPr="004D7C2B">
        <w:rPr>
          <w:bCs/>
        </w:rPr>
        <w:t>)</w:t>
      </w:r>
      <w:r>
        <w:rPr>
          <w:bCs/>
        </w:rPr>
        <w:t>).</w:t>
      </w:r>
      <w:r w:rsidRPr="00AC6B0E">
        <w:rPr>
          <w:bCs/>
          <w:iCs/>
        </w:rPr>
        <w:t xml:space="preserve"> </w:t>
      </w:r>
    </w:p>
  </w:footnote>
  <w:footnote w:id="47">
    <w:p w:rsidR="00116D40" w:rsidRDefault="00116D40" w:rsidP="00FF7384">
      <w:pPr>
        <w:pStyle w:val="FootnoteText"/>
      </w:pPr>
      <w:r>
        <w:rPr>
          <w:rStyle w:val="FootnoteReference"/>
        </w:rPr>
        <w:footnoteRef/>
      </w:r>
      <w:r>
        <w:t xml:space="preserve"> </w:t>
      </w:r>
      <w:r w:rsidRPr="00AC6B0E">
        <w:rPr>
          <w:i/>
          <w:iCs/>
        </w:rPr>
        <w:t>See</w:t>
      </w:r>
      <w:r>
        <w:rPr>
          <w:iCs/>
        </w:rPr>
        <w:t xml:space="preserve">, </w:t>
      </w:r>
      <w:r w:rsidRPr="002614EE">
        <w:rPr>
          <w:i/>
          <w:iCs/>
        </w:rPr>
        <w:t>e.g.</w:t>
      </w:r>
      <w:r>
        <w:rPr>
          <w:iCs/>
        </w:rPr>
        <w:t>,</w:t>
      </w:r>
      <w:r w:rsidRPr="00AC6B0E">
        <w:rPr>
          <w:i/>
          <w:iCs/>
        </w:rPr>
        <w:t xml:space="preserve"> </w:t>
      </w:r>
      <w:r w:rsidRPr="00AC6B0E">
        <w:rPr>
          <w:bCs/>
          <w:i/>
          <w:iCs/>
        </w:rPr>
        <w:t>Sonshine</w:t>
      </w:r>
      <w:r w:rsidRPr="00AC6B0E">
        <w:rPr>
          <w:i/>
          <w:iCs/>
        </w:rPr>
        <w:t xml:space="preserve"> Family Television, Inc.</w:t>
      </w:r>
      <w:r w:rsidRPr="002614EE">
        <w:rPr>
          <w:iCs/>
        </w:rPr>
        <w:t>,</w:t>
      </w:r>
      <w:r>
        <w:t xml:space="preserve"> </w:t>
      </w:r>
      <w:r w:rsidRPr="00AC6B0E">
        <w:t xml:space="preserve">22 FCC Rcd </w:t>
      </w:r>
      <w:r>
        <w:t>at</w:t>
      </w:r>
      <w:r w:rsidRPr="00AC6B0E">
        <w:t xml:space="preserve"> 18695, para. 18 (</w:t>
      </w:r>
      <w:r>
        <w:t xml:space="preserve">in pertinent part, proposing forty thousand dollar ($40,000) forfeiture against Sonshine which, in exchange for consideration, broadcast five episodes of the program “The Right Side with Armstrong Williams” on a total of 10 separate occasions, and proposing a thirty-six thousand dollar ($36,000) forfeiture against Sinclair Broadcast Group, Inc. for broadcast of “2004 Election Countdown” on nine stations without the required sponsorship announcements); </w:t>
      </w:r>
      <w:r w:rsidRPr="00F569A3">
        <w:rPr>
          <w:i/>
        </w:rPr>
        <w:t>Comcast Corp</w:t>
      </w:r>
      <w:r>
        <w:t>., Notice of Apparent Liability for Forfeiture, 22 FCC Rcd 17474, 17479, para. 12 (Enf. Bur. 2007) (in pertinent part, proposing sixteen thousand dollar ($16,000) forfeiture against cable operator for four origination cablecasts that included “video news release” material without required sponsorship announcements) (forfeiture paid)</w:t>
      </w:r>
      <w:r w:rsidR="00F84815">
        <w:t xml:space="preserve">.  </w:t>
      </w:r>
      <w:r w:rsidRPr="00DB4422">
        <w:t>In addition, we deem the Licensee’s references</w:t>
      </w:r>
      <w:r>
        <w:t xml:space="preserve"> to cases involving the Commission’s children’s programming rules to be inapposite to this case, which exclusively involves </w:t>
      </w:r>
      <w:r w:rsidR="00966C84">
        <w:t>its admit</w:t>
      </w:r>
      <w:r>
        <w:t xml:space="preserve">ted multiple violations of the sponsorship identification rules. </w:t>
      </w:r>
    </w:p>
  </w:footnote>
  <w:footnote w:id="48">
    <w:p w:rsidR="00116D40" w:rsidRPr="00AC6B0E" w:rsidRDefault="00116D40" w:rsidP="00FF7384">
      <w:pPr>
        <w:pStyle w:val="FootnoteText"/>
      </w:pPr>
      <w:r w:rsidRPr="00AC6B0E">
        <w:rPr>
          <w:rStyle w:val="FootnoteReference"/>
        </w:rPr>
        <w:footnoteRef/>
      </w:r>
      <w:r w:rsidRPr="00AC6B0E">
        <w:t xml:space="preserve"> NAL Response at 2.</w:t>
      </w:r>
    </w:p>
  </w:footnote>
  <w:footnote w:id="49">
    <w:p w:rsidR="00116D40" w:rsidRPr="00AC6B0E" w:rsidRDefault="00116D40" w:rsidP="00FF7384">
      <w:pPr>
        <w:pStyle w:val="FootnoteText"/>
      </w:pPr>
      <w:r w:rsidRPr="00AC6B0E">
        <w:rPr>
          <w:rStyle w:val="FootnoteReference"/>
        </w:rPr>
        <w:footnoteRef/>
      </w:r>
      <w:r w:rsidRPr="00AC6B0E">
        <w:t xml:space="preserve"> 47 U.S.C. § 503(b)(2)(E); 47 C.F.R. § </w:t>
      </w:r>
      <w:r w:rsidRPr="00AC6B0E">
        <w:rPr>
          <w:bCs/>
        </w:rPr>
        <w:t>1.80(b)(</w:t>
      </w:r>
      <w:r>
        <w:rPr>
          <w:bCs/>
        </w:rPr>
        <w:t>8</w:t>
      </w:r>
      <w:r w:rsidRPr="00AC6B0E">
        <w:rPr>
          <w:bCs/>
        </w:rPr>
        <w:t>)</w:t>
      </w:r>
      <w:r w:rsidRPr="00AC6B0E">
        <w:t>.</w:t>
      </w:r>
    </w:p>
  </w:footnote>
  <w:footnote w:id="50">
    <w:p w:rsidR="00116D40" w:rsidRPr="00AC6B0E" w:rsidRDefault="00116D40" w:rsidP="00FF7384">
      <w:pPr>
        <w:pStyle w:val="FootnoteText"/>
      </w:pPr>
      <w:r w:rsidRPr="00AC6B0E">
        <w:rPr>
          <w:rStyle w:val="FootnoteReference"/>
        </w:rPr>
        <w:footnoteRef/>
      </w:r>
      <w:r>
        <w:t xml:space="preserve"> </w:t>
      </w:r>
      <w:r w:rsidRPr="00AC6B0E">
        <w:t xml:space="preserve">47 U.S.C. § 503(b)(2)(E); </w:t>
      </w:r>
      <w:r>
        <w:rPr>
          <w:i/>
        </w:rPr>
        <w:t xml:space="preserve">see </w:t>
      </w:r>
      <w:r w:rsidRPr="00AC6B0E">
        <w:t xml:space="preserve">47 C.F.R. § </w:t>
      </w:r>
      <w:r w:rsidRPr="00AC6B0E">
        <w:rPr>
          <w:bCs/>
        </w:rPr>
        <w:t>1.80(b)(</w:t>
      </w:r>
      <w:r>
        <w:rPr>
          <w:bCs/>
        </w:rPr>
        <w:t>8</w:t>
      </w:r>
      <w:r w:rsidRPr="00AC6B0E">
        <w:rPr>
          <w:bCs/>
        </w:rPr>
        <w:t>)</w:t>
      </w:r>
      <w:r w:rsidRPr="00AC6B0E">
        <w:t>.</w:t>
      </w:r>
    </w:p>
  </w:footnote>
  <w:footnote w:id="51">
    <w:p w:rsidR="00116D40" w:rsidRDefault="00116D40" w:rsidP="00FF7384">
      <w:pPr>
        <w:pStyle w:val="FootnoteText"/>
      </w:pPr>
      <w:r>
        <w:rPr>
          <w:rStyle w:val="FootnoteReference"/>
        </w:rPr>
        <w:footnoteRef/>
      </w:r>
      <w:r>
        <w:t xml:space="preserve"> </w:t>
      </w:r>
      <w:r w:rsidRPr="004D7C2B">
        <w:rPr>
          <w:i/>
        </w:rPr>
        <w:t>See NAL</w:t>
      </w:r>
      <w:r>
        <w:t xml:space="preserve">, </w:t>
      </w:r>
      <w:r w:rsidRPr="00AC6B0E">
        <w:t xml:space="preserve">27 FCC Rcd </w:t>
      </w:r>
      <w:r>
        <w:t>at 935, para. 11.</w:t>
      </w:r>
    </w:p>
  </w:footnote>
  <w:footnote w:id="52">
    <w:p w:rsidR="00116D40" w:rsidRDefault="00116D40" w:rsidP="00FF7384">
      <w:pPr>
        <w:pStyle w:val="FootnoteText"/>
      </w:pPr>
      <w:r>
        <w:rPr>
          <w:rStyle w:val="FootnoteReference"/>
        </w:rPr>
        <w:footnoteRef/>
      </w:r>
      <w:r>
        <w:t xml:space="preserve"> </w:t>
      </w:r>
      <w:r w:rsidRPr="004D7C2B">
        <w:rPr>
          <w:i/>
        </w:rPr>
        <w:t>See id</w:t>
      </w:r>
      <w:r>
        <w:t>. at 933–34, para. 8.</w:t>
      </w:r>
    </w:p>
  </w:footnote>
  <w:footnote w:id="53">
    <w:p w:rsidR="00116D40" w:rsidRPr="00E901E8" w:rsidRDefault="00116D40">
      <w:pPr>
        <w:pStyle w:val="FootnoteText"/>
      </w:pPr>
      <w:r>
        <w:rPr>
          <w:rStyle w:val="FootnoteReference"/>
        </w:rPr>
        <w:footnoteRef/>
      </w:r>
      <w:r>
        <w:t xml:space="preserve"> </w:t>
      </w:r>
      <w:r>
        <w:rPr>
          <w:i/>
        </w:rPr>
        <w:t xml:space="preserve">See </w:t>
      </w:r>
      <w:r>
        <w:t>NAL Response at 2–3.</w:t>
      </w:r>
    </w:p>
  </w:footnote>
  <w:footnote w:id="54">
    <w:p w:rsidR="00116D40" w:rsidRPr="00AC6B0E" w:rsidRDefault="00116D40" w:rsidP="00FF7384">
      <w:pPr>
        <w:pStyle w:val="FootnoteText"/>
      </w:pPr>
      <w:r w:rsidRPr="00AC6B0E">
        <w:rPr>
          <w:rStyle w:val="FootnoteReference"/>
        </w:rPr>
        <w:footnoteRef/>
      </w:r>
      <w:r w:rsidRPr="00AC6B0E">
        <w:t xml:space="preserve"> </w:t>
      </w:r>
      <w:r w:rsidRPr="00AC6B0E">
        <w:rPr>
          <w:i/>
          <w:iCs/>
        </w:rPr>
        <w:t>See, e.g.</w:t>
      </w:r>
      <w:r>
        <w:rPr>
          <w:iCs/>
        </w:rPr>
        <w:t>,</w:t>
      </w:r>
      <w:r w:rsidRPr="00AC6B0E">
        <w:rPr>
          <w:i/>
          <w:iCs/>
        </w:rPr>
        <w:t xml:space="preserve"> </w:t>
      </w:r>
      <w:r w:rsidRPr="00AC6B0E">
        <w:rPr>
          <w:i/>
        </w:rPr>
        <w:t>S. Cal. Broad.</w:t>
      </w:r>
      <w:r w:rsidRPr="00AC6B0E">
        <w:t xml:space="preserve">, 6 FCC Rcd </w:t>
      </w:r>
      <w:r>
        <w:t xml:space="preserve">at 4387, </w:t>
      </w:r>
      <w:r w:rsidRPr="00AC6B0E">
        <w:t xml:space="preserve">para. 3 (stating that “inadvertence </w:t>
      </w:r>
      <w:r>
        <w:t xml:space="preserve">. . . </w:t>
      </w:r>
      <w:r w:rsidRPr="00AC6B0E">
        <w:t xml:space="preserve">is at best, ignorance of the law, which the Commission does not consider a mitigating circumstance”); </w:t>
      </w:r>
      <w:r w:rsidRPr="00AC6B0E">
        <w:rPr>
          <w:i/>
          <w:iCs/>
        </w:rPr>
        <w:t>Standard Commc</w:t>
      </w:r>
      <w:r>
        <w:rPr>
          <w:i/>
          <w:iCs/>
        </w:rPr>
        <w:t>’</w:t>
      </w:r>
      <w:r w:rsidRPr="00AC6B0E">
        <w:rPr>
          <w:i/>
          <w:iCs/>
        </w:rPr>
        <w:t>ns Corp</w:t>
      </w:r>
      <w:r w:rsidRPr="00AC6B0E">
        <w:t>., Memorandum Opinion and Order, 1 FCC Rcd 358, 358, para. 4 (1986) (stating that “</w:t>
      </w:r>
      <w:r w:rsidRPr="00AC6B0E">
        <w:rPr>
          <w:bCs/>
        </w:rPr>
        <w:t>employee</w:t>
      </w:r>
      <w:r w:rsidRPr="00AC6B0E">
        <w:t xml:space="preserve"> acts or omissions, such as clerical errors in failing to file required forms, do not excuse violations”); </w:t>
      </w:r>
      <w:r w:rsidRPr="00AC6B0E">
        <w:rPr>
          <w:bCs/>
          <w:i/>
          <w:iCs/>
        </w:rPr>
        <w:t>Corr</w:t>
      </w:r>
      <w:r w:rsidRPr="00AC6B0E">
        <w:rPr>
          <w:i/>
          <w:iCs/>
        </w:rPr>
        <w:t xml:space="preserve"> Wireless Comm</w:t>
      </w:r>
      <w:r>
        <w:rPr>
          <w:i/>
          <w:iCs/>
        </w:rPr>
        <w:t>c’</w:t>
      </w:r>
      <w:r w:rsidRPr="00AC6B0E">
        <w:rPr>
          <w:i/>
          <w:iCs/>
        </w:rPr>
        <w:t>ns LLC</w:t>
      </w:r>
      <w:r w:rsidR="00280D09">
        <w:rPr>
          <w:iCs/>
        </w:rPr>
        <w:t>,</w:t>
      </w:r>
      <w:r w:rsidRPr="00AC6B0E">
        <w:rPr>
          <w:i/>
          <w:iCs/>
        </w:rPr>
        <w:t xml:space="preserve"> </w:t>
      </w:r>
      <w:r w:rsidRPr="00AC6B0E">
        <w:rPr>
          <w:iCs/>
        </w:rPr>
        <w:t>Notice of Apparent Liability for Forfeiture,</w:t>
      </w:r>
      <w:r w:rsidRPr="00AC6B0E">
        <w:rPr>
          <w:i/>
          <w:iCs/>
        </w:rPr>
        <w:t xml:space="preserve"> </w:t>
      </w:r>
      <w:r w:rsidRPr="00AC6B0E">
        <w:rPr>
          <w:iCs/>
        </w:rPr>
        <w:t xml:space="preserve">24 FCC Rcd 5419, 5421, para. 7 (Enf. Bur. 2009) (declining to reduce a proposed forfeiture when licensee claimed unauthorized operation of two stations was caused inadvertently by a technician’s error).  </w:t>
      </w:r>
    </w:p>
  </w:footnote>
  <w:footnote w:id="55">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NAL Response at 2–3.</w:t>
      </w:r>
    </w:p>
  </w:footnote>
  <w:footnote w:id="56">
    <w:p w:rsidR="00116D40" w:rsidRPr="00AC6B0E" w:rsidRDefault="00116D40" w:rsidP="00FF7384">
      <w:pPr>
        <w:pStyle w:val="FootnoteText"/>
      </w:pPr>
      <w:r w:rsidRPr="00AC6B0E">
        <w:rPr>
          <w:rStyle w:val="FootnoteReference"/>
        </w:rPr>
        <w:footnoteRef/>
      </w:r>
      <w:r w:rsidRPr="00AC6B0E">
        <w:t xml:space="preserve"> </w:t>
      </w:r>
      <w:r w:rsidRPr="00AC6B0E">
        <w:rPr>
          <w:i/>
        </w:rPr>
        <w:t>See id.</w:t>
      </w:r>
    </w:p>
  </w:footnote>
  <w:footnote w:id="57">
    <w:p w:rsidR="00116D40" w:rsidRPr="00AC6B0E" w:rsidRDefault="00116D40" w:rsidP="00FF7384">
      <w:pPr>
        <w:pStyle w:val="FootnoteText"/>
      </w:pPr>
      <w:r w:rsidRPr="00AC6B0E">
        <w:rPr>
          <w:rStyle w:val="FootnoteReference"/>
        </w:rPr>
        <w:footnoteRef/>
      </w:r>
      <w:r w:rsidRPr="00AC6B0E">
        <w:t xml:space="preserve"> </w:t>
      </w:r>
      <w:r w:rsidRPr="00AC6B0E">
        <w:rPr>
          <w:i/>
        </w:rPr>
        <w:t>See</w:t>
      </w:r>
      <w:r w:rsidRPr="00AC6B0E">
        <w:t xml:space="preserve"> Note to Section 1.80(b)(</w:t>
      </w:r>
      <w:r>
        <w:t>8</w:t>
      </w:r>
      <w:r w:rsidRPr="00AC6B0E">
        <w:t>) of the Commission’s rules, 47 C.F.R. § 1.80(b)(</w:t>
      </w:r>
      <w:r>
        <w:t>8</w:t>
      </w:r>
      <w:r w:rsidRPr="00AC6B0E">
        <w:t xml:space="preserve">) (listing “Good faith or voluntary disclosure” as a basis for adjusting forfeitures downward); </w:t>
      </w:r>
      <w:r w:rsidRPr="00AC6B0E">
        <w:rPr>
          <w:i/>
        </w:rPr>
        <w:t>Radio One Licenses, Inc.</w:t>
      </w:r>
      <w:r w:rsidRPr="00AC6B0E">
        <w:t xml:space="preserve">, Memorandum Opinion and Order, 18 FCC Rcd 15964, 15965, para. 4 (2003) (reducing forfeiture assessed for Emergency Alert System rule violations due to licensee’s corrective measures prior to an inspection), </w:t>
      </w:r>
      <w:r w:rsidRPr="00AC6B0E">
        <w:rPr>
          <w:i/>
        </w:rPr>
        <w:t>recons. denied</w:t>
      </w:r>
      <w:r w:rsidRPr="00AC6B0E">
        <w:t>, Memorandum Opinion and</w:t>
      </w:r>
      <w:r>
        <w:t xml:space="preserve"> Order, 18 FCC Rcd 25481 (2003); </w:t>
      </w:r>
      <w:r w:rsidRPr="00D73A41">
        <w:rPr>
          <w:i/>
        </w:rPr>
        <w:t>but see</w:t>
      </w:r>
      <w:r>
        <w:t xml:space="preserve"> </w:t>
      </w:r>
      <w:r w:rsidRPr="00C36467">
        <w:rPr>
          <w:i/>
          <w:iCs/>
        </w:rPr>
        <w:t>Sutro Corp.</w:t>
      </w:r>
      <w:r>
        <w:rPr>
          <w:iCs/>
        </w:rPr>
        <w:t>,</w:t>
      </w:r>
      <w:r>
        <w:t xml:space="preserve"> Memorandum Opinion and Order, 19 FCC Rcd 15274, </w:t>
      </w:r>
      <w:r w:rsidRPr="00C36467">
        <w:t xml:space="preserve">15277, para. 10 </w:t>
      </w:r>
      <w:r>
        <w:t>(2004</w:t>
      </w:r>
      <w:r w:rsidRPr="00ED3AD5">
        <w:t>)</w:t>
      </w:r>
      <w:r>
        <w:t xml:space="preserve"> (</w:t>
      </w:r>
      <w:r w:rsidRPr="007C2FF7">
        <w:rPr>
          <w:i/>
        </w:rPr>
        <w:t>Sutro</w:t>
      </w:r>
      <w:r>
        <w:t>)</w:t>
      </w:r>
      <w:r w:rsidRPr="00ED3AD5">
        <w:t xml:space="preserve"> (rejecting </w:t>
      </w:r>
      <w:r>
        <w:t xml:space="preserve">tower </w:t>
      </w:r>
      <w:r w:rsidRPr="00ED3AD5">
        <w:t xml:space="preserve">owner’s request for further reduction of forfeiture amount due to good faith efforts </w:t>
      </w:r>
      <w:r>
        <w:t>based on tower owner’</w:t>
      </w:r>
      <w:r w:rsidRPr="00ED3AD5">
        <w:t>s periodic unsuccessful attempts to register its tower where those efforts were characterized by lengthy delays in filings</w:t>
      </w:r>
      <w:r>
        <w:t>, evincing a lack of diligence</w:t>
      </w:r>
      <w:r w:rsidRPr="00ED3AD5">
        <w:t>).</w:t>
      </w:r>
    </w:p>
  </w:footnote>
  <w:footnote w:id="58">
    <w:p w:rsidR="00116D40" w:rsidRPr="00AC6B0E" w:rsidRDefault="00116D40" w:rsidP="00FF7384">
      <w:pPr>
        <w:pStyle w:val="FootnoteText"/>
      </w:pPr>
      <w:r w:rsidRPr="00AC6B0E">
        <w:rPr>
          <w:rStyle w:val="FootnoteReference"/>
        </w:rPr>
        <w:footnoteRef/>
      </w:r>
      <w:r w:rsidRPr="00AC6B0E">
        <w:t xml:space="preserve"> 47 U.S.C. § 503(b)(2)(E); 47 C.F.R. § </w:t>
      </w:r>
      <w:r w:rsidRPr="00AC6B0E">
        <w:rPr>
          <w:bCs/>
        </w:rPr>
        <w:t>1.80(b)(</w:t>
      </w:r>
      <w:r>
        <w:rPr>
          <w:bCs/>
        </w:rPr>
        <w:t>8</w:t>
      </w:r>
      <w:r w:rsidRPr="00AC6B0E">
        <w:rPr>
          <w:bCs/>
        </w:rPr>
        <w:t>)</w:t>
      </w:r>
      <w:r w:rsidRPr="00AC6B0E">
        <w:t>.</w:t>
      </w:r>
    </w:p>
  </w:footnote>
  <w:footnote w:id="59">
    <w:p w:rsidR="00116D40" w:rsidRDefault="00116D40" w:rsidP="00477386">
      <w:pPr>
        <w:pStyle w:val="FootnoteText"/>
      </w:pPr>
      <w:r>
        <w:rPr>
          <w:rStyle w:val="FootnoteReference"/>
        </w:rPr>
        <w:footnoteRef/>
      </w:r>
      <w:r>
        <w:t xml:space="preserve"> </w:t>
      </w:r>
      <w:r w:rsidR="00AA5310">
        <w:t>In</w:t>
      </w:r>
      <w:r>
        <w:t xml:space="preserve"> </w:t>
      </w:r>
      <w:r w:rsidR="00646DEC">
        <w:t>a</w:t>
      </w:r>
      <w:r>
        <w:t xml:space="preserve"> Declaration provided as Exhibit A to the NAL Response, </w:t>
      </w:r>
      <w:r w:rsidR="00646DEC">
        <w:t xml:space="preserve">the </w:t>
      </w:r>
      <w:r>
        <w:t>Station</w:t>
      </w:r>
      <w:r w:rsidR="00646DEC">
        <w:t>’s</w:t>
      </w:r>
      <w:r>
        <w:t xml:space="preserve"> General Manager represents that, on March 24, 2009, the Station’s General Sales Manager “became aware that the WIN spots did not contain the required sponsor identification” and</w:t>
      </w:r>
      <w:r w:rsidR="003A6D36">
        <w:t>, that day,</w:t>
      </w:r>
      <w:r>
        <w:t xml:space="preserve"> sent an email to station personnel alerting them to the problem</w:t>
      </w:r>
      <w:r w:rsidR="003A6D36">
        <w:t xml:space="preserve"> and the need that it be corrected “first thing on WED.”</w:t>
      </w:r>
      <w:r>
        <w:t xml:space="preserve"> </w:t>
      </w:r>
      <w:r w:rsidR="003A6D36">
        <w:t xml:space="preserve"> </w:t>
      </w:r>
      <w:r>
        <w:t>Radio Licensee fails to explain why this unidentified Station official would have sent such an e</w:t>
      </w:r>
      <w:r w:rsidR="00646DEC">
        <w:t>-</w:t>
      </w:r>
      <w:r>
        <w:t>mail if</w:t>
      </w:r>
      <w:r w:rsidR="00AA5310">
        <w:t xml:space="preserve">, as </w:t>
      </w:r>
      <w:r w:rsidR="003A6D36">
        <w:t>its</w:t>
      </w:r>
      <w:r w:rsidR="00AA5310">
        <w:t xml:space="preserve"> LOI Response </w:t>
      </w:r>
      <w:r w:rsidR="003A6D36">
        <w:t>contend</w:t>
      </w:r>
      <w:r w:rsidR="00AA5310">
        <w:t xml:space="preserve">s, </w:t>
      </w:r>
      <w:r>
        <w:t xml:space="preserve">the </w:t>
      </w:r>
      <w:r w:rsidR="0064628C">
        <w:t xml:space="preserve">Licensee </w:t>
      </w:r>
      <w:r w:rsidR="003C2CF7">
        <w:t>believed tha</w:t>
      </w:r>
      <w:r w:rsidR="0064628C">
        <w:t xml:space="preserve">t the </w:t>
      </w:r>
      <w:r w:rsidR="003C2CF7">
        <w:t>11</w:t>
      </w:r>
      <w:r w:rsidR="003A6D36">
        <w:t xml:space="preserve"> programs </w:t>
      </w:r>
      <w:r w:rsidR="00AA5310">
        <w:t>at iss</w:t>
      </w:r>
      <w:r w:rsidR="003A6D36">
        <w:t>u</w:t>
      </w:r>
      <w:r w:rsidR="00AA5310">
        <w:t>e “satisfy sponsorship identification requirements.”</w:t>
      </w:r>
      <w:r w:rsidR="00CD38AE">
        <w:t xml:space="preserve"> </w:t>
      </w:r>
      <w:r w:rsidR="00783514">
        <w:t xml:space="preserve"> </w:t>
      </w:r>
      <w:r w:rsidR="003A6D36">
        <w:t xml:space="preserve">LOI Response at 3. </w:t>
      </w:r>
      <w:r>
        <w:t xml:space="preserve"> </w:t>
      </w:r>
      <w:r w:rsidR="003A6D36">
        <w:t xml:space="preserve">Radio License </w:t>
      </w:r>
      <w:r w:rsidR="006B318F">
        <w:t xml:space="preserve">also </w:t>
      </w:r>
      <w:r w:rsidR="003A6D36">
        <w:t>filed with its</w:t>
      </w:r>
      <w:r w:rsidR="00AA5310">
        <w:t xml:space="preserve"> LOI Response </w:t>
      </w:r>
      <w:r w:rsidR="001E6593">
        <w:t xml:space="preserve">a </w:t>
      </w:r>
      <w:r w:rsidR="003A6D36">
        <w:t>declaration of</w:t>
      </w:r>
      <w:r w:rsidR="00646DEC">
        <w:t xml:space="preserve"> the Station’s General Manager</w:t>
      </w:r>
      <w:r w:rsidR="003A6D36">
        <w:t>, in which</w:t>
      </w:r>
      <w:r w:rsidR="00AA5310">
        <w:t xml:space="preserve"> he </w:t>
      </w:r>
      <w:r w:rsidR="003A6D36">
        <w:t xml:space="preserve">stated that he had </w:t>
      </w:r>
      <w:r w:rsidR="00AA5310">
        <w:t xml:space="preserve">reviewed </w:t>
      </w:r>
      <w:r w:rsidR="006B318F">
        <w:t>the filing</w:t>
      </w:r>
      <w:r w:rsidR="00AA5310">
        <w:t xml:space="preserve"> and attested to </w:t>
      </w:r>
      <w:r w:rsidR="003A6D36">
        <w:t>its</w:t>
      </w:r>
      <w:r w:rsidR="00AA5310">
        <w:t xml:space="preserve"> accuracy</w:t>
      </w:r>
      <w:r w:rsidR="003A6D36">
        <w:t xml:space="preserve">.  We </w:t>
      </w:r>
      <w:r w:rsidR="009E5217">
        <w:t xml:space="preserve">note </w:t>
      </w:r>
      <w:r w:rsidR="003A6D36">
        <w:t xml:space="preserve">this inconsistency </w:t>
      </w:r>
      <w:r w:rsidR="009E5217">
        <w:t xml:space="preserve">in </w:t>
      </w:r>
      <w:r w:rsidR="003A6D36">
        <w:t>Radio License</w:t>
      </w:r>
      <w:r w:rsidR="009E5217">
        <w:t>’s responses</w:t>
      </w:r>
      <w:r w:rsidR="003A6D36">
        <w:t xml:space="preserve">, </w:t>
      </w:r>
      <w:r w:rsidR="00646DEC">
        <w:t xml:space="preserve">and find that it is </w:t>
      </w:r>
      <w:r w:rsidR="003A6D36">
        <w:t>exacerbated by the fact that</w:t>
      </w:r>
      <w:r w:rsidR="00AA5310">
        <w:t xml:space="preserve"> </w:t>
      </w:r>
      <w:r w:rsidR="009E5217">
        <w:t>the Station’s General Manager at the time of the NAL Response</w:t>
      </w:r>
      <w:r w:rsidR="00783514">
        <w:t xml:space="preserve"> </w:t>
      </w:r>
      <w:r w:rsidR="00AA5310">
        <w:t>was Director of Sales of the Station in 2009, when the even</w:t>
      </w:r>
      <w:r w:rsidR="003A6D36">
        <w:t xml:space="preserve">ts at issue occurred. </w:t>
      </w:r>
      <w:r w:rsidR="00783514">
        <w:t xml:space="preserve"> </w:t>
      </w:r>
      <w:r>
        <w:t xml:space="preserve">Radio License </w:t>
      </w:r>
      <w:r w:rsidR="003A6D36">
        <w:t xml:space="preserve">also fails to </w:t>
      </w:r>
      <w:r>
        <w:t>provide a copy of the</w:t>
      </w:r>
      <w:r w:rsidR="006B318F">
        <w:t xml:space="preserve"> March 24 e</w:t>
      </w:r>
      <w:r w:rsidR="00646DEC">
        <w:t>-</w:t>
      </w:r>
      <w:r w:rsidR="006B318F">
        <w:t>mail or identify</w:t>
      </w:r>
      <w:r>
        <w:t xml:space="preserve"> its </w:t>
      </w:r>
      <w:r w:rsidR="00AA5310">
        <w:t xml:space="preserve">purported </w:t>
      </w:r>
      <w:r>
        <w:t>author.</w:t>
      </w:r>
      <w:r w:rsidR="00783514">
        <w:t xml:space="preserve"> </w:t>
      </w:r>
      <w:r w:rsidR="003A6D36">
        <w:t xml:space="preserve"> </w:t>
      </w:r>
    </w:p>
  </w:footnote>
  <w:footnote w:id="60">
    <w:p w:rsidR="00CB01E6" w:rsidRDefault="00CB01E6">
      <w:pPr>
        <w:pStyle w:val="FootnoteText"/>
      </w:pPr>
      <w:r>
        <w:rPr>
          <w:rStyle w:val="FootnoteReference"/>
        </w:rPr>
        <w:footnoteRef/>
      </w:r>
      <w:r>
        <w:t xml:space="preserve"> </w:t>
      </w:r>
      <w:r w:rsidRPr="00CB01E6">
        <w:t>In this respect, this case is distinguishable from</w:t>
      </w:r>
      <w:r w:rsidRPr="00CB01E6">
        <w:rPr>
          <w:i/>
          <w:iCs/>
        </w:rPr>
        <w:t xml:space="preserve"> Radio One Licenses, Inc</w:t>
      </w:r>
      <w:r w:rsidRPr="00CB01E6">
        <w:t xml:space="preserve">., </w:t>
      </w:r>
      <w:r w:rsidR="0010648A" w:rsidRPr="00A137E4">
        <w:rPr>
          <w:iCs/>
        </w:rPr>
        <w:t>Memorandum Opinion and Order</w:t>
      </w:r>
      <w:r w:rsidR="0010648A">
        <w:t>,</w:t>
      </w:r>
      <w:r w:rsidR="002C4F64">
        <w:t xml:space="preserve"> </w:t>
      </w:r>
      <w:r w:rsidRPr="00CB01E6">
        <w:t>18 FCC Rcd 15964 (2003).</w:t>
      </w:r>
    </w:p>
  </w:footnote>
  <w:footnote w:id="61">
    <w:p w:rsidR="00474592" w:rsidRDefault="00474592">
      <w:pPr>
        <w:pStyle w:val="FootnoteText"/>
      </w:pPr>
      <w:r>
        <w:rPr>
          <w:rStyle w:val="FootnoteReference"/>
        </w:rPr>
        <w:footnoteRef/>
      </w:r>
      <w:r>
        <w:t xml:space="preserve"> </w:t>
      </w:r>
      <w:r w:rsidR="0003685F">
        <w:rPr>
          <w:i/>
        </w:rPr>
        <w:t xml:space="preserve">See </w:t>
      </w:r>
      <w:r w:rsidRPr="00477386">
        <w:rPr>
          <w:i/>
        </w:rPr>
        <w:t>Sonshine Family Television, Inc.,</w:t>
      </w:r>
      <w:r w:rsidR="003B6946">
        <w:t xml:space="preserve"> 22 FCC Rcd at</w:t>
      </w:r>
      <w:r>
        <w:t xml:space="preserve"> 18688</w:t>
      </w:r>
      <w:r w:rsidR="003B6946">
        <w:t>, para. 5</w:t>
      </w:r>
      <w:r>
        <w:t>.</w:t>
      </w:r>
    </w:p>
  </w:footnote>
  <w:footnote w:id="62">
    <w:p w:rsidR="00116D40" w:rsidRPr="0076169B" w:rsidRDefault="00116D40" w:rsidP="00FF7384">
      <w:pPr>
        <w:pStyle w:val="FootnoteText"/>
      </w:pPr>
      <w:r>
        <w:rPr>
          <w:rStyle w:val="FootnoteReference"/>
        </w:rPr>
        <w:footnoteRef/>
      </w:r>
      <w:r>
        <w:t xml:space="preserve"> </w:t>
      </w:r>
      <w:r w:rsidRPr="007C2FF7">
        <w:rPr>
          <w:i/>
        </w:rPr>
        <w:t xml:space="preserve">See </w:t>
      </w:r>
      <w:r>
        <w:rPr>
          <w:i/>
        </w:rPr>
        <w:t>Sutro</w:t>
      </w:r>
      <w:r>
        <w:t xml:space="preserve">, 19 FCC Rcd at 15277, para. 10; </w:t>
      </w:r>
      <w:r w:rsidRPr="0076169B">
        <w:rPr>
          <w:i/>
        </w:rPr>
        <w:t>Shubat Transp</w:t>
      </w:r>
      <w:r>
        <w:rPr>
          <w:i/>
        </w:rPr>
        <w:t>.</w:t>
      </w:r>
      <w:r w:rsidRPr="0076169B">
        <w:rPr>
          <w:i/>
        </w:rPr>
        <w:t xml:space="preserve"> Co.</w:t>
      </w:r>
      <w:r>
        <w:t xml:space="preserve">, Notice of Apparent Liability for Forfeiture, 26 FCC Rcd 3782, 3785, para. 12 (Enf. Bur. 2011) (finding that </w:t>
      </w:r>
      <w:r w:rsidRPr="00A31B93">
        <w:t xml:space="preserve">although </w:t>
      </w:r>
      <w:r>
        <w:t xml:space="preserve">former licensee’s </w:t>
      </w:r>
      <w:r w:rsidRPr="00A31B93">
        <w:t>disclosures and remedial efforts appear</w:t>
      </w:r>
      <w:r>
        <w:t>ed</w:t>
      </w:r>
      <w:r w:rsidRPr="00A31B93">
        <w:t xml:space="preserve"> to pr</w:t>
      </w:r>
      <w:r>
        <w:t>ecede the Commission’</w:t>
      </w:r>
      <w:r w:rsidRPr="00A31B93">
        <w:t xml:space="preserve">s investigation or initiation of enforcement action, </w:t>
      </w:r>
      <w:r>
        <w:t>reduction of the forfeiture was not appropriate under the circumstances)</w:t>
      </w:r>
      <w:r w:rsidRPr="00A31B93">
        <w:t>.</w:t>
      </w:r>
    </w:p>
  </w:footnote>
  <w:footnote w:id="63">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U.S.C. § 503(b).</w:t>
      </w:r>
    </w:p>
  </w:footnote>
  <w:footnote w:id="64">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C.F.R. §1.80(f)(4).</w:t>
      </w:r>
    </w:p>
  </w:footnote>
  <w:footnote w:id="65">
    <w:p w:rsidR="00116D40" w:rsidRPr="00AC6B0E" w:rsidRDefault="00116D40" w:rsidP="00FF7384">
      <w:pPr>
        <w:pStyle w:val="FootnoteText"/>
      </w:pPr>
      <w:r w:rsidRPr="00AC6B0E">
        <w:rPr>
          <w:rStyle w:val="FootnoteReference"/>
        </w:rPr>
        <w:footnoteRef/>
      </w:r>
      <w:r w:rsidRPr="00AC6B0E">
        <w:t xml:space="preserve"> </w:t>
      </w:r>
      <w:r w:rsidRPr="00AC6B0E">
        <w:rPr>
          <w:i/>
        </w:rPr>
        <w:t>See</w:t>
      </w:r>
      <w:r w:rsidRPr="00AC6B0E">
        <w:t xml:space="preserve"> 47 U.S.C. § 317(a)(1).</w:t>
      </w:r>
    </w:p>
  </w:footnote>
  <w:footnote w:id="66">
    <w:p w:rsidR="00116D40" w:rsidRPr="00AC6B0E"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C.F.R. § 73.1212(a).</w:t>
      </w:r>
    </w:p>
  </w:footnote>
  <w:footnote w:id="67">
    <w:p w:rsidR="00116D40" w:rsidRPr="00AC6B0E" w:rsidRDefault="00116D40" w:rsidP="00FF7384">
      <w:pPr>
        <w:pStyle w:val="FootnoteText"/>
      </w:pPr>
      <w:r w:rsidRPr="00AC6B0E">
        <w:rPr>
          <w:rStyle w:val="FootnoteReference"/>
        </w:rPr>
        <w:footnoteRef/>
      </w:r>
      <w:r w:rsidRPr="00AC6B0E">
        <w:t xml:space="preserve"> 47 C.F.R. § 1.80.</w:t>
      </w:r>
    </w:p>
  </w:footnote>
  <w:footnote w:id="68">
    <w:p w:rsidR="00116D40" w:rsidRPr="00AC6B0E" w:rsidRDefault="00116D40" w:rsidP="00FF7384">
      <w:pPr>
        <w:pStyle w:val="FootnoteText"/>
      </w:pPr>
      <w:r w:rsidRPr="00AC6B0E">
        <w:rPr>
          <w:rStyle w:val="FootnoteReference"/>
        </w:rPr>
        <w:footnoteRef/>
      </w:r>
      <w:r w:rsidRPr="00AC6B0E">
        <w:t xml:space="preserve"> 47 U.S.C. § 504(a).</w:t>
      </w:r>
    </w:p>
  </w:footnote>
  <w:footnote w:id="69">
    <w:p w:rsidR="00116D40" w:rsidRPr="00AC6B0E" w:rsidRDefault="00116D40" w:rsidP="00FF7384">
      <w:pPr>
        <w:pStyle w:val="FootnoteText"/>
      </w:pPr>
      <w:r w:rsidRPr="00AC6B0E">
        <w:rPr>
          <w:rStyle w:val="FootnoteReference"/>
        </w:rPr>
        <w:footnoteRef/>
      </w:r>
      <w:r w:rsidRPr="00AC6B0E">
        <w:t xml:space="preserve"> </w:t>
      </w:r>
      <w:r w:rsidRPr="00AC6B0E">
        <w:rPr>
          <w:rFonts w:eastAsia="MS Mincho" w:cs="Arial"/>
        </w:rPr>
        <w:t>An FCC Form 159 and detailed instructions for completing the form may be obtained at http://www.fcc.gov/Forms/Form159/159.pdf.</w:t>
      </w:r>
    </w:p>
  </w:footnote>
  <w:footnote w:id="70">
    <w:p w:rsidR="00116D40" w:rsidRDefault="00116D40" w:rsidP="00FF7384">
      <w:pPr>
        <w:pStyle w:val="FootnoteText"/>
      </w:pPr>
      <w:r w:rsidRPr="00AC6B0E">
        <w:rPr>
          <w:rStyle w:val="FootnoteReference"/>
        </w:rPr>
        <w:footnoteRef/>
      </w:r>
      <w:r w:rsidRPr="00AC6B0E">
        <w:t xml:space="preserve"> </w:t>
      </w:r>
      <w:r w:rsidRPr="00AC6B0E">
        <w:rPr>
          <w:i/>
        </w:rPr>
        <w:t xml:space="preserve">See </w:t>
      </w:r>
      <w:r w:rsidRPr="00AC6B0E">
        <w:t>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3E" w:rsidRDefault="00B06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40" w:rsidRDefault="00116D40">
    <w:pPr>
      <w:pStyle w:val="Header"/>
      <w:rPr>
        <w:b w:val="0"/>
      </w:rPr>
    </w:pPr>
    <w:r>
      <w:tab/>
      <w:t>Federal Comm</w:t>
    </w:r>
    <w:r w:rsidR="00B80425">
      <w:t>unications Commission</w:t>
    </w:r>
    <w:r w:rsidR="00B80425">
      <w:tab/>
      <w:t>FCC 14-10</w:t>
    </w:r>
    <w:r>
      <w:t xml:space="preserve">  </w:t>
    </w:r>
  </w:p>
  <w:p w:rsidR="00116D40" w:rsidRDefault="00E665FF">
    <w:pPr>
      <w:pStyle w:val="Header"/>
    </w:pPr>
    <w:r>
      <w:rPr>
        <w:noProof/>
        <w:snapToGrid/>
      </w:rPr>
      <mc:AlternateContent>
        <mc:Choice Requires="wps">
          <w:drawing>
            <wp:anchor distT="0" distB="0" distL="114300" distR="114300" simplePos="0" relativeHeight="251658240" behindDoc="0" locked="0" layoutInCell="0" allowOverlap="1" wp14:anchorId="6941E75D" wp14:editId="2055D66B">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40" w:rsidRDefault="00116D40">
    <w:pPr>
      <w:pStyle w:val="Header"/>
      <w:rPr>
        <w:b w:val="0"/>
      </w:rPr>
    </w:pPr>
    <w:r>
      <w:tab/>
      <w:t>Federal Comm</w:t>
    </w:r>
    <w:r w:rsidR="00B80425">
      <w:t>unications Commission</w:t>
    </w:r>
    <w:r w:rsidR="00B80425">
      <w:tab/>
      <w:t>FCC 14-10</w:t>
    </w:r>
    <w:r>
      <w:t xml:space="preserve"> </w:t>
    </w:r>
  </w:p>
  <w:p w:rsidR="00116D40" w:rsidRDefault="00E665FF">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2A1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575A8"/>
    <w:multiLevelType w:val="hybridMultilevel"/>
    <w:tmpl w:val="2138CC3E"/>
    <w:lvl w:ilvl="0" w:tplc="F828DE92">
      <w:start w:val="1"/>
      <w:numFmt w:val="decimal"/>
      <w:pStyle w:val="StyleParaNumLeft"/>
      <w:lvlText w:val="%1."/>
      <w:lvlJc w:val="left"/>
      <w:pPr>
        <w:tabs>
          <w:tab w:val="num" w:pos="360"/>
        </w:tabs>
        <w:ind w:left="-360" w:firstLine="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0B0BBF"/>
    <w:multiLevelType w:val="singleLevel"/>
    <w:tmpl w:val="AB6E4A1E"/>
    <w:lvl w:ilvl="0">
      <w:start w:val="1"/>
      <w:numFmt w:val="decimal"/>
      <w:lvlText w:val="(%1)"/>
      <w:lvlJc w:val="left"/>
      <w:pPr>
        <w:tabs>
          <w:tab w:val="num" w:pos="1080"/>
        </w:tabs>
        <w:ind w:left="1080" w:hanging="360"/>
      </w:pPr>
      <w:rPr>
        <w:rFont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B74226"/>
    <w:multiLevelType w:val="hybridMultilevel"/>
    <w:tmpl w:val="BB5A040E"/>
    <w:lvl w:ilvl="0" w:tplc="531843EA">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27138B"/>
    <w:multiLevelType w:val="hybridMultilevel"/>
    <w:tmpl w:val="FC001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7F144B"/>
    <w:multiLevelType w:val="hybridMultilevel"/>
    <w:tmpl w:val="56429A94"/>
    <w:lvl w:ilvl="0" w:tplc="5268DA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4DCCE696"/>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1DB28C6C"/>
    <w:lvl w:ilvl="0">
      <w:start w:val="1"/>
      <w:numFmt w:val="decimal"/>
      <w:pStyle w:val="par1"/>
      <w:lvlText w:val="%1."/>
      <w:lvlJc w:val="left"/>
      <w:pPr>
        <w:tabs>
          <w:tab w:val="num" w:pos="1170"/>
        </w:tabs>
        <w:ind w:left="90" w:firstLine="720"/>
      </w:pPr>
    </w:lvl>
  </w:abstractNum>
  <w:abstractNum w:abstractNumId="18">
    <w:nsid w:val="64916B3C"/>
    <w:multiLevelType w:val="hybridMultilevel"/>
    <w:tmpl w:val="CCFC94F0"/>
    <w:lvl w:ilvl="0" w:tplc="CA20D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A53F64"/>
    <w:multiLevelType w:val="hybridMultilevel"/>
    <w:tmpl w:val="5CE89558"/>
    <w:lvl w:ilvl="0" w:tplc="4C327CF8">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nsid w:val="6D2B48D2"/>
    <w:multiLevelType w:val="singleLevel"/>
    <w:tmpl w:val="C9C40FE0"/>
    <w:lvl w:ilvl="0">
      <w:start w:val="1"/>
      <w:numFmt w:val="decimal"/>
      <w:pStyle w:val="Paranum0"/>
      <w:lvlText w:val="%1."/>
      <w:lvlJc w:val="left"/>
      <w:pPr>
        <w:tabs>
          <w:tab w:val="num" w:pos="1170"/>
        </w:tabs>
        <w:ind w:left="1170" w:hanging="360"/>
      </w:pPr>
    </w:lvl>
  </w:abstractNum>
  <w:abstractNum w:abstractNumId="21">
    <w:nsid w:val="733207C6"/>
    <w:multiLevelType w:val="hybridMultilevel"/>
    <w:tmpl w:val="E458B74A"/>
    <w:lvl w:ilvl="0" w:tplc="CEFAEDE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787B6786"/>
    <w:multiLevelType w:val="hybridMultilevel"/>
    <w:tmpl w:val="9E48B322"/>
    <w:lvl w:ilvl="0" w:tplc="D0DAC14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13"/>
  </w:num>
  <w:num w:numId="5">
    <w:abstractNumId w:val="17"/>
  </w:num>
  <w:num w:numId="6">
    <w:abstractNumId w:val="16"/>
  </w:num>
  <w:num w:numId="7">
    <w:abstractNumId w:val="7"/>
  </w:num>
  <w:num w:numId="8">
    <w:abstractNumId w:val="12"/>
  </w:num>
  <w:num w:numId="9">
    <w:abstractNumId w:val="1"/>
  </w:num>
  <w:num w:numId="10">
    <w:abstractNumId w:val="20"/>
  </w:num>
  <w:num w:numId="11">
    <w:abstractNumId w:val="19"/>
  </w:num>
  <w:num w:numId="12">
    <w:abstractNumId w:val="8"/>
  </w:num>
  <w:num w:numId="13">
    <w:abstractNumId w:val="9"/>
  </w:num>
  <w:num w:numId="14">
    <w:abstractNumId w:val="18"/>
  </w:num>
  <w:num w:numId="15">
    <w:abstractNumId w:val="0"/>
  </w:num>
  <w:num w:numId="16">
    <w:abstractNumId w:val="2"/>
  </w:num>
  <w:num w:numId="17">
    <w:abstractNumId w:val="22"/>
  </w:num>
  <w:num w:numId="18">
    <w:abstractNumId w:val="4"/>
  </w:num>
  <w:num w:numId="19">
    <w:abstractNumId w:val="21"/>
  </w:num>
  <w:num w:numId="20">
    <w:abstractNumId w:val="10"/>
  </w:num>
  <w:num w:numId="21">
    <w:abstractNumId w:val="10"/>
  </w:num>
  <w:num w:numId="22">
    <w:abstractNumId w:val="10"/>
  </w:num>
  <w:num w:numId="23">
    <w:abstractNumId w:val="10"/>
  </w:num>
  <w:num w:numId="24">
    <w:abstractNumId w:val="10"/>
    <w:lvlOverride w:ilvl="0">
      <w:startOverride w:val="1"/>
    </w:lvlOverride>
  </w:num>
  <w:num w:numId="25">
    <w:abstractNumId w:val="10"/>
  </w:num>
  <w:num w:numId="26">
    <w:abstractNumId w:val="5"/>
  </w:num>
  <w:num w:numId="27">
    <w:abstractNumId w:val="11"/>
  </w:num>
  <w:num w:numId="28">
    <w:abstractNumId w:val="6"/>
  </w:num>
  <w:num w:numId="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0F"/>
    <w:rsid w:val="00001C54"/>
    <w:rsid w:val="00001E17"/>
    <w:rsid w:val="00002803"/>
    <w:rsid w:val="00010E34"/>
    <w:rsid w:val="00010E7A"/>
    <w:rsid w:val="0002256D"/>
    <w:rsid w:val="00034538"/>
    <w:rsid w:val="000354B0"/>
    <w:rsid w:val="0003685F"/>
    <w:rsid w:val="00037C04"/>
    <w:rsid w:val="00041A34"/>
    <w:rsid w:val="00041B1D"/>
    <w:rsid w:val="00056527"/>
    <w:rsid w:val="000614C0"/>
    <w:rsid w:val="00066E3D"/>
    <w:rsid w:val="00070C30"/>
    <w:rsid w:val="000737AB"/>
    <w:rsid w:val="00075399"/>
    <w:rsid w:val="00075DE7"/>
    <w:rsid w:val="00076535"/>
    <w:rsid w:val="00082D00"/>
    <w:rsid w:val="00082F7C"/>
    <w:rsid w:val="0009326C"/>
    <w:rsid w:val="000941B8"/>
    <w:rsid w:val="00096172"/>
    <w:rsid w:val="0009649A"/>
    <w:rsid w:val="00096B9D"/>
    <w:rsid w:val="000A0DE7"/>
    <w:rsid w:val="000A447B"/>
    <w:rsid w:val="000A6C67"/>
    <w:rsid w:val="000B24BB"/>
    <w:rsid w:val="000B2D12"/>
    <w:rsid w:val="000B6494"/>
    <w:rsid w:val="000B6653"/>
    <w:rsid w:val="000B70A3"/>
    <w:rsid w:val="000B7612"/>
    <w:rsid w:val="000C0767"/>
    <w:rsid w:val="000C6DAB"/>
    <w:rsid w:val="000C7469"/>
    <w:rsid w:val="000D3732"/>
    <w:rsid w:val="000E226B"/>
    <w:rsid w:val="000E4E44"/>
    <w:rsid w:val="000E5465"/>
    <w:rsid w:val="000E5669"/>
    <w:rsid w:val="000F01C3"/>
    <w:rsid w:val="000F0FAF"/>
    <w:rsid w:val="000F5B60"/>
    <w:rsid w:val="000F65E3"/>
    <w:rsid w:val="0010218C"/>
    <w:rsid w:val="00104AB9"/>
    <w:rsid w:val="00105539"/>
    <w:rsid w:val="0010648A"/>
    <w:rsid w:val="00106C66"/>
    <w:rsid w:val="0010737D"/>
    <w:rsid w:val="00110464"/>
    <w:rsid w:val="001113A0"/>
    <w:rsid w:val="00113F73"/>
    <w:rsid w:val="001154CD"/>
    <w:rsid w:val="00116D40"/>
    <w:rsid w:val="00120051"/>
    <w:rsid w:val="0012013F"/>
    <w:rsid w:val="00122F61"/>
    <w:rsid w:val="00124CEF"/>
    <w:rsid w:val="001300BA"/>
    <w:rsid w:val="00137D43"/>
    <w:rsid w:val="00146D09"/>
    <w:rsid w:val="0015369D"/>
    <w:rsid w:val="00155085"/>
    <w:rsid w:val="00160B29"/>
    <w:rsid w:val="00161770"/>
    <w:rsid w:val="00162D3C"/>
    <w:rsid w:val="00166428"/>
    <w:rsid w:val="00172E9D"/>
    <w:rsid w:val="0017360E"/>
    <w:rsid w:val="00174EF4"/>
    <w:rsid w:val="001773C8"/>
    <w:rsid w:val="00182C02"/>
    <w:rsid w:val="00183508"/>
    <w:rsid w:val="001845E0"/>
    <w:rsid w:val="001853D9"/>
    <w:rsid w:val="001869AF"/>
    <w:rsid w:val="00187659"/>
    <w:rsid w:val="0018796B"/>
    <w:rsid w:val="001919C6"/>
    <w:rsid w:val="001922A2"/>
    <w:rsid w:val="00192427"/>
    <w:rsid w:val="00194311"/>
    <w:rsid w:val="001A3B0C"/>
    <w:rsid w:val="001A75A2"/>
    <w:rsid w:val="001B5CD3"/>
    <w:rsid w:val="001C0601"/>
    <w:rsid w:val="001D081D"/>
    <w:rsid w:val="001D26B1"/>
    <w:rsid w:val="001D3314"/>
    <w:rsid w:val="001D4BB0"/>
    <w:rsid w:val="001D4CCB"/>
    <w:rsid w:val="001D5947"/>
    <w:rsid w:val="001D5A9E"/>
    <w:rsid w:val="001E062E"/>
    <w:rsid w:val="001E6593"/>
    <w:rsid w:val="001E6D31"/>
    <w:rsid w:val="001F1BAE"/>
    <w:rsid w:val="001F2651"/>
    <w:rsid w:val="001F3F2E"/>
    <w:rsid w:val="001F6EF9"/>
    <w:rsid w:val="00205028"/>
    <w:rsid w:val="002072A9"/>
    <w:rsid w:val="00215309"/>
    <w:rsid w:val="002170F3"/>
    <w:rsid w:val="00217CE3"/>
    <w:rsid w:val="00220A73"/>
    <w:rsid w:val="00224D4B"/>
    <w:rsid w:val="002259DC"/>
    <w:rsid w:val="00236BC0"/>
    <w:rsid w:val="00236FE9"/>
    <w:rsid w:val="00243331"/>
    <w:rsid w:val="002461F1"/>
    <w:rsid w:val="002511E3"/>
    <w:rsid w:val="00260663"/>
    <w:rsid w:val="00261F2E"/>
    <w:rsid w:val="002625E6"/>
    <w:rsid w:val="00262712"/>
    <w:rsid w:val="002648FC"/>
    <w:rsid w:val="0026560A"/>
    <w:rsid w:val="00271033"/>
    <w:rsid w:val="0027526C"/>
    <w:rsid w:val="00280D09"/>
    <w:rsid w:val="0028383F"/>
    <w:rsid w:val="002856C0"/>
    <w:rsid w:val="002931C2"/>
    <w:rsid w:val="00293C2B"/>
    <w:rsid w:val="00293D5D"/>
    <w:rsid w:val="00297D18"/>
    <w:rsid w:val="002A25ED"/>
    <w:rsid w:val="002B3C95"/>
    <w:rsid w:val="002C4F64"/>
    <w:rsid w:val="002C5992"/>
    <w:rsid w:val="002D3A63"/>
    <w:rsid w:val="002D4AFE"/>
    <w:rsid w:val="002D7A74"/>
    <w:rsid w:val="002E11C1"/>
    <w:rsid w:val="002E161F"/>
    <w:rsid w:val="002E5CD8"/>
    <w:rsid w:val="002E63D6"/>
    <w:rsid w:val="002E77C8"/>
    <w:rsid w:val="002E77E1"/>
    <w:rsid w:val="002F1AA3"/>
    <w:rsid w:val="002F1CC9"/>
    <w:rsid w:val="00302497"/>
    <w:rsid w:val="00312583"/>
    <w:rsid w:val="0031536D"/>
    <w:rsid w:val="003154D3"/>
    <w:rsid w:val="00317E96"/>
    <w:rsid w:val="003313AD"/>
    <w:rsid w:val="00343BC3"/>
    <w:rsid w:val="00345C84"/>
    <w:rsid w:val="003470F3"/>
    <w:rsid w:val="0035332C"/>
    <w:rsid w:val="003658AF"/>
    <w:rsid w:val="003672A7"/>
    <w:rsid w:val="00370E39"/>
    <w:rsid w:val="003717E2"/>
    <w:rsid w:val="00371D9C"/>
    <w:rsid w:val="00385BB0"/>
    <w:rsid w:val="0038698A"/>
    <w:rsid w:val="00393FD3"/>
    <w:rsid w:val="00396376"/>
    <w:rsid w:val="00396E56"/>
    <w:rsid w:val="003A1546"/>
    <w:rsid w:val="003A168D"/>
    <w:rsid w:val="003A1A33"/>
    <w:rsid w:val="003A6D36"/>
    <w:rsid w:val="003A728F"/>
    <w:rsid w:val="003B39DB"/>
    <w:rsid w:val="003B6946"/>
    <w:rsid w:val="003C2CF7"/>
    <w:rsid w:val="003C75DF"/>
    <w:rsid w:val="003E2D8B"/>
    <w:rsid w:val="003F4A3A"/>
    <w:rsid w:val="00403AB3"/>
    <w:rsid w:val="004106A1"/>
    <w:rsid w:val="004112B6"/>
    <w:rsid w:val="00417D1C"/>
    <w:rsid w:val="00422AE1"/>
    <w:rsid w:val="004232F6"/>
    <w:rsid w:val="0042487B"/>
    <w:rsid w:val="004308BD"/>
    <w:rsid w:val="00432276"/>
    <w:rsid w:val="00433CA9"/>
    <w:rsid w:val="004358CE"/>
    <w:rsid w:val="00442318"/>
    <w:rsid w:val="004434AD"/>
    <w:rsid w:val="004456AF"/>
    <w:rsid w:val="00445D57"/>
    <w:rsid w:val="00452F21"/>
    <w:rsid w:val="00456367"/>
    <w:rsid w:val="00457B63"/>
    <w:rsid w:val="00461286"/>
    <w:rsid w:val="004629B0"/>
    <w:rsid w:val="00470E99"/>
    <w:rsid w:val="00474592"/>
    <w:rsid w:val="00477386"/>
    <w:rsid w:val="00477989"/>
    <w:rsid w:val="00483E3D"/>
    <w:rsid w:val="004843AC"/>
    <w:rsid w:val="0048638E"/>
    <w:rsid w:val="004874A8"/>
    <w:rsid w:val="0049066C"/>
    <w:rsid w:val="00490A46"/>
    <w:rsid w:val="0049139C"/>
    <w:rsid w:val="004962D2"/>
    <w:rsid w:val="00496655"/>
    <w:rsid w:val="004A029B"/>
    <w:rsid w:val="004A2CB1"/>
    <w:rsid w:val="004A4E0A"/>
    <w:rsid w:val="004A7C48"/>
    <w:rsid w:val="004B5014"/>
    <w:rsid w:val="004B5FFD"/>
    <w:rsid w:val="004B79AC"/>
    <w:rsid w:val="004C427B"/>
    <w:rsid w:val="004C47D0"/>
    <w:rsid w:val="004D6FAF"/>
    <w:rsid w:val="004D77FC"/>
    <w:rsid w:val="004D7C2B"/>
    <w:rsid w:val="004E6E6D"/>
    <w:rsid w:val="004E7201"/>
    <w:rsid w:val="004F22D8"/>
    <w:rsid w:val="004F2F90"/>
    <w:rsid w:val="00502E75"/>
    <w:rsid w:val="00503696"/>
    <w:rsid w:val="00506A14"/>
    <w:rsid w:val="00506D69"/>
    <w:rsid w:val="005104E1"/>
    <w:rsid w:val="00510A89"/>
    <w:rsid w:val="00510CC9"/>
    <w:rsid w:val="005163A3"/>
    <w:rsid w:val="00516F27"/>
    <w:rsid w:val="00516FB3"/>
    <w:rsid w:val="005177D7"/>
    <w:rsid w:val="005179D2"/>
    <w:rsid w:val="0052326C"/>
    <w:rsid w:val="005241DE"/>
    <w:rsid w:val="005263F3"/>
    <w:rsid w:val="005301AA"/>
    <w:rsid w:val="00532CAD"/>
    <w:rsid w:val="005407FF"/>
    <w:rsid w:val="005442A4"/>
    <w:rsid w:val="005502A7"/>
    <w:rsid w:val="00551A97"/>
    <w:rsid w:val="00555E07"/>
    <w:rsid w:val="00560519"/>
    <w:rsid w:val="005627D8"/>
    <w:rsid w:val="00566591"/>
    <w:rsid w:val="00567086"/>
    <w:rsid w:val="005705CF"/>
    <w:rsid w:val="00572F6E"/>
    <w:rsid w:val="005731DE"/>
    <w:rsid w:val="005772D0"/>
    <w:rsid w:val="00580B59"/>
    <w:rsid w:val="00581407"/>
    <w:rsid w:val="00585C44"/>
    <w:rsid w:val="00587170"/>
    <w:rsid w:val="00590ACF"/>
    <w:rsid w:val="0059402A"/>
    <w:rsid w:val="00595111"/>
    <w:rsid w:val="00597B7B"/>
    <w:rsid w:val="005A1EF2"/>
    <w:rsid w:val="005A2E5E"/>
    <w:rsid w:val="005A793E"/>
    <w:rsid w:val="005B15C2"/>
    <w:rsid w:val="005B4970"/>
    <w:rsid w:val="005B7B79"/>
    <w:rsid w:val="005B7EC7"/>
    <w:rsid w:val="005C0556"/>
    <w:rsid w:val="005C098F"/>
    <w:rsid w:val="005C1101"/>
    <w:rsid w:val="005D09CB"/>
    <w:rsid w:val="005D4008"/>
    <w:rsid w:val="005D63A7"/>
    <w:rsid w:val="005F0FD6"/>
    <w:rsid w:val="005F3271"/>
    <w:rsid w:val="0060218D"/>
    <w:rsid w:val="00606503"/>
    <w:rsid w:val="006079F6"/>
    <w:rsid w:val="0061070F"/>
    <w:rsid w:val="00610B46"/>
    <w:rsid w:val="00614456"/>
    <w:rsid w:val="00620523"/>
    <w:rsid w:val="00621B9F"/>
    <w:rsid w:val="00621D17"/>
    <w:rsid w:val="00623F43"/>
    <w:rsid w:val="00624451"/>
    <w:rsid w:val="00625D1A"/>
    <w:rsid w:val="00625E8A"/>
    <w:rsid w:val="006261E1"/>
    <w:rsid w:val="0062753D"/>
    <w:rsid w:val="00632470"/>
    <w:rsid w:val="00636604"/>
    <w:rsid w:val="0063748B"/>
    <w:rsid w:val="00643E36"/>
    <w:rsid w:val="00644385"/>
    <w:rsid w:val="00645359"/>
    <w:rsid w:val="0064628C"/>
    <w:rsid w:val="00646DEC"/>
    <w:rsid w:val="00657248"/>
    <w:rsid w:val="00663285"/>
    <w:rsid w:val="00664D13"/>
    <w:rsid w:val="00666EA9"/>
    <w:rsid w:val="00671CD1"/>
    <w:rsid w:val="0067348A"/>
    <w:rsid w:val="00675A22"/>
    <w:rsid w:val="0068265B"/>
    <w:rsid w:val="0068501F"/>
    <w:rsid w:val="006942A1"/>
    <w:rsid w:val="00697C32"/>
    <w:rsid w:val="006A5A0D"/>
    <w:rsid w:val="006A7605"/>
    <w:rsid w:val="006B229B"/>
    <w:rsid w:val="006B2B8B"/>
    <w:rsid w:val="006B318F"/>
    <w:rsid w:val="006B4A3B"/>
    <w:rsid w:val="006B7B46"/>
    <w:rsid w:val="006C1F9A"/>
    <w:rsid w:val="006C2C22"/>
    <w:rsid w:val="006C5FDF"/>
    <w:rsid w:val="006D101D"/>
    <w:rsid w:val="006D15B3"/>
    <w:rsid w:val="006D7DF0"/>
    <w:rsid w:val="00703330"/>
    <w:rsid w:val="00707690"/>
    <w:rsid w:val="007116C4"/>
    <w:rsid w:val="00712CFD"/>
    <w:rsid w:val="00716CF3"/>
    <w:rsid w:val="00717B36"/>
    <w:rsid w:val="007271E0"/>
    <w:rsid w:val="0073034C"/>
    <w:rsid w:val="00732A7B"/>
    <w:rsid w:val="00740D63"/>
    <w:rsid w:val="00742860"/>
    <w:rsid w:val="00746B52"/>
    <w:rsid w:val="00747DDE"/>
    <w:rsid w:val="00750022"/>
    <w:rsid w:val="00751408"/>
    <w:rsid w:val="0075252B"/>
    <w:rsid w:val="007530CA"/>
    <w:rsid w:val="00754B52"/>
    <w:rsid w:val="00755016"/>
    <w:rsid w:val="00756B75"/>
    <w:rsid w:val="00757977"/>
    <w:rsid w:val="00757E3A"/>
    <w:rsid w:val="00760187"/>
    <w:rsid w:val="00760D78"/>
    <w:rsid w:val="0076169B"/>
    <w:rsid w:val="00763C42"/>
    <w:rsid w:val="007653DB"/>
    <w:rsid w:val="00770447"/>
    <w:rsid w:val="00773AF7"/>
    <w:rsid w:val="00773F32"/>
    <w:rsid w:val="00774D0C"/>
    <w:rsid w:val="00780F58"/>
    <w:rsid w:val="00783514"/>
    <w:rsid w:val="0078642C"/>
    <w:rsid w:val="00786B39"/>
    <w:rsid w:val="0078747F"/>
    <w:rsid w:val="00794001"/>
    <w:rsid w:val="00796C9B"/>
    <w:rsid w:val="00796F95"/>
    <w:rsid w:val="007A016E"/>
    <w:rsid w:val="007A4FCD"/>
    <w:rsid w:val="007A787C"/>
    <w:rsid w:val="007B2C1C"/>
    <w:rsid w:val="007B2C76"/>
    <w:rsid w:val="007B763A"/>
    <w:rsid w:val="007C2C3B"/>
    <w:rsid w:val="007C2FF7"/>
    <w:rsid w:val="007C7DC1"/>
    <w:rsid w:val="007D2DC0"/>
    <w:rsid w:val="007D31CE"/>
    <w:rsid w:val="007E1DFF"/>
    <w:rsid w:val="007E43FC"/>
    <w:rsid w:val="007E68CA"/>
    <w:rsid w:val="0080328D"/>
    <w:rsid w:val="0080430C"/>
    <w:rsid w:val="00805378"/>
    <w:rsid w:val="008079EF"/>
    <w:rsid w:val="008300D5"/>
    <w:rsid w:val="00836CBD"/>
    <w:rsid w:val="00842D72"/>
    <w:rsid w:val="00844308"/>
    <w:rsid w:val="008520C7"/>
    <w:rsid w:val="00854BF9"/>
    <w:rsid w:val="00854D46"/>
    <w:rsid w:val="00856290"/>
    <w:rsid w:val="0086090F"/>
    <w:rsid w:val="008622BF"/>
    <w:rsid w:val="00863A82"/>
    <w:rsid w:val="008708A4"/>
    <w:rsid w:val="008725B8"/>
    <w:rsid w:val="0087368F"/>
    <w:rsid w:val="00873DEE"/>
    <w:rsid w:val="0087624A"/>
    <w:rsid w:val="008830AE"/>
    <w:rsid w:val="0088367B"/>
    <w:rsid w:val="00886176"/>
    <w:rsid w:val="00886CCB"/>
    <w:rsid w:val="008921CF"/>
    <w:rsid w:val="00892D2B"/>
    <w:rsid w:val="008A2F46"/>
    <w:rsid w:val="008A65D3"/>
    <w:rsid w:val="008A7376"/>
    <w:rsid w:val="008B4F16"/>
    <w:rsid w:val="008B5AC9"/>
    <w:rsid w:val="008C05FB"/>
    <w:rsid w:val="008C087C"/>
    <w:rsid w:val="008C2AC7"/>
    <w:rsid w:val="008C75AC"/>
    <w:rsid w:val="008D330F"/>
    <w:rsid w:val="008E0E89"/>
    <w:rsid w:val="008F12C5"/>
    <w:rsid w:val="008F2FFD"/>
    <w:rsid w:val="008F678A"/>
    <w:rsid w:val="00900B31"/>
    <w:rsid w:val="00904B55"/>
    <w:rsid w:val="00906651"/>
    <w:rsid w:val="009104A0"/>
    <w:rsid w:val="00915CEF"/>
    <w:rsid w:val="00917F26"/>
    <w:rsid w:val="009211CE"/>
    <w:rsid w:val="0092421E"/>
    <w:rsid w:val="00927063"/>
    <w:rsid w:val="00932303"/>
    <w:rsid w:val="00932328"/>
    <w:rsid w:val="00936708"/>
    <w:rsid w:val="00937576"/>
    <w:rsid w:val="00943B13"/>
    <w:rsid w:val="00944D06"/>
    <w:rsid w:val="00945560"/>
    <w:rsid w:val="00945831"/>
    <w:rsid w:val="009467B6"/>
    <w:rsid w:val="0095084F"/>
    <w:rsid w:val="009527FC"/>
    <w:rsid w:val="00953E15"/>
    <w:rsid w:val="0095581A"/>
    <w:rsid w:val="00962399"/>
    <w:rsid w:val="00966C84"/>
    <w:rsid w:val="00975D9B"/>
    <w:rsid w:val="009775A8"/>
    <w:rsid w:val="00981451"/>
    <w:rsid w:val="0098160D"/>
    <w:rsid w:val="00981BA6"/>
    <w:rsid w:val="00987D4B"/>
    <w:rsid w:val="00990D3A"/>
    <w:rsid w:val="009927E7"/>
    <w:rsid w:val="009B154D"/>
    <w:rsid w:val="009B1A39"/>
    <w:rsid w:val="009C69E7"/>
    <w:rsid w:val="009C6BF5"/>
    <w:rsid w:val="009C7427"/>
    <w:rsid w:val="009D51F6"/>
    <w:rsid w:val="009D5CE0"/>
    <w:rsid w:val="009E2FFB"/>
    <w:rsid w:val="009E5217"/>
    <w:rsid w:val="009F1653"/>
    <w:rsid w:val="009F37C8"/>
    <w:rsid w:val="009F3A58"/>
    <w:rsid w:val="009F3F9A"/>
    <w:rsid w:val="009F5324"/>
    <w:rsid w:val="00A00436"/>
    <w:rsid w:val="00A058CC"/>
    <w:rsid w:val="00A1183E"/>
    <w:rsid w:val="00A137E4"/>
    <w:rsid w:val="00A14925"/>
    <w:rsid w:val="00A152D5"/>
    <w:rsid w:val="00A16AF8"/>
    <w:rsid w:val="00A1708B"/>
    <w:rsid w:val="00A20F17"/>
    <w:rsid w:val="00A2493A"/>
    <w:rsid w:val="00A31B93"/>
    <w:rsid w:val="00A31F15"/>
    <w:rsid w:val="00A3257F"/>
    <w:rsid w:val="00A3277A"/>
    <w:rsid w:val="00A344D7"/>
    <w:rsid w:val="00A354B0"/>
    <w:rsid w:val="00A3588C"/>
    <w:rsid w:val="00A3746E"/>
    <w:rsid w:val="00A37672"/>
    <w:rsid w:val="00A406FC"/>
    <w:rsid w:val="00A43C6F"/>
    <w:rsid w:val="00A441DD"/>
    <w:rsid w:val="00A4726D"/>
    <w:rsid w:val="00A47C84"/>
    <w:rsid w:val="00A50EE0"/>
    <w:rsid w:val="00A52F15"/>
    <w:rsid w:val="00A561FE"/>
    <w:rsid w:val="00A619B6"/>
    <w:rsid w:val="00A64D63"/>
    <w:rsid w:val="00A668A1"/>
    <w:rsid w:val="00A67C4F"/>
    <w:rsid w:val="00A719AB"/>
    <w:rsid w:val="00A75EB0"/>
    <w:rsid w:val="00A80ABB"/>
    <w:rsid w:val="00A96E05"/>
    <w:rsid w:val="00A97827"/>
    <w:rsid w:val="00A97EA3"/>
    <w:rsid w:val="00AA44CE"/>
    <w:rsid w:val="00AA5310"/>
    <w:rsid w:val="00AA58C8"/>
    <w:rsid w:val="00AA6948"/>
    <w:rsid w:val="00AB009B"/>
    <w:rsid w:val="00AB2D5D"/>
    <w:rsid w:val="00AC091B"/>
    <w:rsid w:val="00AC1E2B"/>
    <w:rsid w:val="00AC4A22"/>
    <w:rsid w:val="00AC6B0E"/>
    <w:rsid w:val="00AC7B0B"/>
    <w:rsid w:val="00AD180E"/>
    <w:rsid w:val="00AD2ECD"/>
    <w:rsid w:val="00AD6691"/>
    <w:rsid w:val="00AD7635"/>
    <w:rsid w:val="00AE14A5"/>
    <w:rsid w:val="00AE1B47"/>
    <w:rsid w:val="00AE230C"/>
    <w:rsid w:val="00AF0172"/>
    <w:rsid w:val="00AF2C78"/>
    <w:rsid w:val="00B008C1"/>
    <w:rsid w:val="00B03909"/>
    <w:rsid w:val="00B0633E"/>
    <w:rsid w:val="00B22E44"/>
    <w:rsid w:val="00B24B84"/>
    <w:rsid w:val="00B260B2"/>
    <w:rsid w:val="00B318F8"/>
    <w:rsid w:val="00B32CF7"/>
    <w:rsid w:val="00B344DD"/>
    <w:rsid w:val="00B36E1B"/>
    <w:rsid w:val="00B36FEB"/>
    <w:rsid w:val="00B377C6"/>
    <w:rsid w:val="00B427B4"/>
    <w:rsid w:val="00B429E6"/>
    <w:rsid w:val="00B43837"/>
    <w:rsid w:val="00B45DAF"/>
    <w:rsid w:val="00B465C5"/>
    <w:rsid w:val="00B47FB0"/>
    <w:rsid w:val="00B50391"/>
    <w:rsid w:val="00B52C24"/>
    <w:rsid w:val="00B5311C"/>
    <w:rsid w:val="00B54DEE"/>
    <w:rsid w:val="00B63533"/>
    <w:rsid w:val="00B65906"/>
    <w:rsid w:val="00B70732"/>
    <w:rsid w:val="00B72D3B"/>
    <w:rsid w:val="00B72D79"/>
    <w:rsid w:val="00B731A1"/>
    <w:rsid w:val="00B80425"/>
    <w:rsid w:val="00B8174F"/>
    <w:rsid w:val="00B83530"/>
    <w:rsid w:val="00B9136E"/>
    <w:rsid w:val="00B919E0"/>
    <w:rsid w:val="00B96E94"/>
    <w:rsid w:val="00BA2B71"/>
    <w:rsid w:val="00BA2EAC"/>
    <w:rsid w:val="00BA6934"/>
    <w:rsid w:val="00BB083F"/>
    <w:rsid w:val="00BB1731"/>
    <w:rsid w:val="00BB3457"/>
    <w:rsid w:val="00BB5B7F"/>
    <w:rsid w:val="00BC0D9B"/>
    <w:rsid w:val="00BC4829"/>
    <w:rsid w:val="00BC54B3"/>
    <w:rsid w:val="00BD61B4"/>
    <w:rsid w:val="00BE28DB"/>
    <w:rsid w:val="00BE3E80"/>
    <w:rsid w:val="00BE6BCE"/>
    <w:rsid w:val="00BE7808"/>
    <w:rsid w:val="00BF1B9F"/>
    <w:rsid w:val="00BF2239"/>
    <w:rsid w:val="00C128B2"/>
    <w:rsid w:val="00C13809"/>
    <w:rsid w:val="00C17C44"/>
    <w:rsid w:val="00C20F57"/>
    <w:rsid w:val="00C21E4D"/>
    <w:rsid w:val="00C26B74"/>
    <w:rsid w:val="00C36467"/>
    <w:rsid w:val="00C40068"/>
    <w:rsid w:val="00C40B99"/>
    <w:rsid w:val="00C43DCC"/>
    <w:rsid w:val="00C51402"/>
    <w:rsid w:val="00C63324"/>
    <w:rsid w:val="00C662C8"/>
    <w:rsid w:val="00C6720E"/>
    <w:rsid w:val="00C70C0B"/>
    <w:rsid w:val="00C732A8"/>
    <w:rsid w:val="00C8632F"/>
    <w:rsid w:val="00C8725A"/>
    <w:rsid w:val="00C90859"/>
    <w:rsid w:val="00CA00F1"/>
    <w:rsid w:val="00CA4381"/>
    <w:rsid w:val="00CB01E6"/>
    <w:rsid w:val="00CB0CAD"/>
    <w:rsid w:val="00CC13B8"/>
    <w:rsid w:val="00CC26FB"/>
    <w:rsid w:val="00CC2D7C"/>
    <w:rsid w:val="00CD0746"/>
    <w:rsid w:val="00CD0F74"/>
    <w:rsid w:val="00CD37E5"/>
    <w:rsid w:val="00CD38AE"/>
    <w:rsid w:val="00CD438C"/>
    <w:rsid w:val="00CD7172"/>
    <w:rsid w:val="00CE23F4"/>
    <w:rsid w:val="00CE3215"/>
    <w:rsid w:val="00CE4290"/>
    <w:rsid w:val="00CE634D"/>
    <w:rsid w:val="00CF062D"/>
    <w:rsid w:val="00CF7015"/>
    <w:rsid w:val="00D002E8"/>
    <w:rsid w:val="00D0295E"/>
    <w:rsid w:val="00D12151"/>
    <w:rsid w:val="00D156DC"/>
    <w:rsid w:val="00D231C7"/>
    <w:rsid w:val="00D247DB"/>
    <w:rsid w:val="00D30251"/>
    <w:rsid w:val="00D3474B"/>
    <w:rsid w:val="00D36668"/>
    <w:rsid w:val="00D37CAB"/>
    <w:rsid w:val="00D40F4D"/>
    <w:rsid w:val="00D4242D"/>
    <w:rsid w:val="00D501DD"/>
    <w:rsid w:val="00D52F8B"/>
    <w:rsid w:val="00D55697"/>
    <w:rsid w:val="00D605A7"/>
    <w:rsid w:val="00D61584"/>
    <w:rsid w:val="00D620F5"/>
    <w:rsid w:val="00D62CE0"/>
    <w:rsid w:val="00D62E2E"/>
    <w:rsid w:val="00D62F0E"/>
    <w:rsid w:val="00D63A4C"/>
    <w:rsid w:val="00D73A41"/>
    <w:rsid w:val="00D8475A"/>
    <w:rsid w:val="00D847F5"/>
    <w:rsid w:val="00D85A62"/>
    <w:rsid w:val="00D8726C"/>
    <w:rsid w:val="00D93660"/>
    <w:rsid w:val="00DA0CAF"/>
    <w:rsid w:val="00DA42A2"/>
    <w:rsid w:val="00DA4556"/>
    <w:rsid w:val="00DA50C3"/>
    <w:rsid w:val="00DB4422"/>
    <w:rsid w:val="00DB75B8"/>
    <w:rsid w:val="00DC65EC"/>
    <w:rsid w:val="00DD3DF5"/>
    <w:rsid w:val="00DD6232"/>
    <w:rsid w:val="00DE0815"/>
    <w:rsid w:val="00DE0EB9"/>
    <w:rsid w:val="00DF4EFC"/>
    <w:rsid w:val="00E015B4"/>
    <w:rsid w:val="00E07ED7"/>
    <w:rsid w:val="00E11A95"/>
    <w:rsid w:val="00E11FC1"/>
    <w:rsid w:val="00E127E5"/>
    <w:rsid w:val="00E2256E"/>
    <w:rsid w:val="00E257D4"/>
    <w:rsid w:val="00E26B57"/>
    <w:rsid w:val="00E32453"/>
    <w:rsid w:val="00E37009"/>
    <w:rsid w:val="00E37E09"/>
    <w:rsid w:val="00E402A2"/>
    <w:rsid w:val="00E4177C"/>
    <w:rsid w:val="00E44F2B"/>
    <w:rsid w:val="00E45AD4"/>
    <w:rsid w:val="00E54372"/>
    <w:rsid w:val="00E54B03"/>
    <w:rsid w:val="00E5707A"/>
    <w:rsid w:val="00E572A3"/>
    <w:rsid w:val="00E640D0"/>
    <w:rsid w:val="00E65555"/>
    <w:rsid w:val="00E665FF"/>
    <w:rsid w:val="00E66A63"/>
    <w:rsid w:val="00E67F8B"/>
    <w:rsid w:val="00E74652"/>
    <w:rsid w:val="00E8256C"/>
    <w:rsid w:val="00E8798B"/>
    <w:rsid w:val="00E901E8"/>
    <w:rsid w:val="00E902DA"/>
    <w:rsid w:val="00E957D7"/>
    <w:rsid w:val="00EA0A73"/>
    <w:rsid w:val="00EA433C"/>
    <w:rsid w:val="00EA4573"/>
    <w:rsid w:val="00EA61B6"/>
    <w:rsid w:val="00EA7346"/>
    <w:rsid w:val="00EA74FC"/>
    <w:rsid w:val="00EB0138"/>
    <w:rsid w:val="00EB19BE"/>
    <w:rsid w:val="00EC0230"/>
    <w:rsid w:val="00EC0979"/>
    <w:rsid w:val="00EC1624"/>
    <w:rsid w:val="00ED3905"/>
    <w:rsid w:val="00ED3AD5"/>
    <w:rsid w:val="00EE088F"/>
    <w:rsid w:val="00EE2BF0"/>
    <w:rsid w:val="00EE3CC5"/>
    <w:rsid w:val="00EE73C8"/>
    <w:rsid w:val="00EF6698"/>
    <w:rsid w:val="00EF673D"/>
    <w:rsid w:val="00EF6D9E"/>
    <w:rsid w:val="00F0053A"/>
    <w:rsid w:val="00F011CA"/>
    <w:rsid w:val="00F0261F"/>
    <w:rsid w:val="00F02DB1"/>
    <w:rsid w:val="00F032D9"/>
    <w:rsid w:val="00F03F68"/>
    <w:rsid w:val="00F079DA"/>
    <w:rsid w:val="00F11BC7"/>
    <w:rsid w:val="00F14838"/>
    <w:rsid w:val="00F20C32"/>
    <w:rsid w:val="00F2304A"/>
    <w:rsid w:val="00F23FA1"/>
    <w:rsid w:val="00F32A28"/>
    <w:rsid w:val="00F33098"/>
    <w:rsid w:val="00F33AE0"/>
    <w:rsid w:val="00F341C3"/>
    <w:rsid w:val="00F34500"/>
    <w:rsid w:val="00F35549"/>
    <w:rsid w:val="00F35A78"/>
    <w:rsid w:val="00F36EFE"/>
    <w:rsid w:val="00F36F1E"/>
    <w:rsid w:val="00F372CA"/>
    <w:rsid w:val="00F414F6"/>
    <w:rsid w:val="00F42184"/>
    <w:rsid w:val="00F44544"/>
    <w:rsid w:val="00F47927"/>
    <w:rsid w:val="00F52955"/>
    <w:rsid w:val="00F542F1"/>
    <w:rsid w:val="00F569A3"/>
    <w:rsid w:val="00F5730F"/>
    <w:rsid w:val="00F61F5A"/>
    <w:rsid w:val="00F631C4"/>
    <w:rsid w:val="00F63CE1"/>
    <w:rsid w:val="00F64F26"/>
    <w:rsid w:val="00F6623F"/>
    <w:rsid w:val="00F67104"/>
    <w:rsid w:val="00F73909"/>
    <w:rsid w:val="00F74553"/>
    <w:rsid w:val="00F771EA"/>
    <w:rsid w:val="00F77E98"/>
    <w:rsid w:val="00F82E7A"/>
    <w:rsid w:val="00F84815"/>
    <w:rsid w:val="00F875F3"/>
    <w:rsid w:val="00F87CCD"/>
    <w:rsid w:val="00F92958"/>
    <w:rsid w:val="00F97882"/>
    <w:rsid w:val="00FA14A7"/>
    <w:rsid w:val="00FA28AA"/>
    <w:rsid w:val="00FA42CD"/>
    <w:rsid w:val="00FA5766"/>
    <w:rsid w:val="00FA58D4"/>
    <w:rsid w:val="00FB0815"/>
    <w:rsid w:val="00FB0A6F"/>
    <w:rsid w:val="00FB1E6B"/>
    <w:rsid w:val="00FB2CF1"/>
    <w:rsid w:val="00FC395B"/>
    <w:rsid w:val="00FC469D"/>
    <w:rsid w:val="00FD0EDA"/>
    <w:rsid w:val="00FD0FB1"/>
    <w:rsid w:val="00FD21EE"/>
    <w:rsid w:val="00FD2DA5"/>
    <w:rsid w:val="00FD406A"/>
    <w:rsid w:val="00FD42E1"/>
    <w:rsid w:val="00FD67F4"/>
    <w:rsid w:val="00FD69BF"/>
    <w:rsid w:val="00FD73B0"/>
    <w:rsid w:val="00FE0511"/>
    <w:rsid w:val="00FE0615"/>
    <w:rsid w:val="00FE4C05"/>
    <w:rsid w:val="00FE5A53"/>
    <w:rsid w:val="00FE792A"/>
    <w:rsid w:val="00FF0654"/>
    <w:rsid w:val="00FF0C8F"/>
    <w:rsid w:val="00FF73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D3B"/>
    <w:pPr>
      <w:widowControl w:val="0"/>
    </w:pPr>
    <w:rPr>
      <w:snapToGrid w:val="0"/>
      <w:kern w:val="28"/>
      <w:sz w:val="22"/>
    </w:rPr>
  </w:style>
  <w:style w:type="paragraph" w:styleId="Heading1">
    <w:name w:val="heading 1"/>
    <w:basedOn w:val="Normal"/>
    <w:next w:val="ParaNum"/>
    <w:qFormat/>
    <w:rsid w:val="00B72D3B"/>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2D3B"/>
    <w:pPr>
      <w:keepNext/>
      <w:numPr>
        <w:ilvl w:val="1"/>
        <w:numId w:val="7"/>
      </w:numPr>
      <w:spacing w:after="120"/>
      <w:outlineLvl w:val="1"/>
    </w:pPr>
    <w:rPr>
      <w:b/>
    </w:rPr>
  </w:style>
  <w:style w:type="paragraph" w:styleId="Heading3">
    <w:name w:val="heading 3"/>
    <w:basedOn w:val="Normal"/>
    <w:next w:val="ParaNum"/>
    <w:qFormat/>
    <w:rsid w:val="00B72D3B"/>
    <w:pPr>
      <w:keepNext/>
      <w:numPr>
        <w:ilvl w:val="2"/>
        <w:numId w:val="7"/>
      </w:numPr>
      <w:tabs>
        <w:tab w:val="left" w:pos="2160"/>
      </w:tabs>
      <w:spacing w:after="120"/>
      <w:outlineLvl w:val="2"/>
    </w:pPr>
    <w:rPr>
      <w:b/>
    </w:rPr>
  </w:style>
  <w:style w:type="paragraph" w:styleId="Heading4">
    <w:name w:val="heading 4"/>
    <w:basedOn w:val="Normal"/>
    <w:next w:val="ParaNum"/>
    <w:qFormat/>
    <w:rsid w:val="00B72D3B"/>
    <w:pPr>
      <w:keepNext/>
      <w:numPr>
        <w:ilvl w:val="3"/>
        <w:numId w:val="7"/>
      </w:numPr>
      <w:tabs>
        <w:tab w:val="left" w:pos="2880"/>
      </w:tabs>
      <w:spacing w:after="120"/>
      <w:outlineLvl w:val="3"/>
    </w:pPr>
    <w:rPr>
      <w:b/>
    </w:rPr>
  </w:style>
  <w:style w:type="paragraph" w:styleId="Heading5">
    <w:name w:val="heading 5"/>
    <w:basedOn w:val="Normal"/>
    <w:next w:val="ParaNum"/>
    <w:qFormat/>
    <w:rsid w:val="00B72D3B"/>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B72D3B"/>
    <w:pPr>
      <w:numPr>
        <w:ilvl w:val="5"/>
        <w:numId w:val="7"/>
      </w:numPr>
      <w:tabs>
        <w:tab w:val="left" w:pos="4320"/>
      </w:tabs>
      <w:spacing w:after="120"/>
      <w:outlineLvl w:val="5"/>
    </w:pPr>
    <w:rPr>
      <w:b/>
    </w:rPr>
  </w:style>
  <w:style w:type="paragraph" w:styleId="Heading7">
    <w:name w:val="heading 7"/>
    <w:basedOn w:val="Normal"/>
    <w:next w:val="ParaNum"/>
    <w:qFormat/>
    <w:rsid w:val="00B72D3B"/>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B72D3B"/>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B72D3B"/>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2D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D3B"/>
  </w:style>
  <w:style w:type="paragraph" w:styleId="BalloonText">
    <w:name w:val="Balloon Text"/>
    <w:basedOn w:val="Normal"/>
    <w:link w:val="BalloonTextChar1"/>
    <w:semiHidden/>
    <w:rsid w:val="00457B63"/>
    <w:rPr>
      <w:rFonts w:ascii="Tahoma" w:hAnsi="Tahoma" w:cs="Tahoma"/>
      <w:sz w:val="16"/>
      <w:szCs w:val="16"/>
    </w:rPr>
  </w:style>
  <w:style w:type="character" w:customStyle="1" w:styleId="BalloonTextChar">
    <w:name w:val="Balloon Text Char"/>
    <w:basedOn w:val="DefaultParagraphFont"/>
    <w:uiPriority w:val="99"/>
    <w:semiHidden/>
    <w:rsid w:val="004A542E"/>
    <w:rPr>
      <w:rFonts w:ascii="Lucida Grande" w:hAnsi="Lucida Grande"/>
      <w:sz w:val="18"/>
      <w:szCs w:val="18"/>
    </w:rPr>
  </w:style>
  <w:style w:type="character" w:customStyle="1" w:styleId="BalloonTextChar0">
    <w:name w:val="Balloon Text Char"/>
    <w:basedOn w:val="DefaultParagraphFont"/>
    <w:uiPriority w:val="99"/>
    <w:semiHidden/>
    <w:rsid w:val="004A542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542E"/>
    <w:rPr>
      <w:rFonts w:ascii="Lucida Grande" w:hAnsi="Lucida Grande"/>
      <w:sz w:val="18"/>
      <w:szCs w:val="18"/>
    </w:rPr>
  </w:style>
  <w:style w:type="paragraph" w:styleId="Caption">
    <w:name w:val="caption"/>
    <w:basedOn w:val="Normal"/>
    <w:next w:val="Normal"/>
    <w:qFormat/>
    <w:rsid w:val="00457B63"/>
    <w:pPr>
      <w:spacing w:before="120" w:after="120"/>
    </w:pPr>
    <w:rPr>
      <w:b/>
    </w:rPr>
  </w:style>
  <w:style w:type="paragraph" w:customStyle="1" w:styleId="ParaNum">
    <w:name w:val="ParaNum"/>
    <w:basedOn w:val="Normal"/>
    <w:rsid w:val="00B72D3B"/>
    <w:pPr>
      <w:numPr>
        <w:numId w:val="6"/>
      </w:numPr>
      <w:tabs>
        <w:tab w:val="clear" w:pos="1080"/>
        <w:tab w:val="num" w:pos="1440"/>
      </w:tabs>
      <w:spacing w:after="120"/>
    </w:pPr>
  </w:style>
  <w:style w:type="paragraph" w:styleId="FootnoteText">
    <w:name w:val="footnote text"/>
    <w:aliases w:val="Footnote Text Char,rrfootnote Char,Footnote Text Char2 Char,Footnote Text Char1 Char Char,Footnote Text Char Char Char Char,Footnote Text Char1 Char Char Char Char,Footnote Text Char Char Char Char Char Char,Footnote Text Char Char Char1,f"/>
    <w:link w:val="FootnoteTextChar1"/>
    <w:rsid w:val="00B72D3B"/>
    <w:pPr>
      <w:spacing w:after="120"/>
    </w:pPr>
  </w:style>
  <w:style w:type="paragraph" w:customStyle="1" w:styleId="Bullet">
    <w:name w:val="Bullet"/>
    <w:basedOn w:val="Normal"/>
    <w:rsid w:val="00B72D3B"/>
    <w:pPr>
      <w:tabs>
        <w:tab w:val="left" w:pos="2160"/>
      </w:tabs>
      <w:spacing w:after="220"/>
      <w:ind w:left="2160" w:hanging="720"/>
    </w:pPr>
  </w:style>
  <w:style w:type="paragraph" w:styleId="BlockText">
    <w:name w:val="Block Text"/>
    <w:basedOn w:val="Normal"/>
    <w:rsid w:val="00B72D3B"/>
    <w:pPr>
      <w:spacing w:after="240"/>
      <w:ind w:left="1440" w:right="1440"/>
    </w:pPr>
  </w:style>
  <w:style w:type="paragraph" w:customStyle="1" w:styleId="TableFormat">
    <w:name w:val="TableFormat"/>
    <w:basedOn w:val="Bullet"/>
    <w:rsid w:val="00B72D3B"/>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
    <w:rsid w:val="00B72D3B"/>
    <w:rPr>
      <w:rFonts w:ascii="Times New Roman" w:hAnsi="Times New Roman"/>
      <w:dstrike w:val="0"/>
      <w:color w:val="auto"/>
      <w:sz w:val="20"/>
      <w:vertAlign w:val="superscript"/>
    </w:rPr>
  </w:style>
  <w:style w:type="paragraph" w:styleId="Header">
    <w:name w:val="header"/>
    <w:basedOn w:val="Normal"/>
    <w:autoRedefine/>
    <w:rsid w:val="00B72D3B"/>
    <w:pPr>
      <w:tabs>
        <w:tab w:val="center" w:pos="4680"/>
        <w:tab w:val="right" w:pos="9360"/>
      </w:tabs>
    </w:pPr>
    <w:rPr>
      <w:b/>
    </w:rPr>
  </w:style>
  <w:style w:type="paragraph" w:styleId="Footer">
    <w:name w:val="footer"/>
    <w:basedOn w:val="Normal"/>
    <w:rsid w:val="00B72D3B"/>
    <w:pPr>
      <w:tabs>
        <w:tab w:val="center" w:pos="4320"/>
        <w:tab w:val="right" w:pos="8640"/>
      </w:tabs>
    </w:pPr>
  </w:style>
  <w:style w:type="paragraph" w:styleId="TOC2">
    <w:name w:val="toc 2"/>
    <w:basedOn w:val="Normal"/>
    <w:next w:val="Normal"/>
    <w:semiHidden/>
    <w:rsid w:val="00B72D3B"/>
    <w:pPr>
      <w:tabs>
        <w:tab w:val="left" w:pos="720"/>
        <w:tab w:val="right" w:leader="dot" w:pos="9360"/>
      </w:tabs>
      <w:suppressAutoHyphens/>
      <w:ind w:left="720" w:right="720" w:hanging="360"/>
    </w:pPr>
    <w:rPr>
      <w:noProof/>
    </w:rPr>
  </w:style>
  <w:style w:type="paragraph" w:customStyle="1" w:styleId="NumberedList">
    <w:name w:val="Numbered List"/>
    <w:basedOn w:val="Normal"/>
    <w:rsid w:val="00457B63"/>
    <w:pPr>
      <w:numPr>
        <w:numId w:val="4"/>
      </w:numPr>
      <w:tabs>
        <w:tab w:val="clear" w:pos="1080"/>
      </w:tabs>
      <w:spacing w:after="220"/>
      <w:ind w:firstLine="0"/>
    </w:pPr>
  </w:style>
  <w:style w:type="paragraph" w:styleId="TOC1">
    <w:name w:val="toc 1"/>
    <w:basedOn w:val="Normal"/>
    <w:next w:val="Normal"/>
    <w:semiHidden/>
    <w:rsid w:val="00B72D3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72D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2D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2D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2D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2D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2D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2D3B"/>
    <w:pPr>
      <w:tabs>
        <w:tab w:val="left" w:pos="3240"/>
        <w:tab w:val="right" w:leader="dot" w:pos="9360"/>
      </w:tabs>
      <w:suppressAutoHyphens/>
      <w:ind w:left="3240" w:hanging="360"/>
    </w:pPr>
    <w:rPr>
      <w:noProof/>
    </w:rPr>
  </w:style>
  <w:style w:type="character" w:styleId="PageNumber">
    <w:name w:val="page number"/>
    <w:basedOn w:val="DefaultParagraphFont"/>
    <w:rsid w:val="00B72D3B"/>
  </w:style>
  <w:style w:type="paragraph" w:styleId="Title">
    <w:name w:val="Title"/>
    <w:basedOn w:val="Normal"/>
    <w:qFormat/>
    <w:rsid w:val="00457B63"/>
    <w:pPr>
      <w:jc w:val="center"/>
    </w:pPr>
    <w:rPr>
      <w:b/>
    </w:rPr>
  </w:style>
  <w:style w:type="paragraph" w:styleId="BodyText">
    <w:name w:val="Body Text"/>
    <w:basedOn w:val="Normal"/>
    <w:rsid w:val="00457B63"/>
    <w:pPr>
      <w:tabs>
        <w:tab w:val="left" w:pos="-720"/>
      </w:tabs>
      <w:suppressAutoHyphens/>
      <w:spacing w:line="227" w:lineRule="auto"/>
      <w:jc w:val="both"/>
    </w:pPr>
    <w:rPr>
      <w:spacing w:val="-2"/>
    </w:rPr>
  </w:style>
  <w:style w:type="table" w:styleId="TableGrid">
    <w:name w:val="Table Grid"/>
    <w:basedOn w:val="TableNormal"/>
    <w:rsid w:val="0045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rrfootnote Char Char,Footnote Text Char2 Char Char,Footnote Text Char1 Char Char Char,Footnote Text Char Char Char Char Char,Footnote Text Char1 Char Char Char Char Char,Footnote Text Char Char Char1 Char"/>
    <w:link w:val="FootnoteText"/>
    <w:rsid w:val="00457B63"/>
  </w:style>
  <w:style w:type="character" w:styleId="Hyperlink">
    <w:name w:val="Hyperlink"/>
    <w:rsid w:val="00B72D3B"/>
    <w:rPr>
      <w:color w:val="0000FF"/>
      <w:u w:val="single"/>
    </w:rPr>
  </w:style>
  <w:style w:type="character" w:customStyle="1" w:styleId="FootnoteTextChar1Char">
    <w:name w:val="Footnote Text Char1 Char"/>
    <w:aliases w:val="Footnote Text Char Char Char,rrfootnote Char Char Char,rrfootnote Char1 Char Char,rrfootnote Char Char Char1 Char,rrfootnote Char Char Char Char Char,rrfootnote Char1 Char Char Char,Footnote Text Char Char1,f Char"/>
    <w:rsid w:val="00457B63"/>
    <w:rPr>
      <w:spacing w:val="-2"/>
      <w:lang w:val="en-US" w:eastAsia="en-US" w:bidi="ar-SA"/>
    </w:rPr>
  </w:style>
  <w:style w:type="paragraph" w:styleId="HTMLPreformatted">
    <w:name w:val="HTML Preformatted"/>
    <w:basedOn w:val="Normal"/>
    <w:rsid w:val="0045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noteTextChar1Char1">
    <w:name w:val="Footnote Text Char1 Char1"/>
    <w:aliases w:val="Footnote Text Char1 Char Char Char1,rrfootnote Char Char Char Char1,Footnote Text Char2 Char Char Char Char1,Footnote Text Char Char1 Char Char Char Char1,Footnote Text Char2,Footnote Text Char Char Char Char Char1"/>
    <w:rsid w:val="00457B63"/>
    <w:rPr>
      <w:lang w:val="en-US" w:eastAsia="en-US" w:bidi="ar-SA"/>
    </w:rPr>
  </w:style>
  <w:style w:type="character" w:customStyle="1" w:styleId="documentbody1">
    <w:name w:val="documentbody1"/>
    <w:rsid w:val="00457B63"/>
    <w:rPr>
      <w:rFonts w:ascii="Verdana" w:hAnsi="Verdana" w:hint="default"/>
      <w:sz w:val="19"/>
      <w:szCs w:val="19"/>
    </w:rPr>
  </w:style>
  <w:style w:type="character" w:customStyle="1" w:styleId="searchterm1">
    <w:name w:val="searchterm1"/>
    <w:rsid w:val="00457B63"/>
    <w:rPr>
      <w:b/>
      <w:bCs/>
      <w:shd w:val="clear" w:color="auto" w:fill="FFFF00"/>
    </w:rPr>
  </w:style>
  <w:style w:type="paragraph" w:customStyle="1" w:styleId="par1">
    <w:name w:val="par1"/>
    <w:basedOn w:val="Normal"/>
    <w:rsid w:val="00457B63"/>
    <w:pPr>
      <w:numPr>
        <w:numId w:val="5"/>
      </w:numPr>
      <w:spacing w:after="240"/>
    </w:pPr>
    <w:rPr>
      <w:rFonts w:eastAsia="Batang"/>
    </w:rPr>
  </w:style>
  <w:style w:type="character" w:styleId="FollowedHyperlink">
    <w:name w:val="FollowedHyperlink"/>
    <w:rsid w:val="007D31CE"/>
    <w:rPr>
      <w:color w:val="800080"/>
      <w:u w:val="single"/>
    </w:rPr>
  </w:style>
  <w:style w:type="character" w:customStyle="1" w:styleId="bestsection">
    <w:name w:val="bestsection"/>
    <w:rsid w:val="00D156DC"/>
  </w:style>
  <w:style w:type="paragraph" w:customStyle="1" w:styleId="StyleParaNumCondensedby01pt">
    <w:name w:val="Style ParaNum + Condensed by  0.1 pt"/>
    <w:basedOn w:val="ParaNum"/>
    <w:link w:val="StyleParaNumCondensedby01ptChar"/>
    <w:autoRedefine/>
    <w:rsid w:val="00D156DC"/>
    <w:pPr>
      <w:ind w:left="720"/>
    </w:pPr>
    <w:rPr>
      <w:snapToGrid/>
      <w:spacing w:val="-2"/>
    </w:rPr>
  </w:style>
  <w:style w:type="character" w:customStyle="1" w:styleId="StyleParaNumCondensedby01ptChar">
    <w:name w:val="Style ParaNum + Condensed by  0.1 pt Char"/>
    <w:link w:val="StyleParaNumCondensedby01pt"/>
    <w:rsid w:val="00D156DC"/>
    <w:rPr>
      <w:snapToGrid w:val="0"/>
      <w:spacing w:val="-2"/>
      <w:kern w:val="28"/>
      <w:sz w:val="22"/>
    </w:rPr>
  </w:style>
  <w:style w:type="paragraph" w:customStyle="1" w:styleId="StyleParaNumLeft">
    <w:name w:val="Style ParaNum + Left"/>
    <w:basedOn w:val="ParaNum"/>
    <w:autoRedefine/>
    <w:rsid w:val="00D156DC"/>
    <w:pPr>
      <w:numPr>
        <w:numId w:val="9"/>
      </w:numPr>
    </w:pPr>
    <w:rPr>
      <w:snapToGrid/>
    </w:rPr>
  </w:style>
  <w:style w:type="paragraph" w:styleId="EndnoteText">
    <w:name w:val="endnote text"/>
    <w:basedOn w:val="Normal"/>
    <w:link w:val="EndnoteTextChar"/>
    <w:rsid w:val="00B72D3B"/>
    <w:rPr>
      <w:sz w:val="20"/>
    </w:rPr>
  </w:style>
  <w:style w:type="character" w:customStyle="1" w:styleId="EndnoteTextChar">
    <w:name w:val="Endnote Text Char"/>
    <w:link w:val="EndnoteText"/>
    <w:rsid w:val="00932303"/>
    <w:rPr>
      <w:snapToGrid w:val="0"/>
      <w:kern w:val="28"/>
    </w:rPr>
  </w:style>
  <w:style w:type="paragraph" w:customStyle="1" w:styleId="Paranum0">
    <w:name w:val="Paranum"/>
    <w:rsid w:val="00932303"/>
    <w:pPr>
      <w:numPr>
        <w:numId w:val="10"/>
      </w:numPr>
      <w:tabs>
        <w:tab w:val="left" w:pos="1440"/>
      </w:tabs>
      <w:spacing w:after="240"/>
      <w:ind w:left="0" w:firstLine="720"/>
      <w:jc w:val="both"/>
    </w:pPr>
    <w:rPr>
      <w:sz w:val="22"/>
    </w:rPr>
  </w:style>
  <w:style w:type="character" w:styleId="CommentReference">
    <w:name w:val="annotation reference"/>
    <w:rsid w:val="00E8256C"/>
    <w:rPr>
      <w:sz w:val="16"/>
      <w:szCs w:val="16"/>
    </w:rPr>
  </w:style>
  <w:style w:type="paragraph" w:styleId="CommentText">
    <w:name w:val="annotation text"/>
    <w:basedOn w:val="Normal"/>
    <w:link w:val="CommentTextChar"/>
    <w:rsid w:val="00E8256C"/>
    <w:rPr>
      <w:sz w:val="20"/>
    </w:rPr>
  </w:style>
  <w:style w:type="character" w:customStyle="1" w:styleId="CommentTextChar">
    <w:name w:val="Comment Text Char"/>
    <w:basedOn w:val="DefaultParagraphFont"/>
    <w:link w:val="CommentText"/>
    <w:rsid w:val="00E8256C"/>
  </w:style>
  <w:style w:type="paragraph" w:styleId="CommentSubject">
    <w:name w:val="annotation subject"/>
    <w:basedOn w:val="CommentText"/>
    <w:next w:val="CommentText"/>
    <w:link w:val="CommentSubjectChar"/>
    <w:rsid w:val="00E8256C"/>
    <w:rPr>
      <w:b/>
      <w:bCs/>
    </w:rPr>
  </w:style>
  <w:style w:type="character" w:customStyle="1" w:styleId="CommentSubjectChar">
    <w:name w:val="Comment Subject Char"/>
    <w:link w:val="CommentSubject"/>
    <w:rsid w:val="00E8256C"/>
    <w:rPr>
      <w:b/>
      <w:bCs/>
    </w:rPr>
  </w:style>
  <w:style w:type="paragraph" w:styleId="ListParagraph">
    <w:name w:val="List Paragraph"/>
    <w:basedOn w:val="Normal"/>
    <w:uiPriority w:val="72"/>
    <w:qFormat/>
    <w:rsid w:val="00590ACF"/>
    <w:pPr>
      <w:ind w:left="720"/>
    </w:pPr>
  </w:style>
  <w:style w:type="paragraph" w:styleId="Revision">
    <w:name w:val="Revision"/>
    <w:hidden/>
    <w:uiPriority w:val="99"/>
    <w:semiHidden/>
    <w:rsid w:val="004E7201"/>
    <w:rPr>
      <w:sz w:val="22"/>
    </w:rPr>
  </w:style>
  <w:style w:type="character" w:styleId="EndnoteReference">
    <w:name w:val="endnote reference"/>
    <w:rsid w:val="00B72D3B"/>
    <w:rPr>
      <w:vertAlign w:val="superscript"/>
    </w:rPr>
  </w:style>
  <w:style w:type="paragraph" w:styleId="TOAHeading">
    <w:name w:val="toa heading"/>
    <w:basedOn w:val="Normal"/>
    <w:next w:val="Normal"/>
    <w:rsid w:val="00B72D3B"/>
    <w:pPr>
      <w:tabs>
        <w:tab w:val="right" w:pos="9360"/>
      </w:tabs>
      <w:suppressAutoHyphens/>
    </w:pPr>
  </w:style>
  <w:style w:type="character" w:customStyle="1" w:styleId="EquationCaption">
    <w:name w:val="_Equation Caption"/>
    <w:rsid w:val="00B72D3B"/>
  </w:style>
  <w:style w:type="paragraph" w:customStyle="1" w:styleId="Paratitle">
    <w:name w:val="Para title"/>
    <w:basedOn w:val="Normal"/>
    <w:rsid w:val="00B72D3B"/>
    <w:pPr>
      <w:tabs>
        <w:tab w:val="center" w:pos="9270"/>
      </w:tabs>
      <w:spacing w:after="240"/>
    </w:pPr>
    <w:rPr>
      <w:spacing w:val="-2"/>
    </w:rPr>
  </w:style>
  <w:style w:type="paragraph" w:customStyle="1" w:styleId="TOCTitle">
    <w:name w:val="TOC Title"/>
    <w:basedOn w:val="Normal"/>
    <w:rsid w:val="00B72D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2D3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D3B"/>
    <w:pPr>
      <w:widowControl w:val="0"/>
    </w:pPr>
    <w:rPr>
      <w:snapToGrid w:val="0"/>
      <w:kern w:val="28"/>
      <w:sz w:val="22"/>
    </w:rPr>
  </w:style>
  <w:style w:type="paragraph" w:styleId="Heading1">
    <w:name w:val="heading 1"/>
    <w:basedOn w:val="Normal"/>
    <w:next w:val="ParaNum"/>
    <w:qFormat/>
    <w:rsid w:val="00B72D3B"/>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2D3B"/>
    <w:pPr>
      <w:keepNext/>
      <w:numPr>
        <w:ilvl w:val="1"/>
        <w:numId w:val="7"/>
      </w:numPr>
      <w:spacing w:after="120"/>
      <w:outlineLvl w:val="1"/>
    </w:pPr>
    <w:rPr>
      <w:b/>
    </w:rPr>
  </w:style>
  <w:style w:type="paragraph" w:styleId="Heading3">
    <w:name w:val="heading 3"/>
    <w:basedOn w:val="Normal"/>
    <w:next w:val="ParaNum"/>
    <w:qFormat/>
    <w:rsid w:val="00B72D3B"/>
    <w:pPr>
      <w:keepNext/>
      <w:numPr>
        <w:ilvl w:val="2"/>
        <w:numId w:val="7"/>
      </w:numPr>
      <w:tabs>
        <w:tab w:val="left" w:pos="2160"/>
      </w:tabs>
      <w:spacing w:after="120"/>
      <w:outlineLvl w:val="2"/>
    </w:pPr>
    <w:rPr>
      <w:b/>
    </w:rPr>
  </w:style>
  <w:style w:type="paragraph" w:styleId="Heading4">
    <w:name w:val="heading 4"/>
    <w:basedOn w:val="Normal"/>
    <w:next w:val="ParaNum"/>
    <w:qFormat/>
    <w:rsid w:val="00B72D3B"/>
    <w:pPr>
      <w:keepNext/>
      <w:numPr>
        <w:ilvl w:val="3"/>
        <w:numId w:val="7"/>
      </w:numPr>
      <w:tabs>
        <w:tab w:val="left" w:pos="2880"/>
      </w:tabs>
      <w:spacing w:after="120"/>
      <w:outlineLvl w:val="3"/>
    </w:pPr>
    <w:rPr>
      <w:b/>
    </w:rPr>
  </w:style>
  <w:style w:type="paragraph" w:styleId="Heading5">
    <w:name w:val="heading 5"/>
    <w:basedOn w:val="Normal"/>
    <w:next w:val="ParaNum"/>
    <w:qFormat/>
    <w:rsid w:val="00B72D3B"/>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B72D3B"/>
    <w:pPr>
      <w:numPr>
        <w:ilvl w:val="5"/>
        <w:numId w:val="7"/>
      </w:numPr>
      <w:tabs>
        <w:tab w:val="left" w:pos="4320"/>
      </w:tabs>
      <w:spacing w:after="120"/>
      <w:outlineLvl w:val="5"/>
    </w:pPr>
    <w:rPr>
      <w:b/>
    </w:rPr>
  </w:style>
  <w:style w:type="paragraph" w:styleId="Heading7">
    <w:name w:val="heading 7"/>
    <w:basedOn w:val="Normal"/>
    <w:next w:val="ParaNum"/>
    <w:qFormat/>
    <w:rsid w:val="00B72D3B"/>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B72D3B"/>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B72D3B"/>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2D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D3B"/>
  </w:style>
  <w:style w:type="paragraph" w:styleId="BalloonText">
    <w:name w:val="Balloon Text"/>
    <w:basedOn w:val="Normal"/>
    <w:link w:val="BalloonTextChar1"/>
    <w:semiHidden/>
    <w:rsid w:val="00457B63"/>
    <w:rPr>
      <w:rFonts w:ascii="Tahoma" w:hAnsi="Tahoma" w:cs="Tahoma"/>
      <w:sz w:val="16"/>
      <w:szCs w:val="16"/>
    </w:rPr>
  </w:style>
  <w:style w:type="character" w:customStyle="1" w:styleId="BalloonTextChar">
    <w:name w:val="Balloon Text Char"/>
    <w:basedOn w:val="DefaultParagraphFont"/>
    <w:uiPriority w:val="99"/>
    <w:semiHidden/>
    <w:rsid w:val="004A542E"/>
    <w:rPr>
      <w:rFonts w:ascii="Lucida Grande" w:hAnsi="Lucida Grande"/>
      <w:sz w:val="18"/>
      <w:szCs w:val="18"/>
    </w:rPr>
  </w:style>
  <w:style w:type="character" w:customStyle="1" w:styleId="BalloonTextChar0">
    <w:name w:val="Balloon Text Char"/>
    <w:basedOn w:val="DefaultParagraphFont"/>
    <w:uiPriority w:val="99"/>
    <w:semiHidden/>
    <w:rsid w:val="004A542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542E"/>
    <w:rPr>
      <w:rFonts w:ascii="Lucida Grande" w:hAnsi="Lucida Grande"/>
      <w:sz w:val="18"/>
      <w:szCs w:val="18"/>
    </w:rPr>
  </w:style>
  <w:style w:type="paragraph" w:styleId="Caption">
    <w:name w:val="caption"/>
    <w:basedOn w:val="Normal"/>
    <w:next w:val="Normal"/>
    <w:qFormat/>
    <w:rsid w:val="00457B63"/>
    <w:pPr>
      <w:spacing w:before="120" w:after="120"/>
    </w:pPr>
    <w:rPr>
      <w:b/>
    </w:rPr>
  </w:style>
  <w:style w:type="paragraph" w:customStyle="1" w:styleId="ParaNum">
    <w:name w:val="ParaNum"/>
    <w:basedOn w:val="Normal"/>
    <w:rsid w:val="00B72D3B"/>
    <w:pPr>
      <w:numPr>
        <w:numId w:val="6"/>
      </w:numPr>
      <w:tabs>
        <w:tab w:val="clear" w:pos="1080"/>
        <w:tab w:val="num" w:pos="1440"/>
      </w:tabs>
      <w:spacing w:after="120"/>
    </w:pPr>
  </w:style>
  <w:style w:type="paragraph" w:styleId="FootnoteText">
    <w:name w:val="footnote text"/>
    <w:aliases w:val="Footnote Text Char,rrfootnote Char,Footnote Text Char2 Char,Footnote Text Char1 Char Char,Footnote Text Char Char Char Char,Footnote Text Char1 Char Char Char Char,Footnote Text Char Char Char Char Char Char,Footnote Text Char Char Char1,f"/>
    <w:link w:val="FootnoteTextChar1"/>
    <w:rsid w:val="00B72D3B"/>
    <w:pPr>
      <w:spacing w:after="120"/>
    </w:pPr>
  </w:style>
  <w:style w:type="paragraph" w:customStyle="1" w:styleId="Bullet">
    <w:name w:val="Bullet"/>
    <w:basedOn w:val="Normal"/>
    <w:rsid w:val="00B72D3B"/>
    <w:pPr>
      <w:tabs>
        <w:tab w:val="left" w:pos="2160"/>
      </w:tabs>
      <w:spacing w:after="220"/>
      <w:ind w:left="2160" w:hanging="720"/>
    </w:pPr>
  </w:style>
  <w:style w:type="paragraph" w:styleId="BlockText">
    <w:name w:val="Block Text"/>
    <w:basedOn w:val="Normal"/>
    <w:rsid w:val="00B72D3B"/>
    <w:pPr>
      <w:spacing w:after="240"/>
      <w:ind w:left="1440" w:right="1440"/>
    </w:pPr>
  </w:style>
  <w:style w:type="paragraph" w:customStyle="1" w:styleId="TableFormat">
    <w:name w:val="TableFormat"/>
    <w:basedOn w:val="Bullet"/>
    <w:rsid w:val="00B72D3B"/>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
    <w:rsid w:val="00B72D3B"/>
    <w:rPr>
      <w:rFonts w:ascii="Times New Roman" w:hAnsi="Times New Roman"/>
      <w:dstrike w:val="0"/>
      <w:color w:val="auto"/>
      <w:sz w:val="20"/>
      <w:vertAlign w:val="superscript"/>
    </w:rPr>
  </w:style>
  <w:style w:type="paragraph" w:styleId="Header">
    <w:name w:val="header"/>
    <w:basedOn w:val="Normal"/>
    <w:autoRedefine/>
    <w:rsid w:val="00B72D3B"/>
    <w:pPr>
      <w:tabs>
        <w:tab w:val="center" w:pos="4680"/>
        <w:tab w:val="right" w:pos="9360"/>
      </w:tabs>
    </w:pPr>
    <w:rPr>
      <w:b/>
    </w:rPr>
  </w:style>
  <w:style w:type="paragraph" w:styleId="Footer">
    <w:name w:val="footer"/>
    <w:basedOn w:val="Normal"/>
    <w:rsid w:val="00B72D3B"/>
    <w:pPr>
      <w:tabs>
        <w:tab w:val="center" w:pos="4320"/>
        <w:tab w:val="right" w:pos="8640"/>
      </w:tabs>
    </w:pPr>
  </w:style>
  <w:style w:type="paragraph" w:styleId="TOC2">
    <w:name w:val="toc 2"/>
    <w:basedOn w:val="Normal"/>
    <w:next w:val="Normal"/>
    <w:semiHidden/>
    <w:rsid w:val="00B72D3B"/>
    <w:pPr>
      <w:tabs>
        <w:tab w:val="left" w:pos="720"/>
        <w:tab w:val="right" w:leader="dot" w:pos="9360"/>
      </w:tabs>
      <w:suppressAutoHyphens/>
      <w:ind w:left="720" w:right="720" w:hanging="360"/>
    </w:pPr>
    <w:rPr>
      <w:noProof/>
    </w:rPr>
  </w:style>
  <w:style w:type="paragraph" w:customStyle="1" w:styleId="NumberedList">
    <w:name w:val="Numbered List"/>
    <w:basedOn w:val="Normal"/>
    <w:rsid w:val="00457B63"/>
    <w:pPr>
      <w:numPr>
        <w:numId w:val="4"/>
      </w:numPr>
      <w:tabs>
        <w:tab w:val="clear" w:pos="1080"/>
      </w:tabs>
      <w:spacing w:after="220"/>
      <w:ind w:firstLine="0"/>
    </w:pPr>
  </w:style>
  <w:style w:type="paragraph" w:styleId="TOC1">
    <w:name w:val="toc 1"/>
    <w:basedOn w:val="Normal"/>
    <w:next w:val="Normal"/>
    <w:semiHidden/>
    <w:rsid w:val="00B72D3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72D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2D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2D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2D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2D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2D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2D3B"/>
    <w:pPr>
      <w:tabs>
        <w:tab w:val="left" w:pos="3240"/>
        <w:tab w:val="right" w:leader="dot" w:pos="9360"/>
      </w:tabs>
      <w:suppressAutoHyphens/>
      <w:ind w:left="3240" w:hanging="360"/>
    </w:pPr>
    <w:rPr>
      <w:noProof/>
    </w:rPr>
  </w:style>
  <w:style w:type="character" w:styleId="PageNumber">
    <w:name w:val="page number"/>
    <w:basedOn w:val="DefaultParagraphFont"/>
    <w:rsid w:val="00B72D3B"/>
  </w:style>
  <w:style w:type="paragraph" w:styleId="Title">
    <w:name w:val="Title"/>
    <w:basedOn w:val="Normal"/>
    <w:qFormat/>
    <w:rsid w:val="00457B63"/>
    <w:pPr>
      <w:jc w:val="center"/>
    </w:pPr>
    <w:rPr>
      <w:b/>
    </w:rPr>
  </w:style>
  <w:style w:type="paragraph" w:styleId="BodyText">
    <w:name w:val="Body Text"/>
    <w:basedOn w:val="Normal"/>
    <w:rsid w:val="00457B63"/>
    <w:pPr>
      <w:tabs>
        <w:tab w:val="left" w:pos="-720"/>
      </w:tabs>
      <w:suppressAutoHyphens/>
      <w:spacing w:line="227" w:lineRule="auto"/>
      <w:jc w:val="both"/>
    </w:pPr>
    <w:rPr>
      <w:spacing w:val="-2"/>
    </w:rPr>
  </w:style>
  <w:style w:type="table" w:styleId="TableGrid">
    <w:name w:val="Table Grid"/>
    <w:basedOn w:val="TableNormal"/>
    <w:rsid w:val="0045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rrfootnote Char Char,Footnote Text Char2 Char Char,Footnote Text Char1 Char Char Char,Footnote Text Char Char Char Char Char,Footnote Text Char1 Char Char Char Char Char,Footnote Text Char Char Char1 Char"/>
    <w:link w:val="FootnoteText"/>
    <w:rsid w:val="00457B63"/>
  </w:style>
  <w:style w:type="character" w:styleId="Hyperlink">
    <w:name w:val="Hyperlink"/>
    <w:rsid w:val="00B72D3B"/>
    <w:rPr>
      <w:color w:val="0000FF"/>
      <w:u w:val="single"/>
    </w:rPr>
  </w:style>
  <w:style w:type="character" w:customStyle="1" w:styleId="FootnoteTextChar1Char">
    <w:name w:val="Footnote Text Char1 Char"/>
    <w:aliases w:val="Footnote Text Char Char Char,rrfootnote Char Char Char,rrfootnote Char1 Char Char,rrfootnote Char Char Char1 Char,rrfootnote Char Char Char Char Char,rrfootnote Char1 Char Char Char,Footnote Text Char Char1,f Char"/>
    <w:rsid w:val="00457B63"/>
    <w:rPr>
      <w:spacing w:val="-2"/>
      <w:lang w:val="en-US" w:eastAsia="en-US" w:bidi="ar-SA"/>
    </w:rPr>
  </w:style>
  <w:style w:type="paragraph" w:styleId="HTMLPreformatted">
    <w:name w:val="HTML Preformatted"/>
    <w:basedOn w:val="Normal"/>
    <w:rsid w:val="0045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noteTextChar1Char1">
    <w:name w:val="Footnote Text Char1 Char1"/>
    <w:aliases w:val="Footnote Text Char1 Char Char Char1,rrfootnote Char Char Char Char1,Footnote Text Char2 Char Char Char Char1,Footnote Text Char Char1 Char Char Char Char1,Footnote Text Char2,Footnote Text Char Char Char Char Char1"/>
    <w:rsid w:val="00457B63"/>
    <w:rPr>
      <w:lang w:val="en-US" w:eastAsia="en-US" w:bidi="ar-SA"/>
    </w:rPr>
  </w:style>
  <w:style w:type="character" w:customStyle="1" w:styleId="documentbody1">
    <w:name w:val="documentbody1"/>
    <w:rsid w:val="00457B63"/>
    <w:rPr>
      <w:rFonts w:ascii="Verdana" w:hAnsi="Verdana" w:hint="default"/>
      <w:sz w:val="19"/>
      <w:szCs w:val="19"/>
    </w:rPr>
  </w:style>
  <w:style w:type="character" w:customStyle="1" w:styleId="searchterm1">
    <w:name w:val="searchterm1"/>
    <w:rsid w:val="00457B63"/>
    <w:rPr>
      <w:b/>
      <w:bCs/>
      <w:shd w:val="clear" w:color="auto" w:fill="FFFF00"/>
    </w:rPr>
  </w:style>
  <w:style w:type="paragraph" w:customStyle="1" w:styleId="par1">
    <w:name w:val="par1"/>
    <w:basedOn w:val="Normal"/>
    <w:rsid w:val="00457B63"/>
    <w:pPr>
      <w:numPr>
        <w:numId w:val="5"/>
      </w:numPr>
      <w:spacing w:after="240"/>
    </w:pPr>
    <w:rPr>
      <w:rFonts w:eastAsia="Batang"/>
    </w:rPr>
  </w:style>
  <w:style w:type="character" w:styleId="FollowedHyperlink">
    <w:name w:val="FollowedHyperlink"/>
    <w:rsid w:val="007D31CE"/>
    <w:rPr>
      <w:color w:val="800080"/>
      <w:u w:val="single"/>
    </w:rPr>
  </w:style>
  <w:style w:type="character" w:customStyle="1" w:styleId="bestsection">
    <w:name w:val="bestsection"/>
    <w:rsid w:val="00D156DC"/>
  </w:style>
  <w:style w:type="paragraph" w:customStyle="1" w:styleId="StyleParaNumCondensedby01pt">
    <w:name w:val="Style ParaNum + Condensed by  0.1 pt"/>
    <w:basedOn w:val="ParaNum"/>
    <w:link w:val="StyleParaNumCondensedby01ptChar"/>
    <w:autoRedefine/>
    <w:rsid w:val="00D156DC"/>
    <w:pPr>
      <w:ind w:left="720"/>
    </w:pPr>
    <w:rPr>
      <w:snapToGrid/>
      <w:spacing w:val="-2"/>
    </w:rPr>
  </w:style>
  <w:style w:type="character" w:customStyle="1" w:styleId="StyleParaNumCondensedby01ptChar">
    <w:name w:val="Style ParaNum + Condensed by  0.1 pt Char"/>
    <w:link w:val="StyleParaNumCondensedby01pt"/>
    <w:rsid w:val="00D156DC"/>
    <w:rPr>
      <w:snapToGrid w:val="0"/>
      <w:spacing w:val="-2"/>
      <w:kern w:val="28"/>
      <w:sz w:val="22"/>
    </w:rPr>
  </w:style>
  <w:style w:type="paragraph" w:customStyle="1" w:styleId="StyleParaNumLeft">
    <w:name w:val="Style ParaNum + Left"/>
    <w:basedOn w:val="ParaNum"/>
    <w:autoRedefine/>
    <w:rsid w:val="00D156DC"/>
    <w:pPr>
      <w:numPr>
        <w:numId w:val="9"/>
      </w:numPr>
    </w:pPr>
    <w:rPr>
      <w:snapToGrid/>
    </w:rPr>
  </w:style>
  <w:style w:type="paragraph" w:styleId="EndnoteText">
    <w:name w:val="endnote text"/>
    <w:basedOn w:val="Normal"/>
    <w:link w:val="EndnoteTextChar"/>
    <w:rsid w:val="00B72D3B"/>
    <w:rPr>
      <w:sz w:val="20"/>
    </w:rPr>
  </w:style>
  <w:style w:type="character" w:customStyle="1" w:styleId="EndnoteTextChar">
    <w:name w:val="Endnote Text Char"/>
    <w:link w:val="EndnoteText"/>
    <w:rsid w:val="00932303"/>
    <w:rPr>
      <w:snapToGrid w:val="0"/>
      <w:kern w:val="28"/>
    </w:rPr>
  </w:style>
  <w:style w:type="paragraph" w:customStyle="1" w:styleId="Paranum0">
    <w:name w:val="Paranum"/>
    <w:rsid w:val="00932303"/>
    <w:pPr>
      <w:numPr>
        <w:numId w:val="10"/>
      </w:numPr>
      <w:tabs>
        <w:tab w:val="left" w:pos="1440"/>
      </w:tabs>
      <w:spacing w:after="240"/>
      <w:ind w:left="0" w:firstLine="720"/>
      <w:jc w:val="both"/>
    </w:pPr>
    <w:rPr>
      <w:sz w:val="22"/>
    </w:rPr>
  </w:style>
  <w:style w:type="character" w:styleId="CommentReference">
    <w:name w:val="annotation reference"/>
    <w:rsid w:val="00E8256C"/>
    <w:rPr>
      <w:sz w:val="16"/>
      <w:szCs w:val="16"/>
    </w:rPr>
  </w:style>
  <w:style w:type="paragraph" w:styleId="CommentText">
    <w:name w:val="annotation text"/>
    <w:basedOn w:val="Normal"/>
    <w:link w:val="CommentTextChar"/>
    <w:rsid w:val="00E8256C"/>
    <w:rPr>
      <w:sz w:val="20"/>
    </w:rPr>
  </w:style>
  <w:style w:type="character" w:customStyle="1" w:styleId="CommentTextChar">
    <w:name w:val="Comment Text Char"/>
    <w:basedOn w:val="DefaultParagraphFont"/>
    <w:link w:val="CommentText"/>
    <w:rsid w:val="00E8256C"/>
  </w:style>
  <w:style w:type="paragraph" w:styleId="CommentSubject">
    <w:name w:val="annotation subject"/>
    <w:basedOn w:val="CommentText"/>
    <w:next w:val="CommentText"/>
    <w:link w:val="CommentSubjectChar"/>
    <w:rsid w:val="00E8256C"/>
    <w:rPr>
      <w:b/>
      <w:bCs/>
    </w:rPr>
  </w:style>
  <w:style w:type="character" w:customStyle="1" w:styleId="CommentSubjectChar">
    <w:name w:val="Comment Subject Char"/>
    <w:link w:val="CommentSubject"/>
    <w:rsid w:val="00E8256C"/>
    <w:rPr>
      <w:b/>
      <w:bCs/>
    </w:rPr>
  </w:style>
  <w:style w:type="paragraph" w:styleId="ListParagraph">
    <w:name w:val="List Paragraph"/>
    <w:basedOn w:val="Normal"/>
    <w:uiPriority w:val="72"/>
    <w:qFormat/>
    <w:rsid w:val="00590ACF"/>
    <w:pPr>
      <w:ind w:left="720"/>
    </w:pPr>
  </w:style>
  <w:style w:type="paragraph" w:styleId="Revision">
    <w:name w:val="Revision"/>
    <w:hidden/>
    <w:uiPriority w:val="99"/>
    <w:semiHidden/>
    <w:rsid w:val="004E7201"/>
    <w:rPr>
      <w:sz w:val="22"/>
    </w:rPr>
  </w:style>
  <w:style w:type="character" w:styleId="EndnoteReference">
    <w:name w:val="endnote reference"/>
    <w:rsid w:val="00B72D3B"/>
    <w:rPr>
      <w:vertAlign w:val="superscript"/>
    </w:rPr>
  </w:style>
  <w:style w:type="paragraph" w:styleId="TOAHeading">
    <w:name w:val="toa heading"/>
    <w:basedOn w:val="Normal"/>
    <w:next w:val="Normal"/>
    <w:rsid w:val="00B72D3B"/>
    <w:pPr>
      <w:tabs>
        <w:tab w:val="right" w:pos="9360"/>
      </w:tabs>
      <w:suppressAutoHyphens/>
    </w:pPr>
  </w:style>
  <w:style w:type="character" w:customStyle="1" w:styleId="EquationCaption">
    <w:name w:val="_Equation Caption"/>
    <w:rsid w:val="00B72D3B"/>
  </w:style>
  <w:style w:type="paragraph" w:customStyle="1" w:styleId="Paratitle">
    <w:name w:val="Para title"/>
    <w:basedOn w:val="Normal"/>
    <w:rsid w:val="00B72D3B"/>
    <w:pPr>
      <w:tabs>
        <w:tab w:val="center" w:pos="9270"/>
      </w:tabs>
      <w:spacing w:after="240"/>
    </w:pPr>
    <w:rPr>
      <w:spacing w:val="-2"/>
    </w:rPr>
  </w:style>
  <w:style w:type="paragraph" w:customStyle="1" w:styleId="TOCTitle">
    <w:name w:val="TOC Title"/>
    <w:basedOn w:val="Normal"/>
    <w:rsid w:val="00B72D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2D3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2653">
      <w:bodyDiv w:val="1"/>
      <w:marLeft w:val="0"/>
      <w:marRight w:val="0"/>
      <w:marTop w:val="0"/>
      <w:marBottom w:val="0"/>
      <w:divBdr>
        <w:top w:val="none" w:sz="0" w:space="0" w:color="auto"/>
        <w:left w:val="none" w:sz="0" w:space="0" w:color="auto"/>
        <w:bottom w:val="none" w:sz="0" w:space="0" w:color="auto"/>
        <w:right w:val="none" w:sz="0" w:space="0" w:color="auto"/>
      </w:divBdr>
      <w:divsChild>
        <w:div w:id="911810980">
          <w:marLeft w:val="0"/>
          <w:marRight w:val="0"/>
          <w:marTop w:val="0"/>
          <w:marBottom w:val="0"/>
          <w:divBdr>
            <w:top w:val="none" w:sz="0" w:space="0" w:color="auto"/>
            <w:left w:val="none" w:sz="0" w:space="0" w:color="auto"/>
            <w:bottom w:val="none" w:sz="0" w:space="0" w:color="auto"/>
            <w:right w:val="none" w:sz="0" w:space="0" w:color="auto"/>
          </w:divBdr>
          <w:divsChild>
            <w:div w:id="44716486">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sChild>
                    <w:div w:id="86657950">
                      <w:marLeft w:val="0"/>
                      <w:marRight w:val="0"/>
                      <w:marTop w:val="0"/>
                      <w:marBottom w:val="0"/>
                      <w:divBdr>
                        <w:top w:val="none" w:sz="0" w:space="0" w:color="auto"/>
                        <w:left w:val="none" w:sz="0" w:space="0" w:color="auto"/>
                        <w:bottom w:val="none" w:sz="0" w:space="0" w:color="auto"/>
                        <w:right w:val="none" w:sz="0" w:space="0" w:color="auto"/>
                      </w:divBdr>
                      <w:divsChild>
                        <w:div w:id="1929079502">
                          <w:marLeft w:val="0"/>
                          <w:marRight w:val="0"/>
                          <w:marTop w:val="0"/>
                          <w:marBottom w:val="0"/>
                          <w:divBdr>
                            <w:top w:val="none" w:sz="0" w:space="0" w:color="auto"/>
                            <w:left w:val="none" w:sz="0" w:space="0" w:color="auto"/>
                            <w:bottom w:val="none" w:sz="0" w:space="0" w:color="auto"/>
                            <w:right w:val="none" w:sz="0" w:space="0" w:color="auto"/>
                          </w:divBdr>
                          <w:divsChild>
                            <w:div w:id="538588914">
                              <w:marLeft w:val="0"/>
                              <w:marRight w:val="0"/>
                              <w:marTop w:val="0"/>
                              <w:marBottom w:val="0"/>
                              <w:divBdr>
                                <w:top w:val="none" w:sz="0" w:space="0" w:color="auto"/>
                                <w:left w:val="none" w:sz="0" w:space="0" w:color="auto"/>
                                <w:bottom w:val="none" w:sz="0" w:space="0" w:color="auto"/>
                                <w:right w:val="none" w:sz="0" w:space="0" w:color="auto"/>
                              </w:divBdr>
                              <w:divsChild>
                                <w:div w:id="1865165464">
                                  <w:marLeft w:val="0"/>
                                  <w:marRight w:val="0"/>
                                  <w:marTop w:val="0"/>
                                  <w:marBottom w:val="0"/>
                                  <w:divBdr>
                                    <w:top w:val="none" w:sz="0" w:space="0" w:color="auto"/>
                                    <w:left w:val="none" w:sz="0" w:space="0" w:color="auto"/>
                                    <w:bottom w:val="none" w:sz="0" w:space="0" w:color="auto"/>
                                    <w:right w:val="none" w:sz="0" w:space="0" w:color="auto"/>
                                  </w:divBdr>
                                  <w:divsChild>
                                    <w:div w:id="33578811">
                                      <w:marLeft w:val="0"/>
                                      <w:marRight w:val="0"/>
                                      <w:marTop w:val="0"/>
                                      <w:marBottom w:val="0"/>
                                      <w:divBdr>
                                        <w:top w:val="none" w:sz="0" w:space="0" w:color="auto"/>
                                        <w:left w:val="none" w:sz="0" w:space="0" w:color="auto"/>
                                        <w:bottom w:val="none" w:sz="0" w:space="0" w:color="auto"/>
                                        <w:right w:val="none" w:sz="0" w:space="0" w:color="auto"/>
                                      </w:divBdr>
                                      <w:divsChild>
                                        <w:div w:id="253587921">
                                          <w:marLeft w:val="0"/>
                                          <w:marRight w:val="0"/>
                                          <w:marTop w:val="0"/>
                                          <w:marBottom w:val="0"/>
                                          <w:divBdr>
                                            <w:top w:val="none" w:sz="0" w:space="0" w:color="auto"/>
                                            <w:left w:val="none" w:sz="0" w:space="0" w:color="auto"/>
                                            <w:bottom w:val="none" w:sz="0" w:space="0" w:color="auto"/>
                                            <w:right w:val="none" w:sz="0" w:space="0" w:color="auto"/>
                                          </w:divBdr>
                                          <w:divsChild>
                                            <w:div w:id="434833305">
                                              <w:marLeft w:val="0"/>
                                              <w:marRight w:val="0"/>
                                              <w:marTop w:val="0"/>
                                              <w:marBottom w:val="0"/>
                                              <w:divBdr>
                                                <w:top w:val="none" w:sz="0" w:space="0" w:color="auto"/>
                                                <w:left w:val="none" w:sz="0" w:space="0" w:color="auto"/>
                                                <w:bottom w:val="none" w:sz="0" w:space="0" w:color="auto"/>
                                                <w:right w:val="none" w:sz="0" w:space="0" w:color="auto"/>
                                              </w:divBdr>
                                              <w:divsChild>
                                                <w:div w:id="961418772">
                                                  <w:marLeft w:val="0"/>
                                                  <w:marRight w:val="0"/>
                                                  <w:marTop w:val="0"/>
                                                  <w:marBottom w:val="0"/>
                                                  <w:divBdr>
                                                    <w:top w:val="none" w:sz="0" w:space="0" w:color="auto"/>
                                                    <w:left w:val="none" w:sz="0" w:space="0" w:color="auto"/>
                                                    <w:bottom w:val="none" w:sz="0" w:space="0" w:color="auto"/>
                                                    <w:right w:val="none" w:sz="0" w:space="0" w:color="auto"/>
                                                  </w:divBdr>
                                                  <w:divsChild>
                                                    <w:div w:id="1175072703">
                                                      <w:marLeft w:val="0"/>
                                                      <w:marRight w:val="0"/>
                                                      <w:marTop w:val="0"/>
                                                      <w:marBottom w:val="0"/>
                                                      <w:divBdr>
                                                        <w:top w:val="none" w:sz="0" w:space="0" w:color="auto"/>
                                                        <w:left w:val="none" w:sz="0" w:space="0" w:color="auto"/>
                                                        <w:bottom w:val="none" w:sz="0" w:space="0" w:color="auto"/>
                                                        <w:right w:val="none" w:sz="0" w:space="0" w:color="auto"/>
                                                      </w:divBdr>
                                                      <w:divsChild>
                                                        <w:div w:id="545798947">
                                                          <w:marLeft w:val="0"/>
                                                          <w:marRight w:val="0"/>
                                                          <w:marTop w:val="0"/>
                                                          <w:marBottom w:val="0"/>
                                                          <w:divBdr>
                                                            <w:top w:val="none" w:sz="0" w:space="0" w:color="auto"/>
                                                            <w:left w:val="none" w:sz="0" w:space="0" w:color="auto"/>
                                                            <w:bottom w:val="none" w:sz="0" w:space="0" w:color="auto"/>
                                                            <w:right w:val="none" w:sz="0" w:space="0" w:color="auto"/>
                                                          </w:divBdr>
                                                          <w:divsChild>
                                                            <w:div w:id="651980778">
                                                              <w:marLeft w:val="0"/>
                                                              <w:marRight w:val="0"/>
                                                              <w:marTop w:val="0"/>
                                                              <w:marBottom w:val="0"/>
                                                              <w:divBdr>
                                                                <w:top w:val="none" w:sz="0" w:space="0" w:color="auto"/>
                                                                <w:left w:val="none" w:sz="0" w:space="0" w:color="auto"/>
                                                                <w:bottom w:val="none" w:sz="0" w:space="0" w:color="auto"/>
                                                                <w:right w:val="none" w:sz="0" w:space="0" w:color="auto"/>
                                                              </w:divBdr>
                                                              <w:divsChild>
                                                                <w:div w:id="1325619647">
                                                                  <w:marLeft w:val="0"/>
                                                                  <w:marRight w:val="0"/>
                                                                  <w:marTop w:val="0"/>
                                                                  <w:marBottom w:val="0"/>
                                                                  <w:divBdr>
                                                                    <w:top w:val="none" w:sz="0" w:space="0" w:color="auto"/>
                                                                    <w:left w:val="none" w:sz="0" w:space="0" w:color="auto"/>
                                                                    <w:bottom w:val="none" w:sz="0" w:space="0" w:color="auto"/>
                                                                    <w:right w:val="none" w:sz="0" w:space="0" w:color="auto"/>
                                                                  </w:divBdr>
                                                                  <w:divsChild>
                                                                    <w:div w:id="1013141558">
                                                                      <w:marLeft w:val="0"/>
                                                                      <w:marRight w:val="0"/>
                                                                      <w:marTop w:val="0"/>
                                                                      <w:marBottom w:val="0"/>
                                                                      <w:divBdr>
                                                                        <w:top w:val="none" w:sz="0" w:space="0" w:color="auto"/>
                                                                        <w:left w:val="none" w:sz="0" w:space="0" w:color="auto"/>
                                                                        <w:bottom w:val="none" w:sz="0" w:space="0" w:color="auto"/>
                                                                        <w:right w:val="none" w:sz="0" w:space="0" w:color="auto"/>
                                                                      </w:divBdr>
                                                                      <w:divsChild>
                                                                        <w:div w:id="2012483323">
                                                                          <w:marLeft w:val="0"/>
                                                                          <w:marRight w:val="0"/>
                                                                          <w:marTop w:val="0"/>
                                                                          <w:marBottom w:val="0"/>
                                                                          <w:divBdr>
                                                                            <w:top w:val="none" w:sz="0" w:space="0" w:color="auto"/>
                                                                            <w:left w:val="none" w:sz="0" w:space="0" w:color="auto"/>
                                                                            <w:bottom w:val="none" w:sz="0" w:space="0" w:color="auto"/>
                                                                            <w:right w:val="none" w:sz="0" w:space="0" w:color="auto"/>
                                                                          </w:divBdr>
                                                                          <w:divsChild>
                                                                            <w:div w:id="256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743965">
      <w:bodyDiv w:val="1"/>
      <w:marLeft w:val="0"/>
      <w:marRight w:val="0"/>
      <w:marTop w:val="0"/>
      <w:marBottom w:val="0"/>
      <w:divBdr>
        <w:top w:val="none" w:sz="0" w:space="0" w:color="auto"/>
        <w:left w:val="none" w:sz="0" w:space="0" w:color="auto"/>
        <w:bottom w:val="none" w:sz="0" w:space="0" w:color="auto"/>
        <w:right w:val="none" w:sz="0" w:space="0" w:color="auto"/>
      </w:divBdr>
    </w:div>
    <w:div w:id="140826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3477</Words>
  <Characters>18982</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2014-02-10T14:49:00Z</dcterms:created>
  <dcterms:modified xsi:type="dcterms:W3CDTF">2014-02-10T14:49:00Z</dcterms:modified>
  <cp:category> </cp:category>
  <cp:contentStatus> </cp:contentStatus>
</cp:coreProperties>
</file>