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B741E7" w:rsidP="007115F7">
            <w:pPr>
              <w:tabs>
                <w:tab w:val="center" w:pos="4680"/>
              </w:tabs>
              <w:suppressAutoHyphens/>
              <w:rPr>
                <w:spacing w:val="-2"/>
              </w:rPr>
            </w:pPr>
            <w:r>
              <w:rPr>
                <w:spacing w:val="-2"/>
              </w:rPr>
              <w:t>Sunburst Media-Lou</w:t>
            </w:r>
            <w:r w:rsidR="00467837">
              <w:rPr>
                <w:spacing w:val="-2"/>
              </w:rPr>
              <w:t>i</w:t>
            </w:r>
            <w:r>
              <w:rPr>
                <w:spacing w:val="-2"/>
              </w:rPr>
              <w:t>siana</w:t>
            </w:r>
            <w:r w:rsidR="0008020B">
              <w:rPr>
                <w:spacing w:val="-2"/>
              </w:rPr>
              <w:t>, LLC</w:t>
            </w:r>
          </w:p>
          <w:p w:rsidR="0008020B" w:rsidRDefault="0008020B" w:rsidP="007115F7">
            <w:pPr>
              <w:tabs>
                <w:tab w:val="center" w:pos="4680"/>
              </w:tabs>
              <w:suppressAutoHyphens/>
              <w:rPr>
                <w:spacing w:val="-2"/>
              </w:rPr>
            </w:pPr>
          </w:p>
          <w:p w:rsidR="00EF056B" w:rsidRPr="00EF056B" w:rsidRDefault="00EF056B" w:rsidP="00EF056B">
            <w:pPr>
              <w:tabs>
                <w:tab w:val="center" w:pos="4680"/>
              </w:tabs>
              <w:suppressAutoHyphens/>
              <w:rPr>
                <w:spacing w:val="-2"/>
              </w:rPr>
            </w:pPr>
            <w:r w:rsidRPr="00EF056B">
              <w:rPr>
                <w:spacing w:val="-2"/>
              </w:rPr>
              <w:t xml:space="preserve">Application for a Construction Permit for a </w:t>
            </w:r>
          </w:p>
          <w:p w:rsidR="0008020B" w:rsidRDefault="00EF056B" w:rsidP="00EF056B">
            <w:pPr>
              <w:tabs>
                <w:tab w:val="center" w:pos="4680"/>
              </w:tabs>
              <w:suppressAutoHyphens/>
              <w:rPr>
                <w:spacing w:val="-2"/>
              </w:rPr>
            </w:pPr>
            <w:r w:rsidRPr="00EF056B">
              <w:rPr>
                <w:spacing w:val="-2"/>
              </w:rPr>
              <w:t>Minor Change to a Licensed Facility</w:t>
            </w:r>
          </w:p>
          <w:p w:rsidR="0008020B" w:rsidRDefault="0008020B" w:rsidP="0008020B">
            <w:pPr>
              <w:tabs>
                <w:tab w:val="center" w:pos="4680"/>
              </w:tabs>
              <w:suppressAutoHyphens/>
              <w:rPr>
                <w:spacing w:val="-2"/>
              </w:rPr>
            </w:pPr>
          </w:p>
          <w:p w:rsidR="0008020B" w:rsidRPr="007115F7" w:rsidRDefault="00EF056B" w:rsidP="00610B6A">
            <w:pPr>
              <w:tabs>
                <w:tab w:val="center" w:pos="4680"/>
              </w:tabs>
              <w:suppressAutoHyphens/>
              <w:rPr>
                <w:spacing w:val="-2"/>
              </w:rPr>
            </w:pPr>
            <w:r>
              <w:rPr>
                <w:spacing w:val="-2"/>
              </w:rPr>
              <w:t>Station KXMG</w:t>
            </w:r>
            <w:r w:rsidR="0008020B">
              <w:rPr>
                <w:spacing w:val="-2"/>
              </w:rPr>
              <w:t>(FM)</w:t>
            </w:r>
            <w:r>
              <w:rPr>
                <w:spacing w:val="-2"/>
              </w:rPr>
              <w:t>, Jean Lafitte</w:t>
            </w:r>
            <w:r w:rsidR="0008020B">
              <w:rPr>
                <w:spacing w:val="-2"/>
              </w:rPr>
              <w:t>, L</w:t>
            </w:r>
            <w:r w:rsidR="00610B6A">
              <w:rPr>
                <w:spacing w:val="-2"/>
              </w:rPr>
              <w:t>ouisiana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4C2EE3">
            <w:pPr>
              <w:tabs>
                <w:tab w:val="center" w:pos="4680"/>
              </w:tabs>
              <w:suppressAutoHyphens/>
              <w:rPr>
                <w:spacing w:val="-2"/>
              </w:rPr>
            </w:pPr>
          </w:p>
          <w:p w:rsidR="0008020B" w:rsidRDefault="0008020B">
            <w:pPr>
              <w:tabs>
                <w:tab w:val="center" w:pos="4680"/>
              </w:tabs>
              <w:suppressAutoHyphens/>
              <w:rPr>
                <w:spacing w:val="-2"/>
              </w:rPr>
            </w:pPr>
          </w:p>
          <w:p w:rsidR="0008020B" w:rsidRDefault="0008020B">
            <w:pPr>
              <w:tabs>
                <w:tab w:val="center" w:pos="4680"/>
              </w:tabs>
              <w:suppressAutoHyphens/>
              <w:rPr>
                <w:spacing w:val="-2"/>
              </w:rPr>
            </w:pPr>
            <w:r>
              <w:rPr>
                <w:spacing w:val="-2"/>
              </w:rPr>
              <w:t>File No. BPH-20070119ABG</w:t>
            </w:r>
          </w:p>
          <w:p w:rsidR="00DD7F06" w:rsidRDefault="00DD7F06">
            <w:pPr>
              <w:tabs>
                <w:tab w:val="center" w:pos="4680"/>
              </w:tabs>
              <w:suppressAutoHyphens/>
              <w:rPr>
                <w:spacing w:val="-2"/>
              </w:rPr>
            </w:pPr>
          </w:p>
          <w:p w:rsidR="00DD7F06" w:rsidRDefault="00DD7F06">
            <w:pPr>
              <w:tabs>
                <w:tab w:val="center" w:pos="4680"/>
              </w:tabs>
              <w:suppressAutoHyphens/>
              <w:rPr>
                <w:spacing w:val="-2"/>
              </w:rPr>
            </w:pPr>
          </w:p>
          <w:p w:rsidR="0008020B" w:rsidRDefault="0008020B">
            <w:pPr>
              <w:tabs>
                <w:tab w:val="center" w:pos="4680"/>
              </w:tabs>
              <w:suppressAutoHyphens/>
              <w:rPr>
                <w:spacing w:val="-2"/>
              </w:rPr>
            </w:pPr>
            <w:r>
              <w:rPr>
                <w:spacing w:val="-2"/>
              </w:rPr>
              <w:t>Facility ID No. 25520</w:t>
            </w:r>
          </w:p>
        </w:tc>
      </w:tr>
    </w:tbl>
    <w:p w:rsidR="004C2EE3" w:rsidRDefault="004C2EE3" w:rsidP="0070224F"/>
    <w:p w:rsidR="00841AB1" w:rsidRDefault="002A5321"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31AEA">
        <w:rPr>
          <w:b/>
          <w:spacing w:val="-2"/>
        </w:rPr>
        <w:t>August 6,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31AEA">
        <w:rPr>
          <w:b/>
          <w:spacing w:val="-2"/>
        </w:rPr>
        <w:t>August 7, 2014</w:t>
      </w:r>
    </w:p>
    <w:p w:rsidR="00822CE0" w:rsidRDefault="00822CE0"/>
    <w:p w:rsidR="004C2EE3" w:rsidRDefault="004C2EE3">
      <w:pPr>
        <w:rPr>
          <w:spacing w:val="-2"/>
        </w:rPr>
      </w:pPr>
      <w:r>
        <w:t xml:space="preserve">By </w:t>
      </w:r>
      <w:r w:rsidR="004E4A22">
        <w:t>th</w:t>
      </w:r>
      <w:r w:rsidR="0008020B">
        <w:t>e Commission</w:t>
      </w:r>
      <w:r>
        <w:rPr>
          <w:spacing w:val="-2"/>
        </w:rPr>
        <w:t>:</w:t>
      </w:r>
    </w:p>
    <w:p w:rsidR="00822CE0" w:rsidRDefault="00822CE0">
      <w:pPr>
        <w:rPr>
          <w:spacing w:val="-2"/>
        </w:rPr>
      </w:pPr>
    </w:p>
    <w:p w:rsidR="00A41E9C" w:rsidRDefault="0008020B" w:rsidP="00246CD7">
      <w:pPr>
        <w:pStyle w:val="ParaNum"/>
        <w:keepNext/>
        <w:widowControl/>
      </w:pPr>
      <w:r>
        <w:t xml:space="preserve">In this Memorandum Opinion and Order, we deny the </w:t>
      </w:r>
      <w:r w:rsidR="002A5321">
        <w:t>Application for Review filed by William B. Clay (“Clay”) on September 22, 2008.</w:t>
      </w:r>
      <w:r w:rsidR="00C444CA">
        <w:rPr>
          <w:rStyle w:val="FootnoteReference"/>
        </w:rPr>
        <w:footnoteReference w:id="2"/>
      </w:r>
      <w:r w:rsidR="002A5321">
        <w:t xml:space="preserve">  </w:t>
      </w:r>
      <w:r w:rsidR="002A5321" w:rsidRPr="002A5321">
        <w:t>Clay</w:t>
      </w:r>
      <w:r w:rsidR="002A5321">
        <w:t xml:space="preserve"> seeks review of an August 21, 2008</w:t>
      </w:r>
      <w:r w:rsidR="002A5321" w:rsidRPr="002A5321">
        <w:t>, action by the Media Bureau (“Bureau”)</w:t>
      </w:r>
      <w:r w:rsidR="00A24902">
        <w:rPr>
          <w:rStyle w:val="FootnoteReference"/>
        </w:rPr>
        <w:footnoteReference w:id="3"/>
      </w:r>
      <w:r w:rsidR="00467837">
        <w:t xml:space="preserve"> dismissing</w:t>
      </w:r>
      <w:r w:rsidR="002A5321" w:rsidRPr="002A5321">
        <w:t xml:space="preserve"> Clay’s Petition for Reconsideration of the Bureau’s May </w:t>
      </w:r>
      <w:r w:rsidR="00373360">
        <w:t>14</w:t>
      </w:r>
      <w:r w:rsidR="002A5321" w:rsidRPr="002A5321">
        <w:t>, 2007, grant of the above-captioned minor change</w:t>
      </w:r>
      <w:r w:rsidR="005E6912">
        <w:t xml:space="preserve"> application (“</w:t>
      </w:r>
      <w:r w:rsidR="002A5321" w:rsidRPr="002A5321">
        <w:t>Application”)</w:t>
      </w:r>
      <w:r w:rsidR="00467837">
        <w:t xml:space="preserve"> of Sunburst Media-</w:t>
      </w:r>
      <w:r w:rsidR="006F5310">
        <w:lastRenderedPageBreak/>
        <w:t>L</w:t>
      </w:r>
      <w:r w:rsidR="00467837">
        <w:t>ouisiana, LLC (“Sunburst”)</w:t>
      </w:r>
      <w:r w:rsidR="001761FE">
        <w:t xml:space="preserve"> </w:t>
      </w:r>
      <w:r w:rsidR="007044E5">
        <w:t>approving</w:t>
      </w:r>
      <w:r w:rsidR="001761FE">
        <w:t xml:space="preserve"> a change in the community of license of Station KXMG(FM)</w:t>
      </w:r>
      <w:r w:rsidR="00DC1143">
        <w:t>, Jean Lafitte, Louisiana</w:t>
      </w:r>
      <w:r w:rsidR="00325F2F">
        <w:t xml:space="preserve"> (</w:t>
      </w:r>
      <w:r w:rsidR="001929AC">
        <w:t>“Station”)</w:t>
      </w:r>
      <w:r w:rsidR="00373360">
        <w:t>.</w:t>
      </w:r>
      <w:r w:rsidR="00A24902">
        <w:rPr>
          <w:rStyle w:val="FootnoteReference"/>
        </w:rPr>
        <w:footnoteReference w:id="4"/>
      </w:r>
      <w:r w:rsidR="00472902">
        <w:t xml:space="preserve"> </w:t>
      </w:r>
    </w:p>
    <w:p w:rsidR="00A41E9C" w:rsidRPr="00920554" w:rsidRDefault="00A41E9C" w:rsidP="001D451A">
      <w:pPr>
        <w:pStyle w:val="ParaNum"/>
        <w:rPr>
          <w:snapToGrid/>
        </w:rPr>
      </w:pPr>
      <w:r>
        <w:rPr>
          <w:snapToGrid/>
        </w:rPr>
        <w:t>Clay</w:t>
      </w:r>
      <w:r w:rsidR="00D55CAA">
        <w:rPr>
          <w:snapToGrid/>
        </w:rPr>
        <w:t xml:space="preserve"> raises two </w:t>
      </w:r>
      <w:r>
        <w:rPr>
          <w:snapToGrid/>
        </w:rPr>
        <w:t>object</w:t>
      </w:r>
      <w:r w:rsidR="00D55CAA">
        <w:rPr>
          <w:snapToGrid/>
        </w:rPr>
        <w:t>ions</w:t>
      </w:r>
      <w:r>
        <w:rPr>
          <w:snapToGrid/>
        </w:rPr>
        <w:t xml:space="preserve"> to the </w:t>
      </w:r>
      <w:r>
        <w:rPr>
          <w:i/>
          <w:snapToGrid/>
        </w:rPr>
        <w:t>Reconsideration Decision</w:t>
      </w:r>
      <w:r>
        <w:rPr>
          <w:snapToGrid/>
        </w:rPr>
        <w:t>.</w:t>
      </w:r>
      <w:r>
        <w:rPr>
          <w:i/>
          <w:snapToGrid/>
        </w:rPr>
        <w:t xml:space="preserve">  </w:t>
      </w:r>
      <w:r>
        <w:rPr>
          <w:snapToGrid/>
        </w:rPr>
        <w:t>First,</w:t>
      </w:r>
      <w:r>
        <w:rPr>
          <w:i/>
          <w:snapToGrid/>
        </w:rPr>
        <w:t xml:space="preserve"> </w:t>
      </w:r>
      <w:r w:rsidRPr="00920554">
        <w:rPr>
          <w:snapToGrid/>
        </w:rPr>
        <w:t xml:space="preserve">Clay </w:t>
      </w:r>
      <w:r>
        <w:rPr>
          <w:snapToGrid/>
        </w:rPr>
        <w:t xml:space="preserve">argues that the Bureau erred in </w:t>
      </w:r>
      <w:r w:rsidR="00D55CAA">
        <w:rPr>
          <w:snapToGrid/>
        </w:rPr>
        <w:t>dismissing</w:t>
      </w:r>
      <w:r>
        <w:rPr>
          <w:snapToGrid/>
        </w:rPr>
        <w:t xml:space="preserve"> the Petition for Reconsideration</w:t>
      </w:r>
      <w:r w:rsidR="00D55CAA">
        <w:rPr>
          <w:snapToGrid/>
        </w:rPr>
        <w:t xml:space="preserve"> on procedural grounds</w:t>
      </w:r>
      <w:r>
        <w:rPr>
          <w:snapToGrid/>
        </w:rPr>
        <w:t xml:space="preserve">.  </w:t>
      </w:r>
      <w:r w:rsidR="00287CB1">
        <w:rPr>
          <w:snapToGrid/>
        </w:rPr>
        <w:t xml:space="preserve">Specifically, </w:t>
      </w:r>
      <w:r>
        <w:rPr>
          <w:snapToGrid/>
        </w:rPr>
        <w:t xml:space="preserve">Clay claims </w:t>
      </w:r>
      <w:r w:rsidRPr="00920554">
        <w:rPr>
          <w:snapToGrid/>
        </w:rPr>
        <w:t xml:space="preserve">standing to oppose the grant of the Application because: </w:t>
      </w:r>
    </w:p>
    <w:p w:rsidR="00A41E9C" w:rsidRDefault="005E6912" w:rsidP="00B57520">
      <w:pPr>
        <w:spacing w:after="120"/>
        <w:ind w:left="720"/>
        <w:rPr>
          <w:snapToGrid/>
          <w:szCs w:val="22"/>
        </w:rPr>
      </w:pPr>
      <w:r>
        <w:rPr>
          <w:snapToGrid/>
          <w:szCs w:val="22"/>
        </w:rPr>
        <w:t>[Grant of the Application</w:t>
      </w:r>
      <w:r w:rsidR="00A41E9C" w:rsidRPr="00920554">
        <w:rPr>
          <w:snapToGrid/>
          <w:szCs w:val="22"/>
        </w:rPr>
        <w:t xml:space="preserve"> established] binding precedent that would then make it that much harder for Clay, or anyone, to raise similar substantial </w:t>
      </w:r>
      <w:r w:rsidR="00A41E9C">
        <w:rPr>
          <w:snapToGrid/>
          <w:szCs w:val="22"/>
        </w:rPr>
        <w:t xml:space="preserve">and serious </w:t>
      </w:r>
      <w:r w:rsidR="00A41E9C" w:rsidRPr="00920554">
        <w:rPr>
          <w:snapToGrid/>
          <w:szCs w:val="22"/>
        </w:rPr>
        <w:t xml:space="preserve">public interest objections to other grants of this nature, where Clay resides or where others reside.  It is just such a </w:t>
      </w:r>
      <w:r w:rsidR="00A41E9C" w:rsidRPr="00920554">
        <w:rPr>
          <w:i/>
          <w:snapToGrid/>
          <w:szCs w:val="22"/>
        </w:rPr>
        <w:t xml:space="preserve">procedural </w:t>
      </w:r>
      <w:r w:rsidR="00A41E9C" w:rsidRPr="00920554">
        <w:rPr>
          <w:snapToGrid/>
          <w:szCs w:val="22"/>
        </w:rPr>
        <w:t xml:space="preserve">nexus that the Supreme Court recognizes as deserving a relaxed standard of immediacy in </w:t>
      </w:r>
      <w:r w:rsidR="00A41E9C" w:rsidRPr="00920554">
        <w:rPr>
          <w:i/>
          <w:snapToGrid/>
          <w:szCs w:val="22"/>
        </w:rPr>
        <w:t>Lujan v. Defenders of Wildlife</w:t>
      </w:r>
      <w:r w:rsidR="00A41E9C" w:rsidRPr="00920554">
        <w:rPr>
          <w:snapToGrid/>
          <w:szCs w:val="22"/>
        </w:rPr>
        <w:t>, 504 U.S. 555 (1992), n.7.</w:t>
      </w:r>
      <w:r w:rsidR="00A41E9C" w:rsidRPr="00920554">
        <w:rPr>
          <w:snapToGrid/>
          <w:szCs w:val="22"/>
          <w:vertAlign w:val="superscript"/>
        </w:rPr>
        <w:footnoteReference w:id="5"/>
      </w:r>
    </w:p>
    <w:p w:rsidR="00A41E9C" w:rsidRDefault="00F13E47" w:rsidP="001D451A">
      <w:pPr>
        <w:pStyle w:val="ParaNum"/>
        <w:rPr>
          <w:snapToGrid/>
        </w:rPr>
      </w:pPr>
      <w:r>
        <w:rPr>
          <w:snapToGrid/>
        </w:rPr>
        <w:t xml:space="preserve">Second, Clay </w:t>
      </w:r>
      <w:r w:rsidR="00994BE3">
        <w:rPr>
          <w:snapToGrid/>
        </w:rPr>
        <w:t>restates</w:t>
      </w:r>
      <w:r w:rsidR="00A41E9C">
        <w:rPr>
          <w:snapToGrid/>
        </w:rPr>
        <w:t xml:space="preserve"> his </w:t>
      </w:r>
      <w:r w:rsidR="00287CB1">
        <w:rPr>
          <w:snapToGrid/>
        </w:rPr>
        <w:t xml:space="preserve">earlier </w:t>
      </w:r>
      <w:r w:rsidR="00A41E9C">
        <w:rPr>
          <w:snapToGrid/>
        </w:rPr>
        <w:t xml:space="preserve">substantive </w:t>
      </w:r>
      <w:r w:rsidR="003D4B3D">
        <w:rPr>
          <w:snapToGrid/>
        </w:rPr>
        <w:t xml:space="preserve">Section 307(b) </w:t>
      </w:r>
      <w:r w:rsidR="00A41E9C">
        <w:rPr>
          <w:snapToGrid/>
        </w:rPr>
        <w:t>objections</w:t>
      </w:r>
      <w:r w:rsidR="003D4B3D">
        <w:rPr>
          <w:snapToGrid/>
        </w:rPr>
        <w:t xml:space="preserve"> to the grant of the Application</w:t>
      </w:r>
      <w:r w:rsidR="00A41E9C">
        <w:rPr>
          <w:snapToGrid/>
        </w:rPr>
        <w:t xml:space="preserve">: </w:t>
      </w:r>
      <w:r w:rsidR="00A41E9C" w:rsidRPr="00920554">
        <w:rPr>
          <w:snapToGrid/>
        </w:rPr>
        <w:t xml:space="preserve"> “</w:t>
      </w:r>
      <w:r w:rsidR="00A41E9C">
        <w:rPr>
          <w:snapToGrid/>
        </w:rPr>
        <w:t>T</w:t>
      </w:r>
      <w:r w:rsidR="00A41E9C" w:rsidRPr="00920554">
        <w:rPr>
          <w:snapToGrid/>
        </w:rPr>
        <w:t xml:space="preserve">he process and policies prescribed by the Commission in its [2006 </w:t>
      </w:r>
      <w:r w:rsidR="00A41E9C" w:rsidRPr="00920554">
        <w:rPr>
          <w:i/>
          <w:snapToGrid/>
        </w:rPr>
        <w:t>Community of License Order</w:t>
      </w:r>
      <w:r w:rsidR="00A41E9C" w:rsidRPr="00920554">
        <w:rPr>
          <w:snapToGrid/>
        </w:rPr>
        <w:t xml:space="preserve">], utterly failed to ensure that the facility authorized here has a reasonable probability of providing its community </w:t>
      </w:r>
      <w:r w:rsidR="00A41E9C" w:rsidRPr="00DC1143">
        <w:rPr>
          <w:i/>
          <w:snapToGrid/>
        </w:rPr>
        <w:t>of license</w:t>
      </w:r>
      <w:r w:rsidR="00A41E9C" w:rsidRPr="00920554">
        <w:rPr>
          <w:snapToGrid/>
        </w:rPr>
        <w:t xml:space="preserve">, </w:t>
      </w:r>
      <w:r w:rsidR="0026492A">
        <w:rPr>
          <w:snapToGrid/>
        </w:rPr>
        <w:t>Lafitte, Louisiana</w:t>
      </w:r>
      <w:r w:rsidR="00A41E9C" w:rsidRPr="00920554">
        <w:rPr>
          <w:snapToGrid/>
        </w:rPr>
        <w:t>, with an ‘outlet for local self-expression,’ the Commission’s only stated objective for its first local service allotment preference, which was dispositive in this case.”</w:t>
      </w:r>
      <w:r w:rsidR="00A41E9C" w:rsidRPr="00920554">
        <w:rPr>
          <w:snapToGrid/>
          <w:vertAlign w:val="superscript"/>
        </w:rPr>
        <w:footnoteReference w:id="6"/>
      </w:r>
      <w:r w:rsidR="0026492A">
        <w:rPr>
          <w:snapToGrid/>
        </w:rPr>
        <w:t xml:space="preserve"> </w:t>
      </w:r>
    </w:p>
    <w:p w:rsidR="00CC49D6" w:rsidRDefault="00D67EB2" w:rsidP="00B170A8">
      <w:pPr>
        <w:pStyle w:val="ParaNum"/>
        <w:rPr>
          <w:snapToGrid/>
        </w:rPr>
      </w:pPr>
      <w:r w:rsidRPr="00D67EB2">
        <w:rPr>
          <w:snapToGrid/>
        </w:rPr>
        <w:t xml:space="preserve">Upon review of the Application for Review and the entire record, we conclude that </w:t>
      </w:r>
      <w:r w:rsidR="005F5697">
        <w:rPr>
          <w:snapToGrid/>
        </w:rPr>
        <w:t>Clay</w:t>
      </w:r>
      <w:r w:rsidRPr="00D67EB2">
        <w:rPr>
          <w:snapToGrid/>
        </w:rPr>
        <w:t xml:space="preserve"> has not demonstrated that the Bureau erred.  </w:t>
      </w:r>
      <w:r w:rsidR="00C51C1A">
        <w:rPr>
          <w:snapToGrid/>
        </w:rPr>
        <w:t>W</w:t>
      </w:r>
      <w:r>
        <w:rPr>
          <w:snapToGrid/>
        </w:rPr>
        <w:t xml:space="preserve">e </w:t>
      </w:r>
      <w:r w:rsidR="00507B89" w:rsidRPr="00507B89">
        <w:rPr>
          <w:snapToGrid/>
        </w:rPr>
        <w:t>uphold the Bureau’s finding that Clay lacked standing to file the Petition for Reconsideration</w:t>
      </w:r>
      <w:r w:rsidR="00490455">
        <w:rPr>
          <w:snapToGrid/>
        </w:rPr>
        <w:t xml:space="preserve"> </w:t>
      </w:r>
      <w:r w:rsidR="00490455" w:rsidRPr="00490455">
        <w:rPr>
          <w:snapToGrid/>
        </w:rPr>
        <w:t>and did not comply with the procedural requirements of Section 1.106(b)(1)</w:t>
      </w:r>
      <w:r w:rsidR="00507B89" w:rsidRPr="00507B89">
        <w:rPr>
          <w:snapToGrid/>
        </w:rPr>
        <w:t xml:space="preserve">, for the reasons stated in the </w:t>
      </w:r>
      <w:r w:rsidR="00507B89" w:rsidRPr="00507B89">
        <w:rPr>
          <w:i/>
          <w:snapToGrid/>
        </w:rPr>
        <w:t>Reconsideration Decision</w:t>
      </w:r>
      <w:r w:rsidR="00507B89" w:rsidRPr="00507B89">
        <w:rPr>
          <w:snapToGrid/>
        </w:rPr>
        <w:t>.</w:t>
      </w:r>
      <w:r w:rsidR="00485A38">
        <w:rPr>
          <w:rStyle w:val="FootnoteReference"/>
          <w:snapToGrid/>
        </w:rPr>
        <w:footnoteReference w:id="7"/>
      </w:r>
      <w:r w:rsidR="00507B89" w:rsidRPr="00507B89">
        <w:rPr>
          <w:snapToGrid/>
        </w:rPr>
        <w:t xml:space="preserve"> </w:t>
      </w:r>
      <w:r w:rsidR="00ED31B8">
        <w:rPr>
          <w:snapToGrid/>
        </w:rPr>
        <w:t xml:space="preserve"> </w:t>
      </w:r>
    </w:p>
    <w:p w:rsidR="00994BE3" w:rsidRDefault="00C51C1A" w:rsidP="00B170A8">
      <w:pPr>
        <w:pStyle w:val="ParaNum"/>
        <w:rPr>
          <w:snapToGrid/>
        </w:rPr>
      </w:pPr>
      <w:r>
        <w:rPr>
          <w:snapToGrid/>
        </w:rPr>
        <w:t>W</w:t>
      </w:r>
      <w:r w:rsidR="00CC49D6">
        <w:rPr>
          <w:snapToGrid/>
        </w:rPr>
        <w:t xml:space="preserve">e </w:t>
      </w:r>
      <w:r>
        <w:rPr>
          <w:snapToGrid/>
        </w:rPr>
        <w:t>also hold</w:t>
      </w:r>
      <w:r w:rsidR="00CC49D6">
        <w:rPr>
          <w:snapToGrid/>
        </w:rPr>
        <w:t xml:space="preserve"> that Clay lacks standing to challenge the substantive discussion in the </w:t>
      </w:r>
      <w:r w:rsidR="00CC49D6">
        <w:rPr>
          <w:i/>
          <w:snapToGrid/>
        </w:rPr>
        <w:t>Reconsideration Decision</w:t>
      </w:r>
      <w:r w:rsidR="00CC49D6">
        <w:rPr>
          <w:snapToGrid/>
        </w:rPr>
        <w:t xml:space="preserve">.  </w:t>
      </w:r>
      <w:r w:rsidR="00CC49D6" w:rsidRPr="00CC49D6">
        <w:rPr>
          <w:snapToGrid/>
        </w:rPr>
        <w:t xml:space="preserve">Under </w:t>
      </w:r>
      <w:r w:rsidR="00130020">
        <w:rPr>
          <w:snapToGrid/>
        </w:rPr>
        <w:t xml:space="preserve">Section </w:t>
      </w:r>
      <w:r w:rsidR="00E84D2D" w:rsidRPr="00CC49D6">
        <w:rPr>
          <w:snapToGrid/>
        </w:rPr>
        <w:t>5(c)(4) of the Communications Act</w:t>
      </w:r>
      <w:r w:rsidR="00E84D2D">
        <w:rPr>
          <w:snapToGrid/>
        </w:rPr>
        <w:t xml:space="preserve"> of 1934, as amended, and </w:t>
      </w:r>
      <w:r w:rsidR="00CC49D6" w:rsidRPr="00CC49D6">
        <w:rPr>
          <w:snapToGrid/>
        </w:rPr>
        <w:t>Se</w:t>
      </w:r>
      <w:r w:rsidR="00E84D2D">
        <w:rPr>
          <w:snapToGrid/>
        </w:rPr>
        <w:t>ction 1.115(a) of the Rules</w:t>
      </w:r>
      <w:r w:rsidR="00CC49D6" w:rsidRPr="00CC49D6">
        <w:rPr>
          <w:snapToGrid/>
        </w:rPr>
        <w:t>, an applicant for review must be a “person aggrieved” by an action taken pursuant to delegated authority.</w:t>
      </w:r>
      <w:r w:rsidR="00CC49D6" w:rsidRPr="00CC49D6">
        <w:rPr>
          <w:snapToGrid/>
          <w:vertAlign w:val="superscript"/>
        </w:rPr>
        <w:footnoteReference w:id="8"/>
      </w:r>
      <w:r>
        <w:rPr>
          <w:snapToGrid/>
        </w:rPr>
        <w:t xml:space="preserve">  To show that he</w:t>
      </w:r>
      <w:r w:rsidR="00CC49D6" w:rsidRPr="00CC49D6">
        <w:rPr>
          <w:snapToGrid/>
        </w:rPr>
        <w:t xml:space="preserve"> is “aggrieved” by an action, </w:t>
      </w:r>
      <w:r>
        <w:rPr>
          <w:snapToGrid/>
        </w:rPr>
        <w:t>Clay</w:t>
      </w:r>
      <w:r w:rsidR="00CC49D6" w:rsidRPr="00CC49D6">
        <w:rPr>
          <w:snapToGrid/>
        </w:rPr>
        <w:t xml:space="preserve"> must demonstrate a direct causal link betwe</w:t>
      </w:r>
      <w:r w:rsidR="00E84D2D">
        <w:rPr>
          <w:snapToGrid/>
        </w:rPr>
        <w:t>en the challenged action and his alleged injury</w:t>
      </w:r>
      <w:r w:rsidR="00CC49D6" w:rsidRPr="00CC49D6">
        <w:rPr>
          <w:snapToGrid/>
        </w:rPr>
        <w:t>, and show that the injury would be prevented or redressed by the relief requested.</w:t>
      </w:r>
      <w:r w:rsidR="00CC49D6" w:rsidRPr="00CC49D6">
        <w:rPr>
          <w:snapToGrid/>
          <w:vertAlign w:val="superscript"/>
        </w:rPr>
        <w:footnoteReference w:id="9"/>
      </w:r>
      <w:r w:rsidR="00CC49D6" w:rsidRPr="00CC49D6">
        <w:rPr>
          <w:snapToGrid/>
        </w:rPr>
        <w:t xml:space="preserve">  In the broadcast regulatory context, standing is generally </w:t>
      </w:r>
      <w:r w:rsidR="00CC49D6" w:rsidRPr="00CC49D6">
        <w:rPr>
          <w:snapToGrid/>
        </w:rPr>
        <w:lastRenderedPageBreak/>
        <w:t>obtained in one of three ways: (1) as a competitor in the market suffering signal interference; (2) as a competitor in the market suffering economic harm; or (3) as a resident of the station's service area or regular listener of the station.</w:t>
      </w:r>
      <w:r w:rsidR="00CC49D6" w:rsidRPr="00CC49D6">
        <w:rPr>
          <w:snapToGrid/>
          <w:vertAlign w:val="superscript"/>
        </w:rPr>
        <w:footnoteReference w:id="10"/>
      </w:r>
      <w:r w:rsidR="00CC49D6" w:rsidRPr="00CC49D6">
        <w:rPr>
          <w:snapToGrid/>
        </w:rPr>
        <w:t xml:space="preserve">  In this regard, as the Bureau explained in the </w:t>
      </w:r>
      <w:r w:rsidR="00CC49D6" w:rsidRPr="00CC49D6">
        <w:rPr>
          <w:i/>
          <w:snapToGrid/>
        </w:rPr>
        <w:t>Reconsideration Decision</w:t>
      </w:r>
      <w:r w:rsidR="00CC49D6" w:rsidRPr="00CC49D6">
        <w:rPr>
          <w:snapToGrid/>
        </w:rPr>
        <w:t>,</w:t>
      </w:r>
      <w:r w:rsidR="00CC49D6" w:rsidRPr="00CC49D6">
        <w:rPr>
          <w:i/>
          <w:snapToGrid/>
        </w:rPr>
        <w:t xml:space="preserve"> </w:t>
      </w:r>
      <w:r w:rsidR="00CC49D6" w:rsidRPr="00CC49D6">
        <w:rPr>
          <w:snapToGrid/>
        </w:rPr>
        <w:t xml:space="preserve">Clay’s “procedural injury” arguments relying on </w:t>
      </w:r>
      <w:r w:rsidR="00CC49D6" w:rsidRPr="00CC49D6">
        <w:rPr>
          <w:i/>
          <w:snapToGrid/>
        </w:rPr>
        <w:t xml:space="preserve">Lujan </w:t>
      </w:r>
      <w:r w:rsidR="00CC49D6" w:rsidRPr="00CC49D6">
        <w:rPr>
          <w:snapToGrid/>
        </w:rPr>
        <w:t xml:space="preserve">are misplaced.  In </w:t>
      </w:r>
      <w:r w:rsidR="00CC49D6" w:rsidRPr="00CC49D6">
        <w:rPr>
          <w:i/>
          <w:snapToGrid/>
        </w:rPr>
        <w:t>Lujan</w:t>
      </w:r>
      <w:r w:rsidR="00CC49D6" w:rsidRPr="00CC49D6">
        <w:rPr>
          <w:snapToGrid/>
        </w:rPr>
        <w:t>, the Supreme Court stated that a “</w:t>
      </w:r>
      <w:r w:rsidR="00CC49D6" w:rsidRPr="00CC49D6">
        <w:rPr>
          <w:noProof/>
          <w:snapToGrid/>
        </w:rPr>
        <w:drawing>
          <wp:inline distT="0" distB="0" distL="0" distR="0" wp14:anchorId="01A201CF" wp14:editId="3F2C0C76">
            <wp:extent cx="9525" cy="9525"/>
            <wp:effectExtent l="0" t="0" r="0" b="0"/>
            <wp:docPr id="25" name="Picture 25"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49D6" w:rsidRPr="00CC49D6">
        <w:rPr>
          <w:snapToGrid/>
        </w:rPr>
        <w:t>procedural</w:t>
      </w:r>
      <w:r w:rsidR="00CC49D6" w:rsidRPr="00CC49D6">
        <w:rPr>
          <w:noProof/>
          <w:snapToGrid/>
        </w:rPr>
        <w:drawing>
          <wp:inline distT="0" distB="0" distL="0" distR="0" wp14:anchorId="17E6CF6E" wp14:editId="0CB0759F">
            <wp:extent cx="9525" cy="9525"/>
            <wp:effectExtent l="0" t="0" r="0" b="0"/>
            <wp:docPr id="26" name="Picture 26"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49D6" w:rsidRPr="00CC49D6">
        <w:rPr>
          <w:snapToGrid/>
        </w:rPr>
        <w:t xml:space="preserve"> </w:t>
      </w:r>
      <w:r w:rsidR="00CC49D6" w:rsidRPr="00CC49D6">
        <w:rPr>
          <w:noProof/>
          <w:snapToGrid/>
        </w:rPr>
        <w:drawing>
          <wp:inline distT="0" distB="0" distL="0" distR="0" wp14:anchorId="689D1340" wp14:editId="6CF86AD2">
            <wp:extent cx="9525" cy="9525"/>
            <wp:effectExtent l="0" t="0" r="0" b="0"/>
            <wp:docPr id="13" name="Picture 13"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vious hit">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49D6" w:rsidRPr="00CC49D6">
        <w:rPr>
          <w:snapToGrid/>
        </w:rPr>
        <w:t>right</w:t>
      </w:r>
      <w:r w:rsidR="00CC49D6" w:rsidRPr="00CC49D6">
        <w:rPr>
          <w:noProof/>
          <w:snapToGrid/>
        </w:rPr>
        <w:drawing>
          <wp:inline distT="0" distB="0" distL="0" distR="0" wp14:anchorId="1126DBB3" wp14:editId="1AC71A9A">
            <wp:extent cx="9525" cy="9525"/>
            <wp:effectExtent l="0" t="0" r="0" b="0"/>
            <wp:docPr id="14" name="Picture 14" descr="next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xt hit">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49D6" w:rsidRPr="00CC49D6">
        <w:rPr>
          <w:snapToGrid/>
        </w:rPr>
        <w:t xml:space="preserve">” accrues only if there is an associated </w:t>
      </w:r>
      <w:r w:rsidR="00CC49D6" w:rsidRPr="00CC49D6">
        <w:rPr>
          <w:noProof/>
          <w:snapToGrid/>
        </w:rPr>
        <w:drawing>
          <wp:inline distT="0" distB="0" distL="0" distR="0" wp14:anchorId="63543EBD" wp14:editId="31F7CCBA">
            <wp:extent cx="9525" cy="9525"/>
            <wp:effectExtent l="0" t="0" r="0" b="0"/>
            <wp:docPr id="27" name="Picture 27"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hit">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49D6" w:rsidRPr="00CC49D6">
        <w:rPr>
          <w:snapToGrid/>
        </w:rPr>
        <w:t>concrete</w:t>
      </w:r>
      <w:r w:rsidR="00CC49D6" w:rsidRPr="00CC49D6">
        <w:rPr>
          <w:noProof/>
          <w:snapToGrid/>
        </w:rPr>
        <w:drawing>
          <wp:inline distT="0" distB="0" distL="0" distR="0" wp14:anchorId="0A75BCE9" wp14:editId="61DCF91B">
            <wp:extent cx="9525" cy="9525"/>
            <wp:effectExtent l="0" t="0" r="0" b="0"/>
            <wp:docPr id="16" name="Picture 16"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49D6" w:rsidRPr="00CC49D6">
        <w:rPr>
          <w:snapToGrid/>
        </w:rPr>
        <w:t xml:space="preserve"> harm to the person asserting the </w:t>
      </w:r>
      <w:r w:rsidR="00CC49D6" w:rsidRPr="00CC49D6">
        <w:rPr>
          <w:noProof/>
          <w:snapToGrid/>
        </w:rPr>
        <w:drawing>
          <wp:inline distT="0" distB="0" distL="0" distR="0" wp14:anchorId="754D5F11" wp14:editId="3444FC59">
            <wp:extent cx="9525" cy="9525"/>
            <wp:effectExtent l="0" t="0" r="0" b="0"/>
            <wp:docPr id="19" name="Picture 19"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49D6" w:rsidRPr="00CC49D6">
        <w:rPr>
          <w:snapToGrid/>
        </w:rPr>
        <w:t>right</w:t>
      </w:r>
      <w:r w:rsidR="00CC49D6" w:rsidRPr="00CC49D6">
        <w:rPr>
          <w:noProof/>
          <w:snapToGrid/>
        </w:rPr>
        <w:drawing>
          <wp:inline distT="0" distB="0" distL="0" distR="0" wp14:anchorId="5591AED5" wp14:editId="50ED0CAD">
            <wp:extent cx="9525" cy="9525"/>
            <wp:effectExtent l="0" t="0" r="0" b="0"/>
            <wp:docPr id="20" name="Picture 20"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xt hit">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C49D6" w:rsidRPr="00CC49D6">
        <w:rPr>
          <w:snapToGrid/>
        </w:rPr>
        <w:t>.</w:t>
      </w:r>
      <w:r w:rsidR="00CC49D6" w:rsidRPr="00CC49D6">
        <w:rPr>
          <w:snapToGrid/>
          <w:vertAlign w:val="superscript"/>
        </w:rPr>
        <w:footnoteReference w:id="11"/>
      </w:r>
      <w:r w:rsidR="00CC49D6" w:rsidRPr="00CC49D6">
        <w:rPr>
          <w:snapToGrid/>
        </w:rPr>
        <w:t xml:space="preserve">  Here, Clay fails to show any concrete harm accruing to him as a resident of Charlotte, North Carolina, a community located over </w:t>
      </w:r>
      <w:r w:rsidR="001929AC">
        <w:rPr>
          <w:snapToGrid/>
        </w:rPr>
        <w:t>650 miles from both Houma and Jean Lafitte</w:t>
      </w:r>
      <w:r w:rsidR="00CC49D6" w:rsidRPr="00CC49D6">
        <w:rPr>
          <w:snapToGrid/>
        </w:rPr>
        <w:t>, fro</w:t>
      </w:r>
      <w:r w:rsidR="00130020">
        <w:rPr>
          <w:snapToGrid/>
        </w:rPr>
        <w:t xml:space="preserve">m the grant of the </w:t>
      </w:r>
      <w:r w:rsidR="00CC49D6" w:rsidRPr="00CC49D6">
        <w:rPr>
          <w:snapToGrid/>
        </w:rPr>
        <w:t>Application.</w:t>
      </w:r>
      <w:r w:rsidR="00CC49D6" w:rsidRPr="00CC49D6">
        <w:rPr>
          <w:snapToGrid/>
          <w:vertAlign w:val="superscript"/>
        </w:rPr>
        <w:footnoteReference w:id="12"/>
      </w:r>
      <w:r w:rsidR="00CC49D6" w:rsidRPr="00CC49D6">
        <w:rPr>
          <w:snapToGrid/>
        </w:rPr>
        <w:t xml:space="preserve">  He does not allege competitive harm or signal interference, nor does he allege to be a listener of the Station.  Clay cites no case in which standing has been granted on the basis that the legal precedent set by one case could affect future, similar, cases.  Moreover, Clay has failed to demonstrate a causal link between the claimed injury and the grant at issue.  In granting the Application, the Bureau </w:t>
      </w:r>
      <w:r w:rsidR="00CC49D6" w:rsidRPr="00CC49D6">
        <w:rPr>
          <w:i/>
          <w:snapToGrid/>
        </w:rPr>
        <w:t xml:space="preserve">applied </w:t>
      </w:r>
      <w:r w:rsidR="00CC49D6" w:rsidRPr="00CC49D6">
        <w:rPr>
          <w:snapToGrid/>
        </w:rPr>
        <w:t xml:space="preserve">the processing rules adopted in the </w:t>
      </w:r>
      <w:r w:rsidR="00CC49D6" w:rsidRPr="00CC49D6">
        <w:rPr>
          <w:i/>
          <w:snapToGrid/>
        </w:rPr>
        <w:t>Community of License Order</w:t>
      </w:r>
      <w:r w:rsidR="00CC49D6" w:rsidRPr="00CC49D6">
        <w:rPr>
          <w:snapToGrid/>
        </w:rPr>
        <w:t>; it did not create them.</w:t>
      </w:r>
      <w:r w:rsidR="00CC49D6" w:rsidRPr="00CC49D6">
        <w:rPr>
          <w:snapToGrid/>
          <w:vertAlign w:val="superscript"/>
        </w:rPr>
        <w:footnoteReference w:id="13"/>
      </w:r>
      <w:r w:rsidR="00CC49D6" w:rsidRPr="00CC49D6">
        <w:rPr>
          <w:snapToGrid/>
        </w:rPr>
        <w:t xml:space="preserve">  Therefore, the relevant rules would apply to any future applications notwithstanding grant of </w:t>
      </w:r>
      <w:r w:rsidR="001929AC">
        <w:rPr>
          <w:snapToGrid/>
        </w:rPr>
        <w:t>the</w:t>
      </w:r>
      <w:r w:rsidR="00CC49D6" w:rsidRPr="00CC49D6">
        <w:rPr>
          <w:snapToGrid/>
        </w:rPr>
        <w:t xml:space="preserve"> Application.  </w:t>
      </w:r>
      <w:r w:rsidR="00895352">
        <w:t>Finally, the relief Clay requests would no more directly and tangibly benefit him as an individual than it would the national public at large</w:t>
      </w:r>
      <w:r w:rsidR="00CC49D6" w:rsidRPr="00CC49D6">
        <w:rPr>
          <w:snapToGrid/>
        </w:rPr>
        <w:t>.</w:t>
      </w:r>
      <w:r w:rsidR="00CC49D6" w:rsidRPr="00CC49D6">
        <w:rPr>
          <w:snapToGrid/>
          <w:vertAlign w:val="superscript"/>
        </w:rPr>
        <w:footnoteReference w:id="14"/>
      </w:r>
      <w:r w:rsidR="00CC49D6" w:rsidRPr="00CC49D6">
        <w:rPr>
          <w:snapToGrid/>
        </w:rPr>
        <w:t xml:space="preserve">  For all of these reasons, Clay fails to identify a direct economic or other connection between his interests and grant of the</w:t>
      </w:r>
      <w:r w:rsidR="001929AC">
        <w:rPr>
          <w:snapToGrid/>
        </w:rPr>
        <w:t xml:space="preserve"> </w:t>
      </w:r>
      <w:r w:rsidR="00CC49D6" w:rsidRPr="00CC49D6">
        <w:rPr>
          <w:snapToGrid/>
        </w:rPr>
        <w:t xml:space="preserve">Application.  Therefore, we dismiss, for lack of standing, the Application for Review to the extent that it challenges the Bureau’s </w:t>
      </w:r>
      <w:r w:rsidR="001929AC">
        <w:rPr>
          <w:snapToGrid/>
        </w:rPr>
        <w:t>substantive conclusions</w:t>
      </w:r>
      <w:r w:rsidR="00CC49D6" w:rsidRPr="00CC49D6">
        <w:rPr>
          <w:snapToGrid/>
        </w:rPr>
        <w:t>.</w:t>
      </w:r>
      <w:r w:rsidR="001929AC">
        <w:rPr>
          <w:snapToGrid/>
        </w:rPr>
        <w:t xml:space="preserve"> </w:t>
      </w:r>
    </w:p>
    <w:p w:rsidR="00C5598C" w:rsidRPr="00C5598C" w:rsidRDefault="00BA0985" w:rsidP="00B170A8">
      <w:pPr>
        <w:pStyle w:val="ParaNum"/>
        <w:rPr>
          <w:snapToGrid/>
        </w:rPr>
      </w:pPr>
      <w:r>
        <w:rPr>
          <w:snapToGrid/>
        </w:rPr>
        <w:t xml:space="preserve">For </w:t>
      </w:r>
      <w:r w:rsidR="00C30E90">
        <w:rPr>
          <w:snapToGrid/>
        </w:rPr>
        <w:t>these reasons, w</w:t>
      </w:r>
      <w:r w:rsidR="00D67EB2">
        <w:rPr>
          <w:snapToGrid/>
        </w:rPr>
        <w:t>e conclude that the Bureau</w:t>
      </w:r>
      <w:r w:rsidR="00C5598C">
        <w:rPr>
          <w:snapToGrid/>
        </w:rPr>
        <w:t>,</w:t>
      </w:r>
      <w:r w:rsidR="00D67EB2" w:rsidRPr="00D67EB2">
        <w:rPr>
          <w:snapToGrid/>
        </w:rPr>
        <w:t xml:space="preserve"> in the </w:t>
      </w:r>
      <w:r w:rsidR="00D67EB2" w:rsidRPr="00D67EB2">
        <w:rPr>
          <w:i/>
          <w:snapToGrid/>
        </w:rPr>
        <w:t>Reconsideration Decision</w:t>
      </w:r>
      <w:r w:rsidR="00D67EB2" w:rsidRPr="00D67EB2">
        <w:rPr>
          <w:snapToGrid/>
        </w:rPr>
        <w:t>, properly decided the matters raised, and we uphold its decision for the reasons stated therein.</w:t>
      </w:r>
      <w:r w:rsidR="006548D5">
        <w:rPr>
          <w:snapToGrid/>
        </w:rPr>
        <w:tab/>
      </w:r>
    </w:p>
    <w:p w:rsidR="008A24BB" w:rsidRPr="00E84D2D" w:rsidRDefault="00C5598C" w:rsidP="00246CD7">
      <w:pPr>
        <w:pStyle w:val="ParaNum"/>
        <w:keepNext/>
        <w:widowControl/>
        <w:rPr>
          <w:snapToGrid/>
        </w:rPr>
      </w:pPr>
      <w:r w:rsidRPr="0040710F">
        <w:rPr>
          <w:snapToGrid/>
        </w:rPr>
        <w:t>ACCORDINGLY, IT IS ORDERED that, pursuant to Section 5(c)</w:t>
      </w:r>
      <w:r w:rsidR="00273590">
        <w:rPr>
          <w:snapToGrid/>
        </w:rPr>
        <w:t xml:space="preserve">(4) and </w:t>
      </w:r>
      <w:r w:rsidRPr="0040710F">
        <w:rPr>
          <w:snapToGrid/>
        </w:rPr>
        <w:t>(5) of the Communications Act of 1934, as amended,</w:t>
      </w:r>
      <w:r w:rsidRPr="0040710F">
        <w:rPr>
          <w:snapToGrid/>
          <w:vertAlign w:val="superscript"/>
        </w:rPr>
        <w:footnoteReference w:id="15"/>
      </w:r>
      <w:r w:rsidRPr="0040710F">
        <w:rPr>
          <w:snapToGrid/>
        </w:rPr>
        <w:t xml:space="preserve"> and Section 1.115</w:t>
      </w:r>
      <w:r w:rsidR="00273590">
        <w:rPr>
          <w:snapToGrid/>
        </w:rPr>
        <w:t xml:space="preserve">(a) and </w:t>
      </w:r>
      <w:r w:rsidRPr="0040710F">
        <w:rPr>
          <w:snapToGrid/>
        </w:rPr>
        <w:t>(g) of the Commission’s rules,</w:t>
      </w:r>
      <w:r w:rsidRPr="0040710F">
        <w:rPr>
          <w:snapToGrid/>
          <w:vertAlign w:val="superscript"/>
        </w:rPr>
        <w:footnoteReference w:id="16"/>
      </w:r>
      <w:r w:rsidRPr="0040710F">
        <w:rPr>
          <w:snapToGrid/>
        </w:rPr>
        <w:t xml:space="preserve"> the Application for Review IS</w:t>
      </w:r>
      <w:r w:rsidR="00541C72">
        <w:rPr>
          <w:snapToGrid/>
        </w:rPr>
        <w:t xml:space="preserve"> </w:t>
      </w:r>
      <w:r w:rsidR="001929AC">
        <w:rPr>
          <w:snapToGrid/>
        </w:rPr>
        <w:t xml:space="preserve">DISMISSED for the reasons stated in paragraph 5 above and otherwise IS </w:t>
      </w:r>
      <w:r w:rsidRPr="0040710F">
        <w:rPr>
          <w:snapToGrid/>
        </w:rPr>
        <w:t xml:space="preserve">DENIED.  </w:t>
      </w:r>
    </w:p>
    <w:p w:rsidR="00541C72" w:rsidRDefault="00541C72" w:rsidP="00B170A8">
      <w:pPr>
        <w:pStyle w:val="ParaNum"/>
        <w:rPr>
          <w:snapToGrid/>
        </w:rPr>
      </w:pPr>
      <w:r>
        <w:rPr>
          <w:snapToGrid/>
        </w:rPr>
        <w:t xml:space="preserve">It is FURTHER ORDERED that the Motion for Stay filed by Clay on September 22, 2008, is DISMISSED as moot. </w:t>
      </w:r>
    </w:p>
    <w:p w:rsidR="000030B9" w:rsidRDefault="000030B9" w:rsidP="0017296B">
      <w:r>
        <w:tab/>
      </w:r>
      <w:r>
        <w:tab/>
      </w:r>
      <w:r>
        <w:tab/>
      </w:r>
      <w:r>
        <w:tab/>
      </w:r>
      <w:r>
        <w:tab/>
      </w:r>
      <w:r>
        <w:tab/>
        <w:t>FEDERAL COMMUNICATIONS COMMISSION</w:t>
      </w:r>
    </w:p>
    <w:p w:rsidR="000030B9" w:rsidRDefault="000030B9" w:rsidP="0017296B"/>
    <w:p w:rsidR="000030B9" w:rsidRDefault="000030B9" w:rsidP="0017296B"/>
    <w:p w:rsidR="000030B9" w:rsidRDefault="000030B9" w:rsidP="0017296B"/>
    <w:p w:rsidR="000030B9" w:rsidRDefault="000030B9" w:rsidP="0017296B"/>
    <w:p w:rsidR="000030B9" w:rsidRDefault="000030B9" w:rsidP="0017296B">
      <w:r>
        <w:tab/>
      </w:r>
      <w:r>
        <w:tab/>
      </w:r>
      <w:r>
        <w:tab/>
      </w:r>
      <w:r>
        <w:tab/>
      </w:r>
      <w:r>
        <w:tab/>
      </w:r>
      <w:r>
        <w:tab/>
        <w:t>Marlene H. Dortch</w:t>
      </w:r>
    </w:p>
    <w:p w:rsidR="00C5598C" w:rsidRPr="000030B9" w:rsidRDefault="000030B9" w:rsidP="000030B9">
      <w:r>
        <w:tab/>
      </w:r>
      <w:r>
        <w:tab/>
      </w:r>
      <w:r>
        <w:tab/>
      </w:r>
      <w:r>
        <w:tab/>
      </w:r>
      <w:r>
        <w:tab/>
      </w:r>
      <w:r>
        <w:tab/>
        <w:t>Secretary</w:t>
      </w:r>
    </w:p>
    <w:sectPr w:rsidR="00C5598C" w:rsidRPr="000030B9" w:rsidSect="0055614C">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CB" w:rsidRDefault="00AD7DCB">
      <w:pPr>
        <w:spacing w:line="20" w:lineRule="exact"/>
      </w:pPr>
    </w:p>
  </w:endnote>
  <w:endnote w:type="continuationSeparator" w:id="0">
    <w:p w:rsidR="00AD7DCB" w:rsidRDefault="00AD7DCB">
      <w:r>
        <w:t xml:space="preserve"> </w:t>
      </w:r>
    </w:p>
  </w:endnote>
  <w:endnote w:type="continuationNotice" w:id="1">
    <w:p w:rsidR="00AD7DCB" w:rsidRDefault="00AD7D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318F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CB" w:rsidRDefault="00AD7DCB">
      <w:r>
        <w:separator/>
      </w:r>
    </w:p>
  </w:footnote>
  <w:footnote w:type="continuationSeparator" w:id="0">
    <w:p w:rsidR="00AD7DCB" w:rsidRDefault="00AD7DCB" w:rsidP="00C721AC">
      <w:pPr>
        <w:spacing w:before="120"/>
        <w:rPr>
          <w:sz w:val="20"/>
        </w:rPr>
      </w:pPr>
      <w:r>
        <w:rPr>
          <w:sz w:val="20"/>
        </w:rPr>
        <w:t xml:space="preserve">(Continued from previous page)  </w:t>
      </w:r>
      <w:r>
        <w:rPr>
          <w:sz w:val="20"/>
        </w:rPr>
        <w:separator/>
      </w:r>
    </w:p>
  </w:footnote>
  <w:footnote w:type="continuationNotice" w:id="1">
    <w:p w:rsidR="00AD7DCB" w:rsidRDefault="00AD7DCB" w:rsidP="00C721AC">
      <w:pPr>
        <w:jc w:val="right"/>
        <w:rPr>
          <w:sz w:val="20"/>
        </w:rPr>
      </w:pPr>
      <w:r>
        <w:rPr>
          <w:sz w:val="20"/>
        </w:rPr>
        <w:t>(continued….)</w:t>
      </w:r>
    </w:p>
  </w:footnote>
  <w:footnote w:id="2">
    <w:p w:rsidR="00C444CA" w:rsidRDefault="00C444CA">
      <w:pPr>
        <w:pStyle w:val="FootnoteText"/>
      </w:pPr>
      <w:r>
        <w:rPr>
          <w:rStyle w:val="FootnoteReference"/>
        </w:rPr>
        <w:footnoteRef/>
      </w:r>
      <w:r>
        <w:t xml:space="preserve"> On the same day,</w:t>
      </w:r>
      <w:r w:rsidRPr="00C444CA">
        <w:t xml:space="preserve"> September 22, 2008, </w:t>
      </w:r>
      <w:r>
        <w:t>Clay</w:t>
      </w:r>
      <w:r w:rsidRPr="00C444CA">
        <w:t xml:space="preserve"> filed a Motion for Stay requesting that the Commission stay the effectiveness of the grant of the Application pending resolution of the Application for Review.</w:t>
      </w:r>
      <w:r>
        <w:t xml:space="preserve">  </w:t>
      </w:r>
      <w:r w:rsidRPr="00C444CA">
        <w:rPr>
          <w:i/>
        </w:rPr>
        <w:t xml:space="preserve">See </w:t>
      </w:r>
      <w:r w:rsidRPr="00C444CA">
        <w:t>47 C.F.R. § 1.102(b)(3) (“If an application for review of [an action] is filed . . . the Commission may in its discretion stay the effectiveness of any such action until its review of the matters at issue has been completed.”).  In light of the action taken herein, we dismiss Clay’s Motion for Stay and any related pleadings as moot.</w:t>
      </w:r>
      <w:r w:rsidR="0026492A">
        <w:t xml:space="preserve"> </w:t>
      </w:r>
      <w:r w:rsidRPr="00C444CA">
        <w:t xml:space="preserve"> On October 6, 2008, Sunburst filed an Opposition to Application for Review.  On October 17, 2008, Clay filed a Reply to Opposition to Application for Review.  On May 9, 2012, Clay filed a Supplement to Application for Review.  </w:t>
      </w:r>
      <w:r w:rsidR="0026492A">
        <w:t>The</w:t>
      </w:r>
      <w:r w:rsidRPr="00C444CA">
        <w:t xml:space="preserve"> Supplement is an unauthorized pleading, being both untimely under Section 1.115(d) and procedurally impermissible under Section 1.115(c) of the Rules.  </w:t>
      </w:r>
      <w:r w:rsidRPr="00C444CA">
        <w:rPr>
          <w:i/>
        </w:rPr>
        <w:t xml:space="preserve">See </w:t>
      </w:r>
      <w:r w:rsidRPr="00C444CA">
        <w:t>47 C.F.R. § 1.115(d) (“[T]he application for review and any supplemental thereto shall be filed within 30 days of public notice of such action . . .”);</w:t>
      </w:r>
      <w:r w:rsidRPr="00C444CA">
        <w:rPr>
          <w:i/>
        </w:rPr>
        <w:t xml:space="preserve"> </w:t>
      </w:r>
      <w:r w:rsidRPr="00C444CA">
        <w:t xml:space="preserve">47 C.F.R. § 1.115(c) (“No application for review will be granted if it relies on factual questions upon which the designated authority has been afforded no opportunity to pass”); </w:t>
      </w:r>
      <w:r w:rsidRPr="00C444CA">
        <w:rPr>
          <w:i/>
        </w:rPr>
        <w:t>see also, e.g.</w:t>
      </w:r>
      <w:r w:rsidRPr="00C444CA">
        <w:t xml:space="preserve">, </w:t>
      </w:r>
      <w:r w:rsidRPr="00C444CA">
        <w:rPr>
          <w:i/>
        </w:rPr>
        <w:t>Manahawkin Communications Corp</w:t>
      </w:r>
      <w:r w:rsidRPr="00C444CA">
        <w:t xml:space="preserve">., Memorandum Opinion and Order, 17 FCC Rcd 342, n.16 (2001); </w:t>
      </w:r>
      <w:r w:rsidR="00C6272C">
        <w:rPr>
          <w:i/>
        </w:rPr>
        <w:t>Global Broad</w:t>
      </w:r>
      <w:r w:rsidRPr="00C444CA">
        <w:rPr>
          <w:i/>
        </w:rPr>
        <w:t>casting Group, Inc.</w:t>
      </w:r>
      <w:r w:rsidRPr="00C444CA">
        <w:t xml:space="preserve">, Memorandum Opinion and Order, 10 FCC Rcd 5437, 5439-40 (1995).  </w:t>
      </w:r>
      <w:r w:rsidR="00286BC8">
        <w:t xml:space="preserve">Therefore, the Supplement and related pleadings will not be accepted or considered by the Commission.  </w:t>
      </w:r>
      <w:r w:rsidRPr="00C444CA">
        <w:t xml:space="preserve">Moreover, the substantive issue raised by the Supplement—whether the revised procedures </w:t>
      </w:r>
      <w:r w:rsidR="001761FE">
        <w:t xml:space="preserve">adopted by the Commission fourteen months earlier </w:t>
      </w:r>
      <w:r w:rsidRPr="00C444CA">
        <w:t xml:space="preserve">in the 2011 </w:t>
      </w:r>
      <w:r w:rsidRPr="00C444CA">
        <w:rPr>
          <w:i/>
        </w:rPr>
        <w:t>Rural Radio</w:t>
      </w:r>
      <w:r w:rsidR="00763BF3">
        <w:rPr>
          <w:i/>
        </w:rPr>
        <w:t xml:space="preserve"> Order</w:t>
      </w:r>
      <w:r w:rsidRPr="00C444CA">
        <w:t xml:space="preserve"> should apply to the Application—was resolved </w:t>
      </w:r>
      <w:r w:rsidR="00C6272C">
        <w:t xml:space="preserve">by the Commission </w:t>
      </w:r>
      <w:r w:rsidRPr="00C444CA">
        <w:t xml:space="preserve">in </w:t>
      </w:r>
      <w:r w:rsidRPr="00C444CA">
        <w:rPr>
          <w:i/>
        </w:rPr>
        <w:t xml:space="preserve">Policies to Promote </w:t>
      </w:r>
      <w:bookmarkStart w:id="1" w:name="ctx1"/>
      <w:bookmarkEnd w:id="1"/>
      <w:r w:rsidRPr="00C444CA">
        <w:rPr>
          <w:i/>
          <w:noProof/>
        </w:rPr>
        <w:drawing>
          <wp:inline distT="0" distB="0" distL="0" distR="0" wp14:anchorId="410F26BE" wp14:editId="7D4E1CD0">
            <wp:extent cx="9525" cy="9525"/>
            <wp:effectExtent l="0" t="0" r="0" b="0"/>
            <wp:docPr id="5" name="Picture 5" descr="previous hit">
              <a:hlinkClick xmlns:a="http://schemas.openxmlformats.org/drawingml/2006/main" r:id="rId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44CA">
        <w:rPr>
          <w:i/>
        </w:rPr>
        <w:t>Rural Radio</w:t>
      </w:r>
      <w:r w:rsidRPr="00C444CA">
        <w:rPr>
          <w:i/>
          <w:noProof/>
        </w:rPr>
        <w:drawing>
          <wp:inline distT="0" distB="0" distL="0" distR="0" wp14:anchorId="38B456F1" wp14:editId="79782D4B">
            <wp:extent cx="9525" cy="9525"/>
            <wp:effectExtent l="0" t="0" r="0" b="0"/>
            <wp:docPr id="6" name="Picture 6" descr="next hi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3"/>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44CA">
        <w:rPr>
          <w:i/>
        </w:rPr>
        <w:t xml:space="preserve"> Service and to Streamline Allotment and Assignment Procedures</w:t>
      </w:r>
      <w:r w:rsidRPr="00C444CA">
        <w:t>, Second Order on Reconsideration, 27 FCC Rcd 12829, 12843 (2012)</w:t>
      </w:r>
      <w:r w:rsidR="00130020">
        <w:t xml:space="preserve"> </w:t>
      </w:r>
      <w:r w:rsidR="00130020" w:rsidRPr="00130020">
        <w:t>(“</w:t>
      </w:r>
      <w:r w:rsidR="00130020" w:rsidRPr="00130020">
        <w:rPr>
          <w:i/>
        </w:rPr>
        <w:t>Rural Radio Reconsideration Order</w:t>
      </w:r>
      <w:r w:rsidR="00130020" w:rsidRPr="00130020">
        <w:t>”)</w:t>
      </w:r>
      <w:r w:rsidRPr="00C444CA">
        <w:t xml:space="preserve"> (holding that the revise</w:t>
      </w:r>
      <w:r w:rsidR="00C6272C">
        <w:t>d Section 307(b) procedures do</w:t>
      </w:r>
      <w:r w:rsidRPr="00C444CA">
        <w:t xml:space="preserve"> not apply to any pending community of license change application in which a decision on the application was released prior to March 3, 2011).  </w:t>
      </w:r>
      <w:r w:rsidR="00763BF3">
        <w:rPr>
          <w:i/>
        </w:rPr>
        <w:t xml:space="preserve">See </w:t>
      </w:r>
      <w:r w:rsidR="00763BF3" w:rsidRPr="00763BF3">
        <w:rPr>
          <w:i/>
        </w:rPr>
        <w:t>Policies</w:t>
      </w:r>
      <w:r w:rsidR="00763BF3">
        <w:rPr>
          <w:i/>
        </w:rPr>
        <w:t xml:space="preserve"> </w:t>
      </w:r>
      <w:r w:rsidR="00763BF3" w:rsidRPr="00763BF3">
        <w:rPr>
          <w:i/>
        </w:rPr>
        <w:t xml:space="preserve">to Promote </w:t>
      </w:r>
      <w:bookmarkStart w:id="2" w:name="ctx3"/>
      <w:bookmarkEnd w:id="2"/>
      <w:r w:rsidR="00763BF3" w:rsidRPr="00E13E4C">
        <w:rPr>
          <w:i/>
          <w:noProof/>
        </w:rPr>
        <w:drawing>
          <wp:inline distT="0" distB="0" distL="0" distR="0" wp14:anchorId="126E9CF8" wp14:editId="3888A033">
            <wp:extent cx="9525" cy="9525"/>
            <wp:effectExtent l="0" t="0" r="0" b="0"/>
            <wp:docPr id="22" name="Picture 22" descr="previous hit">
              <a:hlinkClick xmlns:a="http://schemas.openxmlformats.org/drawingml/2006/main" r:id="rId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vious hit">
                      <a:hlinkClick r:id="rId4"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3" w:name="a0e4q3e4q7"/>
      <w:r w:rsidR="00763BF3" w:rsidRPr="00763BF3">
        <w:rPr>
          <w:i/>
        </w:rPr>
        <w:t>Rural Radio</w:t>
      </w:r>
      <w:r w:rsidR="00763BF3" w:rsidRPr="00E13E4C">
        <w:rPr>
          <w:i/>
          <w:noProof/>
        </w:rPr>
        <w:drawing>
          <wp:inline distT="0" distB="0" distL="0" distR="0" wp14:anchorId="6C7690A7" wp14:editId="1B98457D">
            <wp:extent cx="9525" cy="9525"/>
            <wp:effectExtent l="0" t="0" r="0" b="0"/>
            <wp:docPr id="21" name="Picture 21" descr="next hit">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xt hit">
                      <a:hlinkClick r:id="rId5"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3BF3" w:rsidRPr="00763BF3">
        <w:rPr>
          <w:i/>
        </w:rPr>
        <w:t xml:space="preserve"> Service and to Streamline Allotment and Assignment Procedures, </w:t>
      </w:r>
      <w:r w:rsidR="00763BF3" w:rsidRPr="00763BF3">
        <w:t xml:space="preserve">Second Report and </w:t>
      </w:r>
      <w:bookmarkStart w:id="4" w:name="ctx4"/>
      <w:bookmarkEnd w:id="4"/>
      <w:r w:rsidR="00763BF3">
        <w:t xml:space="preserve"> </w:t>
      </w:r>
      <w:r w:rsidR="00763BF3" w:rsidRPr="00763BF3">
        <w:t xml:space="preserve">Order, First </w:t>
      </w:r>
      <w:bookmarkStart w:id="5" w:name="ctx5"/>
      <w:bookmarkEnd w:id="5"/>
      <w:r w:rsidR="00763BF3" w:rsidRPr="00763BF3">
        <w:rPr>
          <w:noProof/>
        </w:rPr>
        <w:drawing>
          <wp:inline distT="0" distB="0" distL="0" distR="0" wp14:anchorId="3BAE98C3" wp14:editId="34274E34">
            <wp:extent cx="9525" cy="9525"/>
            <wp:effectExtent l="0" t="0" r="0" b="0"/>
            <wp:docPr id="18" name="Picture 18" descr="previous hit">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evious hit">
                      <a:hlinkClick r:id="rId6"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3BF3" w:rsidRPr="00763BF3">
        <w:t>Order</w:t>
      </w:r>
      <w:r w:rsidR="00763BF3" w:rsidRPr="00763BF3">
        <w:rPr>
          <w:noProof/>
        </w:rPr>
        <w:drawing>
          <wp:inline distT="0" distB="0" distL="0" distR="0" wp14:anchorId="62EFE0CD" wp14:editId="2790165B">
            <wp:extent cx="9525" cy="9525"/>
            <wp:effectExtent l="0" t="0" r="0" b="0"/>
            <wp:docPr id="17" name="Picture 17" descr="next hit">
              <a:hlinkClick xmlns:a="http://schemas.openxmlformats.org/drawingml/2006/main" r:id="rId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ext hit">
                      <a:hlinkClick r:id="rId7"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63BF3" w:rsidRPr="00763BF3">
        <w:t xml:space="preserve"> On Reconsideration, and Second Further Notice of Proposed Rule Making, </w:t>
      </w:r>
      <w:r w:rsidR="00763BF3" w:rsidRPr="00E13E4C">
        <w:t>26 FCC Rcd 2556</w:t>
      </w:r>
      <w:r w:rsidR="00763BF3" w:rsidRPr="00763BF3">
        <w:t xml:space="preserve"> (</w:t>
      </w:r>
      <w:bookmarkStart w:id="6" w:name="ctx6"/>
      <w:bookmarkEnd w:id="6"/>
      <w:r w:rsidR="00763BF3" w:rsidRPr="00763BF3">
        <w:t>2011</w:t>
      </w:r>
      <w:r w:rsidR="00763BF3" w:rsidRPr="00763BF3">
        <w:rPr>
          <w:noProof/>
        </w:rPr>
        <w:drawing>
          <wp:inline distT="0" distB="0" distL="0" distR="0" wp14:anchorId="5DB65A87" wp14:editId="37BBD319">
            <wp:extent cx="9525" cy="9525"/>
            <wp:effectExtent l="0" t="0" r="0" b="0"/>
            <wp:docPr id="15" name="Picture 15" descr="next hit">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xt hit">
                      <a:hlinkClick r:id="rId8"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3"/>
      <w:r w:rsidR="00763BF3" w:rsidRPr="00763BF3">
        <w:t>)</w:t>
      </w:r>
      <w:r w:rsidR="00763BF3">
        <w:t xml:space="preserve"> (”</w:t>
      </w:r>
      <w:r w:rsidR="00763BF3">
        <w:rPr>
          <w:i/>
        </w:rPr>
        <w:t>Rural Radio Order</w:t>
      </w:r>
      <w:r w:rsidR="00763BF3">
        <w:t xml:space="preserve">”).  </w:t>
      </w:r>
      <w:r w:rsidRPr="00C444CA">
        <w:t xml:space="preserve">Because the Application was </w:t>
      </w:r>
      <w:r w:rsidR="00E13E4C">
        <w:t>granted on May 14</w:t>
      </w:r>
      <w:r w:rsidRPr="00C444CA">
        <w:t>, 2007, the revised procedures do not apply to the Application.</w:t>
      </w:r>
    </w:p>
  </w:footnote>
  <w:footnote w:id="3">
    <w:p w:rsidR="00A24902" w:rsidRPr="00A41E9C" w:rsidRDefault="00A24902" w:rsidP="00A24902">
      <w:pPr>
        <w:pStyle w:val="FootnoteText"/>
      </w:pPr>
      <w:r>
        <w:rPr>
          <w:rStyle w:val="FootnoteReference"/>
        </w:rPr>
        <w:footnoteRef/>
      </w:r>
      <w:r>
        <w:t xml:space="preserve"> </w:t>
      </w:r>
      <w:r>
        <w:rPr>
          <w:i/>
        </w:rPr>
        <w:t>William B. Clay</w:t>
      </w:r>
      <w:r>
        <w:t xml:space="preserve">, Letter, </w:t>
      </w:r>
      <w:r w:rsidRPr="00A41E9C">
        <w:t>23 FCC Rcd 12732</w:t>
      </w:r>
      <w:r>
        <w:t xml:space="preserve"> (MB 2008) (“</w:t>
      </w:r>
      <w:r>
        <w:rPr>
          <w:i/>
        </w:rPr>
        <w:t>Reconsideration Decision</w:t>
      </w:r>
      <w:r>
        <w:t>”).</w:t>
      </w:r>
      <w:r w:rsidR="00C444CA">
        <w:t xml:space="preserve">  </w:t>
      </w:r>
    </w:p>
  </w:footnote>
  <w:footnote w:id="4">
    <w:p w:rsidR="00A24902" w:rsidRDefault="00A24902">
      <w:pPr>
        <w:pStyle w:val="FootnoteText"/>
      </w:pPr>
      <w:r>
        <w:rPr>
          <w:rStyle w:val="FootnoteReference"/>
        </w:rPr>
        <w:footnoteRef/>
      </w:r>
      <w:r>
        <w:t xml:space="preserve">  The grant of the Application was place</w:t>
      </w:r>
      <w:r w:rsidR="00C33675">
        <w:t>d</w:t>
      </w:r>
      <w:r>
        <w:t xml:space="preserve"> on public notice </w:t>
      </w:r>
      <w:r w:rsidR="00C33675">
        <w:t xml:space="preserve">on </w:t>
      </w:r>
      <w:r>
        <w:t xml:space="preserve">May 17, 2007.  </w:t>
      </w:r>
      <w:r w:rsidRPr="00A24902">
        <w:rPr>
          <w:i/>
        </w:rPr>
        <w:t>S</w:t>
      </w:r>
      <w:r>
        <w:rPr>
          <w:i/>
        </w:rPr>
        <w:t>ee Broadcast Actions</w:t>
      </w:r>
      <w:r>
        <w:t xml:space="preserve">, Public Notice, Report No. </w:t>
      </w:r>
      <w:r w:rsidRPr="00EF056B">
        <w:t>46488</w:t>
      </w:r>
      <w:r>
        <w:t xml:space="preserve"> (May 17, 2007).</w:t>
      </w:r>
      <w:r w:rsidRPr="00A41E9C">
        <w:t xml:space="preserve"> </w:t>
      </w:r>
      <w:r w:rsidR="0006769B">
        <w:t xml:space="preserve"> </w:t>
      </w:r>
      <w:r w:rsidR="00C33675">
        <w:t xml:space="preserve"> </w:t>
      </w:r>
    </w:p>
  </w:footnote>
  <w:footnote w:id="5">
    <w:p w:rsidR="00A41E9C" w:rsidRPr="00490455" w:rsidRDefault="00A41E9C" w:rsidP="00920554">
      <w:pPr>
        <w:pStyle w:val="FootnoteText"/>
      </w:pPr>
      <w:r>
        <w:rPr>
          <w:rStyle w:val="FootnoteReference"/>
        </w:rPr>
        <w:footnoteRef/>
      </w:r>
      <w:r>
        <w:t xml:space="preserve"> Application for Review at 4 (emphasis in original).</w:t>
      </w:r>
      <w:r w:rsidR="00733081">
        <w:t xml:space="preserve"> </w:t>
      </w:r>
      <w:r>
        <w:t xml:space="preserve"> </w:t>
      </w:r>
      <w:r w:rsidR="00490455" w:rsidRPr="00490455">
        <w:t>Clay also objects to the Bureau’s finding that he failed to participate earlier in the proceeding</w:t>
      </w:r>
      <w:r w:rsidR="00490455">
        <w:t xml:space="preserve"> and thus did not comply with Section 1.106(b)(1) of the Rules</w:t>
      </w:r>
      <w:r w:rsidR="007760CC">
        <w:t xml:space="preserve"> (“Section 1.106(b)(1)”)</w:t>
      </w:r>
      <w:r w:rsidR="00490455" w:rsidRPr="00490455">
        <w:t xml:space="preserve">.  </w:t>
      </w:r>
      <w:r w:rsidR="00490455" w:rsidRPr="00490455">
        <w:rPr>
          <w:i/>
        </w:rPr>
        <w:t>Id</w:t>
      </w:r>
      <w:r w:rsidR="00490455">
        <w:rPr>
          <w:i/>
        </w:rPr>
        <w:t>.</w:t>
      </w:r>
      <w:r w:rsidR="00490455">
        <w:t>; 47 C.F.R. § 1.106(b)(1)</w:t>
      </w:r>
      <w:r w:rsidR="007760CC">
        <w:t xml:space="preserve"> </w:t>
      </w:r>
      <w:r w:rsidR="007760CC" w:rsidRPr="007760CC">
        <w:t xml:space="preserve">(petition for reconsideration subject to dismissal when petitioner does not </w:t>
      </w:r>
      <w:r w:rsidR="004B79E1">
        <w:t>“</w:t>
      </w:r>
      <w:r w:rsidR="007760CC" w:rsidRPr="007760CC">
        <w:t xml:space="preserve">show good reason </w:t>
      </w:r>
      <w:r w:rsidR="004B79E1">
        <w:t>why it was not possible for him to</w:t>
      </w:r>
      <w:r w:rsidR="007760CC" w:rsidRPr="007760CC">
        <w:t xml:space="preserve"> participat</w:t>
      </w:r>
      <w:r w:rsidR="004B79E1">
        <w:t>e</w:t>
      </w:r>
      <w:r w:rsidR="00ED31B8">
        <w:t xml:space="preserve"> </w:t>
      </w:r>
      <w:r w:rsidR="007760CC" w:rsidRPr="007760CC">
        <w:t xml:space="preserve">in </w:t>
      </w:r>
      <w:r w:rsidR="004B79E1">
        <w:t xml:space="preserve">the </w:t>
      </w:r>
      <w:r w:rsidR="007760CC" w:rsidRPr="007760CC">
        <w:t xml:space="preserve">earlier stages of </w:t>
      </w:r>
      <w:r w:rsidR="00621E91">
        <w:t xml:space="preserve"> the </w:t>
      </w:r>
      <w:r w:rsidR="007760CC" w:rsidRPr="007760CC">
        <w:t>proceeding</w:t>
      </w:r>
      <w:r w:rsidR="00621E91">
        <w:t>”</w:t>
      </w:r>
      <w:r w:rsidR="007760CC" w:rsidRPr="007760CC">
        <w:t>)</w:t>
      </w:r>
      <w:r w:rsidR="00490455" w:rsidRPr="00490455">
        <w:t>.</w:t>
      </w:r>
      <w:r w:rsidR="00ED31B8">
        <w:t xml:space="preserve">  </w:t>
      </w:r>
      <w:r w:rsidR="00A4117B">
        <w:t xml:space="preserve">We agree with the Bureau’s rejection of Clay’s explanation that he did not participate to avoid wasting Commission resources. </w:t>
      </w:r>
      <w:r w:rsidR="00ED31B8">
        <w:t xml:space="preserve"> </w:t>
      </w:r>
      <w:r w:rsidR="00A4117B" w:rsidRPr="00ED31B8">
        <w:rPr>
          <w:i/>
        </w:rPr>
        <w:t>Reconsideration Decision</w:t>
      </w:r>
      <w:r w:rsidR="00A4117B">
        <w:t xml:space="preserve">, </w:t>
      </w:r>
      <w:r w:rsidR="004B79E1">
        <w:t>23 FCC Rcd at 12734.</w:t>
      </w:r>
    </w:p>
  </w:footnote>
  <w:footnote w:id="6">
    <w:p w:rsidR="00A41E9C" w:rsidRPr="00151CC5" w:rsidRDefault="00A41E9C" w:rsidP="00920554">
      <w:pPr>
        <w:pStyle w:val="FootnoteText"/>
      </w:pPr>
      <w:r>
        <w:rPr>
          <w:rStyle w:val="FootnoteReference"/>
        </w:rPr>
        <w:footnoteRef/>
      </w:r>
      <w:r w:rsidR="00D55CAA">
        <w:t xml:space="preserve"> </w:t>
      </w:r>
      <w:r w:rsidR="003051F3" w:rsidRPr="003051F3">
        <w:t>Application for Review</w:t>
      </w:r>
      <w:r w:rsidR="0026492A">
        <w:t xml:space="preserve"> at </w:t>
      </w:r>
      <w:r>
        <w:t>3</w:t>
      </w:r>
      <w:r w:rsidR="009E60B8">
        <w:t xml:space="preserve"> (emphasis in original)</w:t>
      </w:r>
      <w:r>
        <w:t xml:space="preserve">; </w:t>
      </w:r>
      <w:r w:rsidR="003A0863" w:rsidRPr="00733081">
        <w:rPr>
          <w:i/>
        </w:rPr>
        <w:t xml:space="preserve">see </w:t>
      </w:r>
      <w:r w:rsidR="003A0863" w:rsidRPr="003A0863">
        <w:rPr>
          <w:i/>
        </w:rPr>
        <w:t>Revision of Procedures Governing Amendments to FM Table of Allotments and Changes of Community of License in the Radio Broadcast Services</w:t>
      </w:r>
      <w:r w:rsidR="003A0863" w:rsidRPr="003A0863">
        <w:t>, Report and Order,</w:t>
      </w:r>
      <w:bookmarkStart w:id="7" w:name="ctx2"/>
      <w:bookmarkEnd w:id="7"/>
      <w:r w:rsidR="003A0863" w:rsidRPr="003A0863">
        <w:rPr>
          <w:noProof/>
        </w:rPr>
        <w:drawing>
          <wp:inline distT="0" distB="0" distL="0" distR="0" wp14:anchorId="765712B8" wp14:editId="05760A2B">
            <wp:extent cx="9525" cy="9525"/>
            <wp:effectExtent l="0" t="0" r="0" b="0"/>
            <wp:docPr id="12" name="Picture 12" descr="previous hit">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hit">
                      <a:hlinkClick r:id="rId9"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8" w:name="a0e9k7c7q8"/>
      <w:r w:rsidR="003A0863" w:rsidRPr="003A0863">
        <w:t>21 FCC Rcd</w:t>
      </w:r>
      <w:r w:rsidR="003A0863" w:rsidRPr="003A0863">
        <w:rPr>
          <w:noProof/>
        </w:rPr>
        <w:drawing>
          <wp:inline distT="0" distB="0" distL="0" distR="0" wp14:anchorId="1C70C7B3" wp14:editId="2DA9DAB9">
            <wp:extent cx="9525" cy="9525"/>
            <wp:effectExtent l="0" t="0" r="0" b="0"/>
            <wp:docPr id="11" name="Picture 11" descr="next hit">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hit">
                      <a:hlinkClick r:id="rId10"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A0863" w:rsidRPr="003A0863">
        <w:t xml:space="preserve"> 14212 (2006) (authorizing community of license changes through the minor modification application process) (“</w:t>
      </w:r>
      <w:r w:rsidR="003A0863" w:rsidRPr="003A0863">
        <w:rPr>
          <w:i/>
        </w:rPr>
        <w:t>Community of License Order</w:t>
      </w:r>
      <w:r w:rsidR="003A0863" w:rsidRPr="003A0863">
        <w:rPr>
          <w:noProof/>
        </w:rPr>
        <w:drawing>
          <wp:inline distT="0" distB="0" distL="0" distR="0" wp14:anchorId="6838A3A0" wp14:editId="5FEA28B5">
            <wp:extent cx="9525" cy="9525"/>
            <wp:effectExtent l="0" t="0" r="0" b="0"/>
            <wp:docPr id="9" name="Picture 9" descr="next hit">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xt hit">
                      <a:hlinkClick r:id="rId5" tgtFrame="&quot;_to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8"/>
      <w:r w:rsidR="003A0863">
        <w:t>”)</w:t>
      </w:r>
      <w:r w:rsidR="00151CC5">
        <w:t>;</w:t>
      </w:r>
      <w:r w:rsidR="00151CC5">
        <w:rPr>
          <w:i/>
        </w:rPr>
        <w:t xml:space="preserve"> </w:t>
      </w:r>
      <w:r w:rsidR="00151CC5" w:rsidRPr="00151CC5">
        <w:rPr>
          <w:i/>
        </w:rPr>
        <w:t>Faye &amp; Richard Tuck, Inc.</w:t>
      </w:r>
      <w:r w:rsidR="00151CC5">
        <w:t xml:space="preserve">, Memorandum Opinion and Order, </w:t>
      </w:r>
      <w:r w:rsidR="00151CC5" w:rsidRPr="00151CC5">
        <w:t>3 FCC Rcd 5374</w:t>
      </w:r>
      <w:r w:rsidR="00151CC5">
        <w:t xml:space="preserve">, 5376 (1988) (“The need for service concerns both the number of stations that can be received in a given area (reception service) and the availability of local outlets for self-expression in the community (transmission service).”). </w:t>
      </w:r>
    </w:p>
  </w:footnote>
  <w:footnote w:id="7">
    <w:p w:rsidR="00485A38" w:rsidRPr="00485A38" w:rsidRDefault="00485A38">
      <w:pPr>
        <w:pStyle w:val="FootnoteText"/>
      </w:pPr>
      <w:r>
        <w:rPr>
          <w:rStyle w:val="FootnoteReference"/>
        </w:rPr>
        <w:footnoteRef/>
      </w:r>
      <w:r>
        <w:t xml:space="preserve"> </w:t>
      </w:r>
      <w:r>
        <w:rPr>
          <w:i/>
        </w:rPr>
        <w:t>Reconsideration Decision</w:t>
      </w:r>
      <w:r>
        <w:t xml:space="preserve">, 23 FCC Rcd at </w:t>
      </w:r>
      <w:r w:rsidR="00E84D2D">
        <w:t>12734</w:t>
      </w:r>
      <w:r>
        <w:t xml:space="preserve">; </w:t>
      </w:r>
      <w:r w:rsidRPr="00485A38">
        <w:rPr>
          <w:i/>
        </w:rPr>
        <w:t>See also Chapin Enterprises, LLC</w:t>
      </w:r>
      <w:r w:rsidRPr="00485A38">
        <w:t xml:space="preserve">, Memorandum Opinion and Order, FCC 14-46 (rel. Apr. 18, 2014) </w:t>
      </w:r>
      <w:r>
        <w:t>(</w:t>
      </w:r>
      <w:r>
        <w:rPr>
          <w:i/>
        </w:rPr>
        <w:t>“Chapin</w:t>
      </w:r>
      <w:r>
        <w:t xml:space="preserve">”) </w:t>
      </w:r>
      <w:r w:rsidRPr="00485A38">
        <w:t xml:space="preserve">(finding that Clay lacked standing and did not comply with Section 1.106(b)(1) in a similar set of circumstances).  </w:t>
      </w:r>
    </w:p>
  </w:footnote>
  <w:footnote w:id="8">
    <w:p w:rsidR="00CC49D6" w:rsidRPr="00485B4C" w:rsidRDefault="00CC49D6" w:rsidP="00CC49D6">
      <w:pPr>
        <w:pStyle w:val="FootnoteText"/>
      </w:pPr>
      <w:r>
        <w:rPr>
          <w:rStyle w:val="FootnoteReference"/>
        </w:rPr>
        <w:footnoteRef/>
      </w:r>
      <w:r>
        <w:t xml:space="preserve"> 47 U.S.C. § 155(c)(4); 47 C.F.R. § 1.115(a) (“Any person aggrieved by any action taken pursuant to delegated authority may file an application requesting review of that action by the Commission </w:t>
      </w:r>
      <w:r w:rsidRPr="00A65BF8">
        <w:t>. . . Any application for review which fails to make an adequate showing in this respect will be dismissed</w:t>
      </w:r>
      <w:r>
        <w:t>.”).</w:t>
      </w:r>
    </w:p>
  </w:footnote>
  <w:footnote w:id="9">
    <w:p w:rsidR="00CC49D6" w:rsidRPr="009C79BB" w:rsidRDefault="00CC49D6" w:rsidP="00CC49D6">
      <w:pPr>
        <w:pStyle w:val="FootnoteText"/>
      </w:pPr>
      <w:r>
        <w:rPr>
          <w:rStyle w:val="FootnoteReference"/>
        </w:rPr>
        <w:footnoteRef/>
      </w:r>
      <w:r>
        <w:t xml:space="preserve"> </w:t>
      </w:r>
      <w:r>
        <w:rPr>
          <w:i/>
        </w:rPr>
        <w:t>See, e.g., Applications of AT&amp;T Inc. and Deutsche Telecom AG for Consent to Assign or Transfer Control of Licenses and Authorizations</w:t>
      </w:r>
      <w:r>
        <w:t xml:space="preserve">, Memorandum Opinion and Order, </w:t>
      </w:r>
      <w:r w:rsidRPr="00146BC1">
        <w:t>27 FCC Rcd 4423</w:t>
      </w:r>
      <w:r>
        <w:t>, 4425 (2012);</w:t>
      </w:r>
      <w:r>
        <w:rPr>
          <w:i/>
        </w:rPr>
        <w:t xml:space="preserve"> Applications of WINV, Inc. and WGUL-FM, Inc. for Renewal and Assignment of License of WINV(AM), Inverness, Florida</w:t>
      </w:r>
      <w:r>
        <w:t>, Memorandum Opinion and Order, 14 FCC Rcd 2032, 2033 (1998).</w:t>
      </w:r>
    </w:p>
  </w:footnote>
  <w:footnote w:id="10">
    <w:p w:rsidR="00CC49D6" w:rsidRPr="00AA1799" w:rsidRDefault="00CC49D6" w:rsidP="00CC49D6">
      <w:pPr>
        <w:pStyle w:val="FootnoteText"/>
      </w:pPr>
      <w:r w:rsidRPr="00AA1799">
        <w:rPr>
          <w:rStyle w:val="FootnoteReference"/>
        </w:rPr>
        <w:footnoteRef/>
      </w:r>
      <w:r w:rsidRPr="00AA1799">
        <w:t xml:space="preserve"> </w:t>
      </w:r>
      <w:r w:rsidRPr="00FA31BD">
        <w:rPr>
          <w:i/>
        </w:rPr>
        <w:t>See Applications of Clarke Broadcasting Corporation</w:t>
      </w:r>
      <w:r w:rsidRPr="00FA31BD">
        <w:t xml:space="preserve">, </w:t>
      </w:r>
      <w:r>
        <w:t xml:space="preserve">Memorandum Opinion and Order, </w:t>
      </w:r>
      <w:r w:rsidRPr="00FA31BD">
        <w:t>11 FCC Rcd 3057 (1996) (</w:t>
      </w:r>
      <w:r>
        <w:t xml:space="preserve">holding that </w:t>
      </w:r>
      <w:r w:rsidRPr="00FA31BD">
        <w:t xml:space="preserve">where </w:t>
      </w:r>
      <w:r>
        <w:t xml:space="preserve">there is </w:t>
      </w:r>
      <w:r w:rsidRPr="00FA31BD">
        <w:t>no nexus between</w:t>
      </w:r>
      <w:r>
        <w:t xml:space="preserve"> the</w:t>
      </w:r>
      <w:r w:rsidRPr="00FA31BD">
        <w:t xml:space="preserve"> challenged application and </w:t>
      </w:r>
      <w:r>
        <w:t xml:space="preserve">an </w:t>
      </w:r>
      <w:r w:rsidRPr="00FA31BD">
        <w:t xml:space="preserve">applicant for review, </w:t>
      </w:r>
      <w:r>
        <w:t>the</w:t>
      </w:r>
      <w:r w:rsidRPr="00FA31BD">
        <w:t xml:space="preserve"> applicant is not “aggrieved” for purposes of 47 C.F.R. </w:t>
      </w:r>
      <w:r>
        <w:t>§ 1.115(a</w:t>
      </w:r>
      <w:r w:rsidRPr="00FA31BD">
        <w:t>)</w:t>
      </w:r>
      <w:r>
        <w:t xml:space="preserve">); </w:t>
      </w:r>
      <w:r w:rsidRPr="00AA1799">
        <w:rPr>
          <w:i/>
        </w:rPr>
        <w:t>Chet-5 Broadcasting, L.P.</w:t>
      </w:r>
      <w:r w:rsidRPr="00AA1799">
        <w:t>, Memorandum Opinion and Order, 14 FCC Rcd 13041, 13042 (1999)</w:t>
      </w:r>
      <w:r>
        <w:t xml:space="preserve"> (“[W]</w:t>
      </w:r>
      <w:r w:rsidRPr="00846EEC">
        <w:t>e will accord party-in-interest status to a petitioner who demonstrates either residence in the station's service area or that the petitioner listens to or views the station regularly, and that such listening or viewing is not the result of transient contacts with the statio</w:t>
      </w:r>
      <w:r>
        <w:t xml:space="preserve">n”); </w:t>
      </w:r>
      <w:r w:rsidRPr="00AA1799">
        <w:rPr>
          <w:i/>
        </w:rPr>
        <w:t>Office of Communications of the United Church of Christ v. FCC</w:t>
      </w:r>
      <w:r w:rsidRPr="00AA1799">
        <w:t>, 359 F.2d 994</w:t>
      </w:r>
      <w:r>
        <w:t>, 1000-1006</w:t>
      </w:r>
      <w:r w:rsidRPr="00AA1799">
        <w:t xml:space="preserve"> (1966)</w:t>
      </w:r>
      <w:r>
        <w:t xml:space="preserve"> (expanding standing from traditional categories of electrical interference or economic injury to station listeners).</w:t>
      </w:r>
    </w:p>
  </w:footnote>
  <w:footnote w:id="11">
    <w:p w:rsidR="00CC49D6" w:rsidRPr="0012387F" w:rsidRDefault="00CC49D6" w:rsidP="00CC49D6">
      <w:pPr>
        <w:pStyle w:val="FootnoteText"/>
      </w:pPr>
      <w:r>
        <w:rPr>
          <w:rStyle w:val="FootnoteReference"/>
        </w:rPr>
        <w:footnoteRef/>
      </w:r>
      <w:r>
        <w:t xml:space="preserve"> </w:t>
      </w:r>
      <w:r>
        <w:rPr>
          <w:i/>
        </w:rPr>
        <w:t>Lujan v. Defenders of Wildlife</w:t>
      </w:r>
      <w:r>
        <w:t>, 504 U.S. 555, n.8 (1992) (“</w:t>
      </w:r>
      <w:r>
        <w:rPr>
          <w:i/>
        </w:rPr>
        <w:t>Lujan</w:t>
      </w:r>
      <w:r>
        <w:t>”) (“</w:t>
      </w:r>
      <w:r w:rsidRPr="00554A22">
        <w:t>We do not hold that an individual cannot enforce procedural rights; he assuredly can, so long as the procedures in question are designed to protect some threatened concrete interest of his that is the ultimate basis of his standing.</w:t>
      </w:r>
      <w:r>
        <w:t xml:space="preserve">”). </w:t>
      </w:r>
    </w:p>
  </w:footnote>
  <w:footnote w:id="12">
    <w:p w:rsidR="00CC49D6" w:rsidRDefault="00CC49D6" w:rsidP="00CC49D6">
      <w:pPr>
        <w:pStyle w:val="FootnoteText"/>
      </w:pPr>
      <w:r>
        <w:rPr>
          <w:rStyle w:val="FootnoteReference"/>
        </w:rPr>
        <w:footnoteRef/>
      </w:r>
      <w:r>
        <w:t xml:space="preserve"> The information on record in this proceeding establishes Charlotte as Clay’s residence.  However, it appears that Clay may have moved to Italy, according to a letter in another proceeding dated June 9, 2011.  </w:t>
      </w:r>
      <w:r>
        <w:rPr>
          <w:i/>
        </w:rPr>
        <w:t>William B. Clay</w:t>
      </w:r>
      <w:r>
        <w:t>, Letter, (MB Oct. 13, 2011) at n.8 (granting application File No. BMPH-20070119AGG).</w:t>
      </w:r>
      <w:r>
        <w:rPr>
          <w:i/>
        </w:rPr>
        <w:t xml:space="preserve">  </w:t>
      </w:r>
      <w:r>
        <w:t xml:space="preserve">Clearly, under our analysis, Clay would equally lack standing as a resident of Italy.  </w:t>
      </w:r>
    </w:p>
  </w:footnote>
  <w:footnote w:id="13">
    <w:p w:rsidR="00CC49D6" w:rsidRDefault="00CC49D6" w:rsidP="00CC49D6">
      <w:pPr>
        <w:pStyle w:val="FootnoteText"/>
      </w:pPr>
      <w:r>
        <w:rPr>
          <w:rStyle w:val="FootnoteReference"/>
        </w:rPr>
        <w:footnoteRef/>
      </w:r>
      <w:r>
        <w:t xml:space="preserve"> The proper forum for Clay’s arguments was the proceeding leading to the </w:t>
      </w:r>
      <w:r w:rsidRPr="001D0567">
        <w:t xml:space="preserve">2006 </w:t>
      </w:r>
      <w:r w:rsidRPr="001D0567">
        <w:rPr>
          <w:i/>
        </w:rPr>
        <w:t>Community of License Order</w:t>
      </w:r>
      <w:r w:rsidRPr="001D0567">
        <w:t>,</w:t>
      </w:r>
      <w:r>
        <w:t xml:space="preserve"> in which Clay did participate.  Ultimately, Clay’s </w:t>
      </w:r>
      <w:r w:rsidRPr="00E25041">
        <w:t xml:space="preserve">concerns </w:t>
      </w:r>
      <w:r>
        <w:t>regarding our Section 307(b) procedures were further addressed in</w:t>
      </w:r>
      <w:r w:rsidRPr="00E25041">
        <w:t xml:space="preserve"> the </w:t>
      </w:r>
      <w:r w:rsidRPr="00E25041">
        <w:rPr>
          <w:i/>
        </w:rPr>
        <w:t xml:space="preserve">Rural Radio </w:t>
      </w:r>
      <w:r>
        <w:t>proceeding</w:t>
      </w:r>
      <w:r w:rsidRPr="00E25041">
        <w:t>, which</w:t>
      </w:r>
      <w:r>
        <w:t xml:space="preserve">, </w:t>
      </w:r>
      <w:r>
        <w:rPr>
          <w:i/>
        </w:rPr>
        <w:t>inter alia</w:t>
      </w:r>
      <w:r>
        <w:t>,</w:t>
      </w:r>
      <w:r w:rsidRPr="00E25041">
        <w:t xml:space="preserve"> established a rebuttable presumption that when a proposed community is located, as here, in an urbanized area (or could, through a minor modification, cover 50 </w:t>
      </w:r>
      <w:r>
        <w:t xml:space="preserve">percent of an urbanized area) </w:t>
      </w:r>
      <w:r w:rsidR="00130020" w:rsidRPr="00130020">
        <w:t xml:space="preserve">the Commission will treat the application, for Section 307(b) purposes, as proposing to serve the entire urbanized area.  </w:t>
      </w:r>
      <w:r w:rsidR="00130020" w:rsidRPr="00130020">
        <w:rPr>
          <w:i/>
        </w:rPr>
        <w:t>See  Rural Radio Orde</w:t>
      </w:r>
      <w:r w:rsidR="00130020">
        <w:rPr>
          <w:i/>
        </w:rPr>
        <w:t>r</w:t>
      </w:r>
      <w:r w:rsidR="00130020" w:rsidRPr="00130020">
        <w:t>, 26 FCC Rcd at 2567</w:t>
      </w:r>
      <w:r w:rsidR="00130020">
        <w:t xml:space="preserve">; </w:t>
      </w:r>
      <w:r w:rsidR="00130020" w:rsidRPr="00130020">
        <w:rPr>
          <w:i/>
        </w:rPr>
        <w:t xml:space="preserve">Rural Radio Reconsideration Order, </w:t>
      </w:r>
      <w:r w:rsidR="00130020" w:rsidRPr="00130020">
        <w:t xml:space="preserve">27 FCC Rcd at 12840. </w:t>
      </w:r>
    </w:p>
  </w:footnote>
  <w:footnote w:id="14">
    <w:p w:rsidR="00CC49D6" w:rsidRPr="00410596" w:rsidRDefault="00CC49D6" w:rsidP="00CC49D6">
      <w:pPr>
        <w:pStyle w:val="FootnoteText"/>
      </w:pPr>
      <w:r>
        <w:rPr>
          <w:rStyle w:val="FootnoteReference"/>
        </w:rPr>
        <w:footnoteRef/>
      </w:r>
      <w:r>
        <w:t xml:space="preserve"> </w:t>
      </w:r>
      <w:r>
        <w:rPr>
          <w:i/>
        </w:rPr>
        <w:t>See, e.g., Lujan</w:t>
      </w:r>
      <w:r>
        <w:t>, 504 U.S. at 573-574 (“</w:t>
      </w:r>
      <w:r w:rsidRPr="00410596">
        <w:t>We have consistently held that a plaintiff raising only a generally available grievance about government—claiming only harm to his and every citizen's interest in proper application of the Constitution and law</w:t>
      </w:r>
      <w:r>
        <w:t xml:space="preserve">s, and seeking relief that </w:t>
      </w:r>
      <w:r w:rsidRPr="00410596">
        <w:t>no more directly and tangibly benefits him than it does the public at large—does not state an A</w:t>
      </w:r>
      <w:r>
        <w:t>rticle III case or controversy.”).</w:t>
      </w:r>
    </w:p>
  </w:footnote>
  <w:footnote w:id="15">
    <w:p w:rsidR="00C5598C" w:rsidRPr="00320BF6" w:rsidRDefault="00C5598C" w:rsidP="00C5598C">
      <w:pPr>
        <w:pStyle w:val="FootnoteText"/>
      </w:pPr>
      <w:r w:rsidRPr="00320BF6">
        <w:rPr>
          <w:rStyle w:val="FootnoteReference"/>
        </w:rPr>
        <w:footnoteRef/>
      </w:r>
      <w:r w:rsidRPr="00320BF6">
        <w:t xml:space="preserve"> 47 U.S.C. § 155(c)</w:t>
      </w:r>
      <w:r w:rsidR="00193979">
        <w:t>(4),</w:t>
      </w:r>
      <w:r w:rsidRPr="00320BF6">
        <w:t>(5).</w:t>
      </w:r>
    </w:p>
  </w:footnote>
  <w:footnote w:id="16">
    <w:p w:rsidR="00C5598C" w:rsidRPr="00320BF6" w:rsidRDefault="00C5598C" w:rsidP="00C5598C">
      <w:pPr>
        <w:pStyle w:val="FootnoteText"/>
      </w:pPr>
      <w:r w:rsidRPr="00320BF6">
        <w:rPr>
          <w:rStyle w:val="FootnoteReference"/>
        </w:rPr>
        <w:footnoteRef/>
      </w:r>
      <w:r w:rsidRPr="00320BF6">
        <w:t xml:space="preserve"> 47 C.F.R. § 1.115</w:t>
      </w:r>
      <w:r w:rsidR="00273590">
        <w:t>(a),</w:t>
      </w:r>
      <w:r w:rsidRPr="00320BF6">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D5" w:rsidRDefault="002E0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31AEA">
      <w:t>FCC 14-114</w:t>
    </w:r>
  </w:p>
  <w:p w:rsidR="00D25FB5" w:rsidRDefault="001C6F9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BE61B5C" wp14:editId="45B49AB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C6F9E"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627A9FC" wp14:editId="7AB0FAE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31AEA">
      <w:t>FCC 14-114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E7"/>
    <w:rsid w:val="00001D20"/>
    <w:rsid w:val="000030B9"/>
    <w:rsid w:val="0000336C"/>
    <w:rsid w:val="00036039"/>
    <w:rsid w:val="00037F90"/>
    <w:rsid w:val="00044363"/>
    <w:rsid w:val="0006769B"/>
    <w:rsid w:val="0008020B"/>
    <w:rsid w:val="000875BF"/>
    <w:rsid w:val="00096D8C"/>
    <w:rsid w:val="000B6AE7"/>
    <w:rsid w:val="000C0B65"/>
    <w:rsid w:val="000C326C"/>
    <w:rsid w:val="000E05FE"/>
    <w:rsid w:val="000E3D42"/>
    <w:rsid w:val="00116F3A"/>
    <w:rsid w:val="00122BD5"/>
    <w:rsid w:val="00130020"/>
    <w:rsid w:val="0013011E"/>
    <w:rsid w:val="00133F79"/>
    <w:rsid w:val="00151CC5"/>
    <w:rsid w:val="001761FE"/>
    <w:rsid w:val="001929AC"/>
    <w:rsid w:val="00193979"/>
    <w:rsid w:val="00194A66"/>
    <w:rsid w:val="001C6F9E"/>
    <w:rsid w:val="001D3692"/>
    <w:rsid w:val="001D451A"/>
    <w:rsid w:val="001D6BCF"/>
    <w:rsid w:val="001E01CA"/>
    <w:rsid w:val="00220592"/>
    <w:rsid w:val="00246CD7"/>
    <w:rsid w:val="0026492A"/>
    <w:rsid w:val="00273590"/>
    <w:rsid w:val="00275CF5"/>
    <w:rsid w:val="0028301F"/>
    <w:rsid w:val="00285017"/>
    <w:rsid w:val="00286BC8"/>
    <w:rsid w:val="00287CB1"/>
    <w:rsid w:val="002A2D2E"/>
    <w:rsid w:val="002A5321"/>
    <w:rsid w:val="002C00E8"/>
    <w:rsid w:val="002C712D"/>
    <w:rsid w:val="002E0BD5"/>
    <w:rsid w:val="003051F3"/>
    <w:rsid w:val="00325F2F"/>
    <w:rsid w:val="00334CB8"/>
    <w:rsid w:val="00334F5F"/>
    <w:rsid w:val="00343749"/>
    <w:rsid w:val="003559F8"/>
    <w:rsid w:val="003660ED"/>
    <w:rsid w:val="00373360"/>
    <w:rsid w:val="003A0863"/>
    <w:rsid w:val="003B0550"/>
    <w:rsid w:val="003B694F"/>
    <w:rsid w:val="003C49A6"/>
    <w:rsid w:val="003D4B3D"/>
    <w:rsid w:val="003F171C"/>
    <w:rsid w:val="003F6C8D"/>
    <w:rsid w:val="00411A5A"/>
    <w:rsid w:val="00412FC5"/>
    <w:rsid w:val="004212CD"/>
    <w:rsid w:val="00421C74"/>
    <w:rsid w:val="00422276"/>
    <w:rsid w:val="004242F1"/>
    <w:rsid w:val="004271EF"/>
    <w:rsid w:val="00445A00"/>
    <w:rsid w:val="00451B0F"/>
    <w:rsid w:val="00467837"/>
    <w:rsid w:val="00472902"/>
    <w:rsid w:val="00485A38"/>
    <w:rsid w:val="00490455"/>
    <w:rsid w:val="004A74B2"/>
    <w:rsid w:val="004B79E1"/>
    <w:rsid w:val="004C2EE3"/>
    <w:rsid w:val="004E4A22"/>
    <w:rsid w:val="00505978"/>
    <w:rsid w:val="00507B89"/>
    <w:rsid w:val="00511968"/>
    <w:rsid w:val="00541C72"/>
    <w:rsid w:val="0055614C"/>
    <w:rsid w:val="005E14C2"/>
    <w:rsid w:val="005E6912"/>
    <w:rsid w:val="005F5697"/>
    <w:rsid w:val="00607BA5"/>
    <w:rsid w:val="00610B6A"/>
    <w:rsid w:val="0061180A"/>
    <w:rsid w:val="00621E91"/>
    <w:rsid w:val="00626EB6"/>
    <w:rsid w:val="00630190"/>
    <w:rsid w:val="00631280"/>
    <w:rsid w:val="006318FD"/>
    <w:rsid w:val="00631AEA"/>
    <w:rsid w:val="00643048"/>
    <w:rsid w:val="006548D5"/>
    <w:rsid w:val="00655D03"/>
    <w:rsid w:val="006777B1"/>
    <w:rsid w:val="00683388"/>
    <w:rsid w:val="00683F84"/>
    <w:rsid w:val="006944DE"/>
    <w:rsid w:val="00697496"/>
    <w:rsid w:val="006A6A81"/>
    <w:rsid w:val="006F0CFA"/>
    <w:rsid w:val="006F5310"/>
    <w:rsid w:val="006F7393"/>
    <w:rsid w:val="0070224F"/>
    <w:rsid w:val="007044E5"/>
    <w:rsid w:val="007115F7"/>
    <w:rsid w:val="0071212E"/>
    <w:rsid w:val="00722372"/>
    <w:rsid w:val="00733081"/>
    <w:rsid w:val="007465D8"/>
    <w:rsid w:val="0075701A"/>
    <w:rsid w:val="00763BF3"/>
    <w:rsid w:val="007760CC"/>
    <w:rsid w:val="00785689"/>
    <w:rsid w:val="0079754B"/>
    <w:rsid w:val="007A1E6D"/>
    <w:rsid w:val="007B0EB2"/>
    <w:rsid w:val="00804170"/>
    <w:rsid w:val="00810B6F"/>
    <w:rsid w:val="00822CE0"/>
    <w:rsid w:val="00841AB1"/>
    <w:rsid w:val="0085010C"/>
    <w:rsid w:val="00851169"/>
    <w:rsid w:val="00853537"/>
    <w:rsid w:val="008622B4"/>
    <w:rsid w:val="00867704"/>
    <w:rsid w:val="00895352"/>
    <w:rsid w:val="008A24BB"/>
    <w:rsid w:val="008B5ED2"/>
    <w:rsid w:val="008C5B8C"/>
    <w:rsid w:val="008C68F1"/>
    <w:rsid w:val="008E0838"/>
    <w:rsid w:val="008E0BF6"/>
    <w:rsid w:val="0090439D"/>
    <w:rsid w:val="00921803"/>
    <w:rsid w:val="00926503"/>
    <w:rsid w:val="009560A1"/>
    <w:rsid w:val="009726D8"/>
    <w:rsid w:val="00994BE3"/>
    <w:rsid w:val="009D7D93"/>
    <w:rsid w:val="009E60B8"/>
    <w:rsid w:val="009F76DB"/>
    <w:rsid w:val="00A152FA"/>
    <w:rsid w:val="00A24902"/>
    <w:rsid w:val="00A32C3B"/>
    <w:rsid w:val="00A4117B"/>
    <w:rsid w:val="00A41E9C"/>
    <w:rsid w:val="00A45F4F"/>
    <w:rsid w:val="00A600A9"/>
    <w:rsid w:val="00AA55B7"/>
    <w:rsid w:val="00AA5B9E"/>
    <w:rsid w:val="00AB2407"/>
    <w:rsid w:val="00AB4A07"/>
    <w:rsid w:val="00AB53DF"/>
    <w:rsid w:val="00AD7DCB"/>
    <w:rsid w:val="00AE0A9A"/>
    <w:rsid w:val="00AF673D"/>
    <w:rsid w:val="00B0057E"/>
    <w:rsid w:val="00B00AB9"/>
    <w:rsid w:val="00B07E5C"/>
    <w:rsid w:val="00B170A8"/>
    <w:rsid w:val="00B7138C"/>
    <w:rsid w:val="00B741E7"/>
    <w:rsid w:val="00B811F7"/>
    <w:rsid w:val="00B93FBE"/>
    <w:rsid w:val="00BA0985"/>
    <w:rsid w:val="00BA31B0"/>
    <w:rsid w:val="00BA5DC6"/>
    <w:rsid w:val="00BA6196"/>
    <w:rsid w:val="00BC6D8C"/>
    <w:rsid w:val="00BD699F"/>
    <w:rsid w:val="00C30E90"/>
    <w:rsid w:val="00C33675"/>
    <w:rsid w:val="00C34006"/>
    <w:rsid w:val="00C426B1"/>
    <w:rsid w:val="00C444CA"/>
    <w:rsid w:val="00C51C1A"/>
    <w:rsid w:val="00C5598C"/>
    <w:rsid w:val="00C6272C"/>
    <w:rsid w:val="00C64888"/>
    <w:rsid w:val="00C65ECF"/>
    <w:rsid w:val="00C66160"/>
    <w:rsid w:val="00C721AC"/>
    <w:rsid w:val="00C740BD"/>
    <w:rsid w:val="00C7771F"/>
    <w:rsid w:val="00C87E29"/>
    <w:rsid w:val="00C90D6A"/>
    <w:rsid w:val="00CA247E"/>
    <w:rsid w:val="00CC49D6"/>
    <w:rsid w:val="00CC72B6"/>
    <w:rsid w:val="00D0218D"/>
    <w:rsid w:val="00D25FB5"/>
    <w:rsid w:val="00D41DA3"/>
    <w:rsid w:val="00D44223"/>
    <w:rsid w:val="00D55CAA"/>
    <w:rsid w:val="00D67EB2"/>
    <w:rsid w:val="00D942F5"/>
    <w:rsid w:val="00DA0E38"/>
    <w:rsid w:val="00DA2529"/>
    <w:rsid w:val="00DB130A"/>
    <w:rsid w:val="00DB2EBB"/>
    <w:rsid w:val="00DC10A1"/>
    <w:rsid w:val="00DC1143"/>
    <w:rsid w:val="00DC129A"/>
    <w:rsid w:val="00DC655F"/>
    <w:rsid w:val="00DD0B59"/>
    <w:rsid w:val="00DD1C2D"/>
    <w:rsid w:val="00DD7EBD"/>
    <w:rsid w:val="00DD7F06"/>
    <w:rsid w:val="00DF2538"/>
    <w:rsid w:val="00DF62B6"/>
    <w:rsid w:val="00E07225"/>
    <w:rsid w:val="00E11C51"/>
    <w:rsid w:val="00E13E4C"/>
    <w:rsid w:val="00E525A4"/>
    <w:rsid w:val="00E5409F"/>
    <w:rsid w:val="00E84D2D"/>
    <w:rsid w:val="00ED31B8"/>
    <w:rsid w:val="00EE6488"/>
    <w:rsid w:val="00EF056B"/>
    <w:rsid w:val="00F021FA"/>
    <w:rsid w:val="00F045FB"/>
    <w:rsid w:val="00F13E47"/>
    <w:rsid w:val="00F62E97"/>
    <w:rsid w:val="00F64209"/>
    <w:rsid w:val="00F93BF5"/>
    <w:rsid w:val="00FB619F"/>
    <w:rsid w:val="00FC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8FD"/>
    <w:pPr>
      <w:widowControl w:val="0"/>
    </w:pPr>
    <w:rPr>
      <w:snapToGrid w:val="0"/>
      <w:kern w:val="28"/>
      <w:sz w:val="22"/>
    </w:rPr>
  </w:style>
  <w:style w:type="paragraph" w:styleId="Heading1">
    <w:name w:val="heading 1"/>
    <w:basedOn w:val="Normal"/>
    <w:next w:val="ParaNum"/>
    <w:qFormat/>
    <w:rsid w:val="006318F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18FD"/>
    <w:pPr>
      <w:keepNext/>
      <w:numPr>
        <w:ilvl w:val="1"/>
        <w:numId w:val="3"/>
      </w:numPr>
      <w:spacing w:after="120"/>
      <w:outlineLvl w:val="1"/>
    </w:pPr>
    <w:rPr>
      <w:b/>
    </w:rPr>
  </w:style>
  <w:style w:type="paragraph" w:styleId="Heading3">
    <w:name w:val="heading 3"/>
    <w:basedOn w:val="Normal"/>
    <w:next w:val="ParaNum"/>
    <w:qFormat/>
    <w:rsid w:val="006318FD"/>
    <w:pPr>
      <w:keepNext/>
      <w:numPr>
        <w:ilvl w:val="2"/>
        <w:numId w:val="3"/>
      </w:numPr>
      <w:tabs>
        <w:tab w:val="left" w:pos="2160"/>
      </w:tabs>
      <w:spacing w:after="120"/>
      <w:outlineLvl w:val="2"/>
    </w:pPr>
    <w:rPr>
      <w:b/>
    </w:rPr>
  </w:style>
  <w:style w:type="paragraph" w:styleId="Heading4">
    <w:name w:val="heading 4"/>
    <w:basedOn w:val="Normal"/>
    <w:next w:val="ParaNum"/>
    <w:qFormat/>
    <w:rsid w:val="006318FD"/>
    <w:pPr>
      <w:keepNext/>
      <w:numPr>
        <w:ilvl w:val="3"/>
        <w:numId w:val="3"/>
      </w:numPr>
      <w:tabs>
        <w:tab w:val="left" w:pos="2880"/>
      </w:tabs>
      <w:spacing w:after="120"/>
      <w:outlineLvl w:val="3"/>
    </w:pPr>
    <w:rPr>
      <w:b/>
    </w:rPr>
  </w:style>
  <w:style w:type="paragraph" w:styleId="Heading5">
    <w:name w:val="heading 5"/>
    <w:basedOn w:val="Normal"/>
    <w:next w:val="ParaNum"/>
    <w:qFormat/>
    <w:rsid w:val="006318F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318FD"/>
    <w:pPr>
      <w:numPr>
        <w:ilvl w:val="5"/>
        <w:numId w:val="3"/>
      </w:numPr>
      <w:tabs>
        <w:tab w:val="left" w:pos="4320"/>
      </w:tabs>
      <w:spacing w:after="120"/>
      <w:outlineLvl w:val="5"/>
    </w:pPr>
    <w:rPr>
      <w:b/>
    </w:rPr>
  </w:style>
  <w:style w:type="paragraph" w:styleId="Heading7">
    <w:name w:val="heading 7"/>
    <w:basedOn w:val="Normal"/>
    <w:next w:val="ParaNum"/>
    <w:qFormat/>
    <w:rsid w:val="006318F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318F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318F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18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18FD"/>
  </w:style>
  <w:style w:type="paragraph" w:customStyle="1" w:styleId="ParaNum">
    <w:name w:val="ParaNum"/>
    <w:basedOn w:val="Normal"/>
    <w:rsid w:val="006318FD"/>
    <w:pPr>
      <w:numPr>
        <w:numId w:val="2"/>
      </w:numPr>
      <w:tabs>
        <w:tab w:val="clear" w:pos="1080"/>
        <w:tab w:val="num" w:pos="1440"/>
      </w:tabs>
      <w:spacing w:after="120"/>
    </w:pPr>
  </w:style>
  <w:style w:type="paragraph" w:styleId="EndnoteText">
    <w:name w:val="endnote text"/>
    <w:basedOn w:val="Normal"/>
    <w:semiHidden/>
    <w:rsid w:val="006318FD"/>
    <w:rPr>
      <w:sz w:val="20"/>
    </w:rPr>
  </w:style>
  <w:style w:type="character" w:styleId="EndnoteReference">
    <w:name w:val="endnote reference"/>
    <w:semiHidden/>
    <w:rsid w:val="006318FD"/>
    <w:rPr>
      <w:vertAlign w:val="superscript"/>
    </w:rPr>
  </w:style>
  <w:style w:type="paragraph" w:styleId="FootnoteText">
    <w:name w:val="footnote text"/>
    <w:link w:val="FootnoteTextChar"/>
    <w:rsid w:val="006318FD"/>
    <w:pPr>
      <w:spacing w:after="120"/>
    </w:pPr>
  </w:style>
  <w:style w:type="character" w:styleId="FootnoteReference">
    <w:name w:val="footnote reference"/>
    <w:rsid w:val="006318FD"/>
    <w:rPr>
      <w:rFonts w:ascii="Times New Roman" w:hAnsi="Times New Roman"/>
      <w:dstrike w:val="0"/>
      <w:color w:val="auto"/>
      <w:sz w:val="20"/>
      <w:vertAlign w:val="superscript"/>
    </w:rPr>
  </w:style>
  <w:style w:type="paragraph" w:styleId="TOC1">
    <w:name w:val="toc 1"/>
    <w:basedOn w:val="Normal"/>
    <w:next w:val="Normal"/>
    <w:semiHidden/>
    <w:rsid w:val="006318F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18FD"/>
    <w:pPr>
      <w:tabs>
        <w:tab w:val="left" w:pos="720"/>
        <w:tab w:val="right" w:leader="dot" w:pos="9360"/>
      </w:tabs>
      <w:suppressAutoHyphens/>
      <w:ind w:left="720" w:right="720" w:hanging="360"/>
    </w:pPr>
    <w:rPr>
      <w:noProof/>
    </w:rPr>
  </w:style>
  <w:style w:type="paragraph" w:styleId="TOC3">
    <w:name w:val="toc 3"/>
    <w:basedOn w:val="Normal"/>
    <w:next w:val="Normal"/>
    <w:semiHidden/>
    <w:rsid w:val="006318F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18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18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18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18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18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18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18FD"/>
    <w:pPr>
      <w:tabs>
        <w:tab w:val="right" w:pos="9360"/>
      </w:tabs>
      <w:suppressAutoHyphens/>
    </w:pPr>
  </w:style>
  <w:style w:type="character" w:customStyle="1" w:styleId="EquationCaption">
    <w:name w:val="_Equation Caption"/>
    <w:rsid w:val="006318FD"/>
  </w:style>
  <w:style w:type="paragraph" w:styleId="Header">
    <w:name w:val="header"/>
    <w:basedOn w:val="Normal"/>
    <w:autoRedefine/>
    <w:rsid w:val="006318FD"/>
    <w:pPr>
      <w:tabs>
        <w:tab w:val="center" w:pos="4680"/>
        <w:tab w:val="right" w:pos="9360"/>
      </w:tabs>
    </w:pPr>
    <w:rPr>
      <w:b/>
    </w:rPr>
  </w:style>
  <w:style w:type="paragraph" w:styleId="Footer">
    <w:name w:val="footer"/>
    <w:basedOn w:val="Normal"/>
    <w:rsid w:val="006318FD"/>
    <w:pPr>
      <w:tabs>
        <w:tab w:val="center" w:pos="4320"/>
        <w:tab w:val="right" w:pos="8640"/>
      </w:tabs>
    </w:pPr>
  </w:style>
  <w:style w:type="character" w:styleId="PageNumber">
    <w:name w:val="page number"/>
    <w:basedOn w:val="DefaultParagraphFont"/>
    <w:rsid w:val="006318FD"/>
  </w:style>
  <w:style w:type="paragraph" w:styleId="BlockText">
    <w:name w:val="Block Text"/>
    <w:basedOn w:val="Normal"/>
    <w:rsid w:val="006318FD"/>
    <w:pPr>
      <w:spacing w:after="240"/>
      <w:ind w:left="1440" w:right="1440"/>
    </w:pPr>
  </w:style>
  <w:style w:type="paragraph" w:customStyle="1" w:styleId="Paratitle">
    <w:name w:val="Para title"/>
    <w:basedOn w:val="Normal"/>
    <w:rsid w:val="006318FD"/>
    <w:pPr>
      <w:tabs>
        <w:tab w:val="center" w:pos="9270"/>
      </w:tabs>
      <w:spacing w:after="240"/>
    </w:pPr>
    <w:rPr>
      <w:spacing w:val="-2"/>
    </w:rPr>
  </w:style>
  <w:style w:type="paragraph" w:customStyle="1" w:styleId="Bullet">
    <w:name w:val="Bullet"/>
    <w:basedOn w:val="Normal"/>
    <w:rsid w:val="006318FD"/>
    <w:pPr>
      <w:tabs>
        <w:tab w:val="left" w:pos="2160"/>
      </w:tabs>
      <w:spacing w:after="220"/>
      <w:ind w:left="2160" w:hanging="720"/>
    </w:pPr>
  </w:style>
  <w:style w:type="paragraph" w:customStyle="1" w:styleId="TableFormat">
    <w:name w:val="TableFormat"/>
    <w:basedOn w:val="Bullet"/>
    <w:rsid w:val="006318FD"/>
    <w:pPr>
      <w:tabs>
        <w:tab w:val="clear" w:pos="2160"/>
        <w:tab w:val="left" w:pos="5040"/>
      </w:tabs>
      <w:ind w:left="5040" w:hanging="3600"/>
    </w:pPr>
  </w:style>
  <w:style w:type="paragraph" w:customStyle="1" w:styleId="TOCTitle">
    <w:name w:val="TOC Title"/>
    <w:basedOn w:val="Normal"/>
    <w:rsid w:val="006318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18FD"/>
    <w:pPr>
      <w:jc w:val="center"/>
    </w:pPr>
    <w:rPr>
      <w:rFonts w:ascii="Times New Roman Bold" w:hAnsi="Times New Roman Bold"/>
      <w:b/>
      <w:bCs/>
      <w:caps/>
      <w:szCs w:val="22"/>
    </w:rPr>
  </w:style>
  <w:style w:type="character" w:styleId="Hyperlink">
    <w:name w:val="Hyperlink"/>
    <w:rsid w:val="006318FD"/>
    <w:rPr>
      <w:color w:val="0000FF"/>
      <w:u w:val="single"/>
    </w:rPr>
  </w:style>
  <w:style w:type="paragraph" w:styleId="BalloonText">
    <w:name w:val="Balloon Text"/>
    <w:basedOn w:val="Normal"/>
    <w:link w:val="BalloonTextChar"/>
    <w:rsid w:val="001C6F9E"/>
    <w:rPr>
      <w:rFonts w:ascii="Tahoma" w:hAnsi="Tahoma" w:cs="Tahoma"/>
      <w:sz w:val="16"/>
      <w:szCs w:val="16"/>
    </w:rPr>
  </w:style>
  <w:style w:type="character" w:customStyle="1" w:styleId="BalloonTextChar">
    <w:name w:val="Balloon Text Char"/>
    <w:basedOn w:val="DefaultParagraphFont"/>
    <w:link w:val="BalloonText"/>
    <w:rsid w:val="001C6F9E"/>
    <w:rPr>
      <w:rFonts w:ascii="Tahoma" w:hAnsi="Tahoma" w:cs="Tahoma"/>
      <w:snapToGrid w:val="0"/>
      <w:kern w:val="28"/>
      <w:sz w:val="16"/>
      <w:szCs w:val="16"/>
    </w:rPr>
  </w:style>
  <w:style w:type="character" w:customStyle="1" w:styleId="FootnoteTextChar">
    <w:name w:val="Footnote Text Char"/>
    <w:basedOn w:val="DefaultParagraphFont"/>
    <w:link w:val="FootnoteText"/>
    <w:rsid w:val="00C5598C"/>
  </w:style>
  <w:style w:type="paragraph" w:styleId="BodyText">
    <w:name w:val="Body Text"/>
    <w:basedOn w:val="Normal"/>
    <w:link w:val="BodyTextChar"/>
    <w:rsid w:val="00C5598C"/>
    <w:pPr>
      <w:spacing w:after="120"/>
    </w:pPr>
  </w:style>
  <w:style w:type="character" w:customStyle="1" w:styleId="BodyTextChar">
    <w:name w:val="Body Text Char"/>
    <w:basedOn w:val="DefaultParagraphFont"/>
    <w:link w:val="BodyText"/>
    <w:rsid w:val="00C5598C"/>
    <w:rPr>
      <w:snapToGrid w:val="0"/>
      <w:kern w:val="28"/>
      <w:sz w:val="22"/>
    </w:rPr>
  </w:style>
  <w:style w:type="character" w:customStyle="1" w:styleId="displayhltextactive">
    <w:name w:val="display_hl_text_active"/>
    <w:basedOn w:val="DefaultParagraphFont"/>
    <w:rsid w:val="00B00AB9"/>
  </w:style>
  <w:style w:type="character" w:styleId="CommentReference">
    <w:name w:val="annotation reference"/>
    <w:basedOn w:val="DefaultParagraphFont"/>
    <w:rsid w:val="004B79E1"/>
    <w:rPr>
      <w:sz w:val="16"/>
      <w:szCs w:val="16"/>
    </w:rPr>
  </w:style>
  <w:style w:type="paragraph" w:styleId="CommentText">
    <w:name w:val="annotation text"/>
    <w:basedOn w:val="Normal"/>
    <w:link w:val="CommentTextChar"/>
    <w:rsid w:val="004B79E1"/>
    <w:rPr>
      <w:sz w:val="20"/>
    </w:rPr>
  </w:style>
  <w:style w:type="character" w:customStyle="1" w:styleId="CommentTextChar">
    <w:name w:val="Comment Text Char"/>
    <w:basedOn w:val="DefaultParagraphFont"/>
    <w:link w:val="CommentText"/>
    <w:rsid w:val="004B79E1"/>
    <w:rPr>
      <w:snapToGrid w:val="0"/>
      <w:kern w:val="28"/>
    </w:rPr>
  </w:style>
  <w:style w:type="paragraph" w:styleId="CommentSubject">
    <w:name w:val="annotation subject"/>
    <w:basedOn w:val="CommentText"/>
    <w:next w:val="CommentText"/>
    <w:link w:val="CommentSubjectChar"/>
    <w:rsid w:val="004B79E1"/>
    <w:rPr>
      <w:b/>
      <w:bCs/>
    </w:rPr>
  </w:style>
  <w:style w:type="character" w:customStyle="1" w:styleId="CommentSubjectChar">
    <w:name w:val="Comment Subject Char"/>
    <w:basedOn w:val="CommentTextChar"/>
    <w:link w:val="CommentSubject"/>
    <w:rsid w:val="004B79E1"/>
    <w:rPr>
      <w:b/>
      <w:bCs/>
      <w:snapToGrid w:val="0"/>
      <w:kern w:val="28"/>
    </w:rPr>
  </w:style>
  <w:style w:type="paragraph" w:styleId="ListParagraph">
    <w:name w:val="List Paragraph"/>
    <w:basedOn w:val="Normal"/>
    <w:uiPriority w:val="34"/>
    <w:qFormat/>
    <w:rsid w:val="00FB6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8FD"/>
    <w:pPr>
      <w:widowControl w:val="0"/>
    </w:pPr>
    <w:rPr>
      <w:snapToGrid w:val="0"/>
      <w:kern w:val="28"/>
      <w:sz w:val="22"/>
    </w:rPr>
  </w:style>
  <w:style w:type="paragraph" w:styleId="Heading1">
    <w:name w:val="heading 1"/>
    <w:basedOn w:val="Normal"/>
    <w:next w:val="ParaNum"/>
    <w:qFormat/>
    <w:rsid w:val="006318F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18FD"/>
    <w:pPr>
      <w:keepNext/>
      <w:numPr>
        <w:ilvl w:val="1"/>
        <w:numId w:val="3"/>
      </w:numPr>
      <w:spacing w:after="120"/>
      <w:outlineLvl w:val="1"/>
    </w:pPr>
    <w:rPr>
      <w:b/>
    </w:rPr>
  </w:style>
  <w:style w:type="paragraph" w:styleId="Heading3">
    <w:name w:val="heading 3"/>
    <w:basedOn w:val="Normal"/>
    <w:next w:val="ParaNum"/>
    <w:qFormat/>
    <w:rsid w:val="006318FD"/>
    <w:pPr>
      <w:keepNext/>
      <w:numPr>
        <w:ilvl w:val="2"/>
        <w:numId w:val="3"/>
      </w:numPr>
      <w:tabs>
        <w:tab w:val="left" w:pos="2160"/>
      </w:tabs>
      <w:spacing w:after="120"/>
      <w:outlineLvl w:val="2"/>
    </w:pPr>
    <w:rPr>
      <w:b/>
    </w:rPr>
  </w:style>
  <w:style w:type="paragraph" w:styleId="Heading4">
    <w:name w:val="heading 4"/>
    <w:basedOn w:val="Normal"/>
    <w:next w:val="ParaNum"/>
    <w:qFormat/>
    <w:rsid w:val="006318FD"/>
    <w:pPr>
      <w:keepNext/>
      <w:numPr>
        <w:ilvl w:val="3"/>
        <w:numId w:val="3"/>
      </w:numPr>
      <w:tabs>
        <w:tab w:val="left" w:pos="2880"/>
      </w:tabs>
      <w:spacing w:after="120"/>
      <w:outlineLvl w:val="3"/>
    </w:pPr>
    <w:rPr>
      <w:b/>
    </w:rPr>
  </w:style>
  <w:style w:type="paragraph" w:styleId="Heading5">
    <w:name w:val="heading 5"/>
    <w:basedOn w:val="Normal"/>
    <w:next w:val="ParaNum"/>
    <w:qFormat/>
    <w:rsid w:val="006318F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318FD"/>
    <w:pPr>
      <w:numPr>
        <w:ilvl w:val="5"/>
        <w:numId w:val="3"/>
      </w:numPr>
      <w:tabs>
        <w:tab w:val="left" w:pos="4320"/>
      </w:tabs>
      <w:spacing w:after="120"/>
      <w:outlineLvl w:val="5"/>
    </w:pPr>
    <w:rPr>
      <w:b/>
    </w:rPr>
  </w:style>
  <w:style w:type="paragraph" w:styleId="Heading7">
    <w:name w:val="heading 7"/>
    <w:basedOn w:val="Normal"/>
    <w:next w:val="ParaNum"/>
    <w:qFormat/>
    <w:rsid w:val="006318F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318F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318F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18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18FD"/>
  </w:style>
  <w:style w:type="paragraph" w:customStyle="1" w:styleId="ParaNum">
    <w:name w:val="ParaNum"/>
    <w:basedOn w:val="Normal"/>
    <w:rsid w:val="006318FD"/>
    <w:pPr>
      <w:numPr>
        <w:numId w:val="2"/>
      </w:numPr>
      <w:tabs>
        <w:tab w:val="clear" w:pos="1080"/>
        <w:tab w:val="num" w:pos="1440"/>
      </w:tabs>
      <w:spacing w:after="120"/>
    </w:pPr>
  </w:style>
  <w:style w:type="paragraph" w:styleId="EndnoteText">
    <w:name w:val="endnote text"/>
    <w:basedOn w:val="Normal"/>
    <w:semiHidden/>
    <w:rsid w:val="006318FD"/>
    <w:rPr>
      <w:sz w:val="20"/>
    </w:rPr>
  </w:style>
  <w:style w:type="character" w:styleId="EndnoteReference">
    <w:name w:val="endnote reference"/>
    <w:semiHidden/>
    <w:rsid w:val="006318FD"/>
    <w:rPr>
      <w:vertAlign w:val="superscript"/>
    </w:rPr>
  </w:style>
  <w:style w:type="paragraph" w:styleId="FootnoteText">
    <w:name w:val="footnote text"/>
    <w:link w:val="FootnoteTextChar"/>
    <w:rsid w:val="006318FD"/>
    <w:pPr>
      <w:spacing w:after="120"/>
    </w:pPr>
  </w:style>
  <w:style w:type="character" w:styleId="FootnoteReference">
    <w:name w:val="footnote reference"/>
    <w:rsid w:val="006318FD"/>
    <w:rPr>
      <w:rFonts w:ascii="Times New Roman" w:hAnsi="Times New Roman"/>
      <w:dstrike w:val="0"/>
      <w:color w:val="auto"/>
      <w:sz w:val="20"/>
      <w:vertAlign w:val="superscript"/>
    </w:rPr>
  </w:style>
  <w:style w:type="paragraph" w:styleId="TOC1">
    <w:name w:val="toc 1"/>
    <w:basedOn w:val="Normal"/>
    <w:next w:val="Normal"/>
    <w:semiHidden/>
    <w:rsid w:val="006318F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18FD"/>
    <w:pPr>
      <w:tabs>
        <w:tab w:val="left" w:pos="720"/>
        <w:tab w:val="right" w:leader="dot" w:pos="9360"/>
      </w:tabs>
      <w:suppressAutoHyphens/>
      <w:ind w:left="720" w:right="720" w:hanging="360"/>
    </w:pPr>
    <w:rPr>
      <w:noProof/>
    </w:rPr>
  </w:style>
  <w:style w:type="paragraph" w:styleId="TOC3">
    <w:name w:val="toc 3"/>
    <w:basedOn w:val="Normal"/>
    <w:next w:val="Normal"/>
    <w:semiHidden/>
    <w:rsid w:val="006318F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18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18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18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18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18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18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18FD"/>
    <w:pPr>
      <w:tabs>
        <w:tab w:val="right" w:pos="9360"/>
      </w:tabs>
      <w:suppressAutoHyphens/>
    </w:pPr>
  </w:style>
  <w:style w:type="character" w:customStyle="1" w:styleId="EquationCaption">
    <w:name w:val="_Equation Caption"/>
    <w:rsid w:val="006318FD"/>
  </w:style>
  <w:style w:type="paragraph" w:styleId="Header">
    <w:name w:val="header"/>
    <w:basedOn w:val="Normal"/>
    <w:autoRedefine/>
    <w:rsid w:val="006318FD"/>
    <w:pPr>
      <w:tabs>
        <w:tab w:val="center" w:pos="4680"/>
        <w:tab w:val="right" w:pos="9360"/>
      </w:tabs>
    </w:pPr>
    <w:rPr>
      <w:b/>
    </w:rPr>
  </w:style>
  <w:style w:type="paragraph" w:styleId="Footer">
    <w:name w:val="footer"/>
    <w:basedOn w:val="Normal"/>
    <w:rsid w:val="006318FD"/>
    <w:pPr>
      <w:tabs>
        <w:tab w:val="center" w:pos="4320"/>
        <w:tab w:val="right" w:pos="8640"/>
      </w:tabs>
    </w:pPr>
  </w:style>
  <w:style w:type="character" w:styleId="PageNumber">
    <w:name w:val="page number"/>
    <w:basedOn w:val="DefaultParagraphFont"/>
    <w:rsid w:val="006318FD"/>
  </w:style>
  <w:style w:type="paragraph" w:styleId="BlockText">
    <w:name w:val="Block Text"/>
    <w:basedOn w:val="Normal"/>
    <w:rsid w:val="006318FD"/>
    <w:pPr>
      <w:spacing w:after="240"/>
      <w:ind w:left="1440" w:right="1440"/>
    </w:pPr>
  </w:style>
  <w:style w:type="paragraph" w:customStyle="1" w:styleId="Paratitle">
    <w:name w:val="Para title"/>
    <w:basedOn w:val="Normal"/>
    <w:rsid w:val="006318FD"/>
    <w:pPr>
      <w:tabs>
        <w:tab w:val="center" w:pos="9270"/>
      </w:tabs>
      <w:spacing w:after="240"/>
    </w:pPr>
    <w:rPr>
      <w:spacing w:val="-2"/>
    </w:rPr>
  </w:style>
  <w:style w:type="paragraph" w:customStyle="1" w:styleId="Bullet">
    <w:name w:val="Bullet"/>
    <w:basedOn w:val="Normal"/>
    <w:rsid w:val="006318FD"/>
    <w:pPr>
      <w:tabs>
        <w:tab w:val="left" w:pos="2160"/>
      </w:tabs>
      <w:spacing w:after="220"/>
      <w:ind w:left="2160" w:hanging="720"/>
    </w:pPr>
  </w:style>
  <w:style w:type="paragraph" w:customStyle="1" w:styleId="TableFormat">
    <w:name w:val="TableFormat"/>
    <w:basedOn w:val="Bullet"/>
    <w:rsid w:val="006318FD"/>
    <w:pPr>
      <w:tabs>
        <w:tab w:val="clear" w:pos="2160"/>
        <w:tab w:val="left" w:pos="5040"/>
      </w:tabs>
      <w:ind w:left="5040" w:hanging="3600"/>
    </w:pPr>
  </w:style>
  <w:style w:type="paragraph" w:customStyle="1" w:styleId="TOCTitle">
    <w:name w:val="TOC Title"/>
    <w:basedOn w:val="Normal"/>
    <w:rsid w:val="006318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18FD"/>
    <w:pPr>
      <w:jc w:val="center"/>
    </w:pPr>
    <w:rPr>
      <w:rFonts w:ascii="Times New Roman Bold" w:hAnsi="Times New Roman Bold"/>
      <w:b/>
      <w:bCs/>
      <w:caps/>
      <w:szCs w:val="22"/>
    </w:rPr>
  </w:style>
  <w:style w:type="character" w:styleId="Hyperlink">
    <w:name w:val="Hyperlink"/>
    <w:rsid w:val="006318FD"/>
    <w:rPr>
      <w:color w:val="0000FF"/>
      <w:u w:val="single"/>
    </w:rPr>
  </w:style>
  <w:style w:type="paragraph" w:styleId="BalloonText">
    <w:name w:val="Balloon Text"/>
    <w:basedOn w:val="Normal"/>
    <w:link w:val="BalloonTextChar"/>
    <w:rsid w:val="001C6F9E"/>
    <w:rPr>
      <w:rFonts w:ascii="Tahoma" w:hAnsi="Tahoma" w:cs="Tahoma"/>
      <w:sz w:val="16"/>
      <w:szCs w:val="16"/>
    </w:rPr>
  </w:style>
  <w:style w:type="character" w:customStyle="1" w:styleId="BalloonTextChar">
    <w:name w:val="Balloon Text Char"/>
    <w:basedOn w:val="DefaultParagraphFont"/>
    <w:link w:val="BalloonText"/>
    <w:rsid w:val="001C6F9E"/>
    <w:rPr>
      <w:rFonts w:ascii="Tahoma" w:hAnsi="Tahoma" w:cs="Tahoma"/>
      <w:snapToGrid w:val="0"/>
      <w:kern w:val="28"/>
      <w:sz w:val="16"/>
      <w:szCs w:val="16"/>
    </w:rPr>
  </w:style>
  <w:style w:type="character" w:customStyle="1" w:styleId="FootnoteTextChar">
    <w:name w:val="Footnote Text Char"/>
    <w:basedOn w:val="DefaultParagraphFont"/>
    <w:link w:val="FootnoteText"/>
    <w:rsid w:val="00C5598C"/>
  </w:style>
  <w:style w:type="paragraph" w:styleId="BodyText">
    <w:name w:val="Body Text"/>
    <w:basedOn w:val="Normal"/>
    <w:link w:val="BodyTextChar"/>
    <w:rsid w:val="00C5598C"/>
    <w:pPr>
      <w:spacing w:after="120"/>
    </w:pPr>
  </w:style>
  <w:style w:type="character" w:customStyle="1" w:styleId="BodyTextChar">
    <w:name w:val="Body Text Char"/>
    <w:basedOn w:val="DefaultParagraphFont"/>
    <w:link w:val="BodyText"/>
    <w:rsid w:val="00C5598C"/>
    <w:rPr>
      <w:snapToGrid w:val="0"/>
      <w:kern w:val="28"/>
      <w:sz w:val="22"/>
    </w:rPr>
  </w:style>
  <w:style w:type="character" w:customStyle="1" w:styleId="displayhltextactive">
    <w:name w:val="display_hl_text_active"/>
    <w:basedOn w:val="DefaultParagraphFont"/>
    <w:rsid w:val="00B00AB9"/>
  </w:style>
  <w:style w:type="character" w:styleId="CommentReference">
    <w:name w:val="annotation reference"/>
    <w:basedOn w:val="DefaultParagraphFont"/>
    <w:rsid w:val="004B79E1"/>
    <w:rPr>
      <w:sz w:val="16"/>
      <w:szCs w:val="16"/>
    </w:rPr>
  </w:style>
  <w:style w:type="paragraph" w:styleId="CommentText">
    <w:name w:val="annotation text"/>
    <w:basedOn w:val="Normal"/>
    <w:link w:val="CommentTextChar"/>
    <w:rsid w:val="004B79E1"/>
    <w:rPr>
      <w:sz w:val="20"/>
    </w:rPr>
  </w:style>
  <w:style w:type="character" w:customStyle="1" w:styleId="CommentTextChar">
    <w:name w:val="Comment Text Char"/>
    <w:basedOn w:val="DefaultParagraphFont"/>
    <w:link w:val="CommentText"/>
    <w:rsid w:val="004B79E1"/>
    <w:rPr>
      <w:snapToGrid w:val="0"/>
      <w:kern w:val="28"/>
    </w:rPr>
  </w:style>
  <w:style w:type="paragraph" w:styleId="CommentSubject">
    <w:name w:val="annotation subject"/>
    <w:basedOn w:val="CommentText"/>
    <w:next w:val="CommentText"/>
    <w:link w:val="CommentSubjectChar"/>
    <w:rsid w:val="004B79E1"/>
    <w:rPr>
      <w:b/>
      <w:bCs/>
    </w:rPr>
  </w:style>
  <w:style w:type="character" w:customStyle="1" w:styleId="CommentSubjectChar">
    <w:name w:val="Comment Subject Char"/>
    <w:basedOn w:val="CommentTextChar"/>
    <w:link w:val="CommentSubject"/>
    <w:rsid w:val="004B79E1"/>
    <w:rPr>
      <w:b/>
      <w:bCs/>
      <w:snapToGrid w:val="0"/>
      <w:kern w:val="28"/>
    </w:rPr>
  </w:style>
  <w:style w:type="paragraph" w:styleId="ListParagraph">
    <w:name w:val="List Paragraph"/>
    <w:basedOn w:val="Normal"/>
    <w:uiPriority w:val="34"/>
    <w:qFormat/>
    <w:rsid w:val="00FB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prev_hit(3)" TargetMode="External"/><Relationship Id="rId13" Type="http://schemas.openxmlformats.org/officeDocument/2006/relationships/hyperlink" Target="javascript:top.docjs.prev_hit(5)"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javascript:top.docjs.next_hit(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avascript:top.docjs.next_hit(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top.docjs.prev_hit(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op.docjs.prev_hit(6)" TargetMode="External"/><Relationship Id="rId23" Type="http://schemas.openxmlformats.org/officeDocument/2006/relationships/fontTable" Target="fontTable.xml"/><Relationship Id="rId10" Type="http://schemas.openxmlformats.org/officeDocument/2006/relationships/hyperlink" Target="javascript:top.docjs.next_hit(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top.docjs.next_hit(5)"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javascript:top.docjs.next_hit(6)" TargetMode="External"/><Relationship Id="rId3" Type="http://schemas.openxmlformats.org/officeDocument/2006/relationships/hyperlink" Target="javascript:top.docjs.next_hit(1)" TargetMode="External"/><Relationship Id="rId7" Type="http://schemas.openxmlformats.org/officeDocument/2006/relationships/hyperlink" Target="javascript:top.docjs.next_hit(5)" TargetMode="External"/><Relationship Id="rId2" Type="http://schemas.openxmlformats.org/officeDocument/2006/relationships/image" Target="media/image1.gif"/><Relationship Id="rId1" Type="http://schemas.openxmlformats.org/officeDocument/2006/relationships/hyperlink" Target="javascript:top.docjs.no_prev_doc_in_search_results()" TargetMode="External"/><Relationship Id="rId6" Type="http://schemas.openxmlformats.org/officeDocument/2006/relationships/hyperlink" Target="javascript:top.docjs.prev_hit(5)" TargetMode="External"/><Relationship Id="rId5" Type="http://schemas.openxmlformats.org/officeDocument/2006/relationships/hyperlink" Target="javascript:top.docjs.next_hit(3)" TargetMode="External"/><Relationship Id="rId10" Type="http://schemas.openxmlformats.org/officeDocument/2006/relationships/hyperlink" Target="javascript:top.docjs.next_hit(2)" TargetMode="External"/><Relationship Id="rId4" Type="http://schemas.openxmlformats.org/officeDocument/2006/relationships/hyperlink" Target="javascript:top.docjs.prev_hit(3)" TargetMode="External"/><Relationship Id="rId9" Type="http://schemas.openxmlformats.org/officeDocument/2006/relationships/hyperlink" Target="javascript:top.docjs.prev_hit(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873</Words>
  <Characters>4647</Characters>
  <Application>Microsoft Office Word</Application>
  <DocSecurity>0</DocSecurity>
  <Lines>98</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2014-08-07T14:00:00Z</dcterms:created>
  <dcterms:modified xsi:type="dcterms:W3CDTF">2014-08-07T14:00:00Z</dcterms:modified>
  <cp:category> </cp:category>
  <cp:contentStatus> </cp:contentStatus>
</cp:coreProperties>
</file>