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E4D6" w14:textId="77777777" w:rsidR="005F7890" w:rsidRPr="008C479A" w:rsidRDefault="005F7890" w:rsidP="005F7890">
      <w:pPr>
        <w:jc w:val="center"/>
        <w:rPr>
          <w:b/>
          <w:szCs w:val="22"/>
        </w:rPr>
      </w:pPr>
      <w:bookmarkStart w:id="0" w:name="_GoBack"/>
      <w:bookmarkEnd w:id="0"/>
      <w:r w:rsidRPr="008C479A">
        <w:rPr>
          <w:b/>
          <w:szCs w:val="22"/>
        </w:rPr>
        <w:t>Before the</w:t>
      </w:r>
    </w:p>
    <w:p w14:paraId="1CEBB265" w14:textId="77777777" w:rsidR="005F7890" w:rsidRPr="008C479A" w:rsidRDefault="005F7890" w:rsidP="005F7890">
      <w:pPr>
        <w:jc w:val="center"/>
        <w:rPr>
          <w:b/>
          <w:szCs w:val="22"/>
        </w:rPr>
      </w:pPr>
      <w:r w:rsidRPr="008C479A">
        <w:rPr>
          <w:b/>
          <w:szCs w:val="22"/>
        </w:rPr>
        <w:t>Federal Communications Commission</w:t>
      </w:r>
    </w:p>
    <w:p w14:paraId="19279F91" w14:textId="77777777" w:rsidR="005F7890" w:rsidRPr="008C479A" w:rsidRDefault="005F7890" w:rsidP="005F7890">
      <w:pPr>
        <w:jc w:val="center"/>
        <w:rPr>
          <w:b/>
          <w:szCs w:val="22"/>
        </w:rPr>
      </w:pPr>
      <w:r w:rsidRPr="008C479A">
        <w:rPr>
          <w:b/>
          <w:szCs w:val="22"/>
        </w:rPr>
        <w:t>Washington, D.C. 20554</w:t>
      </w:r>
    </w:p>
    <w:p w14:paraId="20212D1C" w14:textId="77777777" w:rsidR="005F7890" w:rsidRPr="008C479A" w:rsidRDefault="005F7890" w:rsidP="005F7890">
      <w:pPr>
        <w:rPr>
          <w:szCs w:val="22"/>
        </w:rPr>
      </w:pPr>
    </w:p>
    <w:p w14:paraId="33CC3DD3" w14:textId="77777777" w:rsidR="005F7890" w:rsidRPr="008C479A" w:rsidRDefault="005F7890" w:rsidP="005F7890">
      <w:pPr>
        <w:rPr>
          <w:szCs w:val="22"/>
        </w:rPr>
      </w:pPr>
    </w:p>
    <w:tbl>
      <w:tblPr>
        <w:tblW w:w="0" w:type="auto"/>
        <w:tblLayout w:type="fixed"/>
        <w:tblLook w:val="0000" w:firstRow="0" w:lastRow="0" w:firstColumn="0" w:lastColumn="0" w:noHBand="0" w:noVBand="0"/>
      </w:tblPr>
      <w:tblGrid>
        <w:gridCol w:w="4698"/>
        <w:gridCol w:w="720"/>
        <w:gridCol w:w="4230"/>
      </w:tblGrid>
      <w:tr w:rsidR="005F7890" w:rsidRPr="008C479A" w14:paraId="5E58EC02" w14:textId="77777777">
        <w:tc>
          <w:tcPr>
            <w:tcW w:w="4698" w:type="dxa"/>
          </w:tcPr>
          <w:p w14:paraId="3D6C9966" w14:textId="77777777" w:rsidR="005F7890" w:rsidRPr="008C479A" w:rsidRDefault="007544DD" w:rsidP="004A3869">
            <w:pPr>
              <w:rPr>
                <w:szCs w:val="22"/>
              </w:rPr>
            </w:pPr>
            <w:r w:rsidRPr="008C479A">
              <w:rPr>
                <w:szCs w:val="22"/>
              </w:rPr>
              <w:t>In the M</w:t>
            </w:r>
            <w:r w:rsidR="005F7890" w:rsidRPr="008C479A">
              <w:rPr>
                <w:szCs w:val="22"/>
              </w:rPr>
              <w:t>atter of</w:t>
            </w:r>
          </w:p>
          <w:p w14:paraId="0A45BE6B" w14:textId="77777777" w:rsidR="005F7890" w:rsidRPr="008C479A" w:rsidRDefault="005F7890" w:rsidP="004A3869">
            <w:pPr>
              <w:rPr>
                <w:szCs w:val="22"/>
              </w:rPr>
            </w:pPr>
          </w:p>
          <w:p w14:paraId="30A6B29D" w14:textId="77777777" w:rsidR="00F879F7" w:rsidRPr="008C479A" w:rsidRDefault="00302BBE" w:rsidP="003E5042">
            <w:pPr>
              <w:rPr>
                <w:szCs w:val="22"/>
              </w:rPr>
            </w:pPr>
            <w:r w:rsidRPr="008C479A">
              <w:rPr>
                <w:szCs w:val="22"/>
              </w:rPr>
              <w:t xml:space="preserve">Federal State Joint Board on </w:t>
            </w:r>
          </w:p>
          <w:p w14:paraId="061EFD2B" w14:textId="77777777" w:rsidR="00302BBE" w:rsidRPr="008C479A" w:rsidRDefault="00577465" w:rsidP="003E5042">
            <w:pPr>
              <w:rPr>
                <w:szCs w:val="22"/>
              </w:rPr>
            </w:pPr>
            <w:r w:rsidRPr="008C479A">
              <w:rPr>
                <w:szCs w:val="22"/>
              </w:rPr>
              <w:t>Universal Se</w:t>
            </w:r>
            <w:r w:rsidR="00302BBE" w:rsidRPr="008C479A">
              <w:rPr>
                <w:szCs w:val="22"/>
              </w:rPr>
              <w:t>rvice</w:t>
            </w:r>
          </w:p>
          <w:p w14:paraId="6DE2FCB6" w14:textId="77777777" w:rsidR="00EA79E5" w:rsidRPr="008C479A" w:rsidRDefault="00EA79E5" w:rsidP="003E5042">
            <w:pPr>
              <w:rPr>
                <w:szCs w:val="22"/>
              </w:rPr>
            </w:pPr>
          </w:p>
          <w:p w14:paraId="3805C4C2" w14:textId="77777777" w:rsidR="00EA79E5" w:rsidRPr="008C479A" w:rsidRDefault="00EA79E5" w:rsidP="003E5042">
            <w:pPr>
              <w:rPr>
                <w:szCs w:val="22"/>
              </w:rPr>
            </w:pPr>
            <w:r w:rsidRPr="008C479A">
              <w:rPr>
                <w:szCs w:val="22"/>
              </w:rPr>
              <w:t>Universal Service Contribution Methodology</w:t>
            </w:r>
          </w:p>
          <w:p w14:paraId="505A1CDE" w14:textId="77777777" w:rsidR="00EA79E5" w:rsidRPr="008C479A" w:rsidRDefault="00EA79E5" w:rsidP="003E5042">
            <w:pPr>
              <w:rPr>
                <w:szCs w:val="22"/>
              </w:rPr>
            </w:pPr>
          </w:p>
          <w:p w14:paraId="2C125B0C" w14:textId="77777777" w:rsidR="00EA79E5" w:rsidRPr="008C479A" w:rsidRDefault="00EA79E5" w:rsidP="003E5042">
            <w:pPr>
              <w:rPr>
                <w:szCs w:val="22"/>
              </w:rPr>
            </w:pPr>
            <w:r w:rsidRPr="008C479A">
              <w:rPr>
                <w:szCs w:val="22"/>
              </w:rPr>
              <w:t>A National Broadband Plan For Our Future</w:t>
            </w:r>
          </w:p>
        </w:tc>
        <w:tc>
          <w:tcPr>
            <w:tcW w:w="720" w:type="dxa"/>
          </w:tcPr>
          <w:p w14:paraId="573BB280" w14:textId="77777777" w:rsidR="008450FB" w:rsidRPr="008C479A" w:rsidRDefault="00CB4C01" w:rsidP="001E2573">
            <w:pPr>
              <w:rPr>
                <w:szCs w:val="22"/>
              </w:rPr>
            </w:pPr>
            <w:r w:rsidRPr="008C479A">
              <w:rPr>
                <w:szCs w:val="22"/>
              </w:rPr>
              <w:t>)</w:t>
            </w:r>
          </w:p>
          <w:p w14:paraId="283BBBDB" w14:textId="77777777" w:rsidR="008450FB" w:rsidRPr="008C479A" w:rsidRDefault="008450FB" w:rsidP="008450FB">
            <w:pPr>
              <w:rPr>
                <w:szCs w:val="22"/>
              </w:rPr>
            </w:pPr>
            <w:r w:rsidRPr="008C479A">
              <w:rPr>
                <w:szCs w:val="22"/>
              </w:rPr>
              <w:t>)</w:t>
            </w:r>
          </w:p>
          <w:p w14:paraId="16A294DB" w14:textId="77777777" w:rsidR="005F7890" w:rsidRPr="008C479A" w:rsidRDefault="008450FB" w:rsidP="008450FB">
            <w:pPr>
              <w:rPr>
                <w:szCs w:val="22"/>
              </w:rPr>
            </w:pPr>
            <w:r w:rsidRPr="008C479A">
              <w:rPr>
                <w:szCs w:val="22"/>
              </w:rPr>
              <w:t>)</w:t>
            </w:r>
          </w:p>
          <w:p w14:paraId="7635564B" w14:textId="77777777" w:rsidR="008450FB" w:rsidRPr="008C479A" w:rsidRDefault="008450FB" w:rsidP="008450FB">
            <w:pPr>
              <w:rPr>
                <w:szCs w:val="22"/>
              </w:rPr>
            </w:pPr>
            <w:r w:rsidRPr="008C479A">
              <w:rPr>
                <w:szCs w:val="22"/>
              </w:rPr>
              <w:t>)</w:t>
            </w:r>
          </w:p>
          <w:p w14:paraId="773C790C" w14:textId="77777777" w:rsidR="00DF45FF" w:rsidRPr="008C479A" w:rsidRDefault="00EA79E5" w:rsidP="00EA79E5">
            <w:pPr>
              <w:rPr>
                <w:szCs w:val="22"/>
              </w:rPr>
            </w:pPr>
            <w:r w:rsidRPr="008C479A">
              <w:rPr>
                <w:szCs w:val="22"/>
              </w:rPr>
              <w:t>)</w:t>
            </w:r>
          </w:p>
          <w:p w14:paraId="65FCC0A9" w14:textId="77777777" w:rsidR="00EA79E5" w:rsidRPr="008C479A" w:rsidRDefault="00EA79E5" w:rsidP="00EA79E5">
            <w:pPr>
              <w:rPr>
                <w:szCs w:val="22"/>
              </w:rPr>
            </w:pPr>
            <w:r w:rsidRPr="008C479A">
              <w:rPr>
                <w:szCs w:val="22"/>
              </w:rPr>
              <w:t>)</w:t>
            </w:r>
          </w:p>
          <w:p w14:paraId="2C78049D" w14:textId="77777777" w:rsidR="00EA79E5" w:rsidRPr="008C479A" w:rsidRDefault="00EA79E5" w:rsidP="00EA79E5">
            <w:pPr>
              <w:rPr>
                <w:szCs w:val="22"/>
              </w:rPr>
            </w:pPr>
            <w:r w:rsidRPr="008C479A">
              <w:rPr>
                <w:szCs w:val="22"/>
              </w:rPr>
              <w:t>)</w:t>
            </w:r>
          </w:p>
          <w:p w14:paraId="1355C01F" w14:textId="77777777" w:rsidR="00DF45FF" w:rsidRPr="008C479A" w:rsidRDefault="00EA79E5" w:rsidP="006F7E8B">
            <w:pPr>
              <w:rPr>
                <w:szCs w:val="22"/>
              </w:rPr>
            </w:pPr>
            <w:r w:rsidRPr="008C479A">
              <w:rPr>
                <w:szCs w:val="22"/>
              </w:rPr>
              <w:t>)</w:t>
            </w:r>
          </w:p>
        </w:tc>
        <w:tc>
          <w:tcPr>
            <w:tcW w:w="4230" w:type="dxa"/>
          </w:tcPr>
          <w:p w14:paraId="5BB82ADE" w14:textId="77777777" w:rsidR="005F7890" w:rsidRPr="008C479A" w:rsidRDefault="005F7890" w:rsidP="001E2573">
            <w:pPr>
              <w:rPr>
                <w:szCs w:val="22"/>
              </w:rPr>
            </w:pPr>
          </w:p>
          <w:p w14:paraId="43517D09" w14:textId="77777777" w:rsidR="005F7890" w:rsidRPr="008C479A" w:rsidRDefault="005F7890" w:rsidP="001E2573">
            <w:pPr>
              <w:rPr>
                <w:szCs w:val="22"/>
              </w:rPr>
            </w:pPr>
          </w:p>
          <w:p w14:paraId="28369BD0" w14:textId="77777777" w:rsidR="00CC3D99" w:rsidRPr="008C479A" w:rsidRDefault="00CC3D99" w:rsidP="00CC3D99">
            <w:pPr>
              <w:rPr>
                <w:szCs w:val="22"/>
              </w:rPr>
            </w:pPr>
            <w:r w:rsidRPr="008C479A">
              <w:rPr>
                <w:szCs w:val="22"/>
              </w:rPr>
              <w:t xml:space="preserve">WC Docket No. </w:t>
            </w:r>
            <w:r w:rsidR="00EA79E5" w:rsidRPr="008C479A">
              <w:rPr>
                <w:szCs w:val="22"/>
              </w:rPr>
              <w:t>96-45</w:t>
            </w:r>
          </w:p>
          <w:p w14:paraId="5204305C" w14:textId="77777777" w:rsidR="00DD3F5B" w:rsidRPr="008C479A" w:rsidRDefault="00DD3F5B" w:rsidP="001E2573">
            <w:pPr>
              <w:rPr>
                <w:szCs w:val="22"/>
              </w:rPr>
            </w:pPr>
          </w:p>
          <w:p w14:paraId="05C0234D" w14:textId="77777777" w:rsidR="005F7890" w:rsidRPr="008C479A" w:rsidRDefault="005F7890" w:rsidP="003E5042">
            <w:pPr>
              <w:rPr>
                <w:szCs w:val="22"/>
              </w:rPr>
            </w:pPr>
          </w:p>
          <w:p w14:paraId="3716E756" w14:textId="77777777" w:rsidR="00EA79E5" w:rsidRPr="008C479A" w:rsidRDefault="00EA79E5" w:rsidP="003E5042">
            <w:pPr>
              <w:rPr>
                <w:szCs w:val="22"/>
              </w:rPr>
            </w:pPr>
            <w:r w:rsidRPr="008C479A">
              <w:rPr>
                <w:szCs w:val="22"/>
              </w:rPr>
              <w:t>WC Docket No. 06-122</w:t>
            </w:r>
          </w:p>
          <w:p w14:paraId="04B5A816" w14:textId="77777777" w:rsidR="00EA79E5" w:rsidRPr="008C479A" w:rsidRDefault="00EA79E5" w:rsidP="003E5042">
            <w:pPr>
              <w:rPr>
                <w:szCs w:val="22"/>
              </w:rPr>
            </w:pPr>
          </w:p>
          <w:p w14:paraId="47FDFF4D" w14:textId="77777777" w:rsidR="00EA79E5" w:rsidRPr="008C479A" w:rsidRDefault="00EA79E5" w:rsidP="003E5042">
            <w:pPr>
              <w:rPr>
                <w:szCs w:val="22"/>
              </w:rPr>
            </w:pPr>
            <w:r w:rsidRPr="008C479A">
              <w:rPr>
                <w:szCs w:val="22"/>
              </w:rPr>
              <w:t>GN Docket No. 09-51</w:t>
            </w:r>
          </w:p>
          <w:p w14:paraId="7638065C" w14:textId="77777777" w:rsidR="00EA79E5" w:rsidRPr="008C479A" w:rsidRDefault="00EA79E5" w:rsidP="003E5042">
            <w:pPr>
              <w:rPr>
                <w:szCs w:val="22"/>
              </w:rPr>
            </w:pPr>
          </w:p>
        </w:tc>
      </w:tr>
      <w:tr w:rsidR="00EA79E5" w:rsidRPr="008C479A" w14:paraId="33357221" w14:textId="77777777">
        <w:tc>
          <w:tcPr>
            <w:tcW w:w="4698" w:type="dxa"/>
          </w:tcPr>
          <w:p w14:paraId="1462FAD8" w14:textId="77777777" w:rsidR="00EA79E5" w:rsidRPr="008C479A" w:rsidRDefault="00EA79E5" w:rsidP="004A3869">
            <w:pPr>
              <w:rPr>
                <w:szCs w:val="22"/>
              </w:rPr>
            </w:pPr>
          </w:p>
        </w:tc>
        <w:tc>
          <w:tcPr>
            <w:tcW w:w="720" w:type="dxa"/>
          </w:tcPr>
          <w:p w14:paraId="343DFC72" w14:textId="77777777" w:rsidR="00EA79E5" w:rsidRPr="008C479A" w:rsidRDefault="00EA79E5" w:rsidP="001E2573">
            <w:pPr>
              <w:rPr>
                <w:szCs w:val="22"/>
              </w:rPr>
            </w:pPr>
          </w:p>
        </w:tc>
        <w:tc>
          <w:tcPr>
            <w:tcW w:w="4230" w:type="dxa"/>
          </w:tcPr>
          <w:p w14:paraId="490A824C" w14:textId="77777777" w:rsidR="00EA79E5" w:rsidRPr="008C479A" w:rsidRDefault="00EA79E5" w:rsidP="001E2573">
            <w:pPr>
              <w:rPr>
                <w:szCs w:val="22"/>
              </w:rPr>
            </w:pPr>
          </w:p>
        </w:tc>
      </w:tr>
    </w:tbl>
    <w:p w14:paraId="246831A2" w14:textId="77777777" w:rsidR="005F7890" w:rsidRPr="008C479A" w:rsidRDefault="005F7890" w:rsidP="004A3869">
      <w:pPr>
        <w:jc w:val="center"/>
        <w:rPr>
          <w:b/>
        </w:rPr>
      </w:pPr>
      <w:r w:rsidRPr="008C479A">
        <w:rPr>
          <w:b/>
        </w:rPr>
        <w:t>ORDER</w:t>
      </w:r>
    </w:p>
    <w:p w14:paraId="4C44DEEE" w14:textId="77777777" w:rsidR="005F7890" w:rsidRPr="008C479A" w:rsidRDefault="005F7890" w:rsidP="005F7890">
      <w:pPr>
        <w:rPr>
          <w:szCs w:val="22"/>
        </w:rPr>
      </w:pPr>
    </w:p>
    <w:p w14:paraId="09292A74" w14:textId="6DA617E8" w:rsidR="005F7890" w:rsidRPr="008C479A" w:rsidRDefault="005F7890" w:rsidP="00AF6162">
      <w:pPr>
        <w:keepNext/>
        <w:tabs>
          <w:tab w:val="right" w:pos="9360"/>
        </w:tabs>
        <w:suppressAutoHyphens/>
        <w:spacing w:after="120"/>
        <w:ind w:left="720" w:hanging="720"/>
        <w:jc w:val="both"/>
        <w:outlineLvl w:val="0"/>
        <w:rPr>
          <w:b/>
          <w:szCs w:val="22"/>
        </w:rPr>
      </w:pPr>
      <w:r w:rsidRPr="008C479A">
        <w:rPr>
          <w:b/>
          <w:szCs w:val="22"/>
        </w:rPr>
        <w:t xml:space="preserve">Adopted:  </w:t>
      </w:r>
      <w:r w:rsidR="00CD5827">
        <w:rPr>
          <w:b/>
          <w:szCs w:val="22"/>
        </w:rPr>
        <w:t>August 6, 2014</w:t>
      </w:r>
      <w:r w:rsidRPr="008C479A">
        <w:rPr>
          <w:b/>
          <w:szCs w:val="22"/>
        </w:rPr>
        <w:tab/>
        <w:t xml:space="preserve">Released:  </w:t>
      </w:r>
      <w:r w:rsidR="00CD5827">
        <w:rPr>
          <w:b/>
          <w:szCs w:val="22"/>
        </w:rPr>
        <w:t>August 7, 2014</w:t>
      </w:r>
    </w:p>
    <w:p w14:paraId="0B4E5D64" w14:textId="77777777" w:rsidR="005F7890" w:rsidRPr="008C479A" w:rsidRDefault="005F7890" w:rsidP="005F7890">
      <w:pPr>
        <w:tabs>
          <w:tab w:val="left" w:pos="5760"/>
        </w:tabs>
        <w:rPr>
          <w:szCs w:val="22"/>
        </w:rPr>
      </w:pPr>
    </w:p>
    <w:p w14:paraId="5861701C" w14:textId="1FD9BE61" w:rsidR="00726B32" w:rsidRPr="008C479A" w:rsidRDefault="00CD5827" w:rsidP="00726B32">
      <w:pPr>
        <w:tabs>
          <w:tab w:val="left" w:pos="5760"/>
        </w:tabs>
        <w:rPr>
          <w:szCs w:val="22"/>
        </w:rPr>
      </w:pPr>
      <w:r w:rsidRPr="00CD5827">
        <w:rPr>
          <w:szCs w:val="22"/>
        </w:rPr>
        <w:t>By the Commission:  Commissioner O’Rielly issuing a statement.</w:t>
      </w:r>
    </w:p>
    <w:p w14:paraId="2D16D783" w14:textId="77777777" w:rsidR="00726B32" w:rsidRPr="008C479A" w:rsidRDefault="00726B32" w:rsidP="004A3869"/>
    <w:p w14:paraId="6056814C" w14:textId="4833A5F3" w:rsidR="00726B32" w:rsidRPr="008C479A" w:rsidRDefault="00302BBE" w:rsidP="00F01FB2">
      <w:pPr>
        <w:pStyle w:val="ParaNum"/>
        <w:numPr>
          <w:ilvl w:val="0"/>
          <w:numId w:val="2"/>
        </w:numPr>
        <w:tabs>
          <w:tab w:val="clear" w:pos="1080"/>
        </w:tabs>
        <w:rPr>
          <w:szCs w:val="22"/>
        </w:rPr>
      </w:pPr>
      <w:r w:rsidRPr="008C479A">
        <w:rPr>
          <w:szCs w:val="22"/>
        </w:rPr>
        <w:t xml:space="preserve">In this Order, we ask the Federal-State Joint Board on Universal Service (Joint Board) to </w:t>
      </w:r>
      <w:r w:rsidR="00E00BEA" w:rsidRPr="008C479A">
        <w:rPr>
          <w:szCs w:val="22"/>
        </w:rPr>
        <w:t xml:space="preserve">provide recommendations on how the Commission should modify the </w:t>
      </w:r>
      <w:r w:rsidR="00D32633" w:rsidRPr="008C479A">
        <w:rPr>
          <w:szCs w:val="22"/>
        </w:rPr>
        <w:t xml:space="preserve">universal service </w:t>
      </w:r>
      <w:r w:rsidR="00F66C62" w:rsidRPr="008C479A">
        <w:rPr>
          <w:szCs w:val="22"/>
        </w:rPr>
        <w:t>contribution methodology</w:t>
      </w:r>
      <w:r w:rsidR="00CA6BFB" w:rsidRPr="008C479A">
        <w:rPr>
          <w:szCs w:val="22"/>
        </w:rPr>
        <w:t>.</w:t>
      </w:r>
      <w:r w:rsidR="00577465" w:rsidRPr="008C479A">
        <w:rPr>
          <w:szCs w:val="22"/>
        </w:rPr>
        <w:t xml:space="preserve">  </w:t>
      </w:r>
      <w:r w:rsidR="008B53FA" w:rsidRPr="008C479A">
        <w:rPr>
          <w:szCs w:val="22"/>
        </w:rPr>
        <w:t>W</w:t>
      </w:r>
      <w:r w:rsidR="00CB12CE" w:rsidRPr="008C479A">
        <w:rPr>
          <w:szCs w:val="22"/>
        </w:rPr>
        <w:t xml:space="preserve">e </w:t>
      </w:r>
      <w:r w:rsidR="008B53FA" w:rsidRPr="008C479A">
        <w:rPr>
          <w:szCs w:val="22"/>
        </w:rPr>
        <w:t>refer to</w:t>
      </w:r>
      <w:r w:rsidR="00CB12CE" w:rsidRPr="008C479A">
        <w:rPr>
          <w:szCs w:val="22"/>
        </w:rPr>
        <w:t xml:space="preserve"> the Joint Board </w:t>
      </w:r>
      <w:r w:rsidR="003A24CB" w:rsidRPr="008C479A">
        <w:rPr>
          <w:szCs w:val="22"/>
        </w:rPr>
        <w:t>the record developed in response to the Commission’s 2012 Further Notice of Proposed Rulemaking</w:t>
      </w:r>
      <w:r w:rsidR="00BB7543" w:rsidRPr="008C479A">
        <w:rPr>
          <w:szCs w:val="22"/>
        </w:rPr>
        <w:t xml:space="preserve"> in the contribution methodology proceeding</w:t>
      </w:r>
      <w:r w:rsidR="00677CDB" w:rsidRPr="008C479A">
        <w:rPr>
          <w:i/>
          <w:szCs w:val="22"/>
        </w:rPr>
        <w:t xml:space="preserve"> </w:t>
      </w:r>
      <w:r w:rsidR="00677CDB" w:rsidRPr="008C479A">
        <w:rPr>
          <w:szCs w:val="22"/>
        </w:rPr>
        <w:t>(</w:t>
      </w:r>
      <w:r w:rsidR="00677CDB" w:rsidRPr="008C479A">
        <w:rPr>
          <w:i/>
          <w:szCs w:val="22"/>
        </w:rPr>
        <w:t>2012 FNPRM</w:t>
      </w:r>
      <w:r w:rsidR="00677CDB" w:rsidRPr="008C479A">
        <w:rPr>
          <w:szCs w:val="22"/>
        </w:rPr>
        <w:t>)</w:t>
      </w:r>
      <w:r w:rsidR="00E220CB" w:rsidRPr="008C479A">
        <w:rPr>
          <w:i/>
          <w:szCs w:val="22"/>
        </w:rPr>
        <w:t>,</w:t>
      </w:r>
      <w:r w:rsidR="00871314" w:rsidRPr="008C479A">
        <w:rPr>
          <w:rStyle w:val="FootnoteReference"/>
          <w:szCs w:val="22"/>
        </w:rPr>
        <w:footnoteReference w:id="2"/>
      </w:r>
      <w:r w:rsidR="003A24CB" w:rsidRPr="008C479A">
        <w:rPr>
          <w:i/>
          <w:szCs w:val="22"/>
        </w:rPr>
        <w:t xml:space="preserve"> </w:t>
      </w:r>
      <w:r w:rsidR="008B53FA" w:rsidRPr="008C479A">
        <w:rPr>
          <w:szCs w:val="22"/>
        </w:rPr>
        <w:t>and ask the Joint Board to develop recommendations, with a particular focus on how any modifications to the contribution system would impact achievement of the statutory principle that there be state as well as federal mechanisms to preserve and advance universal service.</w:t>
      </w:r>
      <w:r w:rsidR="008B53FA" w:rsidRPr="008C479A">
        <w:rPr>
          <w:rStyle w:val="FootnoteReference"/>
          <w:szCs w:val="22"/>
        </w:rPr>
        <w:footnoteReference w:id="3"/>
      </w:r>
      <w:r w:rsidR="008B53FA" w:rsidRPr="008C479A">
        <w:rPr>
          <w:szCs w:val="22"/>
        </w:rPr>
        <w:t xml:space="preserve">  </w:t>
      </w:r>
      <w:r w:rsidR="003A24CB" w:rsidRPr="008C479A">
        <w:rPr>
          <w:szCs w:val="22"/>
        </w:rPr>
        <w:t xml:space="preserve">We </w:t>
      </w:r>
      <w:r w:rsidR="002A4B41" w:rsidRPr="008C479A">
        <w:rPr>
          <w:szCs w:val="22"/>
        </w:rPr>
        <w:t>request tha</w:t>
      </w:r>
      <w:r w:rsidR="003A24CB" w:rsidRPr="008C479A">
        <w:rPr>
          <w:szCs w:val="22"/>
        </w:rPr>
        <w:t xml:space="preserve">t </w:t>
      </w:r>
      <w:r w:rsidR="00CB12CE" w:rsidRPr="008C479A">
        <w:rPr>
          <w:szCs w:val="22"/>
        </w:rPr>
        <w:t xml:space="preserve">the Joint Board </w:t>
      </w:r>
      <w:r w:rsidR="00691986" w:rsidRPr="008C479A">
        <w:rPr>
          <w:szCs w:val="22"/>
        </w:rPr>
        <w:t xml:space="preserve">present its recommended decision to the Commission no later than </w:t>
      </w:r>
      <w:r w:rsidR="00BB6F8F">
        <w:rPr>
          <w:szCs w:val="22"/>
        </w:rPr>
        <w:t>April 7, 2015</w:t>
      </w:r>
      <w:r w:rsidR="00691986" w:rsidRPr="008C479A">
        <w:rPr>
          <w:szCs w:val="22"/>
        </w:rPr>
        <w:t xml:space="preserve">.  </w:t>
      </w:r>
    </w:p>
    <w:p w14:paraId="71AB301A" w14:textId="77777777" w:rsidR="001F703C" w:rsidRPr="008C479A" w:rsidRDefault="005555AB" w:rsidP="00E220CB">
      <w:pPr>
        <w:pStyle w:val="ParaNum"/>
        <w:numPr>
          <w:ilvl w:val="0"/>
          <w:numId w:val="2"/>
        </w:numPr>
        <w:tabs>
          <w:tab w:val="clear" w:pos="1080"/>
        </w:tabs>
        <w:rPr>
          <w:szCs w:val="22"/>
        </w:rPr>
      </w:pPr>
      <w:r w:rsidRPr="008C479A">
        <w:rPr>
          <w:szCs w:val="22"/>
        </w:rPr>
        <w:t xml:space="preserve">When the Commission implemented the </w:t>
      </w:r>
      <w:r w:rsidR="00E220CB" w:rsidRPr="008C479A">
        <w:rPr>
          <w:szCs w:val="22"/>
        </w:rPr>
        <w:t>Telecommunications Act of 1996</w:t>
      </w:r>
      <w:r w:rsidRPr="008C479A">
        <w:rPr>
          <w:szCs w:val="22"/>
        </w:rPr>
        <w:t>,</w:t>
      </w:r>
      <w:r w:rsidR="00AF66D7" w:rsidRPr="008C479A">
        <w:rPr>
          <w:rStyle w:val="FootnoteReference"/>
          <w:szCs w:val="22"/>
        </w:rPr>
        <w:footnoteReference w:id="4"/>
      </w:r>
      <w:r w:rsidRPr="008C479A">
        <w:rPr>
          <w:szCs w:val="22"/>
        </w:rPr>
        <w:t xml:space="preserve"> it chose to assess contributions based on end-user revenues.</w:t>
      </w:r>
      <w:r w:rsidRPr="008C479A">
        <w:rPr>
          <w:szCs w:val="22"/>
          <w:vertAlign w:val="superscript"/>
        </w:rPr>
        <w:footnoteReference w:id="5"/>
      </w:r>
      <w:r w:rsidR="008B53FA" w:rsidRPr="008C479A">
        <w:rPr>
          <w:szCs w:val="22"/>
        </w:rPr>
        <w:t xml:space="preserve">  </w:t>
      </w:r>
      <w:r w:rsidR="00646275" w:rsidRPr="008C479A">
        <w:rPr>
          <w:szCs w:val="22"/>
        </w:rPr>
        <w:t>S</w:t>
      </w:r>
      <w:r w:rsidR="000A4551" w:rsidRPr="008C479A">
        <w:rPr>
          <w:szCs w:val="22"/>
        </w:rPr>
        <w:t>ince</w:t>
      </w:r>
      <w:r w:rsidR="00456644" w:rsidRPr="008C479A">
        <w:rPr>
          <w:szCs w:val="22"/>
        </w:rPr>
        <w:t xml:space="preserve"> that time, however</w:t>
      </w:r>
      <w:r w:rsidR="0049294D" w:rsidRPr="008C479A">
        <w:rPr>
          <w:szCs w:val="22"/>
        </w:rPr>
        <w:t>, network convergence and technological innovation have transformed the telecommunications industry</w:t>
      </w:r>
      <w:r w:rsidR="00BB7543" w:rsidRPr="008C479A">
        <w:rPr>
          <w:szCs w:val="22"/>
        </w:rPr>
        <w:t>,</w:t>
      </w:r>
      <w:r w:rsidR="0025755B" w:rsidRPr="008C479A">
        <w:rPr>
          <w:szCs w:val="22"/>
        </w:rPr>
        <w:t xml:space="preserve"> and the</w:t>
      </w:r>
      <w:r w:rsidR="00656508" w:rsidRPr="008C479A">
        <w:rPr>
          <w:szCs w:val="22"/>
        </w:rPr>
        <w:t xml:space="preserve"> contribution system has become increasingly com</w:t>
      </w:r>
      <w:r w:rsidR="007D340F" w:rsidRPr="008C479A">
        <w:rPr>
          <w:szCs w:val="22"/>
        </w:rPr>
        <w:t xml:space="preserve">plex and difficult to administer.  </w:t>
      </w:r>
      <w:r w:rsidR="00E220CB" w:rsidRPr="008C479A">
        <w:rPr>
          <w:szCs w:val="22"/>
        </w:rPr>
        <w:t>O</w:t>
      </w:r>
      <w:r w:rsidR="00275261" w:rsidRPr="008C479A">
        <w:rPr>
          <w:szCs w:val="22"/>
        </w:rPr>
        <w:t xml:space="preserve">n several occasions, </w:t>
      </w:r>
      <w:r w:rsidR="00E220CB" w:rsidRPr="008C479A">
        <w:rPr>
          <w:szCs w:val="22"/>
        </w:rPr>
        <w:t xml:space="preserve">the Commission </w:t>
      </w:r>
      <w:r w:rsidR="00275261" w:rsidRPr="008C479A">
        <w:rPr>
          <w:szCs w:val="22"/>
        </w:rPr>
        <w:t xml:space="preserve">has sought </w:t>
      </w:r>
      <w:r w:rsidR="008B53FA" w:rsidRPr="008C479A">
        <w:rPr>
          <w:szCs w:val="22"/>
        </w:rPr>
        <w:t xml:space="preserve">comment </w:t>
      </w:r>
      <w:r w:rsidR="00275261" w:rsidRPr="008C479A">
        <w:rPr>
          <w:szCs w:val="22"/>
        </w:rPr>
        <w:t xml:space="preserve">on </w:t>
      </w:r>
      <w:r w:rsidR="002A4B41" w:rsidRPr="008C479A">
        <w:rPr>
          <w:szCs w:val="22"/>
        </w:rPr>
        <w:t>potential modifications to the current system and ways in which it can be improved</w:t>
      </w:r>
      <w:r w:rsidR="00275261" w:rsidRPr="008C479A">
        <w:rPr>
          <w:szCs w:val="22"/>
        </w:rPr>
        <w:t>.</w:t>
      </w:r>
      <w:r w:rsidR="00275261" w:rsidRPr="008C479A">
        <w:rPr>
          <w:rStyle w:val="FootnoteReference"/>
          <w:szCs w:val="22"/>
        </w:rPr>
        <w:footnoteReference w:id="6"/>
      </w:r>
      <w:r w:rsidR="00275261" w:rsidRPr="008C479A">
        <w:rPr>
          <w:szCs w:val="22"/>
        </w:rPr>
        <w:t xml:space="preserve"> </w:t>
      </w:r>
      <w:r w:rsidR="002B586F" w:rsidRPr="008C479A">
        <w:rPr>
          <w:szCs w:val="22"/>
        </w:rPr>
        <w:t xml:space="preserve"> </w:t>
      </w:r>
      <w:r w:rsidRPr="008C479A">
        <w:rPr>
          <w:szCs w:val="22"/>
        </w:rPr>
        <w:lastRenderedPageBreak/>
        <w:t>Most recently</w:t>
      </w:r>
      <w:r w:rsidR="002A4B41" w:rsidRPr="008C479A">
        <w:rPr>
          <w:szCs w:val="22"/>
        </w:rPr>
        <w:t>,</w:t>
      </w:r>
      <w:r w:rsidR="00B53B07" w:rsidRPr="008C479A">
        <w:rPr>
          <w:szCs w:val="22"/>
        </w:rPr>
        <w:t xml:space="preserve"> </w:t>
      </w:r>
      <w:r w:rsidR="00684AC6" w:rsidRPr="008C479A">
        <w:rPr>
          <w:szCs w:val="22"/>
        </w:rPr>
        <w:t>the Commission released</w:t>
      </w:r>
      <w:r w:rsidR="00F81B3C" w:rsidRPr="008C479A">
        <w:rPr>
          <w:szCs w:val="22"/>
        </w:rPr>
        <w:t xml:space="preserve"> </w:t>
      </w:r>
      <w:r w:rsidR="00677CDB" w:rsidRPr="008C479A">
        <w:rPr>
          <w:szCs w:val="22"/>
        </w:rPr>
        <w:t xml:space="preserve">the </w:t>
      </w:r>
      <w:r w:rsidR="00677CDB" w:rsidRPr="008C479A">
        <w:rPr>
          <w:i/>
          <w:szCs w:val="22"/>
        </w:rPr>
        <w:t xml:space="preserve">2012 FNPRM, </w:t>
      </w:r>
      <w:r w:rsidR="00677CDB" w:rsidRPr="008C479A">
        <w:rPr>
          <w:szCs w:val="22"/>
        </w:rPr>
        <w:t>which sought</w:t>
      </w:r>
      <w:r w:rsidR="00B53B07" w:rsidRPr="008C479A">
        <w:t xml:space="preserve"> comment on </w:t>
      </w:r>
      <w:r w:rsidR="008B53FA" w:rsidRPr="008C479A">
        <w:t>who should contribute, how contributions should be assessed, and how to make the system more transparent and fair.</w:t>
      </w:r>
      <w:r w:rsidR="00884AF3" w:rsidRPr="008C479A">
        <w:rPr>
          <w:rStyle w:val="FootnoteReference"/>
          <w:szCs w:val="22"/>
        </w:rPr>
        <w:footnoteReference w:id="7"/>
      </w:r>
      <w:r w:rsidR="00684AC6" w:rsidRPr="008C479A">
        <w:rPr>
          <w:szCs w:val="22"/>
        </w:rPr>
        <w:t xml:space="preserve">  </w:t>
      </w:r>
    </w:p>
    <w:p w14:paraId="4F613A13" w14:textId="77777777" w:rsidR="00085821" w:rsidRPr="008C479A" w:rsidRDefault="008B53FA" w:rsidP="00691B4F">
      <w:pPr>
        <w:pStyle w:val="ParaNum"/>
        <w:numPr>
          <w:ilvl w:val="0"/>
          <w:numId w:val="2"/>
        </w:numPr>
        <w:tabs>
          <w:tab w:val="clear" w:pos="1080"/>
        </w:tabs>
        <w:rPr>
          <w:szCs w:val="22"/>
        </w:rPr>
      </w:pPr>
      <w:r w:rsidRPr="008C479A">
        <w:rPr>
          <w:szCs w:val="22"/>
        </w:rPr>
        <w:t>W</w:t>
      </w:r>
      <w:r w:rsidR="00671FBC" w:rsidRPr="008C479A">
        <w:rPr>
          <w:szCs w:val="22"/>
        </w:rPr>
        <w:t xml:space="preserve">e ask the Joint Board to examine the record developed in response to the </w:t>
      </w:r>
      <w:r w:rsidR="00F81B3C" w:rsidRPr="008C479A">
        <w:rPr>
          <w:i/>
        </w:rPr>
        <w:t>2012 FNPRM</w:t>
      </w:r>
      <w:r w:rsidR="00F81B3C" w:rsidRPr="008C479A">
        <w:rPr>
          <w:i/>
          <w:szCs w:val="22"/>
        </w:rPr>
        <w:t xml:space="preserve"> </w:t>
      </w:r>
      <w:r w:rsidR="005500AF" w:rsidRPr="008C479A">
        <w:rPr>
          <w:szCs w:val="22"/>
        </w:rPr>
        <w:t xml:space="preserve">and provide recommendations </w:t>
      </w:r>
      <w:r w:rsidR="00E75BF7" w:rsidRPr="008C479A">
        <w:rPr>
          <w:szCs w:val="22"/>
        </w:rPr>
        <w:t xml:space="preserve">within </w:t>
      </w:r>
      <w:r w:rsidR="00E220CB" w:rsidRPr="008C479A">
        <w:rPr>
          <w:szCs w:val="22"/>
        </w:rPr>
        <w:t>the scope of the issues</w:t>
      </w:r>
      <w:r w:rsidR="005500AF" w:rsidRPr="008C479A">
        <w:rPr>
          <w:szCs w:val="22"/>
        </w:rPr>
        <w:t xml:space="preserve"> </w:t>
      </w:r>
      <w:r w:rsidRPr="008C479A">
        <w:rPr>
          <w:szCs w:val="22"/>
        </w:rPr>
        <w:t xml:space="preserve">raised </w:t>
      </w:r>
      <w:r w:rsidR="005500AF" w:rsidRPr="008C479A">
        <w:rPr>
          <w:szCs w:val="22"/>
        </w:rPr>
        <w:t>in that proceeding</w:t>
      </w:r>
      <w:r w:rsidR="00E75BF7" w:rsidRPr="008C479A">
        <w:rPr>
          <w:szCs w:val="22"/>
        </w:rPr>
        <w:t>.</w:t>
      </w:r>
      <w:r w:rsidR="00E220CB" w:rsidRPr="008C479A">
        <w:rPr>
          <w:rStyle w:val="FootnoteReference"/>
          <w:szCs w:val="22"/>
        </w:rPr>
        <w:footnoteReference w:id="8"/>
      </w:r>
      <w:r w:rsidR="00E75BF7" w:rsidRPr="008C479A">
        <w:rPr>
          <w:szCs w:val="22"/>
        </w:rPr>
        <w:t xml:space="preserve">  W</w:t>
      </w:r>
      <w:r w:rsidR="00441470" w:rsidRPr="008C479A">
        <w:rPr>
          <w:szCs w:val="22"/>
        </w:rPr>
        <w:t xml:space="preserve">e ask the Joint Board to </w:t>
      </w:r>
      <w:r w:rsidR="00E75BF7" w:rsidRPr="008C479A">
        <w:rPr>
          <w:szCs w:val="22"/>
        </w:rPr>
        <w:t>focus</w:t>
      </w:r>
      <w:r w:rsidRPr="008C479A">
        <w:rPr>
          <w:szCs w:val="22"/>
        </w:rPr>
        <w:t xml:space="preserve"> especially</w:t>
      </w:r>
      <w:r w:rsidR="00E75BF7" w:rsidRPr="008C479A">
        <w:rPr>
          <w:szCs w:val="22"/>
        </w:rPr>
        <w:t xml:space="preserve"> on issues that would impact the important role of the states in accomplishing universal service objectives </w:t>
      </w:r>
      <w:r w:rsidR="00E75BF7" w:rsidRPr="008C479A">
        <w:rPr>
          <w:color w:val="000000"/>
          <w:szCs w:val="22"/>
        </w:rPr>
        <w:t>and</w:t>
      </w:r>
      <w:r w:rsidR="00E75BF7" w:rsidRPr="008C479A">
        <w:rPr>
          <w:szCs w:val="22"/>
        </w:rPr>
        <w:t xml:space="preserve"> protecting consumers.  </w:t>
      </w:r>
      <w:r w:rsidR="0054352B" w:rsidRPr="008C479A">
        <w:rPr>
          <w:szCs w:val="22"/>
        </w:rPr>
        <w:t>We request that the Joint Board consider</w:t>
      </w:r>
      <w:r w:rsidR="00E220CB" w:rsidRPr="008C479A">
        <w:rPr>
          <w:szCs w:val="22"/>
        </w:rPr>
        <w:t>, in making its recommendations,</w:t>
      </w:r>
      <w:r w:rsidR="0054352B" w:rsidRPr="008C479A">
        <w:rPr>
          <w:szCs w:val="22"/>
        </w:rPr>
        <w:t xml:space="preserve"> </w:t>
      </w:r>
      <w:r w:rsidR="00E220CB" w:rsidRPr="008C479A">
        <w:rPr>
          <w:szCs w:val="22"/>
        </w:rPr>
        <w:t xml:space="preserve">how </w:t>
      </w:r>
      <w:r w:rsidRPr="008C479A">
        <w:rPr>
          <w:szCs w:val="22"/>
        </w:rPr>
        <w:t xml:space="preserve">to </w:t>
      </w:r>
      <w:r w:rsidR="005500AF" w:rsidRPr="008C479A">
        <w:rPr>
          <w:szCs w:val="22"/>
        </w:rPr>
        <w:t xml:space="preserve">further the goals of improving the efficiency, fairness and sustainability of the </w:t>
      </w:r>
      <w:r w:rsidR="00891207" w:rsidRPr="008C479A">
        <w:rPr>
          <w:szCs w:val="22"/>
        </w:rPr>
        <w:t>contribution system</w:t>
      </w:r>
      <w:r w:rsidR="0054352B" w:rsidRPr="008C479A">
        <w:rPr>
          <w:szCs w:val="22"/>
        </w:rPr>
        <w:t>.</w:t>
      </w:r>
      <w:r w:rsidR="00E220CB" w:rsidRPr="008C479A">
        <w:rPr>
          <w:rStyle w:val="FootnoteReference"/>
          <w:szCs w:val="22"/>
        </w:rPr>
        <w:footnoteReference w:id="9"/>
      </w:r>
      <w:r w:rsidR="0054352B" w:rsidRPr="008C479A">
        <w:rPr>
          <w:szCs w:val="22"/>
        </w:rPr>
        <w:t xml:space="preserve">  </w:t>
      </w:r>
      <w:r w:rsidR="005500AF" w:rsidRPr="008C479A">
        <w:rPr>
          <w:szCs w:val="22"/>
        </w:rPr>
        <w:t xml:space="preserve"> </w:t>
      </w:r>
    </w:p>
    <w:p w14:paraId="5FFDC2A4" w14:textId="5BBFD597" w:rsidR="00C21251" w:rsidRPr="008C479A" w:rsidRDefault="00C21251" w:rsidP="00140061">
      <w:pPr>
        <w:pStyle w:val="ParaNum"/>
        <w:numPr>
          <w:ilvl w:val="0"/>
          <w:numId w:val="2"/>
        </w:numPr>
        <w:tabs>
          <w:tab w:val="clear" w:pos="1080"/>
        </w:tabs>
        <w:rPr>
          <w:color w:val="000000"/>
          <w:szCs w:val="22"/>
        </w:rPr>
      </w:pPr>
      <w:r w:rsidRPr="008C479A">
        <w:rPr>
          <w:color w:val="000000"/>
          <w:szCs w:val="22"/>
        </w:rPr>
        <w:t xml:space="preserve">Accordingly, IT IS </w:t>
      </w:r>
      <w:r w:rsidRPr="008C479A">
        <w:rPr>
          <w:szCs w:val="22"/>
        </w:rPr>
        <w:t>ORDERED</w:t>
      </w:r>
      <w:r w:rsidRPr="008C479A">
        <w:rPr>
          <w:color w:val="000000"/>
          <w:szCs w:val="22"/>
        </w:rPr>
        <w:t xml:space="preserve">, pursuant to sections 1, 4(i) and (j), 254, and 410 of the Communications Act of 1934, as amended, </w:t>
      </w:r>
      <w:hyperlink r:id="rId8" w:history="1">
        <w:r w:rsidRPr="008C479A">
          <w:rPr>
            <w:szCs w:val="22"/>
          </w:rPr>
          <w:t>47 U.S.C. §§ 151</w:t>
        </w:r>
      </w:hyperlink>
      <w:r w:rsidRPr="008C479A">
        <w:rPr>
          <w:szCs w:val="22"/>
        </w:rPr>
        <w:t xml:space="preserve">, </w:t>
      </w:r>
      <w:hyperlink r:id="rId9" w:history="1">
        <w:r w:rsidRPr="008C479A">
          <w:rPr>
            <w:szCs w:val="22"/>
          </w:rPr>
          <w:t>154(j)</w:t>
        </w:r>
      </w:hyperlink>
      <w:r w:rsidRPr="008C479A">
        <w:rPr>
          <w:szCs w:val="22"/>
        </w:rPr>
        <w:t xml:space="preserve">, </w:t>
      </w:r>
      <w:hyperlink r:id="rId10" w:history="1">
        <w:r w:rsidRPr="008C479A">
          <w:rPr>
            <w:szCs w:val="22"/>
          </w:rPr>
          <w:t>254</w:t>
        </w:r>
      </w:hyperlink>
      <w:r w:rsidRPr="008C479A">
        <w:rPr>
          <w:szCs w:val="22"/>
        </w:rPr>
        <w:t xml:space="preserve">, and </w:t>
      </w:r>
      <w:hyperlink r:id="rId11" w:history="1">
        <w:r w:rsidRPr="008C479A">
          <w:rPr>
            <w:szCs w:val="22"/>
          </w:rPr>
          <w:t>410</w:t>
        </w:r>
      </w:hyperlink>
      <w:r w:rsidRPr="008C479A">
        <w:rPr>
          <w:color w:val="000000"/>
          <w:szCs w:val="22"/>
        </w:rPr>
        <w:t>, that this Order is</w:t>
      </w:r>
      <w:r w:rsidR="006E01CA" w:rsidRPr="008C479A">
        <w:rPr>
          <w:color w:val="000000"/>
          <w:szCs w:val="22"/>
        </w:rPr>
        <w:t xml:space="preserve"> ADOPTED</w:t>
      </w:r>
      <w:r w:rsidRPr="008C479A">
        <w:rPr>
          <w:color w:val="000000"/>
          <w:szCs w:val="22"/>
        </w:rPr>
        <w:t>.</w:t>
      </w:r>
    </w:p>
    <w:p w14:paraId="25210252" w14:textId="0E055FEA" w:rsidR="00C21251" w:rsidRPr="008C479A" w:rsidRDefault="00C21251" w:rsidP="00541552">
      <w:pPr>
        <w:pStyle w:val="ParaNum"/>
        <w:numPr>
          <w:ilvl w:val="0"/>
          <w:numId w:val="2"/>
        </w:numPr>
        <w:tabs>
          <w:tab w:val="clear" w:pos="1080"/>
        </w:tabs>
        <w:spacing w:after="0"/>
        <w:rPr>
          <w:color w:val="000000"/>
          <w:szCs w:val="22"/>
        </w:rPr>
      </w:pPr>
      <w:r w:rsidRPr="008C479A">
        <w:rPr>
          <w:szCs w:val="22"/>
        </w:rPr>
        <w:t xml:space="preserve"> IT IS FURTHER ADOPTED, pursuant to </w:t>
      </w:r>
      <w:hyperlink r:id="rId12" w:history="1">
        <w:r w:rsidRPr="008C479A">
          <w:rPr>
            <w:szCs w:val="22"/>
          </w:rPr>
          <w:t>sections 1</w:t>
        </w:r>
      </w:hyperlink>
      <w:r w:rsidRPr="008C479A">
        <w:rPr>
          <w:szCs w:val="22"/>
        </w:rPr>
        <w:t xml:space="preserve">, </w:t>
      </w:r>
      <w:hyperlink r:id="rId13" w:history="1">
        <w:r w:rsidRPr="008C479A">
          <w:rPr>
            <w:szCs w:val="22"/>
          </w:rPr>
          <w:t>4(i) and (j)</w:t>
        </w:r>
      </w:hyperlink>
      <w:r w:rsidRPr="008C479A">
        <w:rPr>
          <w:szCs w:val="22"/>
        </w:rPr>
        <w:t xml:space="preserve">,  </w:t>
      </w:r>
      <w:hyperlink r:id="rId14" w:history="1">
        <w:r w:rsidRPr="008C479A">
          <w:rPr>
            <w:szCs w:val="22"/>
          </w:rPr>
          <w:t>254</w:t>
        </w:r>
      </w:hyperlink>
      <w:r w:rsidRPr="008C479A">
        <w:rPr>
          <w:szCs w:val="22"/>
        </w:rPr>
        <w:t xml:space="preserve">, and </w:t>
      </w:r>
      <w:hyperlink r:id="rId15" w:history="1">
        <w:r w:rsidRPr="008C479A">
          <w:rPr>
            <w:szCs w:val="22"/>
          </w:rPr>
          <w:t>410</w:t>
        </w:r>
      </w:hyperlink>
      <w:r w:rsidRPr="008C479A">
        <w:rPr>
          <w:szCs w:val="22"/>
        </w:rPr>
        <w:t xml:space="preserve"> of the Communications Act of 1934, as amended, </w:t>
      </w:r>
      <w:hyperlink r:id="rId16" w:history="1">
        <w:r w:rsidRPr="008C479A">
          <w:rPr>
            <w:szCs w:val="22"/>
          </w:rPr>
          <w:t>47 U.S.C. §§ 151</w:t>
        </w:r>
      </w:hyperlink>
      <w:r w:rsidRPr="008C479A">
        <w:rPr>
          <w:szCs w:val="22"/>
        </w:rPr>
        <w:t xml:space="preserve">, </w:t>
      </w:r>
      <w:hyperlink r:id="rId17" w:history="1">
        <w:r w:rsidRPr="008C479A">
          <w:rPr>
            <w:szCs w:val="22"/>
          </w:rPr>
          <w:t>154(j)</w:t>
        </w:r>
      </w:hyperlink>
      <w:r w:rsidRPr="008C479A">
        <w:rPr>
          <w:szCs w:val="22"/>
        </w:rPr>
        <w:t xml:space="preserve">, </w:t>
      </w:r>
      <w:hyperlink r:id="rId18" w:history="1">
        <w:r w:rsidRPr="008C479A">
          <w:rPr>
            <w:szCs w:val="22"/>
          </w:rPr>
          <w:t>254</w:t>
        </w:r>
      </w:hyperlink>
      <w:r w:rsidRPr="008C479A">
        <w:rPr>
          <w:szCs w:val="22"/>
        </w:rPr>
        <w:t xml:space="preserve">, and </w:t>
      </w:r>
      <w:hyperlink r:id="rId19" w:history="1">
        <w:r w:rsidRPr="008C479A">
          <w:rPr>
            <w:szCs w:val="22"/>
          </w:rPr>
          <w:t>410</w:t>
        </w:r>
      </w:hyperlink>
      <w:r w:rsidRPr="008C479A">
        <w:rPr>
          <w:szCs w:val="22"/>
        </w:rPr>
        <w:t>,</w:t>
      </w:r>
      <w:r w:rsidRPr="008C479A">
        <w:rPr>
          <w:color w:val="000000"/>
          <w:szCs w:val="22"/>
        </w:rPr>
        <w:t xml:space="preserve"> that the Federal-State Joint Board on Universal Service is requested to review the Commission</w:t>
      </w:r>
      <w:r w:rsidR="006376C4" w:rsidRPr="008C479A">
        <w:rPr>
          <w:color w:val="000000"/>
          <w:szCs w:val="22"/>
        </w:rPr>
        <w:t>’</w:t>
      </w:r>
      <w:r w:rsidRPr="008C479A">
        <w:rPr>
          <w:color w:val="000000"/>
          <w:szCs w:val="22"/>
        </w:rPr>
        <w:t xml:space="preserve">s rules relating to the </w:t>
      </w:r>
      <w:r w:rsidR="00652941" w:rsidRPr="008C479A">
        <w:rPr>
          <w:color w:val="000000"/>
          <w:szCs w:val="22"/>
        </w:rPr>
        <w:t>universal</w:t>
      </w:r>
      <w:r w:rsidR="007E1151" w:rsidRPr="008C479A">
        <w:rPr>
          <w:color w:val="000000"/>
          <w:szCs w:val="22"/>
        </w:rPr>
        <w:t xml:space="preserve"> service contribution methodology and the related issues described herein and provide recommendations to the Commission within </w:t>
      </w:r>
      <w:r w:rsidR="009C5B69">
        <w:rPr>
          <w:color w:val="000000"/>
          <w:szCs w:val="22"/>
        </w:rPr>
        <w:t>eight</w:t>
      </w:r>
      <w:r w:rsidR="009C5B69" w:rsidRPr="008C479A">
        <w:rPr>
          <w:color w:val="000000"/>
          <w:szCs w:val="22"/>
        </w:rPr>
        <w:t xml:space="preserve"> </w:t>
      </w:r>
      <w:r w:rsidR="007E1151" w:rsidRPr="008C479A">
        <w:rPr>
          <w:color w:val="000000"/>
          <w:szCs w:val="22"/>
        </w:rPr>
        <w:t>months of the release of this Order.</w:t>
      </w:r>
    </w:p>
    <w:p w14:paraId="7E62B71D" w14:textId="77777777" w:rsidR="005F7890" w:rsidRPr="008C479A" w:rsidRDefault="005F7890" w:rsidP="004A3869">
      <w:pPr>
        <w:keepNext/>
      </w:pPr>
    </w:p>
    <w:p w14:paraId="2C17BDA3" w14:textId="77777777" w:rsidR="005F7890" w:rsidRPr="008C479A" w:rsidRDefault="005F7890" w:rsidP="004A3869">
      <w:pPr>
        <w:keepNext/>
        <w:ind w:left="4320"/>
      </w:pPr>
      <w:r w:rsidRPr="008C479A">
        <w:t>FEDERAL COMMUNICATIONS COMMISSION</w:t>
      </w:r>
    </w:p>
    <w:p w14:paraId="25D2D17C" w14:textId="77777777" w:rsidR="005F7890" w:rsidRPr="008C479A" w:rsidRDefault="005F7890" w:rsidP="004A3869">
      <w:pPr>
        <w:keepNext/>
        <w:ind w:left="4320"/>
      </w:pPr>
    </w:p>
    <w:p w14:paraId="23BB4F86" w14:textId="77777777" w:rsidR="005F7890" w:rsidRPr="008C479A" w:rsidRDefault="005F7890" w:rsidP="004A3869">
      <w:pPr>
        <w:keepNext/>
        <w:ind w:left="4320"/>
      </w:pPr>
    </w:p>
    <w:p w14:paraId="63E69A79" w14:textId="77777777" w:rsidR="004A3869" w:rsidRPr="008C479A" w:rsidRDefault="004A3869" w:rsidP="004A3869">
      <w:pPr>
        <w:keepNext/>
        <w:ind w:left="4320"/>
      </w:pPr>
    </w:p>
    <w:p w14:paraId="20C10926" w14:textId="77777777" w:rsidR="00F64CE5" w:rsidRPr="008C479A" w:rsidRDefault="00F64CE5" w:rsidP="004A3869">
      <w:pPr>
        <w:keepNext/>
        <w:ind w:left="4320"/>
      </w:pPr>
    </w:p>
    <w:p w14:paraId="2888AD94" w14:textId="77777777" w:rsidR="005F7890" w:rsidRPr="008C479A" w:rsidRDefault="00140061" w:rsidP="00726B32">
      <w:pPr>
        <w:rPr>
          <w:szCs w:val="22"/>
        </w:rPr>
      </w:pPr>
      <w:r w:rsidRPr="008C479A">
        <w:rPr>
          <w:szCs w:val="22"/>
        </w:rPr>
        <w:tab/>
      </w:r>
      <w:r w:rsidRPr="008C479A">
        <w:rPr>
          <w:szCs w:val="22"/>
        </w:rPr>
        <w:tab/>
      </w:r>
      <w:r w:rsidRPr="008C479A">
        <w:rPr>
          <w:szCs w:val="22"/>
        </w:rPr>
        <w:tab/>
      </w:r>
      <w:r w:rsidRPr="008C479A">
        <w:rPr>
          <w:szCs w:val="22"/>
        </w:rPr>
        <w:tab/>
      </w:r>
      <w:r w:rsidRPr="008C479A">
        <w:rPr>
          <w:szCs w:val="22"/>
        </w:rPr>
        <w:tab/>
      </w:r>
      <w:r w:rsidRPr="008C479A">
        <w:rPr>
          <w:szCs w:val="22"/>
        </w:rPr>
        <w:tab/>
        <w:t>Marlene H. Dortch</w:t>
      </w:r>
    </w:p>
    <w:p w14:paraId="1E77D824" w14:textId="77777777" w:rsidR="00140061" w:rsidRDefault="00140061" w:rsidP="00726B32">
      <w:pPr>
        <w:rPr>
          <w:szCs w:val="22"/>
        </w:rPr>
      </w:pPr>
      <w:r w:rsidRPr="008C479A">
        <w:rPr>
          <w:szCs w:val="22"/>
        </w:rPr>
        <w:tab/>
      </w:r>
      <w:r w:rsidRPr="008C479A">
        <w:rPr>
          <w:szCs w:val="22"/>
        </w:rPr>
        <w:tab/>
      </w:r>
      <w:r w:rsidRPr="008C479A">
        <w:rPr>
          <w:szCs w:val="22"/>
        </w:rPr>
        <w:tab/>
      </w:r>
      <w:r w:rsidRPr="008C479A">
        <w:rPr>
          <w:szCs w:val="22"/>
        </w:rPr>
        <w:tab/>
      </w:r>
      <w:r w:rsidRPr="008C479A">
        <w:rPr>
          <w:szCs w:val="22"/>
        </w:rPr>
        <w:tab/>
      </w:r>
      <w:r w:rsidRPr="008C479A">
        <w:rPr>
          <w:szCs w:val="22"/>
        </w:rPr>
        <w:tab/>
        <w:t>Secretary</w:t>
      </w:r>
    </w:p>
    <w:p w14:paraId="76AB9A97" w14:textId="77777777" w:rsidR="003C4A6F" w:rsidRDefault="003C4A6F" w:rsidP="00356AD3">
      <w:pPr>
        <w:widowControl/>
        <w:jc w:val="center"/>
        <w:rPr>
          <w:b/>
        </w:rPr>
      </w:pPr>
      <w:r>
        <w:rPr>
          <w:szCs w:val="22"/>
        </w:rPr>
        <w:br w:type="page"/>
      </w:r>
      <w:r w:rsidRPr="00F571FE">
        <w:rPr>
          <w:b/>
        </w:rPr>
        <w:lastRenderedPageBreak/>
        <w:t xml:space="preserve">STATEMENT OF </w:t>
      </w:r>
    </w:p>
    <w:p w14:paraId="305697EE" w14:textId="77777777" w:rsidR="003C4A6F" w:rsidRDefault="003C4A6F" w:rsidP="003C4A6F">
      <w:pPr>
        <w:jc w:val="center"/>
        <w:rPr>
          <w:b/>
        </w:rPr>
      </w:pPr>
      <w:r w:rsidRPr="00F571FE">
        <w:rPr>
          <w:b/>
        </w:rPr>
        <w:t>COMMISSIONER MICHAEL O'RIELLY</w:t>
      </w:r>
    </w:p>
    <w:p w14:paraId="050F4FB8" w14:textId="77777777" w:rsidR="003C4A6F" w:rsidRDefault="003C4A6F" w:rsidP="003C4A6F">
      <w:pPr>
        <w:jc w:val="center"/>
        <w:rPr>
          <w:b/>
        </w:rPr>
      </w:pPr>
    </w:p>
    <w:p w14:paraId="3771F98C" w14:textId="77777777" w:rsidR="003C4A6F" w:rsidRDefault="003C4A6F" w:rsidP="003C4A6F">
      <w:pPr>
        <w:ind w:left="720" w:hanging="720"/>
      </w:pPr>
      <w:r w:rsidRPr="00A659FB">
        <w:t>Re:</w:t>
      </w:r>
      <w:r>
        <w:tab/>
      </w:r>
      <w:r w:rsidRPr="00A46835">
        <w:rPr>
          <w:i/>
        </w:rPr>
        <w:t>Federal-State Joint Board on Universal Service</w:t>
      </w:r>
      <w:r w:rsidRPr="00A659FB">
        <w:t>, CC Docket No. 96-45,</w:t>
      </w:r>
      <w:r w:rsidRPr="00A46835">
        <w:rPr>
          <w:i/>
        </w:rPr>
        <w:t xml:space="preserve"> Universal Service Contribution Methodology</w:t>
      </w:r>
      <w:r w:rsidRPr="00A659FB">
        <w:t xml:space="preserve">, WC Docket No. 06-122, </w:t>
      </w:r>
      <w:r w:rsidRPr="00A46835">
        <w:rPr>
          <w:i/>
        </w:rPr>
        <w:t xml:space="preserve">A National Broadband Plan for </w:t>
      </w:r>
      <w:r>
        <w:rPr>
          <w:i/>
        </w:rPr>
        <w:t>Our Future</w:t>
      </w:r>
      <w:r w:rsidRPr="00A659FB">
        <w:t>, GN Docket No. 09-51</w:t>
      </w:r>
      <w:r>
        <w:t>.</w:t>
      </w:r>
    </w:p>
    <w:p w14:paraId="2A7F3013" w14:textId="77777777" w:rsidR="003C4A6F" w:rsidRPr="00A46835" w:rsidRDefault="003C4A6F" w:rsidP="003C4A6F">
      <w:pPr>
        <w:ind w:left="720" w:hanging="720"/>
        <w:rPr>
          <w:i/>
        </w:rPr>
      </w:pPr>
    </w:p>
    <w:p w14:paraId="6C6415ED" w14:textId="30CF555E" w:rsidR="003C4A6F" w:rsidRDefault="003C4A6F" w:rsidP="003C4A6F">
      <w:r>
        <w:tab/>
        <w:t xml:space="preserve">Over the past few years, the Commission has undertaken significant reforms to how universal service support is distributed, but has not addressed how such funding is collected from carriers and, ultimately, from American ratepayers, </w:t>
      </w:r>
      <w:r w:rsidR="00996E09" w:rsidRPr="00996E09">
        <w:t>who are already paying fees of approximately 16% on their phone bills</w:t>
      </w:r>
      <w:r w:rsidR="00996E09">
        <w:t xml:space="preserve"> </w:t>
      </w:r>
      <w:r>
        <w:t xml:space="preserve">to sustain the current subsidy system.  Moreover, because there is no overall cap on the universal service fund, the spending reforms are putting increased pressure on an ailing contributions system.  Accordingly, I will support this referral.  </w:t>
      </w:r>
    </w:p>
    <w:p w14:paraId="56AA1ACF" w14:textId="77777777" w:rsidR="003C4A6F" w:rsidRDefault="003C4A6F" w:rsidP="003C4A6F"/>
    <w:p w14:paraId="56D35ED3" w14:textId="77777777" w:rsidR="003C4A6F" w:rsidRPr="00F571FE" w:rsidRDefault="003C4A6F" w:rsidP="003C4A6F">
      <w:r>
        <w:tab/>
        <w:t xml:space="preserve">As we start down this important path, however, I would caution that contributions reform should not be seen as a backdoor way of increasing the size of the universal service fund or imposing new fees on the Internet.  For example, I would be concerned by any effort to assess IP addresses.  I hope that the Joint Board, and ultimately the Commission, will consider reforms that modernize contributions without inhibiting broadband investment or imposing additional burdens on the consumers that pay to support universal service.  </w:t>
      </w:r>
    </w:p>
    <w:p w14:paraId="05E9A683" w14:textId="77777777" w:rsidR="003C4A6F" w:rsidRPr="00044065" w:rsidRDefault="003C4A6F" w:rsidP="00726B32">
      <w:pPr>
        <w:rPr>
          <w:szCs w:val="22"/>
        </w:rPr>
      </w:pPr>
    </w:p>
    <w:sectPr w:rsidR="003C4A6F" w:rsidRPr="00044065" w:rsidSect="005B5DD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5EA5" w14:textId="77777777" w:rsidR="00B042D3" w:rsidRDefault="00B042D3">
      <w:r>
        <w:separator/>
      </w:r>
    </w:p>
    <w:p w14:paraId="6057C5D8" w14:textId="77777777" w:rsidR="00B042D3" w:rsidRDefault="00B042D3"/>
    <w:p w14:paraId="224DCA82" w14:textId="77777777" w:rsidR="00B042D3" w:rsidRDefault="00B042D3"/>
  </w:endnote>
  <w:endnote w:type="continuationSeparator" w:id="0">
    <w:p w14:paraId="53DE8D27" w14:textId="77777777" w:rsidR="00B042D3" w:rsidRDefault="00B042D3">
      <w:r>
        <w:continuationSeparator/>
      </w:r>
    </w:p>
    <w:p w14:paraId="1BD9E564" w14:textId="77777777" w:rsidR="00B042D3" w:rsidRDefault="00B042D3"/>
    <w:p w14:paraId="1141E71A" w14:textId="77777777" w:rsidR="00B042D3" w:rsidRDefault="00B042D3"/>
  </w:endnote>
  <w:endnote w:type="continuationNotice" w:id="1">
    <w:p w14:paraId="7452E36E" w14:textId="77777777" w:rsidR="00B042D3" w:rsidRDefault="00B0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8997" w14:textId="77777777" w:rsidR="005B3C3B" w:rsidRDefault="005B3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1913" w14:textId="77777777" w:rsidR="00577465" w:rsidRDefault="00577465">
    <w:pPr>
      <w:pStyle w:val="Footer"/>
      <w:jc w:val="center"/>
    </w:pPr>
    <w:r>
      <w:rPr>
        <w:rStyle w:val="PageNumber"/>
      </w:rPr>
      <w:fldChar w:fldCharType="begin"/>
    </w:r>
    <w:r>
      <w:rPr>
        <w:rStyle w:val="PageNumber"/>
      </w:rPr>
      <w:instrText xml:space="preserve"> PAGE </w:instrText>
    </w:r>
    <w:r>
      <w:rPr>
        <w:rStyle w:val="PageNumber"/>
      </w:rPr>
      <w:fldChar w:fldCharType="separate"/>
    </w:r>
    <w:r w:rsidR="00C724B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4FC0" w14:textId="77777777" w:rsidR="005B3C3B" w:rsidRDefault="005B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9399D" w14:textId="77777777" w:rsidR="00B042D3" w:rsidRDefault="00B042D3" w:rsidP="004A3869">
      <w:pPr>
        <w:spacing w:before="120" w:after="120"/>
      </w:pPr>
      <w:r>
        <w:separator/>
      </w:r>
    </w:p>
  </w:footnote>
  <w:footnote w:type="continuationSeparator" w:id="0">
    <w:p w14:paraId="113A35E1" w14:textId="77777777" w:rsidR="00B042D3" w:rsidRPr="00AF4AEF" w:rsidRDefault="00B042D3" w:rsidP="00AF4AEF">
      <w:pPr>
        <w:spacing w:before="120"/>
        <w:rPr>
          <w:sz w:val="20"/>
        </w:rPr>
      </w:pPr>
      <w:r>
        <w:rPr>
          <w:sz w:val="20"/>
        </w:rPr>
        <w:t xml:space="preserve">(Continued from previous page)  </w:t>
      </w:r>
      <w:r>
        <w:rPr>
          <w:sz w:val="20"/>
        </w:rPr>
        <w:separator/>
      </w:r>
    </w:p>
  </w:footnote>
  <w:footnote w:type="continuationNotice" w:id="1">
    <w:p w14:paraId="6D57613B" w14:textId="77777777" w:rsidR="00B042D3" w:rsidRPr="00AF4AEF" w:rsidRDefault="00B042D3" w:rsidP="00AF4AEF">
      <w:pPr>
        <w:jc w:val="right"/>
        <w:rPr>
          <w:sz w:val="20"/>
        </w:rPr>
      </w:pPr>
      <w:r>
        <w:rPr>
          <w:sz w:val="20"/>
        </w:rPr>
        <w:t>(continued….)</w:t>
      </w:r>
    </w:p>
  </w:footnote>
  <w:footnote w:id="2">
    <w:p w14:paraId="6FA5AB9B" w14:textId="77777777" w:rsidR="00871314" w:rsidRPr="007E1151" w:rsidRDefault="00871314">
      <w:pPr>
        <w:pStyle w:val="FootnoteText"/>
      </w:pPr>
      <w:r w:rsidRPr="007E1151">
        <w:rPr>
          <w:rStyle w:val="FootnoteReference"/>
        </w:rPr>
        <w:footnoteRef/>
      </w:r>
      <w:r w:rsidRPr="007E1151">
        <w:t xml:space="preserve"> </w:t>
      </w:r>
      <w:r w:rsidR="00F81B3C" w:rsidRPr="007E1151">
        <w:rPr>
          <w:i/>
        </w:rPr>
        <w:t>Universal Service Contribution Methodology; A National Broadband Plan For Our Future</w:t>
      </w:r>
      <w:r w:rsidR="00F81B3C" w:rsidRPr="006900DB">
        <w:t>,</w:t>
      </w:r>
      <w:r w:rsidR="00F81B3C" w:rsidRPr="007E1151">
        <w:rPr>
          <w:i/>
        </w:rPr>
        <w:t xml:space="preserve"> </w:t>
      </w:r>
      <w:r w:rsidR="00F81B3C" w:rsidRPr="007E1151">
        <w:t>WC Docket No. 06-122, GN Docket No. 09-51, Further Notice of Proposed Rulemaking, 27 FCC Rcd 5357 (2012) (</w:t>
      </w:r>
      <w:r w:rsidR="00F81B3C" w:rsidRPr="007E1151">
        <w:rPr>
          <w:i/>
        </w:rPr>
        <w:t>2012 FNPRM</w:t>
      </w:r>
      <w:r w:rsidR="00F81B3C" w:rsidRPr="007E1151">
        <w:t>).</w:t>
      </w:r>
    </w:p>
  </w:footnote>
  <w:footnote w:id="3">
    <w:p w14:paraId="41B5461B" w14:textId="77777777" w:rsidR="008B53FA" w:rsidRPr="007E1151" w:rsidRDefault="008B53FA">
      <w:pPr>
        <w:pStyle w:val="FootnoteText"/>
      </w:pPr>
      <w:r w:rsidRPr="007E1151">
        <w:rPr>
          <w:rStyle w:val="FootnoteReference"/>
        </w:rPr>
        <w:footnoteRef/>
      </w:r>
      <w:r w:rsidRPr="007E1151">
        <w:t xml:space="preserve"> </w:t>
      </w:r>
      <w:r w:rsidRPr="007E1151">
        <w:rPr>
          <w:i/>
        </w:rPr>
        <w:t xml:space="preserve">See </w:t>
      </w:r>
      <w:r w:rsidRPr="007E1151">
        <w:t>47 U.S.C. § 254(b)(5).</w:t>
      </w:r>
    </w:p>
  </w:footnote>
  <w:footnote w:id="4">
    <w:p w14:paraId="624F49C1" w14:textId="77777777" w:rsidR="00AF66D7" w:rsidRPr="007E1151" w:rsidRDefault="00AF66D7">
      <w:pPr>
        <w:pStyle w:val="FootnoteText"/>
      </w:pPr>
      <w:r w:rsidRPr="007E1151">
        <w:rPr>
          <w:rStyle w:val="FootnoteReference"/>
        </w:rPr>
        <w:footnoteRef/>
      </w:r>
      <w:r w:rsidRPr="007E1151">
        <w:t xml:space="preserve"> </w:t>
      </w:r>
      <w:r w:rsidRPr="007E1151">
        <w:rPr>
          <w:i/>
        </w:rPr>
        <w:t xml:space="preserve">See </w:t>
      </w:r>
      <w:r w:rsidRPr="007E1151">
        <w:t>47 U.S.C. § 254(d); Telecommunications Act of 1996, Pub. L. No. 104-104, 110 Stat. 56 (1996).</w:t>
      </w:r>
    </w:p>
  </w:footnote>
  <w:footnote w:id="5">
    <w:p w14:paraId="16CD6A0D" w14:textId="77777777" w:rsidR="005555AB" w:rsidRPr="007E1151" w:rsidRDefault="005555AB" w:rsidP="005555AB">
      <w:pPr>
        <w:pStyle w:val="FootnoteText"/>
      </w:pPr>
      <w:r w:rsidRPr="007E1151">
        <w:rPr>
          <w:rStyle w:val="FootnoteReference"/>
        </w:rPr>
        <w:footnoteRef/>
      </w:r>
      <w:r w:rsidRPr="007E1151">
        <w:t xml:space="preserve"> </w:t>
      </w:r>
      <w:r w:rsidR="00AF66D7" w:rsidRPr="007E1151">
        <w:rPr>
          <w:i/>
        </w:rPr>
        <w:t xml:space="preserve">Federal-State Joint Board on Universal </w:t>
      </w:r>
      <w:r w:rsidR="00AF66D7" w:rsidRPr="007E1151">
        <w:t>Service</w:t>
      </w:r>
      <w:r w:rsidR="00BB7543" w:rsidRPr="007E1151">
        <w:t>, CC Docket N</w:t>
      </w:r>
      <w:r w:rsidR="00AF66D7" w:rsidRPr="007E1151">
        <w:t xml:space="preserve">o. 96-45, Report and Order, 12 FCC Rcd 8776, </w:t>
      </w:r>
      <w:r w:rsidRPr="007E1151">
        <w:t>920</w:t>
      </w:r>
      <w:r w:rsidR="003D2F1C" w:rsidRPr="007E1151">
        <w:t>6</w:t>
      </w:r>
      <w:r w:rsidR="00DE1116">
        <w:t>,</w:t>
      </w:r>
      <w:r w:rsidRPr="007E1151">
        <w:t xml:space="preserve"> para. 84</w:t>
      </w:r>
      <w:r w:rsidR="002874CE" w:rsidRPr="007E1151">
        <w:t xml:space="preserve">3 (1997) </w:t>
      </w:r>
      <w:r w:rsidR="006E01CA" w:rsidRPr="007E1151">
        <w:t>(</w:t>
      </w:r>
      <w:r w:rsidR="00AF66D7" w:rsidRPr="007E1151">
        <w:rPr>
          <w:i/>
        </w:rPr>
        <w:t>Universal Service First Report and Order</w:t>
      </w:r>
      <w:r w:rsidR="00AF66D7" w:rsidRPr="007E1151">
        <w:t>) (</w:t>
      </w:r>
      <w:r w:rsidR="00AF66D7" w:rsidRPr="007E1151">
        <w:rPr>
          <w:i/>
        </w:rPr>
        <w:t>subsequent history omitted</w:t>
      </w:r>
      <w:r w:rsidR="00AF66D7" w:rsidRPr="007E1151">
        <w:t>).</w:t>
      </w:r>
    </w:p>
  </w:footnote>
  <w:footnote w:id="6">
    <w:p w14:paraId="616A2EA4" w14:textId="77777777" w:rsidR="00275261" w:rsidRPr="009454CD" w:rsidRDefault="00275261" w:rsidP="00904842">
      <w:pPr>
        <w:pStyle w:val="FootnoteText"/>
      </w:pPr>
      <w:r w:rsidRPr="007E1151">
        <w:rPr>
          <w:rStyle w:val="FootnoteReference"/>
        </w:rPr>
        <w:footnoteRef/>
      </w:r>
      <w:r w:rsidRPr="007E1151">
        <w:t xml:space="preserve"> </w:t>
      </w:r>
      <w:r w:rsidRPr="007E1151">
        <w:rPr>
          <w:i/>
        </w:rPr>
        <w:t xml:space="preserve">See Federal-State Joint Board on Universal Service et al., </w:t>
      </w:r>
      <w:r w:rsidRPr="007E1151">
        <w:t xml:space="preserve">CC Docket No. 96-45 </w:t>
      </w:r>
      <w:r w:rsidRPr="007E1151">
        <w:rPr>
          <w:i/>
        </w:rPr>
        <w:t>et al.</w:t>
      </w:r>
      <w:r w:rsidR="002874CE" w:rsidRPr="007E1151">
        <w:rPr>
          <w:i/>
        </w:rPr>
        <w:t xml:space="preserve">, </w:t>
      </w:r>
      <w:r w:rsidRPr="007E1151">
        <w:t>Notice of Proposed Rulemaking, 16 FCC Rcd</w:t>
      </w:r>
      <w:r w:rsidR="004B11D2" w:rsidRPr="007E1151">
        <w:t xml:space="preserve"> </w:t>
      </w:r>
      <w:r w:rsidR="00BB7543" w:rsidRPr="007E1151">
        <w:t>9892,</w:t>
      </w:r>
      <w:r w:rsidR="000657A7" w:rsidRPr="007E1151">
        <w:t xml:space="preserve"> 9905-06, </w:t>
      </w:r>
      <w:r w:rsidRPr="007E1151">
        <w:t>paras. 25-30</w:t>
      </w:r>
      <w:r w:rsidR="000657A7" w:rsidRPr="007E1151">
        <w:t xml:space="preserve"> (2001)</w:t>
      </w:r>
      <w:r w:rsidRPr="003550A8">
        <w:t xml:space="preserve">; </w:t>
      </w:r>
      <w:r w:rsidR="000657A7" w:rsidRPr="009454CD">
        <w:rPr>
          <w:i/>
        </w:rPr>
        <w:t>Federal-State Board on Universal Service et al.</w:t>
      </w:r>
      <w:r w:rsidR="000657A7" w:rsidRPr="009454CD">
        <w:t>,</w:t>
      </w:r>
      <w:r w:rsidR="002874CE" w:rsidRPr="009454CD">
        <w:t xml:space="preserve"> </w:t>
      </w:r>
      <w:r w:rsidR="000657A7" w:rsidRPr="009454CD">
        <w:t xml:space="preserve">CC Docket No. 96-45 </w:t>
      </w:r>
      <w:r w:rsidR="000657A7" w:rsidRPr="009454CD">
        <w:rPr>
          <w:i/>
        </w:rPr>
        <w:t>et al.</w:t>
      </w:r>
      <w:r w:rsidR="000657A7" w:rsidRPr="009454CD">
        <w:t xml:space="preserve">, Further Notice of Proposed Rulemaking and Report and Order, </w:t>
      </w:r>
      <w:r w:rsidRPr="007E1151">
        <w:t xml:space="preserve">17 FCC Rcd </w:t>
      </w:r>
      <w:r w:rsidR="000657A7" w:rsidRPr="007E1151">
        <w:t xml:space="preserve">3752, </w:t>
      </w:r>
      <w:r w:rsidRPr="007E1151">
        <w:t>3766–89</w:t>
      </w:r>
      <w:r w:rsidR="000657A7" w:rsidRPr="007E1151">
        <w:t xml:space="preserve">, </w:t>
      </w:r>
      <w:r w:rsidR="002874CE" w:rsidRPr="007E1151">
        <w:t xml:space="preserve">paras. </w:t>
      </w:r>
      <w:r w:rsidRPr="003550A8">
        <w:t xml:space="preserve">31, 34–83 </w:t>
      </w:r>
      <w:r w:rsidR="000657A7" w:rsidRPr="003550A8">
        <w:t>(2002)</w:t>
      </w:r>
      <w:r w:rsidR="002874CE" w:rsidRPr="009454CD">
        <w:t xml:space="preserve">;  </w:t>
      </w:r>
      <w:r w:rsidR="000657A7" w:rsidRPr="009454CD">
        <w:rPr>
          <w:i/>
        </w:rPr>
        <w:t>Federal-State Joint Board on Universal Service et al.</w:t>
      </w:r>
      <w:r w:rsidR="000657A7" w:rsidRPr="009454CD">
        <w:t xml:space="preserve">, CC Docket No. 96-45 </w:t>
      </w:r>
      <w:r w:rsidR="000657A7" w:rsidRPr="009454CD">
        <w:rPr>
          <w:i/>
        </w:rPr>
        <w:t>et al.</w:t>
      </w:r>
      <w:r w:rsidR="002874CE" w:rsidRPr="009454CD">
        <w:t xml:space="preserve">, </w:t>
      </w:r>
      <w:r w:rsidR="000657A7" w:rsidRPr="009454CD">
        <w:t xml:space="preserve">Report and Order and Second Further Notice of Proposed Rulemaking, 17 FCC Rcd 24952, </w:t>
      </w:r>
      <w:r w:rsidR="004B11D2" w:rsidRPr="007E1151">
        <w:t>24983–97, paras. 66–100</w:t>
      </w:r>
      <w:r w:rsidR="000657A7" w:rsidRPr="009454CD">
        <w:t xml:space="preserve"> (2002</w:t>
      </w:r>
      <w:r w:rsidR="00DE1116">
        <w:t>)</w:t>
      </w:r>
      <w:r w:rsidRPr="003550A8">
        <w:t xml:space="preserve">; </w:t>
      </w:r>
      <w:r w:rsidRPr="003550A8">
        <w:rPr>
          <w:i/>
        </w:rPr>
        <w:t>Commission Seeks Comment on Staff Study Regarding Alternative Contribution Methodologies</w:t>
      </w:r>
      <w:r w:rsidRPr="009454CD">
        <w:t xml:space="preserve">, CC Docket No. 96-45 </w:t>
      </w:r>
      <w:r w:rsidRPr="009454CD">
        <w:rPr>
          <w:i/>
        </w:rPr>
        <w:t>et al.</w:t>
      </w:r>
      <w:r w:rsidRPr="009454CD">
        <w:t>, Public Notice, 18 FCC Rcd 3006 (2003);</w:t>
      </w:r>
      <w:r w:rsidR="002874CE" w:rsidRPr="009454CD">
        <w:t xml:space="preserve"> </w:t>
      </w:r>
      <w:r w:rsidRPr="009454CD">
        <w:rPr>
          <w:i/>
        </w:rPr>
        <w:t>High Cost Universal Service Support et al.</w:t>
      </w:r>
      <w:r w:rsidRPr="009454CD">
        <w:t xml:space="preserve">, CC Docket No. 96-45 </w:t>
      </w:r>
      <w:r w:rsidRPr="009454CD">
        <w:rPr>
          <w:i/>
        </w:rPr>
        <w:t>et al.</w:t>
      </w:r>
      <w:r w:rsidRPr="009454CD">
        <w:t>, Order on Remand and Report and Order and Further Notice of Proposed Rulemaking, 24 FCC Rcd 6475,</w:t>
      </w:r>
      <w:r w:rsidR="000657A7" w:rsidRPr="009454CD">
        <w:t xml:space="preserve"> 6536–64, paras. 92–156 (2008)</w:t>
      </w:r>
      <w:r w:rsidRPr="009454CD">
        <w:t xml:space="preserve"> (App. A); </w:t>
      </w:r>
      <w:r w:rsidRPr="009454CD">
        <w:rPr>
          <w:i/>
        </w:rPr>
        <w:t>id.</w:t>
      </w:r>
      <w:r w:rsidRPr="009454CD">
        <w:t xml:space="preserve"> at 6669–95, paras. 39–104 (App. B); </w:t>
      </w:r>
      <w:r w:rsidRPr="009454CD">
        <w:rPr>
          <w:i/>
        </w:rPr>
        <w:t>id.</w:t>
      </w:r>
      <w:r w:rsidRPr="009454CD">
        <w:t xml:space="preserve"> at 6735–6</w:t>
      </w:r>
      <w:r w:rsidR="000657A7" w:rsidRPr="009454CD">
        <w:t>2, paras. 88–151 (App. C)</w:t>
      </w:r>
      <w:r w:rsidR="005555AB" w:rsidRPr="009454CD">
        <w:t>.</w:t>
      </w:r>
    </w:p>
  </w:footnote>
  <w:footnote w:id="7">
    <w:p w14:paraId="418C3314" w14:textId="77777777" w:rsidR="00884AF3" w:rsidRPr="009454CD" w:rsidRDefault="00884AF3">
      <w:pPr>
        <w:pStyle w:val="FootnoteText"/>
      </w:pPr>
      <w:r w:rsidRPr="009454CD">
        <w:rPr>
          <w:rStyle w:val="FootnoteReference"/>
        </w:rPr>
        <w:footnoteRef/>
      </w:r>
      <w:r w:rsidR="00F81B3C" w:rsidRPr="009454CD">
        <w:rPr>
          <w:i/>
        </w:rPr>
        <w:t xml:space="preserve"> </w:t>
      </w:r>
      <w:r w:rsidR="003D2F1C" w:rsidRPr="009454CD">
        <w:rPr>
          <w:i/>
        </w:rPr>
        <w:t xml:space="preserve">See generally </w:t>
      </w:r>
      <w:r w:rsidR="00F81B3C" w:rsidRPr="009454CD">
        <w:rPr>
          <w:i/>
        </w:rPr>
        <w:t xml:space="preserve">2012 </w:t>
      </w:r>
      <w:r w:rsidR="003D2F1C" w:rsidRPr="009454CD">
        <w:rPr>
          <w:i/>
        </w:rPr>
        <w:t>F</w:t>
      </w:r>
      <w:r w:rsidR="00F81B3C" w:rsidRPr="009454CD">
        <w:rPr>
          <w:i/>
        </w:rPr>
        <w:t>NPRM</w:t>
      </w:r>
      <w:r w:rsidRPr="009454CD">
        <w:t xml:space="preserve">, 27 FCC Rcd 5357. </w:t>
      </w:r>
    </w:p>
  </w:footnote>
  <w:footnote w:id="8">
    <w:p w14:paraId="3A905684" w14:textId="77777777" w:rsidR="00E220CB" w:rsidRPr="007E1151" w:rsidRDefault="00E220CB" w:rsidP="004B11D2">
      <w:pPr>
        <w:pStyle w:val="FootnoteText"/>
      </w:pPr>
      <w:r w:rsidRPr="009454CD">
        <w:rPr>
          <w:rStyle w:val="FootnoteReference"/>
        </w:rPr>
        <w:footnoteRef/>
      </w:r>
      <w:r w:rsidRPr="009454CD">
        <w:t xml:space="preserve"> </w:t>
      </w:r>
      <w:r w:rsidR="007E1151">
        <w:t xml:space="preserve">The </w:t>
      </w:r>
      <w:r w:rsidR="007E1151">
        <w:rPr>
          <w:i/>
        </w:rPr>
        <w:t xml:space="preserve">2012 FNPRM </w:t>
      </w:r>
      <w:r w:rsidR="007E1151">
        <w:t>sought comment on four major areas</w:t>
      </w:r>
      <w:r w:rsidRPr="007E1151">
        <w:t xml:space="preserve">: </w:t>
      </w:r>
      <w:r w:rsidR="00DE1116">
        <w:t>(</w:t>
      </w:r>
      <w:r w:rsidRPr="007E1151">
        <w:t xml:space="preserve">1) clarifying and modifying the Commission’s rules on what services and service providers must contribute to the fund; </w:t>
      </w:r>
      <w:r w:rsidR="00DE1116">
        <w:t>(</w:t>
      </w:r>
      <w:r w:rsidRPr="007E1151">
        <w:t xml:space="preserve">2) whether the Commission should reform the current revenues system or adopt an alternative system; </w:t>
      </w:r>
      <w:r w:rsidR="00DE1116">
        <w:t>(</w:t>
      </w:r>
      <w:r w:rsidRPr="007E1151">
        <w:t xml:space="preserve">3) how to improve administration of the contribution system; and </w:t>
      </w:r>
      <w:r w:rsidR="00DE1116">
        <w:t>(</w:t>
      </w:r>
      <w:r w:rsidRPr="007E1151">
        <w:t xml:space="preserve">4) how to improve the contributions methodology with respect to the recovery mechanisms from end users.  </w:t>
      </w:r>
      <w:r w:rsidR="004B11D2" w:rsidRPr="007E1151">
        <w:rPr>
          <w:i/>
        </w:rPr>
        <w:t xml:space="preserve">See </w:t>
      </w:r>
      <w:r w:rsidR="005E287C">
        <w:rPr>
          <w:i/>
        </w:rPr>
        <w:t xml:space="preserve">id. </w:t>
      </w:r>
      <w:r w:rsidR="009C21A5" w:rsidRPr="007E1151">
        <w:t xml:space="preserve">at </w:t>
      </w:r>
      <w:r w:rsidR="001704DD" w:rsidRPr="007E1151">
        <w:t>5374-</w:t>
      </w:r>
      <w:r w:rsidR="00AF66D7" w:rsidRPr="007E1151">
        <w:t>94, paras 28-410.</w:t>
      </w:r>
    </w:p>
  </w:footnote>
  <w:footnote w:id="9">
    <w:p w14:paraId="4E53CE09" w14:textId="77777777" w:rsidR="00E220CB" w:rsidRPr="003550A8" w:rsidRDefault="00E220CB">
      <w:pPr>
        <w:pStyle w:val="FootnoteText"/>
      </w:pPr>
      <w:r w:rsidRPr="003550A8">
        <w:rPr>
          <w:rStyle w:val="FootnoteReference"/>
        </w:rPr>
        <w:footnoteRef/>
      </w:r>
      <w:r w:rsidRPr="003550A8">
        <w:t xml:space="preserve"> </w:t>
      </w:r>
      <w:r w:rsidR="003D2F1C" w:rsidRPr="003550A8">
        <w:rPr>
          <w:i/>
        </w:rPr>
        <w:t xml:space="preserve">Id. </w:t>
      </w:r>
      <w:r w:rsidR="003D2F1C" w:rsidRPr="003550A8">
        <w:t xml:space="preserve">at </w:t>
      </w:r>
      <w:r w:rsidR="001704DD" w:rsidRPr="003550A8">
        <w:t>5372-74, paras. 22-27.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FF13" w14:textId="77777777" w:rsidR="00577465" w:rsidRDefault="00577465"/>
  <w:p w14:paraId="1A2D1A2D" w14:textId="77777777" w:rsidR="00577465" w:rsidRDefault="005774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5BA3" w14:textId="6427B763" w:rsidR="00577465" w:rsidRDefault="00577465" w:rsidP="004A3869">
    <w:pPr>
      <w:pStyle w:val="Header"/>
      <w:pBdr>
        <w:bottom w:val="single" w:sz="12" w:space="1" w:color="auto"/>
      </w:pBdr>
      <w:jc w:val="center"/>
    </w:pPr>
    <w:r>
      <w:tab/>
      <w:t>Federal Communications Commission</w:t>
    </w:r>
    <w:r>
      <w:tab/>
    </w:r>
    <w:r w:rsidR="007E1151">
      <w:t>FCC 14-</w:t>
    </w:r>
    <w:r w:rsidR="00912A9B">
      <w:t>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087D" w14:textId="2E794B55" w:rsidR="00D828DF" w:rsidRDefault="00D828DF" w:rsidP="00D828DF">
    <w:pPr>
      <w:pStyle w:val="Header"/>
      <w:rPr>
        <w:b w:val="0"/>
      </w:rPr>
    </w:pPr>
    <w:r>
      <w:rPr>
        <w:noProof/>
        <w:snapToGrid/>
      </w:rPr>
      <mc:AlternateContent>
        <mc:Choice Requires="wps">
          <w:drawing>
            <wp:anchor distT="0" distB="0" distL="114300" distR="114300" simplePos="0" relativeHeight="251659264" behindDoc="1" locked="0" layoutInCell="0" allowOverlap="1" wp14:anchorId="2813332D" wp14:editId="406A2C14">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14-116</w:t>
    </w:r>
  </w:p>
  <w:p w14:paraId="215E4BF5" w14:textId="060691A4" w:rsidR="00577465" w:rsidRPr="00D828DF" w:rsidRDefault="00577465" w:rsidP="00D8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4D0AD5"/>
    <w:multiLevelType w:val="hybridMultilevel"/>
    <w:tmpl w:val="F24029BE"/>
    <w:lvl w:ilvl="0" w:tplc="04090001">
      <w:start w:val="1"/>
      <w:numFmt w:val="bullet"/>
      <w:lvlText w:val=""/>
      <w:lvlJc w:val="left"/>
      <w:pPr>
        <w:ind w:left="329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1E0E2A"/>
    <w:multiLevelType w:val="hybridMultilevel"/>
    <w:tmpl w:val="1F3A376A"/>
    <w:lvl w:ilvl="0" w:tplc="46FA4268">
      <w:start w:val="19"/>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num>
  <w:num w:numId="24">
    <w:abstractNumId w:val="4"/>
  </w:num>
  <w:num w:numId="25">
    <w:abstractNumId w:val="5"/>
  </w:num>
  <w:num w:numId="26">
    <w:abstractNumId w:val="1"/>
  </w:num>
  <w:num w:numId="27">
    <w:abstractNumId w:val="2"/>
  </w:num>
  <w:num w:numId="28">
    <w:abstractNumId w:val="7"/>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7890"/>
    <w:rsid w:val="0000363C"/>
    <w:rsid w:val="0000542C"/>
    <w:rsid w:val="000127B6"/>
    <w:rsid w:val="00014237"/>
    <w:rsid w:val="000213A9"/>
    <w:rsid w:val="00023C68"/>
    <w:rsid w:val="00025775"/>
    <w:rsid w:val="00032505"/>
    <w:rsid w:val="00033729"/>
    <w:rsid w:val="00044065"/>
    <w:rsid w:val="00047053"/>
    <w:rsid w:val="000506DB"/>
    <w:rsid w:val="00056156"/>
    <w:rsid w:val="00057711"/>
    <w:rsid w:val="000649CF"/>
    <w:rsid w:val="00064C60"/>
    <w:rsid w:val="00064E02"/>
    <w:rsid w:val="000657A7"/>
    <w:rsid w:val="00070708"/>
    <w:rsid w:val="00083680"/>
    <w:rsid w:val="00085821"/>
    <w:rsid w:val="000862F2"/>
    <w:rsid w:val="00094970"/>
    <w:rsid w:val="00094990"/>
    <w:rsid w:val="000A06F1"/>
    <w:rsid w:val="000A0AF3"/>
    <w:rsid w:val="000A10A5"/>
    <w:rsid w:val="000A4551"/>
    <w:rsid w:val="000A6A65"/>
    <w:rsid w:val="000B1506"/>
    <w:rsid w:val="000B1812"/>
    <w:rsid w:val="000B49B8"/>
    <w:rsid w:val="000B6AE4"/>
    <w:rsid w:val="000D19C2"/>
    <w:rsid w:val="000E028A"/>
    <w:rsid w:val="000E3DF0"/>
    <w:rsid w:val="000E7FD7"/>
    <w:rsid w:val="000F3874"/>
    <w:rsid w:val="000F4D50"/>
    <w:rsid w:val="00100AC3"/>
    <w:rsid w:val="00103E9F"/>
    <w:rsid w:val="00106E63"/>
    <w:rsid w:val="001100CD"/>
    <w:rsid w:val="00116F52"/>
    <w:rsid w:val="00125342"/>
    <w:rsid w:val="00125888"/>
    <w:rsid w:val="0013204A"/>
    <w:rsid w:val="00140061"/>
    <w:rsid w:val="00141749"/>
    <w:rsid w:val="00141E40"/>
    <w:rsid w:val="00143BEB"/>
    <w:rsid w:val="0015445D"/>
    <w:rsid w:val="0015560C"/>
    <w:rsid w:val="00160FBF"/>
    <w:rsid w:val="001649A3"/>
    <w:rsid w:val="001704DD"/>
    <w:rsid w:val="00173CBA"/>
    <w:rsid w:val="001754D8"/>
    <w:rsid w:val="00177E1A"/>
    <w:rsid w:val="0018596D"/>
    <w:rsid w:val="001916D5"/>
    <w:rsid w:val="00194921"/>
    <w:rsid w:val="00195D32"/>
    <w:rsid w:val="0019621A"/>
    <w:rsid w:val="00196DDC"/>
    <w:rsid w:val="001973BA"/>
    <w:rsid w:val="00197E20"/>
    <w:rsid w:val="001B349B"/>
    <w:rsid w:val="001C63CD"/>
    <w:rsid w:val="001D3FEE"/>
    <w:rsid w:val="001E0993"/>
    <w:rsid w:val="001E2573"/>
    <w:rsid w:val="001F192C"/>
    <w:rsid w:val="001F2D53"/>
    <w:rsid w:val="001F46B4"/>
    <w:rsid w:val="001F61CC"/>
    <w:rsid w:val="001F703C"/>
    <w:rsid w:val="001F7420"/>
    <w:rsid w:val="002046F7"/>
    <w:rsid w:val="00205AE6"/>
    <w:rsid w:val="00217C86"/>
    <w:rsid w:val="0022693D"/>
    <w:rsid w:val="00236FE8"/>
    <w:rsid w:val="002413DA"/>
    <w:rsid w:val="00252E1F"/>
    <w:rsid w:val="00253F7F"/>
    <w:rsid w:val="0025755B"/>
    <w:rsid w:val="00266917"/>
    <w:rsid w:val="00267546"/>
    <w:rsid w:val="00271ADF"/>
    <w:rsid w:val="00273832"/>
    <w:rsid w:val="002744F0"/>
    <w:rsid w:val="00274674"/>
    <w:rsid w:val="00275261"/>
    <w:rsid w:val="00277B98"/>
    <w:rsid w:val="00282183"/>
    <w:rsid w:val="002874CE"/>
    <w:rsid w:val="00293481"/>
    <w:rsid w:val="002969C3"/>
    <w:rsid w:val="0029793F"/>
    <w:rsid w:val="002A0AB1"/>
    <w:rsid w:val="002A4B41"/>
    <w:rsid w:val="002B0FAE"/>
    <w:rsid w:val="002B3A62"/>
    <w:rsid w:val="002B527B"/>
    <w:rsid w:val="002B586F"/>
    <w:rsid w:val="002C0E9A"/>
    <w:rsid w:val="002C3301"/>
    <w:rsid w:val="002C7E25"/>
    <w:rsid w:val="002D24D3"/>
    <w:rsid w:val="002D3AFD"/>
    <w:rsid w:val="002D61BB"/>
    <w:rsid w:val="002E15CA"/>
    <w:rsid w:val="002E4D92"/>
    <w:rsid w:val="002E72DE"/>
    <w:rsid w:val="002F648E"/>
    <w:rsid w:val="00302BBE"/>
    <w:rsid w:val="00306BBA"/>
    <w:rsid w:val="00314E2A"/>
    <w:rsid w:val="003177CC"/>
    <w:rsid w:val="00320D1A"/>
    <w:rsid w:val="00321D4A"/>
    <w:rsid w:val="00330875"/>
    <w:rsid w:val="00330B69"/>
    <w:rsid w:val="00334C0A"/>
    <w:rsid w:val="003434FC"/>
    <w:rsid w:val="00347A5B"/>
    <w:rsid w:val="00353FEC"/>
    <w:rsid w:val="003550A8"/>
    <w:rsid w:val="00356961"/>
    <w:rsid w:val="00356AD3"/>
    <w:rsid w:val="00360184"/>
    <w:rsid w:val="0036328F"/>
    <w:rsid w:val="00364495"/>
    <w:rsid w:val="00370018"/>
    <w:rsid w:val="00390DE2"/>
    <w:rsid w:val="00394313"/>
    <w:rsid w:val="003957D4"/>
    <w:rsid w:val="00397F9C"/>
    <w:rsid w:val="003A24CB"/>
    <w:rsid w:val="003B21C4"/>
    <w:rsid w:val="003C26F9"/>
    <w:rsid w:val="003C493A"/>
    <w:rsid w:val="003C4A6F"/>
    <w:rsid w:val="003D2D3E"/>
    <w:rsid w:val="003D2F1C"/>
    <w:rsid w:val="003D3128"/>
    <w:rsid w:val="003D4F4F"/>
    <w:rsid w:val="003D5D75"/>
    <w:rsid w:val="003E1DE8"/>
    <w:rsid w:val="003E5042"/>
    <w:rsid w:val="003F178D"/>
    <w:rsid w:val="003F1D27"/>
    <w:rsid w:val="003F404E"/>
    <w:rsid w:val="003F5AF3"/>
    <w:rsid w:val="003F622A"/>
    <w:rsid w:val="0040084E"/>
    <w:rsid w:val="00401E36"/>
    <w:rsid w:val="00403614"/>
    <w:rsid w:val="00416263"/>
    <w:rsid w:val="004165D9"/>
    <w:rsid w:val="00431827"/>
    <w:rsid w:val="0043264D"/>
    <w:rsid w:val="00441470"/>
    <w:rsid w:val="00456644"/>
    <w:rsid w:val="0048275D"/>
    <w:rsid w:val="00486299"/>
    <w:rsid w:val="0049294D"/>
    <w:rsid w:val="004A3614"/>
    <w:rsid w:val="004A3869"/>
    <w:rsid w:val="004A577C"/>
    <w:rsid w:val="004B11D2"/>
    <w:rsid w:val="004C2250"/>
    <w:rsid w:val="004D36F0"/>
    <w:rsid w:val="004D45DA"/>
    <w:rsid w:val="004D53B2"/>
    <w:rsid w:val="004D747A"/>
    <w:rsid w:val="004E4D86"/>
    <w:rsid w:val="004F5BA4"/>
    <w:rsid w:val="005054DA"/>
    <w:rsid w:val="00510384"/>
    <w:rsid w:val="005106C1"/>
    <w:rsid w:val="005124B4"/>
    <w:rsid w:val="0051718D"/>
    <w:rsid w:val="00522D53"/>
    <w:rsid w:val="00523676"/>
    <w:rsid w:val="00526305"/>
    <w:rsid w:val="00540321"/>
    <w:rsid w:val="00541552"/>
    <w:rsid w:val="0054352B"/>
    <w:rsid w:val="00547868"/>
    <w:rsid w:val="005500AF"/>
    <w:rsid w:val="005555AB"/>
    <w:rsid w:val="00560BB4"/>
    <w:rsid w:val="00577465"/>
    <w:rsid w:val="00580F73"/>
    <w:rsid w:val="00595A74"/>
    <w:rsid w:val="005A2301"/>
    <w:rsid w:val="005A26E9"/>
    <w:rsid w:val="005A3056"/>
    <w:rsid w:val="005A3B15"/>
    <w:rsid w:val="005B3C3B"/>
    <w:rsid w:val="005B5DDE"/>
    <w:rsid w:val="005B731C"/>
    <w:rsid w:val="005B783E"/>
    <w:rsid w:val="005E1C40"/>
    <w:rsid w:val="005E287C"/>
    <w:rsid w:val="005F72DD"/>
    <w:rsid w:val="005F7890"/>
    <w:rsid w:val="00602948"/>
    <w:rsid w:val="00610BDA"/>
    <w:rsid w:val="00627443"/>
    <w:rsid w:val="00630DC6"/>
    <w:rsid w:val="006340A7"/>
    <w:rsid w:val="00634120"/>
    <w:rsid w:val="00634578"/>
    <w:rsid w:val="006376C4"/>
    <w:rsid w:val="00641B1D"/>
    <w:rsid w:val="00646275"/>
    <w:rsid w:val="00646A79"/>
    <w:rsid w:val="00652941"/>
    <w:rsid w:val="00656508"/>
    <w:rsid w:val="00661F2D"/>
    <w:rsid w:val="0066293D"/>
    <w:rsid w:val="00665100"/>
    <w:rsid w:val="00671FBC"/>
    <w:rsid w:val="00677CDB"/>
    <w:rsid w:val="00681EB4"/>
    <w:rsid w:val="00684AC6"/>
    <w:rsid w:val="006900DB"/>
    <w:rsid w:val="00691986"/>
    <w:rsid w:val="00691B4F"/>
    <w:rsid w:val="00694BAF"/>
    <w:rsid w:val="006978F3"/>
    <w:rsid w:val="006A0389"/>
    <w:rsid w:val="006A19B4"/>
    <w:rsid w:val="006A48D8"/>
    <w:rsid w:val="006B010D"/>
    <w:rsid w:val="006B0AAA"/>
    <w:rsid w:val="006C3EAD"/>
    <w:rsid w:val="006D00AD"/>
    <w:rsid w:val="006D260B"/>
    <w:rsid w:val="006D2CE5"/>
    <w:rsid w:val="006D2D03"/>
    <w:rsid w:val="006D4E8F"/>
    <w:rsid w:val="006D4FEB"/>
    <w:rsid w:val="006D7F69"/>
    <w:rsid w:val="006E01CA"/>
    <w:rsid w:val="006E1D09"/>
    <w:rsid w:val="006E2D95"/>
    <w:rsid w:val="006E34E8"/>
    <w:rsid w:val="006F14D3"/>
    <w:rsid w:val="006F2F54"/>
    <w:rsid w:val="006F741D"/>
    <w:rsid w:val="006F7E8B"/>
    <w:rsid w:val="007065B3"/>
    <w:rsid w:val="00711750"/>
    <w:rsid w:val="00711E70"/>
    <w:rsid w:val="00715E77"/>
    <w:rsid w:val="00720483"/>
    <w:rsid w:val="00726B32"/>
    <w:rsid w:val="0072784E"/>
    <w:rsid w:val="00733C3F"/>
    <w:rsid w:val="007374AA"/>
    <w:rsid w:val="007544DD"/>
    <w:rsid w:val="0078172E"/>
    <w:rsid w:val="00782E13"/>
    <w:rsid w:val="007844D6"/>
    <w:rsid w:val="007937D6"/>
    <w:rsid w:val="00796C9A"/>
    <w:rsid w:val="007A20B2"/>
    <w:rsid w:val="007A5026"/>
    <w:rsid w:val="007A5468"/>
    <w:rsid w:val="007A57AF"/>
    <w:rsid w:val="007B0FD9"/>
    <w:rsid w:val="007B27A6"/>
    <w:rsid w:val="007B42E4"/>
    <w:rsid w:val="007C12F9"/>
    <w:rsid w:val="007D0E18"/>
    <w:rsid w:val="007D340F"/>
    <w:rsid w:val="007D35B8"/>
    <w:rsid w:val="007E1151"/>
    <w:rsid w:val="007F741F"/>
    <w:rsid w:val="00801FD0"/>
    <w:rsid w:val="0080536F"/>
    <w:rsid w:val="008064E3"/>
    <w:rsid w:val="00817D88"/>
    <w:rsid w:val="008239AE"/>
    <w:rsid w:val="00824A0B"/>
    <w:rsid w:val="00835919"/>
    <w:rsid w:val="00836FCB"/>
    <w:rsid w:val="008450FB"/>
    <w:rsid w:val="00850805"/>
    <w:rsid w:val="00851F1C"/>
    <w:rsid w:val="00864361"/>
    <w:rsid w:val="0086663A"/>
    <w:rsid w:val="00871314"/>
    <w:rsid w:val="00874A03"/>
    <w:rsid w:val="0087590E"/>
    <w:rsid w:val="008761CE"/>
    <w:rsid w:val="008779FA"/>
    <w:rsid w:val="0088134D"/>
    <w:rsid w:val="00884AF3"/>
    <w:rsid w:val="00886395"/>
    <w:rsid w:val="00891207"/>
    <w:rsid w:val="008A2A83"/>
    <w:rsid w:val="008A2E2A"/>
    <w:rsid w:val="008A6350"/>
    <w:rsid w:val="008B00A1"/>
    <w:rsid w:val="008B1428"/>
    <w:rsid w:val="008B1D09"/>
    <w:rsid w:val="008B49B3"/>
    <w:rsid w:val="008B53FA"/>
    <w:rsid w:val="008C479A"/>
    <w:rsid w:val="008C7B4B"/>
    <w:rsid w:val="008C7C35"/>
    <w:rsid w:val="008D022D"/>
    <w:rsid w:val="008D3D78"/>
    <w:rsid w:val="008E1333"/>
    <w:rsid w:val="008E2A77"/>
    <w:rsid w:val="008E4F35"/>
    <w:rsid w:val="00904842"/>
    <w:rsid w:val="0091278F"/>
    <w:rsid w:val="00912A9B"/>
    <w:rsid w:val="009164E7"/>
    <w:rsid w:val="00923681"/>
    <w:rsid w:val="00924071"/>
    <w:rsid w:val="0093074C"/>
    <w:rsid w:val="009318BD"/>
    <w:rsid w:val="00934160"/>
    <w:rsid w:val="00940B0D"/>
    <w:rsid w:val="009454CD"/>
    <w:rsid w:val="0095119E"/>
    <w:rsid w:val="00957167"/>
    <w:rsid w:val="00957AD5"/>
    <w:rsid w:val="00963208"/>
    <w:rsid w:val="009769C6"/>
    <w:rsid w:val="00992BF4"/>
    <w:rsid w:val="00995640"/>
    <w:rsid w:val="00996E09"/>
    <w:rsid w:val="009A71B4"/>
    <w:rsid w:val="009C0855"/>
    <w:rsid w:val="009C1B86"/>
    <w:rsid w:val="009C21A5"/>
    <w:rsid w:val="009C4FA4"/>
    <w:rsid w:val="009C5B69"/>
    <w:rsid w:val="009E4B1A"/>
    <w:rsid w:val="009E733B"/>
    <w:rsid w:val="009E74B7"/>
    <w:rsid w:val="009F1FAF"/>
    <w:rsid w:val="009F32CD"/>
    <w:rsid w:val="00A0181C"/>
    <w:rsid w:val="00A01877"/>
    <w:rsid w:val="00A0244F"/>
    <w:rsid w:val="00A02E18"/>
    <w:rsid w:val="00A12ED7"/>
    <w:rsid w:val="00A15959"/>
    <w:rsid w:val="00A1697B"/>
    <w:rsid w:val="00A279B2"/>
    <w:rsid w:val="00A322CB"/>
    <w:rsid w:val="00A353A4"/>
    <w:rsid w:val="00A3714E"/>
    <w:rsid w:val="00A4206A"/>
    <w:rsid w:val="00A46257"/>
    <w:rsid w:val="00A5162E"/>
    <w:rsid w:val="00A540AE"/>
    <w:rsid w:val="00A55E3A"/>
    <w:rsid w:val="00A7022D"/>
    <w:rsid w:val="00A763AD"/>
    <w:rsid w:val="00A77A5A"/>
    <w:rsid w:val="00A85057"/>
    <w:rsid w:val="00A87519"/>
    <w:rsid w:val="00A92864"/>
    <w:rsid w:val="00A96424"/>
    <w:rsid w:val="00A97E1C"/>
    <w:rsid w:val="00AA2A74"/>
    <w:rsid w:val="00AB3F5F"/>
    <w:rsid w:val="00AC27DF"/>
    <w:rsid w:val="00AC33B3"/>
    <w:rsid w:val="00AC6EB4"/>
    <w:rsid w:val="00AC710D"/>
    <w:rsid w:val="00AE1697"/>
    <w:rsid w:val="00AE516F"/>
    <w:rsid w:val="00AF026D"/>
    <w:rsid w:val="00AF4AEF"/>
    <w:rsid w:val="00AF6162"/>
    <w:rsid w:val="00AF66D7"/>
    <w:rsid w:val="00AF7959"/>
    <w:rsid w:val="00B037FC"/>
    <w:rsid w:val="00B042D3"/>
    <w:rsid w:val="00B05EA6"/>
    <w:rsid w:val="00B10224"/>
    <w:rsid w:val="00B124AF"/>
    <w:rsid w:val="00B153BD"/>
    <w:rsid w:val="00B16172"/>
    <w:rsid w:val="00B2791B"/>
    <w:rsid w:val="00B31FDF"/>
    <w:rsid w:val="00B53070"/>
    <w:rsid w:val="00B53B07"/>
    <w:rsid w:val="00B53E01"/>
    <w:rsid w:val="00B70663"/>
    <w:rsid w:val="00B706D6"/>
    <w:rsid w:val="00B8726B"/>
    <w:rsid w:val="00B94305"/>
    <w:rsid w:val="00B96EE7"/>
    <w:rsid w:val="00BA3E67"/>
    <w:rsid w:val="00BB6F8F"/>
    <w:rsid w:val="00BB7543"/>
    <w:rsid w:val="00BC6AE2"/>
    <w:rsid w:val="00BD39B4"/>
    <w:rsid w:val="00BE757A"/>
    <w:rsid w:val="00BE7A3E"/>
    <w:rsid w:val="00BF0770"/>
    <w:rsid w:val="00BF5802"/>
    <w:rsid w:val="00C041C1"/>
    <w:rsid w:val="00C12CE6"/>
    <w:rsid w:val="00C21251"/>
    <w:rsid w:val="00C223CF"/>
    <w:rsid w:val="00C2518C"/>
    <w:rsid w:val="00C25676"/>
    <w:rsid w:val="00C32ACE"/>
    <w:rsid w:val="00C3423C"/>
    <w:rsid w:val="00C40641"/>
    <w:rsid w:val="00C41BEB"/>
    <w:rsid w:val="00C42BE2"/>
    <w:rsid w:val="00C468C9"/>
    <w:rsid w:val="00C625BD"/>
    <w:rsid w:val="00C650DE"/>
    <w:rsid w:val="00C66CFC"/>
    <w:rsid w:val="00C67735"/>
    <w:rsid w:val="00C70848"/>
    <w:rsid w:val="00C723CF"/>
    <w:rsid w:val="00C724B9"/>
    <w:rsid w:val="00C75527"/>
    <w:rsid w:val="00C76ECF"/>
    <w:rsid w:val="00C83687"/>
    <w:rsid w:val="00C91D63"/>
    <w:rsid w:val="00C96F4A"/>
    <w:rsid w:val="00CA03FB"/>
    <w:rsid w:val="00CA5D3B"/>
    <w:rsid w:val="00CA6BFB"/>
    <w:rsid w:val="00CB12CE"/>
    <w:rsid w:val="00CB4C01"/>
    <w:rsid w:val="00CB4CAB"/>
    <w:rsid w:val="00CB6D09"/>
    <w:rsid w:val="00CC3D99"/>
    <w:rsid w:val="00CD04A7"/>
    <w:rsid w:val="00CD345B"/>
    <w:rsid w:val="00CD3D50"/>
    <w:rsid w:val="00CD5827"/>
    <w:rsid w:val="00CE09CC"/>
    <w:rsid w:val="00CE1CA6"/>
    <w:rsid w:val="00CE6749"/>
    <w:rsid w:val="00CF2F86"/>
    <w:rsid w:val="00CF459A"/>
    <w:rsid w:val="00D03442"/>
    <w:rsid w:val="00D060C9"/>
    <w:rsid w:val="00D32633"/>
    <w:rsid w:val="00D33DDF"/>
    <w:rsid w:val="00D37F3A"/>
    <w:rsid w:val="00D40451"/>
    <w:rsid w:val="00D42375"/>
    <w:rsid w:val="00D548FB"/>
    <w:rsid w:val="00D55136"/>
    <w:rsid w:val="00D63444"/>
    <w:rsid w:val="00D721F7"/>
    <w:rsid w:val="00D752BE"/>
    <w:rsid w:val="00D80C78"/>
    <w:rsid w:val="00D828DF"/>
    <w:rsid w:val="00D86B01"/>
    <w:rsid w:val="00D9745C"/>
    <w:rsid w:val="00DA1CE8"/>
    <w:rsid w:val="00DC6117"/>
    <w:rsid w:val="00DD3F5B"/>
    <w:rsid w:val="00DD3FF7"/>
    <w:rsid w:val="00DE1116"/>
    <w:rsid w:val="00DE123C"/>
    <w:rsid w:val="00DE1558"/>
    <w:rsid w:val="00DF45FF"/>
    <w:rsid w:val="00E00BEA"/>
    <w:rsid w:val="00E074D9"/>
    <w:rsid w:val="00E11C2C"/>
    <w:rsid w:val="00E21C1C"/>
    <w:rsid w:val="00E220CB"/>
    <w:rsid w:val="00E3147E"/>
    <w:rsid w:val="00E51BCA"/>
    <w:rsid w:val="00E6060D"/>
    <w:rsid w:val="00E677A6"/>
    <w:rsid w:val="00E75BF7"/>
    <w:rsid w:val="00E762BE"/>
    <w:rsid w:val="00E83DC4"/>
    <w:rsid w:val="00E859A7"/>
    <w:rsid w:val="00E95DA6"/>
    <w:rsid w:val="00E96C5E"/>
    <w:rsid w:val="00EA79E5"/>
    <w:rsid w:val="00EB513C"/>
    <w:rsid w:val="00EB5F55"/>
    <w:rsid w:val="00EC350E"/>
    <w:rsid w:val="00EC75F9"/>
    <w:rsid w:val="00ED2AC2"/>
    <w:rsid w:val="00ED50A5"/>
    <w:rsid w:val="00ED537E"/>
    <w:rsid w:val="00EE3AFA"/>
    <w:rsid w:val="00EE78D7"/>
    <w:rsid w:val="00EF05DA"/>
    <w:rsid w:val="00EF3BDA"/>
    <w:rsid w:val="00EF64DC"/>
    <w:rsid w:val="00F003D6"/>
    <w:rsid w:val="00F00FED"/>
    <w:rsid w:val="00F01FB2"/>
    <w:rsid w:val="00F02000"/>
    <w:rsid w:val="00F10CAD"/>
    <w:rsid w:val="00F13DAC"/>
    <w:rsid w:val="00F20C9A"/>
    <w:rsid w:val="00F22F1A"/>
    <w:rsid w:val="00F24F83"/>
    <w:rsid w:val="00F258F4"/>
    <w:rsid w:val="00F3062F"/>
    <w:rsid w:val="00F42D98"/>
    <w:rsid w:val="00F54601"/>
    <w:rsid w:val="00F64CE5"/>
    <w:rsid w:val="00F66C62"/>
    <w:rsid w:val="00F67227"/>
    <w:rsid w:val="00F75C37"/>
    <w:rsid w:val="00F80201"/>
    <w:rsid w:val="00F81819"/>
    <w:rsid w:val="00F81B3C"/>
    <w:rsid w:val="00F879F7"/>
    <w:rsid w:val="00F87EFB"/>
    <w:rsid w:val="00F933B3"/>
    <w:rsid w:val="00FA3A1C"/>
    <w:rsid w:val="00FA3AF2"/>
    <w:rsid w:val="00FA493F"/>
    <w:rsid w:val="00FB1530"/>
    <w:rsid w:val="00FB1E19"/>
    <w:rsid w:val="00FB3AEC"/>
    <w:rsid w:val="00FB4200"/>
    <w:rsid w:val="00FC17E7"/>
    <w:rsid w:val="00FE1A5B"/>
    <w:rsid w:val="00FE1BA0"/>
    <w:rsid w:val="00FE2E82"/>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4B9"/>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qFormat/>
    <w:rsid w:val="00C724B9"/>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C724B9"/>
    <w:pPr>
      <w:keepNext/>
      <w:numPr>
        <w:ilvl w:val="1"/>
        <w:numId w:val="24"/>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
    <w:basedOn w:val="Normal"/>
    <w:next w:val="ParaNum"/>
    <w:qFormat/>
    <w:rsid w:val="00C724B9"/>
    <w:pPr>
      <w:keepNext/>
      <w:numPr>
        <w:ilvl w:val="2"/>
        <w:numId w:val="2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724B9"/>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C724B9"/>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C724B9"/>
    <w:pPr>
      <w:numPr>
        <w:ilvl w:val="5"/>
        <w:numId w:val="24"/>
      </w:numPr>
      <w:tabs>
        <w:tab w:val="left" w:pos="4320"/>
      </w:tabs>
      <w:spacing w:after="120"/>
      <w:outlineLvl w:val="5"/>
    </w:pPr>
    <w:rPr>
      <w:b/>
    </w:rPr>
  </w:style>
  <w:style w:type="paragraph" w:styleId="Heading7">
    <w:name w:val="heading 7"/>
    <w:basedOn w:val="Normal"/>
    <w:next w:val="ParaNum"/>
    <w:qFormat/>
    <w:rsid w:val="00C724B9"/>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C724B9"/>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C724B9"/>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2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4B9"/>
  </w:style>
  <w:style w:type="paragraph" w:customStyle="1" w:styleId="ParaNum">
    <w:name w:val="ParaNum"/>
    <w:basedOn w:val="Normal"/>
    <w:link w:val="ParaNumChar"/>
    <w:rsid w:val="00C724B9"/>
    <w:pPr>
      <w:numPr>
        <w:numId w:val="23"/>
      </w:numPr>
      <w:tabs>
        <w:tab w:val="clear" w:pos="1080"/>
        <w:tab w:val="num" w:pos="1440"/>
      </w:tabs>
      <w:spacing w:after="120"/>
    </w:p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 Char"/>
    <w:link w:val="FootnoteTextChar1"/>
    <w:rsid w:val="00C724B9"/>
    <w:pPr>
      <w:spacing w:after="120"/>
    </w:pPr>
  </w:style>
  <w:style w:type="character" w:styleId="FootnoteReference">
    <w:name w:val="footnote reference"/>
    <w:aliases w:val="Style 12,(NECG) Footnote Reference,o,fr,Appel note de bas de p,Style 124,Style 3,Style 17,FR,Style 13,Footnote Reference/,Style 6"/>
    <w:rsid w:val="00C724B9"/>
    <w:rPr>
      <w:rFonts w:ascii="Times New Roman" w:hAnsi="Times New Roman"/>
      <w:dstrike w:val="0"/>
      <w:color w:val="auto"/>
      <w:sz w:val="20"/>
      <w:vertAlign w:val="superscript"/>
    </w:rPr>
  </w:style>
  <w:style w:type="paragraph" w:styleId="Header">
    <w:name w:val="header"/>
    <w:basedOn w:val="Normal"/>
    <w:autoRedefine/>
    <w:rsid w:val="00C724B9"/>
    <w:pPr>
      <w:tabs>
        <w:tab w:val="center" w:pos="4680"/>
        <w:tab w:val="right" w:pos="9360"/>
      </w:tabs>
    </w:pPr>
    <w:rPr>
      <w:b/>
    </w:rPr>
  </w:style>
  <w:style w:type="paragraph" w:styleId="Footer">
    <w:name w:val="footer"/>
    <w:basedOn w:val="Normal"/>
    <w:link w:val="FooterChar"/>
    <w:rsid w:val="00C724B9"/>
    <w:pPr>
      <w:tabs>
        <w:tab w:val="center" w:pos="4320"/>
        <w:tab w:val="right" w:pos="8640"/>
      </w:tabs>
    </w:pPr>
  </w:style>
  <w:style w:type="character" w:styleId="PageNumber">
    <w:name w:val="page number"/>
    <w:basedOn w:val="DefaultParagraphFont"/>
    <w:rsid w:val="00C724B9"/>
  </w:style>
  <w:style w:type="character" w:customStyle="1" w:styleId="FooterChar">
    <w:name w:val="Footer Char"/>
    <w:link w:val="Footer"/>
    <w:rsid w:val="005F7890"/>
    <w:rPr>
      <w:snapToGrid w:val="0"/>
      <w:kern w:val="28"/>
      <w:sz w:val="22"/>
    </w:rPr>
  </w:style>
  <w:style w:type="character" w:customStyle="1" w:styleId="Normal1">
    <w:name w:val="Normal1"/>
    <w:rsid w:val="005F7890"/>
  </w:style>
  <w:style w:type="character" w:customStyle="1" w:styleId="FootnoteTextChar1">
    <w:name w:val="Footnote Text Char1"/>
    <w:aliases w:val="ALTS FOOTNOTE Char,fn Char,Footnote Text Char Char,Footnote Text Char2 Char Char,Footnote Text Char1 Char Char Char,Footnote Text Char Char2 Char Char Char,Footnote Text Char4 Char Char Char Char Char1,Footnote Text Char1 Char Char1"/>
    <w:link w:val="FootnoteText"/>
    <w:rsid w:val="005F7890"/>
  </w:style>
  <w:style w:type="character" w:styleId="Hyperlink">
    <w:name w:val="Hyperlink"/>
    <w:rsid w:val="00C724B9"/>
    <w:rPr>
      <w:color w:val="0000FF"/>
      <w:u w:val="single"/>
    </w:rPr>
  </w:style>
  <w:style w:type="character" w:customStyle="1" w:styleId="rrfootnoteChar1Char">
    <w:name w:val="rrfootnote Char1 Char"/>
    <w:aliases w:val="Footnote Text Char Char Char,rrfootnote Char Char Char,Footnote Text Char4 Char Char Char,Footnote Text Char Char1 Char Char Char,Footnote Text Char4 Char Char Char Char Char,rrfootno Char Char"/>
    <w:rsid w:val="00C83687"/>
    <w:rPr>
      <w:lang w:val="en-US" w:eastAsia="en-US" w:bidi="ar-SA"/>
    </w:rPr>
  </w:style>
  <w:style w:type="paragraph" w:styleId="BalloonText">
    <w:name w:val="Balloon Text"/>
    <w:basedOn w:val="Normal"/>
    <w:semiHidden/>
    <w:rsid w:val="00C625BD"/>
    <w:rPr>
      <w:rFonts w:ascii="Tahoma" w:hAnsi="Tahoma" w:cs="Tahoma"/>
      <w:sz w:val="16"/>
      <w:szCs w:val="16"/>
    </w:rPr>
  </w:style>
  <w:style w:type="paragraph" w:customStyle="1" w:styleId="ParaNumCharChar">
    <w:name w:val="ParaNum Char Char"/>
    <w:basedOn w:val="Normal"/>
    <w:link w:val="ParaNumCharCharChar"/>
    <w:rsid w:val="001E0993"/>
    <w:pPr>
      <w:tabs>
        <w:tab w:val="num" w:pos="1170"/>
        <w:tab w:val="left" w:pos="1440"/>
      </w:tabs>
      <w:spacing w:after="220"/>
      <w:ind w:left="90" w:firstLine="720"/>
      <w:jc w:val="both"/>
    </w:pPr>
  </w:style>
  <w:style w:type="character" w:customStyle="1" w:styleId="ParaNumCharCharChar">
    <w:name w:val="ParaNum Char Char Char"/>
    <w:link w:val="ParaNumCharChar"/>
    <w:rsid w:val="001E0993"/>
    <w:rPr>
      <w:sz w:val="22"/>
      <w:lang w:val="en-US" w:eastAsia="en-US" w:bidi="ar-SA"/>
    </w:rPr>
  </w:style>
  <w:style w:type="character" w:customStyle="1" w:styleId="italics1">
    <w:name w:val="italics1"/>
    <w:rsid w:val="001E0993"/>
    <w:rPr>
      <w:i/>
      <w:iCs/>
    </w:rPr>
  </w:style>
  <w:style w:type="character" w:customStyle="1" w:styleId="StyleParaNum12ptCharChar">
    <w:name w:val="Style ParaNum + 12 pt Char Char"/>
    <w:rsid w:val="001E0993"/>
    <w:rPr>
      <w:sz w:val="24"/>
      <w:lang w:val="en-US" w:eastAsia="en-US" w:bidi="ar-SA"/>
    </w:rPr>
  </w:style>
  <w:style w:type="paragraph" w:customStyle="1" w:styleId="Numberedparagraphs">
    <w:name w:val="Numbered paragraphs"/>
    <w:basedOn w:val="Normal"/>
    <w:rsid w:val="00A96424"/>
    <w:pPr>
      <w:tabs>
        <w:tab w:val="num" w:pos="1080"/>
        <w:tab w:val="left" w:pos="1440"/>
      </w:tabs>
      <w:spacing w:after="220"/>
      <w:ind w:firstLine="720"/>
    </w:pPr>
    <w:rPr>
      <w:sz w:val="24"/>
    </w:rPr>
  </w:style>
  <w:style w:type="character" w:styleId="CommentReference">
    <w:name w:val="annotation reference"/>
    <w:rsid w:val="00B037FC"/>
    <w:rPr>
      <w:sz w:val="16"/>
      <w:szCs w:val="16"/>
    </w:rPr>
  </w:style>
  <w:style w:type="paragraph" w:styleId="CommentText">
    <w:name w:val="annotation text"/>
    <w:basedOn w:val="Normal"/>
    <w:link w:val="CommentTextChar"/>
    <w:rsid w:val="00B037FC"/>
    <w:rPr>
      <w:sz w:val="20"/>
    </w:rPr>
  </w:style>
  <w:style w:type="character" w:customStyle="1" w:styleId="CommentTextChar">
    <w:name w:val="Comment Text Char"/>
    <w:basedOn w:val="DefaultParagraphFont"/>
    <w:link w:val="CommentText"/>
    <w:rsid w:val="00B037FC"/>
  </w:style>
  <w:style w:type="paragraph" w:styleId="CommentSubject">
    <w:name w:val="annotation subject"/>
    <w:basedOn w:val="CommentText"/>
    <w:next w:val="CommentText"/>
    <w:link w:val="CommentSubjectChar"/>
    <w:rsid w:val="00B037FC"/>
    <w:rPr>
      <w:b/>
      <w:bCs/>
    </w:rPr>
  </w:style>
  <w:style w:type="character" w:customStyle="1" w:styleId="CommentSubjectChar">
    <w:name w:val="Comment Subject Char"/>
    <w:link w:val="CommentSubject"/>
    <w:rsid w:val="00B037FC"/>
    <w:rPr>
      <w:b/>
      <w:bCs/>
    </w:rPr>
  </w:style>
  <w:style w:type="character" w:customStyle="1" w:styleId="ParaNumChar">
    <w:name w:val="ParaNum Char"/>
    <w:link w:val="ParaNum"/>
    <w:rsid w:val="001649A3"/>
    <w:rPr>
      <w:snapToGrid w:val="0"/>
      <w:kern w:val="28"/>
      <w:sz w:val="22"/>
    </w:rPr>
  </w:style>
  <w:style w:type="paragraph" w:styleId="NormalWeb">
    <w:name w:val="Normal (Web)"/>
    <w:basedOn w:val="Normal"/>
    <w:rsid w:val="004E4D86"/>
    <w:rPr>
      <w:snapToGrid/>
      <w:sz w:val="24"/>
      <w:szCs w:val="24"/>
    </w:rPr>
  </w:style>
  <w:style w:type="paragraph" w:styleId="Revision">
    <w:name w:val="Revision"/>
    <w:hidden/>
    <w:uiPriority w:val="99"/>
    <w:semiHidden/>
    <w:rsid w:val="00E220CB"/>
    <w:rPr>
      <w:sz w:val="22"/>
    </w:rPr>
  </w:style>
  <w:style w:type="paragraph" w:styleId="EndnoteText">
    <w:name w:val="endnote text"/>
    <w:basedOn w:val="Normal"/>
    <w:link w:val="EndnoteTextChar"/>
    <w:rsid w:val="00C724B9"/>
    <w:rPr>
      <w:sz w:val="20"/>
    </w:rPr>
  </w:style>
  <w:style w:type="character" w:customStyle="1" w:styleId="EndnoteTextChar">
    <w:name w:val="Endnote Text Char"/>
    <w:basedOn w:val="DefaultParagraphFont"/>
    <w:link w:val="EndnoteText"/>
    <w:rsid w:val="00FE2E82"/>
    <w:rPr>
      <w:snapToGrid w:val="0"/>
      <w:kern w:val="28"/>
    </w:rPr>
  </w:style>
  <w:style w:type="character" w:styleId="EndnoteReference">
    <w:name w:val="endnote reference"/>
    <w:rsid w:val="00C724B9"/>
    <w:rPr>
      <w:vertAlign w:val="superscript"/>
    </w:rPr>
  </w:style>
  <w:style w:type="paragraph" w:styleId="TOC1">
    <w:name w:val="toc 1"/>
    <w:basedOn w:val="Normal"/>
    <w:next w:val="Normal"/>
    <w:rsid w:val="00C724B9"/>
    <w:pPr>
      <w:tabs>
        <w:tab w:val="left" w:pos="360"/>
        <w:tab w:val="right" w:leader="dot" w:pos="9360"/>
      </w:tabs>
      <w:suppressAutoHyphens/>
      <w:ind w:left="360" w:right="720" w:hanging="360"/>
    </w:pPr>
    <w:rPr>
      <w:caps/>
      <w:noProof/>
    </w:rPr>
  </w:style>
  <w:style w:type="paragraph" w:styleId="TOC2">
    <w:name w:val="toc 2"/>
    <w:basedOn w:val="Normal"/>
    <w:next w:val="Normal"/>
    <w:rsid w:val="00C724B9"/>
    <w:pPr>
      <w:tabs>
        <w:tab w:val="left" w:pos="720"/>
        <w:tab w:val="right" w:leader="dot" w:pos="9360"/>
      </w:tabs>
      <w:suppressAutoHyphens/>
      <w:ind w:left="720" w:right="720" w:hanging="360"/>
    </w:pPr>
    <w:rPr>
      <w:noProof/>
    </w:rPr>
  </w:style>
  <w:style w:type="paragraph" w:styleId="TOC3">
    <w:name w:val="toc 3"/>
    <w:basedOn w:val="Normal"/>
    <w:next w:val="Normal"/>
    <w:rsid w:val="00C724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24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24B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724B9"/>
    <w:pPr>
      <w:tabs>
        <w:tab w:val="left" w:pos="2160"/>
        <w:tab w:val="right" w:leader="dot" w:pos="9360"/>
      </w:tabs>
      <w:suppressAutoHyphens/>
      <w:ind w:left="2160" w:hanging="360"/>
    </w:pPr>
    <w:rPr>
      <w:noProof/>
    </w:rPr>
  </w:style>
  <w:style w:type="paragraph" w:styleId="TOC7">
    <w:name w:val="toc 7"/>
    <w:basedOn w:val="Normal"/>
    <w:next w:val="Normal"/>
    <w:autoRedefine/>
    <w:rsid w:val="00C724B9"/>
    <w:pPr>
      <w:tabs>
        <w:tab w:val="left" w:pos="2520"/>
        <w:tab w:val="right" w:leader="dot" w:pos="9360"/>
      </w:tabs>
      <w:suppressAutoHyphens/>
      <w:ind w:left="2520" w:hanging="360"/>
    </w:pPr>
    <w:rPr>
      <w:noProof/>
    </w:rPr>
  </w:style>
  <w:style w:type="paragraph" w:styleId="TOC8">
    <w:name w:val="toc 8"/>
    <w:basedOn w:val="Normal"/>
    <w:next w:val="Normal"/>
    <w:autoRedefine/>
    <w:rsid w:val="00C724B9"/>
    <w:pPr>
      <w:tabs>
        <w:tab w:val="left" w:pos="2880"/>
        <w:tab w:val="right" w:leader="dot" w:pos="9360"/>
      </w:tabs>
      <w:suppressAutoHyphens/>
      <w:ind w:left="2880" w:hanging="360"/>
    </w:pPr>
    <w:rPr>
      <w:noProof/>
    </w:rPr>
  </w:style>
  <w:style w:type="paragraph" w:styleId="TOC9">
    <w:name w:val="toc 9"/>
    <w:basedOn w:val="Normal"/>
    <w:next w:val="Normal"/>
    <w:autoRedefine/>
    <w:rsid w:val="00C724B9"/>
    <w:pPr>
      <w:tabs>
        <w:tab w:val="left" w:pos="3240"/>
        <w:tab w:val="right" w:leader="dot" w:pos="9360"/>
      </w:tabs>
      <w:suppressAutoHyphens/>
      <w:ind w:left="3240" w:hanging="360"/>
    </w:pPr>
    <w:rPr>
      <w:noProof/>
    </w:rPr>
  </w:style>
  <w:style w:type="paragraph" w:styleId="TOAHeading">
    <w:name w:val="toa heading"/>
    <w:basedOn w:val="Normal"/>
    <w:next w:val="Normal"/>
    <w:rsid w:val="00C724B9"/>
    <w:pPr>
      <w:tabs>
        <w:tab w:val="right" w:pos="9360"/>
      </w:tabs>
      <w:suppressAutoHyphens/>
    </w:pPr>
  </w:style>
  <w:style w:type="character" w:customStyle="1" w:styleId="EquationCaption">
    <w:name w:val="_Equation Caption"/>
    <w:rsid w:val="00C724B9"/>
  </w:style>
  <w:style w:type="paragraph" w:styleId="BlockText">
    <w:name w:val="Block Text"/>
    <w:basedOn w:val="Normal"/>
    <w:rsid w:val="00C724B9"/>
    <w:pPr>
      <w:spacing w:after="240"/>
      <w:ind w:left="1440" w:right="1440"/>
    </w:pPr>
  </w:style>
  <w:style w:type="paragraph" w:customStyle="1" w:styleId="Paratitle">
    <w:name w:val="Para title"/>
    <w:basedOn w:val="Normal"/>
    <w:rsid w:val="00C724B9"/>
    <w:pPr>
      <w:tabs>
        <w:tab w:val="center" w:pos="9270"/>
      </w:tabs>
      <w:spacing w:after="240"/>
    </w:pPr>
    <w:rPr>
      <w:spacing w:val="-2"/>
    </w:rPr>
  </w:style>
  <w:style w:type="paragraph" w:customStyle="1" w:styleId="Bullet">
    <w:name w:val="Bullet"/>
    <w:basedOn w:val="Normal"/>
    <w:rsid w:val="00C724B9"/>
    <w:pPr>
      <w:tabs>
        <w:tab w:val="left" w:pos="2160"/>
      </w:tabs>
      <w:spacing w:after="220"/>
      <w:ind w:left="2160" w:hanging="720"/>
    </w:pPr>
  </w:style>
  <w:style w:type="paragraph" w:customStyle="1" w:styleId="TableFormat">
    <w:name w:val="TableFormat"/>
    <w:basedOn w:val="Bullet"/>
    <w:rsid w:val="00C724B9"/>
    <w:pPr>
      <w:tabs>
        <w:tab w:val="clear" w:pos="2160"/>
        <w:tab w:val="left" w:pos="5040"/>
      </w:tabs>
      <w:ind w:left="5040" w:hanging="3600"/>
    </w:pPr>
  </w:style>
  <w:style w:type="paragraph" w:customStyle="1" w:styleId="TOCTitle">
    <w:name w:val="TOC Title"/>
    <w:basedOn w:val="Normal"/>
    <w:rsid w:val="00C724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24B9"/>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4B9"/>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qFormat/>
    <w:rsid w:val="00C724B9"/>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C724B9"/>
    <w:pPr>
      <w:keepNext/>
      <w:numPr>
        <w:ilvl w:val="1"/>
        <w:numId w:val="24"/>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
    <w:basedOn w:val="Normal"/>
    <w:next w:val="ParaNum"/>
    <w:qFormat/>
    <w:rsid w:val="00C724B9"/>
    <w:pPr>
      <w:keepNext/>
      <w:numPr>
        <w:ilvl w:val="2"/>
        <w:numId w:val="2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724B9"/>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C724B9"/>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C724B9"/>
    <w:pPr>
      <w:numPr>
        <w:ilvl w:val="5"/>
        <w:numId w:val="24"/>
      </w:numPr>
      <w:tabs>
        <w:tab w:val="left" w:pos="4320"/>
      </w:tabs>
      <w:spacing w:after="120"/>
      <w:outlineLvl w:val="5"/>
    </w:pPr>
    <w:rPr>
      <w:b/>
    </w:rPr>
  </w:style>
  <w:style w:type="paragraph" w:styleId="Heading7">
    <w:name w:val="heading 7"/>
    <w:basedOn w:val="Normal"/>
    <w:next w:val="ParaNum"/>
    <w:qFormat/>
    <w:rsid w:val="00C724B9"/>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C724B9"/>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C724B9"/>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2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24B9"/>
  </w:style>
  <w:style w:type="paragraph" w:customStyle="1" w:styleId="ParaNum">
    <w:name w:val="ParaNum"/>
    <w:basedOn w:val="Normal"/>
    <w:link w:val="ParaNumChar"/>
    <w:rsid w:val="00C724B9"/>
    <w:pPr>
      <w:numPr>
        <w:numId w:val="23"/>
      </w:numPr>
      <w:tabs>
        <w:tab w:val="clear" w:pos="1080"/>
        <w:tab w:val="num" w:pos="1440"/>
      </w:tabs>
      <w:spacing w:after="120"/>
    </w:p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 Char"/>
    <w:link w:val="FootnoteTextChar1"/>
    <w:rsid w:val="00C724B9"/>
    <w:pPr>
      <w:spacing w:after="120"/>
    </w:pPr>
  </w:style>
  <w:style w:type="character" w:styleId="FootnoteReference">
    <w:name w:val="footnote reference"/>
    <w:aliases w:val="Style 12,(NECG) Footnote Reference,o,fr,Appel note de bas de p,Style 124,Style 3,Style 17,FR,Style 13,Footnote Reference/,Style 6"/>
    <w:rsid w:val="00C724B9"/>
    <w:rPr>
      <w:rFonts w:ascii="Times New Roman" w:hAnsi="Times New Roman"/>
      <w:dstrike w:val="0"/>
      <w:color w:val="auto"/>
      <w:sz w:val="20"/>
      <w:vertAlign w:val="superscript"/>
    </w:rPr>
  </w:style>
  <w:style w:type="paragraph" w:styleId="Header">
    <w:name w:val="header"/>
    <w:basedOn w:val="Normal"/>
    <w:autoRedefine/>
    <w:rsid w:val="00C724B9"/>
    <w:pPr>
      <w:tabs>
        <w:tab w:val="center" w:pos="4680"/>
        <w:tab w:val="right" w:pos="9360"/>
      </w:tabs>
    </w:pPr>
    <w:rPr>
      <w:b/>
    </w:rPr>
  </w:style>
  <w:style w:type="paragraph" w:styleId="Footer">
    <w:name w:val="footer"/>
    <w:basedOn w:val="Normal"/>
    <w:link w:val="FooterChar"/>
    <w:rsid w:val="00C724B9"/>
    <w:pPr>
      <w:tabs>
        <w:tab w:val="center" w:pos="4320"/>
        <w:tab w:val="right" w:pos="8640"/>
      </w:tabs>
    </w:pPr>
  </w:style>
  <w:style w:type="character" w:styleId="PageNumber">
    <w:name w:val="page number"/>
    <w:basedOn w:val="DefaultParagraphFont"/>
    <w:rsid w:val="00C724B9"/>
  </w:style>
  <w:style w:type="character" w:customStyle="1" w:styleId="FooterChar">
    <w:name w:val="Footer Char"/>
    <w:link w:val="Footer"/>
    <w:rsid w:val="005F7890"/>
    <w:rPr>
      <w:snapToGrid w:val="0"/>
      <w:kern w:val="28"/>
      <w:sz w:val="22"/>
    </w:rPr>
  </w:style>
  <w:style w:type="character" w:customStyle="1" w:styleId="Normal1">
    <w:name w:val="Normal1"/>
    <w:rsid w:val="005F7890"/>
  </w:style>
  <w:style w:type="character" w:customStyle="1" w:styleId="FootnoteTextChar1">
    <w:name w:val="Footnote Text Char1"/>
    <w:aliases w:val="ALTS FOOTNOTE Char,fn Char,Footnote Text Char Char,Footnote Text Char2 Char Char,Footnote Text Char1 Char Char Char,Footnote Text Char Char2 Char Char Char,Footnote Text Char4 Char Char Char Char Char1,Footnote Text Char1 Char Char1"/>
    <w:link w:val="FootnoteText"/>
    <w:rsid w:val="005F7890"/>
  </w:style>
  <w:style w:type="character" w:styleId="Hyperlink">
    <w:name w:val="Hyperlink"/>
    <w:rsid w:val="00C724B9"/>
    <w:rPr>
      <w:color w:val="0000FF"/>
      <w:u w:val="single"/>
    </w:rPr>
  </w:style>
  <w:style w:type="character" w:customStyle="1" w:styleId="rrfootnoteChar1Char">
    <w:name w:val="rrfootnote Char1 Char"/>
    <w:aliases w:val="Footnote Text Char Char Char,rrfootnote Char Char Char,Footnote Text Char4 Char Char Char,Footnote Text Char Char1 Char Char Char,Footnote Text Char4 Char Char Char Char Char,rrfootno Char Char"/>
    <w:rsid w:val="00C83687"/>
    <w:rPr>
      <w:lang w:val="en-US" w:eastAsia="en-US" w:bidi="ar-SA"/>
    </w:rPr>
  </w:style>
  <w:style w:type="paragraph" w:styleId="BalloonText">
    <w:name w:val="Balloon Text"/>
    <w:basedOn w:val="Normal"/>
    <w:semiHidden/>
    <w:rsid w:val="00C625BD"/>
    <w:rPr>
      <w:rFonts w:ascii="Tahoma" w:hAnsi="Tahoma" w:cs="Tahoma"/>
      <w:sz w:val="16"/>
      <w:szCs w:val="16"/>
    </w:rPr>
  </w:style>
  <w:style w:type="paragraph" w:customStyle="1" w:styleId="ParaNumCharChar">
    <w:name w:val="ParaNum Char Char"/>
    <w:basedOn w:val="Normal"/>
    <w:link w:val="ParaNumCharCharChar"/>
    <w:rsid w:val="001E0993"/>
    <w:pPr>
      <w:tabs>
        <w:tab w:val="num" w:pos="1170"/>
        <w:tab w:val="left" w:pos="1440"/>
      </w:tabs>
      <w:spacing w:after="220"/>
      <w:ind w:left="90" w:firstLine="720"/>
      <w:jc w:val="both"/>
    </w:pPr>
  </w:style>
  <w:style w:type="character" w:customStyle="1" w:styleId="ParaNumCharCharChar">
    <w:name w:val="ParaNum Char Char Char"/>
    <w:link w:val="ParaNumCharChar"/>
    <w:rsid w:val="001E0993"/>
    <w:rPr>
      <w:sz w:val="22"/>
      <w:lang w:val="en-US" w:eastAsia="en-US" w:bidi="ar-SA"/>
    </w:rPr>
  </w:style>
  <w:style w:type="character" w:customStyle="1" w:styleId="italics1">
    <w:name w:val="italics1"/>
    <w:rsid w:val="001E0993"/>
    <w:rPr>
      <w:i/>
      <w:iCs/>
    </w:rPr>
  </w:style>
  <w:style w:type="character" w:customStyle="1" w:styleId="StyleParaNum12ptCharChar">
    <w:name w:val="Style ParaNum + 12 pt Char Char"/>
    <w:rsid w:val="001E0993"/>
    <w:rPr>
      <w:sz w:val="24"/>
      <w:lang w:val="en-US" w:eastAsia="en-US" w:bidi="ar-SA"/>
    </w:rPr>
  </w:style>
  <w:style w:type="paragraph" w:customStyle="1" w:styleId="Numberedparagraphs">
    <w:name w:val="Numbered paragraphs"/>
    <w:basedOn w:val="Normal"/>
    <w:rsid w:val="00A96424"/>
    <w:pPr>
      <w:tabs>
        <w:tab w:val="num" w:pos="1080"/>
        <w:tab w:val="left" w:pos="1440"/>
      </w:tabs>
      <w:spacing w:after="220"/>
      <w:ind w:firstLine="720"/>
    </w:pPr>
    <w:rPr>
      <w:sz w:val="24"/>
    </w:rPr>
  </w:style>
  <w:style w:type="character" w:styleId="CommentReference">
    <w:name w:val="annotation reference"/>
    <w:rsid w:val="00B037FC"/>
    <w:rPr>
      <w:sz w:val="16"/>
      <w:szCs w:val="16"/>
    </w:rPr>
  </w:style>
  <w:style w:type="paragraph" w:styleId="CommentText">
    <w:name w:val="annotation text"/>
    <w:basedOn w:val="Normal"/>
    <w:link w:val="CommentTextChar"/>
    <w:rsid w:val="00B037FC"/>
    <w:rPr>
      <w:sz w:val="20"/>
    </w:rPr>
  </w:style>
  <w:style w:type="character" w:customStyle="1" w:styleId="CommentTextChar">
    <w:name w:val="Comment Text Char"/>
    <w:basedOn w:val="DefaultParagraphFont"/>
    <w:link w:val="CommentText"/>
    <w:rsid w:val="00B037FC"/>
  </w:style>
  <w:style w:type="paragraph" w:styleId="CommentSubject">
    <w:name w:val="annotation subject"/>
    <w:basedOn w:val="CommentText"/>
    <w:next w:val="CommentText"/>
    <w:link w:val="CommentSubjectChar"/>
    <w:rsid w:val="00B037FC"/>
    <w:rPr>
      <w:b/>
      <w:bCs/>
    </w:rPr>
  </w:style>
  <w:style w:type="character" w:customStyle="1" w:styleId="CommentSubjectChar">
    <w:name w:val="Comment Subject Char"/>
    <w:link w:val="CommentSubject"/>
    <w:rsid w:val="00B037FC"/>
    <w:rPr>
      <w:b/>
      <w:bCs/>
    </w:rPr>
  </w:style>
  <w:style w:type="character" w:customStyle="1" w:styleId="ParaNumChar">
    <w:name w:val="ParaNum Char"/>
    <w:link w:val="ParaNum"/>
    <w:rsid w:val="001649A3"/>
    <w:rPr>
      <w:snapToGrid w:val="0"/>
      <w:kern w:val="28"/>
      <w:sz w:val="22"/>
    </w:rPr>
  </w:style>
  <w:style w:type="paragraph" w:styleId="NormalWeb">
    <w:name w:val="Normal (Web)"/>
    <w:basedOn w:val="Normal"/>
    <w:rsid w:val="004E4D86"/>
    <w:rPr>
      <w:snapToGrid/>
      <w:sz w:val="24"/>
      <w:szCs w:val="24"/>
    </w:rPr>
  </w:style>
  <w:style w:type="paragraph" w:styleId="Revision">
    <w:name w:val="Revision"/>
    <w:hidden/>
    <w:uiPriority w:val="99"/>
    <w:semiHidden/>
    <w:rsid w:val="00E220CB"/>
    <w:rPr>
      <w:sz w:val="22"/>
    </w:rPr>
  </w:style>
  <w:style w:type="paragraph" w:styleId="EndnoteText">
    <w:name w:val="endnote text"/>
    <w:basedOn w:val="Normal"/>
    <w:link w:val="EndnoteTextChar"/>
    <w:rsid w:val="00C724B9"/>
    <w:rPr>
      <w:sz w:val="20"/>
    </w:rPr>
  </w:style>
  <w:style w:type="character" w:customStyle="1" w:styleId="EndnoteTextChar">
    <w:name w:val="Endnote Text Char"/>
    <w:basedOn w:val="DefaultParagraphFont"/>
    <w:link w:val="EndnoteText"/>
    <w:rsid w:val="00FE2E82"/>
    <w:rPr>
      <w:snapToGrid w:val="0"/>
      <w:kern w:val="28"/>
    </w:rPr>
  </w:style>
  <w:style w:type="character" w:styleId="EndnoteReference">
    <w:name w:val="endnote reference"/>
    <w:rsid w:val="00C724B9"/>
    <w:rPr>
      <w:vertAlign w:val="superscript"/>
    </w:rPr>
  </w:style>
  <w:style w:type="paragraph" w:styleId="TOC1">
    <w:name w:val="toc 1"/>
    <w:basedOn w:val="Normal"/>
    <w:next w:val="Normal"/>
    <w:rsid w:val="00C724B9"/>
    <w:pPr>
      <w:tabs>
        <w:tab w:val="left" w:pos="360"/>
        <w:tab w:val="right" w:leader="dot" w:pos="9360"/>
      </w:tabs>
      <w:suppressAutoHyphens/>
      <w:ind w:left="360" w:right="720" w:hanging="360"/>
    </w:pPr>
    <w:rPr>
      <w:caps/>
      <w:noProof/>
    </w:rPr>
  </w:style>
  <w:style w:type="paragraph" w:styleId="TOC2">
    <w:name w:val="toc 2"/>
    <w:basedOn w:val="Normal"/>
    <w:next w:val="Normal"/>
    <w:rsid w:val="00C724B9"/>
    <w:pPr>
      <w:tabs>
        <w:tab w:val="left" w:pos="720"/>
        <w:tab w:val="right" w:leader="dot" w:pos="9360"/>
      </w:tabs>
      <w:suppressAutoHyphens/>
      <w:ind w:left="720" w:right="720" w:hanging="360"/>
    </w:pPr>
    <w:rPr>
      <w:noProof/>
    </w:rPr>
  </w:style>
  <w:style w:type="paragraph" w:styleId="TOC3">
    <w:name w:val="toc 3"/>
    <w:basedOn w:val="Normal"/>
    <w:next w:val="Normal"/>
    <w:rsid w:val="00C724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724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724B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724B9"/>
    <w:pPr>
      <w:tabs>
        <w:tab w:val="left" w:pos="2160"/>
        <w:tab w:val="right" w:leader="dot" w:pos="9360"/>
      </w:tabs>
      <w:suppressAutoHyphens/>
      <w:ind w:left="2160" w:hanging="360"/>
    </w:pPr>
    <w:rPr>
      <w:noProof/>
    </w:rPr>
  </w:style>
  <w:style w:type="paragraph" w:styleId="TOC7">
    <w:name w:val="toc 7"/>
    <w:basedOn w:val="Normal"/>
    <w:next w:val="Normal"/>
    <w:autoRedefine/>
    <w:rsid w:val="00C724B9"/>
    <w:pPr>
      <w:tabs>
        <w:tab w:val="left" w:pos="2520"/>
        <w:tab w:val="right" w:leader="dot" w:pos="9360"/>
      </w:tabs>
      <w:suppressAutoHyphens/>
      <w:ind w:left="2520" w:hanging="360"/>
    </w:pPr>
    <w:rPr>
      <w:noProof/>
    </w:rPr>
  </w:style>
  <w:style w:type="paragraph" w:styleId="TOC8">
    <w:name w:val="toc 8"/>
    <w:basedOn w:val="Normal"/>
    <w:next w:val="Normal"/>
    <w:autoRedefine/>
    <w:rsid w:val="00C724B9"/>
    <w:pPr>
      <w:tabs>
        <w:tab w:val="left" w:pos="2880"/>
        <w:tab w:val="right" w:leader="dot" w:pos="9360"/>
      </w:tabs>
      <w:suppressAutoHyphens/>
      <w:ind w:left="2880" w:hanging="360"/>
    </w:pPr>
    <w:rPr>
      <w:noProof/>
    </w:rPr>
  </w:style>
  <w:style w:type="paragraph" w:styleId="TOC9">
    <w:name w:val="toc 9"/>
    <w:basedOn w:val="Normal"/>
    <w:next w:val="Normal"/>
    <w:autoRedefine/>
    <w:rsid w:val="00C724B9"/>
    <w:pPr>
      <w:tabs>
        <w:tab w:val="left" w:pos="3240"/>
        <w:tab w:val="right" w:leader="dot" w:pos="9360"/>
      </w:tabs>
      <w:suppressAutoHyphens/>
      <w:ind w:left="3240" w:hanging="360"/>
    </w:pPr>
    <w:rPr>
      <w:noProof/>
    </w:rPr>
  </w:style>
  <w:style w:type="paragraph" w:styleId="TOAHeading">
    <w:name w:val="toa heading"/>
    <w:basedOn w:val="Normal"/>
    <w:next w:val="Normal"/>
    <w:rsid w:val="00C724B9"/>
    <w:pPr>
      <w:tabs>
        <w:tab w:val="right" w:pos="9360"/>
      </w:tabs>
      <w:suppressAutoHyphens/>
    </w:pPr>
  </w:style>
  <w:style w:type="character" w:customStyle="1" w:styleId="EquationCaption">
    <w:name w:val="_Equation Caption"/>
    <w:rsid w:val="00C724B9"/>
  </w:style>
  <w:style w:type="paragraph" w:styleId="BlockText">
    <w:name w:val="Block Text"/>
    <w:basedOn w:val="Normal"/>
    <w:rsid w:val="00C724B9"/>
    <w:pPr>
      <w:spacing w:after="240"/>
      <w:ind w:left="1440" w:right="1440"/>
    </w:pPr>
  </w:style>
  <w:style w:type="paragraph" w:customStyle="1" w:styleId="Paratitle">
    <w:name w:val="Para title"/>
    <w:basedOn w:val="Normal"/>
    <w:rsid w:val="00C724B9"/>
    <w:pPr>
      <w:tabs>
        <w:tab w:val="center" w:pos="9270"/>
      </w:tabs>
      <w:spacing w:after="240"/>
    </w:pPr>
    <w:rPr>
      <w:spacing w:val="-2"/>
    </w:rPr>
  </w:style>
  <w:style w:type="paragraph" w:customStyle="1" w:styleId="Bullet">
    <w:name w:val="Bullet"/>
    <w:basedOn w:val="Normal"/>
    <w:rsid w:val="00C724B9"/>
    <w:pPr>
      <w:tabs>
        <w:tab w:val="left" w:pos="2160"/>
      </w:tabs>
      <w:spacing w:after="220"/>
      <w:ind w:left="2160" w:hanging="720"/>
    </w:pPr>
  </w:style>
  <w:style w:type="paragraph" w:customStyle="1" w:styleId="TableFormat">
    <w:name w:val="TableFormat"/>
    <w:basedOn w:val="Bullet"/>
    <w:rsid w:val="00C724B9"/>
    <w:pPr>
      <w:tabs>
        <w:tab w:val="clear" w:pos="2160"/>
        <w:tab w:val="left" w:pos="5040"/>
      </w:tabs>
      <w:ind w:left="5040" w:hanging="3600"/>
    </w:pPr>
  </w:style>
  <w:style w:type="paragraph" w:customStyle="1" w:styleId="TOCTitle">
    <w:name w:val="TOC Title"/>
    <w:basedOn w:val="Normal"/>
    <w:rsid w:val="00C724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24B9"/>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151&amp;FindType=L" TargetMode="External"/><Relationship Id="rId13" Type="http://schemas.openxmlformats.org/officeDocument/2006/relationships/hyperlink" Target="http://www.westlaw.com/Find/Default.wl?rs=dfa1.0&amp;vr=2.0&amp;DB=1000546&amp;DocName=47USCAS4&amp;FindType=L" TargetMode="External"/><Relationship Id="rId18" Type="http://schemas.openxmlformats.org/officeDocument/2006/relationships/hyperlink" Target="http://www.westlaw.com/Find/Default.wl?rs=dfa1.0&amp;vr=2.0&amp;DB=1000546&amp;DocName=47USCAS254&amp;FindType=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1&amp;FindType=L" TargetMode="External"/><Relationship Id="rId17" Type="http://schemas.openxmlformats.org/officeDocument/2006/relationships/hyperlink" Target="http://www.westlaw.com/Find/Default.wl?rs=dfa1.0&amp;vr=2.0&amp;DB=1000546&amp;DocName=47USCAS154&amp;FindType=L&amp;ReferencePositionType=T&amp;ReferencePosition=SP_267600008f86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westlaw.com/Find/Default.wl?rs=dfa1.0&amp;vr=2.0&amp;DB=1000546&amp;DocName=47USCAS151&amp;FindType=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410&amp;FindType=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estlaw.com/Find/Default.wl?rs=dfa1.0&amp;vr=2.0&amp;DB=1000546&amp;DocName=47USCAS410&amp;FindType=L" TargetMode="External"/><Relationship Id="rId23" Type="http://schemas.openxmlformats.org/officeDocument/2006/relationships/footer" Target="footer2.xml"/><Relationship Id="rId10" Type="http://schemas.openxmlformats.org/officeDocument/2006/relationships/hyperlink" Target="http://www.westlaw.com/Find/Default.wl?rs=dfa1.0&amp;vr=2.0&amp;DB=1000546&amp;DocName=47USCAS254&amp;FindType=L" TargetMode="External"/><Relationship Id="rId19" Type="http://schemas.openxmlformats.org/officeDocument/2006/relationships/hyperlink" Target="http://www.westlaw.com/Find/Default.wl?rs=dfa1.0&amp;vr=2.0&amp;DB=1000546&amp;DocName=47USCAS410&amp;FindType=L" TargetMode="Externa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154&amp;FindType=L&amp;ReferencePositionType=T&amp;ReferencePosition=SP_267600008f864" TargetMode="External"/><Relationship Id="rId14" Type="http://schemas.openxmlformats.org/officeDocument/2006/relationships/hyperlink" Target="http://www.westlaw.com/Find/Default.wl?rs=dfa1.0&amp;vr=2.0&amp;DB=1000546&amp;DocName=47USCAS254&amp;FindType=L"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684</Words>
  <Characters>3754</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4446</CharactersWithSpaces>
  <SharedDoc>false</SharedDoc>
  <HyperlinkBase> </HyperlinkBase>
  <HLinks>
    <vt:vector size="72" baseType="variant">
      <vt:variant>
        <vt:i4>262156</vt:i4>
      </vt:variant>
      <vt:variant>
        <vt:i4>33</vt:i4>
      </vt:variant>
      <vt:variant>
        <vt:i4>0</vt:i4>
      </vt:variant>
      <vt:variant>
        <vt:i4>5</vt:i4>
      </vt:variant>
      <vt:variant>
        <vt:lpwstr>http://www.westlaw.com/Find/Default.wl?rs=dfa1.0&amp;vr=2.0&amp;DB=1000546&amp;DocName=47USCAS410&amp;FindType=L</vt:lpwstr>
      </vt:variant>
      <vt:variant>
        <vt:lpwstr/>
      </vt:variant>
      <vt:variant>
        <vt:i4>14</vt:i4>
      </vt:variant>
      <vt:variant>
        <vt:i4>30</vt:i4>
      </vt:variant>
      <vt:variant>
        <vt:i4>0</vt:i4>
      </vt:variant>
      <vt:variant>
        <vt:i4>5</vt:i4>
      </vt:variant>
      <vt:variant>
        <vt:lpwstr>http://www.westlaw.com/Find/Default.wl?rs=dfa1.0&amp;vr=2.0&amp;DB=1000546&amp;DocName=47USCAS254&amp;FindType=L</vt:lpwstr>
      </vt:variant>
      <vt:variant>
        <vt:lpwstr/>
      </vt:variant>
      <vt:variant>
        <vt:i4>1310844</vt:i4>
      </vt:variant>
      <vt:variant>
        <vt:i4>27</vt:i4>
      </vt:variant>
      <vt:variant>
        <vt:i4>0</vt:i4>
      </vt:variant>
      <vt:variant>
        <vt:i4>5</vt:i4>
      </vt:variant>
      <vt:variant>
        <vt:lpwstr>http://www.westlaw.com/Find/Default.wl?rs=dfa1.0&amp;vr=2.0&amp;DB=1000546&amp;DocName=47USCAS154&amp;FindType=L&amp;ReferencePositionType=T&amp;ReferencePosition=SP_267600008f864</vt:lpwstr>
      </vt:variant>
      <vt:variant>
        <vt:lpwstr/>
      </vt:variant>
      <vt:variant>
        <vt:i4>8</vt:i4>
      </vt:variant>
      <vt:variant>
        <vt:i4>24</vt:i4>
      </vt:variant>
      <vt:variant>
        <vt:i4>0</vt:i4>
      </vt:variant>
      <vt:variant>
        <vt:i4>5</vt:i4>
      </vt:variant>
      <vt:variant>
        <vt:lpwstr>http://www.westlaw.com/Find/Default.wl?rs=dfa1.0&amp;vr=2.0&amp;DB=1000546&amp;DocName=47USCAS151&amp;FindType=L</vt:lpwstr>
      </vt:variant>
      <vt:variant>
        <vt:lpwstr/>
      </vt:variant>
      <vt:variant>
        <vt:i4>262156</vt:i4>
      </vt:variant>
      <vt:variant>
        <vt:i4>21</vt:i4>
      </vt:variant>
      <vt:variant>
        <vt:i4>0</vt:i4>
      </vt:variant>
      <vt:variant>
        <vt:i4>5</vt:i4>
      </vt:variant>
      <vt:variant>
        <vt:lpwstr>http://www.westlaw.com/Find/Default.wl?rs=dfa1.0&amp;vr=2.0&amp;DB=1000546&amp;DocName=47USCAS410&amp;FindType=L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3473468</vt:i4>
      </vt:variant>
      <vt:variant>
        <vt:i4>15</vt:i4>
      </vt:variant>
      <vt:variant>
        <vt:i4>0</vt:i4>
      </vt:variant>
      <vt:variant>
        <vt:i4>5</vt:i4>
      </vt:variant>
      <vt:variant>
        <vt:lpwstr>http://www.westlaw.com/Find/Default.wl?rs=dfa1.0&amp;vr=2.0&amp;DB=1000546&amp;DocName=47USCAS4&amp;FindType=L</vt:lpwstr>
      </vt:variant>
      <vt:variant>
        <vt:lpwstr/>
      </vt:variant>
      <vt:variant>
        <vt:i4>3473465</vt:i4>
      </vt:variant>
      <vt:variant>
        <vt:i4>12</vt:i4>
      </vt:variant>
      <vt:variant>
        <vt:i4>0</vt:i4>
      </vt:variant>
      <vt:variant>
        <vt:i4>5</vt:i4>
      </vt:variant>
      <vt:variant>
        <vt:lpwstr>http://www.westlaw.com/Find/Default.wl?rs=dfa1.0&amp;vr=2.0&amp;DB=1000546&amp;DocName=47USCAS1&amp;FindType=L</vt:lpwstr>
      </vt:variant>
      <vt:variant>
        <vt:lpwstr/>
      </vt:variant>
      <vt:variant>
        <vt:i4>262156</vt:i4>
      </vt:variant>
      <vt:variant>
        <vt:i4>9</vt:i4>
      </vt:variant>
      <vt:variant>
        <vt:i4>0</vt:i4>
      </vt:variant>
      <vt:variant>
        <vt:i4>5</vt:i4>
      </vt:variant>
      <vt:variant>
        <vt:lpwstr>http://www.westlaw.com/Find/Default.wl?rs=dfa1.0&amp;vr=2.0&amp;DB=1000546&amp;DocName=47USCAS410&amp;FindType=L</vt:lpwstr>
      </vt:variant>
      <vt:variant>
        <vt:lpwstr/>
      </vt:variant>
      <vt:variant>
        <vt:i4>14</vt:i4>
      </vt:variant>
      <vt:variant>
        <vt:i4>6</vt:i4>
      </vt:variant>
      <vt:variant>
        <vt:i4>0</vt:i4>
      </vt:variant>
      <vt:variant>
        <vt:i4>5</vt:i4>
      </vt:variant>
      <vt:variant>
        <vt:lpwstr>http://www.westlaw.com/Find/Default.wl?rs=dfa1.0&amp;vr=2.0&amp;DB=1000546&amp;DocName=47USCAS254&amp;FindType=L</vt:lpwstr>
      </vt:variant>
      <vt:variant>
        <vt:lpwstr/>
      </vt:variant>
      <vt:variant>
        <vt:i4>1310844</vt:i4>
      </vt:variant>
      <vt:variant>
        <vt:i4>3</vt:i4>
      </vt:variant>
      <vt:variant>
        <vt:i4>0</vt:i4>
      </vt:variant>
      <vt:variant>
        <vt:i4>5</vt:i4>
      </vt:variant>
      <vt:variant>
        <vt:lpwstr>http://www.westlaw.com/Find/Default.wl?rs=dfa1.0&amp;vr=2.0&amp;DB=1000546&amp;DocName=47USCAS154&amp;FindType=L&amp;ReferencePositionType=T&amp;ReferencePosition=SP_267600008f864</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2014-07-29T16:18:00Z</cp:lastPrinted>
  <dcterms:created xsi:type="dcterms:W3CDTF">2014-08-07T16:23:00Z</dcterms:created>
  <dcterms:modified xsi:type="dcterms:W3CDTF">2014-08-07T16:23:00Z</dcterms:modified>
  <cp:category> </cp:category>
  <cp:contentStatus> </cp:contentStatus>
</cp:coreProperties>
</file>