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60" w:rsidRPr="00975C54" w:rsidRDefault="00211460" w:rsidP="00975C54">
      <w:pPr>
        <w:jc w:val="center"/>
        <w:rPr>
          <w:b/>
        </w:rPr>
      </w:pPr>
      <w:bookmarkStart w:id="0" w:name="_GoBack"/>
      <w:bookmarkEnd w:id="0"/>
      <w:r w:rsidRPr="00975C54">
        <w:rPr>
          <w:b/>
        </w:rPr>
        <w:t>Before the</w:t>
      </w:r>
    </w:p>
    <w:p w:rsidR="00211460" w:rsidRPr="00975C54" w:rsidRDefault="00211460" w:rsidP="00975C54">
      <w:pPr>
        <w:jc w:val="center"/>
        <w:rPr>
          <w:b/>
        </w:rPr>
      </w:pPr>
      <w:r w:rsidRPr="00975C54">
        <w:rPr>
          <w:b/>
        </w:rPr>
        <w:t>Federal Communica</w:t>
      </w:r>
      <w:r w:rsidR="00975C54">
        <w:rPr>
          <w:b/>
        </w:rPr>
        <w:t>tions</w:t>
      </w:r>
      <w:r w:rsidRPr="00975C54">
        <w:rPr>
          <w:b/>
        </w:rPr>
        <w:t xml:space="preserve"> Commission</w:t>
      </w:r>
    </w:p>
    <w:p w:rsidR="00211460" w:rsidRPr="00975C54" w:rsidRDefault="00211460" w:rsidP="00975C54">
      <w:pPr>
        <w:tabs>
          <w:tab w:val="center" w:pos="4680"/>
          <w:tab w:val="left" w:pos="6216"/>
        </w:tabs>
        <w:jc w:val="center"/>
      </w:pPr>
      <w:r w:rsidRPr="00975C54">
        <w:rPr>
          <w:b/>
        </w:rPr>
        <w:t>Washington, D.C.  20554</w:t>
      </w:r>
    </w:p>
    <w:p w:rsidR="00E94291" w:rsidRPr="00150FBA" w:rsidRDefault="00E94291" w:rsidP="00211460"/>
    <w:tbl>
      <w:tblPr>
        <w:tblW w:w="9648" w:type="dxa"/>
        <w:tblLayout w:type="fixed"/>
        <w:tblLook w:val="0000" w:firstRow="0" w:lastRow="0" w:firstColumn="0" w:lastColumn="0" w:noHBand="0" w:noVBand="0"/>
      </w:tblPr>
      <w:tblGrid>
        <w:gridCol w:w="4698"/>
        <w:gridCol w:w="720"/>
        <w:gridCol w:w="4230"/>
      </w:tblGrid>
      <w:tr w:rsidR="00974482" w:rsidRPr="00150FBA" w:rsidTr="00E85B34">
        <w:trPr>
          <w:trHeight w:val="2412"/>
        </w:trPr>
        <w:tc>
          <w:tcPr>
            <w:tcW w:w="4698" w:type="dxa"/>
            <w:shd w:val="clear" w:color="auto" w:fill="auto"/>
          </w:tcPr>
          <w:p w:rsidR="00974482" w:rsidRPr="00975C54" w:rsidRDefault="00974482" w:rsidP="006326B5">
            <w:pPr>
              <w:tabs>
                <w:tab w:val="center" w:pos="2250"/>
              </w:tabs>
            </w:pPr>
            <w:r w:rsidRPr="00975C54">
              <w:t xml:space="preserve">In </w:t>
            </w:r>
            <w:r w:rsidR="00C44110" w:rsidRPr="00975C54">
              <w:t>th</w:t>
            </w:r>
            <w:r w:rsidRPr="00975C54">
              <w:t>e</w:t>
            </w:r>
            <w:r w:rsidR="00C44110" w:rsidRPr="00975C54">
              <w:t xml:space="preserve"> Matter of</w:t>
            </w:r>
            <w:r w:rsidRPr="00975C54">
              <w:t xml:space="preserve">  </w:t>
            </w:r>
            <w:r w:rsidR="00975C54" w:rsidRPr="00975C54">
              <w:tab/>
            </w:r>
          </w:p>
          <w:p w:rsidR="00974482" w:rsidRPr="00975C54" w:rsidRDefault="00974482" w:rsidP="006326B5"/>
          <w:p w:rsidR="00974482" w:rsidRPr="00715960" w:rsidRDefault="00E85B34" w:rsidP="006326B5">
            <w:r w:rsidRPr="00715960">
              <w:t>California State University, Long Beach</w:t>
            </w:r>
            <w:r w:rsidR="008D60E3" w:rsidRPr="00715960">
              <w:t xml:space="preserve"> Foundation</w:t>
            </w:r>
          </w:p>
          <w:p w:rsidR="00974482" w:rsidRPr="00975C54" w:rsidRDefault="00974482" w:rsidP="006326B5"/>
          <w:p w:rsidR="00974482" w:rsidRPr="00975C54" w:rsidRDefault="00B82247" w:rsidP="006326B5">
            <w:r w:rsidRPr="00975C54">
              <w:t xml:space="preserve">Application for </w:t>
            </w:r>
            <w:r w:rsidR="00E85B34" w:rsidRPr="00975C54">
              <w:t xml:space="preserve">a Construction </w:t>
            </w:r>
            <w:r w:rsidRPr="00975C54">
              <w:t xml:space="preserve">Permit </w:t>
            </w:r>
            <w:r w:rsidR="00E85B34" w:rsidRPr="00975C54">
              <w:t>for a Minor Change to Station KKJZ(FM), Long Beach, California</w:t>
            </w:r>
          </w:p>
          <w:p w:rsidR="00974482" w:rsidRPr="00975C54" w:rsidRDefault="00974482" w:rsidP="006326B5">
            <w:pPr>
              <w:tabs>
                <w:tab w:val="left" w:pos="960"/>
              </w:tabs>
            </w:pPr>
          </w:p>
        </w:tc>
        <w:tc>
          <w:tcPr>
            <w:tcW w:w="720" w:type="dxa"/>
            <w:shd w:val="clear" w:color="auto" w:fill="auto"/>
          </w:tcPr>
          <w:p w:rsidR="00974482" w:rsidRPr="00975C54" w:rsidRDefault="00974482" w:rsidP="00975C54">
            <w:pPr>
              <w:rPr>
                <w:b/>
              </w:rPr>
            </w:pPr>
            <w:r w:rsidRPr="00975C54">
              <w:rPr>
                <w:b/>
              </w:rPr>
              <w:t>)</w:t>
            </w:r>
          </w:p>
          <w:p w:rsidR="00974482" w:rsidRPr="00975C54" w:rsidRDefault="00974482" w:rsidP="00975C54">
            <w:pPr>
              <w:rPr>
                <w:b/>
              </w:rPr>
            </w:pPr>
            <w:r w:rsidRPr="00975C54">
              <w:rPr>
                <w:b/>
              </w:rPr>
              <w:t>)</w:t>
            </w:r>
          </w:p>
          <w:p w:rsidR="00974482" w:rsidRPr="00975C54" w:rsidRDefault="00974482" w:rsidP="00975C54">
            <w:pPr>
              <w:rPr>
                <w:b/>
              </w:rPr>
            </w:pPr>
            <w:r w:rsidRPr="00975C54">
              <w:rPr>
                <w:b/>
              </w:rPr>
              <w:t>)</w:t>
            </w:r>
          </w:p>
          <w:p w:rsidR="00974482" w:rsidRPr="00975C54" w:rsidRDefault="00974482" w:rsidP="00975C54">
            <w:pPr>
              <w:rPr>
                <w:b/>
              </w:rPr>
            </w:pPr>
            <w:r w:rsidRPr="00975C54">
              <w:rPr>
                <w:b/>
              </w:rPr>
              <w:t>)</w:t>
            </w:r>
          </w:p>
          <w:p w:rsidR="00974482" w:rsidRPr="00975C54" w:rsidRDefault="00974482" w:rsidP="00975C54">
            <w:pPr>
              <w:rPr>
                <w:b/>
              </w:rPr>
            </w:pPr>
            <w:r w:rsidRPr="00975C54">
              <w:rPr>
                <w:b/>
              </w:rPr>
              <w:t>)</w:t>
            </w:r>
          </w:p>
          <w:p w:rsidR="00974482" w:rsidRPr="00975C54" w:rsidRDefault="00974482" w:rsidP="00975C54">
            <w:pPr>
              <w:rPr>
                <w:b/>
              </w:rPr>
            </w:pPr>
            <w:r w:rsidRPr="00975C54">
              <w:rPr>
                <w:b/>
              </w:rPr>
              <w:t>)</w:t>
            </w:r>
          </w:p>
          <w:p w:rsidR="00974482" w:rsidRPr="00975C54" w:rsidRDefault="00974482" w:rsidP="00975C54">
            <w:pPr>
              <w:rPr>
                <w:b/>
              </w:rPr>
            </w:pPr>
            <w:r w:rsidRPr="00975C54">
              <w:rPr>
                <w:b/>
              </w:rPr>
              <w:t>)</w:t>
            </w:r>
          </w:p>
          <w:p w:rsidR="00B82247" w:rsidRDefault="00974482" w:rsidP="00975C54">
            <w:pPr>
              <w:rPr>
                <w:b/>
              </w:rPr>
            </w:pPr>
            <w:r w:rsidRPr="00975C54">
              <w:rPr>
                <w:b/>
              </w:rPr>
              <w:t>)</w:t>
            </w:r>
          </w:p>
          <w:p w:rsidR="00715960" w:rsidRPr="00975C54" w:rsidRDefault="00715960" w:rsidP="00975C54">
            <w:pPr>
              <w:rPr>
                <w:b/>
              </w:rPr>
            </w:pPr>
          </w:p>
        </w:tc>
        <w:tc>
          <w:tcPr>
            <w:tcW w:w="4230" w:type="dxa"/>
            <w:shd w:val="clear" w:color="auto" w:fill="auto"/>
          </w:tcPr>
          <w:p w:rsidR="00B82247" w:rsidRPr="00975C54" w:rsidRDefault="00B82247" w:rsidP="00975C54"/>
          <w:p w:rsidR="00974482" w:rsidRPr="00975C54" w:rsidRDefault="00974482" w:rsidP="00975C54"/>
          <w:p w:rsidR="00974482" w:rsidRPr="00975C54" w:rsidRDefault="00974482" w:rsidP="006326B5">
            <w:r w:rsidRPr="00975C54">
              <w:t xml:space="preserve">File No. </w:t>
            </w:r>
            <w:r w:rsidR="00B82247" w:rsidRPr="00975C54">
              <w:t>BPED-2007</w:t>
            </w:r>
            <w:r w:rsidR="00E85B34" w:rsidRPr="00975C54">
              <w:t>0905ABF</w:t>
            </w:r>
          </w:p>
          <w:p w:rsidR="00974482" w:rsidRPr="00975C54" w:rsidRDefault="00B82247" w:rsidP="006326B5">
            <w:r w:rsidRPr="00975C54">
              <w:t xml:space="preserve">Facility ID No. </w:t>
            </w:r>
            <w:r w:rsidR="00E85B34" w:rsidRPr="00975C54">
              <w:t>8197</w:t>
            </w:r>
            <w:r w:rsidR="00974482" w:rsidRPr="00975C54">
              <w:t xml:space="preserve">                             </w:t>
            </w:r>
          </w:p>
          <w:p w:rsidR="00974482" w:rsidRPr="00975C54" w:rsidRDefault="00974482" w:rsidP="00975C54"/>
          <w:p w:rsidR="00974482" w:rsidRPr="00975C54" w:rsidRDefault="00974482" w:rsidP="00975C54"/>
          <w:p w:rsidR="00974482" w:rsidRPr="00975C54" w:rsidRDefault="00974482" w:rsidP="00975C54"/>
          <w:p w:rsidR="00974482" w:rsidRDefault="00974482" w:rsidP="00975C54">
            <w:pPr>
              <w:tabs>
                <w:tab w:val="left" w:pos="2904"/>
              </w:tabs>
            </w:pPr>
          </w:p>
          <w:p w:rsidR="00612E51" w:rsidRPr="00975C54" w:rsidRDefault="00612E51" w:rsidP="00975C54">
            <w:pPr>
              <w:tabs>
                <w:tab w:val="left" w:pos="2904"/>
              </w:tabs>
            </w:pPr>
          </w:p>
        </w:tc>
      </w:tr>
    </w:tbl>
    <w:p w:rsidR="00211460" w:rsidRPr="00975C54" w:rsidRDefault="00E85B34" w:rsidP="00B82247">
      <w:pPr>
        <w:jc w:val="center"/>
      </w:pPr>
      <w:r w:rsidRPr="00975C54">
        <w:rPr>
          <w:b/>
        </w:rPr>
        <w:t>M</w:t>
      </w:r>
      <w:r w:rsidR="00211460" w:rsidRPr="00975C54">
        <w:rPr>
          <w:b/>
        </w:rPr>
        <w:t>EMORANDUM OPINION AND ORDER</w:t>
      </w:r>
    </w:p>
    <w:p w:rsidR="00227107" w:rsidRDefault="00227107" w:rsidP="00B82247"/>
    <w:p w:rsidR="00A77C70" w:rsidRPr="00975C54" w:rsidRDefault="00A77C70" w:rsidP="00715960">
      <w:pPr>
        <w:tabs>
          <w:tab w:val="left" w:pos="720"/>
          <w:tab w:val="right" w:pos="9360"/>
        </w:tabs>
        <w:suppressAutoHyphens/>
        <w:spacing w:line="227" w:lineRule="auto"/>
        <w:rPr>
          <w:spacing w:val="-2"/>
        </w:rPr>
      </w:pPr>
      <w:r w:rsidRPr="00975C54">
        <w:rPr>
          <w:b/>
          <w:spacing w:val="-2"/>
        </w:rPr>
        <w:t>Adopted:</w:t>
      </w:r>
      <w:r>
        <w:rPr>
          <w:b/>
          <w:spacing w:val="-2"/>
        </w:rPr>
        <w:t xml:space="preserve">  </w:t>
      </w:r>
      <w:r w:rsidR="00715960">
        <w:rPr>
          <w:b/>
          <w:spacing w:val="-2"/>
        </w:rPr>
        <w:t>August 13, 2014</w:t>
      </w:r>
      <w:r w:rsidR="00715960">
        <w:rPr>
          <w:b/>
          <w:spacing w:val="-2"/>
        </w:rPr>
        <w:tab/>
      </w:r>
      <w:r w:rsidRPr="00975C54">
        <w:rPr>
          <w:b/>
          <w:spacing w:val="-2"/>
        </w:rPr>
        <w:t xml:space="preserve">Released:  </w:t>
      </w:r>
      <w:r w:rsidR="00715960">
        <w:rPr>
          <w:b/>
          <w:spacing w:val="-2"/>
        </w:rPr>
        <w:t>August 14, 2014</w:t>
      </w:r>
    </w:p>
    <w:p w:rsidR="00A77C70" w:rsidRDefault="00A77C70" w:rsidP="00211460">
      <w:pPr>
        <w:tabs>
          <w:tab w:val="left" w:pos="1980"/>
          <w:tab w:val="left" w:pos="4680"/>
        </w:tabs>
        <w:rPr>
          <w:b/>
        </w:rPr>
      </w:pPr>
    </w:p>
    <w:p w:rsidR="00211460" w:rsidRDefault="00211460" w:rsidP="00211460">
      <w:pPr>
        <w:tabs>
          <w:tab w:val="left" w:pos="1980"/>
          <w:tab w:val="left" w:pos="4680"/>
        </w:tabs>
      </w:pPr>
      <w:r w:rsidRPr="00975C54">
        <w:t>By the Commission:</w:t>
      </w:r>
      <w:r w:rsidRPr="00975C54">
        <w:tab/>
        <w:t xml:space="preserve"> </w:t>
      </w:r>
    </w:p>
    <w:p w:rsidR="00204FD5" w:rsidRPr="00975C54" w:rsidRDefault="00204FD5" w:rsidP="00211460">
      <w:pPr>
        <w:tabs>
          <w:tab w:val="left" w:pos="1980"/>
          <w:tab w:val="left" w:pos="4680"/>
        </w:tabs>
      </w:pPr>
    </w:p>
    <w:p w:rsidR="009137AD" w:rsidRPr="00975C54" w:rsidRDefault="009137AD" w:rsidP="00BA18E9">
      <w:pPr>
        <w:pStyle w:val="ParaNum"/>
        <w:tabs>
          <w:tab w:val="left" w:pos="2340"/>
        </w:tabs>
      </w:pPr>
      <w:r w:rsidRPr="00975C54">
        <w:t>The Commission has before it a</w:t>
      </w:r>
      <w:r w:rsidR="00C4413A" w:rsidRPr="00975C54">
        <w:t xml:space="preserve"> February </w:t>
      </w:r>
      <w:r w:rsidR="00C52418" w:rsidRPr="00975C54">
        <w:t>5</w:t>
      </w:r>
      <w:r w:rsidR="00C4413A" w:rsidRPr="00975C54">
        <w:t>, 2009, California State University, Long Beach Foundation (“CSULB”) A</w:t>
      </w:r>
      <w:r w:rsidRPr="00975C54">
        <w:t>pplication for Review</w:t>
      </w:r>
      <w:r w:rsidR="00C4413A" w:rsidRPr="00975C54">
        <w:t>.</w:t>
      </w:r>
      <w:r w:rsidRPr="00975C54">
        <w:rPr>
          <w:vertAlign w:val="superscript"/>
        </w:rPr>
        <w:footnoteReference w:id="2"/>
      </w:r>
      <w:r w:rsidR="00C4413A" w:rsidRPr="00975C54">
        <w:t xml:space="preserve">  CSULB seeks</w:t>
      </w:r>
      <w:r w:rsidRPr="00975C54">
        <w:t xml:space="preserve"> review of the</w:t>
      </w:r>
      <w:r w:rsidR="00024322" w:rsidRPr="00975C54">
        <w:t xml:space="preserve"> </w:t>
      </w:r>
      <w:r w:rsidRPr="00975C54">
        <w:t xml:space="preserve">Bureau’s </w:t>
      </w:r>
      <w:r w:rsidR="00F47BB5" w:rsidRPr="00975C54">
        <w:t>December 31, 2008, letter decision</w:t>
      </w:r>
      <w:r w:rsidR="007D6439" w:rsidRPr="00975C54">
        <w:rPr>
          <w:vertAlign w:val="superscript"/>
        </w:rPr>
        <w:footnoteReference w:id="3"/>
      </w:r>
      <w:r w:rsidR="007D6439" w:rsidRPr="00975C54">
        <w:t xml:space="preserve"> </w:t>
      </w:r>
      <w:r w:rsidR="00F47BB5" w:rsidRPr="00975C54">
        <w:t xml:space="preserve">denying reconsideration </w:t>
      </w:r>
      <w:r w:rsidRPr="00975C54">
        <w:t xml:space="preserve">of the Bureau’s </w:t>
      </w:r>
      <w:r w:rsidR="00C4413A" w:rsidRPr="00975C54">
        <w:t xml:space="preserve">December 17, 2007, letter which:  (1) </w:t>
      </w:r>
      <w:r w:rsidR="007D6439" w:rsidRPr="00975C54">
        <w:t>deni</w:t>
      </w:r>
      <w:r w:rsidR="00C4413A" w:rsidRPr="00975C54">
        <w:t xml:space="preserve">ed </w:t>
      </w:r>
      <w:r w:rsidR="007D6439" w:rsidRPr="00975C54">
        <w:t>CSULB’s request for waiver of Section 73.509 of the Commission’s Rules (“Rules”)</w:t>
      </w:r>
      <w:r w:rsidR="00C4413A" w:rsidRPr="00975C54">
        <w:t>;</w:t>
      </w:r>
      <w:r w:rsidR="007D6439" w:rsidRPr="00975C54">
        <w:rPr>
          <w:vertAlign w:val="superscript"/>
        </w:rPr>
        <w:footnoteReference w:id="4"/>
      </w:r>
      <w:r w:rsidR="00C4413A" w:rsidRPr="00975C54">
        <w:t xml:space="preserve"> </w:t>
      </w:r>
      <w:r w:rsidR="007D6439" w:rsidRPr="00975C54">
        <w:t xml:space="preserve">and </w:t>
      </w:r>
      <w:r w:rsidR="00C4413A" w:rsidRPr="00975C54">
        <w:t xml:space="preserve">(2) </w:t>
      </w:r>
      <w:r w:rsidRPr="00975C54">
        <w:t>dismiss</w:t>
      </w:r>
      <w:r w:rsidR="00C4413A" w:rsidRPr="00975C54">
        <w:t>ed</w:t>
      </w:r>
      <w:r w:rsidRPr="00975C54">
        <w:t xml:space="preserve"> CSULB’s application for a minor change to modify effective radiated power, antenna height, and location (“Application”) of its Station KKJZ(FM), Long Beach, California (“Station”)</w:t>
      </w:r>
      <w:r w:rsidR="007D6439" w:rsidRPr="00975C54">
        <w:t>.</w:t>
      </w:r>
      <w:r w:rsidR="007D6439" w:rsidRPr="00975C54">
        <w:rPr>
          <w:vertAlign w:val="superscript"/>
        </w:rPr>
        <w:footnoteReference w:id="5"/>
      </w:r>
      <w:r w:rsidR="000755B7" w:rsidRPr="00975C54">
        <w:t xml:space="preserve">  </w:t>
      </w:r>
      <w:r w:rsidR="00422180" w:rsidRPr="00975C54">
        <w:t xml:space="preserve">For the reasons set forth below, we deny </w:t>
      </w:r>
      <w:r w:rsidR="00FF7D2F" w:rsidRPr="00975C54">
        <w:t xml:space="preserve">in part and dismiss in part </w:t>
      </w:r>
      <w:r w:rsidR="00422180" w:rsidRPr="00975C54">
        <w:t>the Application for Review.</w:t>
      </w:r>
      <w:r w:rsidR="00AE22FF" w:rsidRPr="00975C54">
        <w:rPr>
          <w:rStyle w:val="FootnoteReference"/>
          <w:sz w:val="22"/>
        </w:rPr>
        <w:footnoteReference w:id="6"/>
      </w:r>
      <w:r w:rsidR="00A00122" w:rsidRPr="00975C54">
        <w:t xml:space="preserve"> </w:t>
      </w:r>
      <w:r w:rsidR="0076324B" w:rsidRPr="00975C54">
        <w:t xml:space="preserve">   </w:t>
      </w:r>
    </w:p>
    <w:p w:rsidR="00856B49" w:rsidRPr="00975C54" w:rsidRDefault="008E5A41" w:rsidP="00204FD5">
      <w:pPr>
        <w:pStyle w:val="ParaNum"/>
        <w:keepNext/>
        <w:widowControl/>
      </w:pPr>
      <w:r w:rsidRPr="00975C54">
        <w:t>CSULB</w:t>
      </w:r>
      <w:r w:rsidR="00856B49" w:rsidRPr="00975C54">
        <w:t>’s Application for Review reiterates its arguments below,</w:t>
      </w:r>
      <w:r w:rsidRPr="00975C54">
        <w:rPr>
          <w:rStyle w:val="FootnoteReference"/>
          <w:sz w:val="22"/>
        </w:rPr>
        <w:footnoteReference w:id="7"/>
      </w:r>
      <w:r w:rsidR="00C303CD" w:rsidRPr="00975C54">
        <w:t xml:space="preserve"> </w:t>
      </w:r>
      <w:r w:rsidR="00856B49" w:rsidRPr="00975C54">
        <w:rPr>
          <w:i/>
        </w:rPr>
        <w:t>viz</w:t>
      </w:r>
      <w:r w:rsidR="00856B49" w:rsidRPr="00975C54">
        <w:t>., that</w:t>
      </w:r>
      <w:r w:rsidR="00A104D9" w:rsidRPr="00975C54">
        <w:t>:  (1)</w:t>
      </w:r>
      <w:r w:rsidR="00856B49" w:rsidRPr="00975C54">
        <w:t xml:space="preserve"> the </w:t>
      </w:r>
      <w:r w:rsidR="00C303CD" w:rsidRPr="00975C54">
        <w:rPr>
          <w:i/>
        </w:rPr>
        <w:t xml:space="preserve">Reconsideration </w:t>
      </w:r>
      <w:r w:rsidR="00856B49" w:rsidRPr="00975C54">
        <w:rPr>
          <w:i/>
        </w:rPr>
        <w:t>Decision</w:t>
      </w:r>
      <w:r w:rsidR="00856B49" w:rsidRPr="00975C54">
        <w:t xml:space="preserve"> erred in </w:t>
      </w:r>
      <w:r w:rsidR="00A104D9" w:rsidRPr="00975C54">
        <w:t xml:space="preserve">not granting CSULB’s request for waiver of Section 73.509 of the </w:t>
      </w:r>
      <w:r w:rsidR="007A62F1" w:rsidRPr="00975C54">
        <w:t>Ru</w:t>
      </w:r>
      <w:r w:rsidR="00A104D9" w:rsidRPr="00975C54">
        <w:t xml:space="preserve">les to accept </w:t>
      </w:r>
      <w:r w:rsidR="00C52418" w:rsidRPr="00975C54">
        <w:t>the “</w:t>
      </w:r>
      <w:r w:rsidR="00A104D9" w:rsidRPr="00975C54">
        <w:t xml:space="preserve">more </w:t>
      </w:r>
      <w:r w:rsidR="00C52418" w:rsidRPr="00975C54">
        <w:t xml:space="preserve">up-to-date and </w:t>
      </w:r>
      <w:r w:rsidR="00A104D9" w:rsidRPr="00975C54">
        <w:t>sophisticated</w:t>
      </w:r>
      <w:r w:rsidR="00C52418" w:rsidRPr="00975C54">
        <w:t>”</w:t>
      </w:r>
      <w:r w:rsidR="00A104D9" w:rsidRPr="00975C54">
        <w:t xml:space="preserve"> </w:t>
      </w:r>
      <w:r w:rsidR="00C52418" w:rsidRPr="00975C54">
        <w:t>Longl</w:t>
      </w:r>
      <w:r w:rsidR="000F17A6" w:rsidRPr="00975C54">
        <w:t>e</w:t>
      </w:r>
      <w:r w:rsidR="00C52418" w:rsidRPr="00975C54">
        <w:t>y-Rice</w:t>
      </w:r>
      <w:r w:rsidR="00A104D9" w:rsidRPr="00975C54">
        <w:t xml:space="preserve"> </w:t>
      </w:r>
      <w:r w:rsidR="00FF7D2F" w:rsidRPr="00975C54">
        <w:t xml:space="preserve">signal propagation methodology to allegedly </w:t>
      </w:r>
      <w:r w:rsidR="00A104D9" w:rsidRPr="00975C54">
        <w:t xml:space="preserve">demonstrate </w:t>
      </w:r>
      <w:r w:rsidR="00190F75" w:rsidRPr="00975C54">
        <w:t xml:space="preserve">lack of received interference </w:t>
      </w:r>
      <w:r w:rsidR="00A104D9" w:rsidRPr="00975C54">
        <w:t>from Station KCRY(FM);</w:t>
      </w:r>
      <w:r w:rsidR="00BF3ED8" w:rsidRPr="00975C54">
        <w:rPr>
          <w:rStyle w:val="FootnoteReference"/>
          <w:sz w:val="22"/>
        </w:rPr>
        <w:footnoteReference w:id="8"/>
      </w:r>
      <w:r w:rsidR="00A104D9" w:rsidRPr="00975C54">
        <w:t xml:space="preserve"> (2) </w:t>
      </w:r>
      <w:r w:rsidR="00BA4713" w:rsidRPr="00975C54">
        <w:t xml:space="preserve">the precedent relied on by the Bureau </w:t>
      </w:r>
      <w:r w:rsidR="006929AF" w:rsidRPr="00975C54">
        <w:t>was</w:t>
      </w:r>
      <w:r w:rsidR="00BA4713" w:rsidRPr="00975C54">
        <w:t xml:space="preserve"> </w:t>
      </w:r>
      <w:r w:rsidR="00E6587D" w:rsidRPr="00975C54">
        <w:t>nearly</w:t>
      </w:r>
      <w:r w:rsidR="0041561E">
        <w:t xml:space="preserve"> </w:t>
      </w:r>
      <w:r w:rsidR="00BA4713" w:rsidRPr="00975C54">
        <w:t>1</w:t>
      </w:r>
      <w:r w:rsidR="00E6587D" w:rsidRPr="00975C54">
        <w:t>2</w:t>
      </w:r>
      <w:r w:rsidR="00BA4713" w:rsidRPr="00975C54">
        <w:t xml:space="preserve"> years old and superseded in action taken by both Congress and the Commission that recognizes the sophistication of modern computer analyses;</w:t>
      </w:r>
      <w:r w:rsidR="00BF3ED8" w:rsidRPr="00975C54">
        <w:rPr>
          <w:rStyle w:val="FootnoteReference"/>
          <w:sz w:val="22"/>
        </w:rPr>
        <w:footnoteReference w:id="9"/>
      </w:r>
      <w:r w:rsidR="00BA4713" w:rsidRPr="00975C54">
        <w:t xml:space="preserve"> </w:t>
      </w:r>
      <w:r w:rsidR="00371B37" w:rsidRPr="00975C54">
        <w:t xml:space="preserve">(3) </w:t>
      </w:r>
      <w:r w:rsidR="00BF3ED8" w:rsidRPr="00975C54">
        <w:t xml:space="preserve">the Commission does, in fact, accept supplemental showings in certain circumstances to demonstrate a station’s coverage, and it should do so here </w:t>
      </w:r>
      <w:r w:rsidR="00F47BB5" w:rsidRPr="00975C54">
        <w:t>to determine whether received interference would occur</w:t>
      </w:r>
      <w:r w:rsidR="00BF3ED8" w:rsidRPr="00975C54">
        <w:t>;</w:t>
      </w:r>
      <w:r w:rsidR="002E7D09" w:rsidRPr="00975C54">
        <w:rPr>
          <w:rStyle w:val="FootnoteReference"/>
          <w:sz w:val="22"/>
        </w:rPr>
        <w:footnoteReference w:id="10"/>
      </w:r>
      <w:r w:rsidR="00BF3ED8" w:rsidRPr="00975C54">
        <w:t xml:space="preserve"> (4) </w:t>
      </w:r>
      <w:r w:rsidR="00371B37" w:rsidRPr="00975C54">
        <w:t xml:space="preserve">the Bureau failed to fully evaluate the record before it and thus did not afford CSULB the “hard look” required by </w:t>
      </w:r>
      <w:r w:rsidR="00371B37" w:rsidRPr="00975C54">
        <w:rPr>
          <w:i/>
        </w:rPr>
        <w:t>W</w:t>
      </w:r>
      <w:r w:rsidR="00BB5B0D" w:rsidRPr="00975C54">
        <w:rPr>
          <w:i/>
        </w:rPr>
        <w:t>AIT</w:t>
      </w:r>
      <w:r w:rsidR="00371B37" w:rsidRPr="00975C54">
        <w:rPr>
          <w:i/>
        </w:rPr>
        <w:t xml:space="preserve"> Radio</w:t>
      </w:r>
      <w:r w:rsidR="007D6439" w:rsidRPr="00975C54">
        <w:rPr>
          <w:i/>
        </w:rPr>
        <w:t xml:space="preserve"> v. FCC</w:t>
      </w:r>
      <w:r w:rsidR="00371B37" w:rsidRPr="00975C54">
        <w:t>;</w:t>
      </w:r>
      <w:r w:rsidR="00371B37" w:rsidRPr="00975C54">
        <w:rPr>
          <w:rStyle w:val="FootnoteReference"/>
          <w:sz w:val="22"/>
        </w:rPr>
        <w:footnoteReference w:id="11"/>
      </w:r>
      <w:r w:rsidR="00371B37" w:rsidRPr="00975C54">
        <w:t xml:space="preserve"> and </w:t>
      </w:r>
      <w:r w:rsidR="00BA4713" w:rsidRPr="00975C54">
        <w:t>(</w:t>
      </w:r>
      <w:r w:rsidR="002E7D09" w:rsidRPr="00975C54">
        <w:t>5</w:t>
      </w:r>
      <w:r w:rsidR="00BA4713" w:rsidRPr="00975C54">
        <w:t xml:space="preserve">) the </w:t>
      </w:r>
      <w:r w:rsidR="00CE44EC" w:rsidRPr="00975C54">
        <w:t xml:space="preserve">waiver </w:t>
      </w:r>
      <w:r w:rsidR="005A5E3E" w:rsidRPr="00975C54">
        <w:t xml:space="preserve">request </w:t>
      </w:r>
      <w:r w:rsidR="00CE44EC" w:rsidRPr="00975C54">
        <w:t xml:space="preserve">should be granted because the </w:t>
      </w:r>
      <w:r w:rsidR="00BA4713" w:rsidRPr="00975C54">
        <w:t>Station’s longstanding and unique mainstream jazz programming format needs to reach more listeners to remain economically viable.</w:t>
      </w:r>
      <w:r w:rsidR="00C75A67" w:rsidRPr="00975C54">
        <w:rPr>
          <w:rStyle w:val="FootnoteReference"/>
          <w:sz w:val="22"/>
        </w:rPr>
        <w:footnoteReference w:id="12"/>
      </w:r>
      <w:r w:rsidR="00856B49" w:rsidRPr="00975C54">
        <w:t xml:space="preserve">   </w:t>
      </w:r>
    </w:p>
    <w:p w:rsidR="00091970" w:rsidRDefault="00856B49" w:rsidP="00BA18E9">
      <w:pPr>
        <w:pStyle w:val="ParaNum"/>
      </w:pPr>
      <w:r w:rsidRPr="00975C54">
        <w:t xml:space="preserve"> Upon review of the Application for Review and the entire record, and finding no basis in the Application for Review to modify the </w:t>
      </w:r>
      <w:r w:rsidR="00BA4713" w:rsidRPr="00975C54">
        <w:rPr>
          <w:i/>
        </w:rPr>
        <w:t>Reconsideration</w:t>
      </w:r>
      <w:r w:rsidRPr="00975C54">
        <w:rPr>
          <w:i/>
        </w:rPr>
        <w:t xml:space="preserve"> Decision</w:t>
      </w:r>
      <w:r w:rsidRPr="00975C54">
        <w:t xml:space="preserve">, we conclude that </w:t>
      </w:r>
      <w:r w:rsidR="00BA4713" w:rsidRPr="00975C54">
        <w:t>CSULB</w:t>
      </w:r>
      <w:r w:rsidRPr="00975C54">
        <w:t xml:space="preserve"> has failed to demonstrate that the Bureau erred.  The </w:t>
      </w:r>
      <w:r w:rsidR="00BA4713" w:rsidRPr="00975C54">
        <w:rPr>
          <w:i/>
        </w:rPr>
        <w:t>Reconsideration</w:t>
      </w:r>
      <w:r w:rsidRPr="00975C54">
        <w:rPr>
          <w:i/>
        </w:rPr>
        <w:t xml:space="preserve"> Decision</w:t>
      </w:r>
      <w:r w:rsidRPr="00975C54">
        <w:t xml:space="preserve"> properly decided the matters raised consistent with Commission precedent,</w:t>
      </w:r>
      <w:r w:rsidR="008E5A41" w:rsidRPr="00975C54">
        <w:rPr>
          <w:rStyle w:val="FootnoteReference"/>
          <w:sz w:val="22"/>
        </w:rPr>
        <w:footnoteReference w:id="13"/>
      </w:r>
      <w:r w:rsidR="009376CB" w:rsidRPr="00975C54">
        <w:t xml:space="preserve"> </w:t>
      </w:r>
      <w:r w:rsidRPr="00975C54">
        <w:t xml:space="preserve">and we uphold </w:t>
      </w:r>
      <w:r w:rsidR="00646963">
        <w:t>that</w:t>
      </w:r>
      <w:r w:rsidR="00646963" w:rsidRPr="00975C54">
        <w:t xml:space="preserve"> </w:t>
      </w:r>
      <w:r w:rsidRPr="00975C54">
        <w:t>decision.</w:t>
      </w:r>
      <w:r w:rsidR="000C7DAC" w:rsidRPr="00975C54">
        <w:t xml:space="preserve">  </w:t>
      </w:r>
      <w:r w:rsidR="00396DCC" w:rsidRPr="00975C54">
        <w:t xml:space="preserve">The Bureau has consistently declined to accept </w:t>
      </w:r>
      <w:r w:rsidR="00190F75" w:rsidRPr="00975C54">
        <w:rPr>
          <w:i/>
        </w:rPr>
        <w:t xml:space="preserve">ad hoc </w:t>
      </w:r>
      <w:r w:rsidR="00396DCC" w:rsidRPr="00975C54">
        <w:t xml:space="preserve">supplemental showings </w:t>
      </w:r>
      <w:r w:rsidR="00F47BB5" w:rsidRPr="00975C54">
        <w:t>to demonstrate compliance with contour protection requirements</w:t>
      </w:r>
      <w:r w:rsidR="00396DCC" w:rsidRPr="00975C54">
        <w:t>.</w:t>
      </w:r>
      <w:r w:rsidR="00A63F01">
        <w:rPr>
          <w:rStyle w:val="FootnoteReference"/>
        </w:rPr>
        <w:footnoteReference w:id="14"/>
      </w:r>
      <w:r w:rsidR="00396DCC" w:rsidRPr="00975C54">
        <w:t xml:space="preserve">  </w:t>
      </w:r>
      <w:r w:rsidR="00C01437" w:rsidRPr="00975C54">
        <w:t xml:space="preserve"> </w:t>
      </w:r>
      <w:r w:rsidR="00E21B68">
        <w:t xml:space="preserve">Such </w:t>
      </w:r>
      <w:r w:rsidR="00F11823">
        <w:t xml:space="preserve">showings </w:t>
      </w:r>
      <w:r w:rsidR="00786C4C" w:rsidRPr="00975C54">
        <w:t>make differ</w:t>
      </w:r>
      <w:r w:rsidR="00A77A46" w:rsidRPr="00975C54">
        <w:t>ent</w:t>
      </w:r>
      <w:r w:rsidR="00786C4C" w:rsidRPr="00975C54">
        <w:t xml:space="preserve"> assumptions about the effects of intervening terrain</w:t>
      </w:r>
      <w:r w:rsidR="00C01437" w:rsidRPr="00975C54">
        <w:t xml:space="preserve"> </w:t>
      </w:r>
      <w:r w:rsidR="00DA2E22" w:rsidRPr="009F62CB">
        <w:t>and other</w:t>
      </w:r>
      <w:r w:rsidR="00786C4C" w:rsidRPr="009F62CB">
        <w:t xml:space="preserve"> </w:t>
      </w:r>
      <w:r w:rsidR="00F47BB5" w:rsidRPr="009F62CB">
        <w:t>factors t</w:t>
      </w:r>
      <w:r w:rsidR="00F47BB5" w:rsidRPr="00975C54">
        <w:t>hat can affect signal propagation</w:t>
      </w:r>
      <w:r w:rsidR="0041561E">
        <w:t>,</w:t>
      </w:r>
      <w:r w:rsidR="00F47BB5" w:rsidRPr="00975C54">
        <w:t xml:space="preserve"> and thus</w:t>
      </w:r>
      <w:r w:rsidR="0041561E">
        <w:t>,</w:t>
      </w:r>
      <w:r w:rsidR="00F47BB5" w:rsidRPr="00975C54">
        <w:t xml:space="preserve"> can generate </w:t>
      </w:r>
      <w:r w:rsidR="00C01437" w:rsidRPr="00975C54">
        <w:t>widely differing results</w:t>
      </w:r>
      <w:r w:rsidR="00A77A46" w:rsidRPr="00975C54">
        <w:t>.</w:t>
      </w:r>
      <w:r w:rsidR="000C7DAC" w:rsidRPr="00975C54">
        <w:rPr>
          <w:vertAlign w:val="superscript"/>
        </w:rPr>
        <w:footnoteReference w:id="15"/>
      </w:r>
      <w:r w:rsidR="00C01437" w:rsidRPr="00975C54">
        <w:t xml:space="preserve">  </w:t>
      </w:r>
      <w:r w:rsidR="00190F75" w:rsidRPr="00975C54">
        <w:t xml:space="preserve">We conclude that the Bureau’s decision to reject CSULB’s alternate showing </w:t>
      </w:r>
      <w:r w:rsidR="00C01437" w:rsidRPr="00975C54">
        <w:t xml:space="preserve">in the context of this </w:t>
      </w:r>
      <w:r w:rsidR="00FE3D15" w:rsidRPr="00975C54">
        <w:t>application</w:t>
      </w:r>
      <w:r w:rsidR="00C01437" w:rsidRPr="00975C54">
        <w:t xml:space="preserve"> proceeding</w:t>
      </w:r>
      <w:r w:rsidR="00E6587D" w:rsidRPr="00975C54">
        <w:t xml:space="preserve"> was appropriate</w:t>
      </w:r>
      <w:r w:rsidR="00C52418" w:rsidRPr="00975C54">
        <w:t>.</w:t>
      </w:r>
      <w:r w:rsidR="00B77A54" w:rsidRPr="00975C54">
        <w:rPr>
          <w:rStyle w:val="FootnoteReference"/>
          <w:sz w:val="22"/>
        </w:rPr>
        <w:footnoteReference w:id="16"/>
      </w:r>
      <w:r w:rsidR="00344311" w:rsidRPr="00975C54">
        <w:t xml:space="preserve"> Moreover, the Bureau properly declined to consider CSULB’s arguments concerning the popularity of the Station’s programming format in considering its waiver request</w:t>
      </w:r>
      <w:r w:rsidR="00B64D36">
        <w:t xml:space="preserve"> and we uphold that ruling for the reason stated in the decision</w:t>
      </w:r>
      <w:r w:rsidR="00344311" w:rsidRPr="00975C54">
        <w:t>.</w:t>
      </w:r>
      <w:r w:rsidR="00344311" w:rsidRPr="00975C54">
        <w:rPr>
          <w:rStyle w:val="FootnoteReference"/>
          <w:sz w:val="22"/>
        </w:rPr>
        <w:footnoteReference w:id="17"/>
      </w:r>
    </w:p>
    <w:p w:rsidR="00396FEE" w:rsidRDefault="00396FEE" w:rsidP="0049465E">
      <w:pPr>
        <w:pStyle w:val="ParaNum"/>
      </w:pPr>
      <w:r>
        <w:t xml:space="preserve">However, we take this opportunity to clarify and expand upon the Bureau’s </w:t>
      </w:r>
      <w:r w:rsidR="00E21B68">
        <w:t>reasons for rejecting the waiver request</w:t>
      </w:r>
      <w:r w:rsidR="006B48C2">
        <w:t xml:space="preserve"> based on the alternative propagation showing</w:t>
      </w:r>
      <w:r w:rsidR="00E21B68">
        <w:t>.</w:t>
      </w:r>
      <w:r>
        <w:t xml:space="preserve">  Section 73.509 and Section 73.215(a) establish contour overlap prohibitions for FM non-reserved and reserved band licensing, respectively.  The Commission has carved out several narrow exceptions to these longstanding </w:t>
      </w:r>
      <w:r w:rsidR="00B00B1C">
        <w:t>protection requirements</w:t>
      </w:r>
      <w:r>
        <w:t>.  In the NCE context, the Bureau has delegated authority to waive Section 73.509 in situations (1) involving second- and/or third-adjacent channel overlap (2) where the benefit of increased NCE service heavily outweighs the potential for interference in very small areas.</w:t>
      </w:r>
      <w:r>
        <w:rPr>
          <w:rStyle w:val="FootnoteReference"/>
        </w:rPr>
        <w:footnoteReference w:id="18"/>
      </w:r>
      <w:r>
        <w:t xml:space="preserve">  The co-channel waiver</w:t>
      </w:r>
      <w:r w:rsidR="00E21B68">
        <w:t xml:space="preserve"> proposed by CSULB</w:t>
      </w:r>
      <w:r>
        <w:t>, with more than 1.4 million persons residing in the 993 square kilometer overlap area</w:t>
      </w:r>
      <w:r w:rsidR="008D38A7">
        <w:t xml:space="preserve"> that would result from a waiver</w:t>
      </w:r>
      <w:r>
        <w:t>, satisfies neither of these requirements.  The Commission also has acknowledged that providing new service to underserved areas could provide a basis for a waiver.</w:t>
      </w:r>
      <w:r>
        <w:rPr>
          <w:rStyle w:val="FootnoteReference"/>
        </w:rPr>
        <w:footnoteReference w:id="19"/>
      </w:r>
      <w:r>
        <w:t xml:space="preserve">  In this case, the proposed gain area, covering a portion of the nation’s second largest and very spectrum congested radio market, is abundantly served.  For stations in the non-reserved band, the Commission has stated that it would consider waivers of Section 73.215(a) to allow the use of a multiplexed transmitting antenna,</w:t>
      </w:r>
      <w:r>
        <w:rPr>
          <w:rStyle w:val="FootnoteReference"/>
        </w:rPr>
        <w:footnoteReference w:id="20"/>
      </w:r>
      <w:r>
        <w:t xml:space="preserve"> to facilitate retention of existing service to an underserved area,</w:t>
      </w:r>
      <w:r>
        <w:rPr>
          <w:rStyle w:val="FootnoteReference"/>
        </w:rPr>
        <w:footnoteReference w:id="21"/>
      </w:r>
      <w:r>
        <w:t xml:space="preserve"> or where use of a directional antenna or reduced power at all feasible antenna sites would not avoid the creation of new prohibited overlap.</w:t>
      </w:r>
      <w:r>
        <w:rPr>
          <w:rStyle w:val="FootnoteReference"/>
        </w:rPr>
        <w:footnoteReference w:id="22"/>
      </w:r>
      <w:r>
        <w:t xml:space="preserve">  None of these circumstances is present here.</w:t>
      </w:r>
    </w:p>
    <w:p w:rsidR="00396FEE" w:rsidRDefault="00396FEE" w:rsidP="0049465E">
      <w:pPr>
        <w:pStyle w:val="ParaNum"/>
      </w:pPr>
      <w:r w:rsidRPr="00396FEE">
        <w:t>Rather, CSULB grounds its waiver request on the fact that its supplemental showing generates different predicted interference results</w:t>
      </w:r>
      <w:r w:rsidR="000258D3">
        <w:t xml:space="preserve"> than the propagation methodology reflected in our rules</w:t>
      </w:r>
      <w:r w:rsidRPr="00396FEE">
        <w:t xml:space="preserve">.  </w:t>
      </w:r>
      <w:r w:rsidR="00B01A38">
        <w:t>Thus</w:t>
      </w:r>
      <w:r w:rsidRPr="00396FEE">
        <w:t>, a grant of the requested waiver, unlike</w:t>
      </w:r>
      <w:r w:rsidR="00E21B68">
        <w:t xml:space="preserve"> </w:t>
      </w:r>
      <w:r w:rsidR="000258D3">
        <w:t xml:space="preserve">a </w:t>
      </w:r>
      <w:r w:rsidR="00E21B68">
        <w:t>waiver on</w:t>
      </w:r>
      <w:r w:rsidRPr="00396FEE">
        <w:t xml:space="preserve"> the narrow grounds noted above, would open the door to waivers </w:t>
      </w:r>
      <w:r w:rsidRPr="00015EAA">
        <w:t>whenever</w:t>
      </w:r>
      <w:r w:rsidRPr="00396FEE">
        <w:rPr>
          <w:i/>
        </w:rPr>
        <w:t xml:space="preserve"> </w:t>
      </w:r>
      <w:r w:rsidRPr="00396FEE">
        <w:t>there are “discrepancies” between the chosen alternate and standard methodologies.  As an initial matter</w:t>
      </w:r>
      <w:r w:rsidR="00D4395C">
        <w:t>,</w:t>
      </w:r>
      <w:r w:rsidRPr="00396FEE">
        <w:t xml:space="preserve"> we note that hundreds of stations operating in mountainous areas could make similar terrain-related showings and therefore that CSULB has failed to show the requisite “special circumstances” for waiver.</w:t>
      </w:r>
      <w:r w:rsidRPr="00396FEE">
        <w:rPr>
          <w:vertAlign w:val="superscript"/>
        </w:rPr>
        <w:footnoteReference w:id="23"/>
      </w:r>
      <w:r w:rsidRPr="00396FEE">
        <w:t xml:space="preserve">  More importantly, the Commission has previously identified the fundamental flaw in CSULB’s reasoning:</w:t>
      </w:r>
    </w:p>
    <w:p w:rsidR="00E21B68" w:rsidRDefault="00396FEE" w:rsidP="00EE39E6">
      <w:pPr>
        <w:widowControl/>
        <w:tabs>
          <w:tab w:val="left" w:pos="0"/>
        </w:tabs>
        <w:spacing w:after="120"/>
        <w:ind w:left="720" w:right="720"/>
      </w:pPr>
      <w:r w:rsidRPr="00396FEE">
        <w:t>To employ supplemental showings for FM stations in this manner would represent a fundamental change as to how contour protection applications are processed, and would require a separate rulemaking proceeding to specify standards, methods and assumptions, and possibly revised definitions for protected service areas and interference . . . .</w:t>
      </w:r>
      <w:r w:rsidRPr="00396FEE">
        <w:rPr>
          <w:vertAlign w:val="superscript"/>
        </w:rPr>
        <w:footnoteReference w:id="24"/>
      </w:r>
      <w:r w:rsidRPr="00396FEE">
        <w:t xml:space="preserve"> </w:t>
      </w:r>
    </w:p>
    <w:p w:rsidR="00E21B68" w:rsidRDefault="00064D81" w:rsidP="00715960">
      <w:pPr>
        <w:pStyle w:val="ParaNum"/>
        <w:numPr>
          <w:ilvl w:val="0"/>
          <w:numId w:val="0"/>
        </w:numPr>
      </w:pPr>
      <w:r>
        <w:t xml:space="preserve">Much is at stake here.  Grant of the proposed waiver </w:t>
      </w:r>
      <w:r w:rsidR="000258D3">
        <w:t>could</w:t>
      </w:r>
      <w:r>
        <w:t xml:space="preserve"> potentially lessen the protections that</w:t>
      </w:r>
      <w:r w:rsidR="00715960">
        <w:t xml:space="preserve"> </w:t>
      </w:r>
      <w:r w:rsidR="00245BAE">
        <w:t xml:space="preserve">hundreds </w:t>
      </w:r>
      <w:r>
        <w:t xml:space="preserve">– perhaps thousands – of stations now enjoy under Sections 73.509 and 73.215(a).  The fact that an alternate methodology generates different results does not demonstrate that it </w:t>
      </w:r>
      <w:r w:rsidR="00151292">
        <w:t>is</w:t>
      </w:r>
      <w:r>
        <w:t xml:space="preserve"> a more appropriate standard or otherwise provide a sufficient reason to make fundamental changes in our FM station protection policies.  </w:t>
      </w:r>
      <w:r w:rsidR="00E21B68">
        <w:t xml:space="preserve">Given the complex engineering considerations involved </w:t>
      </w:r>
      <w:r w:rsidR="00151292">
        <w:t xml:space="preserve">in crafting interference protection standards </w:t>
      </w:r>
      <w:r w:rsidR="00E21B68">
        <w:t>and the absence of an approved alternative propagation methodology for predicting FM interference, the arguments raised here would more appropriat</w:t>
      </w:r>
      <w:r w:rsidR="006204A1">
        <w:t>ely</w:t>
      </w:r>
      <w:r w:rsidR="00E21B68">
        <w:t xml:space="preserve"> be addressed in a notice and comment rulemaking proceeding.</w:t>
      </w:r>
      <w:r w:rsidR="00E21B68">
        <w:rPr>
          <w:rStyle w:val="FootnoteReference"/>
        </w:rPr>
        <w:footnoteReference w:id="25"/>
      </w:r>
    </w:p>
    <w:p w:rsidR="00884F25" w:rsidRDefault="00856B49" w:rsidP="0049465E">
      <w:pPr>
        <w:pStyle w:val="ParaNum"/>
      </w:pPr>
      <w:r w:rsidRPr="003F5274">
        <w:t xml:space="preserve">Accordingly, IT IS ORDERED, that pursuant to Section 5(c)(5) of the Act, </w:t>
      </w:r>
      <w:r w:rsidR="00C52418" w:rsidRPr="003F5274">
        <w:t>47 U.S.C. §</w:t>
      </w:r>
      <w:r w:rsidR="003F5274" w:rsidRPr="003F5274">
        <w:t xml:space="preserve"> </w:t>
      </w:r>
      <w:r w:rsidR="00C52418" w:rsidRPr="003F5274">
        <w:t>5(c)(5),</w:t>
      </w:r>
      <w:r w:rsidRPr="003F5274">
        <w:t xml:space="preserve"> and Section</w:t>
      </w:r>
      <w:r w:rsidR="00E21B68">
        <w:t xml:space="preserve">s 1.115(c) and </w:t>
      </w:r>
      <w:r w:rsidRPr="003F5274">
        <w:t xml:space="preserve"> 1.115(g) of the Commission's rules,</w:t>
      </w:r>
      <w:r w:rsidR="00B90099" w:rsidRPr="003F5274">
        <w:t xml:space="preserve"> </w:t>
      </w:r>
      <w:r w:rsidR="00C52418" w:rsidRPr="003F5274">
        <w:t>47 C.F.R. §</w:t>
      </w:r>
      <w:r w:rsidR="00E21B68" w:rsidRPr="003F5274">
        <w:t>§</w:t>
      </w:r>
      <w:r w:rsidR="00E21B68">
        <w:t xml:space="preserve"> 1.115(c), </w:t>
      </w:r>
      <w:r w:rsidR="00C52418" w:rsidRPr="003F5274">
        <w:t xml:space="preserve">1.115(g), </w:t>
      </w:r>
      <w:r w:rsidRPr="003F5274">
        <w:t xml:space="preserve">the Application for Review, filed on </w:t>
      </w:r>
      <w:r w:rsidR="00BA4713" w:rsidRPr="003F5274">
        <w:t>February 5, 2009</w:t>
      </w:r>
      <w:r w:rsidRPr="003F5274">
        <w:t xml:space="preserve">, by </w:t>
      </w:r>
      <w:r w:rsidR="00BA4713" w:rsidRPr="003F5274">
        <w:t>California State University, Long Beach Foundation</w:t>
      </w:r>
      <w:r w:rsidRPr="003F5274">
        <w:t>, IS DENIED</w:t>
      </w:r>
      <w:r w:rsidR="00190F75" w:rsidRPr="003F5274">
        <w:t xml:space="preserve"> IN PART AND DISMISSED IN PART</w:t>
      </w:r>
      <w:r w:rsidRPr="003F5274">
        <w:t>.</w:t>
      </w:r>
    </w:p>
    <w:p w:rsidR="00715960" w:rsidRDefault="00715960" w:rsidP="0017296B">
      <w:r>
        <w:tab/>
      </w:r>
      <w:r>
        <w:tab/>
      </w:r>
      <w:r>
        <w:tab/>
      </w:r>
      <w:r>
        <w:tab/>
      </w:r>
      <w:r>
        <w:tab/>
      </w:r>
      <w:r>
        <w:tab/>
        <w:t>FEDERAL COMMUNICATIONS COMMISSION</w:t>
      </w:r>
    </w:p>
    <w:p w:rsidR="00715960" w:rsidRDefault="00715960" w:rsidP="0017296B"/>
    <w:p w:rsidR="00715960" w:rsidRDefault="00715960" w:rsidP="0017296B"/>
    <w:p w:rsidR="00715960" w:rsidRDefault="00715960" w:rsidP="0017296B"/>
    <w:p w:rsidR="00715960" w:rsidRDefault="00715960" w:rsidP="0017296B"/>
    <w:p w:rsidR="00715960" w:rsidRDefault="00715960" w:rsidP="0017296B">
      <w:r>
        <w:tab/>
      </w:r>
      <w:r>
        <w:tab/>
      </w:r>
      <w:r>
        <w:tab/>
      </w:r>
      <w:r>
        <w:tab/>
      </w:r>
      <w:r>
        <w:tab/>
      </w:r>
      <w:r>
        <w:tab/>
        <w:t>Marlene H. Dortch</w:t>
      </w:r>
    </w:p>
    <w:p w:rsidR="00715960" w:rsidRDefault="00715960" w:rsidP="00FE2202">
      <w:r>
        <w:tab/>
      </w:r>
      <w:r>
        <w:tab/>
      </w:r>
      <w:r>
        <w:tab/>
      </w:r>
      <w:r>
        <w:tab/>
      </w:r>
      <w:r>
        <w:tab/>
      </w:r>
      <w:r>
        <w:tab/>
        <w:t>Secretary</w:t>
      </w:r>
    </w:p>
    <w:sectPr w:rsidR="00715960" w:rsidSect="007D01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13" w:rsidRDefault="00F37E13">
      <w:r>
        <w:separator/>
      </w:r>
    </w:p>
  </w:endnote>
  <w:endnote w:type="continuationSeparator" w:id="0">
    <w:p w:rsidR="00F37E13" w:rsidRDefault="00F3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A5" w:rsidRDefault="00977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BA" w:rsidRDefault="001926BA" w:rsidP="00B82247">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FE2202">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BA" w:rsidRDefault="001926BA" w:rsidP="00B82247">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13" w:rsidRDefault="00F37E13" w:rsidP="00612E51">
      <w:pPr>
        <w:rPr>
          <w:sz w:val="20"/>
        </w:rPr>
      </w:pPr>
      <w:r>
        <w:rPr>
          <w:sz w:val="20"/>
        </w:rPr>
        <w:separator/>
      </w:r>
    </w:p>
  </w:footnote>
  <w:footnote w:type="continuationSeparator" w:id="0">
    <w:p w:rsidR="003F0189" w:rsidRPr="004D47C8" w:rsidRDefault="00612E51" w:rsidP="00612E51">
      <w:pPr>
        <w:spacing w:before="120"/>
        <w:rPr>
          <w:sz w:val="20"/>
        </w:rPr>
      </w:pPr>
      <w:r w:rsidRPr="00612E51">
        <w:rPr>
          <w:sz w:val="20"/>
        </w:rPr>
        <w:t xml:space="preserve">(Continued from previous page) </w:t>
      </w:r>
      <w:r w:rsidR="004D47C8">
        <w:rPr>
          <w:sz w:val="20"/>
        </w:rPr>
        <w:separator/>
      </w:r>
    </w:p>
  </w:footnote>
  <w:footnote w:type="continuationNotice" w:id="1">
    <w:p w:rsidR="00F37E13" w:rsidRPr="004D47C8" w:rsidRDefault="004D47C8" w:rsidP="004D47C8">
      <w:pPr>
        <w:jc w:val="right"/>
        <w:rPr>
          <w:sz w:val="20"/>
        </w:rPr>
      </w:pPr>
      <w:r>
        <w:rPr>
          <w:sz w:val="20"/>
        </w:rPr>
        <w:t>(continued</w:t>
      </w:r>
      <w:r w:rsidR="003F0189">
        <w:rPr>
          <w:sz w:val="20"/>
        </w:rPr>
        <w:t>..</w:t>
      </w:r>
      <w:r>
        <w:rPr>
          <w:sz w:val="20"/>
        </w:rPr>
        <w:t>.)</w:t>
      </w:r>
    </w:p>
  </w:footnote>
  <w:footnote w:id="2">
    <w:p w:rsidR="001926BA" w:rsidRPr="004D19BD" w:rsidRDefault="001926BA" w:rsidP="00FB4990">
      <w:pPr>
        <w:pStyle w:val="FootnoteText"/>
      </w:pPr>
      <w:r w:rsidRPr="004D19BD">
        <w:rPr>
          <w:rStyle w:val="FootnoteReference"/>
        </w:rPr>
        <w:footnoteRef/>
      </w:r>
      <w:r w:rsidRPr="004D19BD">
        <w:t xml:space="preserve">  On February 20, 2009, Santa Monica Community College District (“SMCC”) filed an Opposition, to which CSULB replied on March 5, 2009.  SMCC is licensee of co-channel Station KCRY(FM), Mojave, California, the station with which KKJZ(FM), as proposed in the Application, would have prohibited contour overlap.  </w:t>
      </w:r>
    </w:p>
  </w:footnote>
  <w:footnote w:id="3">
    <w:p w:rsidR="001926BA" w:rsidRPr="004D19BD" w:rsidRDefault="001926BA" w:rsidP="00783883">
      <w:pPr>
        <w:pStyle w:val="FootnoteText"/>
      </w:pPr>
      <w:r w:rsidRPr="004D19BD">
        <w:rPr>
          <w:rStyle w:val="FootnoteReference"/>
        </w:rPr>
        <w:footnoteRef/>
      </w:r>
      <w:r w:rsidRPr="004D19BD">
        <w:t xml:space="preserve"> </w:t>
      </w:r>
      <w:r w:rsidRPr="004D19BD">
        <w:rPr>
          <w:i/>
        </w:rPr>
        <w:t>See California State University, Long Beach,</w:t>
      </w:r>
      <w:r w:rsidRPr="004D19BD">
        <w:t xml:space="preserve"> Letter, Ref. 1800B3-TB (MB rel. Dec. 31, 2008) (“</w:t>
      </w:r>
      <w:r w:rsidRPr="004D19BD">
        <w:rPr>
          <w:i/>
        </w:rPr>
        <w:t>Reconsideration Decision</w:t>
      </w:r>
      <w:r w:rsidRPr="004D19BD">
        <w:t>”).</w:t>
      </w:r>
    </w:p>
  </w:footnote>
  <w:footnote w:id="4">
    <w:p w:rsidR="001926BA" w:rsidRPr="004D19BD" w:rsidRDefault="001926BA" w:rsidP="00783883">
      <w:pPr>
        <w:pStyle w:val="FootnoteText"/>
        <w:rPr>
          <w:i/>
        </w:rPr>
      </w:pPr>
      <w:r w:rsidRPr="004D19BD">
        <w:rPr>
          <w:rStyle w:val="FootnoteReference"/>
        </w:rPr>
        <w:footnoteRef/>
      </w:r>
      <w:r w:rsidRPr="004D19BD">
        <w:t xml:space="preserve"> 47 C.F.R. § 73.509.     </w:t>
      </w:r>
    </w:p>
  </w:footnote>
  <w:footnote w:id="5">
    <w:p w:rsidR="001926BA" w:rsidRPr="004D19BD" w:rsidRDefault="001926BA" w:rsidP="00783883">
      <w:pPr>
        <w:pStyle w:val="FootnoteText"/>
        <w:tabs>
          <w:tab w:val="right" w:pos="9360"/>
        </w:tabs>
      </w:pPr>
      <w:r w:rsidRPr="004D19BD">
        <w:rPr>
          <w:rStyle w:val="FootnoteReference"/>
        </w:rPr>
        <w:footnoteRef/>
      </w:r>
      <w:r w:rsidRPr="004D19BD">
        <w:t xml:space="preserve"> </w:t>
      </w:r>
      <w:r w:rsidRPr="004D19BD">
        <w:rPr>
          <w:i/>
        </w:rPr>
        <w:t xml:space="preserve">See California State University, Long Beach, </w:t>
      </w:r>
      <w:r w:rsidRPr="004D19BD">
        <w:t>Letter, Ref. 1800B3-TB (MB rel. Dec. 17, 2007) (“</w:t>
      </w:r>
      <w:r w:rsidRPr="004D19BD">
        <w:rPr>
          <w:i/>
        </w:rPr>
        <w:t>Staff Decision</w:t>
      </w:r>
      <w:r w:rsidRPr="004D19BD">
        <w:t xml:space="preserve">”). </w:t>
      </w:r>
      <w:r w:rsidRPr="004D19BD">
        <w:tab/>
      </w:r>
    </w:p>
  </w:footnote>
  <w:footnote w:id="6">
    <w:p w:rsidR="001926BA" w:rsidRPr="00975C54" w:rsidRDefault="001926BA" w:rsidP="00783883">
      <w:pPr>
        <w:pStyle w:val="FootnoteText"/>
      </w:pPr>
      <w:r w:rsidRPr="004D19BD">
        <w:rPr>
          <w:rStyle w:val="FootnoteReference"/>
        </w:rPr>
        <w:footnoteRef/>
      </w:r>
      <w:r w:rsidRPr="004D19BD">
        <w:t xml:space="preserve"> Concurrently with the filing of its Application for Review, CSULB submitted a “Petition for Resolution of Rulemaking” (“Rulemaking Petition”), seeking to resume activity in MB Docket No. 98-93 and to reverse the policy</w:t>
      </w:r>
      <w:r w:rsidRPr="00975C54">
        <w:t xml:space="preserve"> adopted in 1997 prohibiting use of supplemental contour prediction methodology for purposes of predicting interference.</w:t>
      </w:r>
      <w:r>
        <w:t xml:space="preserve">  </w:t>
      </w:r>
      <w:r w:rsidRPr="00975C54">
        <w:rPr>
          <w:i/>
        </w:rPr>
        <w:t xml:space="preserve">See </w:t>
      </w:r>
      <w:hyperlink r:id="rId1" w:tgtFrame="_top" w:history="1">
        <w:r w:rsidRPr="00975C54">
          <w:rPr>
            <w:rStyle w:val="Hyperlink"/>
            <w:i/>
            <w:iCs/>
            <w:color w:val="auto"/>
            <w:u w:val="none"/>
          </w:rPr>
          <w:t>Amendment of Parts 73 and 74 of the Commission's Rules to Permit Certain Minor Changes in Broadcast Facilities Without a Construction Permit</w:t>
        </w:r>
        <w:r w:rsidRPr="00975C54">
          <w:rPr>
            <w:rStyle w:val="Hyperlink"/>
            <w:i/>
            <w:color w:val="auto"/>
            <w:u w:val="none"/>
          </w:rPr>
          <w:t>,</w:t>
        </w:r>
        <w:r w:rsidRPr="00975C54">
          <w:rPr>
            <w:rStyle w:val="Hyperlink"/>
            <w:color w:val="auto"/>
            <w:u w:val="none"/>
          </w:rPr>
          <w:t xml:space="preserve"> Report and Order, </w:t>
        </w:r>
        <w:r w:rsidRPr="00975C54">
          <w:rPr>
            <w:rStyle w:val="Hyperlink"/>
            <w:bCs/>
            <w:color w:val="auto"/>
            <w:u w:val="none"/>
          </w:rPr>
          <w:t>12</w:t>
        </w:r>
        <w:r w:rsidRPr="00975C54">
          <w:rPr>
            <w:rStyle w:val="Hyperlink"/>
            <w:color w:val="auto"/>
            <w:u w:val="none"/>
          </w:rPr>
          <w:t xml:space="preserve"> </w:t>
        </w:r>
        <w:r w:rsidRPr="00975C54">
          <w:rPr>
            <w:rStyle w:val="Hyperlink"/>
            <w:bCs/>
            <w:color w:val="auto"/>
            <w:u w:val="none"/>
          </w:rPr>
          <w:t>FCC</w:t>
        </w:r>
        <w:r w:rsidRPr="00975C54">
          <w:rPr>
            <w:rStyle w:val="Hyperlink"/>
            <w:color w:val="auto"/>
            <w:u w:val="none"/>
          </w:rPr>
          <w:t xml:space="preserve"> </w:t>
        </w:r>
        <w:r w:rsidRPr="00975C54">
          <w:rPr>
            <w:rStyle w:val="Hyperlink"/>
            <w:bCs/>
            <w:color w:val="auto"/>
            <w:u w:val="none"/>
          </w:rPr>
          <w:t>Rcd</w:t>
        </w:r>
        <w:r w:rsidRPr="00975C54">
          <w:rPr>
            <w:rStyle w:val="Hyperlink"/>
            <w:color w:val="auto"/>
            <w:u w:val="none"/>
          </w:rPr>
          <w:t xml:space="preserve"> </w:t>
        </w:r>
        <w:r w:rsidRPr="00975C54">
          <w:rPr>
            <w:rStyle w:val="Hyperlink"/>
            <w:bCs/>
            <w:color w:val="auto"/>
            <w:u w:val="none"/>
          </w:rPr>
          <w:t>12371</w:t>
        </w:r>
      </w:hyperlink>
      <w:r w:rsidRPr="00975C54">
        <w:rPr>
          <w:rStyle w:val="Hyperlink"/>
          <w:bCs/>
          <w:color w:val="auto"/>
          <w:u w:val="none"/>
        </w:rPr>
        <w:t xml:space="preserve">, 12402 </w:t>
      </w:r>
      <w:r w:rsidRPr="00975C54">
        <w:t>(1997) (“</w:t>
      </w:r>
      <w:r w:rsidRPr="00975C54">
        <w:rPr>
          <w:i/>
        </w:rPr>
        <w:t>Minor Change</w:t>
      </w:r>
      <w:r w:rsidR="009F5B88">
        <w:rPr>
          <w:i/>
        </w:rPr>
        <w:t>s</w:t>
      </w:r>
      <w:r w:rsidRPr="00975C54">
        <w:rPr>
          <w:i/>
        </w:rPr>
        <w:t xml:space="preserve"> R&amp;O</w:t>
      </w:r>
      <w:r w:rsidRPr="00975C54">
        <w:t xml:space="preserve">”).  In MB Docket No. 98-93, the Commission sought comment on but </w:t>
      </w:r>
      <w:r>
        <w:t>declined to adopt</w:t>
      </w:r>
      <w:r w:rsidRPr="00975C54">
        <w:t xml:space="preserve"> a</w:t>
      </w:r>
      <w:r>
        <w:t xml:space="preserve"> proposed</w:t>
      </w:r>
      <w:r w:rsidRPr="00975C54">
        <w:t xml:space="preserve"> alternate FM signal propagation methodology to show compliance with contour protection requirements.  </w:t>
      </w:r>
      <w:r w:rsidRPr="00975C54">
        <w:rPr>
          <w:i/>
        </w:rPr>
        <w:t xml:space="preserve">See </w:t>
      </w:r>
      <w:hyperlink r:id="rId2" w:tgtFrame="_top" w:history="1">
        <w:r w:rsidRPr="00975C54">
          <w:rPr>
            <w:rStyle w:val="Hyperlink"/>
            <w:i/>
            <w:iCs/>
            <w:color w:val="auto"/>
            <w:u w:val="none"/>
          </w:rPr>
          <w:t>1998 Biennial Regulatory Review -- Streamlining of Radio Technical Rules in Parts 73</w:t>
        </w:r>
        <w:r w:rsidRPr="00975C54">
          <w:rPr>
            <w:rStyle w:val="Hyperlink"/>
            <w:iCs/>
            <w:color w:val="auto"/>
            <w:u w:val="none"/>
          </w:rPr>
          <w:t xml:space="preserve"> </w:t>
        </w:r>
        <w:r w:rsidRPr="00975C54">
          <w:rPr>
            <w:rStyle w:val="Hyperlink"/>
            <w:i/>
            <w:iCs/>
            <w:color w:val="auto"/>
            <w:u w:val="none"/>
          </w:rPr>
          <w:t>and 74 of the Commission's Rules</w:t>
        </w:r>
        <w:r w:rsidRPr="00975C54">
          <w:rPr>
            <w:rStyle w:val="Hyperlink"/>
            <w:color w:val="auto"/>
            <w:u w:val="none"/>
          </w:rPr>
          <w:t>, Notice of Proposed Rule Making and Order, 13 FCC Rcd 14849, 14853-5463-65 (1998)</w:t>
        </w:r>
      </w:hyperlink>
      <w:r w:rsidRPr="00975C54">
        <w:t>; Second Report and Order, 15 FCC Rcd 21649, 21651 (2000).  Because the Rulemaking Petition is not part of this adjudicatory proceeding, it is not further considered here.</w:t>
      </w:r>
    </w:p>
  </w:footnote>
  <w:footnote w:id="7">
    <w:p w:rsidR="001926BA" w:rsidRPr="00975C54" w:rsidRDefault="001926BA" w:rsidP="00783883">
      <w:pPr>
        <w:pStyle w:val="FootnoteText"/>
      </w:pPr>
      <w:r w:rsidRPr="00975C54">
        <w:rPr>
          <w:rStyle w:val="FootnoteReference"/>
        </w:rPr>
        <w:footnoteRef/>
      </w:r>
      <w:r w:rsidRPr="00975C54">
        <w:t xml:space="preserve"> CSULB also argues for the first time that, in addition to its previously presented examples of the Commission’s adoption of more sophisticated contour-prediction methodologies:  (1) the full Commission has recognized the merit of “wider-ranging policy updates” when circumstances change, and the policy of relying on outdated interference prediction techniques in the NCE-FM service also should be re-examined, </w:t>
      </w:r>
      <w:r w:rsidRPr="00975C54">
        <w:rPr>
          <w:i/>
        </w:rPr>
        <w:t xml:space="preserve">see </w:t>
      </w:r>
      <w:r w:rsidRPr="00975C54">
        <w:t xml:space="preserve">Application for Review at 8, referencing changes in protection rights in the LPFM service in </w:t>
      </w:r>
      <w:r w:rsidRPr="00975C54">
        <w:rPr>
          <w:i/>
        </w:rPr>
        <w:t xml:space="preserve">Creation of a Low Power Radio Service, </w:t>
      </w:r>
      <w:r w:rsidRPr="00975C54">
        <w:t xml:space="preserve">22 FCC Rcd 21912 (2007); and (2) where public interest goals are at stake, the Commission “almost universally gravitates toward more sophistication” in applying its interference rules, citing the Commission’s authorization of new operations by Qualcomm, Inc., notwithstanding the considerable amounts of interference caused to television stations and the Bureau’s allowance of digital television stations to agree among themselves to accept interference to facilitate the transition to digital broadcasting, </w:t>
      </w:r>
      <w:r w:rsidRPr="00975C54">
        <w:rPr>
          <w:i/>
        </w:rPr>
        <w:t xml:space="preserve">see id. </w:t>
      </w:r>
      <w:r w:rsidRPr="00975C54">
        <w:t xml:space="preserve">at 8-9, citing </w:t>
      </w:r>
      <w:r w:rsidRPr="00975C54">
        <w:rPr>
          <w:i/>
        </w:rPr>
        <w:t>Qualcomm, Inc.</w:t>
      </w:r>
      <w:r w:rsidRPr="00975C54">
        <w:t xml:space="preserve">, Letter, 22 FCC Rcd 14012 (MB/WTB 2007).  </w:t>
      </w:r>
      <w:hyperlink r:id="rId3" w:tgtFrame="_top" w:history="1">
        <w:r w:rsidRPr="00975C54">
          <w:rPr>
            <w:rStyle w:val="Hyperlink"/>
            <w:color w:val="auto"/>
            <w:u w:val="none"/>
          </w:rPr>
          <w:t>Section 1.115(c)</w:t>
        </w:r>
      </w:hyperlink>
      <w:r w:rsidRPr="00975C54">
        <w:t xml:space="preserve"> prohibits parties from raising new arguments on review.  </w:t>
      </w:r>
      <w:r w:rsidRPr="00975C54">
        <w:rPr>
          <w:i/>
          <w:iCs/>
        </w:rPr>
        <w:t>See</w:t>
      </w:r>
      <w:r w:rsidRPr="00975C54">
        <w:t xml:space="preserve"> </w:t>
      </w:r>
      <w:hyperlink r:id="rId4" w:tgtFrame="_top" w:history="1">
        <w:r w:rsidRPr="00975C54">
          <w:rPr>
            <w:rStyle w:val="Hyperlink"/>
            <w:color w:val="auto"/>
            <w:u w:val="none"/>
          </w:rPr>
          <w:t>47 C.F.R. § 1.115(c)</w:t>
        </w:r>
      </w:hyperlink>
      <w:r w:rsidRPr="00975C54">
        <w:t>.  Accordingly, to the extent that it is based on these new arguments, we dismiss  the Application for Review.</w:t>
      </w:r>
    </w:p>
  </w:footnote>
  <w:footnote w:id="8">
    <w:p w:rsidR="001926BA" w:rsidRPr="00975C54" w:rsidRDefault="001926BA" w:rsidP="00783883">
      <w:pPr>
        <w:pStyle w:val="FootnoteText"/>
      </w:pPr>
      <w:r w:rsidRPr="00975C54">
        <w:rPr>
          <w:rStyle w:val="FootnoteReference"/>
        </w:rPr>
        <w:footnoteRef/>
      </w:r>
      <w:r w:rsidRPr="00975C54">
        <w:t xml:space="preserve"> Application for Review at 5.</w:t>
      </w:r>
    </w:p>
  </w:footnote>
  <w:footnote w:id="9">
    <w:p w:rsidR="001926BA" w:rsidRPr="00975C54" w:rsidRDefault="001926BA" w:rsidP="00783883">
      <w:pPr>
        <w:pStyle w:val="FootnoteText"/>
      </w:pPr>
      <w:r w:rsidRPr="00975C54">
        <w:rPr>
          <w:rStyle w:val="FootnoteReference"/>
        </w:rPr>
        <w:footnoteRef/>
      </w:r>
      <w:r w:rsidRPr="00975C54">
        <w:t xml:space="preserve"> </w:t>
      </w:r>
      <w:r w:rsidRPr="00975C54">
        <w:rPr>
          <w:i/>
        </w:rPr>
        <w:t>Id.</w:t>
      </w:r>
      <w:r w:rsidRPr="00975C54">
        <w:t xml:space="preserve"> at 6.</w:t>
      </w:r>
    </w:p>
  </w:footnote>
  <w:footnote w:id="10">
    <w:p w:rsidR="001926BA" w:rsidRPr="00975C54" w:rsidRDefault="001926BA" w:rsidP="00783883">
      <w:pPr>
        <w:pStyle w:val="FootnoteText"/>
        <w:rPr>
          <w:i/>
        </w:rPr>
      </w:pPr>
      <w:r w:rsidRPr="00975C54">
        <w:rPr>
          <w:rStyle w:val="FootnoteReference"/>
        </w:rPr>
        <w:footnoteRef/>
      </w:r>
      <w:r w:rsidRPr="00975C54">
        <w:t xml:space="preserve"> </w:t>
      </w:r>
      <w:r w:rsidRPr="00975C54">
        <w:rPr>
          <w:i/>
        </w:rPr>
        <w:t>Id.</w:t>
      </w:r>
    </w:p>
  </w:footnote>
  <w:footnote w:id="11">
    <w:p w:rsidR="001926BA" w:rsidRPr="00975C54" w:rsidRDefault="001926BA" w:rsidP="00783883">
      <w:pPr>
        <w:pStyle w:val="FootnoteText"/>
      </w:pPr>
      <w:r w:rsidRPr="00975C54">
        <w:rPr>
          <w:rStyle w:val="FootnoteReference"/>
        </w:rPr>
        <w:footnoteRef/>
      </w:r>
      <w:r w:rsidRPr="00975C54">
        <w:t xml:space="preserve"> </w:t>
      </w:r>
      <w:r w:rsidRPr="00975C54">
        <w:rPr>
          <w:i/>
        </w:rPr>
        <w:t>Id.</w:t>
      </w:r>
      <w:r w:rsidRPr="00975C54">
        <w:t xml:space="preserve">; </w:t>
      </w:r>
      <w:r w:rsidRPr="00975C54">
        <w:rPr>
          <w:i/>
        </w:rPr>
        <w:t xml:space="preserve">see also WAIT Radio v. FCC, </w:t>
      </w:r>
      <w:r w:rsidRPr="00975C54">
        <w:t>418 F.2d 1153 (D.C. Cir. 1969) (administrative waivers are a mechanism “to seek out the ‘public interest’ in particular, individualized cases.”) (subsequent history omitted).</w:t>
      </w:r>
    </w:p>
  </w:footnote>
  <w:footnote w:id="12">
    <w:p w:rsidR="001926BA" w:rsidRPr="00975C54" w:rsidRDefault="001926BA" w:rsidP="00783883">
      <w:pPr>
        <w:pStyle w:val="FootnoteText"/>
      </w:pPr>
      <w:r w:rsidRPr="00975C54">
        <w:rPr>
          <w:rStyle w:val="FootnoteReference"/>
        </w:rPr>
        <w:footnoteRef/>
      </w:r>
      <w:r w:rsidRPr="00975C54">
        <w:t xml:space="preserve"> Application for Review at 9.</w:t>
      </w:r>
    </w:p>
  </w:footnote>
  <w:footnote w:id="13">
    <w:p w:rsidR="001926BA" w:rsidRPr="00975C54" w:rsidRDefault="001926BA" w:rsidP="00783883">
      <w:pPr>
        <w:pStyle w:val="FootnoteText"/>
      </w:pPr>
      <w:r w:rsidRPr="00975C54">
        <w:rPr>
          <w:rStyle w:val="FootnoteReference"/>
        </w:rPr>
        <w:footnoteRef/>
      </w:r>
      <w:r w:rsidRPr="00975C54">
        <w:t xml:space="preserve"> </w:t>
      </w:r>
      <w:r w:rsidRPr="00975C54">
        <w:rPr>
          <w:i/>
        </w:rPr>
        <w:t>See Minor Change</w:t>
      </w:r>
      <w:r w:rsidR="009F5B88">
        <w:rPr>
          <w:i/>
        </w:rPr>
        <w:t>s</w:t>
      </w:r>
      <w:r w:rsidRPr="00975C54">
        <w:rPr>
          <w:i/>
        </w:rPr>
        <w:t xml:space="preserve"> R&amp;O, </w:t>
      </w:r>
      <w:r w:rsidRPr="00975C54">
        <w:t>12 FCC Rcd at 12402 (“[S]</w:t>
      </w:r>
      <w:r w:rsidRPr="00975C54">
        <w:rPr>
          <w:bCs/>
          <w:iCs/>
        </w:rPr>
        <w:t>upplemental</w:t>
      </w:r>
      <w:r w:rsidRPr="00975C54">
        <w:rPr>
          <w:iCs/>
        </w:rPr>
        <w:t xml:space="preserve"> showings have not been accepted, nor will be accepted, for the purpose of demonstrating interference or prohibited contour overlap between FM broadcast stations.”)</w:t>
      </w:r>
      <w:r w:rsidRPr="00975C54">
        <w:t xml:space="preserve">. </w:t>
      </w:r>
      <w:r w:rsidRPr="00975C54">
        <w:rPr>
          <w:i/>
        </w:rPr>
        <w:t xml:space="preserve"> </w:t>
      </w:r>
      <w:bookmarkStart w:id="1" w:name="SR;2409"/>
      <w:bookmarkStart w:id="2" w:name="SR;2410"/>
      <w:bookmarkEnd w:id="1"/>
      <w:bookmarkEnd w:id="2"/>
    </w:p>
  </w:footnote>
  <w:footnote w:id="14">
    <w:p w:rsidR="001926BA" w:rsidRPr="0049465E" w:rsidRDefault="001926BA">
      <w:pPr>
        <w:pStyle w:val="FootnoteText"/>
        <w:rPr>
          <w:i/>
        </w:rPr>
      </w:pPr>
      <w:r>
        <w:rPr>
          <w:rStyle w:val="FootnoteReference"/>
        </w:rPr>
        <w:footnoteRef/>
      </w:r>
      <w:r>
        <w:t xml:space="preserve"> </w:t>
      </w:r>
      <w:r>
        <w:rPr>
          <w:i/>
        </w:rPr>
        <w:t xml:space="preserve">See </w:t>
      </w:r>
      <w:bookmarkStart w:id="3" w:name="SR;489"/>
      <w:bookmarkStart w:id="4" w:name="SR;1426"/>
      <w:bookmarkEnd w:id="3"/>
      <w:bookmarkEnd w:id="4"/>
      <w:r w:rsidR="009F5B88">
        <w:rPr>
          <w:i/>
        </w:rPr>
        <w:t>Minor Changes R&amp;O</w:t>
      </w:r>
      <w:r w:rsidR="003C2842">
        <w:t xml:space="preserve">, 12 FCC Rcd </w:t>
      </w:r>
      <w:r w:rsidR="009F5B88">
        <w:t>at 12402</w:t>
      </w:r>
      <w:r w:rsidR="003C2842">
        <w:t xml:space="preserve">; </w:t>
      </w:r>
      <w:r w:rsidR="003C2842">
        <w:rPr>
          <w:i/>
        </w:rPr>
        <w:t xml:space="preserve">Puerto Rico Public Broadcasting Corp., </w:t>
      </w:r>
      <w:r w:rsidR="003C2842">
        <w:t xml:space="preserve">Memorandum Opinion and Order, 29 FCC Rcd 4365 (2014) </w:t>
      </w:r>
      <w:r w:rsidR="009F5B88">
        <w:t>(“</w:t>
      </w:r>
      <w:r w:rsidR="009F5B88">
        <w:rPr>
          <w:i/>
        </w:rPr>
        <w:t>Puerto Rico</w:t>
      </w:r>
      <w:r w:rsidR="009F5B88">
        <w:t xml:space="preserve">”) </w:t>
      </w:r>
      <w:r w:rsidR="003C2842">
        <w:t xml:space="preserve">(affirming staff refusal to consider supplemental showing as basis for Section 73.509 waiver); </w:t>
      </w:r>
      <w:r w:rsidR="003C2842">
        <w:rPr>
          <w:i/>
        </w:rPr>
        <w:t>Clear Creek Radio Inc.</w:t>
      </w:r>
      <w:r w:rsidR="003C2842">
        <w:t xml:space="preserve">, Memorandum Opinion and Order, 29 FCC Rcd 4367 (2014) </w:t>
      </w:r>
      <w:r w:rsidR="009F5B88">
        <w:t>(“</w:t>
      </w:r>
      <w:r w:rsidR="009F5B88">
        <w:rPr>
          <w:i/>
        </w:rPr>
        <w:t>Clear Creek</w:t>
      </w:r>
      <w:r w:rsidR="009F5B88">
        <w:t xml:space="preserve">”) </w:t>
      </w:r>
      <w:r w:rsidR="003C2842">
        <w:t>(same)</w:t>
      </w:r>
      <w:r w:rsidR="000127CF">
        <w:t>.</w:t>
      </w:r>
      <w:r>
        <w:t xml:space="preserve"> </w:t>
      </w:r>
      <w:r>
        <w:rPr>
          <w:i/>
        </w:rPr>
        <w:t xml:space="preserve">  </w:t>
      </w:r>
      <w:r>
        <w:t xml:space="preserve">  </w:t>
      </w:r>
      <w:r>
        <w:rPr>
          <w:i/>
        </w:rPr>
        <w:t xml:space="preserve"> </w:t>
      </w:r>
    </w:p>
  </w:footnote>
  <w:footnote w:id="15">
    <w:p w:rsidR="001926BA" w:rsidRPr="00984503" w:rsidRDefault="001926BA" w:rsidP="00783883">
      <w:pPr>
        <w:pStyle w:val="FootnoteText"/>
      </w:pPr>
      <w:r w:rsidRPr="00975C54">
        <w:rPr>
          <w:rStyle w:val="FootnoteReference"/>
        </w:rPr>
        <w:footnoteRef/>
      </w:r>
      <w:r w:rsidRPr="00975C54">
        <w:t xml:space="preserve"> </w:t>
      </w:r>
      <w:r w:rsidRPr="00975C54">
        <w:rPr>
          <w:i/>
        </w:rPr>
        <w:t xml:space="preserve">See, e.g., Evan D. Carb, Esq., </w:t>
      </w:r>
      <w:r w:rsidRPr="00975C54">
        <w:t xml:space="preserve">Letter, 28 FCC Rcd 5667, 5670 (MB 2013) (supplemental analyses are more complex than standard contour prediction methods; underlying assumptions are often open to varying interpretations); </w:t>
      </w:r>
      <w:r w:rsidRPr="00975C54">
        <w:rPr>
          <w:i/>
        </w:rPr>
        <w:t xml:space="preserve">Ernest T. Sanchez, Esq., Susan M. Jenkins, Esq., Dennis J. Kelly, Esq., </w:t>
      </w:r>
      <w:r w:rsidRPr="00975C54">
        <w:t>Letter, 26 FCC Rcd 12675,</w:t>
      </w:r>
      <w:r w:rsidRPr="00975C54">
        <w:rPr>
          <w:i/>
        </w:rPr>
        <w:t xml:space="preserve"> </w:t>
      </w:r>
      <w:r w:rsidRPr="00975C54">
        <w:t>12677-78 (MB 2011) (</w:t>
      </w:r>
      <w:bookmarkStart w:id="5" w:name="FN[FN21]"/>
      <w:bookmarkStart w:id="6" w:name="SR;1383"/>
      <w:bookmarkStart w:id="7" w:name="SearchTerm"/>
      <w:bookmarkEnd w:id="5"/>
      <w:bookmarkEnd w:id="6"/>
      <w:r w:rsidRPr="00975C54">
        <w:t>same</w:t>
      </w:r>
      <w:bookmarkStart w:id="8" w:name="SR;1387"/>
      <w:bookmarkStart w:id="9" w:name="SR;1388"/>
      <w:bookmarkEnd w:id="7"/>
      <w:bookmarkEnd w:id="8"/>
      <w:bookmarkEnd w:id="9"/>
      <w:r w:rsidRPr="00975C54">
        <w:t xml:space="preserve">); </w:t>
      </w:r>
      <w:r w:rsidRPr="00975C54">
        <w:rPr>
          <w:i/>
        </w:rPr>
        <w:t xml:space="preserve">Lauren Colby, Esq., Gregory Masters, Esq., and Daniel Huber, Esq., </w:t>
      </w:r>
      <w:r w:rsidRPr="00975C54">
        <w:t xml:space="preserve">Letter, 23 FCC Rcd 9971, 9974 (MB 2008) (use of alternative propagation showing yielded anomalous results); </w:t>
      </w:r>
      <w:r w:rsidRPr="00975C54">
        <w:rPr>
          <w:i/>
        </w:rPr>
        <w:t>Ithaca Community</w:t>
      </w:r>
      <w:r w:rsidRPr="00984503">
        <w:rPr>
          <w:i/>
        </w:rPr>
        <w:t xml:space="preserve"> Radio, Inc., c/o Donald E. Martin, Esq., and Mr. Darin Johnson, </w:t>
      </w:r>
      <w:r w:rsidRPr="00984503">
        <w:t xml:space="preserve">Letter, 23 FCC Rcd 12910, 12912 (MB 2008) (supplemental showings not accepted because resolving propagation studies with differing results could significantly slow application processing); </w:t>
      </w:r>
      <w:r w:rsidRPr="00984503">
        <w:rPr>
          <w:i/>
        </w:rPr>
        <w:t xml:space="preserve">Apogee Broadcasting Corporation, </w:t>
      </w:r>
      <w:r w:rsidRPr="00984503">
        <w:t xml:space="preserve">Memorandum Opinion and Order, 100 FCC 2d 602, 604 (1985) (in low-power TV service, Commission refused to accept supplemental interference analyses based on terrain shielding because they </w:t>
      </w:r>
      <w:r>
        <w:t>were</w:t>
      </w:r>
      <w:r w:rsidRPr="00984503">
        <w:t xml:space="preserve"> based on varying assumpti</w:t>
      </w:r>
      <w:r w:rsidR="00612E51">
        <w:t>ons providing differing results</w:t>
      </w:r>
      <w:r w:rsidRPr="00984503">
        <w:t xml:space="preserve">).     </w:t>
      </w:r>
      <w:bookmarkStart w:id="10" w:name="SR;953"/>
      <w:bookmarkStart w:id="11" w:name="FN[FN17]"/>
      <w:bookmarkEnd w:id="10"/>
      <w:bookmarkEnd w:id="11"/>
    </w:p>
  </w:footnote>
  <w:footnote w:id="16">
    <w:p w:rsidR="001926BA" w:rsidRPr="00B77A54" w:rsidRDefault="001926BA" w:rsidP="00783883">
      <w:pPr>
        <w:pStyle w:val="FootnoteText"/>
      </w:pPr>
      <w:r>
        <w:rPr>
          <w:rStyle w:val="FootnoteReference"/>
        </w:rPr>
        <w:footnoteRef/>
      </w:r>
      <w:r>
        <w:t xml:space="preserve"> </w:t>
      </w:r>
      <w:r>
        <w:rPr>
          <w:i/>
        </w:rPr>
        <w:t>See Clear Creek</w:t>
      </w:r>
      <w:r>
        <w:t>,</w:t>
      </w:r>
      <w:r>
        <w:rPr>
          <w:i/>
        </w:rPr>
        <w:t xml:space="preserve"> </w:t>
      </w:r>
      <w:r>
        <w:t xml:space="preserve">29 FCC Rcd </w:t>
      </w:r>
      <w:r w:rsidR="009F5B88">
        <w:t xml:space="preserve">at </w:t>
      </w:r>
      <w:r>
        <w:t>4369 (2014);</w:t>
      </w:r>
      <w:r w:rsidR="009F5B88">
        <w:t xml:space="preserve"> </w:t>
      </w:r>
      <w:r w:rsidRPr="00975C54">
        <w:rPr>
          <w:i/>
        </w:rPr>
        <w:t>Puerto Ric</w:t>
      </w:r>
      <w:r w:rsidR="009F5B88">
        <w:rPr>
          <w:i/>
        </w:rPr>
        <w:t>o</w:t>
      </w:r>
      <w:r>
        <w:t>, 29 FCC Rcd 4365.</w:t>
      </w:r>
    </w:p>
  </w:footnote>
  <w:footnote w:id="17">
    <w:p w:rsidR="001926BA" w:rsidRDefault="001926BA" w:rsidP="00783883">
      <w:pPr>
        <w:pStyle w:val="FootnoteText"/>
      </w:pPr>
      <w:r>
        <w:rPr>
          <w:rStyle w:val="FootnoteReference"/>
        </w:rPr>
        <w:footnoteRef/>
      </w:r>
      <w:r>
        <w:t xml:space="preserve"> </w:t>
      </w:r>
      <w:r>
        <w:rPr>
          <w:i/>
        </w:rPr>
        <w:t xml:space="preserve">See Open Media Corporation, Northern Illinois University, and Rockford Educational Broadcasting Foundation, </w:t>
      </w:r>
      <w:r>
        <w:t xml:space="preserve">Memorandum Opinion and Order, 8 FCC Rcd 4070 ¶ 6 (1993) (Commission has well-established policy of refusing to grant waivers of technical rules based on non-technical considerations).                               </w:t>
      </w:r>
    </w:p>
  </w:footnote>
  <w:footnote w:id="18">
    <w:p w:rsidR="001926BA" w:rsidRDefault="001926BA" w:rsidP="00396FEE">
      <w:pPr>
        <w:pStyle w:val="FootnoteText"/>
      </w:pPr>
      <w:r>
        <w:rPr>
          <w:rStyle w:val="FootnoteReference"/>
        </w:rPr>
        <w:footnoteRef/>
      </w:r>
      <w:r>
        <w:t xml:space="preserve"> </w:t>
      </w:r>
      <w:r w:rsidRPr="009D00E2">
        <w:rPr>
          <w:i/>
        </w:rPr>
        <w:t>Educational Information Corporation</w:t>
      </w:r>
      <w:r>
        <w:t>, Memorandum Opinion and Order, 6 FCC Rcd 2207 ¶ 10 (1991).</w:t>
      </w:r>
    </w:p>
  </w:footnote>
  <w:footnote w:id="19">
    <w:p w:rsidR="001926BA" w:rsidRDefault="001926BA" w:rsidP="00396FEE">
      <w:pPr>
        <w:pStyle w:val="FootnoteText"/>
      </w:pPr>
      <w:r>
        <w:rPr>
          <w:rStyle w:val="FootnoteReference"/>
        </w:rPr>
        <w:footnoteRef/>
      </w:r>
      <w:r>
        <w:t xml:space="preserve"> </w:t>
      </w:r>
      <w:r>
        <w:rPr>
          <w:i/>
        </w:rPr>
        <w:t>See Lakeside Telecommunications, Inc.</w:t>
      </w:r>
      <w:r>
        <w:t xml:space="preserve"> Memorandum Opinion and Order, 20 FCC Rcd 763 ¶ 5 (identifying underservice in gain area as a possible basis for a Section 73.509 waiver).</w:t>
      </w:r>
    </w:p>
  </w:footnote>
  <w:footnote w:id="20">
    <w:p w:rsidR="001926BA" w:rsidRPr="00015EAA" w:rsidRDefault="001926BA" w:rsidP="00396FEE">
      <w:pPr>
        <w:pStyle w:val="FootnoteText"/>
      </w:pPr>
      <w:r>
        <w:rPr>
          <w:rStyle w:val="FootnoteReference"/>
        </w:rPr>
        <w:footnoteRef/>
      </w:r>
      <w:r>
        <w:t xml:space="preserve"> </w:t>
      </w:r>
      <w:r w:rsidRPr="00015EAA">
        <w:rPr>
          <w:i/>
        </w:rPr>
        <w:t>See Greater Media Radio Company, Inc.</w:t>
      </w:r>
      <w:r w:rsidRPr="00015EAA">
        <w:t xml:space="preserve">, Memorandum Opinion and Order, 15 FCC Rcd 7090, 7099 (1999) citing </w:t>
      </w:r>
      <w:r w:rsidRPr="00015EAA">
        <w:rPr>
          <w:i/>
          <w:iCs/>
        </w:rPr>
        <w:t xml:space="preserve">Amendment of Part 73 of the Commission's Rules to Permit Short-Spaced FM Station Assignments by Using Directional Antennas, </w:t>
      </w:r>
      <w:r w:rsidRPr="00015EAA">
        <w:rPr>
          <w:iCs/>
        </w:rPr>
        <w:t>Report and Order, 4 FCC Rcd 1681 (1989)</w:t>
      </w:r>
      <w:r w:rsidRPr="00015EAA">
        <w:t xml:space="preserve">, </w:t>
      </w:r>
      <w:r w:rsidRPr="00015EAA">
        <w:rPr>
          <w:i/>
          <w:iCs/>
        </w:rPr>
        <w:t>recon. granted in part and denied in part</w:t>
      </w:r>
      <w:r w:rsidRPr="00015EAA">
        <w:t xml:space="preserve">, </w:t>
      </w:r>
      <w:hyperlink r:id="rId5" w:tgtFrame="_top" w:history="1">
        <w:r w:rsidRPr="00015EAA">
          <w:rPr>
            <w:rStyle w:val="Hyperlink"/>
            <w:color w:val="auto"/>
            <w:u w:val="none"/>
          </w:rPr>
          <w:t>6 FCC Rcd 5356, 5360 nn.26-27 (1991)</w:t>
        </w:r>
      </w:hyperlink>
      <w:bookmarkStart w:id="12" w:name="SR;1431"/>
      <w:bookmarkStart w:id="13" w:name="SR;1432"/>
      <w:bookmarkEnd w:id="12"/>
      <w:bookmarkEnd w:id="13"/>
      <w:r w:rsidRPr="00015EAA">
        <w:t xml:space="preserve"> (“</w:t>
      </w:r>
      <w:r w:rsidRPr="00015EAA">
        <w:rPr>
          <w:i/>
        </w:rPr>
        <w:t>Reconsideration Order</w:t>
      </w:r>
      <w:r w:rsidRPr="00015EAA">
        <w:t>”).</w:t>
      </w:r>
    </w:p>
  </w:footnote>
  <w:footnote w:id="21">
    <w:p w:rsidR="001926BA" w:rsidRPr="003C6237" w:rsidRDefault="001926BA" w:rsidP="00396FEE">
      <w:pPr>
        <w:pStyle w:val="FootnoteText"/>
      </w:pPr>
      <w:r>
        <w:rPr>
          <w:rStyle w:val="FootnoteReference"/>
        </w:rPr>
        <w:footnoteRef/>
      </w:r>
      <w:r>
        <w:t xml:space="preserve"> </w:t>
      </w:r>
      <w:r>
        <w:rPr>
          <w:i/>
        </w:rPr>
        <w:t xml:space="preserve">Id. </w:t>
      </w:r>
      <w:r>
        <w:t xml:space="preserve">at 7095 ¶ 11, citing </w:t>
      </w:r>
      <w:r>
        <w:rPr>
          <w:i/>
        </w:rPr>
        <w:t xml:space="preserve">Reconsideration Order, </w:t>
      </w:r>
      <w:r>
        <w:t>6 FCC Rcd at 5360 n.27.</w:t>
      </w:r>
    </w:p>
  </w:footnote>
  <w:footnote w:id="22">
    <w:p w:rsidR="001926BA" w:rsidRDefault="001926BA" w:rsidP="00396FEE">
      <w:pPr>
        <w:pStyle w:val="FootnoteText"/>
      </w:pPr>
      <w:r>
        <w:rPr>
          <w:rStyle w:val="FootnoteReference"/>
        </w:rPr>
        <w:footnoteRef/>
      </w:r>
      <w:r>
        <w:t xml:space="preserve"> </w:t>
      </w:r>
      <w:r w:rsidRPr="000F5049">
        <w:rPr>
          <w:i/>
        </w:rPr>
        <w:t>R &amp; S Media,</w:t>
      </w:r>
      <w:r>
        <w:t xml:space="preserve"> Memorandum Opinion and Order and Order to Show Cause, 19 FCC Rcd 6300, 6305 (MB 2004). </w:t>
      </w:r>
    </w:p>
  </w:footnote>
  <w:footnote w:id="23">
    <w:p w:rsidR="001926BA" w:rsidRPr="00BF73FB" w:rsidRDefault="001926BA" w:rsidP="00396FEE">
      <w:pPr>
        <w:pStyle w:val="FootnoteText"/>
      </w:pPr>
      <w:r>
        <w:rPr>
          <w:rStyle w:val="FootnoteReference"/>
        </w:rPr>
        <w:footnoteRef/>
      </w:r>
      <w:r>
        <w:t xml:space="preserve"> </w:t>
      </w:r>
      <w:r>
        <w:rPr>
          <w:i/>
        </w:rPr>
        <w:t xml:space="preserve">See NetworkIP, LLC v. FCC, </w:t>
      </w:r>
      <w:r w:rsidRPr="008B28EF">
        <w:t>548 F.3d</w:t>
      </w:r>
      <w:r>
        <w:t xml:space="preserve"> 116, 125-28 (D.C. Cir. 2008); </w:t>
      </w:r>
      <w:r>
        <w:rPr>
          <w:i/>
        </w:rPr>
        <w:t>Northeast Cellular Telephone Co. v. FCC</w:t>
      </w:r>
      <w:r>
        <w:t>, 897 F.2d 1164, 1166 (D.C. Cir. 1990).</w:t>
      </w:r>
    </w:p>
  </w:footnote>
  <w:footnote w:id="24">
    <w:p w:rsidR="001926BA" w:rsidRPr="009B75B8" w:rsidRDefault="001926BA" w:rsidP="00743B31">
      <w:pPr>
        <w:pStyle w:val="FootnoteText"/>
      </w:pPr>
      <w:r>
        <w:rPr>
          <w:rStyle w:val="FootnoteReference"/>
        </w:rPr>
        <w:footnoteRef/>
      </w:r>
      <w:r>
        <w:t xml:space="preserve"> </w:t>
      </w:r>
      <w:r w:rsidR="00743B31">
        <w:rPr>
          <w:i/>
        </w:rPr>
        <w:t>Minor Changes R&amp;O</w:t>
      </w:r>
      <w:r>
        <w:t xml:space="preserve">, 12 FCC Rcd </w:t>
      </w:r>
      <w:r w:rsidR="00743B31">
        <w:t>at</w:t>
      </w:r>
      <w:r>
        <w:t xml:space="preserve"> 12402.</w:t>
      </w:r>
    </w:p>
  </w:footnote>
  <w:footnote w:id="25">
    <w:p w:rsidR="001926BA" w:rsidRDefault="001926BA">
      <w:pPr>
        <w:pStyle w:val="FootnoteText"/>
      </w:pPr>
      <w:r>
        <w:rPr>
          <w:rStyle w:val="FootnoteReference"/>
        </w:rPr>
        <w:footnoteRef/>
      </w:r>
      <w:r>
        <w:t xml:space="preserve"> </w:t>
      </w:r>
      <w:r>
        <w:rPr>
          <w:i/>
        </w:rPr>
        <w:t xml:space="preserve">See Clear Creek, </w:t>
      </w:r>
      <w:r>
        <w:t>29 FCC Rcd at 4367 ¶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A5" w:rsidRDefault="00977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BA" w:rsidRPr="00975C54" w:rsidRDefault="001926BA" w:rsidP="004D19BD">
    <w:pPr>
      <w:pStyle w:val="Header"/>
    </w:pPr>
    <w:r>
      <w:tab/>
    </w:r>
    <w:r w:rsidRPr="00975C54">
      <w:t>Federal Com</w:t>
    </w:r>
    <w:r w:rsidR="0094296D">
      <w:t>munications Commission</w:t>
    </w:r>
    <w:r w:rsidR="0094296D">
      <w:tab/>
      <w:t>FCC 14-</w:t>
    </w:r>
    <w:r w:rsidR="00715960">
      <w:t>122</w:t>
    </w:r>
  </w:p>
  <w:p w:rsidR="001926BA" w:rsidRDefault="001926BA" w:rsidP="004D19BD">
    <w:pPr>
      <w:pStyle w:val="Header"/>
    </w:pPr>
    <w:r>
      <w:rPr>
        <w:noProof/>
      </w:rPr>
      <mc:AlternateContent>
        <mc:Choice Requires="wps">
          <w:drawing>
            <wp:anchor distT="4294967295" distB="4294967295" distL="114300" distR="114300" simplePos="0" relativeHeight="251658240" behindDoc="0" locked="0" layoutInCell="0" allowOverlap="1" wp14:anchorId="0709BDD4" wp14:editId="1BC42970">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BA" w:rsidRDefault="001926BA" w:rsidP="004D19BD">
    <w:pPr>
      <w:pStyle w:val="Header"/>
    </w:pPr>
    <w:r>
      <w:tab/>
      <w:t>Federal Com</w:t>
    </w:r>
    <w:r w:rsidR="0094296D">
      <w:t>munications Commission</w:t>
    </w:r>
    <w:r w:rsidR="0094296D">
      <w:tab/>
      <w:t>FCC 14-</w:t>
    </w:r>
    <w:r w:rsidR="00715960">
      <w:t>122</w:t>
    </w:r>
    <w:r>
      <w:t xml:space="preserve"> </w:t>
    </w:r>
  </w:p>
  <w:p w:rsidR="001926BA" w:rsidRDefault="001926BA" w:rsidP="004D19BD">
    <w:pPr>
      <w:pStyle w:val="Header"/>
    </w:pPr>
    <w:r>
      <w:rPr>
        <w:noProof/>
      </w:rPr>
      <mc:AlternateContent>
        <mc:Choice Requires="wps">
          <w:drawing>
            <wp:anchor distT="4294967295" distB="4294967295" distL="114300" distR="114300" simplePos="0" relativeHeight="251657216" behindDoc="0" locked="0" layoutInCell="0" allowOverlap="1" wp14:anchorId="0349FD4B" wp14:editId="4886D7A0">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FB"/>
    <w:multiLevelType w:val="hybridMultilevel"/>
    <w:tmpl w:val="18C6DF30"/>
    <w:lvl w:ilvl="0" w:tplc="AD9A6B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783C"/>
    <w:multiLevelType w:val="singleLevel"/>
    <w:tmpl w:val="A52053E0"/>
    <w:lvl w:ilvl="0">
      <w:start w:val="1"/>
      <w:numFmt w:val="decimal"/>
      <w:lvlText w:val="%1."/>
      <w:lvlJc w:val="left"/>
      <w:pPr>
        <w:tabs>
          <w:tab w:val="num" w:pos="360"/>
        </w:tabs>
        <w:ind w:left="-720" w:firstLine="720"/>
      </w:pPr>
      <w:rPr>
        <w:b w:val="0"/>
        <w:i w:val="0"/>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F6A53BE"/>
    <w:multiLevelType w:val="hybridMultilevel"/>
    <w:tmpl w:val="13AAA9F0"/>
    <w:lvl w:ilvl="0" w:tplc="C86A309A">
      <w:start w:val="15"/>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9">
    <w:nsid w:val="70121FA2"/>
    <w:multiLevelType w:val="hybridMultilevel"/>
    <w:tmpl w:val="5FCC96D2"/>
    <w:lvl w:ilvl="0" w:tplc="1302A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8"/>
  </w:num>
  <w:num w:numId="2">
    <w:abstractNumId w:val="30"/>
  </w:num>
  <w:num w:numId="3">
    <w:abstractNumId w:val="6"/>
  </w:num>
  <w:num w:numId="4">
    <w:abstractNumId w:val="23"/>
  </w:num>
  <w:num w:numId="5">
    <w:abstractNumId w:val="10"/>
  </w:num>
  <w:num w:numId="6">
    <w:abstractNumId w:val="26"/>
  </w:num>
  <w:num w:numId="7">
    <w:abstractNumId w:val="18"/>
  </w:num>
  <w:num w:numId="8">
    <w:abstractNumId w:val="11"/>
  </w:num>
  <w:num w:numId="9">
    <w:abstractNumId w:val="25"/>
  </w:num>
  <w:num w:numId="10">
    <w:abstractNumId w:val="16"/>
  </w:num>
  <w:num w:numId="11">
    <w:abstractNumId w:val="15"/>
  </w:num>
  <w:num w:numId="12">
    <w:abstractNumId w:val="12"/>
  </w:num>
  <w:num w:numId="13">
    <w:abstractNumId w:val="17"/>
  </w:num>
  <w:num w:numId="14">
    <w:abstractNumId w:val="24"/>
  </w:num>
  <w:num w:numId="15">
    <w:abstractNumId w:val="4"/>
  </w:num>
  <w:num w:numId="16">
    <w:abstractNumId w:val="5"/>
  </w:num>
  <w:num w:numId="17">
    <w:abstractNumId w:val="13"/>
  </w:num>
  <w:num w:numId="18">
    <w:abstractNumId w:val="3"/>
  </w:num>
  <w:num w:numId="19">
    <w:abstractNumId w:val="14"/>
  </w:num>
  <w:num w:numId="20">
    <w:abstractNumId w:val="19"/>
  </w:num>
  <w:num w:numId="21">
    <w:abstractNumId w:val="22"/>
  </w:num>
  <w:num w:numId="22">
    <w:abstractNumId w:val="1"/>
  </w:num>
  <w:num w:numId="23">
    <w:abstractNumId w:val="21"/>
  </w:num>
  <w:num w:numId="24">
    <w:abstractNumId w:val="0"/>
  </w:num>
  <w:num w:numId="25">
    <w:abstractNumId w:val="17"/>
    <w:lvlOverride w:ilvl="0">
      <w:startOverride w:val="1"/>
    </w:lvlOverride>
  </w:num>
  <w:num w:numId="26">
    <w:abstractNumId w:val="29"/>
  </w:num>
  <w:num w:numId="27">
    <w:abstractNumId w:val="7"/>
  </w:num>
  <w:num w:numId="28">
    <w:abstractNumId w:val="27"/>
  </w:num>
  <w:num w:numId="29">
    <w:abstractNumId w:val="9"/>
  </w:num>
  <w:num w:numId="30">
    <w:abstractNumId w:val="20"/>
  </w:num>
  <w:num w:numId="31">
    <w:abstractNumId w:val="8"/>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91"/>
    <w:rsid w:val="00010519"/>
    <w:rsid w:val="00011622"/>
    <w:rsid w:val="00011F8B"/>
    <w:rsid w:val="000127CF"/>
    <w:rsid w:val="00015EAA"/>
    <w:rsid w:val="00024322"/>
    <w:rsid w:val="000258D3"/>
    <w:rsid w:val="000325D2"/>
    <w:rsid w:val="00042567"/>
    <w:rsid w:val="0004498E"/>
    <w:rsid w:val="00046D66"/>
    <w:rsid w:val="00060A16"/>
    <w:rsid w:val="00064D81"/>
    <w:rsid w:val="00073874"/>
    <w:rsid w:val="000755B7"/>
    <w:rsid w:val="00077C74"/>
    <w:rsid w:val="00080715"/>
    <w:rsid w:val="00091970"/>
    <w:rsid w:val="00094082"/>
    <w:rsid w:val="000A2C6F"/>
    <w:rsid w:val="000B097D"/>
    <w:rsid w:val="000B4C7C"/>
    <w:rsid w:val="000B5147"/>
    <w:rsid w:val="000C3176"/>
    <w:rsid w:val="000C5BE5"/>
    <w:rsid w:val="000C7DAC"/>
    <w:rsid w:val="000D6B11"/>
    <w:rsid w:val="000F15DE"/>
    <w:rsid w:val="000F17A6"/>
    <w:rsid w:val="000F488F"/>
    <w:rsid w:val="000F6BCF"/>
    <w:rsid w:val="001022F5"/>
    <w:rsid w:val="001105C0"/>
    <w:rsid w:val="00123DF5"/>
    <w:rsid w:val="00134F05"/>
    <w:rsid w:val="00150FBA"/>
    <w:rsid w:val="00151292"/>
    <w:rsid w:val="00157231"/>
    <w:rsid w:val="00160404"/>
    <w:rsid w:val="00171430"/>
    <w:rsid w:val="00171F57"/>
    <w:rsid w:val="00171FDF"/>
    <w:rsid w:val="00172B06"/>
    <w:rsid w:val="00173988"/>
    <w:rsid w:val="001757A0"/>
    <w:rsid w:val="001772BF"/>
    <w:rsid w:val="00177597"/>
    <w:rsid w:val="0018025B"/>
    <w:rsid w:val="00181281"/>
    <w:rsid w:val="00187295"/>
    <w:rsid w:val="0019031A"/>
    <w:rsid w:val="00190F75"/>
    <w:rsid w:val="001926BA"/>
    <w:rsid w:val="00195478"/>
    <w:rsid w:val="00197543"/>
    <w:rsid w:val="001A1121"/>
    <w:rsid w:val="001B3444"/>
    <w:rsid w:val="001B4D52"/>
    <w:rsid w:val="001B5E11"/>
    <w:rsid w:val="001B637D"/>
    <w:rsid w:val="001D361F"/>
    <w:rsid w:val="001E1F96"/>
    <w:rsid w:val="001E7159"/>
    <w:rsid w:val="001F297E"/>
    <w:rsid w:val="00200218"/>
    <w:rsid w:val="00203E4D"/>
    <w:rsid w:val="00204FD5"/>
    <w:rsid w:val="00205F9B"/>
    <w:rsid w:val="00206B87"/>
    <w:rsid w:val="00211460"/>
    <w:rsid w:val="002139EA"/>
    <w:rsid w:val="002143AF"/>
    <w:rsid w:val="00227107"/>
    <w:rsid w:val="00231532"/>
    <w:rsid w:val="002457FA"/>
    <w:rsid w:val="00245BAE"/>
    <w:rsid w:val="00251283"/>
    <w:rsid w:val="00251B9F"/>
    <w:rsid w:val="00255387"/>
    <w:rsid w:val="0025617A"/>
    <w:rsid w:val="00256489"/>
    <w:rsid w:val="00256B92"/>
    <w:rsid w:val="00264E0C"/>
    <w:rsid w:val="0026556C"/>
    <w:rsid w:val="00276245"/>
    <w:rsid w:val="00285C45"/>
    <w:rsid w:val="00286839"/>
    <w:rsid w:val="00293769"/>
    <w:rsid w:val="00295E6A"/>
    <w:rsid w:val="002A4615"/>
    <w:rsid w:val="002B0C65"/>
    <w:rsid w:val="002B74FE"/>
    <w:rsid w:val="002C4086"/>
    <w:rsid w:val="002C580A"/>
    <w:rsid w:val="002D1040"/>
    <w:rsid w:val="002D23B8"/>
    <w:rsid w:val="002D658A"/>
    <w:rsid w:val="002E0617"/>
    <w:rsid w:val="002E2A5E"/>
    <w:rsid w:val="002E7D09"/>
    <w:rsid w:val="002F26BE"/>
    <w:rsid w:val="002F2BB6"/>
    <w:rsid w:val="00307AAF"/>
    <w:rsid w:val="00324269"/>
    <w:rsid w:val="00331768"/>
    <w:rsid w:val="003404A3"/>
    <w:rsid w:val="00344311"/>
    <w:rsid w:val="003575F7"/>
    <w:rsid w:val="00357CA0"/>
    <w:rsid w:val="00371B37"/>
    <w:rsid w:val="00372381"/>
    <w:rsid w:val="00373495"/>
    <w:rsid w:val="003814EB"/>
    <w:rsid w:val="003865D9"/>
    <w:rsid w:val="00396A2B"/>
    <w:rsid w:val="00396DCC"/>
    <w:rsid w:val="00396FEE"/>
    <w:rsid w:val="003A7F52"/>
    <w:rsid w:val="003C2842"/>
    <w:rsid w:val="003C29CF"/>
    <w:rsid w:val="003C51F7"/>
    <w:rsid w:val="003C6237"/>
    <w:rsid w:val="003D0093"/>
    <w:rsid w:val="003D434E"/>
    <w:rsid w:val="003E7249"/>
    <w:rsid w:val="003F0189"/>
    <w:rsid w:val="003F10AF"/>
    <w:rsid w:val="003F5274"/>
    <w:rsid w:val="003F6FAE"/>
    <w:rsid w:val="003F758F"/>
    <w:rsid w:val="004058FF"/>
    <w:rsid w:val="00410A8E"/>
    <w:rsid w:val="004115C1"/>
    <w:rsid w:val="00413808"/>
    <w:rsid w:val="0041561E"/>
    <w:rsid w:val="00421657"/>
    <w:rsid w:val="00422180"/>
    <w:rsid w:val="004252F9"/>
    <w:rsid w:val="00425881"/>
    <w:rsid w:val="00432466"/>
    <w:rsid w:val="004339A2"/>
    <w:rsid w:val="004506D3"/>
    <w:rsid w:val="004627CB"/>
    <w:rsid w:val="00470CAB"/>
    <w:rsid w:val="004838E7"/>
    <w:rsid w:val="004858DA"/>
    <w:rsid w:val="0049465E"/>
    <w:rsid w:val="004A4794"/>
    <w:rsid w:val="004A6C82"/>
    <w:rsid w:val="004B2EB7"/>
    <w:rsid w:val="004B7606"/>
    <w:rsid w:val="004D0816"/>
    <w:rsid w:val="004D19BD"/>
    <w:rsid w:val="004D47C8"/>
    <w:rsid w:val="004D583A"/>
    <w:rsid w:val="004D7A54"/>
    <w:rsid w:val="004E2E7B"/>
    <w:rsid w:val="004E58C0"/>
    <w:rsid w:val="004F0C3D"/>
    <w:rsid w:val="00502486"/>
    <w:rsid w:val="005047F4"/>
    <w:rsid w:val="00510BEB"/>
    <w:rsid w:val="005220A5"/>
    <w:rsid w:val="005236C9"/>
    <w:rsid w:val="005411B3"/>
    <w:rsid w:val="0054485F"/>
    <w:rsid w:val="0054614C"/>
    <w:rsid w:val="00546B70"/>
    <w:rsid w:val="005523E0"/>
    <w:rsid w:val="00557DEE"/>
    <w:rsid w:val="005660EA"/>
    <w:rsid w:val="00570C6B"/>
    <w:rsid w:val="00575218"/>
    <w:rsid w:val="00576748"/>
    <w:rsid w:val="0058200B"/>
    <w:rsid w:val="0058409D"/>
    <w:rsid w:val="0059458D"/>
    <w:rsid w:val="005A5E3E"/>
    <w:rsid w:val="005A75C9"/>
    <w:rsid w:val="005B61E0"/>
    <w:rsid w:val="005B68EC"/>
    <w:rsid w:val="005B6D6B"/>
    <w:rsid w:val="005C1E1B"/>
    <w:rsid w:val="005C4036"/>
    <w:rsid w:val="005C7311"/>
    <w:rsid w:val="005D2AFD"/>
    <w:rsid w:val="005D7A89"/>
    <w:rsid w:val="005E26B6"/>
    <w:rsid w:val="005E2D6F"/>
    <w:rsid w:val="005E71FA"/>
    <w:rsid w:val="005F34A6"/>
    <w:rsid w:val="005F7AD7"/>
    <w:rsid w:val="0060505E"/>
    <w:rsid w:val="00605970"/>
    <w:rsid w:val="0061110F"/>
    <w:rsid w:val="00611E00"/>
    <w:rsid w:val="00612E51"/>
    <w:rsid w:val="0061575A"/>
    <w:rsid w:val="00617056"/>
    <w:rsid w:val="006204A1"/>
    <w:rsid w:val="006326B5"/>
    <w:rsid w:val="00632A2D"/>
    <w:rsid w:val="0063441E"/>
    <w:rsid w:val="006358C3"/>
    <w:rsid w:val="00636A59"/>
    <w:rsid w:val="00641B2A"/>
    <w:rsid w:val="00646963"/>
    <w:rsid w:val="00650C2F"/>
    <w:rsid w:val="00654319"/>
    <w:rsid w:val="006641CB"/>
    <w:rsid w:val="00665390"/>
    <w:rsid w:val="00670429"/>
    <w:rsid w:val="00676DFC"/>
    <w:rsid w:val="00687AB3"/>
    <w:rsid w:val="00690D66"/>
    <w:rsid w:val="006914BC"/>
    <w:rsid w:val="00691C70"/>
    <w:rsid w:val="006929AF"/>
    <w:rsid w:val="006A0DF5"/>
    <w:rsid w:val="006A4478"/>
    <w:rsid w:val="006A72C6"/>
    <w:rsid w:val="006A7410"/>
    <w:rsid w:val="006B1D0A"/>
    <w:rsid w:val="006B30EB"/>
    <w:rsid w:val="006B48C2"/>
    <w:rsid w:val="006C1960"/>
    <w:rsid w:val="006C703C"/>
    <w:rsid w:val="006D10FD"/>
    <w:rsid w:val="006E18C7"/>
    <w:rsid w:val="006E26EE"/>
    <w:rsid w:val="006E60C2"/>
    <w:rsid w:val="006F2041"/>
    <w:rsid w:val="007004EF"/>
    <w:rsid w:val="00703244"/>
    <w:rsid w:val="0071023D"/>
    <w:rsid w:val="00713D3F"/>
    <w:rsid w:val="007155B2"/>
    <w:rsid w:val="007157D6"/>
    <w:rsid w:val="00715960"/>
    <w:rsid w:val="0072214E"/>
    <w:rsid w:val="00722BE3"/>
    <w:rsid w:val="00727D7D"/>
    <w:rsid w:val="00732448"/>
    <w:rsid w:val="00737859"/>
    <w:rsid w:val="00741D76"/>
    <w:rsid w:val="00743B31"/>
    <w:rsid w:val="00743F09"/>
    <w:rsid w:val="007461AE"/>
    <w:rsid w:val="00750291"/>
    <w:rsid w:val="007515B3"/>
    <w:rsid w:val="00752ED8"/>
    <w:rsid w:val="007532D7"/>
    <w:rsid w:val="00763009"/>
    <w:rsid w:val="0076324B"/>
    <w:rsid w:val="00766175"/>
    <w:rsid w:val="0077244C"/>
    <w:rsid w:val="007819F9"/>
    <w:rsid w:val="0078358E"/>
    <w:rsid w:val="00783883"/>
    <w:rsid w:val="00785CE5"/>
    <w:rsid w:val="00786C4C"/>
    <w:rsid w:val="007926DA"/>
    <w:rsid w:val="007A62F1"/>
    <w:rsid w:val="007B028B"/>
    <w:rsid w:val="007C6399"/>
    <w:rsid w:val="007D01C8"/>
    <w:rsid w:val="007D0B89"/>
    <w:rsid w:val="007D53B9"/>
    <w:rsid w:val="007D5477"/>
    <w:rsid w:val="007D6439"/>
    <w:rsid w:val="007E0C46"/>
    <w:rsid w:val="007E6E98"/>
    <w:rsid w:val="007F1AF9"/>
    <w:rsid w:val="007F7356"/>
    <w:rsid w:val="00811D62"/>
    <w:rsid w:val="0082144B"/>
    <w:rsid w:val="008228EA"/>
    <w:rsid w:val="00851F45"/>
    <w:rsid w:val="00856A61"/>
    <w:rsid w:val="00856B49"/>
    <w:rsid w:val="00857544"/>
    <w:rsid w:val="00861514"/>
    <w:rsid w:val="00866303"/>
    <w:rsid w:val="0087344A"/>
    <w:rsid w:val="008749FA"/>
    <w:rsid w:val="0087508C"/>
    <w:rsid w:val="00881023"/>
    <w:rsid w:val="00882F53"/>
    <w:rsid w:val="00883B9B"/>
    <w:rsid w:val="00884F25"/>
    <w:rsid w:val="008936CA"/>
    <w:rsid w:val="00895624"/>
    <w:rsid w:val="008A039C"/>
    <w:rsid w:val="008B1765"/>
    <w:rsid w:val="008B7B09"/>
    <w:rsid w:val="008C6666"/>
    <w:rsid w:val="008D2A42"/>
    <w:rsid w:val="008D38A7"/>
    <w:rsid w:val="008D60E3"/>
    <w:rsid w:val="008E2EF2"/>
    <w:rsid w:val="008E5A41"/>
    <w:rsid w:val="008E7F32"/>
    <w:rsid w:val="008F6B68"/>
    <w:rsid w:val="008F74C1"/>
    <w:rsid w:val="00906C58"/>
    <w:rsid w:val="009105EA"/>
    <w:rsid w:val="0091159F"/>
    <w:rsid w:val="00912BC8"/>
    <w:rsid w:val="009137AD"/>
    <w:rsid w:val="00920947"/>
    <w:rsid w:val="009218C0"/>
    <w:rsid w:val="009376CB"/>
    <w:rsid w:val="0094296D"/>
    <w:rsid w:val="00947607"/>
    <w:rsid w:val="009523A6"/>
    <w:rsid w:val="00966F17"/>
    <w:rsid w:val="00972D7B"/>
    <w:rsid w:val="00974482"/>
    <w:rsid w:val="0097598D"/>
    <w:rsid w:val="00975C54"/>
    <w:rsid w:val="009771A5"/>
    <w:rsid w:val="00984503"/>
    <w:rsid w:val="00986030"/>
    <w:rsid w:val="009A0417"/>
    <w:rsid w:val="009A5897"/>
    <w:rsid w:val="009B4B78"/>
    <w:rsid w:val="009C34CB"/>
    <w:rsid w:val="009C61A1"/>
    <w:rsid w:val="009C7DD8"/>
    <w:rsid w:val="009D04A7"/>
    <w:rsid w:val="009D2297"/>
    <w:rsid w:val="009D2F96"/>
    <w:rsid w:val="009E0D30"/>
    <w:rsid w:val="009E2832"/>
    <w:rsid w:val="009E7ABD"/>
    <w:rsid w:val="009F244D"/>
    <w:rsid w:val="009F5B88"/>
    <w:rsid w:val="009F62CB"/>
    <w:rsid w:val="009F7763"/>
    <w:rsid w:val="00A00122"/>
    <w:rsid w:val="00A104D9"/>
    <w:rsid w:val="00A16049"/>
    <w:rsid w:val="00A22171"/>
    <w:rsid w:val="00A301D0"/>
    <w:rsid w:val="00A30E5A"/>
    <w:rsid w:val="00A36666"/>
    <w:rsid w:val="00A45410"/>
    <w:rsid w:val="00A50DD8"/>
    <w:rsid w:val="00A63F01"/>
    <w:rsid w:val="00A65DBA"/>
    <w:rsid w:val="00A77A46"/>
    <w:rsid w:val="00A77C70"/>
    <w:rsid w:val="00A86B98"/>
    <w:rsid w:val="00A91B51"/>
    <w:rsid w:val="00A96094"/>
    <w:rsid w:val="00AA0CC8"/>
    <w:rsid w:val="00AA29F1"/>
    <w:rsid w:val="00AB2AA6"/>
    <w:rsid w:val="00AB2C2B"/>
    <w:rsid w:val="00AC6CDB"/>
    <w:rsid w:val="00AD6F47"/>
    <w:rsid w:val="00AE22FF"/>
    <w:rsid w:val="00AE4709"/>
    <w:rsid w:val="00AE7AC4"/>
    <w:rsid w:val="00AF4089"/>
    <w:rsid w:val="00AF650D"/>
    <w:rsid w:val="00B00B1C"/>
    <w:rsid w:val="00B01A38"/>
    <w:rsid w:val="00B1657E"/>
    <w:rsid w:val="00B21E14"/>
    <w:rsid w:val="00B22D0E"/>
    <w:rsid w:val="00B238CC"/>
    <w:rsid w:val="00B31864"/>
    <w:rsid w:val="00B31B9C"/>
    <w:rsid w:val="00B349D4"/>
    <w:rsid w:val="00B4098B"/>
    <w:rsid w:val="00B41B6C"/>
    <w:rsid w:val="00B45E06"/>
    <w:rsid w:val="00B464F9"/>
    <w:rsid w:val="00B465E5"/>
    <w:rsid w:val="00B64D36"/>
    <w:rsid w:val="00B77A54"/>
    <w:rsid w:val="00B80BB4"/>
    <w:rsid w:val="00B81E58"/>
    <w:rsid w:val="00B82247"/>
    <w:rsid w:val="00B86A6A"/>
    <w:rsid w:val="00B86CB9"/>
    <w:rsid w:val="00B90099"/>
    <w:rsid w:val="00BA188F"/>
    <w:rsid w:val="00BA18E9"/>
    <w:rsid w:val="00BA4157"/>
    <w:rsid w:val="00BA4713"/>
    <w:rsid w:val="00BB5B0D"/>
    <w:rsid w:val="00BB7452"/>
    <w:rsid w:val="00BC1F82"/>
    <w:rsid w:val="00BC3F33"/>
    <w:rsid w:val="00BD3F63"/>
    <w:rsid w:val="00BE2F3E"/>
    <w:rsid w:val="00BF1638"/>
    <w:rsid w:val="00BF33FD"/>
    <w:rsid w:val="00BF3ED8"/>
    <w:rsid w:val="00BF78A5"/>
    <w:rsid w:val="00C01437"/>
    <w:rsid w:val="00C02716"/>
    <w:rsid w:val="00C0327A"/>
    <w:rsid w:val="00C04E32"/>
    <w:rsid w:val="00C108D0"/>
    <w:rsid w:val="00C138BA"/>
    <w:rsid w:val="00C14B99"/>
    <w:rsid w:val="00C17176"/>
    <w:rsid w:val="00C17503"/>
    <w:rsid w:val="00C17E7E"/>
    <w:rsid w:val="00C26924"/>
    <w:rsid w:val="00C271E8"/>
    <w:rsid w:val="00C303CD"/>
    <w:rsid w:val="00C434AA"/>
    <w:rsid w:val="00C44110"/>
    <w:rsid w:val="00C4413A"/>
    <w:rsid w:val="00C44C3E"/>
    <w:rsid w:val="00C45AA7"/>
    <w:rsid w:val="00C518FC"/>
    <w:rsid w:val="00C52418"/>
    <w:rsid w:val="00C56021"/>
    <w:rsid w:val="00C6397F"/>
    <w:rsid w:val="00C72DE2"/>
    <w:rsid w:val="00C7304D"/>
    <w:rsid w:val="00C75A67"/>
    <w:rsid w:val="00C774AC"/>
    <w:rsid w:val="00C831B5"/>
    <w:rsid w:val="00C8718A"/>
    <w:rsid w:val="00C93FD7"/>
    <w:rsid w:val="00C969AF"/>
    <w:rsid w:val="00CA4869"/>
    <w:rsid w:val="00CA4C3A"/>
    <w:rsid w:val="00CA6580"/>
    <w:rsid w:val="00CC180E"/>
    <w:rsid w:val="00CC1F71"/>
    <w:rsid w:val="00CC330C"/>
    <w:rsid w:val="00CC4A5F"/>
    <w:rsid w:val="00CD1F35"/>
    <w:rsid w:val="00CD287F"/>
    <w:rsid w:val="00CD6294"/>
    <w:rsid w:val="00CE238F"/>
    <w:rsid w:val="00CE44EC"/>
    <w:rsid w:val="00CE493A"/>
    <w:rsid w:val="00CE7C7A"/>
    <w:rsid w:val="00CF2D0D"/>
    <w:rsid w:val="00CF76A5"/>
    <w:rsid w:val="00D067B2"/>
    <w:rsid w:val="00D14DF8"/>
    <w:rsid w:val="00D15EC6"/>
    <w:rsid w:val="00D30C88"/>
    <w:rsid w:val="00D41EB5"/>
    <w:rsid w:val="00D4372E"/>
    <w:rsid w:val="00D4395C"/>
    <w:rsid w:val="00D52278"/>
    <w:rsid w:val="00D612F3"/>
    <w:rsid w:val="00D61CE5"/>
    <w:rsid w:val="00D71A26"/>
    <w:rsid w:val="00D71F0E"/>
    <w:rsid w:val="00D74F01"/>
    <w:rsid w:val="00D7692B"/>
    <w:rsid w:val="00D77E99"/>
    <w:rsid w:val="00D86839"/>
    <w:rsid w:val="00DA0FD4"/>
    <w:rsid w:val="00DA2E22"/>
    <w:rsid w:val="00DA54B9"/>
    <w:rsid w:val="00DB24FC"/>
    <w:rsid w:val="00DB262E"/>
    <w:rsid w:val="00DB367A"/>
    <w:rsid w:val="00DB45CD"/>
    <w:rsid w:val="00DC2956"/>
    <w:rsid w:val="00DD52C5"/>
    <w:rsid w:val="00DE4995"/>
    <w:rsid w:val="00DE7632"/>
    <w:rsid w:val="00DF3A78"/>
    <w:rsid w:val="00DF56C3"/>
    <w:rsid w:val="00E01057"/>
    <w:rsid w:val="00E21B68"/>
    <w:rsid w:val="00E30A0E"/>
    <w:rsid w:val="00E41545"/>
    <w:rsid w:val="00E47F96"/>
    <w:rsid w:val="00E645AF"/>
    <w:rsid w:val="00E6499C"/>
    <w:rsid w:val="00E6587D"/>
    <w:rsid w:val="00E66C6E"/>
    <w:rsid w:val="00E74908"/>
    <w:rsid w:val="00E75113"/>
    <w:rsid w:val="00E75852"/>
    <w:rsid w:val="00E76628"/>
    <w:rsid w:val="00E76DFE"/>
    <w:rsid w:val="00E85B34"/>
    <w:rsid w:val="00E865D5"/>
    <w:rsid w:val="00E94291"/>
    <w:rsid w:val="00EA2213"/>
    <w:rsid w:val="00EB05F7"/>
    <w:rsid w:val="00EB5542"/>
    <w:rsid w:val="00EC6210"/>
    <w:rsid w:val="00EC6420"/>
    <w:rsid w:val="00ED6B09"/>
    <w:rsid w:val="00ED70C4"/>
    <w:rsid w:val="00EE30F4"/>
    <w:rsid w:val="00EE39E6"/>
    <w:rsid w:val="00EE49FD"/>
    <w:rsid w:val="00EE4AAD"/>
    <w:rsid w:val="00EE55AC"/>
    <w:rsid w:val="00EE7A95"/>
    <w:rsid w:val="00EF3B22"/>
    <w:rsid w:val="00F076C4"/>
    <w:rsid w:val="00F11823"/>
    <w:rsid w:val="00F14B0B"/>
    <w:rsid w:val="00F21E09"/>
    <w:rsid w:val="00F25718"/>
    <w:rsid w:val="00F25802"/>
    <w:rsid w:val="00F278DF"/>
    <w:rsid w:val="00F37E13"/>
    <w:rsid w:val="00F46FBC"/>
    <w:rsid w:val="00F47BB5"/>
    <w:rsid w:val="00F57ED0"/>
    <w:rsid w:val="00F7521B"/>
    <w:rsid w:val="00F77925"/>
    <w:rsid w:val="00F805DF"/>
    <w:rsid w:val="00F80B3A"/>
    <w:rsid w:val="00F82BEE"/>
    <w:rsid w:val="00F85E98"/>
    <w:rsid w:val="00F87DDA"/>
    <w:rsid w:val="00F91778"/>
    <w:rsid w:val="00FA3247"/>
    <w:rsid w:val="00FB4990"/>
    <w:rsid w:val="00FB4D0C"/>
    <w:rsid w:val="00FB53C2"/>
    <w:rsid w:val="00FD087B"/>
    <w:rsid w:val="00FD2040"/>
    <w:rsid w:val="00FD6AA2"/>
    <w:rsid w:val="00FE2202"/>
    <w:rsid w:val="00FE2FEC"/>
    <w:rsid w:val="00FE33BC"/>
    <w:rsid w:val="00FE3722"/>
    <w:rsid w:val="00FE3D15"/>
    <w:rsid w:val="00FF0178"/>
    <w:rsid w:val="00FF38B5"/>
    <w:rsid w:val="00FF49B8"/>
    <w:rsid w:val="00FF62F8"/>
    <w:rsid w:val="00FF7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F5"/>
    <w:pPr>
      <w:widowControl w:val="0"/>
    </w:pPr>
    <w:rPr>
      <w:snapToGrid w:val="0"/>
      <w:kern w:val="28"/>
      <w:sz w:val="22"/>
    </w:rPr>
  </w:style>
  <w:style w:type="paragraph" w:styleId="Heading1">
    <w:name w:val="heading 1"/>
    <w:basedOn w:val="Normal"/>
    <w:next w:val="ParaNum"/>
    <w:qFormat/>
    <w:rsid w:val="001022F5"/>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022F5"/>
    <w:pPr>
      <w:keepNext/>
      <w:numPr>
        <w:ilvl w:val="1"/>
        <w:numId w:val="29"/>
      </w:numPr>
      <w:spacing w:after="120"/>
      <w:outlineLvl w:val="1"/>
    </w:pPr>
    <w:rPr>
      <w:b/>
    </w:rPr>
  </w:style>
  <w:style w:type="paragraph" w:styleId="Heading3">
    <w:name w:val="heading 3"/>
    <w:basedOn w:val="Normal"/>
    <w:next w:val="ParaNum"/>
    <w:qFormat/>
    <w:rsid w:val="001022F5"/>
    <w:pPr>
      <w:keepNext/>
      <w:numPr>
        <w:ilvl w:val="2"/>
        <w:numId w:val="29"/>
      </w:numPr>
      <w:tabs>
        <w:tab w:val="left" w:pos="2160"/>
      </w:tabs>
      <w:spacing w:after="120"/>
      <w:outlineLvl w:val="2"/>
    </w:pPr>
    <w:rPr>
      <w:b/>
    </w:rPr>
  </w:style>
  <w:style w:type="paragraph" w:styleId="Heading4">
    <w:name w:val="heading 4"/>
    <w:basedOn w:val="Normal"/>
    <w:next w:val="ParaNum"/>
    <w:qFormat/>
    <w:rsid w:val="001022F5"/>
    <w:pPr>
      <w:keepNext/>
      <w:numPr>
        <w:ilvl w:val="3"/>
        <w:numId w:val="29"/>
      </w:numPr>
      <w:tabs>
        <w:tab w:val="left" w:pos="2880"/>
      </w:tabs>
      <w:spacing w:after="120"/>
      <w:outlineLvl w:val="3"/>
    </w:pPr>
    <w:rPr>
      <w:b/>
    </w:rPr>
  </w:style>
  <w:style w:type="paragraph" w:styleId="Heading5">
    <w:name w:val="heading 5"/>
    <w:basedOn w:val="Normal"/>
    <w:next w:val="ParaNum"/>
    <w:qFormat/>
    <w:rsid w:val="001022F5"/>
    <w:pPr>
      <w:keepNext/>
      <w:numPr>
        <w:ilvl w:val="4"/>
        <w:numId w:val="29"/>
      </w:numPr>
      <w:tabs>
        <w:tab w:val="left" w:pos="3600"/>
      </w:tabs>
      <w:suppressAutoHyphens/>
      <w:spacing w:after="120"/>
      <w:outlineLvl w:val="4"/>
    </w:pPr>
    <w:rPr>
      <w:b/>
    </w:rPr>
  </w:style>
  <w:style w:type="paragraph" w:styleId="Heading6">
    <w:name w:val="heading 6"/>
    <w:basedOn w:val="Normal"/>
    <w:next w:val="ParaNum"/>
    <w:qFormat/>
    <w:rsid w:val="001022F5"/>
    <w:pPr>
      <w:numPr>
        <w:ilvl w:val="5"/>
        <w:numId w:val="29"/>
      </w:numPr>
      <w:tabs>
        <w:tab w:val="left" w:pos="4320"/>
      </w:tabs>
      <w:spacing w:after="120"/>
      <w:outlineLvl w:val="5"/>
    </w:pPr>
    <w:rPr>
      <w:b/>
    </w:rPr>
  </w:style>
  <w:style w:type="paragraph" w:styleId="Heading7">
    <w:name w:val="heading 7"/>
    <w:basedOn w:val="Normal"/>
    <w:next w:val="ParaNum"/>
    <w:qFormat/>
    <w:rsid w:val="001022F5"/>
    <w:pPr>
      <w:numPr>
        <w:ilvl w:val="6"/>
        <w:numId w:val="29"/>
      </w:numPr>
      <w:tabs>
        <w:tab w:val="left" w:pos="5040"/>
      </w:tabs>
      <w:spacing w:after="120"/>
      <w:ind w:left="5040" w:hanging="720"/>
      <w:outlineLvl w:val="6"/>
    </w:pPr>
    <w:rPr>
      <w:b/>
    </w:rPr>
  </w:style>
  <w:style w:type="paragraph" w:styleId="Heading8">
    <w:name w:val="heading 8"/>
    <w:basedOn w:val="Normal"/>
    <w:next w:val="ParaNum"/>
    <w:qFormat/>
    <w:rsid w:val="001022F5"/>
    <w:pPr>
      <w:numPr>
        <w:ilvl w:val="7"/>
        <w:numId w:val="29"/>
      </w:numPr>
      <w:tabs>
        <w:tab w:val="clear" w:pos="5400"/>
        <w:tab w:val="left" w:pos="5760"/>
      </w:tabs>
      <w:spacing w:after="120"/>
      <w:ind w:left="5760" w:hanging="720"/>
      <w:outlineLvl w:val="7"/>
    </w:pPr>
    <w:rPr>
      <w:b/>
    </w:rPr>
  </w:style>
  <w:style w:type="paragraph" w:styleId="Heading9">
    <w:name w:val="heading 9"/>
    <w:basedOn w:val="Normal"/>
    <w:next w:val="ParaNum"/>
    <w:qFormat/>
    <w:rsid w:val="001022F5"/>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22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22F5"/>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1022F5"/>
    <w:pPr>
      <w:numPr>
        <w:numId w:val="28"/>
      </w:numPr>
      <w:tabs>
        <w:tab w:val="clear" w:pos="1080"/>
        <w:tab w:val="num" w:pos="1440"/>
      </w:tabs>
      <w:spacing w:after="120"/>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1022F5"/>
    <w:pPr>
      <w:spacing w:after="120"/>
    </w:pPr>
  </w:style>
  <w:style w:type="paragraph" w:customStyle="1" w:styleId="Bullet">
    <w:name w:val="Bullet"/>
    <w:basedOn w:val="Normal"/>
    <w:rsid w:val="001022F5"/>
    <w:pPr>
      <w:tabs>
        <w:tab w:val="left" w:pos="2160"/>
      </w:tabs>
      <w:spacing w:after="220"/>
      <w:ind w:left="2160" w:hanging="720"/>
    </w:pPr>
  </w:style>
  <w:style w:type="paragraph" w:styleId="BlockText">
    <w:name w:val="Block Text"/>
    <w:basedOn w:val="Normal"/>
    <w:rsid w:val="001022F5"/>
    <w:pPr>
      <w:spacing w:after="240"/>
      <w:ind w:left="1440" w:right="1440"/>
    </w:pPr>
  </w:style>
  <w:style w:type="paragraph" w:customStyle="1" w:styleId="TableFormat">
    <w:name w:val="TableFormat"/>
    <w:basedOn w:val="Bullet"/>
    <w:rsid w:val="001022F5"/>
    <w:pPr>
      <w:tabs>
        <w:tab w:val="clear" w:pos="2160"/>
        <w:tab w:val="left" w:pos="5040"/>
      </w:tabs>
      <w:ind w:left="5040" w:hanging="3600"/>
    </w:pPr>
  </w:style>
  <w:style w:type="character" w:styleId="FootnoteReference">
    <w:name w:val="footnote reference"/>
    <w:aliases w:val="Style 12,(NECG) Footnote Reference,Appel note de bas de p,Style 124,o,fr,Style 3,Style 13"/>
    <w:rsid w:val="001022F5"/>
    <w:rPr>
      <w:rFonts w:ascii="Times New Roman" w:hAnsi="Times New Roman"/>
      <w:dstrike w:val="0"/>
      <w:color w:val="auto"/>
      <w:sz w:val="20"/>
      <w:vertAlign w:val="superscript"/>
    </w:rPr>
  </w:style>
  <w:style w:type="paragraph" w:styleId="Header">
    <w:name w:val="header"/>
    <w:basedOn w:val="Normal"/>
    <w:link w:val="HeaderChar"/>
    <w:autoRedefine/>
    <w:rsid w:val="001022F5"/>
    <w:pPr>
      <w:tabs>
        <w:tab w:val="center" w:pos="4680"/>
        <w:tab w:val="right" w:pos="9360"/>
      </w:tabs>
    </w:pPr>
    <w:rPr>
      <w:b/>
    </w:rPr>
  </w:style>
  <w:style w:type="paragraph" w:styleId="Footer">
    <w:name w:val="footer"/>
    <w:basedOn w:val="Normal"/>
    <w:link w:val="FooterChar"/>
    <w:rsid w:val="001022F5"/>
    <w:pPr>
      <w:tabs>
        <w:tab w:val="center" w:pos="4320"/>
        <w:tab w:val="right" w:pos="8640"/>
      </w:tabs>
    </w:pPr>
  </w:style>
  <w:style w:type="paragraph" w:styleId="TOC2">
    <w:name w:val="toc 2"/>
    <w:basedOn w:val="Normal"/>
    <w:next w:val="Normal"/>
    <w:semiHidden/>
    <w:rsid w:val="001022F5"/>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1022F5"/>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1022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22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22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22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22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22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22F5"/>
    <w:pPr>
      <w:tabs>
        <w:tab w:val="left" w:pos="3240"/>
        <w:tab w:val="right" w:leader="dot" w:pos="9360"/>
      </w:tabs>
      <w:suppressAutoHyphens/>
      <w:ind w:left="3240" w:hanging="360"/>
    </w:pPr>
    <w:rPr>
      <w:noProof/>
    </w:rPr>
  </w:style>
  <w:style w:type="character" w:styleId="PageNumber">
    <w:name w:val="page number"/>
    <w:basedOn w:val="DefaultParagraphFont"/>
    <w:rsid w:val="001022F5"/>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1022F5"/>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4D19BD"/>
    <w:rPr>
      <w:b/>
      <w:snapToGrid w:val="0"/>
      <w:kern w:val="28"/>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napToGrid w:val="0"/>
      <w:kern w:val="28"/>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napToGrid w:val="0"/>
      <w:kern w:val="28"/>
      <w:sz w:val="22"/>
    </w:rPr>
  </w:style>
  <w:style w:type="paragraph" w:styleId="Revision">
    <w:name w:val="Revision"/>
    <w:hidden/>
    <w:uiPriority w:val="99"/>
    <w:semiHidden/>
    <w:rsid w:val="00C44110"/>
    <w:rPr>
      <w:sz w:val="22"/>
    </w:rPr>
  </w:style>
  <w:style w:type="paragraph" w:styleId="EndnoteText">
    <w:name w:val="endnote text"/>
    <w:basedOn w:val="Normal"/>
    <w:link w:val="EndnoteTextChar"/>
    <w:semiHidden/>
    <w:rsid w:val="001022F5"/>
    <w:rPr>
      <w:sz w:val="20"/>
    </w:rPr>
  </w:style>
  <w:style w:type="character" w:customStyle="1" w:styleId="EndnoteTextChar">
    <w:name w:val="Endnote Text Char"/>
    <w:basedOn w:val="DefaultParagraphFont"/>
    <w:link w:val="EndnoteText"/>
    <w:semiHidden/>
    <w:rsid w:val="009C34CB"/>
    <w:rPr>
      <w:snapToGrid w:val="0"/>
      <w:kern w:val="28"/>
    </w:rPr>
  </w:style>
  <w:style w:type="character" w:styleId="EndnoteReference">
    <w:name w:val="endnote reference"/>
    <w:semiHidden/>
    <w:rsid w:val="001022F5"/>
    <w:rPr>
      <w:vertAlign w:val="superscript"/>
    </w:rPr>
  </w:style>
  <w:style w:type="paragraph" w:styleId="TOAHeading">
    <w:name w:val="toa heading"/>
    <w:basedOn w:val="Normal"/>
    <w:next w:val="Normal"/>
    <w:semiHidden/>
    <w:rsid w:val="001022F5"/>
    <w:pPr>
      <w:tabs>
        <w:tab w:val="right" w:pos="9360"/>
      </w:tabs>
      <w:suppressAutoHyphens/>
    </w:pPr>
  </w:style>
  <w:style w:type="character" w:customStyle="1" w:styleId="EquationCaption">
    <w:name w:val="_Equation Caption"/>
    <w:rsid w:val="001022F5"/>
  </w:style>
  <w:style w:type="paragraph" w:customStyle="1" w:styleId="Paratitle">
    <w:name w:val="Para title"/>
    <w:basedOn w:val="Normal"/>
    <w:rsid w:val="001022F5"/>
    <w:pPr>
      <w:tabs>
        <w:tab w:val="center" w:pos="9270"/>
      </w:tabs>
      <w:spacing w:after="240"/>
    </w:pPr>
    <w:rPr>
      <w:spacing w:val="-2"/>
    </w:rPr>
  </w:style>
  <w:style w:type="paragraph" w:customStyle="1" w:styleId="TOCTitle">
    <w:name w:val="TOC Title"/>
    <w:basedOn w:val="Normal"/>
    <w:rsid w:val="001022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22F5"/>
    <w:pPr>
      <w:jc w:val="center"/>
    </w:pPr>
    <w:rPr>
      <w:rFonts w:ascii="Times New Roman Bold" w:hAnsi="Times New Roman Bold"/>
      <w:b/>
      <w:bCs/>
      <w:caps/>
      <w:szCs w:val="22"/>
    </w:rPr>
  </w:style>
  <w:style w:type="character" w:styleId="FollowedHyperlink">
    <w:name w:val="FollowedHyperlink"/>
    <w:basedOn w:val="DefaultParagraphFont"/>
    <w:uiPriority w:val="99"/>
    <w:semiHidden/>
    <w:unhideWhenUsed/>
    <w:rsid w:val="00CE23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F5"/>
    <w:pPr>
      <w:widowControl w:val="0"/>
    </w:pPr>
    <w:rPr>
      <w:snapToGrid w:val="0"/>
      <w:kern w:val="28"/>
      <w:sz w:val="22"/>
    </w:rPr>
  </w:style>
  <w:style w:type="paragraph" w:styleId="Heading1">
    <w:name w:val="heading 1"/>
    <w:basedOn w:val="Normal"/>
    <w:next w:val="ParaNum"/>
    <w:qFormat/>
    <w:rsid w:val="001022F5"/>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022F5"/>
    <w:pPr>
      <w:keepNext/>
      <w:numPr>
        <w:ilvl w:val="1"/>
        <w:numId w:val="29"/>
      </w:numPr>
      <w:spacing w:after="120"/>
      <w:outlineLvl w:val="1"/>
    </w:pPr>
    <w:rPr>
      <w:b/>
    </w:rPr>
  </w:style>
  <w:style w:type="paragraph" w:styleId="Heading3">
    <w:name w:val="heading 3"/>
    <w:basedOn w:val="Normal"/>
    <w:next w:val="ParaNum"/>
    <w:qFormat/>
    <w:rsid w:val="001022F5"/>
    <w:pPr>
      <w:keepNext/>
      <w:numPr>
        <w:ilvl w:val="2"/>
        <w:numId w:val="29"/>
      </w:numPr>
      <w:tabs>
        <w:tab w:val="left" w:pos="2160"/>
      </w:tabs>
      <w:spacing w:after="120"/>
      <w:outlineLvl w:val="2"/>
    </w:pPr>
    <w:rPr>
      <w:b/>
    </w:rPr>
  </w:style>
  <w:style w:type="paragraph" w:styleId="Heading4">
    <w:name w:val="heading 4"/>
    <w:basedOn w:val="Normal"/>
    <w:next w:val="ParaNum"/>
    <w:qFormat/>
    <w:rsid w:val="001022F5"/>
    <w:pPr>
      <w:keepNext/>
      <w:numPr>
        <w:ilvl w:val="3"/>
        <w:numId w:val="29"/>
      </w:numPr>
      <w:tabs>
        <w:tab w:val="left" w:pos="2880"/>
      </w:tabs>
      <w:spacing w:after="120"/>
      <w:outlineLvl w:val="3"/>
    </w:pPr>
    <w:rPr>
      <w:b/>
    </w:rPr>
  </w:style>
  <w:style w:type="paragraph" w:styleId="Heading5">
    <w:name w:val="heading 5"/>
    <w:basedOn w:val="Normal"/>
    <w:next w:val="ParaNum"/>
    <w:qFormat/>
    <w:rsid w:val="001022F5"/>
    <w:pPr>
      <w:keepNext/>
      <w:numPr>
        <w:ilvl w:val="4"/>
        <w:numId w:val="29"/>
      </w:numPr>
      <w:tabs>
        <w:tab w:val="left" w:pos="3600"/>
      </w:tabs>
      <w:suppressAutoHyphens/>
      <w:spacing w:after="120"/>
      <w:outlineLvl w:val="4"/>
    </w:pPr>
    <w:rPr>
      <w:b/>
    </w:rPr>
  </w:style>
  <w:style w:type="paragraph" w:styleId="Heading6">
    <w:name w:val="heading 6"/>
    <w:basedOn w:val="Normal"/>
    <w:next w:val="ParaNum"/>
    <w:qFormat/>
    <w:rsid w:val="001022F5"/>
    <w:pPr>
      <w:numPr>
        <w:ilvl w:val="5"/>
        <w:numId w:val="29"/>
      </w:numPr>
      <w:tabs>
        <w:tab w:val="left" w:pos="4320"/>
      </w:tabs>
      <w:spacing w:after="120"/>
      <w:outlineLvl w:val="5"/>
    </w:pPr>
    <w:rPr>
      <w:b/>
    </w:rPr>
  </w:style>
  <w:style w:type="paragraph" w:styleId="Heading7">
    <w:name w:val="heading 7"/>
    <w:basedOn w:val="Normal"/>
    <w:next w:val="ParaNum"/>
    <w:qFormat/>
    <w:rsid w:val="001022F5"/>
    <w:pPr>
      <w:numPr>
        <w:ilvl w:val="6"/>
        <w:numId w:val="29"/>
      </w:numPr>
      <w:tabs>
        <w:tab w:val="left" w:pos="5040"/>
      </w:tabs>
      <w:spacing w:after="120"/>
      <w:ind w:left="5040" w:hanging="720"/>
      <w:outlineLvl w:val="6"/>
    </w:pPr>
    <w:rPr>
      <w:b/>
    </w:rPr>
  </w:style>
  <w:style w:type="paragraph" w:styleId="Heading8">
    <w:name w:val="heading 8"/>
    <w:basedOn w:val="Normal"/>
    <w:next w:val="ParaNum"/>
    <w:qFormat/>
    <w:rsid w:val="001022F5"/>
    <w:pPr>
      <w:numPr>
        <w:ilvl w:val="7"/>
        <w:numId w:val="29"/>
      </w:numPr>
      <w:tabs>
        <w:tab w:val="clear" w:pos="5400"/>
        <w:tab w:val="left" w:pos="5760"/>
      </w:tabs>
      <w:spacing w:after="120"/>
      <w:ind w:left="5760" w:hanging="720"/>
      <w:outlineLvl w:val="7"/>
    </w:pPr>
    <w:rPr>
      <w:b/>
    </w:rPr>
  </w:style>
  <w:style w:type="paragraph" w:styleId="Heading9">
    <w:name w:val="heading 9"/>
    <w:basedOn w:val="Normal"/>
    <w:next w:val="ParaNum"/>
    <w:qFormat/>
    <w:rsid w:val="001022F5"/>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22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22F5"/>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1022F5"/>
    <w:pPr>
      <w:numPr>
        <w:numId w:val="28"/>
      </w:numPr>
      <w:tabs>
        <w:tab w:val="clear" w:pos="1080"/>
        <w:tab w:val="num" w:pos="1440"/>
      </w:tabs>
      <w:spacing w:after="120"/>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1022F5"/>
    <w:pPr>
      <w:spacing w:after="120"/>
    </w:pPr>
  </w:style>
  <w:style w:type="paragraph" w:customStyle="1" w:styleId="Bullet">
    <w:name w:val="Bullet"/>
    <w:basedOn w:val="Normal"/>
    <w:rsid w:val="001022F5"/>
    <w:pPr>
      <w:tabs>
        <w:tab w:val="left" w:pos="2160"/>
      </w:tabs>
      <w:spacing w:after="220"/>
      <w:ind w:left="2160" w:hanging="720"/>
    </w:pPr>
  </w:style>
  <w:style w:type="paragraph" w:styleId="BlockText">
    <w:name w:val="Block Text"/>
    <w:basedOn w:val="Normal"/>
    <w:rsid w:val="001022F5"/>
    <w:pPr>
      <w:spacing w:after="240"/>
      <w:ind w:left="1440" w:right="1440"/>
    </w:pPr>
  </w:style>
  <w:style w:type="paragraph" w:customStyle="1" w:styleId="TableFormat">
    <w:name w:val="TableFormat"/>
    <w:basedOn w:val="Bullet"/>
    <w:rsid w:val="001022F5"/>
    <w:pPr>
      <w:tabs>
        <w:tab w:val="clear" w:pos="2160"/>
        <w:tab w:val="left" w:pos="5040"/>
      </w:tabs>
      <w:ind w:left="5040" w:hanging="3600"/>
    </w:pPr>
  </w:style>
  <w:style w:type="character" w:styleId="FootnoteReference">
    <w:name w:val="footnote reference"/>
    <w:aliases w:val="Style 12,(NECG) Footnote Reference,Appel note de bas de p,Style 124,o,fr,Style 3,Style 13"/>
    <w:rsid w:val="001022F5"/>
    <w:rPr>
      <w:rFonts w:ascii="Times New Roman" w:hAnsi="Times New Roman"/>
      <w:dstrike w:val="0"/>
      <w:color w:val="auto"/>
      <w:sz w:val="20"/>
      <w:vertAlign w:val="superscript"/>
    </w:rPr>
  </w:style>
  <w:style w:type="paragraph" w:styleId="Header">
    <w:name w:val="header"/>
    <w:basedOn w:val="Normal"/>
    <w:link w:val="HeaderChar"/>
    <w:autoRedefine/>
    <w:rsid w:val="001022F5"/>
    <w:pPr>
      <w:tabs>
        <w:tab w:val="center" w:pos="4680"/>
        <w:tab w:val="right" w:pos="9360"/>
      </w:tabs>
    </w:pPr>
    <w:rPr>
      <w:b/>
    </w:rPr>
  </w:style>
  <w:style w:type="paragraph" w:styleId="Footer">
    <w:name w:val="footer"/>
    <w:basedOn w:val="Normal"/>
    <w:link w:val="FooterChar"/>
    <w:rsid w:val="001022F5"/>
    <w:pPr>
      <w:tabs>
        <w:tab w:val="center" w:pos="4320"/>
        <w:tab w:val="right" w:pos="8640"/>
      </w:tabs>
    </w:pPr>
  </w:style>
  <w:style w:type="paragraph" w:styleId="TOC2">
    <w:name w:val="toc 2"/>
    <w:basedOn w:val="Normal"/>
    <w:next w:val="Normal"/>
    <w:semiHidden/>
    <w:rsid w:val="001022F5"/>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1022F5"/>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1022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22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22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22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22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22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22F5"/>
    <w:pPr>
      <w:tabs>
        <w:tab w:val="left" w:pos="3240"/>
        <w:tab w:val="right" w:leader="dot" w:pos="9360"/>
      </w:tabs>
      <w:suppressAutoHyphens/>
      <w:ind w:left="3240" w:hanging="360"/>
    </w:pPr>
    <w:rPr>
      <w:noProof/>
    </w:rPr>
  </w:style>
  <w:style w:type="character" w:styleId="PageNumber">
    <w:name w:val="page number"/>
    <w:basedOn w:val="DefaultParagraphFont"/>
    <w:rsid w:val="001022F5"/>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1022F5"/>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4D19BD"/>
    <w:rPr>
      <w:b/>
      <w:snapToGrid w:val="0"/>
      <w:kern w:val="28"/>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napToGrid w:val="0"/>
      <w:kern w:val="28"/>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napToGrid w:val="0"/>
      <w:kern w:val="28"/>
      <w:sz w:val="22"/>
    </w:rPr>
  </w:style>
  <w:style w:type="paragraph" w:styleId="Revision">
    <w:name w:val="Revision"/>
    <w:hidden/>
    <w:uiPriority w:val="99"/>
    <w:semiHidden/>
    <w:rsid w:val="00C44110"/>
    <w:rPr>
      <w:sz w:val="22"/>
    </w:rPr>
  </w:style>
  <w:style w:type="paragraph" w:styleId="EndnoteText">
    <w:name w:val="endnote text"/>
    <w:basedOn w:val="Normal"/>
    <w:link w:val="EndnoteTextChar"/>
    <w:semiHidden/>
    <w:rsid w:val="001022F5"/>
    <w:rPr>
      <w:sz w:val="20"/>
    </w:rPr>
  </w:style>
  <w:style w:type="character" w:customStyle="1" w:styleId="EndnoteTextChar">
    <w:name w:val="Endnote Text Char"/>
    <w:basedOn w:val="DefaultParagraphFont"/>
    <w:link w:val="EndnoteText"/>
    <w:semiHidden/>
    <w:rsid w:val="009C34CB"/>
    <w:rPr>
      <w:snapToGrid w:val="0"/>
      <w:kern w:val="28"/>
    </w:rPr>
  </w:style>
  <w:style w:type="character" w:styleId="EndnoteReference">
    <w:name w:val="endnote reference"/>
    <w:semiHidden/>
    <w:rsid w:val="001022F5"/>
    <w:rPr>
      <w:vertAlign w:val="superscript"/>
    </w:rPr>
  </w:style>
  <w:style w:type="paragraph" w:styleId="TOAHeading">
    <w:name w:val="toa heading"/>
    <w:basedOn w:val="Normal"/>
    <w:next w:val="Normal"/>
    <w:semiHidden/>
    <w:rsid w:val="001022F5"/>
    <w:pPr>
      <w:tabs>
        <w:tab w:val="right" w:pos="9360"/>
      </w:tabs>
      <w:suppressAutoHyphens/>
    </w:pPr>
  </w:style>
  <w:style w:type="character" w:customStyle="1" w:styleId="EquationCaption">
    <w:name w:val="_Equation Caption"/>
    <w:rsid w:val="001022F5"/>
  </w:style>
  <w:style w:type="paragraph" w:customStyle="1" w:styleId="Paratitle">
    <w:name w:val="Para title"/>
    <w:basedOn w:val="Normal"/>
    <w:rsid w:val="001022F5"/>
    <w:pPr>
      <w:tabs>
        <w:tab w:val="center" w:pos="9270"/>
      </w:tabs>
      <w:spacing w:after="240"/>
    </w:pPr>
    <w:rPr>
      <w:spacing w:val="-2"/>
    </w:rPr>
  </w:style>
  <w:style w:type="paragraph" w:customStyle="1" w:styleId="TOCTitle">
    <w:name w:val="TOC Title"/>
    <w:basedOn w:val="Normal"/>
    <w:rsid w:val="001022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22F5"/>
    <w:pPr>
      <w:jc w:val="center"/>
    </w:pPr>
    <w:rPr>
      <w:rFonts w:ascii="Times New Roman Bold" w:hAnsi="Times New Roman Bold"/>
      <w:b/>
      <w:bCs/>
      <w:caps/>
      <w:szCs w:val="22"/>
    </w:rPr>
  </w:style>
  <w:style w:type="character" w:styleId="FollowedHyperlink">
    <w:name w:val="FollowedHyperlink"/>
    <w:basedOn w:val="DefaultParagraphFont"/>
    <w:uiPriority w:val="99"/>
    <w:semiHidden/>
    <w:unhideWhenUsed/>
    <w:rsid w:val="00CE2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9418">
      <w:bodyDiv w:val="1"/>
      <w:marLeft w:val="30"/>
      <w:marRight w:val="30"/>
      <w:marTop w:val="30"/>
      <w:marBottom w:val="30"/>
      <w:divBdr>
        <w:top w:val="none" w:sz="0" w:space="0" w:color="auto"/>
        <w:left w:val="none" w:sz="0" w:space="0" w:color="auto"/>
        <w:bottom w:val="none" w:sz="0" w:space="0" w:color="auto"/>
        <w:right w:val="none" w:sz="0" w:space="0" w:color="auto"/>
      </w:divBdr>
      <w:divsChild>
        <w:div w:id="1461219469">
          <w:marLeft w:val="0"/>
          <w:marRight w:val="0"/>
          <w:marTop w:val="0"/>
          <w:marBottom w:val="0"/>
          <w:divBdr>
            <w:top w:val="none" w:sz="0" w:space="0" w:color="auto"/>
            <w:left w:val="none" w:sz="0" w:space="0" w:color="auto"/>
            <w:bottom w:val="none" w:sz="0" w:space="0" w:color="auto"/>
            <w:right w:val="none" w:sz="0" w:space="0" w:color="auto"/>
          </w:divBdr>
          <w:divsChild>
            <w:div w:id="941760720">
              <w:marLeft w:val="45"/>
              <w:marRight w:val="45"/>
              <w:marTop w:val="45"/>
              <w:marBottom w:val="45"/>
              <w:divBdr>
                <w:top w:val="none" w:sz="0" w:space="0" w:color="auto"/>
                <w:left w:val="none" w:sz="0" w:space="0" w:color="auto"/>
                <w:bottom w:val="none" w:sz="0" w:space="0" w:color="auto"/>
                <w:right w:val="none" w:sz="0" w:space="0" w:color="auto"/>
              </w:divBdr>
              <w:divsChild>
                <w:div w:id="693505226">
                  <w:marLeft w:val="0"/>
                  <w:marRight w:val="0"/>
                  <w:marTop w:val="0"/>
                  <w:marBottom w:val="0"/>
                  <w:divBdr>
                    <w:top w:val="none" w:sz="0" w:space="0" w:color="auto"/>
                    <w:left w:val="none" w:sz="0" w:space="0" w:color="auto"/>
                    <w:bottom w:val="none" w:sz="0" w:space="0" w:color="auto"/>
                    <w:right w:val="none" w:sz="0" w:space="0" w:color="auto"/>
                  </w:divBdr>
                  <w:divsChild>
                    <w:div w:id="1388458355">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87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99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Westlaw&amp;db=1000547&amp;docname=47CFRS1.115&amp;rp=%2ffind%2fdefault.wl&amp;findtype=L&amp;ordoc=2028595621&amp;tc=-1&amp;vr=2.0&amp;fn=_top&amp;sv=Split&amp;tf=-1&amp;referencepositiontype=T&amp;pbc=B8296E9D&amp;referenceposition=SP%3b4b24000003ba5&amp;rs=WLW13.04" TargetMode="External"/><Relationship Id="rId2" Type="http://schemas.openxmlformats.org/officeDocument/2006/relationships/hyperlink" Target="http://web2.westlaw.com/find/default.wl?mt=Westlaw&amp;db=0004493&amp;tc=-1&amp;rp=%2ffind%2fdefault.wl&amp;findtype=Y&amp;ordoc=2026336120&amp;serialnum=1998270842&amp;vr=2.0&amp;fn=_top&amp;sv=Split&amp;tf=-1&amp;referencepositiontype=S&amp;pbc=CD7FDF8B&amp;referenceposition=14853&amp;rs=WLW14.04" TargetMode="External"/><Relationship Id="rId1" Type="http://schemas.openxmlformats.org/officeDocument/2006/relationships/hyperlink" Target="http://web2.westlaw.com/find/default.wl?mt=Westlaw&amp;db=0004493&amp;tc=-1&amp;rp=%2ffind%2fdefault.wl&amp;findtype=Y&amp;ordoc=2030436840&amp;serialnum=1997263562&amp;vr=2.0&amp;fn=_top&amp;sv=Split&amp;tf=-1&amp;referencepositiontype=S&amp;pbc=05D5496A&amp;referenceposition=12403&amp;rs=WLW14.04" TargetMode="External"/><Relationship Id="rId5" Type="http://schemas.openxmlformats.org/officeDocument/2006/relationships/hyperlink" Target="http://web2.westlaw.com/find/default.wl?mt=Westlaw&amp;db=4493&amp;tc=-1&amp;rp=%2ffind%2fdefault.wl&amp;findtype=Y&amp;ordoc=1999289185&amp;serialnum=1991223451&amp;vr=2.0&amp;fn=_top&amp;sv=Split&amp;tf=-1&amp;pbc=B7CE9DA6&amp;rs=WLW14.04" TargetMode="External"/><Relationship Id="rId4" Type="http://schemas.openxmlformats.org/officeDocument/2006/relationships/hyperlink" Target="http://web2.westlaw.com/find/default.wl?mt=Westlaw&amp;db=1000547&amp;docname=47CFRS1.115&amp;rp=%2ffind%2fdefault.wl&amp;findtype=L&amp;ordoc=2028595621&amp;tc=-1&amp;vr=2.0&amp;fn=_top&amp;sv=Split&amp;tf=-1&amp;referencepositiontype=T&amp;pbc=B8296E9D&amp;referenceposition=SP%3b4b24000003ba5&amp;rs=WLW13.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1039</Words>
  <Characters>5987</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2014-08-14T14:01:00Z</dcterms:created>
  <dcterms:modified xsi:type="dcterms:W3CDTF">2014-08-14T14:01:00Z</dcterms:modified>
  <cp:category> </cp:category>
  <cp:contentStatus> </cp:contentStatus>
</cp:coreProperties>
</file>