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68D8" w:rsidRDefault="00E568D8">
      <w:pPr>
        <w:jc w:val="center"/>
        <w:rPr>
          <w:b/>
        </w:rPr>
      </w:pPr>
      <w:bookmarkStart w:id="0" w:name="_GoBack"/>
      <w:bookmarkEnd w:id="0"/>
      <w:r>
        <w:rPr>
          <w:b/>
        </w:rPr>
        <w:t>Before the</w:t>
      </w:r>
    </w:p>
    <w:p w:rsidR="00E568D8" w:rsidRDefault="00E568D8">
      <w:pPr>
        <w:jc w:val="center"/>
        <w:rPr>
          <w:b/>
        </w:rPr>
      </w:pPr>
      <w:r>
        <w:rPr>
          <w:b/>
        </w:rPr>
        <w:t>Federal Communications Commission</w:t>
      </w:r>
    </w:p>
    <w:p w:rsidR="00E568D8" w:rsidRDefault="00E568D8">
      <w:pPr>
        <w:jc w:val="center"/>
        <w:rPr>
          <w:b/>
        </w:rPr>
      </w:pPr>
      <w:r>
        <w:rPr>
          <w:b/>
        </w:rPr>
        <w:t>Washington, D.C. 20554</w:t>
      </w:r>
    </w:p>
    <w:p w:rsidR="00E568D8" w:rsidRPr="00DF215A" w:rsidRDefault="00E568D8"/>
    <w:tbl>
      <w:tblPr>
        <w:tblW w:w="0" w:type="auto"/>
        <w:tblLayout w:type="fixed"/>
        <w:tblLook w:val="0000" w:firstRow="0" w:lastRow="0" w:firstColumn="0" w:lastColumn="0" w:noHBand="0" w:noVBand="0"/>
      </w:tblPr>
      <w:tblGrid>
        <w:gridCol w:w="4698"/>
        <w:gridCol w:w="720"/>
        <w:gridCol w:w="4230"/>
      </w:tblGrid>
      <w:tr w:rsidR="00E568D8" w:rsidRPr="00DF215A">
        <w:tc>
          <w:tcPr>
            <w:tcW w:w="4698" w:type="dxa"/>
          </w:tcPr>
          <w:p w:rsidR="00E568D8" w:rsidRPr="00DF215A" w:rsidRDefault="00E568D8">
            <w:pPr>
              <w:ind w:right="-18"/>
            </w:pPr>
            <w:r w:rsidRPr="00DF215A">
              <w:t>In the Matter of</w:t>
            </w:r>
          </w:p>
          <w:p w:rsidR="00E568D8" w:rsidRPr="00DF215A" w:rsidRDefault="00E568D8">
            <w:pPr>
              <w:ind w:right="-18"/>
            </w:pPr>
          </w:p>
          <w:p w:rsidR="00E568D8" w:rsidRPr="00DF215A" w:rsidRDefault="00BF64A9">
            <w:pPr>
              <w:ind w:right="-18"/>
            </w:pPr>
            <w:r w:rsidRPr="00DF215A">
              <w:t>W</w:t>
            </w:r>
            <w:r w:rsidR="009F455B" w:rsidRPr="00DF215A">
              <w:t>ILLIAM J. KIRSCH</w:t>
            </w:r>
          </w:p>
          <w:p w:rsidR="00E568D8" w:rsidRPr="00DF215A" w:rsidRDefault="00E568D8">
            <w:pPr>
              <w:ind w:right="-18"/>
            </w:pPr>
          </w:p>
          <w:p w:rsidR="00E568D8" w:rsidRPr="00DF215A" w:rsidRDefault="00E568D8" w:rsidP="00671B34">
            <w:r w:rsidRPr="00DF215A">
              <w:t>On Request</w:t>
            </w:r>
            <w:r w:rsidR="00E86602" w:rsidRPr="00DF215A">
              <w:t>s</w:t>
            </w:r>
            <w:r w:rsidRPr="00DF215A">
              <w:t xml:space="preserve"> for Inspection of Records</w:t>
            </w:r>
          </w:p>
          <w:p w:rsidR="00E568D8" w:rsidRPr="00DF215A" w:rsidRDefault="00E568D8">
            <w:pPr>
              <w:ind w:right="-18"/>
            </w:pPr>
          </w:p>
        </w:tc>
        <w:tc>
          <w:tcPr>
            <w:tcW w:w="720" w:type="dxa"/>
          </w:tcPr>
          <w:p w:rsidR="00E568D8" w:rsidRPr="00DF215A" w:rsidRDefault="00E568D8">
            <w:pPr>
              <w:rPr>
                <w:b/>
              </w:rPr>
            </w:pPr>
            <w:r w:rsidRPr="00DF215A">
              <w:rPr>
                <w:b/>
              </w:rPr>
              <w:t>)</w:t>
            </w:r>
          </w:p>
          <w:p w:rsidR="00E568D8" w:rsidRPr="00DF215A" w:rsidRDefault="00E568D8">
            <w:pPr>
              <w:rPr>
                <w:b/>
              </w:rPr>
            </w:pPr>
            <w:r w:rsidRPr="00DF215A">
              <w:rPr>
                <w:b/>
              </w:rPr>
              <w:t>)</w:t>
            </w:r>
          </w:p>
          <w:p w:rsidR="00E568D8" w:rsidRPr="00DF215A" w:rsidRDefault="00E568D8">
            <w:pPr>
              <w:rPr>
                <w:b/>
              </w:rPr>
            </w:pPr>
            <w:r w:rsidRPr="00DF215A">
              <w:rPr>
                <w:b/>
              </w:rPr>
              <w:t>)</w:t>
            </w:r>
          </w:p>
          <w:p w:rsidR="00E568D8" w:rsidRPr="00DF215A" w:rsidRDefault="00E568D8">
            <w:pPr>
              <w:rPr>
                <w:b/>
              </w:rPr>
            </w:pPr>
            <w:r w:rsidRPr="00DF215A">
              <w:rPr>
                <w:b/>
              </w:rPr>
              <w:t>)</w:t>
            </w:r>
          </w:p>
          <w:p w:rsidR="00E568D8" w:rsidRPr="00DF215A" w:rsidRDefault="00E568D8">
            <w:pPr>
              <w:rPr>
                <w:b/>
              </w:rPr>
            </w:pPr>
            <w:r w:rsidRPr="00DF215A">
              <w:rPr>
                <w:b/>
              </w:rPr>
              <w:t>)</w:t>
            </w:r>
          </w:p>
          <w:p w:rsidR="00E568D8" w:rsidRDefault="00355358">
            <w:pPr>
              <w:rPr>
                <w:b/>
              </w:rPr>
            </w:pPr>
            <w:r>
              <w:rPr>
                <w:b/>
              </w:rPr>
              <w:t>)</w:t>
            </w:r>
          </w:p>
          <w:p w:rsidR="00355358" w:rsidRDefault="00355358">
            <w:pPr>
              <w:rPr>
                <w:b/>
              </w:rPr>
            </w:pPr>
            <w:r>
              <w:rPr>
                <w:b/>
              </w:rPr>
              <w:t>)</w:t>
            </w:r>
          </w:p>
          <w:p w:rsidR="00355358" w:rsidRDefault="00355358">
            <w:pPr>
              <w:rPr>
                <w:b/>
              </w:rPr>
            </w:pPr>
            <w:r>
              <w:rPr>
                <w:b/>
              </w:rPr>
              <w:t>)</w:t>
            </w:r>
          </w:p>
          <w:p w:rsidR="00355358" w:rsidRDefault="00355358">
            <w:pPr>
              <w:rPr>
                <w:b/>
              </w:rPr>
            </w:pPr>
            <w:r>
              <w:rPr>
                <w:b/>
              </w:rPr>
              <w:t>)</w:t>
            </w:r>
          </w:p>
          <w:p w:rsidR="00355358" w:rsidRPr="00DF215A" w:rsidRDefault="00355358">
            <w:pPr>
              <w:rPr>
                <w:b/>
              </w:rPr>
            </w:pPr>
            <w:r>
              <w:rPr>
                <w:b/>
              </w:rPr>
              <w:t>)</w:t>
            </w:r>
          </w:p>
        </w:tc>
        <w:tc>
          <w:tcPr>
            <w:tcW w:w="4230" w:type="dxa"/>
          </w:tcPr>
          <w:p w:rsidR="00E568D8" w:rsidRPr="00DF215A" w:rsidRDefault="00E568D8"/>
          <w:p w:rsidR="00E568D8" w:rsidRPr="00DF215A" w:rsidRDefault="00E568D8"/>
          <w:p w:rsidR="00E568D8" w:rsidRPr="00DF215A" w:rsidRDefault="00E568D8">
            <w:r w:rsidRPr="00DF215A">
              <w:t xml:space="preserve">FOIA Control Nos. </w:t>
            </w:r>
            <w:r w:rsidR="00DA56E8">
              <w:t xml:space="preserve">2013-151, 2013-291, </w:t>
            </w:r>
            <w:r w:rsidR="00B67743">
              <w:t xml:space="preserve">2013-310, 2013-356, 2013-358, 2013-410, 2013-411, 2013-430, 2013-456, 2013-479, 2013-480, 2013-484, </w:t>
            </w:r>
            <w:r w:rsidR="00FA5041">
              <w:t>2</w:t>
            </w:r>
            <w:r w:rsidR="00DA56E8">
              <w:t>013-503, 2013-511, 2013-512, 2013-513, 2013-514, 2013-534, 2013-535, 2013-538, 2013-539, 2013-543, 2013-550, 2013-551, 2013-553, 2013-560, 2014-031, 2014-041</w:t>
            </w:r>
            <w:r w:rsidR="00CD7C85">
              <w:t>, and 2014-059</w:t>
            </w:r>
            <w:r w:rsidR="00B67743">
              <w:t xml:space="preserve"> </w:t>
            </w:r>
          </w:p>
          <w:p w:rsidR="00E568D8" w:rsidRPr="00DF215A" w:rsidRDefault="00E568D8"/>
        </w:tc>
      </w:tr>
    </w:tbl>
    <w:p w:rsidR="00E568D8" w:rsidRPr="00DF215A" w:rsidRDefault="00E568D8"/>
    <w:p w:rsidR="00825B6B" w:rsidRDefault="00825B6B" w:rsidP="00DA6C71">
      <w:pPr>
        <w:jc w:val="center"/>
        <w:rPr>
          <w:b/>
          <w:spacing w:val="-2"/>
        </w:rPr>
      </w:pPr>
      <w:r>
        <w:rPr>
          <w:b/>
          <w:spacing w:val="-2"/>
        </w:rPr>
        <w:t xml:space="preserve">ORDER ON RECONSIDERATION AND </w:t>
      </w:r>
    </w:p>
    <w:p w:rsidR="00E568D8" w:rsidRPr="00DF215A" w:rsidRDefault="0015716D" w:rsidP="00DA6C71">
      <w:pPr>
        <w:jc w:val="center"/>
        <w:rPr>
          <w:b/>
        </w:rPr>
      </w:pPr>
      <w:r w:rsidRPr="00DF215A">
        <w:rPr>
          <w:b/>
          <w:spacing w:val="-2"/>
        </w:rPr>
        <w:t>MEMORANDUM OPINION AND ORDER</w:t>
      </w:r>
    </w:p>
    <w:p w:rsidR="00E568D8" w:rsidRPr="00DF215A" w:rsidRDefault="00E568D8"/>
    <w:p w:rsidR="00E568D8" w:rsidRPr="00DF215A" w:rsidRDefault="005E6145">
      <w:pPr>
        <w:tabs>
          <w:tab w:val="right" w:pos="9360"/>
        </w:tabs>
        <w:rPr>
          <w:b/>
        </w:rPr>
      </w:pPr>
      <w:r w:rsidRPr="00DF215A">
        <w:rPr>
          <w:b/>
        </w:rPr>
        <w:t>Adopted:</w:t>
      </w:r>
      <w:r w:rsidR="00F31155">
        <w:rPr>
          <w:b/>
        </w:rPr>
        <w:t xml:space="preserve">  August 20, 2014</w:t>
      </w:r>
      <w:r w:rsidRPr="00DF215A">
        <w:rPr>
          <w:b/>
        </w:rPr>
        <w:tab/>
        <w:t>Released:</w:t>
      </w:r>
      <w:r w:rsidR="00F31155">
        <w:rPr>
          <w:b/>
        </w:rPr>
        <w:t xml:space="preserve">  August 2</w:t>
      </w:r>
      <w:r w:rsidR="00710238">
        <w:rPr>
          <w:b/>
        </w:rPr>
        <w:t>2</w:t>
      </w:r>
      <w:r w:rsidR="00F31155">
        <w:rPr>
          <w:b/>
        </w:rPr>
        <w:t>, 2014</w:t>
      </w:r>
      <w:r w:rsidR="00A45DD6" w:rsidRPr="00DF215A">
        <w:rPr>
          <w:b/>
        </w:rPr>
        <w:t xml:space="preserve">  </w:t>
      </w:r>
    </w:p>
    <w:p w:rsidR="00E568D8" w:rsidRPr="00DF215A" w:rsidRDefault="00E568D8">
      <w:pPr>
        <w:tabs>
          <w:tab w:val="left" w:pos="5760"/>
        </w:tabs>
        <w:rPr>
          <w:b/>
        </w:rPr>
      </w:pPr>
    </w:p>
    <w:p w:rsidR="00E307F9" w:rsidRPr="00DF215A" w:rsidRDefault="00E568D8" w:rsidP="00E307F9">
      <w:r w:rsidRPr="00DF215A">
        <w:t>By the Commission:</w:t>
      </w:r>
    </w:p>
    <w:p w:rsidR="00E568D8" w:rsidRPr="00DF215A" w:rsidRDefault="00E568D8" w:rsidP="00C03B7F">
      <w:pPr>
        <w:tabs>
          <w:tab w:val="left" w:pos="5760"/>
        </w:tabs>
      </w:pPr>
    </w:p>
    <w:p w:rsidR="00E307F9" w:rsidRPr="00DF215A" w:rsidRDefault="00E307F9" w:rsidP="00E307F9">
      <w:pPr>
        <w:pStyle w:val="Heading1"/>
      </w:pPr>
      <w:r w:rsidRPr="00DF215A">
        <w:t>INTRODUCTION</w:t>
      </w:r>
    </w:p>
    <w:p w:rsidR="002008E2" w:rsidRDefault="002008E2" w:rsidP="00087594">
      <w:pPr>
        <w:pStyle w:val="ParaNum"/>
      </w:pPr>
      <w:r>
        <w:t xml:space="preserve">This order addresses </w:t>
      </w:r>
      <w:r w:rsidR="004224DB">
        <w:t>twenty</w:t>
      </w:r>
      <w:r w:rsidR="00E75C59">
        <w:t xml:space="preserve"> applications for review (AFR) and </w:t>
      </w:r>
      <w:r w:rsidR="00327670">
        <w:t xml:space="preserve">a </w:t>
      </w:r>
      <w:r w:rsidR="00E75C59">
        <w:t xml:space="preserve">petition for reconsideration (PFR) </w:t>
      </w:r>
      <w:r w:rsidR="00633484">
        <w:t xml:space="preserve">filed </w:t>
      </w:r>
      <w:r w:rsidR="004224DB">
        <w:t>by William J. Kirsch in connection with his Freedom of Information Act (FOIA) and Privacy Act (PA) requests</w:t>
      </w:r>
      <w:r w:rsidR="00627AA2">
        <w:t>.</w:t>
      </w:r>
      <w:r w:rsidR="00627AA2">
        <w:rPr>
          <w:rStyle w:val="FootnoteReference"/>
        </w:rPr>
        <w:footnoteReference w:id="2"/>
      </w:r>
      <w:r w:rsidR="002938D2">
        <w:t xml:space="preserve">  </w:t>
      </w:r>
      <w:r>
        <w:t>All of these are dismissed or denied, as explained below.</w:t>
      </w:r>
    </w:p>
    <w:p w:rsidR="002008E2" w:rsidRDefault="002008E2" w:rsidP="00AB20AE">
      <w:pPr>
        <w:pStyle w:val="Heading1"/>
      </w:pPr>
      <w:r>
        <w:t>background</w:t>
      </w:r>
    </w:p>
    <w:p w:rsidR="00E4677C" w:rsidRDefault="00F0527C" w:rsidP="00087594">
      <w:pPr>
        <w:pStyle w:val="ParaNum"/>
      </w:pPr>
      <w:r>
        <w:t xml:space="preserve">The FOIA requests covered by the </w:t>
      </w:r>
      <w:r w:rsidR="00EF03BA">
        <w:t>twenty AFRs</w:t>
      </w:r>
      <w:r>
        <w:t xml:space="preserve"> we address here, similar to </w:t>
      </w:r>
      <w:r w:rsidR="00EF03AD">
        <w:t xml:space="preserve">numerous </w:t>
      </w:r>
      <w:r w:rsidR="002008E2">
        <w:t xml:space="preserve">requests </w:t>
      </w:r>
      <w:r w:rsidR="00EF03BA">
        <w:t xml:space="preserve">that Mr. Kirsch </w:t>
      </w:r>
      <w:r w:rsidR="00EF03AD">
        <w:t xml:space="preserve">previously </w:t>
      </w:r>
      <w:r w:rsidR="00EF03BA">
        <w:t xml:space="preserve">has made </w:t>
      </w:r>
      <w:r w:rsidR="002008E2">
        <w:t>to the Commission under the Freedom of Information Act (FOIA) and Privacy Act (PA)</w:t>
      </w:r>
      <w:r w:rsidR="00EF03BA">
        <w:t xml:space="preserve"> beginning in August 2011</w:t>
      </w:r>
      <w:r w:rsidR="002E42A9">
        <w:t xml:space="preserve">, </w:t>
      </w:r>
      <w:r w:rsidR="002008E2">
        <w:t xml:space="preserve">seek information </w:t>
      </w:r>
      <w:r w:rsidR="00B07EF3">
        <w:t xml:space="preserve">generally related to </w:t>
      </w:r>
      <w:r w:rsidR="002938D2">
        <w:t xml:space="preserve">his </w:t>
      </w:r>
      <w:r w:rsidR="00436B8E" w:rsidRPr="00DF215A">
        <w:lastRenderedPageBreak/>
        <w:t xml:space="preserve">employment </w:t>
      </w:r>
      <w:r w:rsidR="00876DAD" w:rsidRPr="00DF215A">
        <w:t>at the Federal Communications Commission (FCC) during the 1990s</w:t>
      </w:r>
      <w:r w:rsidR="00E75C59">
        <w:t>,</w:t>
      </w:r>
      <w:r w:rsidR="00DE547D">
        <w:rPr>
          <w:rStyle w:val="FootnoteReference"/>
        </w:rPr>
        <w:footnoteReference w:id="3"/>
      </w:r>
      <w:r w:rsidR="002008E2">
        <w:t xml:space="preserve"> </w:t>
      </w:r>
      <w:r w:rsidR="00E75C59">
        <w:t xml:space="preserve">his </w:t>
      </w:r>
      <w:r w:rsidR="002008E2">
        <w:t>work experiences,</w:t>
      </w:r>
      <w:r w:rsidR="00CD7C85">
        <w:rPr>
          <w:rStyle w:val="FootnoteReference"/>
        </w:rPr>
        <w:footnoteReference w:id="4"/>
      </w:r>
      <w:r w:rsidR="00B07EF3">
        <w:t xml:space="preserve"> and </w:t>
      </w:r>
      <w:r w:rsidR="00876DAD" w:rsidRPr="0000293F">
        <w:t xml:space="preserve">international </w:t>
      </w:r>
      <w:r w:rsidR="007E2D81" w:rsidRPr="0000293F">
        <w:t>telecommunications polic</w:t>
      </w:r>
      <w:r w:rsidR="00876DAD" w:rsidRPr="0000293F">
        <w:t>ies</w:t>
      </w:r>
      <w:r w:rsidR="00E75C59">
        <w:t xml:space="preserve"> in general</w:t>
      </w:r>
      <w:r w:rsidR="00FC0E06">
        <w:t>.</w:t>
      </w:r>
      <w:r w:rsidR="00DE547D">
        <w:rPr>
          <w:rStyle w:val="FootnoteReference"/>
        </w:rPr>
        <w:footnoteReference w:id="5"/>
      </w:r>
      <w:r w:rsidR="00FC0E06">
        <w:t xml:space="preserve">  </w:t>
      </w:r>
      <w:r w:rsidR="00930F05">
        <w:t xml:space="preserve">In nearly every request, </w:t>
      </w:r>
      <w:r w:rsidR="00E4677C">
        <w:t xml:space="preserve">Mr. Kirsch has sought waiver of any </w:t>
      </w:r>
      <w:r w:rsidR="00930F05">
        <w:t xml:space="preserve">associated </w:t>
      </w:r>
      <w:r w:rsidR="00E4677C">
        <w:t xml:space="preserve">FOIA fees.  </w:t>
      </w:r>
      <w:r w:rsidR="00C729E4">
        <w:t>Mr. Kirsch also has filed numerous applications for review</w:t>
      </w:r>
      <w:r w:rsidR="00E4677C">
        <w:t xml:space="preserve"> and petitions for reconsideration</w:t>
      </w:r>
      <w:r w:rsidR="00C729E4">
        <w:t xml:space="preserve"> of the decisions of </w:t>
      </w:r>
      <w:r w:rsidR="00E4677C">
        <w:t xml:space="preserve">the </w:t>
      </w:r>
      <w:r w:rsidR="00C729E4">
        <w:t>Commission</w:t>
      </w:r>
      <w:r w:rsidR="00E4677C">
        <w:t xml:space="preserve"> and its</w:t>
      </w:r>
      <w:r w:rsidR="00C729E4">
        <w:t xml:space="preserve"> staff on his requests for information and waiver of fees.</w:t>
      </w:r>
    </w:p>
    <w:p w:rsidR="009A0063" w:rsidRDefault="00C729E4" w:rsidP="00087594">
      <w:pPr>
        <w:pStyle w:val="ParaNum"/>
      </w:pPr>
      <w:r>
        <w:t xml:space="preserve">The Commission has issued two orders addressing Mr. Kirsch’s </w:t>
      </w:r>
      <w:r w:rsidR="00E4677C">
        <w:t xml:space="preserve">applications for review and </w:t>
      </w:r>
      <w:r>
        <w:t>petitions for reconsideration</w:t>
      </w:r>
      <w:r w:rsidR="00E14E28">
        <w:t xml:space="preserve">.  </w:t>
      </w:r>
      <w:r w:rsidR="00D37A0F">
        <w:t xml:space="preserve">The </w:t>
      </w:r>
      <w:r w:rsidR="00E14E28">
        <w:rPr>
          <w:i/>
        </w:rPr>
        <w:t xml:space="preserve">First FOIA Order </w:t>
      </w:r>
      <w:r w:rsidR="00D37A0F">
        <w:t xml:space="preserve">released on October 26, 2012, denied </w:t>
      </w:r>
      <w:r w:rsidR="00E14E28">
        <w:t>three applications for review concerning three of Mr. Kirsch’s FOIA and PA-related requests.</w:t>
      </w:r>
      <w:r w:rsidR="00D37A0F">
        <w:rPr>
          <w:rStyle w:val="FootnoteReference"/>
        </w:rPr>
        <w:footnoteReference w:id="6"/>
      </w:r>
      <w:r w:rsidR="00E14E28">
        <w:t xml:space="preserve">  The </w:t>
      </w:r>
      <w:r w:rsidR="00E14E28">
        <w:rPr>
          <w:i/>
        </w:rPr>
        <w:t xml:space="preserve">Second FOIA Order </w:t>
      </w:r>
      <w:r w:rsidR="00D37A0F">
        <w:t xml:space="preserve">released </w:t>
      </w:r>
      <w:r w:rsidR="00E14E28">
        <w:t>on November 1, 2013, den</w:t>
      </w:r>
      <w:r w:rsidR="00D37A0F">
        <w:t>ied</w:t>
      </w:r>
      <w:r w:rsidR="00E14E28">
        <w:t xml:space="preserve"> </w:t>
      </w:r>
      <w:r w:rsidR="00E75C59">
        <w:t xml:space="preserve">his </w:t>
      </w:r>
      <w:r w:rsidR="00E14E28">
        <w:t>petition for reconsideration</w:t>
      </w:r>
      <w:r w:rsidR="00635CCE">
        <w:t xml:space="preserve"> of the </w:t>
      </w:r>
      <w:r w:rsidR="00635CCE">
        <w:rPr>
          <w:i/>
        </w:rPr>
        <w:t>First FOIA Order</w:t>
      </w:r>
      <w:r w:rsidR="00E14E28">
        <w:t xml:space="preserve"> and</w:t>
      </w:r>
      <w:r w:rsidR="00635CCE">
        <w:t xml:space="preserve"> dismissed or denied</w:t>
      </w:r>
      <w:r w:rsidR="00E14E28">
        <w:t xml:space="preserve"> eleven applications for review, co</w:t>
      </w:r>
      <w:r w:rsidR="00E4677C">
        <w:t>ncerning</w:t>
      </w:r>
      <w:r w:rsidR="00635CCE">
        <w:t xml:space="preserve"> another</w:t>
      </w:r>
      <w:r w:rsidR="00E14E28">
        <w:t xml:space="preserve"> twenty-five FOIA- and PA-related requests</w:t>
      </w:r>
      <w:r w:rsidR="00D37A0F">
        <w:t xml:space="preserve"> made by Mr. Kirsch</w:t>
      </w:r>
      <w:r w:rsidR="00E14E28">
        <w:t>.</w:t>
      </w:r>
      <w:r w:rsidR="00D37A0F">
        <w:rPr>
          <w:rStyle w:val="FootnoteReference"/>
        </w:rPr>
        <w:footnoteReference w:id="7"/>
      </w:r>
      <w:r w:rsidR="00D37A0F">
        <w:t xml:space="preserve"> </w:t>
      </w:r>
    </w:p>
    <w:p w:rsidR="00AB20AE" w:rsidRDefault="00D37A0F" w:rsidP="00087594">
      <w:pPr>
        <w:pStyle w:val="ParaNum"/>
      </w:pPr>
      <w:r>
        <w:t xml:space="preserve">In addition, the </w:t>
      </w:r>
      <w:r>
        <w:rPr>
          <w:i/>
        </w:rPr>
        <w:t xml:space="preserve">Second FOIA Order </w:t>
      </w:r>
      <w:r w:rsidR="00835801">
        <w:t>observed that Mr. Kirsch’s requests for review in numerous instances did not raise discernable allegations of error under FOIA law, but rather contained general complaints about his employment at the FCC during the 1990s and international telecommunications policies, among other issues.</w:t>
      </w:r>
      <w:r w:rsidR="0084569A">
        <w:rPr>
          <w:rStyle w:val="FootnoteReference"/>
        </w:rPr>
        <w:footnoteReference w:id="8"/>
      </w:r>
      <w:r w:rsidR="00835801">
        <w:t xml:space="preserve">  The </w:t>
      </w:r>
      <w:r w:rsidR="00835801">
        <w:rPr>
          <w:i/>
        </w:rPr>
        <w:t xml:space="preserve">Second FOIA Order </w:t>
      </w:r>
      <w:r w:rsidR="00835801">
        <w:t xml:space="preserve">also noted </w:t>
      </w:r>
      <w:r>
        <w:t>Mr. Kirsch’s propensity for filing numerous and repetitive FOIA AFRs and his repeated failure to specify particular errors in AFRs as required by section 1.115(b) of the Commission’s rules.</w:t>
      </w:r>
      <w:r>
        <w:rPr>
          <w:rStyle w:val="FootnoteReference"/>
        </w:rPr>
        <w:footnoteReference w:id="9"/>
      </w:r>
      <w:r>
        <w:t xml:space="preserve">  Thus, the </w:t>
      </w:r>
      <w:r>
        <w:rPr>
          <w:i/>
        </w:rPr>
        <w:t xml:space="preserve">Second FOIA Order </w:t>
      </w:r>
      <w:r>
        <w:t>reminded Mr. Kirsch that any future AFRs must comply with the Commission’s rules, including section 1.115(b)</w:t>
      </w:r>
      <w:r>
        <w:rPr>
          <w:rStyle w:val="FootnoteReference"/>
        </w:rPr>
        <w:footnoteReference w:id="10"/>
      </w:r>
      <w:r>
        <w:t xml:space="preserve"> </w:t>
      </w:r>
      <w:r w:rsidR="00E75C59">
        <w:t xml:space="preserve">by </w:t>
      </w:r>
      <w:r>
        <w:t>specify</w:t>
      </w:r>
      <w:r w:rsidR="00E75C59">
        <w:t>ing</w:t>
      </w:r>
      <w:r>
        <w:t xml:space="preserve"> particular alleged errors for which review is requested and </w:t>
      </w:r>
      <w:r w:rsidR="00E75C59">
        <w:t xml:space="preserve">indicating which </w:t>
      </w:r>
      <w:r>
        <w:t>Bureau or Office decision each argument pertains to.</w:t>
      </w:r>
      <w:r>
        <w:rPr>
          <w:rStyle w:val="FootnoteReference"/>
        </w:rPr>
        <w:footnoteReference w:id="11"/>
      </w:r>
      <w:r>
        <w:t xml:space="preserve">  The Commission stated that Mr. Kirsch’s failure to comply with these rules would lead to summary dismissal.</w:t>
      </w:r>
      <w:r>
        <w:rPr>
          <w:rStyle w:val="FootnoteReference"/>
        </w:rPr>
        <w:footnoteReference w:id="12"/>
      </w:r>
      <w:r w:rsidR="00E14E28">
        <w:t xml:space="preserve"> </w:t>
      </w:r>
    </w:p>
    <w:p w:rsidR="009350F6" w:rsidRDefault="00957810" w:rsidP="00087594">
      <w:pPr>
        <w:pStyle w:val="ParaNum"/>
      </w:pPr>
      <w:r>
        <w:t>Between July 29, 2013 and December 14, 2013, Mr. Kirsch sent twenty emails, in which he made various challenges to decisions by the agency on twenty-</w:t>
      </w:r>
      <w:r w:rsidR="00320434">
        <w:t>nine</w:t>
      </w:r>
      <w:r>
        <w:t xml:space="preserve"> initial FOIA requests.</w:t>
      </w:r>
      <w:r w:rsidR="00FC0E06">
        <w:t xml:space="preserve">  </w:t>
      </w:r>
      <w:r w:rsidR="00134D71">
        <w:t>We treat each of the twenty filings as an application for review of the FOIA decision(s) identified in the filing.</w:t>
      </w:r>
      <w:r w:rsidR="00134D71" w:rsidRPr="00134D71">
        <w:rPr>
          <w:rStyle w:val="FootnoteReference"/>
        </w:rPr>
        <w:t xml:space="preserve"> </w:t>
      </w:r>
      <w:r w:rsidR="00134D71">
        <w:rPr>
          <w:rStyle w:val="FootnoteReference"/>
        </w:rPr>
        <w:footnoteReference w:id="13"/>
      </w:r>
      <w:r w:rsidR="00134D71">
        <w:t xml:space="preserve">  </w:t>
      </w:r>
      <w:r w:rsidR="002D1D8C">
        <w:t xml:space="preserve">In </w:t>
      </w:r>
      <w:r w:rsidR="00C650A2">
        <w:t>four AFRs concerning eight FOIA requests,</w:t>
      </w:r>
      <w:r w:rsidR="00FC0E06">
        <w:t xml:space="preserve"> </w:t>
      </w:r>
      <w:r w:rsidR="002D1D8C">
        <w:t xml:space="preserve">Mr. Kirsch asserts that </w:t>
      </w:r>
      <w:r w:rsidR="00235942">
        <w:t xml:space="preserve">Commission staff </w:t>
      </w:r>
      <w:r w:rsidR="002D1D8C">
        <w:t xml:space="preserve">did not </w:t>
      </w:r>
      <w:r w:rsidR="00235942">
        <w:t xml:space="preserve">conduct a </w:t>
      </w:r>
      <w:r w:rsidR="00C650A2">
        <w:t xml:space="preserve">sufficiently comprehensive </w:t>
      </w:r>
      <w:r w:rsidR="00235942">
        <w:t>search for responsive material</w:t>
      </w:r>
      <w:r w:rsidR="0056623F">
        <w:t>.</w:t>
      </w:r>
      <w:r w:rsidR="0056623F">
        <w:rPr>
          <w:rStyle w:val="FootnoteReference"/>
        </w:rPr>
        <w:footnoteReference w:id="14"/>
      </w:r>
      <w:r w:rsidR="0056623F">
        <w:t xml:space="preserve">  </w:t>
      </w:r>
      <w:r w:rsidR="00580477">
        <w:t xml:space="preserve">In ten of the AFRs concerning twenty FOIA </w:t>
      </w:r>
      <w:r w:rsidR="00580477">
        <w:lastRenderedPageBreak/>
        <w:t xml:space="preserve">requests, Mr. Kirsch asserts that numerous Bureau and Office decisions related to </w:t>
      </w:r>
      <w:r w:rsidR="00134D71">
        <w:t>his</w:t>
      </w:r>
      <w:r w:rsidR="002D38FC">
        <w:t xml:space="preserve"> </w:t>
      </w:r>
      <w:r w:rsidR="00580477">
        <w:t>FOIA and PA requests were untimely issued.</w:t>
      </w:r>
      <w:r w:rsidR="00580477" w:rsidRPr="00E3719A">
        <w:rPr>
          <w:vertAlign w:val="superscript"/>
        </w:rPr>
        <w:footnoteReference w:id="15"/>
      </w:r>
      <w:r w:rsidR="00580477">
        <w:t xml:space="preserve">  </w:t>
      </w:r>
      <w:r w:rsidR="00AC7299">
        <w:t xml:space="preserve">In addition to these FOIA issues, </w:t>
      </w:r>
      <w:r w:rsidR="00E3719A">
        <w:t xml:space="preserve">Mr. Kirsch requests recusal of </w:t>
      </w:r>
      <w:r w:rsidR="00696F58">
        <w:t xml:space="preserve">then-FCC </w:t>
      </w:r>
      <w:r w:rsidR="00E3719A">
        <w:t>General Counsel Sean Lev</w:t>
      </w:r>
      <w:r w:rsidR="00E3719A">
        <w:rPr>
          <w:rStyle w:val="FootnoteReference"/>
        </w:rPr>
        <w:footnoteReference w:id="16"/>
      </w:r>
      <w:r w:rsidR="00E3719A">
        <w:t xml:space="preserve"> and any other “person or persons with a close past or present association with Reed Hundt or Scott Blake Harris</w:t>
      </w:r>
      <w:r w:rsidR="00FC0E06">
        <w:t>.</w:t>
      </w:r>
      <w:r w:rsidR="00E3719A">
        <w:t>”</w:t>
      </w:r>
      <w:r w:rsidR="00E3719A">
        <w:rPr>
          <w:rStyle w:val="FootnoteReference"/>
        </w:rPr>
        <w:footnoteReference w:id="17"/>
      </w:r>
    </w:p>
    <w:p w:rsidR="00E95E73" w:rsidRPr="002938D2" w:rsidRDefault="00466BCF" w:rsidP="002938D2">
      <w:pPr>
        <w:pStyle w:val="Heading1"/>
      </w:pPr>
      <w:r>
        <w:t>discussion</w:t>
      </w:r>
    </w:p>
    <w:p w:rsidR="002D1D8C" w:rsidRDefault="00D35783" w:rsidP="00087594">
      <w:pPr>
        <w:pStyle w:val="ParaNum"/>
      </w:pPr>
      <w:r>
        <w:t xml:space="preserve">Consistent with our statement in the </w:t>
      </w:r>
      <w:r w:rsidRPr="0040259C">
        <w:rPr>
          <w:i/>
        </w:rPr>
        <w:t>Second FOIA Order</w:t>
      </w:r>
      <w:r>
        <w:t xml:space="preserve"> and as discussed further below, we summarily dismiss as procedurally defective </w:t>
      </w:r>
      <w:r w:rsidR="004C1561">
        <w:t>the vast majority of the claims in Mr. Kirsch’s twenty AFRs.</w:t>
      </w:r>
      <w:r w:rsidR="004C1561">
        <w:rPr>
          <w:rStyle w:val="FootnoteReference"/>
        </w:rPr>
        <w:footnoteReference w:id="18"/>
      </w:r>
      <w:r w:rsidR="004C1561">
        <w:t xml:space="preserve">  </w:t>
      </w:r>
      <w:r w:rsidR="002D1D8C">
        <w:t>T</w:t>
      </w:r>
      <w:r w:rsidR="004C1561">
        <w:t>o the extent that they are not procedurally defective, t</w:t>
      </w:r>
      <w:r w:rsidR="002D1D8C">
        <w:t xml:space="preserve">he remaining claims in the AFRs raise only two sets of </w:t>
      </w:r>
      <w:r w:rsidR="000B5CB9">
        <w:t xml:space="preserve">cognizable issues under FOIA law:  whether a “reasonable” search was conducted by agency staff in response to </w:t>
      </w:r>
      <w:r w:rsidR="00F43069">
        <w:t>Mr. Kirsch’s</w:t>
      </w:r>
      <w:r w:rsidR="000B5CB9">
        <w:t xml:space="preserve"> FOIA requests, and whether the agency’s actions on his FOIA requests were timely.  As we discuss below, </w:t>
      </w:r>
      <w:r w:rsidR="00C87A92">
        <w:t>n</w:t>
      </w:r>
      <w:r w:rsidR="00F43069">
        <w:t xml:space="preserve">one </w:t>
      </w:r>
      <w:r w:rsidR="00C87A92">
        <w:t xml:space="preserve">of </w:t>
      </w:r>
      <w:r w:rsidR="000B5CB9">
        <w:t>these claims ha</w:t>
      </w:r>
      <w:r w:rsidR="00C87A92">
        <w:t>s</w:t>
      </w:r>
      <w:r w:rsidR="000B5CB9">
        <w:t xml:space="preserve"> merit.</w:t>
      </w:r>
      <w:r w:rsidR="00F43069">
        <w:t xml:space="preserve"> </w:t>
      </w:r>
      <w:r>
        <w:t xml:space="preserve"> In addition, any </w:t>
      </w:r>
      <w:r w:rsidR="00D97D6A">
        <w:t>future claims filed by Mr. Kirsch that are procedurally defective also will be subject to summary dismissal.</w:t>
      </w:r>
    </w:p>
    <w:p w:rsidR="000B5CB9" w:rsidRDefault="000B5CB9" w:rsidP="000B5CB9">
      <w:pPr>
        <w:pStyle w:val="Heading2"/>
      </w:pPr>
      <w:r w:rsidRPr="00A86D28">
        <w:t xml:space="preserve">Reasonable Search </w:t>
      </w:r>
      <w:r>
        <w:t>--</w:t>
      </w:r>
      <w:r>
        <w:rPr>
          <w:i/>
        </w:rPr>
        <w:t xml:space="preserve"> </w:t>
      </w:r>
      <w:r>
        <w:t>FOIA Control Nos. 2013-410, 2013-411, 2013-456, 2013-479, 2013-480, and 2013-484</w:t>
      </w:r>
      <w:r w:rsidRPr="00FF0DB5">
        <w:t xml:space="preserve"> </w:t>
      </w:r>
    </w:p>
    <w:p w:rsidR="00D32DFD" w:rsidRDefault="00FB0FC5" w:rsidP="004B36BE">
      <w:pPr>
        <w:pStyle w:val="ParaNum"/>
      </w:pPr>
      <w:r>
        <w:t xml:space="preserve">We reject Mr. Kirsch’s claims that the Bureaus did not conduct reasonable searches in responding to FOIA Request Nos. 2013-410, 2013-411, </w:t>
      </w:r>
      <w:r w:rsidR="00DA6873">
        <w:t xml:space="preserve">2013-456, </w:t>
      </w:r>
      <w:r>
        <w:t>2013-479, 2013-480, and 2013-484.</w:t>
      </w:r>
      <w:r w:rsidR="00E43874">
        <w:rPr>
          <w:rStyle w:val="FootnoteReference"/>
        </w:rPr>
        <w:footnoteReference w:id="19"/>
      </w:r>
      <w:r>
        <w:t xml:space="preserve">  </w:t>
      </w:r>
      <w:r w:rsidR="00880571">
        <w:t xml:space="preserve">We find that in </w:t>
      </w:r>
      <w:r w:rsidR="00412A6B">
        <w:t>each</w:t>
      </w:r>
      <w:r w:rsidR="00880571">
        <w:t xml:space="preserve"> of these cases, the agency conducted a reasonable search.  Under the FOIA, an agency must conduct a search that is “reasonably calculated to uncover all relevant documents</w:t>
      </w:r>
      <w:r w:rsidR="00C22DC3">
        <w:t>.”</w:t>
      </w:r>
      <w:r w:rsidR="00C22DC3">
        <w:rPr>
          <w:rStyle w:val="FootnoteReference"/>
        </w:rPr>
        <w:footnoteReference w:id="20"/>
      </w:r>
      <w:r w:rsidR="00A14B7F">
        <w:t xml:space="preserve">  </w:t>
      </w:r>
      <w:r w:rsidR="006D1603">
        <w:t>In FOIA No</w:t>
      </w:r>
      <w:r w:rsidR="009A67B7">
        <w:t>s</w:t>
      </w:r>
      <w:r w:rsidR="006D1603">
        <w:t xml:space="preserve">. 2013-410 and 411, Mr. Kirsch seeks communications to or from </w:t>
      </w:r>
      <w:r w:rsidR="00B6518F">
        <w:t xml:space="preserve">two </w:t>
      </w:r>
      <w:r w:rsidR="006D1603">
        <w:t>former senior FCC officials concerning section 310 of the Communications Act, a provision that</w:t>
      </w:r>
      <w:r w:rsidR="00B6518F">
        <w:t xml:space="preserve"> has been implemented </w:t>
      </w:r>
      <w:r w:rsidR="001F7BBA">
        <w:t xml:space="preserve">in numerous proceedings recently </w:t>
      </w:r>
      <w:r w:rsidR="00B6518F">
        <w:t>handled by the International Bureau, a</w:t>
      </w:r>
      <w:r w:rsidR="006D1603">
        <w:t xml:space="preserve">nd in FOIA No. 2013-456, </w:t>
      </w:r>
      <w:r w:rsidR="001F7BBA">
        <w:t xml:space="preserve">documents concerning </w:t>
      </w:r>
      <w:r w:rsidR="006D1603">
        <w:t>“</w:t>
      </w:r>
      <w:r w:rsidR="006D1603" w:rsidRPr="009D58B5">
        <w:t xml:space="preserve">FCC review of foreign influence on the North American Numbering Plan Administration and the </w:t>
      </w:r>
      <w:r w:rsidR="00B6518F">
        <w:t>National Pooling Administration,</w:t>
      </w:r>
      <w:r w:rsidR="006D1603" w:rsidRPr="009D58B5">
        <w:t>”</w:t>
      </w:r>
      <w:r w:rsidR="00B6518F">
        <w:t xml:space="preserve"> which are programs primarily </w:t>
      </w:r>
      <w:r w:rsidR="00255FF2">
        <w:t xml:space="preserve">coordinated with </w:t>
      </w:r>
      <w:r w:rsidR="00B6518F">
        <w:t xml:space="preserve">the Wireline Competition Bureau.  </w:t>
      </w:r>
      <w:r w:rsidR="006D1603">
        <w:t>Mr. Kirsch seeks information concerning the Softbank acquisition of Sprint in FOIA No. 2013-479</w:t>
      </w:r>
      <w:r w:rsidR="00B6518F">
        <w:t xml:space="preserve">, a proceeding </w:t>
      </w:r>
      <w:r w:rsidR="008E23C0">
        <w:t xml:space="preserve">that was </w:t>
      </w:r>
      <w:r w:rsidR="00B6518F">
        <w:t>handled by IB</w:t>
      </w:r>
      <w:r w:rsidR="006D1603">
        <w:t xml:space="preserve">, </w:t>
      </w:r>
      <w:r w:rsidR="00B6518F">
        <w:t xml:space="preserve">and </w:t>
      </w:r>
      <w:r w:rsidR="006D1603">
        <w:t>the African Growth and Opportunity Act and the Generalized System of Preferences</w:t>
      </w:r>
      <w:r w:rsidR="00540195" w:rsidRPr="00540195">
        <w:t xml:space="preserve"> </w:t>
      </w:r>
      <w:r w:rsidR="00540195">
        <w:t>in FOIA Nos. 2013-480 and 2013-484, respectively</w:t>
      </w:r>
      <w:r w:rsidR="001F7BBA">
        <w:t>, both o</w:t>
      </w:r>
      <w:r w:rsidR="00B6518F">
        <w:t xml:space="preserve">f which </w:t>
      </w:r>
      <w:r w:rsidR="008E23C0">
        <w:t xml:space="preserve">are related to </w:t>
      </w:r>
      <w:r w:rsidR="00B6518F">
        <w:t>international telecommunications</w:t>
      </w:r>
      <w:r w:rsidR="00540195">
        <w:t>.</w:t>
      </w:r>
      <w:r w:rsidR="00B6518F">
        <w:t xml:space="preserve"> </w:t>
      </w:r>
      <w:r w:rsidR="006D1603">
        <w:t xml:space="preserve"> </w:t>
      </w:r>
      <w:r w:rsidR="00187517">
        <w:t>Each of these</w:t>
      </w:r>
      <w:r w:rsidR="00273D67">
        <w:t xml:space="preserve"> </w:t>
      </w:r>
      <w:r w:rsidR="00187517">
        <w:t xml:space="preserve">requests </w:t>
      </w:r>
      <w:r w:rsidR="006D1603">
        <w:t xml:space="preserve">properly </w:t>
      </w:r>
      <w:r w:rsidR="00187517">
        <w:t xml:space="preserve">was </w:t>
      </w:r>
      <w:r w:rsidR="00A120E3">
        <w:t xml:space="preserve">directed to the Bureau </w:t>
      </w:r>
      <w:r w:rsidR="006D1603">
        <w:t>that</w:t>
      </w:r>
      <w:r w:rsidR="001F7BBA">
        <w:t>, as indicated,</w:t>
      </w:r>
      <w:r w:rsidR="006D1603">
        <w:t xml:space="preserve"> is </w:t>
      </w:r>
      <w:r w:rsidR="00A120E3">
        <w:t>generally responsible for the subject matter identified in the request</w:t>
      </w:r>
      <w:r w:rsidR="00255FF2">
        <w:rPr>
          <w:rStyle w:val="FootnoteReference"/>
        </w:rPr>
        <w:footnoteReference w:id="21"/>
      </w:r>
      <w:r w:rsidR="008E23C0" w:rsidRPr="008E23C0">
        <w:t xml:space="preserve"> </w:t>
      </w:r>
      <w:r w:rsidR="008E23C0">
        <w:t>and is the custodian of the type of records sought, for response</w:t>
      </w:r>
      <w:r w:rsidR="001F7BBA">
        <w:t xml:space="preserve"> to Mr. Kirsch</w:t>
      </w:r>
      <w:r w:rsidR="008E23C0">
        <w:t>.</w:t>
      </w:r>
      <w:r w:rsidR="008E23C0">
        <w:rPr>
          <w:rStyle w:val="FootnoteReference"/>
        </w:rPr>
        <w:footnoteReference w:id="22"/>
      </w:r>
      <w:r w:rsidR="008E23C0">
        <w:t xml:space="preserve">  </w:t>
      </w:r>
      <w:r w:rsidR="004B36BE">
        <w:t>Consistent with usual practice</w:t>
      </w:r>
      <w:r w:rsidR="008E23C0">
        <w:t xml:space="preserve">, </w:t>
      </w:r>
      <w:r w:rsidR="00A120E3">
        <w:t xml:space="preserve">staff </w:t>
      </w:r>
      <w:r w:rsidR="00F13E1D">
        <w:t xml:space="preserve">in all Bureaus and Offices </w:t>
      </w:r>
      <w:r w:rsidR="00A120E3">
        <w:t>with responsibilities related to the subject matter and potentially likely to have any responsive documents searched their files for responsive material.</w:t>
      </w:r>
      <w:r w:rsidR="00BF1325">
        <w:rPr>
          <w:rStyle w:val="FootnoteReference"/>
        </w:rPr>
        <w:footnoteReference w:id="23"/>
      </w:r>
      <w:r w:rsidR="00BF1325">
        <w:t xml:space="preserve">  </w:t>
      </w:r>
      <w:r w:rsidR="001F7BBA">
        <w:t xml:space="preserve">Further, all of the initial requests in these cases are stated by Mr. Kirsch in broad, sweeping terms and do not identify any specific document or type of document sought.  </w:t>
      </w:r>
      <w:r w:rsidR="001F7BBA" w:rsidRPr="00D42D73">
        <w:t xml:space="preserve">In addition, as we have noted previously, Mr. Kirsch has never responded to any of </w:t>
      </w:r>
      <w:r w:rsidR="001F7BBA">
        <w:t xml:space="preserve">the </w:t>
      </w:r>
      <w:r w:rsidR="001F7BBA" w:rsidRPr="00D42D73">
        <w:t>numerous staff attempts to obtain additional clarity or specificity as to his FOIA</w:t>
      </w:r>
      <w:r w:rsidR="001F7BBA">
        <w:t xml:space="preserve">- or PA-related </w:t>
      </w:r>
      <w:r w:rsidR="001F7BBA" w:rsidRPr="00D42D73">
        <w:t xml:space="preserve">requests.  </w:t>
      </w:r>
      <w:r w:rsidR="001F7BBA">
        <w:t>Even in the pending AFRs before us, Mr. Kirsch still does not identify any specific document</w:t>
      </w:r>
      <w:r w:rsidR="004B36BE">
        <w:t xml:space="preserve"> or type of document</w:t>
      </w:r>
      <w:r w:rsidR="001F7BBA">
        <w:t xml:space="preserve"> he seeks.  </w:t>
      </w:r>
      <w:r w:rsidR="00BF1325">
        <w:t xml:space="preserve">Mr. Kirsch offers no reason, nor do we see any, why any of the searches conducted in response to his requests </w:t>
      </w:r>
      <w:r w:rsidR="000A1BF6">
        <w:t>was</w:t>
      </w:r>
      <w:r w:rsidR="00BF1325">
        <w:t xml:space="preserve"> inadequate or to instruct the staff to extend their search to any of the additional Bureaus and Offices he identifies. </w:t>
      </w:r>
      <w:r w:rsidR="00A120E3">
        <w:t xml:space="preserve"> </w:t>
      </w:r>
      <w:r w:rsidR="00BD2B4F">
        <w:t>Thus, w</w:t>
      </w:r>
      <w:r w:rsidR="00A43D01">
        <w:t xml:space="preserve">e find that the searches conducted by staff in response to Mr. Kirsch’s requests in FOIA Nos. 2013-410, 2013-411, </w:t>
      </w:r>
      <w:r w:rsidR="00DA6873">
        <w:t xml:space="preserve">2013-456, </w:t>
      </w:r>
      <w:r w:rsidR="00A43D01">
        <w:t>2013-479, 2013-480, 2013-484 were reasonable</w:t>
      </w:r>
      <w:r w:rsidR="0023169C">
        <w:t xml:space="preserve"> and deny the AFRs on this issue.</w:t>
      </w:r>
      <w:r w:rsidR="005A7672">
        <w:rPr>
          <w:rStyle w:val="FootnoteReference"/>
        </w:rPr>
        <w:footnoteReference w:id="24"/>
      </w:r>
      <w:r w:rsidR="0023169C">
        <w:t xml:space="preserve">  </w:t>
      </w:r>
    </w:p>
    <w:p w:rsidR="00D05557" w:rsidRDefault="00FA1BF2" w:rsidP="00D05557">
      <w:pPr>
        <w:pStyle w:val="Heading2"/>
      </w:pPr>
      <w:r w:rsidRPr="00EB3DD3">
        <w:t>Untimeliness</w:t>
      </w:r>
      <w:r>
        <w:rPr>
          <w:i/>
        </w:rPr>
        <w:t xml:space="preserve"> </w:t>
      </w:r>
      <w:r>
        <w:t xml:space="preserve">– FOIA </w:t>
      </w:r>
      <w:r w:rsidR="00410F6A">
        <w:t xml:space="preserve">Control </w:t>
      </w:r>
      <w:r>
        <w:t>Nos. 2013-151, 2013-291, 2013-358, 2013-430, 2013-503, 2013-511, 2013-512, 2013-513, 2013-514, 2013-534, 2013-535, 2013-538, 2013-539, 2013-543, 2013-550, 2013-551, 2013-553</w:t>
      </w:r>
      <w:r w:rsidR="005379B1">
        <w:t>,</w:t>
      </w:r>
      <w:r>
        <w:t xml:space="preserve"> 2013-560, 2014-031, and 2014-041</w:t>
      </w:r>
      <w:r w:rsidR="00D05557">
        <w:t xml:space="preserve">  </w:t>
      </w:r>
    </w:p>
    <w:p w:rsidR="00D32DFD" w:rsidRDefault="00D32DFD" w:rsidP="00C31EDB">
      <w:pPr>
        <w:pStyle w:val="ParaNum"/>
        <w:widowControl/>
      </w:pPr>
      <w:r w:rsidRPr="00FA1BF2">
        <w:t>We</w:t>
      </w:r>
      <w:r>
        <w:t xml:space="preserve"> reject Mr. Kirsch’s claims that numerous decisions issued by Commission staff in response to his FOIA and PA requests are untimely.</w:t>
      </w:r>
      <w:r w:rsidRPr="00106EE8">
        <w:rPr>
          <w:vertAlign w:val="superscript"/>
        </w:rPr>
        <w:footnoteReference w:id="25"/>
      </w:r>
      <w:r>
        <w:t xml:space="preserve">  Some of these claims of untimely responses are premature, because no response had been issued or was even due at the time the AFR was filed, and we dismiss them.</w:t>
      </w:r>
      <w:r>
        <w:rPr>
          <w:rStyle w:val="FootnoteReference"/>
        </w:rPr>
        <w:footnoteReference w:id="26"/>
      </w:r>
      <w:r>
        <w:t xml:space="preserve">  We deny the remaining untimeliness claims as either erroneous on their face, because the decisions referenced were issued by Commission staff within applicable deadlines,</w:t>
      </w:r>
      <w:r>
        <w:rPr>
          <w:rStyle w:val="FootnoteReference"/>
        </w:rPr>
        <w:footnoteReference w:id="27"/>
      </w:r>
      <w:r>
        <w:t xml:space="preserve"> or </w:t>
      </w:r>
      <w:r w:rsidR="007C2C1A">
        <w:t>were rendered moot by subsequent agency action</w:t>
      </w:r>
      <w:r>
        <w:t>.</w:t>
      </w:r>
      <w:r>
        <w:rPr>
          <w:rStyle w:val="FootnoteReference"/>
        </w:rPr>
        <w:footnoteReference w:id="28"/>
      </w:r>
      <w:r>
        <w:t xml:space="preserve">  </w:t>
      </w:r>
    </w:p>
    <w:p w:rsidR="00DD4891" w:rsidRDefault="00DD4891" w:rsidP="00DD4891">
      <w:pPr>
        <w:pStyle w:val="Heading2"/>
      </w:pPr>
      <w:r>
        <w:t>Remaining Issues</w:t>
      </w:r>
    </w:p>
    <w:p w:rsidR="00C07738" w:rsidRDefault="00225CFA" w:rsidP="00087594">
      <w:pPr>
        <w:pStyle w:val="ParaNum"/>
      </w:pPr>
      <w:r>
        <w:t>W</w:t>
      </w:r>
      <w:r w:rsidR="001D78AF">
        <w:t xml:space="preserve">e dismiss as </w:t>
      </w:r>
      <w:r w:rsidR="005376FE">
        <w:t>moot</w:t>
      </w:r>
      <w:r w:rsidR="001D78AF">
        <w:t xml:space="preserve"> </w:t>
      </w:r>
      <w:r w:rsidR="00F424B3" w:rsidRPr="00D40679">
        <w:t>Mr. Kirsch’s recusal request</w:t>
      </w:r>
      <w:r w:rsidR="001D78AF">
        <w:t>s in AFR 8 and AFR 10</w:t>
      </w:r>
      <w:r w:rsidR="005376FE">
        <w:t xml:space="preserve">, seeking the recusal of </w:t>
      </w:r>
      <w:r w:rsidR="00D05557">
        <w:t xml:space="preserve">then-FCC </w:t>
      </w:r>
      <w:r w:rsidR="005376FE">
        <w:t>General Counsel Sean Lev</w:t>
      </w:r>
      <w:r w:rsidR="005376FE">
        <w:rPr>
          <w:rStyle w:val="FootnoteReference"/>
        </w:rPr>
        <w:footnoteReference w:id="29"/>
      </w:r>
      <w:r w:rsidR="005376FE">
        <w:t xml:space="preserve"> and any other “person or persons with a close past or present association with Reed Hundt or Scott Blake Harris</w:t>
      </w:r>
      <w:r w:rsidR="001D78AF">
        <w:t>.</w:t>
      </w:r>
      <w:r w:rsidR="005376FE">
        <w:t>”</w:t>
      </w:r>
      <w:r w:rsidR="005376FE">
        <w:rPr>
          <w:rStyle w:val="FootnoteReference"/>
        </w:rPr>
        <w:footnoteReference w:id="30"/>
      </w:r>
      <w:r w:rsidR="001D78AF">
        <w:t xml:space="preserve">  In the </w:t>
      </w:r>
      <w:r w:rsidR="001D78AF">
        <w:rPr>
          <w:i/>
        </w:rPr>
        <w:t xml:space="preserve">Second FOIA Order </w:t>
      </w:r>
      <w:r w:rsidR="001D78AF">
        <w:t>issued on November 1, 2013, the Commission concluded that</w:t>
      </w:r>
      <w:r w:rsidR="005376FE">
        <w:t xml:space="preserve"> Mr. Kirsch’s</w:t>
      </w:r>
      <w:r w:rsidR="001D78AF">
        <w:t xml:space="preserve"> previous, </w:t>
      </w:r>
      <w:r w:rsidR="005376FE">
        <w:t xml:space="preserve">similar </w:t>
      </w:r>
      <w:r w:rsidR="001D78AF">
        <w:t xml:space="preserve">recusal request was </w:t>
      </w:r>
      <w:r w:rsidR="00F424B3" w:rsidRPr="00D40679">
        <w:t>wholly unsubstantiated and without merit.</w:t>
      </w:r>
      <w:r w:rsidR="005376FE">
        <w:rPr>
          <w:rStyle w:val="FootnoteReference"/>
        </w:rPr>
        <w:footnoteReference w:id="31"/>
      </w:r>
      <w:r w:rsidR="00F424B3" w:rsidRPr="00D40679">
        <w:t xml:space="preserve">  </w:t>
      </w:r>
      <w:r w:rsidR="00D96CCC">
        <w:t xml:space="preserve">Nevertheless, as in that proceeding, </w:t>
      </w:r>
      <w:r w:rsidR="00D05557">
        <w:t xml:space="preserve">former FCC </w:t>
      </w:r>
      <w:r w:rsidR="00F424B3" w:rsidRPr="00D40679">
        <w:t>General Counsel Sean Lev</w:t>
      </w:r>
      <w:r w:rsidR="001D78AF">
        <w:t>, who left the agency in December 2013,</w:t>
      </w:r>
      <w:r w:rsidR="00F424B3" w:rsidRPr="00D40679">
        <w:t xml:space="preserve"> did not participate substantively on the merits of this order.</w:t>
      </w:r>
      <w:r w:rsidR="005376FE">
        <w:t xml:space="preserve">  </w:t>
      </w:r>
    </w:p>
    <w:p w:rsidR="009A7AB9" w:rsidRDefault="00842671" w:rsidP="0049428B">
      <w:pPr>
        <w:pStyle w:val="ParaNum"/>
        <w:widowControl/>
      </w:pPr>
      <w:r>
        <w:t xml:space="preserve">We dismiss the remainder of Mr. Kirsch’s </w:t>
      </w:r>
      <w:r w:rsidR="005379B1">
        <w:t>twenty</w:t>
      </w:r>
      <w:r>
        <w:t xml:space="preserve"> AFRs.  Insofar as we are able to discern Mr. Kirsch’s arguments,</w:t>
      </w:r>
      <w:r w:rsidR="004F415A">
        <w:rPr>
          <w:rStyle w:val="FootnoteReference"/>
        </w:rPr>
        <w:footnoteReference w:id="32"/>
      </w:r>
      <w:r>
        <w:t xml:space="preserve"> we dismiss them as procedurally defective.  </w:t>
      </w:r>
      <w:r w:rsidR="00412A6B">
        <w:t>Mr. Kirsch’s reasonable search claim as to FOIA Control No. 2013-430 is dismissed because his request,</w:t>
      </w:r>
      <w:r w:rsidR="00412A6B">
        <w:rPr>
          <w:rStyle w:val="FootnoteReference"/>
        </w:rPr>
        <w:footnoteReference w:id="33"/>
      </w:r>
      <w:r w:rsidR="00412A6B">
        <w:t xml:space="preserve"> as IB determined, was insufficiently described to conduct any reasonable search</w:t>
      </w:r>
      <w:r w:rsidR="00E42A50">
        <w:rPr>
          <w:rStyle w:val="FootnoteReference"/>
        </w:rPr>
        <w:footnoteReference w:id="34"/>
      </w:r>
      <w:r w:rsidR="00412A6B">
        <w:t xml:space="preserve"> and was closed after Mr. Kirsch failed to provide any clarification.</w:t>
      </w:r>
      <w:r w:rsidR="00412A6B">
        <w:rPr>
          <w:rStyle w:val="FootnoteReference"/>
        </w:rPr>
        <w:footnoteReference w:id="35"/>
      </w:r>
      <w:r w:rsidR="00412A6B">
        <w:t xml:space="preserve">  </w:t>
      </w:r>
      <w:r w:rsidR="00AE7A23" w:rsidRPr="00425A70">
        <w:t>Many</w:t>
      </w:r>
      <w:r w:rsidR="00AE7A23">
        <w:t xml:space="preserve"> of Mr. Kirsch’s arguments are untimely and </w:t>
      </w:r>
      <w:r w:rsidR="00627D7D">
        <w:t>we dismiss them on that basis</w:t>
      </w:r>
      <w:r w:rsidR="00AE7A23">
        <w:t>.</w:t>
      </w:r>
      <w:r w:rsidR="003D3310">
        <w:rPr>
          <w:rStyle w:val="FootnoteReference"/>
        </w:rPr>
        <w:footnoteReference w:id="36"/>
      </w:r>
      <w:r w:rsidR="00AE7A23">
        <w:t xml:space="preserve">  Specifically, we dismiss AFR 2 as untimely insofar as it requests review of FOIA Control No. 2013-356</w:t>
      </w:r>
      <w:r w:rsidR="00E42A50">
        <w:rPr>
          <w:rStyle w:val="FootnoteReference"/>
        </w:rPr>
        <w:footnoteReference w:id="37"/>
      </w:r>
      <w:r w:rsidR="00845947">
        <w:t xml:space="preserve"> and the fee waiver denial in FOIA Control No. 2013-358</w:t>
      </w:r>
      <w:r w:rsidR="00AE7A23">
        <w:t>.</w:t>
      </w:r>
      <w:r w:rsidR="00AE7A23">
        <w:rPr>
          <w:rStyle w:val="FootnoteReference"/>
        </w:rPr>
        <w:footnoteReference w:id="38"/>
      </w:r>
      <w:r w:rsidR="00957120">
        <w:t xml:space="preserve">  </w:t>
      </w:r>
      <w:r w:rsidR="00412A6B">
        <w:t xml:space="preserve">AFR 5, generally requesting “grant of [Mr. Kirsch’s PA] correction request” in FOIA Control Nos. “2011-552 et seq[.],” was addressed in the </w:t>
      </w:r>
      <w:r w:rsidR="00412A6B">
        <w:rPr>
          <w:i/>
        </w:rPr>
        <w:t xml:space="preserve">Second FOIA Order </w:t>
      </w:r>
      <w:r w:rsidR="00412A6B">
        <w:t>and is moot.</w:t>
      </w:r>
      <w:r w:rsidR="00412A6B">
        <w:rPr>
          <w:rStyle w:val="FootnoteReference"/>
        </w:rPr>
        <w:footnoteReference w:id="39"/>
      </w:r>
      <w:r w:rsidR="00412A6B">
        <w:t xml:space="preserve">  </w:t>
      </w:r>
      <w:r w:rsidR="00957120">
        <w:t xml:space="preserve">We dismiss AFR 6 </w:t>
      </w:r>
      <w:r w:rsidR="00AE45F7">
        <w:t xml:space="preserve">and AFR 8 </w:t>
      </w:r>
      <w:r w:rsidR="00957120">
        <w:t>as untimely insofar as</w:t>
      </w:r>
      <w:r w:rsidR="00AE45F7">
        <w:t xml:space="preserve"> each requests amendment of Mr. Kirsch’s appeal in 2013-310.</w:t>
      </w:r>
      <w:r w:rsidR="00AE45F7">
        <w:rPr>
          <w:rStyle w:val="FootnoteReference"/>
        </w:rPr>
        <w:footnoteReference w:id="40"/>
      </w:r>
      <w:r w:rsidR="00AE45F7">
        <w:t xml:space="preserve">  We also dismiss </w:t>
      </w:r>
      <w:r w:rsidR="00955DBE">
        <w:t xml:space="preserve">as untimely, by several months, </w:t>
      </w:r>
      <w:r w:rsidR="00AE45F7">
        <w:t xml:space="preserve">Mr. Kirsch’s request in AFR 8 to amend his petition for reconsideration of the </w:t>
      </w:r>
      <w:r w:rsidR="00955DBE">
        <w:rPr>
          <w:i/>
        </w:rPr>
        <w:t>First</w:t>
      </w:r>
      <w:r w:rsidR="00AE45F7">
        <w:rPr>
          <w:i/>
        </w:rPr>
        <w:t xml:space="preserve"> FOIA Order</w:t>
      </w:r>
      <w:r w:rsidR="00AE45F7">
        <w:rPr>
          <w:rStyle w:val="FootnoteReference"/>
        </w:rPr>
        <w:footnoteReference w:id="41"/>
      </w:r>
      <w:r w:rsidR="00955DBE">
        <w:t xml:space="preserve"> and</w:t>
      </w:r>
      <w:r w:rsidR="00F85142">
        <w:t xml:space="preserve"> his request in AFR 16 for review of FOIA Control No. 2013-151.</w:t>
      </w:r>
      <w:r w:rsidR="00F85142">
        <w:rPr>
          <w:rStyle w:val="FootnoteReference"/>
        </w:rPr>
        <w:footnoteReference w:id="42"/>
      </w:r>
      <w:r w:rsidR="00F85142">
        <w:t xml:space="preserve"> </w:t>
      </w:r>
      <w:r w:rsidR="00955DBE">
        <w:t xml:space="preserve"> </w:t>
      </w:r>
      <w:r w:rsidR="00AE45F7">
        <w:t>We</w:t>
      </w:r>
      <w:r w:rsidR="00225CFA">
        <w:t xml:space="preserve"> </w:t>
      </w:r>
      <w:r w:rsidR="00AE45F7">
        <w:t>dismiss</w:t>
      </w:r>
      <w:r w:rsidR="009639C9">
        <w:t xml:space="preserve"> as untimely</w:t>
      </w:r>
      <w:r w:rsidR="00F85142">
        <w:t xml:space="preserve"> AFR 17’s request for review of the decisions to deny </w:t>
      </w:r>
      <w:r w:rsidR="003D6C2C">
        <w:t xml:space="preserve">a </w:t>
      </w:r>
      <w:r w:rsidR="00F85142">
        <w:t>fee waiver in FOIA Control Nos. 2013-503, 2013-511, and 2013-551</w:t>
      </w:r>
      <w:r w:rsidR="009639C9">
        <w:t>.</w:t>
      </w:r>
      <w:r w:rsidR="009639C9">
        <w:rPr>
          <w:rStyle w:val="FootnoteReference"/>
        </w:rPr>
        <w:footnoteReference w:id="43"/>
      </w:r>
      <w:r w:rsidR="009639C9">
        <w:t xml:space="preserve">  Finally, </w:t>
      </w:r>
      <w:r w:rsidR="00845D15">
        <w:t>the portion</w:t>
      </w:r>
      <w:r w:rsidR="004B6D5A">
        <w:t>s</w:t>
      </w:r>
      <w:r w:rsidR="00845D15">
        <w:t xml:space="preserve"> of </w:t>
      </w:r>
      <w:r w:rsidR="009639C9">
        <w:t xml:space="preserve">PFR/AFR 20 </w:t>
      </w:r>
      <w:r w:rsidR="00845D15">
        <w:t xml:space="preserve">that request reconsideration of the </w:t>
      </w:r>
      <w:r w:rsidR="00845D15">
        <w:rPr>
          <w:i/>
        </w:rPr>
        <w:t>Second FOIA Order</w:t>
      </w:r>
      <w:r w:rsidR="00F72520">
        <w:t xml:space="preserve">, and object to the fee waiver denial in FOIA Control No. 2013-539, are </w:t>
      </w:r>
      <w:r w:rsidR="00845D15">
        <w:t>untimely and dismissed.</w:t>
      </w:r>
      <w:r w:rsidR="009639C9">
        <w:rPr>
          <w:rStyle w:val="FootnoteReference"/>
        </w:rPr>
        <w:footnoteReference w:id="44"/>
      </w:r>
      <w:r w:rsidR="009639C9">
        <w:t xml:space="preserve">  </w:t>
      </w:r>
      <w:r w:rsidR="00D56867">
        <w:t>Otherwise, the AFRs fail</w:t>
      </w:r>
      <w:r>
        <w:t xml:space="preserve"> to identify the</w:t>
      </w:r>
      <w:r w:rsidR="00D56867">
        <w:t xml:space="preserve"> Bureau or Office decision or decisions that the argument pertains to,</w:t>
      </w:r>
      <w:r w:rsidR="00D56867">
        <w:rPr>
          <w:rStyle w:val="FootnoteReference"/>
        </w:rPr>
        <w:footnoteReference w:id="45"/>
      </w:r>
      <w:r w:rsidR="00D56867">
        <w:t xml:space="preserve"> or fail to raise discernable allegations of error under FOIA law,</w:t>
      </w:r>
      <w:r w:rsidR="00836945">
        <w:rPr>
          <w:rStyle w:val="FootnoteReference"/>
        </w:rPr>
        <w:footnoteReference w:id="46"/>
      </w:r>
      <w:r w:rsidR="00D56867">
        <w:t xml:space="preserve"> and are dismissed.</w:t>
      </w:r>
      <w:r w:rsidR="009A7AB9">
        <w:t xml:space="preserve"> </w:t>
      </w:r>
    </w:p>
    <w:p w:rsidR="00285713" w:rsidRPr="004F527B" w:rsidRDefault="00285713" w:rsidP="00C30AEE">
      <w:pPr>
        <w:pStyle w:val="Heading1"/>
      </w:pPr>
      <w:r w:rsidRPr="00E44C80">
        <w:t>ORDERING CLAUSES</w:t>
      </w:r>
    </w:p>
    <w:p w:rsidR="0049428B" w:rsidRDefault="00365190" w:rsidP="0049428B">
      <w:pPr>
        <w:pStyle w:val="ParaNum"/>
      </w:pPr>
      <w:r w:rsidRPr="00504279">
        <w:t xml:space="preserve">ACCORDINGLY, IT IS </w:t>
      </w:r>
      <w:r w:rsidR="00C03B7F" w:rsidRPr="00504279">
        <w:t xml:space="preserve">ORDERED that </w:t>
      </w:r>
      <w:r w:rsidR="00DD4891">
        <w:t>the twenty email filings from</w:t>
      </w:r>
      <w:r w:rsidR="00AD70EA">
        <w:t xml:space="preserve"> </w:t>
      </w:r>
      <w:r w:rsidR="00C03B7F" w:rsidRPr="00F45873">
        <w:t>William J. Kirsc</w:t>
      </w:r>
      <w:r w:rsidR="00C03B7F" w:rsidRPr="005A1622">
        <w:t xml:space="preserve">h </w:t>
      </w:r>
      <w:r w:rsidR="00E40368" w:rsidRPr="003A21AE">
        <w:t xml:space="preserve">in </w:t>
      </w:r>
      <w:r w:rsidR="00DD4891" w:rsidRPr="00DF215A">
        <w:t xml:space="preserve">FOIA Control Nos. </w:t>
      </w:r>
      <w:r w:rsidR="00DD4891">
        <w:t>2013-151, 2013-291, 2013-310, 2013-356, 2013-358, 2013-410, 2013-411, 2013-430, 2013-456, 2013-479, 2013-480, 2013-484, 2013-503, 2013-511, 2013-512, 2013-513, 2013-514, 2013-534, 2013-535, 2013-538, 2013-539, 2013-543, 2013-550, 2013-551, 2013-553, 2013-560, 2014-031, 2014-041</w:t>
      </w:r>
      <w:r w:rsidR="00580477">
        <w:t>, and 2014-059</w:t>
      </w:r>
      <w:r w:rsidR="00DD4891">
        <w:t xml:space="preserve"> ARE DISMISSED OR DENIED, as set forth herein.  </w:t>
      </w:r>
      <w:r w:rsidR="000F7F6B" w:rsidRPr="006E2F88">
        <w:t>Mr. Kirsch may seek judicial review of this action pursuant to 5 U.S.C. § 552(a)(4)(B).</w:t>
      </w:r>
      <w:r w:rsidR="000F7F6B" w:rsidRPr="006E2F88">
        <w:rPr>
          <w:rStyle w:val="FootnoteReference"/>
        </w:rPr>
        <w:footnoteReference w:id="47"/>
      </w:r>
      <w:r w:rsidR="000F7F6B" w:rsidRPr="006E2F88">
        <w:t xml:space="preserve"> </w:t>
      </w:r>
    </w:p>
    <w:p w:rsidR="00E568D8" w:rsidRDefault="00E568D8" w:rsidP="0049428B">
      <w:pPr>
        <w:pStyle w:val="ParaNum"/>
      </w:pPr>
      <w:r w:rsidRPr="006E2F88">
        <w:t xml:space="preserve">The officials responsible for this action are the following:  Chairman </w:t>
      </w:r>
      <w:r w:rsidR="00DD4891">
        <w:t xml:space="preserve">Wheeler, and Commissioners </w:t>
      </w:r>
      <w:r w:rsidRPr="006E2F88">
        <w:t>Clyburn</w:t>
      </w:r>
      <w:r w:rsidR="00DD4891">
        <w:t xml:space="preserve">, </w:t>
      </w:r>
      <w:r w:rsidR="00FC6071" w:rsidRPr="006E2F88">
        <w:t>Rosenworcel</w:t>
      </w:r>
      <w:r w:rsidR="00DD4891">
        <w:t xml:space="preserve">, </w:t>
      </w:r>
      <w:r w:rsidR="00FC6071" w:rsidRPr="006E2F88">
        <w:t>Pai</w:t>
      </w:r>
      <w:r w:rsidR="00DD4891">
        <w:t>, and O’R</w:t>
      </w:r>
      <w:r w:rsidR="00F94C3C">
        <w:t>i</w:t>
      </w:r>
      <w:r w:rsidR="00DD4891">
        <w:t>elly</w:t>
      </w:r>
      <w:r w:rsidRPr="006E2F88">
        <w:t>.</w:t>
      </w:r>
    </w:p>
    <w:p w:rsidR="0049428B" w:rsidRDefault="0049428B" w:rsidP="0017296B">
      <w:r>
        <w:tab/>
      </w:r>
      <w:r>
        <w:tab/>
      </w:r>
      <w:r>
        <w:tab/>
      </w:r>
      <w:r>
        <w:tab/>
      </w:r>
      <w:r>
        <w:tab/>
      </w:r>
      <w:r>
        <w:tab/>
        <w:t>FEDERAL COMMUNICATIONS COMMISSION</w:t>
      </w:r>
    </w:p>
    <w:p w:rsidR="0049428B" w:rsidRDefault="0049428B" w:rsidP="0017296B"/>
    <w:p w:rsidR="0049428B" w:rsidRDefault="0049428B" w:rsidP="0017296B"/>
    <w:p w:rsidR="0049428B" w:rsidRDefault="0049428B" w:rsidP="0017296B"/>
    <w:p w:rsidR="0049428B" w:rsidRDefault="0049428B" w:rsidP="0017296B"/>
    <w:p w:rsidR="0049428B" w:rsidRDefault="0049428B" w:rsidP="0017296B">
      <w:r>
        <w:tab/>
      </w:r>
      <w:r>
        <w:tab/>
      </w:r>
      <w:r>
        <w:tab/>
      </w:r>
      <w:r>
        <w:tab/>
      </w:r>
      <w:r>
        <w:tab/>
      </w:r>
      <w:r>
        <w:tab/>
        <w:t>Marlene H. Dortch</w:t>
      </w:r>
    </w:p>
    <w:p w:rsidR="0049428B" w:rsidRDefault="0049428B" w:rsidP="0017296B">
      <w:r>
        <w:tab/>
      </w:r>
      <w:r>
        <w:tab/>
      </w:r>
      <w:r>
        <w:tab/>
      </w:r>
      <w:r>
        <w:tab/>
      </w:r>
      <w:r>
        <w:tab/>
      </w:r>
      <w:r>
        <w:tab/>
        <w:t>Secretary</w:t>
      </w:r>
    </w:p>
    <w:sectPr w:rsidR="0049428B" w:rsidSect="0049428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720" w:left="1440" w:header="720" w:footer="7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05C0" w:rsidRDefault="009105C0">
      <w:r>
        <w:separator/>
      </w:r>
    </w:p>
  </w:endnote>
  <w:endnote w:type="continuationSeparator" w:id="0">
    <w:p w:rsidR="009105C0" w:rsidRDefault="009105C0">
      <w:r>
        <w:continuationSeparator/>
      </w:r>
    </w:p>
  </w:endnote>
  <w:endnote w:type="continuationNotice" w:id="1">
    <w:p w:rsidR="009105C0" w:rsidRDefault="009105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panose1 w:val="02020803070505020304"/>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D78" w:rsidRDefault="00456D7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99E" w:rsidRDefault="00AF399E">
    <w:pPr>
      <w:pStyle w:val="Footer"/>
      <w:jc w:val="center"/>
    </w:pPr>
    <w:r>
      <w:rPr>
        <w:rStyle w:val="PageNumber"/>
      </w:rPr>
      <w:fldChar w:fldCharType="begin"/>
    </w:r>
    <w:r>
      <w:rPr>
        <w:rStyle w:val="PageNumber"/>
      </w:rPr>
      <w:instrText xml:space="preserve"> PAGE </w:instrText>
    </w:r>
    <w:r>
      <w:rPr>
        <w:rStyle w:val="PageNumber"/>
      </w:rPr>
      <w:fldChar w:fldCharType="separate"/>
    </w:r>
    <w:r w:rsidR="00AB7B8D">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D78" w:rsidRDefault="00456D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05C0" w:rsidRDefault="009105C0">
      <w:pPr>
        <w:rPr>
          <w:sz w:val="20"/>
        </w:rPr>
      </w:pPr>
      <w:r>
        <w:rPr>
          <w:sz w:val="20"/>
        </w:rPr>
        <w:separator/>
      </w:r>
    </w:p>
  </w:footnote>
  <w:footnote w:type="continuationSeparator" w:id="0">
    <w:p w:rsidR="009105C0" w:rsidRDefault="009105C0" w:rsidP="0049428B">
      <w:pPr>
        <w:spacing w:before="120"/>
        <w:rPr>
          <w:sz w:val="20"/>
        </w:rPr>
      </w:pPr>
      <w:r>
        <w:rPr>
          <w:sz w:val="20"/>
        </w:rPr>
        <w:t xml:space="preserve">(Continued from previous page) </w:t>
      </w:r>
      <w:r>
        <w:rPr>
          <w:sz w:val="20"/>
        </w:rPr>
        <w:separator/>
      </w:r>
    </w:p>
  </w:footnote>
  <w:footnote w:type="continuationNotice" w:id="1">
    <w:p w:rsidR="009105C0" w:rsidRDefault="009105C0">
      <w:pPr>
        <w:jc w:val="right"/>
        <w:rPr>
          <w:sz w:val="20"/>
        </w:rPr>
      </w:pPr>
      <w:r>
        <w:rPr>
          <w:sz w:val="20"/>
        </w:rPr>
        <w:t>(continued....)</w:t>
      </w:r>
    </w:p>
  </w:footnote>
  <w:footnote w:id="2">
    <w:p w:rsidR="00AF399E" w:rsidRDefault="00AF399E" w:rsidP="001753A4">
      <w:pPr>
        <w:pStyle w:val="FootnoteText"/>
      </w:pPr>
      <w:r>
        <w:rPr>
          <w:rStyle w:val="FootnoteReference"/>
        </w:rPr>
        <w:footnoteRef/>
      </w:r>
      <w:r>
        <w:t xml:space="preserve"> </w:t>
      </w:r>
      <w:r>
        <w:rPr>
          <w:i/>
        </w:rPr>
        <w:t xml:space="preserve">See </w:t>
      </w:r>
      <w:r>
        <w:t>Email from William Kirsch to Sean Lev, General Counsel, FCC (sent July 29, 2013 @11:38 pm) (AFR 1); Email from William Kirsch to Sean Lev, General Counsel, FCC (sent August 14, 2013 @2:59 am) (AFR 2);</w:t>
      </w:r>
      <w:r w:rsidRPr="00F948CF">
        <w:t xml:space="preserve"> </w:t>
      </w:r>
      <w:r>
        <w:t>Email from William J. Kirsch to Sean Lev, General Counsel, FCC (sent August 18, 2013 @8:18 am) (AFR 3);</w:t>
      </w:r>
      <w:r w:rsidRPr="00F948CF">
        <w:t xml:space="preserve"> </w:t>
      </w:r>
      <w:r>
        <w:t>Email from William Kirsch to Sean Lev, General Counsel, FCC (sent August 26, 2013 @5:55 pm) (AFR 4);</w:t>
      </w:r>
      <w:r w:rsidRPr="00F948CF">
        <w:t xml:space="preserve"> </w:t>
      </w:r>
      <w:r>
        <w:t>Email from William J. Kirsch to Sean Lev, General Counsel, FCC (sent August 26, 2013 @11:07 pm) (AFR 5);</w:t>
      </w:r>
      <w:r w:rsidRPr="00F948CF">
        <w:t xml:space="preserve"> </w:t>
      </w:r>
      <w:r>
        <w:t>Email from William J. Kirsch to Sean Lev, General Counsel, FCC (sent August 29, 2013 @3:28 pm) (AFR 6);</w:t>
      </w:r>
      <w:r w:rsidRPr="0092469D">
        <w:t xml:space="preserve"> </w:t>
      </w:r>
      <w:r>
        <w:t>Email from William J. Kirsch to Sean Lev, General Counsel, FCC (sent August 31, 2013 @4:35 pm) (AFR 7); Email from William J. Kirsch to Sean Lev, General Counsel, FCC (sent September 4, 2013 @12:22 pm) (AFR 8);</w:t>
      </w:r>
      <w:r w:rsidRPr="0092469D">
        <w:t xml:space="preserve"> </w:t>
      </w:r>
      <w:r>
        <w:t>Email from William J. Kirsch to Sean Lev, General Counsel, FCC (sent September 14, 2013 @6:32 am) (AFR 9); Email from William J. Kirsch to Sean Lev, General Counsel, FCC (sent September 24, 2013 @2:54 am) (AFR 10);</w:t>
      </w:r>
      <w:r w:rsidRPr="0092469D">
        <w:t xml:space="preserve"> </w:t>
      </w:r>
      <w:r>
        <w:t>Email from William J. Kirsch to Sean Lev, General Counsel, FCC (sent September 25, 2013 @9:55 am) (AFR 11);</w:t>
      </w:r>
      <w:r w:rsidRPr="0092469D">
        <w:t xml:space="preserve"> </w:t>
      </w:r>
      <w:r>
        <w:t>Email from William J. Kirsch to Sean Lev, General Counsel, FCC (sent September 25, 2013 @10:28 am) (AFR 12);</w:t>
      </w:r>
      <w:r w:rsidRPr="0092469D">
        <w:t xml:space="preserve"> </w:t>
      </w:r>
      <w:r>
        <w:t>Email from William J. Kirsch to Sean Lev, General Counsel, FCC (sent September 25, 2013 @4:32 pm) (AFR 13);</w:t>
      </w:r>
      <w:r w:rsidRPr="001E7087">
        <w:t xml:space="preserve"> </w:t>
      </w:r>
      <w:r>
        <w:t>Email from William J. Kirsch to Sean Lev, General Counsel, FCC (sent September 26, 2013 @6:05 am) (AFR 14);</w:t>
      </w:r>
      <w:r w:rsidRPr="001E7087">
        <w:t xml:space="preserve"> </w:t>
      </w:r>
      <w:r>
        <w:t>Email from William J. Kirsch to Sean Lev, General Counsel, FCC (sent October 21, 2013 @5:16 pm) (AFR 15);</w:t>
      </w:r>
      <w:r w:rsidRPr="001E7087">
        <w:t xml:space="preserve"> </w:t>
      </w:r>
      <w:r>
        <w:t>Email from William J. Kirsch to Sean Lev, General Counsel, FCC (sent November 15, 2013 @11:09 pm) (AFR 16);</w:t>
      </w:r>
      <w:r w:rsidRPr="001E7087">
        <w:t xml:space="preserve"> </w:t>
      </w:r>
      <w:r>
        <w:t>Email from William J. Kirsch to Sean Lev, General Counsel, FCC (sent November 15, 2013 @11:37 pm) (AFR 17);</w:t>
      </w:r>
      <w:r w:rsidRPr="001E7087">
        <w:t xml:space="preserve"> </w:t>
      </w:r>
      <w:r>
        <w:t>Email from William J. Kirsch to Sean Lev, General Counsel, FCC (sent November 15, 2013 @1:05 pm) (AFR 18);</w:t>
      </w:r>
      <w:r w:rsidRPr="001E7087">
        <w:t xml:space="preserve"> </w:t>
      </w:r>
      <w:r>
        <w:t>Email from William J. Kirsch to Sean Lev, General Counsel, FCC (sent November 16, 2013 @12:05 am) (AFR 19);</w:t>
      </w:r>
      <w:r w:rsidRPr="002938D2">
        <w:t xml:space="preserve"> </w:t>
      </w:r>
      <w:r>
        <w:t xml:space="preserve">Email from William J. Kirsch to Sean Lev, General Counsel, FCC (sent December 14, 2013 @10:43 am) (PFR/AFR 20).  </w:t>
      </w:r>
    </w:p>
  </w:footnote>
  <w:footnote w:id="3">
    <w:p w:rsidR="00AF399E" w:rsidRPr="00DE547D" w:rsidRDefault="00AF399E" w:rsidP="00A44D97">
      <w:pPr>
        <w:pStyle w:val="FootnoteText"/>
      </w:pPr>
      <w:r>
        <w:rPr>
          <w:rStyle w:val="FootnoteReference"/>
        </w:rPr>
        <w:footnoteRef/>
      </w:r>
      <w:r>
        <w:t xml:space="preserve"> </w:t>
      </w:r>
      <w:r>
        <w:rPr>
          <w:i/>
        </w:rPr>
        <w:t xml:space="preserve">See </w:t>
      </w:r>
      <w:r>
        <w:t xml:space="preserve">FOIA Control Nos. 2013-151 and 2013-550.  </w:t>
      </w:r>
    </w:p>
  </w:footnote>
  <w:footnote w:id="4">
    <w:p w:rsidR="00AF399E" w:rsidRPr="00CD7C85" w:rsidRDefault="00AF399E" w:rsidP="00A44D97">
      <w:pPr>
        <w:pStyle w:val="FootnoteText"/>
      </w:pPr>
      <w:r>
        <w:rPr>
          <w:rStyle w:val="FootnoteReference"/>
        </w:rPr>
        <w:footnoteRef/>
      </w:r>
      <w:r>
        <w:t xml:space="preserve"> </w:t>
      </w:r>
      <w:r>
        <w:rPr>
          <w:i/>
        </w:rPr>
        <w:t xml:space="preserve">See </w:t>
      </w:r>
      <w:r>
        <w:t xml:space="preserve">FOIA Control No. 2013-151.  </w:t>
      </w:r>
    </w:p>
  </w:footnote>
  <w:footnote w:id="5">
    <w:p w:rsidR="00AF399E" w:rsidRPr="00DE547D" w:rsidRDefault="00AF399E" w:rsidP="00A44D97">
      <w:pPr>
        <w:pStyle w:val="FootnoteText"/>
      </w:pPr>
      <w:r>
        <w:rPr>
          <w:rStyle w:val="FootnoteReference"/>
        </w:rPr>
        <w:footnoteRef/>
      </w:r>
      <w:r>
        <w:t xml:space="preserve"> </w:t>
      </w:r>
      <w:r>
        <w:rPr>
          <w:i/>
        </w:rPr>
        <w:t xml:space="preserve">See </w:t>
      </w:r>
      <w:r>
        <w:t xml:space="preserve">FOIA Control Nos. 2013-291, 2013-310, 2013-356, 2013-358, 2013-410, 2013-411, 2013-430, 2013-456, 2013-479, 2013-480, 2013-484, 2013-503, 2013-511, 2013-512, 2013-513, 2013-514, 2013-534, 2013-535, 2013-538, 2013-539, 2013-543, 2013-551, 2013-553, 2013-560, 2014-031, 2014-041, and 2014-059.  </w:t>
      </w:r>
    </w:p>
  </w:footnote>
  <w:footnote w:id="6">
    <w:p w:rsidR="00AF399E" w:rsidRDefault="00AF399E">
      <w:pPr>
        <w:pStyle w:val="FootnoteText"/>
      </w:pPr>
      <w:r>
        <w:rPr>
          <w:rStyle w:val="FootnoteReference"/>
        </w:rPr>
        <w:footnoteRef/>
      </w:r>
      <w:r>
        <w:t xml:space="preserve"> </w:t>
      </w:r>
      <w:r>
        <w:rPr>
          <w:i/>
        </w:rPr>
        <w:t>See In the Matter of William J. Kirsch on Requests for Inspection of Records</w:t>
      </w:r>
      <w:r>
        <w:t>, FOIA Control Nos. 2011-552, 2012-176, and 2012-241, 27 FCC Rcd 13772 (2012) (</w:t>
      </w:r>
      <w:r>
        <w:rPr>
          <w:i/>
        </w:rPr>
        <w:t>First FOIA Order</w:t>
      </w:r>
      <w:r>
        <w:t>).</w:t>
      </w:r>
    </w:p>
  </w:footnote>
  <w:footnote w:id="7">
    <w:p w:rsidR="00AF399E" w:rsidRDefault="00AF399E" w:rsidP="00AB20AE">
      <w:pPr>
        <w:pStyle w:val="FootnoteText"/>
      </w:pPr>
      <w:r>
        <w:rPr>
          <w:rStyle w:val="FootnoteReference"/>
        </w:rPr>
        <w:footnoteRef/>
      </w:r>
      <w:r>
        <w:t xml:space="preserve"> </w:t>
      </w:r>
      <w:r>
        <w:rPr>
          <w:i/>
        </w:rPr>
        <w:t>In the Matter of William J. Kirsch on Requests for Inspection of Records</w:t>
      </w:r>
      <w:r>
        <w:t xml:space="preserve">, FOIA Control Nos. </w:t>
      </w:r>
      <w:r w:rsidRPr="00B07EF3">
        <w:t>2011-552, 2012-176, 2012-241, 2012-294, 2013-019, 2013-073, 2013-118, 2013-151, 2013-152, 2013-291, 2013-298, 2013-299, 2013-300, 2013-301, 2013-302, 2013-303, 2013-304, 2013-305, 2013-306, 2013-307, 2013-308, 2013-309, 2013-310, 2013-311, 2013-356, 2013-357, 2013-358, and 2013-393</w:t>
      </w:r>
      <w:r>
        <w:t>, 28 FCC Rcd 15280 (2013) (</w:t>
      </w:r>
      <w:r>
        <w:rPr>
          <w:i/>
        </w:rPr>
        <w:t>Second FOIA Order</w:t>
      </w:r>
      <w:r>
        <w:t>).</w:t>
      </w:r>
    </w:p>
  </w:footnote>
  <w:footnote w:id="8">
    <w:p w:rsidR="00AF399E" w:rsidRDefault="00AF399E" w:rsidP="00A44D97">
      <w:pPr>
        <w:pStyle w:val="FootnoteText"/>
      </w:pPr>
      <w:r>
        <w:rPr>
          <w:rStyle w:val="FootnoteReference"/>
        </w:rPr>
        <w:footnoteRef/>
      </w:r>
      <w:r>
        <w:t xml:space="preserve"> </w:t>
      </w:r>
      <w:r>
        <w:rPr>
          <w:i/>
        </w:rPr>
        <w:t>Second FOIA Order</w:t>
      </w:r>
      <w:r>
        <w:t>, 28 FCC Rcd 15280, 15297 para. 42 (2013).</w:t>
      </w:r>
    </w:p>
  </w:footnote>
  <w:footnote w:id="9">
    <w:p w:rsidR="00AF399E" w:rsidRPr="00A44D97" w:rsidRDefault="00AF399E" w:rsidP="00A44D97">
      <w:pPr>
        <w:pStyle w:val="FootnoteText"/>
        <w:rPr>
          <w:i/>
        </w:rPr>
      </w:pPr>
      <w:r>
        <w:rPr>
          <w:rStyle w:val="FootnoteReference"/>
        </w:rPr>
        <w:footnoteRef/>
      </w:r>
      <w:r>
        <w:t xml:space="preserve"> </w:t>
      </w:r>
      <w:r w:rsidR="00A44D97">
        <w:rPr>
          <w:i/>
        </w:rPr>
        <w:t>Id.</w:t>
      </w:r>
    </w:p>
  </w:footnote>
  <w:footnote w:id="10">
    <w:p w:rsidR="00AF399E" w:rsidRDefault="00AF399E" w:rsidP="00A44D97">
      <w:pPr>
        <w:pStyle w:val="FootnoteText"/>
      </w:pPr>
      <w:r>
        <w:rPr>
          <w:rStyle w:val="FootnoteReference"/>
        </w:rPr>
        <w:footnoteRef/>
      </w:r>
      <w:r>
        <w:t xml:space="preserve"> </w:t>
      </w:r>
      <w:r w:rsidR="00A44D97">
        <w:rPr>
          <w:i/>
        </w:rPr>
        <w:t>Id.</w:t>
      </w:r>
    </w:p>
  </w:footnote>
  <w:footnote w:id="11">
    <w:p w:rsidR="00AF399E" w:rsidRDefault="00AF399E" w:rsidP="00A44D97">
      <w:pPr>
        <w:pStyle w:val="FootnoteText"/>
      </w:pPr>
      <w:r>
        <w:rPr>
          <w:rStyle w:val="FootnoteReference"/>
        </w:rPr>
        <w:footnoteRef/>
      </w:r>
      <w:r>
        <w:t xml:space="preserve"> </w:t>
      </w:r>
      <w:r w:rsidR="00A44D97">
        <w:rPr>
          <w:i/>
        </w:rPr>
        <w:t>Id.</w:t>
      </w:r>
    </w:p>
  </w:footnote>
  <w:footnote w:id="12">
    <w:p w:rsidR="00AF399E" w:rsidRDefault="00AF399E" w:rsidP="00A44D97">
      <w:pPr>
        <w:pStyle w:val="FootnoteText"/>
      </w:pPr>
      <w:r>
        <w:rPr>
          <w:rStyle w:val="FootnoteReference"/>
        </w:rPr>
        <w:footnoteRef/>
      </w:r>
      <w:r>
        <w:t xml:space="preserve"> </w:t>
      </w:r>
      <w:r w:rsidR="00A44D97">
        <w:rPr>
          <w:i/>
        </w:rPr>
        <w:t>Id.</w:t>
      </w:r>
    </w:p>
  </w:footnote>
  <w:footnote w:id="13">
    <w:p w:rsidR="00134D71" w:rsidRPr="00957810" w:rsidRDefault="00134D71" w:rsidP="00134D71">
      <w:pPr>
        <w:pStyle w:val="FootnoteText"/>
      </w:pPr>
      <w:r>
        <w:rPr>
          <w:rStyle w:val="FootnoteReference"/>
        </w:rPr>
        <w:footnoteRef/>
      </w:r>
      <w:r>
        <w:rPr>
          <w:i/>
        </w:rPr>
        <w:t xml:space="preserve">See supra </w:t>
      </w:r>
      <w:r>
        <w:t xml:space="preserve">n.1 (referencing the filings as AFR 1, AFR 2, etc.).  In addition, the filing designated PFR/AFR 20 also contains a petition for reconsideration.  </w:t>
      </w:r>
      <w:r>
        <w:rPr>
          <w:i/>
        </w:rPr>
        <w:t>See id.</w:t>
      </w:r>
    </w:p>
  </w:footnote>
  <w:footnote w:id="14">
    <w:p w:rsidR="00AF399E" w:rsidRPr="0056623F" w:rsidRDefault="00AF399E" w:rsidP="00FC0E06">
      <w:pPr>
        <w:pStyle w:val="FootnoteText"/>
      </w:pPr>
      <w:r>
        <w:rPr>
          <w:rStyle w:val="FootnoteReference"/>
        </w:rPr>
        <w:footnoteRef/>
      </w:r>
      <w:r>
        <w:t xml:space="preserve"> </w:t>
      </w:r>
      <w:r>
        <w:rPr>
          <w:i/>
        </w:rPr>
        <w:t xml:space="preserve">See </w:t>
      </w:r>
      <w:r>
        <w:t>AFR 1</w:t>
      </w:r>
      <w:r w:rsidR="000F1534">
        <w:t xml:space="preserve"> at paras. 1, 2; </w:t>
      </w:r>
      <w:r>
        <w:t>AFR 2</w:t>
      </w:r>
      <w:r w:rsidR="000F1534">
        <w:t xml:space="preserve"> at para. 1;</w:t>
      </w:r>
      <w:r w:rsidR="00E7323C">
        <w:t xml:space="preserve"> </w:t>
      </w:r>
      <w:r>
        <w:t>AFR 7</w:t>
      </w:r>
      <w:r w:rsidR="000F1534">
        <w:t xml:space="preserve"> at para. 1;</w:t>
      </w:r>
      <w:r>
        <w:rPr>
          <w:i/>
        </w:rPr>
        <w:t xml:space="preserve"> </w:t>
      </w:r>
      <w:r>
        <w:t>AFR 8</w:t>
      </w:r>
      <w:r w:rsidR="000F1534">
        <w:t xml:space="preserve"> at para. 1</w:t>
      </w:r>
      <w:r>
        <w:t>.</w:t>
      </w:r>
    </w:p>
  </w:footnote>
  <w:footnote w:id="15">
    <w:p w:rsidR="00AF399E" w:rsidRPr="00845947" w:rsidRDefault="00AF399E" w:rsidP="00580477">
      <w:pPr>
        <w:pStyle w:val="FootnoteText"/>
      </w:pPr>
      <w:r>
        <w:rPr>
          <w:rStyle w:val="FootnoteReference"/>
        </w:rPr>
        <w:footnoteRef/>
      </w:r>
      <w:r>
        <w:t xml:space="preserve"> </w:t>
      </w:r>
      <w:r>
        <w:rPr>
          <w:i/>
        </w:rPr>
        <w:t xml:space="preserve">See </w:t>
      </w:r>
      <w:r>
        <w:t>AFR 2 at para. 3</w:t>
      </w:r>
      <w:r w:rsidR="00A44D97">
        <w:t>;</w:t>
      </w:r>
      <w:r>
        <w:t xml:space="preserve"> AFR 4 at para. 1</w:t>
      </w:r>
      <w:r w:rsidR="00A44D97">
        <w:t>;</w:t>
      </w:r>
      <w:r>
        <w:t xml:space="preserve"> AFR 10 at para. 5</w:t>
      </w:r>
      <w:r w:rsidR="00A44D97">
        <w:t>;</w:t>
      </w:r>
      <w:r>
        <w:t xml:space="preserve"> AFR 12 at para. 2</w:t>
      </w:r>
      <w:r w:rsidR="00A44D97">
        <w:t>;</w:t>
      </w:r>
      <w:r>
        <w:t xml:space="preserve"> AFR 14 at para. 2</w:t>
      </w:r>
      <w:r w:rsidR="00A44D97">
        <w:t>;</w:t>
      </w:r>
      <w:r>
        <w:t xml:space="preserve"> AFR 15 at para. 3</w:t>
      </w:r>
      <w:r w:rsidR="00A44D97">
        <w:t>;</w:t>
      </w:r>
      <w:r>
        <w:t xml:space="preserve"> AFR 16 at para. 1</w:t>
      </w:r>
      <w:r w:rsidR="00A44D97">
        <w:t>;</w:t>
      </w:r>
      <w:r>
        <w:t xml:space="preserve"> AFR 17 at para. 1</w:t>
      </w:r>
      <w:r w:rsidR="00A44D97">
        <w:t>;</w:t>
      </w:r>
      <w:r>
        <w:t xml:space="preserve"> AFR 18 at para. 2</w:t>
      </w:r>
      <w:r w:rsidR="00A44D97">
        <w:t>;</w:t>
      </w:r>
      <w:r>
        <w:t xml:space="preserve"> and AFR 19 at para. 1.</w:t>
      </w:r>
    </w:p>
  </w:footnote>
  <w:footnote w:id="16">
    <w:p w:rsidR="00AF399E" w:rsidRPr="005376FE" w:rsidRDefault="00AF399E" w:rsidP="00E3719A">
      <w:pPr>
        <w:pStyle w:val="FootnoteText"/>
      </w:pPr>
      <w:r>
        <w:rPr>
          <w:rStyle w:val="FootnoteReference"/>
        </w:rPr>
        <w:footnoteRef/>
      </w:r>
      <w:r>
        <w:t xml:space="preserve"> </w:t>
      </w:r>
      <w:r>
        <w:rPr>
          <w:i/>
        </w:rPr>
        <w:t xml:space="preserve">See </w:t>
      </w:r>
      <w:r>
        <w:t>AFR 8 (“Petitioner requests the voluntary recusal or mandatory withdrawal of the General Counsel based on his close association with the former Chief of the International Bureau (during their joint tenure at the Department of Energy) now General Counsel at the Plan Administrator in order to avoid even the appearance of impropriety”).</w:t>
      </w:r>
    </w:p>
  </w:footnote>
  <w:footnote w:id="17">
    <w:p w:rsidR="00AF399E" w:rsidRPr="005376FE" w:rsidRDefault="00AF399E" w:rsidP="00E3719A">
      <w:pPr>
        <w:pStyle w:val="FootnoteText"/>
      </w:pPr>
      <w:r>
        <w:rPr>
          <w:rStyle w:val="FootnoteReference"/>
        </w:rPr>
        <w:footnoteRef/>
      </w:r>
      <w:r>
        <w:t xml:space="preserve"> </w:t>
      </w:r>
      <w:r>
        <w:rPr>
          <w:i/>
        </w:rPr>
        <w:t xml:space="preserve">See </w:t>
      </w:r>
      <w:r>
        <w:t>AFR 10.</w:t>
      </w:r>
    </w:p>
  </w:footnote>
  <w:footnote w:id="18">
    <w:p w:rsidR="00AF399E" w:rsidRPr="004B36BE" w:rsidRDefault="00AF399E">
      <w:pPr>
        <w:pStyle w:val="FootnoteText"/>
        <w:rPr>
          <w:i/>
        </w:rPr>
      </w:pPr>
      <w:r>
        <w:rPr>
          <w:rStyle w:val="FootnoteReference"/>
        </w:rPr>
        <w:footnoteRef/>
      </w:r>
      <w:r>
        <w:t xml:space="preserve"> </w:t>
      </w:r>
      <w:r>
        <w:rPr>
          <w:i/>
        </w:rPr>
        <w:t xml:space="preserve">See </w:t>
      </w:r>
      <w:r>
        <w:t xml:space="preserve">para. 10 </w:t>
      </w:r>
      <w:r>
        <w:rPr>
          <w:i/>
        </w:rPr>
        <w:t>infra.</w:t>
      </w:r>
    </w:p>
  </w:footnote>
  <w:footnote w:id="19">
    <w:p w:rsidR="00AF399E" w:rsidRPr="003E4CAD" w:rsidRDefault="00AF399E" w:rsidP="002F3C29">
      <w:pPr>
        <w:pStyle w:val="FootnoteText"/>
      </w:pPr>
      <w:r>
        <w:rPr>
          <w:rStyle w:val="FootnoteReference"/>
        </w:rPr>
        <w:footnoteRef/>
      </w:r>
      <w:r>
        <w:t xml:space="preserve"> </w:t>
      </w:r>
      <w:r w:rsidRPr="00E7323C">
        <w:rPr>
          <w:i/>
        </w:rPr>
        <w:t>See</w:t>
      </w:r>
      <w:r>
        <w:t xml:space="preserve"> n.</w:t>
      </w:r>
      <w:r w:rsidRPr="00E43874">
        <w:t>1</w:t>
      </w:r>
      <w:r w:rsidR="003E4CAD">
        <w:t>3</w:t>
      </w:r>
      <w:r w:rsidRPr="00E43874">
        <w:t xml:space="preserve"> </w:t>
      </w:r>
      <w:r w:rsidRPr="00E7323C">
        <w:rPr>
          <w:i/>
        </w:rPr>
        <w:t>supra</w:t>
      </w:r>
      <w:r w:rsidRPr="00E43874">
        <w:t>.</w:t>
      </w:r>
      <w:r w:rsidR="003E4CAD">
        <w:t xml:space="preserve">  The remaining two reasonable search claims, as to FOIA Control Nos. 2013-356 and 2013-430,  are dismissed as procedurally defective.  </w:t>
      </w:r>
      <w:r w:rsidR="003E4CAD">
        <w:rPr>
          <w:i/>
        </w:rPr>
        <w:t xml:space="preserve">See </w:t>
      </w:r>
      <w:r w:rsidR="003E4CAD">
        <w:t xml:space="preserve">para. 10 </w:t>
      </w:r>
      <w:r w:rsidR="003E4CAD">
        <w:rPr>
          <w:i/>
        </w:rPr>
        <w:t>infra.</w:t>
      </w:r>
      <w:r w:rsidR="003E4CAD">
        <w:t xml:space="preserve">  </w:t>
      </w:r>
    </w:p>
  </w:footnote>
  <w:footnote w:id="20">
    <w:p w:rsidR="00AF399E" w:rsidRPr="00C22DC3" w:rsidRDefault="00AF399E" w:rsidP="004B36BE">
      <w:pPr>
        <w:pStyle w:val="FootnoteText"/>
      </w:pPr>
      <w:r>
        <w:rPr>
          <w:rStyle w:val="FootnoteReference"/>
        </w:rPr>
        <w:footnoteRef/>
      </w:r>
      <w:r>
        <w:t xml:space="preserve"> </w:t>
      </w:r>
      <w:r>
        <w:rPr>
          <w:i/>
        </w:rPr>
        <w:t>Weisberg v. U.S. Dep’t of Justice</w:t>
      </w:r>
      <w:r>
        <w:t xml:space="preserve">, 705 F.2d 1344, 1351 (D.C. Cir. 1983); </w:t>
      </w:r>
      <w:r>
        <w:rPr>
          <w:i/>
        </w:rPr>
        <w:t xml:space="preserve">see Campbell v. U.S. Dep’t of Justice, </w:t>
      </w:r>
      <w:r>
        <w:t>164 F.3d 20, 27 (D.C. Cir. 1998);</w:t>
      </w:r>
      <w:r w:rsidRPr="00C22DC3">
        <w:rPr>
          <w:i/>
        </w:rPr>
        <w:t xml:space="preserve"> </w:t>
      </w:r>
      <w:r>
        <w:rPr>
          <w:i/>
        </w:rPr>
        <w:t>Light v. Department of Justice,</w:t>
      </w:r>
      <w:r>
        <w:t xml:space="preserve"> 968 F.Supp.2d. 11, 23 (D.D.C. 2013) (FBI “not required to search every record system; it was only required to conduct a reasonable search of those systems of records likely to possess the requested information”); </w:t>
      </w:r>
      <w:r>
        <w:rPr>
          <w:i/>
        </w:rPr>
        <w:t>Sennett v. Department of Justice,</w:t>
      </w:r>
      <w:r>
        <w:t xml:space="preserve"> 962 F.Supp.2d.270, 278-79 (D.D.C. 2013) (FBI not required to search surveillance files in absence of any indication that search would reveal responsive records); </w:t>
      </w:r>
      <w:r>
        <w:rPr>
          <w:i/>
        </w:rPr>
        <w:t xml:space="preserve">see </w:t>
      </w:r>
      <w:r w:rsidRPr="0040259C">
        <w:rPr>
          <w:i/>
          <w:color w:val="000000" w:themeColor="text1"/>
        </w:rPr>
        <w:t xml:space="preserve">also </w:t>
      </w:r>
      <w:hyperlink r:id="rId1" w:tgtFrame="_top" w:history="1">
        <w:r w:rsidRPr="0040259C">
          <w:rPr>
            <w:rStyle w:val="Hyperlink"/>
            <w:i/>
            <w:iCs/>
            <w:color w:val="000000" w:themeColor="text1"/>
          </w:rPr>
          <w:t>Meeropol v. Meese,</w:t>
        </w:r>
        <w:r w:rsidRPr="0040259C">
          <w:rPr>
            <w:rStyle w:val="Hyperlink"/>
            <w:color w:val="000000" w:themeColor="text1"/>
          </w:rPr>
          <w:t xml:space="preserve"> 790 F.2d 942, 952–53 (D.C. Cir. 1986)</w:t>
        </w:r>
      </w:hyperlink>
      <w:r w:rsidRPr="00273D67">
        <w:t xml:space="preserve"> (search is not presumed unreasonable simply because it fails to produce all relevant material)</w:t>
      </w:r>
      <w:r>
        <w:t>.</w:t>
      </w:r>
    </w:p>
  </w:footnote>
  <w:footnote w:id="21">
    <w:p w:rsidR="00AF399E" w:rsidRPr="00255FF2" w:rsidRDefault="00AF399E" w:rsidP="00553A1B">
      <w:pPr>
        <w:pStyle w:val="FootnoteText"/>
      </w:pPr>
      <w:r>
        <w:rPr>
          <w:rStyle w:val="FootnoteReference"/>
        </w:rPr>
        <w:footnoteRef/>
      </w:r>
      <w:r>
        <w:t xml:space="preserve"> </w:t>
      </w:r>
      <w:r>
        <w:rPr>
          <w:i/>
        </w:rPr>
        <w:t xml:space="preserve">See </w:t>
      </w:r>
      <w:r>
        <w:t>47 C.F.R. §§ 0.51 (functions of the International Bureau), 0.91 (functions of the Wireline Competition Bureau).</w:t>
      </w:r>
    </w:p>
  </w:footnote>
  <w:footnote w:id="22">
    <w:p w:rsidR="00AF399E" w:rsidRDefault="00AF399E" w:rsidP="008E23C0">
      <w:pPr>
        <w:pStyle w:val="FootnoteText"/>
      </w:pPr>
      <w:r>
        <w:rPr>
          <w:rStyle w:val="FootnoteReference"/>
        </w:rPr>
        <w:footnoteRef/>
      </w:r>
      <w:r>
        <w:t xml:space="preserve"> 47 C.F.R. § 0.461.</w:t>
      </w:r>
    </w:p>
  </w:footnote>
  <w:footnote w:id="23">
    <w:p w:rsidR="00AF399E" w:rsidRDefault="00AF399E" w:rsidP="00273D67">
      <w:pPr>
        <w:pStyle w:val="FootnoteText"/>
      </w:pPr>
      <w:r>
        <w:rPr>
          <w:rStyle w:val="FootnoteReference"/>
        </w:rPr>
        <w:footnoteRef/>
      </w:r>
      <w:r>
        <w:t xml:space="preserve"> </w:t>
      </w:r>
      <w:r w:rsidRPr="00F13E1D">
        <w:t>For instance, although the Wireline Competition Bureau issued the response in FOIA No. 2013-456 advising Mr. Kirsch that the Commission does not have records concerning “FCC review of foreign influence on the North American Numbering Plan Administration and the National Pooling Administration,” the response reflected input from the International Bureau as well</w:t>
      </w:r>
      <w:r>
        <w:t xml:space="preserve">.  Letter from Kirk S. Burgee, Chief of Staff, Wireline Competition Bureau, to William Kirsch re: FOIA No. 2013-456 (dated Sept. 3, 2013).  </w:t>
      </w:r>
    </w:p>
  </w:footnote>
  <w:footnote w:id="24">
    <w:p w:rsidR="00AF399E" w:rsidRPr="004C1A70" w:rsidRDefault="00AF399E" w:rsidP="004C1A70">
      <w:pPr>
        <w:pStyle w:val="FootnoteText"/>
      </w:pPr>
      <w:r>
        <w:rPr>
          <w:rStyle w:val="FootnoteReference"/>
        </w:rPr>
        <w:footnoteRef/>
      </w:r>
      <w:r>
        <w:t xml:space="preserve"> </w:t>
      </w:r>
      <w:r>
        <w:rPr>
          <w:i/>
        </w:rPr>
        <w:t xml:space="preserve">See </w:t>
      </w:r>
      <w:r w:rsidRPr="004C1A70">
        <w:rPr>
          <w:i/>
        </w:rPr>
        <w:t>Judicial Watch, Inc. v. U.S. Dept. of Homeland Sec.</w:t>
      </w:r>
      <w:r w:rsidR="00F43983" w:rsidRPr="00F43983">
        <w:t>,</w:t>
      </w:r>
      <w:r w:rsidRPr="004C1A70">
        <w:rPr>
          <w:i/>
        </w:rPr>
        <w:t xml:space="preserve"> </w:t>
      </w:r>
      <w:r w:rsidRPr="004C1A70">
        <w:t>857 F.Supp.2d 129, 145 (D.D.C.</w:t>
      </w:r>
      <w:r>
        <w:t xml:space="preserve"> </w:t>
      </w:r>
      <w:r w:rsidRPr="004C1A70">
        <w:t>2012)</w:t>
      </w:r>
      <w:r>
        <w:t>.</w:t>
      </w:r>
    </w:p>
  </w:footnote>
  <w:footnote w:id="25">
    <w:p w:rsidR="00AF399E" w:rsidRPr="00845947" w:rsidRDefault="00AF399E" w:rsidP="00D32DFD">
      <w:pPr>
        <w:pStyle w:val="FootnoteText"/>
      </w:pPr>
      <w:r>
        <w:rPr>
          <w:rStyle w:val="FootnoteReference"/>
        </w:rPr>
        <w:footnoteRef/>
      </w:r>
      <w:r>
        <w:t xml:space="preserve"> </w:t>
      </w:r>
      <w:r>
        <w:rPr>
          <w:i/>
        </w:rPr>
        <w:t xml:space="preserve">See </w:t>
      </w:r>
      <w:r>
        <w:t xml:space="preserve">n.15 </w:t>
      </w:r>
      <w:r w:rsidRPr="00F43983">
        <w:rPr>
          <w:i/>
        </w:rPr>
        <w:t>supra.</w:t>
      </w:r>
    </w:p>
  </w:footnote>
  <w:footnote w:id="26">
    <w:p w:rsidR="00AF399E" w:rsidRDefault="00AF399E" w:rsidP="00D32DFD">
      <w:pPr>
        <w:pStyle w:val="FootnoteText"/>
      </w:pPr>
      <w:r>
        <w:rPr>
          <w:rStyle w:val="FootnoteReference"/>
        </w:rPr>
        <w:footnoteRef/>
      </w:r>
      <w:r>
        <w:t xml:space="preserve"> </w:t>
      </w:r>
      <w:r>
        <w:rPr>
          <w:i/>
        </w:rPr>
        <w:t xml:space="preserve">See </w:t>
      </w:r>
      <w:r>
        <w:t xml:space="preserve">AFR 15 (alleging “untimely response(s), if any” in  FOIA Control Nos. 2013-503, 2013-511, 2013-512, 2013-513, 2013-514, 2013-534, 2013-535, 2013-538, 2013-539, 2013-543, 2013-550, 2013-551, and 2013-553).  We note that the September 23, 2013 decision denying all thirteen fee waiver requests, and the subsequent responses in FOIA Control Nos. 2013-512, 2013-513, 2013-514, and 2013-553, were issued before the applicable FOIA response deadlines, and therefore are timely.  Because the deadline for the responses on the merits of the thirteen requests was tolled by the September 23, 2013 fee waiver denial, the AFR 15 filed on October 21, 2013 alleging untimely responses was premature with respect to the responses in FOIA Control Nos. 2013-503, 2013-511, 2013-534, 2013-535, 2013-538, 2013-539, 2013-543, 2013-550, and 2013-551, for which no responses had been issued by that date.  Mr. Kirsch’s allegation of “untimely denials” in AFR 19 filed on November 18, 2013, is premature for similar reasons as to FOIA Control Nos. 2014-031 and 2014-041, because the deadline had been tolled and the FOIA response had not been issued.  </w:t>
      </w:r>
    </w:p>
  </w:footnote>
  <w:footnote w:id="27">
    <w:p w:rsidR="00AF399E" w:rsidRPr="00C408A7" w:rsidRDefault="00AF399E" w:rsidP="00D32DFD">
      <w:pPr>
        <w:pStyle w:val="FootnoteText"/>
      </w:pPr>
      <w:r>
        <w:rPr>
          <w:rStyle w:val="FootnoteReference"/>
        </w:rPr>
        <w:footnoteRef/>
      </w:r>
      <w:r>
        <w:t xml:space="preserve"> All of the fee waiver decisions issued in cases identified by Mr. Kirsch, except FOIA 2013-560, were issued prior to the initial FOIA response deadline and thus were timely.  In addition, all of the substantive FOIA responses identified by Mr. Kirsch, except FOIA 2013-291, 2013-538, and 2013-551, were issued within the applicable deadline, whether the deadline was initially assigned or was tolled due to a denial of the fee waiver request.  </w:t>
      </w:r>
    </w:p>
  </w:footnote>
  <w:footnote w:id="28">
    <w:p w:rsidR="00AF399E" w:rsidRDefault="00AF399E" w:rsidP="00D32DFD">
      <w:pPr>
        <w:pStyle w:val="FootnoteText"/>
      </w:pPr>
      <w:r>
        <w:rPr>
          <w:rStyle w:val="FootnoteReference"/>
        </w:rPr>
        <w:footnoteRef/>
      </w:r>
      <w:r>
        <w:t xml:space="preserve"> Although the November 13, 2013 response in FOIA Control No. 2013-291, the November 20, 2013 response in FOIA Control No. 2013-538, the November 14, 2013 response in FOIA Control No. 2013-551, and the November 12, 2013 fee waiver denial in FOIA Control No. 2013-560 were issued after the applicable FOIA deadlines in our rules, as the Commission advised in the </w:t>
      </w:r>
      <w:r>
        <w:rPr>
          <w:i/>
        </w:rPr>
        <w:t>Second FOIA Order</w:t>
      </w:r>
      <w:r>
        <w:t xml:space="preserve">, an agency may cure a failure to respond within a statutory time limit by responding before a requester goes to court.  </w:t>
      </w:r>
      <w:r>
        <w:rPr>
          <w:i/>
        </w:rPr>
        <w:t xml:space="preserve">See Second FOIA Order </w:t>
      </w:r>
      <w:r>
        <w:t>at para.6 n.20 (</w:t>
      </w:r>
      <w:r>
        <w:rPr>
          <w:i/>
        </w:rPr>
        <w:t xml:space="preserve">citing Oglesby v. U.S. Dep’t of the Army, </w:t>
      </w:r>
      <w:r>
        <w:t xml:space="preserve">920 F.2d 57, 63-64 (D.C. Cir. 1990) (agency may “cure” failure to respond to a FOIA request within the statutory time period by responding before the requester seeks judicial intervention) and </w:t>
      </w:r>
      <w:r>
        <w:rPr>
          <w:i/>
        </w:rPr>
        <w:t xml:space="preserve">Gottlieb v. Peňa, </w:t>
      </w:r>
      <w:r>
        <w:t xml:space="preserve">41 F.3d 730, 734 (D.C. Cir. 1994) (failure to meet statutory deadline does not divest agency of authority to act absent a default consequence)); </w:t>
      </w:r>
      <w:r>
        <w:rPr>
          <w:i/>
        </w:rPr>
        <w:t xml:space="preserve">see also Voinche v. FBI, </w:t>
      </w:r>
      <w:r>
        <w:t>999 F.2d 962, 963 (5</w:t>
      </w:r>
      <w:r w:rsidRPr="00C408A7">
        <w:rPr>
          <w:vertAlign w:val="superscript"/>
        </w:rPr>
        <w:t>th</w:t>
      </w:r>
      <w:r>
        <w:t xml:space="preserve"> Cir. 1993) (court challenge to timeliness of agency’s FOIA decision is rendered moot by agency’s response to the request).  </w:t>
      </w:r>
    </w:p>
  </w:footnote>
  <w:footnote w:id="29">
    <w:p w:rsidR="00AF399E" w:rsidRPr="005376FE" w:rsidRDefault="00AF399E">
      <w:pPr>
        <w:pStyle w:val="FootnoteText"/>
      </w:pPr>
      <w:r>
        <w:rPr>
          <w:rStyle w:val="FootnoteReference"/>
        </w:rPr>
        <w:footnoteRef/>
      </w:r>
      <w:r>
        <w:t xml:space="preserve"> </w:t>
      </w:r>
      <w:r>
        <w:rPr>
          <w:i/>
        </w:rPr>
        <w:t xml:space="preserve">See </w:t>
      </w:r>
      <w:r>
        <w:t>AFR 8 (“Petitioner requests the voluntary recusal or mandatory withdrawal of the General Counsel based on his close association with the former Chief of the International Bureau (during their joint tenure at the Department of Energy) now General Counsel at the Plan Administrator in order to avoid even the appearance of impropriety”).</w:t>
      </w:r>
    </w:p>
  </w:footnote>
  <w:footnote w:id="30">
    <w:p w:rsidR="00AF399E" w:rsidRPr="005376FE" w:rsidRDefault="00AF399E">
      <w:pPr>
        <w:pStyle w:val="FootnoteText"/>
      </w:pPr>
      <w:r>
        <w:rPr>
          <w:rStyle w:val="FootnoteReference"/>
        </w:rPr>
        <w:footnoteRef/>
      </w:r>
      <w:r>
        <w:t xml:space="preserve"> </w:t>
      </w:r>
      <w:r>
        <w:rPr>
          <w:i/>
        </w:rPr>
        <w:t xml:space="preserve">See </w:t>
      </w:r>
      <w:r>
        <w:t>AFR 10.</w:t>
      </w:r>
    </w:p>
  </w:footnote>
  <w:footnote w:id="31">
    <w:p w:rsidR="00AF399E" w:rsidRPr="005376FE" w:rsidRDefault="00AF399E">
      <w:pPr>
        <w:pStyle w:val="FootnoteText"/>
      </w:pPr>
      <w:r>
        <w:rPr>
          <w:rStyle w:val="FootnoteReference"/>
        </w:rPr>
        <w:footnoteRef/>
      </w:r>
      <w:r>
        <w:t xml:space="preserve"> </w:t>
      </w:r>
      <w:r>
        <w:rPr>
          <w:i/>
        </w:rPr>
        <w:t>Second FOIA Order</w:t>
      </w:r>
      <w:r>
        <w:t>, 28 FCC Rcd 15280, 15291 para.</w:t>
      </w:r>
      <w:r w:rsidR="00A44D97">
        <w:t xml:space="preserve"> </w:t>
      </w:r>
      <w:r>
        <w:t>27 n.92.</w:t>
      </w:r>
      <w:r w:rsidR="00C32511">
        <w:t xml:space="preserve"> </w:t>
      </w:r>
    </w:p>
  </w:footnote>
  <w:footnote w:id="32">
    <w:p w:rsidR="00AF399E" w:rsidRPr="004F415A" w:rsidRDefault="00AF399E" w:rsidP="00AE7A23">
      <w:pPr>
        <w:pStyle w:val="FootnoteText"/>
      </w:pPr>
      <w:r>
        <w:rPr>
          <w:rStyle w:val="FootnoteReference"/>
        </w:rPr>
        <w:footnoteRef/>
      </w:r>
      <w:r>
        <w:t xml:space="preserve"> There are numerous assertions and requests in the AFRs that contain nothing to address.  </w:t>
      </w:r>
      <w:r>
        <w:rPr>
          <w:i/>
        </w:rPr>
        <w:t xml:space="preserve">See, e.g., </w:t>
      </w:r>
      <w:r>
        <w:t>AFR 8 (linking an alleged “failure” of the World Trade Organization Agreement on Basic Telecommunications to “the prospect of the failure of the United Nations”).</w:t>
      </w:r>
    </w:p>
  </w:footnote>
  <w:footnote w:id="33">
    <w:p w:rsidR="00AF399E" w:rsidRDefault="00AF399E" w:rsidP="00412A6B">
      <w:pPr>
        <w:pStyle w:val="FootnoteText"/>
      </w:pPr>
      <w:r>
        <w:rPr>
          <w:rStyle w:val="FootnoteReference"/>
        </w:rPr>
        <w:footnoteRef/>
      </w:r>
      <w:r>
        <w:t xml:space="preserve"> </w:t>
      </w:r>
      <w:r>
        <w:rPr>
          <w:i/>
        </w:rPr>
        <w:t xml:space="preserve">See </w:t>
      </w:r>
      <w:r>
        <w:t>AFR 1 (asserting that his request in FOIA Control No. 2013-430, which sought “any and all information concerning subsidy payments under FCC decisions to foreign-owned carriers in the United States both in dollar and percentage terms,” insofar as it concerns participation of such carriers in “the high cost fund, lifeline assistance or subsidies in other programs, such as assistance to schools, libraries or health care institutions under the Telecom Act of 1996 or other legislation or programs,” should have been assigned to “the domestic bureaus involved” in addition to the IB).</w:t>
      </w:r>
    </w:p>
  </w:footnote>
  <w:footnote w:id="34">
    <w:p w:rsidR="00E42A50" w:rsidRDefault="00E42A50" w:rsidP="00E42A50">
      <w:pPr>
        <w:pStyle w:val="FootnoteText"/>
      </w:pPr>
      <w:r>
        <w:rPr>
          <w:rStyle w:val="FootnoteReference"/>
        </w:rPr>
        <w:footnoteRef/>
      </w:r>
      <w:r>
        <w:t xml:space="preserve"> In particular, </w:t>
      </w:r>
      <w:r w:rsidR="003C3046">
        <w:t xml:space="preserve">Mr. Kirsch’s broad references to </w:t>
      </w:r>
      <w:r w:rsidR="00D1565C">
        <w:t xml:space="preserve">“subsidy payments” </w:t>
      </w:r>
      <w:r w:rsidR="003C3046">
        <w:t>and</w:t>
      </w:r>
      <w:r w:rsidR="00D1565C">
        <w:t xml:space="preserve"> “foreign-owned carriers” </w:t>
      </w:r>
      <w:r w:rsidR="003C3046">
        <w:t xml:space="preserve">do not indicate any particular document, type of document, or proceeding to which his request may pertain.  </w:t>
      </w:r>
      <w:r w:rsidR="00D1565C" w:rsidRPr="00C32511">
        <w:rPr>
          <w:color w:val="000000" w:themeColor="text1"/>
        </w:rPr>
        <w:t xml:space="preserve">In addition, </w:t>
      </w:r>
      <w:r w:rsidRPr="00C32511">
        <w:rPr>
          <w:color w:val="000000" w:themeColor="text1"/>
        </w:rPr>
        <w:t>any responsive information the Commission may have concerning “subsidy payments under FCC decisions” would not distinguish foreign-owned from other carriers in the U.S.</w:t>
      </w:r>
      <w:r w:rsidR="000D48FD" w:rsidRPr="00C32511">
        <w:rPr>
          <w:color w:val="000000" w:themeColor="text1"/>
        </w:rPr>
        <w:t xml:space="preserve">  Thus, even </w:t>
      </w:r>
      <w:r w:rsidR="004F6B42" w:rsidRPr="00C32511">
        <w:rPr>
          <w:color w:val="000000" w:themeColor="text1"/>
        </w:rPr>
        <w:t xml:space="preserve">assuming </w:t>
      </w:r>
      <w:r w:rsidR="000D48FD" w:rsidRPr="00C32511">
        <w:rPr>
          <w:color w:val="000000" w:themeColor="text1"/>
        </w:rPr>
        <w:t>the staff could</w:t>
      </w:r>
      <w:r w:rsidR="00D1565C" w:rsidRPr="00C32511">
        <w:rPr>
          <w:color w:val="000000" w:themeColor="text1"/>
        </w:rPr>
        <w:t xml:space="preserve"> have made </w:t>
      </w:r>
      <w:r w:rsidR="000D48FD" w:rsidRPr="00C32511">
        <w:rPr>
          <w:color w:val="000000" w:themeColor="text1"/>
        </w:rPr>
        <w:t xml:space="preserve">reasonable assumptions </w:t>
      </w:r>
      <w:r w:rsidR="00D1565C" w:rsidRPr="00C32511">
        <w:rPr>
          <w:color w:val="000000" w:themeColor="text1"/>
        </w:rPr>
        <w:t xml:space="preserve">as to </w:t>
      </w:r>
      <w:r w:rsidR="003C3046" w:rsidRPr="00C32511">
        <w:rPr>
          <w:color w:val="000000" w:themeColor="text1"/>
        </w:rPr>
        <w:t>these broad</w:t>
      </w:r>
      <w:r w:rsidR="003B16A1" w:rsidRPr="00C32511">
        <w:rPr>
          <w:color w:val="000000" w:themeColor="text1"/>
        </w:rPr>
        <w:t>, vague</w:t>
      </w:r>
      <w:r w:rsidR="003C3046" w:rsidRPr="00C32511">
        <w:rPr>
          <w:color w:val="000000" w:themeColor="text1"/>
        </w:rPr>
        <w:t xml:space="preserve"> references for purposes of his request, </w:t>
      </w:r>
      <w:r w:rsidRPr="00C32511">
        <w:rPr>
          <w:color w:val="000000" w:themeColor="text1"/>
        </w:rPr>
        <w:t xml:space="preserve">staff would have had to perform </w:t>
      </w:r>
      <w:r w:rsidR="003C3046" w:rsidRPr="00C32511">
        <w:rPr>
          <w:color w:val="000000" w:themeColor="text1"/>
        </w:rPr>
        <w:t xml:space="preserve">a substantial amount of </w:t>
      </w:r>
      <w:r w:rsidRPr="00C32511">
        <w:rPr>
          <w:color w:val="000000" w:themeColor="text1"/>
        </w:rPr>
        <w:t>research in order to</w:t>
      </w:r>
      <w:r w:rsidR="004F6B42" w:rsidRPr="00C32511">
        <w:rPr>
          <w:color w:val="000000" w:themeColor="text1"/>
        </w:rPr>
        <w:t xml:space="preserve"> </w:t>
      </w:r>
      <w:r w:rsidR="003C3046" w:rsidRPr="00C32511">
        <w:rPr>
          <w:color w:val="000000" w:themeColor="text1"/>
        </w:rPr>
        <w:t xml:space="preserve">identify </w:t>
      </w:r>
      <w:r w:rsidR="004F6B42" w:rsidRPr="00C32511">
        <w:rPr>
          <w:color w:val="000000" w:themeColor="text1"/>
        </w:rPr>
        <w:t>responsive information.</w:t>
      </w:r>
      <w:r w:rsidR="000D48FD" w:rsidRPr="00C32511">
        <w:rPr>
          <w:color w:val="000000" w:themeColor="text1"/>
        </w:rPr>
        <w:t xml:space="preserve">  The FOIA, however, does not require an agency to answer questions posed as FOIA requests or to create records in order to respond to a request.  </w:t>
      </w:r>
      <w:r w:rsidR="000D48FD" w:rsidRPr="00C32511">
        <w:rPr>
          <w:i/>
          <w:color w:val="000000" w:themeColor="text1"/>
        </w:rPr>
        <w:t>See, e.g., Amnesty Int’l v. CIA</w:t>
      </w:r>
      <w:r w:rsidR="000D48FD" w:rsidRPr="00C32511">
        <w:rPr>
          <w:color w:val="000000" w:themeColor="text1"/>
        </w:rPr>
        <w:t xml:space="preserve">, No. 07-5435, 2008 WL 2519908, **12-13 (S.D.N.Y. June 19, 2008); </w:t>
      </w:r>
      <w:r w:rsidR="000D48FD" w:rsidRPr="00C32511">
        <w:rPr>
          <w:i/>
          <w:color w:val="000000" w:themeColor="text1"/>
        </w:rPr>
        <w:t>Ivey v. U.S. Office of Special Counsel</w:t>
      </w:r>
      <w:r w:rsidR="000D48FD" w:rsidRPr="00C32511">
        <w:rPr>
          <w:color w:val="000000" w:themeColor="text1"/>
        </w:rPr>
        <w:t xml:space="preserve">, No. 05-0176, 2005 U.S. Dist. LEXIS 18874, *8 (D.D.C. Aug. 31, 2005); </w:t>
      </w:r>
      <w:r w:rsidR="000D48FD" w:rsidRPr="00C32511">
        <w:rPr>
          <w:i/>
          <w:color w:val="000000" w:themeColor="text1"/>
        </w:rPr>
        <w:t>Barber v. Office of Info. &amp; Privacy</w:t>
      </w:r>
      <w:r w:rsidR="000D48FD" w:rsidRPr="00C32511">
        <w:rPr>
          <w:color w:val="000000" w:themeColor="text1"/>
        </w:rPr>
        <w:t xml:space="preserve">, No. 02-1748, slip op., 4 (D.D.C. Sept. 4, 2003), </w:t>
      </w:r>
      <w:r w:rsidR="000D48FD" w:rsidRPr="00C32511">
        <w:rPr>
          <w:i/>
          <w:color w:val="000000" w:themeColor="text1"/>
        </w:rPr>
        <w:t>aff’d per curiam</w:t>
      </w:r>
      <w:r w:rsidR="000D48FD" w:rsidRPr="00C32511">
        <w:rPr>
          <w:color w:val="000000" w:themeColor="text1"/>
        </w:rPr>
        <w:t>, No. 03-5266 (D.C. Cir. Feb. 20, 2004).</w:t>
      </w:r>
    </w:p>
  </w:footnote>
  <w:footnote w:id="35">
    <w:p w:rsidR="00AF399E" w:rsidRPr="00636412" w:rsidRDefault="00AF399E" w:rsidP="00412A6B">
      <w:pPr>
        <w:pStyle w:val="FootnoteText"/>
      </w:pPr>
      <w:r>
        <w:rPr>
          <w:rStyle w:val="FootnoteReference"/>
        </w:rPr>
        <w:footnoteRef/>
      </w:r>
      <w:r>
        <w:t xml:space="preserve"> </w:t>
      </w:r>
      <w:r>
        <w:rPr>
          <w:i/>
        </w:rPr>
        <w:t xml:space="preserve">See </w:t>
      </w:r>
      <w:r>
        <w:t>Letter from James L. Ball, Chief, Policy Division, International Bureau to William Kirsch (dated July 26, 2013).</w:t>
      </w:r>
    </w:p>
  </w:footnote>
  <w:footnote w:id="36">
    <w:p w:rsidR="00AF399E" w:rsidRPr="003D3310" w:rsidRDefault="00AF399E" w:rsidP="003D3310">
      <w:pPr>
        <w:pStyle w:val="FootnoteText"/>
      </w:pPr>
      <w:r>
        <w:rPr>
          <w:rStyle w:val="FootnoteReference"/>
        </w:rPr>
        <w:footnoteRef/>
      </w:r>
      <w:r>
        <w:t xml:space="preserve"> Mr. Kirsch has failed to comply with the applicable filing deadlines set forth in the Commission’s rules numerous times previously.  </w:t>
      </w:r>
      <w:r>
        <w:rPr>
          <w:i/>
        </w:rPr>
        <w:t xml:space="preserve">See First FOIA Order, </w:t>
      </w:r>
      <w:r>
        <w:t xml:space="preserve">27 FCC Rcd 13772, 13776-77 para. 10; </w:t>
      </w:r>
      <w:r>
        <w:rPr>
          <w:i/>
        </w:rPr>
        <w:t>Second FOIA Order</w:t>
      </w:r>
      <w:r>
        <w:t xml:space="preserve">, 28 FCC Rcd 15280, 15286 para. 12, 15292-93 para. 32, 15295 para. 38, </w:t>
      </w:r>
      <w:r w:rsidR="00F43983">
        <w:t xml:space="preserve">and </w:t>
      </w:r>
      <w:r>
        <w:t xml:space="preserve">15296 para. 40.  </w:t>
      </w:r>
    </w:p>
  </w:footnote>
  <w:footnote w:id="37">
    <w:p w:rsidR="00E42A50" w:rsidRPr="004F6B42" w:rsidRDefault="00E42A50" w:rsidP="004F6B42">
      <w:pPr>
        <w:pStyle w:val="FootnoteText"/>
        <w:rPr>
          <w:u w:val="single"/>
        </w:rPr>
      </w:pPr>
      <w:r>
        <w:rPr>
          <w:rStyle w:val="FootnoteReference"/>
        </w:rPr>
        <w:footnoteRef/>
      </w:r>
      <w:r>
        <w:t xml:space="preserve"> </w:t>
      </w:r>
      <w:r w:rsidR="00D1565C">
        <w:t xml:space="preserve">AFR 2 </w:t>
      </w:r>
      <w:r w:rsidR="00650239">
        <w:t xml:space="preserve">challenges FOIA Control No. 2013-356 on reasonable search grounds, among other things.  </w:t>
      </w:r>
      <w:r w:rsidR="00650239">
        <w:rPr>
          <w:i/>
        </w:rPr>
        <w:t xml:space="preserve">See supra </w:t>
      </w:r>
      <w:r w:rsidR="00650239">
        <w:rPr>
          <w:u w:val="single"/>
        </w:rPr>
        <w:t>n.</w:t>
      </w:r>
      <w:r w:rsidR="004F6B42">
        <w:rPr>
          <w:u w:val="single"/>
        </w:rPr>
        <w:t>13.</w:t>
      </w:r>
    </w:p>
  </w:footnote>
  <w:footnote w:id="38">
    <w:p w:rsidR="00AF399E" w:rsidRPr="00957120" w:rsidRDefault="00AF399E" w:rsidP="00F72520">
      <w:pPr>
        <w:pStyle w:val="FootnoteText"/>
      </w:pPr>
      <w:r>
        <w:rPr>
          <w:rStyle w:val="FootnoteReference"/>
        </w:rPr>
        <w:footnoteRef/>
      </w:r>
      <w:r>
        <w:t xml:space="preserve"> AFR 2 was filed on August 14, 2013, and therefore beyond the 30-day deadline as to a request for review of the July 1, 2013 decision denying Mr. Kirsch’s requests for fee waiver in FOIA Control Nos. 2013-356 and 2013-358, and the IB’s July 10, 2013 FOIA response in FOIA Control No. 2013-356.  </w:t>
      </w:r>
      <w:r>
        <w:rPr>
          <w:i/>
        </w:rPr>
        <w:t xml:space="preserve">See </w:t>
      </w:r>
      <w:r>
        <w:t>47 C.F.R.</w:t>
      </w:r>
      <w:r w:rsidRPr="009C6D14">
        <w:t xml:space="preserve"> </w:t>
      </w:r>
      <w:r>
        <w:t>§§ 0.461(j), 1.115(d), Letter from Joel Kaufman, Associate General Counsel and Chief, Administrative Law Division, Office of General Counsel, to William J. Kirsch (dated July 1, 2013)</w:t>
      </w:r>
      <w:r w:rsidR="00F43983">
        <w:t>;</w:t>
      </w:r>
      <w:r>
        <w:t xml:space="preserve"> Letter from James L. Ball, Chief, Policy Division, International Bureau (dated July 10, 2013). </w:t>
      </w:r>
    </w:p>
  </w:footnote>
  <w:footnote w:id="39">
    <w:p w:rsidR="00AF399E" w:rsidRPr="00425A70" w:rsidRDefault="00AF399E" w:rsidP="00412A6B">
      <w:pPr>
        <w:pStyle w:val="FootnoteText"/>
      </w:pPr>
      <w:r>
        <w:rPr>
          <w:rStyle w:val="FootnoteReference"/>
        </w:rPr>
        <w:footnoteRef/>
      </w:r>
      <w:r>
        <w:t xml:space="preserve"> </w:t>
      </w:r>
      <w:r>
        <w:rPr>
          <w:i/>
        </w:rPr>
        <w:t xml:space="preserve">See Second FOIA Order, </w:t>
      </w:r>
      <w:r>
        <w:t xml:space="preserve">28 FCC Rcd 15280, 15281-82 para. 4 (finding no basis for any change to the </w:t>
      </w:r>
      <w:r>
        <w:rPr>
          <w:i/>
        </w:rPr>
        <w:t>First FOIA Order</w:t>
      </w:r>
      <w:r>
        <w:t>‘s characterization of Mr. Kirsch’s status and reminding him that a FOIA proceeding is not the appropriate avenue for the correction of personnel records).</w:t>
      </w:r>
    </w:p>
  </w:footnote>
  <w:footnote w:id="40">
    <w:p w:rsidR="00AF399E" w:rsidRPr="00AE45F7" w:rsidRDefault="00AF399E" w:rsidP="00F72520">
      <w:pPr>
        <w:pStyle w:val="FootnoteText"/>
      </w:pPr>
      <w:r>
        <w:rPr>
          <w:rStyle w:val="FootnoteReference"/>
        </w:rPr>
        <w:footnoteRef/>
      </w:r>
      <w:r>
        <w:t xml:space="preserve"> AFR 6 was filed on August 29, 2013, and AFR 8 was filed on September 4, 2013.  The AFRs are therefore beyond the 30-day deadline as to a request for review of the May 10, 2013 decision denying Mr. Kirsch’s request for fee waiver, and the PSHSB’s June 12, 2013 FOIA response.  </w:t>
      </w:r>
      <w:r>
        <w:rPr>
          <w:i/>
        </w:rPr>
        <w:t xml:space="preserve">See </w:t>
      </w:r>
      <w:r>
        <w:t>47 C.F.R.</w:t>
      </w:r>
      <w:r w:rsidRPr="009C6D14">
        <w:t xml:space="preserve"> </w:t>
      </w:r>
      <w:r>
        <w:t>§§ 0.461(j), 1.115(d)</w:t>
      </w:r>
      <w:r w:rsidR="00F43983">
        <w:t>;</w:t>
      </w:r>
      <w:r>
        <w:t xml:space="preserve"> Letter from Joel Kaufman, Associate General Counsel and Chief, Administrative Law Division, Office of General Counsel, to William J. Kirsch (dated May 10, 2013)</w:t>
      </w:r>
      <w:r w:rsidR="00F43983">
        <w:t>;</w:t>
      </w:r>
      <w:r>
        <w:t xml:space="preserve"> Letter from Thomas Beers, Chief, Policy Licensing Division, Public Safety and Homeland Security Bureau (dated June 12, 2013).  </w:t>
      </w:r>
    </w:p>
  </w:footnote>
  <w:footnote w:id="41">
    <w:p w:rsidR="00AF399E" w:rsidRPr="00AE45F7" w:rsidRDefault="00AF399E" w:rsidP="00F72520">
      <w:pPr>
        <w:pStyle w:val="FootnoteText"/>
      </w:pPr>
      <w:r>
        <w:rPr>
          <w:rStyle w:val="FootnoteReference"/>
        </w:rPr>
        <w:footnoteRef/>
      </w:r>
      <w:r>
        <w:t xml:space="preserve"> The 30-day deadline for filing a petition for reconsideration of the </w:t>
      </w:r>
      <w:r>
        <w:rPr>
          <w:i/>
        </w:rPr>
        <w:t>First FOIA Order</w:t>
      </w:r>
      <w:r>
        <w:t xml:space="preserve"> fell on November 26, 2012, yet AFR 8 was filed nearly a year later, on September 4, 2013. </w:t>
      </w:r>
    </w:p>
  </w:footnote>
  <w:footnote w:id="42">
    <w:p w:rsidR="00AF399E" w:rsidRDefault="00AF399E" w:rsidP="00F72520">
      <w:pPr>
        <w:pStyle w:val="FootnoteText"/>
      </w:pPr>
      <w:r>
        <w:rPr>
          <w:rStyle w:val="FootnoteReference"/>
        </w:rPr>
        <w:footnoteRef/>
      </w:r>
      <w:r>
        <w:t xml:space="preserve"> The Office of General Counsel responded to FOIA Control No. 2013-151 on February 22, 2013, denying Mr. Kirsch’s request for fee waiver and providing a fee estimate.</w:t>
      </w:r>
      <w:r w:rsidRPr="009C6D14">
        <w:rPr>
          <w:i/>
        </w:rPr>
        <w:t xml:space="preserve"> </w:t>
      </w:r>
      <w:r>
        <w:rPr>
          <w:i/>
        </w:rPr>
        <w:t xml:space="preserve"> See </w:t>
      </w:r>
      <w:r>
        <w:t xml:space="preserve">Letter from Joel Kaufman, Associate General Counsel and Chief, Administrative Law Division, to William J. Kirsch (dated Feb. 22, 2013).  FOIA Control No. 2013-151 was closed subsequently because Mr. Kirsch failed to agree to payment of fees or otherwise narrow or clarify his request.  AFR 16 was filed on November 15, 2013, several months beyond the 30-day deadlines applicable to these actions.  </w:t>
      </w:r>
    </w:p>
  </w:footnote>
  <w:footnote w:id="43">
    <w:p w:rsidR="00AF399E" w:rsidRPr="009C6D14" w:rsidRDefault="00AF399E" w:rsidP="00F72520">
      <w:pPr>
        <w:pStyle w:val="FootnoteText"/>
      </w:pPr>
      <w:r>
        <w:rPr>
          <w:rStyle w:val="FootnoteReference"/>
        </w:rPr>
        <w:footnoteRef/>
      </w:r>
      <w:r>
        <w:t xml:space="preserve"> The Office of General Counsel denied Mr. Kirsch’s requests for fee waiver in these three cases in a letter dated September 23, 2013.  </w:t>
      </w:r>
      <w:r>
        <w:rPr>
          <w:i/>
        </w:rPr>
        <w:t xml:space="preserve">See </w:t>
      </w:r>
      <w:r>
        <w:t xml:space="preserve">Letter from Joel Kaufman, Associate General Counsel and Chief, Administrative Law Division, to William J. Kirsch (dated Sept. 23, 2013).  Thus, any application for review was due on October 23, 2013.  </w:t>
      </w:r>
      <w:r>
        <w:rPr>
          <w:i/>
        </w:rPr>
        <w:t xml:space="preserve">See </w:t>
      </w:r>
      <w:r>
        <w:t>47 C.F.R.</w:t>
      </w:r>
      <w:r w:rsidRPr="009C6D14">
        <w:t xml:space="preserve"> </w:t>
      </w:r>
      <w:r>
        <w:t xml:space="preserve">§§ 0.461(j), 1.115(d).  AFR 17 was filed on November 15, 2013.  </w:t>
      </w:r>
    </w:p>
  </w:footnote>
  <w:footnote w:id="44">
    <w:p w:rsidR="00AF399E" w:rsidRPr="00AD70EA" w:rsidRDefault="00AF399E" w:rsidP="00F72520">
      <w:pPr>
        <w:pStyle w:val="FootnoteText"/>
      </w:pPr>
      <w:r>
        <w:rPr>
          <w:rStyle w:val="FootnoteReference"/>
        </w:rPr>
        <w:footnoteRef/>
      </w:r>
      <w:r>
        <w:t xml:space="preserve"> PFR/AFR 20, dated Saturday, December 14, 2013, was filed on Monday, December 16, 2013, the following business day.  It contains a request for reconsideration of the </w:t>
      </w:r>
      <w:r>
        <w:rPr>
          <w:i/>
        </w:rPr>
        <w:t>Second FOIA Order</w:t>
      </w:r>
      <w:r>
        <w:t xml:space="preserve"> that was released on November 1, 2013, and is therefore well beyond the 30-day reconsideration deadline that fell on December 2, 2013.  Also, insofar as it challenges the September 23, 2013 decision denying a fee waiver in 2013-539 and other FOIA cases, it is untimely.  </w:t>
      </w:r>
      <w:r>
        <w:rPr>
          <w:i/>
        </w:rPr>
        <w:t xml:space="preserve">See </w:t>
      </w:r>
      <w:r>
        <w:t>47 C.F.R. §§ 1.106(f), 0.461(j), 1.115(d).</w:t>
      </w:r>
    </w:p>
  </w:footnote>
  <w:footnote w:id="45">
    <w:p w:rsidR="00AF399E" w:rsidRPr="00C13C35" w:rsidRDefault="00AF399E" w:rsidP="002938D2">
      <w:pPr>
        <w:pStyle w:val="FootnoteText"/>
      </w:pPr>
      <w:r>
        <w:rPr>
          <w:rStyle w:val="FootnoteReference"/>
        </w:rPr>
        <w:footnoteRef/>
      </w:r>
      <w:r>
        <w:t xml:space="preserve"> </w:t>
      </w:r>
      <w:r>
        <w:rPr>
          <w:i/>
        </w:rPr>
        <w:t xml:space="preserve">See, e.g., </w:t>
      </w:r>
      <w:r>
        <w:t>AFR 9 (generally requesting amendment of his “Petition for Reconsideration, FOIA Appeals and Privacy Act Correction Request” and grant of his “requests … and waive[r of] any and all attempts to impose fees related to his requests,” but identifying no particular decision to which these requests pertain); AFRs 11, 12 (alleging grounds for review that bear no apparent connection to the FOIA decision identified in the AFR subject line).</w:t>
      </w:r>
    </w:p>
  </w:footnote>
  <w:footnote w:id="46">
    <w:p w:rsidR="00AF399E" w:rsidRPr="00836945" w:rsidRDefault="00AF399E" w:rsidP="00954F6D">
      <w:pPr>
        <w:pStyle w:val="FootnoteText"/>
      </w:pPr>
      <w:r>
        <w:rPr>
          <w:rStyle w:val="FootnoteReference"/>
        </w:rPr>
        <w:footnoteRef/>
      </w:r>
      <w:r>
        <w:t xml:space="preserve"> </w:t>
      </w:r>
      <w:r>
        <w:rPr>
          <w:i/>
        </w:rPr>
        <w:t xml:space="preserve">See, e.g., </w:t>
      </w:r>
      <w:r>
        <w:t>PFR/AFR 20 (referencing numerous FOIA and PA appeals by FOIA Control No. but alleging no more than “clear error, arbitrary and capricious reasoning and an abuse of discretion that has denied petitioner both substantive and procedural due process” as to any of them, and alleging “</w:t>
      </w:r>
      <w:r>
        <w:rPr>
          <w:i/>
        </w:rPr>
        <w:t xml:space="preserve">prima facie </w:t>
      </w:r>
      <w:r>
        <w:t>evidence of official misconduct” as to FOIA Control No. 2013-538, and a generalized [and untimely] objection to the September 23, 2013 denial of his fee waiver request in FOIA Control No. 2013-539).</w:t>
      </w:r>
    </w:p>
  </w:footnote>
  <w:footnote w:id="47">
    <w:p w:rsidR="00AF399E" w:rsidRDefault="00AF399E" w:rsidP="00954F6D">
      <w:pPr>
        <w:pStyle w:val="FootnoteText"/>
        <w:spacing w:after="0"/>
      </w:pPr>
      <w:r w:rsidRPr="00F10F9A">
        <w:rPr>
          <w:rStyle w:val="FootnoteReference"/>
        </w:rPr>
        <w:footnoteRef/>
      </w:r>
      <w:r w:rsidRPr="00F10F9A">
        <w:t xml:space="preserve"> </w:t>
      </w:r>
      <w:r>
        <w:t xml:space="preserve">We note that as part of the Open Government Act of 2007, the Office of Government Information Services (OGIS) was created to offer mediation services to resolve disputes between FOIA requesters and Federal agencies as a non-exclusive alternative to litigation.  Using OGIS services does not affect Mr. Kirsch’s right to pursue litigation.  Mr. Kirsch may contact OGIS in any of the following ways: </w:t>
      </w:r>
    </w:p>
    <w:p w:rsidR="00AF399E" w:rsidRDefault="00AF399E" w:rsidP="0049428B">
      <w:pPr>
        <w:pStyle w:val="NormalWeb"/>
        <w:ind w:left="1440"/>
      </w:pPr>
      <w:r>
        <w:rPr>
          <w:sz w:val="20"/>
          <w:szCs w:val="20"/>
        </w:rPr>
        <w:t xml:space="preserve">Office of Government Information Services </w:t>
      </w:r>
      <w:r>
        <w:br/>
      </w:r>
      <w:r>
        <w:rPr>
          <w:sz w:val="20"/>
          <w:szCs w:val="20"/>
        </w:rPr>
        <w:t xml:space="preserve">National Archives and Records Administration </w:t>
      </w:r>
      <w:r>
        <w:br/>
      </w:r>
      <w:r>
        <w:rPr>
          <w:sz w:val="20"/>
          <w:szCs w:val="20"/>
        </w:rPr>
        <w:t xml:space="preserve">Room 2510 </w:t>
      </w:r>
      <w:r>
        <w:br/>
      </w:r>
      <w:r>
        <w:rPr>
          <w:sz w:val="20"/>
          <w:szCs w:val="20"/>
        </w:rPr>
        <w:t xml:space="preserve">8601 Adelphi Road </w:t>
      </w:r>
      <w:r>
        <w:br/>
      </w:r>
      <w:r>
        <w:rPr>
          <w:sz w:val="20"/>
          <w:szCs w:val="20"/>
        </w:rPr>
        <w:t xml:space="preserve">College Park, MD 20740-6001 </w:t>
      </w:r>
      <w:r>
        <w:br/>
      </w:r>
      <w:r>
        <w:rPr>
          <w:sz w:val="20"/>
          <w:szCs w:val="20"/>
        </w:rPr>
        <w:t xml:space="preserve">E-mail: ogis@nara.gov </w:t>
      </w:r>
      <w:r>
        <w:br/>
      </w:r>
      <w:r>
        <w:rPr>
          <w:sz w:val="20"/>
          <w:szCs w:val="20"/>
        </w:rPr>
        <w:t xml:space="preserve">Telephone: 301-837-1996 </w:t>
      </w:r>
      <w:r>
        <w:br/>
      </w:r>
      <w:r>
        <w:rPr>
          <w:sz w:val="20"/>
          <w:szCs w:val="20"/>
        </w:rPr>
        <w:t xml:space="preserve">Facsimile: 301-837-0348 </w:t>
      </w:r>
      <w:r>
        <w:br/>
      </w:r>
      <w:r>
        <w:rPr>
          <w:sz w:val="20"/>
          <w:szCs w:val="20"/>
        </w:rPr>
        <w:t>Toll-free: 1-877-684-6448.</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D78" w:rsidRDefault="00456D7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99E" w:rsidRDefault="00AF399E">
    <w:pPr>
      <w:pStyle w:val="Header"/>
      <w:rPr>
        <w:b w:val="0"/>
      </w:rPr>
    </w:pPr>
    <w:r>
      <w:tab/>
      <w:t>Federal Communications Commission</w:t>
    </w:r>
    <w:r>
      <w:tab/>
      <w:t>FCC 14-</w:t>
    </w:r>
    <w:r w:rsidR="00995D13">
      <w:t>126</w:t>
    </w:r>
    <w:r>
      <w:t xml:space="preserve"> </w:t>
    </w:r>
  </w:p>
  <w:p w:rsidR="00AF399E" w:rsidRDefault="00AF399E">
    <w:r>
      <w:rPr>
        <w:noProof/>
      </w:rPr>
      <mc:AlternateContent>
        <mc:Choice Requires="wps">
          <w:drawing>
            <wp:anchor distT="0" distB="0" distL="114300" distR="114300" simplePos="0" relativeHeight="251658240" behindDoc="0" locked="0" layoutInCell="0" allowOverlap="1" wp14:anchorId="54244453" wp14:editId="39D7993C">
              <wp:simplePos x="0" y="0"/>
              <wp:positionH relativeFrom="column">
                <wp:posOffset>0</wp:posOffset>
              </wp:positionH>
              <wp:positionV relativeFrom="paragraph">
                <wp:posOffset>22225</wp:posOffset>
              </wp:positionV>
              <wp:extent cx="5943600" cy="0"/>
              <wp:effectExtent l="0" t="0" r="19050" b="190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" o:allowincell="f" strokeweight="1p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99E" w:rsidRDefault="00AF399E">
    <w:pPr>
      <w:pStyle w:val="Header"/>
      <w:rPr>
        <w:b w:val="0"/>
      </w:rPr>
    </w:pPr>
    <w:r>
      <w:tab/>
      <w:t>Federal Communications Commission</w:t>
    </w:r>
    <w:r>
      <w:tab/>
      <w:t>FCC 14-</w:t>
    </w:r>
    <w:r w:rsidR="00995D13">
      <w:t>126</w:t>
    </w:r>
  </w:p>
  <w:p w:rsidR="00AF399E" w:rsidRDefault="00AF399E">
    <w:pPr>
      <w:pStyle w:val="Header"/>
    </w:pPr>
    <w:r>
      <w:rPr>
        <w:noProof/>
      </w:rPr>
      <mc:AlternateContent>
        <mc:Choice Requires="wps">
          <w:drawing>
            <wp:anchor distT="0" distB="0" distL="114300" distR="114300" simplePos="0" relativeHeight="251657216" behindDoc="0" locked="0" layoutInCell="0" allowOverlap="1" wp14:anchorId="45F455CF" wp14:editId="4F6603B2">
              <wp:simplePos x="0" y="0"/>
              <wp:positionH relativeFrom="column">
                <wp:posOffset>0</wp:posOffset>
              </wp:positionH>
              <wp:positionV relativeFrom="paragraph">
                <wp:posOffset>22225</wp:posOffset>
              </wp:positionV>
              <wp:extent cx="5943600" cy="0"/>
              <wp:effectExtent l="0" t="0" r="19050" b="1905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" o:allowincell="f" strokeweight="1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5341241F"/>
    <w:multiLevelType w:val="singleLevel"/>
    <w:tmpl w:val="4C62BFF4"/>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5"/>
  </w:num>
  <w:num w:numId="2">
    <w:abstractNumId w:val="6"/>
  </w:num>
  <w:num w:numId="3">
    <w:abstractNumId w:val="3"/>
  </w:num>
  <w:num w:numId="4">
    <w:abstractNumId w:val="1"/>
  </w:num>
  <w:num w:numId="5">
    <w:abstractNumId w:val="4"/>
  </w:num>
  <w:num w:numId="6">
    <w:abstractNumId w:val="2"/>
  </w:num>
  <w:num w:numId="7">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44"/>
  <w:removePersonalInformation/>
  <w:removeDateAndTime/>
  <w:attachedTemplate r:id="rId1"/>
  <w:linkStyle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8D8"/>
    <w:rsid w:val="000005AF"/>
    <w:rsid w:val="00001226"/>
    <w:rsid w:val="000026D0"/>
    <w:rsid w:val="0000293F"/>
    <w:rsid w:val="00003589"/>
    <w:rsid w:val="000044EE"/>
    <w:rsid w:val="00011D19"/>
    <w:rsid w:val="00011DDE"/>
    <w:rsid w:val="00013BCB"/>
    <w:rsid w:val="000151A9"/>
    <w:rsid w:val="00016C0B"/>
    <w:rsid w:val="0001725A"/>
    <w:rsid w:val="00020822"/>
    <w:rsid w:val="0002175D"/>
    <w:rsid w:val="00021E78"/>
    <w:rsid w:val="00030C05"/>
    <w:rsid w:val="00031372"/>
    <w:rsid w:val="00031A52"/>
    <w:rsid w:val="00032590"/>
    <w:rsid w:val="0003397B"/>
    <w:rsid w:val="00034C57"/>
    <w:rsid w:val="00040678"/>
    <w:rsid w:val="00041581"/>
    <w:rsid w:val="0004221A"/>
    <w:rsid w:val="00046547"/>
    <w:rsid w:val="00047247"/>
    <w:rsid w:val="00050464"/>
    <w:rsid w:val="00050F7F"/>
    <w:rsid w:val="00051802"/>
    <w:rsid w:val="00052C58"/>
    <w:rsid w:val="0005448E"/>
    <w:rsid w:val="00054C85"/>
    <w:rsid w:val="0005593F"/>
    <w:rsid w:val="00057FED"/>
    <w:rsid w:val="00061BD4"/>
    <w:rsid w:val="0006201B"/>
    <w:rsid w:val="00063422"/>
    <w:rsid w:val="000647FD"/>
    <w:rsid w:val="0007065C"/>
    <w:rsid w:val="00070712"/>
    <w:rsid w:val="000713B3"/>
    <w:rsid w:val="00072291"/>
    <w:rsid w:val="00072C54"/>
    <w:rsid w:val="0007396E"/>
    <w:rsid w:val="00075951"/>
    <w:rsid w:val="00075AEE"/>
    <w:rsid w:val="00076DAF"/>
    <w:rsid w:val="00077694"/>
    <w:rsid w:val="0007771C"/>
    <w:rsid w:val="0008076C"/>
    <w:rsid w:val="00082FC0"/>
    <w:rsid w:val="0008601A"/>
    <w:rsid w:val="00086E85"/>
    <w:rsid w:val="00087594"/>
    <w:rsid w:val="00090398"/>
    <w:rsid w:val="000936EB"/>
    <w:rsid w:val="000949F4"/>
    <w:rsid w:val="00095426"/>
    <w:rsid w:val="00095AA8"/>
    <w:rsid w:val="000965DD"/>
    <w:rsid w:val="000972B3"/>
    <w:rsid w:val="000972DB"/>
    <w:rsid w:val="000A066A"/>
    <w:rsid w:val="000A0773"/>
    <w:rsid w:val="000A0EC7"/>
    <w:rsid w:val="000A1BF6"/>
    <w:rsid w:val="000A72EE"/>
    <w:rsid w:val="000A7A61"/>
    <w:rsid w:val="000B01BC"/>
    <w:rsid w:val="000B06D6"/>
    <w:rsid w:val="000B5CB9"/>
    <w:rsid w:val="000B63A8"/>
    <w:rsid w:val="000C065D"/>
    <w:rsid w:val="000C0FDA"/>
    <w:rsid w:val="000C14DD"/>
    <w:rsid w:val="000C24F8"/>
    <w:rsid w:val="000C3379"/>
    <w:rsid w:val="000C4860"/>
    <w:rsid w:val="000C5B2D"/>
    <w:rsid w:val="000D0307"/>
    <w:rsid w:val="000D156A"/>
    <w:rsid w:val="000D27D6"/>
    <w:rsid w:val="000D3CE5"/>
    <w:rsid w:val="000D45B5"/>
    <w:rsid w:val="000D48FD"/>
    <w:rsid w:val="000D4AC7"/>
    <w:rsid w:val="000D4BD5"/>
    <w:rsid w:val="000D4BDD"/>
    <w:rsid w:val="000D4F9B"/>
    <w:rsid w:val="000D53E8"/>
    <w:rsid w:val="000E02E9"/>
    <w:rsid w:val="000E1B51"/>
    <w:rsid w:val="000E3DE4"/>
    <w:rsid w:val="000E49A2"/>
    <w:rsid w:val="000F02AA"/>
    <w:rsid w:val="000F1534"/>
    <w:rsid w:val="000F17DF"/>
    <w:rsid w:val="000F23D8"/>
    <w:rsid w:val="000F2603"/>
    <w:rsid w:val="000F43C7"/>
    <w:rsid w:val="000F53CD"/>
    <w:rsid w:val="000F7F6B"/>
    <w:rsid w:val="00104A76"/>
    <w:rsid w:val="00104E1E"/>
    <w:rsid w:val="001069C7"/>
    <w:rsid w:val="00106EE8"/>
    <w:rsid w:val="001072EB"/>
    <w:rsid w:val="0011206E"/>
    <w:rsid w:val="00112882"/>
    <w:rsid w:val="00112F4F"/>
    <w:rsid w:val="00113D94"/>
    <w:rsid w:val="00114B23"/>
    <w:rsid w:val="00115FE5"/>
    <w:rsid w:val="0011748E"/>
    <w:rsid w:val="00117BB0"/>
    <w:rsid w:val="00120BE4"/>
    <w:rsid w:val="00120D4F"/>
    <w:rsid w:val="00123D85"/>
    <w:rsid w:val="00127277"/>
    <w:rsid w:val="00132C98"/>
    <w:rsid w:val="00133900"/>
    <w:rsid w:val="00134D71"/>
    <w:rsid w:val="00135AA4"/>
    <w:rsid w:val="001400A1"/>
    <w:rsid w:val="001408C0"/>
    <w:rsid w:val="00140B71"/>
    <w:rsid w:val="00141BF6"/>
    <w:rsid w:val="001430C1"/>
    <w:rsid w:val="00147953"/>
    <w:rsid w:val="00152CC6"/>
    <w:rsid w:val="00152D6D"/>
    <w:rsid w:val="00153B83"/>
    <w:rsid w:val="001545A6"/>
    <w:rsid w:val="00154BE7"/>
    <w:rsid w:val="00155ACB"/>
    <w:rsid w:val="0015716D"/>
    <w:rsid w:val="00160332"/>
    <w:rsid w:val="00164893"/>
    <w:rsid w:val="001657F9"/>
    <w:rsid w:val="00166726"/>
    <w:rsid w:val="00171025"/>
    <w:rsid w:val="00173E6F"/>
    <w:rsid w:val="00174638"/>
    <w:rsid w:val="00174D64"/>
    <w:rsid w:val="001753A4"/>
    <w:rsid w:val="00180C4C"/>
    <w:rsid w:val="00181399"/>
    <w:rsid w:val="0018209F"/>
    <w:rsid w:val="00182804"/>
    <w:rsid w:val="00184723"/>
    <w:rsid w:val="00184878"/>
    <w:rsid w:val="00187062"/>
    <w:rsid w:val="00187264"/>
    <w:rsid w:val="00187517"/>
    <w:rsid w:val="00191036"/>
    <w:rsid w:val="00191B9D"/>
    <w:rsid w:val="00193D90"/>
    <w:rsid w:val="0019437B"/>
    <w:rsid w:val="00195115"/>
    <w:rsid w:val="0019577E"/>
    <w:rsid w:val="00195BF1"/>
    <w:rsid w:val="001A09BC"/>
    <w:rsid w:val="001A1998"/>
    <w:rsid w:val="001A21A3"/>
    <w:rsid w:val="001A5904"/>
    <w:rsid w:val="001A67E3"/>
    <w:rsid w:val="001B1E03"/>
    <w:rsid w:val="001B25ED"/>
    <w:rsid w:val="001B2E57"/>
    <w:rsid w:val="001B3835"/>
    <w:rsid w:val="001B6001"/>
    <w:rsid w:val="001B6AA7"/>
    <w:rsid w:val="001B751B"/>
    <w:rsid w:val="001B7788"/>
    <w:rsid w:val="001C2213"/>
    <w:rsid w:val="001C2DCB"/>
    <w:rsid w:val="001C546D"/>
    <w:rsid w:val="001C7047"/>
    <w:rsid w:val="001D052C"/>
    <w:rsid w:val="001D13D5"/>
    <w:rsid w:val="001D4147"/>
    <w:rsid w:val="001D487A"/>
    <w:rsid w:val="001D59DD"/>
    <w:rsid w:val="001D5BF5"/>
    <w:rsid w:val="001D7727"/>
    <w:rsid w:val="001D78AF"/>
    <w:rsid w:val="001D79C7"/>
    <w:rsid w:val="001E008E"/>
    <w:rsid w:val="001E1661"/>
    <w:rsid w:val="001E33AA"/>
    <w:rsid w:val="001E4A07"/>
    <w:rsid w:val="001E6458"/>
    <w:rsid w:val="001E7087"/>
    <w:rsid w:val="001F0577"/>
    <w:rsid w:val="001F1E22"/>
    <w:rsid w:val="001F2DD7"/>
    <w:rsid w:val="001F3541"/>
    <w:rsid w:val="001F65B1"/>
    <w:rsid w:val="001F7BBA"/>
    <w:rsid w:val="001F7E3A"/>
    <w:rsid w:val="0020039C"/>
    <w:rsid w:val="002008E2"/>
    <w:rsid w:val="0020212D"/>
    <w:rsid w:val="0020353E"/>
    <w:rsid w:val="00204451"/>
    <w:rsid w:val="00205799"/>
    <w:rsid w:val="00207309"/>
    <w:rsid w:val="00211115"/>
    <w:rsid w:val="00211910"/>
    <w:rsid w:val="002119DD"/>
    <w:rsid w:val="00213910"/>
    <w:rsid w:val="00213FB9"/>
    <w:rsid w:val="00216161"/>
    <w:rsid w:val="002170B8"/>
    <w:rsid w:val="00220DC9"/>
    <w:rsid w:val="0022280E"/>
    <w:rsid w:val="002229DB"/>
    <w:rsid w:val="00223D23"/>
    <w:rsid w:val="00224B40"/>
    <w:rsid w:val="00224FAC"/>
    <w:rsid w:val="00225CFA"/>
    <w:rsid w:val="0023169C"/>
    <w:rsid w:val="0023251D"/>
    <w:rsid w:val="00232FF6"/>
    <w:rsid w:val="0023439D"/>
    <w:rsid w:val="00234722"/>
    <w:rsid w:val="00235803"/>
    <w:rsid w:val="00235942"/>
    <w:rsid w:val="002367A7"/>
    <w:rsid w:val="00236AEF"/>
    <w:rsid w:val="002405B3"/>
    <w:rsid w:val="002405E0"/>
    <w:rsid w:val="002446E4"/>
    <w:rsid w:val="002459A8"/>
    <w:rsid w:val="00247817"/>
    <w:rsid w:val="00254306"/>
    <w:rsid w:val="00254DBD"/>
    <w:rsid w:val="00255463"/>
    <w:rsid w:val="0025548D"/>
    <w:rsid w:val="0025594B"/>
    <w:rsid w:val="00255B6E"/>
    <w:rsid w:val="00255FF2"/>
    <w:rsid w:val="0025778C"/>
    <w:rsid w:val="00260E5D"/>
    <w:rsid w:val="00262F15"/>
    <w:rsid w:val="00266A0F"/>
    <w:rsid w:val="00267B22"/>
    <w:rsid w:val="002700B6"/>
    <w:rsid w:val="002704B8"/>
    <w:rsid w:val="00272299"/>
    <w:rsid w:val="00273C32"/>
    <w:rsid w:val="00273D67"/>
    <w:rsid w:val="002761B5"/>
    <w:rsid w:val="00276804"/>
    <w:rsid w:val="00276A19"/>
    <w:rsid w:val="00276FA2"/>
    <w:rsid w:val="00280AFE"/>
    <w:rsid w:val="002819A6"/>
    <w:rsid w:val="00281F4F"/>
    <w:rsid w:val="00282620"/>
    <w:rsid w:val="00284ACF"/>
    <w:rsid w:val="002850EB"/>
    <w:rsid w:val="002855C4"/>
    <w:rsid w:val="00285713"/>
    <w:rsid w:val="0028628A"/>
    <w:rsid w:val="002879F2"/>
    <w:rsid w:val="002938D2"/>
    <w:rsid w:val="00295D5E"/>
    <w:rsid w:val="00296AEF"/>
    <w:rsid w:val="002A1189"/>
    <w:rsid w:val="002A120B"/>
    <w:rsid w:val="002A18D7"/>
    <w:rsid w:val="002A34D6"/>
    <w:rsid w:val="002A4A5B"/>
    <w:rsid w:val="002A66CB"/>
    <w:rsid w:val="002A68F9"/>
    <w:rsid w:val="002A75E0"/>
    <w:rsid w:val="002A7B19"/>
    <w:rsid w:val="002B067B"/>
    <w:rsid w:val="002B0D03"/>
    <w:rsid w:val="002B0E79"/>
    <w:rsid w:val="002B0F36"/>
    <w:rsid w:val="002B2A02"/>
    <w:rsid w:val="002B2FB3"/>
    <w:rsid w:val="002B55FD"/>
    <w:rsid w:val="002B62DC"/>
    <w:rsid w:val="002B6DFA"/>
    <w:rsid w:val="002B71A7"/>
    <w:rsid w:val="002B7828"/>
    <w:rsid w:val="002C0082"/>
    <w:rsid w:val="002C1899"/>
    <w:rsid w:val="002C1C67"/>
    <w:rsid w:val="002C313B"/>
    <w:rsid w:val="002C6381"/>
    <w:rsid w:val="002C67CC"/>
    <w:rsid w:val="002C6C36"/>
    <w:rsid w:val="002C71DB"/>
    <w:rsid w:val="002D07ED"/>
    <w:rsid w:val="002D1D8C"/>
    <w:rsid w:val="002D2DC8"/>
    <w:rsid w:val="002D2FF3"/>
    <w:rsid w:val="002D38FC"/>
    <w:rsid w:val="002D7C33"/>
    <w:rsid w:val="002E2E65"/>
    <w:rsid w:val="002E42A9"/>
    <w:rsid w:val="002E4A12"/>
    <w:rsid w:val="002F0035"/>
    <w:rsid w:val="002F3C29"/>
    <w:rsid w:val="002F3E15"/>
    <w:rsid w:val="002F6493"/>
    <w:rsid w:val="0030201B"/>
    <w:rsid w:val="003026F5"/>
    <w:rsid w:val="00302A9D"/>
    <w:rsid w:val="00302C60"/>
    <w:rsid w:val="003102CC"/>
    <w:rsid w:val="00313024"/>
    <w:rsid w:val="00313CAE"/>
    <w:rsid w:val="00313DC9"/>
    <w:rsid w:val="003142F4"/>
    <w:rsid w:val="00320434"/>
    <w:rsid w:val="00323611"/>
    <w:rsid w:val="00325C7C"/>
    <w:rsid w:val="00327670"/>
    <w:rsid w:val="003311FF"/>
    <w:rsid w:val="00331EA0"/>
    <w:rsid w:val="00332919"/>
    <w:rsid w:val="00334DFA"/>
    <w:rsid w:val="003361FB"/>
    <w:rsid w:val="0033665A"/>
    <w:rsid w:val="00340B5A"/>
    <w:rsid w:val="00341674"/>
    <w:rsid w:val="00343007"/>
    <w:rsid w:val="003430B3"/>
    <w:rsid w:val="00343159"/>
    <w:rsid w:val="00343502"/>
    <w:rsid w:val="003435A6"/>
    <w:rsid w:val="00344407"/>
    <w:rsid w:val="00345954"/>
    <w:rsid w:val="0034762D"/>
    <w:rsid w:val="00350A04"/>
    <w:rsid w:val="00352BC9"/>
    <w:rsid w:val="003544D5"/>
    <w:rsid w:val="00355358"/>
    <w:rsid w:val="00356C03"/>
    <w:rsid w:val="00360AB5"/>
    <w:rsid w:val="003615B6"/>
    <w:rsid w:val="00361ADB"/>
    <w:rsid w:val="003623B5"/>
    <w:rsid w:val="00362C10"/>
    <w:rsid w:val="00363266"/>
    <w:rsid w:val="00365190"/>
    <w:rsid w:val="0037128F"/>
    <w:rsid w:val="00372396"/>
    <w:rsid w:val="003738FA"/>
    <w:rsid w:val="00373D5A"/>
    <w:rsid w:val="00375CB0"/>
    <w:rsid w:val="0037611C"/>
    <w:rsid w:val="00377203"/>
    <w:rsid w:val="003777F4"/>
    <w:rsid w:val="00377BB6"/>
    <w:rsid w:val="00382250"/>
    <w:rsid w:val="0038319C"/>
    <w:rsid w:val="00383BA4"/>
    <w:rsid w:val="00384189"/>
    <w:rsid w:val="00384778"/>
    <w:rsid w:val="003858F9"/>
    <w:rsid w:val="003878E7"/>
    <w:rsid w:val="0039127C"/>
    <w:rsid w:val="0039195C"/>
    <w:rsid w:val="00392108"/>
    <w:rsid w:val="0039220E"/>
    <w:rsid w:val="0039253E"/>
    <w:rsid w:val="0039265D"/>
    <w:rsid w:val="00392D4D"/>
    <w:rsid w:val="00393DEE"/>
    <w:rsid w:val="00394379"/>
    <w:rsid w:val="00395849"/>
    <w:rsid w:val="00396711"/>
    <w:rsid w:val="00397C86"/>
    <w:rsid w:val="003A0257"/>
    <w:rsid w:val="003A21AE"/>
    <w:rsid w:val="003A3402"/>
    <w:rsid w:val="003A47BB"/>
    <w:rsid w:val="003A71AB"/>
    <w:rsid w:val="003B1176"/>
    <w:rsid w:val="003B16A1"/>
    <w:rsid w:val="003B2F7A"/>
    <w:rsid w:val="003B3864"/>
    <w:rsid w:val="003B3AA2"/>
    <w:rsid w:val="003B4960"/>
    <w:rsid w:val="003B5380"/>
    <w:rsid w:val="003B5CF1"/>
    <w:rsid w:val="003B6AD2"/>
    <w:rsid w:val="003B7491"/>
    <w:rsid w:val="003B7D56"/>
    <w:rsid w:val="003C0D84"/>
    <w:rsid w:val="003C1532"/>
    <w:rsid w:val="003C3046"/>
    <w:rsid w:val="003C424B"/>
    <w:rsid w:val="003C66D1"/>
    <w:rsid w:val="003C69A8"/>
    <w:rsid w:val="003D0BC3"/>
    <w:rsid w:val="003D0FBB"/>
    <w:rsid w:val="003D3310"/>
    <w:rsid w:val="003D38BF"/>
    <w:rsid w:val="003D6C2C"/>
    <w:rsid w:val="003D7252"/>
    <w:rsid w:val="003E2161"/>
    <w:rsid w:val="003E2A9E"/>
    <w:rsid w:val="003E3B23"/>
    <w:rsid w:val="003E4CAD"/>
    <w:rsid w:val="003E5B5B"/>
    <w:rsid w:val="003F1A58"/>
    <w:rsid w:val="003F3346"/>
    <w:rsid w:val="003F33AB"/>
    <w:rsid w:val="003F36E0"/>
    <w:rsid w:val="003F4131"/>
    <w:rsid w:val="003F4A03"/>
    <w:rsid w:val="003F4B60"/>
    <w:rsid w:val="003F67FD"/>
    <w:rsid w:val="0040198A"/>
    <w:rsid w:val="0040259C"/>
    <w:rsid w:val="004027BA"/>
    <w:rsid w:val="0040386B"/>
    <w:rsid w:val="00404A8F"/>
    <w:rsid w:val="0040548A"/>
    <w:rsid w:val="0040659F"/>
    <w:rsid w:val="004075C8"/>
    <w:rsid w:val="00407C9C"/>
    <w:rsid w:val="00410F6A"/>
    <w:rsid w:val="0041122D"/>
    <w:rsid w:val="00412A6B"/>
    <w:rsid w:val="00413297"/>
    <w:rsid w:val="00413C23"/>
    <w:rsid w:val="004143A6"/>
    <w:rsid w:val="00415103"/>
    <w:rsid w:val="00416878"/>
    <w:rsid w:val="00420065"/>
    <w:rsid w:val="004202CE"/>
    <w:rsid w:val="00421A79"/>
    <w:rsid w:val="00422259"/>
    <w:rsid w:val="004224DB"/>
    <w:rsid w:val="00422576"/>
    <w:rsid w:val="0042270B"/>
    <w:rsid w:val="00422EB4"/>
    <w:rsid w:val="00423DC9"/>
    <w:rsid w:val="0042431E"/>
    <w:rsid w:val="0042470C"/>
    <w:rsid w:val="004255A8"/>
    <w:rsid w:val="00425A70"/>
    <w:rsid w:val="00426312"/>
    <w:rsid w:val="004270FA"/>
    <w:rsid w:val="00434C93"/>
    <w:rsid w:val="00434CF1"/>
    <w:rsid w:val="00435A2A"/>
    <w:rsid w:val="004365F1"/>
    <w:rsid w:val="00436B8E"/>
    <w:rsid w:val="00436CAD"/>
    <w:rsid w:val="004374DE"/>
    <w:rsid w:val="00437749"/>
    <w:rsid w:val="00441FCE"/>
    <w:rsid w:val="00445649"/>
    <w:rsid w:val="004466FA"/>
    <w:rsid w:val="00450FDC"/>
    <w:rsid w:val="00451553"/>
    <w:rsid w:val="00453368"/>
    <w:rsid w:val="00456785"/>
    <w:rsid w:val="00456C17"/>
    <w:rsid w:val="00456D78"/>
    <w:rsid w:val="00461382"/>
    <w:rsid w:val="00462F8D"/>
    <w:rsid w:val="00464277"/>
    <w:rsid w:val="004645F3"/>
    <w:rsid w:val="00464691"/>
    <w:rsid w:val="0046527A"/>
    <w:rsid w:val="004657B7"/>
    <w:rsid w:val="00466943"/>
    <w:rsid w:val="00466BCF"/>
    <w:rsid w:val="00466DC6"/>
    <w:rsid w:val="00467246"/>
    <w:rsid w:val="00467978"/>
    <w:rsid w:val="00470285"/>
    <w:rsid w:val="00472ACE"/>
    <w:rsid w:val="004741AD"/>
    <w:rsid w:val="004751EF"/>
    <w:rsid w:val="00475B84"/>
    <w:rsid w:val="00477DE0"/>
    <w:rsid w:val="0048339D"/>
    <w:rsid w:val="00483668"/>
    <w:rsid w:val="00485C0D"/>
    <w:rsid w:val="0048766E"/>
    <w:rsid w:val="00492D11"/>
    <w:rsid w:val="0049428B"/>
    <w:rsid w:val="00494403"/>
    <w:rsid w:val="00497CAF"/>
    <w:rsid w:val="004A0394"/>
    <w:rsid w:val="004A1959"/>
    <w:rsid w:val="004A2D3A"/>
    <w:rsid w:val="004A2D62"/>
    <w:rsid w:val="004A611E"/>
    <w:rsid w:val="004A7098"/>
    <w:rsid w:val="004B0023"/>
    <w:rsid w:val="004B02A8"/>
    <w:rsid w:val="004B035F"/>
    <w:rsid w:val="004B0370"/>
    <w:rsid w:val="004B1EB6"/>
    <w:rsid w:val="004B36BE"/>
    <w:rsid w:val="004B3734"/>
    <w:rsid w:val="004B40EA"/>
    <w:rsid w:val="004B4388"/>
    <w:rsid w:val="004B6D5A"/>
    <w:rsid w:val="004B7316"/>
    <w:rsid w:val="004C014C"/>
    <w:rsid w:val="004C1561"/>
    <w:rsid w:val="004C1A70"/>
    <w:rsid w:val="004C2281"/>
    <w:rsid w:val="004C4814"/>
    <w:rsid w:val="004C6E1D"/>
    <w:rsid w:val="004C6F51"/>
    <w:rsid w:val="004D02C9"/>
    <w:rsid w:val="004D1653"/>
    <w:rsid w:val="004D25B7"/>
    <w:rsid w:val="004D2AD0"/>
    <w:rsid w:val="004D45EB"/>
    <w:rsid w:val="004D5E5C"/>
    <w:rsid w:val="004D71D3"/>
    <w:rsid w:val="004E0D8F"/>
    <w:rsid w:val="004E1526"/>
    <w:rsid w:val="004E3A78"/>
    <w:rsid w:val="004F0B2C"/>
    <w:rsid w:val="004F0C13"/>
    <w:rsid w:val="004F1569"/>
    <w:rsid w:val="004F2AD1"/>
    <w:rsid w:val="004F2DCC"/>
    <w:rsid w:val="004F415A"/>
    <w:rsid w:val="004F43E6"/>
    <w:rsid w:val="004F527B"/>
    <w:rsid w:val="004F5494"/>
    <w:rsid w:val="004F6B42"/>
    <w:rsid w:val="005029B6"/>
    <w:rsid w:val="00503DC3"/>
    <w:rsid w:val="00504279"/>
    <w:rsid w:val="00505AFA"/>
    <w:rsid w:val="00505B88"/>
    <w:rsid w:val="00511A34"/>
    <w:rsid w:val="005130ED"/>
    <w:rsid w:val="00513498"/>
    <w:rsid w:val="00515E2E"/>
    <w:rsid w:val="00517451"/>
    <w:rsid w:val="00524F1B"/>
    <w:rsid w:val="005274D1"/>
    <w:rsid w:val="005276B6"/>
    <w:rsid w:val="00527DA8"/>
    <w:rsid w:val="00530403"/>
    <w:rsid w:val="005306AF"/>
    <w:rsid w:val="005312CD"/>
    <w:rsid w:val="005345C0"/>
    <w:rsid w:val="00534C12"/>
    <w:rsid w:val="00536714"/>
    <w:rsid w:val="005376FE"/>
    <w:rsid w:val="0053775F"/>
    <w:rsid w:val="005379B1"/>
    <w:rsid w:val="00540195"/>
    <w:rsid w:val="00543923"/>
    <w:rsid w:val="00543E9C"/>
    <w:rsid w:val="005460E8"/>
    <w:rsid w:val="0054701C"/>
    <w:rsid w:val="00553392"/>
    <w:rsid w:val="00553A1B"/>
    <w:rsid w:val="00555732"/>
    <w:rsid w:val="0056194D"/>
    <w:rsid w:val="00563329"/>
    <w:rsid w:val="00564431"/>
    <w:rsid w:val="0056623F"/>
    <w:rsid w:val="00566C99"/>
    <w:rsid w:val="00570712"/>
    <w:rsid w:val="00570CE6"/>
    <w:rsid w:val="0057190C"/>
    <w:rsid w:val="0057338A"/>
    <w:rsid w:val="005746BE"/>
    <w:rsid w:val="00577841"/>
    <w:rsid w:val="00577E1F"/>
    <w:rsid w:val="0058045F"/>
    <w:rsid w:val="00580477"/>
    <w:rsid w:val="00580850"/>
    <w:rsid w:val="005810E5"/>
    <w:rsid w:val="005812A0"/>
    <w:rsid w:val="00581C01"/>
    <w:rsid w:val="005835A5"/>
    <w:rsid w:val="00583C90"/>
    <w:rsid w:val="00583F46"/>
    <w:rsid w:val="00585C04"/>
    <w:rsid w:val="00586117"/>
    <w:rsid w:val="00586584"/>
    <w:rsid w:val="00586BD0"/>
    <w:rsid w:val="00586ED2"/>
    <w:rsid w:val="00590264"/>
    <w:rsid w:val="00592090"/>
    <w:rsid w:val="00592681"/>
    <w:rsid w:val="00595339"/>
    <w:rsid w:val="00596C0E"/>
    <w:rsid w:val="00597306"/>
    <w:rsid w:val="00597C46"/>
    <w:rsid w:val="005A07B0"/>
    <w:rsid w:val="005A0C0E"/>
    <w:rsid w:val="005A1446"/>
    <w:rsid w:val="005A1558"/>
    <w:rsid w:val="005A1622"/>
    <w:rsid w:val="005A28C6"/>
    <w:rsid w:val="005A2FDC"/>
    <w:rsid w:val="005A3E95"/>
    <w:rsid w:val="005A5BB3"/>
    <w:rsid w:val="005A6B93"/>
    <w:rsid w:val="005A7672"/>
    <w:rsid w:val="005B3CAF"/>
    <w:rsid w:val="005B3F6B"/>
    <w:rsid w:val="005B40FD"/>
    <w:rsid w:val="005B44D9"/>
    <w:rsid w:val="005B4E1A"/>
    <w:rsid w:val="005B4FAE"/>
    <w:rsid w:val="005B540E"/>
    <w:rsid w:val="005B5435"/>
    <w:rsid w:val="005B553F"/>
    <w:rsid w:val="005C036C"/>
    <w:rsid w:val="005C04BA"/>
    <w:rsid w:val="005C0EF2"/>
    <w:rsid w:val="005C154E"/>
    <w:rsid w:val="005C21A1"/>
    <w:rsid w:val="005C5D80"/>
    <w:rsid w:val="005D1576"/>
    <w:rsid w:val="005D29D7"/>
    <w:rsid w:val="005D7348"/>
    <w:rsid w:val="005D7D3B"/>
    <w:rsid w:val="005E0F0A"/>
    <w:rsid w:val="005E1A38"/>
    <w:rsid w:val="005E43E5"/>
    <w:rsid w:val="005E48B8"/>
    <w:rsid w:val="005E4A14"/>
    <w:rsid w:val="005E5CBB"/>
    <w:rsid w:val="005E5FE9"/>
    <w:rsid w:val="005E6145"/>
    <w:rsid w:val="005F156B"/>
    <w:rsid w:val="005F4705"/>
    <w:rsid w:val="005F5C2E"/>
    <w:rsid w:val="005F5CBD"/>
    <w:rsid w:val="005F62FB"/>
    <w:rsid w:val="005F6A9F"/>
    <w:rsid w:val="005F7096"/>
    <w:rsid w:val="006020C2"/>
    <w:rsid w:val="00602459"/>
    <w:rsid w:val="00603689"/>
    <w:rsid w:val="00603D2F"/>
    <w:rsid w:val="006053E7"/>
    <w:rsid w:val="00610BF6"/>
    <w:rsid w:val="00612622"/>
    <w:rsid w:val="00613C72"/>
    <w:rsid w:val="00613CE9"/>
    <w:rsid w:val="00614412"/>
    <w:rsid w:val="00614C9C"/>
    <w:rsid w:val="00620497"/>
    <w:rsid w:val="006207DE"/>
    <w:rsid w:val="00621400"/>
    <w:rsid w:val="00621BE6"/>
    <w:rsid w:val="006228EE"/>
    <w:rsid w:val="00623D7A"/>
    <w:rsid w:val="0062489A"/>
    <w:rsid w:val="0062564F"/>
    <w:rsid w:val="006256D5"/>
    <w:rsid w:val="00625E6B"/>
    <w:rsid w:val="00625EAA"/>
    <w:rsid w:val="00627AA2"/>
    <w:rsid w:val="00627C28"/>
    <w:rsid w:val="00627D7D"/>
    <w:rsid w:val="00630064"/>
    <w:rsid w:val="00631972"/>
    <w:rsid w:val="00633484"/>
    <w:rsid w:val="00634177"/>
    <w:rsid w:val="0063423B"/>
    <w:rsid w:val="00635CCE"/>
    <w:rsid w:val="00636405"/>
    <w:rsid w:val="00636412"/>
    <w:rsid w:val="006364CD"/>
    <w:rsid w:val="006368E8"/>
    <w:rsid w:val="006377EE"/>
    <w:rsid w:val="0064078B"/>
    <w:rsid w:val="00641CD6"/>
    <w:rsid w:val="0064223B"/>
    <w:rsid w:val="006425A7"/>
    <w:rsid w:val="006428E7"/>
    <w:rsid w:val="00642EE2"/>
    <w:rsid w:val="006433D7"/>
    <w:rsid w:val="00644F5B"/>
    <w:rsid w:val="00645966"/>
    <w:rsid w:val="0064759C"/>
    <w:rsid w:val="00650239"/>
    <w:rsid w:val="0065027D"/>
    <w:rsid w:val="00651CD6"/>
    <w:rsid w:val="0065289D"/>
    <w:rsid w:val="00652970"/>
    <w:rsid w:val="00654A2A"/>
    <w:rsid w:val="0065555B"/>
    <w:rsid w:val="00655E6C"/>
    <w:rsid w:val="006569CD"/>
    <w:rsid w:val="00661566"/>
    <w:rsid w:val="00662F60"/>
    <w:rsid w:val="00663803"/>
    <w:rsid w:val="00663848"/>
    <w:rsid w:val="00667157"/>
    <w:rsid w:val="00667941"/>
    <w:rsid w:val="00671B34"/>
    <w:rsid w:val="00675947"/>
    <w:rsid w:val="00675B14"/>
    <w:rsid w:val="00676522"/>
    <w:rsid w:val="0068253E"/>
    <w:rsid w:val="00684336"/>
    <w:rsid w:val="0068607D"/>
    <w:rsid w:val="00687A5E"/>
    <w:rsid w:val="006921C4"/>
    <w:rsid w:val="00692F89"/>
    <w:rsid w:val="00693DAE"/>
    <w:rsid w:val="0069517B"/>
    <w:rsid w:val="006969C2"/>
    <w:rsid w:val="00696F58"/>
    <w:rsid w:val="006973E8"/>
    <w:rsid w:val="006A3711"/>
    <w:rsid w:val="006A4DE9"/>
    <w:rsid w:val="006A708B"/>
    <w:rsid w:val="006B3359"/>
    <w:rsid w:val="006B6AAE"/>
    <w:rsid w:val="006B797F"/>
    <w:rsid w:val="006C0F8F"/>
    <w:rsid w:val="006C1190"/>
    <w:rsid w:val="006C1695"/>
    <w:rsid w:val="006C191A"/>
    <w:rsid w:val="006C1A6E"/>
    <w:rsid w:val="006C4AE2"/>
    <w:rsid w:val="006C4F3E"/>
    <w:rsid w:val="006C5496"/>
    <w:rsid w:val="006C7F41"/>
    <w:rsid w:val="006D1603"/>
    <w:rsid w:val="006D16B8"/>
    <w:rsid w:val="006D36F1"/>
    <w:rsid w:val="006D5969"/>
    <w:rsid w:val="006D5A3F"/>
    <w:rsid w:val="006D68BF"/>
    <w:rsid w:val="006D6902"/>
    <w:rsid w:val="006E1163"/>
    <w:rsid w:val="006E215E"/>
    <w:rsid w:val="006E2E7A"/>
    <w:rsid w:val="006E2F88"/>
    <w:rsid w:val="006E302A"/>
    <w:rsid w:val="006E310F"/>
    <w:rsid w:val="006E47B4"/>
    <w:rsid w:val="006E589D"/>
    <w:rsid w:val="006E677F"/>
    <w:rsid w:val="006F0273"/>
    <w:rsid w:val="006F0564"/>
    <w:rsid w:val="006F14E3"/>
    <w:rsid w:val="006F1C7A"/>
    <w:rsid w:val="006F2E31"/>
    <w:rsid w:val="006F3D46"/>
    <w:rsid w:val="006F47BF"/>
    <w:rsid w:val="006F4A0A"/>
    <w:rsid w:val="006F5E0D"/>
    <w:rsid w:val="006F74C1"/>
    <w:rsid w:val="007019D4"/>
    <w:rsid w:val="00701FD5"/>
    <w:rsid w:val="007044C7"/>
    <w:rsid w:val="00704D9A"/>
    <w:rsid w:val="00705E86"/>
    <w:rsid w:val="00706475"/>
    <w:rsid w:val="00706A25"/>
    <w:rsid w:val="00707A97"/>
    <w:rsid w:val="00710238"/>
    <w:rsid w:val="00711281"/>
    <w:rsid w:val="007128F3"/>
    <w:rsid w:val="007131C9"/>
    <w:rsid w:val="007134D0"/>
    <w:rsid w:val="0071678D"/>
    <w:rsid w:val="00716944"/>
    <w:rsid w:val="00717073"/>
    <w:rsid w:val="007173AA"/>
    <w:rsid w:val="0073176E"/>
    <w:rsid w:val="00731D40"/>
    <w:rsid w:val="007322C0"/>
    <w:rsid w:val="007329E5"/>
    <w:rsid w:val="0073389F"/>
    <w:rsid w:val="00735A61"/>
    <w:rsid w:val="00735C47"/>
    <w:rsid w:val="00735EE5"/>
    <w:rsid w:val="007379AF"/>
    <w:rsid w:val="00737A1A"/>
    <w:rsid w:val="00741375"/>
    <w:rsid w:val="0074245E"/>
    <w:rsid w:val="007424F8"/>
    <w:rsid w:val="00743BFA"/>
    <w:rsid w:val="00743FA9"/>
    <w:rsid w:val="007440FA"/>
    <w:rsid w:val="0074420F"/>
    <w:rsid w:val="0074462D"/>
    <w:rsid w:val="00744E32"/>
    <w:rsid w:val="00744E44"/>
    <w:rsid w:val="00745323"/>
    <w:rsid w:val="00747992"/>
    <w:rsid w:val="00750266"/>
    <w:rsid w:val="007503AE"/>
    <w:rsid w:val="007505ED"/>
    <w:rsid w:val="00750F92"/>
    <w:rsid w:val="007510A6"/>
    <w:rsid w:val="00752721"/>
    <w:rsid w:val="00753F13"/>
    <w:rsid w:val="0075694A"/>
    <w:rsid w:val="00760886"/>
    <w:rsid w:val="00765C59"/>
    <w:rsid w:val="00766A82"/>
    <w:rsid w:val="00771694"/>
    <w:rsid w:val="00772151"/>
    <w:rsid w:val="0077330B"/>
    <w:rsid w:val="007744F4"/>
    <w:rsid w:val="007750C0"/>
    <w:rsid w:val="00775D7C"/>
    <w:rsid w:val="00775DD2"/>
    <w:rsid w:val="00776922"/>
    <w:rsid w:val="00777E7F"/>
    <w:rsid w:val="007812BB"/>
    <w:rsid w:val="00781956"/>
    <w:rsid w:val="00783011"/>
    <w:rsid w:val="007836A7"/>
    <w:rsid w:val="00784EF3"/>
    <w:rsid w:val="00785400"/>
    <w:rsid w:val="00786A56"/>
    <w:rsid w:val="0079018C"/>
    <w:rsid w:val="007937AC"/>
    <w:rsid w:val="00793EF3"/>
    <w:rsid w:val="007940D5"/>
    <w:rsid w:val="00794D48"/>
    <w:rsid w:val="0079776D"/>
    <w:rsid w:val="007A09A2"/>
    <w:rsid w:val="007A24D2"/>
    <w:rsid w:val="007A37C9"/>
    <w:rsid w:val="007A3DD7"/>
    <w:rsid w:val="007A44D1"/>
    <w:rsid w:val="007A4871"/>
    <w:rsid w:val="007A4EA7"/>
    <w:rsid w:val="007A6394"/>
    <w:rsid w:val="007A73AA"/>
    <w:rsid w:val="007B0A02"/>
    <w:rsid w:val="007B2C14"/>
    <w:rsid w:val="007B38D2"/>
    <w:rsid w:val="007B4238"/>
    <w:rsid w:val="007B460D"/>
    <w:rsid w:val="007B65A1"/>
    <w:rsid w:val="007B6F9C"/>
    <w:rsid w:val="007B76EC"/>
    <w:rsid w:val="007C2C1A"/>
    <w:rsid w:val="007C3490"/>
    <w:rsid w:val="007C5960"/>
    <w:rsid w:val="007C7748"/>
    <w:rsid w:val="007D093A"/>
    <w:rsid w:val="007D1703"/>
    <w:rsid w:val="007D2A5B"/>
    <w:rsid w:val="007D4588"/>
    <w:rsid w:val="007D4D9D"/>
    <w:rsid w:val="007D7572"/>
    <w:rsid w:val="007E2D81"/>
    <w:rsid w:val="007E42C5"/>
    <w:rsid w:val="007E4301"/>
    <w:rsid w:val="007E4688"/>
    <w:rsid w:val="007E5A19"/>
    <w:rsid w:val="007E6B1D"/>
    <w:rsid w:val="007E717C"/>
    <w:rsid w:val="007E7AEA"/>
    <w:rsid w:val="007F040A"/>
    <w:rsid w:val="007F1240"/>
    <w:rsid w:val="007F3219"/>
    <w:rsid w:val="007F50BD"/>
    <w:rsid w:val="007F5F9C"/>
    <w:rsid w:val="007F74CD"/>
    <w:rsid w:val="007F7537"/>
    <w:rsid w:val="008000CE"/>
    <w:rsid w:val="00800CA1"/>
    <w:rsid w:val="00800F5E"/>
    <w:rsid w:val="00803CA8"/>
    <w:rsid w:val="00803FFA"/>
    <w:rsid w:val="008060D5"/>
    <w:rsid w:val="008102BA"/>
    <w:rsid w:val="008118D9"/>
    <w:rsid w:val="0081336E"/>
    <w:rsid w:val="008133FC"/>
    <w:rsid w:val="0081566E"/>
    <w:rsid w:val="00815E1D"/>
    <w:rsid w:val="008205CD"/>
    <w:rsid w:val="00821883"/>
    <w:rsid w:val="0082195E"/>
    <w:rsid w:val="0082274E"/>
    <w:rsid w:val="008231F6"/>
    <w:rsid w:val="00823340"/>
    <w:rsid w:val="00824CE4"/>
    <w:rsid w:val="00825410"/>
    <w:rsid w:val="00825B6B"/>
    <w:rsid w:val="008270D6"/>
    <w:rsid w:val="0083055E"/>
    <w:rsid w:val="00830A91"/>
    <w:rsid w:val="00831218"/>
    <w:rsid w:val="008312C1"/>
    <w:rsid w:val="00832075"/>
    <w:rsid w:val="00832A65"/>
    <w:rsid w:val="008338AF"/>
    <w:rsid w:val="00834710"/>
    <w:rsid w:val="00834B4F"/>
    <w:rsid w:val="00835801"/>
    <w:rsid w:val="00836945"/>
    <w:rsid w:val="00836B6C"/>
    <w:rsid w:val="0083770F"/>
    <w:rsid w:val="00837C42"/>
    <w:rsid w:val="0084033B"/>
    <w:rsid w:val="00842671"/>
    <w:rsid w:val="008435D2"/>
    <w:rsid w:val="00844163"/>
    <w:rsid w:val="0084432C"/>
    <w:rsid w:val="00844547"/>
    <w:rsid w:val="0084569A"/>
    <w:rsid w:val="00845947"/>
    <w:rsid w:val="00845D15"/>
    <w:rsid w:val="008464A8"/>
    <w:rsid w:val="00847B78"/>
    <w:rsid w:val="00847F6C"/>
    <w:rsid w:val="00852D8F"/>
    <w:rsid w:val="0085334D"/>
    <w:rsid w:val="008535F5"/>
    <w:rsid w:val="00854321"/>
    <w:rsid w:val="00854D1F"/>
    <w:rsid w:val="00854E50"/>
    <w:rsid w:val="00856146"/>
    <w:rsid w:val="008562DE"/>
    <w:rsid w:val="00861128"/>
    <w:rsid w:val="0086120C"/>
    <w:rsid w:val="00861C9E"/>
    <w:rsid w:val="00862A28"/>
    <w:rsid w:val="0086577D"/>
    <w:rsid w:val="00866568"/>
    <w:rsid w:val="00871CE0"/>
    <w:rsid w:val="00875B8E"/>
    <w:rsid w:val="00875EC4"/>
    <w:rsid w:val="00876DAD"/>
    <w:rsid w:val="00877685"/>
    <w:rsid w:val="008778C1"/>
    <w:rsid w:val="00880028"/>
    <w:rsid w:val="0088055D"/>
    <w:rsid w:val="00880571"/>
    <w:rsid w:val="00881DAB"/>
    <w:rsid w:val="00881E84"/>
    <w:rsid w:val="008820DF"/>
    <w:rsid w:val="00882F78"/>
    <w:rsid w:val="00883CCC"/>
    <w:rsid w:val="00885887"/>
    <w:rsid w:val="00890DE4"/>
    <w:rsid w:val="00891027"/>
    <w:rsid w:val="008925C4"/>
    <w:rsid w:val="00893850"/>
    <w:rsid w:val="00894767"/>
    <w:rsid w:val="00894F61"/>
    <w:rsid w:val="00896C28"/>
    <w:rsid w:val="00897B3E"/>
    <w:rsid w:val="008A1FC9"/>
    <w:rsid w:val="008A34B2"/>
    <w:rsid w:val="008A78D9"/>
    <w:rsid w:val="008B111C"/>
    <w:rsid w:val="008B174F"/>
    <w:rsid w:val="008B3476"/>
    <w:rsid w:val="008B4F8E"/>
    <w:rsid w:val="008B58DC"/>
    <w:rsid w:val="008B7C1C"/>
    <w:rsid w:val="008C1068"/>
    <w:rsid w:val="008C122A"/>
    <w:rsid w:val="008C12CD"/>
    <w:rsid w:val="008C2C67"/>
    <w:rsid w:val="008C44AF"/>
    <w:rsid w:val="008C5C3A"/>
    <w:rsid w:val="008C5EB9"/>
    <w:rsid w:val="008C6B6F"/>
    <w:rsid w:val="008D27F5"/>
    <w:rsid w:val="008D3ACF"/>
    <w:rsid w:val="008D4A0B"/>
    <w:rsid w:val="008D75EB"/>
    <w:rsid w:val="008D7755"/>
    <w:rsid w:val="008E0E64"/>
    <w:rsid w:val="008E23C0"/>
    <w:rsid w:val="008F3AFE"/>
    <w:rsid w:val="008F6AE5"/>
    <w:rsid w:val="008F703F"/>
    <w:rsid w:val="009005C4"/>
    <w:rsid w:val="009006BF"/>
    <w:rsid w:val="00902DB9"/>
    <w:rsid w:val="009033A3"/>
    <w:rsid w:val="00905D72"/>
    <w:rsid w:val="00906337"/>
    <w:rsid w:val="00906E75"/>
    <w:rsid w:val="00907029"/>
    <w:rsid w:val="00907E45"/>
    <w:rsid w:val="009105C0"/>
    <w:rsid w:val="00911C1E"/>
    <w:rsid w:val="00913265"/>
    <w:rsid w:val="0091354C"/>
    <w:rsid w:val="00913F7C"/>
    <w:rsid w:val="00914902"/>
    <w:rsid w:val="00914FFF"/>
    <w:rsid w:val="00921531"/>
    <w:rsid w:val="00924194"/>
    <w:rsid w:val="0092469D"/>
    <w:rsid w:val="00925B5D"/>
    <w:rsid w:val="00925E99"/>
    <w:rsid w:val="00930F05"/>
    <w:rsid w:val="00931C2C"/>
    <w:rsid w:val="00931F6B"/>
    <w:rsid w:val="009344DC"/>
    <w:rsid w:val="009350F6"/>
    <w:rsid w:val="0093779A"/>
    <w:rsid w:val="009401CF"/>
    <w:rsid w:val="00940CC6"/>
    <w:rsid w:val="00941514"/>
    <w:rsid w:val="00941DEE"/>
    <w:rsid w:val="00942169"/>
    <w:rsid w:val="009435A8"/>
    <w:rsid w:val="00943F93"/>
    <w:rsid w:val="009449DB"/>
    <w:rsid w:val="00944BCE"/>
    <w:rsid w:val="009461C9"/>
    <w:rsid w:val="00946CD6"/>
    <w:rsid w:val="00947541"/>
    <w:rsid w:val="009478FE"/>
    <w:rsid w:val="0095296B"/>
    <w:rsid w:val="00953E93"/>
    <w:rsid w:val="0095467A"/>
    <w:rsid w:val="00954F6D"/>
    <w:rsid w:val="00955C25"/>
    <w:rsid w:val="00955DBE"/>
    <w:rsid w:val="00955E18"/>
    <w:rsid w:val="00957120"/>
    <w:rsid w:val="00957810"/>
    <w:rsid w:val="009578DC"/>
    <w:rsid w:val="0096050C"/>
    <w:rsid w:val="009613E0"/>
    <w:rsid w:val="00961E07"/>
    <w:rsid w:val="0096250F"/>
    <w:rsid w:val="009632A9"/>
    <w:rsid w:val="009639C9"/>
    <w:rsid w:val="00963F19"/>
    <w:rsid w:val="00964CA4"/>
    <w:rsid w:val="00967292"/>
    <w:rsid w:val="00967698"/>
    <w:rsid w:val="00970876"/>
    <w:rsid w:val="00970AB4"/>
    <w:rsid w:val="0097127D"/>
    <w:rsid w:val="009719D6"/>
    <w:rsid w:val="009728A9"/>
    <w:rsid w:val="0097621B"/>
    <w:rsid w:val="00981E3C"/>
    <w:rsid w:val="00985848"/>
    <w:rsid w:val="00985EAB"/>
    <w:rsid w:val="0098664A"/>
    <w:rsid w:val="00991457"/>
    <w:rsid w:val="0099444B"/>
    <w:rsid w:val="00995A27"/>
    <w:rsid w:val="00995D13"/>
    <w:rsid w:val="009969FB"/>
    <w:rsid w:val="009974D1"/>
    <w:rsid w:val="009975D3"/>
    <w:rsid w:val="009A0063"/>
    <w:rsid w:val="009A1605"/>
    <w:rsid w:val="009A1B04"/>
    <w:rsid w:val="009A1FE8"/>
    <w:rsid w:val="009A3105"/>
    <w:rsid w:val="009A477E"/>
    <w:rsid w:val="009A4B11"/>
    <w:rsid w:val="009A6707"/>
    <w:rsid w:val="009A67B7"/>
    <w:rsid w:val="009A7AB9"/>
    <w:rsid w:val="009B39BB"/>
    <w:rsid w:val="009B4552"/>
    <w:rsid w:val="009B5512"/>
    <w:rsid w:val="009B72AC"/>
    <w:rsid w:val="009C0A91"/>
    <w:rsid w:val="009C0E41"/>
    <w:rsid w:val="009C1B23"/>
    <w:rsid w:val="009C2E4B"/>
    <w:rsid w:val="009C4692"/>
    <w:rsid w:val="009C5524"/>
    <w:rsid w:val="009C61F4"/>
    <w:rsid w:val="009C652E"/>
    <w:rsid w:val="009C6833"/>
    <w:rsid w:val="009C6D14"/>
    <w:rsid w:val="009D04B7"/>
    <w:rsid w:val="009D1AB3"/>
    <w:rsid w:val="009D1EBA"/>
    <w:rsid w:val="009D2470"/>
    <w:rsid w:val="009D47CB"/>
    <w:rsid w:val="009D4CE1"/>
    <w:rsid w:val="009D58B5"/>
    <w:rsid w:val="009D613F"/>
    <w:rsid w:val="009D71AF"/>
    <w:rsid w:val="009E04DF"/>
    <w:rsid w:val="009E11B3"/>
    <w:rsid w:val="009E4E43"/>
    <w:rsid w:val="009E5566"/>
    <w:rsid w:val="009F1A63"/>
    <w:rsid w:val="009F455B"/>
    <w:rsid w:val="009F48C3"/>
    <w:rsid w:val="009F63FF"/>
    <w:rsid w:val="009F6DE8"/>
    <w:rsid w:val="009F7955"/>
    <w:rsid w:val="00A002FB"/>
    <w:rsid w:val="00A0286A"/>
    <w:rsid w:val="00A02DD6"/>
    <w:rsid w:val="00A0311D"/>
    <w:rsid w:val="00A0366A"/>
    <w:rsid w:val="00A03B6C"/>
    <w:rsid w:val="00A066B1"/>
    <w:rsid w:val="00A06760"/>
    <w:rsid w:val="00A068C3"/>
    <w:rsid w:val="00A110BE"/>
    <w:rsid w:val="00A120E3"/>
    <w:rsid w:val="00A130BE"/>
    <w:rsid w:val="00A13959"/>
    <w:rsid w:val="00A13D57"/>
    <w:rsid w:val="00A13F9E"/>
    <w:rsid w:val="00A14B7F"/>
    <w:rsid w:val="00A1522C"/>
    <w:rsid w:val="00A152A4"/>
    <w:rsid w:val="00A159EE"/>
    <w:rsid w:val="00A164D5"/>
    <w:rsid w:val="00A2034F"/>
    <w:rsid w:val="00A25EBF"/>
    <w:rsid w:val="00A26FDB"/>
    <w:rsid w:val="00A273C3"/>
    <w:rsid w:val="00A30F27"/>
    <w:rsid w:val="00A31C3F"/>
    <w:rsid w:val="00A31CA1"/>
    <w:rsid w:val="00A32520"/>
    <w:rsid w:val="00A3468F"/>
    <w:rsid w:val="00A3617D"/>
    <w:rsid w:val="00A41327"/>
    <w:rsid w:val="00A43465"/>
    <w:rsid w:val="00A43D01"/>
    <w:rsid w:val="00A44D97"/>
    <w:rsid w:val="00A45708"/>
    <w:rsid w:val="00A45C25"/>
    <w:rsid w:val="00A45DD6"/>
    <w:rsid w:val="00A52D78"/>
    <w:rsid w:val="00A52EDE"/>
    <w:rsid w:val="00A5399B"/>
    <w:rsid w:val="00A53E47"/>
    <w:rsid w:val="00A54FDE"/>
    <w:rsid w:val="00A55949"/>
    <w:rsid w:val="00A5696F"/>
    <w:rsid w:val="00A6020F"/>
    <w:rsid w:val="00A609C1"/>
    <w:rsid w:val="00A642AF"/>
    <w:rsid w:val="00A659B0"/>
    <w:rsid w:val="00A65B8E"/>
    <w:rsid w:val="00A66EAF"/>
    <w:rsid w:val="00A67AFF"/>
    <w:rsid w:val="00A74593"/>
    <w:rsid w:val="00A7625F"/>
    <w:rsid w:val="00A80067"/>
    <w:rsid w:val="00A8248C"/>
    <w:rsid w:val="00A85D24"/>
    <w:rsid w:val="00A86389"/>
    <w:rsid w:val="00A8675F"/>
    <w:rsid w:val="00A86D28"/>
    <w:rsid w:val="00A9022E"/>
    <w:rsid w:val="00A90882"/>
    <w:rsid w:val="00A908B7"/>
    <w:rsid w:val="00A90CB6"/>
    <w:rsid w:val="00A937A3"/>
    <w:rsid w:val="00AA106D"/>
    <w:rsid w:val="00AA17D8"/>
    <w:rsid w:val="00AA2D29"/>
    <w:rsid w:val="00AA55E7"/>
    <w:rsid w:val="00AA6757"/>
    <w:rsid w:val="00AB18EA"/>
    <w:rsid w:val="00AB20AE"/>
    <w:rsid w:val="00AB2ADF"/>
    <w:rsid w:val="00AB3871"/>
    <w:rsid w:val="00AB69FE"/>
    <w:rsid w:val="00AB712C"/>
    <w:rsid w:val="00AB7B8D"/>
    <w:rsid w:val="00AC082A"/>
    <w:rsid w:val="00AC0C0B"/>
    <w:rsid w:val="00AC1A07"/>
    <w:rsid w:val="00AC29EB"/>
    <w:rsid w:val="00AC2BAF"/>
    <w:rsid w:val="00AC3224"/>
    <w:rsid w:val="00AC7299"/>
    <w:rsid w:val="00AD32C4"/>
    <w:rsid w:val="00AD344A"/>
    <w:rsid w:val="00AD4615"/>
    <w:rsid w:val="00AD4B4C"/>
    <w:rsid w:val="00AD70EA"/>
    <w:rsid w:val="00AD7562"/>
    <w:rsid w:val="00AE0C0B"/>
    <w:rsid w:val="00AE1E2C"/>
    <w:rsid w:val="00AE2E65"/>
    <w:rsid w:val="00AE2F89"/>
    <w:rsid w:val="00AE45F7"/>
    <w:rsid w:val="00AE4AD0"/>
    <w:rsid w:val="00AE5F4B"/>
    <w:rsid w:val="00AE6639"/>
    <w:rsid w:val="00AE7911"/>
    <w:rsid w:val="00AE7A23"/>
    <w:rsid w:val="00AF0574"/>
    <w:rsid w:val="00AF147D"/>
    <w:rsid w:val="00AF23B5"/>
    <w:rsid w:val="00AF2818"/>
    <w:rsid w:val="00AF399E"/>
    <w:rsid w:val="00AF59AA"/>
    <w:rsid w:val="00AF648F"/>
    <w:rsid w:val="00AF7823"/>
    <w:rsid w:val="00AF7ECF"/>
    <w:rsid w:val="00B01901"/>
    <w:rsid w:val="00B028E4"/>
    <w:rsid w:val="00B0329D"/>
    <w:rsid w:val="00B03767"/>
    <w:rsid w:val="00B03E2C"/>
    <w:rsid w:val="00B0667B"/>
    <w:rsid w:val="00B067CE"/>
    <w:rsid w:val="00B07EF3"/>
    <w:rsid w:val="00B10B8B"/>
    <w:rsid w:val="00B12ACA"/>
    <w:rsid w:val="00B159BF"/>
    <w:rsid w:val="00B15F8F"/>
    <w:rsid w:val="00B171D5"/>
    <w:rsid w:val="00B21D16"/>
    <w:rsid w:val="00B232A7"/>
    <w:rsid w:val="00B255AC"/>
    <w:rsid w:val="00B2577C"/>
    <w:rsid w:val="00B26480"/>
    <w:rsid w:val="00B30D2F"/>
    <w:rsid w:val="00B33D0F"/>
    <w:rsid w:val="00B34718"/>
    <w:rsid w:val="00B34D02"/>
    <w:rsid w:val="00B37CEA"/>
    <w:rsid w:val="00B40606"/>
    <w:rsid w:val="00B4077D"/>
    <w:rsid w:val="00B420F8"/>
    <w:rsid w:val="00B42C48"/>
    <w:rsid w:val="00B43242"/>
    <w:rsid w:val="00B44C96"/>
    <w:rsid w:val="00B45ABF"/>
    <w:rsid w:val="00B5018C"/>
    <w:rsid w:val="00B509D4"/>
    <w:rsid w:val="00B522C0"/>
    <w:rsid w:val="00B536D7"/>
    <w:rsid w:val="00B54C86"/>
    <w:rsid w:val="00B560B2"/>
    <w:rsid w:val="00B6029D"/>
    <w:rsid w:val="00B611BE"/>
    <w:rsid w:val="00B616F8"/>
    <w:rsid w:val="00B62A82"/>
    <w:rsid w:val="00B638E4"/>
    <w:rsid w:val="00B63EEC"/>
    <w:rsid w:val="00B6518F"/>
    <w:rsid w:val="00B65561"/>
    <w:rsid w:val="00B6736D"/>
    <w:rsid w:val="00B67743"/>
    <w:rsid w:val="00B70441"/>
    <w:rsid w:val="00B70875"/>
    <w:rsid w:val="00B71133"/>
    <w:rsid w:val="00B719C5"/>
    <w:rsid w:val="00B72474"/>
    <w:rsid w:val="00B74154"/>
    <w:rsid w:val="00B74C66"/>
    <w:rsid w:val="00B774EB"/>
    <w:rsid w:val="00B80508"/>
    <w:rsid w:val="00B825D9"/>
    <w:rsid w:val="00B82B64"/>
    <w:rsid w:val="00B84173"/>
    <w:rsid w:val="00B8564B"/>
    <w:rsid w:val="00B865DB"/>
    <w:rsid w:val="00B87D3B"/>
    <w:rsid w:val="00B90173"/>
    <w:rsid w:val="00B901A5"/>
    <w:rsid w:val="00B9253A"/>
    <w:rsid w:val="00B93A9C"/>
    <w:rsid w:val="00B93DBC"/>
    <w:rsid w:val="00B97375"/>
    <w:rsid w:val="00B976B2"/>
    <w:rsid w:val="00BA1B27"/>
    <w:rsid w:val="00BA1EFE"/>
    <w:rsid w:val="00BA43D5"/>
    <w:rsid w:val="00BA5BD8"/>
    <w:rsid w:val="00BA67AE"/>
    <w:rsid w:val="00BB03EA"/>
    <w:rsid w:val="00BB0C10"/>
    <w:rsid w:val="00BB3DD4"/>
    <w:rsid w:val="00BB6E15"/>
    <w:rsid w:val="00BB772E"/>
    <w:rsid w:val="00BB79BB"/>
    <w:rsid w:val="00BC043F"/>
    <w:rsid w:val="00BC2161"/>
    <w:rsid w:val="00BC4D61"/>
    <w:rsid w:val="00BC4E45"/>
    <w:rsid w:val="00BC6A17"/>
    <w:rsid w:val="00BD1440"/>
    <w:rsid w:val="00BD2B4F"/>
    <w:rsid w:val="00BD2EB2"/>
    <w:rsid w:val="00BD2F4B"/>
    <w:rsid w:val="00BD47A5"/>
    <w:rsid w:val="00BD571C"/>
    <w:rsid w:val="00BD5E27"/>
    <w:rsid w:val="00BD67F1"/>
    <w:rsid w:val="00BE2C3F"/>
    <w:rsid w:val="00BE6BE1"/>
    <w:rsid w:val="00BE7742"/>
    <w:rsid w:val="00BF1325"/>
    <w:rsid w:val="00BF206B"/>
    <w:rsid w:val="00BF2657"/>
    <w:rsid w:val="00BF2BD7"/>
    <w:rsid w:val="00BF3564"/>
    <w:rsid w:val="00BF4E35"/>
    <w:rsid w:val="00BF64A9"/>
    <w:rsid w:val="00BF65B2"/>
    <w:rsid w:val="00C021C1"/>
    <w:rsid w:val="00C03B7F"/>
    <w:rsid w:val="00C04FEF"/>
    <w:rsid w:val="00C07738"/>
    <w:rsid w:val="00C11AA2"/>
    <w:rsid w:val="00C125E2"/>
    <w:rsid w:val="00C12BD3"/>
    <w:rsid w:val="00C12BD7"/>
    <w:rsid w:val="00C13C35"/>
    <w:rsid w:val="00C148E4"/>
    <w:rsid w:val="00C162E3"/>
    <w:rsid w:val="00C16B76"/>
    <w:rsid w:val="00C16F86"/>
    <w:rsid w:val="00C17151"/>
    <w:rsid w:val="00C20453"/>
    <w:rsid w:val="00C21837"/>
    <w:rsid w:val="00C22DC3"/>
    <w:rsid w:val="00C25188"/>
    <w:rsid w:val="00C269FB"/>
    <w:rsid w:val="00C30AEE"/>
    <w:rsid w:val="00C31EDB"/>
    <w:rsid w:val="00C32511"/>
    <w:rsid w:val="00C35C2E"/>
    <w:rsid w:val="00C36D46"/>
    <w:rsid w:val="00C37147"/>
    <w:rsid w:val="00C408A7"/>
    <w:rsid w:val="00C41114"/>
    <w:rsid w:val="00C4262A"/>
    <w:rsid w:val="00C4540F"/>
    <w:rsid w:val="00C477C8"/>
    <w:rsid w:val="00C51A59"/>
    <w:rsid w:val="00C51B6D"/>
    <w:rsid w:val="00C52AE8"/>
    <w:rsid w:val="00C53D5D"/>
    <w:rsid w:val="00C550DB"/>
    <w:rsid w:val="00C557CE"/>
    <w:rsid w:val="00C5707C"/>
    <w:rsid w:val="00C61AA6"/>
    <w:rsid w:val="00C61F7C"/>
    <w:rsid w:val="00C624F1"/>
    <w:rsid w:val="00C624F9"/>
    <w:rsid w:val="00C63433"/>
    <w:rsid w:val="00C650A2"/>
    <w:rsid w:val="00C6665B"/>
    <w:rsid w:val="00C70913"/>
    <w:rsid w:val="00C72088"/>
    <w:rsid w:val="00C729E4"/>
    <w:rsid w:val="00C75E84"/>
    <w:rsid w:val="00C7616D"/>
    <w:rsid w:val="00C763CF"/>
    <w:rsid w:val="00C77E6E"/>
    <w:rsid w:val="00C80195"/>
    <w:rsid w:val="00C82A01"/>
    <w:rsid w:val="00C87A92"/>
    <w:rsid w:val="00C9131E"/>
    <w:rsid w:val="00C91789"/>
    <w:rsid w:val="00C91804"/>
    <w:rsid w:val="00C93A0F"/>
    <w:rsid w:val="00C949C8"/>
    <w:rsid w:val="00C94BDA"/>
    <w:rsid w:val="00C9781F"/>
    <w:rsid w:val="00C97BA4"/>
    <w:rsid w:val="00C97DB8"/>
    <w:rsid w:val="00C97E14"/>
    <w:rsid w:val="00CA0372"/>
    <w:rsid w:val="00CA187D"/>
    <w:rsid w:val="00CA2471"/>
    <w:rsid w:val="00CA3EBC"/>
    <w:rsid w:val="00CA40CD"/>
    <w:rsid w:val="00CA4197"/>
    <w:rsid w:val="00CB0BF6"/>
    <w:rsid w:val="00CB0DD7"/>
    <w:rsid w:val="00CB22D1"/>
    <w:rsid w:val="00CB3813"/>
    <w:rsid w:val="00CB42F2"/>
    <w:rsid w:val="00CB522D"/>
    <w:rsid w:val="00CB60E5"/>
    <w:rsid w:val="00CB6CCA"/>
    <w:rsid w:val="00CC136D"/>
    <w:rsid w:val="00CC1AAD"/>
    <w:rsid w:val="00CC6C38"/>
    <w:rsid w:val="00CD0CD8"/>
    <w:rsid w:val="00CD17D1"/>
    <w:rsid w:val="00CD20C9"/>
    <w:rsid w:val="00CD3AC6"/>
    <w:rsid w:val="00CD47FF"/>
    <w:rsid w:val="00CD4D1A"/>
    <w:rsid w:val="00CD5A42"/>
    <w:rsid w:val="00CD7ADF"/>
    <w:rsid w:val="00CD7C85"/>
    <w:rsid w:val="00CE0455"/>
    <w:rsid w:val="00CE1ECB"/>
    <w:rsid w:val="00CE27E3"/>
    <w:rsid w:val="00CE2A01"/>
    <w:rsid w:val="00CE3FC3"/>
    <w:rsid w:val="00CE55D9"/>
    <w:rsid w:val="00CE73BE"/>
    <w:rsid w:val="00CF3A0F"/>
    <w:rsid w:val="00CF4CB3"/>
    <w:rsid w:val="00CF6A1D"/>
    <w:rsid w:val="00D00C07"/>
    <w:rsid w:val="00D02081"/>
    <w:rsid w:val="00D03EBC"/>
    <w:rsid w:val="00D05557"/>
    <w:rsid w:val="00D07CF2"/>
    <w:rsid w:val="00D11826"/>
    <w:rsid w:val="00D12224"/>
    <w:rsid w:val="00D129B7"/>
    <w:rsid w:val="00D13BAF"/>
    <w:rsid w:val="00D1462B"/>
    <w:rsid w:val="00D1565C"/>
    <w:rsid w:val="00D20484"/>
    <w:rsid w:val="00D24C88"/>
    <w:rsid w:val="00D25EB0"/>
    <w:rsid w:val="00D26C4D"/>
    <w:rsid w:val="00D275C3"/>
    <w:rsid w:val="00D27836"/>
    <w:rsid w:val="00D30003"/>
    <w:rsid w:val="00D30304"/>
    <w:rsid w:val="00D32A91"/>
    <w:rsid w:val="00D32DFD"/>
    <w:rsid w:val="00D33059"/>
    <w:rsid w:val="00D33831"/>
    <w:rsid w:val="00D34A68"/>
    <w:rsid w:val="00D3564A"/>
    <w:rsid w:val="00D35783"/>
    <w:rsid w:val="00D36B32"/>
    <w:rsid w:val="00D36D89"/>
    <w:rsid w:val="00D37A0F"/>
    <w:rsid w:val="00D40679"/>
    <w:rsid w:val="00D40AA1"/>
    <w:rsid w:val="00D41397"/>
    <w:rsid w:val="00D41E84"/>
    <w:rsid w:val="00D42D73"/>
    <w:rsid w:val="00D437AC"/>
    <w:rsid w:val="00D46D41"/>
    <w:rsid w:val="00D46FA2"/>
    <w:rsid w:val="00D47C15"/>
    <w:rsid w:val="00D47FBB"/>
    <w:rsid w:val="00D50489"/>
    <w:rsid w:val="00D506E1"/>
    <w:rsid w:val="00D50CAD"/>
    <w:rsid w:val="00D5397C"/>
    <w:rsid w:val="00D56867"/>
    <w:rsid w:val="00D56EA4"/>
    <w:rsid w:val="00D57020"/>
    <w:rsid w:val="00D61231"/>
    <w:rsid w:val="00D629CE"/>
    <w:rsid w:val="00D62B87"/>
    <w:rsid w:val="00D633FF"/>
    <w:rsid w:val="00D654AE"/>
    <w:rsid w:val="00D65B42"/>
    <w:rsid w:val="00D66208"/>
    <w:rsid w:val="00D702E9"/>
    <w:rsid w:val="00D70B75"/>
    <w:rsid w:val="00D7242A"/>
    <w:rsid w:val="00D75220"/>
    <w:rsid w:val="00D777D4"/>
    <w:rsid w:val="00D804DB"/>
    <w:rsid w:val="00D81483"/>
    <w:rsid w:val="00D87054"/>
    <w:rsid w:val="00D91D18"/>
    <w:rsid w:val="00D947DE"/>
    <w:rsid w:val="00D94852"/>
    <w:rsid w:val="00D94B68"/>
    <w:rsid w:val="00D95C40"/>
    <w:rsid w:val="00D96CCC"/>
    <w:rsid w:val="00D976C7"/>
    <w:rsid w:val="00D97D6A"/>
    <w:rsid w:val="00DA095F"/>
    <w:rsid w:val="00DA1261"/>
    <w:rsid w:val="00DA1A36"/>
    <w:rsid w:val="00DA2C8A"/>
    <w:rsid w:val="00DA30DC"/>
    <w:rsid w:val="00DA3DF2"/>
    <w:rsid w:val="00DA51A6"/>
    <w:rsid w:val="00DA53F8"/>
    <w:rsid w:val="00DA56E8"/>
    <w:rsid w:val="00DA63B4"/>
    <w:rsid w:val="00DA6873"/>
    <w:rsid w:val="00DA6C71"/>
    <w:rsid w:val="00DA7183"/>
    <w:rsid w:val="00DB0D22"/>
    <w:rsid w:val="00DB1733"/>
    <w:rsid w:val="00DB1825"/>
    <w:rsid w:val="00DB29AB"/>
    <w:rsid w:val="00DB3929"/>
    <w:rsid w:val="00DB6A41"/>
    <w:rsid w:val="00DB6B59"/>
    <w:rsid w:val="00DB7140"/>
    <w:rsid w:val="00DC1132"/>
    <w:rsid w:val="00DC1205"/>
    <w:rsid w:val="00DC17C8"/>
    <w:rsid w:val="00DC3358"/>
    <w:rsid w:val="00DC3707"/>
    <w:rsid w:val="00DC391D"/>
    <w:rsid w:val="00DC42A6"/>
    <w:rsid w:val="00DC435C"/>
    <w:rsid w:val="00DC461E"/>
    <w:rsid w:val="00DC5729"/>
    <w:rsid w:val="00DC5BEF"/>
    <w:rsid w:val="00DC6832"/>
    <w:rsid w:val="00DC7209"/>
    <w:rsid w:val="00DD058A"/>
    <w:rsid w:val="00DD4584"/>
    <w:rsid w:val="00DD472E"/>
    <w:rsid w:val="00DD4891"/>
    <w:rsid w:val="00DD4FF4"/>
    <w:rsid w:val="00DD533E"/>
    <w:rsid w:val="00DD5B22"/>
    <w:rsid w:val="00DD61D0"/>
    <w:rsid w:val="00DD6FD7"/>
    <w:rsid w:val="00DE05E5"/>
    <w:rsid w:val="00DE112F"/>
    <w:rsid w:val="00DE3DC3"/>
    <w:rsid w:val="00DE4BFB"/>
    <w:rsid w:val="00DE547D"/>
    <w:rsid w:val="00DE5A2D"/>
    <w:rsid w:val="00DE6281"/>
    <w:rsid w:val="00DE6A80"/>
    <w:rsid w:val="00DE7FCC"/>
    <w:rsid w:val="00DF0AEF"/>
    <w:rsid w:val="00DF0F5D"/>
    <w:rsid w:val="00DF18D0"/>
    <w:rsid w:val="00DF1CBB"/>
    <w:rsid w:val="00DF215A"/>
    <w:rsid w:val="00DF2B43"/>
    <w:rsid w:val="00DF3047"/>
    <w:rsid w:val="00DF4F4D"/>
    <w:rsid w:val="00DF5893"/>
    <w:rsid w:val="00E045FF"/>
    <w:rsid w:val="00E04B62"/>
    <w:rsid w:val="00E04C98"/>
    <w:rsid w:val="00E05D60"/>
    <w:rsid w:val="00E11404"/>
    <w:rsid w:val="00E115EA"/>
    <w:rsid w:val="00E11E1E"/>
    <w:rsid w:val="00E13DF9"/>
    <w:rsid w:val="00E1405D"/>
    <w:rsid w:val="00E1405F"/>
    <w:rsid w:val="00E14E28"/>
    <w:rsid w:val="00E16CF1"/>
    <w:rsid w:val="00E20A3C"/>
    <w:rsid w:val="00E212C1"/>
    <w:rsid w:val="00E22121"/>
    <w:rsid w:val="00E221D9"/>
    <w:rsid w:val="00E22B0E"/>
    <w:rsid w:val="00E24521"/>
    <w:rsid w:val="00E26942"/>
    <w:rsid w:val="00E27B6D"/>
    <w:rsid w:val="00E27C34"/>
    <w:rsid w:val="00E307F9"/>
    <w:rsid w:val="00E31291"/>
    <w:rsid w:val="00E330B0"/>
    <w:rsid w:val="00E341FC"/>
    <w:rsid w:val="00E3435A"/>
    <w:rsid w:val="00E3498B"/>
    <w:rsid w:val="00E34C5C"/>
    <w:rsid w:val="00E34E68"/>
    <w:rsid w:val="00E36E70"/>
    <w:rsid w:val="00E3719A"/>
    <w:rsid w:val="00E40368"/>
    <w:rsid w:val="00E42A50"/>
    <w:rsid w:val="00E43874"/>
    <w:rsid w:val="00E44C80"/>
    <w:rsid w:val="00E455EE"/>
    <w:rsid w:val="00E4677C"/>
    <w:rsid w:val="00E468FD"/>
    <w:rsid w:val="00E51F3C"/>
    <w:rsid w:val="00E55693"/>
    <w:rsid w:val="00E55A2F"/>
    <w:rsid w:val="00E568D8"/>
    <w:rsid w:val="00E56AF8"/>
    <w:rsid w:val="00E57042"/>
    <w:rsid w:val="00E62781"/>
    <w:rsid w:val="00E62E97"/>
    <w:rsid w:val="00E63901"/>
    <w:rsid w:val="00E63FF9"/>
    <w:rsid w:val="00E64CEA"/>
    <w:rsid w:val="00E66938"/>
    <w:rsid w:val="00E66940"/>
    <w:rsid w:val="00E679AD"/>
    <w:rsid w:val="00E70943"/>
    <w:rsid w:val="00E7188E"/>
    <w:rsid w:val="00E7323C"/>
    <w:rsid w:val="00E739E8"/>
    <w:rsid w:val="00E74381"/>
    <w:rsid w:val="00E74605"/>
    <w:rsid w:val="00E75C59"/>
    <w:rsid w:val="00E76C0A"/>
    <w:rsid w:val="00E7723D"/>
    <w:rsid w:val="00E777E7"/>
    <w:rsid w:val="00E802CB"/>
    <w:rsid w:val="00E809BF"/>
    <w:rsid w:val="00E8237C"/>
    <w:rsid w:val="00E8311F"/>
    <w:rsid w:val="00E86602"/>
    <w:rsid w:val="00E87926"/>
    <w:rsid w:val="00E87D77"/>
    <w:rsid w:val="00E90134"/>
    <w:rsid w:val="00E92A30"/>
    <w:rsid w:val="00E93FA6"/>
    <w:rsid w:val="00E95E73"/>
    <w:rsid w:val="00E96D7A"/>
    <w:rsid w:val="00E97D07"/>
    <w:rsid w:val="00EA19ED"/>
    <w:rsid w:val="00EA3913"/>
    <w:rsid w:val="00EA3F10"/>
    <w:rsid w:val="00EA7748"/>
    <w:rsid w:val="00EB059D"/>
    <w:rsid w:val="00EB08CE"/>
    <w:rsid w:val="00EB1AF5"/>
    <w:rsid w:val="00EB21B5"/>
    <w:rsid w:val="00EB2246"/>
    <w:rsid w:val="00EB2A4B"/>
    <w:rsid w:val="00EB3926"/>
    <w:rsid w:val="00EB3DD3"/>
    <w:rsid w:val="00EB504E"/>
    <w:rsid w:val="00EB57AE"/>
    <w:rsid w:val="00EC074C"/>
    <w:rsid w:val="00EC3E28"/>
    <w:rsid w:val="00EC4918"/>
    <w:rsid w:val="00EC643D"/>
    <w:rsid w:val="00ED1AF9"/>
    <w:rsid w:val="00ED306D"/>
    <w:rsid w:val="00ED38C4"/>
    <w:rsid w:val="00EE3E27"/>
    <w:rsid w:val="00EE48EB"/>
    <w:rsid w:val="00EE66A0"/>
    <w:rsid w:val="00EE6F5F"/>
    <w:rsid w:val="00EE7458"/>
    <w:rsid w:val="00EF03AD"/>
    <w:rsid w:val="00EF03BA"/>
    <w:rsid w:val="00EF1044"/>
    <w:rsid w:val="00EF1554"/>
    <w:rsid w:val="00EF1C28"/>
    <w:rsid w:val="00EF3053"/>
    <w:rsid w:val="00EF43CE"/>
    <w:rsid w:val="00EF4E2A"/>
    <w:rsid w:val="00EF4F7B"/>
    <w:rsid w:val="00EF667C"/>
    <w:rsid w:val="00EF7705"/>
    <w:rsid w:val="00EF7F6F"/>
    <w:rsid w:val="00F0182B"/>
    <w:rsid w:val="00F01F63"/>
    <w:rsid w:val="00F02155"/>
    <w:rsid w:val="00F0253C"/>
    <w:rsid w:val="00F028F0"/>
    <w:rsid w:val="00F03B87"/>
    <w:rsid w:val="00F04124"/>
    <w:rsid w:val="00F0514E"/>
    <w:rsid w:val="00F0527C"/>
    <w:rsid w:val="00F05D03"/>
    <w:rsid w:val="00F1049A"/>
    <w:rsid w:val="00F10F9A"/>
    <w:rsid w:val="00F11B25"/>
    <w:rsid w:val="00F1365F"/>
    <w:rsid w:val="00F13A51"/>
    <w:rsid w:val="00F13D70"/>
    <w:rsid w:val="00F13E1D"/>
    <w:rsid w:val="00F14DC7"/>
    <w:rsid w:val="00F208DD"/>
    <w:rsid w:val="00F213BF"/>
    <w:rsid w:val="00F226AF"/>
    <w:rsid w:val="00F23261"/>
    <w:rsid w:val="00F24979"/>
    <w:rsid w:val="00F26641"/>
    <w:rsid w:val="00F26916"/>
    <w:rsid w:val="00F2734A"/>
    <w:rsid w:val="00F27C2C"/>
    <w:rsid w:val="00F31155"/>
    <w:rsid w:val="00F318F0"/>
    <w:rsid w:val="00F332D1"/>
    <w:rsid w:val="00F3332A"/>
    <w:rsid w:val="00F35487"/>
    <w:rsid w:val="00F375A6"/>
    <w:rsid w:val="00F40EE3"/>
    <w:rsid w:val="00F424B3"/>
    <w:rsid w:val="00F43069"/>
    <w:rsid w:val="00F43983"/>
    <w:rsid w:val="00F43DD9"/>
    <w:rsid w:val="00F45873"/>
    <w:rsid w:val="00F459DE"/>
    <w:rsid w:val="00F4627E"/>
    <w:rsid w:val="00F47781"/>
    <w:rsid w:val="00F5102A"/>
    <w:rsid w:val="00F5200C"/>
    <w:rsid w:val="00F53AA8"/>
    <w:rsid w:val="00F56836"/>
    <w:rsid w:val="00F56CF0"/>
    <w:rsid w:val="00F60B14"/>
    <w:rsid w:val="00F61BC4"/>
    <w:rsid w:val="00F636B5"/>
    <w:rsid w:val="00F6435B"/>
    <w:rsid w:val="00F6593B"/>
    <w:rsid w:val="00F67436"/>
    <w:rsid w:val="00F705F8"/>
    <w:rsid w:val="00F70CC2"/>
    <w:rsid w:val="00F72520"/>
    <w:rsid w:val="00F72635"/>
    <w:rsid w:val="00F748D1"/>
    <w:rsid w:val="00F81DFA"/>
    <w:rsid w:val="00F829AE"/>
    <w:rsid w:val="00F83164"/>
    <w:rsid w:val="00F848F9"/>
    <w:rsid w:val="00F85142"/>
    <w:rsid w:val="00F90D81"/>
    <w:rsid w:val="00F948CF"/>
    <w:rsid w:val="00F94C3C"/>
    <w:rsid w:val="00F94C65"/>
    <w:rsid w:val="00F94FDF"/>
    <w:rsid w:val="00F9628D"/>
    <w:rsid w:val="00F97126"/>
    <w:rsid w:val="00FA1BF2"/>
    <w:rsid w:val="00FA2EDD"/>
    <w:rsid w:val="00FA38D0"/>
    <w:rsid w:val="00FA450A"/>
    <w:rsid w:val="00FA4E99"/>
    <w:rsid w:val="00FA5041"/>
    <w:rsid w:val="00FA6400"/>
    <w:rsid w:val="00FA6796"/>
    <w:rsid w:val="00FA6EC2"/>
    <w:rsid w:val="00FB0844"/>
    <w:rsid w:val="00FB0DFE"/>
    <w:rsid w:val="00FB0FC5"/>
    <w:rsid w:val="00FB1D21"/>
    <w:rsid w:val="00FB21D1"/>
    <w:rsid w:val="00FB3238"/>
    <w:rsid w:val="00FB5C1A"/>
    <w:rsid w:val="00FB5E87"/>
    <w:rsid w:val="00FB7084"/>
    <w:rsid w:val="00FC0E06"/>
    <w:rsid w:val="00FC6071"/>
    <w:rsid w:val="00FC61C0"/>
    <w:rsid w:val="00FC6AF2"/>
    <w:rsid w:val="00FC6E03"/>
    <w:rsid w:val="00FC73D0"/>
    <w:rsid w:val="00FC77D3"/>
    <w:rsid w:val="00FD1B52"/>
    <w:rsid w:val="00FD1F0C"/>
    <w:rsid w:val="00FD1F10"/>
    <w:rsid w:val="00FD3F4D"/>
    <w:rsid w:val="00FD405F"/>
    <w:rsid w:val="00FD52DB"/>
    <w:rsid w:val="00FD78E9"/>
    <w:rsid w:val="00FE241D"/>
    <w:rsid w:val="00FE2CCC"/>
    <w:rsid w:val="00FE2EE9"/>
    <w:rsid w:val="00FE2F47"/>
    <w:rsid w:val="00FE34B7"/>
    <w:rsid w:val="00FE4A5E"/>
    <w:rsid w:val="00FE4B84"/>
    <w:rsid w:val="00FE56BE"/>
    <w:rsid w:val="00FF043D"/>
    <w:rsid w:val="00FF0DB5"/>
    <w:rsid w:val="00FF39E3"/>
    <w:rsid w:val="00FF4F70"/>
    <w:rsid w:val="00FF5260"/>
    <w:rsid w:val="00FF5D3B"/>
    <w:rsid w:val="00FF6361"/>
    <w:rsid w:val="00FF6F54"/>
    <w:rsid w:val="00FF6FA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7B8D"/>
    <w:pPr>
      <w:widowControl w:val="0"/>
    </w:pPr>
    <w:rPr>
      <w:snapToGrid w:val="0"/>
      <w:kern w:val="28"/>
      <w:sz w:val="22"/>
    </w:rPr>
  </w:style>
  <w:style w:type="paragraph" w:styleId="Heading1">
    <w:name w:val="heading 1"/>
    <w:basedOn w:val="Normal"/>
    <w:next w:val="ParaNum"/>
    <w:qFormat/>
    <w:rsid w:val="00AB7B8D"/>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AB7B8D"/>
    <w:pPr>
      <w:keepNext/>
      <w:numPr>
        <w:ilvl w:val="1"/>
        <w:numId w:val="3"/>
      </w:numPr>
      <w:spacing w:after="120"/>
      <w:outlineLvl w:val="1"/>
    </w:pPr>
    <w:rPr>
      <w:b/>
    </w:rPr>
  </w:style>
  <w:style w:type="paragraph" w:styleId="Heading3">
    <w:name w:val="heading 3"/>
    <w:basedOn w:val="Normal"/>
    <w:next w:val="ParaNum"/>
    <w:qFormat/>
    <w:rsid w:val="00AB7B8D"/>
    <w:pPr>
      <w:keepNext/>
      <w:numPr>
        <w:ilvl w:val="2"/>
        <w:numId w:val="3"/>
      </w:numPr>
      <w:tabs>
        <w:tab w:val="left" w:pos="2160"/>
      </w:tabs>
      <w:spacing w:after="120"/>
      <w:outlineLvl w:val="2"/>
    </w:pPr>
    <w:rPr>
      <w:b/>
    </w:rPr>
  </w:style>
  <w:style w:type="paragraph" w:styleId="Heading4">
    <w:name w:val="heading 4"/>
    <w:basedOn w:val="Normal"/>
    <w:next w:val="ParaNum"/>
    <w:qFormat/>
    <w:rsid w:val="00AB7B8D"/>
    <w:pPr>
      <w:keepNext/>
      <w:numPr>
        <w:ilvl w:val="3"/>
        <w:numId w:val="3"/>
      </w:numPr>
      <w:tabs>
        <w:tab w:val="left" w:pos="2880"/>
      </w:tabs>
      <w:spacing w:after="120"/>
      <w:outlineLvl w:val="3"/>
    </w:pPr>
    <w:rPr>
      <w:b/>
    </w:rPr>
  </w:style>
  <w:style w:type="paragraph" w:styleId="Heading5">
    <w:name w:val="heading 5"/>
    <w:basedOn w:val="Normal"/>
    <w:next w:val="ParaNum"/>
    <w:qFormat/>
    <w:rsid w:val="00AB7B8D"/>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AB7B8D"/>
    <w:pPr>
      <w:numPr>
        <w:ilvl w:val="5"/>
        <w:numId w:val="3"/>
      </w:numPr>
      <w:tabs>
        <w:tab w:val="left" w:pos="4320"/>
      </w:tabs>
      <w:spacing w:after="120"/>
      <w:outlineLvl w:val="5"/>
    </w:pPr>
    <w:rPr>
      <w:b/>
    </w:rPr>
  </w:style>
  <w:style w:type="paragraph" w:styleId="Heading7">
    <w:name w:val="heading 7"/>
    <w:basedOn w:val="Normal"/>
    <w:next w:val="ParaNum"/>
    <w:qFormat/>
    <w:rsid w:val="00AB7B8D"/>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AB7B8D"/>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AB7B8D"/>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AB7B8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B7B8D"/>
  </w:style>
  <w:style w:type="paragraph" w:styleId="BalloonText">
    <w:name w:val="Balloon Text"/>
    <w:basedOn w:val="Normal"/>
    <w:link w:val="BalloonTextChar"/>
    <w:semiHidden/>
    <w:rsid w:val="00612622"/>
    <w:rPr>
      <w:rFonts w:ascii="Tahoma" w:hAnsi="Tahoma" w:cs="Tahoma"/>
      <w:sz w:val="16"/>
      <w:szCs w:val="16"/>
    </w:rPr>
  </w:style>
  <w:style w:type="character" w:customStyle="1" w:styleId="BalloonTextChar">
    <w:name w:val="Balloon Text Char"/>
    <w:basedOn w:val="DefaultParagraphFont"/>
    <w:link w:val="BalloonText"/>
    <w:uiPriority w:val="99"/>
    <w:semiHidden/>
    <w:rsid w:val="00420DF6"/>
    <w:rPr>
      <w:rFonts w:ascii="Lucida Grande" w:hAnsi="Lucida Grande"/>
      <w:sz w:val="18"/>
      <w:szCs w:val="18"/>
    </w:rPr>
  </w:style>
  <w:style w:type="paragraph" w:styleId="Caption">
    <w:name w:val="caption"/>
    <w:basedOn w:val="Normal"/>
    <w:next w:val="Normal"/>
    <w:qFormat/>
    <w:rsid w:val="00612622"/>
    <w:pPr>
      <w:spacing w:before="120" w:after="120"/>
    </w:pPr>
    <w:rPr>
      <w:b/>
      <w:bCs/>
    </w:rPr>
  </w:style>
  <w:style w:type="paragraph" w:customStyle="1" w:styleId="ParaNum">
    <w:name w:val="ParaNum"/>
    <w:basedOn w:val="Normal"/>
    <w:rsid w:val="00AB7B8D"/>
    <w:pPr>
      <w:numPr>
        <w:numId w:val="2"/>
      </w:numPr>
      <w:tabs>
        <w:tab w:val="clear" w:pos="1080"/>
        <w:tab w:val="num" w:pos="1440"/>
      </w:tabs>
      <w:spacing w:after="120"/>
    </w:pPr>
  </w:style>
  <w:style w:type="paragraph" w:styleId="FootnoteText">
    <w:name w:val="footnote text"/>
    <w:link w:val="FootnoteTextChar"/>
    <w:rsid w:val="00AB7B8D"/>
    <w:pPr>
      <w:spacing w:after="120"/>
    </w:pPr>
  </w:style>
  <w:style w:type="paragraph" w:customStyle="1" w:styleId="Bullet">
    <w:name w:val="Bullet"/>
    <w:basedOn w:val="Normal"/>
    <w:rsid w:val="00AB7B8D"/>
    <w:pPr>
      <w:tabs>
        <w:tab w:val="left" w:pos="2160"/>
      </w:tabs>
      <w:spacing w:after="220"/>
      <w:ind w:left="2160" w:hanging="720"/>
    </w:pPr>
  </w:style>
  <w:style w:type="paragraph" w:styleId="BlockText">
    <w:name w:val="Block Text"/>
    <w:basedOn w:val="Normal"/>
    <w:rsid w:val="00AB7B8D"/>
    <w:pPr>
      <w:spacing w:after="240"/>
      <w:ind w:left="1440" w:right="1440"/>
    </w:pPr>
  </w:style>
  <w:style w:type="paragraph" w:customStyle="1" w:styleId="TableFormat">
    <w:name w:val="TableFormat"/>
    <w:basedOn w:val="Bullet"/>
    <w:rsid w:val="00AB7B8D"/>
    <w:pPr>
      <w:tabs>
        <w:tab w:val="clear" w:pos="2160"/>
        <w:tab w:val="left" w:pos="5040"/>
      </w:tabs>
      <w:ind w:left="5040" w:hanging="3600"/>
    </w:pPr>
  </w:style>
  <w:style w:type="character" w:styleId="FootnoteReference">
    <w:name w:val="footnote reference"/>
    <w:rsid w:val="00AB7B8D"/>
    <w:rPr>
      <w:rFonts w:ascii="Times New Roman" w:hAnsi="Times New Roman"/>
      <w:dstrike w:val="0"/>
      <w:color w:val="auto"/>
      <w:sz w:val="20"/>
      <w:vertAlign w:val="superscript"/>
    </w:rPr>
  </w:style>
  <w:style w:type="paragraph" w:styleId="Header">
    <w:name w:val="header"/>
    <w:basedOn w:val="Normal"/>
    <w:autoRedefine/>
    <w:rsid w:val="00AB7B8D"/>
    <w:pPr>
      <w:tabs>
        <w:tab w:val="center" w:pos="4680"/>
        <w:tab w:val="right" w:pos="9360"/>
      </w:tabs>
    </w:pPr>
    <w:rPr>
      <w:b/>
    </w:rPr>
  </w:style>
  <w:style w:type="paragraph" w:styleId="Footer">
    <w:name w:val="footer"/>
    <w:basedOn w:val="Normal"/>
    <w:rsid w:val="00AB7B8D"/>
    <w:pPr>
      <w:tabs>
        <w:tab w:val="center" w:pos="4320"/>
        <w:tab w:val="right" w:pos="8640"/>
      </w:tabs>
    </w:pPr>
  </w:style>
  <w:style w:type="paragraph" w:styleId="TOC2">
    <w:name w:val="toc 2"/>
    <w:basedOn w:val="Normal"/>
    <w:next w:val="Normal"/>
    <w:semiHidden/>
    <w:rsid w:val="00AB7B8D"/>
    <w:pPr>
      <w:tabs>
        <w:tab w:val="left" w:pos="720"/>
        <w:tab w:val="right" w:leader="dot" w:pos="9360"/>
      </w:tabs>
      <w:suppressAutoHyphens/>
      <w:ind w:left="720" w:right="720" w:hanging="360"/>
    </w:pPr>
    <w:rPr>
      <w:noProof/>
    </w:rPr>
  </w:style>
  <w:style w:type="paragraph" w:customStyle="1" w:styleId="NumberedList">
    <w:name w:val="Numbered List"/>
    <w:basedOn w:val="Normal"/>
    <w:rsid w:val="00612622"/>
    <w:pPr>
      <w:numPr>
        <w:numId w:val="1"/>
      </w:numPr>
      <w:tabs>
        <w:tab w:val="clear" w:pos="1080"/>
      </w:tabs>
      <w:spacing w:after="220"/>
      <w:ind w:firstLine="0"/>
    </w:pPr>
  </w:style>
  <w:style w:type="paragraph" w:styleId="TOC1">
    <w:name w:val="toc 1"/>
    <w:basedOn w:val="Normal"/>
    <w:next w:val="Normal"/>
    <w:semiHidden/>
    <w:rsid w:val="00AB7B8D"/>
    <w:pPr>
      <w:tabs>
        <w:tab w:val="left" w:pos="360"/>
        <w:tab w:val="right" w:leader="dot" w:pos="9360"/>
      </w:tabs>
      <w:suppressAutoHyphens/>
      <w:ind w:left="360" w:right="720" w:hanging="360"/>
    </w:pPr>
    <w:rPr>
      <w:caps/>
      <w:noProof/>
    </w:rPr>
  </w:style>
  <w:style w:type="paragraph" w:styleId="TOC3">
    <w:name w:val="toc 3"/>
    <w:basedOn w:val="Normal"/>
    <w:next w:val="Normal"/>
    <w:semiHidden/>
    <w:rsid w:val="00AB7B8D"/>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AB7B8D"/>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AB7B8D"/>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AB7B8D"/>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AB7B8D"/>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AB7B8D"/>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AB7B8D"/>
    <w:pPr>
      <w:tabs>
        <w:tab w:val="left" w:pos="3240"/>
        <w:tab w:val="right" w:leader="dot" w:pos="9360"/>
      </w:tabs>
      <w:suppressAutoHyphens/>
      <w:ind w:left="3240" w:hanging="360"/>
    </w:pPr>
    <w:rPr>
      <w:noProof/>
    </w:rPr>
  </w:style>
  <w:style w:type="character" w:styleId="PageNumber">
    <w:name w:val="page number"/>
    <w:basedOn w:val="DefaultParagraphFont"/>
    <w:rsid w:val="00AB7B8D"/>
  </w:style>
  <w:style w:type="paragraph" w:styleId="Title">
    <w:name w:val="Title"/>
    <w:basedOn w:val="Normal"/>
    <w:qFormat/>
    <w:rsid w:val="00612622"/>
    <w:pPr>
      <w:jc w:val="center"/>
    </w:pPr>
    <w:rPr>
      <w:b/>
      <w:bCs/>
    </w:rPr>
  </w:style>
  <w:style w:type="character" w:styleId="Hyperlink">
    <w:name w:val="Hyperlink"/>
    <w:rsid w:val="00AB7B8D"/>
    <w:rPr>
      <w:color w:val="0000FF"/>
      <w:u w:val="single"/>
    </w:rPr>
  </w:style>
  <w:style w:type="character" w:customStyle="1" w:styleId="FootnoteTextChar">
    <w:name w:val="Footnote Text Char"/>
    <w:link w:val="FootnoteText"/>
    <w:rsid w:val="00612622"/>
  </w:style>
  <w:style w:type="paragraph" w:customStyle="1" w:styleId="Default">
    <w:name w:val="Default"/>
    <w:rsid w:val="00612622"/>
    <w:pPr>
      <w:autoSpaceDE w:val="0"/>
      <w:autoSpaceDN w:val="0"/>
      <w:adjustRightInd w:val="0"/>
    </w:pPr>
    <w:rPr>
      <w:color w:val="000000"/>
      <w:sz w:val="24"/>
      <w:szCs w:val="24"/>
    </w:rPr>
  </w:style>
  <w:style w:type="character" w:styleId="CommentReference">
    <w:name w:val="annotation reference"/>
    <w:semiHidden/>
    <w:rsid w:val="00612622"/>
    <w:rPr>
      <w:sz w:val="16"/>
      <w:szCs w:val="16"/>
    </w:rPr>
  </w:style>
  <w:style w:type="paragraph" w:styleId="CommentText">
    <w:name w:val="annotation text"/>
    <w:basedOn w:val="Normal"/>
    <w:semiHidden/>
    <w:rsid w:val="00612622"/>
    <w:rPr>
      <w:sz w:val="20"/>
    </w:rPr>
  </w:style>
  <w:style w:type="paragraph" w:styleId="CommentSubject">
    <w:name w:val="annotation subject"/>
    <w:basedOn w:val="CommentText"/>
    <w:next w:val="CommentText"/>
    <w:semiHidden/>
    <w:rsid w:val="00612622"/>
    <w:rPr>
      <w:b/>
      <w:bCs/>
    </w:rPr>
  </w:style>
  <w:style w:type="character" w:styleId="FollowedHyperlink">
    <w:name w:val="FollowedHyperlink"/>
    <w:rsid w:val="00612622"/>
    <w:rPr>
      <w:color w:val="0000FF"/>
      <w:u w:val="single"/>
    </w:rPr>
  </w:style>
  <w:style w:type="paragraph" w:styleId="NormalWeb">
    <w:name w:val="Normal (Web)"/>
    <w:basedOn w:val="Normal"/>
    <w:uiPriority w:val="99"/>
    <w:unhideWhenUsed/>
    <w:rsid w:val="00612622"/>
    <w:pPr>
      <w:spacing w:before="100" w:beforeAutospacing="1" w:after="100" w:afterAutospacing="1"/>
    </w:pPr>
    <w:rPr>
      <w:sz w:val="24"/>
      <w:szCs w:val="24"/>
    </w:rPr>
  </w:style>
  <w:style w:type="paragraph" w:styleId="Revision">
    <w:name w:val="Revision"/>
    <w:hidden/>
    <w:uiPriority w:val="99"/>
    <w:semiHidden/>
    <w:rsid w:val="00942169"/>
    <w:rPr>
      <w:sz w:val="22"/>
      <w:szCs w:val="22"/>
      <w:lang w:eastAsia="ja-JP"/>
    </w:rPr>
  </w:style>
  <w:style w:type="paragraph" w:styleId="EndnoteText">
    <w:name w:val="endnote text"/>
    <w:basedOn w:val="Normal"/>
    <w:link w:val="EndnoteTextChar"/>
    <w:semiHidden/>
    <w:rsid w:val="00AB7B8D"/>
    <w:rPr>
      <w:sz w:val="20"/>
    </w:rPr>
  </w:style>
  <w:style w:type="character" w:customStyle="1" w:styleId="EndnoteTextChar">
    <w:name w:val="Endnote Text Char"/>
    <w:basedOn w:val="DefaultParagraphFont"/>
    <w:link w:val="EndnoteText"/>
    <w:semiHidden/>
    <w:rsid w:val="0049428B"/>
    <w:rPr>
      <w:snapToGrid w:val="0"/>
      <w:kern w:val="28"/>
    </w:rPr>
  </w:style>
  <w:style w:type="character" w:styleId="EndnoteReference">
    <w:name w:val="endnote reference"/>
    <w:semiHidden/>
    <w:rsid w:val="00AB7B8D"/>
    <w:rPr>
      <w:vertAlign w:val="superscript"/>
    </w:rPr>
  </w:style>
  <w:style w:type="paragraph" w:styleId="TOAHeading">
    <w:name w:val="toa heading"/>
    <w:basedOn w:val="Normal"/>
    <w:next w:val="Normal"/>
    <w:semiHidden/>
    <w:rsid w:val="00AB7B8D"/>
    <w:pPr>
      <w:tabs>
        <w:tab w:val="right" w:pos="9360"/>
      </w:tabs>
      <w:suppressAutoHyphens/>
    </w:pPr>
  </w:style>
  <w:style w:type="character" w:customStyle="1" w:styleId="EquationCaption">
    <w:name w:val="_Equation Caption"/>
    <w:rsid w:val="00AB7B8D"/>
  </w:style>
  <w:style w:type="paragraph" w:customStyle="1" w:styleId="Paratitle">
    <w:name w:val="Para title"/>
    <w:basedOn w:val="Normal"/>
    <w:rsid w:val="00AB7B8D"/>
    <w:pPr>
      <w:tabs>
        <w:tab w:val="center" w:pos="9270"/>
      </w:tabs>
      <w:spacing w:after="240"/>
    </w:pPr>
    <w:rPr>
      <w:spacing w:val="-2"/>
    </w:rPr>
  </w:style>
  <w:style w:type="paragraph" w:customStyle="1" w:styleId="TOCTitle">
    <w:name w:val="TOC Title"/>
    <w:basedOn w:val="Normal"/>
    <w:rsid w:val="00AB7B8D"/>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AB7B8D"/>
    <w:pPr>
      <w:jc w:val="center"/>
    </w:pPr>
    <w:rPr>
      <w:rFonts w:ascii="Times New Roman Bold" w:hAnsi="Times New Roman Bold"/>
      <w:b/>
      <w:bCs/>
      <w:caps/>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7B8D"/>
    <w:pPr>
      <w:widowControl w:val="0"/>
    </w:pPr>
    <w:rPr>
      <w:snapToGrid w:val="0"/>
      <w:kern w:val="28"/>
      <w:sz w:val="22"/>
    </w:rPr>
  </w:style>
  <w:style w:type="paragraph" w:styleId="Heading1">
    <w:name w:val="heading 1"/>
    <w:basedOn w:val="Normal"/>
    <w:next w:val="ParaNum"/>
    <w:qFormat/>
    <w:rsid w:val="00AB7B8D"/>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AB7B8D"/>
    <w:pPr>
      <w:keepNext/>
      <w:numPr>
        <w:ilvl w:val="1"/>
        <w:numId w:val="3"/>
      </w:numPr>
      <w:spacing w:after="120"/>
      <w:outlineLvl w:val="1"/>
    </w:pPr>
    <w:rPr>
      <w:b/>
    </w:rPr>
  </w:style>
  <w:style w:type="paragraph" w:styleId="Heading3">
    <w:name w:val="heading 3"/>
    <w:basedOn w:val="Normal"/>
    <w:next w:val="ParaNum"/>
    <w:qFormat/>
    <w:rsid w:val="00AB7B8D"/>
    <w:pPr>
      <w:keepNext/>
      <w:numPr>
        <w:ilvl w:val="2"/>
        <w:numId w:val="3"/>
      </w:numPr>
      <w:tabs>
        <w:tab w:val="left" w:pos="2160"/>
      </w:tabs>
      <w:spacing w:after="120"/>
      <w:outlineLvl w:val="2"/>
    </w:pPr>
    <w:rPr>
      <w:b/>
    </w:rPr>
  </w:style>
  <w:style w:type="paragraph" w:styleId="Heading4">
    <w:name w:val="heading 4"/>
    <w:basedOn w:val="Normal"/>
    <w:next w:val="ParaNum"/>
    <w:qFormat/>
    <w:rsid w:val="00AB7B8D"/>
    <w:pPr>
      <w:keepNext/>
      <w:numPr>
        <w:ilvl w:val="3"/>
        <w:numId w:val="3"/>
      </w:numPr>
      <w:tabs>
        <w:tab w:val="left" w:pos="2880"/>
      </w:tabs>
      <w:spacing w:after="120"/>
      <w:outlineLvl w:val="3"/>
    </w:pPr>
    <w:rPr>
      <w:b/>
    </w:rPr>
  </w:style>
  <w:style w:type="paragraph" w:styleId="Heading5">
    <w:name w:val="heading 5"/>
    <w:basedOn w:val="Normal"/>
    <w:next w:val="ParaNum"/>
    <w:qFormat/>
    <w:rsid w:val="00AB7B8D"/>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AB7B8D"/>
    <w:pPr>
      <w:numPr>
        <w:ilvl w:val="5"/>
        <w:numId w:val="3"/>
      </w:numPr>
      <w:tabs>
        <w:tab w:val="left" w:pos="4320"/>
      </w:tabs>
      <w:spacing w:after="120"/>
      <w:outlineLvl w:val="5"/>
    </w:pPr>
    <w:rPr>
      <w:b/>
    </w:rPr>
  </w:style>
  <w:style w:type="paragraph" w:styleId="Heading7">
    <w:name w:val="heading 7"/>
    <w:basedOn w:val="Normal"/>
    <w:next w:val="ParaNum"/>
    <w:qFormat/>
    <w:rsid w:val="00AB7B8D"/>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AB7B8D"/>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AB7B8D"/>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AB7B8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B7B8D"/>
  </w:style>
  <w:style w:type="paragraph" w:styleId="BalloonText">
    <w:name w:val="Balloon Text"/>
    <w:basedOn w:val="Normal"/>
    <w:link w:val="BalloonTextChar"/>
    <w:semiHidden/>
    <w:rsid w:val="00612622"/>
    <w:rPr>
      <w:rFonts w:ascii="Tahoma" w:hAnsi="Tahoma" w:cs="Tahoma"/>
      <w:sz w:val="16"/>
      <w:szCs w:val="16"/>
    </w:rPr>
  </w:style>
  <w:style w:type="character" w:customStyle="1" w:styleId="BalloonTextChar">
    <w:name w:val="Balloon Text Char"/>
    <w:basedOn w:val="DefaultParagraphFont"/>
    <w:link w:val="BalloonText"/>
    <w:uiPriority w:val="99"/>
    <w:semiHidden/>
    <w:rsid w:val="00420DF6"/>
    <w:rPr>
      <w:rFonts w:ascii="Lucida Grande" w:hAnsi="Lucida Grande"/>
      <w:sz w:val="18"/>
      <w:szCs w:val="18"/>
    </w:rPr>
  </w:style>
  <w:style w:type="paragraph" w:styleId="Caption">
    <w:name w:val="caption"/>
    <w:basedOn w:val="Normal"/>
    <w:next w:val="Normal"/>
    <w:qFormat/>
    <w:rsid w:val="00612622"/>
    <w:pPr>
      <w:spacing w:before="120" w:after="120"/>
    </w:pPr>
    <w:rPr>
      <w:b/>
      <w:bCs/>
    </w:rPr>
  </w:style>
  <w:style w:type="paragraph" w:customStyle="1" w:styleId="ParaNum">
    <w:name w:val="ParaNum"/>
    <w:basedOn w:val="Normal"/>
    <w:rsid w:val="00AB7B8D"/>
    <w:pPr>
      <w:numPr>
        <w:numId w:val="2"/>
      </w:numPr>
      <w:tabs>
        <w:tab w:val="clear" w:pos="1080"/>
        <w:tab w:val="num" w:pos="1440"/>
      </w:tabs>
      <w:spacing w:after="120"/>
    </w:pPr>
  </w:style>
  <w:style w:type="paragraph" w:styleId="FootnoteText">
    <w:name w:val="footnote text"/>
    <w:link w:val="FootnoteTextChar"/>
    <w:rsid w:val="00AB7B8D"/>
    <w:pPr>
      <w:spacing w:after="120"/>
    </w:pPr>
  </w:style>
  <w:style w:type="paragraph" w:customStyle="1" w:styleId="Bullet">
    <w:name w:val="Bullet"/>
    <w:basedOn w:val="Normal"/>
    <w:rsid w:val="00AB7B8D"/>
    <w:pPr>
      <w:tabs>
        <w:tab w:val="left" w:pos="2160"/>
      </w:tabs>
      <w:spacing w:after="220"/>
      <w:ind w:left="2160" w:hanging="720"/>
    </w:pPr>
  </w:style>
  <w:style w:type="paragraph" w:styleId="BlockText">
    <w:name w:val="Block Text"/>
    <w:basedOn w:val="Normal"/>
    <w:rsid w:val="00AB7B8D"/>
    <w:pPr>
      <w:spacing w:after="240"/>
      <w:ind w:left="1440" w:right="1440"/>
    </w:pPr>
  </w:style>
  <w:style w:type="paragraph" w:customStyle="1" w:styleId="TableFormat">
    <w:name w:val="TableFormat"/>
    <w:basedOn w:val="Bullet"/>
    <w:rsid w:val="00AB7B8D"/>
    <w:pPr>
      <w:tabs>
        <w:tab w:val="clear" w:pos="2160"/>
        <w:tab w:val="left" w:pos="5040"/>
      </w:tabs>
      <w:ind w:left="5040" w:hanging="3600"/>
    </w:pPr>
  </w:style>
  <w:style w:type="character" w:styleId="FootnoteReference">
    <w:name w:val="footnote reference"/>
    <w:rsid w:val="00AB7B8D"/>
    <w:rPr>
      <w:rFonts w:ascii="Times New Roman" w:hAnsi="Times New Roman"/>
      <w:dstrike w:val="0"/>
      <w:color w:val="auto"/>
      <w:sz w:val="20"/>
      <w:vertAlign w:val="superscript"/>
    </w:rPr>
  </w:style>
  <w:style w:type="paragraph" w:styleId="Header">
    <w:name w:val="header"/>
    <w:basedOn w:val="Normal"/>
    <w:autoRedefine/>
    <w:rsid w:val="00AB7B8D"/>
    <w:pPr>
      <w:tabs>
        <w:tab w:val="center" w:pos="4680"/>
        <w:tab w:val="right" w:pos="9360"/>
      </w:tabs>
    </w:pPr>
    <w:rPr>
      <w:b/>
    </w:rPr>
  </w:style>
  <w:style w:type="paragraph" w:styleId="Footer">
    <w:name w:val="footer"/>
    <w:basedOn w:val="Normal"/>
    <w:rsid w:val="00AB7B8D"/>
    <w:pPr>
      <w:tabs>
        <w:tab w:val="center" w:pos="4320"/>
        <w:tab w:val="right" w:pos="8640"/>
      </w:tabs>
    </w:pPr>
  </w:style>
  <w:style w:type="paragraph" w:styleId="TOC2">
    <w:name w:val="toc 2"/>
    <w:basedOn w:val="Normal"/>
    <w:next w:val="Normal"/>
    <w:semiHidden/>
    <w:rsid w:val="00AB7B8D"/>
    <w:pPr>
      <w:tabs>
        <w:tab w:val="left" w:pos="720"/>
        <w:tab w:val="right" w:leader="dot" w:pos="9360"/>
      </w:tabs>
      <w:suppressAutoHyphens/>
      <w:ind w:left="720" w:right="720" w:hanging="360"/>
    </w:pPr>
    <w:rPr>
      <w:noProof/>
    </w:rPr>
  </w:style>
  <w:style w:type="paragraph" w:customStyle="1" w:styleId="NumberedList">
    <w:name w:val="Numbered List"/>
    <w:basedOn w:val="Normal"/>
    <w:rsid w:val="00612622"/>
    <w:pPr>
      <w:numPr>
        <w:numId w:val="1"/>
      </w:numPr>
      <w:tabs>
        <w:tab w:val="clear" w:pos="1080"/>
      </w:tabs>
      <w:spacing w:after="220"/>
      <w:ind w:firstLine="0"/>
    </w:pPr>
  </w:style>
  <w:style w:type="paragraph" w:styleId="TOC1">
    <w:name w:val="toc 1"/>
    <w:basedOn w:val="Normal"/>
    <w:next w:val="Normal"/>
    <w:semiHidden/>
    <w:rsid w:val="00AB7B8D"/>
    <w:pPr>
      <w:tabs>
        <w:tab w:val="left" w:pos="360"/>
        <w:tab w:val="right" w:leader="dot" w:pos="9360"/>
      </w:tabs>
      <w:suppressAutoHyphens/>
      <w:ind w:left="360" w:right="720" w:hanging="360"/>
    </w:pPr>
    <w:rPr>
      <w:caps/>
      <w:noProof/>
    </w:rPr>
  </w:style>
  <w:style w:type="paragraph" w:styleId="TOC3">
    <w:name w:val="toc 3"/>
    <w:basedOn w:val="Normal"/>
    <w:next w:val="Normal"/>
    <w:semiHidden/>
    <w:rsid w:val="00AB7B8D"/>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AB7B8D"/>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AB7B8D"/>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AB7B8D"/>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AB7B8D"/>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AB7B8D"/>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AB7B8D"/>
    <w:pPr>
      <w:tabs>
        <w:tab w:val="left" w:pos="3240"/>
        <w:tab w:val="right" w:leader="dot" w:pos="9360"/>
      </w:tabs>
      <w:suppressAutoHyphens/>
      <w:ind w:left="3240" w:hanging="360"/>
    </w:pPr>
    <w:rPr>
      <w:noProof/>
    </w:rPr>
  </w:style>
  <w:style w:type="character" w:styleId="PageNumber">
    <w:name w:val="page number"/>
    <w:basedOn w:val="DefaultParagraphFont"/>
    <w:rsid w:val="00AB7B8D"/>
  </w:style>
  <w:style w:type="paragraph" w:styleId="Title">
    <w:name w:val="Title"/>
    <w:basedOn w:val="Normal"/>
    <w:qFormat/>
    <w:rsid w:val="00612622"/>
    <w:pPr>
      <w:jc w:val="center"/>
    </w:pPr>
    <w:rPr>
      <w:b/>
      <w:bCs/>
    </w:rPr>
  </w:style>
  <w:style w:type="character" w:styleId="Hyperlink">
    <w:name w:val="Hyperlink"/>
    <w:rsid w:val="00AB7B8D"/>
    <w:rPr>
      <w:color w:val="0000FF"/>
      <w:u w:val="single"/>
    </w:rPr>
  </w:style>
  <w:style w:type="character" w:customStyle="1" w:styleId="FootnoteTextChar">
    <w:name w:val="Footnote Text Char"/>
    <w:link w:val="FootnoteText"/>
    <w:rsid w:val="00612622"/>
  </w:style>
  <w:style w:type="paragraph" w:customStyle="1" w:styleId="Default">
    <w:name w:val="Default"/>
    <w:rsid w:val="00612622"/>
    <w:pPr>
      <w:autoSpaceDE w:val="0"/>
      <w:autoSpaceDN w:val="0"/>
      <w:adjustRightInd w:val="0"/>
    </w:pPr>
    <w:rPr>
      <w:color w:val="000000"/>
      <w:sz w:val="24"/>
      <w:szCs w:val="24"/>
    </w:rPr>
  </w:style>
  <w:style w:type="character" w:styleId="CommentReference">
    <w:name w:val="annotation reference"/>
    <w:semiHidden/>
    <w:rsid w:val="00612622"/>
    <w:rPr>
      <w:sz w:val="16"/>
      <w:szCs w:val="16"/>
    </w:rPr>
  </w:style>
  <w:style w:type="paragraph" w:styleId="CommentText">
    <w:name w:val="annotation text"/>
    <w:basedOn w:val="Normal"/>
    <w:semiHidden/>
    <w:rsid w:val="00612622"/>
    <w:rPr>
      <w:sz w:val="20"/>
    </w:rPr>
  </w:style>
  <w:style w:type="paragraph" w:styleId="CommentSubject">
    <w:name w:val="annotation subject"/>
    <w:basedOn w:val="CommentText"/>
    <w:next w:val="CommentText"/>
    <w:semiHidden/>
    <w:rsid w:val="00612622"/>
    <w:rPr>
      <w:b/>
      <w:bCs/>
    </w:rPr>
  </w:style>
  <w:style w:type="character" w:styleId="FollowedHyperlink">
    <w:name w:val="FollowedHyperlink"/>
    <w:rsid w:val="00612622"/>
    <w:rPr>
      <w:color w:val="0000FF"/>
      <w:u w:val="single"/>
    </w:rPr>
  </w:style>
  <w:style w:type="paragraph" w:styleId="NormalWeb">
    <w:name w:val="Normal (Web)"/>
    <w:basedOn w:val="Normal"/>
    <w:uiPriority w:val="99"/>
    <w:unhideWhenUsed/>
    <w:rsid w:val="00612622"/>
    <w:pPr>
      <w:spacing w:before="100" w:beforeAutospacing="1" w:after="100" w:afterAutospacing="1"/>
    </w:pPr>
    <w:rPr>
      <w:sz w:val="24"/>
      <w:szCs w:val="24"/>
    </w:rPr>
  </w:style>
  <w:style w:type="paragraph" w:styleId="Revision">
    <w:name w:val="Revision"/>
    <w:hidden/>
    <w:uiPriority w:val="99"/>
    <w:semiHidden/>
    <w:rsid w:val="00942169"/>
    <w:rPr>
      <w:sz w:val="22"/>
      <w:szCs w:val="22"/>
      <w:lang w:eastAsia="ja-JP"/>
    </w:rPr>
  </w:style>
  <w:style w:type="paragraph" w:styleId="EndnoteText">
    <w:name w:val="endnote text"/>
    <w:basedOn w:val="Normal"/>
    <w:link w:val="EndnoteTextChar"/>
    <w:semiHidden/>
    <w:rsid w:val="00AB7B8D"/>
    <w:rPr>
      <w:sz w:val="20"/>
    </w:rPr>
  </w:style>
  <w:style w:type="character" w:customStyle="1" w:styleId="EndnoteTextChar">
    <w:name w:val="Endnote Text Char"/>
    <w:basedOn w:val="DefaultParagraphFont"/>
    <w:link w:val="EndnoteText"/>
    <w:semiHidden/>
    <w:rsid w:val="0049428B"/>
    <w:rPr>
      <w:snapToGrid w:val="0"/>
      <w:kern w:val="28"/>
    </w:rPr>
  </w:style>
  <w:style w:type="character" w:styleId="EndnoteReference">
    <w:name w:val="endnote reference"/>
    <w:semiHidden/>
    <w:rsid w:val="00AB7B8D"/>
    <w:rPr>
      <w:vertAlign w:val="superscript"/>
    </w:rPr>
  </w:style>
  <w:style w:type="paragraph" w:styleId="TOAHeading">
    <w:name w:val="toa heading"/>
    <w:basedOn w:val="Normal"/>
    <w:next w:val="Normal"/>
    <w:semiHidden/>
    <w:rsid w:val="00AB7B8D"/>
    <w:pPr>
      <w:tabs>
        <w:tab w:val="right" w:pos="9360"/>
      </w:tabs>
      <w:suppressAutoHyphens/>
    </w:pPr>
  </w:style>
  <w:style w:type="character" w:customStyle="1" w:styleId="EquationCaption">
    <w:name w:val="_Equation Caption"/>
    <w:rsid w:val="00AB7B8D"/>
  </w:style>
  <w:style w:type="paragraph" w:customStyle="1" w:styleId="Paratitle">
    <w:name w:val="Para title"/>
    <w:basedOn w:val="Normal"/>
    <w:rsid w:val="00AB7B8D"/>
    <w:pPr>
      <w:tabs>
        <w:tab w:val="center" w:pos="9270"/>
      </w:tabs>
      <w:spacing w:after="240"/>
    </w:pPr>
    <w:rPr>
      <w:spacing w:val="-2"/>
    </w:rPr>
  </w:style>
  <w:style w:type="paragraph" w:customStyle="1" w:styleId="TOCTitle">
    <w:name w:val="TOC Title"/>
    <w:basedOn w:val="Normal"/>
    <w:rsid w:val="00AB7B8D"/>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AB7B8D"/>
    <w:pPr>
      <w:jc w:val="center"/>
    </w:pPr>
    <w:rPr>
      <w:rFonts w:ascii="Times New Roman Bold" w:hAnsi="Times New Roman Bold"/>
      <w:b/>
      <w:bCs/>
      <w:caps/>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9737585">
      <w:bodyDiv w:val="1"/>
      <w:marLeft w:val="0"/>
      <w:marRight w:val="0"/>
      <w:marTop w:val="0"/>
      <w:marBottom w:val="0"/>
      <w:divBdr>
        <w:top w:val="none" w:sz="0" w:space="0" w:color="auto"/>
        <w:left w:val="none" w:sz="0" w:space="0" w:color="auto"/>
        <w:bottom w:val="none" w:sz="0" w:space="0" w:color="auto"/>
        <w:right w:val="none" w:sz="0" w:space="0" w:color="auto"/>
      </w:divBdr>
    </w:div>
    <w:div w:id="1026297336">
      <w:bodyDiv w:val="1"/>
      <w:marLeft w:val="0"/>
      <w:marRight w:val="0"/>
      <w:marTop w:val="0"/>
      <w:marBottom w:val="0"/>
      <w:divBdr>
        <w:top w:val="none" w:sz="0" w:space="0" w:color="auto"/>
        <w:left w:val="none" w:sz="0" w:space="0" w:color="auto"/>
        <w:bottom w:val="none" w:sz="0" w:space="0" w:color="auto"/>
        <w:right w:val="none" w:sz="0" w:space="0" w:color="auto"/>
      </w:divBdr>
      <w:divsChild>
        <w:div w:id="1837304534">
          <w:marLeft w:val="0"/>
          <w:marRight w:val="0"/>
          <w:marTop w:val="0"/>
          <w:marBottom w:val="0"/>
          <w:divBdr>
            <w:top w:val="none" w:sz="0" w:space="0" w:color="auto"/>
            <w:left w:val="none" w:sz="0" w:space="0" w:color="auto"/>
            <w:bottom w:val="none" w:sz="0" w:space="0" w:color="auto"/>
            <w:right w:val="none" w:sz="0" w:space="0" w:color="auto"/>
          </w:divBdr>
          <w:divsChild>
            <w:div w:id="414283233">
              <w:marLeft w:val="0"/>
              <w:marRight w:val="0"/>
              <w:marTop w:val="0"/>
              <w:marBottom w:val="0"/>
              <w:divBdr>
                <w:top w:val="none" w:sz="0" w:space="0" w:color="auto"/>
                <w:left w:val="none" w:sz="0" w:space="0" w:color="auto"/>
                <w:bottom w:val="none" w:sz="0" w:space="0" w:color="auto"/>
                <w:right w:val="none" w:sz="0" w:space="0" w:color="auto"/>
              </w:divBdr>
              <w:divsChild>
                <w:div w:id="1212500197">
                  <w:marLeft w:val="0"/>
                  <w:marRight w:val="0"/>
                  <w:marTop w:val="0"/>
                  <w:marBottom w:val="0"/>
                  <w:divBdr>
                    <w:top w:val="none" w:sz="0" w:space="0" w:color="auto"/>
                    <w:left w:val="none" w:sz="0" w:space="0" w:color="auto"/>
                    <w:bottom w:val="none" w:sz="0" w:space="0" w:color="auto"/>
                    <w:right w:val="none" w:sz="0" w:space="0" w:color="auto"/>
                  </w:divBdr>
                  <w:divsChild>
                    <w:div w:id="1247886228">
                      <w:marLeft w:val="0"/>
                      <w:marRight w:val="0"/>
                      <w:marTop w:val="0"/>
                      <w:marBottom w:val="0"/>
                      <w:divBdr>
                        <w:top w:val="none" w:sz="0" w:space="0" w:color="auto"/>
                        <w:left w:val="none" w:sz="0" w:space="0" w:color="auto"/>
                        <w:bottom w:val="none" w:sz="0" w:space="0" w:color="auto"/>
                        <w:right w:val="none" w:sz="0" w:space="0" w:color="auto"/>
                      </w:divBdr>
                      <w:divsChild>
                        <w:div w:id="1097409967">
                          <w:marLeft w:val="0"/>
                          <w:marRight w:val="0"/>
                          <w:marTop w:val="0"/>
                          <w:marBottom w:val="0"/>
                          <w:divBdr>
                            <w:top w:val="none" w:sz="0" w:space="0" w:color="auto"/>
                            <w:left w:val="none" w:sz="0" w:space="0" w:color="auto"/>
                            <w:bottom w:val="none" w:sz="0" w:space="0" w:color="auto"/>
                            <w:right w:val="none" w:sz="0" w:space="0" w:color="auto"/>
                          </w:divBdr>
                          <w:divsChild>
                            <w:div w:id="207481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4707315">
      <w:bodyDiv w:val="1"/>
      <w:marLeft w:val="0"/>
      <w:marRight w:val="0"/>
      <w:marTop w:val="0"/>
      <w:marBottom w:val="0"/>
      <w:divBdr>
        <w:top w:val="none" w:sz="0" w:space="0" w:color="auto"/>
        <w:left w:val="none" w:sz="0" w:space="0" w:color="auto"/>
        <w:bottom w:val="none" w:sz="0" w:space="0" w:color="auto"/>
        <w:right w:val="none" w:sz="0" w:space="0" w:color="auto"/>
      </w:divBdr>
      <w:divsChild>
        <w:div w:id="66153448">
          <w:marLeft w:val="0"/>
          <w:marRight w:val="0"/>
          <w:marTop w:val="0"/>
          <w:marBottom w:val="0"/>
          <w:divBdr>
            <w:top w:val="none" w:sz="0" w:space="0" w:color="auto"/>
            <w:left w:val="none" w:sz="0" w:space="0" w:color="auto"/>
            <w:bottom w:val="none" w:sz="0" w:space="0" w:color="auto"/>
            <w:right w:val="none" w:sz="0" w:space="0" w:color="auto"/>
          </w:divBdr>
          <w:divsChild>
            <w:div w:id="429081024">
              <w:marLeft w:val="0"/>
              <w:marRight w:val="0"/>
              <w:marTop w:val="0"/>
              <w:marBottom w:val="0"/>
              <w:divBdr>
                <w:top w:val="none" w:sz="0" w:space="0" w:color="auto"/>
                <w:left w:val="none" w:sz="0" w:space="0" w:color="auto"/>
                <w:bottom w:val="none" w:sz="0" w:space="0" w:color="auto"/>
                <w:right w:val="none" w:sz="0" w:space="0" w:color="auto"/>
              </w:divBdr>
              <w:divsChild>
                <w:div w:id="2006662069">
                  <w:marLeft w:val="0"/>
                  <w:marRight w:val="0"/>
                  <w:marTop w:val="0"/>
                  <w:marBottom w:val="0"/>
                  <w:divBdr>
                    <w:top w:val="none" w:sz="0" w:space="0" w:color="auto"/>
                    <w:left w:val="none" w:sz="0" w:space="0" w:color="auto"/>
                    <w:bottom w:val="none" w:sz="0" w:space="0" w:color="auto"/>
                    <w:right w:val="none" w:sz="0" w:space="0" w:color="auto"/>
                  </w:divBdr>
                  <w:divsChild>
                    <w:div w:id="1029374249">
                      <w:marLeft w:val="0"/>
                      <w:marRight w:val="0"/>
                      <w:marTop w:val="0"/>
                      <w:marBottom w:val="0"/>
                      <w:divBdr>
                        <w:top w:val="none" w:sz="0" w:space="0" w:color="auto"/>
                        <w:left w:val="none" w:sz="0" w:space="0" w:color="auto"/>
                        <w:bottom w:val="none" w:sz="0" w:space="0" w:color="auto"/>
                        <w:right w:val="none" w:sz="0" w:space="0" w:color="auto"/>
                      </w:divBdr>
                      <w:divsChild>
                        <w:div w:id="534778012">
                          <w:marLeft w:val="0"/>
                          <w:marRight w:val="0"/>
                          <w:marTop w:val="0"/>
                          <w:marBottom w:val="0"/>
                          <w:divBdr>
                            <w:top w:val="none" w:sz="0" w:space="0" w:color="auto"/>
                            <w:left w:val="none" w:sz="0" w:space="0" w:color="auto"/>
                            <w:bottom w:val="none" w:sz="0" w:space="0" w:color="auto"/>
                            <w:right w:val="none" w:sz="0" w:space="0" w:color="auto"/>
                          </w:divBdr>
                          <w:divsChild>
                            <w:div w:id="444426256">
                              <w:marLeft w:val="0"/>
                              <w:marRight w:val="450"/>
                              <w:marTop w:val="0"/>
                              <w:marBottom w:val="0"/>
                              <w:divBdr>
                                <w:top w:val="none" w:sz="0" w:space="0" w:color="auto"/>
                                <w:left w:val="none" w:sz="0" w:space="0" w:color="auto"/>
                                <w:bottom w:val="none" w:sz="0" w:space="0" w:color="auto"/>
                                <w:right w:val="none" w:sz="0" w:space="0" w:color="auto"/>
                              </w:divBdr>
                            </w:div>
                            <w:div w:id="1277101874">
                              <w:marLeft w:val="0"/>
                              <w:marRight w:val="450"/>
                              <w:marTop w:val="0"/>
                              <w:marBottom w:val="0"/>
                              <w:divBdr>
                                <w:top w:val="none" w:sz="0" w:space="0" w:color="auto"/>
                                <w:left w:val="none" w:sz="0" w:space="0" w:color="auto"/>
                                <w:bottom w:val="none" w:sz="0" w:space="0" w:color="auto"/>
                                <w:right w:val="none" w:sz="0" w:space="0" w:color="auto"/>
                              </w:divBdr>
                            </w:div>
                            <w:div w:id="1707488390">
                              <w:marLeft w:val="0"/>
                              <w:marRight w:val="450"/>
                              <w:marTop w:val="0"/>
                              <w:marBottom w:val="0"/>
                              <w:divBdr>
                                <w:top w:val="none" w:sz="0" w:space="0" w:color="auto"/>
                                <w:left w:val="none" w:sz="0" w:space="0" w:color="auto"/>
                                <w:bottom w:val="none" w:sz="0" w:space="0" w:color="auto"/>
                                <w:right w:val="none" w:sz="0" w:space="0" w:color="auto"/>
                              </w:divBdr>
                              <w:divsChild>
                                <w:div w:id="141185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5018107">
      <w:bodyDiv w:val="1"/>
      <w:marLeft w:val="0"/>
      <w:marRight w:val="0"/>
      <w:marTop w:val="0"/>
      <w:marBottom w:val="0"/>
      <w:divBdr>
        <w:top w:val="none" w:sz="0" w:space="0" w:color="auto"/>
        <w:left w:val="none" w:sz="0" w:space="0" w:color="auto"/>
        <w:bottom w:val="none" w:sz="0" w:space="0" w:color="auto"/>
        <w:right w:val="none" w:sz="0" w:space="0" w:color="auto"/>
      </w:divBdr>
      <w:divsChild>
        <w:div w:id="1024744716">
          <w:marLeft w:val="0"/>
          <w:marRight w:val="0"/>
          <w:marTop w:val="0"/>
          <w:marBottom w:val="0"/>
          <w:divBdr>
            <w:top w:val="none" w:sz="0" w:space="0" w:color="auto"/>
            <w:left w:val="none" w:sz="0" w:space="0" w:color="auto"/>
            <w:bottom w:val="none" w:sz="0" w:space="0" w:color="auto"/>
            <w:right w:val="none" w:sz="0" w:space="0" w:color="auto"/>
          </w:divBdr>
          <w:divsChild>
            <w:div w:id="509295108">
              <w:marLeft w:val="0"/>
              <w:marRight w:val="0"/>
              <w:marTop w:val="0"/>
              <w:marBottom w:val="0"/>
              <w:divBdr>
                <w:top w:val="none" w:sz="0" w:space="0" w:color="auto"/>
                <w:left w:val="none" w:sz="0" w:space="0" w:color="auto"/>
                <w:bottom w:val="none" w:sz="0" w:space="0" w:color="auto"/>
                <w:right w:val="none" w:sz="0" w:space="0" w:color="auto"/>
              </w:divBdr>
              <w:divsChild>
                <w:div w:id="50662728">
                  <w:marLeft w:val="0"/>
                  <w:marRight w:val="0"/>
                  <w:marTop w:val="0"/>
                  <w:marBottom w:val="0"/>
                  <w:divBdr>
                    <w:top w:val="none" w:sz="0" w:space="0" w:color="auto"/>
                    <w:left w:val="none" w:sz="0" w:space="0" w:color="auto"/>
                    <w:bottom w:val="none" w:sz="0" w:space="0" w:color="auto"/>
                    <w:right w:val="none" w:sz="0" w:space="0" w:color="auto"/>
                  </w:divBdr>
                  <w:divsChild>
                    <w:div w:id="1433890780">
                      <w:marLeft w:val="0"/>
                      <w:marRight w:val="0"/>
                      <w:marTop w:val="0"/>
                      <w:marBottom w:val="0"/>
                      <w:divBdr>
                        <w:top w:val="none" w:sz="0" w:space="0" w:color="auto"/>
                        <w:left w:val="none" w:sz="0" w:space="0" w:color="auto"/>
                        <w:bottom w:val="none" w:sz="0" w:space="0" w:color="auto"/>
                        <w:right w:val="none" w:sz="0" w:space="0" w:color="auto"/>
                      </w:divBdr>
                      <w:divsChild>
                        <w:div w:id="1140616929">
                          <w:marLeft w:val="0"/>
                          <w:marRight w:val="0"/>
                          <w:marTop w:val="0"/>
                          <w:marBottom w:val="0"/>
                          <w:divBdr>
                            <w:top w:val="none" w:sz="0" w:space="0" w:color="auto"/>
                            <w:left w:val="none" w:sz="0" w:space="0" w:color="auto"/>
                            <w:bottom w:val="none" w:sz="0" w:space="0" w:color="auto"/>
                            <w:right w:val="none" w:sz="0" w:space="0" w:color="auto"/>
                          </w:divBdr>
                          <w:divsChild>
                            <w:div w:id="315502266">
                              <w:marLeft w:val="0"/>
                              <w:marRight w:val="450"/>
                              <w:marTop w:val="0"/>
                              <w:marBottom w:val="0"/>
                              <w:divBdr>
                                <w:top w:val="none" w:sz="0" w:space="0" w:color="auto"/>
                                <w:left w:val="none" w:sz="0" w:space="0" w:color="auto"/>
                                <w:bottom w:val="none" w:sz="0" w:space="0" w:color="auto"/>
                                <w:right w:val="none" w:sz="0" w:space="0" w:color="auto"/>
                              </w:divBdr>
                            </w:div>
                            <w:div w:id="834105166">
                              <w:marLeft w:val="0"/>
                              <w:marRight w:val="450"/>
                              <w:marTop w:val="0"/>
                              <w:marBottom w:val="0"/>
                              <w:divBdr>
                                <w:top w:val="none" w:sz="0" w:space="0" w:color="auto"/>
                                <w:left w:val="none" w:sz="0" w:space="0" w:color="auto"/>
                                <w:bottom w:val="none" w:sz="0" w:space="0" w:color="auto"/>
                                <w:right w:val="none" w:sz="0" w:space="0" w:color="auto"/>
                              </w:divBdr>
                            </w:div>
                            <w:div w:id="1092357870">
                              <w:marLeft w:val="0"/>
                              <w:marRight w:val="450"/>
                              <w:marTop w:val="0"/>
                              <w:marBottom w:val="0"/>
                              <w:divBdr>
                                <w:top w:val="none" w:sz="0" w:space="0" w:color="auto"/>
                                <w:left w:val="none" w:sz="0" w:space="0" w:color="auto"/>
                                <w:bottom w:val="none" w:sz="0" w:space="0" w:color="auto"/>
                                <w:right w:val="none" w:sz="0" w:space="0" w:color="auto"/>
                              </w:divBdr>
                              <w:divsChild>
                                <w:div w:id="754088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7152556">
      <w:bodyDiv w:val="1"/>
      <w:marLeft w:val="0"/>
      <w:marRight w:val="0"/>
      <w:marTop w:val="0"/>
      <w:marBottom w:val="0"/>
      <w:divBdr>
        <w:top w:val="none" w:sz="0" w:space="0" w:color="auto"/>
        <w:left w:val="none" w:sz="0" w:space="0" w:color="auto"/>
        <w:bottom w:val="none" w:sz="0" w:space="0" w:color="auto"/>
        <w:right w:val="none" w:sz="0" w:space="0" w:color="auto"/>
      </w:divBdr>
    </w:div>
    <w:div w:id="1621910812">
      <w:bodyDiv w:val="1"/>
      <w:marLeft w:val="0"/>
      <w:marRight w:val="0"/>
      <w:marTop w:val="0"/>
      <w:marBottom w:val="0"/>
      <w:divBdr>
        <w:top w:val="none" w:sz="0" w:space="0" w:color="auto"/>
        <w:left w:val="none" w:sz="0" w:space="0" w:color="auto"/>
        <w:bottom w:val="none" w:sz="0" w:space="0" w:color="auto"/>
        <w:right w:val="none" w:sz="0" w:space="0" w:color="auto"/>
      </w:divBdr>
    </w:div>
    <w:div w:id="1806973264">
      <w:bodyDiv w:val="1"/>
      <w:marLeft w:val="0"/>
      <w:marRight w:val="0"/>
      <w:marTop w:val="0"/>
      <w:marBottom w:val="0"/>
      <w:divBdr>
        <w:top w:val="none" w:sz="0" w:space="0" w:color="auto"/>
        <w:left w:val="none" w:sz="0" w:space="0" w:color="auto"/>
        <w:bottom w:val="none" w:sz="0" w:space="0" w:color="auto"/>
        <w:right w:val="none" w:sz="0" w:space="0" w:color="auto"/>
      </w:divBdr>
      <w:divsChild>
        <w:div w:id="94230161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943540838">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eb2.westlaw.com/find/default.wl?mt=Westlaw&amp;db=350&amp;tc=-1&amp;rp=%2ffind%2fdefault.wl&amp;findtype=Y&amp;ordoc=1990171548&amp;serialnum=1986126108&amp;vr=2.0&amp;fn=_top&amp;sv=Split&amp;tf=-1&amp;referencepositiontype=S&amp;pbc=86003CB7&amp;referenceposition=952&amp;rs=WLW14.0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1729</Words>
  <Characters>9467</Characters>
  <Application>Microsoft Office Word</Application>
  <DocSecurity>0</DocSecurity>
  <Lines>165</Lines>
  <Paragraphs>43</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11235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2011-09-23T17:38:00Z</cp:lastPrinted>
  <dcterms:created xsi:type="dcterms:W3CDTF">2014-08-22T19:51:00Z</dcterms:created>
  <dcterms:modified xsi:type="dcterms:W3CDTF">2014-08-22T19:51:00Z</dcterms:modified>
  <cp:category> </cp:category>
  <cp:contentStatus> </cp:contentStatus>
</cp:coreProperties>
</file>