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87510B" w:rsidRDefault="004C2EE3" w:rsidP="0087510B">
      <w:pPr>
        <w:jc w:val="center"/>
        <w:rPr>
          <w:b/>
        </w:rPr>
      </w:pPr>
      <w:bookmarkStart w:id="0" w:name="_GoBack"/>
      <w:bookmarkEnd w:id="0"/>
      <w:r w:rsidRPr="0087510B">
        <w:rPr>
          <w:b/>
        </w:rPr>
        <w:t>Before the</w:t>
      </w:r>
    </w:p>
    <w:p w:rsidR="00921803" w:rsidRPr="0087510B" w:rsidRDefault="00921803" w:rsidP="0087510B">
      <w:pPr>
        <w:pStyle w:val="StyleBoldCentered"/>
        <w:rPr>
          <w:rFonts w:ascii="Times New Roman" w:hAnsi="Times New Roman"/>
        </w:rPr>
      </w:pPr>
      <w:r w:rsidRPr="0087510B">
        <w:rPr>
          <w:rFonts w:ascii="Times New Roman" w:hAnsi="Times New Roman"/>
        </w:rPr>
        <w:t>F</w:t>
      </w:r>
      <w:r w:rsidRPr="0087510B">
        <w:rPr>
          <w:rFonts w:ascii="Times New Roman" w:hAnsi="Times New Roman"/>
          <w:caps w:val="0"/>
        </w:rPr>
        <w:t>ederal Communications Commission</w:t>
      </w:r>
    </w:p>
    <w:p w:rsidR="004C2EE3" w:rsidRPr="0087510B" w:rsidRDefault="00810B6F" w:rsidP="0087510B">
      <w:pPr>
        <w:pStyle w:val="StyleBoldCentered"/>
        <w:rPr>
          <w:rFonts w:ascii="Times New Roman" w:hAnsi="Times New Roman"/>
        </w:rPr>
      </w:pPr>
      <w:r w:rsidRPr="0087510B">
        <w:rPr>
          <w:rFonts w:ascii="Times New Roman" w:hAnsi="Times New Roman"/>
          <w:caps w:val="0"/>
        </w:rPr>
        <w:t>Washington, D.C. 20554</w:t>
      </w:r>
    </w:p>
    <w:p w:rsidR="004C2EE3" w:rsidRPr="0087510B" w:rsidRDefault="004C2EE3" w:rsidP="0087510B"/>
    <w:tbl>
      <w:tblPr>
        <w:tblW w:w="0" w:type="auto"/>
        <w:tblLayout w:type="fixed"/>
        <w:tblLook w:val="0000" w:firstRow="0" w:lastRow="0" w:firstColumn="0" w:lastColumn="0" w:noHBand="0" w:noVBand="0"/>
      </w:tblPr>
      <w:tblGrid>
        <w:gridCol w:w="4698"/>
        <w:gridCol w:w="630"/>
        <w:gridCol w:w="4248"/>
      </w:tblGrid>
      <w:tr w:rsidR="004C2EE3" w:rsidRPr="0087510B">
        <w:tc>
          <w:tcPr>
            <w:tcW w:w="4698" w:type="dxa"/>
          </w:tcPr>
          <w:p w:rsidR="004C2EE3" w:rsidRPr="0087510B" w:rsidRDefault="004C2EE3" w:rsidP="0087510B">
            <w:pPr>
              <w:tabs>
                <w:tab w:val="center" w:pos="4680"/>
              </w:tabs>
              <w:suppressAutoHyphens/>
              <w:rPr>
                <w:spacing w:val="-2"/>
              </w:rPr>
            </w:pPr>
            <w:r w:rsidRPr="0087510B">
              <w:rPr>
                <w:spacing w:val="-2"/>
              </w:rPr>
              <w:t>In the Matter of</w:t>
            </w:r>
          </w:p>
          <w:p w:rsidR="004C2EE3" w:rsidRPr="0087510B" w:rsidRDefault="004C2EE3" w:rsidP="0087510B">
            <w:pPr>
              <w:tabs>
                <w:tab w:val="center" w:pos="4680"/>
              </w:tabs>
              <w:suppressAutoHyphens/>
              <w:rPr>
                <w:spacing w:val="-2"/>
              </w:rPr>
            </w:pPr>
          </w:p>
          <w:p w:rsidR="004C2EE3" w:rsidRPr="0087510B" w:rsidRDefault="001C734F" w:rsidP="0087510B">
            <w:pPr>
              <w:tabs>
                <w:tab w:val="center" w:pos="4680"/>
              </w:tabs>
              <w:suppressAutoHyphens/>
              <w:rPr>
                <w:spacing w:val="-2"/>
              </w:rPr>
            </w:pPr>
            <w:r w:rsidRPr="0087510B">
              <w:rPr>
                <w:spacing w:val="-2"/>
              </w:rPr>
              <w:t xml:space="preserve">PTT Phone Cards, Inc. </w:t>
            </w:r>
          </w:p>
        </w:tc>
        <w:tc>
          <w:tcPr>
            <w:tcW w:w="630" w:type="dxa"/>
          </w:tcPr>
          <w:p w:rsidR="004C2EE3" w:rsidRPr="0087510B" w:rsidRDefault="004C2EE3" w:rsidP="0087510B">
            <w:pPr>
              <w:tabs>
                <w:tab w:val="center" w:pos="4680"/>
              </w:tabs>
              <w:suppressAutoHyphens/>
              <w:rPr>
                <w:b/>
                <w:spacing w:val="-2"/>
              </w:rPr>
            </w:pPr>
            <w:r w:rsidRPr="0087510B">
              <w:rPr>
                <w:b/>
                <w:spacing w:val="-2"/>
              </w:rPr>
              <w:t>)</w:t>
            </w:r>
          </w:p>
          <w:p w:rsidR="004C2EE3" w:rsidRPr="0087510B" w:rsidRDefault="004C2EE3" w:rsidP="0087510B">
            <w:pPr>
              <w:tabs>
                <w:tab w:val="center" w:pos="4680"/>
              </w:tabs>
              <w:suppressAutoHyphens/>
              <w:rPr>
                <w:b/>
                <w:spacing w:val="-2"/>
              </w:rPr>
            </w:pPr>
            <w:r w:rsidRPr="0087510B">
              <w:rPr>
                <w:b/>
                <w:spacing w:val="-2"/>
              </w:rPr>
              <w:t>)</w:t>
            </w:r>
          </w:p>
          <w:p w:rsidR="004C2EE3" w:rsidRPr="0087510B" w:rsidRDefault="004C2EE3" w:rsidP="0087510B">
            <w:pPr>
              <w:tabs>
                <w:tab w:val="center" w:pos="4680"/>
              </w:tabs>
              <w:suppressAutoHyphens/>
              <w:rPr>
                <w:b/>
                <w:spacing w:val="-2"/>
              </w:rPr>
            </w:pPr>
            <w:r w:rsidRPr="0087510B">
              <w:rPr>
                <w:b/>
                <w:spacing w:val="-2"/>
              </w:rPr>
              <w:t>)</w:t>
            </w:r>
          </w:p>
          <w:p w:rsidR="004C2EE3" w:rsidRPr="0087510B" w:rsidRDefault="004C2EE3" w:rsidP="0087510B">
            <w:pPr>
              <w:tabs>
                <w:tab w:val="center" w:pos="4680"/>
              </w:tabs>
              <w:suppressAutoHyphens/>
              <w:rPr>
                <w:b/>
                <w:spacing w:val="-2"/>
              </w:rPr>
            </w:pPr>
            <w:r w:rsidRPr="0087510B">
              <w:rPr>
                <w:b/>
                <w:spacing w:val="-2"/>
              </w:rPr>
              <w:t>)</w:t>
            </w:r>
          </w:p>
          <w:p w:rsidR="004C2EE3" w:rsidRPr="0087510B" w:rsidRDefault="004C2EE3" w:rsidP="0087510B">
            <w:pPr>
              <w:tabs>
                <w:tab w:val="center" w:pos="4680"/>
              </w:tabs>
              <w:suppressAutoHyphens/>
              <w:rPr>
                <w:b/>
                <w:spacing w:val="-2"/>
              </w:rPr>
            </w:pPr>
            <w:r w:rsidRPr="0087510B">
              <w:rPr>
                <w:b/>
                <w:spacing w:val="-2"/>
              </w:rPr>
              <w:t>)</w:t>
            </w:r>
          </w:p>
          <w:p w:rsidR="004C2EE3" w:rsidRPr="0087510B" w:rsidRDefault="004C2EE3" w:rsidP="0087510B">
            <w:pPr>
              <w:tabs>
                <w:tab w:val="center" w:pos="4680"/>
              </w:tabs>
              <w:suppressAutoHyphens/>
              <w:rPr>
                <w:spacing w:val="-2"/>
              </w:rPr>
            </w:pPr>
          </w:p>
        </w:tc>
        <w:tc>
          <w:tcPr>
            <w:tcW w:w="4248" w:type="dxa"/>
          </w:tcPr>
          <w:p w:rsidR="004C2EE3" w:rsidRPr="0087510B" w:rsidRDefault="009E5420" w:rsidP="0087510B">
            <w:pPr>
              <w:tabs>
                <w:tab w:val="center" w:pos="4680"/>
              </w:tabs>
              <w:suppressAutoHyphens/>
              <w:rPr>
                <w:spacing w:val="-2"/>
              </w:rPr>
            </w:pPr>
            <w:r w:rsidRPr="0087510B">
              <w:rPr>
                <w:spacing w:val="-2"/>
              </w:rPr>
              <w:t>Fi</w:t>
            </w:r>
            <w:r w:rsidR="001C734F" w:rsidRPr="0087510B">
              <w:rPr>
                <w:spacing w:val="-2"/>
              </w:rPr>
              <w:t>le No.</w:t>
            </w:r>
            <w:r w:rsidRPr="0087510B">
              <w:rPr>
                <w:spacing w:val="-2"/>
              </w:rPr>
              <w:t>: EB-IHD-13-00011669</w:t>
            </w:r>
            <w:r w:rsidR="00487D73" w:rsidRPr="0087510B">
              <w:rPr>
                <w:rStyle w:val="FootnoteReference"/>
                <w:spacing w:val="-2"/>
                <w:sz w:val="22"/>
              </w:rPr>
              <w:footnoteReference w:id="2"/>
            </w:r>
          </w:p>
          <w:p w:rsidR="009E5420" w:rsidRPr="0087510B" w:rsidRDefault="009E5420" w:rsidP="0087510B">
            <w:pPr>
              <w:tabs>
                <w:tab w:val="center" w:pos="4680"/>
              </w:tabs>
              <w:suppressAutoHyphens/>
              <w:rPr>
                <w:spacing w:val="-2"/>
              </w:rPr>
            </w:pPr>
          </w:p>
          <w:p w:rsidR="009E5420" w:rsidRPr="0087510B" w:rsidRDefault="009E5420" w:rsidP="0087510B">
            <w:pPr>
              <w:tabs>
                <w:tab w:val="center" w:pos="4680"/>
              </w:tabs>
              <w:suppressAutoHyphens/>
              <w:rPr>
                <w:spacing w:val="-2"/>
              </w:rPr>
            </w:pPr>
            <w:r w:rsidRPr="0087510B">
              <w:rPr>
                <w:spacing w:val="-2"/>
              </w:rPr>
              <w:t xml:space="preserve">NAL/Acct. No.: </w:t>
            </w:r>
            <w:r w:rsidR="00F30457">
              <w:rPr>
                <w:spacing w:val="-2"/>
              </w:rPr>
              <w:t xml:space="preserve"> 201432080040</w:t>
            </w:r>
          </w:p>
          <w:p w:rsidR="009E5420" w:rsidRPr="0087510B" w:rsidRDefault="009E5420" w:rsidP="0087510B">
            <w:pPr>
              <w:tabs>
                <w:tab w:val="center" w:pos="4680"/>
              </w:tabs>
              <w:suppressAutoHyphens/>
              <w:rPr>
                <w:spacing w:val="-2"/>
              </w:rPr>
            </w:pPr>
          </w:p>
          <w:p w:rsidR="009E5420" w:rsidRPr="0087510B" w:rsidRDefault="009E5420" w:rsidP="0087510B">
            <w:pPr>
              <w:tabs>
                <w:tab w:val="center" w:pos="4680"/>
              </w:tabs>
              <w:suppressAutoHyphens/>
              <w:rPr>
                <w:spacing w:val="-2"/>
              </w:rPr>
            </w:pPr>
            <w:r w:rsidRPr="0087510B">
              <w:rPr>
                <w:spacing w:val="-2"/>
              </w:rPr>
              <w:t>FRN:</w:t>
            </w:r>
            <w:r w:rsidR="00F30457">
              <w:rPr>
                <w:spacing w:val="-2"/>
              </w:rPr>
              <w:t xml:space="preserve"> </w:t>
            </w:r>
            <w:r w:rsidRPr="0087510B">
              <w:rPr>
                <w:spacing w:val="-2"/>
              </w:rPr>
              <w:t xml:space="preserve"> 0022611958</w:t>
            </w:r>
          </w:p>
        </w:tc>
      </w:tr>
    </w:tbl>
    <w:p w:rsidR="00841AB1" w:rsidRPr="0087510B" w:rsidRDefault="009E5420" w:rsidP="0087510B">
      <w:pPr>
        <w:pStyle w:val="StyleBoldCentered"/>
        <w:rPr>
          <w:rFonts w:ascii="Times New Roman" w:hAnsi="Times New Roman"/>
        </w:rPr>
      </w:pPr>
      <w:r w:rsidRPr="0087510B">
        <w:rPr>
          <w:rFonts w:ascii="Times New Roman" w:hAnsi="Times New Roman"/>
        </w:rPr>
        <w:t>NOTICE OF APPARENT LIABILITY FOR FORFEITURE</w:t>
      </w:r>
    </w:p>
    <w:p w:rsidR="004C2EE3" w:rsidRPr="0087510B" w:rsidRDefault="004C2EE3" w:rsidP="0087510B">
      <w:pPr>
        <w:tabs>
          <w:tab w:val="left" w:pos="-720"/>
        </w:tabs>
        <w:suppressAutoHyphens/>
        <w:spacing w:line="227" w:lineRule="auto"/>
        <w:rPr>
          <w:spacing w:val="-2"/>
        </w:rPr>
      </w:pPr>
    </w:p>
    <w:p w:rsidR="004C2EE3" w:rsidRPr="0087510B" w:rsidRDefault="004C2EE3" w:rsidP="0087510B">
      <w:pPr>
        <w:tabs>
          <w:tab w:val="left" w:pos="720"/>
          <w:tab w:val="right" w:pos="9360"/>
        </w:tabs>
        <w:suppressAutoHyphens/>
        <w:spacing w:line="227" w:lineRule="auto"/>
        <w:rPr>
          <w:spacing w:val="-2"/>
        </w:rPr>
      </w:pPr>
      <w:r w:rsidRPr="0087510B">
        <w:rPr>
          <w:b/>
          <w:spacing w:val="-2"/>
        </w:rPr>
        <w:t xml:space="preserve">Adopted:  </w:t>
      </w:r>
      <w:r w:rsidR="00F30457">
        <w:rPr>
          <w:b/>
          <w:spacing w:val="-2"/>
        </w:rPr>
        <w:t xml:space="preserve">September 15, </w:t>
      </w:r>
      <w:r w:rsidR="006D1D51" w:rsidRPr="0087510B">
        <w:rPr>
          <w:b/>
          <w:spacing w:val="-2"/>
        </w:rPr>
        <w:t xml:space="preserve">2014 </w:t>
      </w:r>
      <w:r w:rsidR="006D1D51" w:rsidRPr="0087510B">
        <w:rPr>
          <w:b/>
          <w:spacing w:val="-2"/>
        </w:rPr>
        <w:tab/>
        <w:t xml:space="preserve">Released:  </w:t>
      </w:r>
      <w:r w:rsidR="00F30457">
        <w:rPr>
          <w:b/>
          <w:spacing w:val="-2"/>
        </w:rPr>
        <w:t>September 16,</w:t>
      </w:r>
      <w:r w:rsidR="006D1D51" w:rsidRPr="0087510B">
        <w:rPr>
          <w:b/>
          <w:spacing w:val="-2"/>
        </w:rPr>
        <w:t xml:space="preserve"> 2014</w:t>
      </w:r>
    </w:p>
    <w:p w:rsidR="00822CE0" w:rsidRPr="0087510B" w:rsidRDefault="00822CE0" w:rsidP="0087510B"/>
    <w:p w:rsidR="004C2EE3" w:rsidRPr="0087510B" w:rsidRDefault="004C2EE3" w:rsidP="0087510B">
      <w:pPr>
        <w:rPr>
          <w:spacing w:val="-2"/>
        </w:rPr>
      </w:pPr>
      <w:r w:rsidRPr="0087510B">
        <w:t xml:space="preserve">By </w:t>
      </w:r>
      <w:r w:rsidR="004E4A22" w:rsidRPr="0087510B">
        <w:t>the</w:t>
      </w:r>
      <w:r w:rsidR="002A2D2E" w:rsidRPr="0087510B">
        <w:t xml:space="preserve"> </w:t>
      </w:r>
      <w:r w:rsidR="006D1D51" w:rsidRPr="0087510B">
        <w:rPr>
          <w:spacing w:val="-2"/>
        </w:rPr>
        <w:t>Commission:</w:t>
      </w:r>
    </w:p>
    <w:p w:rsidR="00412FC5" w:rsidRPr="0087510B" w:rsidRDefault="00412FC5" w:rsidP="00412FC5"/>
    <w:p w:rsidR="0009023C" w:rsidRPr="003A3175" w:rsidRDefault="0009023C" w:rsidP="003A3175">
      <w:pPr>
        <w:pStyle w:val="Heading1"/>
      </w:pPr>
      <w:r w:rsidRPr="003A3175">
        <w:t>INTRODUCTIOn</w:t>
      </w:r>
    </w:p>
    <w:p w:rsidR="00F72CF0" w:rsidRPr="0087510B" w:rsidRDefault="00675AD2" w:rsidP="00922E5E">
      <w:pPr>
        <w:pStyle w:val="ParaNum"/>
      </w:pPr>
      <w:r w:rsidRPr="0087510B">
        <w:t xml:space="preserve">When </w:t>
      </w:r>
      <w:r w:rsidR="001F1B27" w:rsidRPr="0087510B">
        <w:t xml:space="preserve">a company enters the telecommunications services marketplace, it subjects itself to </w:t>
      </w:r>
      <w:r w:rsidR="00F72CF0" w:rsidRPr="0087510B">
        <w:t xml:space="preserve">a number of </w:t>
      </w:r>
      <w:r w:rsidR="001F1B27" w:rsidRPr="0087510B">
        <w:t>safeguards and support mechanism</w:t>
      </w:r>
      <w:r w:rsidR="00F72CF0" w:rsidRPr="0087510B">
        <w:t>s</w:t>
      </w:r>
      <w:r w:rsidR="001F1B27" w:rsidRPr="0087510B">
        <w:t xml:space="preserve"> that Congress and the </w:t>
      </w:r>
      <w:r w:rsidR="002E7084" w:rsidRPr="0087510B">
        <w:t xml:space="preserve">Federal Communications </w:t>
      </w:r>
      <w:r w:rsidR="001F1B27" w:rsidRPr="0087510B">
        <w:t xml:space="preserve">Commission have established to </w:t>
      </w:r>
      <w:r w:rsidR="0067040C" w:rsidRPr="0087510B">
        <w:t xml:space="preserve">help </w:t>
      </w:r>
      <w:r w:rsidR="001F1B27" w:rsidRPr="0087510B">
        <w:t>ensure</w:t>
      </w:r>
      <w:r w:rsidR="00F72CF0" w:rsidRPr="0087510B">
        <w:t>, among other goals,</w:t>
      </w:r>
      <w:r w:rsidR="001F1B27" w:rsidRPr="0087510B">
        <w:t xml:space="preserve"> </w:t>
      </w:r>
      <w:r w:rsidR="00F72CF0" w:rsidRPr="0087510B">
        <w:t xml:space="preserve">rapid, efficient, and reasonably priced communications for all Americans.  </w:t>
      </w:r>
      <w:r w:rsidR="00C05E2D" w:rsidRPr="0087510B">
        <w:t>In this Notice of Apparent Liability</w:t>
      </w:r>
      <w:r w:rsidR="002E7084" w:rsidRPr="0087510B">
        <w:t xml:space="preserve"> for Forfeiture</w:t>
      </w:r>
      <w:r w:rsidR="00C05E2D" w:rsidRPr="0087510B">
        <w:t>, we propose penalt</w:t>
      </w:r>
      <w:r w:rsidR="00936403" w:rsidRPr="0087510B">
        <w:t>ies</w:t>
      </w:r>
      <w:r w:rsidR="00C05E2D" w:rsidRPr="0087510B">
        <w:t xml:space="preserve"> of </w:t>
      </w:r>
      <w:r w:rsidR="00D918ED" w:rsidRPr="0087510B">
        <w:t>$4</w:t>
      </w:r>
      <w:r w:rsidR="003726A3">
        <w:t>9</w:t>
      </w:r>
      <w:r w:rsidR="00E81752">
        <w:t>3</w:t>
      </w:r>
      <w:r w:rsidR="00D918ED" w:rsidRPr="0087510B">
        <w:t>,</w:t>
      </w:r>
      <w:r w:rsidR="00292B49" w:rsidRPr="0087510B">
        <w:t>327</w:t>
      </w:r>
      <w:r w:rsidR="00C05E2D" w:rsidRPr="0087510B">
        <w:t xml:space="preserve"> against PTT Phone Cards, Inc. (PTT or Company)</w:t>
      </w:r>
      <w:r w:rsidR="00F72CF0" w:rsidRPr="0087510B">
        <w:t xml:space="preserve">, a </w:t>
      </w:r>
      <w:r w:rsidR="000715B4" w:rsidRPr="0087510B">
        <w:t xml:space="preserve">prepaid calling card provider </w:t>
      </w:r>
      <w:r w:rsidR="00F72CF0" w:rsidRPr="0087510B">
        <w:t xml:space="preserve">that </w:t>
      </w:r>
      <w:r w:rsidR="006B7287" w:rsidRPr="0087510B">
        <w:t xml:space="preserve">apparently </w:t>
      </w:r>
      <w:r w:rsidR="00F72CF0" w:rsidRPr="0087510B">
        <w:t>provid</w:t>
      </w:r>
      <w:r w:rsidR="002E7084" w:rsidRPr="0087510B">
        <w:t xml:space="preserve">ed </w:t>
      </w:r>
      <w:r w:rsidR="00F72CF0" w:rsidRPr="0087510B">
        <w:t xml:space="preserve">international telecommunications services </w:t>
      </w:r>
      <w:r w:rsidR="00F33EE5" w:rsidRPr="0087510B">
        <w:t xml:space="preserve">in disregard </w:t>
      </w:r>
      <w:r w:rsidR="00BF2E36" w:rsidRPr="0087510B">
        <w:t>of</w:t>
      </w:r>
      <w:r w:rsidR="00BB3969" w:rsidRPr="0087510B">
        <w:t xml:space="preserve"> </w:t>
      </w:r>
      <w:r w:rsidR="00BE66BD">
        <w:t>virtually all</w:t>
      </w:r>
      <w:r w:rsidR="00BB3969" w:rsidRPr="0087510B">
        <w:t xml:space="preserve"> of</w:t>
      </w:r>
      <w:r w:rsidR="00BF2E36" w:rsidRPr="0087510B">
        <w:t xml:space="preserve"> </w:t>
      </w:r>
      <w:r w:rsidR="00F72CF0" w:rsidRPr="0087510B">
        <w:t xml:space="preserve">its regulatory </w:t>
      </w:r>
      <w:r w:rsidR="00F33EE5" w:rsidRPr="0087510B">
        <w:t xml:space="preserve">obligations for over three years.  </w:t>
      </w:r>
      <w:r w:rsidR="003E00F8" w:rsidRPr="0087510B">
        <w:t xml:space="preserve">Although PTT has been aware of the Enforcement Bureau’s (Bureau) investigation since last year, </w:t>
      </w:r>
      <w:r w:rsidR="001C43A0" w:rsidRPr="0087510B">
        <w:t xml:space="preserve">some of </w:t>
      </w:r>
      <w:r w:rsidR="006B7287" w:rsidRPr="0087510B">
        <w:t xml:space="preserve">PTT’s </w:t>
      </w:r>
      <w:r w:rsidR="003E00F8" w:rsidRPr="0087510B">
        <w:t xml:space="preserve">apparent </w:t>
      </w:r>
      <w:r w:rsidR="001C43A0" w:rsidRPr="0087510B">
        <w:t xml:space="preserve">violations continue to this day.  </w:t>
      </w:r>
    </w:p>
    <w:p w:rsidR="00936403" w:rsidRPr="0087510B" w:rsidRDefault="001C43A0" w:rsidP="00936403">
      <w:pPr>
        <w:pStyle w:val="ParaNum"/>
      </w:pPr>
      <w:r w:rsidRPr="0087510B">
        <w:t xml:space="preserve">PTT’s apparent violations include </w:t>
      </w:r>
      <w:r w:rsidR="00833CB0" w:rsidRPr="0087510B">
        <w:t xml:space="preserve">providing </w:t>
      </w:r>
      <w:r w:rsidRPr="0087510B">
        <w:t>international telecommunications service</w:t>
      </w:r>
      <w:r w:rsidR="00833CB0" w:rsidRPr="0087510B">
        <w:t>s</w:t>
      </w:r>
      <w:r w:rsidRPr="0087510B">
        <w:t xml:space="preserve"> without first obtaining Commission authority</w:t>
      </w:r>
      <w:r w:rsidR="00773FEC" w:rsidRPr="0087510B">
        <w:t>, a failure that prevented the Commission from timely evaluating whether PTT’s provision of those services would create risks to</w:t>
      </w:r>
      <w:r w:rsidR="00B069C9" w:rsidRPr="0087510B">
        <w:t xml:space="preserve"> consumers and </w:t>
      </w:r>
      <w:r w:rsidR="00773FEC" w:rsidRPr="0087510B">
        <w:t>competition.</w:t>
      </w:r>
      <w:r w:rsidR="00E81854" w:rsidRPr="0087510B">
        <w:t xml:space="preserve"> </w:t>
      </w:r>
      <w:r w:rsidR="00CD4454" w:rsidRPr="0087510B">
        <w:t xml:space="preserve"> </w:t>
      </w:r>
      <w:r w:rsidR="002E783D" w:rsidRPr="0087510B">
        <w:t xml:space="preserve">PTT also apparently failed to file </w:t>
      </w:r>
      <w:r w:rsidR="006A7F77" w:rsidRPr="0087510B">
        <w:t xml:space="preserve">the annual reports that the Administrators of the </w:t>
      </w:r>
      <w:r w:rsidR="002E7084" w:rsidRPr="0087510B">
        <w:t>U</w:t>
      </w:r>
      <w:r w:rsidR="006A7F77" w:rsidRPr="0087510B">
        <w:t xml:space="preserve">niversal </w:t>
      </w:r>
      <w:r w:rsidR="002E7084" w:rsidRPr="0087510B">
        <w:t>S</w:t>
      </w:r>
      <w:r w:rsidR="006A7F77" w:rsidRPr="0087510B">
        <w:t xml:space="preserve">ervice </w:t>
      </w:r>
      <w:r w:rsidR="002E7084" w:rsidRPr="0087510B">
        <w:t>F</w:t>
      </w:r>
      <w:r w:rsidR="006A7F77" w:rsidRPr="0087510B">
        <w:t xml:space="preserve">und (USF), the Telecommunications Relay Service (TRS) Fund, and the </w:t>
      </w:r>
      <w:r w:rsidR="006610A4" w:rsidRPr="0087510B">
        <w:t xml:space="preserve">cost recovery </w:t>
      </w:r>
      <w:r w:rsidR="006A7F77" w:rsidRPr="0087510B">
        <w:t xml:space="preserve">mechanisms for </w:t>
      </w:r>
      <w:r w:rsidR="006610A4" w:rsidRPr="0087510B">
        <w:t>local number portability (LNP) and the North American Numbering Plan (NANP) use to determine service providers’ contribution obligations</w:t>
      </w:r>
      <w:r w:rsidR="002E7084" w:rsidRPr="0087510B">
        <w:t>,</w:t>
      </w:r>
      <w:r w:rsidR="006610A4" w:rsidRPr="0087510B">
        <w:t xml:space="preserve"> and that the Commission uses to assess regulatory fees.</w:t>
      </w:r>
      <w:r w:rsidR="00A601AB" w:rsidRPr="0087510B">
        <w:t xml:space="preserve">  </w:t>
      </w:r>
      <w:r w:rsidR="006B7287" w:rsidRPr="0087510B">
        <w:t>The filing failure</w:t>
      </w:r>
      <w:r w:rsidR="002E7084" w:rsidRPr="0087510B">
        <w:t>s</w:t>
      </w:r>
      <w:r w:rsidR="006B7287" w:rsidRPr="0087510B">
        <w:t xml:space="preserve"> persisted for</w:t>
      </w:r>
      <w:r w:rsidR="0067040C" w:rsidRPr="0087510B">
        <w:t xml:space="preserve"> over</w:t>
      </w:r>
      <w:r w:rsidR="006B7287" w:rsidRPr="0087510B">
        <w:t xml:space="preserve"> three years and resulted in </w:t>
      </w:r>
      <w:r w:rsidR="00487D73" w:rsidRPr="0087510B">
        <w:t xml:space="preserve">either </w:t>
      </w:r>
      <w:r w:rsidR="006B7287" w:rsidRPr="0087510B">
        <w:t>PTT’s</w:t>
      </w:r>
      <w:r w:rsidR="00487D73" w:rsidRPr="0087510B">
        <w:t xml:space="preserve"> late payment or non-payment of</w:t>
      </w:r>
      <w:r w:rsidR="006B7287" w:rsidRPr="0087510B">
        <w:t xml:space="preserve"> required TRS and LNP contributions and regulatory fees.  </w:t>
      </w:r>
    </w:p>
    <w:p w:rsidR="00EF5532" w:rsidRPr="0087510B" w:rsidRDefault="00487D73" w:rsidP="00936403">
      <w:pPr>
        <w:pStyle w:val="ParaNum"/>
      </w:pPr>
      <w:r w:rsidRPr="0087510B">
        <w:t xml:space="preserve">Additionally, </w:t>
      </w:r>
      <w:r w:rsidR="00BE66BD">
        <w:t xml:space="preserve"> </w:t>
      </w:r>
      <w:r w:rsidR="00E16C92" w:rsidRPr="0087510B">
        <w:t xml:space="preserve">PTT was required to file </w:t>
      </w:r>
      <w:r w:rsidR="001E491C" w:rsidRPr="0087510B">
        <w:t xml:space="preserve">periodic </w:t>
      </w:r>
      <w:r w:rsidR="00E16C92" w:rsidRPr="0087510B">
        <w:t xml:space="preserve">reports </w:t>
      </w:r>
      <w:r w:rsidR="001E491C" w:rsidRPr="0087510B">
        <w:t xml:space="preserve">certifying its compliance with the Commission’s USF contribution </w:t>
      </w:r>
      <w:r w:rsidR="00824AC7" w:rsidRPr="0087510B">
        <w:t xml:space="preserve">and </w:t>
      </w:r>
      <w:r w:rsidR="00824A27" w:rsidRPr="0087510B">
        <w:t>customer proprietary network information (CPNI)</w:t>
      </w:r>
      <w:r w:rsidR="00824AC7" w:rsidRPr="0087510B">
        <w:t xml:space="preserve"> rules, and </w:t>
      </w:r>
      <w:r w:rsidR="002E7084" w:rsidRPr="0087510B">
        <w:t>disclos</w:t>
      </w:r>
      <w:r w:rsidR="00824AC7" w:rsidRPr="0087510B">
        <w:t>ing its international traffic and revenues</w:t>
      </w:r>
      <w:r w:rsidR="00824A27" w:rsidRPr="0087510B">
        <w:t>.</w:t>
      </w:r>
      <w:r w:rsidR="00824AC7" w:rsidRPr="0087510B">
        <w:t xml:space="preserve">  PTT also apparently failed to meet these requirements, thereby undermining our ability to </w:t>
      </w:r>
      <w:r w:rsidR="00625232" w:rsidRPr="0087510B">
        <w:t>monitor</w:t>
      </w:r>
      <w:r w:rsidR="00824AC7" w:rsidRPr="0087510B">
        <w:t xml:space="preserve"> compliance with our USF and customer privacy rules and </w:t>
      </w:r>
      <w:r w:rsidR="003D3EF4" w:rsidRPr="0087510B">
        <w:t xml:space="preserve">developments in </w:t>
      </w:r>
      <w:r w:rsidR="00824AC7" w:rsidRPr="0087510B">
        <w:t>the international</w:t>
      </w:r>
      <w:r w:rsidR="00936403" w:rsidRPr="0087510B">
        <w:t xml:space="preserve"> telecommunications market.</w:t>
      </w:r>
      <w:r w:rsidR="00824AC7" w:rsidRPr="0087510B">
        <w:t xml:space="preserve">  </w:t>
      </w:r>
      <w:r w:rsidR="008F7838" w:rsidRPr="0087510B">
        <w:t xml:space="preserve">The </w:t>
      </w:r>
      <w:r w:rsidR="00936403" w:rsidRPr="0087510B">
        <w:t xml:space="preserve">penalties </w:t>
      </w:r>
      <w:r w:rsidR="008F7838" w:rsidRPr="0087510B">
        <w:t>we propose here reflect the seriousness, duration, and scope of PTT</w:t>
      </w:r>
      <w:r w:rsidR="002D2E3A" w:rsidRPr="0087510B">
        <w:t>’</w:t>
      </w:r>
      <w:r w:rsidR="008F7838" w:rsidRPr="0087510B">
        <w:t>s violations.</w:t>
      </w:r>
    </w:p>
    <w:p w:rsidR="008F7838" w:rsidRPr="0087510B" w:rsidRDefault="008F7838" w:rsidP="003A3175">
      <w:pPr>
        <w:pStyle w:val="Heading1"/>
      </w:pPr>
      <w:r w:rsidRPr="0087510B">
        <w:t>BACKGROUND</w:t>
      </w:r>
    </w:p>
    <w:p w:rsidR="004668CB" w:rsidRPr="0087510B" w:rsidRDefault="00C7078B" w:rsidP="006E42B9">
      <w:pPr>
        <w:pStyle w:val="ParaNum"/>
        <w:keepNext/>
      </w:pPr>
      <w:r w:rsidRPr="0087510B">
        <w:t xml:space="preserve">PTT </w:t>
      </w:r>
      <w:r w:rsidR="000D086B" w:rsidRPr="0087510B">
        <w:t xml:space="preserve">is a Pennsylvania corporation that, </w:t>
      </w:r>
      <w:r w:rsidR="00393651" w:rsidRPr="0087510B">
        <w:t>from January 1, 2010</w:t>
      </w:r>
      <w:r w:rsidR="00487D73" w:rsidRPr="0087510B">
        <w:t>,</w:t>
      </w:r>
      <w:r w:rsidR="00393651" w:rsidRPr="0087510B">
        <w:t xml:space="preserve"> t</w:t>
      </w:r>
      <w:r w:rsidR="00487D73" w:rsidRPr="0087510B">
        <w:t>hrough</w:t>
      </w:r>
      <w:r w:rsidR="00393651" w:rsidRPr="0087510B">
        <w:t xml:space="preserve"> early 2014, </w:t>
      </w:r>
      <w:r w:rsidR="00623A10" w:rsidRPr="0087510B">
        <w:t>operated</w:t>
      </w:r>
      <w:r w:rsidR="000D086B" w:rsidRPr="0087510B">
        <w:t xml:space="preserve"> </w:t>
      </w:r>
      <w:r w:rsidR="00393651" w:rsidRPr="0087510B">
        <w:t xml:space="preserve">under the trade name Star Pinless </w:t>
      </w:r>
      <w:r w:rsidR="000D086B" w:rsidRPr="0087510B">
        <w:t>as a prepaid ca</w:t>
      </w:r>
      <w:r w:rsidR="00623A10" w:rsidRPr="0087510B">
        <w:t xml:space="preserve">lling card </w:t>
      </w:r>
      <w:r w:rsidR="00AB6BE6" w:rsidRPr="0087510B">
        <w:t xml:space="preserve">services </w:t>
      </w:r>
      <w:r w:rsidR="00623A10" w:rsidRPr="0087510B">
        <w:t xml:space="preserve">provider </w:t>
      </w:r>
      <w:r w:rsidR="00AB6BE6" w:rsidRPr="0087510B">
        <w:t>reselling</w:t>
      </w:r>
      <w:r w:rsidR="000D086B" w:rsidRPr="0087510B">
        <w:t xml:space="preserve"> international telecommunications services</w:t>
      </w:r>
      <w:r w:rsidR="00DC67D6" w:rsidRPr="0087510B">
        <w:t>.</w:t>
      </w:r>
      <w:r w:rsidR="00834B9F" w:rsidRPr="0087510B">
        <w:rPr>
          <w:rStyle w:val="FootnoteReference"/>
          <w:sz w:val="22"/>
        </w:rPr>
        <w:footnoteReference w:id="3"/>
      </w:r>
      <w:r w:rsidR="00DC67D6" w:rsidRPr="0087510B">
        <w:t xml:space="preserve">  </w:t>
      </w:r>
      <w:r w:rsidR="004A673C" w:rsidRPr="0087510B">
        <w:t xml:space="preserve">PTT </w:t>
      </w:r>
      <w:r w:rsidR="004668CB" w:rsidRPr="0087510B">
        <w:t>sold its prepaid calling card services</w:t>
      </w:r>
      <w:r w:rsidR="002760CB" w:rsidRPr="0087510B">
        <w:t xml:space="preserve"> </w:t>
      </w:r>
      <w:r w:rsidR="004668CB" w:rsidRPr="0087510B">
        <w:t>through</w:t>
      </w:r>
      <w:r w:rsidR="002760CB" w:rsidRPr="0087510B">
        <w:t xml:space="preserve"> </w:t>
      </w:r>
      <w:r w:rsidR="004A673C" w:rsidRPr="0087510B">
        <w:t xml:space="preserve">grocery </w:t>
      </w:r>
      <w:r w:rsidR="004A673C" w:rsidRPr="0087510B">
        <w:lastRenderedPageBreak/>
        <w:t xml:space="preserve">stores </w:t>
      </w:r>
      <w:r w:rsidR="004668CB" w:rsidRPr="0087510B">
        <w:t>that</w:t>
      </w:r>
      <w:r w:rsidR="004A673C" w:rsidRPr="0087510B">
        <w:t xml:space="preserve"> served as distributors</w:t>
      </w:r>
      <w:r w:rsidR="00AE222F" w:rsidRPr="0087510B">
        <w:t xml:space="preserve"> to </w:t>
      </w:r>
      <w:r w:rsidR="002A517F" w:rsidRPr="0087510B">
        <w:t>PTT</w:t>
      </w:r>
      <w:r w:rsidR="002D2E3A" w:rsidRPr="0087510B">
        <w:t>’</w:t>
      </w:r>
      <w:r w:rsidR="00C41D6A" w:rsidRPr="0087510B">
        <w:t>s</w:t>
      </w:r>
      <w:r w:rsidR="002A517F" w:rsidRPr="0087510B">
        <w:t xml:space="preserve"> end user customer</w:t>
      </w:r>
      <w:r w:rsidR="00AE222F" w:rsidRPr="0087510B">
        <w:t>s</w:t>
      </w:r>
      <w:r w:rsidR="004A673C" w:rsidRPr="0087510B">
        <w:t>.</w:t>
      </w:r>
      <w:r w:rsidR="002760CB" w:rsidRPr="0087510B">
        <w:rPr>
          <w:rStyle w:val="FootnoteReference"/>
          <w:sz w:val="22"/>
        </w:rPr>
        <w:footnoteReference w:id="4"/>
      </w:r>
      <w:r w:rsidR="004A673C" w:rsidRPr="0087510B">
        <w:t xml:space="preserve">  PTT also used the Internet to </w:t>
      </w:r>
      <w:r w:rsidR="00BE66BD">
        <w:t>market</w:t>
      </w:r>
      <w:r w:rsidR="00BE66BD" w:rsidRPr="0087510B">
        <w:t xml:space="preserve"> </w:t>
      </w:r>
      <w:r w:rsidR="004668CB" w:rsidRPr="0087510B">
        <w:t xml:space="preserve">its international </w:t>
      </w:r>
      <w:r w:rsidR="004A673C" w:rsidRPr="0087510B">
        <w:t>telecommunications services to other potential distributors</w:t>
      </w:r>
      <w:r w:rsidR="007F079F" w:rsidRPr="0087510B">
        <w:t xml:space="preserve"> and resellers</w:t>
      </w:r>
      <w:r w:rsidR="004668CB" w:rsidRPr="0087510B">
        <w:t>.</w:t>
      </w:r>
      <w:r w:rsidR="002760CB" w:rsidRPr="0087510B">
        <w:rPr>
          <w:rStyle w:val="FootnoteReference"/>
          <w:sz w:val="22"/>
        </w:rPr>
        <w:footnoteReference w:id="5"/>
      </w:r>
      <w:r w:rsidR="004A673C" w:rsidRPr="0087510B">
        <w:t xml:space="preserve"> </w:t>
      </w:r>
      <w:r w:rsidR="00AE222F" w:rsidRPr="0087510B">
        <w:t xml:space="preserve"> </w:t>
      </w:r>
      <w:r w:rsidR="00B22EA5" w:rsidRPr="0087510B">
        <w:t>PTT</w:t>
      </w:r>
      <w:r w:rsidR="002D2E3A" w:rsidRPr="0087510B">
        <w:t>’</w:t>
      </w:r>
      <w:r w:rsidR="00232941" w:rsidRPr="0087510B">
        <w:t>s</w:t>
      </w:r>
      <w:r w:rsidR="00B22EA5" w:rsidRPr="0087510B">
        <w:t xml:space="preserve"> distributor</w:t>
      </w:r>
      <w:r w:rsidR="00C4792D" w:rsidRPr="0087510B">
        <w:t>s</w:t>
      </w:r>
      <w:r w:rsidR="00B22EA5" w:rsidRPr="0087510B">
        <w:t xml:space="preserve"> </w:t>
      </w:r>
      <w:r w:rsidR="00232941" w:rsidRPr="0087510B">
        <w:t xml:space="preserve">helped </w:t>
      </w:r>
      <w:r w:rsidR="001D0AEF" w:rsidRPr="0087510B">
        <w:t>set up each</w:t>
      </w:r>
      <w:r w:rsidR="00E52A6E" w:rsidRPr="0087510B">
        <w:t xml:space="preserve"> end user with a PTT</w:t>
      </w:r>
      <w:r w:rsidR="001D0AEF" w:rsidRPr="0087510B">
        <w:t xml:space="preserve"> </w:t>
      </w:r>
      <w:r w:rsidR="00E52A6E" w:rsidRPr="0087510B">
        <w:t>account</w:t>
      </w:r>
      <w:r w:rsidR="00232941" w:rsidRPr="0087510B">
        <w:t>.  I</w:t>
      </w:r>
      <w:r w:rsidR="00E52A6E" w:rsidRPr="0087510B">
        <w:t xml:space="preserve">f </w:t>
      </w:r>
      <w:r w:rsidR="001D0AEF" w:rsidRPr="0087510B">
        <w:t xml:space="preserve">an </w:t>
      </w:r>
      <w:r w:rsidR="00E52A6E" w:rsidRPr="0087510B">
        <w:t>end user chose</w:t>
      </w:r>
      <w:r w:rsidR="00487D73" w:rsidRPr="0087510B">
        <w:t xml:space="preserve"> to do so</w:t>
      </w:r>
      <w:r w:rsidR="00E52A6E" w:rsidRPr="0087510B">
        <w:t xml:space="preserve">, </w:t>
      </w:r>
      <w:r w:rsidR="00232941" w:rsidRPr="0087510B">
        <w:t xml:space="preserve">the account information included </w:t>
      </w:r>
      <w:r w:rsidR="00E52A6E" w:rsidRPr="0087510B">
        <w:t>the end use</w:t>
      </w:r>
      <w:r w:rsidR="001D0AEF" w:rsidRPr="0087510B">
        <w:t>r</w:t>
      </w:r>
      <w:r w:rsidR="002D2E3A" w:rsidRPr="0087510B">
        <w:t>’</w:t>
      </w:r>
      <w:r w:rsidR="00AE222F" w:rsidRPr="0087510B">
        <w:t>s</w:t>
      </w:r>
      <w:r w:rsidR="00E52A6E" w:rsidRPr="0087510B">
        <w:t xml:space="preserve"> phone number </w:t>
      </w:r>
      <w:r w:rsidR="001D0AEF" w:rsidRPr="0087510B">
        <w:t xml:space="preserve">so that </w:t>
      </w:r>
      <w:r w:rsidR="007F079F" w:rsidRPr="0087510B">
        <w:t>PTT</w:t>
      </w:r>
      <w:r w:rsidR="002D2E3A" w:rsidRPr="0087510B">
        <w:t>’</w:t>
      </w:r>
      <w:r w:rsidR="007F079F" w:rsidRPr="0087510B">
        <w:t xml:space="preserve">s prepaid calling platform could recognize </w:t>
      </w:r>
      <w:r w:rsidR="001D0AEF" w:rsidRPr="0087510B">
        <w:t>the end user</w:t>
      </w:r>
      <w:r w:rsidR="002D2E3A" w:rsidRPr="0087510B">
        <w:t>’</w:t>
      </w:r>
      <w:r w:rsidR="001D0AEF" w:rsidRPr="0087510B">
        <w:t>s number</w:t>
      </w:r>
      <w:r w:rsidR="00E52A6E" w:rsidRPr="0087510B">
        <w:t xml:space="preserve">, thereby enabling the </w:t>
      </w:r>
      <w:r w:rsidR="00AE222F" w:rsidRPr="0087510B">
        <w:t xml:space="preserve">end user to place </w:t>
      </w:r>
      <w:r w:rsidR="00E52A6E" w:rsidRPr="0087510B">
        <w:t>telephone calls without having to dial a</w:t>
      </w:r>
      <w:r w:rsidR="00B22EA5" w:rsidRPr="0087510B">
        <w:t xml:space="preserve"> </w:t>
      </w:r>
      <w:r w:rsidR="00E52A6E" w:rsidRPr="0087510B">
        <w:t>personal identification number (PIN)</w:t>
      </w:r>
      <w:r w:rsidR="001D0AEF" w:rsidRPr="0087510B">
        <w:t xml:space="preserve"> access code</w:t>
      </w:r>
      <w:r w:rsidR="00E52A6E" w:rsidRPr="0087510B">
        <w:t>.</w:t>
      </w:r>
      <w:r w:rsidR="00AE222F" w:rsidRPr="0087510B">
        <w:rPr>
          <w:rStyle w:val="FootnoteReference"/>
          <w:sz w:val="22"/>
        </w:rPr>
        <w:footnoteReference w:id="6"/>
      </w:r>
      <w:r w:rsidR="00E52A6E" w:rsidRPr="0087510B">
        <w:t xml:space="preserve">  After the authentication process, </w:t>
      </w:r>
      <w:r w:rsidR="001D0AEF" w:rsidRPr="0087510B">
        <w:t>whether b</w:t>
      </w:r>
      <w:r w:rsidR="00AE222F" w:rsidRPr="0087510B">
        <w:t xml:space="preserve">y PIN or </w:t>
      </w:r>
      <w:r w:rsidR="00DD6EC0" w:rsidRPr="0087510B">
        <w:t xml:space="preserve">PIN-less </w:t>
      </w:r>
      <w:r w:rsidR="007F079F" w:rsidRPr="0087510B">
        <w:t>processes</w:t>
      </w:r>
      <w:r w:rsidR="00AE222F" w:rsidRPr="0087510B">
        <w:t xml:space="preserve">, </w:t>
      </w:r>
      <w:r w:rsidR="004668CB" w:rsidRPr="0087510B">
        <w:t>PTT</w:t>
      </w:r>
      <w:r w:rsidR="002D2E3A" w:rsidRPr="0087510B">
        <w:t>’</w:t>
      </w:r>
      <w:r w:rsidR="00232941" w:rsidRPr="0087510B">
        <w:t xml:space="preserve">s platform </w:t>
      </w:r>
      <w:r w:rsidR="004668CB" w:rsidRPr="0087510B">
        <w:t xml:space="preserve">routed </w:t>
      </w:r>
      <w:r w:rsidR="00AE222F" w:rsidRPr="0087510B">
        <w:t xml:space="preserve">telephone </w:t>
      </w:r>
      <w:r w:rsidR="001D0AEF" w:rsidRPr="0087510B">
        <w:t>call</w:t>
      </w:r>
      <w:r w:rsidR="00AE222F" w:rsidRPr="0087510B">
        <w:t xml:space="preserve">s </w:t>
      </w:r>
      <w:r w:rsidR="00E52A6E" w:rsidRPr="0087510B">
        <w:t>to th</w:t>
      </w:r>
      <w:r w:rsidR="001D0AEF" w:rsidRPr="0087510B">
        <w:t>e international destination</w:t>
      </w:r>
      <w:r w:rsidR="00AE222F" w:rsidRPr="0087510B">
        <w:t>s</w:t>
      </w:r>
      <w:r w:rsidR="001D0AEF" w:rsidRPr="0087510B">
        <w:t xml:space="preserve"> to which </w:t>
      </w:r>
      <w:r w:rsidR="00AE222F" w:rsidRPr="0087510B">
        <w:t xml:space="preserve">PTT </w:t>
      </w:r>
      <w:r w:rsidR="00E52A6E" w:rsidRPr="0087510B">
        <w:t>end user</w:t>
      </w:r>
      <w:r w:rsidR="00AE222F" w:rsidRPr="0087510B">
        <w:t>s</w:t>
      </w:r>
      <w:r w:rsidR="001D0AEF" w:rsidRPr="0087510B">
        <w:t xml:space="preserve"> sought to connect</w:t>
      </w:r>
      <w:r w:rsidR="00E52A6E" w:rsidRPr="0087510B">
        <w:t>.</w:t>
      </w:r>
      <w:r w:rsidR="00AE222F" w:rsidRPr="0087510B">
        <w:rPr>
          <w:rStyle w:val="FootnoteReference"/>
          <w:sz w:val="22"/>
        </w:rPr>
        <w:footnoteReference w:id="7"/>
      </w:r>
      <w:r w:rsidR="001D0AEF" w:rsidRPr="0087510B">
        <w:t xml:space="preserve"> </w:t>
      </w:r>
    </w:p>
    <w:p w:rsidR="00BE66BD" w:rsidRPr="00BE66BD" w:rsidRDefault="00863362" w:rsidP="00D635E6">
      <w:pPr>
        <w:pStyle w:val="ParaNum"/>
      </w:pPr>
      <w:r w:rsidRPr="00BE66BD">
        <w:t xml:space="preserve">In </w:t>
      </w:r>
      <w:r w:rsidR="001D0AEF" w:rsidRPr="00BE66BD">
        <w:t xml:space="preserve">January 2013, the Bureau </w:t>
      </w:r>
      <w:r w:rsidR="00D635E6" w:rsidRPr="00BE66BD">
        <w:t xml:space="preserve">learned </w:t>
      </w:r>
      <w:r w:rsidR="001D0AEF" w:rsidRPr="00BE66BD">
        <w:t xml:space="preserve">that PTT might not be </w:t>
      </w:r>
      <w:r w:rsidR="00D635E6" w:rsidRPr="00BE66BD">
        <w:t xml:space="preserve">complying with </w:t>
      </w:r>
      <w:r w:rsidR="001D0AEF" w:rsidRPr="00BE66BD">
        <w:t>the provisions of the Communications Act of 1934, as amended (</w:t>
      </w:r>
      <w:r w:rsidR="00D94710" w:rsidRPr="00BE66BD">
        <w:t>Act</w:t>
      </w:r>
      <w:r w:rsidR="001D0AEF" w:rsidRPr="00BE66BD">
        <w:t>) and the Commission</w:t>
      </w:r>
      <w:r w:rsidR="002D2E3A" w:rsidRPr="00BE66BD">
        <w:t>’</w:t>
      </w:r>
      <w:r w:rsidR="001D0AEF" w:rsidRPr="00BE66BD">
        <w:t>s rules (Rules)</w:t>
      </w:r>
      <w:r w:rsidR="00D635E6" w:rsidRPr="00BE66BD">
        <w:t xml:space="preserve"> applicable to prepaid calling card providers</w:t>
      </w:r>
      <w:r w:rsidR="001D0AEF" w:rsidRPr="00BE66BD">
        <w:t xml:space="preserve">.  After a preliminary investigation, the </w:t>
      </w:r>
      <w:r w:rsidR="0040327A" w:rsidRPr="00BE66BD">
        <w:t xml:space="preserve">Bureau </w:t>
      </w:r>
      <w:r w:rsidR="00D635E6" w:rsidRPr="00BE66BD">
        <w:t>sent a</w:t>
      </w:r>
      <w:r w:rsidR="001C43A0" w:rsidRPr="00BE66BD">
        <w:t xml:space="preserve"> L</w:t>
      </w:r>
      <w:r w:rsidR="001D0AEF" w:rsidRPr="00BE66BD">
        <w:t xml:space="preserve">etter of </w:t>
      </w:r>
      <w:r w:rsidR="001C43A0" w:rsidRPr="00BE66BD">
        <w:t>I</w:t>
      </w:r>
      <w:r w:rsidR="001D0AEF" w:rsidRPr="00BE66BD">
        <w:t xml:space="preserve">nquiry </w:t>
      </w:r>
      <w:r w:rsidR="00147F82">
        <w:t>(</w:t>
      </w:r>
      <w:r w:rsidR="00147F82">
        <w:rPr>
          <w:i/>
        </w:rPr>
        <w:t>LOI</w:t>
      </w:r>
      <w:r w:rsidR="00147F82">
        <w:t xml:space="preserve">) </w:t>
      </w:r>
      <w:r w:rsidR="00D635E6" w:rsidRPr="00BE66BD">
        <w:t>to PTT on</w:t>
      </w:r>
      <w:r w:rsidR="001D0AEF" w:rsidRPr="00BE66BD">
        <w:t xml:space="preserve"> April 8, 2013</w:t>
      </w:r>
      <w:r w:rsidR="00465126" w:rsidRPr="00BE66BD">
        <w:t xml:space="preserve">, directing the Company to respond to questions regarding its compliance with the </w:t>
      </w:r>
      <w:r w:rsidR="00034E9D">
        <w:t xml:space="preserve">provisions of the </w:t>
      </w:r>
      <w:r w:rsidR="00465126" w:rsidRPr="00BE66BD">
        <w:t xml:space="preserve">Act and the </w:t>
      </w:r>
      <w:r w:rsidR="00147F82">
        <w:t>R</w:t>
      </w:r>
      <w:r w:rsidR="00465126" w:rsidRPr="00BE66BD">
        <w:t xml:space="preserve">ules pertaining to </w:t>
      </w:r>
      <w:r w:rsidR="0067040C" w:rsidRPr="00BE66BD">
        <w:t>PTT’s</w:t>
      </w:r>
      <w:r w:rsidR="00465126" w:rsidRPr="00BE66BD">
        <w:t xml:space="preserve"> authority to provide international telecommunications services, payment of regulatory obligations, and other related requirements</w:t>
      </w:r>
      <w:r w:rsidR="001D0AEF" w:rsidRPr="00BE66BD">
        <w:t>.</w:t>
      </w:r>
      <w:r w:rsidR="001D0AEF" w:rsidRPr="0087510B">
        <w:rPr>
          <w:rStyle w:val="FootnoteReference"/>
          <w:sz w:val="22"/>
        </w:rPr>
        <w:footnoteReference w:id="8"/>
      </w:r>
      <w:r w:rsidR="001D0AEF" w:rsidRPr="00BE66BD">
        <w:t xml:space="preserve">  On April 24, 2013, PTT </w:t>
      </w:r>
      <w:r w:rsidR="00B82556" w:rsidRPr="00BE66BD">
        <w:t>responded</w:t>
      </w:r>
      <w:r w:rsidR="001D0AEF" w:rsidRPr="00BE66BD">
        <w:t xml:space="preserve"> to the </w:t>
      </w:r>
      <w:r w:rsidR="001D0AEF" w:rsidRPr="00BE66BD">
        <w:rPr>
          <w:i/>
        </w:rPr>
        <w:t>LOI</w:t>
      </w:r>
      <w:r w:rsidR="001D0AEF" w:rsidRPr="00BE66BD">
        <w:t>.</w:t>
      </w:r>
      <w:r w:rsidR="001D0AEF" w:rsidRPr="0087510B">
        <w:rPr>
          <w:rStyle w:val="FootnoteReference"/>
          <w:sz w:val="22"/>
        </w:rPr>
        <w:footnoteReference w:id="9"/>
      </w:r>
      <w:r w:rsidRPr="00BE66BD">
        <w:t xml:space="preserve">  On July 7, 2014</w:t>
      </w:r>
      <w:r w:rsidR="00E41618" w:rsidRPr="00BE66BD">
        <w:t>,</w:t>
      </w:r>
      <w:r w:rsidRPr="00BE66BD">
        <w:t xml:space="preserve"> an</w:t>
      </w:r>
      <w:r w:rsidR="009E2FFC" w:rsidRPr="00BE66BD">
        <w:t>d August</w:t>
      </w:r>
      <w:r w:rsidR="006E12B7" w:rsidRPr="00BE66BD">
        <w:t xml:space="preserve"> </w:t>
      </w:r>
      <w:r w:rsidR="009E2FFC" w:rsidRPr="00BE66BD">
        <w:t xml:space="preserve">7, 2014, </w:t>
      </w:r>
      <w:r w:rsidRPr="00BE66BD">
        <w:t xml:space="preserve">PTT supplemented </w:t>
      </w:r>
      <w:r w:rsidR="00465126" w:rsidRPr="00BE66BD">
        <w:t xml:space="preserve">its </w:t>
      </w:r>
      <w:r w:rsidR="00465126" w:rsidRPr="00BE66BD">
        <w:rPr>
          <w:i/>
        </w:rPr>
        <w:t>LOI R</w:t>
      </w:r>
      <w:r w:rsidRPr="00BE66BD">
        <w:rPr>
          <w:i/>
        </w:rPr>
        <w:t>esponse</w:t>
      </w:r>
      <w:r w:rsidRPr="00BE66BD">
        <w:t>.</w:t>
      </w:r>
      <w:r w:rsidRPr="0087510B">
        <w:rPr>
          <w:rStyle w:val="FootnoteReference"/>
          <w:sz w:val="22"/>
        </w:rPr>
        <w:footnoteReference w:id="10"/>
      </w:r>
      <w:r w:rsidR="00BE66BD" w:rsidRPr="00BE66BD">
        <w:t xml:space="preserve">  On </w:t>
      </w:r>
      <w:r w:rsidR="006A5B87">
        <w:t>December 20</w:t>
      </w:r>
      <w:r w:rsidR="00BE66BD" w:rsidRPr="00BE66BD">
        <w:t xml:space="preserve">, 2013, </w:t>
      </w:r>
      <w:r w:rsidR="00BE66BD">
        <w:t>PTT</w:t>
      </w:r>
      <w:r w:rsidR="00BE66BD" w:rsidRPr="00BE66BD">
        <w:t xml:space="preserve"> entered into a </w:t>
      </w:r>
      <w:bookmarkStart w:id="1" w:name="SR;1326"/>
      <w:bookmarkEnd w:id="1"/>
      <w:r w:rsidR="00BE66BD" w:rsidRPr="00BE66BD">
        <w:t xml:space="preserve">tolling </w:t>
      </w:r>
      <w:bookmarkStart w:id="2" w:name="SR;1327"/>
      <w:bookmarkEnd w:id="2"/>
      <w:r w:rsidR="00BE66BD" w:rsidRPr="00BE66BD">
        <w:t>agreement with the Bureau, which extended the applicable statute of limitations period.</w:t>
      </w:r>
      <w:bookmarkStart w:id="3" w:name="FN[FN36]"/>
      <w:bookmarkEnd w:id="3"/>
      <w:r w:rsidR="00AF336C">
        <w:rPr>
          <w:rStyle w:val="FootnoteReference"/>
        </w:rPr>
        <w:footnoteReference w:id="11"/>
      </w:r>
    </w:p>
    <w:p w:rsidR="009E691D" w:rsidRPr="003A3175" w:rsidRDefault="00B55C3D" w:rsidP="003A3175">
      <w:pPr>
        <w:pStyle w:val="Heading1"/>
      </w:pPr>
      <w:r w:rsidRPr="003A3175">
        <w:t>Discussion</w:t>
      </w:r>
    </w:p>
    <w:p w:rsidR="00363A61" w:rsidRPr="0087510B" w:rsidRDefault="005D5934" w:rsidP="00E965A7">
      <w:pPr>
        <w:pStyle w:val="ParaNum"/>
        <w:widowControl/>
      </w:pPr>
      <w:r w:rsidRPr="0087510B">
        <w:t xml:space="preserve">Based on the facts and circumstances before us, we find that PTT apparently willfully or repeatedly failed </w:t>
      </w:r>
      <w:r w:rsidR="000C69C9" w:rsidRPr="0087510B">
        <w:t xml:space="preserve">to: (a) </w:t>
      </w:r>
      <w:r w:rsidRPr="0087510B">
        <w:t xml:space="preserve">obtain Commission authority prior to providing international telecommunications services, as Section 214(a) of the Act and Section 63.18 of the Rules require; </w:t>
      </w:r>
      <w:r w:rsidR="000C69C9" w:rsidRPr="0087510B">
        <w:t>(b) </w:t>
      </w:r>
      <w:r w:rsidRPr="0087510B">
        <w:t xml:space="preserve">timely file </w:t>
      </w:r>
      <w:r w:rsidR="00C14043" w:rsidRPr="0087510B">
        <w:t>annual</w:t>
      </w:r>
      <w:r w:rsidRPr="0087510B">
        <w:t xml:space="preserve"> Telecommunications Reporting Worksheets, as Sections 5</w:t>
      </w:r>
      <w:r w:rsidR="000C69C9" w:rsidRPr="0087510B">
        <w:t xml:space="preserve">2.32, 54.711, </w:t>
      </w:r>
      <w:r w:rsidR="007402EA" w:rsidRPr="0087510B">
        <w:t xml:space="preserve">and </w:t>
      </w:r>
      <w:r w:rsidR="000C69C9" w:rsidRPr="0087510B">
        <w:t>64.604(c)(5)(iii)</w:t>
      </w:r>
      <w:r w:rsidRPr="0087510B">
        <w:t xml:space="preserve"> of the Rules require; </w:t>
      </w:r>
      <w:r w:rsidR="000C69C9" w:rsidRPr="0087510B">
        <w:t xml:space="preserve">(c) </w:t>
      </w:r>
      <w:r w:rsidRPr="0087510B">
        <w:t xml:space="preserve">timely </w:t>
      </w:r>
      <w:r w:rsidR="000C69C9" w:rsidRPr="0087510B">
        <w:t xml:space="preserve">make required TRS and LNP contributions and timely pay required regulatory fees in accordance with Section 251(e)(2) of the Act and Sections 1.1154, 1.1157(b)(1), 53.32, and 64.604(c)(5)(iii) of the Rules; and </w:t>
      </w:r>
      <w:r w:rsidR="0098444C" w:rsidRPr="0087510B">
        <w:t xml:space="preserve">(d) timely file prepaid calling card </w:t>
      </w:r>
      <w:r w:rsidR="00F952B2" w:rsidRPr="0087510B">
        <w:t>certification</w:t>
      </w:r>
      <w:r w:rsidR="0098444C" w:rsidRPr="0087510B">
        <w:t xml:space="preserve">s, international traffic and revenue reports, and CPNI </w:t>
      </w:r>
      <w:r w:rsidR="00F952B2" w:rsidRPr="0087510B">
        <w:t>certification</w:t>
      </w:r>
      <w:r w:rsidR="0098444C" w:rsidRPr="0087510B">
        <w:t xml:space="preserve">s in accordance with Section </w:t>
      </w:r>
      <w:r w:rsidR="000727B0" w:rsidRPr="0087510B">
        <w:t xml:space="preserve">222 of the Act </w:t>
      </w:r>
      <w:r w:rsidR="003962EB" w:rsidRPr="0087510B">
        <w:t xml:space="preserve">and </w:t>
      </w:r>
      <w:r w:rsidR="00027F7C" w:rsidRPr="0087510B">
        <w:t>Sections</w:t>
      </w:r>
      <w:r w:rsidR="00170447" w:rsidRPr="0087510B">
        <w:t xml:space="preserve"> </w:t>
      </w:r>
      <w:r w:rsidR="00027F7C" w:rsidRPr="0087510B">
        <w:t xml:space="preserve">43.61, </w:t>
      </w:r>
      <w:r w:rsidR="005D34DC" w:rsidRPr="0087510B">
        <w:t>64.2009</w:t>
      </w:r>
      <w:r w:rsidR="00DC2FB9" w:rsidRPr="0087510B">
        <w:t>(e)</w:t>
      </w:r>
      <w:r w:rsidR="0098444C" w:rsidRPr="0087510B">
        <w:t>,</w:t>
      </w:r>
      <w:r w:rsidR="005D34DC" w:rsidRPr="0087510B">
        <w:t xml:space="preserve"> and 64.5001(c)(3) of the Rules.</w:t>
      </w:r>
      <w:r w:rsidR="00424A9F" w:rsidRPr="0087510B">
        <w:rPr>
          <w:rStyle w:val="FootnoteReference"/>
          <w:sz w:val="22"/>
        </w:rPr>
        <w:footnoteReference w:id="12"/>
      </w:r>
      <w:r w:rsidR="005D34DC" w:rsidRPr="0087510B">
        <w:t xml:space="preserve">  </w:t>
      </w:r>
    </w:p>
    <w:p w:rsidR="007614EE" w:rsidRPr="0087510B" w:rsidRDefault="00F7760E" w:rsidP="007335F9">
      <w:pPr>
        <w:pStyle w:val="Heading2"/>
      </w:pPr>
      <w:r w:rsidRPr="0087510B">
        <w:t xml:space="preserve">PTT Apparently Failed to </w:t>
      </w:r>
      <w:r w:rsidR="000A5F05" w:rsidRPr="0087510B">
        <w:t>Obtain International Section 214 Authori</w:t>
      </w:r>
      <w:r w:rsidR="005D5934" w:rsidRPr="0087510B">
        <w:t xml:space="preserve">ty </w:t>
      </w:r>
      <w:r w:rsidR="000A5F05" w:rsidRPr="0087510B">
        <w:t>Before Providing International Telecommunications Service</w:t>
      </w:r>
      <w:r w:rsidR="00D81039" w:rsidRPr="0087510B">
        <w:t>s</w:t>
      </w:r>
    </w:p>
    <w:p w:rsidR="009F639D" w:rsidRPr="0087510B" w:rsidRDefault="00465126" w:rsidP="009F639D">
      <w:pPr>
        <w:pStyle w:val="ParaNum"/>
      </w:pPr>
      <w:r w:rsidRPr="0087510B">
        <w:t>We find that PTT apparently violated Section 214(a) of the Act and Section 63.18 of the Rules by willfully o</w:t>
      </w:r>
      <w:r w:rsidR="00E76F40" w:rsidRPr="0087510B">
        <w:t>r</w:t>
      </w:r>
      <w:r w:rsidRPr="0087510B">
        <w:t xml:space="preserve"> repeatedly provid</w:t>
      </w:r>
      <w:r w:rsidR="003F1CEB" w:rsidRPr="0087510B">
        <w:t>ing</w:t>
      </w:r>
      <w:r w:rsidRPr="0087510B">
        <w:t xml:space="preserve"> international telecommunications service</w:t>
      </w:r>
      <w:r w:rsidR="003F1CEB" w:rsidRPr="0087510B">
        <w:t>s</w:t>
      </w:r>
      <w:r w:rsidR="00E41618" w:rsidRPr="0087510B">
        <w:t xml:space="preserve"> without international Section 214 </w:t>
      </w:r>
      <w:r w:rsidR="00BA229D" w:rsidRPr="0087510B">
        <w:t>authority</w:t>
      </w:r>
      <w:r w:rsidR="00E41618" w:rsidRPr="0087510B">
        <w:t xml:space="preserve"> from January 1, 2010, until May 9, 2013</w:t>
      </w:r>
      <w:r w:rsidRPr="0087510B">
        <w:t xml:space="preserve">.  </w:t>
      </w:r>
      <w:r w:rsidR="007614EE" w:rsidRPr="0087510B">
        <w:t xml:space="preserve">Section </w:t>
      </w:r>
      <w:r w:rsidR="000A5F05" w:rsidRPr="0087510B">
        <w:t xml:space="preserve">214(a) of the Act prohibits any carrier from constructing, extending, </w:t>
      </w:r>
      <w:r w:rsidR="00387F29" w:rsidRPr="0087510B">
        <w:t>acquiring,</w:t>
      </w:r>
      <w:r w:rsidR="000A5F05" w:rsidRPr="0087510B">
        <w:t xml:space="preserve"> or operating any line, an</w:t>
      </w:r>
      <w:r w:rsidR="006E12B7" w:rsidRPr="0087510B">
        <w:t>d fro</w:t>
      </w:r>
      <w:r w:rsidR="000A5F05" w:rsidRPr="0087510B">
        <w:t>m engaging in transmission through any such line, without first obtaining a certification of authorization from the Commission.</w:t>
      </w:r>
      <w:r w:rsidR="000A5F05" w:rsidRPr="0087510B">
        <w:rPr>
          <w:rStyle w:val="FootnoteReference"/>
          <w:sz w:val="22"/>
        </w:rPr>
        <w:footnoteReference w:id="13"/>
      </w:r>
      <w:r w:rsidR="000A5F05" w:rsidRPr="0087510B">
        <w:t xml:space="preserve">  </w:t>
      </w:r>
      <w:r w:rsidR="009F639D" w:rsidRPr="0087510B">
        <w:t xml:space="preserve">While the Commission has granted </w:t>
      </w:r>
      <w:r w:rsidR="002D2E3A" w:rsidRPr="0087510B">
        <w:t>“</w:t>
      </w:r>
      <w:r w:rsidR="009F639D" w:rsidRPr="0087510B">
        <w:t>blanket</w:t>
      </w:r>
      <w:r w:rsidR="002D2E3A" w:rsidRPr="0087510B">
        <w:t>”</w:t>
      </w:r>
      <w:r w:rsidR="009F639D" w:rsidRPr="0087510B">
        <w:t xml:space="preserve"> authority to carriers providing domestic service, meaning that such carriers need not apply to the Commission for such authority before providing domestic service,</w:t>
      </w:r>
      <w:r w:rsidR="009F639D" w:rsidRPr="0087510B">
        <w:rPr>
          <w:rStyle w:val="FootnoteReference"/>
          <w:sz w:val="22"/>
        </w:rPr>
        <w:footnoteReference w:id="14"/>
      </w:r>
      <w:r w:rsidR="009F639D" w:rsidRPr="0087510B">
        <w:t xml:space="preserve"> the Commission has not </w:t>
      </w:r>
      <w:r w:rsidR="00E76F40" w:rsidRPr="0087510B">
        <w:t>granted</w:t>
      </w:r>
      <w:r w:rsidR="00E76F40" w:rsidRPr="0087510B" w:rsidDel="00465126">
        <w:t xml:space="preserve"> </w:t>
      </w:r>
      <w:r w:rsidR="009F639D" w:rsidRPr="0087510B">
        <w:t xml:space="preserve">the same </w:t>
      </w:r>
      <w:r w:rsidRPr="0087510B">
        <w:t xml:space="preserve">authority </w:t>
      </w:r>
      <w:r w:rsidR="009F639D" w:rsidRPr="0087510B">
        <w:t>for providers of international telecommunications services.</w:t>
      </w:r>
      <w:r w:rsidR="009F639D" w:rsidRPr="0087510B">
        <w:rPr>
          <w:rStyle w:val="FootnoteReference"/>
          <w:sz w:val="22"/>
        </w:rPr>
        <w:footnoteReference w:id="15"/>
      </w:r>
      <w:r w:rsidR="009F639D" w:rsidRPr="0087510B">
        <w:t xml:space="preserve">  Instead, a carrier must seek and obtain Section 214 </w:t>
      </w:r>
      <w:r w:rsidR="0040327A" w:rsidRPr="0087510B">
        <w:t>authority</w:t>
      </w:r>
      <w:r w:rsidR="009F639D" w:rsidRPr="0087510B">
        <w:t xml:space="preserve"> from the Commission prior to providing international telecommunications services.</w:t>
      </w:r>
      <w:r w:rsidR="009F639D" w:rsidRPr="0087510B">
        <w:rPr>
          <w:rStyle w:val="FootnoteReference"/>
          <w:sz w:val="22"/>
        </w:rPr>
        <w:footnoteReference w:id="16"/>
      </w:r>
      <w:r w:rsidR="009F639D" w:rsidRPr="0087510B">
        <w:t xml:space="preserve">  The Commission has explained that the international Section 214 review process enables the Commission to </w:t>
      </w:r>
      <w:r w:rsidR="00C41C22" w:rsidRPr="0087510B">
        <w:t xml:space="preserve">screen </w:t>
      </w:r>
      <w:r w:rsidR="009F639D" w:rsidRPr="0087510B">
        <w:t xml:space="preserve">applications for risks to competition, particularly in situations where the applicant has an affiliation with a foreign carrier with market power on the foreign end of the route that may be able to leverage that market power to discriminate against U.S. competitors to the detriment of U.S. </w:t>
      </w:r>
      <w:r w:rsidR="00C41C22" w:rsidRPr="0087510B">
        <w:t>c</w:t>
      </w:r>
      <w:r w:rsidR="009F639D" w:rsidRPr="0087510B">
        <w:t>onsumers.</w:t>
      </w:r>
      <w:r w:rsidR="009F639D" w:rsidRPr="0087510B">
        <w:rPr>
          <w:rStyle w:val="FootnoteReference"/>
          <w:sz w:val="22"/>
        </w:rPr>
        <w:footnoteReference w:id="17"/>
      </w:r>
      <w:r w:rsidR="009F639D" w:rsidRPr="0087510B">
        <w:t xml:space="preserve">  </w:t>
      </w:r>
    </w:p>
    <w:p w:rsidR="009F639D" w:rsidRPr="0087510B" w:rsidRDefault="009F639D" w:rsidP="00E965A7">
      <w:pPr>
        <w:pStyle w:val="ParaNum"/>
        <w:keepNext/>
        <w:widowControl/>
      </w:pPr>
      <w:r w:rsidRPr="0087510B">
        <w:t xml:space="preserve">Section 63.18 of the Rules requires that any carrier that seeks Section 214 authority </w:t>
      </w:r>
      <w:r w:rsidR="002D2E3A" w:rsidRPr="0087510B">
        <w:t>“</w:t>
      </w:r>
      <w:r w:rsidRPr="0087510B">
        <w:t>for the provision of common carrier communications services between the United States, its territories or possession</w:t>
      </w:r>
      <w:r w:rsidR="00566BE3" w:rsidRPr="0087510B">
        <w:t>s</w:t>
      </w:r>
      <w:r w:rsidRPr="0087510B">
        <w:t>, and a foreign point shall request such authority by formal application.</w:t>
      </w:r>
      <w:r w:rsidR="002D2E3A" w:rsidRPr="0087510B">
        <w:t>”</w:t>
      </w:r>
      <w:r w:rsidRPr="0087510B">
        <w:rPr>
          <w:rStyle w:val="FootnoteReference"/>
          <w:sz w:val="22"/>
        </w:rPr>
        <w:footnoteReference w:id="18"/>
      </w:r>
      <w:r w:rsidRPr="0087510B">
        <w:t xml:space="preserve">  Through this process</w:t>
      </w:r>
      <w:r w:rsidR="00566BE3" w:rsidRPr="0087510B">
        <w:t>,</w:t>
      </w:r>
      <w:r w:rsidRPr="0087510B">
        <w:t xml:space="preserve"> the applicant provides the Commission with, among other things, contact information, ownership information, information on any affiliations it may have with foreign carriers, </w:t>
      </w:r>
      <w:r w:rsidR="00D81039" w:rsidRPr="0087510B">
        <w:t xml:space="preserve">a </w:t>
      </w:r>
      <w:r w:rsidRPr="0087510B">
        <w:t xml:space="preserve">certification that it will comply with Commission rules, and </w:t>
      </w:r>
      <w:r w:rsidR="00D81039" w:rsidRPr="0087510B">
        <w:t xml:space="preserve">a </w:t>
      </w:r>
      <w:r w:rsidRPr="0087510B">
        <w:t xml:space="preserve">certification that the applicant is not subject to denial of </w:t>
      </w:r>
      <w:r w:rsidR="00D81039" w:rsidRPr="0087510B">
        <w:t>f</w:t>
      </w:r>
      <w:r w:rsidRPr="0087510B">
        <w:t>ederal benefits pursuant to the Anti-Drug Abuse Act of 1988.</w:t>
      </w:r>
      <w:r w:rsidRPr="0087510B">
        <w:rPr>
          <w:rStyle w:val="FootnoteReference"/>
          <w:sz w:val="22"/>
        </w:rPr>
        <w:footnoteReference w:id="19"/>
      </w:r>
      <w:r w:rsidRPr="0087510B">
        <w:t xml:space="preserve">  Section 63.18(e)(2)</w:t>
      </w:r>
      <w:r w:rsidR="006E12B7" w:rsidRPr="0087510B">
        <w:t xml:space="preserve"> </w:t>
      </w:r>
      <w:r w:rsidR="00C41C22" w:rsidRPr="0087510B">
        <w:t xml:space="preserve">of the Rules </w:t>
      </w:r>
      <w:r w:rsidRPr="0087510B">
        <w:t xml:space="preserve">establishes specific requirements for parties </w:t>
      </w:r>
      <w:r w:rsidR="002D2E3A" w:rsidRPr="0087510B">
        <w:t>“</w:t>
      </w:r>
      <w:r w:rsidRPr="0087510B">
        <w:t>applying for authority to resell the international services of authorized common carr</w:t>
      </w:r>
      <w:r w:rsidR="006E12B7" w:rsidRPr="0087510B">
        <w:t>iers,</w:t>
      </w:r>
      <w:r w:rsidR="002D2E3A" w:rsidRPr="0087510B">
        <w:t>”</w:t>
      </w:r>
      <w:r w:rsidR="006E12B7" w:rsidRPr="0087510B">
        <w:t xml:space="preserve"> and Section 63.23 of the R</w:t>
      </w:r>
      <w:r w:rsidRPr="0087510B">
        <w:t xml:space="preserve">ules, in turn, identifies the conditions that apply to </w:t>
      </w:r>
      <w:r w:rsidR="002D2E3A" w:rsidRPr="0087510B">
        <w:t>“</w:t>
      </w:r>
      <w:r w:rsidRPr="0087510B">
        <w:t>carriers authorized to resell the international services of other authorized carriers.</w:t>
      </w:r>
      <w:r w:rsidR="002D2E3A" w:rsidRPr="0087510B">
        <w:t>”</w:t>
      </w:r>
      <w:r w:rsidRPr="0087510B">
        <w:rPr>
          <w:rStyle w:val="FootnoteReference"/>
          <w:sz w:val="22"/>
        </w:rPr>
        <w:footnoteReference w:id="20"/>
      </w:r>
      <w:r w:rsidRPr="0087510B">
        <w:t xml:space="preserve"> </w:t>
      </w:r>
    </w:p>
    <w:p w:rsidR="00BC1105" w:rsidRPr="0087510B" w:rsidRDefault="009F639D" w:rsidP="00B82556">
      <w:pPr>
        <w:pStyle w:val="ParaNum"/>
      </w:pPr>
      <w:r w:rsidRPr="0087510B">
        <w:t xml:space="preserve">In its </w:t>
      </w:r>
      <w:r w:rsidRPr="0087510B">
        <w:rPr>
          <w:i/>
        </w:rPr>
        <w:t>LOI Response</w:t>
      </w:r>
      <w:r w:rsidRPr="0087510B">
        <w:t>, PTT state</w:t>
      </w:r>
      <w:r w:rsidR="0040327A" w:rsidRPr="0087510B">
        <w:t>s</w:t>
      </w:r>
      <w:r w:rsidRPr="0087510B">
        <w:t xml:space="preserve"> that it began providing international telecommunications service</w:t>
      </w:r>
      <w:r w:rsidR="00E76F40" w:rsidRPr="0087510B">
        <w:t>s</w:t>
      </w:r>
      <w:r w:rsidRPr="0087510B">
        <w:t xml:space="preserve"> on January 1, 2010.</w:t>
      </w:r>
      <w:r w:rsidRPr="0087510B">
        <w:rPr>
          <w:rStyle w:val="FootnoteReference"/>
          <w:sz w:val="22"/>
        </w:rPr>
        <w:footnoteReference w:id="21"/>
      </w:r>
      <w:r w:rsidRPr="0087510B">
        <w:t xml:space="preserve">  PTT did not apply for international Section 214 authority until April 15, 2013</w:t>
      </w:r>
      <w:r w:rsidR="0040327A" w:rsidRPr="0087510B">
        <w:t xml:space="preserve">, </w:t>
      </w:r>
      <w:r w:rsidR="00D81039" w:rsidRPr="0087510B">
        <w:t xml:space="preserve">three days </w:t>
      </w:r>
      <w:r w:rsidR="0040327A" w:rsidRPr="0087510B">
        <w:t xml:space="preserve">after </w:t>
      </w:r>
      <w:r w:rsidR="00D81039" w:rsidRPr="0087510B">
        <w:t xml:space="preserve">acknowledging receipt of </w:t>
      </w:r>
      <w:r w:rsidR="0040327A" w:rsidRPr="0087510B">
        <w:t>the Bureau</w:t>
      </w:r>
      <w:r w:rsidR="002D2E3A" w:rsidRPr="0087510B">
        <w:t>’</w:t>
      </w:r>
      <w:r w:rsidR="00C41C22" w:rsidRPr="0087510B">
        <w:t>s</w:t>
      </w:r>
      <w:r w:rsidR="0040327A" w:rsidRPr="0087510B">
        <w:t xml:space="preserve"> </w:t>
      </w:r>
      <w:r w:rsidR="0040327A" w:rsidRPr="0087510B">
        <w:rPr>
          <w:i/>
        </w:rPr>
        <w:t>LOI</w:t>
      </w:r>
      <w:r w:rsidR="00D81039" w:rsidRPr="0087510B">
        <w:t xml:space="preserve"> on April 12, 2013</w:t>
      </w:r>
      <w:r w:rsidRPr="0087510B">
        <w:t>.</w:t>
      </w:r>
      <w:r w:rsidRPr="0087510B">
        <w:rPr>
          <w:rStyle w:val="FootnoteReference"/>
          <w:sz w:val="22"/>
        </w:rPr>
        <w:footnoteReference w:id="22"/>
      </w:r>
      <w:r w:rsidRPr="0087510B">
        <w:t xml:space="preserve">  At the time of its application</w:t>
      </w:r>
      <w:r w:rsidR="0040327A" w:rsidRPr="0087510B">
        <w:t>, PTT</w:t>
      </w:r>
      <w:r w:rsidRPr="0087510B">
        <w:t xml:space="preserve"> did not disclose to the </w:t>
      </w:r>
      <w:r w:rsidR="0067413F" w:rsidRPr="0087510B">
        <w:t>Commission</w:t>
      </w:r>
      <w:r w:rsidR="002D2E3A" w:rsidRPr="0087510B">
        <w:t>’</w:t>
      </w:r>
      <w:r w:rsidR="0067413F" w:rsidRPr="0087510B">
        <w:t xml:space="preserve">s </w:t>
      </w:r>
      <w:r w:rsidRPr="0087510B">
        <w:t xml:space="preserve">International Bureau </w:t>
      </w:r>
      <w:r w:rsidR="0067413F" w:rsidRPr="0087510B">
        <w:t xml:space="preserve">that </w:t>
      </w:r>
      <w:r w:rsidR="0040327A" w:rsidRPr="0087510B">
        <w:t xml:space="preserve">it </w:t>
      </w:r>
      <w:r w:rsidRPr="0087510B">
        <w:t>had been providing international telecommunications service</w:t>
      </w:r>
      <w:r w:rsidR="0040327A" w:rsidRPr="0087510B">
        <w:t xml:space="preserve">s without authorization.  Nor </w:t>
      </w:r>
      <w:r w:rsidRPr="0087510B">
        <w:t xml:space="preserve">did PTT apply for or receive </w:t>
      </w:r>
      <w:r w:rsidR="0040327A" w:rsidRPr="0087510B">
        <w:t>s</w:t>
      </w:r>
      <w:r w:rsidRPr="0087510B">
        <w:t xml:space="preserve">pecial </w:t>
      </w:r>
      <w:r w:rsidR="0040327A" w:rsidRPr="0087510B">
        <w:t>t</w:t>
      </w:r>
      <w:r w:rsidRPr="0087510B">
        <w:t xml:space="preserve">emporary </w:t>
      </w:r>
      <w:r w:rsidR="0040327A" w:rsidRPr="0087510B">
        <w:t>a</w:t>
      </w:r>
      <w:r w:rsidRPr="0087510B">
        <w:t xml:space="preserve">uthority to </w:t>
      </w:r>
      <w:r w:rsidR="0040327A" w:rsidRPr="0087510B">
        <w:t xml:space="preserve">provide </w:t>
      </w:r>
      <w:r w:rsidRPr="0087510B">
        <w:t xml:space="preserve">international </w:t>
      </w:r>
      <w:r w:rsidR="0067413F" w:rsidRPr="0087510B">
        <w:t xml:space="preserve">telecommunications </w:t>
      </w:r>
      <w:r w:rsidRPr="0087510B">
        <w:t>service</w:t>
      </w:r>
      <w:r w:rsidR="00E76F40" w:rsidRPr="0087510B">
        <w:t>s</w:t>
      </w:r>
      <w:r w:rsidRPr="0087510B">
        <w:t xml:space="preserve"> </w:t>
      </w:r>
      <w:r w:rsidR="0040327A" w:rsidRPr="0087510B">
        <w:t xml:space="preserve">while </w:t>
      </w:r>
      <w:r w:rsidRPr="0087510B">
        <w:t xml:space="preserve">its application for </w:t>
      </w:r>
      <w:r w:rsidR="0040327A" w:rsidRPr="0087510B">
        <w:t xml:space="preserve">permanent </w:t>
      </w:r>
      <w:r w:rsidRPr="0087510B">
        <w:t>authori</w:t>
      </w:r>
      <w:r w:rsidR="0040327A" w:rsidRPr="0087510B">
        <w:t>ty was pending.</w:t>
      </w:r>
      <w:r w:rsidRPr="0087510B">
        <w:rPr>
          <w:rStyle w:val="FootnoteReference"/>
          <w:sz w:val="22"/>
        </w:rPr>
        <w:footnoteReference w:id="23"/>
      </w:r>
      <w:r w:rsidRPr="0087510B">
        <w:t xml:space="preserve">  </w:t>
      </w:r>
      <w:r w:rsidR="00E76F40" w:rsidRPr="0087510B">
        <w:t xml:space="preserve">The Commission has determined that a </w:t>
      </w:r>
      <w:r w:rsidR="002D2E3A" w:rsidRPr="0087510B">
        <w:t>“</w:t>
      </w:r>
      <w:r w:rsidRPr="0087510B">
        <w:t xml:space="preserve">failure to obtain an international Section 214 authorization prior to offering international telecommunications service constitutes a continuing violation until the violation </w:t>
      </w:r>
      <w:r w:rsidR="00E76F40" w:rsidRPr="0087510B">
        <w:t xml:space="preserve">is </w:t>
      </w:r>
      <w:r w:rsidRPr="0087510B">
        <w:t>cured</w:t>
      </w:r>
      <w:r w:rsidR="00551E15" w:rsidRPr="0087510B">
        <w:t>.</w:t>
      </w:r>
      <w:r w:rsidR="002D2E3A" w:rsidRPr="0087510B">
        <w:t>”</w:t>
      </w:r>
      <w:r w:rsidRPr="0087510B">
        <w:rPr>
          <w:rStyle w:val="FootnoteReference"/>
          <w:sz w:val="22"/>
        </w:rPr>
        <w:footnoteReference w:id="24"/>
      </w:r>
      <w:r w:rsidR="00551E15" w:rsidRPr="0087510B">
        <w:t xml:space="preserve">  </w:t>
      </w:r>
      <w:r w:rsidR="00E76F40" w:rsidRPr="0087510B">
        <w:t xml:space="preserve">Here, </w:t>
      </w:r>
      <w:r w:rsidR="00D81039" w:rsidRPr="0087510B">
        <w:t>PTT did not cure its continuing violati</w:t>
      </w:r>
      <w:r w:rsidR="00E76F40" w:rsidRPr="0087510B">
        <w:t>o</w:t>
      </w:r>
      <w:r w:rsidR="00D81039" w:rsidRPr="0087510B">
        <w:t xml:space="preserve">n </w:t>
      </w:r>
      <w:r w:rsidR="00551E15" w:rsidRPr="0087510B">
        <w:t xml:space="preserve">until </w:t>
      </w:r>
      <w:r w:rsidRPr="0087510B">
        <w:t xml:space="preserve">May 10, 2013, </w:t>
      </w:r>
      <w:r w:rsidR="00551E15" w:rsidRPr="0087510B">
        <w:t xml:space="preserve">the date the </w:t>
      </w:r>
      <w:r w:rsidRPr="0087510B">
        <w:t>Commission</w:t>
      </w:r>
      <w:r w:rsidR="002D2E3A" w:rsidRPr="0087510B">
        <w:t>’</w:t>
      </w:r>
      <w:r w:rsidRPr="0087510B">
        <w:t>s International Bureau granted PTT</w:t>
      </w:r>
      <w:r w:rsidR="002D2E3A" w:rsidRPr="0087510B">
        <w:t>’</w:t>
      </w:r>
      <w:r w:rsidRPr="0087510B">
        <w:t>s application for international Section 214 authority.</w:t>
      </w:r>
      <w:r w:rsidRPr="0087510B">
        <w:rPr>
          <w:rStyle w:val="FootnoteReference"/>
          <w:sz w:val="22"/>
        </w:rPr>
        <w:footnoteReference w:id="25"/>
      </w:r>
      <w:r w:rsidRPr="0087510B">
        <w:t xml:space="preserve">  Based on the preponderance of the evidence, we find that PTT apparently violated Section 214(a) of the Act and Section 63.18 of the Rules by </w:t>
      </w:r>
      <w:r w:rsidR="00050A2A" w:rsidRPr="0087510B">
        <w:t xml:space="preserve">willfully </w:t>
      </w:r>
      <w:r w:rsidR="00404BE2" w:rsidRPr="0087510B">
        <w:t xml:space="preserve">or </w:t>
      </w:r>
      <w:r w:rsidR="00050A2A" w:rsidRPr="0087510B">
        <w:t xml:space="preserve">repeatedly </w:t>
      </w:r>
      <w:r w:rsidRPr="0087510B">
        <w:t>providing international telecommunications service</w:t>
      </w:r>
      <w:r w:rsidR="00E76F40" w:rsidRPr="0087510B">
        <w:t>s</w:t>
      </w:r>
      <w:r w:rsidRPr="0087510B">
        <w:t xml:space="preserve"> without Section 214 authori</w:t>
      </w:r>
      <w:r w:rsidR="00551E15" w:rsidRPr="0087510B">
        <w:t xml:space="preserve">ty </w:t>
      </w:r>
      <w:r w:rsidRPr="0087510B">
        <w:t>from January 1, 2010</w:t>
      </w:r>
      <w:r w:rsidR="00D81039" w:rsidRPr="0087510B">
        <w:t xml:space="preserve">, through </w:t>
      </w:r>
      <w:r w:rsidR="0067413F" w:rsidRPr="0087510B">
        <w:t>May 9</w:t>
      </w:r>
      <w:r w:rsidRPr="0087510B">
        <w:t>, 2013.</w:t>
      </w:r>
      <w:r w:rsidR="00A338E3" w:rsidRPr="0087510B">
        <w:rPr>
          <w:rStyle w:val="FootnoteReference"/>
          <w:sz w:val="22"/>
        </w:rPr>
        <w:footnoteReference w:id="26"/>
      </w:r>
    </w:p>
    <w:p w:rsidR="00D55922" w:rsidRPr="0087510B" w:rsidRDefault="00F7760E" w:rsidP="007335F9">
      <w:pPr>
        <w:pStyle w:val="Heading2"/>
      </w:pPr>
      <w:r w:rsidRPr="0087510B">
        <w:t xml:space="preserve">PTT Apparently Failed to Timely File </w:t>
      </w:r>
      <w:r w:rsidR="00D55922" w:rsidRPr="0087510B">
        <w:t xml:space="preserve">Annual Telecommunications Reporting Worksheets </w:t>
      </w:r>
      <w:r w:rsidRPr="0087510B">
        <w:t xml:space="preserve">for </w:t>
      </w:r>
      <w:r w:rsidR="00F4156A" w:rsidRPr="0087510B">
        <w:t xml:space="preserve">2011, </w:t>
      </w:r>
      <w:r w:rsidRPr="0087510B">
        <w:t>2012</w:t>
      </w:r>
      <w:r w:rsidR="00F4156A" w:rsidRPr="0087510B">
        <w:t>,</w:t>
      </w:r>
      <w:r w:rsidRPr="0087510B">
        <w:t xml:space="preserve"> and 2013</w:t>
      </w:r>
    </w:p>
    <w:p w:rsidR="00853E55" w:rsidRPr="0087510B" w:rsidRDefault="00E76F40" w:rsidP="007614EE">
      <w:pPr>
        <w:pStyle w:val="ParaNum"/>
      </w:pPr>
      <w:r w:rsidRPr="0087510B">
        <w:t xml:space="preserve">We find that PTT apparently violated </w:t>
      </w:r>
      <w:r w:rsidR="00F4156A" w:rsidRPr="0087510B">
        <w:t xml:space="preserve">Sections 52.32(b), 54.711, </w:t>
      </w:r>
      <w:r w:rsidR="004A49AC" w:rsidRPr="0087510B">
        <w:t xml:space="preserve">and </w:t>
      </w:r>
      <w:r w:rsidR="00F4156A" w:rsidRPr="0087510B">
        <w:t>64.604(c)(5)(iii)(B) of the Rules by willfully or repeatedly failing to timely file annual Telecommunications Reporting Worksheets (FCC Forms 499-A</w:t>
      </w:r>
      <w:r w:rsidR="007F222E">
        <w:t xml:space="preserve"> or Worksheets</w:t>
      </w:r>
      <w:r w:rsidR="00F4156A" w:rsidRPr="0087510B">
        <w:t xml:space="preserve">) for 2011, 2012, and  2013.  </w:t>
      </w:r>
      <w:r w:rsidR="00D55922" w:rsidRPr="0087510B">
        <w:t xml:space="preserve">The </w:t>
      </w:r>
      <w:r w:rsidR="00EF5EBC" w:rsidRPr="0087510B">
        <w:t>Act</w:t>
      </w:r>
      <w:r w:rsidR="005B6AB7" w:rsidRPr="0087510B">
        <w:t xml:space="preserve"> directs the </w:t>
      </w:r>
      <w:r w:rsidR="00D55922" w:rsidRPr="0087510B">
        <w:t>Commission to establish</w:t>
      </w:r>
      <w:r w:rsidR="005B6AB7" w:rsidRPr="0087510B">
        <w:t>, administer, and maintain programs</w:t>
      </w:r>
      <w:r w:rsidR="00784906" w:rsidRPr="0087510B">
        <w:t xml:space="preserve"> to promote universal service</w:t>
      </w:r>
      <w:r w:rsidR="007F222E">
        <w:t xml:space="preserve"> and</w:t>
      </w:r>
      <w:r w:rsidR="00F6715D" w:rsidRPr="0087510B">
        <w:t xml:space="preserve"> TRS,</w:t>
      </w:r>
      <w:r w:rsidR="00784906" w:rsidRPr="0087510B">
        <w:t xml:space="preserve"> and </w:t>
      </w:r>
      <w:r w:rsidR="007F222E">
        <w:t xml:space="preserve">to </w:t>
      </w:r>
      <w:r w:rsidR="00784906" w:rsidRPr="0087510B">
        <w:t>ensure LNP</w:t>
      </w:r>
      <w:r w:rsidR="00CC56DE" w:rsidRPr="0087510B">
        <w:t xml:space="preserve"> and </w:t>
      </w:r>
      <w:r w:rsidR="007F222E">
        <w:t xml:space="preserve">effective </w:t>
      </w:r>
      <w:r w:rsidR="00CC56DE" w:rsidRPr="0087510B">
        <w:t>numbering administration more generally</w:t>
      </w:r>
      <w:r w:rsidR="00784906" w:rsidRPr="0087510B">
        <w:t>, among other mandates.</w:t>
      </w:r>
      <w:r w:rsidR="00784906" w:rsidRPr="0087510B">
        <w:rPr>
          <w:rStyle w:val="FootnoteReference"/>
          <w:sz w:val="22"/>
        </w:rPr>
        <w:footnoteReference w:id="27"/>
      </w:r>
      <w:r w:rsidR="00784906" w:rsidRPr="0087510B">
        <w:t xml:space="preserve">  To help accomplish these goals, the Commission has established the</w:t>
      </w:r>
      <w:r w:rsidR="005B6AB7" w:rsidRPr="0087510B">
        <w:t xml:space="preserve"> </w:t>
      </w:r>
      <w:r w:rsidR="00D55922" w:rsidRPr="0087510B">
        <w:t xml:space="preserve">USF, </w:t>
      </w:r>
      <w:r w:rsidR="00A073C1" w:rsidRPr="0087510B">
        <w:t xml:space="preserve">the </w:t>
      </w:r>
      <w:r w:rsidR="00D55922" w:rsidRPr="0087510B">
        <w:t>TRS</w:t>
      </w:r>
      <w:r w:rsidR="00A073C1" w:rsidRPr="0087510B">
        <w:t xml:space="preserve"> Fund</w:t>
      </w:r>
      <w:r w:rsidR="00D55922" w:rsidRPr="0087510B">
        <w:t xml:space="preserve">, and </w:t>
      </w:r>
      <w:r w:rsidR="00F4156A" w:rsidRPr="0087510B">
        <w:t xml:space="preserve">cost recovery </w:t>
      </w:r>
      <w:r w:rsidR="007723D2" w:rsidRPr="0087510B">
        <w:t>mechanism</w:t>
      </w:r>
      <w:r w:rsidR="00F4156A" w:rsidRPr="0087510B">
        <w:t>s</w:t>
      </w:r>
      <w:r w:rsidR="007723D2" w:rsidRPr="0087510B">
        <w:t xml:space="preserve"> for LNP</w:t>
      </w:r>
      <w:r w:rsidR="00F4156A" w:rsidRPr="0087510B">
        <w:t xml:space="preserve"> and NANP</w:t>
      </w:r>
      <w:r w:rsidR="00D55922" w:rsidRPr="0087510B">
        <w:t xml:space="preserve">.  </w:t>
      </w:r>
      <w:r w:rsidR="00BF55D4" w:rsidRPr="0087510B">
        <w:t>As Congress has directed,</w:t>
      </w:r>
      <w:r w:rsidR="00BF55D4" w:rsidRPr="0087510B">
        <w:rPr>
          <w:rStyle w:val="FootnoteReference"/>
          <w:sz w:val="22"/>
        </w:rPr>
        <w:footnoteReference w:id="28"/>
      </w:r>
      <w:r w:rsidR="00BF55D4" w:rsidRPr="0087510B">
        <w:t xml:space="preserve"> t</w:t>
      </w:r>
      <w:r w:rsidR="00784906" w:rsidRPr="0087510B">
        <w:t xml:space="preserve">he Commission funds these programs though assessments on telecommunications providers.  </w:t>
      </w:r>
      <w:r w:rsidR="00CD1EFB" w:rsidRPr="0087510B">
        <w:t xml:space="preserve">To gather the </w:t>
      </w:r>
      <w:r w:rsidR="007723D2" w:rsidRPr="0087510B">
        <w:t xml:space="preserve">data </w:t>
      </w:r>
      <w:r w:rsidR="00CD1EFB" w:rsidRPr="0087510B">
        <w:t>necessary</w:t>
      </w:r>
      <w:r w:rsidR="0067413F" w:rsidRPr="0087510B">
        <w:t xml:space="preserve"> to </w:t>
      </w:r>
      <w:r w:rsidR="00784906" w:rsidRPr="0087510B">
        <w:t xml:space="preserve">calculate the assessments, </w:t>
      </w:r>
      <w:r w:rsidR="00CD1EFB" w:rsidRPr="0087510B">
        <w:t>the Commission requires</w:t>
      </w:r>
      <w:r w:rsidR="007723D2" w:rsidRPr="0087510B">
        <w:t xml:space="preserve"> international </w:t>
      </w:r>
      <w:r w:rsidR="00CD1EFB" w:rsidRPr="0087510B">
        <w:t>telecommunications</w:t>
      </w:r>
      <w:r w:rsidR="007723D2" w:rsidRPr="0087510B">
        <w:t xml:space="preserve"> service providers, among others,</w:t>
      </w:r>
      <w:r w:rsidR="00B82556" w:rsidRPr="0087510B">
        <w:t xml:space="preserve"> to file </w:t>
      </w:r>
      <w:r w:rsidR="00C14043" w:rsidRPr="0087510B">
        <w:t>annual</w:t>
      </w:r>
      <w:r w:rsidR="00B82556" w:rsidRPr="0087510B">
        <w:t xml:space="preserve"> Worksheets</w:t>
      </w:r>
      <w:r w:rsidR="00F6715D" w:rsidRPr="0087510B">
        <w:t xml:space="preserve"> </w:t>
      </w:r>
      <w:r w:rsidR="00B82556" w:rsidRPr="0087510B">
        <w:t xml:space="preserve">reporting </w:t>
      </w:r>
      <w:r w:rsidR="00CD1EFB" w:rsidRPr="0087510B">
        <w:t xml:space="preserve">the </w:t>
      </w:r>
      <w:r w:rsidR="00B82556" w:rsidRPr="0087510B">
        <w:t>providers</w:t>
      </w:r>
      <w:r w:rsidR="002D2E3A" w:rsidRPr="0087510B">
        <w:t>’</w:t>
      </w:r>
      <w:r w:rsidR="00B82556" w:rsidRPr="0087510B">
        <w:t xml:space="preserve"> </w:t>
      </w:r>
      <w:r w:rsidR="00CD1EFB" w:rsidRPr="0087510B">
        <w:t xml:space="preserve">revenues </w:t>
      </w:r>
      <w:r w:rsidR="00B82556" w:rsidRPr="0087510B">
        <w:t xml:space="preserve">from various types of </w:t>
      </w:r>
      <w:r w:rsidR="00CD1EFB" w:rsidRPr="0087510B">
        <w:t>service</w:t>
      </w:r>
      <w:r w:rsidR="00B82556" w:rsidRPr="0087510B">
        <w:t>s</w:t>
      </w:r>
      <w:r w:rsidR="00FF6EC5" w:rsidRPr="0087510B">
        <w:t xml:space="preserve"> during the preceding calendar year</w:t>
      </w:r>
      <w:r w:rsidR="00CD1EFB" w:rsidRPr="0087510B">
        <w:t>.</w:t>
      </w:r>
      <w:r w:rsidR="00130E06" w:rsidRPr="0087510B">
        <w:rPr>
          <w:rStyle w:val="FootnoteReference"/>
          <w:sz w:val="22"/>
        </w:rPr>
        <w:footnoteReference w:id="29"/>
      </w:r>
      <w:r w:rsidR="00CD1EFB" w:rsidRPr="0087510B">
        <w:t xml:space="preserve">  The </w:t>
      </w:r>
      <w:r w:rsidR="006605F8" w:rsidRPr="0087510B">
        <w:t>Administr</w:t>
      </w:r>
      <w:r w:rsidR="00CD1EFB" w:rsidRPr="0087510B">
        <w:t>ators of the USF, TRS, LNP</w:t>
      </w:r>
      <w:r w:rsidR="00F4156A" w:rsidRPr="0087510B">
        <w:t>, and NANP</w:t>
      </w:r>
      <w:r w:rsidR="00CD1EFB" w:rsidRPr="0087510B">
        <w:t xml:space="preserve"> programs</w:t>
      </w:r>
      <w:r w:rsidR="00B82556" w:rsidRPr="0087510B">
        <w:t xml:space="preserve"> </w:t>
      </w:r>
      <w:r w:rsidR="000E5541" w:rsidRPr="0087510B">
        <w:t xml:space="preserve">rely upon the </w:t>
      </w:r>
      <w:r w:rsidR="0009074E" w:rsidRPr="0087510B">
        <w:t xml:space="preserve">reported </w:t>
      </w:r>
      <w:r w:rsidR="000E5541" w:rsidRPr="0087510B">
        <w:t xml:space="preserve">data </w:t>
      </w:r>
      <w:r w:rsidR="00CD1EFB" w:rsidRPr="0087510B">
        <w:t xml:space="preserve">to calculate and assess any necessary </w:t>
      </w:r>
      <w:r w:rsidR="00130E06" w:rsidRPr="0087510B">
        <w:t xml:space="preserve">contributions. </w:t>
      </w:r>
      <w:r w:rsidR="009D4365">
        <w:t xml:space="preserve"> </w:t>
      </w:r>
      <w:r w:rsidR="00130E06" w:rsidRPr="0087510B">
        <w:t xml:space="preserve"> </w:t>
      </w:r>
      <w:r w:rsidR="0025412D" w:rsidRPr="0087510B">
        <w:t xml:space="preserve">Although some </w:t>
      </w:r>
      <w:r w:rsidR="00B82556" w:rsidRPr="0087510B">
        <w:t xml:space="preserve">providers </w:t>
      </w:r>
      <w:r w:rsidR="0025412D" w:rsidRPr="0087510B">
        <w:t xml:space="preserve">may not need to contribute to each </w:t>
      </w:r>
      <w:r w:rsidR="000E5541" w:rsidRPr="0087510B">
        <w:t xml:space="preserve">fund </w:t>
      </w:r>
      <w:r w:rsidR="0025412D" w:rsidRPr="0087510B">
        <w:t xml:space="preserve">and cost recovery mechanism, all telecommunications </w:t>
      </w:r>
      <w:r w:rsidR="00B82556" w:rsidRPr="0087510B">
        <w:t xml:space="preserve">service </w:t>
      </w:r>
      <w:r w:rsidR="0025412D" w:rsidRPr="0087510B">
        <w:t>providers must file</w:t>
      </w:r>
      <w:r w:rsidR="00B12B89" w:rsidRPr="0087510B">
        <w:t xml:space="preserve"> annual Worksheets</w:t>
      </w:r>
      <w:r w:rsidR="0025412D" w:rsidRPr="0087510B">
        <w:t>.</w:t>
      </w:r>
      <w:r w:rsidR="0025412D" w:rsidRPr="0087510B">
        <w:rPr>
          <w:rStyle w:val="FootnoteReference"/>
          <w:sz w:val="22"/>
        </w:rPr>
        <w:footnoteReference w:id="30"/>
      </w:r>
      <w:r w:rsidR="0025412D" w:rsidRPr="0087510B">
        <w:t xml:space="preserve">  </w:t>
      </w:r>
      <w:r w:rsidR="00FF6EC5" w:rsidRPr="0087510B">
        <w:t xml:space="preserve">The </w:t>
      </w:r>
      <w:r w:rsidR="00130E06" w:rsidRPr="0087510B">
        <w:t xml:space="preserve">Commission also uses the </w:t>
      </w:r>
      <w:r w:rsidR="00C14043" w:rsidRPr="0087510B">
        <w:t>annual</w:t>
      </w:r>
      <w:r w:rsidR="00B82556" w:rsidRPr="0087510B">
        <w:t xml:space="preserve"> </w:t>
      </w:r>
      <w:r w:rsidR="00130E06" w:rsidRPr="0087510B">
        <w:t xml:space="preserve">Worksheet </w:t>
      </w:r>
      <w:r w:rsidR="00426F0C" w:rsidRPr="0087510B">
        <w:t>data to calculate and assess ann</w:t>
      </w:r>
      <w:r w:rsidR="00130E06" w:rsidRPr="0087510B">
        <w:t xml:space="preserve">ual regulatory fees </w:t>
      </w:r>
      <w:r w:rsidR="00B82556" w:rsidRPr="0087510B">
        <w:t xml:space="preserve">in accordance with </w:t>
      </w:r>
      <w:r w:rsidR="00130E06" w:rsidRPr="0087510B">
        <w:t>the Act.</w:t>
      </w:r>
      <w:r w:rsidR="00130E06" w:rsidRPr="0087510B">
        <w:rPr>
          <w:rStyle w:val="FootnoteReference"/>
          <w:sz w:val="22"/>
        </w:rPr>
        <w:footnoteReference w:id="31"/>
      </w:r>
    </w:p>
    <w:p w:rsidR="00F7760E" w:rsidRDefault="005D0F71" w:rsidP="007614EE">
      <w:pPr>
        <w:pStyle w:val="ParaNum"/>
      </w:pPr>
      <w:r w:rsidRPr="0087510B">
        <w:t xml:space="preserve">PTT </w:t>
      </w:r>
      <w:r w:rsidR="00730179" w:rsidRPr="0087510B">
        <w:t xml:space="preserve">neglected to timely file </w:t>
      </w:r>
      <w:r w:rsidR="009F6F22" w:rsidRPr="0087510B">
        <w:t xml:space="preserve">required </w:t>
      </w:r>
      <w:r w:rsidR="00C14043" w:rsidRPr="0087510B">
        <w:t>annual</w:t>
      </w:r>
      <w:r w:rsidR="00050A2A" w:rsidRPr="0087510B">
        <w:t xml:space="preserve"> </w:t>
      </w:r>
      <w:r w:rsidR="00742407" w:rsidRPr="0087510B">
        <w:t xml:space="preserve">Worksheets for 2011, </w:t>
      </w:r>
      <w:r w:rsidR="00730179" w:rsidRPr="0087510B">
        <w:t>2012</w:t>
      </w:r>
      <w:r w:rsidR="00742407" w:rsidRPr="0087510B">
        <w:t>,</w:t>
      </w:r>
      <w:r w:rsidR="00730179" w:rsidRPr="0087510B">
        <w:t xml:space="preserve"> and 2013.  </w:t>
      </w:r>
      <w:r w:rsidR="003E496E">
        <w:t>These failures to timely file constituted continuing violations until the violations were cured.</w:t>
      </w:r>
      <w:r w:rsidR="003E496E">
        <w:rPr>
          <w:rStyle w:val="FootnoteReference"/>
        </w:rPr>
        <w:footnoteReference w:id="32"/>
      </w:r>
      <w:r w:rsidR="003E496E">
        <w:t xml:space="preserve">  </w:t>
      </w:r>
      <w:r w:rsidR="00B953DA" w:rsidRPr="0087510B">
        <w:t>T</w:t>
      </w:r>
      <w:r w:rsidR="002529C6" w:rsidRPr="0087510B">
        <w:t>he Company</w:t>
      </w:r>
      <w:r w:rsidR="002D2E3A" w:rsidRPr="0087510B">
        <w:t>’</w:t>
      </w:r>
      <w:r w:rsidR="002529C6" w:rsidRPr="0087510B">
        <w:t xml:space="preserve">s </w:t>
      </w:r>
      <w:r w:rsidR="00742407" w:rsidRPr="0087510B">
        <w:t xml:space="preserve">2011 Worksheet was due on April 1, 2011, but </w:t>
      </w:r>
      <w:r w:rsidR="00B12B89" w:rsidRPr="0087510B">
        <w:t xml:space="preserve">it </w:t>
      </w:r>
      <w:r w:rsidR="00742407" w:rsidRPr="0087510B">
        <w:t xml:space="preserve">was not received </w:t>
      </w:r>
      <w:r w:rsidR="00B12B89" w:rsidRPr="0087510B">
        <w:t xml:space="preserve">by the Commission </w:t>
      </w:r>
      <w:r w:rsidR="00742407" w:rsidRPr="0087510B">
        <w:t xml:space="preserve">until August 5, 2013, more than 28 months </w:t>
      </w:r>
      <w:r w:rsidR="00B12B89" w:rsidRPr="0087510B">
        <w:t>past its due date</w:t>
      </w:r>
      <w:r w:rsidR="00742407" w:rsidRPr="0087510B">
        <w:t>.</w:t>
      </w:r>
      <w:r w:rsidR="00742407" w:rsidRPr="0087510B">
        <w:rPr>
          <w:rStyle w:val="FootnoteReference"/>
          <w:sz w:val="22"/>
        </w:rPr>
        <w:footnoteReference w:id="33"/>
      </w:r>
      <w:r w:rsidR="00742407" w:rsidRPr="0087510B">
        <w:t xml:space="preserve">  The Company</w:t>
      </w:r>
      <w:r w:rsidR="002D2E3A" w:rsidRPr="0087510B">
        <w:t>’</w:t>
      </w:r>
      <w:r w:rsidR="00742407" w:rsidRPr="0087510B">
        <w:t xml:space="preserve">s </w:t>
      </w:r>
      <w:r w:rsidR="002529C6" w:rsidRPr="0087510B">
        <w:t xml:space="preserve">2012 Worksheet was due on April 1, 2012, but </w:t>
      </w:r>
      <w:r w:rsidR="00B12B89" w:rsidRPr="0087510B">
        <w:t xml:space="preserve">it </w:t>
      </w:r>
      <w:r w:rsidR="002529C6" w:rsidRPr="0087510B">
        <w:t xml:space="preserve">was not received until August 5, 2013, more than </w:t>
      </w:r>
      <w:r w:rsidR="00F4156A" w:rsidRPr="0087510B">
        <w:t xml:space="preserve">16 </w:t>
      </w:r>
      <w:r w:rsidR="002529C6" w:rsidRPr="0087510B">
        <w:t>months late.</w:t>
      </w:r>
      <w:r w:rsidR="00F7760E" w:rsidRPr="0087510B">
        <w:rPr>
          <w:rStyle w:val="FootnoteReference"/>
          <w:sz w:val="22"/>
        </w:rPr>
        <w:footnoteReference w:id="34"/>
      </w:r>
      <w:r w:rsidR="002529C6" w:rsidRPr="0087510B">
        <w:t xml:space="preserve">  PTT</w:t>
      </w:r>
      <w:r w:rsidR="002D2E3A" w:rsidRPr="0087510B">
        <w:t>’</w:t>
      </w:r>
      <w:r w:rsidR="002529C6" w:rsidRPr="0087510B">
        <w:t>s 2013 Worksheet was due on April 1, 2013, but</w:t>
      </w:r>
      <w:r w:rsidR="00B12B89" w:rsidRPr="0087510B">
        <w:t xml:space="preserve"> it</w:t>
      </w:r>
      <w:r w:rsidR="002529C6" w:rsidRPr="0087510B">
        <w:t xml:space="preserve"> was not received until July</w:t>
      </w:r>
      <w:r w:rsidR="00931F8C" w:rsidRPr="0087510B">
        <w:t xml:space="preserve"> 19, 2013</w:t>
      </w:r>
      <w:r w:rsidR="00B12B89" w:rsidRPr="0087510B">
        <w:t>, more than three months late</w:t>
      </w:r>
      <w:r w:rsidR="00931F8C" w:rsidRPr="0087510B">
        <w:t>.</w:t>
      </w:r>
      <w:r w:rsidR="00742407" w:rsidRPr="0087510B">
        <w:rPr>
          <w:rStyle w:val="FootnoteReference"/>
          <w:sz w:val="22"/>
        </w:rPr>
        <w:footnoteReference w:id="35"/>
      </w:r>
      <w:r w:rsidR="00931F8C" w:rsidRPr="0087510B">
        <w:t xml:space="preserve">  </w:t>
      </w:r>
      <w:r w:rsidR="00480440" w:rsidRPr="0087510B">
        <w:t xml:space="preserve">These three </w:t>
      </w:r>
      <w:r w:rsidR="00931F8C" w:rsidRPr="0087510B">
        <w:t>late filings w</w:t>
      </w:r>
      <w:r w:rsidR="002529C6" w:rsidRPr="0087510B">
        <w:t xml:space="preserve">ere made </w:t>
      </w:r>
      <w:r w:rsidR="00050A2A" w:rsidRPr="0087510B">
        <w:t xml:space="preserve">only </w:t>
      </w:r>
      <w:r w:rsidR="00931F8C" w:rsidRPr="0087510B">
        <w:t xml:space="preserve">after </w:t>
      </w:r>
      <w:r w:rsidR="00911282" w:rsidRPr="0087510B">
        <w:t xml:space="preserve">PTT had acknowledged </w:t>
      </w:r>
      <w:r w:rsidR="00B12B89" w:rsidRPr="0087510B">
        <w:t>receipt of</w:t>
      </w:r>
      <w:r w:rsidR="001021DC" w:rsidRPr="0087510B">
        <w:t xml:space="preserve"> the Bureau’s </w:t>
      </w:r>
      <w:r w:rsidR="00742407" w:rsidRPr="0087510B">
        <w:rPr>
          <w:i/>
        </w:rPr>
        <w:t>LOI</w:t>
      </w:r>
      <w:r w:rsidR="001021DC" w:rsidRPr="0087510B">
        <w:t>, which</w:t>
      </w:r>
      <w:r w:rsidR="00742407" w:rsidRPr="0087510B">
        <w:t xml:space="preserve"> </w:t>
      </w:r>
      <w:r w:rsidR="009F6F22" w:rsidRPr="0087510B">
        <w:t xml:space="preserve">had </w:t>
      </w:r>
      <w:r w:rsidR="00050A2A" w:rsidRPr="0087510B">
        <w:t xml:space="preserve">informed </w:t>
      </w:r>
      <w:r w:rsidR="00742407" w:rsidRPr="0087510B">
        <w:t xml:space="preserve">PTT </w:t>
      </w:r>
      <w:r w:rsidR="00050A2A" w:rsidRPr="0087510B">
        <w:t>that the Bureau was investigating the Company</w:t>
      </w:r>
      <w:r w:rsidR="002D2E3A" w:rsidRPr="0087510B">
        <w:t>’</w:t>
      </w:r>
      <w:r w:rsidR="009F6F22" w:rsidRPr="0087510B">
        <w:t xml:space="preserve">s compliance with the </w:t>
      </w:r>
      <w:r w:rsidR="00931F8C" w:rsidRPr="0087510B">
        <w:t>Worksheet</w:t>
      </w:r>
      <w:r w:rsidR="009F6F22" w:rsidRPr="0087510B">
        <w:t xml:space="preserve"> filing requirement</w:t>
      </w:r>
      <w:r w:rsidR="00931F8C" w:rsidRPr="0087510B">
        <w:t>.</w:t>
      </w:r>
      <w:r w:rsidR="00742407" w:rsidRPr="0087510B">
        <w:rPr>
          <w:rStyle w:val="FootnoteReference"/>
          <w:sz w:val="22"/>
        </w:rPr>
        <w:footnoteReference w:id="36"/>
      </w:r>
      <w:r w:rsidR="00931F8C" w:rsidRPr="0087510B">
        <w:t xml:space="preserve">  Based on the preponderance of the evidence, we find that PTT apparently</w:t>
      </w:r>
      <w:r w:rsidR="004E092B" w:rsidRPr="0087510B">
        <w:t xml:space="preserve"> willfully or repeatedly</w:t>
      </w:r>
      <w:r w:rsidR="00931F8C" w:rsidRPr="0087510B">
        <w:t xml:space="preserve"> violated Sections </w:t>
      </w:r>
      <w:r w:rsidR="00CA235C" w:rsidRPr="0087510B">
        <w:t>52.</w:t>
      </w:r>
      <w:r w:rsidR="000B2D7B" w:rsidRPr="0087510B">
        <w:t xml:space="preserve">32(b), 54.711, </w:t>
      </w:r>
      <w:r w:rsidR="00B12B89" w:rsidRPr="0087510B">
        <w:t xml:space="preserve">and </w:t>
      </w:r>
      <w:r w:rsidR="000B2D7B" w:rsidRPr="0087510B">
        <w:t>64.604</w:t>
      </w:r>
      <w:r w:rsidR="008522AF" w:rsidRPr="0087510B">
        <w:t xml:space="preserve">(c)(5)(iii)(B) of the Rules by failing to </w:t>
      </w:r>
      <w:r w:rsidR="004E092B" w:rsidRPr="0087510B">
        <w:t xml:space="preserve">timely </w:t>
      </w:r>
      <w:r w:rsidR="008522AF" w:rsidRPr="0087510B">
        <w:t xml:space="preserve">file its </w:t>
      </w:r>
      <w:r w:rsidR="00BC1105" w:rsidRPr="0087510B">
        <w:t>2011</w:t>
      </w:r>
      <w:r w:rsidR="004E092B" w:rsidRPr="0087510B">
        <w:t>,</w:t>
      </w:r>
      <w:r w:rsidR="00BC1105" w:rsidRPr="0087510B">
        <w:t xml:space="preserve"> </w:t>
      </w:r>
      <w:r w:rsidR="008522AF" w:rsidRPr="0087510B">
        <w:t>2012</w:t>
      </w:r>
      <w:r w:rsidR="004E092B" w:rsidRPr="0087510B">
        <w:t>, and 2013</w:t>
      </w:r>
      <w:r w:rsidR="008522AF" w:rsidRPr="0087510B">
        <w:t xml:space="preserve"> </w:t>
      </w:r>
      <w:r w:rsidR="00C14043" w:rsidRPr="0087510B">
        <w:t>annual</w:t>
      </w:r>
      <w:r w:rsidR="009F6F22" w:rsidRPr="0087510B">
        <w:t xml:space="preserve"> </w:t>
      </w:r>
      <w:r w:rsidR="008522AF" w:rsidRPr="0087510B">
        <w:t>Worksheet</w:t>
      </w:r>
      <w:r w:rsidR="00BC1105" w:rsidRPr="0087510B">
        <w:t>s</w:t>
      </w:r>
      <w:r w:rsidR="008522AF" w:rsidRPr="0087510B">
        <w:t>.</w:t>
      </w:r>
      <w:r w:rsidR="00BC1105" w:rsidRPr="0087510B">
        <w:rPr>
          <w:rStyle w:val="FootnoteReference"/>
          <w:sz w:val="22"/>
        </w:rPr>
        <w:footnoteReference w:id="37"/>
      </w:r>
      <w:r w:rsidR="008522AF" w:rsidRPr="0087510B">
        <w:t xml:space="preserve"> </w:t>
      </w:r>
    </w:p>
    <w:p w:rsidR="00652182" w:rsidRDefault="00652182" w:rsidP="007335F9">
      <w:pPr>
        <w:pStyle w:val="Heading2"/>
      </w:pPr>
      <w:r w:rsidRPr="0087510B">
        <w:t>PTT Apparently Failed to Timely Contribute to the TRS Fund</w:t>
      </w:r>
    </w:p>
    <w:p w:rsidR="00334553" w:rsidRPr="0087510B" w:rsidRDefault="00652182" w:rsidP="00E965A7">
      <w:pPr>
        <w:pStyle w:val="ParaNum"/>
        <w:keepNext/>
        <w:widowControl/>
      </w:pPr>
      <w:r w:rsidRPr="0087510B">
        <w:t>We also find that PTT apparently violated Section 225 of the Act and Section 64.604(c)(5)(iii) of the Rules by willfully or repeatedly failing to timely contribute to the TRS Fund.  Section 225(b)(1) of the Act, which codifies Title IV of the Americans with Disabilities Act of 1990, directs the Commission to “ensure that interstate and intrastate telecommunications relay services are</w:t>
      </w:r>
      <w:r>
        <w:t xml:space="preserve"> </w:t>
      </w:r>
      <w:r w:rsidR="00334553" w:rsidRPr="0087510B">
        <w:t>available, to the extent possible and in the most efficient manner, to hearing-impaired and speech-impaired individuals in the United States.</w:t>
      </w:r>
      <w:r w:rsidR="002D2E3A" w:rsidRPr="0087510B">
        <w:t>”</w:t>
      </w:r>
      <w:r w:rsidR="00953039" w:rsidRPr="0087510B">
        <w:rPr>
          <w:rStyle w:val="FootnoteReference"/>
          <w:sz w:val="22"/>
        </w:rPr>
        <w:footnoteReference w:id="38"/>
      </w:r>
      <w:r w:rsidR="00953039" w:rsidRPr="0087510B">
        <w:t xml:space="preserve"> </w:t>
      </w:r>
      <w:r w:rsidR="00953039" w:rsidRPr="0087510B">
        <w:rPr>
          <w:rStyle w:val="par1Char"/>
        </w:rPr>
        <w:t xml:space="preserve"> </w:t>
      </w:r>
      <w:r w:rsidR="00334553" w:rsidRPr="0087510B">
        <w:t>To that end, the Commission established the TRS Fund to reimburse TRS providers for the costs of providing interstate telecommunications relay services</w:t>
      </w:r>
      <w:r w:rsidR="000344A5" w:rsidRPr="0087510B">
        <w:t>.</w:t>
      </w:r>
      <w:r w:rsidR="000344A5" w:rsidRPr="0087510B">
        <w:rPr>
          <w:rStyle w:val="FootnoteReference"/>
          <w:sz w:val="22"/>
        </w:rPr>
        <w:footnoteReference w:id="39"/>
      </w:r>
      <w:r w:rsidR="000344A5" w:rsidRPr="0087510B">
        <w:t xml:space="preserve">  Pursuant to Section 64.604(c)(5)(iii)(A) of the Rules, every provider of interstate or international telecommunications services must contribute to the TRS Fund based upon its end-user revenues.</w:t>
      </w:r>
      <w:r w:rsidR="000344A5" w:rsidRPr="0087510B">
        <w:rPr>
          <w:rStyle w:val="FootnoteReference"/>
          <w:sz w:val="22"/>
        </w:rPr>
        <w:footnoteReference w:id="40"/>
      </w:r>
    </w:p>
    <w:p w:rsidR="005D0F71" w:rsidRPr="0087510B" w:rsidRDefault="00420851" w:rsidP="00F7760E">
      <w:pPr>
        <w:pStyle w:val="ParaNum"/>
      </w:pPr>
      <w:r w:rsidRPr="0087510B">
        <w:t>As a provider of international telecommunications services, PTT was obligated to contribute to the TRS Fund on the basis of its international end-user telecommunications revenues.</w:t>
      </w:r>
      <w:r w:rsidR="00480440" w:rsidRPr="0087510B">
        <w:rPr>
          <w:rStyle w:val="FootnoteReference"/>
          <w:sz w:val="22"/>
        </w:rPr>
        <w:footnoteReference w:id="41"/>
      </w:r>
      <w:r w:rsidR="000B2D7B" w:rsidRPr="0087510B">
        <w:t xml:space="preserve">  </w:t>
      </w:r>
      <w:r w:rsidR="00535C68" w:rsidRPr="0087510B">
        <w:t xml:space="preserve">The </w:t>
      </w:r>
      <w:r w:rsidR="00D243F8" w:rsidRPr="0087510B">
        <w:t xml:space="preserve">TRS </w:t>
      </w:r>
      <w:r w:rsidR="006605F8" w:rsidRPr="0087510B">
        <w:t>Fund Administr</w:t>
      </w:r>
      <w:r w:rsidR="00D243F8" w:rsidRPr="0087510B">
        <w:t xml:space="preserve">ator calculates the </w:t>
      </w:r>
      <w:r w:rsidR="00535C68" w:rsidRPr="0087510B">
        <w:t>contribution that a carrier is required to make to the TRS Fund by applying a contribution factor (determined annually by the Commission) to the carrier</w:t>
      </w:r>
      <w:r w:rsidR="002D2E3A" w:rsidRPr="0087510B">
        <w:t>’</w:t>
      </w:r>
      <w:r w:rsidR="00535C68" w:rsidRPr="0087510B">
        <w:t>s revenues for the prior calendar year</w:t>
      </w:r>
      <w:r w:rsidR="00C033F5" w:rsidRPr="0087510B">
        <w:t xml:space="preserve"> as reported in the annual Worksheet due in April</w:t>
      </w:r>
      <w:r w:rsidR="00B7422A" w:rsidRPr="0087510B">
        <w:t xml:space="preserve"> of each year</w:t>
      </w:r>
      <w:r w:rsidR="00535C68" w:rsidRPr="0087510B">
        <w:t>.</w:t>
      </w:r>
      <w:r w:rsidR="00535C68" w:rsidRPr="0087510B">
        <w:rPr>
          <w:rStyle w:val="FootnoteReference"/>
          <w:sz w:val="22"/>
        </w:rPr>
        <w:footnoteReference w:id="42"/>
      </w:r>
      <w:r w:rsidR="00535C68" w:rsidRPr="0087510B">
        <w:t xml:space="preserve">  </w:t>
      </w:r>
      <w:r w:rsidR="007C4EDB" w:rsidRPr="0087510B">
        <w:t>The TRS Fund Administrator uses a July 1 through June 30 billing year</w:t>
      </w:r>
      <w:r w:rsidR="00C033F5" w:rsidRPr="0087510B">
        <w:t>, and s</w:t>
      </w:r>
      <w:r w:rsidR="00535C68" w:rsidRPr="0087510B">
        <w:t>ubject carriers must make TRS contributions on a</w:t>
      </w:r>
      <w:r w:rsidR="002B356A" w:rsidRPr="0087510B">
        <w:t xml:space="preserve"> monthly or </w:t>
      </w:r>
      <w:r w:rsidR="00535C68" w:rsidRPr="0087510B">
        <w:t>annual basis.</w:t>
      </w:r>
      <w:r w:rsidR="00535C68" w:rsidRPr="0087510B">
        <w:rPr>
          <w:rStyle w:val="FootnoteReference"/>
          <w:sz w:val="22"/>
        </w:rPr>
        <w:footnoteReference w:id="43"/>
      </w:r>
      <w:r w:rsidR="00535C68" w:rsidRPr="0087510B">
        <w:t xml:space="preserve">  Failures to timely contribute to the TRS Fund constitute </w:t>
      </w:r>
      <w:r w:rsidR="008F2F97" w:rsidRPr="0087510B">
        <w:t xml:space="preserve">continuing </w:t>
      </w:r>
      <w:r w:rsidR="00535C68" w:rsidRPr="0087510B">
        <w:t>violations until the violations are cured.</w:t>
      </w:r>
      <w:r w:rsidR="00C83A89" w:rsidRPr="0087510B">
        <w:rPr>
          <w:rStyle w:val="FootnoteReference"/>
          <w:sz w:val="22"/>
        </w:rPr>
        <w:footnoteReference w:id="44"/>
      </w:r>
    </w:p>
    <w:p w:rsidR="00A40302" w:rsidRPr="0087510B" w:rsidRDefault="00BE308C" w:rsidP="00F94F89">
      <w:pPr>
        <w:pStyle w:val="ParaNum"/>
      </w:pPr>
      <w:r w:rsidRPr="0087510B">
        <w:t xml:space="preserve">Because </w:t>
      </w:r>
      <w:r w:rsidR="002C2F80" w:rsidRPr="0087510B">
        <w:t>PTT</w:t>
      </w:r>
      <w:r w:rsidRPr="0087510B">
        <w:t xml:space="preserve"> did not </w:t>
      </w:r>
      <w:r w:rsidR="00DB7C56" w:rsidRPr="0087510B">
        <w:t xml:space="preserve">timely </w:t>
      </w:r>
      <w:r w:rsidRPr="0087510B">
        <w:t xml:space="preserve">file its </w:t>
      </w:r>
      <w:r w:rsidR="00C14043" w:rsidRPr="0087510B">
        <w:t>annual</w:t>
      </w:r>
      <w:r w:rsidRPr="0087510B">
        <w:t xml:space="preserve"> </w:t>
      </w:r>
      <w:r w:rsidR="0060265D" w:rsidRPr="0087510B">
        <w:t>Worksheets for 2011</w:t>
      </w:r>
      <w:r w:rsidR="00E16B63" w:rsidRPr="0087510B">
        <w:t>,</w:t>
      </w:r>
      <w:r w:rsidR="002C2F80" w:rsidRPr="0087510B">
        <w:t xml:space="preserve"> 2012</w:t>
      </w:r>
      <w:r w:rsidR="00E16B63" w:rsidRPr="0087510B">
        <w:t>, and 2013</w:t>
      </w:r>
      <w:r w:rsidR="002C2F80" w:rsidRPr="0087510B">
        <w:t xml:space="preserve">, </w:t>
      </w:r>
      <w:r w:rsidR="00BC3AFC" w:rsidRPr="0087510B">
        <w:t xml:space="preserve">the TRS </w:t>
      </w:r>
      <w:r w:rsidR="006605F8" w:rsidRPr="0087510B">
        <w:t>Fund Administr</w:t>
      </w:r>
      <w:r w:rsidR="00BC3AFC" w:rsidRPr="0087510B">
        <w:t xml:space="preserve">ator did not bill PTT for mandated TRS contributions </w:t>
      </w:r>
      <w:r w:rsidR="00BA5441" w:rsidRPr="0087510B">
        <w:t>until September 13, 2013</w:t>
      </w:r>
      <w:r w:rsidR="001A3B39" w:rsidRPr="0087510B">
        <w:t>.</w:t>
      </w:r>
      <w:r w:rsidR="001454B5" w:rsidRPr="0087510B">
        <w:rPr>
          <w:rStyle w:val="FootnoteReference"/>
          <w:sz w:val="22"/>
        </w:rPr>
        <w:footnoteReference w:id="45"/>
      </w:r>
      <w:r w:rsidR="00360905" w:rsidRPr="0087510B">
        <w:t xml:space="preserve">  This </w:t>
      </w:r>
      <w:r w:rsidR="001A3B39" w:rsidRPr="0087510B">
        <w:rPr>
          <w:i/>
        </w:rPr>
        <w:t>September 2013 Invoice</w:t>
      </w:r>
      <w:r w:rsidR="00BA5441" w:rsidRPr="0087510B">
        <w:t xml:space="preserve"> included </w:t>
      </w:r>
      <w:r w:rsidR="001A3B39" w:rsidRPr="0087510B">
        <w:t xml:space="preserve">the TRS </w:t>
      </w:r>
      <w:r w:rsidR="00BA5441" w:rsidRPr="0087510B">
        <w:t xml:space="preserve">contribution amounts that PTT owed for </w:t>
      </w:r>
      <w:r w:rsidR="00A40302" w:rsidRPr="0087510B">
        <w:t xml:space="preserve">July 1, </w:t>
      </w:r>
      <w:r w:rsidR="001A3B39" w:rsidRPr="0087510B">
        <w:t>2011</w:t>
      </w:r>
      <w:r w:rsidR="00DB7C56" w:rsidRPr="0087510B">
        <w:t>,</w:t>
      </w:r>
      <w:r w:rsidR="00A40302" w:rsidRPr="0087510B">
        <w:t xml:space="preserve"> through June 30, </w:t>
      </w:r>
      <w:r w:rsidR="001A3B39" w:rsidRPr="0087510B">
        <w:t>2012</w:t>
      </w:r>
      <w:r w:rsidR="00A40302" w:rsidRPr="0087510B">
        <w:t xml:space="preserve"> (</w:t>
      </w:r>
      <w:r w:rsidR="00DB7C56" w:rsidRPr="0087510B">
        <w:t xml:space="preserve">the </w:t>
      </w:r>
      <w:r w:rsidR="00A40302" w:rsidRPr="0087510B">
        <w:t>2011</w:t>
      </w:r>
      <w:r w:rsidR="00742133" w:rsidRPr="0087510B">
        <w:t>–</w:t>
      </w:r>
      <w:r w:rsidR="00A40302" w:rsidRPr="0087510B">
        <w:t xml:space="preserve">2012 </w:t>
      </w:r>
      <w:r w:rsidR="007A6241" w:rsidRPr="0087510B">
        <w:t xml:space="preserve">TRS contribution </w:t>
      </w:r>
      <w:r w:rsidR="00A40302" w:rsidRPr="0087510B">
        <w:t>period),</w:t>
      </w:r>
      <w:r w:rsidR="001A3B39" w:rsidRPr="0087510B">
        <w:t xml:space="preserve"> </w:t>
      </w:r>
      <w:r w:rsidR="00A40302" w:rsidRPr="0087510B">
        <w:t>July 1, 2012</w:t>
      </w:r>
      <w:r w:rsidR="00566C0B" w:rsidRPr="0087510B">
        <w:t>,</w:t>
      </w:r>
      <w:r w:rsidR="00A40302" w:rsidRPr="0087510B">
        <w:t xml:space="preserve"> through June 30, 2013 (</w:t>
      </w:r>
      <w:r w:rsidR="00DB7C56" w:rsidRPr="0087510B">
        <w:t xml:space="preserve">the </w:t>
      </w:r>
      <w:r w:rsidR="00BA5441" w:rsidRPr="0087510B">
        <w:t>2012</w:t>
      </w:r>
      <w:r w:rsidR="00742133" w:rsidRPr="0087510B">
        <w:t>–</w:t>
      </w:r>
      <w:r w:rsidR="00BA5441" w:rsidRPr="0087510B">
        <w:t>2013</w:t>
      </w:r>
      <w:r w:rsidR="00A40302" w:rsidRPr="0087510B">
        <w:t xml:space="preserve"> </w:t>
      </w:r>
      <w:r w:rsidR="007A6241" w:rsidRPr="0087510B">
        <w:t xml:space="preserve">TRS contribution </w:t>
      </w:r>
      <w:r w:rsidR="00A40302" w:rsidRPr="0087510B">
        <w:t>period)</w:t>
      </w:r>
      <w:r w:rsidR="001A3B39" w:rsidRPr="0087510B">
        <w:t>,</w:t>
      </w:r>
      <w:r w:rsidR="00BA5441" w:rsidRPr="0087510B">
        <w:t xml:space="preserve"> and for </w:t>
      </w:r>
      <w:r w:rsidR="00A40302" w:rsidRPr="0087510B">
        <w:t>July 1, 2013</w:t>
      </w:r>
      <w:r w:rsidR="00566C0B" w:rsidRPr="0087510B">
        <w:t>,</w:t>
      </w:r>
      <w:r w:rsidR="00A40302" w:rsidRPr="0087510B">
        <w:t xml:space="preserve"> through</w:t>
      </w:r>
      <w:r w:rsidR="00BA5441" w:rsidRPr="0087510B">
        <w:t xml:space="preserve"> September 30, 2013</w:t>
      </w:r>
      <w:r w:rsidR="00566C0B" w:rsidRPr="0087510B">
        <w:t xml:space="preserve"> (the</w:t>
      </w:r>
      <w:r w:rsidR="007F0A41" w:rsidRPr="0087510B">
        <w:t xml:space="preserve"> first three months of the</w:t>
      </w:r>
      <w:r w:rsidR="00566C0B" w:rsidRPr="0087510B">
        <w:t xml:space="preserve"> 2013</w:t>
      </w:r>
      <w:r w:rsidR="001117B7" w:rsidRPr="0087510B">
        <w:t>–</w:t>
      </w:r>
      <w:r w:rsidR="00566C0B" w:rsidRPr="0087510B">
        <w:t>2014 TRS contribution period)</w:t>
      </w:r>
      <w:r w:rsidR="00BA5441" w:rsidRPr="0087510B">
        <w:t>.</w:t>
      </w:r>
      <w:r w:rsidR="009E6BCB" w:rsidRPr="0087510B">
        <w:rPr>
          <w:rStyle w:val="FootnoteReference"/>
          <w:sz w:val="22"/>
        </w:rPr>
        <w:footnoteReference w:id="46"/>
      </w:r>
      <w:r w:rsidR="00BA5441" w:rsidRPr="0087510B">
        <w:t xml:space="preserve">  </w:t>
      </w:r>
      <w:r w:rsidR="00023D91" w:rsidRPr="0087510B">
        <w:t xml:space="preserve">Had </w:t>
      </w:r>
      <w:r w:rsidR="00E90571" w:rsidRPr="0087510B">
        <w:t>P</w:t>
      </w:r>
      <w:r w:rsidR="001A3B39" w:rsidRPr="0087510B">
        <w:t>TT timely filed its</w:t>
      </w:r>
      <w:r w:rsidR="008F2F97" w:rsidRPr="0087510B">
        <w:t xml:space="preserve"> </w:t>
      </w:r>
      <w:r w:rsidR="00C14043" w:rsidRPr="0087510B">
        <w:t>annual</w:t>
      </w:r>
      <w:r w:rsidR="00023D91" w:rsidRPr="0087510B">
        <w:t xml:space="preserve"> </w:t>
      </w:r>
      <w:r w:rsidR="001A3B39" w:rsidRPr="0087510B">
        <w:t xml:space="preserve">Worksheets, </w:t>
      </w:r>
      <w:r w:rsidR="00023D91" w:rsidRPr="0087510B">
        <w:t>it</w:t>
      </w:r>
      <w:r w:rsidR="00A40302" w:rsidRPr="0087510B">
        <w:t>s</w:t>
      </w:r>
      <w:r w:rsidR="00023D91" w:rsidRPr="0087510B">
        <w:t xml:space="preserve"> </w:t>
      </w:r>
      <w:r w:rsidR="001F2E85" w:rsidRPr="0087510B">
        <w:t>payment</w:t>
      </w:r>
      <w:r w:rsidR="00712002" w:rsidRPr="0087510B">
        <w:t>s</w:t>
      </w:r>
      <w:r w:rsidR="001F2E85" w:rsidRPr="0087510B">
        <w:t xml:space="preserve"> for </w:t>
      </w:r>
      <w:r w:rsidR="00712002" w:rsidRPr="0087510B">
        <w:t xml:space="preserve">each of </w:t>
      </w:r>
      <w:r w:rsidR="00A40302" w:rsidRPr="0087510B">
        <w:t>these periods</w:t>
      </w:r>
      <w:r w:rsidR="001F2E85" w:rsidRPr="0087510B">
        <w:t xml:space="preserve"> would have been </w:t>
      </w:r>
      <w:r w:rsidR="00A40302" w:rsidRPr="0087510B">
        <w:t xml:space="preserve">due </w:t>
      </w:r>
      <w:r w:rsidR="00712002" w:rsidRPr="0087510B">
        <w:t xml:space="preserve">in equal monthly installments </w:t>
      </w:r>
      <w:r w:rsidR="00A40302" w:rsidRPr="0087510B">
        <w:t xml:space="preserve">beginning </w:t>
      </w:r>
      <w:r w:rsidR="002B356A" w:rsidRPr="0087510B">
        <w:t xml:space="preserve">in </w:t>
      </w:r>
      <w:r w:rsidR="001A3B39" w:rsidRPr="0087510B">
        <w:t>August 2011</w:t>
      </w:r>
      <w:r w:rsidR="001F2E85" w:rsidRPr="0087510B">
        <w:t xml:space="preserve">, </w:t>
      </w:r>
      <w:r w:rsidR="001A3B39" w:rsidRPr="0087510B">
        <w:t>August 2012</w:t>
      </w:r>
      <w:r w:rsidR="001F2E85" w:rsidRPr="0087510B">
        <w:t>, and August 2013, respectively</w:t>
      </w:r>
      <w:r w:rsidR="001A3B39" w:rsidRPr="0087510B">
        <w:t>.</w:t>
      </w:r>
      <w:r w:rsidR="00023D91" w:rsidRPr="0087510B">
        <w:rPr>
          <w:rStyle w:val="FootnoteReference"/>
          <w:sz w:val="22"/>
        </w:rPr>
        <w:footnoteReference w:id="47"/>
      </w:r>
    </w:p>
    <w:p w:rsidR="001A3B39" w:rsidRPr="0087510B" w:rsidRDefault="00214EC4" w:rsidP="00E965A7">
      <w:pPr>
        <w:pStyle w:val="ParaNum"/>
        <w:keepNext/>
        <w:widowControl/>
      </w:pPr>
      <w:r w:rsidRPr="0087510B">
        <w:t xml:space="preserve">The </w:t>
      </w:r>
      <w:r w:rsidRPr="0087510B">
        <w:rPr>
          <w:i/>
        </w:rPr>
        <w:t xml:space="preserve">September </w:t>
      </w:r>
      <w:r w:rsidR="001A3B39" w:rsidRPr="0087510B">
        <w:rPr>
          <w:i/>
        </w:rPr>
        <w:t xml:space="preserve">2013 </w:t>
      </w:r>
      <w:r w:rsidR="00F0461E" w:rsidRPr="0087510B">
        <w:rPr>
          <w:i/>
        </w:rPr>
        <w:t xml:space="preserve">TRS </w:t>
      </w:r>
      <w:r w:rsidR="001A3B39" w:rsidRPr="0087510B">
        <w:rPr>
          <w:i/>
        </w:rPr>
        <w:t>I</w:t>
      </w:r>
      <w:r w:rsidRPr="0087510B">
        <w:rPr>
          <w:i/>
        </w:rPr>
        <w:t>nvoice</w:t>
      </w:r>
      <w:r w:rsidRPr="0087510B">
        <w:t xml:space="preserve"> </w:t>
      </w:r>
      <w:r w:rsidR="00566C0B" w:rsidRPr="0087510B">
        <w:t xml:space="preserve">required PTT to contribute </w:t>
      </w:r>
      <w:r w:rsidRPr="0087510B">
        <w:t>$34,485.36</w:t>
      </w:r>
      <w:r w:rsidR="00566C0B" w:rsidRPr="0087510B">
        <w:t xml:space="preserve"> to the TRS Fund</w:t>
      </w:r>
      <w:r w:rsidR="007A5C9F" w:rsidRPr="0087510B">
        <w:t xml:space="preserve"> </w:t>
      </w:r>
      <w:r w:rsidR="00566C0B" w:rsidRPr="0087510B">
        <w:t>by</w:t>
      </w:r>
      <w:r w:rsidR="002C7E3A" w:rsidRPr="0087510B">
        <w:t xml:space="preserve"> </w:t>
      </w:r>
      <w:r w:rsidR="007A5C9F" w:rsidRPr="0087510B">
        <w:t>October 11, 2013</w:t>
      </w:r>
      <w:r w:rsidRPr="0087510B">
        <w:t>.</w:t>
      </w:r>
      <w:r w:rsidR="009E6BCB" w:rsidRPr="0087510B">
        <w:rPr>
          <w:rStyle w:val="FootnoteReference"/>
          <w:sz w:val="22"/>
        </w:rPr>
        <w:footnoteReference w:id="48"/>
      </w:r>
      <w:r w:rsidRPr="0087510B">
        <w:t xml:space="preserve">  </w:t>
      </w:r>
      <w:r w:rsidR="001A3B39" w:rsidRPr="0087510B">
        <w:t xml:space="preserve">The </w:t>
      </w:r>
      <w:r w:rsidR="001A3B39" w:rsidRPr="0087510B">
        <w:rPr>
          <w:i/>
        </w:rPr>
        <w:t xml:space="preserve">September 2013 </w:t>
      </w:r>
      <w:r w:rsidR="00F0461E" w:rsidRPr="0087510B">
        <w:rPr>
          <w:i/>
        </w:rPr>
        <w:t xml:space="preserve">TRS </w:t>
      </w:r>
      <w:r w:rsidR="001A3B39" w:rsidRPr="0087510B">
        <w:rPr>
          <w:i/>
        </w:rPr>
        <w:t>Invoice</w:t>
      </w:r>
      <w:r w:rsidRPr="0087510B">
        <w:t xml:space="preserve"> went unpaid</w:t>
      </w:r>
      <w:r w:rsidR="008F2F97" w:rsidRPr="0087510B">
        <w:t>,</w:t>
      </w:r>
      <w:r w:rsidRPr="0087510B">
        <w:t xml:space="preserve"> as did all subsequent </w:t>
      </w:r>
      <w:r w:rsidR="001A3B39" w:rsidRPr="0087510B">
        <w:t xml:space="preserve">monthly </w:t>
      </w:r>
      <w:r w:rsidRPr="0087510B">
        <w:t>in</w:t>
      </w:r>
      <w:r w:rsidR="001A3B39" w:rsidRPr="0087510B">
        <w:t xml:space="preserve">voices from the TRS </w:t>
      </w:r>
      <w:r w:rsidR="006605F8" w:rsidRPr="0087510B">
        <w:t xml:space="preserve">Fund </w:t>
      </w:r>
      <w:r w:rsidR="001A3B39" w:rsidRPr="0087510B">
        <w:t>Administrator, which included additional monthly installment obligations for the 2013</w:t>
      </w:r>
      <w:r w:rsidR="00742133" w:rsidRPr="0087510B">
        <w:t>–</w:t>
      </w:r>
      <w:r w:rsidR="001A3B39" w:rsidRPr="0087510B">
        <w:t xml:space="preserve">2014 </w:t>
      </w:r>
      <w:r w:rsidR="00566C0B" w:rsidRPr="0087510B">
        <w:t xml:space="preserve">TRS contribution </w:t>
      </w:r>
      <w:r w:rsidR="001A3B39" w:rsidRPr="0087510B">
        <w:t>period</w:t>
      </w:r>
      <w:r w:rsidRPr="0087510B">
        <w:t>.</w:t>
      </w:r>
      <w:r w:rsidR="005C7D2F" w:rsidRPr="0087510B">
        <w:rPr>
          <w:rStyle w:val="FootnoteReference"/>
          <w:sz w:val="22"/>
        </w:rPr>
        <w:footnoteReference w:id="49"/>
      </w:r>
      <w:r w:rsidRPr="0087510B">
        <w:t xml:space="preserve">  </w:t>
      </w:r>
      <w:r w:rsidR="000761E3" w:rsidRPr="0087510B">
        <w:t xml:space="preserve">On February 28, 2014, the TRS </w:t>
      </w:r>
      <w:r w:rsidR="006605F8" w:rsidRPr="0087510B">
        <w:t xml:space="preserve">Fund </w:t>
      </w:r>
      <w:r w:rsidR="000761E3" w:rsidRPr="0087510B">
        <w:t xml:space="preserve">Administrator </w:t>
      </w:r>
      <w:r w:rsidR="002E7F4D" w:rsidRPr="0087510B">
        <w:t xml:space="preserve">transferred </w:t>
      </w:r>
      <w:r w:rsidR="00745EB4" w:rsidRPr="0087510B">
        <w:t>PTT</w:t>
      </w:r>
      <w:r w:rsidR="002D2E3A" w:rsidRPr="0087510B">
        <w:t>’</w:t>
      </w:r>
      <w:r w:rsidR="00745EB4" w:rsidRPr="0087510B">
        <w:t xml:space="preserve">s </w:t>
      </w:r>
      <w:r w:rsidR="002E7F4D" w:rsidRPr="0087510B">
        <w:t xml:space="preserve">TRS debt </w:t>
      </w:r>
      <w:r w:rsidR="00745EB4" w:rsidRPr="0087510B">
        <w:t xml:space="preserve">to </w:t>
      </w:r>
      <w:r w:rsidR="000761E3" w:rsidRPr="0087510B">
        <w:t>the U.S. Department of Treasury (Treasury Department).</w:t>
      </w:r>
      <w:r w:rsidR="009E6BCB" w:rsidRPr="0087510B">
        <w:rPr>
          <w:rStyle w:val="FootnoteReference"/>
          <w:sz w:val="22"/>
        </w:rPr>
        <w:footnoteReference w:id="50"/>
      </w:r>
      <w:r w:rsidR="00DE4028" w:rsidRPr="0087510B">
        <w:t xml:space="preserve">  Effective</w:t>
      </w:r>
      <w:r w:rsidR="000761E3" w:rsidRPr="0087510B">
        <w:t xml:space="preserve"> April 7, 201</w:t>
      </w:r>
      <w:r w:rsidR="00F855C2" w:rsidRPr="0087510B">
        <w:t>4</w:t>
      </w:r>
      <w:r w:rsidR="000761E3" w:rsidRPr="0087510B">
        <w:t xml:space="preserve">, the Treasury Department </w:t>
      </w:r>
      <w:r w:rsidR="002E7F4D" w:rsidRPr="0087510B">
        <w:t xml:space="preserve">and PTT </w:t>
      </w:r>
      <w:r w:rsidR="000761E3" w:rsidRPr="0087510B">
        <w:t>entered into a payment agreement</w:t>
      </w:r>
      <w:r w:rsidR="00B22D49" w:rsidRPr="0087510B">
        <w:t xml:space="preserve"> that </w:t>
      </w:r>
      <w:r w:rsidR="002B356A" w:rsidRPr="0087510B">
        <w:t xml:space="preserve">requires PTT </w:t>
      </w:r>
      <w:r w:rsidR="00B22D49" w:rsidRPr="0087510B">
        <w:t xml:space="preserve">to </w:t>
      </w:r>
      <w:r w:rsidR="002B356A" w:rsidRPr="0087510B">
        <w:t xml:space="preserve">make </w:t>
      </w:r>
      <w:r w:rsidR="00DE4028" w:rsidRPr="0087510B">
        <w:t xml:space="preserve">monthly installment payments </w:t>
      </w:r>
      <w:r w:rsidR="002B356A" w:rsidRPr="0087510B">
        <w:t xml:space="preserve">until </w:t>
      </w:r>
      <w:r w:rsidR="00DE4028" w:rsidRPr="0087510B">
        <w:t>April</w:t>
      </w:r>
      <w:r w:rsidR="000761E3" w:rsidRPr="0087510B">
        <w:t xml:space="preserve"> 2016.</w:t>
      </w:r>
      <w:r w:rsidR="009E6BCB" w:rsidRPr="0087510B">
        <w:rPr>
          <w:rStyle w:val="FootnoteReference"/>
          <w:sz w:val="22"/>
        </w:rPr>
        <w:footnoteReference w:id="51"/>
      </w:r>
      <w:r w:rsidR="000761E3" w:rsidRPr="0087510B">
        <w:t xml:space="preserve">  </w:t>
      </w:r>
      <w:r w:rsidR="00582D89" w:rsidRPr="0087510B">
        <w:t>PTT</w:t>
      </w:r>
      <w:r w:rsidR="002D2E3A" w:rsidRPr="0087510B">
        <w:t>’</w:t>
      </w:r>
      <w:r w:rsidR="00582D89" w:rsidRPr="0087510B">
        <w:t>s unpaid TRS obligations</w:t>
      </w:r>
      <w:r w:rsidR="00042AE1" w:rsidRPr="0087510B">
        <w:t xml:space="preserve"> totaled $46,653.25</w:t>
      </w:r>
      <w:r w:rsidR="00CD48C9" w:rsidRPr="0087510B">
        <w:t xml:space="preserve"> at the time that PTT entered into </w:t>
      </w:r>
      <w:r w:rsidR="002B356A" w:rsidRPr="0087510B">
        <w:t xml:space="preserve">its </w:t>
      </w:r>
      <w:r w:rsidR="00CD48C9" w:rsidRPr="0087510B">
        <w:t xml:space="preserve">payment </w:t>
      </w:r>
      <w:r w:rsidR="002B356A" w:rsidRPr="0087510B">
        <w:t xml:space="preserve">agreement </w:t>
      </w:r>
      <w:r w:rsidR="00CD48C9" w:rsidRPr="0087510B">
        <w:t xml:space="preserve">with the Treasury Department, </w:t>
      </w:r>
      <w:r w:rsidR="00DD5715">
        <w:t xml:space="preserve">an agreement that stemmed from </w:t>
      </w:r>
      <w:r w:rsidR="008F2F97" w:rsidRPr="0087510B">
        <w:t>PTT</w:t>
      </w:r>
      <w:r w:rsidR="002D2E3A" w:rsidRPr="0087510B">
        <w:t>’</w:t>
      </w:r>
      <w:r w:rsidR="00CD48C9" w:rsidRPr="0087510B">
        <w:t xml:space="preserve">s </w:t>
      </w:r>
      <w:r w:rsidR="00712002" w:rsidRPr="0087510B">
        <w:t xml:space="preserve">prior </w:t>
      </w:r>
      <w:r w:rsidR="00CD48C9" w:rsidRPr="0087510B">
        <w:t>failure to make any TRS contributions</w:t>
      </w:r>
      <w:r w:rsidR="005C7D2F" w:rsidRPr="0087510B">
        <w:t>.</w:t>
      </w:r>
      <w:r w:rsidR="005C7D2F" w:rsidRPr="0087510B">
        <w:rPr>
          <w:rStyle w:val="FootnoteReference"/>
          <w:sz w:val="22"/>
        </w:rPr>
        <w:footnoteReference w:id="52"/>
      </w:r>
      <w:r w:rsidR="00CD48C9" w:rsidRPr="0087510B">
        <w:t xml:space="preserve">  We therefore conclude, based on a preponderance of the evidence, that PTT apparently violated Section </w:t>
      </w:r>
      <w:r w:rsidR="00606F6D" w:rsidRPr="0087510B">
        <w:t xml:space="preserve">225 </w:t>
      </w:r>
      <w:r w:rsidR="00CD48C9" w:rsidRPr="0087510B">
        <w:t>of the Act and Section 64.604(c)</w:t>
      </w:r>
      <w:r w:rsidR="005C7D2F" w:rsidRPr="0087510B">
        <w:t xml:space="preserve">(5)(iii) or the Rules </w:t>
      </w:r>
      <w:r w:rsidR="00CD48C9" w:rsidRPr="0087510B">
        <w:t>by willfully or repeatedly failing to timely make required</w:t>
      </w:r>
      <w:r w:rsidR="00742133" w:rsidRPr="0087510B">
        <w:t xml:space="preserve"> TRS contributions for the 2011–</w:t>
      </w:r>
      <w:r w:rsidR="00CD48C9" w:rsidRPr="0087510B">
        <w:t>2012, 2012</w:t>
      </w:r>
      <w:r w:rsidR="00742133" w:rsidRPr="0087510B">
        <w:t>–</w:t>
      </w:r>
      <w:r w:rsidR="00CD48C9" w:rsidRPr="0087510B">
        <w:t>2013, and 2013</w:t>
      </w:r>
      <w:r w:rsidR="00742133" w:rsidRPr="0087510B">
        <w:t>–</w:t>
      </w:r>
      <w:r w:rsidR="00CD48C9" w:rsidRPr="0087510B">
        <w:t>2014 TRS contribution periods</w:t>
      </w:r>
      <w:r w:rsidR="00582D89" w:rsidRPr="0087510B">
        <w:t>.</w:t>
      </w:r>
      <w:r w:rsidR="00CD48C9" w:rsidRPr="0087510B">
        <w:rPr>
          <w:rStyle w:val="FootnoteReference"/>
          <w:sz w:val="22"/>
        </w:rPr>
        <w:footnoteReference w:id="53"/>
      </w:r>
    </w:p>
    <w:p w:rsidR="00C2399F" w:rsidRPr="0087510B" w:rsidRDefault="00C2399F" w:rsidP="007335F9">
      <w:pPr>
        <w:pStyle w:val="Heading2"/>
      </w:pPr>
      <w:r w:rsidRPr="0087510B">
        <w:t>PTT Apparently Failed to Timely Contribut</w:t>
      </w:r>
      <w:r w:rsidR="000D71B6" w:rsidRPr="0087510B">
        <w:t xml:space="preserve">e </w:t>
      </w:r>
      <w:r w:rsidRPr="0087510B">
        <w:t xml:space="preserve">to the </w:t>
      </w:r>
      <w:r w:rsidR="000D71B6" w:rsidRPr="0087510B">
        <w:t xml:space="preserve">LNP </w:t>
      </w:r>
      <w:r w:rsidRPr="0087510B">
        <w:t xml:space="preserve">Cost Recovery </w:t>
      </w:r>
      <w:r w:rsidR="000D71B6" w:rsidRPr="0087510B">
        <w:t>Mechanism</w:t>
      </w:r>
    </w:p>
    <w:p w:rsidR="001D1128" w:rsidRPr="0087510B" w:rsidRDefault="00B00B6E" w:rsidP="001D1128">
      <w:pPr>
        <w:pStyle w:val="ParaNum"/>
        <w:keepNext/>
        <w:widowControl/>
      </w:pPr>
      <w:r w:rsidRPr="0087510B">
        <w:t xml:space="preserve">We </w:t>
      </w:r>
      <w:r w:rsidR="00372F31" w:rsidRPr="0087510B">
        <w:t xml:space="preserve">next </w:t>
      </w:r>
      <w:r w:rsidRPr="0087510B">
        <w:t xml:space="preserve">conclude that PTT apparently violated Section 251(e)(2) of the Act and Section 52.32 of the Rules by willfully or repeatedly failing to </w:t>
      </w:r>
      <w:r w:rsidR="0030338C" w:rsidRPr="0087510B">
        <w:t xml:space="preserve">make </w:t>
      </w:r>
      <w:r w:rsidRPr="0087510B">
        <w:t xml:space="preserve">timely payments to the LNP cost recovery mechanism.  </w:t>
      </w:r>
      <w:r w:rsidR="008D5879" w:rsidRPr="0087510B">
        <w:t xml:space="preserve">Telecommunications number portability concerns the ability of consumers of telecommunications services to </w:t>
      </w:r>
      <w:r w:rsidR="002D2E3A" w:rsidRPr="0087510B">
        <w:t>“</w:t>
      </w:r>
      <w:r w:rsidR="008D5879" w:rsidRPr="0087510B">
        <w:t>retain, at the same location, existing telecommunications numbers without impairment of quality, reliability, or convenience when switching from one telecommunications carrier to another.</w:t>
      </w:r>
      <w:r w:rsidR="002D2E3A" w:rsidRPr="0087510B">
        <w:t>”</w:t>
      </w:r>
      <w:r w:rsidR="008D5879" w:rsidRPr="0087510B">
        <w:rPr>
          <w:rStyle w:val="FootnoteReference"/>
          <w:sz w:val="22"/>
        </w:rPr>
        <w:footnoteReference w:id="54"/>
      </w:r>
      <w:r w:rsidR="008D5879" w:rsidRPr="0087510B">
        <w:t xml:space="preserve">  The presence of this feature in the telecommunications marketplace fosters consumer choice and enhances competition.</w:t>
      </w:r>
      <w:r w:rsidR="00F559C3" w:rsidRPr="0087510B">
        <w:rPr>
          <w:rStyle w:val="FootnoteReference"/>
          <w:sz w:val="22"/>
        </w:rPr>
        <w:footnoteReference w:id="55"/>
      </w:r>
      <w:r w:rsidR="008D5879" w:rsidRPr="0087510B">
        <w:t xml:space="preserve">  </w:t>
      </w:r>
      <w:r w:rsidR="00322898" w:rsidRPr="0087510B">
        <w:t xml:space="preserve">Section 251(b)(2) of the Act establishes that every telecommunications carrier has a duty to provide </w:t>
      </w:r>
      <w:r w:rsidR="00246B94" w:rsidRPr="0087510B">
        <w:t>local number portability</w:t>
      </w:r>
      <w:r w:rsidR="00322898" w:rsidRPr="0087510B">
        <w:t xml:space="preserve"> in accordance with requirements established by the Commission.</w:t>
      </w:r>
      <w:r w:rsidR="00322898" w:rsidRPr="0087510B">
        <w:rPr>
          <w:rStyle w:val="FootnoteReference"/>
          <w:sz w:val="22"/>
        </w:rPr>
        <w:footnoteReference w:id="56"/>
      </w:r>
      <w:r w:rsidR="00322898" w:rsidRPr="0087510B">
        <w:t xml:space="preserve">  Section 251(e)(2) </w:t>
      </w:r>
      <w:r w:rsidR="000A6F15" w:rsidRPr="0087510B">
        <w:t>mandates</w:t>
      </w:r>
      <w:r w:rsidR="00322898" w:rsidRPr="0087510B">
        <w:t xml:space="preserve"> that </w:t>
      </w:r>
      <w:r w:rsidR="002D2E3A" w:rsidRPr="0087510B">
        <w:t>“</w:t>
      </w:r>
      <w:r w:rsidR="00322898" w:rsidRPr="0087510B">
        <w:t>[t]he cost of establishing</w:t>
      </w:r>
      <w:r w:rsidR="004108A3" w:rsidRPr="0087510B">
        <w:t> . . .</w:t>
      </w:r>
      <w:r w:rsidR="00322898" w:rsidRPr="0087510B">
        <w:t xml:space="preserve"> number portability shall be borne by all telecommunications carriers on a competitively neutral basis as determined by the Commission.</w:t>
      </w:r>
      <w:r w:rsidR="002D2E3A" w:rsidRPr="0087510B">
        <w:t>”</w:t>
      </w:r>
      <w:r w:rsidR="00322898" w:rsidRPr="0087510B">
        <w:rPr>
          <w:rStyle w:val="FootnoteReference"/>
          <w:sz w:val="22"/>
        </w:rPr>
        <w:footnoteReference w:id="57"/>
      </w:r>
      <w:r w:rsidR="00322898" w:rsidRPr="0087510B">
        <w:t xml:space="preserve">  In implementing this statutory directive, the Commission adopted Section 52.32 of its Rules, which requires, among other things, that all telecommunications carriers contribute to the costs of LNP on the ba</w:t>
      </w:r>
      <w:r w:rsidR="00246B94" w:rsidRPr="0087510B">
        <w:t>s</w:t>
      </w:r>
      <w:r w:rsidR="00322898" w:rsidRPr="0087510B">
        <w:t>is of their end-user telecommunications revenues for the prior calendar year.</w:t>
      </w:r>
      <w:r w:rsidR="00ED0EE3" w:rsidRPr="0087510B">
        <w:rPr>
          <w:rStyle w:val="FootnoteReference"/>
          <w:sz w:val="22"/>
        </w:rPr>
        <w:footnoteReference w:id="58"/>
      </w:r>
      <w:r w:rsidR="001D1128">
        <w:t xml:space="preserve">  A failure to make</w:t>
      </w:r>
      <w:r w:rsidR="00120A0E">
        <w:t xml:space="preserve"> </w:t>
      </w:r>
      <w:bookmarkStart w:id="6" w:name="sp_1511_4266"/>
      <w:bookmarkStart w:id="7" w:name="SDU_4266"/>
      <w:bookmarkStart w:id="8" w:name="citeas((Cite_as:_24_F.C.C.R._4254,_*4266"/>
      <w:bookmarkEnd w:id="6"/>
      <w:bookmarkEnd w:id="7"/>
      <w:bookmarkEnd w:id="8"/>
      <w:r w:rsidR="001D1128" w:rsidRPr="001D1128">
        <w:t xml:space="preserve">LNP contributions </w:t>
      </w:r>
      <w:r w:rsidR="00120A0E">
        <w:t xml:space="preserve">constitutes a </w:t>
      </w:r>
      <w:r w:rsidR="001D1128" w:rsidRPr="001D1128">
        <w:t>continuing violation</w:t>
      </w:r>
      <w:r w:rsidR="00120A0E">
        <w:t xml:space="preserve"> </w:t>
      </w:r>
      <w:r w:rsidR="001D1128" w:rsidRPr="001D1128">
        <w:t xml:space="preserve">until </w:t>
      </w:r>
      <w:r w:rsidR="00120A0E">
        <w:t xml:space="preserve">it is </w:t>
      </w:r>
      <w:r w:rsidR="001D1128" w:rsidRPr="001D1128">
        <w:t>cured by payment of all monies due.</w:t>
      </w:r>
      <w:bookmarkStart w:id="9" w:name="FN[FN76]"/>
      <w:bookmarkEnd w:id="9"/>
      <w:r w:rsidR="00120A0E">
        <w:rPr>
          <w:rStyle w:val="FootnoteReference"/>
        </w:rPr>
        <w:footnoteReference w:id="59"/>
      </w:r>
    </w:p>
    <w:p w:rsidR="00E4059F" w:rsidRPr="0087510B" w:rsidRDefault="000A6F15" w:rsidP="006E42B9">
      <w:pPr>
        <w:pStyle w:val="ParaNum"/>
        <w:keepNext/>
      </w:pPr>
      <w:r w:rsidRPr="0087510B">
        <w:t>PTT</w:t>
      </w:r>
      <w:r w:rsidR="002D2E3A" w:rsidRPr="0087510B">
        <w:t>’</w:t>
      </w:r>
      <w:r w:rsidRPr="0087510B">
        <w:t xml:space="preserve">s failure to timely file its </w:t>
      </w:r>
      <w:r w:rsidR="00C14043" w:rsidRPr="0087510B">
        <w:t>annual</w:t>
      </w:r>
      <w:r w:rsidRPr="0087510B">
        <w:t xml:space="preserve"> </w:t>
      </w:r>
      <w:r w:rsidR="0060265D" w:rsidRPr="0087510B">
        <w:t>Worksheets for 2011</w:t>
      </w:r>
      <w:r w:rsidRPr="0087510B">
        <w:t xml:space="preserve">, 2012, and 2013 </w:t>
      </w:r>
      <w:r w:rsidR="006605F8" w:rsidRPr="0087510B">
        <w:t>prevented the LNP Administrator from timely billing the Company for required contributions</w:t>
      </w:r>
      <w:r w:rsidR="0060265D" w:rsidRPr="0087510B">
        <w:t xml:space="preserve"> to the LNP cost-recovery mechanism</w:t>
      </w:r>
      <w:r w:rsidR="006605F8" w:rsidRPr="0087510B">
        <w:t xml:space="preserve">.  </w:t>
      </w:r>
      <w:r w:rsidR="0060265D" w:rsidRPr="0087510B">
        <w:t>Like the TRS Fund Administrator,</w:t>
      </w:r>
      <w:r w:rsidR="0060265D" w:rsidRPr="0087510B">
        <w:rPr>
          <w:rStyle w:val="FootnoteReference"/>
          <w:sz w:val="22"/>
        </w:rPr>
        <w:footnoteReference w:id="60"/>
      </w:r>
      <w:r w:rsidR="0060265D" w:rsidRPr="0087510B">
        <w:t xml:space="preserve"> t</w:t>
      </w:r>
      <w:r w:rsidR="006605F8" w:rsidRPr="0087510B">
        <w:t xml:space="preserve">he </w:t>
      </w:r>
      <w:r w:rsidR="0060265D" w:rsidRPr="0087510B">
        <w:t xml:space="preserve">LNP </w:t>
      </w:r>
      <w:r w:rsidR="006605F8" w:rsidRPr="0087510B">
        <w:t xml:space="preserve">Administrator </w:t>
      </w:r>
      <w:r w:rsidR="0030338C" w:rsidRPr="0087510B">
        <w:t xml:space="preserve">calculates carriers’ required contributions according to </w:t>
      </w:r>
      <w:r w:rsidR="0060265D" w:rsidRPr="0087510B">
        <w:t xml:space="preserve">a July 1 through June 30 </w:t>
      </w:r>
      <w:r w:rsidR="007127DF" w:rsidRPr="0087510B">
        <w:t>billing year</w:t>
      </w:r>
      <w:r w:rsidR="00C838CA" w:rsidRPr="0087510B">
        <w:t>.</w:t>
      </w:r>
      <w:r w:rsidR="00E4059F" w:rsidRPr="0087510B">
        <w:rPr>
          <w:rStyle w:val="FootnoteReference"/>
          <w:sz w:val="22"/>
        </w:rPr>
        <w:footnoteReference w:id="61"/>
      </w:r>
      <w:r w:rsidR="0060265D" w:rsidRPr="0087510B">
        <w:t xml:space="preserve">  By the time PTT filed its Worksheets</w:t>
      </w:r>
      <w:r w:rsidR="004B1A22" w:rsidRPr="0087510B">
        <w:t>, it owed approximately $14,400 in LNP contributions for the 2011–2012 and 2012–2013 billing cycles.</w:t>
      </w:r>
      <w:r w:rsidR="004B1A22" w:rsidRPr="0087510B">
        <w:rPr>
          <w:rStyle w:val="FootnoteReference"/>
          <w:sz w:val="22"/>
        </w:rPr>
        <w:footnoteReference w:id="62"/>
      </w:r>
      <w:r w:rsidR="004B1A22" w:rsidRPr="0087510B">
        <w:t xml:space="preserve">  PTT has not yet paid these required contributions.</w:t>
      </w:r>
      <w:r w:rsidR="009F218D" w:rsidRPr="0087510B">
        <w:rPr>
          <w:rStyle w:val="FootnoteReference"/>
          <w:sz w:val="22"/>
        </w:rPr>
        <w:footnoteReference w:id="63"/>
      </w:r>
      <w:r w:rsidR="001456CA" w:rsidRPr="0087510B">
        <w:t xml:space="preserve">  </w:t>
      </w:r>
      <w:r w:rsidR="00905962" w:rsidRPr="0087510B">
        <w:t>PTT</w:t>
      </w:r>
      <w:r w:rsidR="007127DF" w:rsidRPr="0087510B">
        <w:t xml:space="preserve"> </w:t>
      </w:r>
      <w:r w:rsidR="00D4279F" w:rsidRPr="0087510B">
        <w:t xml:space="preserve">also </w:t>
      </w:r>
      <w:r w:rsidR="00905962" w:rsidRPr="0087510B">
        <w:t xml:space="preserve">missed </w:t>
      </w:r>
      <w:r w:rsidR="007127DF" w:rsidRPr="0087510B">
        <w:t xml:space="preserve">three monthly </w:t>
      </w:r>
      <w:r w:rsidR="00905962" w:rsidRPr="0087510B">
        <w:t xml:space="preserve">payment deadlines </w:t>
      </w:r>
      <w:r w:rsidR="001456CA" w:rsidRPr="0087510B">
        <w:t xml:space="preserve">for </w:t>
      </w:r>
      <w:r w:rsidR="00905962" w:rsidRPr="0087510B">
        <w:t>invoice</w:t>
      </w:r>
      <w:r w:rsidR="001456CA" w:rsidRPr="0087510B">
        <w:t>s</w:t>
      </w:r>
      <w:r w:rsidR="00905962" w:rsidRPr="0087510B">
        <w:t xml:space="preserve"> </w:t>
      </w:r>
      <w:r w:rsidR="00D4279F" w:rsidRPr="0087510B">
        <w:t>for the 2013–2014</w:t>
      </w:r>
      <w:r w:rsidR="001456CA" w:rsidRPr="0087510B">
        <w:t xml:space="preserve"> billing cycle</w:t>
      </w:r>
      <w:r w:rsidR="00905962" w:rsidRPr="0087510B">
        <w:t>.</w:t>
      </w:r>
      <w:r w:rsidR="00E4059F" w:rsidRPr="0087510B">
        <w:rPr>
          <w:rStyle w:val="FootnoteReference"/>
          <w:sz w:val="22"/>
        </w:rPr>
        <w:footnoteReference w:id="64"/>
      </w:r>
      <w:r w:rsidR="00905962" w:rsidRPr="0087510B">
        <w:t xml:space="preserve"> </w:t>
      </w:r>
      <w:r w:rsidR="00CE5F6B" w:rsidRPr="0087510B">
        <w:t xml:space="preserve"> </w:t>
      </w:r>
      <w:r w:rsidR="000D71B6" w:rsidRPr="0087510B">
        <w:t>We therefore find, b</w:t>
      </w:r>
      <w:r w:rsidR="008360D0" w:rsidRPr="0087510B">
        <w:t xml:space="preserve">ased on the preponderance of the evidence, that PTT apparently violated Section 251(e)(2) of the Act and Section 52.32 of the Rules by willfully </w:t>
      </w:r>
      <w:r w:rsidR="00404BE2" w:rsidRPr="0087510B">
        <w:t xml:space="preserve">or </w:t>
      </w:r>
      <w:r w:rsidR="008360D0" w:rsidRPr="0087510B">
        <w:t xml:space="preserve">repeatedly failing to </w:t>
      </w:r>
      <w:r w:rsidR="001456CA" w:rsidRPr="0087510B">
        <w:t xml:space="preserve">timely </w:t>
      </w:r>
      <w:r w:rsidR="008360D0" w:rsidRPr="0087510B">
        <w:t xml:space="preserve">make </w:t>
      </w:r>
      <w:r w:rsidR="001456CA" w:rsidRPr="0087510B">
        <w:t xml:space="preserve">required </w:t>
      </w:r>
      <w:r w:rsidR="008360D0" w:rsidRPr="0087510B">
        <w:t xml:space="preserve">payments to the LNP cost recovery </w:t>
      </w:r>
      <w:r w:rsidR="001456CA" w:rsidRPr="0087510B">
        <w:t xml:space="preserve">mechanism for </w:t>
      </w:r>
      <w:r w:rsidR="00D4279F" w:rsidRPr="0087510B">
        <w:t xml:space="preserve">the </w:t>
      </w:r>
      <w:r w:rsidR="008360D0" w:rsidRPr="0087510B">
        <w:t>2011</w:t>
      </w:r>
      <w:r w:rsidR="00742133" w:rsidRPr="0087510B">
        <w:t>–</w:t>
      </w:r>
      <w:r w:rsidR="008360D0" w:rsidRPr="0087510B">
        <w:t>2012</w:t>
      </w:r>
      <w:r w:rsidR="001456CA" w:rsidRPr="0087510B">
        <w:t xml:space="preserve">, </w:t>
      </w:r>
      <w:r w:rsidR="008360D0" w:rsidRPr="0087510B">
        <w:t>2012</w:t>
      </w:r>
      <w:r w:rsidR="00742133" w:rsidRPr="0087510B">
        <w:t>–</w:t>
      </w:r>
      <w:r w:rsidR="008360D0" w:rsidRPr="0087510B">
        <w:t>2013</w:t>
      </w:r>
      <w:r w:rsidR="001456CA" w:rsidRPr="0087510B">
        <w:t xml:space="preserve">, and 2013–2014 </w:t>
      </w:r>
      <w:r w:rsidR="008360D0" w:rsidRPr="0087510B">
        <w:t>billing cycles.</w:t>
      </w:r>
      <w:r w:rsidR="008360D0" w:rsidRPr="0087510B">
        <w:rPr>
          <w:rStyle w:val="FootnoteReference"/>
          <w:sz w:val="22"/>
        </w:rPr>
        <w:footnoteReference w:id="65"/>
      </w:r>
      <w:r w:rsidR="008360D0" w:rsidRPr="0087510B">
        <w:t xml:space="preserve">  </w:t>
      </w:r>
    </w:p>
    <w:p w:rsidR="000A6F15" w:rsidRPr="0087510B" w:rsidRDefault="000A6F15" w:rsidP="007335F9">
      <w:pPr>
        <w:pStyle w:val="Heading2"/>
      </w:pPr>
      <w:r w:rsidRPr="0087510B">
        <w:t xml:space="preserve">PTT Apparently </w:t>
      </w:r>
      <w:r w:rsidR="000D71B6" w:rsidRPr="0087510B">
        <w:t>F</w:t>
      </w:r>
      <w:r w:rsidRPr="0087510B">
        <w:t xml:space="preserve">ailed to </w:t>
      </w:r>
      <w:r w:rsidR="000D71B6" w:rsidRPr="0087510B">
        <w:t xml:space="preserve">Timely </w:t>
      </w:r>
      <w:r w:rsidRPr="0087510B">
        <w:t xml:space="preserve">Pay </w:t>
      </w:r>
      <w:r w:rsidR="000D71B6" w:rsidRPr="0087510B">
        <w:t xml:space="preserve">Required </w:t>
      </w:r>
      <w:r w:rsidRPr="0087510B">
        <w:t>Regulatory Fees</w:t>
      </w:r>
    </w:p>
    <w:p w:rsidR="000A6F15" w:rsidRPr="0087510B" w:rsidRDefault="00E409F3" w:rsidP="000A6F15">
      <w:pPr>
        <w:pStyle w:val="ParaNum"/>
      </w:pPr>
      <w:r w:rsidRPr="0087510B">
        <w:t xml:space="preserve">We </w:t>
      </w:r>
      <w:r w:rsidR="00372F31" w:rsidRPr="0087510B">
        <w:t>further</w:t>
      </w:r>
      <w:r w:rsidR="0030338C" w:rsidRPr="0087510B">
        <w:t xml:space="preserve"> </w:t>
      </w:r>
      <w:r w:rsidRPr="0087510B">
        <w:t>conclude that PTT apparently violated Sections 1.1154 and 1.1157(b)(1) of the Rules by willfully or repeatedly failing to timely pay required regulatory fee</w:t>
      </w:r>
      <w:r w:rsidR="00372F31" w:rsidRPr="0087510B">
        <w:t>s for fiscal years 2011 and 2012</w:t>
      </w:r>
      <w:r w:rsidRPr="0087510B">
        <w:t>.</w:t>
      </w:r>
      <w:r w:rsidR="00046FCA" w:rsidRPr="0087510B">
        <w:t xml:space="preserve">  </w:t>
      </w:r>
      <w:r w:rsidR="000A6F15" w:rsidRPr="0087510B">
        <w:t xml:space="preserve">Section 9 of the </w:t>
      </w:r>
      <w:r w:rsidR="00EF5EBC" w:rsidRPr="0087510B">
        <w:t>Act</w:t>
      </w:r>
      <w:r w:rsidR="000A6F15" w:rsidRPr="0087510B">
        <w:t xml:space="preserve"> directs the Commission to </w:t>
      </w:r>
      <w:r w:rsidR="002D2E3A" w:rsidRPr="0087510B">
        <w:t>“</w:t>
      </w:r>
      <w:r w:rsidR="000A6F15" w:rsidRPr="0087510B">
        <w:t>assess and collect regulatory fees to recover the costs</w:t>
      </w:r>
      <w:r w:rsidR="002D2E3A" w:rsidRPr="0087510B">
        <w:t>”</w:t>
      </w:r>
      <w:r w:rsidR="000A6F15" w:rsidRPr="0087510B">
        <w:t xml:space="preserve"> of certain enumerated Commission activities, including</w:t>
      </w:r>
      <w:r w:rsidR="009D3E6A" w:rsidRPr="0087510B">
        <w:t xml:space="preserve"> </w:t>
      </w:r>
      <w:r w:rsidR="002D2E3A" w:rsidRPr="0087510B">
        <w:t>“</w:t>
      </w:r>
      <w:r w:rsidR="000A6F15" w:rsidRPr="0087510B">
        <w:t>enforcement activities, policy and rulemaking activities, user information services, and international activities</w:t>
      </w:r>
      <w:r w:rsidR="009D3E6A" w:rsidRPr="0087510B">
        <w:t>.</w:t>
      </w:r>
      <w:r w:rsidR="002D2E3A" w:rsidRPr="0087510B">
        <w:t>”</w:t>
      </w:r>
      <w:r w:rsidR="000A6F15" w:rsidRPr="0087510B">
        <w:rPr>
          <w:rStyle w:val="FootnoteReference"/>
          <w:sz w:val="22"/>
        </w:rPr>
        <w:footnoteReference w:id="66"/>
      </w:r>
      <w:r w:rsidR="000A6F15" w:rsidRPr="0087510B">
        <w:t xml:space="preserve">  Consistent with this directive, the Commission has set forth in its Rules schedules of annual regulatory fees that entities regulated by the Commission must remit to the Commission</w:t>
      </w:r>
      <w:r w:rsidR="00372F31" w:rsidRPr="0087510B">
        <w:t>,</w:t>
      </w:r>
      <w:r w:rsidR="009D3E6A" w:rsidRPr="0087510B">
        <w:t xml:space="preserve"> </w:t>
      </w:r>
      <w:r w:rsidR="00E7087B" w:rsidRPr="0087510B">
        <w:t xml:space="preserve">as well as </w:t>
      </w:r>
      <w:r w:rsidR="009D3E6A" w:rsidRPr="0087510B">
        <w:t>requirements</w:t>
      </w:r>
      <w:r w:rsidR="00E7087B" w:rsidRPr="0087510B">
        <w:t xml:space="preserve"> </w:t>
      </w:r>
      <w:r w:rsidR="00372F31" w:rsidRPr="0087510B">
        <w:t xml:space="preserve">for </w:t>
      </w:r>
      <w:r w:rsidR="007D176F" w:rsidRPr="0087510B">
        <w:t xml:space="preserve">when </w:t>
      </w:r>
      <w:r w:rsidR="00E7087B" w:rsidRPr="0087510B">
        <w:t xml:space="preserve">the fees </w:t>
      </w:r>
      <w:r w:rsidR="00372F31" w:rsidRPr="0087510B">
        <w:t xml:space="preserve">must </w:t>
      </w:r>
      <w:r w:rsidR="00E7087B" w:rsidRPr="0087510B">
        <w:t>be paid</w:t>
      </w:r>
      <w:r w:rsidR="000A6F15" w:rsidRPr="0087510B">
        <w:t>.</w:t>
      </w:r>
      <w:r w:rsidR="000A6F15" w:rsidRPr="0087510B">
        <w:rPr>
          <w:rStyle w:val="FootnoteReference"/>
          <w:sz w:val="22"/>
        </w:rPr>
        <w:footnoteReference w:id="67"/>
      </w:r>
      <w:r w:rsidR="000A6F15" w:rsidRPr="0087510B">
        <w:t xml:space="preserve">  As a provider of international telecommunications services, PTT was obligated to pay regulatory fees based on its international end-us</w:t>
      </w:r>
      <w:r w:rsidR="009D3E6A" w:rsidRPr="0087510B">
        <w:t xml:space="preserve">er revenues as recorded on its </w:t>
      </w:r>
      <w:r w:rsidR="00C14043" w:rsidRPr="0087510B">
        <w:t>annual</w:t>
      </w:r>
      <w:r w:rsidR="000A6F15" w:rsidRPr="0087510B">
        <w:t xml:space="preserve"> Worksheets.</w:t>
      </w:r>
      <w:r w:rsidR="000A6F15" w:rsidRPr="0087510B">
        <w:rPr>
          <w:rStyle w:val="FootnoteReference"/>
          <w:sz w:val="22"/>
        </w:rPr>
        <w:footnoteReference w:id="68"/>
      </w:r>
      <w:r w:rsidR="00A040AD" w:rsidRPr="00A040AD">
        <w:t xml:space="preserve"> </w:t>
      </w:r>
      <w:r w:rsidR="00A040AD">
        <w:t xml:space="preserve"> F</w:t>
      </w:r>
      <w:r w:rsidR="00A040AD" w:rsidRPr="0087510B">
        <w:t>ailures to make regulatory fee payments are continuing violations until they are cured by the payment of all monies owed.</w:t>
      </w:r>
      <w:r w:rsidR="00A040AD" w:rsidRPr="0087510B">
        <w:rPr>
          <w:rStyle w:val="FootnoteReference"/>
          <w:sz w:val="22"/>
        </w:rPr>
        <w:footnoteReference w:id="69"/>
      </w:r>
      <w:r w:rsidR="00A040AD" w:rsidRPr="0087510B">
        <w:t xml:space="preserve">  </w:t>
      </w:r>
    </w:p>
    <w:p w:rsidR="000A6F15" w:rsidRPr="0087510B" w:rsidRDefault="00E7087B" w:rsidP="000A6F15">
      <w:pPr>
        <w:pStyle w:val="ParaNum"/>
      </w:pPr>
      <w:r w:rsidRPr="0087510B">
        <w:t>PTT</w:t>
      </w:r>
      <w:r w:rsidR="002D2E3A" w:rsidRPr="0087510B">
        <w:t>’</w:t>
      </w:r>
      <w:r w:rsidRPr="0087510B">
        <w:t xml:space="preserve">s regulatory fees for </w:t>
      </w:r>
      <w:r w:rsidR="000A6F15" w:rsidRPr="0087510B">
        <w:t>fiscal year</w:t>
      </w:r>
      <w:r w:rsidR="00046FCA" w:rsidRPr="0087510B">
        <w:t>s</w:t>
      </w:r>
      <w:r w:rsidR="000A6F15" w:rsidRPr="0087510B">
        <w:t xml:space="preserve"> 2011 </w:t>
      </w:r>
      <w:r w:rsidRPr="0087510B">
        <w:t xml:space="preserve">and 2012 </w:t>
      </w:r>
      <w:r w:rsidR="000A6F15" w:rsidRPr="0087510B">
        <w:t>w</w:t>
      </w:r>
      <w:r w:rsidRPr="0087510B">
        <w:t xml:space="preserve">ere </w:t>
      </w:r>
      <w:r w:rsidR="000A6F15" w:rsidRPr="0087510B">
        <w:t>due by September 15, 2011</w:t>
      </w:r>
      <w:r w:rsidR="00372F31" w:rsidRPr="0087510B">
        <w:t>,</w:t>
      </w:r>
      <w:r w:rsidR="000A6F15" w:rsidRPr="0087510B">
        <w:t xml:space="preserve"> </w:t>
      </w:r>
      <w:r w:rsidRPr="0087510B">
        <w:t>and September 13, 2012, respectively</w:t>
      </w:r>
      <w:r w:rsidR="000A6F15" w:rsidRPr="0087510B">
        <w:t>.</w:t>
      </w:r>
      <w:r w:rsidR="000A6F15" w:rsidRPr="0087510B">
        <w:rPr>
          <w:rStyle w:val="FootnoteReference"/>
          <w:sz w:val="22"/>
        </w:rPr>
        <w:footnoteReference w:id="70"/>
      </w:r>
      <w:r w:rsidR="000A6F15" w:rsidRPr="0087510B">
        <w:t xml:space="preserve">  PTT has not paid its regulatory fees for either </w:t>
      </w:r>
      <w:r w:rsidR="004B218D" w:rsidRPr="0087510B">
        <w:t>fiscal year</w:t>
      </w:r>
      <w:r w:rsidR="000A6F15" w:rsidRPr="0087510B">
        <w:t xml:space="preserve">.  </w:t>
      </w:r>
      <w:r w:rsidR="007D176F" w:rsidRPr="0087510B">
        <w:t>The unpaid fees and associated late penalties totaled $11,033.75 as of July 21, 2014.</w:t>
      </w:r>
      <w:r w:rsidR="007D176F" w:rsidRPr="0087510B">
        <w:rPr>
          <w:rStyle w:val="FootnoteReference"/>
          <w:sz w:val="22"/>
        </w:rPr>
        <w:footnoteReference w:id="71"/>
      </w:r>
      <w:r w:rsidR="007D176F" w:rsidRPr="0087510B">
        <w:t xml:space="preserve">  </w:t>
      </w:r>
      <w:r w:rsidR="000A6F15" w:rsidRPr="0087510B">
        <w:t>Based on the preponderance of the evidence, we find that PTT apparently violated Section</w:t>
      </w:r>
      <w:r w:rsidR="007D176F" w:rsidRPr="0087510B">
        <w:t>s</w:t>
      </w:r>
      <w:r w:rsidR="000A6F15" w:rsidRPr="0087510B">
        <w:t xml:space="preserve"> </w:t>
      </w:r>
      <w:r w:rsidR="007D176F" w:rsidRPr="0087510B">
        <w:t xml:space="preserve">1.1154 and 1.1157(b)(1) </w:t>
      </w:r>
      <w:r w:rsidR="000A6F15" w:rsidRPr="0087510B">
        <w:t xml:space="preserve">of the Rules by willfully </w:t>
      </w:r>
      <w:r w:rsidR="00404BE2" w:rsidRPr="0087510B">
        <w:t xml:space="preserve">or </w:t>
      </w:r>
      <w:r w:rsidR="000A6F15" w:rsidRPr="0087510B">
        <w:t xml:space="preserve">repeatedly failing to make regulatory fee payments for </w:t>
      </w:r>
      <w:r w:rsidR="00546D3C" w:rsidRPr="0087510B">
        <w:t>fiscal years</w:t>
      </w:r>
      <w:r w:rsidR="000A6F15" w:rsidRPr="0087510B">
        <w:t xml:space="preserve"> 2011 and 2012.</w:t>
      </w:r>
      <w:r w:rsidR="000A6F15" w:rsidRPr="0087510B">
        <w:rPr>
          <w:rStyle w:val="FootnoteReference"/>
          <w:sz w:val="22"/>
        </w:rPr>
        <w:footnoteReference w:id="72"/>
      </w:r>
      <w:r w:rsidR="000A6F15" w:rsidRPr="0087510B">
        <w:t xml:space="preserve"> </w:t>
      </w:r>
    </w:p>
    <w:p w:rsidR="00502EA4" w:rsidRPr="0087510B" w:rsidRDefault="00502EA4" w:rsidP="007335F9">
      <w:pPr>
        <w:pStyle w:val="Heading2"/>
      </w:pPr>
      <w:r w:rsidRPr="0087510B">
        <w:t>PTT Apparently Failed to Timely File Prepaid Calling Card Certifications</w:t>
      </w:r>
    </w:p>
    <w:p w:rsidR="00727BE2" w:rsidRPr="0087510B" w:rsidRDefault="00993AAC" w:rsidP="00D9478B">
      <w:pPr>
        <w:pStyle w:val="ParaNum"/>
        <w:keepNext/>
      </w:pPr>
      <w:r w:rsidRPr="0087510B">
        <w:t xml:space="preserve">We </w:t>
      </w:r>
      <w:r w:rsidR="00372F31" w:rsidRPr="0087510B">
        <w:t>also find</w:t>
      </w:r>
      <w:r w:rsidRPr="0087510B">
        <w:t xml:space="preserve"> that PTT apparently violated Section 64.5001(c) of the Rules by willfully or repeatedly failing to timely file prepaid calling card certifications.  That rule </w:t>
      </w:r>
      <w:r w:rsidR="00C75EC8" w:rsidRPr="0087510B">
        <w:t xml:space="preserve">requires that an officer of each </w:t>
      </w:r>
      <w:bookmarkStart w:id="10" w:name="SR;28147"/>
      <w:bookmarkEnd w:id="10"/>
      <w:r w:rsidR="00C75EC8" w:rsidRPr="0087510B">
        <w:t xml:space="preserve">prepaid </w:t>
      </w:r>
      <w:bookmarkStart w:id="11" w:name="SR;28148"/>
      <w:bookmarkEnd w:id="11"/>
      <w:r w:rsidR="00C75EC8" w:rsidRPr="0087510B">
        <w:t xml:space="preserve">calling card provider submit a quarterly </w:t>
      </w:r>
      <w:bookmarkStart w:id="12" w:name="SR;28154"/>
      <w:bookmarkEnd w:id="12"/>
      <w:r w:rsidR="00C75EC8" w:rsidRPr="0087510B">
        <w:t>certification to the Commission stating, among other information, that the provider is making any required USF contributions</w:t>
      </w:r>
      <w:r w:rsidR="00BB3B5C" w:rsidRPr="0087510B">
        <w:t>.</w:t>
      </w:r>
      <w:r w:rsidR="00EE7B4C" w:rsidRPr="0087510B">
        <w:rPr>
          <w:rStyle w:val="FootnoteReference"/>
          <w:sz w:val="22"/>
        </w:rPr>
        <w:footnoteReference w:id="73"/>
      </w:r>
      <w:r w:rsidR="00BB3B5C" w:rsidRPr="0087510B">
        <w:t xml:space="preserve">  Each quarterly certification is due no later than the last day of the subsequent quarter.</w:t>
      </w:r>
      <w:bookmarkStart w:id="13" w:name="FN[FN27]"/>
      <w:bookmarkEnd w:id="13"/>
      <w:r w:rsidR="00BB3B5C" w:rsidRPr="0087510B">
        <w:rPr>
          <w:rStyle w:val="FootnoteReference"/>
          <w:sz w:val="22"/>
        </w:rPr>
        <w:footnoteReference w:id="74"/>
      </w:r>
      <w:r w:rsidR="00EF2406">
        <w:t xml:space="preserve">  As with other forms, failures to file prepaid calling card certifications constitute </w:t>
      </w:r>
      <w:r w:rsidR="006C3712">
        <w:t>continuing</w:t>
      </w:r>
      <w:r w:rsidR="00EF2406">
        <w:t xml:space="preserve"> violation</w:t>
      </w:r>
      <w:r w:rsidR="006C3712">
        <w:t>s</w:t>
      </w:r>
      <w:r w:rsidR="00EF2406">
        <w:t xml:space="preserve"> until the violations are cured.</w:t>
      </w:r>
      <w:r w:rsidR="00EF2406">
        <w:rPr>
          <w:rStyle w:val="FootnoteReference"/>
        </w:rPr>
        <w:footnoteReference w:id="75"/>
      </w:r>
    </w:p>
    <w:p w:rsidR="00BB3B5C" w:rsidRPr="0087510B" w:rsidRDefault="00CF5808" w:rsidP="00CF5808">
      <w:pPr>
        <w:pStyle w:val="ParaNum"/>
      </w:pPr>
      <w:r w:rsidRPr="0087510B">
        <w:t>Since commenc</w:t>
      </w:r>
      <w:r w:rsidR="00104C29" w:rsidRPr="0087510B">
        <w:t xml:space="preserve">ing </w:t>
      </w:r>
      <w:r w:rsidRPr="0087510B">
        <w:t xml:space="preserve">its operations in January 2010, PTT </w:t>
      </w:r>
      <w:r w:rsidR="00104C29" w:rsidRPr="0087510B">
        <w:t xml:space="preserve">has </w:t>
      </w:r>
      <w:r w:rsidRPr="0087510B">
        <w:t>late filed 15 separate quarterly prepaid calling card certifications</w:t>
      </w:r>
      <w:r w:rsidR="00372F31" w:rsidRPr="0087510B">
        <w:t>,</w:t>
      </w:r>
      <w:r w:rsidRPr="0087510B">
        <w:t xml:space="preserve"> and the certification for </w:t>
      </w:r>
      <w:r w:rsidR="001D35E1" w:rsidRPr="0087510B">
        <w:t>a sixteenth quarter (</w:t>
      </w:r>
      <w:r w:rsidRPr="0087510B">
        <w:t>the first quarter of 2014</w:t>
      </w:r>
      <w:r w:rsidR="001D35E1" w:rsidRPr="0087510B">
        <w:t>)</w:t>
      </w:r>
      <w:r w:rsidRPr="0087510B">
        <w:t xml:space="preserve"> has not yet been filed.  Indeed, </w:t>
      </w:r>
      <w:r w:rsidR="00B96E18" w:rsidRPr="0087510B">
        <w:t xml:space="preserve">the Commission </w:t>
      </w:r>
      <w:r w:rsidRPr="0087510B">
        <w:t xml:space="preserve">did not receive PTT’s first </w:t>
      </w:r>
      <w:r w:rsidR="00A62652" w:rsidRPr="0087510B">
        <w:t xml:space="preserve">14 </w:t>
      </w:r>
      <w:r w:rsidRPr="0087510B">
        <w:t>quarters of certifications until December 18, 2013.</w:t>
      </w:r>
      <w:r w:rsidR="00A07BAC" w:rsidRPr="0087510B">
        <w:rPr>
          <w:rStyle w:val="FootnoteReference"/>
          <w:sz w:val="22"/>
        </w:rPr>
        <w:footnoteReference w:id="76"/>
      </w:r>
      <w:r w:rsidR="00A07BAC" w:rsidRPr="0087510B">
        <w:t xml:space="preserve"> </w:t>
      </w:r>
      <w:r w:rsidRPr="0087510B">
        <w:t xml:space="preserve"> This was more than eight months after </w:t>
      </w:r>
      <w:r w:rsidR="0067040C" w:rsidRPr="0087510B">
        <w:t xml:space="preserve">April 12, 2013, </w:t>
      </w:r>
      <w:r w:rsidR="0068378C" w:rsidRPr="0087510B">
        <w:t xml:space="preserve">the </w:t>
      </w:r>
      <w:r w:rsidR="0067040C" w:rsidRPr="0087510B">
        <w:t xml:space="preserve">date </w:t>
      </w:r>
      <w:r w:rsidR="00104C29" w:rsidRPr="0087510B">
        <w:t xml:space="preserve">PTT acknowledged receipt of the </w:t>
      </w:r>
      <w:r w:rsidR="0068378C" w:rsidRPr="0087510B">
        <w:t>Bureau</w:t>
      </w:r>
      <w:r w:rsidR="00104C29" w:rsidRPr="0087510B">
        <w:t xml:space="preserve">’s </w:t>
      </w:r>
      <w:r w:rsidR="00104C29" w:rsidRPr="0087510B">
        <w:rPr>
          <w:i/>
        </w:rPr>
        <w:t>LOI</w:t>
      </w:r>
      <w:r w:rsidR="00104C29" w:rsidRPr="0087510B">
        <w:t xml:space="preserve"> </w:t>
      </w:r>
      <w:r w:rsidR="0068378C" w:rsidRPr="0087510B">
        <w:t>investigating the Company’s compliance with Section 64.5001(c).</w:t>
      </w:r>
      <w:r w:rsidR="00A07BAC" w:rsidRPr="0087510B">
        <w:rPr>
          <w:rStyle w:val="FootnoteReference"/>
          <w:sz w:val="22"/>
        </w:rPr>
        <w:footnoteReference w:id="77"/>
      </w:r>
      <w:r w:rsidR="0068378C" w:rsidRPr="0087510B">
        <w:t xml:space="preserve"> </w:t>
      </w:r>
      <w:r w:rsidR="00993AAC" w:rsidRPr="0087510B">
        <w:t xml:space="preserve"> </w:t>
      </w:r>
      <w:r w:rsidR="005A0462" w:rsidRPr="0087510B">
        <w:t xml:space="preserve">Based on the preponderance of the evidence, we therefore find that PTT apparently violated </w:t>
      </w:r>
      <w:r w:rsidR="00727BE2" w:rsidRPr="0087510B">
        <w:t>Section 64.5001(c)</w:t>
      </w:r>
      <w:r w:rsidR="005A0462" w:rsidRPr="0087510B">
        <w:t xml:space="preserve"> by willfully </w:t>
      </w:r>
      <w:r w:rsidR="00404BE2" w:rsidRPr="0087510B">
        <w:t xml:space="preserve">or </w:t>
      </w:r>
      <w:r w:rsidR="005A0462" w:rsidRPr="0087510B">
        <w:t xml:space="preserve">repeatedly failing to </w:t>
      </w:r>
      <w:r w:rsidR="00727BE2" w:rsidRPr="0087510B">
        <w:t>timely file its prepaid calling card certifications.</w:t>
      </w:r>
    </w:p>
    <w:p w:rsidR="00727BE2" w:rsidRPr="0087510B" w:rsidRDefault="003452C3" w:rsidP="007335F9">
      <w:pPr>
        <w:pStyle w:val="Heading2"/>
      </w:pPr>
      <w:r w:rsidRPr="0087510B">
        <w:t>PTT Apparently Failed to Timely File International Traffic and Revenue Reports</w:t>
      </w:r>
    </w:p>
    <w:p w:rsidR="00246CC5" w:rsidRPr="0087510B" w:rsidRDefault="00993AAC" w:rsidP="007335F9">
      <w:pPr>
        <w:pStyle w:val="ParaNum"/>
        <w:widowControl/>
      </w:pPr>
      <w:r w:rsidRPr="0087510B">
        <w:t xml:space="preserve">We conclude that PTT apparently violated Section 43.61(a) of the Rules by willfully or repeatedly failing to file international traffic and revenue reports.  That rule </w:t>
      </w:r>
      <w:r w:rsidR="002B26E6" w:rsidRPr="0087510B">
        <w:t xml:space="preserve">requires common carriers that provide </w:t>
      </w:r>
      <w:bookmarkStart w:id="14" w:name="SR;2733"/>
      <w:bookmarkEnd w:id="14"/>
      <w:r w:rsidR="002B26E6" w:rsidRPr="0087510B">
        <w:t xml:space="preserve">international telecommunications </w:t>
      </w:r>
      <w:r w:rsidR="002B26E6" w:rsidRPr="003A3175">
        <w:t>services</w:t>
      </w:r>
      <w:r w:rsidR="002B26E6" w:rsidRPr="0087510B">
        <w:t xml:space="preserve"> to file </w:t>
      </w:r>
      <w:bookmarkStart w:id="15" w:name="SR;2738"/>
      <w:bookmarkEnd w:id="15"/>
      <w:r w:rsidR="002B26E6" w:rsidRPr="0087510B">
        <w:t>reports with the Commission containing data on overseas traffic.</w:t>
      </w:r>
      <w:bookmarkStart w:id="16" w:name="FN[FN68]"/>
      <w:bookmarkEnd w:id="16"/>
      <w:r w:rsidR="00246CC5" w:rsidRPr="0087510B">
        <w:rPr>
          <w:rStyle w:val="FootnoteReference"/>
          <w:sz w:val="22"/>
        </w:rPr>
        <w:footnoteReference w:id="78"/>
      </w:r>
      <w:r w:rsidR="00246CC5" w:rsidRPr="0087510B">
        <w:t xml:space="preserve">  These reports are due not later than July 31 of each year and must include specified traffic and revenue data pertaining to the carrier</w:t>
      </w:r>
      <w:r w:rsidR="002D2E3A" w:rsidRPr="0087510B">
        <w:t>’</w:t>
      </w:r>
      <w:r w:rsidR="00246CC5" w:rsidRPr="0087510B">
        <w:t>s international telecommunications service</w:t>
      </w:r>
      <w:r w:rsidR="00E76F40" w:rsidRPr="0087510B">
        <w:t>s</w:t>
      </w:r>
      <w:r w:rsidR="00246CC5" w:rsidRPr="0087510B">
        <w:t xml:space="preserve"> provided in the preceding calendar year.</w:t>
      </w:r>
      <w:r w:rsidR="00246CC5" w:rsidRPr="0087510B">
        <w:rPr>
          <w:rStyle w:val="FootnoteReference"/>
          <w:sz w:val="22"/>
        </w:rPr>
        <w:footnoteReference w:id="79"/>
      </w:r>
      <w:r w:rsidR="000B4983" w:rsidRPr="0087510B">
        <w:t xml:space="preserve">  Failures to timely file </w:t>
      </w:r>
      <w:bookmarkStart w:id="17" w:name="SR;2786"/>
      <w:bookmarkEnd w:id="17"/>
      <w:r w:rsidR="000B4983" w:rsidRPr="0087510B">
        <w:t xml:space="preserve">international telecommunications traffic </w:t>
      </w:r>
      <w:bookmarkStart w:id="18" w:name="SR;2789"/>
      <w:bookmarkEnd w:id="18"/>
      <w:r w:rsidR="000B4983" w:rsidRPr="0087510B">
        <w:t>reports constitute continuing violations until the violations are cured.</w:t>
      </w:r>
      <w:bookmarkStart w:id="19" w:name="FN[FN70]"/>
      <w:bookmarkEnd w:id="19"/>
      <w:r w:rsidR="000B4983" w:rsidRPr="0087510B">
        <w:rPr>
          <w:rStyle w:val="FootnoteReference"/>
          <w:sz w:val="22"/>
        </w:rPr>
        <w:footnoteReference w:id="80"/>
      </w:r>
      <w:r w:rsidR="000B4983" w:rsidRPr="0087510B">
        <w:t xml:space="preserve">  </w:t>
      </w:r>
    </w:p>
    <w:p w:rsidR="002B26E6" w:rsidRPr="0087510B" w:rsidRDefault="002B26E6" w:rsidP="003A3175">
      <w:pPr>
        <w:pStyle w:val="ParaNum"/>
      </w:pPr>
      <w:r w:rsidRPr="0087510B">
        <w:t>The Commission</w:t>
      </w:r>
      <w:r w:rsidR="002D2E3A" w:rsidRPr="0087510B">
        <w:t>’</w:t>
      </w:r>
      <w:r w:rsidRPr="0087510B">
        <w:t xml:space="preserve">s records indicate that </w:t>
      </w:r>
      <w:r w:rsidR="002B5CEE" w:rsidRPr="0087510B">
        <w:t xml:space="preserve">PTT </w:t>
      </w:r>
      <w:r w:rsidRPr="0087510B">
        <w:t>failed to file its 20</w:t>
      </w:r>
      <w:r w:rsidR="000B4983" w:rsidRPr="0087510B">
        <w:t>11</w:t>
      </w:r>
      <w:r w:rsidRPr="0087510B">
        <w:t>, 20</w:t>
      </w:r>
      <w:r w:rsidR="000B4983" w:rsidRPr="0087510B">
        <w:t>12</w:t>
      </w:r>
      <w:r w:rsidRPr="0087510B">
        <w:t>, 201</w:t>
      </w:r>
      <w:r w:rsidR="000B4983" w:rsidRPr="0087510B">
        <w:t>3</w:t>
      </w:r>
      <w:r w:rsidR="003231DF" w:rsidRPr="0087510B">
        <w:t>, and 2014</w:t>
      </w:r>
      <w:r w:rsidRPr="0087510B">
        <w:t xml:space="preserve"> </w:t>
      </w:r>
      <w:bookmarkStart w:id="20" w:name="SR;2763"/>
      <w:bookmarkEnd w:id="20"/>
      <w:r w:rsidRPr="0087510B">
        <w:t xml:space="preserve">international telecommunications traffic </w:t>
      </w:r>
      <w:bookmarkStart w:id="21" w:name="SR;2766"/>
      <w:bookmarkEnd w:id="21"/>
      <w:r w:rsidRPr="0087510B">
        <w:t>reports (providing calendar year 20</w:t>
      </w:r>
      <w:r w:rsidR="000B4983" w:rsidRPr="0087510B">
        <w:t>10</w:t>
      </w:r>
      <w:r w:rsidRPr="0087510B">
        <w:t>, 20</w:t>
      </w:r>
      <w:r w:rsidR="000B4983" w:rsidRPr="0087510B">
        <w:t>11</w:t>
      </w:r>
      <w:r w:rsidRPr="0087510B">
        <w:t>, 201</w:t>
      </w:r>
      <w:r w:rsidR="000B4983" w:rsidRPr="0087510B">
        <w:t>2</w:t>
      </w:r>
      <w:r w:rsidR="003231DF" w:rsidRPr="0087510B">
        <w:t>, 2013</w:t>
      </w:r>
      <w:r w:rsidRPr="0087510B">
        <w:t xml:space="preserve"> data, respectively) in a timely manner.</w:t>
      </w:r>
      <w:bookmarkStart w:id="22" w:name="FN[FN69]"/>
      <w:bookmarkEnd w:id="22"/>
      <w:r w:rsidR="000B4983" w:rsidRPr="0087510B">
        <w:t xml:space="preserve">  PTT </w:t>
      </w:r>
      <w:r w:rsidRPr="0087510B">
        <w:t xml:space="preserve">was obligated to submit </w:t>
      </w:r>
      <w:bookmarkStart w:id="23" w:name="SR;2807"/>
      <w:bookmarkStart w:id="24" w:name="SR;2810"/>
      <w:bookmarkEnd w:id="23"/>
      <w:bookmarkEnd w:id="24"/>
      <w:r w:rsidR="000B4983" w:rsidRPr="0087510B">
        <w:t xml:space="preserve">these </w:t>
      </w:r>
      <w:r w:rsidRPr="0087510B">
        <w:t>report</w:t>
      </w:r>
      <w:r w:rsidR="000B4983" w:rsidRPr="0087510B">
        <w:t>s</w:t>
      </w:r>
      <w:r w:rsidRPr="0087510B">
        <w:t xml:space="preserve"> by July 31</w:t>
      </w:r>
      <w:r w:rsidR="003231DF" w:rsidRPr="0087510B">
        <w:t xml:space="preserve"> of </w:t>
      </w:r>
      <w:r w:rsidR="00E76780" w:rsidRPr="0087510B">
        <w:t>each</w:t>
      </w:r>
      <w:r w:rsidR="003231DF" w:rsidRPr="0087510B">
        <w:t xml:space="preserve"> year they were due</w:t>
      </w:r>
      <w:r w:rsidR="000B4983" w:rsidRPr="0087510B">
        <w:t xml:space="preserve">.  PTT, however, </w:t>
      </w:r>
      <w:r w:rsidRPr="0087510B">
        <w:t xml:space="preserve">did </w:t>
      </w:r>
      <w:r w:rsidR="000B4983" w:rsidRPr="0087510B">
        <w:t xml:space="preserve">not file </w:t>
      </w:r>
      <w:r w:rsidR="003231DF" w:rsidRPr="0087510B">
        <w:t xml:space="preserve">its 2011, 2012, and </w:t>
      </w:r>
      <w:r w:rsidR="003231DF" w:rsidRPr="003A3175">
        <w:t>2013</w:t>
      </w:r>
      <w:r w:rsidR="003231DF" w:rsidRPr="0087510B">
        <w:t xml:space="preserve"> </w:t>
      </w:r>
      <w:r w:rsidR="000B4983" w:rsidRPr="0087510B">
        <w:t xml:space="preserve">reports </w:t>
      </w:r>
      <w:r w:rsidRPr="0087510B">
        <w:t xml:space="preserve">until </w:t>
      </w:r>
      <w:r w:rsidR="000C30A9" w:rsidRPr="0087510B">
        <w:t xml:space="preserve">February 20, </w:t>
      </w:r>
      <w:r w:rsidR="000B4983" w:rsidRPr="0087510B">
        <w:t xml:space="preserve">2014, </w:t>
      </w:r>
      <w:r w:rsidR="000F642B" w:rsidRPr="0087510B">
        <w:t xml:space="preserve">and </w:t>
      </w:r>
      <w:r w:rsidR="00E76780" w:rsidRPr="0087510B">
        <w:t xml:space="preserve">the Company </w:t>
      </w:r>
      <w:r w:rsidR="000F642B" w:rsidRPr="0087510B">
        <w:t>did not file its 2014 report until August 5, 2014.  These</w:t>
      </w:r>
      <w:r w:rsidR="00E76780" w:rsidRPr="0087510B">
        <w:t xml:space="preserve"> respective</w:t>
      </w:r>
      <w:r w:rsidR="000F642B" w:rsidRPr="0087510B">
        <w:t xml:space="preserve"> dates are roughly </w:t>
      </w:r>
      <w:r w:rsidR="000C30A9" w:rsidRPr="0087510B">
        <w:t xml:space="preserve">10 </w:t>
      </w:r>
      <w:r w:rsidR="000B4983" w:rsidRPr="0087510B">
        <w:t xml:space="preserve">months </w:t>
      </w:r>
      <w:r w:rsidR="000F642B" w:rsidRPr="0087510B">
        <w:t xml:space="preserve">and 16 months </w:t>
      </w:r>
      <w:r w:rsidR="000B4983" w:rsidRPr="0087510B">
        <w:t xml:space="preserve">after </w:t>
      </w:r>
      <w:r w:rsidR="000F642B" w:rsidRPr="0087510B">
        <w:t xml:space="preserve">April 12, 2013, the date PTT </w:t>
      </w:r>
      <w:r w:rsidR="000C30A9" w:rsidRPr="0087510B">
        <w:t xml:space="preserve">acknowledged receipt of the Bureau’s </w:t>
      </w:r>
      <w:r w:rsidR="000C30A9" w:rsidRPr="0087510B">
        <w:rPr>
          <w:i/>
        </w:rPr>
        <w:t>LOI</w:t>
      </w:r>
      <w:r w:rsidR="000B4983" w:rsidRPr="0087510B">
        <w:t xml:space="preserve"> </w:t>
      </w:r>
      <w:r w:rsidR="000A25D2" w:rsidRPr="0087510B">
        <w:t>investigating</w:t>
      </w:r>
      <w:r w:rsidR="000B4983" w:rsidRPr="0087510B">
        <w:t xml:space="preserve"> the Company</w:t>
      </w:r>
      <w:r w:rsidR="002D2E3A" w:rsidRPr="0087510B">
        <w:t>’</w:t>
      </w:r>
      <w:r w:rsidR="000B4983" w:rsidRPr="0087510B">
        <w:t>s compliance with Section 43.61(a).</w:t>
      </w:r>
      <w:r w:rsidR="000B4983" w:rsidRPr="0087510B">
        <w:rPr>
          <w:rStyle w:val="FootnoteReference"/>
          <w:sz w:val="22"/>
        </w:rPr>
        <w:footnoteReference w:id="81"/>
      </w:r>
      <w:r w:rsidR="000B4983" w:rsidRPr="0087510B">
        <w:t xml:space="preserve">  </w:t>
      </w:r>
      <w:r w:rsidRPr="0087510B">
        <w:t xml:space="preserve">Based on a preponderance of the evidence, we </w:t>
      </w:r>
      <w:r w:rsidR="000B4983" w:rsidRPr="0087510B">
        <w:t xml:space="preserve">therefore </w:t>
      </w:r>
      <w:r w:rsidRPr="0087510B">
        <w:t xml:space="preserve">conclude that </w:t>
      </w:r>
      <w:r w:rsidR="00B66771" w:rsidRPr="0087510B">
        <w:t>PTT</w:t>
      </w:r>
      <w:r w:rsidRPr="0087510B">
        <w:t xml:space="preserve"> apparently violated Section 43.61 of the Rules by willfully or repeatedly failing to timely file its </w:t>
      </w:r>
      <w:bookmarkStart w:id="25" w:name="SR;2953"/>
      <w:bookmarkEnd w:id="25"/>
      <w:r w:rsidR="000B4983" w:rsidRPr="0087510B">
        <w:t>2011, 2012, 2013</w:t>
      </w:r>
      <w:r w:rsidR="00B96E18" w:rsidRPr="0087510B">
        <w:t>, and 2014</w:t>
      </w:r>
      <w:r w:rsidR="000B4983" w:rsidRPr="0087510B">
        <w:t xml:space="preserve"> </w:t>
      </w:r>
      <w:r w:rsidRPr="0087510B">
        <w:t xml:space="preserve">international telecommunications traffic </w:t>
      </w:r>
      <w:bookmarkStart w:id="26" w:name="SR;2956"/>
      <w:bookmarkEnd w:id="26"/>
      <w:r w:rsidRPr="0087510B">
        <w:t>reports.</w:t>
      </w:r>
      <w:bookmarkStart w:id="27" w:name="FN[FN74]"/>
      <w:bookmarkEnd w:id="27"/>
    </w:p>
    <w:p w:rsidR="00174FFD" w:rsidRPr="0087510B" w:rsidRDefault="00174FFD" w:rsidP="007335F9">
      <w:pPr>
        <w:pStyle w:val="Heading2"/>
      </w:pPr>
      <w:r w:rsidRPr="0087510B">
        <w:t>PTT Apparently Failed to Timely File CPNI Certifications</w:t>
      </w:r>
    </w:p>
    <w:p w:rsidR="005E73B7" w:rsidRPr="0087510B" w:rsidRDefault="007229E6" w:rsidP="007335F9">
      <w:pPr>
        <w:pStyle w:val="ParaNum"/>
        <w:widowControl/>
      </w:pPr>
      <w:r w:rsidRPr="0087510B">
        <w:t xml:space="preserve">We </w:t>
      </w:r>
      <w:r w:rsidR="00E76780" w:rsidRPr="0087510B">
        <w:t xml:space="preserve">also </w:t>
      </w:r>
      <w:r w:rsidRPr="0087510B">
        <w:t xml:space="preserve">conclude that PTT apparently violated Section 64.2009(e) of the Rules by willfully or repeatedly failing to timely file its annual CPNI certifications. </w:t>
      </w:r>
      <w:r w:rsidR="008467C0" w:rsidRPr="0087510B">
        <w:t xml:space="preserve"> In the course of providing </w:t>
      </w:r>
      <w:r w:rsidR="00B95A79" w:rsidRPr="0087510B">
        <w:t>prepaid calling card</w:t>
      </w:r>
      <w:r w:rsidR="008467C0" w:rsidRPr="0087510B">
        <w:t xml:space="preserve"> services, PTT collects personal information relating to its customers’ calling practices, such as the number of calls a customer makes, the type of services the customer subscribes to, the destination or numbers called by a customer, the location (i.e., where the customer is calling from), and information contained in a subscriber’s bills.  The Act defines this information as CPNI.</w:t>
      </w:r>
      <w:r w:rsidR="008467C0" w:rsidRPr="0087510B">
        <w:rPr>
          <w:rStyle w:val="FootnoteReference"/>
          <w:sz w:val="22"/>
        </w:rPr>
        <w:footnoteReference w:id="82"/>
      </w:r>
      <w:r w:rsidRPr="0087510B">
        <w:t xml:space="preserve"> </w:t>
      </w:r>
      <w:r w:rsidR="008467C0" w:rsidRPr="0087510B">
        <w:t xml:space="preserve"> </w:t>
      </w:r>
      <w:r w:rsidR="005B25FE" w:rsidRPr="0087510B">
        <w:t>Section 222 of the Act imposes the general duty on all telecommunications carriers to protect the confidentiality of their subscribers</w:t>
      </w:r>
      <w:r w:rsidR="002D2E3A" w:rsidRPr="0087510B">
        <w:t>’</w:t>
      </w:r>
      <w:r w:rsidR="005B25FE" w:rsidRPr="0087510B">
        <w:t xml:space="preserve"> proprietary information.</w:t>
      </w:r>
      <w:bookmarkStart w:id="30" w:name="FN[FN3]"/>
      <w:bookmarkEnd w:id="30"/>
      <w:r w:rsidR="005E73B7" w:rsidRPr="0087510B">
        <w:rPr>
          <w:rStyle w:val="FootnoteReference"/>
          <w:sz w:val="22"/>
        </w:rPr>
        <w:footnoteReference w:id="83"/>
      </w:r>
      <w:r w:rsidR="005B25FE" w:rsidRPr="0087510B">
        <w:t xml:space="preserve"> </w:t>
      </w:r>
      <w:r w:rsidR="005E73B7" w:rsidRPr="0087510B">
        <w:t xml:space="preserve"> </w:t>
      </w:r>
      <w:r w:rsidR="005B25FE" w:rsidRPr="0087510B">
        <w:t xml:space="preserve">The Commission has </w:t>
      </w:r>
      <w:r w:rsidR="00E76780" w:rsidRPr="0087510B">
        <w:t xml:space="preserve">promulgated </w:t>
      </w:r>
      <w:r w:rsidR="005B25FE" w:rsidRPr="0087510B">
        <w:t xml:space="preserve">rules implementing </w:t>
      </w:r>
      <w:r w:rsidR="00E76780" w:rsidRPr="0087510B">
        <w:t>S</w:t>
      </w:r>
      <w:r w:rsidR="005B25FE" w:rsidRPr="0087510B">
        <w:t>ection 222.</w:t>
      </w:r>
      <w:bookmarkStart w:id="31" w:name="FN[FN4]"/>
      <w:bookmarkEnd w:id="31"/>
      <w:r w:rsidR="005E73B7" w:rsidRPr="0087510B">
        <w:rPr>
          <w:rStyle w:val="FootnoteReference"/>
          <w:sz w:val="22"/>
        </w:rPr>
        <w:footnoteReference w:id="84"/>
      </w:r>
      <w:r w:rsidR="005B25FE" w:rsidRPr="0087510B">
        <w:t xml:space="preserve"> </w:t>
      </w:r>
      <w:r w:rsidRPr="0087510B">
        <w:t xml:space="preserve"> </w:t>
      </w:r>
      <w:r w:rsidR="00E76780" w:rsidRPr="0087510B">
        <w:t xml:space="preserve">Specifically, </w:t>
      </w:r>
      <w:r w:rsidR="0068378C" w:rsidRPr="0087510B">
        <w:t>Section 64.2009(e) of the R</w:t>
      </w:r>
      <w:r w:rsidR="005B25FE" w:rsidRPr="0087510B">
        <w:t>ules require</w:t>
      </w:r>
      <w:r w:rsidR="0068378C" w:rsidRPr="0087510B">
        <w:t>s</w:t>
      </w:r>
      <w:r w:rsidR="005B25FE" w:rsidRPr="0087510B">
        <w:t xml:space="preserve">, among other things, that carriers establish and maintain systems designed to </w:t>
      </w:r>
      <w:bookmarkStart w:id="32" w:name="sp_1511_2161"/>
      <w:bookmarkStart w:id="33" w:name="SDU_2161"/>
      <w:bookmarkEnd w:id="32"/>
      <w:bookmarkEnd w:id="33"/>
      <w:r w:rsidR="005B25FE" w:rsidRPr="0087510B">
        <w:t>ensure that they adequately protect their subscribers</w:t>
      </w:r>
      <w:r w:rsidR="002D2E3A" w:rsidRPr="0087510B">
        <w:t>’</w:t>
      </w:r>
      <w:r w:rsidR="005B25FE" w:rsidRPr="0087510B">
        <w:t xml:space="preserve"> CPNI and file with the Commission annually, on or before March 1, a certification of their compliance with the CPNI rules.</w:t>
      </w:r>
      <w:bookmarkStart w:id="34" w:name="FN[FN5]"/>
      <w:bookmarkEnd w:id="34"/>
      <w:r w:rsidR="00D50255" w:rsidRPr="0087510B">
        <w:rPr>
          <w:rStyle w:val="FootnoteReference"/>
          <w:sz w:val="22"/>
        </w:rPr>
        <w:footnoteReference w:id="85"/>
      </w:r>
      <w:r w:rsidR="00B10031">
        <w:t xml:space="preserve">  </w:t>
      </w:r>
      <w:r w:rsidR="00B10031" w:rsidRPr="0087510B">
        <w:t>The Commission has determined that the failure to file a CPNI certification is a continuing violation, which is not cured until the certification is filed with the Commission.</w:t>
      </w:r>
      <w:r w:rsidR="00B10031" w:rsidRPr="0087510B">
        <w:rPr>
          <w:rStyle w:val="FootnoteReference"/>
          <w:sz w:val="22"/>
        </w:rPr>
        <w:footnoteReference w:id="86"/>
      </w:r>
      <w:r w:rsidR="00B10031" w:rsidRPr="0087510B">
        <w:t xml:space="preserve">  </w:t>
      </w:r>
    </w:p>
    <w:p w:rsidR="002D2E3A" w:rsidRPr="0087510B" w:rsidRDefault="003C5850" w:rsidP="003A3175">
      <w:pPr>
        <w:pStyle w:val="ParaNum"/>
      </w:pPr>
      <w:r w:rsidRPr="0087510B">
        <w:t>The Commission’s records indicate that PTT failed to file its annual CPNI certifications for 2011, 2012, 2013, and 2014 covering PTT’s CPNI policies and actions in 2010, 2011, 2012, and 2013, respectively.</w:t>
      </w:r>
      <w:r w:rsidRPr="0087510B">
        <w:rPr>
          <w:rStyle w:val="FootnoteReference"/>
          <w:sz w:val="22"/>
        </w:rPr>
        <w:footnoteReference w:id="87"/>
      </w:r>
      <w:r w:rsidRPr="0087510B">
        <w:t xml:space="preserve">  Although PTT’s annual certification was due March 1 of each year, PTT did not file its certification</w:t>
      </w:r>
      <w:r w:rsidR="00B6335C" w:rsidRPr="0087510B">
        <w:t>s</w:t>
      </w:r>
      <w:r w:rsidRPr="0087510B">
        <w:t xml:space="preserve"> for 2011</w:t>
      </w:r>
      <w:r w:rsidR="00B6335C" w:rsidRPr="0087510B">
        <w:t xml:space="preserve">, 2012, and </w:t>
      </w:r>
      <w:r w:rsidRPr="0087510B">
        <w:t>2013 until April 16, 2013.</w:t>
      </w:r>
      <w:r w:rsidRPr="0087510B">
        <w:rPr>
          <w:rStyle w:val="FootnoteReference"/>
          <w:sz w:val="22"/>
        </w:rPr>
        <w:footnoteReference w:id="88"/>
      </w:r>
      <w:r w:rsidRPr="0087510B">
        <w:t xml:space="preserve">  </w:t>
      </w:r>
      <w:r w:rsidRPr="003A3175">
        <w:t>This</w:t>
      </w:r>
      <w:r w:rsidRPr="0087510B">
        <w:t xml:space="preserve"> was </w:t>
      </w:r>
      <w:r w:rsidR="00B64531" w:rsidRPr="0087510B">
        <w:t xml:space="preserve">after </w:t>
      </w:r>
      <w:r w:rsidRPr="0087510B">
        <w:t>PTT</w:t>
      </w:r>
      <w:r w:rsidR="009A539B" w:rsidRPr="0087510B">
        <w:t xml:space="preserve"> </w:t>
      </w:r>
      <w:r w:rsidRPr="0087510B">
        <w:t>learn</w:t>
      </w:r>
      <w:r w:rsidR="00B64531" w:rsidRPr="0087510B">
        <w:t>ed</w:t>
      </w:r>
      <w:r w:rsidRPr="0087510B">
        <w:t xml:space="preserve"> that the Commission was investigating </w:t>
      </w:r>
      <w:r w:rsidR="00B6335C" w:rsidRPr="0087510B">
        <w:t xml:space="preserve">the Company’s </w:t>
      </w:r>
      <w:r w:rsidRPr="0087510B">
        <w:t>potential violation of this requirement.</w:t>
      </w:r>
      <w:r w:rsidRPr="0087510B">
        <w:rPr>
          <w:rStyle w:val="FootnoteReference"/>
          <w:sz w:val="22"/>
        </w:rPr>
        <w:footnoteReference w:id="89"/>
      </w:r>
      <w:r w:rsidR="00B6335C" w:rsidRPr="0087510B">
        <w:t xml:space="preserve">  These</w:t>
      </w:r>
      <w:r w:rsidR="0067040C" w:rsidRPr="0087510B">
        <w:t xml:space="preserve"> three</w:t>
      </w:r>
      <w:r w:rsidR="00B6335C" w:rsidRPr="0087510B">
        <w:t xml:space="preserve"> filings were </w:t>
      </w:r>
      <w:r w:rsidR="002329E4" w:rsidRPr="0087510B">
        <w:t>respectively</w:t>
      </w:r>
      <w:r w:rsidR="00B6335C" w:rsidRPr="0087510B">
        <w:t xml:space="preserve"> more than 25 months late</w:t>
      </w:r>
      <w:r w:rsidR="002329E4" w:rsidRPr="0087510B">
        <w:t>,</w:t>
      </w:r>
      <w:r w:rsidR="00B6335C" w:rsidRPr="0087510B">
        <w:t xml:space="preserve"> more than 13 months late</w:t>
      </w:r>
      <w:r w:rsidR="002329E4" w:rsidRPr="0087510B">
        <w:t xml:space="preserve">, and </w:t>
      </w:r>
      <w:r w:rsidR="00B6335C" w:rsidRPr="0087510B">
        <w:t>46 days late.</w:t>
      </w:r>
      <w:r w:rsidR="0067040C" w:rsidRPr="0087510B">
        <w:t xml:space="preserve"> </w:t>
      </w:r>
      <w:r w:rsidR="00B6335C" w:rsidRPr="0087510B">
        <w:t xml:space="preserve"> </w:t>
      </w:r>
      <w:r w:rsidRPr="0087510B">
        <w:t xml:space="preserve">PTT </w:t>
      </w:r>
      <w:r w:rsidR="00D9478B" w:rsidRPr="0087510B">
        <w:t xml:space="preserve">also </w:t>
      </w:r>
      <w:r w:rsidRPr="0087510B">
        <w:t>did not file its 2014 certification, which was due March 1, 2014</w:t>
      </w:r>
      <w:r w:rsidR="00B6335C" w:rsidRPr="0087510B">
        <w:t>,</w:t>
      </w:r>
      <w:r w:rsidRPr="0087510B">
        <w:t xml:space="preserve"> until April 15, 2014.</w:t>
      </w:r>
      <w:r w:rsidRPr="0087510B">
        <w:rPr>
          <w:rStyle w:val="FootnoteReference"/>
          <w:sz w:val="22"/>
        </w:rPr>
        <w:footnoteReference w:id="90"/>
      </w:r>
      <w:r w:rsidRPr="0087510B">
        <w:t xml:space="preserve">  Based on a preponderance of the evidence, we therefore conclude that PTT apparently violated Section 64.2009(e) of the Rules by willfully or repeatedly failing to timely file its annual CPNI certifications.</w:t>
      </w:r>
      <w:r w:rsidR="00E03D37" w:rsidRPr="0087510B">
        <w:t xml:space="preserve">  </w:t>
      </w:r>
    </w:p>
    <w:p w:rsidR="002824D8" w:rsidRPr="003A3175" w:rsidRDefault="00E90845" w:rsidP="003A3175">
      <w:pPr>
        <w:pStyle w:val="Heading1"/>
      </w:pPr>
      <w:r w:rsidRPr="003A3175">
        <w:t>Proposed Forfeitures</w:t>
      </w:r>
    </w:p>
    <w:p w:rsidR="002824D8" w:rsidRPr="0087510B" w:rsidRDefault="002824D8" w:rsidP="003A3175">
      <w:pPr>
        <w:pStyle w:val="ParaNum"/>
      </w:pPr>
      <w:r w:rsidRPr="0087510B">
        <w:t>Section 503(b)(1)(B) of the Act provides that any person who willfully or repeatedly fails to comply substantially with the terms and conditions of any license, or willfully or repeatedly fails to comply with any of the provisions of the Act or of any rule, regulation, or order issued by the Commission thereunder, shall be liable for a forfeiture penalty.</w:t>
      </w:r>
      <w:r w:rsidRPr="0087510B">
        <w:rPr>
          <w:rStyle w:val="FootnoteReference"/>
          <w:sz w:val="22"/>
        </w:rPr>
        <w:footnoteReference w:id="91"/>
      </w:r>
      <w:r w:rsidRPr="0087510B">
        <w:t xml:space="preserve">  Section 31</w:t>
      </w:r>
      <w:r w:rsidR="00B64531" w:rsidRPr="0087510B">
        <w:t>2</w:t>
      </w:r>
      <w:r w:rsidRPr="0087510B">
        <w:t xml:space="preserve">(f)(1) of the Act defines willful as “the </w:t>
      </w:r>
      <w:r w:rsidRPr="003A3175">
        <w:t>conscious</w:t>
      </w:r>
      <w:r w:rsidRPr="0087510B">
        <w:t xml:space="preserve"> and deliberate commission or omission of [any] act, irrespective of any intent to violate” the law.</w:t>
      </w:r>
      <w:r w:rsidRPr="0087510B">
        <w:rPr>
          <w:rStyle w:val="FootnoteReference"/>
          <w:sz w:val="22"/>
        </w:rPr>
        <w:footnoteReference w:id="92"/>
      </w:r>
      <w:r w:rsidRPr="0087510B">
        <w:t xml:space="preserve">  The legislative history to Section 312(f)(1) of the Act clarifies that this definition of willful applies to both Section 312 and 503(b) of the Act,</w:t>
      </w:r>
      <w:r w:rsidRPr="0087510B">
        <w:rPr>
          <w:rStyle w:val="FootnoteReference"/>
          <w:sz w:val="22"/>
        </w:rPr>
        <w:footnoteReference w:id="93"/>
      </w:r>
      <w:r w:rsidRPr="0087510B">
        <w:t xml:space="preserve"> and the Commission has so interpreted the term in the Section 503(b) context.</w:t>
      </w:r>
      <w:r w:rsidRPr="0087510B">
        <w:rPr>
          <w:rStyle w:val="FootnoteReference"/>
          <w:sz w:val="22"/>
        </w:rPr>
        <w:footnoteReference w:id="94"/>
      </w:r>
      <w:r w:rsidRPr="0087510B">
        <w:t xml:space="preserve">  The Commission may also assess a forfeiture for violations that are merely repeated, and not willful.</w:t>
      </w:r>
      <w:r w:rsidRPr="0087510B">
        <w:rPr>
          <w:rStyle w:val="FootnoteReference"/>
          <w:sz w:val="22"/>
        </w:rPr>
        <w:footnoteReference w:id="95"/>
      </w:r>
      <w:r w:rsidRPr="0087510B">
        <w:t xml:space="preserve">  “Repeated” means that the act was committed or omitted more than once, or lasts more than one day.</w:t>
      </w:r>
      <w:r w:rsidRPr="0087510B">
        <w:rPr>
          <w:rStyle w:val="FootnoteReference"/>
          <w:sz w:val="22"/>
        </w:rPr>
        <w:footnoteReference w:id="96"/>
      </w:r>
      <w:r w:rsidRPr="0087510B">
        <w:t xml:space="preserve">  To impose such a forfeiture penalty, the Commission must issue a notice of apparent liability, and the person against whom the notice has been issued must have an opportunity to show, in writing, why no such forfeiture penalty should be imposed.</w:t>
      </w:r>
      <w:r w:rsidRPr="0087510B">
        <w:rPr>
          <w:rStyle w:val="FootnoteReference"/>
          <w:sz w:val="22"/>
        </w:rPr>
        <w:footnoteReference w:id="97"/>
      </w:r>
      <w:r w:rsidRPr="0087510B">
        <w:t xml:space="preserve">  The Commission will then issue a forfeiture if it finds based on the evidence, that the person or entity has violated the Act</w:t>
      </w:r>
      <w:r w:rsidR="00D9478B" w:rsidRPr="0087510B">
        <w:t>, or any rule, regulation, or order issued by the Commission</w:t>
      </w:r>
      <w:r w:rsidRPr="0087510B">
        <w:t>.</w:t>
      </w:r>
      <w:r w:rsidRPr="0087510B">
        <w:rPr>
          <w:rStyle w:val="FootnoteReference"/>
          <w:sz w:val="22"/>
        </w:rPr>
        <w:footnoteReference w:id="98"/>
      </w:r>
    </w:p>
    <w:p w:rsidR="002824D8" w:rsidRPr="0087510B" w:rsidRDefault="002824D8" w:rsidP="003A3175">
      <w:pPr>
        <w:pStyle w:val="ParaNum"/>
      </w:pPr>
      <w:r w:rsidRPr="0087510B">
        <w:t>As set forth above, we conclude that PTT is apparently liable for forfeiture</w:t>
      </w:r>
      <w:r w:rsidR="00164152" w:rsidRPr="0087510B">
        <w:t>s</w:t>
      </w:r>
      <w:r w:rsidRPr="0087510B">
        <w:t xml:space="preserve"> for willful</w:t>
      </w:r>
      <w:r w:rsidR="002E2425" w:rsidRPr="0087510B">
        <w:t xml:space="preserve">ly or </w:t>
      </w:r>
      <w:r w:rsidRPr="0087510B">
        <w:t>repeated</w:t>
      </w:r>
      <w:r w:rsidR="002E2425" w:rsidRPr="0087510B">
        <w:t>ly providing international telecommunications services</w:t>
      </w:r>
      <w:r w:rsidR="008D7BD5" w:rsidRPr="0087510B">
        <w:t xml:space="preserve"> without authority under</w:t>
      </w:r>
      <w:r w:rsidR="002E2425" w:rsidRPr="0087510B">
        <w:t xml:space="preserve"> Section 214(a) of the Act</w:t>
      </w:r>
      <w:r w:rsidR="00164152" w:rsidRPr="0087510B">
        <w:t xml:space="preserve">, </w:t>
      </w:r>
      <w:r w:rsidR="00D9478B" w:rsidRPr="0087510B">
        <w:t xml:space="preserve">and </w:t>
      </w:r>
      <w:r w:rsidR="00164152" w:rsidRPr="0087510B">
        <w:t xml:space="preserve">for failing to </w:t>
      </w:r>
      <w:r w:rsidR="002E2425" w:rsidRPr="0087510B">
        <w:t xml:space="preserve">timely file </w:t>
      </w:r>
      <w:r w:rsidR="00C14043" w:rsidRPr="0087510B">
        <w:t>annual</w:t>
      </w:r>
      <w:r w:rsidR="002E2425" w:rsidRPr="0087510B">
        <w:t xml:space="preserve"> Worksheets, </w:t>
      </w:r>
      <w:r w:rsidR="00164152" w:rsidRPr="0087510B">
        <w:t>time</w:t>
      </w:r>
      <w:r w:rsidR="0005269F" w:rsidRPr="0087510B">
        <w:t>ly</w:t>
      </w:r>
      <w:r w:rsidR="00164152" w:rsidRPr="0087510B">
        <w:t xml:space="preserve"> </w:t>
      </w:r>
      <w:r w:rsidR="002E2425" w:rsidRPr="0087510B">
        <w:t>make required TRS and LNP contributions</w:t>
      </w:r>
      <w:r w:rsidR="0080206B" w:rsidRPr="0087510B">
        <w:t xml:space="preserve">, </w:t>
      </w:r>
      <w:r w:rsidR="002E2425" w:rsidRPr="0087510B">
        <w:t>timely pay required regulatory fees</w:t>
      </w:r>
      <w:r w:rsidR="0080206B" w:rsidRPr="0087510B">
        <w:t xml:space="preserve">, and </w:t>
      </w:r>
      <w:r w:rsidR="002E2425" w:rsidRPr="0087510B">
        <w:t xml:space="preserve">timely file prepaid </w:t>
      </w:r>
      <w:r w:rsidR="002E2425" w:rsidRPr="003A3175">
        <w:t>calling</w:t>
      </w:r>
      <w:r w:rsidR="002E2425" w:rsidRPr="0087510B">
        <w:t xml:space="preserve"> card certifications, international traffic and revenue reports, and CPNI certifications.</w:t>
      </w:r>
      <w:r w:rsidR="002E2425" w:rsidRPr="0087510B">
        <w:rPr>
          <w:rStyle w:val="FootnoteReference"/>
          <w:sz w:val="22"/>
        </w:rPr>
        <w:footnoteReference w:id="99"/>
      </w:r>
      <w:r w:rsidR="0080206B" w:rsidRPr="0087510B">
        <w:t xml:space="preserve">  </w:t>
      </w:r>
      <w:r w:rsidRPr="0087510B">
        <w:t xml:space="preserve">Based on the facts and circumstances before us, we therefore </w:t>
      </w:r>
      <w:r w:rsidR="00D9478B" w:rsidRPr="0087510B">
        <w:t xml:space="preserve">find </w:t>
      </w:r>
      <w:r w:rsidRPr="0087510B">
        <w:t xml:space="preserve">that PTT is apparently liable for forfeiture penalties totaling </w:t>
      </w:r>
      <w:r w:rsidR="00D918ED" w:rsidRPr="0087510B">
        <w:t xml:space="preserve">four hundred </w:t>
      </w:r>
      <w:r w:rsidR="00E81752">
        <w:t>ninety-three</w:t>
      </w:r>
      <w:r w:rsidR="00D918ED" w:rsidRPr="0087510B">
        <w:t xml:space="preserve"> thousand</w:t>
      </w:r>
      <w:r w:rsidR="00292B49" w:rsidRPr="0087510B">
        <w:t>, three hundred twenty-seven</w:t>
      </w:r>
      <w:r w:rsidR="00D918ED" w:rsidRPr="0087510B">
        <w:t xml:space="preserve"> dollars ($4</w:t>
      </w:r>
      <w:r w:rsidR="003726A3">
        <w:t>9</w:t>
      </w:r>
      <w:r w:rsidR="00E81752">
        <w:t>3</w:t>
      </w:r>
      <w:r w:rsidR="00D918ED" w:rsidRPr="0087510B">
        <w:t>,</w:t>
      </w:r>
      <w:r w:rsidR="00292B49" w:rsidRPr="0087510B">
        <w:t>327</w:t>
      </w:r>
      <w:r w:rsidR="00D918ED" w:rsidRPr="0087510B">
        <w:t>)</w:t>
      </w:r>
      <w:r w:rsidRPr="0087510B">
        <w:t>.</w:t>
      </w:r>
    </w:p>
    <w:p w:rsidR="0080206B" w:rsidRPr="0087510B" w:rsidRDefault="0080206B" w:rsidP="007335F9">
      <w:pPr>
        <w:pStyle w:val="Heading2"/>
      </w:pPr>
      <w:r w:rsidRPr="0087510B">
        <w:t>Providing International Telecommunications Service</w:t>
      </w:r>
      <w:r w:rsidR="00E76F40" w:rsidRPr="0087510B">
        <w:t>s</w:t>
      </w:r>
      <w:r w:rsidRPr="0087510B">
        <w:t xml:space="preserve"> </w:t>
      </w:r>
      <w:r w:rsidR="00B64701" w:rsidRPr="0087510B">
        <w:t>W</w:t>
      </w:r>
      <w:r w:rsidRPr="0087510B">
        <w:t xml:space="preserve">ithout </w:t>
      </w:r>
      <w:r w:rsidR="00C66B9F" w:rsidRPr="0087510B">
        <w:t xml:space="preserve">Commission </w:t>
      </w:r>
      <w:r w:rsidRPr="0087510B">
        <w:t>Authori</w:t>
      </w:r>
      <w:r w:rsidR="00B64701" w:rsidRPr="0087510B">
        <w:t>ty</w:t>
      </w:r>
    </w:p>
    <w:p w:rsidR="002824D8" w:rsidRPr="0087510B" w:rsidRDefault="002824D8" w:rsidP="003A3175">
      <w:pPr>
        <w:pStyle w:val="ParaNum"/>
      </w:pPr>
      <w:r w:rsidRPr="0087510B">
        <w:t>We conclude that for more than 41 months</w:t>
      </w:r>
      <w:r w:rsidR="005E13DB" w:rsidRPr="0087510B">
        <w:t>,</w:t>
      </w:r>
      <w:r w:rsidRPr="0087510B">
        <w:t xml:space="preserve"> PTT apparently </w:t>
      </w:r>
      <w:r w:rsidR="0080206B" w:rsidRPr="0087510B">
        <w:t>provided international telecomm</w:t>
      </w:r>
      <w:r w:rsidR="00E009AE" w:rsidRPr="0087510B">
        <w:t xml:space="preserve">unications services without </w:t>
      </w:r>
      <w:r w:rsidR="00C66B9F" w:rsidRPr="0087510B">
        <w:t xml:space="preserve">Commission </w:t>
      </w:r>
      <w:r w:rsidR="0080206B" w:rsidRPr="0087510B">
        <w:t xml:space="preserve">authority </w:t>
      </w:r>
      <w:r w:rsidR="00E009AE" w:rsidRPr="0087510B">
        <w:t xml:space="preserve">in violation </w:t>
      </w:r>
      <w:r w:rsidR="00B64531" w:rsidRPr="0087510B">
        <w:t xml:space="preserve">of </w:t>
      </w:r>
      <w:r w:rsidRPr="0087510B">
        <w:t xml:space="preserve">Section 214 </w:t>
      </w:r>
      <w:r w:rsidR="0080206B" w:rsidRPr="0087510B">
        <w:t>of the Act</w:t>
      </w:r>
      <w:r w:rsidR="00C66B9F" w:rsidRPr="0087510B">
        <w:t xml:space="preserve"> and Section 63.18 of the Rules</w:t>
      </w:r>
      <w:r w:rsidR="0080206B" w:rsidRPr="0087510B">
        <w:t>.</w:t>
      </w:r>
      <w:r w:rsidRPr="0087510B">
        <w:rPr>
          <w:rStyle w:val="FootnoteReference"/>
          <w:sz w:val="22"/>
        </w:rPr>
        <w:footnoteReference w:id="100"/>
      </w:r>
      <w:r w:rsidRPr="0087510B">
        <w:t xml:space="preserve">  </w:t>
      </w:r>
      <w:r w:rsidR="00C66B9F" w:rsidRPr="0087510B">
        <w:t xml:space="preserve">We </w:t>
      </w:r>
      <w:r w:rsidRPr="0087510B">
        <w:t xml:space="preserve">find that this apparent violation of the Act and Rules was willful </w:t>
      </w:r>
      <w:r w:rsidR="00042AE1" w:rsidRPr="0087510B">
        <w:t>or</w:t>
      </w:r>
      <w:r w:rsidRPr="0087510B">
        <w:t xml:space="preserve"> repeated.  Given the language of the Act</w:t>
      </w:r>
      <w:r w:rsidRPr="0087510B">
        <w:rPr>
          <w:rStyle w:val="FootnoteReference"/>
          <w:sz w:val="22"/>
        </w:rPr>
        <w:footnoteReference w:id="101"/>
      </w:r>
      <w:r w:rsidRPr="0087510B">
        <w:t xml:space="preserve"> </w:t>
      </w:r>
      <w:r w:rsidR="00050163" w:rsidRPr="0087510B">
        <w:t xml:space="preserve">and </w:t>
      </w:r>
      <w:r w:rsidRPr="0087510B">
        <w:t>the Commission’s Rules and decisions,</w:t>
      </w:r>
      <w:r w:rsidRPr="0087510B">
        <w:rPr>
          <w:rStyle w:val="FootnoteReference"/>
          <w:sz w:val="22"/>
        </w:rPr>
        <w:footnoteReference w:id="102"/>
      </w:r>
      <w:r w:rsidRPr="0087510B">
        <w:t xml:space="preserve"> </w:t>
      </w:r>
      <w:r w:rsidR="00050163" w:rsidRPr="0087510B">
        <w:t xml:space="preserve">further buttressed by </w:t>
      </w:r>
      <w:r w:rsidRPr="0087510B">
        <w:t>the Commission’s website,</w:t>
      </w:r>
      <w:r w:rsidRPr="0087510B">
        <w:rPr>
          <w:rStyle w:val="FootnoteReference"/>
          <w:sz w:val="22"/>
        </w:rPr>
        <w:footnoteReference w:id="103"/>
      </w:r>
      <w:r w:rsidRPr="0087510B">
        <w:t xml:space="preserve"> it should have been apparent to PTT that it was required to obtain Section 214 authority from the Commission prior to providing international telecommunications service.</w:t>
      </w:r>
      <w:r w:rsidR="00C66B9F" w:rsidRPr="0087510B">
        <w:rPr>
          <w:rStyle w:val="FootnoteReference"/>
          <w:sz w:val="22"/>
        </w:rPr>
        <w:footnoteReference w:id="104"/>
      </w:r>
    </w:p>
    <w:p w:rsidR="002824D8" w:rsidRPr="0087510B" w:rsidRDefault="002824D8" w:rsidP="003A3175">
      <w:pPr>
        <w:pStyle w:val="ParaNum"/>
      </w:pPr>
      <w:r w:rsidRPr="0087510B">
        <w:t xml:space="preserve">We view PTT’s apparent failure to obtain international Section 214 authority prior to </w:t>
      </w:r>
      <w:r w:rsidR="00C66B9F" w:rsidRPr="0087510B">
        <w:t>provid</w:t>
      </w:r>
      <w:r w:rsidRPr="0087510B">
        <w:t>ing international telecommunications service</w:t>
      </w:r>
      <w:r w:rsidR="00C66B9F" w:rsidRPr="0087510B">
        <w:t>s</w:t>
      </w:r>
      <w:r w:rsidRPr="0087510B">
        <w:t xml:space="preserve"> as a serious dereliction of its responsibilities under the Act and Rules.  The Commission requires applications for international Section 214 authority so</w:t>
      </w:r>
      <w:r w:rsidR="006F27FA" w:rsidRPr="0087510B">
        <w:t xml:space="preserve">, among other things, the Commission can screen applications for risks to competition, particularly in situations where the applicant has an affiliation with a foreign carrier </w:t>
      </w:r>
      <w:r w:rsidR="006F27FA" w:rsidRPr="003A3175">
        <w:t>with</w:t>
      </w:r>
      <w:r w:rsidR="006F27FA" w:rsidRPr="0087510B">
        <w:t xml:space="preserve"> market power on the foreign end of the route that may be able to leverage that market power to discriminate against U.S. competitors to the detriment of U.S. consumers.</w:t>
      </w:r>
      <w:r w:rsidRPr="0087510B">
        <w:rPr>
          <w:rStyle w:val="FootnoteReference"/>
          <w:sz w:val="22"/>
        </w:rPr>
        <w:footnoteReference w:id="105"/>
      </w:r>
      <w:r w:rsidRPr="0087510B">
        <w:t xml:space="preserve">  International telecommunications carriers that operate without Section 214 authority thus may endanger important public interests.</w:t>
      </w:r>
      <w:r w:rsidRPr="0087510B">
        <w:rPr>
          <w:rStyle w:val="FootnoteReference"/>
          <w:sz w:val="22"/>
        </w:rPr>
        <w:footnoteReference w:id="106"/>
      </w:r>
      <w:r w:rsidR="005E13DB" w:rsidRPr="0087510B">
        <w:t xml:space="preserve"> </w:t>
      </w:r>
      <w:r w:rsidRPr="0087510B">
        <w:t xml:space="preserve"> Consistent with Commission precedent, we find that PTT is apparently liable for a forfeiture of one hundred thousand dollars ($100,000) for its willful or repeated failure to obtain international Section 214 authority </w:t>
      </w:r>
      <w:r w:rsidR="005E13DB" w:rsidRPr="0087510B">
        <w:t xml:space="preserve">from </w:t>
      </w:r>
      <w:r w:rsidRPr="0087510B">
        <w:t>the Commission prior to providing international telecommunications service.</w:t>
      </w:r>
      <w:r w:rsidR="007C24B7" w:rsidRPr="0087510B">
        <w:rPr>
          <w:rStyle w:val="FootnoteReference"/>
          <w:sz w:val="22"/>
        </w:rPr>
        <w:footnoteReference w:id="107"/>
      </w:r>
    </w:p>
    <w:p w:rsidR="00391D70" w:rsidRPr="0087510B" w:rsidRDefault="00B64701" w:rsidP="007335F9">
      <w:pPr>
        <w:pStyle w:val="Heading2"/>
      </w:pPr>
      <w:r w:rsidRPr="0087510B">
        <w:t>Fail</w:t>
      </w:r>
      <w:r w:rsidR="0012116C" w:rsidRPr="0087510B">
        <w:t xml:space="preserve">ure </w:t>
      </w:r>
      <w:r w:rsidR="00391D70" w:rsidRPr="0087510B">
        <w:t>to Timely File Annual Telecommunications Reporting Worksheets</w:t>
      </w:r>
    </w:p>
    <w:p w:rsidR="002824D8" w:rsidRPr="0087510B" w:rsidRDefault="00C14043" w:rsidP="003A3175">
      <w:pPr>
        <w:pStyle w:val="ParaNum"/>
      </w:pPr>
      <w:r w:rsidRPr="0087510B">
        <w:t>W</w:t>
      </w:r>
      <w:r w:rsidR="002824D8" w:rsidRPr="0087510B">
        <w:t xml:space="preserve">e conclude that PTT failed to timely file its annual Telecommunications </w:t>
      </w:r>
      <w:r w:rsidRPr="0087510B">
        <w:t xml:space="preserve">Reporting </w:t>
      </w:r>
      <w:r w:rsidR="002824D8" w:rsidRPr="0087510B">
        <w:t>Worksheet</w:t>
      </w:r>
      <w:r w:rsidRPr="0087510B">
        <w:t>s</w:t>
      </w:r>
      <w:r w:rsidR="002824D8" w:rsidRPr="0087510B">
        <w:t xml:space="preserve"> for 2011, 2012</w:t>
      </w:r>
      <w:r w:rsidR="005E13DB" w:rsidRPr="0087510B">
        <w:t>,</w:t>
      </w:r>
      <w:r w:rsidR="002824D8" w:rsidRPr="0087510B">
        <w:t xml:space="preserve"> and 2013 in apparent violation of Sections 52.32(b), 54.711, </w:t>
      </w:r>
      <w:r w:rsidR="005E13DB" w:rsidRPr="0087510B">
        <w:t xml:space="preserve">and </w:t>
      </w:r>
      <w:r w:rsidR="002824D8" w:rsidRPr="0087510B">
        <w:t>64.604(c)(5)(iii)(B) of the Rules.</w:t>
      </w:r>
      <w:r w:rsidR="002824D8" w:rsidRPr="0087510B">
        <w:rPr>
          <w:rStyle w:val="FootnoteReference"/>
          <w:sz w:val="22"/>
        </w:rPr>
        <w:footnoteReference w:id="108"/>
      </w:r>
      <w:r w:rsidR="002824D8" w:rsidRPr="0087510B">
        <w:t xml:space="preserve">  </w:t>
      </w:r>
      <w:r w:rsidR="0012116C" w:rsidRPr="0087510B">
        <w:t xml:space="preserve">This failure constitutes </w:t>
      </w:r>
      <w:r w:rsidR="002824D8" w:rsidRPr="0087510B">
        <w:t xml:space="preserve">a serious dereliction of </w:t>
      </w:r>
      <w:r w:rsidR="0012116C" w:rsidRPr="0087510B">
        <w:t xml:space="preserve">PTT’s </w:t>
      </w:r>
      <w:r w:rsidR="002824D8" w:rsidRPr="0087510B">
        <w:t xml:space="preserve">responsibilities under our Rules.  The </w:t>
      </w:r>
      <w:r w:rsidR="0012116C" w:rsidRPr="0087510B">
        <w:t xml:space="preserve">fund Administrators and the Commission rely on the </w:t>
      </w:r>
      <w:r w:rsidR="002824D8" w:rsidRPr="0087510B">
        <w:t xml:space="preserve">data </w:t>
      </w:r>
      <w:r w:rsidR="0012116C" w:rsidRPr="0087510B">
        <w:t>in</w:t>
      </w:r>
      <w:r w:rsidR="002824D8" w:rsidRPr="0087510B">
        <w:t xml:space="preserve"> annual Worksheet</w:t>
      </w:r>
      <w:r w:rsidR="0012116C" w:rsidRPr="0087510B">
        <w:t>s</w:t>
      </w:r>
      <w:r w:rsidR="002824D8" w:rsidRPr="0087510B">
        <w:t xml:space="preserve"> to determine</w:t>
      </w:r>
      <w:r w:rsidR="0012116C" w:rsidRPr="0087510B">
        <w:t xml:space="preserve"> the</w:t>
      </w:r>
      <w:r w:rsidR="002824D8" w:rsidRPr="0087510B">
        <w:t xml:space="preserve"> </w:t>
      </w:r>
      <w:r w:rsidR="0012116C" w:rsidRPr="0087510B">
        <w:t xml:space="preserve">amounts, if any, that </w:t>
      </w:r>
      <w:r w:rsidR="0012116C" w:rsidRPr="003A3175">
        <w:t>telecommunications</w:t>
      </w:r>
      <w:r w:rsidR="0012116C" w:rsidRPr="0087510B">
        <w:t xml:space="preserve"> service providers, among others, owe for </w:t>
      </w:r>
      <w:r w:rsidR="002824D8" w:rsidRPr="0087510B">
        <w:t>USF</w:t>
      </w:r>
      <w:r w:rsidR="0012116C" w:rsidRPr="0087510B">
        <w:t xml:space="preserve">, </w:t>
      </w:r>
      <w:r w:rsidR="002824D8" w:rsidRPr="0087510B">
        <w:t>TRS</w:t>
      </w:r>
      <w:r w:rsidR="0012116C" w:rsidRPr="0087510B">
        <w:t xml:space="preserve">, </w:t>
      </w:r>
      <w:r w:rsidR="002824D8" w:rsidRPr="0087510B">
        <w:t>LNP</w:t>
      </w:r>
      <w:r w:rsidR="00344FF6" w:rsidRPr="0087510B">
        <w:t>, and NANP</w:t>
      </w:r>
      <w:r w:rsidR="0012116C" w:rsidRPr="0087510B">
        <w:t xml:space="preserve"> contributions and</w:t>
      </w:r>
      <w:r w:rsidR="002824D8" w:rsidRPr="0087510B">
        <w:t xml:space="preserve"> regulatory fees.</w:t>
      </w:r>
      <w:r w:rsidR="002824D8" w:rsidRPr="0087510B">
        <w:rPr>
          <w:rStyle w:val="FootnoteReference"/>
          <w:sz w:val="22"/>
        </w:rPr>
        <w:footnoteReference w:id="109"/>
      </w:r>
      <w:r w:rsidR="002824D8" w:rsidRPr="0087510B">
        <w:t xml:space="preserve">  PTT’s failure to timely file its annual Worksheet</w:t>
      </w:r>
      <w:r w:rsidR="00F0735B" w:rsidRPr="0087510B">
        <w:t>s</w:t>
      </w:r>
      <w:r w:rsidR="002824D8" w:rsidRPr="0087510B">
        <w:t xml:space="preserve"> for 2011, 2012</w:t>
      </w:r>
      <w:r w:rsidR="005E13DB" w:rsidRPr="0087510B">
        <w:t>,</w:t>
      </w:r>
      <w:r w:rsidR="002824D8" w:rsidRPr="0087510B">
        <w:t xml:space="preserve"> and 2013 thus had serious implications for the administration of </w:t>
      </w:r>
      <w:r w:rsidR="00F0735B" w:rsidRPr="0087510B">
        <w:t xml:space="preserve">important Commission </w:t>
      </w:r>
      <w:r w:rsidR="002824D8" w:rsidRPr="0087510B">
        <w:t xml:space="preserve">programs.  </w:t>
      </w:r>
      <w:r w:rsidR="005E13DB" w:rsidRPr="0087510B">
        <w:t>In the past, the Commission has proposed a forfeiture of $50,000 for each failure to file an annual Worksheet.</w:t>
      </w:r>
      <w:r w:rsidR="005E13DB" w:rsidRPr="0087510B">
        <w:rPr>
          <w:rStyle w:val="FootnoteReference"/>
          <w:sz w:val="22"/>
        </w:rPr>
        <w:footnoteReference w:id="110"/>
      </w:r>
      <w:r w:rsidR="005E13DB" w:rsidRPr="0087510B">
        <w:t xml:space="preserve">  Accordingly, c</w:t>
      </w:r>
      <w:r w:rsidR="002824D8" w:rsidRPr="0087510B">
        <w:t xml:space="preserve">onsistent with </w:t>
      </w:r>
      <w:r w:rsidR="00067D83" w:rsidRPr="0087510B">
        <w:t xml:space="preserve">this </w:t>
      </w:r>
      <w:r w:rsidR="002824D8" w:rsidRPr="0087510B">
        <w:t>precedent, we find that PTT is apparently liable for a forfeiture of one hundred fifty thousand dollars ($150,000) for willful or repeated failure to timely file its annual Worksheet</w:t>
      </w:r>
      <w:r w:rsidR="0005269F" w:rsidRPr="0087510B">
        <w:t>s</w:t>
      </w:r>
      <w:r w:rsidR="002824D8" w:rsidRPr="0087510B">
        <w:t xml:space="preserve"> for 2011, 2012</w:t>
      </w:r>
      <w:r w:rsidR="005A4B28">
        <w:t>,</w:t>
      </w:r>
      <w:r w:rsidR="002824D8" w:rsidRPr="0087510B">
        <w:t xml:space="preserve"> and 2013.</w:t>
      </w:r>
    </w:p>
    <w:p w:rsidR="0012116C" w:rsidRPr="0087510B" w:rsidRDefault="009C5C43" w:rsidP="007335F9">
      <w:pPr>
        <w:pStyle w:val="Heading2"/>
      </w:pPr>
      <w:r w:rsidRPr="0087510B">
        <w:t xml:space="preserve">Nonpayment and Late Payment of </w:t>
      </w:r>
      <w:r w:rsidR="0012116C" w:rsidRPr="0087510B">
        <w:t>TRS Contributions</w:t>
      </w:r>
    </w:p>
    <w:p w:rsidR="005137C1" w:rsidRPr="0087510B" w:rsidRDefault="006F6E37" w:rsidP="003A3175">
      <w:pPr>
        <w:pStyle w:val="ParaNum"/>
      </w:pPr>
      <w:r w:rsidRPr="0087510B">
        <w:t>We</w:t>
      </w:r>
      <w:r w:rsidR="002824D8" w:rsidRPr="0087510B">
        <w:t xml:space="preserve"> conclude that PTT apparently violated Section 225 of the Act and Section 64.604(c)(5)(iii) of the Rules by willfully or repeatedly failing to timely make required TRS contributions for the 2011</w:t>
      </w:r>
      <w:r w:rsidRPr="0087510B">
        <w:t>–</w:t>
      </w:r>
      <w:r w:rsidR="002824D8" w:rsidRPr="0087510B">
        <w:t>2012, 2012</w:t>
      </w:r>
      <w:r w:rsidRPr="0087510B">
        <w:t>–</w:t>
      </w:r>
      <w:r w:rsidR="002824D8" w:rsidRPr="0087510B">
        <w:t>2013, and 2013</w:t>
      </w:r>
      <w:r w:rsidRPr="0087510B">
        <w:t>–</w:t>
      </w:r>
      <w:r w:rsidR="002824D8" w:rsidRPr="0087510B">
        <w:t>2014 TRS contribution periods.</w:t>
      </w:r>
      <w:r w:rsidR="002824D8" w:rsidRPr="0087510B">
        <w:rPr>
          <w:rStyle w:val="FootnoteReference"/>
          <w:sz w:val="22"/>
        </w:rPr>
        <w:footnoteReference w:id="111"/>
      </w:r>
      <w:r w:rsidR="002824D8" w:rsidRPr="0087510B">
        <w:t xml:space="preserve">  Where a provider fails to </w:t>
      </w:r>
      <w:r w:rsidRPr="0087510B">
        <w:t xml:space="preserve">meet </w:t>
      </w:r>
      <w:r w:rsidR="002824D8" w:rsidRPr="0087510B">
        <w:t>its obligation</w:t>
      </w:r>
      <w:r w:rsidR="008A6B9F" w:rsidRPr="0087510B">
        <w:t xml:space="preserve"> to contribute </w:t>
      </w:r>
      <w:r w:rsidR="002824D8" w:rsidRPr="0087510B">
        <w:t xml:space="preserve">to the TRS Fund </w:t>
      </w:r>
      <w:r w:rsidR="008A6B9F" w:rsidRPr="0087510B">
        <w:t xml:space="preserve">over </w:t>
      </w:r>
      <w:r w:rsidR="002824D8" w:rsidRPr="0087510B">
        <w:t>an extended period, it impedes the Commission’s efforts to ensure that “</w:t>
      </w:r>
      <w:r w:rsidR="002824D8" w:rsidRPr="003A3175">
        <w:t>telecommunications</w:t>
      </w:r>
      <w:r w:rsidR="002824D8" w:rsidRPr="0087510B">
        <w:t xml:space="preserve"> relay services are available, to the extent possible and in the most efficient manner, to hearing-impaired and speech-impaired individuals in the United States,” as Section 225(b)(1) of the Act directs.</w:t>
      </w:r>
      <w:r w:rsidR="002824D8" w:rsidRPr="0087510B">
        <w:rPr>
          <w:rStyle w:val="FootnoteReference"/>
          <w:sz w:val="22"/>
        </w:rPr>
        <w:footnoteReference w:id="112"/>
      </w:r>
      <w:r w:rsidR="002824D8" w:rsidRPr="0087510B">
        <w:t xml:space="preserve">  The Commission has established a base forfeiture amount of $10,000 for each instance in which a contributor fails to make required TRS Fund contributions.</w:t>
      </w:r>
      <w:r w:rsidR="002824D8" w:rsidRPr="0087510B">
        <w:rPr>
          <w:rStyle w:val="FootnoteReference"/>
          <w:sz w:val="22"/>
        </w:rPr>
        <w:footnoteReference w:id="113"/>
      </w:r>
      <w:r w:rsidR="002824D8" w:rsidRPr="0087510B">
        <w:t xml:space="preserve">  Thus, we propose </w:t>
      </w:r>
      <w:r w:rsidR="005E13DB" w:rsidRPr="0087510B">
        <w:t xml:space="preserve">a </w:t>
      </w:r>
      <w:r w:rsidR="005137C1" w:rsidRPr="0087510B">
        <w:t xml:space="preserve">base forfeiture of </w:t>
      </w:r>
      <w:r w:rsidR="0096763E" w:rsidRPr="0087510B">
        <w:t>thirty thousand dollars (</w:t>
      </w:r>
      <w:r w:rsidR="002824D8" w:rsidRPr="0087510B">
        <w:t>$30,000</w:t>
      </w:r>
      <w:r w:rsidR="0096763E" w:rsidRPr="0087510B">
        <w:t>)</w:t>
      </w:r>
      <w:r w:rsidR="002824D8" w:rsidRPr="0087510B">
        <w:t xml:space="preserve"> for PTT’s failure to pay its TRS Fund contributions for </w:t>
      </w:r>
      <w:r w:rsidR="005137C1" w:rsidRPr="0087510B">
        <w:t>the 2011–2012, 2012–2013, and 2013–2014 TRS contribution periods</w:t>
      </w:r>
      <w:r w:rsidR="002824D8" w:rsidRPr="0087510B">
        <w:t xml:space="preserve">.  </w:t>
      </w:r>
    </w:p>
    <w:p w:rsidR="002824D8" w:rsidRPr="0087510B" w:rsidRDefault="00660532" w:rsidP="003A3175">
      <w:pPr>
        <w:pStyle w:val="ParaNum"/>
      </w:pPr>
      <w:r w:rsidRPr="0087510B">
        <w:t>As stated above,</w:t>
      </w:r>
      <w:r w:rsidRPr="0087510B">
        <w:rPr>
          <w:rStyle w:val="FootnoteReference"/>
          <w:sz w:val="22"/>
        </w:rPr>
        <w:footnoteReference w:id="114"/>
      </w:r>
      <w:r w:rsidRPr="0087510B">
        <w:t xml:space="preserve"> PTT’s unpaid TRS obligations</w:t>
      </w:r>
      <w:r w:rsidR="006300C4" w:rsidRPr="0087510B">
        <w:t xml:space="preserve"> </w:t>
      </w:r>
      <w:r w:rsidRPr="0087510B">
        <w:t>totaled $4</w:t>
      </w:r>
      <w:r w:rsidR="009F79A9" w:rsidRPr="0087510B">
        <w:t>6,653</w:t>
      </w:r>
      <w:r w:rsidR="00292B49" w:rsidRPr="0087510B">
        <w:t>.25</w:t>
      </w:r>
      <w:r w:rsidRPr="0087510B">
        <w:t xml:space="preserve"> at the time that the Company entered into its payment agreement with the Treasury Department.  </w:t>
      </w:r>
      <w:r w:rsidR="005137C1" w:rsidRPr="0087510B">
        <w:t>The Commission</w:t>
      </w:r>
      <w:r w:rsidR="002824D8" w:rsidRPr="0087510B">
        <w:t xml:space="preserve"> ha</w:t>
      </w:r>
      <w:r w:rsidR="005137C1" w:rsidRPr="0087510B">
        <w:t>s</w:t>
      </w:r>
      <w:r w:rsidR="002824D8" w:rsidRPr="0087510B">
        <w:t xml:space="preserve"> </w:t>
      </w:r>
      <w:r w:rsidR="0071274D" w:rsidRPr="0087510B">
        <w:t xml:space="preserve">previously </w:t>
      </w:r>
      <w:r w:rsidR="002824D8" w:rsidRPr="0087510B">
        <w:t>upward</w:t>
      </w:r>
      <w:r w:rsidR="005137C1" w:rsidRPr="0087510B">
        <w:t>ly</w:t>
      </w:r>
      <w:r w:rsidR="002824D8" w:rsidRPr="0087510B">
        <w:t xml:space="preserve"> adjust</w:t>
      </w:r>
      <w:r w:rsidR="005137C1" w:rsidRPr="0087510B">
        <w:t xml:space="preserve">ed </w:t>
      </w:r>
      <w:r w:rsidR="002824D8" w:rsidRPr="0087510B">
        <w:t xml:space="preserve">forfeitures for failure to make TRS payments </w:t>
      </w:r>
      <w:r w:rsidR="00DD79CB" w:rsidRPr="0087510B">
        <w:t xml:space="preserve">based on a percentage of </w:t>
      </w:r>
      <w:r w:rsidR="002824D8" w:rsidRPr="0087510B">
        <w:t xml:space="preserve">one half of the </w:t>
      </w:r>
      <w:r w:rsidR="00273F08" w:rsidRPr="0087510B">
        <w:t>C</w:t>
      </w:r>
      <w:r w:rsidR="002824D8" w:rsidRPr="0087510B">
        <w:t xml:space="preserve">ompany’s unpaid </w:t>
      </w:r>
      <w:r w:rsidR="006300C4" w:rsidRPr="0087510B">
        <w:t xml:space="preserve">TRS </w:t>
      </w:r>
      <w:r w:rsidR="002824D8" w:rsidRPr="0087510B">
        <w:t>balance.</w:t>
      </w:r>
      <w:r w:rsidR="002824D8" w:rsidRPr="0087510B">
        <w:rPr>
          <w:rStyle w:val="FootnoteReference"/>
          <w:sz w:val="22"/>
        </w:rPr>
        <w:footnoteReference w:id="115"/>
      </w:r>
      <w:r w:rsidR="002824D8" w:rsidRPr="0087510B">
        <w:t xml:space="preserve">  </w:t>
      </w:r>
      <w:r w:rsidR="006300C4" w:rsidRPr="0087510B">
        <w:t xml:space="preserve">Consistent with that </w:t>
      </w:r>
      <w:r w:rsidR="006300C4" w:rsidRPr="003A3175">
        <w:t>practice</w:t>
      </w:r>
      <w:r w:rsidR="006300C4" w:rsidRPr="0087510B">
        <w:t xml:space="preserve">, </w:t>
      </w:r>
      <w:r w:rsidR="002824D8" w:rsidRPr="0087510B">
        <w:t>we propose an upward adjustment of $23,</w:t>
      </w:r>
      <w:r w:rsidR="009F79A9" w:rsidRPr="0087510B">
        <w:t>327</w:t>
      </w:r>
      <w:r w:rsidR="002824D8" w:rsidRPr="0087510B">
        <w:t xml:space="preserve"> for PTT’s apparent nonpayment violations, taking into account all the factors enumerated in Section 503(b)(2)(E) of the Act.  Accordingly, we find PTT </w:t>
      </w:r>
      <w:r w:rsidR="005137C1" w:rsidRPr="0087510B">
        <w:t xml:space="preserve">apparently </w:t>
      </w:r>
      <w:r w:rsidR="002824D8" w:rsidRPr="0087510B">
        <w:t xml:space="preserve">liable for a total proposed forfeiture of </w:t>
      </w:r>
      <w:r w:rsidR="009E457E" w:rsidRPr="0087510B">
        <w:t>fifty</w:t>
      </w:r>
      <w:r w:rsidR="0071274D" w:rsidRPr="0087510B">
        <w:t>-</w:t>
      </w:r>
      <w:r w:rsidR="009E457E" w:rsidRPr="0087510B">
        <w:t xml:space="preserve">three thousand, </w:t>
      </w:r>
      <w:r w:rsidR="009F79A9" w:rsidRPr="0087510B">
        <w:t>three</w:t>
      </w:r>
      <w:r w:rsidR="009E457E" w:rsidRPr="0087510B">
        <w:t xml:space="preserve"> hundred </w:t>
      </w:r>
      <w:r w:rsidR="009F79A9" w:rsidRPr="0087510B">
        <w:t>twenty</w:t>
      </w:r>
      <w:r w:rsidR="0071274D" w:rsidRPr="0087510B">
        <w:t>-</w:t>
      </w:r>
      <w:r w:rsidR="009E457E" w:rsidRPr="0087510B">
        <w:t>seven</w:t>
      </w:r>
      <w:r w:rsidR="00292B49" w:rsidRPr="0087510B">
        <w:t>-</w:t>
      </w:r>
      <w:r w:rsidR="009E457E" w:rsidRPr="0087510B">
        <w:t>dollars (</w:t>
      </w:r>
      <w:r w:rsidR="002824D8" w:rsidRPr="0087510B">
        <w:t>$53,</w:t>
      </w:r>
      <w:r w:rsidR="009F79A9" w:rsidRPr="0087510B">
        <w:t>327</w:t>
      </w:r>
      <w:r w:rsidR="009E457E" w:rsidRPr="0087510B">
        <w:t>)</w:t>
      </w:r>
      <w:r w:rsidR="002824D8" w:rsidRPr="0087510B">
        <w:t xml:space="preserve"> for its apparent willful and repeated failure</w:t>
      </w:r>
      <w:r w:rsidR="005137C1" w:rsidRPr="0087510B">
        <w:t>s</w:t>
      </w:r>
      <w:r w:rsidR="002824D8" w:rsidRPr="0087510B">
        <w:t xml:space="preserve"> to </w:t>
      </w:r>
      <w:r w:rsidR="005137C1" w:rsidRPr="0087510B">
        <w:t xml:space="preserve">timely contribute to </w:t>
      </w:r>
      <w:r w:rsidR="002824D8" w:rsidRPr="0087510B">
        <w:t>the TRS Fund.</w:t>
      </w:r>
    </w:p>
    <w:p w:rsidR="00A876B4" w:rsidRPr="0087510B" w:rsidRDefault="00F92ACB" w:rsidP="007335F9">
      <w:pPr>
        <w:pStyle w:val="Heading2"/>
      </w:pPr>
      <w:r w:rsidRPr="0087510B">
        <w:t xml:space="preserve">Late Payment of </w:t>
      </w:r>
      <w:r w:rsidR="00A876B4" w:rsidRPr="0087510B">
        <w:t xml:space="preserve">LNP </w:t>
      </w:r>
      <w:r w:rsidRPr="0087510B">
        <w:t>Contributions</w:t>
      </w:r>
    </w:p>
    <w:p w:rsidR="006C789B" w:rsidRPr="0087510B" w:rsidRDefault="00663AEC" w:rsidP="003A3175">
      <w:pPr>
        <w:pStyle w:val="ParaNum"/>
      </w:pPr>
      <w:r w:rsidRPr="0087510B">
        <w:t>W</w:t>
      </w:r>
      <w:r w:rsidR="006C789B" w:rsidRPr="0087510B">
        <w:t xml:space="preserve">e conclude that PTT apparently violated Section 251(e)(2) of the Act and Section 52.32 of the Rules by willfully </w:t>
      </w:r>
      <w:r w:rsidR="00404BE2" w:rsidRPr="0087510B">
        <w:t xml:space="preserve">or </w:t>
      </w:r>
      <w:r w:rsidR="006C789B" w:rsidRPr="0087510B">
        <w:t xml:space="preserve">repeatedly </w:t>
      </w:r>
      <w:r w:rsidR="006C789B" w:rsidRPr="003A3175">
        <w:t>failing</w:t>
      </w:r>
      <w:r w:rsidR="006C789B" w:rsidRPr="0087510B">
        <w:t xml:space="preserve"> to make payments to the LNP cost recovery </w:t>
      </w:r>
      <w:r w:rsidRPr="0087510B">
        <w:t xml:space="preserve">mechanism </w:t>
      </w:r>
      <w:r w:rsidR="006C789B" w:rsidRPr="0087510B">
        <w:t>in both the July 2011</w:t>
      </w:r>
      <w:r w:rsidRPr="0087510B">
        <w:t>–</w:t>
      </w:r>
      <w:r w:rsidR="006C789B" w:rsidRPr="0087510B">
        <w:t>June 2012 and July 2012</w:t>
      </w:r>
      <w:r w:rsidRPr="0087510B">
        <w:t>–</w:t>
      </w:r>
      <w:r w:rsidR="006C789B" w:rsidRPr="0087510B">
        <w:t>June 2013 billing cycles</w:t>
      </w:r>
      <w:r w:rsidR="0071274D" w:rsidRPr="0087510B">
        <w:t>,</w:t>
      </w:r>
      <w:r w:rsidR="006C789B" w:rsidRPr="0087510B">
        <w:t xml:space="preserve"> and by failing to timely pay its </w:t>
      </w:r>
      <w:r w:rsidRPr="0087510B">
        <w:t xml:space="preserve">LNP contribution </w:t>
      </w:r>
      <w:r w:rsidR="006C789B" w:rsidRPr="0087510B">
        <w:t>obligation</w:t>
      </w:r>
      <w:r w:rsidRPr="0087510B">
        <w:t xml:space="preserve">s during the </w:t>
      </w:r>
      <w:r w:rsidR="006C789B" w:rsidRPr="0087510B">
        <w:t>July 2013</w:t>
      </w:r>
      <w:r w:rsidRPr="0087510B">
        <w:t>–</w:t>
      </w:r>
      <w:r w:rsidR="006C789B" w:rsidRPr="0087510B">
        <w:t>June 2014 billing cycle.</w:t>
      </w:r>
      <w:r w:rsidR="006C789B" w:rsidRPr="0087510B">
        <w:rPr>
          <w:rStyle w:val="FootnoteReference"/>
          <w:sz w:val="22"/>
        </w:rPr>
        <w:footnoteReference w:id="116"/>
      </w:r>
      <w:r w:rsidR="006C789B" w:rsidRPr="0087510B">
        <w:t xml:space="preserve">  Failure to make payments to the LNP cost recovery mechanism undermines </w:t>
      </w:r>
      <w:r w:rsidR="00B2193C" w:rsidRPr="0087510B">
        <w:t xml:space="preserve">our ability </w:t>
      </w:r>
      <w:r w:rsidR="006C789B" w:rsidRPr="0087510B">
        <w:t>to promote consumer choice and competition in the telecommunications marketplace.</w:t>
      </w:r>
      <w:r w:rsidR="006C789B" w:rsidRPr="0087510B">
        <w:rPr>
          <w:rStyle w:val="FootnoteReference"/>
          <w:sz w:val="22"/>
        </w:rPr>
        <w:footnoteReference w:id="117"/>
      </w:r>
      <w:r w:rsidR="006C789B" w:rsidRPr="0087510B">
        <w:t xml:space="preserve">  The Commission has established a base forfeiture of $10,000 for each year in which there is a failure to timely make </w:t>
      </w:r>
      <w:r w:rsidR="00BD355D" w:rsidRPr="0087510B">
        <w:t>required L</w:t>
      </w:r>
      <w:r w:rsidR="006C789B" w:rsidRPr="0087510B">
        <w:t>NP</w:t>
      </w:r>
      <w:r w:rsidR="00BD355D" w:rsidRPr="0087510B">
        <w:t xml:space="preserve"> contributions</w:t>
      </w:r>
      <w:r w:rsidR="006C789B" w:rsidRPr="0087510B">
        <w:t>.</w:t>
      </w:r>
      <w:r w:rsidR="006C789B" w:rsidRPr="0087510B">
        <w:rPr>
          <w:rStyle w:val="FootnoteReference"/>
          <w:sz w:val="22"/>
        </w:rPr>
        <w:footnoteReference w:id="118"/>
      </w:r>
      <w:r w:rsidR="006C789B" w:rsidRPr="0087510B">
        <w:t xml:space="preserve">  </w:t>
      </w:r>
      <w:r w:rsidR="00BD355D" w:rsidRPr="0087510B">
        <w:t>We t</w:t>
      </w:r>
      <w:r w:rsidR="006C789B" w:rsidRPr="0087510B">
        <w:t>herefore</w:t>
      </w:r>
      <w:r w:rsidR="00BD355D" w:rsidRPr="0087510B">
        <w:t xml:space="preserve"> </w:t>
      </w:r>
      <w:r w:rsidR="006C789B" w:rsidRPr="0087510B">
        <w:t xml:space="preserve">find PTT apparently liable for </w:t>
      </w:r>
      <w:r w:rsidR="0047360D" w:rsidRPr="0087510B">
        <w:t xml:space="preserve">a </w:t>
      </w:r>
      <w:r w:rsidR="006C789B" w:rsidRPr="0087510B">
        <w:t xml:space="preserve">forfeiture of </w:t>
      </w:r>
      <w:r w:rsidR="0096763E" w:rsidRPr="0087510B">
        <w:t xml:space="preserve">thirty thousand dollars </w:t>
      </w:r>
      <w:r w:rsidR="00180FCE" w:rsidRPr="0087510B">
        <w:t>(</w:t>
      </w:r>
      <w:r w:rsidR="006C789B" w:rsidRPr="0087510B">
        <w:t>$30,000</w:t>
      </w:r>
      <w:r w:rsidR="00180FCE" w:rsidRPr="0087510B">
        <w:t>)</w:t>
      </w:r>
      <w:r w:rsidR="006C789B" w:rsidRPr="0087510B">
        <w:t xml:space="preserve"> for its willful </w:t>
      </w:r>
      <w:r w:rsidR="00077B52" w:rsidRPr="0087510B">
        <w:t xml:space="preserve">or </w:t>
      </w:r>
      <w:r w:rsidR="006C789B" w:rsidRPr="0087510B">
        <w:t xml:space="preserve">repeated </w:t>
      </w:r>
      <w:r w:rsidR="00BD355D" w:rsidRPr="0087510B">
        <w:t xml:space="preserve">LNP contribution </w:t>
      </w:r>
      <w:r w:rsidR="006C789B" w:rsidRPr="0087510B">
        <w:t>failure</w:t>
      </w:r>
      <w:r w:rsidR="00BD355D" w:rsidRPr="0087510B">
        <w:t>s</w:t>
      </w:r>
      <w:r w:rsidR="006C789B" w:rsidRPr="0087510B">
        <w:t xml:space="preserve"> </w:t>
      </w:r>
      <w:r w:rsidR="00BD355D" w:rsidRPr="0087510B">
        <w:t xml:space="preserve">in connection with the </w:t>
      </w:r>
      <w:r w:rsidR="006C789B" w:rsidRPr="0087510B">
        <w:t>July 2011</w:t>
      </w:r>
      <w:r w:rsidR="00BD355D" w:rsidRPr="0087510B">
        <w:t>–</w:t>
      </w:r>
      <w:r w:rsidR="006C789B" w:rsidRPr="0087510B">
        <w:t>June 2012</w:t>
      </w:r>
      <w:r w:rsidR="00BD355D" w:rsidRPr="0087510B">
        <w:t>,</w:t>
      </w:r>
      <w:r w:rsidR="006C789B" w:rsidRPr="0087510B">
        <w:t xml:space="preserve"> July 2012</w:t>
      </w:r>
      <w:r w:rsidR="00BD355D" w:rsidRPr="0087510B">
        <w:t>–</w:t>
      </w:r>
      <w:r w:rsidR="006C789B" w:rsidRPr="0087510B">
        <w:t>June 2013</w:t>
      </w:r>
      <w:r w:rsidR="00BD355D" w:rsidRPr="0087510B">
        <w:t xml:space="preserve">, </w:t>
      </w:r>
      <w:r w:rsidR="006C789B" w:rsidRPr="0087510B">
        <w:t>and July 2013</w:t>
      </w:r>
      <w:r w:rsidR="00BD355D" w:rsidRPr="0087510B">
        <w:t>–</w:t>
      </w:r>
      <w:r w:rsidR="006C789B" w:rsidRPr="0087510B">
        <w:t>June 2014 billing cycle</w:t>
      </w:r>
      <w:r w:rsidR="00BD355D" w:rsidRPr="0087510B">
        <w:t>s</w:t>
      </w:r>
      <w:r w:rsidR="006C789B" w:rsidRPr="0087510B">
        <w:t>.</w:t>
      </w:r>
    </w:p>
    <w:p w:rsidR="00A876B4" w:rsidRPr="0087510B" w:rsidRDefault="00F92ACB" w:rsidP="007335F9">
      <w:pPr>
        <w:pStyle w:val="Heading2"/>
      </w:pPr>
      <w:r w:rsidRPr="0087510B">
        <w:t xml:space="preserve">Late Payment of </w:t>
      </w:r>
      <w:r w:rsidR="00A876B4" w:rsidRPr="0087510B">
        <w:t>Regulatory Fees</w:t>
      </w:r>
    </w:p>
    <w:p w:rsidR="006C789B" w:rsidRPr="0087510B" w:rsidRDefault="00546D3C" w:rsidP="003A3175">
      <w:pPr>
        <w:pStyle w:val="ParaNum"/>
      </w:pPr>
      <w:r w:rsidRPr="0087510B">
        <w:t>W</w:t>
      </w:r>
      <w:r w:rsidR="006C789B" w:rsidRPr="0087510B">
        <w:t xml:space="preserve">e conclude that PTT apparently violated </w:t>
      </w:r>
      <w:r w:rsidRPr="0087510B">
        <w:t>Sections 1.1154 and 1.1157(b)(1)</w:t>
      </w:r>
      <w:r w:rsidR="006C789B" w:rsidRPr="0087510B">
        <w:t xml:space="preserve"> of the Rules by willfully </w:t>
      </w:r>
      <w:r w:rsidR="00404BE2" w:rsidRPr="0087510B">
        <w:t xml:space="preserve">or </w:t>
      </w:r>
      <w:r w:rsidR="006C789B" w:rsidRPr="0087510B">
        <w:t xml:space="preserve">repeatedly failing to make regulatory fee payments for </w:t>
      </w:r>
      <w:r w:rsidRPr="0087510B">
        <w:t>fiscal years</w:t>
      </w:r>
      <w:r w:rsidR="006C789B" w:rsidRPr="0087510B">
        <w:t xml:space="preserve"> 2011 and 2012.</w:t>
      </w:r>
      <w:r w:rsidR="006C789B" w:rsidRPr="0087510B">
        <w:rPr>
          <w:rStyle w:val="FootnoteReference"/>
          <w:sz w:val="22"/>
        </w:rPr>
        <w:footnoteReference w:id="119"/>
      </w:r>
      <w:r w:rsidRPr="0087510B">
        <w:t xml:space="preserve"> </w:t>
      </w:r>
      <w:r w:rsidR="006C789B" w:rsidRPr="0087510B">
        <w:t xml:space="preserve"> A carrier’s failure to contribute toward the costs of certain regulatory activities from which it benefits undermines the efficiency, equitability, and effectiveness of the </w:t>
      </w:r>
      <w:r w:rsidR="006C789B" w:rsidRPr="003A3175">
        <w:t>regulatory</w:t>
      </w:r>
      <w:r w:rsidR="006C789B" w:rsidRPr="0087510B">
        <w:t xml:space="preserve"> fee program and accomplishment of Congress’ objectives in Section 9(a)(1) of the Act.  The Commission has established a base forfeiture amount of $10,000 for failure to</w:t>
      </w:r>
      <w:r w:rsidR="00A62652" w:rsidRPr="0087510B">
        <w:t xml:space="preserve"> timely</w:t>
      </w:r>
      <w:r w:rsidR="006C789B" w:rsidRPr="0087510B">
        <w:t xml:space="preserve"> make required regulatory fee payments</w:t>
      </w:r>
      <w:r w:rsidR="00A62652" w:rsidRPr="0087510B">
        <w:t xml:space="preserve"> for one calendar year</w:t>
      </w:r>
      <w:r w:rsidR="006C789B" w:rsidRPr="0087510B">
        <w:t>.</w:t>
      </w:r>
      <w:r w:rsidR="006C789B" w:rsidRPr="0087510B">
        <w:rPr>
          <w:rStyle w:val="FootnoteReference"/>
          <w:sz w:val="22"/>
        </w:rPr>
        <w:footnoteReference w:id="120"/>
      </w:r>
      <w:r w:rsidR="006C789B" w:rsidRPr="0087510B">
        <w:t xml:space="preserve">  Therefore, we find PTT is apparently liable for </w:t>
      </w:r>
      <w:r w:rsidR="0071274D" w:rsidRPr="0087510B">
        <w:t xml:space="preserve">a </w:t>
      </w:r>
      <w:r w:rsidR="006C789B" w:rsidRPr="0087510B">
        <w:t xml:space="preserve">forfeiture of </w:t>
      </w:r>
      <w:r w:rsidR="00180FCE" w:rsidRPr="0087510B">
        <w:t>twenty thousand dollars (</w:t>
      </w:r>
      <w:r w:rsidR="006C789B" w:rsidRPr="0087510B">
        <w:t>$20,000</w:t>
      </w:r>
      <w:r w:rsidR="00180FCE" w:rsidRPr="0087510B">
        <w:t>)</w:t>
      </w:r>
      <w:r w:rsidR="006C789B" w:rsidRPr="0087510B">
        <w:t xml:space="preserve"> for its willful </w:t>
      </w:r>
      <w:r w:rsidR="0071274D" w:rsidRPr="0087510B">
        <w:t xml:space="preserve">or </w:t>
      </w:r>
      <w:r w:rsidR="006C789B" w:rsidRPr="0087510B">
        <w:t xml:space="preserve">repeated failure to make full regulatory fee payments for </w:t>
      </w:r>
      <w:r w:rsidRPr="0087510B">
        <w:t xml:space="preserve">fiscal years </w:t>
      </w:r>
      <w:r w:rsidR="006C789B" w:rsidRPr="0087510B">
        <w:t>2011 and 2012.</w:t>
      </w:r>
    </w:p>
    <w:p w:rsidR="00A876B4" w:rsidRPr="0087510B" w:rsidRDefault="00A876B4" w:rsidP="007335F9">
      <w:pPr>
        <w:pStyle w:val="Heading2"/>
      </w:pPr>
      <w:r w:rsidRPr="0087510B">
        <w:t>Fail</w:t>
      </w:r>
      <w:r w:rsidR="00F92ACB" w:rsidRPr="0087510B">
        <w:t>ure</w:t>
      </w:r>
      <w:r w:rsidRPr="0087510B">
        <w:t xml:space="preserve"> to Timely File Prepaid Calling Card Certifications</w:t>
      </w:r>
    </w:p>
    <w:p w:rsidR="008B15B1" w:rsidRPr="0087510B" w:rsidRDefault="00AD3F8C" w:rsidP="0023545E">
      <w:pPr>
        <w:pStyle w:val="ParaNum"/>
      </w:pPr>
      <w:r w:rsidRPr="0087510B">
        <w:t>W</w:t>
      </w:r>
      <w:r w:rsidR="0023545E" w:rsidRPr="0087510B">
        <w:t>e conclude that PTT apparently violated Section 64.5001(c) of the Rules by willfully or repeatedly failing to timely file prepaid calling card certifications.</w:t>
      </w:r>
      <w:r w:rsidR="0023545E" w:rsidRPr="0087510B">
        <w:rPr>
          <w:rStyle w:val="FootnoteReference"/>
          <w:sz w:val="22"/>
        </w:rPr>
        <w:footnoteReference w:id="121"/>
      </w:r>
      <w:r w:rsidR="0023545E" w:rsidRPr="0087510B">
        <w:t xml:space="preserve">  Pursuant to Section 1.80(b)(8) of the Rules, the applicable base forfeiture amount for “failure to file required forms or information” certifications is $3,000 per violation.</w:t>
      </w:r>
      <w:r w:rsidR="0023545E" w:rsidRPr="0087510B">
        <w:rPr>
          <w:rStyle w:val="FootnoteReference"/>
          <w:spacing w:val="-2"/>
          <w:sz w:val="22"/>
        </w:rPr>
        <w:footnoteReference w:id="122"/>
      </w:r>
      <w:r w:rsidR="0023545E" w:rsidRPr="0087510B">
        <w:t xml:space="preserve">   </w:t>
      </w:r>
    </w:p>
    <w:p w:rsidR="0023545E" w:rsidRPr="0087510B" w:rsidRDefault="0023545E" w:rsidP="002C36F7">
      <w:pPr>
        <w:pStyle w:val="ParaNum"/>
      </w:pPr>
      <w:r w:rsidRPr="0087510B">
        <w:t>The Commission’s record</w:t>
      </w:r>
      <w:r w:rsidR="003D0D2A" w:rsidRPr="0087510B">
        <w:t>s</w:t>
      </w:r>
      <w:r w:rsidRPr="0087510B">
        <w:t xml:space="preserve"> </w:t>
      </w:r>
      <w:r w:rsidR="003D0D2A" w:rsidRPr="0087510B">
        <w:t xml:space="preserve">show </w:t>
      </w:r>
      <w:r w:rsidRPr="0087510B">
        <w:t xml:space="preserve">that PTT failed to timely file its annual </w:t>
      </w:r>
      <w:r w:rsidR="008B15B1" w:rsidRPr="0087510B">
        <w:t>prepaid calling card</w:t>
      </w:r>
      <w:r w:rsidRPr="0087510B">
        <w:t xml:space="preserve"> certifications for </w:t>
      </w:r>
      <w:r w:rsidR="00A62652" w:rsidRPr="0087510B">
        <w:t>16</w:t>
      </w:r>
      <w:r w:rsidRPr="0087510B">
        <w:t xml:space="preserve"> quarters.</w:t>
      </w:r>
      <w:r w:rsidRPr="0087510B">
        <w:rPr>
          <w:rStyle w:val="FootnoteReference"/>
          <w:sz w:val="22"/>
        </w:rPr>
        <w:footnoteReference w:id="123"/>
      </w:r>
      <w:r w:rsidRPr="0087510B">
        <w:t xml:space="preserve">  </w:t>
      </w:r>
      <w:r w:rsidR="008B15B1" w:rsidRPr="0087510B">
        <w:t>PTT did not file t</w:t>
      </w:r>
      <w:r w:rsidRPr="0087510B">
        <w:t xml:space="preserve">he first </w:t>
      </w:r>
      <w:r w:rsidR="00A62652" w:rsidRPr="0087510B">
        <w:t>14</w:t>
      </w:r>
      <w:r w:rsidRPr="0087510B">
        <w:t xml:space="preserve"> </w:t>
      </w:r>
      <w:r w:rsidR="008B15B1" w:rsidRPr="0087510B">
        <w:t xml:space="preserve">of these </w:t>
      </w:r>
      <w:r w:rsidR="00B55C3D" w:rsidRPr="0087510B">
        <w:t>certifications</w:t>
      </w:r>
      <w:r w:rsidR="00103040" w:rsidRPr="0087510B">
        <w:t xml:space="preserve"> </w:t>
      </w:r>
      <w:r w:rsidR="00A62652" w:rsidRPr="0087510B">
        <w:t>─</w:t>
      </w:r>
      <w:r w:rsidR="00103040" w:rsidRPr="0087510B">
        <w:t xml:space="preserve"> </w:t>
      </w:r>
      <w:r w:rsidR="00B55C3D" w:rsidRPr="0087510B">
        <w:t>c</w:t>
      </w:r>
      <w:r w:rsidR="008B15B1" w:rsidRPr="0087510B">
        <w:t xml:space="preserve">overing </w:t>
      </w:r>
      <w:r w:rsidRPr="0087510B">
        <w:t xml:space="preserve">the first quarter of 2010 </w:t>
      </w:r>
      <w:r w:rsidR="003D0D2A" w:rsidRPr="0087510B">
        <w:t>(</w:t>
      </w:r>
      <w:r w:rsidR="008B15B1" w:rsidRPr="0087510B">
        <w:t xml:space="preserve">due </w:t>
      </w:r>
      <w:r w:rsidR="00B55C3D" w:rsidRPr="0087510B">
        <w:t xml:space="preserve">June 30, 2010) </w:t>
      </w:r>
      <w:r w:rsidR="008B15B1" w:rsidRPr="0087510B">
        <w:t xml:space="preserve">through </w:t>
      </w:r>
      <w:r w:rsidRPr="0087510B">
        <w:t>the second quarter of 2013</w:t>
      </w:r>
      <w:r w:rsidR="008B15B1" w:rsidRPr="0087510B">
        <w:t xml:space="preserve"> </w:t>
      </w:r>
      <w:r w:rsidR="00B55C3D" w:rsidRPr="0087510B">
        <w:t>(due September 30, 2013)</w:t>
      </w:r>
      <w:r w:rsidR="00103040" w:rsidRPr="0087510B">
        <w:t xml:space="preserve"> </w:t>
      </w:r>
      <w:r w:rsidR="00A62652" w:rsidRPr="0087510B">
        <w:t>─</w:t>
      </w:r>
      <w:r w:rsidR="00103040" w:rsidRPr="0087510B">
        <w:t xml:space="preserve"> </w:t>
      </w:r>
      <w:r w:rsidR="00B55C3D" w:rsidRPr="0087510B">
        <w:t>u</w:t>
      </w:r>
      <w:r w:rsidRPr="0087510B">
        <w:t>ntil December 13, 2013.</w:t>
      </w:r>
      <w:r w:rsidRPr="0087510B">
        <w:rPr>
          <w:rStyle w:val="FootnoteReference"/>
          <w:sz w:val="22"/>
        </w:rPr>
        <w:footnoteReference w:id="124"/>
      </w:r>
      <w:r w:rsidRPr="0087510B">
        <w:t xml:space="preserve">  PTT also late filed its certifications for the fourth quarter of 2013</w:t>
      </w:r>
      <w:r w:rsidR="003D0D2A" w:rsidRPr="0087510B">
        <w:t xml:space="preserve">, </w:t>
      </w:r>
      <w:r w:rsidRPr="0087510B">
        <w:t xml:space="preserve">and </w:t>
      </w:r>
      <w:r w:rsidR="00A62652" w:rsidRPr="0087510B">
        <w:t xml:space="preserve">it </w:t>
      </w:r>
      <w:r w:rsidRPr="0087510B">
        <w:t xml:space="preserve">has not yet filed its certification for the first quarter of 2014, </w:t>
      </w:r>
      <w:r w:rsidRPr="002C36F7">
        <w:t>which</w:t>
      </w:r>
      <w:r w:rsidRPr="0087510B">
        <w:t xml:space="preserve"> was due June 30, 2014.</w:t>
      </w:r>
      <w:r w:rsidRPr="0087510B">
        <w:rPr>
          <w:rStyle w:val="FootnoteReference"/>
          <w:sz w:val="22"/>
        </w:rPr>
        <w:footnoteReference w:id="125"/>
      </w:r>
      <w:r w:rsidRPr="0087510B">
        <w:t xml:space="preserve">  Given </w:t>
      </w:r>
      <w:r w:rsidR="009F5CCF">
        <w:t xml:space="preserve">this filing record, </w:t>
      </w:r>
      <w:r w:rsidRPr="0087510B">
        <w:t xml:space="preserve">we find that </w:t>
      </w:r>
      <w:r w:rsidR="00A62652" w:rsidRPr="0087510B">
        <w:t>the Company</w:t>
      </w:r>
      <w:r w:rsidRPr="0087510B">
        <w:t xml:space="preserve"> is apparently liable for </w:t>
      </w:r>
      <w:r w:rsidR="0047360D" w:rsidRPr="0087510B">
        <w:t xml:space="preserve">a </w:t>
      </w:r>
      <w:r w:rsidRPr="0087510B">
        <w:t xml:space="preserve">forfeiture of </w:t>
      </w:r>
      <w:r w:rsidR="009F5CCF">
        <w:t>forty</w:t>
      </w:r>
      <w:r w:rsidR="00147F82">
        <w:t>-</w:t>
      </w:r>
      <w:r w:rsidR="009F5CCF">
        <w:t>eight</w:t>
      </w:r>
      <w:r w:rsidR="009F5CCF" w:rsidRPr="0087510B">
        <w:t xml:space="preserve"> </w:t>
      </w:r>
      <w:r w:rsidRPr="0087510B">
        <w:t>thousand dollars ($</w:t>
      </w:r>
      <w:r w:rsidR="009F5CCF">
        <w:t>4</w:t>
      </w:r>
      <w:r w:rsidRPr="0087510B">
        <w:t>8,000) for willful or repeated failure</w:t>
      </w:r>
      <w:r w:rsidR="00AE58AB" w:rsidRPr="0087510B">
        <w:t>s</w:t>
      </w:r>
      <w:r w:rsidRPr="0087510B">
        <w:t xml:space="preserve"> to timely file its USF compliance certifications for </w:t>
      </w:r>
      <w:r w:rsidR="00A62652" w:rsidRPr="0087510B">
        <w:t>16</w:t>
      </w:r>
      <w:r w:rsidRPr="0087510B">
        <w:t xml:space="preserve"> quarters fr</w:t>
      </w:r>
      <w:r w:rsidR="00AE58AB" w:rsidRPr="0087510B">
        <w:t>o</w:t>
      </w:r>
      <w:r w:rsidRPr="0087510B">
        <w:t xml:space="preserve">m the first quarter of 2010 through the first quarter of 2014.  </w:t>
      </w:r>
    </w:p>
    <w:p w:rsidR="00A876B4" w:rsidRPr="0087510B" w:rsidRDefault="00A876B4" w:rsidP="007335F9">
      <w:pPr>
        <w:pStyle w:val="Heading2"/>
      </w:pPr>
      <w:r w:rsidRPr="0087510B">
        <w:t>Fail</w:t>
      </w:r>
      <w:r w:rsidR="00F92ACB" w:rsidRPr="0087510B">
        <w:t xml:space="preserve">ure </w:t>
      </w:r>
      <w:r w:rsidRPr="0087510B">
        <w:t>to Timely File International Traffic and Revenue Reports</w:t>
      </w:r>
    </w:p>
    <w:p w:rsidR="006C789B" w:rsidRPr="0087510B" w:rsidRDefault="003141FF" w:rsidP="006C789B">
      <w:pPr>
        <w:pStyle w:val="ParaNum"/>
        <w:tabs>
          <w:tab w:val="num" w:pos="1170"/>
        </w:tabs>
      </w:pPr>
      <w:r w:rsidRPr="0087510B">
        <w:t>W</w:t>
      </w:r>
      <w:r w:rsidR="006C789B" w:rsidRPr="0087510B">
        <w:t>e conclude that PTT apparently violated Section 4</w:t>
      </w:r>
      <w:r w:rsidR="00770AB9" w:rsidRPr="0087510B">
        <w:t>3</w:t>
      </w:r>
      <w:r w:rsidR="006C789B" w:rsidRPr="0087510B">
        <w:t>.61 of the Rules by willfully or repeatedly failing to timely file its 2011, 2012, 2013</w:t>
      </w:r>
      <w:r w:rsidR="00F26736">
        <w:t>, and 2014</w:t>
      </w:r>
      <w:r w:rsidR="006C789B" w:rsidRPr="0087510B">
        <w:t xml:space="preserve"> international telecommunications traffic reports providing data for calendar years 2010, 2011, 2012</w:t>
      </w:r>
      <w:r w:rsidR="00F26736">
        <w:t>, and 2013</w:t>
      </w:r>
      <w:r w:rsidR="006C789B" w:rsidRPr="0087510B">
        <w:t>.</w:t>
      </w:r>
      <w:r w:rsidR="006C789B" w:rsidRPr="0087510B">
        <w:rPr>
          <w:rStyle w:val="FootnoteReference"/>
          <w:sz w:val="22"/>
        </w:rPr>
        <w:footnoteReference w:id="126"/>
      </w:r>
      <w:r w:rsidR="006C789B" w:rsidRPr="0087510B">
        <w:t xml:space="preserve"> </w:t>
      </w:r>
      <w:r w:rsidR="006C789B" w:rsidRPr="0087510B">
        <w:rPr>
          <w:b/>
          <w:color w:val="FF0000"/>
        </w:rPr>
        <w:t xml:space="preserve"> </w:t>
      </w:r>
      <w:r w:rsidR="006C789B" w:rsidRPr="0087510B">
        <w:t>The Commission has held that the data it receives through international telecommunications traffic reports are “invaluable” to the discharge of essential regulatory tasks, including “evaluating applications for international facilities, considering facility planning options, monitoring the development and competitiveness of each international market, formulating policies consistent with the public interest and gauging the competitive impact of [its] decisions on the market.”</w:t>
      </w:r>
      <w:r w:rsidR="006C789B" w:rsidRPr="0087510B">
        <w:rPr>
          <w:rStyle w:val="FootnoteReference"/>
          <w:sz w:val="22"/>
        </w:rPr>
        <w:footnoteReference w:id="127"/>
      </w:r>
      <w:r w:rsidR="006C789B" w:rsidRPr="0087510B">
        <w:t xml:space="preserve">  Failure to timely file internatio</w:t>
      </w:r>
      <w:r w:rsidR="006C789B" w:rsidRPr="002C36F7">
        <w:t>n</w:t>
      </w:r>
      <w:r w:rsidR="006C789B" w:rsidRPr="0087510B">
        <w:t xml:space="preserve">al telecommunications traffic reports impedes the work of the Commission and hampers the discharge of its obligations under the Act.  The Commission’s </w:t>
      </w:r>
      <w:r w:rsidR="006C789B" w:rsidRPr="0087510B">
        <w:rPr>
          <w:i/>
          <w:iCs/>
        </w:rPr>
        <w:t>Forfeiture Policy Statement</w:t>
      </w:r>
      <w:r w:rsidR="006C789B" w:rsidRPr="0087510B">
        <w:t xml:space="preserve"> and implementing Rules prescribe a base forfeiture of </w:t>
      </w:r>
      <w:bookmarkStart w:id="35" w:name="SR;3828"/>
      <w:bookmarkEnd w:id="35"/>
      <w:r w:rsidR="006C789B" w:rsidRPr="0087510B">
        <w:rPr>
          <w:rStyle w:val="searchterm"/>
        </w:rPr>
        <w:t>$3,000</w:t>
      </w:r>
      <w:r w:rsidR="006C789B" w:rsidRPr="0087510B">
        <w:t xml:space="preserve"> for failure to file required forms or information</w:t>
      </w:r>
      <w:r w:rsidR="00F55722" w:rsidRPr="0087510B">
        <w:t>, and the Commission has applied that base forfeiture amount to international traffic and revenue reports</w:t>
      </w:r>
      <w:r w:rsidR="006C789B" w:rsidRPr="0087510B">
        <w:t>.</w:t>
      </w:r>
      <w:r w:rsidR="006C789B" w:rsidRPr="0087510B">
        <w:rPr>
          <w:rStyle w:val="FootnoteReference"/>
          <w:sz w:val="22"/>
        </w:rPr>
        <w:footnoteReference w:id="128"/>
      </w:r>
      <w:r w:rsidR="006C789B" w:rsidRPr="0087510B">
        <w:t xml:space="preserve">  Therefore, we find PTT is apparently liable for </w:t>
      </w:r>
      <w:r w:rsidR="0047360D" w:rsidRPr="0087510B">
        <w:t xml:space="preserve">a </w:t>
      </w:r>
      <w:r w:rsidR="006C789B" w:rsidRPr="0087510B">
        <w:t xml:space="preserve">forfeiture of </w:t>
      </w:r>
      <w:r w:rsidR="00F26736">
        <w:t xml:space="preserve">twelve </w:t>
      </w:r>
      <w:r w:rsidR="00180FCE" w:rsidRPr="0087510B">
        <w:t>thousand dollars (</w:t>
      </w:r>
      <w:r w:rsidR="006C789B" w:rsidRPr="0087510B">
        <w:t>$</w:t>
      </w:r>
      <w:r w:rsidR="00F26736">
        <w:t>12</w:t>
      </w:r>
      <w:r w:rsidR="006C789B" w:rsidRPr="0087510B">
        <w:t>,000</w:t>
      </w:r>
      <w:r w:rsidR="00180FCE" w:rsidRPr="0087510B">
        <w:t>)</w:t>
      </w:r>
      <w:r w:rsidR="006C789B" w:rsidRPr="0087510B">
        <w:t xml:space="preserve"> for its willful or repeated failure to timely file international telecommunications traffic reports</w:t>
      </w:r>
      <w:r w:rsidR="0047360D" w:rsidRPr="0087510B">
        <w:t xml:space="preserve"> for </w:t>
      </w:r>
      <w:r w:rsidR="00F26736">
        <w:t xml:space="preserve">four </w:t>
      </w:r>
      <w:r w:rsidR="0047360D" w:rsidRPr="0087510B">
        <w:t>separate years</w:t>
      </w:r>
      <w:r w:rsidR="006C789B" w:rsidRPr="0087510B">
        <w:t>.</w:t>
      </w:r>
    </w:p>
    <w:p w:rsidR="00A876B4" w:rsidRPr="0087510B" w:rsidRDefault="00A876B4" w:rsidP="007335F9">
      <w:pPr>
        <w:pStyle w:val="Heading2"/>
      </w:pPr>
      <w:r w:rsidRPr="0087510B">
        <w:t>Fail</w:t>
      </w:r>
      <w:r w:rsidR="00F92ACB" w:rsidRPr="0087510B">
        <w:t>ure</w:t>
      </w:r>
      <w:r w:rsidRPr="0087510B">
        <w:t xml:space="preserve"> to Timely File CPNI Certifications</w:t>
      </w:r>
    </w:p>
    <w:p w:rsidR="009B457B" w:rsidRPr="0087510B" w:rsidRDefault="0047360D" w:rsidP="009B457B">
      <w:pPr>
        <w:pStyle w:val="ParaNum"/>
      </w:pPr>
      <w:r w:rsidRPr="0087510B">
        <w:t>Finally, w</w:t>
      </w:r>
      <w:r w:rsidR="009B457B" w:rsidRPr="0087510B">
        <w:t>e conclude that PTT apparently violated Section 222 of the Act</w:t>
      </w:r>
      <w:r w:rsidR="00F55722" w:rsidRPr="0087510B">
        <w:t xml:space="preserve"> and</w:t>
      </w:r>
      <w:r w:rsidR="009B457B" w:rsidRPr="0087510B">
        <w:t xml:space="preserve"> Section 64.2009(e) of the Rules by willfully or repeatedly failing to timely file its annual CPNI certifications.</w:t>
      </w:r>
      <w:r w:rsidR="009B457B" w:rsidRPr="0087510B">
        <w:rPr>
          <w:rStyle w:val="FootnoteReference"/>
          <w:sz w:val="22"/>
        </w:rPr>
        <w:footnoteReference w:id="129"/>
      </w:r>
      <w:r w:rsidR="009B457B" w:rsidRPr="0087510B">
        <w:t xml:space="preserve">  </w:t>
      </w:r>
      <w:r w:rsidR="008467C0" w:rsidRPr="0087510B">
        <w:rPr>
          <w:lang w:val="en"/>
        </w:rPr>
        <w:t xml:space="preserve">PTT’s apparent violations of Section 222(c) and </w:t>
      </w:r>
      <w:r w:rsidR="008467C0" w:rsidRPr="0087510B">
        <w:t xml:space="preserve">Section 64.2009(e) </w:t>
      </w:r>
      <w:r w:rsidR="008467C0" w:rsidRPr="0087510B">
        <w:rPr>
          <w:lang w:val="en"/>
        </w:rPr>
        <w:t xml:space="preserve">constitute a serious breach of federal privacy protections.  </w:t>
      </w:r>
      <w:r w:rsidR="008467C0" w:rsidRPr="0087510B">
        <w:rPr>
          <w:rStyle w:val="searchterm"/>
        </w:rPr>
        <w:t>Failure</w:t>
      </w:r>
      <w:r w:rsidR="008467C0" w:rsidRPr="0087510B">
        <w:rPr>
          <w:rStyle w:val="bestsection"/>
        </w:rPr>
        <w:t xml:space="preserve"> to </w:t>
      </w:r>
      <w:bookmarkStart w:id="37" w:name="SearchTerm"/>
      <w:bookmarkStart w:id="38" w:name="SR;1203"/>
      <w:bookmarkEnd w:id="37"/>
      <w:bookmarkEnd w:id="38"/>
      <w:r w:rsidR="008467C0" w:rsidRPr="0087510B">
        <w:rPr>
          <w:rStyle w:val="searchterm"/>
        </w:rPr>
        <w:t>file</w:t>
      </w:r>
      <w:r w:rsidR="008467C0" w:rsidRPr="0087510B">
        <w:rPr>
          <w:rStyle w:val="bestsection"/>
        </w:rPr>
        <w:t xml:space="preserve"> the </w:t>
      </w:r>
      <w:bookmarkStart w:id="39" w:name="SR;1205"/>
      <w:bookmarkEnd w:id="39"/>
      <w:r w:rsidR="008467C0" w:rsidRPr="0087510B">
        <w:rPr>
          <w:rStyle w:val="searchterm"/>
        </w:rPr>
        <w:t>annual</w:t>
      </w:r>
      <w:r w:rsidR="008467C0" w:rsidRPr="0087510B">
        <w:rPr>
          <w:rStyle w:val="bestsection"/>
        </w:rPr>
        <w:t xml:space="preserve"> </w:t>
      </w:r>
      <w:bookmarkStart w:id="40" w:name="SR;1206"/>
      <w:bookmarkEnd w:id="40"/>
      <w:r w:rsidR="008467C0" w:rsidRPr="0087510B">
        <w:rPr>
          <w:rStyle w:val="searchterm"/>
        </w:rPr>
        <w:t>CPNI</w:t>
      </w:r>
      <w:r w:rsidR="008467C0" w:rsidRPr="0087510B">
        <w:rPr>
          <w:rStyle w:val="bestsection"/>
        </w:rPr>
        <w:t xml:space="preserve"> </w:t>
      </w:r>
      <w:bookmarkStart w:id="41" w:name="SR;1207"/>
      <w:bookmarkEnd w:id="41"/>
      <w:r w:rsidR="008467C0" w:rsidRPr="0087510B">
        <w:rPr>
          <w:rStyle w:val="searchterm"/>
        </w:rPr>
        <w:t>certification</w:t>
      </w:r>
      <w:r w:rsidR="008467C0" w:rsidRPr="0087510B">
        <w:rPr>
          <w:rStyle w:val="bestsection"/>
        </w:rPr>
        <w:t xml:space="preserve"> jeopardizes the Commission</w:t>
      </w:r>
      <w:r w:rsidR="009E394E" w:rsidRPr="0087510B">
        <w:rPr>
          <w:rStyle w:val="bestsection"/>
        </w:rPr>
        <w:t>’</w:t>
      </w:r>
      <w:r w:rsidR="008467C0" w:rsidRPr="0087510B">
        <w:rPr>
          <w:rStyle w:val="bestsection"/>
        </w:rPr>
        <w:t>s ability to effectively monitor and respond to violations of consumers</w:t>
      </w:r>
      <w:r w:rsidR="00D435A8" w:rsidRPr="0087510B">
        <w:rPr>
          <w:rStyle w:val="bestsection"/>
        </w:rPr>
        <w:t>’</w:t>
      </w:r>
      <w:r w:rsidR="008467C0" w:rsidRPr="0087510B">
        <w:rPr>
          <w:rStyle w:val="bestsection"/>
        </w:rPr>
        <w:t xml:space="preserve"> privacy. </w:t>
      </w:r>
      <w:r w:rsidR="005D7D05" w:rsidRPr="0087510B">
        <w:rPr>
          <w:rStyle w:val="bestsection"/>
        </w:rPr>
        <w:t xml:space="preserve"> </w:t>
      </w:r>
      <w:r w:rsidR="008467C0" w:rsidRPr="0087510B">
        <w:rPr>
          <w:rStyle w:val="bestsection"/>
        </w:rPr>
        <w:t xml:space="preserve">The </w:t>
      </w:r>
      <w:bookmarkStart w:id="42" w:name="SR;1224"/>
      <w:bookmarkEnd w:id="42"/>
      <w:r w:rsidR="008467C0" w:rsidRPr="0087510B">
        <w:rPr>
          <w:rStyle w:val="searchterm"/>
        </w:rPr>
        <w:t>annual</w:t>
      </w:r>
      <w:r w:rsidR="008467C0" w:rsidRPr="0087510B">
        <w:rPr>
          <w:rStyle w:val="bestsection"/>
        </w:rPr>
        <w:t xml:space="preserve"> </w:t>
      </w:r>
      <w:bookmarkStart w:id="43" w:name="SR;1225"/>
      <w:bookmarkEnd w:id="43"/>
      <w:r w:rsidR="008467C0" w:rsidRPr="0087510B">
        <w:rPr>
          <w:rStyle w:val="searchterm"/>
        </w:rPr>
        <w:t>certification</w:t>
      </w:r>
      <w:r w:rsidR="008467C0" w:rsidRPr="0087510B">
        <w:rPr>
          <w:rStyle w:val="bestsection"/>
        </w:rPr>
        <w:t xml:space="preserve"> </w:t>
      </w:r>
      <w:bookmarkStart w:id="44" w:name="SR;1226"/>
      <w:bookmarkEnd w:id="44"/>
      <w:r w:rsidR="008467C0" w:rsidRPr="0087510B">
        <w:rPr>
          <w:rStyle w:val="searchterm"/>
        </w:rPr>
        <w:t>filing</w:t>
      </w:r>
      <w:r w:rsidR="008467C0" w:rsidRPr="0087510B">
        <w:rPr>
          <w:rStyle w:val="bestsection"/>
        </w:rPr>
        <w:t xml:space="preserve"> obligation is specifically intended to “ensure that carriers regularly focus their attention on their duty to safeguard </w:t>
      </w:r>
      <w:bookmarkStart w:id="45" w:name="SR;1244"/>
      <w:bookmarkEnd w:id="45"/>
      <w:r w:rsidR="008467C0" w:rsidRPr="0087510B">
        <w:rPr>
          <w:rStyle w:val="searchterm"/>
        </w:rPr>
        <w:t>CPNI</w:t>
      </w:r>
      <w:r w:rsidR="008467C0" w:rsidRPr="0087510B">
        <w:rPr>
          <w:rStyle w:val="bestsection"/>
        </w:rPr>
        <w:t>” and allow the Commission to “monitor the industry</w:t>
      </w:r>
      <w:r w:rsidR="009E394E" w:rsidRPr="0087510B">
        <w:rPr>
          <w:rStyle w:val="bestsection"/>
        </w:rPr>
        <w:t>’</w:t>
      </w:r>
      <w:r w:rsidR="008467C0" w:rsidRPr="0087510B">
        <w:rPr>
          <w:rStyle w:val="bestsection"/>
        </w:rPr>
        <w:t xml:space="preserve">s response to </w:t>
      </w:r>
      <w:bookmarkStart w:id="46" w:name="SR;1255"/>
      <w:bookmarkEnd w:id="46"/>
      <w:r w:rsidR="008467C0" w:rsidRPr="0087510B">
        <w:rPr>
          <w:rStyle w:val="searchterm"/>
        </w:rPr>
        <w:t>CPNI</w:t>
      </w:r>
      <w:r w:rsidR="008467C0" w:rsidRPr="0087510B">
        <w:rPr>
          <w:rStyle w:val="bestsection"/>
        </w:rPr>
        <w:t xml:space="preserve"> privacy issues and to take any necessary steps to ensure that carriers are managing customer </w:t>
      </w:r>
      <w:bookmarkStart w:id="47" w:name="SR;1271"/>
      <w:bookmarkEnd w:id="47"/>
      <w:r w:rsidR="008467C0" w:rsidRPr="0087510B">
        <w:rPr>
          <w:rStyle w:val="searchterm"/>
        </w:rPr>
        <w:t>CPNI</w:t>
      </w:r>
      <w:r w:rsidR="008467C0" w:rsidRPr="0087510B">
        <w:rPr>
          <w:rStyle w:val="bestsection"/>
        </w:rPr>
        <w:t xml:space="preserve"> securely.”</w:t>
      </w:r>
      <w:r w:rsidR="003758BF" w:rsidRPr="0087510B">
        <w:rPr>
          <w:rStyle w:val="FootnoteReference"/>
          <w:sz w:val="22"/>
        </w:rPr>
        <w:footnoteReference w:id="130"/>
      </w:r>
      <w:r w:rsidR="008467C0" w:rsidRPr="0087510B">
        <w:rPr>
          <w:rStyle w:val="bestsection"/>
        </w:rPr>
        <w:t xml:space="preserve">  </w:t>
      </w:r>
      <w:r w:rsidR="009B457B" w:rsidRPr="0087510B">
        <w:t>In prior decisions, the Commission has affirmed the Bureau’s decision to assess a $20,000 forfeiture for a failure to timely file a CPNI certification.</w:t>
      </w:r>
      <w:r w:rsidR="009B457B" w:rsidRPr="0087510B">
        <w:rPr>
          <w:rStyle w:val="FootnoteReference"/>
          <w:sz w:val="22"/>
        </w:rPr>
        <w:footnoteReference w:id="131"/>
      </w:r>
    </w:p>
    <w:p w:rsidR="009B457B" w:rsidRPr="0087510B" w:rsidRDefault="009B457B" w:rsidP="006E42B9">
      <w:pPr>
        <w:pStyle w:val="ParaNum"/>
      </w:pPr>
      <w:r w:rsidRPr="0087510B">
        <w:t xml:space="preserve">We </w:t>
      </w:r>
      <w:r w:rsidR="00EE3AAD" w:rsidRPr="0087510B">
        <w:t>follow this</w:t>
      </w:r>
      <w:r w:rsidRPr="0087510B">
        <w:t xml:space="preserve"> </w:t>
      </w:r>
      <w:r w:rsidR="009E394E" w:rsidRPr="0087510B">
        <w:t xml:space="preserve">precedent </w:t>
      </w:r>
      <w:r w:rsidRPr="0087510B">
        <w:t>here.  As stated above, PTT apparently has never timely filed a CPNI certification.</w:t>
      </w:r>
      <w:r w:rsidRPr="0087510B">
        <w:rPr>
          <w:rStyle w:val="FootnoteReference"/>
          <w:sz w:val="22"/>
        </w:rPr>
        <w:footnoteReference w:id="132"/>
      </w:r>
      <w:r w:rsidRPr="0087510B">
        <w:t xml:space="preserve">  This lack of timeliness encompasses the CPNI certification for 2013</w:t>
      </w:r>
      <w:r w:rsidR="0047360D" w:rsidRPr="0087510B">
        <w:t xml:space="preserve">─which was </w:t>
      </w:r>
      <w:r w:rsidRPr="0087510B">
        <w:t xml:space="preserve">due </w:t>
      </w:r>
      <w:r w:rsidR="0047360D" w:rsidRPr="0087510B">
        <w:t xml:space="preserve">on </w:t>
      </w:r>
      <w:r w:rsidRPr="0087510B">
        <w:t>March 3, 2014, but not filed until April 15, 2014</w:t>
      </w:r>
      <w:r w:rsidR="0047360D" w:rsidRPr="0087510B">
        <w:t>─</w:t>
      </w:r>
      <w:r w:rsidRPr="0087510B">
        <w:t>as well as the certification</w:t>
      </w:r>
      <w:r w:rsidR="00F55722" w:rsidRPr="0087510B">
        <w:t>s</w:t>
      </w:r>
      <w:r w:rsidRPr="0087510B">
        <w:t xml:space="preserve"> for 2010, 2011, and 2012</w:t>
      </w:r>
      <w:r w:rsidR="0047360D" w:rsidRPr="0087510B">
        <w:t xml:space="preserve">─respectively </w:t>
      </w:r>
      <w:r w:rsidRPr="0087510B">
        <w:t xml:space="preserve">due in March 2011, March 2012, </w:t>
      </w:r>
      <w:r w:rsidR="0047360D" w:rsidRPr="0087510B">
        <w:t xml:space="preserve">and </w:t>
      </w:r>
      <w:r w:rsidRPr="0087510B">
        <w:t>March 2013,</w:t>
      </w:r>
      <w:r w:rsidR="0047360D" w:rsidRPr="0087510B">
        <w:t xml:space="preserve"> </w:t>
      </w:r>
      <w:r w:rsidRPr="0087510B">
        <w:t>but not filed until April 16, 2013.</w:t>
      </w:r>
      <w:r w:rsidRPr="0087510B">
        <w:rPr>
          <w:rStyle w:val="FootnoteReference"/>
          <w:sz w:val="22"/>
        </w:rPr>
        <w:footnoteReference w:id="133"/>
      </w:r>
      <w:r w:rsidRPr="0087510B">
        <w:t xml:space="preserve">  Given </w:t>
      </w:r>
      <w:r w:rsidR="0047360D" w:rsidRPr="0087510B">
        <w:t>PTT’s</w:t>
      </w:r>
      <w:r w:rsidR="00C838CA" w:rsidRPr="0087510B">
        <w:t xml:space="preserve"> </w:t>
      </w:r>
      <w:r w:rsidRPr="0087510B">
        <w:t xml:space="preserve">apparent pattern of </w:t>
      </w:r>
      <w:r w:rsidR="0047360D" w:rsidRPr="0087510B">
        <w:t xml:space="preserve">noncompliance with CPNI certification requirements </w:t>
      </w:r>
      <w:r w:rsidRPr="0087510B">
        <w:t>and the importance of the CPNI rules to protecting the privacy of consumer personal information held by telecommunications carriers, we find that PTT is apparently li</w:t>
      </w:r>
      <w:r w:rsidR="00DF3804" w:rsidRPr="0087510B">
        <w:t xml:space="preserve">able for a forfeiture of </w:t>
      </w:r>
      <w:r w:rsidR="00EE3AAD" w:rsidRPr="0087510B">
        <w:t>eighty</w:t>
      </w:r>
      <w:r w:rsidRPr="0087510B">
        <w:t xml:space="preserve"> thousand dollars ($</w:t>
      </w:r>
      <w:r w:rsidR="00EE3AAD" w:rsidRPr="0087510B">
        <w:t>80</w:t>
      </w:r>
      <w:r w:rsidRPr="0087510B">
        <w:t xml:space="preserve">,000) for </w:t>
      </w:r>
      <w:r w:rsidR="0047360D" w:rsidRPr="0087510B">
        <w:t xml:space="preserve">its </w:t>
      </w:r>
      <w:r w:rsidRPr="0087510B">
        <w:t>willful or repeated failure to timely file CPNI certifications for 201</w:t>
      </w:r>
      <w:r w:rsidR="00961430" w:rsidRPr="0087510B">
        <w:t>1</w:t>
      </w:r>
      <w:r w:rsidRPr="0087510B">
        <w:t xml:space="preserve">, 2012, 2013, and 2014. </w:t>
      </w:r>
      <w:r w:rsidR="00F55722" w:rsidRPr="0087510B">
        <w:t xml:space="preserve"> This amount reflects a proposed forfeiture of $20,000 for </w:t>
      </w:r>
      <w:r w:rsidR="00EE3AAD" w:rsidRPr="0087510B">
        <w:t xml:space="preserve">each of </w:t>
      </w:r>
      <w:r w:rsidR="00F55722" w:rsidRPr="0087510B">
        <w:t xml:space="preserve">PTT’s </w:t>
      </w:r>
      <w:r w:rsidR="00EE3AAD" w:rsidRPr="0087510B">
        <w:t xml:space="preserve">four </w:t>
      </w:r>
      <w:r w:rsidR="00F55722" w:rsidRPr="0087510B">
        <w:t>violation</w:t>
      </w:r>
      <w:r w:rsidR="00EE3AAD" w:rsidRPr="0087510B">
        <w:t>s of the CPNI certification requirement.</w:t>
      </w:r>
    </w:p>
    <w:p w:rsidR="006C789B" w:rsidRPr="003A3175" w:rsidRDefault="003A3175" w:rsidP="003A3175">
      <w:pPr>
        <w:pStyle w:val="Heading1"/>
      </w:pPr>
      <w:r w:rsidRPr="003A3175">
        <w:t>Conclusion</w:t>
      </w:r>
    </w:p>
    <w:p w:rsidR="0066482A" w:rsidRPr="0087510B" w:rsidRDefault="007D0416" w:rsidP="006E42B9">
      <w:pPr>
        <w:pStyle w:val="ParaNum"/>
      </w:pPr>
      <w:r w:rsidRPr="0087510B">
        <w:t xml:space="preserve">In view of the seriousness, duration, and scope of </w:t>
      </w:r>
      <w:r w:rsidR="0047360D" w:rsidRPr="0087510B">
        <w:t>PTT’s</w:t>
      </w:r>
      <w:r w:rsidRPr="0087510B">
        <w:t xml:space="preserve"> apparent violations, we propose forfeitures totaling </w:t>
      </w:r>
      <w:r w:rsidR="009E457E" w:rsidRPr="0087510B">
        <w:t xml:space="preserve">four hundred </w:t>
      </w:r>
      <w:r w:rsidR="00E81752">
        <w:t xml:space="preserve">ninety-three </w:t>
      </w:r>
      <w:r w:rsidR="00077B52" w:rsidRPr="0087510B">
        <w:t>thousand</w:t>
      </w:r>
      <w:r w:rsidR="0082061C" w:rsidRPr="0087510B">
        <w:t>,</w:t>
      </w:r>
      <w:r w:rsidR="00077B52" w:rsidRPr="0087510B">
        <w:t xml:space="preserve"> </w:t>
      </w:r>
      <w:r w:rsidR="009F79A9" w:rsidRPr="0087510B">
        <w:t>three</w:t>
      </w:r>
      <w:r w:rsidR="00077B52" w:rsidRPr="0087510B">
        <w:t xml:space="preserve"> hundred </w:t>
      </w:r>
      <w:r w:rsidR="009F79A9" w:rsidRPr="0087510B">
        <w:t>twenty</w:t>
      </w:r>
      <w:r w:rsidR="0047360D" w:rsidRPr="0087510B">
        <w:t>-</w:t>
      </w:r>
      <w:r w:rsidR="009E457E" w:rsidRPr="0087510B">
        <w:t>seven dollars ($4</w:t>
      </w:r>
      <w:r w:rsidR="00E81752">
        <w:t>93</w:t>
      </w:r>
      <w:r w:rsidR="009E457E" w:rsidRPr="0087510B">
        <w:t>,</w:t>
      </w:r>
      <w:r w:rsidR="009F79A9" w:rsidRPr="0087510B">
        <w:t>327</w:t>
      </w:r>
      <w:r w:rsidR="009E457E" w:rsidRPr="0087510B">
        <w:t xml:space="preserve">) </w:t>
      </w:r>
      <w:r w:rsidRPr="0087510B">
        <w:t xml:space="preserve"> against </w:t>
      </w:r>
      <w:r w:rsidR="009E457E" w:rsidRPr="0087510B">
        <w:t xml:space="preserve">PTT, </w:t>
      </w:r>
      <w:r w:rsidRPr="0087510B">
        <w:t xml:space="preserve">consisting of one hundred thousand dollars ($100,000) for providing international telecommunications service without authorization; </w:t>
      </w:r>
      <w:r w:rsidR="009E457E" w:rsidRPr="0087510B">
        <w:t xml:space="preserve">one hundred </w:t>
      </w:r>
      <w:r w:rsidRPr="0087510B">
        <w:t>fifty thousand dollars ($</w:t>
      </w:r>
      <w:r w:rsidR="009E457E" w:rsidRPr="0087510B">
        <w:t>1</w:t>
      </w:r>
      <w:r w:rsidRPr="0087510B">
        <w:t xml:space="preserve">50,000) for failure to timely file </w:t>
      </w:r>
      <w:r w:rsidR="009E457E" w:rsidRPr="0087510B">
        <w:t>a</w:t>
      </w:r>
      <w:r w:rsidRPr="0087510B">
        <w:t xml:space="preserve">nnual </w:t>
      </w:r>
      <w:r w:rsidR="009E457E" w:rsidRPr="0087510B">
        <w:t xml:space="preserve">Telecommunications Reporting </w:t>
      </w:r>
      <w:r w:rsidRPr="0087510B">
        <w:t>Worksheet</w:t>
      </w:r>
      <w:r w:rsidR="00EA2CBD" w:rsidRPr="0087510B">
        <w:t>s</w:t>
      </w:r>
      <w:r w:rsidRPr="0087510B">
        <w:t xml:space="preserve">; </w:t>
      </w:r>
      <w:r w:rsidR="00EA2CBD" w:rsidRPr="0087510B">
        <w:t>fifty</w:t>
      </w:r>
      <w:r w:rsidR="00F55722" w:rsidRPr="0087510B">
        <w:t>-</w:t>
      </w:r>
      <w:r w:rsidR="00EA2CBD" w:rsidRPr="0087510B">
        <w:t xml:space="preserve">three thousand, </w:t>
      </w:r>
      <w:r w:rsidR="009F79A9" w:rsidRPr="0087510B">
        <w:t>three hundred twenty-seven</w:t>
      </w:r>
      <w:r w:rsidR="00EA2CBD" w:rsidRPr="0087510B">
        <w:t xml:space="preserve"> dollars ($53,</w:t>
      </w:r>
      <w:r w:rsidR="009F79A9" w:rsidRPr="0087510B">
        <w:t>327</w:t>
      </w:r>
      <w:r w:rsidR="00EA2CBD" w:rsidRPr="0087510B">
        <w:t>)</w:t>
      </w:r>
      <w:r w:rsidRPr="0087510B">
        <w:t xml:space="preserve"> for </w:t>
      </w:r>
      <w:r w:rsidR="00EA2CBD" w:rsidRPr="0087510B">
        <w:t xml:space="preserve">nonpayment and late payment of TRS </w:t>
      </w:r>
      <w:r w:rsidRPr="0087510B">
        <w:t>contributions;</w:t>
      </w:r>
      <w:r w:rsidR="00EA2CBD" w:rsidRPr="0087510B">
        <w:t xml:space="preserve"> </w:t>
      </w:r>
      <w:r w:rsidR="00077B52" w:rsidRPr="0087510B">
        <w:t xml:space="preserve">thirty thousand dollars ($30,000) </w:t>
      </w:r>
      <w:r w:rsidR="00EA2CBD" w:rsidRPr="0087510B">
        <w:t>for late payment of LNP contributions;</w:t>
      </w:r>
      <w:r w:rsidR="00077B52" w:rsidRPr="0087510B">
        <w:t xml:space="preserve"> twenty thousand dollars ($20,000) for failure to timely pay required regulatory fees; </w:t>
      </w:r>
      <w:r w:rsidR="00147F82">
        <w:t>forty-eight</w:t>
      </w:r>
      <w:r w:rsidR="00147F82" w:rsidRPr="0087510B">
        <w:t xml:space="preserve"> </w:t>
      </w:r>
      <w:r w:rsidR="00077B52" w:rsidRPr="0087510B">
        <w:t>thousand dollars ($</w:t>
      </w:r>
      <w:r w:rsidR="00147F82">
        <w:t>4</w:t>
      </w:r>
      <w:r w:rsidR="00077B52" w:rsidRPr="0087510B">
        <w:t xml:space="preserve">8,000) for </w:t>
      </w:r>
      <w:r w:rsidR="00770AB9" w:rsidRPr="0087510B">
        <w:t>failure</w:t>
      </w:r>
      <w:r w:rsidR="00077B52" w:rsidRPr="0087510B">
        <w:t xml:space="preserve"> to timely file USF compliance certifications; </w:t>
      </w:r>
      <w:r w:rsidR="00F26736">
        <w:t xml:space="preserve">twelve </w:t>
      </w:r>
      <w:r w:rsidRPr="0087510B">
        <w:t>thousand dollars ($</w:t>
      </w:r>
      <w:r w:rsidR="00F26736">
        <w:t>12</w:t>
      </w:r>
      <w:r w:rsidRPr="0087510B">
        <w:t>,000) for failure to timely file international telecommunications traffic reports</w:t>
      </w:r>
      <w:r w:rsidR="00077B52" w:rsidRPr="0087510B">
        <w:t xml:space="preserve">; and </w:t>
      </w:r>
      <w:r w:rsidR="00396301" w:rsidRPr="0087510B">
        <w:t>eighty</w:t>
      </w:r>
      <w:r w:rsidR="00077B52" w:rsidRPr="0087510B">
        <w:t xml:space="preserve"> thousand dollars ($</w:t>
      </w:r>
      <w:r w:rsidR="00396301" w:rsidRPr="0087510B">
        <w:t>80</w:t>
      </w:r>
      <w:r w:rsidR="00077B52" w:rsidRPr="0087510B">
        <w:t xml:space="preserve">,000) for </w:t>
      </w:r>
      <w:r w:rsidR="00770AB9" w:rsidRPr="0087510B">
        <w:t>failure</w:t>
      </w:r>
      <w:r w:rsidR="00077B52" w:rsidRPr="0087510B">
        <w:t xml:space="preserve"> to timely file CPNI certifications.</w:t>
      </w:r>
    </w:p>
    <w:p w:rsidR="00010736" w:rsidRPr="003A3175" w:rsidRDefault="006C789B" w:rsidP="003A3175">
      <w:pPr>
        <w:pStyle w:val="Heading1"/>
      </w:pPr>
      <w:r w:rsidRPr="003A3175">
        <w:t>Ordering Clauses</w:t>
      </w:r>
    </w:p>
    <w:p w:rsidR="00010736" w:rsidRPr="0087510B" w:rsidRDefault="00010736" w:rsidP="00042AE1">
      <w:pPr>
        <w:pStyle w:val="ParaNum"/>
        <w:keepNext/>
      </w:pPr>
      <w:r w:rsidRPr="0087510B">
        <w:t xml:space="preserve">Accordingly, </w:t>
      </w:r>
      <w:r w:rsidRPr="0087510B">
        <w:rPr>
          <w:b/>
        </w:rPr>
        <w:t>IT IS ORDERED</w:t>
      </w:r>
      <w:r w:rsidRPr="0087510B">
        <w:t>,</w:t>
      </w:r>
      <w:r w:rsidRPr="0087510B">
        <w:rPr>
          <w:b/>
        </w:rPr>
        <w:t xml:space="preserve"> </w:t>
      </w:r>
      <w:r w:rsidRPr="0087510B">
        <w:t xml:space="preserve">pursuant to Section 503(b) of the Communications Act of 1934, as amended, 47 U.S.C. § 503(b), and Section 1.80 of the Commission’s rules, 47 C.F.R. § 1.80, that PTT Phone Cards, Inc. is hereby </w:t>
      </w:r>
      <w:r w:rsidRPr="0087510B">
        <w:rPr>
          <w:b/>
        </w:rPr>
        <w:t>NOTIFIED</w:t>
      </w:r>
      <w:r w:rsidRPr="0087510B">
        <w:t xml:space="preserve"> of this </w:t>
      </w:r>
      <w:r w:rsidRPr="0087510B">
        <w:rPr>
          <w:b/>
        </w:rPr>
        <w:t xml:space="preserve">APPARENT LIABILITY FOR FORFEITURE </w:t>
      </w:r>
      <w:r w:rsidRPr="0087510B">
        <w:t>in the amount of</w:t>
      </w:r>
      <w:r w:rsidR="0082061C" w:rsidRPr="0087510B">
        <w:t xml:space="preserve"> four hundred </w:t>
      </w:r>
      <w:r w:rsidR="00E81752">
        <w:t xml:space="preserve">ninety-three </w:t>
      </w:r>
      <w:r w:rsidR="0082061C" w:rsidRPr="0087510B">
        <w:t xml:space="preserve">thousand, </w:t>
      </w:r>
      <w:r w:rsidR="00292B49" w:rsidRPr="0087510B">
        <w:t xml:space="preserve">three </w:t>
      </w:r>
      <w:r w:rsidR="0082061C" w:rsidRPr="0087510B">
        <w:t xml:space="preserve">hundred </w:t>
      </w:r>
      <w:r w:rsidR="00292B49" w:rsidRPr="0087510B">
        <w:t>twenty</w:t>
      </w:r>
      <w:r w:rsidR="0082061C" w:rsidRPr="0087510B">
        <w:t>-seven dollars (</w:t>
      </w:r>
      <w:r w:rsidRPr="0087510B">
        <w:t>$4</w:t>
      </w:r>
      <w:r w:rsidR="00E81752">
        <w:t>93</w:t>
      </w:r>
      <w:r w:rsidRPr="0087510B">
        <w:t>,</w:t>
      </w:r>
      <w:r w:rsidR="00292B49" w:rsidRPr="0087510B">
        <w:t>327</w:t>
      </w:r>
      <w:r w:rsidR="0082061C" w:rsidRPr="0087510B">
        <w:t>)</w:t>
      </w:r>
      <w:r w:rsidRPr="0087510B">
        <w:t xml:space="preserve"> for willful or repeated violations of Sections 214(a), 222, and 251(e)(2) of the </w:t>
      </w:r>
      <w:r w:rsidR="0082061C" w:rsidRPr="0087510B">
        <w:t xml:space="preserve">Communications </w:t>
      </w:r>
      <w:r w:rsidRPr="0087510B">
        <w:t>Act, 47 U.S.C. §§ 214(a), 222, 251(e)(2), and Sections 1.1154, 1.1157</w:t>
      </w:r>
      <w:r w:rsidR="0082061C" w:rsidRPr="0087510B">
        <w:t>(b)(1)</w:t>
      </w:r>
      <w:r w:rsidRPr="0087510B">
        <w:t>, 43.61, 52.32, 54.711, 63.18, 64.604(c)(5)(iii), 64.2009(e), and 64.5001(c)(3) of the Commission’s rules, 47 C.F.R. §§ 1.1154, 1.1157</w:t>
      </w:r>
      <w:r w:rsidR="0082061C" w:rsidRPr="0087510B">
        <w:t>(b)(1)</w:t>
      </w:r>
      <w:r w:rsidRPr="0087510B">
        <w:t xml:space="preserve">, 43.61, 52.32, 54.711, 63.18, 64.604(c)(5)(iii), 64.2009(e), 64.5001(c)(3). </w:t>
      </w:r>
    </w:p>
    <w:p w:rsidR="00010736" w:rsidRPr="0087510B" w:rsidRDefault="00010736" w:rsidP="00010736">
      <w:pPr>
        <w:pStyle w:val="ParaNum"/>
      </w:pPr>
      <w:r w:rsidRPr="0087510B">
        <w:rPr>
          <w:b/>
        </w:rPr>
        <w:t xml:space="preserve">IT IS FURTHER ORDERED </w:t>
      </w:r>
      <w:r w:rsidR="0082061C" w:rsidRPr="0087510B">
        <w:t>that</w:t>
      </w:r>
      <w:r w:rsidRPr="0087510B">
        <w:t xml:space="preserve"> pursuant to Section 1.80 of the Commission’s rules, 47 C.F.R. § 1.80, within thirty (30) </w:t>
      </w:r>
      <w:r w:rsidR="0082061C" w:rsidRPr="0087510B">
        <w:t xml:space="preserve">calendar </w:t>
      </w:r>
      <w:r w:rsidRPr="0087510B">
        <w:t xml:space="preserve">days of the release date of this Notice of Apparent Liability for Forfeiture, PTT Phone Cards, Inc. </w:t>
      </w:r>
      <w:r w:rsidRPr="0087510B">
        <w:rPr>
          <w:b/>
        </w:rPr>
        <w:t>SHALL PAY</w:t>
      </w:r>
      <w:r w:rsidRPr="0087510B">
        <w:t xml:space="preserve"> the full amount of the proposed forfeiture or </w:t>
      </w:r>
      <w:r w:rsidRPr="0087510B">
        <w:rPr>
          <w:b/>
        </w:rPr>
        <w:t>SHALL FILE</w:t>
      </w:r>
      <w:r w:rsidRPr="0087510B">
        <w:t xml:space="preserve"> a written statement seeking reduction or cancellation of the proposed forfeiture.</w:t>
      </w:r>
    </w:p>
    <w:p w:rsidR="00010736" w:rsidRPr="0087510B" w:rsidRDefault="00010736" w:rsidP="00010736">
      <w:pPr>
        <w:pStyle w:val="ParaNum"/>
      </w:pPr>
      <w:r w:rsidRPr="0087510B">
        <w:t>Payment of the forfeiture must be made by check or similar instrument, wire transfer, or credit card, and must include the NAL/Account number and FRN referenced above.  PTT Phone Cards, Inc. shall send electronic notification of payment to Terry.Cavanaugh@fcc.gov and to Robert.Krinsky@fcc.gov on the date said payment is made.  Regardless of the form of payment, a completed FCC Form 159 (Remittance Advice) must be submitted.</w:t>
      </w:r>
      <w:r w:rsidRPr="0087510B">
        <w:rPr>
          <w:rStyle w:val="FootnoteReference"/>
          <w:sz w:val="22"/>
        </w:rPr>
        <w:footnoteReference w:id="134"/>
      </w:r>
      <w:r w:rsidRPr="0087510B">
        <w:t xml:space="preserve">  When completing the FCC Form 159, enter the Account Number in block number 23A (call sign/other ID) and enter the letters “FORF” in block number 24A (payment type code).  </w:t>
      </w:r>
      <w:r w:rsidRPr="0087510B">
        <w:rPr>
          <w:color w:val="000000"/>
        </w:rPr>
        <w:t xml:space="preserve">Below are additional instructions </w:t>
      </w:r>
      <w:r w:rsidRPr="0087510B">
        <w:t xml:space="preserve">PTT Phone Cards, Inc. </w:t>
      </w:r>
      <w:r w:rsidRPr="0087510B">
        <w:rPr>
          <w:color w:val="000000"/>
        </w:rPr>
        <w:t>should follow based on the form of payment it selects:</w:t>
      </w:r>
    </w:p>
    <w:p w:rsidR="00010736" w:rsidRPr="0087510B" w:rsidRDefault="00010736" w:rsidP="00010736">
      <w:pPr>
        <w:pStyle w:val="Bullet1"/>
        <w:ind w:left="1440"/>
        <w:rPr>
          <w:rFonts w:eastAsia="MS Mincho"/>
        </w:rPr>
      </w:pPr>
      <w:r w:rsidRPr="0087510B">
        <w:rPr>
          <w:rFonts w:eastAsia="MS Mincho"/>
        </w:rPr>
        <w:t xml:space="preserve">Payment by check or money order must be made payable to the order of the Federal Communications Commission.  Such payments (along with the completed Form 159) must be mailed to Federal </w:t>
      </w:r>
      <w:r w:rsidRPr="0087510B">
        <w:t>Communications</w:t>
      </w:r>
      <w:r w:rsidRPr="0087510B">
        <w:rPr>
          <w:rFonts w:eastAsia="MS Mincho"/>
        </w:rPr>
        <w:t xml:space="preserve"> </w:t>
      </w:r>
      <w:r w:rsidRPr="0087510B">
        <w:t>Commission</w:t>
      </w:r>
      <w:r w:rsidRPr="0087510B">
        <w:rPr>
          <w:rFonts w:eastAsia="MS Mincho"/>
        </w:rPr>
        <w:t xml:space="preserve">, P.O. Box 979088, St. Louis, MO 63197-9000, or sent via overnight mail to U.S. Bank – Government Lockbox #979088, SL-MO-C2-GL, 1005 Convention Plaza, St. Louis, MO 63101.  </w:t>
      </w:r>
    </w:p>
    <w:p w:rsidR="00010736" w:rsidRPr="0087510B" w:rsidRDefault="00010736" w:rsidP="00010736">
      <w:pPr>
        <w:pStyle w:val="Bullet1"/>
        <w:ind w:left="1440"/>
        <w:rPr>
          <w:rFonts w:eastAsia="MS Mincho"/>
        </w:rPr>
      </w:pPr>
      <w:r w:rsidRPr="0087510B">
        <w:rPr>
          <w:rFonts w:eastAsia="MS Mincho"/>
        </w:rPr>
        <w:t xml:space="preserve">Payment by wire transfer must be made to ABA Number 021030004, receiving bank TREAS/NYC, and Account Number 27000001.  To </w:t>
      </w:r>
      <w:r w:rsidRPr="0087510B">
        <w:t>complete</w:t>
      </w:r>
      <w:r w:rsidRPr="0087510B">
        <w:rPr>
          <w:rFonts w:eastAsia="MS Mincho"/>
        </w:rPr>
        <w:t xml:space="preserve"> the wire transfer and ensure appropriate crediting of the wired </w:t>
      </w:r>
      <w:r w:rsidRPr="0087510B">
        <w:t>funds</w:t>
      </w:r>
      <w:r w:rsidRPr="0087510B">
        <w:rPr>
          <w:rFonts w:eastAsia="MS Mincho"/>
        </w:rPr>
        <w:t xml:space="preserve">, a completed Form 159 must be faxed to U.S. Bank at (314) 418-4232 on the same business day the wire transfer is initiated.  </w:t>
      </w:r>
    </w:p>
    <w:p w:rsidR="00010736" w:rsidRPr="0087510B" w:rsidRDefault="00010736" w:rsidP="00010736">
      <w:pPr>
        <w:pStyle w:val="Bullet1"/>
        <w:ind w:left="1440"/>
        <w:rPr>
          <w:rFonts w:eastAsia="MS Mincho"/>
        </w:rPr>
      </w:pPr>
      <w:r w:rsidRPr="0087510B">
        <w:rPr>
          <w:rFonts w:eastAsia="MS Mincho"/>
        </w:rPr>
        <w:t xml:space="preserve">Payment by credit card must be made by providing the required credit card information on FCC Form 159 and signing and </w:t>
      </w:r>
      <w:r w:rsidRPr="0087510B">
        <w:t>dating</w:t>
      </w:r>
      <w:r w:rsidRPr="0087510B">
        <w:rPr>
          <w:rFonts w:eastAsia="MS Mincho"/>
        </w:rPr>
        <w:t xml:space="preserve"> the </w:t>
      </w:r>
      <w:r w:rsidRPr="0087510B">
        <w:t>Form</w:t>
      </w:r>
      <w:r w:rsidRPr="0087510B">
        <w:rPr>
          <w:rFonts w:eastAsia="MS Mincho"/>
        </w:rPr>
        <w:t xml:space="preserve">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010736" w:rsidRPr="0087510B" w:rsidRDefault="00010736" w:rsidP="00010736">
      <w:pPr>
        <w:pStyle w:val="ParaNum"/>
      </w:pPr>
      <w:r w:rsidRPr="0087510B">
        <w:t>Any request for making full payment over time under an installment plan should be sent to:  Chief Financial Officer — Financial Operations, Federal Communications Commission, 445 12</w:t>
      </w:r>
      <w:r w:rsidRPr="0087510B">
        <w:rPr>
          <w:vertAlign w:val="superscript"/>
        </w:rPr>
        <w:t>th</w:t>
      </w:r>
      <w:r w:rsidRPr="0087510B">
        <w:t xml:space="preserve"> Street, SW, Room 1</w:t>
      </w:r>
      <w:r w:rsidRPr="0087510B">
        <w:noBreakHyphen/>
        <w:t>A625, Washington, DC 20554.</w:t>
      </w:r>
      <w:r w:rsidRPr="0087510B">
        <w:rPr>
          <w:rStyle w:val="FootnoteReference"/>
          <w:sz w:val="22"/>
        </w:rPr>
        <w:footnoteReference w:id="135"/>
      </w:r>
      <w:r w:rsidRPr="0087510B">
        <w:t>  If PTT Phone Cards, Inc. has questions regarding payment procedures, it can contact the Financial Operations Group Help Desk by phone, 1-877-480-3201, or by e</w:t>
      </w:r>
      <w:r w:rsidRPr="0087510B">
        <w:noBreakHyphen/>
        <w:t xml:space="preserve">mail, ARINQUIRIES@fcc.gov.  </w:t>
      </w:r>
    </w:p>
    <w:p w:rsidR="00010736" w:rsidRPr="0087510B" w:rsidRDefault="00010736" w:rsidP="00042AE1">
      <w:pPr>
        <w:pStyle w:val="ParaNum"/>
        <w:keepNext/>
      </w:pPr>
      <w:r w:rsidRPr="0087510B">
        <w:t xml:space="preserve">The response, if any, must be mailed both to </w:t>
      </w:r>
      <w:r w:rsidRPr="0087510B">
        <w:rPr>
          <w:spacing w:val="-2"/>
        </w:rPr>
        <w:t>the</w:t>
      </w:r>
      <w:r w:rsidRPr="0087510B">
        <w:t xml:space="preserve"> Office of the Secretary, Federal Communications Commission, 445 12th Street, SW, Washington, DC 20554, ATTN:  Enforcement Bureau, Investigations and Hearings Division, and to Theresa Z. Cavanaugh, Chief, Investigations and Hearings Division, Enforcement Bureau, Federal Communications Commission, 445 12th Street, S.W., Room 4-C330, Washington, D.C. 20554 and must include the NAL/ Account number referenced in the caption.  The written statement shall also be e-mailed to Theresa Z. Cavanaugh at Terry.Cavanaugh@fcc.gov and to Robert B. Krinsky at Robert.Krinsky@fcc.gov.</w:t>
      </w:r>
    </w:p>
    <w:p w:rsidR="00010736" w:rsidRPr="0087510B" w:rsidRDefault="00010736" w:rsidP="00010736">
      <w:pPr>
        <w:pStyle w:val="ParaNum"/>
      </w:pPr>
      <w:r w:rsidRPr="0087510B">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 submitted.</w:t>
      </w:r>
    </w:p>
    <w:p w:rsidR="00EC0903" w:rsidRPr="0087510B" w:rsidRDefault="00010736" w:rsidP="00010736">
      <w:pPr>
        <w:pStyle w:val="ParaNum"/>
      </w:pPr>
      <w:r w:rsidRPr="0087510B">
        <w:rPr>
          <w:b/>
        </w:rPr>
        <w:t>IT IS FURTHER ORDERED</w:t>
      </w:r>
      <w:r w:rsidRPr="0087510B">
        <w:t xml:space="preserve"> that a copy of this Notice of Apparent Liability for Forfeiture shall be sent by Certified Mail Return Receipt Requested and First Class Mail to PTT Phone Cards, Inc.’s attorney, </w:t>
      </w:r>
      <w:r w:rsidR="00EC0903" w:rsidRPr="0087510B">
        <w:t>Mr. Raul Magallanes, Esq., Law Offices of Raul Magallanes, P.O. Box 1213, Houston, TX  77549.</w:t>
      </w:r>
    </w:p>
    <w:p w:rsidR="00EC0903" w:rsidRPr="0087510B" w:rsidRDefault="00EC0903" w:rsidP="00010736"/>
    <w:p w:rsidR="00010736" w:rsidRPr="0087510B" w:rsidRDefault="00010736" w:rsidP="00010736">
      <w:pPr>
        <w:tabs>
          <w:tab w:val="left" w:pos="4320"/>
        </w:tabs>
      </w:pPr>
      <w:r w:rsidRPr="0087510B">
        <w:tab/>
        <w:t>FEDERAL COMMUNICATIONS COMMISSION</w:t>
      </w:r>
    </w:p>
    <w:p w:rsidR="00010736" w:rsidRPr="0087510B" w:rsidRDefault="00010736" w:rsidP="00010736"/>
    <w:p w:rsidR="00010736" w:rsidRDefault="00010736" w:rsidP="00010736"/>
    <w:p w:rsidR="0060789E" w:rsidRDefault="0060789E" w:rsidP="00010736"/>
    <w:p w:rsidR="0060789E" w:rsidRPr="0087510B" w:rsidRDefault="0060789E" w:rsidP="00010736"/>
    <w:p w:rsidR="00010736" w:rsidRPr="0087510B" w:rsidRDefault="00010736" w:rsidP="00010736">
      <w:pPr>
        <w:tabs>
          <w:tab w:val="left" w:pos="4320"/>
        </w:tabs>
      </w:pPr>
      <w:r w:rsidRPr="0087510B">
        <w:tab/>
        <w:t>Marlene H. Dortch</w:t>
      </w:r>
    </w:p>
    <w:p w:rsidR="00010736" w:rsidRPr="0087510B" w:rsidRDefault="00010736" w:rsidP="00010736">
      <w:pPr>
        <w:tabs>
          <w:tab w:val="left" w:pos="4320"/>
        </w:tabs>
      </w:pPr>
      <w:r w:rsidRPr="0087510B">
        <w:tab/>
        <w:t>Secretary</w:t>
      </w:r>
    </w:p>
    <w:p w:rsidR="00010736" w:rsidRPr="0087510B" w:rsidRDefault="00010736" w:rsidP="00010736">
      <w:pPr>
        <w:pStyle w:val="ParaNum"/>
        <w:numPr>
          <w:ilvl w:val="0"/>
          <w:numId w:val="0"/>
        </w:numPr>
      </w:pPr>
    </w:p>
    <w:sectPr w:rsidR="00010736" w:rsidRPr="0087510B"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DC8" w:rsidRDefault="00022DC8">
      <w:pPr>
        <w:spacing w:line="20" w:lineRule="exact"/>
      </w:pPr>
    </w:p>
  </w:endnote>
  <w:endnote w:type="continuationSeparator" w:id="0">
    <w:p w:rsidR="00022DC8" w:rsidRDefault="00022DC8">
      <w:r>
        <w:t xml:space="preserve"> </w:t>
      </w:r>
    </w:p>
  </w:endnote>
  <w:endnote w:type="continuationNotice" w:id="1">
    <w:p w:rsidR="00022DC8" w:rsidRDefault="00022DC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40C" w:rsidRDefault="0067040C" w:rsidP="0055614C">
    <w:pPr>
      <w:pStyle w:val="Footer"/>
      <w:framePr w:wrap="around" w:vAnchor="text" w:hAnchor="margin" w:xAlign="center" w:y="1"/>
    </w:pPr>
    <w:r>
      <w:fldChar w:fldCharType="begin"/>
    </w:r>
    <w:r>
      <w:instrText xml:space="preserve">PAGE  </w:instrText>
    </w:r>
    <w:r>
      <w:fldChar w:fldCharType="end"/>
    </w:r>
  </w:p>
  <w:p w:rsidR="0067040C" w:rsidRDefault="00670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40C" w:rsidRDefault="0067040C" w:rsidP="0055614C">
    <w:pPr>
      <w:pStyle w:val="Footer"/>
      <w:framePr w:wrap="around" w:vAnchor="text" w:hAnchor="margin" w:xAlign="center" w:y="1"/>
    </w:pPr>
    <w:r>
      <w:fldChar w:fldCharType="begin"/>
    </w:r>
    <w:r>
      <w:instrText xml:space="preserve">PAGE  </w:instrText>
    </w:r>
    <w:r>
      <w:fldChar w:fldCharType="separate"/>
    </w:r>
    <w:r w:rsidR="00225038">
      <w:rPr>
        <w:noProof/>
      </w:rPr>
      <w:t>18</w:t>
    </w:r>
    <w:r>
      <w:fldChar w:fldCharType="end"/>
    </w:r>
  </w:p>
  <w:p w:rsidR="0067040C" w:rsidRDefault="0067040C">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40C" w:rsidRDefault="0067040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DC8" w:rsidRDefault="00022DC8">
      <w:r>
        <w:separator/>
      </w:r>
    </w:p>
  </w:footnote>
  <w:footnote w:type="continuationSeparator" w:id="0">
    <w:p w:rsidR="00022DC8" w:rsidRDefault="00022DC8" w:rsidP="00C721AC">
      <w:pPr>
        <w:spacing w:before="120"/>
        <w:rPr>
          <w:sz w:val="20"/>
        </w:rPr>
      </w:pPr>
      <w:r>
        <w:rPr>
          <w:sz w:val="20"/>
        </w:rPr>
        <w:t xml:space="preserve">(Continued from previous page)  </w:t>
      </w:r>
      <w:r>
        <w:rPr>
          <w:sz w:val="20"/>
        </w:rPr>
        <w:separator/>
      </w:r>
    </w:p>
  </w:footnote>
  <w:footnote w:type="continuationNotice" w:id="1">
    <w:p w:rsidR="00022DC8" w:rsidRDefault="00022DC8" w:rsidP="00C721AC">
      <w:pPr>
        <w:jc w:val="right"/>
        <w:rPr>
          <w:sz w:val="20"/>
        </w:rPr>
      </w:pPr>
      <w:r>
        <w:rPr>
          <w:sz w:val="20"/>
        </w:rPr>
        <w:t>(continued….)</w:t>
      </w:r>
    </w:p>
  </w:footnote>
  <w:footnote w:id="2">
    <w:p w:rsidR="0067040C" w:rsidRDefault="0067040C">
      <w:pPr>
        <w:pStyle w:val="FootnoteText"/>
      </w:pPr>
      <w:r>
        <w:rPr>
          <w:rStyle w:val="FootnoteReference"/>
        </w:rPr>
        <w:footnoteRef/>
      </w:r>
      <w:r>
        <w:t xml:space="preserve"> This case was formerly assigned File No. EB-13-IH-0051.</w:t>
      </w:r>
    </w:p>
  </w:footnote>
  <w:footnote w:id="3">
    <w:p w:rsidR="0067040C" w:rsidRDefault="0067040C">
      <w:pPr>
        <w:pStyle w:val="FootnoteText"/>
      </w:pPr>
      <w:r>
        <w:rPr>
          <w:rStyle w:val="FootnoteReference"/>
        </w:rPr>
        <w:footnoteRef/>
      </w:r>
      <w:r>
        <w:t xml:space="preserve"> </w:t>
      </w:r>
      <w:r w:rsidRPr="00834B9F">
        <w:rPr>
          <w:i/>
        </w:rPr>
        <w:t xml:space="preserve">See </w:t>
      </w:r>
      <w:r>
        <w:t xml:space="preserve">Letter from Ayub Amir, President, PTT Phone Cards, Inc., to Robert Krinsky, Attorney Advisor, Investigations and Hearings Division, FCC Enforcement Bureau at Responses to Inquiries 1, 5–6, 18 (Apr. 24, 2013) (on file in </w:t>
      </w:r>
      <w:r>
        <w:rPr>
          <w:spacing w:val="-2"/>
        </w:rPr>
        <w:t>EB-IHD-13-00011669</w:t>
      </w:r>
      <w:r>
        <w:t>) (</w:t>
      </w:r>
      <w:r w:rsidRPr="00C05E2D">
        <w:rPr>
          <w:i/>
        </w:rPr>
        <w:t>LOI Response</w:t>
      </w:r>
      <w:r>
        <w:t>); Letter from Ayub Amir, President, PTT Phone Cards, Inc., to Robert Krinsky, Attorney Advisor, Investigations and Hearings Division, FCC Enforcement Bureau at Responses to Supplemental LOI Inquiries 1, 5–6, 18 (Jul</w:t>
      </w:r>
      <w:r w:rsidR="00147F82">
        <w:t>y</w:t>
      </w:r>
      <w:r>
        <w:t xml:space="preserve"> 7, 2014) (on file in </w:t>
      </w:r>
      <w:r>
        <w:rPr>
          <w:spacing w:val="-2"/>
        </w:rPr>
        <w:t>EB-IHD-13-00011669</w:t>
      </w:r>
      <w:r>
        <w:t>) (</w:t>
      </w:r>
      <w:r w:rsidRPr="00C05E2D">
        <w:rPr>
          <w:i/>
        </w:rPr>
        <w:t>Supplemental</w:t>
      </w:r>
      <w:r>
        <w:t xml:space="preserve"> </w:t>
      </w:r>
      <w:r w:rsidRPr="00C05E2D">
        <w:rPr>
          <w:i/>
        </w:rPr>
        <w:t>LOI Response</w:t>
      </w:r>
      <w:r>
        <w:rPr>
          <w:i/>
        </w:rPr>
        <w:t xml:space="preserve"> of July 7, 2014</w:t>
      </w:r>
      <w:r>
        <w:t>).</w:t>
      </w:r>
    </w:p>
  </w:footnote>
  <w:footnote w:id="4">
    <w:p w:rsidR="0067040C" w:rsidRPr="00D3759D" w:rsidRDefault="0067040C">
      <w:pPr>
        <w:pStyle w:val="FootnoteText"/>
      </w:pPr>
      <w:r>
        <w:rPr>
          <w:rStyle w:val="FootnoteReference"/>
        </w:rPr>
        <w:footnoteRef/>
      </w:r>
      <w:r>
        <w:t xml:space="preserve"> </w:t>
      </w:r>
      <w:r w:rsidRPr="00C05E2D">
        <w:rPr>
          <w:i/>
        </w:rPr>
        <w:t>S</w:t>
      </w:r>
      <w:r>
        <w:rPr>
          <w:i/>
        </w:rPr>
        <w:t>ee S</w:t>
      </w:r>
      <w:r w:rsidRPr="00C05E2D">
        <w:rPr>
          <w:i/>
        </w:rPr>
        <w:t>upplemental</w:t>
      </w:r>
      <w:r>
        <w:t xml:space="preserve"> </w:t>
      </w:r>
      <w:r w:rsidRPr="00C05E2D">
        <w:rPr>
          <w:i/>
        </w:rPr>
        <w:t>LOI Response</w:t>
      </w:r>
      <w:r>
        <w:rPr>
          <w:i/>
        </w:rPr>
        <w:t xml:space="preserve"> of July 7, 2014 </w:t>
      </w:r>
      <w:r w:rsidR="00147F82">
        <w:rPr>
          <w:i/>
        </w:rPr>
        <w:t xml:space="preserve">supra </w:t>
      </w:r>
      <w:r w:rsidR="00147F82">
        <w:t xml:space="preserve">note 2 </w:t>
      </w:r>
      <w:r w:rsidRPr="00D3759D">
        <w:t>at Responses to Inquiries 8</w:t>
      </w:r>
      <w:r w:rsidR="001117B7">
        <w:t>–</w:t>
      </w:r>
      <w:r w:rsidRPr="00D3759D">
        <w:t xml:space="preserve">9.  </w:t>
      </w:r>
    </w:p>
  </w:footnote>
  <w:footnote w:id="5">
    <w:p w:rsidR="0067040C" w:rsidRDefault="0067040C">
      <w:pPr>
        <w:pStyle w:val="FootnoteText"/>
      </w:pPr>
      <w:r>
        <w:rPr>
          <w:rStyle w:val="FootnoteReference"/>
        </w:rPr>
        <w:footnoteRef/>
      </w:r>
      <w:r>
        <w:t xml:space="preserve"> </w:t>
      </w:r>
      <w:r w:rsidRPr="00C05E2D">
        <w:rPr>
          <w:i/>
        </w:rPr>
        <w:t>S</w:t>
      </w:r>
      <w:r>
        <w:rPr>
          <w:i/>
        </w:rPr>
        <w:t xml:space="preserve">ee </w:t>
      </w:r>
      <w:r w:rsidRPr="008A1BA3">
        <w:t xml:space="preserve">Star Pinless, </w:t>
      </w:r>
      <w:r>
        <w:t>“</w:t>
      </w:r>
      <w:r w:rsidRPr="008A1BA3">
        <w:t>Prepaid Partner/Reseller Program,</w:t>
      </w:r>
      <w:r>
        <w:t>”</w:t>
      </w:r>
      <w:r w:rsidRPr="008A1BA3">
        <w:t xml:space="preserve"> </w:t>
      </w:r>
      <w:r w:rsidR="00067D83">
        <w:rPr>
          <w:i/>
        </w:rPr>
        <w:t>formerly</w:t>
      </w:r>
      <w:r w:rsidR="00067D83" w:rsidRPr="00AC641F">
        <w:rPr>
          <w:i/>
        </w:rPr>
        <w:t xml:space="preserve"> </w:t>
      </w:r>
      <w:r w:rsidRPr="00AC641F">
        <w:rPr>
          <w:i/>
        </w:rPr>
        <w:t>available at</w:t>
      </w:r>
      <w:r w:rsidRPr="008A1BA3">
        <w:t xml:space="preserve"> http://mystarpin</w:t>
      </w:r>
      <w:r>
        <w:t>less.com/Common/HowIt</w:t>
      </w:r>
      <w:r w:rsidRPr="008A1BA3">
        <w:t>Works.aspx (last visited Jan. 8, 2013)</w:t>
      </w:r>
      <w:r>
        <w:t xml:space="preserve"> </w:t>
      </w:r>
      <w:r w:rsidRPr="008A1BA3">
        <w:t xml:space="preserve">(on file in in </w:t>
      </w:r>
      <w:r w:rsidRPr="008A1BA3">
        <w:rPr>
          <w:spacing w:val="-2"/>
        </w:rPr>
        <w:t>EB-IHD-13-00011669).</w:t>
      </w:r>
      <w:r>
        <w:rPr>
          <w:spacing w:val="-2"/>
        </w:rPr>
        <w:t xml:space="preserve">  In early 2014, PTT discontinued the website for its Star Pinless telecommunications service, which it had established in 2010</w:t>
      </w:r>
      <w:r w:rsidR="00147F82">
        <w:rPr>
          <w:spacing w:val="-2"/>
        </w:rPr>
        <w:t>;</w:t>
      </w:r>
      <w:r w:rsidR="00EC0903">
        <w:rPr>
          <w:i/>
        </w:rPr>
        <w:t xml:space="preserve"> S</w:t>
      </w:r>
      <w:r w:rsidR="00EC0903" w:rsidRPr="00C05E2D">
        <w:rPr>
          <w:i/>
        </w:rPr>
        <w:t>upplemental</w:t>
      </w:r>
      <w:r w:rsidR="00EC0903">
        <w:t xml:space="preserve"> </w:t>
      </w:r>
      <w:r w:rsidR="00EC0903" w:rsidRPr="00C05E2D">
        <w:rPr>
          <w:i/>
        </w:rPr>
        <w:t>LOI Response</w:t>
      </w:r>
      <w:r w:rsidR="00EC0903">
        <w:rPr>
          <w:i/>
        </w:rPr>
        <w:t xml:space="preserve"> of July 7, 2014 </w:t>
      </w:r>
      <w:r w:rsidR="00147F82">
        <w:rPr>
          <w:i/>
        </w:rPr>
        <w:t xml:space="preserve">supra </w:t>
      </w:r>
      <w:r w:rsidR="00147F82">
        <w:t xml:space="preserve">note 2 </w:t>
      </w:r>
      <w:r w:rsidR="00EC0903">
        <w:t>at Response to Inquiry 2.</w:t>
      </w:r>
    </w:p>
  </w:footnote>
  <w:footnote w:id="6">
    <w:p w:rsidR="0067040C" w:rsidRPr="00274F81" w:rsidRDefault="0067040C">
      <w:pPr>
        <w:pStyle w:val="FootnoteText"/>
      </w:pPr>
      <w:r>
        <w:rPr>
          <w:rStyle w:val="FootnoteReference"/>
        </w:rPr>
        <w:footnoteRef/>
      </w:r>
      <w:r>
        <w:t xml:space="preserve"> </w:t>
      </w:r>
      <w:r w:rsidRPr="00274F81">
        <w:rPr>
          <w:i/>
        </w:rPr>
        <w:t xml:space="preserve">See </w:t>
      </w:r>
      <w:r w:rsidRPr="00C05E2D">
        <w:rPr>
          <w:i/>
        </w:rPr>
        <w:t>LOI Response</w:t>
      </w:r>
      <w:r>
        <w:rPr>
          <w:i/>
        </w:rPr>
        <w:t xml:space="preserve"> </w:t>
      </w:r>
      <w:r w:rsidR="00147F82">
        <w:rPr>
          <w:i/>
        </w:rPr>
        <w:t xml:space="preserve">supra </w:t>
      </w:r>
      <w:r w:rsidR="00147F82">
        <w:t xml:space="preserve">note 2 </w:t>
      </w:r>
      <w:r w:rsidRPr="00274F81">
        <w:t>at Responses to Inquiries 12</w:t>
      </w:r>
      <w:r w:rsidR="001117B7">
        <w:t>–</w:t>
      </w:r>
      <w:r w:rsidRPr="00274F81">
        <w:t>13.</w:t>
      </w:r>
    </w:p>
  </w:footnote>
  <w:footnote w:id="7">
    <w:p w:rsidR="0067040C" w:rsidRDefault="0067040C">
      <w:pPr>
        <w:pStyle w:val="FootnoteText"/>
      </w:pPr>
      <w:r>
        <w:rPr>
          <w:rStyle w:val="FootnoteReference"/>
        </w:rPr>
        <w:footnoteRef/>
      </w:r>
      <w:r>
        <w:t xml:space="preserve"> </w:t>
      </w:r>
      <w:r w:rsidRPr="00274F81">
        <w:rPr>
          <w:i/>
        </w:rPr>
        <w:t>See id.</w:t>
      </w:r>
      <w:r>
        <w:t xml:space="preserve"> at Response to Inquiry 13.  PTT states that that it programmed its prepaid calling platform to prevent its customers from completing domestic phone calls.  </w:t>
      </w:r>
      <w:r w:rsidRPr="00C05E2D">
        <w:rPr>
          <w:i/>
        </w:rPr>
        <w:t>S</w:t>
      </w:r>
      <w:r>
        <w:rPr>
          <w:i/>
        </w:rPr>
        <w:t>ee S</w:t>
      </w:r>
      <w:r w:rsidRPr="00C05E2D">
        <w:rPr>
          <w:i/>
        </w:rPr>
        <w:t>upplemental</w:t>
      </w:r>
      <w:r>
        <w:t xml:space="preserve"> </w:t>
      </w:r>
      <w:r w:rsidRPr="00C05E2D">
        <w:rPr>
          <w:i/>
        </w:rPr>
        <w:t>LOI Response</w:t>
      </w:r>
      <w:r>
        <w:rPr>
          <w:i/>
        </w:rPr>
        <w:t xml:space="preserve"> of July 7, 2014</w:t>
      </w:r>
      <w:r w:rsidR="00147F82" w:rsidRPr="00147F82">
        <w:rPr>
          <w:i/>
        </w:rPr>
        <w:t xml:space="preserve"> </w:t>
      </w:r>
      <w:r w:rsidR="00147F82">
        <w:rPr>
          <w:i/>
        </w:rPr>
        <w:t xml:space="preserve">supra </w:t>
      </w:r>
      <w:r w:rsidR="00147F82">
        <w:t>note 2</w:t>
      </w:r>
      <w:r>
        <w:rPr>
          <w:i/>
        </w:rPr>
        <w:t xml:space="preserve"> </w:t>
      </w:r>
      <w:r>
        <w:t>at Response to Inquiry 6.</w:t>
      </w:r>
    </w:p>
  </w:footnote>
  <w:footnote w:id="8">
    <w:p w:rsidR="0067040C" w:rsidRDefault="0067040C" w:rsidP="001D0AEF">
      <w:pPr>
        <w:pStyle w:val="FootnoteText"/>
      </w:pPr>
      <w:r>
        <w:rPr>
          <w:rStyle w:val="FootnoteReference"/>
        </w:rPr>
        <w:footnoteRef/>
      </w:r>
      <w:r>
        <w:t xml:space="preserve"> </w:t>
      </w:r>
      <w:r w:rsidRPr="00547D75">
        <w:rPr>
          <w:i/>
        </w:rPr>
        <w:t xml:space="preserve">See </w:t>
      </w:r>
      <w:r>
        <w:t xml:space="preserve">Letter from Pamela S. Kane, Deputy Chief, Investigations and Hearings Division, </w:t>
      </w:r>
      <w:r w:rsidR="00EC0903">
        <w:t xml:space="preserve">FCC </w:t>
      </w:r>
      <w:r>
        <w:t xml:space="preserve">Enforcement Bureau, to Ayub Amir, President, PTT Phone Cards, Inc. (Apr. 8, 2013) (on file in </w:t>
      </w:r>
      <w:r w:rsidRPr="008A1BA3">
        <w:rPr>
          <w:spacing w:val="-2"/>
        </w:rPr>
        <w:t>EB-IHD-13-00011669</w:t>
      </w:r>
      <w:r>
        <w:t>) (</w:t>
      </w:r>
      <w:r w:rsidRPr="00345EDF">
        <w:rPr>
          <w:i/>
        </w:rPr>
        <w:t>LOI</w:t>
      </w:r>
      <w:r>
        <w:t>).</w:t>
      </w:r>
    </w:p>
  </w:footnote>
  <w:footnote w:id="9">
    <w:p w:rsidR="0067040C" w:rsidRDefault="0067040C" w:rsidP="001D0AEF">
      <w:pPr>
        <w:pStyle w:val="FootnoteText"/>
      </w:pPr>
      <w:r>
        <w:rPr>
          <w:rStyle w:val="FootnoteReference"/>
        </w:rPr>
        <w:footnoteRef/>
      </w:r>
      <w:r>
        <w:t xml:space="preserve"> </w:t>
      </w:r>
      <w:r w:rsidRPr="00547D75">
        <w:rPr>
          <w:i/>
        </w:rPr>
        <w:t>See LOI Response</w:t>
      </w:r>
      <w:r>
        <w:t xml:space="preserve"> </w:t>
      </w:r>
      <w:r w:rsidRPr="00547D75">
        <w:rPr>
          <w:i/>
        </w:rPr>
        <w:t xml:space="preserve">supra </w:t>
      </w:r>
      <w:r>
        <w:t xml:space="preserve">note </w:t>
      </w:r>
      <w:r w:rsidRPr="00042AE1">
        <w:t>2</w:t>
      </w:r>
      <w:r>
        <w:t>.</w:t>
      </w:r>
    </w:p>
  </w:footnote>
  <w:footnote w:id="10">
    <w:p w:rsidR="0067040C" w:rsidRDefault="0067040C">
      <w:pPr>
        <w:pStyle w:val="FootnoteText"/>
      </w:pPr>
      <w:r>
        <w:rPr>
          <w:rStyle w:val="FootnoteReference"/>
        </w:rPr>
        <w:footnoteRef/>
      </w:r>
      <w:r>
        <w:t xml:space="preserve"> </w:t>
      </w:r>
      <w:r w:rsidRPr="00863362">
        <w:rPr>
          <w:i/>
        </w:rPr>
        <w:t>See id.</w:t>
      </w:r>
      <w:r>
        <w:t xml:space="preserve">; </w:t>
      </w:r>
      <w:r w:rsidRPr="00C05E2D">
        <w:rPr>
          <w:i/>
        </w:rPr>
        <w:t>Supplemental</w:t>
      </w:r>
      <w:r>
        <w:t xml:space="preserve"> </w:t>
      </w:r>
      <w:r w:rsidRPr="00C05E2D">
        <w:rPr>
          <w:i/>
        </w:rPr>
        <w:t>LOI Response</w:t>
      </w:r>
      <w:r>
        <w:rPr>
          <w:i/>
        </w:rPr>
        <w:t xml:space="preserve"> of July 7, 2014</w:t>
      </w:r>
      <w:r>
        <w:t xml:space="preserve"> </w:t>
      </w:r>
      <w:r w:rsidRPr="00547D75">
        <w:rPr>
          <w:i/>
        </w:rPr>
        <w:t xml:space="preserve">supra </w:t>
      </w:r>
      <w:r>
        <w:t xml:space="preserve">note </w:t>
      </w:r>
      <w:r w:rsidRPr="00042AE1">
        <w:t>2</w:t>
      </w:r>
      <w:r>
        <w:t>; Letter from Raul Magallanes, Esq., Law Offices of Raul Magallanes, Counsel to PTT, to Robert Krinsky, Attorney Advisor, Investigations and Hearings Division, FCC Enforcement Bureau (A</w:t>
      </w:r>
      <w:r w:rsidR="00162785">
        <w:t>ug.</w:t>
      </w:r>
      <w:r>
        <w:t xml:space="preserve"> </w:t>
      </w:r>
      <w:r w:rsidR="00162785">
        <w:t>7</w:t>
      </w:r>
      <w:r>
        <w:t xml:space="preserve">, 2013) </w:t>
      </w:r>
      <w:r w:rsidRPr="008A1BA3">
        <w:t xml:space="preserve">(on file in in </w:t>
      </w:r>
      <w:r w:rsidRPr="008A1BA3">
        <w:rPr>
          <w:spacing w:val="-2"/>
        </w:rPr>
        <w:t>EB-IHD-13-00011669).</w:t>
      </w:r>
      <w:r>
        <w:rPr>
          <w:spacing w:val="-2"/>
        </w:rPr>
        <w:t xml:space="preserve">  </w:t>
      </w:r>
    </w:p>
  </w:footnote>
  <w:footnote w:id="11">
    <w:p w:rsidR="00AF336C" w:rsidRDefault="00AF336C">
      <w:pPr>
        <w:pStyle w:val="FootnoteText"/>
      </w:pPr>
      <w:r>
        <w:rPr>
          <w:rStyle w:val="FootnoteReference"/>
        </w:rPr>
        <w:footnoteRef/>
      </w:r>
      <w:r>
        <w:t xml:space="preserve"> </w:t>
      </w:r>
      <w:r w:rsidRPr="00AF336C">
        <w:rPr>
          <w:i/>
        </w:rPr>
        <w:t>See</w:t>
      </w:r>
      <w:r w:rsidRPr="00AF336C">
        <w:t xml:space="preserve"> </w:t>
      </w:r>
      <w:bookmarkStart w:id="4" w:name="SR;4545"/>
      <w:bookmarkEnd w:id="4"/>
      <w:r w:rsidRPr="00AF336C">
        <w:t xml:space="preserve">Tolling </w:t>
      </w:r>
      <w:bookmarkStart w:id="5" w:name="SR;4546"/>
      <w:bookmarkEnd w:id="5"/>
      <w:r w:rsidRPr="00AF336C">
        <w:t xml:space="preserve">Agreement between </w:t>
      </w:r>
      <w:r w:rsidRPr="0087510B">
        <w:t>PTT Phone Cards, Inc.</w:t>
      </w:r>
      <w:r w:rsidRPr="00AF336C">
        <w:t xml:space="preserve"> and FCC Enforcement Bureau (Dec. 20, 2013)</w:t>
      </w:r>
      <w:r w:rsidR="0090158E">
        <w:t xml:space="preserve"> </w:t>
      </w:r>
      <w:r w:rsidR="0090158E" w:rsidRPr="008A1BA3">
        <w:t xml:space="preserve">(on file in in </w:t>
      </w:r>
      <w:r w:rsidR="0090158E" w:rsidRPr="008A1BA3">
        <w:rPr>
          <w:spacing w:val="-2"/>
        </w:rPr>
        <w:t>EB-IHD-13-00011669)</w:t>
      </w:r>
      <w:r w:rsidRPr="00AF336C">
        <w:t>.</w:t>
      </w:r>
    </w:p>
  </w:footnote>
  <w:footnote w:id="12">
    <w:p w:rsidR="0067040C" w:rsidRDefault="0067040C">
      <w:pPr>
        <w:pStyle w:val="FootnoteText"/>
      </w:pPr>
      <w:r>
        <w:rPr>
          <w:rStyle w:val="FootnoteReference"/>
        </w:rPr>
        <w:footnoteRef/>
      </w:r>
      <w:r>
        <w:t xml:space="preserve"> </w:t>
      </w:r>
      <w:r w:rsidRPr="00424A9F">
        <w:rPr>
          <w:i/>
        </w:rPr>
        <w:t xml:space="preserve">See </w:t>
      </w:r>
      <w:r>
        <w:t xml:space="preserve">47 U.S.C. §§ 214(a), 222, </w:t>
      </w:r>
      <w:r w:rsidR="00EC0903">
        <w:t xml:space="preserve">225, </w:t>
      </w:r>
      <w:r>
        <w:t>251(e)(2); 47 C.F.R. §§ 1.1154, 1.1157</w:t>
      </w:r>
      <w:r w:rsidR="00EC0903">
        <w:t>(b)(1)</w:t>
      </w:r>
      <w:r>
        <w:t>, 43.61, 52.32, 54.711, 63.18, 64.604(c)(5)(iii), 64.2009(e), 64.5001(c)(3).</w:t>
      </w:r>
    </w:p>
  </w:footnote>
  <w:footnote w:id="13">
    <w:p w:rsidR="0067040C" w:rsidRDefault="0067040C">
      <w:pPr>
        <w:pStyle w:val="FootnoteText"/>
      </w:pPr>
      <w:r>
        <w:rPr>
          <w:rStyle w:val="FootnoteReference"/>
        </w:rPr>
        <w:footnoteRef/>
      </w:r>
      <w:r>
        <w:t xml:space="preserve"> </w:t>
      </w:r>
      <w:r w:rsidRPr="00606F6D">
        <w:rPr>
          <w:i/>
        </w:rPr>
        <w:t xml:space="preserve">See </w:t>
      </w:r>
      <w:r>
        <w:t>47 U.S.C. § 214(a).</w:t>
      </w:r>
    </w:p>
  </w:footnote>
  <w:footnote w:id="14">
    <w:p w:rsidR="0067040C" w:rsidRDefault="0067040C" w:rsidP="009F639D">
      <w:pPr>
        <w:pStyle w:val="FootnoteText"/>
      </w:pPr>
      <w:r>
        <w:rPr>
          <w:rStyle w:val="FootnoteReference"/>
        </w:rPr>
        <w:footnoteRef/>
      </w:r>
      <w:r>
        <w:t xml:space="preserve"> </w:t>
      </w:r>
      <w:r w:rsidRPr="002912D5">
        <w:rPr>
          <w:i/>
        </w:rPr>
        <w:t>See</w:t>
      </w:r>
      <w:r>
        <w:t xml:space="preserve"> 47 C.F.R. § 63.01(a) (authorizing “[a]ny party that would be a domestic interstate communications common carrier . . . to provide domestic, interstate services to any domestic point and to construct or operate any domestic transmission line as long as it obtains all necessary authorizations from the Commission for use of radio frequencies”).</w:t>
      </w:r>
    </w:p>
  </w:footnote>
  <w:footnote w:id="15">
    <w:p w:rsidR="0067040C" w:rsidRDefault="0067040C" w:rsidP="009F639D">
      <w:pPr>
        <w:pStyle w:val="FootnoteText"/>
      </w:pPr>
      <w:r>
        <w:rPr>
          <w:rStyle w:val="FootnoteReference"/>
        </w:rPr>
        <w:footnoteRef/>
      </w:r>
      <w:r>
        <w:t xml:space="preserve"> </w:t>
      </w:r>
      <w:r w:rsidRPr="002912D5">
        <w:rPr>
          <w:i/>
        </w:rPr>
        <w:t>See Implementation of Section 402(b)(2)(A) of the Telecom. Act of 1996</w:t>
      </w:r>
      <w:r w:rsidRPr="00D87BF8">
        <w:t>,</w:t>
      </w:r>
      <w:r w:rsidRPr="002912D5">
        <w:rPr>
          <w:i/>
        </w:rPr>
        <w:t xml:space="preserve"> </w:t>
      </w:r>
      <w:r w:rsidRPr="002912D5">
        <w:t>Repor</w:t>
      </w:r>
      <w:r>
        <w:t>t and Order in CC Docket No. 97</w:t>
      </w:r>
      <w:r>
        <w:noBreakHyphen/>
      </w:r>
      <w:r w:rsidRPr="002912D5">
        <w:t>11</w:t>
      </w:r>
      <w:r w:rsidRPr="002912D5">
        <w:rPr>
          <w:i/>
        </w:rPr>
        <w:t>,</w:t>
      </w:r>
      <w:r>
        <w:t xml:space="preserve"> Second Memorandum Opinion and Order in AAD File No. 98-43, 14 FCC Rcd 11</w:t>
      </w:r>
      <w:r w:rsidR="00BB6B0B">
        <w:t>3</w:t>
      </w:r>
      <w:r>
        <w:t xml:space="preserve">64, </w:t>
      </w:r>
      <w:r w:rsidR="00EB3101">
        <w:t xml:space="preserve">11365–66, </w:t>
      </w:r>
      <w:r>
        <w:t>para. 2 &amp; n.8 (1999) (grant of blanket authority is only for domestic services and does not extend to international services).</w:t>
      </w:r>
    </w:p>
  </w:footnote>
  <w:footnote w:id="16">
    <w:p w:rsidR="0067040C" w:rsidRDefault="0067040C" w:rsidP="009F639D">
      <w:pPr>
        <w:pStyle w:val="FootnoteText"/>
      </w:pPr>
      <w:r>
        <w:rPr>
          <w:rStyle w:val="FootnoteReference"/>
        </w:rPr>
        <w:footnoteRef/>
      </w:r>
      <w:r>
        <w:t xml:space="preserve"> </w:t>
      </w:r>
      <w:r w:rsidRPr="002912D5">
        <w:rPr>
          <w:i/>
        </w:rPr>
        <w:t>See</w:t>
      </w:r>
      <w:r>
        <w:t xml:space="preserve"> 47 C.F.R. § 63.18; </w:t>
      </w:r>
      <w:r w:rsidRPr="009C03E5">
        <w:rPr>
          <w:i/>
        </w:rPr>
        <w:t>see also</w:t>
      </w:r>
      <w:r>
        <w:t xml:space="preserve"> </w:t>
      </w:r>
      <w:r w:rsidR="00E81854" w:rsidRPr="00D3498F">
        <w:rPr>
          <w:i/>
        </w:rPr>
        <w:t>1998 Biennial Regulatory Review – Review of International Common Carrier Regulations</w:t>
      </w:r>
      <w:r w:rsidR="00E81854">
        <w:t>, Report and Order, 14 FCC Rcd 4909, 4912–17, paras. 8</w:t>
      </w:r>
      <w:r w:rsidR="001117B7">
        <w:t>–</w:t>
      </w:r>
      <w:r w:rsidR="00E81854">
        <w:t>18 (1999) (</w:t>
      </w:r>
      <w:r w:rsidR="00E81854" w:rsidRPr="00D3498F">
        <w:rPr>
          <w:i/>
        </w:rPr>
        <w:t>1998 International Biennial Review Order</w:t>
      </w:r>
      <w:r w:rsidR="00E81854">
        <w:t xml:space="preserve">) (Commission concluded not to adopt a blanket authorization for international services but to further streamline the authorization process). </w:t>
      </w:r>
    </w:p>
  </w:footnote>
  <w:footnote w:id="17">
    <w:p w:rsidR="0067040C" w:rsidRDefault="0067040C" w:rsidP="009F639D">
      <w:pPr>
        <w:pStyle w:val="FootnoteText"/>
      </w:pPr>
      <w:r>
        <w:rPr>
          <w:rStyle w:val="FootnoteReference"/>
        </w:rPr>
        <w:footnoteRef/>
      </w:r>
      <w:r>
        <w:t xml:space="preserve"> </w:t>
      </w:r>
      <w:r w:rsidRPr="00D3498F">
        <w:rPr>
          <w:i/>
        </w:rPr>
        <w:t>See</w:t>
      </w:r>
      <w:r>
        <w:t xml:space="preserve"> </w:t>
      </w:r>
      <w:r w:rsidR="006F27FA" w:rsidRPr="00D3498F">
        <w:rPr>
          <w:i/>
        </w:rPr>
        <w:t>1998 International Biennial Review Order</w:t>
      </w:r>
      <w:r w:rsidR="006F27FA">
        <w:t xml:space="preserve">, </w:t>
      </w:r>
      <w:r>
        <w:t xml:space="preserve">14 FCC Rcd </w:t>
      </w:r>
      <w:r w:rsidR="007F222E">
        <w:t>at</w:t>
      </w:r>
      <w:r>
        <w:t xml:space="preserve"> 4914–16, paras. 14–16; </w:t>
      </w:r>
      <w:r w:rsidRPr="00D3498F">
        <w:rPr>
          <w:i/>
        </w:rPr>
        <w:t>Personal Communications Industry Ass</w:t>
      </w:r>
      <w:r>
        <w:rPr>
          <w:i/>
        </w:rPr>
        <w:t>’</w:t>
      </w:r>
      <w:r w:rsidRPr="00D3498F">
        <w:rPr>
          <w:i/>
        </w:rPr>
        <w:t>n</w:t>
      </w:r>
      <w:r>
        <w:rPr>
          <w:i/>
        </w:rPr>
        <w:t>’</w:t>
      </w:r>
      <w:r w:rsidRPr="00D3498F">
        <w:rPr>
          <w:i/>
        </w:rPr>
        <w:t>s Broadband Personal Communications Services Alliance</w:t>
      </w:r>
      <w:r>
        <w:rPr>
          <w:i/>
        </w:rPr>
        <w:t>’</w:t>
      </w:r>
      <w:r w:rsidRPr="00D3498F">
        <w:rPr>
          <w:i/>
        </w:rPr>
        <w:t>s Petition for Forbearance for Broadband Personal Communications Services</w:t>
      </w:r>
      <w:r>
        <w:t>, Memorandum Opinion and Order and Notice of Proposed Rulemaking, 13 FCC Rcd 16857, 16882–83, para. 50 (1998) (</w:t>
      </w:r>
      <w:r w:rsidRPr="009C03E5">
        <w:rPr>
          <w:i/>
        </w:rPr>
        <w:t>PCIA Forbearance Order</w:t>
      </w:r>
      <w:r>
        <w:t>).</w:t>
      </w:r>
    </w:p>
  </w:footnote>
  <w:footnote w:id="18">
    <w:p w:rsidR="0067040C" w:rsidRDefault="0067040C" w:rsidP="009F639D">
      <w:pPr>
        <w:pStyle w:val="FootnoteText"/>
      </w:pPr>
      <w:r>
        <w:rPr>
          <w:rStyle w:val="FootnoteReference"/>
        </w:rPr>
        <w:footnoteRef/>
      </w:r>
      <w:r>
        <w:t xml:space="preserve"> 47 C.F.R. § 63.18.</w:t>
      </w:r>
    </w:p>
  </w:footnote>
  <w:footnote w:id="19">
    <w:p w:rsidR="0067040C" w:rsidRDefault="0067040C" w:rsidP="009F639D">
      <w:pPr>
        <w:pStyle w:val="FootnoteText"/>
      </w:pPr>
      <w:r>
        <w:rPr>
          <w:rStyle w:val="FootnoteReference"/>
        </w:rPr>
        <w:footnoteRef/>
      </w:r>
      <w:r>
        <w:t xml:space="preserve"> </w:t>
      </w:r>
      <w:r w:rsidRPr="002912D5">
        <w:rPr>
          <w:i/>
        </w:rPr>
        <w:t>See</w:t>
      </w:r>
      <w:r>
        <w:t xml:space="preserve"> </w:t>
      </w:r>
      <w:r w:rsidRPr="00262F08">
        <w:rPr>
          <w:i/>
        </w:rPr>
        <w:t>id.</w:t>
      </w:r>
    </w:p>
  </w:footnote>
  <w:footnote w:id="20">
    <w:p w:rsidR="0067040C" w:rsidRDefault="0067040C" w:rsidP="009F639D">
      <w:pPr>
        <w:pStyle w:val="FootnoteText"/>
      </w:pPr>
      <w:r>
        <w:rPr>
          <w:rStyle w:val="FootnoteReference"/>
        </w:rPr>
        <w:footnoteRef/>
      </w:r>
      <w:r>
        <w:t xml:space="preserve"> </w:t>
      </w:r>
      <w:r w:rsidRPr="002912D5">
        <w:rPr>
          <w:i/>
        </w:rPr>
        <w:t>See</w:t>
      </w:r>
      <w:r>
        <w:t xml:space="preserve"> </w:t>
      </w:r>
      <w:r w:rsidRPr="00262F08">
        <w:rPr>
          <w:i/>
        </w:rPr>
        <w:t>id.</w:t>
      </w:r>
      <w:r>
        <w:rPr>
          <w:i/>
        </w:rPr>
        <w:t xml:space="preserve"> </w:t>
      </w:r>
      <w:r>
        <w:t>§§ 63.18(e)(2), 63.23.</w:t>
      </w:r>
    </w:p>
  </w:footnote>
  <w:footnote w:id="21">
    <w:p w:rsidR="0067040C" w:rsidRDefault="0067040C" w:rsidP="009F639D">
      <w:pPr>
        <w:pStyle w:val="FootnoteText"/>
      </w:pPr>
      <w:r>
        <w:rPr>
          <w:rStyle w:val="FootnoteReference"/>
        </w:rPr>
        <w:footnoteRef/>
      </w:r>
      <w:r>
        <w:t xml:space="preserve"> </w:t>
      </w:r>
      <w:r w:rsidRPr="00547D75">
        <w:rPr>
          <w:i/>
        </w:rPr>
        <w:t>See LOI Response</w:t>
      </w:r>
      <w:r>
        <w:t xml:space="preserve"> </w:t>
      </w:r>
      <w:r w:rsidRPr="00547D75">
        <w:rPr>
          <w:i/>
        </w:rPr>
        <w:t xml:space="preserve">supra </w:t>
      </w:r>
      <w:r>
        <w:t xml:space="preserve">note </w:t>
      </w:r>
      <w:r w:rsidRPr="00042AE1">
        <w:t>2</w:t>
      </w:r>
      <w:r>
        <w:t xml:space="preserve"> at Responses to Inquiries 9–11, 18.</w:t>
      </w:r>
    </w:p>
  </w:footnote>
  <w:footnote w:id="22">
    <w:p w:rsidR="0067040C" w:rsidRDefault="0067040C" w:rsidP="009F639D">
      <w:pPr>
        <w:pStyle w:val="FootnoteText"/>
      </w:pPr>
      <w:r>
        <w:rPr>
          <w:rStyle w:val="FootnoteReference"/>
        </w:rPr>
        <w:footnoteRef/>
      </w:r>
      <w:r>
        <w:t xml:space="preserve"> </w:t>
      </w:r>
      <w:r w:rsidRPr="00D60EE4">
        <w:rPr>
          <w:i/>
        </w:rPr>
        <w:t>See</w:t>
      </w:r>
      <w:r>
        <w:t xml:space="preserve"> PTT Phone Cards, Inc., d/b/a Star Pinless, International Section 214 Application, IBFS File No.:  ITC-214-20130415-00108 (filed Apr. 15, 2013) (International Section 214 Application); </w:t>
      </w:r>
      <w:r w:rsidRPr="001021DC">
        <w:rPr>
          <w:i/>
        </w:rPr>
        <w:t xml:space="preserve">see also </w:t>
      </w:r>
      <w:r>
        <w:t>U.S. Postal Service Return Receipt, signed by Ayub Amir, President, PTT Phone Cards, Inc. (Apr. 12, 2013) (on file in EB-IHD-13-00011669) (</w:t>
      </w:r>
      <w:r w:rsidRPr="006E42B9">
        <w:rPr>
          <w:i/>
        </w:rPr>
        <w:t>Apr. 12, 2013 U.S. Postal Receipt</w:t>
      </w:r>
      <w:r>
        <w:t>).</w:t>
      </w:r>
    </w:p>
  </w:footnote>
  <w:footnote w:id="23">
    <w:p w:rsidR="0067040C" w:rsidRDefault="0067040C" w:rsidP="009F639D">
      <w:pPr>
        <w:pStyle w:val="FootnoteText"/>
      </w:pPr>
      <w:r>
        <w:rPr>
          <w:rStyle w:val="FootnoteReference"/>
        </w:rPr>
        <w:footnoteRef/>
      </w:r>
      <w:r>
        <w:t xml:space="preserve"> </w:t>
      </w:r>
      <w:r w:rsidRPr="00130E06">
        <w:rPr>
          <w:i/>
        </w:rPr>
        <w:t>See</w:t>
      </w:r>
      <w:r>
        <w:t xml:space="preserve"> 47 C.F.R. §§ 1.10016, 63.25.</w:t>
      </w:r>
    </w:p>
  </w:footnote>
  <w:footnote w:id="24">
    <w:p w:rsidR="0067040C" w:rsidRPr="002F2F9B" w:rsidRDefault="0067040C" w:rsidP="009F639D">
      <w:pPr>
        <w:pStyle w:val="FootnoteText"/>
      </w:pPr>
      <w:r>
        <w:rPr>
          <w:rStyle w:val="FootnoteReference"/>
        </w:rPr>
        <w:footnoteRef/>
      </w:r>
      <w:r>
        <w:t xml:space="preserve"> </w:t>
      </w:r>
      <w:r w:rsidRPr="006A4E89">
        <w:rPr>
          <w:i/>
        </w:rPr>
        <w:t>See Unipoint Technologies, Inc.,</w:t>
      </w:r>
      <w:r>
        <w:t xml:space="preserve"> Notice of Apparent Liability for Forfeiture, 27 FCC Rcd 12751, 12757, para. 13 (2012) (</w:t>
      </w:r>
      <w:r>
        <w:rPr>
          <w:i/>
        </w:rPr>
        <w:t>Unipoint NAL</w:t>
      </w:r>
      <w:r>
        <w:t xml:space="preserve">), </w:t>
      </w:r>
      <w:r w:rsidRPr="00C013C7">
        <w:rPr>
          <w:i/>
        </w:rPr>
        <w:t>forfeiture</w:t>
      </w:r>
      <w:r>
        <w:rPr>
          <w:i/>
        </w:rPr>
        <w:t xml:space="preserve"> issued</w:t>
      </w:r>
      <w:r>
        <w:t xml:space="preserve">, Forfeiture Order, </w:t>
      </w:r>
      <w:r w:rsidRPr="00D0783D">
        <w:t>29 FCC Rcd 1633</w:t>
      </w:r>
      <w:r>
        <w:t xml:space="preserve"> (2014) (</w:t>
      </w:r>
      <w:r w:rsidRPr="006509B8">
        <w:rPr>
          <w:i/>
        </w:rPr>
        <w:t>Unipoint Forfeiture Order</w:t>
      </w:r>
      <w:r>
        <w:t>)</w:t>
      </w:r>
      <w:r w:rsidR="00B95A79">
        <w:t xml:space="preserve"> (imposing $179,000 forfeiture on prepaid calling card provider for, among other things, providing unauthorized international telecommunications service)</w:t>
      </w:r>
      <w:r>
        <w:t>.</w:t>
      </w:r>
    </w:p>
  </w:footnote>
  <w:footnote w:id="25">
    <w:p w:rsidR="0067040C" w:rsidRDefault="0067040C" w:rsidP="009F639D">
      <w:pPr>
        <w:pStyle w:val="FootnoteText"/>
      </w:pPr>
      <w:r>
        <w:rPr>
          <w:rStyle w:val="FootnoteReference"/>
        </w:rPr>
        <w:footnoteRef/>
      </w:r>
      <w:r>
        <w:t xml:space="preserve"> </w:t>
      </w:r>
      <w:r w:rsidRPr="00B52CC2">
        <w:rPr>
          <w:i/>
        </w:rPr>
        <w:t>See International Authorizations Granted</w:t>
      </w:r>
      <w:r>
        <w:t>, Public Notice, Report No. TEL-01617, 28 FCC Rcd 7112, 7113 (Int’l Bur. 2013).</w:t>
      </w:r>
    </w:p>
  </w:footnote>
  <w:footnote w:id="26">
    <w:p w:rsidR="0067040C" w:rsidRDefault="0067040C">
      <w:pPr>
        <w:pStyle w:val="FootnoteText"/>
      </w:pPr>
      <w:r>
        <w:rPr>
          <w:rStyle w:val="FootnoteReference"/>
        </w:rPr>
        <w:footnoteRef/>
      </w:r>
      <w:r>
        <w:t xml:space="preserve"> </w:t>
      </w:r>
      <w:r w:rsidRPr="002912D5">
        <w:rPr>
          <w:i/>
        </w:rPr>
        <w:t>See</w:t>
      </w:r>
      <w:r>
        <w:t xml:space="preserve"> 47 U.S.C. § 214(a); 47 C.F.R. § 63.18.</w:t>
      </w:r>
    </w:p>
  </w:footnote>
  <w:footnote w:id="27">
    <w:p w:rsidR="0067040C" w:rsidRDefault="0067040C" w:rsidP="00784906">
      <w:pPr>
        <w:pStyle w:val="FootnoteText"/>
      </w:pPr>
      <w:r>
        <w:rPr>
          <w:rStyle w:val="FootnoteReference"/>
        </w:rPr>
        <w:footnoteRef/>
      </w:r>
      <w:r>
        <w:t xml:space="preserve"> </w:t>
      </w:r>
      <w:r w:rsidRPr="00FD6F59">
        <w:rPr>
          <w:i/>
        </w:rPr>
        <w:t xml:space="preserve">See </w:t>
      </w:r>
      <w:r>
        <w:t>47 U.S.C. §§ 225(b)(1)</w:t>
      </w:r>
      <w:r w:rsidR="00F6715D">
        <w:t>–(2)</w:t>
      </w:r>
      <w:r>
        <w:t xml:space="preserve">, </w:t>
      </w:r>
      <w:r w:rsidR="00CB7806">
        <w:t>251(b)(2)</w:t>
      </w:r>
      <w:r w:rsidR="0090158E">
        <w:t>,</w:t>
      </w:r>
      <w:r w:rsidR="00CB7806">
        <w:t xml:space="preserve"> (e), </w:t>
      </w:r>
      <w:r>
        <w:t>254(</w:t>
      </w:r>
      <w:r w:rsidR="00F6715D">
        <w:t>a</w:t>
      </w:r>
      <w:r>
        <w:t>)</w:t>
      </w:r>
      <w:r w:rsidR="00F6715D">
        <w:t>(2)</w:t>
      </w:r>
      <w:r>
        <w:t>.</w:t>
      </w:r>
    </w:p>
  </w:footnote>
  <w:footnote w:id="28">
    <w:p w:rsidR="0067040C" w:rsidRPr="00BF55D4" w:rsidRDefault="0067040C">
      <w:pPr>
        <w:pStyle w:val="FootnoteText"/>
      </w:pPr>
      <w:r>
        <w:rPr>
          <w:rStyle w:val="FootnoteReference"/>
        </w:rPr>
        <w:footnoteRef/>
      </w:r>
      <w:r>
        <w:t xml:space="preserve"> </w:t>
      </w:r>
      <w:r>
        <w:rPr>
          <w:i/>
        </w:rPr>
        <w:t xml:space="preserve">See </w:t>
      </w:r>
      <w:r>
        <w:t>47 U.S.C. §§ </w:t>
      </w:r>
      <w:r w:rsidR="00F6715D">
        <w:t xml:space="preserve">225(d)(3), 251(e)(2), </w:t>
      </w:r>
      <w:r>
        <w:t>254(d).</w:t>
      </w:r>
    </w:p>
  </w:footnote>
  <w:footnote w:id="29">
    <w:p w:rsidR="0067040C" w:rsidRDefault="0067040C">
      <w:pPr>
        <w:pStyle w:val="FootnoteText"/>
      </w:pPr>
      <w:r>
        <w:rPr>
          <w:rStyle w:val="FootnoteReference"/>
        </w:rPr>
        <w:footnoteRef/>
      </w:r>
      <w:r>
        <w:t xml:space="preserve"> </w:t>
      </w:r>
      <w:r w:rsidRPr="00130E06">
        <w:rPr>
          <w:i/>
        </w:rPr>
        <w:t>See</w:t>
      </w:r>
      <w:r>
        <w:t xml:space="preserve"> 47 C.F.R. §§ 52.32(b), 54.711</w:t>
      </w:r>
      <w:r w:rsidR="00F6715D">
        <w:t>(a)</w:t>
      </w:r>
      <w:r>
        <w:t>, 64.604(c)(5)(iii)(B).</w:t>
      </w:r>
    </w:p>
  </w:footnote>
  <w:footnote w:id="30">
    <w:p w:rsidR="0067040C" w:rsidRDefault="0067040C">
      <w:pPr>
        <w:pStyle w:val="FootnoteText"/>
      </w:pPr>
      <w:r>
        <w:rPr>
          <w:rStyle w:val="FootnoteReference"/>
        </w:rPr>
        <w:footnoteRef/>
      </w:r>
      <w:r>
        <w:t xml:space="preserve"> </w:t>
      </w:r>
      <w:r w:rsidRPr="00853E55">
        <w:rPr>
          <w:i/>
        </w:rPr>
        <w:t>See, e.g.</w:t>
      </w:r>
      <w:r>
        <w:t>,</w:t>
      </w:r>
      <w:r w:rsidRPr="00853E55">
        <w:rPr>
          <w:i/>
        </w:rPr>
        <w:t xml:space="preserve"> 2014 Telecommunications Reporting Worksheet Instructions (Form 499-A)</w:t>
      </w:r>
      <w:r>
        <w:rPr>
          <w:i/>
        </w:rPr>
        <w:t xml:space="preserve"> </w:t>
      </w:r>
      <w:r w:rsidRPr="000E5541">
        <w:t>in</w:t>
      </w:r>
      <w:r>
        <w:t xml:space="preserve"> </w:t>
      </w:r>
      <w:r w:rsidRPr="000E5541">
        <w:rPr>
          <w:i/>
        </w:rPr>
        <w:t>Wireline Competition Bureau Releases 2014 Telecommunications Reporting Worksheets and Accompanying Instructions</w:t>
      </w:r>
      <w:r>
        <w:t>, Public Notice, 29 FCC Rcd 9</w:t>
      </w:r>
      <w:r w:rsidR="00F6715D">
        <w:t>39</w:t>
      </w:r>
      <w:r>
        <w:t>, 945 (Wireline Comp. Bur. 2014)</w:t>
      </w:r>
      <w:r w:rsidR="00F6715D">
        <w:t xml:space="preserve"> (</w:t>
      </w:r>
      <w:r w:rsidR="00F6715D" w:rsidRPr="00853E55">
        <w:rPr>
          <w:i/>
        </w:rPr>
        <w:t>Telecommunications</w:t>
      </w:r>
      <w:r w:rsidR="00F6715D" w:rsidRPr="00C9289E">
        <w:rPr>
          <w:i/>
        </w:rPr>
        <w:t xml:space="preserve"> </w:t>
      </w:r>
      <w:r w:rsidR="00F6715D" w:rsidRPr="00BE4744">
        <w:rPr>
          <w:i/>
        </w:rPr>
        <w:t>Worksheet Instructions</w:t>
      </w:r>
      <w:r w:rsidR="00F6715D">
        <w:t>)</w:t>
      </w:r>
      <w:r>
        <w:t>.</w:t>
      </w:r>
    </w:p>
  </w:footnote>
  <w:footnote w:id="31">
    <w:p w:rsidR="0067040C" w:rsidRDefault="0067040C">
      <w:pPr>
        <w:pStyle w:val="FootnoteText"/>
      </w:pPr>
      <w:r>
        <w:rPr>
          <w:rStyle w:val="FootnoteReference"/>
        </w:rPr>
        <w:footnoteRef/>
      </w:r>
      <w:r>
        <w:t xml:space="preserve"> </w:t>
      </w:r>
      <w:r w:rsidRPr="00424A9F">
        <w:rPr>
          <w:i/>
        </w:rPr>
        <w:t xml:space="preserve">See </w:t>
      </w:r>
      <w:r w:rsidR="00F6715D" w:rsidRPr="00853E55">
        <w:rPr>
          <w:i/>
        </w:rPr>
        <w:t>Telecommunications</w:t>
      </w:r>
      <w:r w:rsidR="00F6715D" w:rsidRPr="00C9289E">
        <w:rPr>
          <w:i/>
        </w:rPr>
        <w:t xml:space="preserve"> </w:t>
      </w:r>
      <w:r w:rsidR="00F6715D" w:rsidRPr="00BE4744">
        <w:rPr>
          <w:i/>
        </w:rPr>
        <w:t>Worksheet Instructions</w:t>
      </w:r>
      <w:r w:rsidR="00F6715D">
        <w:t xml:space="preserve">, 29 FCC Rcd at 945; </w:t>
      </w:r>
      <w:r>
        <w:t>47 U.S.C. § 159(a), (b)(1)(A), (g) (authorizing the Commission to collect annual regulatory fees to recover the costs of enforcement, policy and rulemaking, user information, and international activities).</w:t>
      </w:r>
    </w:p>
  </w:footnote>
  <w:footnote w:id="32">
    <w:p w:rsidR="003E496E" w:rsidRPr="00491697" w:rsidRDefault="003E496E">
      <w:pPr>
        <w:pStyle w:val="FootnoteText"/>
        <w:rPr>
          <w:i/>
        </w:rPr>
      </w:pPr>
      <w:r>
        <w:rPr>
          <w:rStyle w:val="FootnoteReference"/>
        </w:rPr>
        <w:footnoteRef/>
      </w:r>
      <w:r>
        <w:t xml:space="preserve"> </w:t>
      </w:r>
      <w:r w:rsidR="00F75B50">
        <w:rPr>
          <w:i/>
        </w:rPr>
        <w:t>See, e</w:t>
      </w:r>
      <w:r>
        <w:rPr>
          <w:i/>
        </w:rPr>
        <w:t>.g.</w:t>
      </w:r>
      <w:r w:rsidR="00EF2406">
        <w:t>,</w:t>
      </w:r>
      <w:r>
        <w:rPr>
          <w:i/>
        </w:rPr>
        <w:t xml:space="preserve"> </w:t>
      </w:r>
      <w:r w:rsidRPr="006A4E89">
        <w:rPr>
          <w:i/>
        </w:rPr>
        <w:t xml:space="preserve">Unipoint </w:t>
      </w:r>
      <w:r>
        <w:rPr>
          <w:i/>
        </w:rPr>
        <w:t>NAL</w:t>
      </w:r>
      <w:r w:rsidRPr="00D87BF8">
        <w:t>,</w:t>
      </w:r>
      <w:r>
        <w:t xml:space="preserve"> 27 FCC Rcd at 12758, para. 1</w:t>
      </w:r>
      <w:r w:rsidR="00D42393">
        <w:t>4</w:t>
      </w:r>
      <w:r w:rsidR="002C12C6">
        <w:t>.</w:t>
      </w:r>
    </w:p>
  </w:footnote>
  <w:footnote w:id="33">
    <w:p w:rsidR="0067040C" w:rsidRDefault="0067040C">
      <w:pPr>
        <w:pStyle w:val="FootnoteText"/>
      </w:pPr>
      <w:r>
        <w:rPr>
          <w:rStyle w:val="FootnoteReference"/>
        </w:rPr>
        <w:footnoteRef/>
      </w:r>
      <w:r>
        <w:t xml:space="preserve"> </w:t>
      </w:r>
      <w:r w:rsidRPr="002912D5">
        <w:rPr>
          <w:i/>
        </w:rPr>
        <w:t>See</w:t>
      </w:r>
      <w:r>
        <w:t xml:space="preserve"> Universal Service Administrative Company, PTT Phone Cards, Inc. – Form 499 – Search Forms,</w:t>
      </w:r>
      <w:r w:rsidRPr="006E42B9">
        <w:rPr>
          <w:i/>
        </w:rPr>
        <w:t xml:space="preserve"> available at </w:t>
      </w:r>
      <w:hyperlink r:id="rId1" w:history="1">
        <w:r w:rsidRPr="00C43915">
          <w:rPr>
            <w:rStyle w:val="Hyperlink"/>
            <w:color w:val="auto"/>
            <w:u w:val="none"/>
          </w:rPr>
          <w:t>https://efile.universalservice.org/form499/source/search.asp</w:t>
        </w:r>
      </w:hyperlink>
      <w:r>
        <w:t xml:space="preserve"> (last visited Jun</w:t>
      </w:r>
      <w:r w:rsidR="001117B7">
        <w:t>e</w:t>
      </w:r>
      <w:r>
        <w:t xml:space="preserve"> 2, 2014) (</w:t>
      </w:r>
      <w:r w:rsidR="00F94F89">
        <w:rPr>
          <w:spacing w:val="-2"/>
        </w:rPr>
        <w:t>on file in EB-IHD-13-00011669</w:t>
      </w:r>
      <w:r>
        <w:t>).</w:t>
      </w:r>
    </w:p>
  </w:footnote>
  <w:footnote w:id="34">
    <w:p w:rsidR="0067040C" w:rsidRDefault="0067040C">
      <w:pPr>
        <w:pStyle w:val="FootnoteText"/>
      </w:pPr>
      <w:r>
        <w:rPr>
          <w:rStyle w:val="FootnoteReference"/>
        </w:rPr>
        <w:footnoteRef/>
      </w:r>
      <w:r>
        <w:t xml:space="preserve"> </w:t>
      </w:r>
      <w:r w:rsidRPr="00742407">
        <w:rPr>
          <w:i/>
        </w:rPr>
        <w:t>See id.</w:t>
      </w:r>
    </w:p>
  </w:footnote>
  <w:footnote w:id="35">
    <w:p w:rsidR="0067040C" w:rsidRDefault="0067040C">
      <w:pPr>
        <w:pStyle w:val="FootnoteText"/>
      </w:pPr>
      <w:r>
        <w:rPr>
          <w:rStyle w:val="FootnoteReference"/>
        </w:rPr>
        <w:footnoteRef/>
      </w:r>
      <w:r>
        <w:t xml:space="preserve"> </w:t>
      </w:r>
      <w:r w:rsidRPr="00742407">
        <w:rPr>
          <w:i/>
        </w:rPr>
        <w:t>See id.</w:t>
      </w:r>
    </w:p>
  </w:footnote>
  <w:footnote w:id="36">
    <w:p w:rsidR="0067040C" w:rsidRDefault="0067040C">
      <w:pPr>
        <w:pStyle w:val="FootnoteText"/>
      </w:pPr>
      <w:r>
        <w:rPr>
          <w:rStyle w:val="FootnoteReference"/>
        </w:rPr>
        <w:footnoteRef/>
      </w:r>
      <w:r>
        <w:t xml:space="preserve"> </w:t>
      </w:r>
      <w:r w:rsidRPr="00742407">
        <w:rPr>
          <w:i/>
        </w:rPr>
        <w:t xml:space="preserve">See </w:t>
      </w:r>
      <w:r w:rsidRPr="002804F0">
        <w:rPr>
          <w:i/>
        </w:rPr>
        <w:t>Apr. 12, 2013 U.S. Postal Receipt</w:t>
      </w:r>
      <w:r w:rsidRPr="00742407">
        <w:rPr>
          <w:i/>
        </w:rPr>
        <w:t xml:space="preserve"> supra</w:t>
      </w:r>
      <w:r>
        <w:t xml:space="preserve"> note </w:t>
      </w:r>
      <w:r w:rsidRPr="00042AE1">
        <w:t>2</w:t>
      </w:r>
      <w:r w:rsidR="00AF336C">
        <w:t>1</w:t>
      </w:r>
      <w:r>
        <w:t>.</w:t>
      </w:r>
    </w:p>
  </w:footnote>
  <w:footnote w:id="37">
    <w:p w:rsidR="0067040C" w:rsidRDefault="0067040C">
      <w:pPr>
        <w:pStyle w:val="FootnoteText"/>
      </w:pPr>
      <w:r>
        <w:rPr>
          <w:rStyle w:val="FootnoteReference"/>
        </w:rPr>
        <w:footnoteRef/>
      </w:r>
      <w:r>
        <w:t xml:space="preserve"> </w:t>
      </w:r>
      <w:r w:rsidRPr="00FD6F59">
        <w:rPr>
          <w:i/>
        </w:rPr>
        <w:t xml:space="preserve">See </w:t>
      </w:r>
      <w:r>
        <w:t>47 U.S.C. §§ 52.32(b), 54.711, 64.604(c)(5)(iii)(B).</w:t>
      </w:r>
    </w:p>
  </w:footnote>
  <w:footnote w:id="38">
    <w:p w:rsidR="0067040C" w:rsidRDefault="0067040C">
      <w:pPr>
        <w:pStyle w:val="FootnoteText"/>
      </w:pPr>
      <w:r>
        <w:rPr>
          <w:rStyle w:val="FootnoteReference"/>
        </w:rPr>
        <w:footnoteRef/>
      </w:r>
      <w:r>
        <w:t xml:space="preserve"> </w:t>
      </w:r>
      <w:r w:rsidRPr="00953039">
        <w:rPr>
          <w:i/>
        </w:rPr>
        <w:t xml:space="preserve">See </w:t>
      </w:r>
      <w:r>
        <w:t>47 U.S.C. § 225(b)(1).</w:t>
      </w:r>
    </w:p>
  </w:footnote>
  <w:footnote w:id="39">
    <w:p w:rsidR="0067040C" w:rsidRDefault="0067040C" w:rsidP="009779A2">
      <w:pPr>
        <w:pStyle w:val="FootnoteText"/>
        <w:spacing w:after="200"/>
      </w:pPr>
      <w:r>
        <w:rPr>
          <w:rStyle w:val="FootnoteReference"/>
        </w:rPr>
        <w:footnoteRef/>
      </w:r>
      <w:r>
        <w:t xml:space="preserve"> </w:t>
      </w:r>
      <w:r w:rsidRPr="00F94F89">
        <w:rPr>
          <w:i/>
        </w:rPr>
        <w:t>See Telecommunications Relay Services and the Americans with Disabilities Act of 1990</w:t>
      </w:r>
      <w:r w:rsidRPr="00F94F89">
        <w:t xml:space="preserve">, Third Report and Order, 8 FCC Rcd 5300, </w:t>
      </w:r>
      <w:r w:rsidR="002C12C6">
        <w:t xml:space="preserve">5300, </w:t>
      </w:r>
      <w:r w:rsidRPr="00F94F89">
        <w:t xml:space="preserve">para. 3 (1993).  Telecommunications relay services enable persons with hearing and speech disabilities to communicate by telephone with </w:t>
      </w:r>
      <w:r w:rsidR="00AC6D83">
        <w:t>other individuals</w:t>
      </w:r>
      <w:r w:rsidRPr="00F94F89">
        <w:t>.  Such services provide telephone access to a significant number of Americans who, without it, might not</w:t>
      </w:r>
      <w:r>
        <w:t xml:space="preserve"> be able to make calls to or receive calls from </w:t>
      </w:r>
      <w:r w:rsidR="00AC6D83">
        <w:t>other</w:t>
      </w:r>
      <w:r>
        <w:t xml:space="preserve"> users.  </w:t>
      </w:r>
      <w:r>
        <w:rPr>
          <w:i/>
        </w:rPr>
        <w:t>See Telecommunications Relay Services and Speech-to-Speech Services for Individuals with Hearing and Speech Disabilities</w:t>
      </w:r>
      <w:r>
        <w:t xml:space="preserve">, Report and Order, 15 FCC Rcd 5140, 5141, 5143, paras. 2, 5 (2000). </w:t>
      </w:r>
    </w:p>
  </w:footnote>
  <w:footnote w:id="40">
    <w:p w:rsidR="0067040C" w:rsidRDefault="0067040C" w:rsidP="000344A5">
      <w:pPr>
        <w:pStyle w:val="FootnoteText"/>
      </w:pPr>
      <w:r>
        <w:rPr>
          <w:rStyle w:val="FootnoteReference"/>
        </w:rPr>
        <w:footnoteRef/>
      </w:r>
      <w:r>
        <w:t xml:space="preserve"> 47 C.F.R. § 64.604(c)(5)(iii)(A) (requiring every carrier that provides “interstate services, including . . . international . . . services” to contribute to the TRS Fund).</w:t>
      </w:r>
    </w:p>
  </w:footnote>
  <w:footnote w:id="41">
    <w:p w:rsidR="0067040C" w:rsidRDefault="0067040C">
      <w:pPr>
        <w:pStyle w:val="FootnoteText"/>
      </w:pPr>
      <w:r>
        <w:rPr>
          <w:rStyle w:val="FootnoteReference"/>
        </w:rPr>
        <w:footnoteRef/>
      </w:r>
      <w:r>
        <w:t xml:space="preserve"> </w:t>
      </w:r>
      <w:r w:rsidRPr="00270FCA">
        <w:rPr>
          <w:i/>
        </w:rPr>
        <w:t>See</w:t>
      </w:r>
      <w:r>
        <w:t xml:space="preserve"> 47 C.F.R. § 64.604(c)(5)(iii)(A); </w:t>
      </w:r>
      <w:r w:rsidRPr="00535C68">
        <w:rPr>
          <w:i/>
        </w:rPr>
        <w:t>see also</w:t>
      </w:r>
      <w:r>
        <w:rPr>
          <w:i/>
        </w:rPr>
        <w:t>, e.g.</w:t>
      </w:r>
      <w:r w:rsidRPr="00D87BF8">
        <w:t>,</w:t>
      </w:r>
      <w:r w:rsidRPr="00535C68">
        <w:rPr>
          <w:i/>
        </w:rPr>
        <w:t xml:space="preserve"> </w:t>
      </w:r>
      <w:r w:rsidR="00D87BF8">
        <w:t xml:space="preserve">47 C.F.R. </w:t>
      </w:r>
      <w:r w:rsidR="002C12C6">
        <w:t xml:space="preserve">§ </w:t>
      </w:r>
      <w:r w:rsidR="00CF276E">
        <w:t>64.604</w:t>
      </w:r>
      <w:r>
        <w:t xml:space="preserve">(c)(5)(iii)(B) (setting forth methods for computing and paying TRS contributions); </w:t>
      </w:r>
      <w:r w:rsidRPr="00480440">
        <w:rPr>
          <w:i/>
        </w:rPr>
        <w:t>Telecommunications Worksheet</w:t>
      </w:r>
      <w:r w:rsidR="002C12C6">
        <w:rPr>
          <w:i/>
        </w:rPr>
        <w:t xml:space="preserve"> </w:t>
      </w:r>
      <w:r w:rsidRPr="00480440">
        <w:rPr>
          <w:i/>
        </w:rPr>
        <w:t>Instructions</w:t>
      </w:r>
      <w:r>
        <w:t xml:space="preserve">, 29 FCC Rcd </w:t>
      </w:r>
      <w:r w:rsidR="00E1780F">
        <w:t>at 973–74</w:t>
      </w:r>
      <w:r>
        <w:t>, Instructions for Lines 511–14 (setting forth line-by-line computation of TRS contribution amounts).</w:t>
      </w:r>
    </w:p>
  </w:footnote>
  <w:footnote w:id="42">
    <w:p w:rsidR="0067040C" w:rsidRDefault="0067040C">
      <w:pPr>
        <w:pStyle w:val="FootnoteText"/>
      </w:pPr>
      <w:r>
        <w:rPr>
          <w:rStyle w:val="FootnoteReference"/>
        </w:rPr>
        <w:footnoteRef/>
      </w:r>
      <w:r>
        <w:t xml:space="preserve"> 47 C.F.R. § 64.604(c)(5)(iii)(B).</w:t>
      </w:r>
    </w:p>
  </w:footnote>
  <w:footnote w:id="43">
    <w:p w:rsidR="0067040C" w:rsidRDefault="0067040C">
      <w:pPr>
        <w:pStyle w:val="FootnoteText"/>
      </w:pPr>
      <w:r>
        <w:rPr>
          <w:rStyle w:val="FootnoteReference"/>
        </w:rPr>
        <w:footnoteRef/>
      </w:r>
      <w:r>
        <w:t xml:space="preserve"> </w:t>
      </w:r>
      <w:r w:rsidRPr="004D78F3">
        <w:rPr>
          <w:i/>
        </w:rPr>
        <w:t>Id.</w:t>
      </w:r>
      <w:r>
        <w:t xml:space="preserve">  Under the Rules, each subject provider must contribute at least $25 per year, and providers whose annual contributions are less than $1,200 must pay the entire amount at the beginning of the contribution period.  Otherwise, providers that are current on their payments may divide their contributions into equal, monthly payments.  </w:t>
      </w:r>
      <w:r w:rsidRPr="004D78F3">
        <w:rPr>
          <w:i/>
        </w:rPr>
        <w:t>Id.</w:t>
      </w:r>
      <w:r>
        <w:t xml:space="preserve">  </w:t>
      </w:r>
    </w:p>
  </w:footnote>
  <w:footnote w:id="44">
    <w:p w:rsidR="0067040C" w:rsidRDefault="0067040C">
      <w:pPr>
        <w:pStyle w:val="FootnoteText"/>
      </w:pPr>
      <w:r>
        <w:rPr>
          <w:rStyle w:val="FootnoteReference"/>
        </w:rPr>
        <w:footnoteRef/>
      </w:r>
      <w:r>
        <w:t xml:space="preserve"> </w:t>
      </w:r>
      <w:r w:rsidRPr="006A4E89">
        <w:rPr>
          <w:i/>
        </w:rPr>
        <w:t>See</w:t>
      </w:r>
      <w:r>
        <w:rPr>
          <w:i/>
        </w:rPr>
        <w:t>, e.g.</w:t>
      </w:r>
      <w:r>
        <w:t>,</w:t>
      </w:r>
      <w:r w:rsidRPr="006A4E89">
        <w:rPr>
          <w:i/>
        </w:rPr>
        <w:t xml:space="preserve"> Unipoint</w:t>
      </w:r>
      <w:r w:rsidR="003E496E">
        <w:rPr>
          <w:i/>
        </w:rPr>
        <w:t xml:space="preserve"> NAL</w:t>
      </w:r>
      <w:r w:rsidRPr="00D87BF8">
        <w:t>,</w:t>
      </w:r>
      <w:r w:rsidRPr="009E6920">
        <w:t xml:space="preserve"> </w:t>
      </w:r>
      <w:r>
        <w:t xml:space="preserve">27 FCC Rcd at 12758–59, para. 15; </w:t>
      </w:r>
      <w:r>
        <w:rPr>
          <w:i/>
        </w:rPr>
        <w:t>RB Communications, Inc., d/b/a Starfone</w:t>
      </w:r>
      <w:r>
        <w:t>, Notice of Apparent Liability for Forfeiture and Order, 27 FCC Rcd 4393, 4402, para. 25 (2012) (</w:t>
      </w:r>
      <w:r>
        <w:rPr>
          <w:i/>
        </w:rPr>
        <w:t>Starfone NAL</w:t>
      </w:r>
      <w:r>
        <w:t xml:space="preserve">), </w:t>
      </w:r>
      <w:r>
        <w:rPr>
          <w:i/>
        </w:rPr>
        <w:t>forfeiture issued</w:t>
      </w:r>
      <w:r>
        <w:t>, Forfeiture Order, 29 FCC Rcd 5668 (2014) (</w:t>
      </w:r>
      <w:r>
        <w:rPr>
          <w:i/>
        </w:rPr>
        <w:t>Starfone Forfeiture Order</w:t>
      </w:r>
      <w:r>
        <w:t>);</w:t>
      </w:r>
      <w:r>
        <w:rPr>
          <w:rStyle w:val="FootnoteReference"/>
          <w:i/>
        </w:rPr>
        <w:t xml:space="preserve"> </w:t>
      </w:r>
      <w:r>
        <w:rPr>
          <w:i/>
        </w:rPr>
        <w:t>Omniat International Telecom, LLC d/b/a Omniat Telecom</w:t>
      </w:r>
      <w:r>
        <w:t>, Notice of Apparent Liability for Forfeiture and Order, 24 FCC Rcd 4254, 4265–66, paras. 27, 29 (2009) (</w:t>
      </w:r>
      <w:r>
        <w:rPr>
          <w:i/>
        </w:rPr>
        <w:t>Omniat NAL</w:t>
      </w:r>
      <w:r>
        <w:t>).</w:t>
      </w:r>
    </w:p>
  </w:footnote>
  <w:footnote w:id="45">
    <w:p w:rsidR="0067040C" w:rsidRDefault="0067040C">
      <w:pPr>
        <w:pStyle w:val="FootnoteText"/>
      </w:pPr>
      <w:r>
        <w:rPr>
          <w:rStyle w:val="FootnoteReference"/>
        </w:rPr>
        <w:footnoteRef/>
      </w:r>
      <w:r>
        <w:t xml:space="preserve"> </w:t>
      </w:r>
      <w:r w:rsidRPr="00E90571">
        <w:rPr>
          <w:i/>
        </w:rPr>
        <w:t>See</w:t>
      </w:r>
      <w:r>
        <w:t xml:space="preserve"> E-mail from Wendy S. Lutz, Accountant, Rolka Loube Saltzer Associates LLC, to Robert B. Krinsky, Attorney Advisor, Investigations and Hearings Division, FCC Enforcement Bureau (Nov. 27, 2013, 12:33 </w:t>
      </w:r>
      <w:r w:rsidR="00F94F89">
        <w:t>EST</w:t>
      </w:r>
      <w:r>
        <w:t>)</w:t>
      </w:r>
      <w:r w:rsidR="00445C65">
        <w:t xml:space="preserve"> </w:t>
      </w:r>
      <w:r w:rsidR="00445C65" w:rsidRPr="00042AE1">
        <w:t xml:space="preserve">(on file in </w:t>
      </w:r>
      <w:r w:rsidR="00445C65" w:rsidRPr="00042AE1">
        <w:rPr>
          <w:spacing w:val="-2"/>
        </w:rPr>
        <w:t>EB-IHD-13-00011669</w:t>
      </w:r>
      <w:r w:rsidR="00445C65" w:rsidRPr="00042AE1">
        <w:t>)</w:t>
      </w:r>
      <w:r>
        <w:t>.</w:t>
      </w:r>
    </w:p>
  </w:footnote>
  <w:footnote w:id="46">
    <w:p w:rsidR="0067040C" w:rsidRDefault="0067040C">
      <w:pPr>
        <w:pStyle w:val="FootnoteText"/>
      </w:pPr>
      <w:r>
        <w:rPr>
          <w:rStyle w:val="FootnoteReference"/>
        </w:rPr>
        <w:footnoteRef/>
      </w:r>
      <w:r>
        <w:t xml:space="preserve"> </w:t>
      </w:r>
      <w:r w:rsidRPr="00E90571">
        <w:rPr>
          <w:i/>
        </w:rPr>
        <w:t>See id.</w:t>
      </w:r>
      <w:r>
        <w:t>; Interstate TRS Fund Contribution, Invoice from TRS Fund Administrator Rolka Loube Saltzer Associates LLC to PTT Phone Cards, Inc., Invoice No. 82977009131 (dated Sept. 13, 2013) (</w:t>
      </w:r>
      <w:r w:rsidRPr="006E42B9">
        <w:rPr>
          <w:i/>
        </w:rPr>
        <w:t>September 2013 TRS Invoice</w:t>
      </w:r>
      <w:r>
        <w:t>)</w:t>
      </w:r>
      <w:r w:rsidR="00445C65">
        <w:t xml:space="preserve"> </w:t>
      </w:r>
      <w:r w:rsidR="00445C65" w:rsidRPr="00042AE1">
        <w:t xml:space="preserve">(on file in </w:t>
      </w:r>
      <w:r w:rsidR="00445C65" w:rsidRPr="00042AE1">
        <w:rPr>
          <w:spacing w:val="-2"/>
        </w:rPr>
        <w:t>EB-IHD-13-00011669</w:t>
      </w:r>
      <w:r w:rsidR="00445C65" w:rsidRPr="00042AE1">
        <w:t>)</w:t>
      </w:r>
      <w:r>
        <w:t xml:space="preserve">.  </w:t>
      </w:r>
    </w:p>
  </w:footnote>
  <w:footnote w:id="47">
    <w:p w:rsidR="0067040C" w:rsidRDefault="0067040C" w:rsidP="00023D91">
      <w:pPr>
        <w:pStyle w:val="FootnoteText"/>
      </w:pPr>
      <w:r>
        <w:rPr>
          <w:rStyle w:val="FootnoteReference"/>
        </w:rPr>
        <w:footnoteRef/>
      </w:r>
      <w:r>
        <w:t xml:space="preserve"> </w:t>
      </w:r>
      <w:r w:rsidRPr="00E90571">
        <w:rPr>
          <w:i/>
        </w:rPr>
        <w:t>See</w:t>
      </w:r>
      <w:r>
        <w:t xml:space="preserve"> E-mail from Wendy S. Lutz, Accountant, Rolka Loube Saltzer Associates LLC, to Robert B. Krinsky, Attorney Advisor, Investigations and Hearings Div</w:t>
      </w:r>
      <w:r w:rsidR="00F94F89">
        <w:t>ision, FCC Enforcement Bureau</w:t>
      </w:r>
      <w:r>
        <w:t xml:space="preserve"> (Nov. 25, 2013, </w:t>
      </w:r>
      <w:r w:rsidR="00F94F89">
        <w:t>14</w:t>
      </w:r>
      <w:r>
        <w:t xml:space="preserve">:36 </w:t>
      </w:r>
      <w:r w:rsidR="00F94F89">
        <w:t>EST</w:t>
      </w:r>
      <w:r>
        <w:t>) (</w:t>
      </w:r>
      <w:r>
        <w:rPr>
          <w:i/>
        </w:rPr>
        <w:t>Lutz E-mail Nov. 25</w:t>
      </w:r>
      <w:r w:rsidRPr="00F0461E">
        <w:rPr>
          <w:i/>
        </w:rPr>
        <w:t>, 2013</w:t>
      </w:r>
      <w:r>
        <w:t>)</w:t>
      </w:r>
      <w:r w:rsidR="00445C65">
        <w:t xml:space="preserve"> </w:t>
      </w:r>
      <w:r w:rsidR="00445C65" w:rsidRPr="00042AE1">
        <w:t xml:space="preserve">(on file in </w:t>
      </w:r>
      <w:r w:rsidR="00445C65" w:rsidRPr="00042AE1">
        <w:rPr>
          <w:spacing w:val="-2"/>
        </w:rPr>
        <w:t>EB-IHD-13-00011669</w:t>
      </w:r>
      <w:r w:rsidR="00445C65" w:rsidRPr="00042AE1">
        <w:t>)</w:t>
      </w:r>
      <w:r>
        <w:t>.  For each of these periods, PTT’s TRS contribution obligation was large enough for it to have elected payment in monthly increments over twelve-months.</w:t>
      </w:r>
      <w:r w:rsidRPr="009B42AD">
        <w:rPr>
          <w:i/>
        </w:rPr>
        <w:t xml:space="preserve"> </w:t>
      </w:r>
      <w:r>
        <w:rPr>
          <w:i/>
        </w:rPr>
        <w:t xml:space="preserve"> </w:t>
      </w:r>
      <w:r w:rsidRPr="00270FCA">
        <w:rPr>
          <w:i/>
        </w:rPr>
        <w:t>See</w:t>
      </w:r>
      <w:r>
        <w:t xml:space="preserve"> 47 C.F.R. § 64.604(c)(5)(iii)(B) (allowing service providers whose contribution obligations total $1,200 or more to divide their contributions into equal monthly payments).  Because the period for installment payments for 2011–2012 and 2012–2013 had already passed, the </w:t>
      </w:r>
      <w:r w:rsidRPr="009B42AD">
        <w:rPr>
          <w:i/>
        </w:rPr>
        <w:t>September 2013</w:t>
      </w:r>
      <w:r>
        <w:rPr>
          <w:i/>
        </w:rPr>
        <w:t xml:space="preserve"> TRS </w:t>
      </w:r>
      <w:r w:rsidRPr="009B42AD">
        <w:rPr>
          <w:i/>
        </w:rPr>
        <w:t>Invoice</w:t>
      </w:r>
      <w:r>
        <w:t xml:space="preserve"> included all the overdue payments.</w:t>
      </w:r>
    </w:p>
  </w:footnote>
  <w:footnote w:id="48">
    <w:p w:rsidR="0067040C" w:rsidRDefault="0067040C">
      <w:pPr>
        <w:pStyle w:val="FootnoteText"/>
      </w:pPr>
      <w:r>
        <w:rPr>
          <w:rStyle w:val="FootnoteReference"/>
        </w:rPr>
        <w:footnoteRef/>
      </w:r>
      <w:r w:rsidRPr="00F0461E">
        <w:rPr>
          <w:i/>
        </w:rPr>
        <w:t xml:space="preserve"> See</w:t>
      </w:r>
      <w:r>
        <w:t xml:space="preserve"> </w:t>
      </w:r>
      <w:r w:rsidRPr="006E42B9">
        <w:rPr>
          <w:i/>
        </w:rPr>
        <w:t>September 2013 TRS Invoice</w:t>
      </w:r>
      <w:r>
        <w:t xml:space="preserve"> </w:t>
      </w:r>
      <w:r w:rsidRPr="009779A2">
        <w:rPr>
          <w:i/>
        </w:rPr>
        <w:t xml:space="preserve">supra </w:t>
      </w:r>
      <w:r>
        <w:t xml:space="preserve">note </w:t>
      </w:r>
      <w:r w:rsidRPr="00042AE1">
        <w:t>4</w:t>
      </w:r>
      <w:r w:rsidR="00491697">
        <w:t>5</w:t>
      </w:r>
      <w:r>
        <w:t>.</w:t>
      </w:r>
    </w:p>
  </w:footnote>
  <w:footnote w:id="49">
    <w:p w:rsidR="0067040C" w:rsidRDefault="0067040C">
      <w:pPr>
        <w:pStyle w:val="FootnoteText"/>
      </w:pPr>
      <w:r>
        <w:rPr>
          <w:rStyle w:val="FootnoteReference"/>
        </w:rPr>
        <w:footnoteRef/>
      </w:r>
      <w:r>
        <w:t xml:space="preserve"> </w:t>
      </w:r>
      <w:r w:rsidRPr="00E90571">
        <w:rPr>
          <w:i/>
        </w:rPr>
        <w:t>See id.</w:t>
      </w:r>
      <w:r w:rsidRPr="002B356A">
        <w:t>;</w:t>
      </w:r>
      <w:r>
        <w:rPr>
          <w:i/>
        </w:rPr>
        <w:t xml:space="preserve"> Lutz E-mail Nov. 25</w:t>
      </w:r>
      <w:r w:rsidRPr="00F0461E">
        <w:rPr>
          <w:i/>
        </w:rPr>
        <w:t>, 2013</w:t>
      </w:r>
      <w:r w:rsidR="00BD5A46">
        <w:rPr>
          <w:i/>
        </w:rPr>
        <w:t xml:space="preserve"> </w:t>
      </w:r>
      <w:r w:rsidR="00713A95">
        <w:rPr>
          <w:i/>
        </w:rPr>
        <w:t xml:space="preserve">supra </w:t>
      </w:r>
      <w:r w:rsidR="00713A95">
        <w:t>note 4</w:t>
      </w:r>
      <w:r w:rsidR="00491697">
        <w:t>6</w:t>
      </w:r>
      <w:r>
        <w:rPr>
          <w:i/>
        </w:rPr>
        <w:t xml:space="preserve"> </w:t>
      </w:r>
      <w:r w:rsidRPr="00745EB4">
        <w:t>(</w:t>
      </w:r>
      <w:r>
        <w:t>“</w:t>
      </w:r>
      <w:r w:rsidRPr="00745EB4">
        <w:t>There are no payments on this account.</w:t>
      </w:r>
      <w:r>
        <w:t>”); Interstate TRS Fund Contribution, Statement from TRS Fund Administrator Rolka Loube Saltzer Associates LLC to PTT Phone Cards, Inc. (dated Dec. 13, 2013) (listing $</w:t>
      </w:r>
      <w:r w:rsidRPr="00027DB4">
        <w:t>39</w:t>
      </w:r>
      <w:r>
        <w:t>,</w:t>
      </w:r>
      <w:r w:rsidRPr="00027DB4">
        <w:t>395.66</w:t>
      </w:r>
      <w:r>
        <w:t xml:space="preserve"> as overdue)</w:t>
      </w:r>
      <w:r w:rsidR="00A56CDD">
        <w:t xml:space="preserve"> </w:t>
      </w:r>
      <w:r w:rsidR="00A56CDD" w:rsidRPr="00042AE1">
        <w:t xml:space="preserve">(on file in </w:t>
      </w:r>
      <w:r w:rsidR="00A56CDD" w:rsidRPr="00042AE1">
        <w:rPr>
          <w:spacing w:val="-2"/>
        </w:rPr>
        <w:t>EB-IHD-13-00011669</w:t>
      </w:r>
      <w:r w:rsidR="00A56CDD" w:rsidRPr="00042AE1">
        <w:t>)</w:t>
      </w:r>
      <w:r>
        <w:t xml:space="preserve">.  </w:t>
      </w:r>
    </w:p>
  </w:footnote>
  <w:footnote w:id="50">
    <w:p w:rsidR="0067040C" w:rsidRDefault="0067040C">
      <w:pPr>
        <w:pStyle w:val="FootnoteText"/>
      </w:pPr>
      <w:r>
        <w:rPr>
          <w:rStyle w:val="FootnoteReference"/>
        </w:rPr>
        <w:footnoteRef/>
      </w:r>
      <w:r>
        <w:t xml:space="preserve"> </w:t>
      </w:r>
      <w:r w:rsidRPr="00172598">
        <w:rPr>
          <w:i/>
        </w:rPr>
        <w:t xml:space="preserve">See </w:t>
      </w:r>
      <w:r>
        <w:t xml:space="preserve">E-mail from Wendy S. Lutz, Accountant, Rolka Loube Saltzer Associates LLC, to David W. Rolka, President, Rolka Loube Saltzer Associates LLC (May 16, 2014, </w:t>
      </w:r>
      <w:r w:rsidR="00F94F89">
        <w:t>0</w:t>
      </w:r>
      <w:r>
        <w:t xml:space="preserve">9:57 </w:t>
      </w:r>
      <w:r w:rsidR="00F94F89">
        <w:t>E</w:t>
      </w:r>
      <w:r w:rsidR="003C7F5E">
        <w:t>D</w:t>
      </w:r>
      <w:r w:rsidR="00F94F89">
        <w:t>T</w:t>
      </w:r>
      <w:r>
        <w:t>)</w:t>
      </w:r>
      <w:r w:rsidR="00A56CDD">
        <w:t xml:space="preserve"> </w:t>
      </w:r>
      <w:r w:rsidR="00A56CDD" w:rsidRPr="00042AE1">
        <w:t xml:space="preserve">(on file in </w:t>
      </w:r>
      <w:r w:rsidR="00A56CDD" w:rsidRPr="00042AE1">
        <w:rPr>
          <w:spacing w:val="-2"/>
        </w:rPr>
        <w:t>EB-IHD-13-00011669</w:t>
      </w:r>
      <w:r w:rsidR="00A56CDD" w:rsidRPr="00042AE1">
        <w:t>)</w:t>
      </w:r>
      <w:r>
        <w:t>.</w:t>
      </w:r>
    </w:p>
  </w:footnote>
  <w:footnote w:id="51">
    <w:p w:rsidR="0067040C" w:rsidRDefault="0067040C">
      <w:pPr>
        <w:pStyle w:val="FootnoteText"/>
      </w:pPr>
      <w:r>
        <w:rPr>
          <w:rStyle w:val="FootnoteReference"/>
        </w:rPr>
        <w:footnoteRef/>
      </w:r>
      <w:r>
        <w:t xml:space="preserve"> </w:t>
      </w:r>
      <w:r w:rsidRPr="00435F20">
        <w:rPr>
          <w:i/>
        </w:rPr>
        <w:t>See</w:t>
      </w:r>
      <w:r>
        <w:t xml:space="preserve"> Letter from U.S. Dept. of Treasury, Financial Management Service, Debt management Services to Ayub Amir, Business Contact, PTT Phone Cards, Inc., FedDebt Payment Agreement ID Number:  PA14017957, Payment Agreement at 1 (dated Apr. 7, 2013)</w:t>
      </w:r>
      <w:r w:rsidR="00F94F89">
        <w:t xml:space="preserve"> </w:t>
      </w:r>
      <w:r>
        <w:t>(on file in EB-IHD-</w:t>
      </w:r>
      <w:r w:rsidR="00F94F89">
        <w:t>13-</w:t>
      </w:r>
      <w:r>
        <w:t>00011669).</w:t>
      </w:r>
    </w:p>
  </w:footnote>
  <w:footnote w:id="52">
    <w:p w:rsidR="0067040C" w:rsidRPr="00435F20" w:rsidRDefault="0067040C">
      <w:pPr>
        <w:pStyle w:val="FootnoteText"/>
      </w:pPr>
      <w:r>
        <w:rPr>
          <w:rStyle w:val="FootnoteReference"/>
        </w:rPr>
        <w:footnoteRef/>
      </w:r>
      <w:r>
        <w:t xml:space="preserve"> </w:t>
      </w:r>
      <w:r w:rsidRPr="00E90571">
        <w:rPr>
          <w:i/>
        </w:rPr>
        <w:t>See id.</w:t>
      </w:r>
      <w:r>
        <w:rPr>
          <w:i/>
        </w:rPr>
        <w:t xml:space="preserve"> </w:t>
      </w:r>
      <w:r w:rsidRPr="00435F20">
        <w:t>at Attachment A.</w:t>
      </w:r>
    </w:p>
  </w:footnote>
  <w:footnote w:id="53">
    <w:p w:rsidR="0067040C" w:rsidRDefault="0067040C">
      <w:pPr>
        <w:pStyle w:val="FootnoteText"/>
      </w:pPr>
      <w:r>
        <w:rPr>
          <w:rStyle w:val="FootnoteReference"/>
        </w:rPr>
        <w:footnoteRef/>
      </w:r>
      <w:r>
        <w:t xml:space="preserve"> </w:t>
      </w:r>
      <w:r w:rsidRPr="00606F6D">
        <w:rPr>
          <w:i/>
        </w:rPr>
        <w:t xml:space="preserve">See </w:t>
      </w:r>
      <w:r>
        <w:t>47 U.S.C. § 225; 47 C.F.R. § 64.604(c)(5)(iii).</w:t>
      </w:r>
    </w:p>
  </w:footnote>
  <w:footnote w:id="54">
    <w:p w:rsidR="0067040C" w:rsidRDefault="0067040C">
      <w:pPr>
        <w:pStyle w:val="FootnoteText"/>
      </w:pPr>
      <w:r>
        <w:rPr>
          <w:rStyle w:val="FootnoteReference"/>
        </w:rPr>
        <w:footnoteRef/>
      </w:r>
      <w:r>
        <w:t xml:space="preserve"> 47 C.F.R. § 52.21(n).</w:t>
      </w:r>
    </w:p>
  </w:footnote>
  <w:footnote w:id="55">
    <w:p w:rsidR="0067040C" w:rsidRDefault="0067040C">
      <w:pPr>
        <w:pStyle w:val="FootnoteText"/>
      </w:pPr>
      <w:r>
        <w:rPr>
          <w:rStyle w:val="FootnoteReference"/>
        </w:rPr>
        <w:footnoteRef/>
      </w:r>
      <w:r>
        <w:t xml:space="preserve"> The Commission has observed that in requiring number portability, “Congress recognized that the inability of customers to retain their telephone numbers when changing local service providers hampers the development of local competition.”  </w:t>
      </w:r>
      <w:r w:rsidRPr="00EA4EEA">
        <w:rPr>
          <w:i/>
        </w:rPr>
        <w:t>Telephone Number Portability</w:t>
      </w:r>
      <w:r>
        <w:t xml:space="preserve">, Third Report and Order, 13 FCC Rcd 11701, 11702, para. 3 (1998).  </w:t>
      </w:r>
      <w:r w:rsidRPr="004108A3">
        <w:rPr>
          <w:i/>
        </w:rPr>
        <w:t>See</w:t>
      </w:r>
      <w:r>
        <w:rPr>
          <w:i/>
        </w:rPr>
        <w:t xml:space="preserve"> </w:t>
      </w:r>
      <w:r w:rsidRPr="004108A3">
        <w:t>H.R. Rep. No. 104-204(I), 104th Cong., 1st Sess. at 113 (1995) (Joint Explanatory Statement)</w:t>
      </w:r>
      <w:r>
        <w:t xml:space="preserve"> (stating that “[t]he ability to change service providers is only meaningful if a customer can retain his or her local telephone number”). </w:t>
      </w:r>
    </w:p>
  </w:footnote>
  <w:footnote w:id="56">
    <w:p w:rsidR="0067040C" w:rsidRDefault="0067040C">
      <w:pPr>
        <w:pStyle w:val="FootnoteText"/>
      </w:pPr>
      <w:r>
        <w:rPr>
          <w:rStyle w:val="FootnoteReference"/>
        </w:rPr>
        <w:footnoteRef/>
      </w:r>
      <w:r>
        <w:t xml:space="preserve"> </w:t>
      </w:r>
      <w:r w:rsidRPr="00606F6D">
        <w:rPr>
          <w:i/>
        </w:rPr>
        <w:t xml:space="preserve">See </w:t>
      </w:r>
      <w:r>
        <w:t>47 U.S.C. § 251(b)(2).</w:t>
      </w:r>
    </w:p>
  </w:footnote>
  <w:footnote w:id="57">
    <w:p w:rsidR="0067040C" w:rsidRDefault="0067040C">
      <w:pPr>
        <w:pStyle w:val="FootnoteText"/>
      </w:pPr>
      <w:r>
        <w:rPr>
          <w:rStyle w:val="FootnoteReference"/>
        </w:rPr>
        <w:footnoteRef/>
      </w:r>
      <w:r>
        <w:t xml:space="preserve"> </w:t>
      </w:r>
      <w:r w:rsidRPr="00606F6D">
        <w:rPr>
          <w:i/>
        </w:rPr>
        <w:t xml:space="preserve">See </w:t>
      </w:r>
      <w:r w:rsidRPr="00322898">
        <w:rPr>
          <w:i/>
        </w:rPr>
        <w:t>id.</w:t>
      </w:r>
      <w:r>
        <w:t xml:space="preserve"> § 251(b)(2).</w:t>
      </w:r>
    </w:p>
  </w:footnote>
  <w:footnote w:id="58">
    <w:p w:rsidR="0067040C" w:rsidRDefault="0067040C">
      <w:pPr>
        <w:pStyle w:val="FootnoteText"/>
      </w:pPr>
      <w:r>
        <w:rPr>
          <w:rStyle w:val="FootnoteReference"/>
        </w:rPr>
        <w:footnoteRef/>
      </w:r>
      <w:r>
        <w:t xml:space="preserve"> </w:t>
      </w:r>
      <w:r w:rsidRPr="00606F6D">
        <w:rPr>
          <w:i/>
        </w:rPr>
        <w:t>See</w:t>
      </w:r>
      <w:r>
        <w:t xml:space="preserve"> 47 C.F.R. § 52.32.</w:t>
      </w:r>
    </w:p>
  </w:footnote>
  <w:footnote w:id="59">
    <w:p w:rsidR="00120A0E" w:rsidRDefault="00120A0E">
      <w:pPr>
        <w:pStyle w:val="FootnoteText"/>
      </w:pPr>
      <w:r>
        <w:rPr>
          <w:rStyle w:val="FootnoteReference"/>
        </w:rPr>
        <w:footnoteRef/>
      </w:r>
      <w:r>
        <w:t xml:space="preserve"> </w:t>
      </w:r>
      <w:r>
        <w:rPr>
          <w:i/>
        </w:rPr>
        <w:t>Omniat NAL</w:t>
      </w:r>
      <w:r>
        <w:t>, 24 FCC Rcd at 4266–67, para. 28.</w:t>
      </w:r>
    </w:p>
  </w:footnote>
  <w:footnote w:id="60">
    <w:p w:rsidR="0067040C" w:rsidRPr="0060265D" w:rsidRDefault="0067040C">
      <w:pPr>
        <w:pStyle w:val="FootnoteText"/>
      </w:pPr>
      <w:r>
        <w:rPr>
          <w:rStyle w:val="FootnoteReference"/>
        </w:rPr>
        <w:footnoteRef/>
      </w:r>
      <w:r>
        <w:t xml:space="preserve"> </w:t>
      </w:r>
      <w:r>
        <w:rPr>
          <w:i/>
        </w:rPr>
        <w:t xml:space="preserve">See supra </w:t>
      </w:r>
      <w:r w:rsidR="00042AE1">
        <w:t xml:space="preserve">para. </w:t>
      </w:r>
      <w:r w:rsidRPr="00042AE1">
        <w:t>13</w:t>
      </w:r>
      <w:r>
        <w:t>.</w:t>
      </w:r>
    </w:p>
  </w:footnote>
  <w:footnote w:id="61">
    <w:p w:rsidR="0067040C" w:rsidRDefault="0067040C">
      <w:pPr>
        <w:pStyle w:val="FootnoteText"/>
      </w:pPr>
      <w:r>
        <w:rPr>
          <w:rStyle w:val="FootnoteReference"/>
        </w:rPr>
        <w:footnoteRef/>
      </w:r>
      <w:r>
        <w:t xml:space="preserve"> </w:t>
      </w:r>
      <w:r w:rsidRPr="00DF589B">
        <w:rPr>
          <w:i/>
        </w:rPr>
        <w:t>See</w:t>
      </w:r>
      <w:r>
        <w:t xml:space="preserve"> E-mail from Karen Laffey, Manager, Billing Operations, Neustar, Inc. (LNP Administrator)</w:t>
      </w:r>
      <w:r w:rsidR="00902E22">
        <w:t>,</w:t>
      </w:r>
      <w:r>
        <w:t xml:space="preserve"> to Robert Krinsky, Attorney Advisor, Investigations and Hearings Division, </w:t>
      </w:r>
      <w:r w:rsidR="00F94F89">
        <w:t xml:space="preserve">FCC </w:t>
      </w:r>
      <w:r>
        <w:t>Enforcement Bureau (Nov. 27, 2013, 14:24 E</w:t>
      </w:r>
      <w:r w:rsidR="00F94F89">
        <w:t>S</w:t>
      </w:r>
      <w:r>
        <w:t>T) (</w:t>
      </w:r>
      <w:r w:rsidRPr="00CE5F6B">
        <w:rPr>
          <w:i/>
        </w:rPr>
        <w:t>First LNP Administrator E-mail</w:t>
      </w:r>
      <w:r>
        <w:t>)</w:t>
      </w:r>
      <w:r w:rsidR="00902E22">
        <w:t xml:space="preserve"> </w:t>
      </w:r>
      <w:r w:rsidR="00902E22" w:rsidRPr="00042AE1">
        <w:t xml:space="preserve">(on file in </w:t>
      </w:r>
      <w:r w:rsidR="00902E22" w:rsidRPr="00042AE1">
        <w:rPr>
          <w:spacing w:val="-2"/>
        </w:rPr>
        <w:t>EB-IHD-13-00011669</w:t>
      </w:r>
      <w:r w:rsidR="00902E22" w:rsidRPr="00042AE1">
        <w:t>)</w:t>
      </w:r>
      <w:r>
        <w:rPr>
          <w:spacing w:val="-2"/>
        </w:rPr>
        <w:t>.</w:t>
      </w:r>
    </w:p>
  </w:footnote>
  <w:footnote w:id="62">
    <w:p w:rsidR="0067040C" w:rsidRDefault="0067040C" w:rsidP="004B1A22">
      <w:pPr>
        <w:pStyle w:val="FootnoteText"/>
      </w:pPr>
      <w:r>
        <w:rPr>
          <w:rStyle w:val="FootnoteReference"/>
        </w:rPr>
        <w:footnoteRef/>
      </w:r>
      <w:r>
        <w:t xml:space="preserve"> </w:t>
      </w:r>
      <w:r w:rsidRPr="00CE5F6B">
        <w:rPr>
          <w:i/>
        </w:rPr>
        <w:t>See id.</w:t>
      </w:r>
    </w:p>
  </w:footnote>
  <w:footnote w:id="63">
    <w:p w:rsidR="0067040C" w:rsidRDefault="0067040C" w:rsidP="009F218D">
      <w:pPr>
        <w:pStyle w:val="FootnoteText"/>
      </w:pPr>
      <w:r>
        <w:rPr>
          <w:rStyle w:val="FootnoteReference"/>
        </w:rPr>
        <w:footnoteRef/>
      </w:r>
      <w:r>
        <w:t xml:space="preserve"> </w:t>
      </w:r>
      <w:r w:rsidRPr="00CE5F6B">
        <w:rPr>
          <w:i/>
        </w:rPr>
        <w:t>See id.</w:t>
      </w:r>
      <w:r>
        <w:t>; E-mail from Karen Laffey, Manager, Billing Operations, Neustar, Inc. (LNP Administrator)</w:t>
      </w:r>
      <w:r w:rsidR="00902E22">
        <w:t>,</w:t>
      </w:r>
      <w:r>
        <w:t xml:space="preserve"> to Robert Krinsky, Attorney Advisor, Investigations and Hearings Division, </w:t>
      </w:r>
      <w:r w:rsidR="00F94F89">
        <w:t xml:space="preserve">FCC </w:t>
      </w:r>
      <w:r>
        <w:t>Enforcement Bureau (Nov. 27, 2013, 13:44 E</w:t>
      </w:r>
      <w:r w:rsidR="003C7F5E">
        <w:t>D</w:t>
      </w:r>
      <w:r>
        <w:t>T) (</w:t>
      </w:r>
      <w:r w:rsidRPr="00CE5F6B">
        <w:rPr>
          <w:i/>
        </w:rPr>
        <w:t>Second LNP Administrator E-mail</w:t>
      </w:r>
      <w:r>
        <w:t>)</w:t>
      </w:r>
      <w:r w:rsidR="00902E22">
        <w:t xml:space="preserve"> </w:t>
      </w:r>
      <w:r w:rsidR="00902E22" w:rsidRPr="00042AE1">
        <w:t xml:space="preserve">(on file in </w:t>
      </w:r>
      <w:r w:rsidR="00902E22" w:rsidRPr="00042AE1">
        <w:rPr>
          <w:spacing w:val="-2"/>
        </w:rPr>
        <w:t>EB-IHD-13-00011669</w:t>
      </w:r>
      <w:r w:rsidR="00902E22" w:rsidRPr="00042AE1">
        <w:t>)</w:t>
      </w:r>
      <w:r>
        <w:rPr>
          <w:spacing w:val="-2"/>
        </w:rPr>
        <w:t>.</w:t>
      </w:r>
    </w:p>
  </w:footnote>
  <w:footnote w:id="64">
    <w:p w:rsidR="0067040C" w:rsidRDefault="0067040C">
      <w:pPr>
        <w:pStyle w:val="FootnoteText"/>
      </w:pPr>
      <w:r>
        <w:rPr>
          <w:rStyle w:val="FootnoteReference"/>
        </w:rPr>
        <w:footnoteRef/>
      </w:r>
      <w:r>
        <w:t xml:space="preserve"> </w:t>
      </w:r>
      <w:r w:rsidRPr="00CE5F6B">
        <w:rPr>
          <w:i/>
        </w:rPr>
        <w:t>See</w:t>
      </w:r>
      <w:r>
        <w:t xml:space="preserve"> </w:t>
      </w:r>
      <w:r w:rsidRPr="00CE5F6B">
        <w:rPr>
          <w:i/>
        </w:rPr>
        <w:t>Second LNP Administrator E-mail</w:t>
      </w:r>
      <w:r>
        <w:rPr>
          <w:i/>
        </w:rPr>
        <w:t>.</w:t>
      </w:r>
    </w:p>
  </w:footnote>
  <w:footnote w:id="65">
    <w:p w:rsidR="0067040C" w:rsidRDefault="0067040C">
      <w:pPr>
        <w:pStyle w:val="FootnoteText"/>
      </w:pPr>
      <w:r>
        <w:rPr>
          <w:rStyle w:val="FootnoteReference"/>
        </w:rPr>
        <w:footnoteRef/>
      </w:r>
      <w:r>
        <w:t xml:space="preserve"> </w:t>
      </w:r>
      <w:r w:rsidRPr="00606F6D">
        <w:rPr>
          <w:i/>
        </w:rPr>
        <w:t xml:space="preserve">See </w:t>
      </w:r>
      <w:r>
        <w:t>47 U.S.C. § 251(e)(2); 47 C.F.R. § 52.32.</w:t>
      </w:r>
    </w:p>
  </w:footnote>
  <w:footnote w:id="66">
    <w:p w:rsidR="0067040C" w:rsidRDefault="0067040C" w:rsidP="000A6F15">
      <w:pPr>
        <w:pStyle w:val="FootnoteText"/>
      </w:pPr>
      <w:r>
        <w:rPr>
          <w:rStyle w:val="FootnoteReference"/>
        </w:rPr>
        <w:footnoteRef/>
      </w:r>
      <w:r w:rsidR="001D35E1">
        <w:rPr>
          <w:i/>
        </w:rPr>
        <w:t xml:space="preserve"> See</w:t>
      </w:r>
      <w:r>
        <w:t xml:space="preserve"> 47 U.S.C. § 159 (a)(1)–(2).</w:t>
      </w:r>
    </w:p>
  </w:footnote>
  <w:footnote w:id="67">
    <w:p w:rsidR="0067040C" w:rsidRDefault="0067040C" w:rsidP="000A6F15">
      <w:pPr>
        <w:pStyle w:val="FootnoteText"/>
      </w:pPr>
      <w:r>
        <w:rPr>
          <w:rStyle w:val="FootnoteReference"/>
        </w:rPr>
        <w:footnoteRef/>
      </w:r>
      <w:r>
        <w:t xml:space="preserve"> </w:t>
      </w:r>
      <w:r w:rsidRPr="00130E06">
        <w:rPr>
          <w:i/>
        </w:rPr>
        <w:t>See</w:t>
      </w:r>
      <w:r>
        <w:t xml:space="preserve"> 47 C.F.R. §§ 1.1152–1.1156, 1.1157(b)(1).</w:t>
      </w:r>
    </w:p>
  </w:footnote>
  <w:footnote w:id="68">
    <w:p w:rsidR="0067040C" w:rsidRDefault="0067040C" w:rsidP="000A6F15">
      <w:pPr>
        <w:pStyle w:val="FootnoteText"/>
      </w:pPr>
      <w:r>
        <w:rPr>
          <w:rStyle w:val="FootnoteReference"/>
        </w:rPr>
        <w:footnoteRef/>
      </w:r>
      <w:r>
        <w:t xml:space="preserve"> </w:t>
      </w:r>
      <w:r w:rsidRPr="002B597E">
        <w:rPr>
          <w:i/>
        </w:rPr>
        <w:t xml:space="preserve">See </w:t>
      </w:r>
      <w:r>
        <w:t>47 C.F.R. § 1.1154.</w:t>
      </w:r>
    </w:p>
  </w:footnote>
  <w:footnote w:id="69">
    <w:p w:rsidR="00A040AD" w:rsidRDefault="00A040AD" w:rsidP="00A040AD">
      <w:pPr>
        <w:pStyle w:val="FootnoteText"/>
      </w:pPr>
      <w:r>
        <w:rPr>
          <w:rStyle w:val="FootnoteReference"/>
        </w:rPr>
        <w:footnoteRef/>
      </w:r>
      <w:r>
        <w:t xml:space="preserve"> </w:t>
      </w:r>
      <w:r>
        <w:rPr>
          <w:i/>
        </w:rPr>
        <w:t>See, e.g.</w:t>
      </w:r>
      <w:r w:rsidRPr="00583EC9">
        <w:t xml:space="preserve">, </w:t>
      </w:r>
      <w:r w:rsidRPr="00610291">
        <w:rPr>
          <w:i/>
        </w:rPr>
        <w:t>Starfone NAL</w:t>
      </w:r>
      <w:r w:rsidRPr="00583EC9">
        <w:t>,</w:t>
      </w:r>
      <w:r>
        <w:rPr>
          <w:i/>
        </w:rPr>
        <w:t xml:space="preserve"> </w:t>
      </w:r>
      <w:r w:rsidRPr="00610291">
        <w:t>27 FCC Rcd</w:t>
      </w:r>
      <w:r>
        <w:t xml:space="preserve"> at 4402, para. 27</w:t>
      </w:r>
      <w:r w:rsidRPr="00610291">
        <w:t>;</w:t>
      </w:r>
      <w:r>
        <w:rPr>
          <w:i/>
        </w:rPr>
        <w:t xml:space="preserve"> Omniat NAL</w:t>
      </w:r>
      <w:r>
        <w:t xml:space="preserve">, 24 FCC Rcd at 4266, para. 29; </w:t>
      </w:r>
      <w:r>
        <w:rPr>
          <w:i/>
        </w:rPr>
        <w:t xml:space="preserve">Telrite Corporation, </w:t>
      </w:r>
      <w:r>
        <w:t>Notice of Apparent Liability for Forfeiture and Order, 23 FCC Rcd 7231, 7245, para. 35 (2008).</w:t>
      </w:r>
    </w:p>
  </w:footnote>
  <w:footnote w:id="70">
    <w:p w:rsidR="0067040C" w:rsidRDefault="0067040C" w:rsidP="000A6F15">
      <w:pPr>
        <w:pStyle w:val="FootnoteText"/>
      </w:pPr>
      <w:r>
        <w:rPr>
          <w:rStyle w:val="FootnoteReference"/>
        </w:rPr>
        <w:footnoteRef/>
      </w:r>
      <w:r>
        <w:t xml:space="preserve"> </w:t>
      </w:r>
      <w:r w:rsidRPr="00DA4298">
        <w:rPr>
          <w:i/>
        </w:rPr>
        <w:t xml:space="preserve">See </w:t>
      </w:r>
      <w:r>
        <w:rPr>
          <w:i/>
        </w:rPr>
        <w:t xml:space="preserve">Reminder that </w:t>
      </w:r>
      <w:r w:rsidRPr="00DA4298">
        <w:rPr>
          <w:i/>
        </w:rPr>
        <w:t>FY</w:t>
      </w:r>
      <w:r>
        <w:rPr>
          <w:i/>
        </w:rPr>
        <w:t xml:space="preserve"> </w:t>
      </w:r>
      <w:r w:rsidRPr="00DA4298">
        <w:rPr>
          <w:i/>
        </w:rPr>
        <w:t>201</w:t>
      </w:r>
      <w:r>
        <w:rPr>
          <w:i/>
        </w:rPr>
        <w:t>2</w:t>
      </w:r>
      <w:r w:rsidRPr="00DA4298">
        <w:rPr>
          <w:i/>
        </w:rPr>
        <w:t xml:space="preserve"> Regulatory Fee</w:t>
      </w:r>
      <w:r>
        <w:rPr>
          <w:i/>
        </w:rPr>
        <w:t>s Are Due No Later Than September 13</w:t>
      </w:r>
      <w:r w:rsidRPr="00DA4298">
        <w:rPr>
          <w:i/>
        </w:rPr>
        <w:t>, 201</w:t>
      </w:r>
      <w:r>
        <w:rPr>
          <w:i/>
        </w:rPr>
        <w:t>2</w:t>
      </w:r>
      <w:r>
        <w:t xml:space="preserve">, </w:t>
      </w:r>
      <w:r>
        <w:rPr>
          <w:i/>
        </w:rPr>
        <w:t>Eastern Time (ET)</w:t>
      </w:r>
      <w:r>
        <w:t>,</w:t>
      </w:r>
      <w:r>
        <w:rPr>
          <w:i/>
        </w:rPr>
        <w:t xml:space="preserve"> </w:t>
      </w:r>
      <w:r>
        <w:t xml:space="preserve">Public Notice, 27 FCC Rcd 10297 (2012); </w:t>
      </w:r>
      <w:r w:rsidRPr="00DA4298">
        <w:rPr>
          <w:i/>
        </w:rPr>
        <w:t>FY</w:t>
      </w:r>
      <w:r>
        <w:rPr>
          <w:i/>
        </w:rPr>
        <w:t xml:space="preserve"> </w:t>
      </w:r>
      <w:r w:rsidRPr="00DA4298">
        <w:rPr>
          <w:i/>
        </w:rPr>
        <w:t>2011 Regulatory Fee Deadline is Extended to 11:59 PM, ET, September 16, 2011</w:t>
      </w:r>
      <w:r>
        <w:t>, Public Notice, 26 FCC Rcd 13029 (2011)</w:t>
      </w:r>
      <w:r w:rsidR="00B95A79">
        <w:t xml:space="preserve">; </w:t>
      </w:r>
      <w:r w:rsidR="00B95A79">
        <w:rPr>
          <w:i/>
        </w:rPr>
        <w:t xml:space="preserve">see also </w:t>
      </w:r>
      <w:r w:rsidR="00B95A79">
        <w:t>E-mail from Ann Monahan, Financial Management Specialist, Office of the Managing Director, FCC, to Robert Krinsky, Attorney Advisor, Investigations and Hearings Division, FCC Enforcement Bureau (Nov. 25, 2013, 15:04 E</w:t>
      </w:r>
      <w:r w:rsidR="001037A3">
        <w:t>S</w:t>
      </w:r>
      <w:r w:rsidR="00B95A79">
        <w:t xml:space="preserve">T) (stating that PTT’s FY2013 regulatory fee payment of $9,031.00 was due </w:t>
      </w:r>
      <w:r w:rsidR="005373B4">
        <w:t>and paid on September 20, 2013)</w:t>
      </w:r>
      <w:r>
        <w:t>.</w:t>
      </w:r>
    </w:p>
  </w:footnote>
  <w:footnote w:id="71">
    <w:p w:rsidR="0067040C" w:rsidRPr="00B95A79" w:rsidRDefault="0067040C" w:rsidP="00B95A79">
      <w:pPr>
        <w:pStyle w:val="FootnoteText"/>
      </w:pPr>
      <w:r>
        <w:rPr>
          <w:rStyle w:val="FootnoteReference"/>
        </w:rPr>
        <w:footnoteRef/>
      </w:r>
      <w:r>
        <w:t xml:space="preserve"> </w:t>
      </w:r>
      <w:r w:rsidRPr="00B95A79">
        <w:rPr>
          <w:i/>
        </w:rPr>
        <w:t>See</w:t>
      </w:r>
      <w:r>
        <w:t xml:space="preserve"> E-mail from Ann Monahan, Financial Management Specialist, Office of the Managing Director, FCC, to </w:t>
      </w:r>
      <w:r w:rsidRPr="00662B16">
        <w:t xml:space="preserve">Robert Krinsky, Attorney Advisor, Investigations and Hearings Division, </w:t>
      </w:r>
      <w:r w:rsidR="001D35E1">
        <w:t xml:space="preserve">FCC </w:t>
      </w:r>
      <w:r w:rsidRPr="00662B16">
        <w:t>Enforcement Bureau (Jul</w:t>
      </w:r>
      <w:r w:rsidR="001D35E1">
        <w:t>y</w:t>
      </w:r>
      <w:r w:rsidRPr="00662B16">
        <w:t xml:space="preserve"> 21, 2014, </w:t>
      </w:r>
      <w:r w:rsidRPr="006E42B9">
        <w:t>11:18 E</w:t>
      </w:r>
      <w:r w:rsidR="003C7F5E">
        <w:t>D</w:t>
      </w:r>
      <w:r w:rsidRPr="006E42B9">
        <w:t>T</w:t>
      </w:r>
      <w:r w:rsidRPr="00662B16">
        <w:t>)</w:t>
      </w:r>
      <w:r>
        <w:rPr>
          <w:spacing w:val="-2"/>
        </w:rPr>
        <w:t xml:space="preserve"> (providing PTT regulatory fee data from the FCC Fee Filer database)</w:t>
      </w:r>
      <w:r w:rsidR="00902E22">
        <w:rPr>
          <w:spacing w:val="-2"/>
        </w:rPr>
        <w:t xml:space="preserve"> </w:t>
      </w:r>
      <w:r w:rsidR="00902E22" w:rsidRPr="00042AE1">
        <w:t xml:space="preserve">(on file in </w:t>
      </w:r>
      <w:r w:rsidR="00902E22" w:rsidRPr="00042AE1">
        <w:rPr>
          <w:spacing w:val="-2"/>
        </w:rPr>
        <w:t>EB-IHD-13-00011669</w:t>
      </w:r>
      <w:r w:rsidR="00902E22" w:rsidRPr="00042AE1">
        <w:t>)</w:t>
      </w:r>
      <w:r w:rsidR="00B95A79">
        <w:rPr>
          <w:spacing w:val="-2"/>
        </w:rPr>
        <w:t>.</w:t>
      </w:r>
    </w:p>
  </w:footnote>
  <w:footnote w:id="72">
    <w:p w:rsidR="0067040C" w:rsidRDefault="0067040C" w:rsidP="000A6F15">
      <w:pPr>
        <w:pStyle w:val="FootnoteText"/>
      </w:pPr>
      <w:r>
        <w:rPr>
          <w:rStyle w:val="FootnoteReference"/>
        </w:rPr>
        <w:footnoteRef/>
      </w:r>
      <w:r>
        <w:t xml:space="preserve"> </w:t>
      </w:r>
      <w:r w:rsidRPr="002B597E">
        <w:rPr>
          <w:i/>
        </w:rPr>
        <w:t xml:space="preserve">See </w:t>
      </w:r>
      <w:r>
        <w:t>47 C.F.R. §</w:t>
      </w:r>
      <w:r w:rsidR="001D35E1">
        <w:t>§</w:t>
      </w:r>
      <w:r>
        <w:t xml:space="preserve"> 1.1154</w:t>
      </w:r>
      <w:r w:rsidR="001D35E1">
        <w:t>, 1.1157(b)(1)</w:t>
      </w:r>
      <w:r>
        <w:t>.</w:t>
      </w:r>
    </w:p>
  </w:footnote>
  <w:footnote w:id="73">
    <w:p w:rsidR="0067040C" w:rsidRPr="00B00E8E" w:rsidRDefault="0067040C" w:rsidP="001D35E1">
      <w:pPr>
        <w:pStyle w:val="FootnoteText"/>
      </w:pPr>
      <w:r>
        <w:rPr>
          <w:rStyle w:val="FootnoteReference"/>
        </w:rPr>
        <w:footnoteRef/>
      </w:r>
      <w:r>
        <w:t xml:space="preserve"> 47 C.F.R. § </w:t>
      </w:r>
      <w:r w:rsidRPr="00C75EC8">
        <w:t>64.5001(c)</w:t>
      </w:r>
      <w:r>
        <w:t xml:space="preserve">.  </w:t>
      </w:r>
      <w:r w:rsidRPr="005A0462">
        <w:t xml:space="preserve">In 2013, the Commission </w:t>
      </w:r>
      <w:r>
        <w:t>forbore in part from Section 64.5001, but specified that prepaid calling card providers that</w:t>
      </w:r>
      <w:r w:rsidR="00B768A2">
        <w:t xml:space="preserve"> do not</w:t>
      </w:r>
      <w:r>
        <w:t xml:space="preserve"> have</w:t>
      </w:r>
      <w:r w:rsidR="00B768A2">
        <w:t xml:space="preserve"> a two-year track record of timely filing </w:t>
      </w:r>
      <w:r>
        <w:t xml:space="preserve">their Telecommunications Reporting Worksheets remain subject to </w:t>
      </w:r>
      <w:r w:rsidRPr="00C75EC8">
        <w:t>Section 64.5001(c)</w:t>
      </w:r>
      <w:r>
        <w:t xml:space="preserve">.  </w:t>
      </w:r>
      <w:r w:rsidRPr="005A0462">
        <w:rPr>
          <w:i/>
        </w:rPr>
        <w:t>See Petition of USTelecom for Forbearance Under 47 U.S.C. §</w:t>
      </w:r>
      <w:r>
        <w:rPr>
          <w:i/>
        </w:rPr>
        <w:t> </w:t>
      </w:r>
      <w:r w:rsidRPr="005A0462">
        <w:rPr>
          <w:i/>
        </w:rPr>
        <w:t>160(c) from Enforcement of Certain Legacy Telecommunications Regulations</w:t>
      </w:r>
      <w:r w:rsidRPr="005A0462">
        <w:t>, Memorandum Opinion and Order and Report and Order and Further Notice of Proposed Rulemaking and Second Further Notice of Proposed Rulemaking, 28 FCC Rcd 76</w:t>
      </w:r>
      <w:r>
        <w:t>2</w:t>
      </w:r>
      <w:r w:rsidRPr="005A0462">
        <w:t>7, 77</w:t>
      </w:r>
      <w:r w:rsidR="00CE6742">
        <w:t>06-</w:t>
      </w:r>
      <w:r w:rsidRPr="005A0462">
        <w:t>09, para</w:t>
      </w:r>
      <w:r>
        <w:t>s</w:t>
      </w:r>
      <w:r w:rsidRPr="005A0462">
        <w:t xml:space="preserve">. </w:t>
      </w:r>
      <w:r>
        <w:t>178</w:t>
      </w:r>
      <w:r w:rsidR="00120A0E">
        <w:t>–</w:t>
      </w:r>
      <w:r w:rsidRPr="005A0462">
        <w:t>187 (2013)</w:t>
      </w:r>
      <w:r>
        <w:t xml:space="preserve"> (</w:t>
      </w:r>
      <w:r w:rsidRPr="005A0462">
        <w:rPr>
          <w:i/>
        </w:rPr>
        <w:t>USTelecom Forbearance</w:t>
      </w:r>
      <w:r>
        <w:rPr>
          <w:i/>
        </w:rPr>
        <w:t xml:space="preserve"> Order</w:t>
      </w:r>
      <w:r>
        <w:t>).</w:t>
      </w:r>
      <w:r w:rsidR="001D35E1">
        <w:t xml:space="preserve">  </w:t>
      </w:r>
    </w:p>
  </w:footnote>
  <w:footnote w:id="74">
    <w:p w:rsidR="0067040C" w:rsidRDefault="0067040C">
      <w:pPr>
        <w:pStyle w:val="FootnoteText"/>
      </w:pPr>
      <w:r>
        <w:rPr>
          <w:rStyle w:val="FootnoteReference"/>
        </w:rPr>
        <w:footnoteRef/>
      </w:r>
      <w:r>
        <w:t xml:space="preserve"> </w:t>
      </w:r>
      <w:r>
        <w:rPr>
          <w:i/>
        </w:rPr>
        <w:t xml:space="preserve">See </w:t>
      </w:r>
      <w:r w:rsidRPr="00BB3B5C">
        <w:rPr>
          <w:i/>
        </w:rPr>
        <w:t>OMB Approves Prepaid Calling Card Order Reporting and Certification Rules; All Requirements Now Effective</w:t>
      </w:r>
      <w:r w:rsidRPr="00C75EC8">
        <w:t>, Public Notice, 22 FCC Rcd 2465 (Wireline Comp. Bur. 2007).</w:t>
      </w:r>
    </w:p>
  </w:footnote>
  <w:footnote w:id="75">
    <w:p w:rsidR="00EF2406" w:rsidRPr="00E67890" w:rsidRDefault="00EF2406">
      <w:pPr>
        <w:pStyle w:val="FootnoteText"/>
      </w:pPr>
      <w:r>
        <w:rPr>
          <w:rStyle w:val="FootnoteReference"/>
        </w:rPr>
        <w:footnoteRef/>
      </w:r>
      <w:r>
        <w:t xml:space="preserve"> </w:t>
      </w:r>
      <w:r w:rsidRPr="00491697">
        <w:rPr>
          <w:i/>
        </w:rPr>
        <w:t>See</w:t>
      </w:r>
      <w:r>
        <w:rPr>
          <w:i/>
        </w:rPr>
        <w:t>, e.g.</w:t>
      </w:r>
      <w:r>
        <w:t>,</w:t>
      </w:r>
      <w:r>
        <w:rPr>
          <w:i/>
        </w:rPr>
        <w:t xml:space="preserve"> </w:t>
      </w:r>
      <w:r w:rsidRPr="006A4E89">
        <w:rPr>
          <w:i/>
        </w:rPr>
        <w:t xml:space="preserve">Unipoint </w:t>
      </w:r>
      <w:r>
        <w:rPr>
          <w:i/>
        </w:rPr>
        <w:t>NAL</w:t>
      </w:r>
      <w:r w:rsidRPr="006A4E89">
        <w:rPr>
          <w:i/>
        </w:rPr>
        <w:t>,</w:t>
      </w:r>
      <w:r>
        <w:t xml:space="preserve"> 27 FCC Rcd at 12758, para. 14</w:t>
      </w:r>
      <w:r w:rsidR="00E67890">
        <w:t xml:space="preserve"> (annual Telecommunications Reporting Worksheets); </w:t>
      </w:r>
      <w:r w:rsidR="00E67890">
        <w:rPr>
          <w:i/>
        </w:rPr>
        <w:t>id.</w:t>
      </w:r>
      <w:r w:rsidR="00E67890">
        <w:t xml:space="preserve"> at 12759, para. 16 (international telecommunications traffic reports).</w:t>
      </w:r>
    </w:p>
  </w:footnote>
  <w:footnote w:id="76">
    <w:p w:rsidR="0067040C" w:rsidRPr="00042AE1" w:rsidRDefault="0067040C" w:rsidP="00A07BAC">
      <w:pPr>
        <w:pStyle w:val="FootnoteText"/>
      </w:pPr>
      <w:r>
        <w:rPr>
          <w:rStyle w:val="FootnoteReference"/>
        </w:rPr>
        <w:footnoteRef/>
      </w:r>
      <w:r>
        <w:t xml:space="preserve"> </w:t>
      </w:r>
      <w:r w:rsidRPr="003440A6">
        <w:rPr>
          <w:i/>
        </w:rPr>
        <w:t xml:space="preserve">See </w:t>
      </w:r>
      <w:r>
        <w:t xml:space="preserve">FCC, Electronic System Comment Filing (ECFS) database, Proceeding Number 05-68, Filer PTT Phone Cards, Inc., available at </w:t>
      </w:r>
      <w:r w:rsidRPr="002A4FD6">
        <w:t>http://apps.fcc.gov/ecfs/comment_search/execute?proceeding=05-68&amp;applicant=Ptt+phone</w:t>
      </w:r>
      <w:r w:rsidRPr="00CF513A">
        <w:t>+cards+&amp;lawfirm=&amp;author=&amp;disseminated.minDate=&amp;disseminated.maxDate=&amp;recieved.minDate=8%2F15%2F13&amp;recieved.</w:t>
      </w:r>
      <w:r w:rsidRPr="00042AE1">
        <w:t>maxDate=&amp;dateCommentPeriod.minDate=&amp;dateCommentPeriod.maxDate=&amp;dateReplyComment.minDate=&amp;dateReplyComment.maxDate=&amp;address.city=&amp;address.state.stateCd=&amp;address.zip=&amp;daNumber=&amp;fileNumber=&amp;bureauIdentificationNumber=&amp;reportNumber=&amp;submissionTypeId=&amp;__checkbox_exParte=true</w:t>
      </w:r>
      <w:r w:rsidRPr="00042AE1" w:rsidDel="00CF513A">
        <w:t xml:space="preserve"> </w:t>
      </w:r>
      <w:r w:rsidRPr="00042AE1">
        <w:t xml:space="preserve">(last visited Aug. 15, 2014); </w:t>
      </w:r>
      <w:r w:rsidRPr="00042AE1">
        <w:rPr>
          <w:i/>
        </w:rPr>
        <w:t>LOI supra</w:t>
      </w:r>
      <w:r w:rsidRPr="00042AE1">
        <w:t xml:space="preserve"> note 7 at Inquiry 33.</w:t>
      </w:r>
    </w:p>
  </w:footnote>
  <w:footnote w:id="77">
    <w:p w:rsidR="0067040C" w:rsidRDefault="0067040C" w:rsidP="00A07BAC">
      <w:pPr>
        <w:pStyle w:val="FootnoteText"/>
      </w:pPr>
      <w:r w:rsidRPr="00042AE1">
        <w:rPr>
          <w:rStyle w:val="FootnoteReference"/>
        </w:rPr>
        <w:footnoteRef/>
      </w:r>
      <w:r w:rsidRPr="00042AE1">
        <w:t xml:space="preserve"> </w:t>
      </w:r>
      <w:r w:rsidRPr="00042AE1">
        <w:rPr>
          <w:i/>
        </w:rPr>
        <w:t>LOI</w:t>
      </w:r>
      <w:r w:rsidRPr="00042AE1">
        <w:t xml:space="preserve"> </w:t>
      </w:r>
      <w:r w:rsidRPr="00042AE1">
        <w:rPr>
          <w:i/>
        </w:rPr>
        <w:t>supra</w:t>
      </w:r>
      <w:r w:rsidRPr="00042AE1">
        <w:t xml:space="preserve"> note </w:t>
      </w:r>
      <w:r w:rsidR="001D35E1" w:rsidRPr="00042AE1">
        <w:t>7</w:t>
      </w:r>
      <w:r w:rsidRPr="00042AE1">
        <w:t xml:space="preserve"> at 1.</w:t>
      </w:r>
    </w:p>
  </w:footnote>
  <w:footnote w:id="78">
    <w:p w:rsidR="0067040C" w:rsidRDefault="0067040C">
      <w:pPr>
        <w:pStyle w:val="FootnoteText"/>
      </w:pPr>
      <w:r>
        <w:rPr>
          <w:rStyle w:val="FootnoteReference"/>
        </w:rPr>
        <w:footnoteRef/>
      </w:r>
      <w:r>
        <w:t xml:space="preserve"> </w:t>
      </w:r>
      <w:r w:rsidRPr="00246CC5">
        <w:t>47 C.F.R. § 43.61(a).</w:t>
      </w:r>
    </w:p>
  </w:footnote>
  <w:footnote w:id="79">
    <w:p w:rsidR="0067040C" w:rsidRPr="00246CC5" w:rsidRDefault="0067040C">
      <w:pPr>
        <w:pStyle w:val="FootnoteText"/>
        <w:rPr>
          <w:i/>
        </w:rPr>
      </w:pPr>
      <w:r>
        <w:rPr>
          <w:rStyle w:val="FootnoteReference"/>
        </w:rPr>
        <w:footnoteRef/>
      </w:r>
      <w:r>
        <w:t xml:space="preserve"> </w:t>
      </w:r>
      <w:r>
        <w:rPr>
          <w:i/>
        </w:rPr>
        <w:t xml:space="preserve">Id. </w:t>
      </w:r>
    </w:p>
  </w:footnote>
  <w:footnote w:id="80">
    <w:p w:rsidR="0067040C" w:rsidRDefault="0067040C" w:rsidP="000B4983">
      <w:pPr>
        <w:pStyle w:val="FootnoteText"/>
      </w:pPr>
      <w:r>
        <w:rPr>
          <w:rStyle w:val="FootnoteReference"/>
        </w:rPr>
        <w:footnoteRef/>
      </w:r>
      <w:r>
        <w:t xml:space="preserve"> </w:t>
      </w:r>
      <w:r>
        <w:rPr>
          <w:i/>
        </w:rPr>
        <w:t>Unipoint NAL</w:t>
      </w:r>
      <w:r w:rsidRPr="006272B0">
        <w:t>, 27 FCC Rcd</w:t>
      </w:r>
      <w:r>
        <w:t xml:space="preserve"> at 12759, para. 16</w:t>
      </w:r>
      <w:r w:rsidRPr="006272B0">
        <w:t>.</w:t>
      </w:r>
      <w:r>
        <w:t xml:space="preserve">  </w:t>
      </w:r>
    </w:p>
  </w:footnote>
  <w:footnote w:id="81">
    <w:p w:rsidR="0067040C" w:rsidRPr="008467C0" w:rsidRDefault="0067040C">
      <w:pPr>
        <w:pStyle w:val="FootnoteText"/>
      </w:pPr>
      <w:r>
        <w:rPr>
          <w:rStyle w:val="FootnoteReference"/>
        </w:rPr>
        <w:footnoteRef/>
      </w:r>
      <w:r>
        <w:t xml:space="preserve"> </w:t>
      </w:r>
      <w:r w:rsidR="001D35E1" w:rsidRPr="00834B9F">
        <w:rPr>
          <w:i/>
        </w:rPr>
        <w:t xml:space="preserve">See </w:t>
      </w:r>
      <w:r w:rsidR="001D35E1">
        <w:t xml:space="preserve">Letter from Alonzo Beyene, Industry Assurance Consulting, Inc., Consultant to PTT Phone Cards, Inc., to Marlene H. Dortch, </w:t>
      </w:r>
      <w:r w:rsidR="001D35E1" w:rsidRPr="00042AE1">
        <w:t>Secretary, FCC (filed Feb. 20, 2014) (re:  Submission of Traffic Report for CY 2010, CY 2011 and C</w:t>
      </w:r>
      <w:r w:rsidR="00067D83" w:rsidRPr="00042AE1">
        <w:t>Y</w:t>
      </w:r>
      <w:r w:rsidR="001D35E1" w:rsidRPr="00042AE1">
        <w:t xml:space="preserve"> 2012) (on file in </w:t>
      </w:r>
      <w:r w:rsidR="001D35E1" w:rsidRPr="00042AE1">
        <w:rPr>
          <w:spacing w:val="-2"/>
        </w:rPr>
        <w:t>EB-IHD-13-00011669</w:t>
      </w:r>
      <w:r w:rsidR="001D35E1" w:rsidRPr="00042AE1">
        <w:t xml:space="preserve">); </w:t>
      </w:r>
      <w:r w:rsidR="001D35E1" w:rsidRPr="00042AE1">
        <w:rPr>
          <w:i/>
        </w:rPr>
        <w:t>LOI supra</w:t>
      </w:r>
      <w:r w:rsidR="001D35E1" w:rsidRPr="00042AE1">
        <w:t xml:space="preserve"> note 7 at Inquiry 24; </w:t>
      </w:r>
      <w:r w:rsidR="001D35E1" w:rsidRPr="00042AE1">
        <w:rPr>
          <w:i/>
        </w:rPr>
        <w:t xml:space="preserve">Apr. 12, 2013 U.S. Postal </w:t>
      </w:r>
      <w:r w:rsidR="001D35E1" w:rsidRPr="008467C0">
        <w:rPr>
          <w:i/>
        </w:rPr>
        <w:t>Receipt supra</w:t>
      </w:r>
      <w:r w:rsidR="001D35E1" w:rsidRPr="008467C0">
        <w:t xml:space="preserve"> note 2</w:t>
      </w:r>
      <w:r w:rsidR="00AF336C">
        <w:t>1</w:t>
      </w:r>
      <w:r w:rsidR="001D35E1" w:rsidRPr="008467C0">
        <w:t xml:space="preserve">. </w:t>
      </w:r>
    </w:p>
  </w:footnote>
  <w:footnote w:id="82">
    <w:p w:rsidR="008467C0" w:rsidRDefault="008467C0">
      <w:pPr>
        <w:pStyle w:val="FootnoteText"/>
      </w:pPr>
      <w:r w:rsidRPr="008467C0">
        <w:rPr>
          <w:rStyle w:val="FootnoteReference"/>
        </w:rPr>
        <w:footnoteRef/>
      </w:r>
      <w:r w:rsidRPr="008467C0">
        <w:t xml:space="preserve"> CPNI is defined as “(A) information that relates to the quantity, technical configuration, type, destination, location, and amount of use of a telecommunications service subscribed to by any customer of a telecommunications carrier, and that is made available to the carrier by the customer solely by virtue</w:t>
      </w:r>
      <w:bookmarkStart w:id="28" w:name="sp_1511_6931"/>
      <w:bookmarkStart w:id="29" w:name="SDU_6931"/>
      <w:bookmarkEnd w:id="28"/>
      <w:bookmarkEnd w:id="29"/>
      <w:r w:rsidRPr="008467C0">
        <w:t xml:space="preserve"> of the carrier-customer relationship; and (B) information contained in the bills pertaining to telephone exchange service or telephone toll service received by a customer of a carrier.”</w:t>
      </w:r>
      <w:r w:rsidRPr="008467C0">
        <w:rPr>
          <w:vertAlign w:val="superscript"/>
        </w:rPr>
        <w:t xml:space="preserve"> </w:t>
      </w:r>
      <w:r w:rsidRPr="008467C0">
        <w:t> </w:t>
      </w:r>
      <w:r w:rsidR="00B95A79">
        <w:t xml:space="preserve">47 U.S.C </w:t>
      </w:r>
      <w:r w:rsidR="00B95A79" w:rsidRPr="005E73B7">
        <w:t>§ 222</w:t>
      </w:r>
      <w:r w:rsidR="00B95A79">
        <w:t xml:space="preserve">(h)(1). </w:t>
      </w:r>
    </w:p>
  </w:footnote>
  <w:footnote w:id="83">
    <w:p w:rsidR="0067040C" w:rsidRPr="005E73B7" w:rsidRDefault="0067040C">
      <w:pPr>
        <w:pStyle w:val="FootnoteText"/>
      </w:pPr>
      <w:r>
        <w:rPr>
          <w:rStyle w:val="FootnoteReference"/>
        </w:rPr>
        <w:footnoteRef/>
      </w:r>
      <w:r>
        <w:t xml:space="preserve"> </w:t>
      </w:r>
      <w:r w:rsidRPr="005E73B7">
        <w:rPr>
          <w:i/>
        </w:rPr>
        <w:t xml:space="preserve">See </w:t>
      </w:r>
      <w:r w:rsidRPr="005E73B7">
        <w:t>47 U.S.C § 222.</w:t>
      </w:r>
    </w:p>
  </w:footnote>
  <w:footnote w:id="84">
    <w:p w:rsidR="0067040C" w:rsidRDefault="0067040C">
      <w:pPr>
        <w:pStyle w:val="FootnoteText"/>
      </w:pPr>
      <w:r>
        <w:rPr>
          <w:rStyle w:val="FootnoteReference"/>
        </w:rPr>
        <w:footnoteRef/>
      </w:r>
      <w:r>
        <w:t xml:space="preserve"> </w:t>
      </w:r>
      <w:r w:rsidRPr="005E73B7">
        <w:t>47 C.F.R. §§ 64.2001</w:t>
      </w:r>
      <w:r>
        <w:t>–</w:t>
      </w:r>
      <w:hyperlink r:id="rId2" w:tgtFrame="_top" w:history="1">
        <w:r w:rsidRPr="005E73B7">
          <w:t>2011</w:t>
        </w:r>
      </w:hyperlink>
      <w:r w:rsidRPr="005E73B7">
        <w:t>.</w:t>
      </w:r>
    </w:p>
  </w:footnote>
  <w:footnote w:id="85">
    <w:p w:rsidR="0067040C" w:rsidRDefault="0067040C">
      <w:pPr>
        <w:pStyle w:val="FootnoteText"/>
      </w:pPr>
      <w:r>
        <w:rPr>
          <w:rStyle w:val="FootnoteReference"/>
        </w:rPr>
        <w:footnoteRef/>
      </w:r>
      <w:r>
        <w:t xml:space="preserve"> </w:t>
      </w:r>
      <w:r w:rsidRPr="005E73B7">
        <w:t>47 C.F.R. § 64.2009(e)</w:t>
      </w:r>
      <w:r>
        <w:t xml:space="preserve">; </w:t>
      </w:r>
      <w:r w:rsidRPr="00D50255">
        <w:rPr>
          <w:i/>
        </w:rPr>
        <w:t>s</w:t>
      </w:r>
      <w:r w:rsidRPr="005E73B7">
        <w:rPr>
          <w:i/>
        </w:rPr>
        <w:t>ee also</w:t>
      </w:r>
      <w:r>
        <w:rPr>
          <w:i/>
        </w:rPr>
        <w:t>, e.g.</w:t>
      </w:r>
      <w:r>
        <w:t>,</w:t>
      </w:r>
      <w:r w:rsidRPr="005E73B7">
        <w:rPr>
          <w:i/>
        </w:rPr>
        <w:t xml:space="preserve"> Enforcement Advisory No. 2011-02</w:t>
      </w:r>
      <w:r w:rsidRPr="005E73B7">
        <w:t>,</w:t>
      </w:r>
      <w:r>
        <w:t xml:space="preserve"> </w:t>
      </w:r>
      <w:r w:rsidRPr="00D87BF8">
        <w:rPr>
          <w:i/>
        </w:rPr>
        <w:t>Telecommunications Carriers and Interconnected VoIP Providers Reminded of Requirement to File Annual Reports Certifying Compliance with Commission Rules Protecting Customer Proprietary Network Information</w:t>
      </w:r>
      <w:r>
        <w:t xml:space="preserve">, </w:t>
      </w:r>
      <w:r w:rsidR="003E17C1">
        <w:t xml:space="preserve">Public Notice, </w:t>
      </w:r>
      <w:r w:rsidRPr="002D2E3A">
        <w:t>26 FCC</w:t>
      </w:r>
      <w:r>
        <w:t xml:space="preserve"> </w:t>
      </w:r>
      <w:r w:rsidRPr="002D2E3A">
        <w:t>R</w:t>
      </w:r>
      <w:r>
        <w:t>cd</w:t>
      </w:r>
      <w:r w:rsidRPr="002D2E3A">
        <w:t xml:space="preserve"> 650</w:t>
      </w:r>
      <w:r w:rsidRPr="005E73B7">
        <w:t xml:space="preserve"> (</w:t>
      </w:r>
      <w:r>
        <w:t>Enf. Bur.</w:t>
      </w:r>
      <w:r w:rsidRPr="005E73B7">
        <w:t xml:space="preserve"> 2011)</w:t>
      </w:r>
      <w:r>
        <w:t xml:space="preserve">. </w:t>
      </w:r>
    </w:p>
  </w:footnote>
  <w:footnote w:id="86">
    <w:p w:rsidR="00B10031" w:rsidRPr="00211B08" w:rsidRDefault="00B10031" w:rsidP="00B10031">
      <w:pPr>
        <w:pStyle w:val="FootnoteText"/>
      </w:pPr>
      <w:r w:rsidRPr="00F75B50">
        <w:rPr>
          <w:rStyle w:val="FootnoteReference"/>
        </w:rPr>
        <w:footnoteRef/>
      </w:r>
      <w:r w:rsidRPr="00F75B50">
        <w:t xml:space="preserve"> </w:t>
      </w:r>
      <w:r w:rsidRPr="00F75B50">
        <w:rPr>
          <w:i/>
        </w:rPr>
        <w:t>USA Teleport, Inc.</w:t>
      </w:r>
      <w:r w:rsidR="00F458BE" w:rsidRPr="00F75B50">
        <w:t>,</w:t>
      </w:r>
      <w:r w:rsidRPr="00F75B50">
        <w:rPr>
          <w:i/>
        </w:rPr>
        <w:t xml:space="preserve"> </w:t>
      </w:r>
      <w:r w:rsidRPr="00F75B50">
        <w:t>Order on Review</w:t>
      </w:r>
      <w:r w:rsidRPr="00ED5E87">
        <w:t>, 28 FCC Rcd 525</w:t>
      </w:r>
      <w:r>
        <w:t>, 530 n.41</w:t>
      </w:r>
      <w:r w:rsidRPr="00ED5E87">
        <w:t xml:space="preserve"> (2013)</w:t>
      </w:r>
      <w:r>
        <w:t xml:space="preserve"> (</w:t>
      </w:r>
      <w:r>
        <w:rPr>
          <w:i/>
        </w:rPr>
        <w:t xml:space="preserve">USA Teleport Review </w:t>
      </w:r>
      <w:r w:rsidRPr="00B5344A">
        <w:rPr>
          <w:i/>
        </w:rPr>
        <w:t>Order</w:t>
      </w:r>
      <w:r>
        <w:t>);</w:t>
      </w:r>
    </w:p>
  </w:footnote>
  <w:footnote w:id="87">
    <w:p w:rsidR="0067040C" w:rsidRDefault="0067040C" w:rsidP="003C5850">
      <w:pPr>
        <w:pStyle w:val="FootnoteText"/>
      </w:pPr>
      <w:r>
        <w:rPr>
          <w:rStyle w:val="FootnoteReference"/>
        </w:rPr>
        <w:footnoteRef/>
      </w:r>
      <w:r>
        <w:t xml:space="preserve"> </w:t>
      </w:r>
      <w:r w:rsidRPr="00834B9F">
        <w:rPr>
          <w:i/>
        </w:rPr>
        <w:t xml:space="preserve">See </w:t>
      </w:r>
      <w:r>
        <w:t xml:space="preserve">Letter from Alonzo Beyene, Industry Assurance Consulting, Inc., Regulatory Analyst on behalf of PTT Phone Cards, Inc., to Marlene H. Dortch, Secretary, FCC (filed Apr. 16, 2013) (re: EB Docket No. 06-36, CPNI Certification due March 1, 2011 (FY 2010 operations)) (on file in </w:t>
      </w:r>
      <w:r>
        <w:rPr>
          <w:spacing w:val="-2"/>
        </w:rPr>
        <w:t>EB-IHD-13-00011669</w:t>
      </w:r>
      <w:r>
        <w:t>) (</w:t>
      </w:r>
      <w:r>
        <w:rPr>
          <w:i/>
        </w:rPr>
        <w:t>2011 CPNI Filing</w:t>
      </w:r>
      <w:r>
        <w:t>);</w:t>
      </w:r>
      <w:r w:rsidRPr="00834B9F">
        <w:rPr>
          <w:i/>
        </w:rPr>
        <w:t xml:space="preserve"> </w:t>
      </w:r>
      <w:r>
        <w:t xml:space="preserve">Letter from Alonzo Beyene, Industry Assurance Consulting, Inc., Regulatory Analyst on behalf of PTT Phone Cards, Inc., to Marlene H. Dortch, Secretary, FCC (filed Apr. 16, 2013) (re: EB Docket No. 06-36, CPNI Certification due March 1, 2012 (FY 2011 operations)) (on file in </w:t>
      </w:r>
      <w:r>
        <w:rPr>
          <w:spacing w:val="-2"/>
        </w:rPr>
        <w:t>EB-IHD-13-00011669</w:t>
      </w:r>
      <w:r>
        <w:t>)</w:t>
      </w:r>
      <w:r w:rsidRPr="00531557">
        <w:rPr>
          <w:i/>
        </w:rPr>
        <w:t xml:space="preserve"> </w:t>
      </w:r>
      <w:r w:rsidRPr="00D87BF8">
        <w:t>(</w:t>
      </w:r>
      <w:r>
        <w:rPr>
          <w:i/>
        </w:rPr>
        <w:t>2012 CPNI Filing</w:t>
      </w:r>
      <w:r w:rsidRPr="00D87BF8">
        <w:t>)</w:t>
      </w:r>
      <w:r w:rsidRPr="009E6920">
        <w:t>;</w:t>
      </w:r>
      <w:r>
        <w:t xml:space="preserve"> </w:t>
      </w:r>
      <w:r w:rsidRPr="00834B9F">
        <w:rPr>
          <w:i/>
        </w:rPr>
        <w:t xml:space="preserve">See </w:t>
      </w:r>
      <w:r>
        <w:t xml:space="preserve">Letter from Alonzo Beyene, Industry Assurance Consulting, Inc., Regulatory Analyst on behalf of PTT Phone Cards, Inc., to Marlene H. Dortch, Secretary, FCC (filed Apr. 16, 2013) (re: EB Docket No. 06-36, CPNI Certification due March 1, 2013 (FY 2012 operations)) (on file in </w:t>
      </w:r>
      <w:r>
        <w:rPr>
          <w:spacing w:val="-2"/>
        </w:rPr>
        <w:t>EB-IHD-13-00011669</w:t>
      </w:r>
      <w:r>
        <w:t>)</w:t>
      </w:r>
      <w:r w:rsidRPr="00531557">
        <w:rPr>
          <w:i/>
        </w:rPr>
        <w:t xml:space="preserve"> </w:t>
      </w:r>
      <w:r w:rsidRPr="00D87BF8">
        <w:t>(</w:t>
      </w:r>
      <w:r>
        <w:rPr>
          <w:i/>
        </w:rPr>
        <w:t>2013 CPNI Filing</w:t>
      </w:r>
      <w:r w:rsidRPr="00D87BF8">
        <w:t>)</w:t>
      </w:r>
      <w:r>
        <w:t xml:space="preserve">; FCC, CPNI Data Base, </w:t>
      </w:r>
      <w:r w:rsidRPr="003440A6">
        <w:rPr>
          <w:i/>
        </w:rPr>
        <w:t>available at</w:t>
      </w:r>
      <w:r>
        <w:t xml:space="preserve"> </w:t>
      </w:r>
      <w:r w:rsidRPr="006E42B9">
        <w:t>http://apps.fcc.gov/eb/CPNI</w:t>
      </w:r>
      <w:r>
        <w:t xml:space="preserve"> (record of PTT’s 2014 CPNI filing is available by searching the CPNI database according to PTT’s filer ID number)</w:t>
      </w:r>
      <w:r w:rsidRPr="008A7BAB">
        <w:t xml:space="preserve"> </w:t>
      </w:r>
      <w:r>
        <w:t>(last visited Jun</w:t>
      </w:r>
      <w:r w:rsidR="001117B7">
        <w:t>e</w:t>
      </w:r>
      <w:r>
        <w:t xml:space="preserve"> 9, 2014)</w:t>
      </w:r>
      <w:r w:rsidR="00770AB9">
        <w:t xml:space="preserve"> </w:t>
      </w:r>
      <w:r>
        <w:t xml:space="preserve">(on file in </w:t>
      </w:r>
      <w:r>
        <w:rPr>
          <w:spacing w:val="-2"/>
        </w:rPr>
        <w:t>EB-IHD-13-00011669</w:t>
      </w:r>
      <w:r>
        <w:t>)</w:t>
      </w:r>
      <w:r w:rsidRPr="00531557">
        <w:rPr>
          <w:i/>
        </w:rPr>
        <w:t xml:space="preserve"> </w:t>
      </w:r>
      <w:r w:rsidRPr="00D87BF8">
        <w:t>(</w:t>
      </w:r>
      <w:r>
        <w:rPr>
          <w:i/>
        </w:rPr>
        <w:t>2014 CPNI Filing</w:t>
      </w:r>
      <w:r w:rsidRPr="00D87BF8">
        <w:t>)</w:t>
      </w:r>
      <w:r>
        <w:t>.</w:t>
      </w:r>
    </w:p>
  </w:footnote>
  <w:footnote w:id="88">
    <w:p w:rsidR="0067040C" w:rsidRDefault="0067040C" w:rsidP="003C5850">
      <w:pPr>
        <w:pStyle w:val="FootnoteText"/>
      </w:pPr>
      <w:r>
        <w:rPr>
          <w:rStyle w:val="FootnoteReference"/>
        </w:rPr>
        <w:footnoteRef/>
      </w:r>
      <w:r>
        <w:t xml:space="preserve"> </w:t>
      </w:r>
      <w:r w:rsidRPr="003440A6">
        <w:rPr>
          <w:i/>
        </w:rPr>
        <w:t xml:space="preserve">See </w:t>
      </w:r>
      <w:r>
        <w:rPr>
          <w:i/>
        </w:rPr>
        <w:t>2011 CPNI Filing</w:t>
      </w:r>
      <w:r w:rsidRPr="006E42B9">
        <w:t xml:space="preserve">; </w:t>
      </w:r>
      <w:r>
        <w:rPr>
          <w:i/>
        </w:rPr>
        <w:t>2012 CPNI Filing</w:t>
      </w:r>
      <w:r w:rsidRPr="006E42B9">
        <w:t>;</w:t>
      </w:r>
      <w:r>
        <w:rPr>
          <w:i/>
        </w:rPr>
        <w:t xml:space="preserve"> 2013 CPNI Filing. </w:t>
      </w:r>
    </w:p>
  </w:footnote>
  <w:footnote w:id="89">
    <w:p w:rsidR="0067040C" w:rsidRPr="00042AE1" w:rsidRDefault="0067040C" w:rsidP="003C5850">
      <w:pPr>
        <w:pStyle w:val="FootnoteText"/>
      </w:pPr>
      <w:r>
        <w:rPr>
          <w:rStyle w:val="FootnoteReference"/>
        </w:rPr>
        <w:footnoteRef/>
      </w:r>
      <w:r>
        <w:t xml:space="preserve"> </w:t>
      </w:r>
      <w:r w:rsidRPr="00436FF2">
        <w:rPr>
          <w:i/>
        </w:rPr>
        <w:t>See</w:t>
      </w:r>
      <w:r w:rsidRPr="00742407">
        <w:rPr>
          <w:i/>
        </w:rPr>
        <w:t xml:space="preserve"> </w:t>
      </w:r>
      <w:r w:rsidRPr="00042AE1">
        <w:rPr>
          <w:i/>
        </w:rPr>
        <w:t>LOI supra</w:t>
      </w:r>
      <w:r w:rsidRPr="00042AE1">
        <w:t xml:space="preserve"> note 7 at Inquiry 34.  </w:t>
      </w:r>
    </w:p>
  </w:footnote>
  <w:footnote w:id="90">
    <w:p w:rsidR="0067040C" w:rsidRDefault="0067040C" w:rsidP="003C5850">
      <w:pPr>
        <w:pStyle w:val="FootnoteText"/>
      </w:pPr>
      <w:r w:rsidRPr="00042AE1">
        <w:rPr>
          <w:rStyle w:val="FootnoteReference"/>
        </w:rPr>
        <w:footnoteRef/>
      </w:r>
      <w:r w:rsidRPr="00042AE1">
        <w:t xml:space="preserve"> </w:t>
      </w:r>
      <w:r w:rsidRPr="00042AE1">
        <w:rPr>
          <w:i/>
        </w:rPr>
        <w:t>See</w:t>
      </w:r>
      <w:r w:rsidRPr="00042AE1">
        <w:t xml:space="preserve"> </w:t>
      </w:r>
      <w:r w:rsidRPr="00042AE1">
        <w:rPr>
          <w:i/>
        </w:rPr>
        <w:t>2014 CPNI Filing</w:t>
      </w:r>
      <w:r w:rsidR="001D35E1" w:rsidRPr="00042AE1">
        <w:rPr>
          <w:i/>
        </w:rPr>
        <w:t xml:space="preserve"> supra </w:t>
      </w:r>
      <w:r w:rsidR="001D35E1" w:rsidRPr="00042AE1">
        <w:t xml:space="preserve">note </w:t>
      </w:r>
      <w:r w:rsidR="00042AE1" w:rsidRPr="00042AE1">
        <w:t>8</w:t>
      </w:r>
      <w:r w:rsidR="003726A3">
        <w:t>6</w:t>
      </w:r>
      <w:r w:rsidRPr="00042AE1">
        <w:rPr>
          <w:i/>
        </w:rPr>
        <w:t>.</w:t>
      </w:r>
    </w:p>
  </w:footnote>
  <w:footnote w:id="91">
    <w:p w:rsidR="0067040C" w:rsidRDefault="0067040C" w:rsidP="002824D8">
      <w:pPr>
        <w:pStyle w:val="FootnoteText"/>
      </w:pPr>
      <w:r>
        <w:rPr>
          <w:rStyle w:val="FootnoteReference"/>
        </w:rPr>
        <w:footnoteRef/>
      </w:r>
      <w:r>
        <w:t xml:space="preserve"> </w:t>
      </w:r>
      <w:r w:rsidRPr="006E42B9">
        <w:rPr>
          <w:i/>
        </w:rPr>
        <w:t>See</w:t>
      </w:r>
      <w:r>
        <w:t xml:space="preserve"> 47 U.S.C. § 503(b)(1)(B). </w:t>
      </w:r>
    </w:p>
  </w:footnote>
  <w:footnote w:id="92">
    <w:p w:rsidR="0067040C" w:rsidRDefault="0067040C" w:rsidP="002824D8">
      <w:pPr>
        <w:pStyle w:val="FootnoteText"/>
      </w:pPr>
      <w:r>
        <w:rPr>
          <w:rStyle w:val="FootnoteReference"/>
        </w:rPr>
        <w:footnoteRef/>
      </w:r>
      <w:r>
        <w:t xml:space="preserve"> </w:t>
      </w:r>
      <w:r w:rsidR="00770AB9">
        <w:rPr>
          <w:i/>
        </w:rPr>
        <w:t xml:space="preserve">See </w:t>
      </w:r>
      <w:r>
        <w:t>47 U.S.C. § 312(f)(1).</w:t>
      </w:r>
    </w:p>
  </w:footnote>
  <w:footnote w:id="93">
    <w:p w:rsidR="0067040C" w:rsidRDefault="0067040C" w:rsidP="002824D8">
      <w:pPr>
        <w:pStyle w:val="FootnoteText"/>
      </w:pPr>
      <w:r>
        <w:rPr>
          <w:rStyle w:val="FootnoteReference"/>
        </w:rPr>
        <w:footnoteRef/>
      </w:r>
      <w:r>
        <w:t xml:space="preserve"> </w:t>
      </w:r>
      <w:r w:rsidRPr="00D92027">
        <w:rPr>
          <w:i/>
        </w:rPr>
        <w:t xml:space="preserve">See </w:t>
      </w:r>
      <w:r>
        <w:t>H.R. Rep. No. 97-765, 97</w:t>
      </w:r>
      <w:r w:rsidR="005A4B28">
        <w:t>th</w:t>
      </w:r>
      <w:r>
        <w:t xml:space="preserve"> Cong. 2d Sess. 51 (1982).</w:t>
      </w:r>
    </w:p>
  </w:footnote>
  <w:footnote w:id="94">
    <w:p w:rsidR="0067040C" w:rsidRDefault="0067040C" w:rsidP="002824D8">
      <w:pPr>
        <w:pStyle w:val="FootnoteText"/>
      </w:pPr>
      <w:r>
        <w:rPr>
          <w:rStyle w:val="FootnoteReference"/>
        </w:rPr>
        <w:footnoteRef/>
      </w:r>
      <w:r>
        <w:t xml:space="preserve"> </w:t>
      </w:r>
      <w:r w:rsidRPr="00D92027">
        <w:rPr>
          <w:i/>
        </w:rPr>
        <w:t>See, e.g.</w:t>
      </w:r>
      <w:r w:rsidRPr="00E90845">
        <w:t>,</w:t>
      </w:r>
      <w:r w:rsidRPr="00D92027">
        <w:rPr>
          <w:i/>
        </w:rPr>
        <w:t xml:space="preserve"> Southern California Broadcasting Co.</w:t>
      </w:r>
      <w:r>
        <w:t>, Memorandum Opinion and Order, 6 FCC Rcd 4387, 4388, para. 5 (1991) (</w:t>
      </w:r>
      <w:r w:rsidRPr="00AB1D83">
        <w:rPr>
          <w:i/>
        </w:rPr>
        <w:t>Southern California Broadcasting</w:t>
      </w:r>
      <w:r>
        <w:t xml:space="preserve">). </w:t>
      </w:r>
    </w:p>
  </w:footnote>
  <w:footnote w:id="95">
    <w:p w:rsidR="0067040C" w:rsidRDefault="0067040C" w:rsidP="002824D8">
      <w:pPr>
        <w:pStyle w:val="FootnoteText"/>
      </w:pPr>
      <w:r>
        <w:rPr>
          <w:rStyle w:val="FootnoteReference"/>
        </w:rPr>
        <w:footnoteRef/>
      </w:r>
      <w:r>
        <w:t xml:space="preserve"> </w:t>
      </w:r>
      <w:r w:rsidRPr="003E6D83">
        <w:rPr>
          <w:i/>
        </w:rPr>
        <w:t>See, e.g.</w:t>
      </w:r>
      <w:r w:rsidRPr="00E90845">
        <w:t>,</w:t>
      </w:r>
      <w:r w:rsidRPr="003E6D83">
        <w:rPr>
          <w:i/>
        </w:rPr>
        <w:t xml:space="preserve"> Callais Cablevision, Inc.</w:t>
      </w:r>
      <w:r>
        <w:t>, Notice of Apparent Liability for Monetary Forfeiture, 16 FCC Rcd 1359, 1362, para. 10 (2001) (</w:t>
      </w:r>
      <w:r w:rsidRPr="003E6D83">
        <w:rPr>
          <w:i/>
        </w:rPr>
        <w:t>Callais Cablevision</w:t>
      </w:r>
      <w:r>
        <w:t xml:space="preserve">) (issuing an NAL for, </w:t>
      </w:r>
      <w:r w:rsidRPr="003E6D83">
        <w:rPr>
          <w:i/>
        </w:rPr>
        <w:t>inter alia</w:t>
      </w:r>
      <w:r>
        <w:t xml:space="preserve">, a cable television operator’s repeated violation of the cable signal leakage rules). </w:t>
      </w:r>
    </w:p>
  </w:footnote>
  <w:footnote w:id="96">
    <w:p w:rsidR="0067040C" w:rsidRDefault="0067040C" w:rsidP="002824D8">
      <w:pPr>
        <w:pStyle w:val="FootnoteText"/>
      </w:pPr>
      <w:r>
        <w:rPr>
          <w:rStyle w:val="FootnoteReference"/>
        </w:rPr>
        <w:footnoteRef/>
      </w:r>
      <w:r>
        <w:t xml:space="preserve"> </w:t>
      </w:r>
      <w:r w:rsidRPr="003E6D83">
        <w:rPr>
          <w:i/>
        </w:rPr>
        <w:t>Southern California Broadcasting, Inc.</w:t>
      </w:r>
      <w:r>
        <w:t xml:space="preserve">, 6 FCC Rcd at 4388, para. 5; </w:t>
      </w:r>
      <w:r w:rsidRPr="003E6D83">
        <w:rPr>
          <w:i/>
        </w:rPr>
        <w:t>Callais Cablevision</w:t>
      </w:r>
      <w:r>
        <w:t>, 16 FCC Rcd at 1362, para. 9.</w:t>
      </w:r>
    </w:p>
  </w:footnote>
  <w:footnote w:id="97">
    <w:p w:rsidR="0067040C" w:rsidRDefault="0067040C" w:rsidP="002824D8">
      <w:pPr>
        <w:pStyle w:val="FootnoteText"/>
      </w:pPr>
      <w:r>
        <w:rPr>
          <w:rStyle w:val="FootnoteReference"/>
        </w:rPr>
        <w:footnoteRef/>
      </w:r>
      <w:r>
        <w:t xml:space="preserve"> </w:t>
      </w:r>
      <w:r w:rsidRPr="003E6D83">
        <w:rPr>
          <w:i/>
        </w:rPr>
        <w:t xml:space="preserve">See </w:t>
      </w:r>
      <w:r>
        <w:t>47 U.S.C. § 503(b); 47 C.F.R. § 1.80(f).</w:t>
      </w:r>
    </w:p>
  </w:footnote>
  <w:footnote w:id="98">
    <w:p w:rsidR="0067040C" w:rsidRDefault="0067040C" w:rsidP="002824D8">
      <w:pPr>
        <w:pStyle w:val="FootnoteText"/>
      </w:pPr>
      <w:r>
        <w:rPr>
          <w:rStyle w:val="FootnoteReference"/>
        </w:rPr>
        <w:footnoteRef/>
      </w:r>
      <w:r>
        <w:t xml:space="preserve"> </w:t>
      </w:r>
      <w:r w:rsidRPr="007C516C">
        <w:rPr>
          <w:i/>
        </w:rPr>
        <w:t>See, e.g., SBC Communications, Inc.</w:t>
      </w:r>
      <w:r>
        <w:t>, Forfeiture Order, 17 FCC Rcd 7589, 7591, para. 9.</w:t>
      </w:r>
    </w:p>
  </w:footnote>
  <w:footnote w:id="99">
    <w:p w:rsidR="0067040C" w:rsidRDefault="0067040C" w:rsidP="002E2425">
      <w:pPr>
        <w:pStyle w:val="FootnoteText"/>
      </w:pPr>
      <w:r>
        <w:rPr>
          <w:rStyle w:val="FootnoteReference"/>
        </w:rPr>
        <w:footnoteRef/>
      </w:r>
      <w:r>
        <w:t xml:space="preserve"> </w:t>
      </w:r>
      <w:r w:rsidRPr="00424A9F">
        <w:rPr>
          <w:i/>
        </w:rPr>
        <w:t xml:space="preserve">See </w:t>
      </w:r>
      <w:r>
        <w:t>47 U.S.C. §§ 214 (a), 222, 251(e)(2); 47 C.F.R. §§ 1.1154, 1.1157, 43.61, 52.32, 54.711, 63.18, 64.604(c)(5)(iii), 64.2009(e), 64.5001(c)(3).</w:t>
      </w:r>
    </w:p>
  </w:footnote>
  <w:footnote w:id="100">
    <w:p w:rsidR="0067040C" w:rsidRDefault="0067040C" w:rsidP="002824D8">
      <w:pPr>
        <w:pStyle w:val="FootnoteText"/>
      </w:pPr>
      <w:r>
        <w:rPr>
          <w:rStyle w:val="FootnoteReference"/>
        </w:rPr>
        <w:footnoteRef/>
      </w:r>
      <w:r>
        <w:t xml:space="preserve"> </w:t>
      </w:r>
      <w:r w:rsidRPr="006041E9">
        <w:rPr>
          <w:i/>
        </w:rPr>
        <w:t>See supra</w:t>
      </w:r>
      <w:r>
        <w:t xml:space="preserve"> paras. </w:t>
      </w:r>
      <w:r w:rsidR="00770AB9">
        <w:t>7</w:t>
      </w:r>
      <w:r>
        <w:t>–</w:t>
      </w:r>
      <w:r w:rsidR="00770AB9">
        <w:t>9</w:t>
      </w:r>
      <w:r>
        <w:t>.</w:t>
      </w:r>
    </w:p>
  </w:footnote>
  <w:footnote w:id="101">
    <w:p w:rsidR="0067040C" w:rsidRDefault="0067040C" w:rsidP="002824D8">
      <w:pPr>
        <w:pStyle w:val="FootnoteText"/>
      </w:pPr>
      <w:r>
        <w:rPr>
          <w:rStyle w:val="FootnoteReference"/>
        </w:rPr>
        <w:footnoteRef/>
      </w:r>
      <w:r>
        <w:t xml:space="preserve"> </w:t>
      </w:r>
      <w:r w:rsidRPr="005F3E07">
        <w:rPr>
          <w:i/>
        </w:rPr>
        <w:t>See</w:t>
      </w:r>
      <w:r>
        <w:t xml:space="preserve"> 47 U.S.C. § 214(a).</w:t>
      </w:r>
    </w:p>
  </w:footnote>
  <w:footnote w:id="102">
    <w:p w:rsidR="0067040C" w:rsidRDefault="0067040C" w:rsidP="002824D8">
      <w:pPr>
        <w:pStyle w:val="FootnoteText"/>
      </w:pPr>
      <w:r>
        <w:rPr>
          <w:rStyle w:val="FootnoteReference"/>
        </w:rPr>
        <w:footnoteRef/>
      </w:r>
      <w:r>
        <w:t xml:space="preserve"> </w:t>
      </w:r>
      <w:r w:rsidRPr="005F3E07">
        <w:rPr>
          <w:i/>
        </w:rPr>
        <w:t>See, e.g.</w:t>
      </w:r>
      <w:r>
        <w:t>, 47</w:t>
      </w:r>
      <w:r w:rsidRPr="005F3E07">
        <w:t xml:space="preserve"> </w:t>
      </w:r>
      <w:r>
        <w:t xml:space="preserve">C.F.R. §§ 63.12, 63.18, 63.20, 63.21, 63.23; </w:t>
      </w:r>
      <w:r w:rsidRPr="005F3E07">
        <w:rPr>
          <w:i/>
        </w:rPr>
        <w:t xml:space="preserve">see also </w:t>
      </w:r>
      <w:r w:rsidR="005A4B28" w:rsidRPr="00D3498F">
        <w:rPr>
          <w:i/>
        </w:rPr>
        <w:t>1998 International Biennial Review Order</w:t>
      </w:r>
      <w:r>
        <w:t xml:space="preserve">, 14 FCC Rcd 4909; </w:t>
      </w:r>
      <w:r w:rsidRPr="00AB1D83">
        <w:rPr>
          <w:i/>
        </w:rPr>
        <w:t>Regulation of International Common Carrier Services</w:t>
      </w:r>
      <w:r>
        <w:t xml:space="preserve">, Report and Order, 7 FCC Rcd 7331 (1992). </w:t>
      </w:r>
    </w:p>
  </w:footnote>
  <w:footnote w:id="103">
    <w:p w:rsidR="0067040C" w:rsidRDefault="0067040C" w:rsidP="002824D8">
      <w:pPr>
        <w:pStyle w:val="FootnoteText"/>
      </w:pPr>
      <w:r>
        <w:rPr>
          <w:rStyle w:val="FootnoteReference"/>
        </w:rPr>
        <w:footnoteRef/>
      </w:r>
      <w:r>
        <w:t xml:space="preserve"> For example, the Commission’s website has a list of frequently asked questions about Section 214 applications for providers of international telecommunications services.  Among the questions and answers are the following:  “Question 7:  If I am merely reselling the international service of another carrier, do I have to file a Section 214 application?  Answer:  Yes, including in the case of mobile international services.  Refer to 47 C.F.R. § 63.18(e)(2), global resale service.”  </w:t>
      </w:r>
      <w:r w:rsidRPr="00511920">
        <w:rPr>
          <w:i/>
        </w:rPr>
        <w:t xml:space="preserve">See </w:t>
      </w:r>
      <w:r>
        <w:t>“Frequently Asked Questions (FAQs),”</w:t>
      </w:r>
      <w:r w:rsidRPr="00511920">
        <w:rPr>
          <w:i/>
        </w:rPr>
        <w:t xml:space="preserve"> available at </w:t>
      </w:r>
      <w:hyperlink r:id="rId3" w:history="1">
        <w:r w:rsidRPr="00511920">
          <w:rPr>
            <w:rStyle w:val="Hyperlink"/>
            <w:color w:val="auto"/>
            <w:u w:val="none"/>
          </w:rPr>
          <w:t>http://transition.fcc.gov/ib/pd/pf/214faq.html</w:t>
        </w:r>
      </w:hyperlink>
      <w:r w:rsidRPr="00511920">
        <w:t xml:space="preserve"> (</w:t>
      </w:r>
      <w:r>
        <w:t>last visited Aug. 14, 2014).</w:t>
      </w:r>
    </w:p>
  </w:footnote>
  <w:footnote w:id="104">
    <w:p w:rsidR="0067040C" w:rsidRPr="00C66B9F" w:rsidRDefault="0067040C">
      <w:pPr>
        <w:pStyle w:val="FootnoteText"/>
      </w:pPr>
      <w:r>
        <w:rPr>
          <w:rStyle w:val="FootnoteReference"/>
        </w:rPr>
        <w:footnoteRef/>
      </w:r>
      <w:r>
        <w:t xml:space="preserve"> </w:t>
      </w:r>
      <w:r>
        <w:rPr>
          <w:i/>
        </w:rPr>
        <w:t>See Unipoint NAL</w:t>
      </w:r>
      <w:r>
        <w:t>, 27 FCC Rcd at 12760, para. 18.</w:t>
      </w:r>
    </w:p>
  </w:footnote>
  <w:footnote w:id="105">
    <w:p w:rsidR="0067040C" w:rsidRPr="00B20097" w:rsidRDefault="0067040C" w:rsidP="002824D8">
      <w:pPr>
        <w:pStyle w:val="FootnoteText"/>
      </w:pPr>
      <w:r>
        <w:rPr>
          <w:rStyle w:val="FootnoteReference"/>
        </w:rPr>
        <w:footnoteRef/>
      </w:r>
      <w:r>
        <w:t xml:space="preserve"> </w:t>
      </w:r>
      <w:r w:rsidRPr="00B20097">
        <w:rPr>
          <w:i/>
        </w:rPr>
        <w:t>See</w:t>
      </w:r>
      <w:r>
        <w:t xml:space="preserve"> </w:t>
      </w:r>
      <w:r w:rsidRPr="00B20097">
        <w:rPr>
          <w:i/>
        </w:rPr>
        <w:t>1998 International Biennial Review Order</w:t>
      </w:r>
      <w:r>
        <w:rPr>
          <w:i/>
        </w:rPr>
        <w:t xml:space="preserve">, </w:t>
      </w:r>
      <w:r w:rsidRPr="000F40F5">
        <w:t>14 FCC Rcd</w:t>
      </w:r>
      <w:r>
        <w:rPr>
          <w:i/>
        </w:rPr>
        <w:t xml:space="preserve"> </w:t>
      </w:r>
      <w:r>
        <w:t>at 4914–16</w:t>
      </w:r>
      <w:r w:rsidRPr="00B20097">
        <w:t>, paras. 14</w:t>
      </w:r>
      <w:r>
        <w:t>–</w:t>
      </w:r>
      <w:r w:rsidRPr="00B20097">
        <w:t>16;</w:t>
      </w:r>
      <w:r>
        <w:rPr>
          <w:i/>
        </w:rPr>
        <w:t xml:space="preserve"> Personal Communications Industry Ass’n’s  Broadband Personal Communications Service Alliances Petition for Forbearance for Broadband Personal Communications Services, </w:t>
      </w:r>
      <w:r w:rsidRPr="00B20097">
        <w:t>Memorandum Opinion and Order and Notice of Proposed Rulemaking, 13 FCC Rcd 16857, 16882</w:t>
      </w:r>
      <w:r>
        <w:t>–</w:t>
      </w:r>
      <w:r w:rsidRPr="00B20097">
        <w:t>83, para. 50 (1998).</w:t>
      </w:r>
    </w:p>
  </w:footnote>
  <w:footnote w:id="106">
    <w:p w:rsidR="0067040C" w:rsidRDefault="0067040C" w:rsidP="002824D8">
      <w:pPr>
        <w:pStyle w:val="FootnoteText"/>
      </w:pPr>
      <w:r>
        <w:rPr>
          <w:rStyle w:val="FootnoteReference"/>
        </w:rPr>
        <w:footnoteRef/>
      </w:r>
      <w:r>
        <w:t xml:space="preserve"> </w:t>
      </w:r>
      <w:r w:rsidRPr="00B20097">
        <w:rPr>
          <w:i/>
        </w:rPr>
        <w:t>See</w:t>
      </w:r>
      <w:r>
        <w:t xml:space="preserve"> </w:t>
      </w:r>
      <w:r w:rsidRPr="00B20097">
        <w:rPr>
          <w:i/>
        </w:rPr>
        <w:t>1998 International Biennial Review Order</w:t>
      </w:r>
      <w:r>
        <w:rPr>
          <w:i/>
        </w:rPr>
        <w:t xml:space="preserve">, </w:t>
      </w:r>
      <w:r w:rsidRPr="000F40F5">
        <w:t>14 FCC Rcd</w:t>
      </w:r>
      <w:r>
        <w:rPr>
          <w:i/>
        </w:rPr>
        <w:t xml:space="preserve"> </w:t>
      </w:r>
      <w:r>
        <w:t xml:space="preserve">at 4915–16, paras. 15–18; </w:t>
      </w:r>
      <w:r w:rsidRPr="000F40F5">
        <w:rPr>
          <w:i/>
        </w:rPr>
        <w:t>id.</w:t>
      </w:r>
      <w:r>
        <w:t xml:space="preserve"> at 4939–40, paras. 72–74.</w:t>
      </w:r>
    </w:p>
  </w:footnote>
  <w:footnote w:id="107">
    <w:p w:rsidR="0067040C" w:rsidRDefault="0067040C" w:rsidP="007C24B7">
      <w:pPr>
        <w:pStyle w:val="FootnoteText"/>
      </w:pPr>
      <w:r>
        <w:rPr>
          <w:rStyle w:val="FootnoteReference"/>
        </w:rPr>
        <w:footnoteRef/>
      </w:r>
      <w:r>
        <w:t xml:space="preserve"> </w:t>
      </w:r>
      <w:r>
        <w:rPr>
          <w:i/>
        </w:rPr>
        <w:t>See</w:t>
      </w:r>
      <w:r w:rsidRPr="000F40F5">
        <w:rPr>
          <w:i/>
        </w:rPr>
        <w:t>, e.g.</w:t>
      </w:r>
      <w:r w:rsidRPr="00E90845">
        <w:t xml:space="preserve">, </w:t>
      </w:r>
      <w:r w:rsidRPr="008A3213">
        <w:rPr>
          <w:i/>
        </w:rPr>
        <w:t>Starfon</w:t>
      </w:r>
      <w:r w:rsidRPr="00B457C3">
        <w:rPr>
          <w:i/>
        </w:rPr>
        <w:t>e Forfeiture Order</w:t>
      </w:r>
      <w:r>
        <w:t xml:space="preserve">, 29 FCC Rcd at 5674–75, para. 21 (assessing a $100,000 forfeiture against a prepaid calling company for providing unauthorized international telecommunications services); </w:t>
      </w:r>
      <w:r w:rsidRPr="008A3213">
        <w:rPr>
          <w:i/>
        </w:rPr>
        <w:t xml:space="preserve">Unipoint </w:t>
      </w:r>
      <w:r w:rsidRPr="00C66B9F">
        <w:rPr>
          <w:i/>
        </w:rPr>
        <w:t>Forfeiture Order</w:t>
      </w:r>
      <w:r>
        <w:t xml:space="preserve">, 29 FCC Rcd at 1643, para. 32 (2014) (same); </w:t>
      </w:r>
      <w:r w:rsidRPr="008A3213">
        <w:rPr>
          <w:i/>
        </w:rPr>
        <w:t>ADMA Telecom, Inc.</w:t>
      </w:r>
      <w:r>
        <w:t>, Forfeiture Order, 26 FCC Rcd 4152, 4161–62, paras. 26–27 (2011) (</w:t>
      </w:r>
      <w:r w:rsidRPr="008A3213">
        <w:rPr>
          <w:i/>
        </w:rPr>
        <w:t>ADMA Forfeiture Order</w:t>
      </w:r>
      <w:r>
        <w:t>) (same).</w:t>
      </w:r>
    </w:p>
  </w:footnote>
  <w:footnote w:id="108">
    <w:p w:rsidR="0067040C" w:rsidRDefault="0067040C" w:rsidP="002824D8">
      <w:pPr>
        <w:pStyle w:val="FootnoteText"/>
      </w:pPr>
      <w:r>
        <w:rPr>
          <w:rStyle w:val="FootnoteReference"/>
        </w:rPr>
        <w:footnoteRef/>
      </w:r>
      <w:r>
        <w:t xml:space="preserve"> </w:t>
      </w:r>
      <w:r w:rsidRPr="006041E9">
        <w:rPr>
          <w:i/>
        </w:rPr>
        <w:t>See supra</w:t>
      </w:r>
      <w:r>
        <w:t xml:space="preserve"> paras. </w:t>
      </w:r>
      <w:r w:rsidR="00770AB9">
        <w:t>10</w:t>
      </w:r>
      <w:r>
        <w:t>–</w:t>
      </w:r>
      <w:r w:rsidR="00770AB9">
        <w:t>11</w:t>
      </w:r>
      <w:r>
        <w:t>.</w:t>
      </w:r>
    </w:p>
  </w:footnote>
  <w:footnote w:id="109">
    <w:p w:rsidR="0067040C" w:rsidRDefault="0067040C" w:rsidP="002824D8">
      <w:pPr>
        <w:pStyle w:val="FootnoteText"/>
      </w:pPr>
      <w:r>
        <w:rPr>
          <w:rStyle w:val="FootnoteReference"/>
        </w:rPr>
        <w:footnoteRef/>
      </w:r>
      <w:r>
        <w:t xml:space="preserve"> 47 C.F.R. §§ 1.1154, 1.1157, </w:t>
      </w:r>
      <w:r w:rsidRPr="00850B27">
        <w:t>52.17(a)</w:t>
      </w:r>
      <w:r>
        <w:t>,</w:t>
      </w:r>
      <w:r w:rsidRPr="00850B27">
        <w:t xml:space="preserve"> </w:t>
      </w:r>
      <w:r>
        <w:t xml:space="preserve">52.32, 54.711, 64.604(c)(5)(iii).  </w:t>
      </w:r>
    </w:p>
  </w:footnote>
  <w:footnote w:id="110">
    <w:p w:rsidR="005E13DB" w:rsidRDefault="005E13DB">
      <w:pPr>
        <w:pStyle w:val="FootnoteText"/>
      </w:pPr>
      <w:r>
        <w:rPr>
          <w:rStyle w:val="FootnoteReference"/>
        </w:rPr>
        <w:footnoteRef/>
      </w:r>
      <w:r>
        <w:t xml:space="preserve"> </w:t>
      </w:r>
      <w:r w:rsidRPr="008A3213">
        <w:rPr>
          <w:i/>
        </w:rPr>
        <w:t>Unipoint Forfeiture Order</w:t>
      </w:r>
      <w:r>
        <w:rPr>
          <w:i/>
        </w:rPr>
        <w:t>,</w:t>
      </w:r>
      <w:r w:rsidRPr="00A966F3">
        <w:t xml:space="preserve"> </w:t>
      </w:r>
      <w:r>
        <w:t>29 FCC Rcd at 1643, para. 32 (assessing a $</w:t>
      </w:r>
      <w:r w:rsidRPr="00A966F3">
        <w:t xml:space="preserve">50,000 forfeiture for failure to timely file </w:t>
      </w:r>
      <w:r>
        <w:t xml:space="preserve">one annual Worksheet); </w:t>
      </w:r>
      <w:r w:rsidRPr="008A3213">
        <w:rPr>
          <w:i/>
        </w:rPr>
        <w:t>ADMA Forfeiture Order</w:t>
      </w:r>
      <w:r>
        <w:rPr>
          <w:i/>
        </w:rPr>
        <w:t xml:space="preserve">, </w:t>
      </w:r>
      <w:r>
        <w:t xml:space="preserve">26 FCC Rcd </w:t>
      </w:r>
      <w:r w:rsidRPr="00A966F3">
        <w:t>at 4155, 4162, paras. 9, 28 (assessing a $150,000 forfeiture for failure to timely file three Worksheets</w:t>
      </w:r>
      <w:r>
        <w:t xml:space="preserve">); </w:t>
      </w:r>
      <w:r w:rsidRPr="008F472F">
        <w:rPr>
          <w:i/>
        </w:rPr>
        <w:t>Globcom, Inc.,</w:t>
      </w:r>
      <w:r>
        <w:t xml:space="preserve"> Order of Forfeiture, 21 FCC Rcd 4710, 4720–21, 4727, paras. 26–28, 31, 45 (2006) </w:t>
      </w:r>
      <w:r w:rsidR="005313A8">
        <w:t>(</w:t>
      </w:r>
      <w:r w:rsidR="005313A8" w:rsidRPr="008F472F">
        <w:rPr>
          <w:i/>
        </w:rPr>
        <w:t>Globcom Forfeiture Order</w:t>
      </w:r>
      <w:r w:rsidR="005313A8">
        <w:t xml:space="preserve">) </w:t>
      </w:r>
      <w:r>
        <w:t>(assessing a $150,000 forfeiture for failure to timely file Worksheets on three occasions).</w:t>
      </w:r>
    </w:p>
  </w:footnote>
  <w:footnote w:id="111">
    <w:p w:rsidR="0067040C" w:rsidRDefault="0067040C" w:rsidP="002824D8">
      <w:pPr>
        <w:pStyle w:val="FootnoteText"/>
      </w:pPr>
      <w:r>
        <w:rPr>
          <w:rStyle w:val="FootnoteReference"/>
        </w:rPr>
        <w:footnoteRef/>
      </w:r>
      <w:r>
        <w:t xml:space="preserve"> </w:t>
      </w:r>
      <w:r w:rsidRPr="006041E9">
        <w:rPr>
          <w:i/>
        </w:rPr>
        <w:t>See supra</w:t>
      </w:r>
      <w:r>
        <w:t xml:space="preserve"> paras. </w:t>
      </w:r>
      <w:r w:rsidR="00770AB9">
        <w:t>12</w:t>
      </w:r>
      <w:r>
        <w:t>–1</w:t>
      </w:r>
      <w:r w:rsidR="00770AB9">
        <w:t>5</w:t>
      </w:r>
      <w:r>
        <w:t xml:space="preserve">.  </w:t>
      </w:r>
    </w:p>
  </w:footnote>
  <w:footnote w:id="112">
    <w:p w:rsidR="0067040C" w:rsidRPr="008A6B9F" w:rsidRDefault="0067040C" w:rsidP="002824D8">
      <w:pPr>
        <w:pStyle w:val="FootnoteText"/>
        <w:rPr>
          <w:i/>
        </w:rPr>
      </w:pPr>
      <w:r>
        <w:rPr>
          <w:rStyle w:val="FootnoteReference"/>
        </w:rPr>
        <w:footnoteRef/>
      </w:r>
      <w:r>
        <w:t xml:space="preserve"> 47 U.S.C. § 225(b)(1); </w:t>
      </w:r>
      <w:r>
        <w:rPr>
          <w:i/>
        </w:rPr>
        <w:t>see Unipoint NAL</w:t>
      </w:r>
      <w:r w:rsidRPr="006272B0">
        <w:t>, 27 FCC Rcd</w:t>
      </w:r>
      <w:r>
        <w:t xml:space="preserve"> at 12760, para. 21</w:t>
      </w:r>
      <w:r w:rsidRPr="006272B0">
        <w:t>.</w:t>
      </w:r>
    </w:p>
  </w:footnote>
  <w:footnote w:id="113">
    <w:p w:rsidR="0067040C" w:rsidRPr="00042AE1" w:rsidRDefault="0067040C" w:rsidP="002824D8">
      <w:pPr>
        <w:pStyle w:val="FootnoteText"/>
      </w:pPr>
      <w:r>
        <w:rPr>
          <w:rStyle w:val="FootnoteReference"/>
        </w:rPr>
        <w:footnoteRef/>
      </w:r>
      <w:r>
        <w:rPr>
          <w:i/>
        </w:rPr>
        <w:t xml:space="preserve"> See, e.</w:t>
      </w:r>
      <w:r w:rsidRPr="00042AE1">
        <w:rPr>
          <w:i/>
        </w:rPr>
        <w:t>g.</w:t>
      </w:r>
      <w:r w:rsidRPr="00042AE1">
        <w:t>,</w:t>
      </w:r>
      <w:r w:rsidRPr="00042AE1">
        <w:rPr>
          <w:i/>
        </w:rPr>
        <w:t xml:space="preserve"> Starfone NAL, </w:t>
      </w:r>
      <w:r w:rsidRPr="00042AE1">
        <w:t>27 FCC Rcd at 4402, para. 26;</w:t>
      </w:r>
      <w:r w:rsidRPr="00042AE1">
        <w:rPr>
          <w:i/>
        </w:rPr>
        <w:t xml:space="preserve"> ADMA NAL</w:t>
      </w:r>
      <w:r w:rsidRPr="00042AE1">
        <w:t xml:space="preserve">, 24 FCC Rcd at 853, para. 35; </w:t>
      </w:r>
      <w:r w:rsidRPr="00042AE1">
        <w:rPr>
          <w:i/>
        </w:rPr>
        <w:t>G</w:t>
      </w:r>
      <w:r w:rsidRPr="00042AE1">
        <w:rPr>
          <w:i/>
          <w:szCs w:val="24"/>
        </w:rPr>
        <w:t>lobcom, Inc. d/b/a Globcom Global Communications</w:t>
      </w:r>
      <w:r w:rsidRPr="00042AE1">
        <w:rPr>
          <w:szCs w:val="24"/>
        </w:rPr>
        <w:t>,</w:t>
      </w:r>
      <w:r w:rsidRPr="00042AE1">
        <w:rPr>
          <w:color w:val="000000"/>
          <w:shd w:val="clear" w:color="auto" w:fill="FFFFFF"/>
        </w:rPr>
        <w:t xml:space="preserve"> Notice of Apparent Liability for Forfeiture and Order, </w:t>
      </w:r>
      <w:r w:rsidRPr="00042AE1">
        <w:t>18 FCC Rcd 19893, 19904, para. 29 (2003) (</w:t>
      </w:r>
      <w:r w:rsidRPr="00042AE1">
        <w:rPr>
          <w:i/>
        </w:rPr>
        <w:t>Globcom NAL</w:t>
      </w:r>
      <w:r w:rsidRPr="00042AE1">
        <w:t xml:space="preserve">), </w:t>
      </w:r>
      <w:r w:rsidRPr="00042AE1">
        <w:rPr>
          <w:i/>
        </w:rPr>
        <w:t>forfeiture</w:t>
      </w:r>
      <w:r w:rsidRPr="00042AE1">
        <w:t xml:space="preserve"> </w:t>
      </w:r>
      <w:r w:rsidRPr="00042AE1">
        <w:rPr>
          <w:i/>
          <w:szCs w:val="24"/>
        </w:rPr>
        <w:t>issued</w:t>
      </w:r>
      <w:r w:rsidRPr="00042AE1">
        <w:rPr>
          <w:szCs w:val="24"/>
        </w:rPr>
        <w:t>, Order of Forfeiture, 21 FCC Rcd 4710 (2006).</w:t>
      </w:r>
    </w:p>
  </w:footnote>
  <w:footnote w:id="114">
    <w:p w:rsidR="0067040C" w:rsidRPr="00660532" w:rsidRDefault="0067040C">
      <w:pPr>
        <w:pStyle w:val="FootnoteText"/>
      </w:pPr>
      <w:r w:rsidRPr="00042AE1">
        <w:rPr>
          <w:rStyle w:val="FootnoteReference"/>
        </w:rPr>
        <w:footnoteRef/>
      </w:r>
      <w:r w:rsidRPr="00042AE1">
        <w:t xml:space="preserve"> </w:t>
      </w:r>
      <w:r w:rsidRPr="00042AE1">
        <w:rPr>
          <w:i/>
        </w:rPr>
        <w:t xml:space="preserve">See supra </w:t>
      </w:r>
      <w:r w:rsidRPr="00042AE1">
        <w:t>para. 15</w:t>
      </w:r>
      <w:r w:rsidR="00890927" w:rsidRPr="00042AE1">
        <w:t>.</w:t>
      </w:r>
    </w:p>
  </w:footnote>
  <w:footnote w:id="115">
    <w:p w:rsidR="0067040C" w:rsidRDefault="0067040C" w:rsidP="002824D8">
      <w:pPr>
        <w:pStyle w:val="FootnoteText"/>
        <w:rPr>
          <w:b/>
        </w:rPr>
      </w:pPr>
      <w:r>
        <w:rPr>
          <w:rStyle w:val="FootnoteReference"/>
        </w:rPr>
        <w:footnoteRef/>
      </w:r>
      <w:r>
        <w:t xml:space="preserve"> </w:t>
      </w:r>
      <w:r>
        <w:rPr>
          <w:i/>
        </w:rPr>
        <w:t>See id</w:t>
      </w:r>
      <w:r>
        <w:t>.</w:t>
      </w:r>
    </w:p>
  </w:footnote>
  <w:footnote w:id="116">
    <w:p w:rsidR="0067040C" w:rsidRDefault="0067040C" w:rsidP="006C789B">
      <w:pPr>
        <w:pStyle w:val="FootnoteText"/>
      </w:pPr>
      <w:r>
        <w:rPr>
          <w:rStyle w:val="FootnoteReference"/>
        </w:rPr>
        <w:footnoteRef/>
      </w:r>
      <w:r>
        <w:t xml:space="preserve"> </w:t>
      </w:r>
      <w:r w:rsidRPr="002B597E">
        <w:rPr>
          <w:i/>
        </w:rPr>
        <w:t xml:space="preserve">See </w:t>
      </w:r>
      <w:r w:rsidRPr="006041E9">
        <w:rPr>
          <w:i/>
        </w:rPr>
        <w:t>supra</w:t>
      </w:r>
      <w:r>
        <w:t xml:space="preserve"> para. 1</w:t>
      </w:r>
      <w:r w:rsidR="00770AB9">
        <w:t>7</w:t>
      </w:r>
      <w:r>
        <w:t xml:space="preserve">.  </w:t>
      </w:r>
    </w:p>
  </w:footnote>
  <w:footnote w:id="117">
    <w:p w:rsidR="0067040C" w:rsidRDefault="0067040C" w:rsidP="006C789B">
      <w:pPr>
        <w:pStyle w:val="FootnoteText"/>
      </w:pPr>
      <w:r>
        <w:rPr>
          <w:rStyle w:val="FootnoteReference"/>
        </w:rPr>
        <w:footnoteRef/>
      </w:r>
      <w:r>
        <w:t xml:space="preserve"> </w:t>
      </w:r>
      <w:r>
        <w:rPr>
          <w:i/>
        </w:rPr>
        <w:t xml:space="preserve">See </w:t>
      </w:r>
      <w:r w:rsidRPr="00EA4EEA">
        <w:rPr>
          <w:i/>
        </w:rPr>
        <w:t>Telephone Number Portability</w:t>
      </w:r>
      <w:r>
        <w:t xml:space="preserve">, Third Report and Order, 13 FCC Rcd at </w:t>
      </w:r>
      <w:r w:rsidR="00770AB9">
        <w:t xml:space="preserve">11701, </w:t>
      </w:r>
      <w:r>
        <w:t>11702, para. 3</w:t>
      </w:r>
      <w:r w:rsidR="00770AB9">
        <w:t xml:space="preserve"> (2008)</w:t>
      </w:r>
      <w:r>
        <w:t xml:space="preserve">. </w:t>
      </w:r>
    </w:p>
  </w:footnote>
  <w:footnote w:id="118">
    <w:p w:rsidR="0067040C" w:rsidRDefault="0067040C" w:rsidP="006C789B">
      <w:pPr>
        <w:pStyle w:val="FootnoteText"/>
      </w:pPr>
      <w:r>
        <w:rPr>
          <w:rStyle w:val="FootnoteReference"/>
        </w:rPr>
        <w:footnoteRef/>
      </w:r>
      <w:r>
        <w:t xml:space="preserve"> </w:t>
      </w:r>
      <w:r>
        <w:rPr>
          <w:i/>
        </w:rPr>
        <w:t>See, e.g.</w:t>
      </w:r>
      <w:r>
        <w:t>,</w:t>
      </w:r>
      <w:r>
        <w:rPr>
          <w:i/>
        </w:rPr>
        <w:t xml:space="preserve"> Kajeet Inc. and Kajeet/Airlink, LLC</w:t>
      </w:r>
      <w:r>
        <w:t xml:space="preserve">, Notice of Apparent Liability for Forfeiture and Order, 26 FCC Rcd 16684, </w:t>
      </w:r>
      <w:r>
        <w:rPr>
          <w:rStyle w:val="FootnoteTextChar"/>
        </w:rPr>
        <w:t>16695, para. 24</w:t>
      </w:r>
      <w:r>
        <w:t xml:space="preserve"> (2011)</w:t>
      </w:r>
      <w:r>
        <w:rPr>
          <w:rStyle w:val="FootnoteTextChar"/>
        </w:rPr>
        <w:t>;</w:t>
      </w:r>
      <w:r>
        <w:rPr>
          <w:i/>
        </w:rPr>
        <w:t xml:space="preserve"> Telrite Corporation, </w:t>
      </w:r>
      <w:r>
        <w:t>Notice of Apparent Liability for Forfeiture and Order, 23 FCC Rcd 7231, 7245, para. 34 (2008).</w:t>
      </w:r>
    </w:p>
  </w:footnote>
  <w:footnote w:id="119">
    <w:p w:rsidR="0067040C" w:rsidRDefault="0067040C" w:rsidP="006C789B">
      <w:pPr>
        <w:pStyle w:val="FootnoteText"/>
      </w:pPr>
      <w:r>
        <w:rPr>
          <w:rStyle w:val="FootnoteReference"/>
        </w:rPr>
        <w:footnoteRef/>
      </w:r>
      <w:r>
        <w:t xml:space="preserve"> </w:t>
      </w:r>
      <w:r w:rsidRPr="002B597E">
        <w:rPr>
          <w:i/>
        </w:rPr>
        <w:t xml:space="preserve">See </w:t>
      </w:r>
      <w:r w:rsidRPr="006041E9">
        <w:rPr>
          <w:i/>
        </w:rPr>
        <w:t>supra</w:t>
      </w:r>
      <w:r>
        <w:t xml:space="preserve"> para. 1</w:t>
      </w:r>
      <w:r w:rsidR="00770AB9">
        <w:t>8</w:t>
      </w:r>
      <w:r>
        <w:t xml:space="preserve">.  </w:t>
      </w:r>
    </w:p>
  </w:footnote>
  <w:footnote w:id="120">
    <w:p w:rsidR="0067040C" w:rsidRDefault="0067040C" w:rsidP="006C789B">
      <w:pPr>
        <w:pStyle w:val="FootnoteText"/>
      </w:pPr>
      <w:r>
        <w:rPr>
          <w:rStyle w:val="FootnoteReference"/>
        </w:rPr>
        <w:footnoteRef/>
      </w:r>
      <w:r>
        <w:t xml:space="preserve"> </w:t>
      </w:r>
      <w:r>
        <w:rPr>
          <w:i/>
        </w:rPr>
        <w:t>See, e.g.</w:t>
      </w:r>
      <w:r w:rsidRPr="00583EC9">
        <w:t>,</w:t>
      </w:r>
      <w:r>
        <w:rPr>
          <w:i/>
        </w:rPr>
        <w:t xml:space="preserve"> </w:t>
      </w:r>
      <w:r w:rsidRPr="00610291">
        <w:rPr>
          <w:i/>
        </w:rPr>
        <w:t>Starfone NAL</w:t>
      </w:r>
      <w:r w:rsidRPr="00583EC9">
        <w:t xml:space="preserve">, </w:t>
      </w:r>
      <w:r w:rsidRPr="00610291">
        <w:t>27 FCC Rcd</w:t>
      </w:r>
      <w:r>
        <w:t xml:space="preserve"> at 4402, para. 27; </w:t>
      </w:r>
      <w:r>
        <w:rPr>
          <w:i/>
        </w:rPr>
        <w:t>Compass Global Inc.</w:t>
      </w:r>
      <w:r>
        <w:t>, Notice of Apparent Liability for Forfeiture, 23 FCC Rcd 6125, 6141–42, para. 38 (2008).</w:t>
      </w:r>
    </w:p>
  </w:footnote>
  <w:footnote w:id="121">
    <w:p w:rsidR="0067040C" w:rsidRDefault="0067040C" w:rsidP="0023545E">
      <w:pPr>
        <w:pStyle w:val="FootnoteText"/>
      </w:pPr>
      <w:r>
        <w:rPr>
          <w:rStyle w:val="FootnoteReference"/>
        </w:rPr>
        <w:footnoteRef/>
      </w:r>
      <w:r>
        <w:t xml:space="preserve"> </w:t>
      </w:r>
      <w:r w:rsidRPr="002B597E">
        <w:rPr>
          <w:i/>
        </w:rPr>
        <w:t xml:space="preserve">See </w:t>
      </w:r>
      <w:r w:rsidRPr="006041E9">
        <w:rPr>
          <w:i/>
        </w:rPr>
        <w:t>supra</w:t>
      </w:r>
      <w:r>
        <w:t xml:space="preserve"> para</w:t>
      </w:r>
      <w:r w:rsidR="00770AB9">
        <w:t>s</w:t>
      </w:r>
      <w:r>
        <w:t>.</w:t>
      </w:r>
      <w:r w:rsidR="00770AB9">
        <w:t xml:space="preserve"> 20–21.</w:t>
      </w:r>
      <w:r>
        <w:t xml:space="preserve"> </w:t>
      </w:r>
    </w:p>
  </w:footnote>
  <w:footnote w:id="122">
    <w:p w:rsidR="0067040C" w:rsidRDefault="0067040C" w:rsidP="0023545E">
      <w:pPr>
        <w:pStyle w:val="FootnoteText"/>
      </w:pPr>
      <w:r>
        <w:rPr>
          <w:rStyle w:val="FootnoteReference"/>
        </w:rPr>
        <w:footnoteRef/>
      </w:r>
      <w:r>
        <w:t xml:space="preserve"> </w:t>
      </w:r>
      <w:r>
        <w:rPr>
          <w:i/>
        </w:rPr>
        <w:t xml:space="preserve">See </w:t>
      </w:r>
      <w:r>
        <w:t xml:space="preserve">47 C.F.R. § 1.80(b), Note to Paragraph (b)(8), Section I. Base Amounts for Section 503 Forfeitures.  </w:t>
      </w:r>
    </w:p>
  </w:footnote>
  <w:footnote w:id="123">
    <w:p w:rsidR="0067040C" w:rsidRDefault="0067040C" w:rsidP="0023545E">
      <w:pPr>
        <w:pStyle w:val="FootnoteText"/>
      </w:pPr>
      <w:r>
        <w:rPr>
          <w:rStyle w:val="FootnoteReference"/>
        </w:rPr>
        <w:footnoteRef/>
      </w:r>
      <w:r>
        <w:t xml:space="preserve"> </w:t>
      </w:r>
      <w:r w:rsidRPr="002B597E">
        <w:rPr>
          <w:i/>
        </w:rPr>
        <w:t xml:space="preserve">See </w:t>
      </w:r>
      <w:r w:rsidRPr="006041E9">
        <w:rPr>
          <w:i/>
        </w:rPr>
        <w:t>supra</w:t>
      </w:r>
      <w:r>
        <w:t xml:space="preserve"> para. </w:t>
      </w:r>
      <w:r w:rsidR="00770AB9">
        <w:t>21.</w:t>
      </w:r>
    </w:p>
  </w:footnote>
  <w:footnote w:id="124">
    <w:p w:rsidR="0067040C" w:rsidRDefault="0067040C" w:rsidP="0023545E">
      <w:pPr>
        <w:pStyle w:val="FootnoteText"/>
      </w:pPr>
      <w:r>
        <w:rPr>
          <w:rStyle w:val="FootnoteReference"/>
        </w:rPr>
        <w:footnoteRef/>
      </w:r>
      <w:r>
        <w:t xml:space="preserve"> </w:t>
      </w:r>
      <w:r w:rsidRPr="002B597E">
        <w:rPr>
          <w:i/>
        </w:rPr>
        <w:t xml:space="preserve">See </w:t>
      </w:r>
      <w:r w:rsidR="00770AB9">
        <w:rPr>
          <w:i/>
        </w:rPr>
        <w:t xml:space="preserve">id. </w:t>
      </w:r>
    </w:p>
  </w:footnote>
  <w:footnote w:id="125">
    <w:p w:rsidR="0067040C" w:rsidRDefault="0067040C" w:rsidP="0023545E">
      <w:pPr>
        <w:pStyle w:val="FootnoteText"/>
      </w:pPr>
      <w:r>
        <w:rPr>
          <w:rStyle w:val="FootnoteReference"/>
        </w:rPr>
        <w:footnoteRef/>
      </w:r>
      <w:r>
        <w:t xml:space="preserve"> </w:t>
      </w:r>
      <w:r w:rsidRPr="002B597E">
        <w:rPr>
          <w:i/>
        </w:rPr>
        <w:t>See</w:t>
      </w:r>
      <w:r w:rsidR="00770AB9">
        <w:rPr>
          <w:i/>
        </w:rPr>
        <w:t xml:space="preserve"> id.</w:t>
      </w:r>
      <w:r w:rsidRPr="002B597E">
        <w:rPr>
          <w:i/>
        </w:rPr>
        <w:t xml:space="preserve"> </w:t>
      </w:r>
    </w:p>
  </w:footnote>
  <w:footnote w:id="126">
    <w:p w:rsidR="0067040C" w:rsidRDefault="0067040C" w:rsidP="006C789B">
      <w:pPr>
        <w:pStyle w:val="FootnoteText"/>
      </w:pPr>
      <w:r>
        <w:rPr>
          <w:rStyle w:val="FootnoteReference"/>
        </w:rPr>
        <w:footnoteRef/>
      </w:r>
      <w:r>
        <w:t xml:space="preserve"> </w:t>
      </w:r>
      <w:r w:rsidRPr="002B597E">
        <w:rPr>
          <w:i/>
        </w:rPr>
        <w:t xml:space="preserve">See </w:t>
      </w:r>
      <w:r w:rsidRPr="006041E9">
        <w:rPr>
          <w:i/>
        </w:rPr>
        <w:t>supra</w:t>
      </w:r>
      <w:r>
        <w:t xml:space="preserve"> para. </w:t>
      </w:r>
      <w:r w:rsidR="00770AB9">
        <w:t>37</w:t>
      </w:r>
      <w:r>
        <w:t xml:space="preserve">.  </w:t>
      </w:r>
    </w:p>
  </w:footnote>
  <w:footnote w:id="127">
    <w:p w:rsidR="0067040C" w:rsidRDefault="0067040C" w:rsidP="006C789B">
      <w:pPr>
        <w:pStyle w:val="FootnoteText"/>
        <w:rPr>
          <w:i/>
        </w:rPr>
      </w:pPr>
      <w:r>
        <w:rPr>
          <w:rStyle w:val="FootnoteReference"/>
        </w:rPr>
        <w:footnoteRef/>
      </w:r>
      <w:r>
        <w:t xml:space="preserve"> </w:t>
      </w:r>
      <w:r w:rsidRPr="00583EC9">
        <w:rPr>
          <w:i/>
        </w:rPr>
        <w:t>Amendment of Section 43.61 of the Commission’s Rules to Update and Simplify the Required Traffic Data Reports Filed by International Telecommunications Carriers</w:t>
      </w:r>
      <w:r w:rsidRPr="00583EC9">
        <w:t>, Report and Order, 100 FCC</w:t>
      </w:r>
      <w:r>
        <w:t xml:space="preserve"> 2d 578, 580, paras. 1, 7 (1985); </w:t>
      </w:r>
      <w:r>
        <w:rPr>
          <w:i/>
        </w:rPr>
        <w:t>see also</w:t>
      </w:r>
      <w:r>
        <w:t xml:space="preserve"> </w:t>
      </w:r>
      <w:r w:rsidRPr="0087463E">
        <w:rPr>
          <w:i/>
        </w:rPr>
        <w:t>Unipoint NAL</w:t>
      </w:r>
      <w:r w:rsidRPr="006A4E89">
        <w:rPr>
          <w:i/>
        </w:rPr>
        <w:t>,</w:t>
      </w:r>
      <w:r>
        <w:t xml:space="preserve"> 27 FCC Rcd at 12759, para. 16; </w:t>
      </w:r>
      <w:r w:rsidRPr="00583EC9">
        <w:rPr>
          <w:i/>
        </w:rPr>
        <w:t>Reporting Requirements for U.S. Providers of International Telecommunications Services – Amendment of Part 43 of the Commission’s Rules</w:t>
      </w:r>
      <w:r>
        <w:t>, First Report and Order and Further Notice of Proposed Rulemaking, 26 FCC Rcd 7274, 7275–76, paras. 1–2 (2011) (concluding that the Commission should continue to require U.S. providers of international telecommunications services to report information on their international telecommunications traffic).</w:t>
      </w:r>
    </w:p>
  </w:footnote>
  <w:footnote w:id="128">
    <w:p w:rsidR="0067040C" w:rsidRDefault="0067040C" w:rsidP="006C789B">
      <w:pPr>
        <w:pStyle w:val="FootnoteText"/>
      </w:pPr>
      <w:r>
        <w:rPr>
          <w:rStyle w:val="FootnoteReference"/>
        </w:rPr>
        <w:footnoteRef/>
      </w:r>
      <w:r>
        <w:t xml:space="preserve"> </w:t>
      </w:r>
      <w:r w:rsidR="00F55722">
        <w:rPr>
          <w:i/>
        </w:rPr>
        <w:t>See Unipoint NAL</w:t>
      </w:r>
      <w:r w:rsidR="00F55722" w:rsidRPr="00F55722">
        <w:t>,</w:t>
      </w:r>
      <w:r w:rsidR="00F55722">
        <w:rPr>
          <w:i/>
        </w:rPr>
        <w:t xml:space="preserve"> </w:t>
      </w:r>
      <w:r w:rsidR="00F55722">
        <w:t xml:space="preserve">26 FCC Rcd at 12762, para. 22; </w:t>
      </w:r>
      <w:r>
        <w:rPr>
          <w:i/>
          <w:iCs/>
        </w:rPr>
        <w:t xml:space="preserve">Commission’s Forfeiture Policy Statement and Amendment of Section 1.80 of the Rules to Incorporate the Forfeiture Guidelines, </w:t>
      </w:r>
      <w:r>
        <w:rPr>
          <w:iCs/>
        </w:rPr>
        <w:t>Report and Order, 12 FCC Rcd 17087, 17113 (1997)</w:t>
      </w:r>
      <w:r>
        <w:t xml:space="preserve"> </w:t>
      </w:r>
      <w:bookmarkStart w:id="36" w:name="SR;2503"/>
      <w:bookmarkEnd w:id="36"/>
      <w:r>
        <w:t>(</w:t>
      </w:r>
      <w:r>
        <w:rPr>
          <w:rStyle w:val="searchterm"/>
          <w:i/>
          <w:iCs/>
        </w:rPr>
        <w:t>Forfeiture</w:t>
      </w:r>
      <w:r>
        <w:rPr>
          <w:i/>
          <w:iCs/>
        </w:rPr>
        <w:t xml:space="preserve"> </w:t>
      </w:r>
      <w:r>
        <w:rPr>
          <w:rStyle w:val="searchterm"/>
          <w:i/>
          <w:iCs/>
        </w:rPr>
        <w:t>Policy</w:t>
      </w:r>
      <w:r>
        <w:rPr>
          <w:i/>
          <w:iCs/>
        </w:rPr>
        <w:t xml:space="preserve"> </w:t>
      </w:r>
      <w:r>
        <w:rPr>
          <w:rStyle w:val="searchterm"/>
          <w:i/>
          <w:iCs/>
        </w:rPr>
        <w:t>Statement</w:t>
      </w:r>
      <w:r>
        <w:t xml:space="preserve">), </w:t>
      </w:r>
      <w:r>
        <w:rPr>
          <w:i/>
          <w:iCs/>
        </w:rPr>
        <w:t>recons. denied</w:t>
      </w:r>
      <w:r>
        <w:t xml:space="preserve">, </w:t>
      </w:r>
      <w:r w:rsidRPr="00583EC9">
        <w:t>15 FCC Rcd 303 (1999)</w:t>
      </w:r>
      <w:r>
        <w:t>; 47 C.F.R. § 1.80(b), Note to paragraph (b)(6) “Section I. Base Amounts for Section 503 Forfeitures.”</w:t>
      </w:r>
    </w:p>
  </w:footnote>
  <w:footnote w:id="129">
    <w:p w:rsidR="0067040C" w:rsidRDefault="0067040C" w:rsidP="009B457B">
      <w:pPr>
        <w:pStyle w:val="FootnoteText"/>
      </w:pPr>
      <w:r>
        <w:rPr>
          <w:rStyle w:val="FootnoteReference"/>
        </w:rPr>
        <w:footnoteRef/>
      </w:r>
      <w:r>
        <w:t xml:space="preserve"> 47 U.S.C.</w:t>
      </w:r>
      <w:r w:rsidRPr="0082337E">
        <w:t xml:space="preserve"> §</w:t>
      </w:r>
      <w:r>
        <w:t xml:space="preserve"> 222; </w:t>
      </w:r>
      <w:r w:rsidRPr="0082337E">
        <w:t>47 C.F.R. §</w:t>
      </w:r>
      <w:r>
        <w:t xml:space="preserve"> </w:t>
      </w:r>
      <w:r w:rsidRPr="005E73B7">
        <w:t>64.2009(e)</w:t>
      </w:r>
      <w:r>
        <w:t xml:space="preserve">; </w:t>
      </w:r>
      <w:r w:rsidR="00F55722">
        <w:rPr>
          <w:i/>
        </w:rPr>
        <w:t xml:space="preserve">see </w:t>
      </w:r>
      <w:r>
        <w:rPr>
          <w:i/>
        </w:rPr>
        <w:t xml:space="preserve">Implementation </w:t>
      </w:r>
      <w:r w:rsidRPr="00E55EA4">
        <w:rPr>
          <w:i/>
        </w:rPr>
        <w:t>of the Telecommunic</w:t>
      </w:r>
      <w:r>
        <w:rPr>
          <w:i/>
        </w:rPr>
        <w:t>ations Act of 1996:  Telecommuni</w:t>
      </w:r>
      <w:r w:rsidRPr="00E55EA4">
        <w:rPr>
          <w:i/>
        </w:rPr>
        <w:t>cations Carriers’ Use of Customer Proprietary Network Information and Other Customer Information, IP-Enabled Services</w:t>
      </w:r>
      <w:r>
        <w:t>, Report and Order and Further Notice of Proposed Rulemaking, 22 FCC Rcd 6927, 6953, para. 51 (2007) (</w:t>
      </w:r>
      <w:r w:rsidRPr="00135D5F">
        <w:rPr>
          <w:i/>
        </w:rPr>
        <w:t>EPIC CPNI Order</w:t>
      </w:r>
      <w:r>
        <w:t xml:space="preserve">), </w:t>
      </w:r>
      <w:r w:rsidRPr="00E55EA4">
        <w:rPr>
          <w:i/>
        </w:rPr>
        <w:t>aff’d sub nom Nat’l Cable &amp;Telecom. Assoc. v. FCC</w:t>
      </w:r>
      <w:r>
        <w:t>, 555 F.3d 996 (D.C. Cir. 2009).</w:t>
      </w:r>
    </w:p>
  </w:footnote>
  <w:footnote w:id="130">
    <w:p w:rsidR="003758BF" w:rsidRDefault="003758BF">
      <w:pPr>
        <w:pStyle w:val="FootnoteText"/>
      </w:pPr>
      <w:r>
        <w:rPr>
          <w:rStyle w:val="FootnoteReference"/>
        </w:rPr>
        <w:footnoteRef/>
      </w:r>
      <w:r>
        <w:t xml:space="preserve"> </w:t>
      </w:r>
      <w:hyperlink r:id="rId4" w:tgtFrame="_top" w:history="1">
        <w:r w:rsidRPr="00B5344A">
          <w:rPr>
            <w:i/>
          </w:rPr>
          <w:t>EPIC CPNI Order</w:t>
        </w:r>
        <w:r w:rsidRPr="00B5344A">
          <w:t>, 22 FCC Rcd at 6953, para. 5</w:t>
        </w:r>
        <w:r>
          <w:t>1</w:t>
        </w:r>
      </w:hyperlink>
      <w:r>
        <w:rPr>
          <w:rFonts w:ascii="Verdana" w:hAnsi="Verdana"/>
          <w:color w:val="000000"/>
          <w:sz w:val="19"/>
          <w:szCs w:val="19"/>
        </w:rPr>
        <w:t>.</w:t>
      </w:r>
    </w:p>
  </w:footnote>
  <w:footnote w:id="131">
    <w:p w:rsidR="0067040C" w:rsidRPr="00ED5E87" w:rsidRDefault="0067040C" w:rsidP="009B457B">
      <w:pPr>
        <w:pStyle w:val="FootnoteText"/>
      </w:pPr>
      <w:r>
        <w:rPr>
          <w:rStyle w:val="FootnoteReference"/>
        </w:rPr>
        <w:footnoteRef/>
      </w:r>
      <w:r>
        <w:t xml:space="preserve"> </w:t>
      </w:r>
      <w:r w:rsidRPr="002B597E">
        <w:rPr>
          <w:i/>
        </w:rPr>
        <w:t>See</w:t>
      </w:r>
      <w:r>
        <w:rPr>
          <w:i/>
        </w:rPr>
        <w:t xml:space="preserve"> USA Teleport</w:t>
      </w:r>
      <w:r w:rsidR="00B10031">
        <w:rPr>
          <w:i/>
        </w:rPr>
        <w:t xml:space="preserve"> Review </w:t>
      </w:r>
      <w:r w:rsidR="00B10031" w:rsidRPr="00B5344A">
        <w:rPr>
          <w:i/>
        </w:rPr>
        <w:t>Order</w:t>
      </w:r>
      <w:r w:rsidRPr="00ED5E87">
        <w:t xml:space="preserve">, 28 FCC Rcd </w:t>
      </w:r>
      <w:r w:rsidR="00B10031">
        <w:t>at</w:t>
      </w:r>
      <w:r>
        <w:t xml:space="preserve"> 530, </w:t>
      </w:r>
      <w:r w:rsidRPr="00ED5E87">
        <w:t>para</w:t>
      </w:r>
      <w:r>
        <w:t>s</w:t>
      </w:r>
      <w:r w:rsidRPr="00ED5E87">
        <w:t>.</w:t>
      </w:r>
      <w:r>
        <w:t xml:space="preserve"> 11, 13; </w:t>
      </w:r>
      <w:r w:rsidRPr="00DE1606">
        <w:rPr>
          <w:i/>
        </w:rPr>
        <w:t>Think 12, Corporation d/b/a Hello Depot</w:t>
      </w:r>
      <w:r>
        <w:t>, Order on Review, 27 FCC Rcd 16618, 16621, paras. 12, 14</w:t>
      </w:r>
      <w:r w:rsidR="00067D83">
        <w:t xml:space="preserve"> (</w:t>
      </w:r>
      <w:r w:rsidR="00042AE1">
        <w:t>2012</w:t>
      </w:r>
      <w:r w:rsidR="00067D83">
        <w:t>)</w:t>
      </w:r>
      <w:r>
        <w:t xml:space="preserve">. </w:t>
      </w:r>
    </w:p>
  </w:footnote>
  <w:footnote w:id="132">
    <w:p w:rsidR="0067040C" w:rsidRDefault="0067040C" w:rsidP="009B457B">
      <w:pPr>
        <w:pStyle w:val="FootnoteText"/>
      </w:pPr>
      <w:r>
        <w:rPr>
          <w:rStyle w:val="FootnoteReference"/>
        </w:rPr>
        <w:footnoteRef/>
      </w:r>
      <w:r>
        <w:t xml:space="preserve"> </w:t>
      </w:r>
      <w:r w:rsidRPr="002B597E">
        <w:rPr>
          <w:i/>
        </w:rPr>
        <w:t xml:space="preserve">See </w:t>
      </w:r>
      <w:r w:rsidRPr="006041E9">
        <w:rPr>
          <w:i/>
        </w:rPr>
        <w:t>supra</w:t>
      </w:r>
      <w:r>
        <w:rPr>
          <w:i/>
        </w:rPr>
        <w:t xml:space="preserve"> </w:t>
      </w:r>
      <w:r w:rsidR="00A832D0">
        <w:t>para</w:t>
      </w:r>
      <w:r>
        <w:t>.</w:t>
      </w:r>
      <w:r w:rsidR="00A832D0">
        <w:t xml:space="preserve"> 25</w:t>
      </w:r>
      <w:r>
        <w:t xml:space="preserve">.  </w:t>
      </w:r>
    </w:p>
  </w:footnote>
  <w:footnote w:id="133">
    <w:p w:rsidR="0067040C" w:rsidRDefault="0067040C" w:rsidP="009B457B">
      <w:pPr>
        <w:pStyle w:val="FootnoteText"/>
      </w:pPr>
      <w:r>
        <w:rPr>
          <w:rStyle w:val="FootnoteReference"/>
        </w:rPr>
        <w:footnoteRef/>
      </w:r>
      <w:r>
        <w:t xml:space="preserve"> </w:t>
      </w:r>
      <w:r w:rsidRPr="002B597E">
        <w:rPr>
          <w:i/>
        </w:rPr>
        <w:t>See</w:t>
      </w:r>
      <w:r w:rsidR="00A832D0">
        <w:rPr>
          <w:i/>
        </w:rPr>
        <w:t xml:space="preserve"> id.</w:t>
      </w:r>
      <w:r>
        <w:t xml:space="preserve"> </w:t>
      </w:r>
    </w:p>
  </w:footnote>
  <w:footnote w:id="134">
    <w:p w:rsidR="00010736" w:rsidRPr="00F07BA5" w:rsidRDefault="00010736" w:rsidP="00010736">
      <w:pPr>
        <w:pStyle w:val="FootnoteText"/>
      </w:pPr>
      <w:r w:rsidRPr="00F07BA5">
        <w:rPr>
          <w:rStyle w:val="FootnoteReference"/>
        </w:rPr>
        <w:footnoteRef/>
      </w:r>
      <w:r w:rsidRPr="00F07BA5">
        <w:t xml:space="preserve"> </w:t>
      </w:r>
      <w:r w:rsidRPr="00F07BA5">
        <w:rPr>
          <w:rFonts w:eastAsia="MS Mincho"/>
        </w:rPr>
        <w:t>An FCC Form 159 and detailed instructions for completing the form may be obtained at http://www.fcc.gov/Forms/Form159/159.pdf.</w:t>
      </w:r>
    </w:p>
  </w:footnote>
  <w:footnote w:id="135">
    <w:p w:rsidR="00010736" w:rsidRPr="00F07BA5" w:rsidRDefault="00010736" w:rsidP="00010736">
      <w:pPr>
        <w:pStyle w:val="FootnoteText"/>
      </w:pPr>
      <w:r w:rsidRPr="00F07BA5">
        <w:rPr>
          <w:rStyle w:val="FootnoteReference"/>
        </w:rPr>
        <w:footnoteRef/>
      </w:r>
      <w:r w:rsidRPr="00F07BA5">
        <w:t xml:space="preserve"> </w:t>
      </w:r>
      <w:r w:rsidRPr="00F07BA5">
        <w:rPr>
          <w:i/>
        </w:rPr>
        <w:t>See</w:t>
      </w:r>
      <w:r w:rsidRPr="00F07BA5">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48" w:rsidRDefault="00D66E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40C" w:rsidRDefault="0067040C" w:rsidP="0087510B">
    <w:pPr>
      <w:pStyle w:val="Header"/>
    </w:pPr>
    <w:r>
      <w:tab/>
      <w:t>Federal Communications Commission</w:t>
    </w:r>
    <w:r>
      <w:tab/>
      <w:t>FCC 14-</w:t>
    </w:r>
    <w:r w:rsidR="00F30457">
      <w:t>135</w:t>
    </w:r>
  </w:p>
  <w:p w:rsidR="0067040C" w:rsidRDefault="0067040C">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B176BA1" wp14:editId="4C88F400">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67040C" w:rsidRDefault="0067040C">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40C" w:rsidRPr="0087510B" w:rsidRDefault="0067040C" w:rsidP="0087510B">
    <w:pPr>
      <w:pStyle w:val="Header"/>
    </w:pPr>
    <w:r w:rsidRPr="0087510B">
      <w:rPr>
        <w:noProof/>
      </w:rPr>
      <mc:AlternateContent>
        <mc:Choice Requires="wps">
          <w:drawing>
            <wp:anchor distT="0" distB="0" distL="114300" distR="114300" simplePos="0" relativeHeight="251658240" behindDoc="1" locked="0" layoutInCell="0" allowOverlap="1" wp14:anchorId="3D058F39" wp14:editId="195454C7">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7510B">
      <w:tab/>
      <w:t>Federal Communications Commission</w:t>
    </w:r>
    <w:r w:rsidRPr="0087510B">
      <w:tab/>
    </w:r>
    <w:r w:rsidRPr="0087510B">
      <w:rPr>
        <w:spacing w:val="-2"/>
      </w:rPr>
      <w:t>FCC 14-</w:t>
    </w:r>
    <w:r w:rsidR="00F30457">
      <w:rPr>
        <w:spacing w:val="-2"/>
      </w:rPr>
      <w:t>135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57E006C"/>
    <w:multiLevelType w:val="hybridMultilevel"/>
    <w:tmpl w:val="78302960"/>
    <w:lvl w:ilvl="0" w:tplc="B0A0818A">
      <w:start w:val="1"/>
      <w:numFmt w:val="bullet"/>
      <w:pStyle w:val="Bullet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F2304F7"/>
    <w:multiLevelType w:val="singleLevel"/>
    <w:tmpl w:val="2E8649DE"/>
    <w:lvl w:ilvl="0">
      <w:start w:val="1"/>
      <w:numFmt w:val="decimal"/>
      <w:lvlText w:val="%1."/>
      <w:lvlJc w:val="left"/>
      <w:pPr>
        <w:tabs>
          <w:tab w:val="num" w:pos="1080"/>
        </w:tabs>
        <w:ind w:left="0" w:firstLine="720"/>
      </w:pPr>
      <w:rPr>
        <w:rFonts w:ascii="Times New Roman" w:hAnsi="Times New Roman" w:cs="Times New Roman" w:hint="default"/>
        <w:b w:val="0"/>
        <w:sz w:val="22"/>
        <w:szCs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28E1E95"/>
    <w:multiLevelType w:val="singleLevel"/>
    <w:tmpl w:val="FE70DD96"/>
    <w:lvl w:ilvl="0">
      <w:start w:val="1"/>
      <w:numFmt w:val="decimal"/>
      <w:pStyle w:val="par1"/>
      <w:lvlText w:val="%1."/>
      <w:lvlJc w:val="left"/>
      <w:pPr>
        <w:tabs>
          <w:tab w:val="num" w:pos="1080"/>
        </w:tabs>
        <w:ind w:firstLine="720"/>
      </w:pPr>
      <w:rPr>
        <w:rFonts w:cs="Times New Roman"/>
        <w:b w:val="0"/>
      </w:rPr>
    </w:lvl>
  </w:abstractNum>
  <w:num w:numId="1">
    <w:abstractNumId w:val="1"/>
  </w:num>
  <w:num w:numId="2">
    <w:abstractNumId w:val="7"/>
  </w:num>
  <w:num w:numId="3">
    <w:abstractNumId w:val="3"/>
  </w:num>
  <w:num w:numId="4">
    <w:abstractNumId w:val="4"/>
  </w:num>
  <w:num w:numId="5">
    <w:abstractNumId w:val="2"/>
  </w:num>
  <w:num w:numId="6">
    <w:abstractNumId w:val="0"/>
  </w:num>
  <w:num w:numId="7">
    <w:abstractNumId w:val="8"/>
  </w:num>
  <w:num w:numId="8">
    <w:abstractNumId w:val="7"/>
    <w:lvlOverride w:ilvl="0">
      <w:startOverride w:val="1"/>
    </w:lvlOverride>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lvlOverride w:ilvl="0">
      <w:startOverride w:val="1"/>
    </w:lvlOverride>
  </w:num>
  <w:num w:numId="22">
    <w:abstractNumId w:val="7"/>
  </w:num>
  <w:num w:numId="23">
    <w:abstractNumId w:val="3"/>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7"/>
  </w:num>
  <w:num w:numId="36">
    <w:abstractNumId w:val="3"/>
  </w:num>
  <w:num w:numId="37">
    <w:abstractNumId w:val="3"/>
  </w:num>
  <w:num w:numId="38">
    <w:abstractNumId w:val="7"/>
  </w:num>
  <w:num w:numId="39">
    <w:abstractNumId w:val="7"/>
    <w:lvlOverride w:ilvl="0">
      <w:startOverride w:val="1"/>
    </w:lvlOverride>
  </w:num>
  <w:num w:numId="40">
    <w:abstractNumId w:val="7"/>
  </w:num>
  <w:num w:numId="41">
    <w:abstractNumId w:val="3"/>
  </w:num>
  <w:num w:numId="42">
    <w:abstractNumId w:val="3"/>
  </w:num>
  <w:num w:numId="43">
    <w:abstractNumId w:val="7"/>
  </w:num>
  <w:num w:numId="44">
    <w:abstractNumId w:val="7"/>
  </w:num>
  <w:num w:numId="45">
    <w:abstractNumId w:val="7"/>
  </w:num>
  <w:num w:numId="46">
    <w:abstractNumId w:val="7"/>
  </w:num>
  <w:num w:numId="47">
    <w:abstractNumId w:val="3"/>
  </w:num>
  <w:num w:numId="48">
    <w:abstractNumId w:val="7"/>
  </w:num>
  <w:num w:numId="49">
    <w:abstractNumId w:val="7"/>
  </w:num>
  <w:num w:numId="50">
    <w:abstractNumId w:val="6"/>
  </w:num>
  <w:num w:numId="51">
    <w:abstractNumId w:val="5"/>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7"/>
  </w:num>
  <w:num w:numId="60">
    <w:abstractNumId w:val="7"/>
  </w:num>
  <w:num w:numId="61">
    <w:abstractNumId w:val="3"/>
  </w:num>
  <w:num w:numId="62">
    <w:abstractNumId w:val="3"/>
  </w:num>
  <w:num w:numId="63">
    <w:abstractNumId w:val="7"/>
    <w:lvlOverride w:ilvl="0">
      <w:startOverride w:val="1"/>
    </w:lvlOverride>
  </w:num>
  <w:num w:numId="64">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DB"/>
    <w:rsid w:val="00001F3D"/>
    <w:rsid w:val="0001030F"/>
    <w:rsid w:val="00010736"/>
    <w:rsid w:val="000113C9"/>
    <w:rsid w:val="00013363"/>
    <w:rsid w:val="00022DC8"/>
    <w:rsid w:val="00023D91"/>
    <w:rsid w:val="00026206"/>
    <w:rsid w:val="0002777C"/>
    <w:rsid w:val="00027DB4"/>
    <w:rsid w:val="00027F7C"/>
    <w:rsid w:val="000344A5"/>
    <w:rsid w:val="00034E9D"/>
    <w:rsid w:val="00036039"/>
    <w:rsid w:val="00037F90"/>
    <w:rsid w:val="00042AE1"/>
    <w:rsid w:val="00042F5B"/>
    <w:rsid w:val="00046FCA"/>
    <w:rsid w:val="00050163"/>
    <w:rsid w:val="0005064B"/>
    <w:rsid w:val="00050A2A"/>
    <w:rsid w:val="00050CCF"/>
    <w:rsid w:val="0005269F"/>
    <w:rsid w:val="000567A7"/>
    <w:rsid w:val="00067D83"/>
    <w:rsid w:val="000715B4"/>
    <w:rsid w:val="000727B0"/>
    <w:rsid w:val="000761E3"/>
    <w:rsid w:val="00077195"/>
    <w:rsid w:val="00077B52"/>
    <w:rsid w:val="000875BF"/>
    <w:rsid w:val="00087B30"/>
    <w:rsid w:val="0009023C"/>
    <w:rsid w:val="0009074E"/>
    <w:rsid w:val="0009152E"/>
    <w:rsid w:val="00093373"/>
    <w:rsid w:val="00093EB6"/>
    <w:rsid w:val="00096262"/>
    <w:rsid w:val="000969F6"/>
    <w:rsid w:val="00096D8C"/>
    <w:rsid w:val="000A25D2"/>
    <w:rsid w:val="000A5F05"/>
    <w:rsid w:val="000A6F15"/>
    <w:rsid w:val="000B1856"/>
    <w:rsid w:val="000B2D7B"/>
    <w:rsid w:val="000B326D"/>
    <w:rsid w:val="000B4983"/>
    <w:rsid w:val="000B6504"/>
    <w:rsid w:val="000C06E0"/>
    <w:rsid w:val="000C0B65"/>
    <w:rsid w:val="000C30A9"/>
    <w:rsid w:val="000C5DDF"/>
    <w:rsid w:val="000C69C9"/>
    <w:rsid w:val="000D0238"/>
    <w:rsid w:val="000D086B"/>
    <w:rsid w:val="000D1601"/>
    <w:rsid w:val="000D2A73"/>
    <w:rsid w:val="000D3451"/>
    <w:rsid w:val="000D689B"/>
    <w:rsid w:val="000D71B6"/>
    <w:rsid w:val="000D7DD6"/>
    <w:rsid w:val="000E05FE"/>
    <w:rsid w:val="000E0F02"/>
    <w:rsid w:val="000E1022"/>
    <w:rsid w:val="000E3326"/>
    <w:rsid w:val="000E3D42"/>
    <w:rsid w:val="000E5541"/>
    <w:rsid w:val="000E78FC"/>
    <w:rsid w:val="000F0744"/>
    <w:rsid w:val="000F240E"/>
    <w:rsid w:val="000F3981"/>
    <w:rsid w:val="000F4BD1"/>
    <w:rsid w:val="000F642B"/>
    <w:rsid w:val="001021DC"/>
    <w:rsid w:val="00103040"/>
    <w:rsid w:val="0010332F"/>
    <w:rsid w:val="001037A3"/>
    <w:rsid w:val="00104C29"/>
    <w:rsid w:val="00104D44"/>
    <w:rsid w:val="00106A0F"/>
    <w:rsid w:val="001117B7"/>
    <w:rsid w:val="00113DE6"/>
    <w:rsid w:val="00120A0E"/>
    <w:rsid w:val="0012116C"/>
    <w:rsid w:val="00122BD5"/>
    <w:rsid w:val="00126213"/>
    <w:rsid w:val="00130E06"/>
    <w:rsid w:val="001326C3"/>
    <w:rsid w:val="00133F79"/>
    <w:rsid w:val="0013624C"/>
    <w:rsid w:val="001454B5"/>
    <w:rsid w:val="001456CA"/>
    <w:rsid w:val="00147F82"/>
    <w:rsid w:val="00155B55"/>
    <w:rsid w:val="00162785"/>
    <w:rsid w:val="00164152"/>
    <w:rsid w:val="00170447"/>
    <w:rsid w:val="00172598"/>
    <w:rsid w:val="00174FFD"/>
    <w:rsid w:val="00176EF0"/>
    <w:rsid w:val="00180FCE"/>
    <w:rsid w:val="00181AB3"/>
    <w:rsid w:val="00194A66"/>
    <w:rsid w:val="0019758B"/>
    <w:rsid w:val="001A3B39"/>
    <w:rsid w:val="001A702A"/>
    <w:rsid w:val="001A73C9"/>
    <w:rsid w:val="001B1A2D"/>
    <w:rsid w:val="001B71F2"/>
    <w:rsid w:val="001C0977"/>
    <w:rsid w:val="001C43A0"/>
    <w:rsid w:val="001C4A45"/>
    <w:rsid w:val="001C6AD8"/>
    <w:rsid w:val="001C734F"/>
    <w:rsid w:val="001D0AEF"/>
    <w:rsid w:val="001D1128"/>
    <w:rsid w:val="001D35E1"/>
    <w:rsid w:val="001D6BCF"/>
    <w:rsid w:val="001E01CA"/>
    <w:rsid w:val="001E491C"/>
    <w:rsid w:val="001E4D6B"/>
    <w:rsid w:val="001F1B27"/>
    <w:rsid w:val="001F2E85"/>
    <w:rsid w:val="00204FE4"/>
    <w:rsid w:val="002077D0"/>
    <w:rsid w:val="00211B08"/>
    <w:rsid w:val="00214EC4"/>
    <w:rsid w:val="002200B5"/>
    <w:rsid w:val="00222139"/>
    <w:rsid w:val="00225038"/>
    <w:rsid w:val="002269F7"/>
    <w:rsid w:val="00227596"/>
    <w:rsid w:val="00231FC5"/>
    <w:rsid w:val="00232941"/>
    <w:rsid w:val="002329E4"/>
    <w:rsid w:val="0023545E"/>
    <w:rsid w:val="002438AD"/>
    <w:rsid w:val="00246B94"/>
    <w:rsid w:val="00246CC5"/>
    <w:rsid w:val="00246D1D"/>
    <w:rsid w:val="002529C6"/>
    <w:rsid w:val="0025412D"/>
    <w:rsid w:val="0025575F"/>
    <w:rsid w:val="0025744F"/>
    <w:rsid w:val="002622B5"/>
    <w:rsid w:val="00262F08"/>
    <w:rsid w:val="0026373E"/>
    <w:rsid w:val="00265FAF"/>
    <w:rsid w:val="00270FCA"/>
    <w:rsid w:val="002724E3"/>
    <w:rsid w:val="00273F08"/>
    <w:rsid w:val="0027414F"/>
    <w:rsid w:val="00274F81"/>
    <w:rsid w:val="00275CF5"/>
    <w:rsid w:val="002760CB"/>
    <w:rsid w:val="002824D8"/>
    <w:rsid w:val="0028301F"/>
    <w:rsid w:val="00285017"/>
    <w:rsid w:val="00285544"/>
    <w:rsid w:val="00285F28"/>
    <w:rsid w:val="00286C1A"/>
    <w:rsid w:val="002912D5"/>
    <w:rsid w:val="00292B49"/>
    <w:rsid w:val="00296706"/>
    <w:rsid w:val="002972AC"/>
    <w:rsid w:val="002A2D2E"/>
    <w:rsid w:val="002A2FA4"/>
    <w:rsid w:val="002A40BA"/>
    <w:rsid w:val="002A4FD6"/>
    <w:rsid w:val="002A517F"/>
    <w:rsid w:val="002B0229"/>
    <w:rsid w:val="002B0765"/>
    <w:rsid w:val="002B26E6"/>
    <w:rsid w:val="002B356A"/>
    <w:rsid w:val="002B5CEE"/>
    <w:rsid w:val="002C00E8"/>
    <w:rsid w:val="002C12C6"/>
    <w:rsid w:val="002C2F80"/>
    <w:rsid w:val="002C36F7"/>
    <w:rsid w:val="002C6CD2"/>
    <w:rsid w:val="002C7E3A"/>
    <w:rsid w:val="002D060F"/>
    <w:rsid w:val="002D1599"/>
    <w:rsid w:val="002D2E3A"/>
    <w:rsid w:val="002E19AD"/>
    <w:rsid w:val="002E2425"/>
    <w:rsid w:val="002E3FEF"/>
    <w:rsid w:val="002E7084"/>
    <w:rsid w:val="002E783D"/>
    <w:rsid w:val="002E7F4D"/>
    <w:rsid w:val="002F1E78"/>
    <w:rsid w:val="002F246B"/>
    <w:rsid w:val="002F2F9B"/>
    <w:rsid w:val="0030292F"/>
    <w:rsid w:val="0030338C"/>
    <w:rsid w:val="003109EF"/>
    <w:rsid w:val="00310E2A"/>
    <w:rsid w:val="0031414C"/>
    <w:rsid w:val="003141FF"/>
    <w:rsid w:val="00322898"/>
    <w:rsid w:val="003231DF"/>
    <w:rsid w:val="00330769"/>
    <w:rsid w:val="00334553"/>
    <w:rsid w:val="00337C26"/>
    <w:rsid w:val="00343749"/>
    <w:rsid w:val="00344FF6"/>
    <w:rsid w:val="003452C3"/>
    <w:rsid w:val="00345EDF"/>
    <w:rsid w:val="00360905"/>
    <w:rsid w:val="0036180B"/>
    <w:rsid w:val="00363A61"/>
    <w:rsid w:val="003660ED"/>
    <w:rsid w:val="003726A3"/>
    <w:rsid w:val="00372F31"/>
    <w:rsid w:val="003758BF"/>
    <w:rsid w:val="00380031"/>
    <w:rsid w:val="00380252"/>
    <w:rsid w:val="0038117B"/>
    <w:rsid w:val="00387F29"/>
    <w:rsid w:val="00391D70"/>
    <w:rsid w:val="00393651"/>
    <w:rsid w:val="003962EB"/>
    <w:rsid w:val="00396301"/>
    <w:rsid w:val="003A3175"/>
    <w:rsid w:val="003B0550"/>
    <w:rsid w:val="003B41BC"/>
    <w:rsid w:val="003B521D"/>
    <w:rsid w:val="003B694F"/>
    <w:rsid w:val="003C0815"/>
    <w:rsid w:val="003C5850"/>
    <w:rsid w:val="003C7F5E"/>
    <w:rsid w:val="003D0D2A"/>
    <w:rsid w:val="003D3EF4"/>
    <w:rsid w:val="003D42F3"/>
    <w:rsid w:val="003E00F8"/>
    <w:rsid w:val="003E17C1"/>
    <w:rsid w:val="003E496E"/>
    <w:rsid w:val="003F171C"/>
    <w:rsid w:val="003F1CEB"/>
    <w:rsid w:val="003F3B36"/>
    <w:rsid w:val="0040327A"/>
    <w:rsid w:val="00404A47"/>
    <w:rsid w:val="00404BE2"/>
    <w:rsid w:val="004108A3"/>
    <w:rsid w:val="00412FC5"/>
    <w:rsid w:val="00420851"/>
    <w:rsid w:val="00422276"/>
    <w:rsid w:val="00424088"/>
    <w:rsid w:val="004242F1"/>
    <w:rsid w:val="00424A9F"/>
    <w:rsid w:val="00426F0C"/>
    <w:rsid w:val="00435F20"/>
    <w:rsid w:val="00441FF6"/>
    <w:rsid w:val="004425E3"/>
    <w:rsid w:val="00445A00"/>
    <w:rsid w:val="00445C65"/>
    <w:rsid w:val="00447D32"/>
    <w:rsid w:val="004500E4"/>
    <w:rsid w:val="00451956"/>
    <w:rsid w:val="00451B0F"/>
    <w:rsid w:val="00453FA0"/>
    <w:rsid w:val="00456A50"/>
    <w:rsid w:val="004621C6"/>
    <w:rsid w:val="00462A88"/>
    <w:rsid w:val="00465126"/>
    <w:rsid w:val="004668CB"/>
    <w:rsid w:val="00467E6F"/>
    <w:rsid w:val="00472353"/>
    <w:rsid w:val="0047360D"/>
    <w:rsid w:val="00475C80"/>
    <w:rsid w:val="00480440"/>
    <w:rsid w:val="00487D73"/>
    <w:rsid w:val="00491697"/>
    <w:rsid w:val="004A3F1A"/>
    <w:rsid w:val="004A49AC"/>
    <w:rsid w:val="004A673C"/>
    <w:rsid w:val="004A7336"/>
    <w:rsid w:val="004B1A22"/>
    <w:rsid w:val="004B218D"/>
    <w:rsid w:val="004C2EE3"/>
    <w:rsid w:val="004D1E97"/>
    <w:rsid w:val="004D1F1E"/>
    <w:rsid w:val="004D2F59"/>
    <w:rsid w:val="004D78F3"/>
    <w:rsid w:val="004D7CFA"/>
    <w:rsid w:val="004E092B"/>
    <w:rsid w:val="004E1C09"/>
    <w:rsid w:val="004E4213"/>
    <w:rsid w:val="004E4A22"/>
    <w:rsid w:val="004F0968"/>
    <w:rsid w:val="004F52AC"/>
    <w:rsid w:val="004F5FE8"/>
    <w:rsid w:val="00500DBC"/>
    <w:rsid w:val="0050182B"/>
    <w:rsid w:val="00502EA4"/>
    <w:rsid w:val="00503701"/>
    <w:rsid w:val="00511968"/>
    <w:rsid w:val="00512118"/>
    <w:rsid w:val="005137C1"/>
    <w:rsid w:val="00524411"/>
    <w:rsid w:val="005255CB"/>
    <w:rsid w:val="00531117"/>
    <w:rsid w:val="005313A8"/>
    <w:rsid w:val="00535C68"/>
    <w:rsid w:val="005373B4"/>
    <w:rsid w:val="00544463"/>
    <w:rsid w:val="00546D3C"/>
    <w:rsid w:val="00547C4F"/>
    <w:rsid w:val="00547D75"/>
    <w:rsid w:val="00551E15"/>
    <w:rsid w:val="0055614C"/>
    <w:rsid w:val="0056276D"/>
    <w:rsid w:val="00566BE3"/>
    <w:rsid w:val="00566C0B"/>
    <w:rsid w:val="005814EE"/>
    <w:rsid w:val="00582D89"/>
    <w:rsid w:val="00583EC9"/>
    <w:rsid w:val="00585CB3"/>
    <w:rsid w:val="0059148B"/>
    <w:rsid w:val="00593108"/>
    <w:rsid w:val="00597164"/>
    <w:rsid w:val="005A0462"/>
    <w:rsid w:val="005A4B28"/>
    <w:rsid w:val="005B14F8"/>
    <w:rsid w:val="005B25FE"/>
    <w:rsid w:val="005B3640"/>
    <w:rsid w:val="005B6AB7"/>
    <w:rsid w:val="005C3058"/>
    <w:rsid w:val="005C7D2F"/>
    <w:rsid w:val="005D0F71"/>
    <w:rsid w:val="005D34DC"/>
    <w:rsid w:val="005D5934"/>
    <w:rsid w:val="005D7D05"/>
    <w:rsid w:val="005E13DB"/>
    <w:rsid w:val="005E14C2"/>
    <w:rsid w:val="005E3A09"/>
    <w:rsid w:val="005E495E"/>
    <w:rsid w:val="005E73B7"/>
    <w:rsid w:val="005F629C"/>
    <w:rsid w:val="0060265D"/>
    <w:rsid w:val="00605D46"/>
    <w:rsid w:val="00606F6D"/>
    <w:rsid w:val="00607753"/>
    <w:rsid w:val="0060789E"/>
    <w:rsid w:val="00607BA5"/>
    <w:rsid w:val="0061180A"/>
    <w:rsid w:val="006135B8"/>
    <w:rsid w:val="006141E0"/>
    <w:rsid w:val="006154EF"/>
    <w:rsid w:val="0061696C"/>
    <w:rsid w:val="0062040A"/>
    <w:rsid w:val="00623A10"/>
    <w:rsid w:val="00625120"/>
    <w:rsid w:val="00625232"/>
    <w:rsid w:val="00626229"/>
    <w:rsid w:val="006268A6"/>
    <w:rsid w:val="00626EB6"/>
    <w:rsid w:val="006272B0"/>
    <w:rsid w:val="006300C4"/>
    <w:rsid w:val="006448C7"/>
    <w:rsid w:val="006454F5"/>
    <w:rsid w:val="00646364"/>
    <w:rsid w:val="006509B8"/>
    <w:rsid w:val="00652182"/>
    <w:rsid w:val="00655D03"/>
    <w:rsid w:val="00660190"/>
    <w:rsid w:val="00660532"/>
    <w:rsid w:val="006605F8"/>
    <w:rsid w:val="006610A4"/>
    <w:rsid w:val="00662B16"/>
    <w:rsid w:val="0066367C"/>
    <w:rsid w:val="00663AEC"/>
    <w:rsid w:val="0066482A"/>
    <w:rsid w:val="00664DE1"/>
    <w:rsid w:val="00666FBB"/>
    <w:rsid w:val="00667AF5"/>
    <w:rsid w:val="0067040C"/>
    <w:rsid w:val="0067413F"/>
    <w:rsid w:val="00675AD2"/>
    <w:rsid w:val="00682535"/>
    <w:rsid w:val="006832DA"/>
    <w:rsid w:val="00683388"/>
    <w:rsid w:val="0068378C"/>
    <w:rsid w:val="00683AAA"/>
    <w:rsid w:val="00683B9B"/>
    <w:rsid w:val="00683F84"/>
    <w:rsid w:val="006842FB"/>
    <w:rsid w:val="00693C5A"/>
    <w:rsid w:val="00695B24"/>
    <w:rsid w:val="006A2A98"/>
    <w:rsid w:val="006A3B28"/>
    <w:rsid w:val="006A4D7A"/>
    <w:rsid w:val="006A4E89"/>
    <w:rsid w:val="006A5B87"/>
    <w:rsid w:val="006A6A81"/>
    <w:rsid w:val="006A7F77"/>
    <w:rsid w:val="006B7287"/>
    <w:rsid w:val="006C3712"/>
    <w:rsid w:val="006C4751"/>
    <w:rsid w:val="006C4A55"/>
    <w:rsid w:val="006C789B"/>
    <w:rsid w:val="006D190A"/>
    <w:rsid w:val="006D1D51"/>
    <w:rsid w:val="006D3EDA"/>
    <w:rsid w:val="006E12B7"/>
    <w:rsid w:val="006E37B8"/>
    <w:rsid w:val="006E42B9"/>
    <w:rsid w:val="006F27FA"/>
    <w:rsid w:val="006F6E37"/>
    <w:rsid w:val="006F7393"/>
    <w:rsid w:val="0070224F"/>
    <w:rsid w:val="00705D84"/>
    <w:rsid w:val="007115F7"/>
    <w:rsid w:val="00712002"/>
    <w:rsid w:val="0071274D"/>
    <w:rsid w:val="007127DF"/>
    <w:rsid w:val="00712ADE"/>
    <w:rsid w:val="00713A95"/>
    <w:rsid w:val="0072051C"/>
    <w:rsid w:val="00722763"/>
    <w:rsid w:val="007229E6"/>
    <w:rsid w:val="00726099"/>
    <w:rsid w:val="00727BE2"/>
    <w:rsid w:val="00730179"/>
    <w:rsid w:val="007335F9"/>
    <w:rsid w:val="007366C0"/>
    <w:rsid w:val="007402EA"/>
    <w:rsid w:val="00742133"/>
    <w:rsid w:val="00742407"/>
    <w:rsid w:val="00745EB4"/>
    <w:rsid w:val="0074793E"/>
    <w:rsid w:val="0075132F"/>
    <w:rsid w:val="00751B6D"/>
    <w:rsid w:val="007614EE"/>
    <w:rsid w:val="00766951"/>
    <w:rsid w:val="00770AB9"/>
    <w:rsid w:val="0077164B"/>
    <w:rsid w:val="007723D2"/>
    <w:rsid w:val="00773FEC"/>
    <w:rsid w:val="0077428A"/>
    <w:rsid w:val="00784906"/>
    <w:rsid w:val="00785689"/>
    <w:rsid w:val="00792FA0"/>
    <w:rsid w:val="0079581C"/>
    <w:rsid w:val="0079754B"/>
    <w:rsid w:val="007A1271"/>
    <w:rsid w:val="007A1E6D"/>
    <w:rsid w:val="007A40D5"/>
    <w:rsid w:val="007A5C9F"/>
    <w:rsid w:val="007A6241"/>
    <w:rsid w:val="007B0EB2"/>
    <w:rsid w:val="007B5CFA"/>
    <w:rsid w:val="007B7E55"/>
    <w:rsid w:val="007C24B7"/>
    <w:rsid w:val="007C4EDB"/>
    <w:rsid w:val="007D0416"/>
    <w:rsid w:val="007D13BF"/>
    <w:rsid w:val="007D176F"/>
    <w:rsid w:val="007E0938"/>
    <w:rsid w:val="007E3DD4"/>
    <w:rsid w:val="007F079F"/>
    <w:rsid w:val="007F0A41"/>
    <w:rsid w:val="007F222E"/>
    <w:rsid w:val="0080206B"/>
    <w:rsid w:val="00803111"/>
    <w:rsid w:val="00804410"/>
    <w:rsid w:val="00805AAA"/>
    <w:rsid w:val="00810B6F"/>
    <w:rsid w:val="0082061C"/>
    <w:rsid w:val="0082294E"/>
    <w:rsid w:val="00822CE0"/>
    <w:rsid w:val="00824A27"/>
    <w:rsid w:val="00824AC7"/>
    <w:rsid w:val="00831052"/>
    <w:rsid w:val="00833CB0"/>
    <w:rsid w:val="00834B9F"/>
    <w:rsid w:val="008356D5"/>
    <w:rsid w:val="008360D0"/>
    <w:rsid w:val="008402AD"/>
    <w:rsid w:val="00841907"/>
    <w:rsid w:val="00841AB1"/>
    <w:rsid w:val="00841EFF"/>
    <w:rsid w:val="00842397"/>
    <w:rsid w:val="00843ACD"/>
    <w:rsid w:val="00845BF5"/>
    <w:rsid w:val="008467C0"/>
    <w:rsid w:val="00847061"/>
    <w:rsid w:val="008522AF"/>
    <w:rsid w:val="00853E55"/>
    <w:rsid w:val="0085709A"/>
    <w:rsid w:val="008631B3"/>
    <w:rsid w:val="00863362"/>
    <w:rsid w:val="00871244"/>
    <w:rsid w:val="00872474"/>
    <w:rsid w:val="0087510B"/>
    <w:rsid w:val="00876522"/>
    <w:rsid w:val="00880B3D"/>
    <w:rsid w:val="008907FB"/>
    <w:rsid w:val="00890927"/>
    <w:rsid w:val="00896616"/>
    <w:rsid w:val="008A1BA3"/>
    <w:rsid w:val="008A1C9E"/>
    <w:rsid w:val="008A3D1C"/>
    <w:rsid w:val="008A6B9F"/>
    <w:rsid w:val="008B15B1"/>
    <w:rsid w:val="008C68F1"/>
    <w:rsid w:val="008C6B9C"/>
    <w:rsid w:val="008D5879"/>
    <w:rsid w:val="008D7BD5"/>
    <w:rsid w:val="008E1D10"/>
    <w:rsid w:val="008E2E6E"/>
    <w:rsid w:val="008F2F97"/>
    <w:rsid w:val="008F3CD7"/>
    <w:rsid w:val="008F6DA2"/>
    <w:rsid w:val="008F7838"/>
    <w:rsid w:val="00900612"/>
    <w:rsid w:val="0090158E"/>
    <w:rsid w:val="00902E22"/>
    <w:rsid w:val="00905962"/>
    <w:rsid w:val="00911282"/>
    <w:rsid w:val="0092004B"/>
    <w:rsid w:val="00921341"/>
    <w:rsid w:val="00921803"/>
    <w:rsid w:val="00922E5E"/>
    <w:rsid w:val="00926503"/>
    <w:rsid w:val="009304DB"/>
    <w:rsid w:val="00931F8C"/>
    <w:rsid w:val="009361C4"/>
    <w:rsid w:val="00936403"/>
    <w:rsid w:val="00936E71"/>
    <w:rsid w:val="0094501B"/>
    <w:rsid w:val="0095112B"/>
    <w:rsid w:val="00953039"/>
    <w:rsid w:val="0095680C"/>
    <w:rsid w:val="009576F2"/>
    <w:rsid w:val="00961430"/>
    <w:rsid w:val="00962494"/>
    <w:rsid w:val="0096763E"/>
    <w:rsid w:val="009726D8"/>
    <w:rsid w:val="00972C63"/>
    <w:rsid w:val="009779A2"/>
    <w:rsid w:val="0098064B"/>
    <w:rsid w:val="0098444C"/>
    <w:rsid w:val="009855AC"/>
    <w:rsid w:val="009911A4"/>
    <w:rsid w:val="00993AAC"/>
    <w:rsid w:val="00995809"/>
    <w:rsid w:val="009A0164"/>
    <w:rsid w:val="009A0245"/>
    <w:rsid w:val="009A0FEF"/>
    <w:rsid w:val="009A40CD"/>
    <w:rsid w:val="009A5065"/>
    <w:rsid w:val="009A539B"/>
    <w:rsid w:val="009A5DCF"/>
    <w:rsid w:val="009B0025"/>
    <w:rsid w:val="009B415D"/>
    <w:rsid w:val="009B42AD"/>
    <w:rsid w:val="009B457B"/>
    <w:rsid w:val="009B5529"/>
    <w:rsid w:val="009B559C"/>
    <w:rsid w:val="009C03E5"/>
    <w:rsid w:val="009C5C43"/>
    <w:rsid w:val="009C6916"/>
    <w:rsid w:val="009D3E6A"/>
    <w:rsid w:val="009D3FDB"/>
    <w:rsid w:val="009D4365"/>
    <w:rsid w:val="009D636C"/>
    <w:rsid w:val="009E0FE8"/>
    <w:rsid w:val="009E2FFC"/>
    <w:rsid w:val="009E394E"/>
    <w:rsid w:val="009E457E"/>
    <w:rsid w:val="009E5264"/>
    <w:rsid w:val="009E5420"/>
    <w:rsid w:val="009E691D"/>
    <w:rsid w:val="009E6920"/>
    <w:rsid w:val="009E6BCB"/>
    <w:rsid w:val="009F218D"/>
    <w:rsid w:val="009F5CCF"/>
    <w:rsid w:val="009F639D"/>
    <w:rsid w:val="009F6F22"/>
    <w:rsid w:val="009F76DB"/>
    <w:rsid w:val="009F79A9"/>
    <w:rsid w:val="00A00A80"/>
    <w:rsid w:val="00A040AD"/>
    <w:rsid w:val="00A073C1"/>
    <w:rsid w:val="00A07BAC"/>
    <w:rsid w:val="00A12D90"/>
    <w:rsid w:val="00A140F6"/>
    <w:rsid w:val="00A15AEE"/>
    <w:rsid w:val="00A2085B"/>
    <w:rsid w:val="00A217AC"/>
    <w:rsid w:val="00A22BD0"/>
    <w:rsid w:val="00A24042"/>
    <w:rsid w:val="00A24353"/>
    <w:rsid w:val="00A25176"/>
    <w:rsid w:val="00A255BC"/>
    <w:rsid w:val="00A269DB"/>
    <w:rsid w:val="00A31D00"/>
    <w:rsid w:val="00A32C3B"/>
    <w:rsid w:val="00A338E3"/>
    <w:rsid w:val="00A33B31"/>
    <w:rsid w:val="00A3781B"/>
    <w:rsid w:val="00A40302"/>
    <w:rsid w:val="00A43CCD"/>
    <w:rsid w:val="00A45427"/>
    <w:rsid w:val="00A45F4F"/>
    <w:rsid w:val="00A54485"/>
    <w:rsid w:val="00A56994"/>
    <w:rsid w:val="00A56CDD"/>
    <w:rsid w:val="00A600A9"/>
    <w:rsid w:val="00A601AB"/>
    <w:rsid w:val="00A62652"/>
    <w:rsid w:val="00A626EA"/>
    <w:rsid w:val="00A80FB1"/>
    <w:rsid w:val="00A832D0"/>
    <w:rsid w:val="00A876B4"/>
    <w:rsid w:val="00AA55B7"/>
    <w:rsid w:val="00AA5B9E"/>
    <w:rsid w:val="00AB2407"/>
    <w:rsid w:val="00AB44D1"/>
    <w:rsid w:val="00AB4676"/>
    <w:rsid w:val="00AB53DF"/>
    <w:rsid w:val="00AB5B79"/>
    <w:rsid w:val="00AB6BE6"/>
    <w:rsid w:val="00AC4820"/>
    <w:rsid w:val="00AC641F"/>
    <w:rsid w:val="00AC6D0C"/>
    <w:rsid w:val="00AC6D83"/>
    <w:rsid w:val="00AD2BDE"/>
    <w:rsid w:val="00AD3F8C"/>
    <w:rsid w:val="00AE222F"/>
    <w:rsid w:val="00AE2EB6"/>
    <w:rsid w:val="00AE58AB"/>
    <w:rsid w:val="00AF336C"/>
    <w:rsid w:val="00AF5F09"/>
    <w:rsid w:val="00B00B6E"/>
    <w:rsid w:val="00B00E8E"/>
    <w:rsid w:val="00B069C9"/>
    <w:rsid w:val="00B07E5C"/>
    <w:rsid w:val="00B10031"/>
    <w:rsid w:val="00B12B89"/>
    <w:rsid w:val="00B1665F"/>
    <w:rsid w:val="00B2173E"/>
    <w:rsid w:val="00B2193C"/>
    <w:rsid w:val="00B22BBC"/>
    <w:rsid w:val="00B22D49"/>
    <w:rsid w:val="00B22EA5"/>
    <w:rsid w:val="00B30350"/>
    <w:rsid w:val="00B328D2"/>
    <w:rsid w:val="00B457C3"/>
    <w:rsid w:val="00B46BC4"/>
    <w:rsid w:val="00B52CC2"/>
    <w:rsid w:val="00B53419"/>
    <w:rsid w:val="00B5344A"/>
    <w:rsid w:val="00B54EBB"/>
    <w:rsid w:val="00B55847"/>
    <w:rsid w:val="00B55C3D"/>
    <w:rsid w:val="00B6335C"/>
    <w:rsid w:val="00B64531"/>
    <w:rsid w:val="00B64701"/>
    <w:rsid w:val="00B647CA"/>
    <w:rsid w:val="00B66771"/>
    <w:rsid w:val="00B66780"/>
    <w:rsid w:val="00B7422A"/>
    <w:rsid w:val="00B768A2"/>
    <w:rsid w:val="00B811F7"/>
    <w:rsid w:val="00B82556"/>
    <w:rsid w:val="00B8474B"/>
    <w:rsid w:val="00B84AF7"/>
    <w:rsid w:val="00B93772"/>
    <w:rsid w:val="00B953DA"/>
    <w:rsid w:val="00B95A79"/>
    <w:rsid w:val="00B96E18"/>
    <w:rsid w:val="00BA069A"/>
    <w:rsid w:val="00BA229D"/>
    <w:rsid w:val="00BA5441"/>
    <w:rsid w:val="00BA5DC6"/>
    <w:rsid w:val="00BA6196"/>
    <w:rsid w:val="00BB3969"/>
    <w:rsid w:val="00BB3B5C"/>
    <w:rsid w:val="00BB6B0B"/>
    <w:rsid w:val="00BC1105"/>
    <w:rsid w:val="00BC3AFC"/>
    <w:rsid w:val="00BC44B2"/>
    <w:rsid w:val="00BC6D8C"/>
    <w:rsid w:val="00BD355D"/>
    <w:rsid w:val="00BD5A46"/>
    <w:rsid w:val="00BD74A1"/>
    <w:rsid w:val="00BE308C"/>
    <w:rsid w:val="00BE49E6"/>
    <w:rsid w:val="00BE66BD"/>
    <w:rsid w:val="00BF27B1"/>
    <w:rsid w:val="00BF2E36"/>
    <w:rsid w:val="00BF55D4"/>
    <w:rsid w:val="00C013C7"/>
    <w:rsid w:val="00C033F5"/>
    <w:rsid w:val="00C05E2D"/>
    <w:rsid w:val="00C06976"/>
    <w:rsid w:val="00C14043"/>
    <w:rsid w:val="00C22BE2"/>
    <w:rsid w:val="00C2399F"/>
    <w:rsid w:val="00C246D4"/>
    <w:rsid w:val="00C2567E"/>
    <w:rsid w:val="00C25B7F"/>
    <w:rsid w:val="00C34006"/>
    <w:rsid w:val="00C41C22"/>
    <w:rsid w:val="00C41D6A"/>
    <w:rsid w:val="00C426B1"/>
    <w:rsid w:val="00C434F9"/>
    <w:rsid w:val="00C43915"/>
    <w:rsid w:val="00C4792D"/>
    <w:rsid w:val="00C64F95"/>
    <w:rsid w:val="00C66160"/>
    <w:rsid w:val="00C66B9F"/>
    <w:rsid w:val="00C7078B"/>
    <w:rsid w:val="00C721AC"/>
    <w:rsid w:val="00C745B5"/>
    <w:rsid w:val="00C75EC8"/>
    <w:rsid w:val="00C762B6"/>
    <w:rsid w:val="00C838CA"/>
    <w:rsid w:val="00C83A89"/>
    <w:rsid w:val="00C90D6A"/>
    <w:rsid w:val="00CA235C"/>
    <w:rsid w:val="00CA247E"/>
    <w:rsid w:val="00CB7806"/>
    <w:rsid w:val="00CC1A35"/>
    <w:rsid w:val="00CC56DE"/>
    <w:rsid w:val="00CC5E59"/>
    <w:rsid w:val="00CC6292"/>
    <w:rsid w:val="00CC72B6"/>
    <w:rsid w:val="00CC7A73"/>
    <w:rsid w:val="00CD1EFB"/>
    <w:rsid w:val="00CD4234"/>
    <w:rsid w:val="00CD4454"/>
    <w:rsid w:val="00CD48C9"/>
    <w:rsid w:val="00CE4BB1"/>
    <w:rsid w:val="00CE5F6B"/>
    <w:rsid w:val="00CE6742"/>
    <w:rsid w:val="00CE68C0"/>
    <w:rsid w:val="00CE7DA8"/>
    <w:rsid w:val="00CF276E"/>
    <w:rsid w:val="00CF5808"/>
    <w:rsid w:val="00CF72CC"/>
    <w:rsid w:val="00D0218D"/>
    <w:rsid w:val="00D04FDF"/>
    <w:rsid w:val="00D06D5F"/>
    <w:rsid w:val="00D0783D"/>
    <w:rsid w:val="00D236EC"/>
    <w:rsid w:val="00D24226"/>
    <w:rsid w:val="00D243F8"/>
    <w:rsid w:val="00D25FB5"/>
    <w:rsid w:val="00D3498F"/>
    <w:rsid w:val="00D3759D"/>
    <w:rsid w:val="00D42393"/>
    <w:rsid w:val="00D4279F"/>
    <w:rsid w:val="00D435A8"/>
    <w:rsid w:val="00D44223"/>
    <w:rsid w:val="00D446B3"/>
    <w:rsid w:val="00D50255"/>
    <w:rsid w:val="00D54EC7"/>
    <w:rsid w:val="00D55922"/>
    <w:rsid w:val="00D5653D"/>
    <w:rsid w:val="00D60EE4"/>
    <w:rsid w:val="00D635E6"/>
    <w:rsid w:val="00D66E48"/>
    <w:rsid w:val="00D672F1"/>
    <w:rsid w:val="00D76ABA"/>
    <w:rsid w:val="00D77E2C"/>
    <w:rsid w:val="00D81039"/>
    <w:rsid w:val="00D87BF8"/>
    <w:rsid w:val="00D918ED"/>
    <w:rsid w:val="00D923D8"/>
    <w:rsid w:val="00D94710"/>
    <w:rsid w:val="00D9478B"/>
    <w:rsid w:val="00DA22DA"/>
    <w:rsid w:val="00DA2529"/>
    <w:rsid w:val="00DB0E82"/>
    <w:rsid w:val="00DB130A"/>
    <w:rsid w:val="00DB2EBB"/>
    <w:rsid w:val="00DB7C56"/>
    <w:rsid w:val="00DC10A1"/>
    <w:rsid w:val="00DC2FB9"/>
    <w:rsid w:val="00DC655F"/>
    <w:rsid w:val="00DC67D6"/>
    <w:rsid w:val="00DD0B59"/>
    <w:rsid w:val="00DD5715"/>
    <w:rsid w:val="00DD6EC0"/>
    <w:rsid w:val="00DD79CB"/>
    <w:rsid w:val="00DD7EBD"/>
    <w:rsid w:val="00DE4028"/>
    <w:rsid w:val="00DF21B4"/>
    <w:rsid w:val="00DF3804"/>
    <w:rsid w:val="00DF589B"/>
    <w:rsid w:val="00DF62B6"/>
    <w:rsid w:val="00E009AE"/>
    <w:rsid w:val="00E03D37"/>
    <w:rsid w:val="00E07225"/>
    <w:rsid w:val="00E1681B"/>
    <w:rsid w:val="00E16B63"/>
    <w:rsid w:val="00E16C92"/>
    <w:rsid w:val="00E1780F"/>
    <w:rsid w:val="00E202DF"/>
    <w:rsid w:val="00E37DFF"/>
    <w:rsid w:val="00E4059F"/>
    <w:rsid w:val="00E409F3"/>
    <w:rsid w:val="00E41618"/>
    <w:rsid w:val="00E44B4D"/>
    <w:rsid w:val="00E500FA"/>
    <w:rsid w:val="00E52A6E"/>
    <w:rsid w:val="00E5409F"/>
    <w:rsid w:val="00E6100A"/>
    <w:rsid w:val="00E65359"/>
    <w:rsid w:val="00E67890"/>
    <w:rsid w:val="00E7087B"/>
    <w:rsid w:val="00E70E1C"/>
    <w:rsid w:val="00E711DB"/>
    <w:rsid w:val="00E72940"/>
    <w:rsid w:val="00E76780"/>
    <w:rsid w:val="00E76F40"/>
    <w:rsid w:val="00E81752"/>
    <w:rsid w:val="00E81854"/>
    <w:rsid w:val="00E85CEC"/>
    <w:rsid w:val="00E90571"/>
    <w:rsid w:val="00E90845"/>
    <w:rsid w:val="00E93C97"/>
    <w:rsid w:val="00E9643A"/>
    <w:rsid w:val="00E965A7"/>
    <w:rsid w:val="00EA2CBD"/>
    <w:rsid w:val="00EA3D04"/>
    <w:rsid w:val="00EA4EEA"/>
    <w:rsid w:val="00EB3101"/>
    <w:rsid w:val="00EB4CC0"/>
    <w:rsid w:val="00EC05B4"/>
    <w:rsid w:val="00EC0903"/>
    <w:rsid w:val="00EC277A"/>
    <w:rsid w:val="00EC2AF4"/>
    <w:rsid w:val="00EC35FD"/>
    <w:rsid w:val="00EC61A0"/>
    <w:rsid w:val="00ED0EE3"/>
    <w:rsid w:val="00ED3583"/>
    <w:rsid w:val="00EE3AAD"/>
    <w:rsid w:val="00EE6488"/>
    <w:rsid w:val="00EE7B4C"/>
    <w:rsid w:val="00EF0E34"/>
    <w:rsid w:val="00EF162C"/>
    <w:rsid w:val="00EF2406"/>
    <w:rsid w:val="00EF5532"/>
    <w:rsid w:val="00EF5EBC"/>
    <w:rsid w:val="00F021FA"/>
    <w:rsid w:val="00F0461E"/>
    <w:rsid w:val="00F05552"/>
    <w:rsid w:val="00F0735B"/>
    <w:rsid w:val="00F17F3D"/>
    <w:rsid w:val="00F20FFA"/>
    <w:rsid w:val="00F224C2"/>
    <w:rsid w:val="00F22D12"/>
    <w:rsid w:val="00F24D01"/>
    <w:rsid w:val="00F263E1"/>
    <w:rsid w:val="00F26736"/>
    <w:rsid w:val="00F30457"/>
    <w:rsid w:val="00F33EE5"/>
    <w:rsid w:val="00F41141"/>
    <w:rsid w:val="00F4156A"/>
    <w:rsid w:val="00F458BE"/>
    <w:rsid w:val="00F50495"/>
    <w:rsid w:val="00F55722"/>
    <w:rsid w:val="00F559C3"/>
    <w:rsid w:val="00F62E97"/>
    <w:rsid w:val="00F64209"/>
    <w:rsid w:val="00F6715D"/>
    <w:rsid w:val="00F67372"/>
    <w:rsid w:val="00F72CF0"/>
    <w:rsid w:val="00F75B50"/>
    <w:rsid w:val="00F7760E"/>
    <w:rsid w:val="00F80ACE"/>
    <w:rsid w:val="00F816DC"/>
    <w:rsid w:val="00F855C2"/>
    <w:rsid w:val="00F92A23"/>
    <w:rsid w:val="00F92ACB"/>
    <w:rsid w:val="00F93BF5"/>
    <w:rsid w:val="00F94F89"/>
    <w:rsid w:val="00F952B2"/>
    <w:rsid w:val="00FA1264"/>
    <w:rsid w:val="00FA5C0C"/>
    <w:rsid w:val="00FC2656"/>
    <w:rsid w:val="00FC3E29"/>
    <w:rsid w:val="00FD1057"/>
    <w:rsid w:val="00FD6F59"/>
    <w:rsid w:val="00FE2C04"/>
    <w:rsid w:val="00FE2FCD"/>
    <w:rsid w:val="00FE7175"/>
    <w:rsid w:val="00FF654D"/>
    <w:rsid w:val="00FF6CE6"/>
    <w:rsid w:val="00FF6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EBB"/>
    <w:pPr>
      <w:widowControl w:val="0"/>
    </w:pPr>
    <w:rPr>
      <w:snapToGrid w:val="0"/>
      <w:kern w:val="28"/>
      <w:sz w:val="22"/>
    </w:rPr>
  </w:style>
  <w:style w:type="paragraph" w:styleId="Heading1">
    <w:name w:val="heading 1"/>
    <w:basedOn w:val="Normal"/>
    <w:next w:val="ParaNum"/>
    <w:link w:val="Heading1Char"/>
    <w:qFormat/>
    <w:rsid w:val="00B54EB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54EBB"/>
    <w:pPr>
      <w:keepNext/>
      <w:numPr>
        <w:ilvl w:val="1"/>
        <w:numId w:val="3"/>
      </w:numPr>
      <w:spacing w:after="120"/>
      <w:outlineLvl w:val="1"/>
    </w:pPr>
    <w:rPr>
      <w:b/>
    </w:rPr>
  </w:style>
  <w:style w:type="paragraph" w:styleId="Heading3">
    <w:name w:val="heading 3"/>
    <w:basedOn w:val="Normal"/>
    <w:next w:val="ParaNum"/>
    <w:qFormat/>
    <w:rsid w:val="00B54EBB"/>
    <w:pPr>
      <w:keepNext/>
      <w:numPr>
        <w:ilvl w:val="2"/>
        <w:numId w:val="3"/>
      </w:numPr>
      <w:tabs>
        <w:tab w:val="left" w:pos="2160"/>
      </w:tabs>
      <w:spacing w:after="120"/>
      <w:outlineLvl w:val="2"/>
    </w:pPr>
    <w:rPr>
      <w:b/>
    </w:rPr>
  </w:style>
  <w:style w:type="paragraph" w:styleId="Heading4">
    <w:name w:val="heading 4"/>
    <w:basedOn w:val="Normal"/>
    <w:next w:val="ParaNum"/>
    <w:qFormat/>
    <w:rsid w:val="00B54EBB"/>
    <w:pPr>
      <w:keepNext/>
      <w:numPr>
        <w:ilvl w:val="3"/>
        <w:numId w:val="3"/>
      </w:numPr>
      <w:tabs>
        <w:tab w:val="left" w:pos="2880"/>
      </w:tabs>
      <w:spacing w:after="120"/>
      <w:outlineLvl w:val="3"/>
    </w:pPr>
    <w:rPr>
      <w:b/>
    </w:rPr>
  </w:style>
  <w:style w:type="paragraph" w:styleId="Heading5">
    <w:name w:val="heading 5"/>
    <w:basedOn w:val="Normal"/>
    <w:next w:val="ParaNum"/>
    <w:qFormat/>
    <w:rsid w:val="00B54EB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54EBB"/>
    <w:pPr>
      <w:numPr>
        <w:ilvl w:val="5"/>
        <w:numId w:val="3"/>
      </w:numPr>
      <w:tabs>
        <w:tab w:val="left" w:pos="4320"/>
      </w:tabs>
      <w:spacing w:after="120"/>
      <w:outlineLvl w:val="5"/>
    </w:pPr>
    <w:rPr>
      <w:b/>
    </w:rPr>
  </w:style>
  <w:style w:type="paragraph" w:styleId="Heading7">
    <w:name w:val="heading 7"/>
    <w:basedOn w:val="Normal"/>
    <w:next w:val="ParaNum"/>
    <w:qFormat/>
    <w:rsid w:val="00B54EB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54EB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54EB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54E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4EBB"/>
  </w:style>
  <w:style w:type="paragraph" w:customStyle="1" w:styleId="ParaNum">
    <w:name w:val="ParaNum"/>
    <w:basedOn w:val="Normal"/>
    <w:link w:val="ParaNumChar"/>
    <w:rsid w:val="00B54EBB"/>
    <w:pPr>
      <w:numPr>
        <w:numId w:val="2"/>
      </w:numPr>
      <w:tabs>
        <w:tab w:val="clear" w:pos="1080"/>
        <w:tab w:val="num" w:pos="1440"/>
      </w:tabs>
      <w:spacing w:after="120"/>
    </w:pPr>
  </w:style>
  <w:style w:type="paragraph" w:styleId="EndnoteText">
    <w:name w:val="endnote text"/>
    <w:basedOn w:val="Normal"/>
    <w:semiHidden/>
    <w:rsid w:val="00B54EBB"/>
    <w:rPr>
      <w:sz w:val="20"/>
    </w:rPr>
  </w:style>
  <w:style w:type="character" w:styleId="EndnoteReference">
    <w:name w:val="endnote reference"/>
    <w:semiHidden/>
    <w:rsid w:val="00B54EBB"/>
    <w:rPr>
      <w:vertAlign w:val="superscript"/>
    </w:rPr>
  </w:style>
  <w:style w:type="paragraph" w:styleId="FootnoteText">
    <w:name w:val="footnote text"/>
    <w:aliases w:val="rrfootnote,rrfootnote Char,Footnote Text Char1 Char,Footnote Text Char Char Char,Footnote Text Char2 Char Char Char,Footnote Text Char1 Char2 Char Char Char,Footnote Text Char Char Char Char Char Char,Footnote Text Char2,ALTS FOOTNOTE Char"/>
    <w:link w:val="FootnoteTextChar"/>
    <w:rsid w:val="00B54EBB"/>
    <w:pPr>
      <w:spacing w:after="120"/>
    </w:pPr>
  </w:style>
  <w:style w:type="character" w:styleId="FootnoteReference">
    <w:name w:val="footnote reference"/>
    <w:aliases w:val="Style 12,(NECG) Footnote Reference,Appel note de bas de p,Style 124,Style 4,fr,o,Style 13,Style 3"/>
    <w:rsid w:val="00B54EBB"/>
    <w:rPr>
      <w:rFonts w:ascii="Times New Roman" w:hAnsi="Times New Roman"/>
      <w:dstrike w:val="0"/>
      <w:color w:val="auto"/>
      <w:sz w:val="20"/>
      <w:vertAlign w:val="superscript"/>
    </w:rPr>
  </w:style>
  <w:style w:type="paragraph" w:styleId="TOC1">
    <w:name w:val="toc 1"/>
    <w:basedOn w:val="Normal"/>
    <w:next w:val="Normal"/>
    <w:semiHidden/>
    <w:rsid w:val="00B54EB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54EBB"/>
    <w:pPr>
      <w:tabs>
        <w:tab w:val="left" w:pos="720"/>
        <w:tab w:val="right" w:leader="dot" w:pos="9360"/>
      </w:tabs>
      <w:suppressAutoHyphens/>
      <w:ind w:left="720" w:right="720" w:hanging="360"/>
    </w:pPr>
    <w:rPr>
      <w:noProof/>
    </w:rPr>
  </w:style>
  <w:style w:type="paragraph" w:styleId="TOC3">
    <w:name w:val="toc 3"/>
    <w:basedOn w:val="Normal"/>
    <w:next w:val="Normal"/>
    <w:semiHidden/>
    <w:rsid w:val="00B54EB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54EB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54EB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54EB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54EB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54EB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54EB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54EBB"/>
    <w:pPr>
      <w:tabs>
        <w:tab w:val="right" w:pos="9360"/>
      </w:tabs>
      <w:suppressAutoHyphens/>
    </w:pPr>
  </w:style>
  <w:style w:type="character" w:customStyle="1" w:styleId="EquationCaption">
    <w:name w:val="_Equation Caption"/>
    <w:rsid w:val="00B54EBB"/>
  </w:style>
  <w:style w:type="paragraph" w:styleId="Header">
    <w:name w:val="header"/>
    <w:basedOn w:val="Normal"/>
    <w:autoRedefine/>
    <w:rsid w:val="00B54EBB"/>
    <w:pPr>
      <w:tabs>
        <w:tab w:val="center" w:pos="4680"/>
        <w:tab w:val="right" w:pos="9360"/>
      </w:tabs>
    </w:pPr>
    <w:rPr>
      <w:b/>
    </w:rPr>
  </w:style>
  <w:style w:type="paragraph" w:styleId="Footer">
    <w:name w:val="footer"/>
    <w:basedOn w:val="Normal"/>
    <w:rsid w:val="00B54EBB"/>
    <w:pPr>
      <w:tabs>
        <w:tab w:val="center" w:pos="4320"/>
        <w:tab w:val="right" w:pos="8640"/>
      </w:tabs>
    </w:pPr>
  </w:style>
  <w:style w:type="character" w:styleId="PageNumber">
    <w:name w:val="page number"/>
    <w:basedOn w:val="DefaultParagraphFont"/>
    <w:rsid w:val="00B54EBB"/>
  </w:style>
  <w:style w:type="paragraph" w:styleId="BlockText">
    <w:name w:val="Block Text"/>
    <w:basedOn w:val="Normal"/>
    <w:rsid w:val="00B54EBB"/>
    <w:pPr>
      <w:spacing w:after="240"/>
      <w:ind w:left="1440" w:right="1440"/>
    </w:pPr>
  </w:style>
  <w:style w:type="paragraph" w:customStyle="1" w:styleId="Paratitle">
    <w:name w:val="Para title"/>
    <w:basedOn w:val="Normal"/>
    <w:rsid w:val="00B54EBB"/>
    <w:pPr>
      <w:tabs>
        <w:tab w:val="center" w:pos="9270"/>
      </w:tabs>
      <w:spacing w:after="240"/>
    </w:pPr>
    <w:rPr>
      <w:spacing w:val="-2"/>
    </w:rPr>
  </w:style>
  <w:style w:type="paragraph" w:customStyle="1" w:styleId="Bullet">
    <w:name w:val="Bullet"/>
    <w:basedOn w:val="Normal"/>
    <w:rsid w:val="00B54EBB"/>
    <w:pPr>
      <w:tabs>
        <w:tab w:val="left" w:pos="2160"/>
      </w:tabs>
      <w:spacing w:after="220"/>
      <w:ind w:left="2160" w:hanging="720"/>
    </w:pPr>
  </w:style>
  <w:style w:type="paragraph" w:customStyle="1" w:styleId="TableFormat">
    <w:name w:val="TableFormat"/>
    <w:basedOn w:val="Bullet"/>
    <w:rsid w:val="00B54EBB"/>
    <w:pPr>
      <w:tabs>
        <w:tab w:val="clear" w:pos="2160"/>
        <w:tab w:val="left" w:pos="5040"/>
      </w:tabs>
      <w:ind w:left="5040" w:hanging="3600"/>
    </w:pPr>
  </w:style>
  <w:style w:type="paragraph" w:customStyle="1" w:styleId="TOCTitle">
    <w:name w:val="TOC Title"/>
    <w:basedOn w:val="Normal"/>
    <w:rsid w:val="00B54EB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54EBB"/>
    <w:pPr>
      <w:jc w:val="center"/>
    </w:pPr>
    <w:rPr>
      <w:rFonts w:ascii="Times New Roman Bold" w:hAnsi="Times New Roman Bold"/>
      <w:b/>
      <w:bCs/>
      <w:caps/>
      <w:szCs w:val="22"/>
    </w:rPr>
  </w:style>
  <w:style w:type="character" w:styleId="Hyperlink">
    <w:name w:val="Hyperlink"/>
    <w:rsid w:val="00B54EBB"/>
    <w:rPr>
      <w:color w:val="0000FF"/>
      <w:u w:val="single"/>
    </w:rPr>
  </w:style>
  <w:style w:type="paragraph" w:styleId="BalloonText">
    <w:name w:val="Balloon Text"/>
    <w:basedOn w:val="Normal"/>
    <w:link w:val="BalloonTextChar"/>
    <w:rsid w:val="00F263E1"/>
    <w:rPr>
      <w:rFonts w:ascii="Tahoma" w:hAnsi="Tahoma" w:cs="Tahoma"/>
      <w:snapToGrid/>
      <w:sz w:val="16"/>
      <w:szCs w:val="16"/>
    </w:rPr>
  </w:style>
  <w:style w:type="character" w:customStyle="1" w:styleId="BalloonTextChar">
    <w:name w:val="Balloon Text Char"/>
    <w:basedOn w:val="DefaultParagraphFont"/>
    <w:link w:val="BalloonText"/>
    <w:rsid w:val="00F263E1"/>
    <w:rPr>
      <w:rFonts w:ascii="Tahoma" w:hAnsi="Tahoma" w:cs="Tahoma"/>
      <w:snapToGrid w:val="0"/>
      <w:kern w:val="28"/>
      <w:sz w:val="16"/>
      <w:szCs w:val="16"/>
    </w:rPr>
  </w:style>
  <w:style w:type="character" w:customStyle="1" w:styleId="FootnoteTextChar">
    <w:name w:val="Footnote Text Char"/>
    <w:aliases w:val="rrfootnote Char1,rrfootnote Char Char,Footnote Text Char1 Char Char,Footnote Text Char Char Char Char,Footnote Text Char2 Char Char Char Char,Footnote Text Char1 Char2 Char Char Char Char,Footnote Text Char2 Char"/>
    <w:basedOn w:val="DefaultParagraphFont"/>
    <w:link w:val="FootnoteText"/>
    <w:rsid w:val="009F639D"/>
  </w:style>
  <w:style w:type="character" w:customStyle="1" w:styleId="FootnoteTextChar1">
    <w:name w:val="Footnote Text Char1"/>
    <w:aliases w:val="rrfootnote Char2,Footnote Text Char Char1,rrfootnote Char Char1,Footnote Text Char1 Char Char2,Footnote Text Char Char Char Char1,Footnote Text Char2 Char Char Char Char1,Footnote Text Char1 Char2 Char Char Char Char1"/>
    <w:uiPriority w:val="99"/>
    <w:rsid w:val="00C83A89"/>
  </w:style>
  <w:style w:type="paragraph" w:customStyle="1" w:styleId="par1">
    <w:name w:val="par1"/>
    <w:basedOn w:val="Normal"/>
    <w:link w:val="par1Char"/>
    <w:rsid w:val="000344A5"/>
    <w:pPr>
      <w:numPr>
        <w:numId w:val="7"/>
      </w:numPr>
    </w:pPr>
  </w:style>
  <w:style w:type="character" w:customStyle="1" w:styleId="par1Char">
    <w:name w:val="par1 Char"/>
    <w:link w:val="par1"/>
    <w:locked/>
    <w:rsid w:val="000344A5"/>
    <w:rPr>
      <w:sz w:val="22"/>
    </w:rPr>
  </w:style>
  <w:style w:type="character" w:customStyle="1" w:styleId="Heading2Char">
    <w:name w:val="Heading 2 Char"/>
    <w:basedOn w:val="DefaultParagraphFont"/>
    <w:link w:val="Heading2"/>
    <w:rsid w:val="007335F9"/>
    <w:rPr>
      <w:b/>
      <w:snapToGrid w:val="0"/>
      <w:kern w:val="28"/>
      <w:sz w:val="22"/>
    </w:rPr>
  </w:style>
  <w:style w:type="character" w:customStyle="1" w:styleId="searchterm">
    <w:name w:val="searchterm"/>
    <w:rsid w:val="006C789B"/>
  </w:style>
  <w:style w:type="character" w:customStyle="1" w:styleId="ParaNumChar">
    <w:name w:val="ParaNum Char"/>
    <w:link w:val="ParaNum"/>
    <w:locked/>
    <w:rsid w:val="009B457B"/>
    <w:rPr>
      <w:snapToGrid w:val="0"/>
      <w:kern w:val="28"/>
      <w:sz w:val="22"/>
    </w:rPr>
  </w:style>
  <w:style w:type="character" w:styleId="CommentReference">
    <w:name w:val="annotation reference"/>
    <w:basedOn w:val="DefaultParagraphFont"/>
    <w:uiPriority w:val="99"/>
    <w:unhideWhenUsed/>
    <w:rsid w:val="0023545E"/>
    <w:rPr>
      <w:sz w:val="16"/>
      <w:szCs w:val="16"/>
    </w:rPr>
  </w:style>
  <w:style w:type="paragraph" w:styleId="CommentText">
    <w:name w:val="annotation text"/>
    <w:basedOn w:val="Normal"/>
    <w:link w:val="CommentTextChar"/>
    <w:uiPriority w:val="99"/>
    <w:unhideWhenUsed/>
    <w:rsid w:val="0023545E"/>
    <w:rPr>
      <w:rFonts w:eastAsiaTheme="minorEastAsia"/>
      <w:sz w:val="20"/>
    </w:rPr>
  </w:style>
  <w:style w:type="character" w:customStyle="1" w:styleId="CommentTextChar">
    <w:name w:val="Comment Text Char"/>
    <w:basedOn w:val="DefaultParagraphFont"/>
    <w:link w:val="CommentText"/>
    <w:uiPriority w:val="99"/>
    <w:rsid w:val="0023545E"/>
    <w:rPr>
      <w:rFonts w:asciiTheme="minorHAnsi" w:eastAsiaTheme="minorEastAsia" w:hAnsiTheme="minorHAnsi" w:cstheme="minorBidi"/>
    </w:rPr>
  </w:style>
  <w:style w:type="paragraph" w:styleId="CommentSubject">
    <w:name w:val="annotation subject"/>
    <w:basedOn w:val="CommentText"/>
    <w:next w:val="CommentText"/>
    <w:link w:val="CommentSubjectChar"/>
    <w:rsid w:val="00487D73"/>
    <w:rPr>
      <w:rFonts w:eastAsia="Times New Roman"/>
      <w:b/>
      <w:bCs/>
      <w:snapToGrid/>
    </w:rPr>
  </w:style>
  <w:style w:type="character" w:customStyle="1" w:styleId="CommentSubjectChar">
    <w:name w:val="Comment Subject Char"/>
    <w:basedOn w:val="CommentTextChar"/>
    <w:link w:val="CommentSubject"/>
    <w:rsid w:val="00487D73"/>
    <w:rPr>
      <w:rFonts w:asciiTheme="minorHAnsi" w:eastAsiaTheme="minorEastAsia" w:hAnsiTheme="minorHAnsi" w:cstheme="minorBidi"/>
      <w:b/>
      <w:bCs/>
      <w:snapToGrid w:val="0"/>
      <w:kern w:val="28"/>
    </w:rPr>
  </w:style>
  <w:style w:type="character" w:customStyle="1" w:styleId="ParaNumChar1">
    <w:name w:val="ParaNum Char1"/>
    <w:locked/>
    <w:rsid w:val="00010736"/>
    <w:rPr>
      <w:snapToGrid w:val="0"/>
      <w:kern w:val="28"/>
      <w:sz w:val="22"/>
    </w:rPr>
  </w:style>
  <w:style w:type="character" w:customStyle="1" w:styleId="Heading1Char">
    <w:name w:val="Heading 1 Char"/>
    <w:basedOn w:val="DefaultParagraphFont"/>
    <w:link w:val="Heading1"/>
    <w:rsid w:val="00010736"/>
    <w:rPr>
      <w:rFonts w:ascii="Times New Roman Bold" w:hAnsi="Times New Roman Bold"/>
      <w:b/>
      <w:caps/>
      <w:snapToGrid w:val="0"/>
      <w:kern w:val="28"/>
      <w:sz w:val="22"/>
    </w:rPr>
  </w:style>
  <w:style w:type="paragraph" w:customStyle="1" w:styleId="Bullet1">
    <w:name w:val="Bullet 1"/>
    <w:basedOn w:val="Normal"/>
    <w:rsid w:val="00010736"/>
    <w:pPr>
      <w:numPr>
        <w:numId w:val="51"/>
      </w:numPr>
      <w:spacing w:after="220"/>
      <w:ind w:right="720"/>
    </w:pPr>
    <w:rPr>
      <w:snapToGrid/>
    </w:rPr>
  </w:style>
  <w:style w:type="character" w:customStyle="1" w:styleId="bestsection">
    <w:name w:val="bestsection"/>
    <w:basedOn w:val="DefaultParagraphFont"/>
    <w:rsid w:val="008467C0"/>
  </w:style>
  <w:style w:type="paragraph" w:styleId="Revision">
    <w:name w:val="Revision"/>
    <w:hidden/>
    <w:uiPriority w:val="99"/>
    <w:semiHidden/>
    <w:rsid w:val="00E81854"/>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EBB"/>
    <w:pPr>
      <w:widowControl w:val="0"/>
    </w:pPr>
    <w:rPr>
      <w:snapToGrid w:val="0"/>
      <w:kern w:val="28"/>
      <w:sz w:val="22"/>
    </w:rPr>
  </w:style>
  <w:style w:type="paragraph" w:styleId="Heading1">
    <w:name w:val="heading 1"/>
    <w:basedOn w:val="Normal"/>
    <w:next w:val="ParaNum"/>
    <w:link w:val="Heading1Char"/>
    <w:qFormat/>
    <w:rsid w:val="00B54EB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54EBB"/>
    <w:pPr>
      <w:keepNext/>
      <w:numPr>
        <w:ilvl w:val="1"/>
        <w:numId w:val="3"/>
      </w:numPr>
      <w:spacing w:after="120"/>
      <w:outlineLvl w:val="1"/>
    </w:pPr>
    <w:rPr>
      <w:b/>
    </w:rPr>
  </w:style>
  <w:style w:type="paragraph" w:styleId="Heading3">
    <w:name w:val="heading 3"/>
    <w:basedOn w:val="Normal"/>
    <w:next w:val="ParaNum"/>
    <w:qFormat/>
    <w:rsid w:val="00B54EBB"/>
    <w:pPr>
      <w:keepNext/>
      <w:numPr>
        <w:ilvl w:val="2"/>
        <w:numId w:val="3"/>
      </w:numPr>
      <w:tabs>
        <w:tab w:val="left" w:pos="2160"/>
      </w:tabs>
      <w:spacing w:after="120"/>
      <w:outlineLvl w:val="2"/>
    </w:pPr>
    <w:rPr>
      <w:b/>
    </w:rPr>
  </w:style>
  <w:style w:type="paragraph" w:styleId="Heading4">
    <w:name w:val="heading 4"/>
    <w:basedOn w:val="Normal"/>
    <w:next w:val="ParaNum"/>
    <w:qFormat/>
    <w:rsid w:val="00B54EBB"/>
    <w:pPr>
      <w:keepNext/>
      <w:numPr>
        <w:ilvl w:val="3"/>
        <w:numId w:val="3"/>
      </w:numPr>
      <w:tabs>
        <w:tab w:val="left" w:pos="2880"/>
      </w:tabs>
      <w:spacing w:after="120"/>
      <w:outlineLvl w:val="3"/>
    </w:pPr>
    <w:rPr>
      <w:b/>
    </w:rPr>
  </w:style>
  <w:style w:type="paragraph" w:styleId="Heading5">
    <w:name w:val="heading 5"/>
    <w:basedOn w:val="Normal"/>
    <w:next w:val="ParaNum"/>
    <w:qFormat/>
    <w:rsid w:val="00B54EB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54EBB"/>
    <w:pPr>
      <w:numPr>
        <w:ilvl w:val="5"/>
        <w:numId w:val="3"/>
      </w:numPr>
      <w:tabs>
        <w:tab w:val="left" w:pos="4320"/>
      </w:tabs>
      <w:spacing w:after="120"/>
      <w:outlineLvl w:val="5"/>
    </w:pPr>
    <w:rPr>
      <w:b/>
    </w:rPr>
  </w:style>
  <w:style w:type="paragraph" w:styleId="Heading7">
    <w:name w:val="heading 7"/>
    <w:basedOn w:val="Normal"/>
    <w:next w:val="ParaNum"/>
    <w:qFormat/>
    <w:rsid w:val="00B54EB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54EB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54EB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54E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4EBB"/>
  </w:style>
  <w:style w:type="paragraph" w:customStyle="1" w:styleId="ParaNum">
    <w:name w:val="ParaNum"/>
    <w:basedOn w:val="Normal"/>
    <w:link w:val="ParaNumChar"/>
    <w:rsid w:val="00B54EBB"/>
    <w:pPr>
      <w:numPr>
        <w:numId w:val="2"/>
      </w:numPr>
      <w:tabs>
        <w:tab w:val="clear" w:pos="1080"/>
        <w:tab w:val="num" w:pos="1440"/>
      </w:tabs>
      <w:spacing w:after="120"/>
    </w:pPr>
  </w:style>
  <w:style w:type="paragraph" w:styleId="EndnoteText">
    <w:name w:val="endnote text"/>
    <w:basedOn w:val="Normal"/>
    <w:semiHidden/>
    <w:rsid w:val="00B54EBB"/>
    <w:rPr>
      <w:sz w:val="20"/>
    </w:rPr>
  </w:style>
  <w:style w:type="character" w:styleId="EndnoteReference">
    <w:name w:val="endnote reference"/>
    <w:semiHidden/>
    <w:rsid w:val="00B54EBB"/>
    <w:rPr>
      <w:vertAlign w:val="superscript"/>
    </w:rPr>
  </w:style>
  <w:style w:type="paragraph" w:styleId="FootnoteText">
    <w:name w:val="footnote text"/>
    <w:aliases w:val="rrfootnote,rrfootnote Char,Footnote Text Char1 Char,Footnote Text Char Char Char,Footnote Text Char2 Char Char Char,Footnote Text Char1 Char2 Char Char Char,Footnote Text Char Char Char Char Char Char,Footnote Text Char2,ALTS FOOTNOTE Char"/>
    <w:link w:val="FootnoteTextChar"/>
    <w:rsid w:val="00B54EBB"/>
    <w:pPr>
      <w:spacing w:after="120"/>
    </w:pPr>
  </w:style>
  <w:style w:type="character" w:styleId="FootnoteReference">
    <w:name w:val="footnote reference"/>
    <w:aliases w:val="Style 12,(NECG) Footnote Reference,Appel note de bas de p,Style 124,Style 4,fr,o,Style 13,Style 3"/>
    <w:rsid w:val="00B54EBB"/>
    <w:rPr>
      <w:rFonts w:ascii="Times New Roman" w:hAnsi="Times New Roman"/>
      <w:dstrike w:val="0"/>
      <w:color w:val="auto"/>
      <w:sz w:val="20"/>
      <w:vertAlign w:val="superscript"/>
    </w:rPr>
  </w:style>
  <w:style w:type="paragraph" w:styleId="TOC1">
    <w:name w:val="toc 1"/>
    <w:basedOn w:val="Normal"/>
    <w:next w:val="Normal"/>
    <w:semiHidden/>
    <w:rsid w:val="00B54EB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54EBB"/>
    <w:pPr>
      <w:tabs>
        <w:tab w:val="left" w:pos="720"/>
        <w:tab w:val="right" w:leader="dot" w:pos="9360"/>
      </w:tabs>
      <w:suppressAutoHyphens/>
      <w:ind w:left="720" w:right="720" w:hanging="360"/>
    </w:pPr>
    <w:rPr>
      <w:noProof/>
    </w:rPr>
  </w:style>
  <w:style w:type="paragraph" w:styleId="TOC3">
    <w:name w:val="toc 3"/>
    <w:basedOn w:val="Normal"/>
    <w:next w:val="Normal"/>
    <w:semiHidden/>
    <w:rsid w:val="00B54EB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54EB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54EB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54EB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54EB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54EB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54EB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54EBB"/>
    <w:pPr>
      <w:tabs>
        <w:tab w:val="right" w:pos="9360"/>
      </w:tabs>
      <w:suppressAutoHyphens/>
    </w:pPr>
  </w:style>
  <w:style w:type="character" w:customStyle="1" w:styleId="EquationCaption">
    <w:name w:val="_Equation Caption"/>
    <w:rsid w:val="00B54EBB"/>
  </w:style>
  <w:style w:type="paragraph" w:styleId="Header">
    <w:name w:val="header"/>
    <w:basedOn w:val="Normal"/>
    <w:autoRedefine/>
    <w:rsid w:val="00B54EBB"/>
    <w:pPr>
      <w:tabs>
        <w:tab w:val="center" w:pos="4680"/>
        <w:tab w:val="right" w:pos="9360"/>
      </w:tabs>
    </w:pPr>
    <w:rPr>
      <w:b/>
    </w:rPr>
  </w:style>
  <w:style w:type="paragraph" w:styleId="Footer">
    <w:name w:val="footer"/>
    <w:basedOn w:val="Normal"/>
    <w:rsid w:val="00B54EBB"/>
    <w:pPr>
      <w:tabs>
        <w:tab w:val="center" w:pos="4320"/>
        <w:tab w:val="right" w:pos="8640"/>
      </w:tabs>
    </w:pPr>
  </w:style>
  <w:style w:type="character" w:styleId="PageNumber">
    <w:name w:val="page number"/>
    <w:basedOn w:val="DefaultParagraphFont"/>
    <w:rsid w:val="00B54EBB"/>
  </w:style>
  <w:style w:type="paragraph" w:styleId="BlockText">
    <w:name w:val="Block Text"/>
    <w:basedOn w:val="Normal"/>
    <w:rsid w:val="00B54EBB"/>
    <w:pPr>
      <w:spacing w:after="240"/>
      <w:ind w:left="1440" w:right="1440"/>
    </w:pPr>
  </w:style>
  <w:style w:type="paragraph" w:customStyle="1" w:styleId="Paratitle">
    <w:name w:val="Para title"/>
    <w:basedOn w:val="Normal"/>
    <w:rsid w:val="00B54EBB"/>
    <w:pPr>
      <w:tabs>
        <w:tab w:val="center" w:pos="9270"/>
      </w:tabs>
      <w:spacing w:after="240"/>
    </w:pPr>
    <w:rPr>
      <w:spacing w:val="-2"/>
    </w:rPr>
  </w:style>
  <w:style w:type="paragraph" w:customStyle="1" w:styleId="Bullet">
    <w:name w:val="Bullet"/>
    <w:basedOn w:val="Normal"/>
    <w:rsid w:val="00B54EBB"/>
    <w:pPr>
      <w:tabs>
        <w:tab w:val="left" w:pos="2160"/>
      </w:tabs>
      <w:spacing w:after="220"/>
      <w:ind w:left="2160" w:hanging="720"/>
    </w:pPr>
  </w:style>
  <w:style w:type="paragraph" w:customStyle="1" w:styleId="TableFormat">
    <w:name w:val="TableFormat"/>
    <w:basedOn w:val="Bullet"/>
    <w:rsid w:val="00B54EBB"/>
    <w:pPr>
      <w:tabs>
        <w:tab w:val="clear" w:pos="2160"/>
        <w:tab w:val="left" w:pos="5040"/>
      </w:tabs>
      <w:ind w:left="5040" w:hanging="3600"/>
    </w:pPr>
  </w:style>
  <w:style w:type="paragraph" w:customStyle="1" w:styleId="TOCTitle">
    <w:name w:val="TOC Title"/>
    <w:basedOn w:val="Normal"/>
    <w:rsid w:val="00B54EB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54EBB"/>
    <w:pPr>
      <w:jc w:val="center"/>
    </w:pPr>
    <w:rPr>
      <w:rFonts w:ascii="Times New Roman Bold" w:hAnsi="Times New Roman Bold"/>
      <w:b/>
      <w:bCs/>
      <w:caps/>
      <w:szCs w:val="22"/>
    </w:rPr>
  </w:style>
  <w:style w:type="character" w:styleId="Hyperlink">
    <w:name w:val="Hyperlink"/>
    <w:rsid w:val="00B54EBB"/>
    <w:rPr>
      <w:color w:val="0000FF"/>
      <w:u w:val="single"/>
    </w:rPr>
  </w:style>
  <w:style w:type="paragraph" w:styleId="BalloonText">
    <w:name w:val="Balloon Text"/>
    <w:basedOn w:val="Normal"/>
    <w:link w:val="BalloonTextChar"/>
    <w:rsid w:val="00F263E1"/>
    <w:rPr>
      <w:rFonts w:ascii="Tahoma" w:hAnsi="Tahoma" w:cs="Tahoma"/>
      <w:snapToGrid/>
      <w:sz w:val="16"/>
      <w:szCs w:val="16"/>
    </w:rPr>
  </w:style>
  <w:style w:type="character" w:customStyle="1" w:styleId="BalloonTextChar">
    <w:name w:val="Balloon Text Char"/>
    <w:basedOn w:val="DefaultParagraphFont"/>
    <w:link w:val="BalloonText"/>
    <w:rsid w:val="00F263E1"/>
    <w:rPr>
      <w:rFonts w:ascii="Tahoma" w:hAnsi="Tahoma" w:cs="Tahoma"/>
      <w:snapToGrid w:val="0"/>
      <w:kern w:val="28"/>
      <w:sz w:val="16"/>
      <w:szCs w:val="16"/>
    </w:rPr>
  </w:style>
  <w:style w:type="character" w:customStyle="1" w:styleId="FootnoteTextChar">
    <w:name w:val="Footnote Text Char"/>
    <w:aliases w:val="rrfootnote Char1,rrfootnote Char Char,Footnote Text Char1 Char Char,Footnote Text Char Char Char Char,Footnote Text Char2 Char Char Char Char,Footnote Text Char1 Char2 Char Char Char Char,Footnote Text Char2 Char"/>
    <w:basedOn w:val="DefaultParagraphFont"/>
    <w:link w:val="FootnoteText"/>
    <w:rsid w:val="009F639D"/>
  </w:style>
  <w:style w:type="character" w:customStyle="1" w:styleId="FootnoteTextChar1">
    <w:name w:val="Footnote Text Char1"/>
    <w:aliases w:val="rrfootnote Char2,Footnote Text Char Char1,rrfootnote Char Char1,Footnote Text Char1 Char Char2,Footnote Text Char Char Char Char1,Footnote Text Char2 Char Char Char Char1,Footnote Text Char1 Char2 Char Char Char Char1"/>
    <w:uiPriority w:val="99"/>
    <w:rsid w:val="00C83A89"/>
  </w:style>
  <w:style w:type="paragraph" w:customStyle="1" w:styleId="par1">
    <w:name w:val="par1"/>
    <w:basedOn w:val="Normal"/>
    <w:link w:val="par1Char"/>
    <w:rsid w:val="000344A5"/>
    <w:pPr>
      <w:numPr>
        <w:numId w:val="7"/>
      </w:numPr>
    </w:pPr>
  </w:style>
  <w:style w:type="character" w:customStyle="1" w:styleId="par1Char">
    <w:name w:val="par1 Char"/>
    <w:link w:val="par1"/>
    <w:locked/>
    <w:rsid w:val="000344A5"/>
    <w:rPr>
      <w:sz w:val="22"/>
    </w:rPr>
  </w:style>
  <w:style w:type="character" w:customStyle="1" w:styleId="Heading2Char">
    <w:name w:val="Heading 2 Char"/>
    <w:basedOn w:val="DefaultParagraphFont"/>
    <w:link w:val="Heading2"/>
    <w:rsid w:val="007335F9"/>
    <w:rPr>
      <w:b/>
      <w:snapToGrid w:val="0"/>
      <w:kern w:val="28"/>
      <w:sz w:val="22"/>
    </w:rPr>
  </w:style>
  <w:style w:type="character" w:customStyle="1" w:styleId="searchterm">
    <w:name w:val="searchterm"/>
    <w:rsid w:val="006C789B"/>
  </w:style>
  <w:style w:type="character" w:customStyle="1" w:styleId="ParaNumChar">
    <w:name w:val="ParaNum Char"/>
    <w:link w:val="ParaNum"/>
    <w:locked/>
    <w:rsid w:val="009B457B"/>
    <w:rPr>
      <w:snapToGrid w:val="0"/>
      <w:kern w:val="28"/>
      <w:sz w:val="22"/>
    </w:rPr>
  </w:style>
  <w:style w:type="character" w:styleId="CommentReference">
    <w:name w:val="annotation reference"/>
    <w:basedOn w:val="DefaultParagraphFont"/>
    <w:uiPriority w:val="99"/>
    <w:unhideWhenUsed/>
    <w:rsid w:val="0023545E"/>
    <w:rPr>
      <w:sz w:val="16"/>
      <w:szCs w:val="16"/>
    </w:rPr>
  </w:style>
  <w:style w:type="paragraph" w:styleId="CommentText">
    <w:name w:val="annotation text"/>
    <w:basedOn w:val="Normal"/>
    <w:link w:val="CommentTextChar"/>
    <w:uiPriority w:val="99"/>
    <w:unhideWhenUsed/>
    <w:rsid w:val="0023545E"/>
    <w:rPr>
      <w:rFonts w:eastAsiaTheme="minorEastAsia"/>
      <w:sz w:val="20"/>
    </w:rPr>
  </w:style>
  <w:style w:type="character" w:customStyle="1" w:styleId="CommentTextChar">
    <w:name w:val="Comment Text Char"/>
    <w:basedOn w:val="DefaultParagraphFont"/>
    <w:link w:val="CommentText"/>
    <w:uiPriority w:val="99"/>
    <w:rsid w:val="0023545E"/>
    <w:rPr>
      <w:rFonts w:asciiTheme="minorHAnsi" w:eastAsiaTheme="minorEastAsia" w:hAnsiTheme="minorHAnsi" w:cstheme="minorBidi"/>
    </w:rPr>
  </w:style>
  <w:style w:type="paragraph" w:styleId="CommentSubject">
    <w:name w:val="annotation subject"/>
    <w:basedOn w:val="CommentText"/>
    <w:next w:val="CommentText"/>
    <w:link w:val="CommentSubjectChar"/>
    <w:rsid w:val="00487D73"/>
    <w:rPr>
      <w:rFonts w:eastAsia="Times New Roman"/>
      <w:b/>
      <w:bCs/>
      <w:snapToGrid/>
    </w:rPr>
  </w:style>
  <w:style w:type="character" w:customStyle="1" w:styleId="CommentSubjectChar">
    <w:name w:val="Comment Subject Char"/>
    <w:basedOn w:val="CommentTextChar"/>
    <w:link w:val="CommentSubject"/>
    <w:rsid w:val="00487D73"/>
    <w:rPr>
      <w:rFonts w:asciiTheme="minorHAnsi" w:eastAsiaTheme="minorEastAsia" w:hAnsiTheme="minorHAnsi" w:cstheme="minorBidi"/>
      <w:b/>
      <w:bCs/>
      <w:snapToGrid w:val="0"/>
      <w:kern w:val="28"/>
    </w:rPr>
  </w:style>
  <w:style w:type="character" w:customStyle="1" w:styleId="ParaNumChar1">
    <w:name w:val="ParaNum Char1"/>
    <w:locked/>
    <w:rsid w:val="00010736"/>
    <w:rPr>
      <w:snapToGrid w:val="0"/>
      <w:kern w:val="28"/>
      <w:sz w:val="22"/>
    </w:rPr>
  </w:style>
  <w:style w:type="character" w:customStyle="1" w:styleId="Heading1Char">
    <w:name w:val="Heading 1 Char"/>
    <w:basedOn w:val="DefaultParagraphFont"/>
    <w:link w:val="Heading1"/>
    <w:rsid w:val="00010736"/>
    <w:rPr>
      <w:rFonts w:ascii="Times New Roman Bold" w:hAnsi="Times New Roman Bold"/>
      <w:b/>
      <w:caps/>
      <w:snapToGrid w:val="0"/>
      <w:kern w:val="28"/>
      <w:sz w:val="22"/>
    </w:rPr>
  </w:style>
  <w:style w:type="paragraph" w:customStyle="1" w:styleId="Bullet1">
    <w:name w:val="Bullet 1"/>
    <w:basedOn w:val="Normal"/>
    <w:rsid w:val="00010736"/>
    <w:pPr>
      <w:numPr>
        <w:numId w:val="51"/>
      </w:numPr>
      <w:spacing w:after="220"/>
      <w:ind w:right="720"/>
    </w:pPr>
    <w:rPr>
      <w:snapToGrid/>
    </w:rPr>
  </w:style>
  <w:style w:type="character" w:customStyle="1" w:styleId="bestsection">
    <w:name w:val="bestsection"/>
    <w:basedOn w:val="DefaultParagraphFont"/>
    <w:rsid w:val="008467C0"/>
  </w:style>
  <w:style w:type="paragraph" w:styleId="Revision">
    <w:name w:val="Revision"/>
    <w:hidden/>
    <w:uiPriority w:val="99"/>
    <w:semiHidden/>
    <w:rsid w:val="00E8185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7916">
      <w:bodyDiv w:val="1"/>
      <w:marLeft w:val="0"/>
      <w:marRight w:val="0"/>
      <w:marTop w:val="0"/>
      <w:marBottom w:val="0"/>
      <w:divBdr>
        <w:top w:val="none" w:sz="0" w:space="0" w:color="auto"/>
        <w:left w:val="none" w:sz="0" w:space="0" w:color="auto"/>
        <w:bottom w:val="none" w:sz="0" w:space="0" w:color="auto"/>
        <w:right w:val="none" w:sz="0" w:space="0" w:color="auto"/>
      </w:divBdr>
    </w:div>
    <w:div w:id="545525449">
      <w:bodyDiv w:val="1"/>
      <w:marLeft w:val="30"/>
      <w:marRight w:val="30"/>
      <w:marTop w:val="30"/>
      <w:marBottom w:val="30"/>
      <w:divBdr>
        <w:top w:val="none" w:sz="0" w:space="0" w:color="auto"/>
        <w:left w:val="none" w:sz="0" w:space="0" w:color="auto"/>
        <w:bottom w:val="none" w:sz="0" w:space="0" w:color="auto"/>
        <w:right w:val="none" w:sz="0" w:space="0" w:color="auto"/>
      </w:divBdr>
      <w:divsChild>
        <w:div w:id="788284695">
          <w:marLeft w:val="0"/>
          <w:marRight w:val="0"/>
          <w:marTop w:val="0"/>
          <w:marBottom w:val="0"/>
          <w:divBdr>
            <w:top w:val="none" w:sz="0" w:space="0" w:color="auto"/>
            <w:left w:val="none" w:sz="0" w:space="0" w:color="auto"/>
            <w:bottom w:val="none" w:sz="0" w:space="0" w:color="auto"/>
            <w:right w:val="none" w:sz="0" w:space="0" w:color="auto"/>
          </w:divBdr>
          <w:divsChild>
            <w:div w:id="167444745">
              <w:marLeft w:val="45"/>
              <w:marRight w:val="45"/>
              <w:marTop w:val="45"/>
              <w:marBottom w:val="45"/>
              <w:divBdr>
                <w:top w:val="none" w:sz="0" w:space="0" w:color="auto"/>
                <w:left w:val="none" w:sz="0" w:space="0" w:color="auto"/>
                <w:bottom w:val="none" w:sz="0" w:space="0" w:color="auto"/>
                <w:right w:val="none" w:sz="0" w:space="0" w:color="auto"/>
              </w:divBdr>
              <w:divsChild>
                <w:div w:id="2005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5326">
      <w:bodyDiv w:val="1"/>
      <w:marLeft w:val="0"/>
      <w:marRight w:val="0"/>
      <w:marTop w:val="0"/>
      <w:marBottom w:val="0"/>
      <w:divBdr>
        <w:top w:val="none" w:sz="0" w:space="0" w:color="auto"/>
        <w:left w:val="none" w:sz="0" w:space="0" w:color="auto"/>
        <w:bottom w:val="none" w:sz="0" w:space="0" w:color="auto"/>
        <w:right w:val="none" w:sz="0" w:space="0" w:color="auto"/>
      </w:divBdr>
    </w:div>
    <w:div w:id="921060314">
      <w:bodyDiv w:val="1"/>
      <w:marLeft w:val="30"/>
      <w:marRight w:val="30"/>
      <w:marTop w:val="30"/>
      <w:marBottom w:val="30"/>
      <w:divBdr>
        <w:top w:val="none" w:sz="0" w:space="0" w:color="auto"/>
        <w:left w:val="none" w:sz="0" w:space="0" w:color="auto"/>
        <w:bottom w:val="none" w:sz="0" w:space="0" w:color="auto"/>
        <w:right w:val="none" w:sz="0" w:space="0" w:color="auto"/>
      </w:divBdr>
      <w:divsChild>
        <w:div w:id="1141384366">
          <w:marLeft w:val="0"/>
          <w:marRight w:val="0"/>
          <w:marTop w:val="0"/>
          <w:marBottom w:val="0"/>
          <w:divBdr>
            <w:top w:val="none" w:sz="0" w:space="0" w:color="auto"/>
            <w:left w:val="none" w:sz="0" w:space="0" w:color="auto"/>
            <w:bottom w:val="none" w:sz="0" w:space="0" w:color="auto"/>
            <w:right w:val="none" w:sz="0" w:space="0" w:color="auto"/>
          </w:divBdr>
          <w:divsChild>
            <w:div w:id="1613510742">
              <w:marLeft w:val="45"/>
              <w:marRight w:val="45"/>
              <w:marTop w:val="45"/>
              <w:marBottom w:val="45"/>
              <w:divBdr>
                <w:top w:val="none" w:sz="0" w:space="0" w:color="auto"/>
                <w:left w:val="none" w:sz="0" w:space="0" w:color="auto"/>
                <w:bottom w:val="none" w:sz="0" w:space="0" w:color="auto"/>
                <w:right w:val="none" w:sz="0" w:space="0" w:color="auto"/>
              </w:divBdr>
              <w:divsChild>
                <w:div w:id="8524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51585">
      <w:bodyDiv w:val="1"/>
      <w:marLeft w:val="0"/>
      <w:marRight w:val="0"/>
      <w:marTop w:val="0"/>
      <w:marBottom w:val="0"/>
      <w:divBdr>
        <w:top w:val="none" w:sz="0" w:space="0" w:color="auto"/>
        <w:left w:val="none" w:sz="0" w:space="0" w:color="auto"/>
        <w:bottom w:val="none" w:sz="0" w:space="0" w:color="auto"/>
        <w:right w:val="none" w:sz="0" w:space="0" w:color="auto"/>
      </w:divBdr>
    </w:div>
    <w:div w:id="1233273958">
      <w:bodyDiv w:val="1"/>
      <w:marLeft w:val="30"/>
      <w:marRight w:val="30"/>
      <w:marTop w:val="30"/>
      <w:marBottom w:val="30"/>
      <w:divBdr>
        <w:top w:val="none" w:sz="0" w:space="0" w:color="auto"/>
        <w:left w:val="none" w:sz="0" w:space="0" w:color="auto"/>
        <w:bottom w:val="none" w:sz="0" w:space="0" w:color="auto"/>
        <w:right w:val="none" w:sz="0" w:space="0" w:color="auto"/>
      </w:divBdr>
      <w:divsChild>
        <w:div w:id="363795142">
          <w:marLeft w:val="0"/>
          <w:marRight w:val="0"/>
          <w:marTop w:val="0"/>
          <w:marBottom w:val="0"/>
          <w:divBdr>
            <w:top w:val="none" w:sz="0" w:space="0" w:color="auto"/>
            <w:left w:val="none" w:sz="0" w:space="0" w:color="auto"/>
            <w:bottom w:val="none" w:sz="0" w:space="0" w:color="auto"/>
            <w:right w:val="none" w:sz="0" w:space="0" w:color="auto"/>
          </w:divBdr>
          <w:divsChild>
            <w:div w:id="1142768372">
              <w:marLeft w:val="45"/>
              <w:marRight w:val="45"/>
              <w:marTop w:val="45"/>
              <w:marBottom w:val="45"/>
              <w:divBdr>
                <w:top w:val="none" w:sz="0" w:space="0" w:color="auto"/>
                <w:left w:val="none" w:sz="0" w:space="0" w:color="auto"/>
                <w:bottom w:val="none" w:sz="0" w:space="0" w:color="auto"/>
                <w:right w:val="none" w:sz="0" w:space="0" w:color="auto"/>
              </w:divBdr>
              <w:divsChild>
                <w:div w:id="6061263">
                  <w:marLeft w:val="0"/>
                  <w:marRight w:val="0"/>
                  <w:marTop w:val="0"/>
                  <w:marBottom w:val="0"/>
                  <w:divBdr>
                    <w:top w:val="none" w:sz="0" w:space="0" w:color="auto"/>
                    <w:left w:val="none" w:sz="0" w:space="0" w:color="auto"/>
                    <w:bottom w:val="none" w:sz="0" w:space="0" w:color="auto"/>
                    <w:right w:val="none" w:sz="0" w:space="0" w:color="auto"/>
                  </w:divBdr>
                  <w:divsChild>
                    <w:div w:id="283466154">
                      <w:blockQuote w:val="1"/>
                      <w:marLeft w:val="720"/>
                      <w:marRight w:val="720"/>
                      <w:marTop w:val="100"/>
                      <w:marBottom w:val="100"/>
                      <w:divBdr>
                        <w:top w:val="none" w:sz="0" w:space="0" w:color="auto"/>
                        <w:left w:val="none" w:sz="0" w:space="0" w:color="auto"/>
                        <w:bottom w:val="none" w:sz="0" w:space="0" w:color="auto"/>
                        <w:right w:val="none" w:sz="0" w:space="0" w:color="auto"/>
                      </w:divBdr>
                    </w:div>
                    <w:div w:id="38780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237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42984708">
      <w:bodyDiv w:val="1"/>
      <w:marLeft w:val="30"/>
      <w:marRight w:val="30"/>
      <w:marTop w:val="30"/>
      <w:marBottom w:val="30"/>
      <w:divBdr>
        <w:top w:val="none" w:sz="0" w:space="0" w:color="auto"/>
        <w:left w:val="none" w:sz="0" w:space="0" w:color="auto"/>
        <w:bottom w:val="none" w:sz="0" w:space="0" w:color="auto"/>
        <w:right w:val="none" w:sz="0" w:space="0" w:color="auto"/>
      </w:divBdr>
      <w:divsChild>
        <w:div w:id="196360408">
          <w:marLeft w:val="0"/>
          <w:marRight w:val="0"/>
          <w:marTop w:val="0"/>
          <w:marBottom w:val="0"/>
          <w:divBdr>
            <w:top w:val="none" w:sz="0" w:space="0" w:color="auto"/>
            <w:left w:val="none" w:sz="0" w:space="0" w:color="auto"/>
            <w:bottom w:val="none" w:sz="0" w:space="0" w:color="auto"/>
            <w:right w:val="none" w:sz="0" w:space="0" w:color="auto"/>
          </w:divBdr>
          <w:divsChild>
            <w:div w:id="102462722">
              <w:marLeft w:val="45"/>
              <w:marRight w:val="45"/>
              <w:marTop w:val="45"/>
              <w:marBottom w:val="45"/>
              <w:divBdr>
                <w:top w:val="none" w:sz="0" w:space="0" w:color="auto"/>
                <w:left w:val="none" w:sz="0" w:space="0" w:color="auto"/>
                <w:bottom w:val="none" w:sz="0" w:space="0" w:color="auto"/>
                <w:right w:val="none" w:sz="0" w:space="0" w:color="auto"/>
              </w:divBdr>
              <w:divsChild>
                <w:div w:id="1438255191">
                  <w:marLeft w:val="0"/>
                  <w:marRight w:val="0"/>
                  <w:marTop w:val="0"/>
                  <w:marBottom w:val="0"/>
                  <w:divBdr>
                    <w:top w:val="none" w:sz="0" w:space="0" w:color="auto"/>
                    <w:left w:val="none" w:sz="0" w:space="0" w:color="auto"/>
                    <w:bottom w:val="none" w:sz="0" w:space="0" w:color="auto"/>
                    <w:right w:val="none" w:sz="0" w:space="0" w:color="auto"/>
                  </w:divBdr>
                  <w:divsChild>
                    <w:div w:id="568152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26854024">
                      <w:blockQuote w:val="1"/>
                      <w:marLeft w:val="720"/>
                      <w:marRight w:val="720"/>
                      <w:marTop w:val="100"/>
                      <w:marBottom w:val="100"/>
                      <w:divBdr>
                        <w:top w:val="none" w:sz="0" w:space="0" w:color="auto"/>
                        <w:left w:val="none" w:sz="0" w:space="0" w:color="auto"/>
                        <w:bottom w:val="none" w:sz="0" w:space="0" w:color="auto"/>
                        <w:right w:val="none" w:sz="0" w:space="0" w:color="auto"/>
                      </w:divBdr>
                    </w:div>
                    <w:div w:id="832255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11389032">
      <w:bodyDiv w:val="1"/>
      <w:marLeft w:val="0"/>
      <w:marRight w:val="0"/>
      <w:marTop w:val="0"/>
      <w:marBottom w:val="0"/>
      <w:divBdr>
        <w:top w:val="none" w:sz="0" w:space="0" w:color="auto"/>
        <w:left w:val="none" w:sz="0" w:space="0" w:color="auto"/>
        <w:bottom w:val="none" w:sz="0" w:space="0" w:color="auto"/>
        <w:right w:val="none" w:sz="0" w:space="0" w:color="auto"/>
      </w:divBdr>
    </w:div>
    <w:div w:id="1452438639">
      <w:bodyDiv w:val="1"/>
      <w:marLeft w:val="30"/>
      <w:marRight w:val="30"/>
      <w:marTop w:val="30"/>
      <w:marBottom w:val="30"/>
      <w:divBdr>
        <w:top w:val="none" w:sz="0" w:space="0" w:color="auto"/>
        <w:left w:val="none" w:sz="0" w:space="0" w:color="auto"/>
        <w:bottom w:val="none" w:sz="0" w:space="0" w:color="auto"/>
        <w:right w:val="none" w:sz="0" w:space="0" w:color="auto"/>
      </w:divBdr>
      <w:divsChild>
        <w:div w:id="81031492">
          <w:marLeft w:val="0"/>
          <w:marRight w:val="0"/>
          <w:marTop w:val="0"/>
          <w:marBottom w:val="0"/>
          <w:divBdr>
            <w:top w:val="none" w:sz="0" w:space="0" w:color="auto"/>
            <w:left w:val="none" w:sz="0" w:space="0" w:color="auto"/>
            <w:bottom w:val="none" w:sz="0" w:space="0" w:color="auto"/>
            <w:right w:val="none" w:sz="0" w:space="0" w:color="auto"/>
          </w:divBdr>
          <w:divsChild>
            <w:div w:id="1076048209">
              <w:marLeft w:val="45"/>
              <w:marRight w:val="45"/>
              <w:marTop w:val="45"/>
              <w:marBottom w:val="45"/>
              <w:divBdr>
                <w:top w:val="none" w:sz="0" w:space="0" w:color="auto"/>
                <w:left w:val="none" w:sz="0" w:space="0" w:color="auto"/>
                <w:bottom w:val="none" w:sz="0" w:space="0" w:color="auto"/>
                <w:right w:val="none" w:sz="0" w:space="0" w:color="auto"/>
              </w:divBdr>
              <w:divsChild>
                <w:div w:id="1940023415">
                  <w:marLeft w:val="0"/>
                  <w:marRight w:val="0"/>
                  <w:marTop w:val="0"/>
                  <w:marBottom w:val="0"/>
                  <w:divBdr>
                    <w:top w:val="none" w:sz="0" w:space="0" w:color="auto"/>
                    <w:left w:val="none" w:sz="0" w:space="0" w:color="auto"/>
                    <w:bottom w:val="none" w:sz="0" w:space="0" w:color="auto"/>
                    <w:right w:val="none" w:sz="0" w:space="0" w:color="auto"/>
                  </w:divBdr>
                  <w:divsChild>
                    <w:div w:id="1122305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581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477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38958041">
      <w:bodyDiv w:val="1"/>
      <w:marLeft w:val="30"/>
      <w:marRight w:val="30"/>
      <w:marTop w:val="30"/>
      <w:marBottom w:val="30"/>
      <w:divBdr>
        <w:top w:val="none" w:sz="0" w:space="0" w:color="auto"/>
        <w:left w:val="none" w:sz="0" w:space="0" w:color="auto"/>
        <w:bottom w:val="none" w:sz="0" w:space="0" w:color="auto"/>
        <w:right w:val="none" w:sz="0" w:space="0" w:color="auto"/>
      </w:divBdr>
      <w:divsChild>
        <w:div w:id="1128862884">
          <w:marLeft w:val="0"/>
          <w:marRight w:val="0"/>
          <w:marTop w:val="0"/>
          <w:marBottom w:val="0"/>
          <w:divBdr>
            <w:top w:val="none" w:sz="0" w:space="0" w:color="auto"/>
            <w:left w:val="none" w:sz="0" w:space="0" w:color="auto"/>
            <w:bottom w:val="none" w:sz="0" w:space="0" w:color="auto"/>
            <w:right w:val="none" w:sz="0" w:space="0" w:color="auto"/>
          </w:divBdr>
          <w:divsChild>
            <w:div w:id="695886586">
              <w:marLeft w:val="45"/>
              <w:marRight w:val="45"/>
              <w:marTop w:val="45"/>
              <w:marBottom w:val="45"/>
              <w:divBdr>
                <w:top w:val="none" w:sz="0" w:space="0" w:color="auto"/>
                <w:left w:val="none" w:sz="0" w:space="0" w:color="auto"/>
                <w:bottom w:val="none" w:sz="0" w:space="0" w:color="auto"/>
                <w:right w:val="none" w:sz="0" w:space="0" w:color="auto"/>
              </w:divBdr>
              <w:divsChild>
                <w:div w:id="6860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7525">
      <w:bodyDiv w:val="1"/>
      <w:marLeft w:val="30"/>
      <w:marRight w:val="30"/>
      <w:marTop w:val="30"/>
      <w:marBottom w:val="30"/>
      <w:divBdr>
        <w:top w:val="none" w:sz="0" w:space="0" w:color="auto"/>
        <w:left w:val="none" w:sz="0" w:space="0" w:color="auto"/>
        <w:bottom w:val="none" w:sz="0" w:space="0" w:color="auto"/>
        <w:right w:val="none" w:sz="0" w:space="0" w:color="auto"/>
      </w:divBdr>
      <w:divsChild>
        <w:div w:id="1127776195">
          <w:marLeft w:val="0"/>
          <w:marRight w:val="0"/>
          <w:marTop w:val="0"/>
          <w:marBottom w:val="0"/>
          <w:divBdr>
            <w:top w:val="none" w:sz="0" w:space="0" w:color="auto"/>
            <w:left w:val="none" w:sz="0" w:space="0" w:color="auto"/>
            <w:bottom w:val="none" w:sz="0" w:space="0" w:color="auto"/>
            <w:right w:val="none" w:sz="0" w:space="0" w:color="auto"/>
          </w:divBdr>
          <w:divsChild>
            <w:div w:id="990403479">
              <w:marLeft w:val="45"/>
              <w:marRight w:val="45"/>
              <w:marTop w:val="45"/>
              <w:marBottom w:val="45"/>
              <w:divBdr>
                <w:top w:val="none" w:sz="0" w:space="0" w:color="auto"/>
                <w:left w:val="none" w:sz="0" w:space="0" w:color="auto"/>
                <w:bottom w:val="none" w:sz="0" w:space="0" w:color="auto"/>
                <w:right w:val="none" w:sz="0" w:space="0" w:color="auto"/>
              </w:divBdr>
              <w:divsChild>
                <w:div w:id="9778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ransition.fcc.gov/ib/pd/pf/214faq.html" TargetMode="External"/><Relationship Id="rId2" Type="http://schemas.openxmlformats.org/officeDocument/2006/relationships/hyperlink" Target="http://web2.westlaw.com/find/default.wl?mt=Westlaw&amp;db=1000547&amp;docname=47CFRS64.2011&amp;rp=%2ffind%2fdefault.wl&amp;findtype=L&amp;ordoc=2024680871&amp;tc=-1&amp;vr=2.0&amp;fn=_top&amp;sv=Split&amp;tf=-1&amp;pbc=D5AFA527&amp;rs=WLW14.04" TargetMode="External"/><Relationship Id="rId1" Type="http://schemas.openxmlformats.org/officeDocument/2006/relationships/hyperlink" Target="https://efile.universalservice.org/form499/source/search.asp" TargetMode="External"/><Relationship Id="rId4" Type="http://schemas.openxmlformats.org/officeDocument/2006/relationships/hyperlink" Target="http://web2.westlaw.com/find/default.wl?mt=Westlaw&amp;db=4493&amp;tc=-1&amp;rp=%2ffind%2fdefault.wl&amp;findtype=Y&amp;ordoc=2027905310&amp;serialnum=2011862164&amp;vr=2.0&amp;fn=_top&amp;sv=Split&amp;tf=-1&amp;referencepositiontype=S&amp;pbc=0745EF19&amp;referenceposition=6953&amp;rs=WLW14.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6575</Words>
  <Characters>37451</Characters>
  <Application>Microsoft Office Word</Application>
  <DocSecurity>0</DocSecurity>
  <Lines>506</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44120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2014-09-16T16:41:00Z</dcterms:created>
  <dcterms:modified xsi:type="dcterms:W3CDTF">2014-09-16T16:41:00Z</dcterms:modified>
  <cp:category> </cp:category>
  <cp:contentStatus> </cp:contentStatus>
</cp:coreProperties>
</file>