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D8" w:rsidRDefault="00E568D8" w:rsidP="00394710">
      <w:pPr>
        <w:jc w:val="center"/>
        <w:rPr>
          <w:b/>
        </w:rPr>
      </w:pPr>
      <w:bookmarkStart w:id="0" w:name="_GoBack"/>
      <w:bookmarkEnd w:id="0"/>
      <w:r>
        <w:rPr>
          <w:b/>
        </w:rPr>
        <w:t>Before the</w:t>
      </w:r>
    </w:p>
    <w:p w:rsidR="00E568D8" w:rsidRDefault="00E568D8" w:rsidP="00394710">
      <w:pPr>
        <w:jc w:val="center"/>
        <w:rPr>
          <w:b/>
        </w:rPr>
      </w:pPr>
      <w:r>
        <w:rPr>
          <w:b/>
        </w:rPr>
        <w:t>Federal Communications Commission</w:t>
      </w:r>
    </w:p>
    <w:p w:rsidR="00E568D8" w:rsidRDefault="00E568D8" w:rsidP="00394710">
      <w:pPr>
        <w:jc w:val="center"/>
        <w:rPr>
          <w:b/>
        </w:rPr>
      </w:pPr>
      <w:r>
        <w:rPr>
          <w:b/>
        </w:rPr>
        <w:t>Washington, D.C. 20554</w:t>
      </w:r>
    </w:p>
    <w:p w:rsidR="00E568D8" w:rsidRDefault="00E568D8" w:rsidP="00394710"/>
    <w:p w:rsidR="00E568D8" w:rsidRDefault="00E568D8" w:rsidP="00394710"/>
    <w:p w:rsidR="004A62FB" w:rsidRDefault="004A62FB" w:rsidP="00394710"/>
    <w:tbl>
      <w:tblPr>
        <w:tblW w:w="0" w:type="auto"/>
        <w:tblLayout w:type="fixed"/>
        <w:tblLook w:val="0000" w:firstRow="0" w:lastRow="0" w:firstColumn="0" w:lastColumn="0" w:noHBand="0" w:noVBand="0"/>
      </w:tblPr>
      <w:tblGrid>
        <w:gridCol w:w="4698"/>
        <w:gridCol w:w="720"/>
        <w:gridCol w:w="4230"/>
      </w:tblGrid>
      <w:tr w:rsidR="00E568D8">
        <w:tc>
          <w:tcPr>
            <w:tcW w:w="4698" w:type="dxa"/>
          </w:tcPr>
          <w:p w:rsidR="00E568D8" w:rsidRPr="00560967" w:rsidRDefault="00E568D8" w:rsidP="00394710">
            <w:pPr>
              <w:ind w:right="-18"/>
              <w:rPr>
                <w:szCs w:val="22"/>
              </w:rPr>
            </w:pPr>
            <w:r w:rsidRPr="00560967">
              <w:rPr>
                <w:szCs w:val="22"/>
              </w:rPr>
              <w:t>In the Matter of</w:t>
            </w:r>
          </w:p>
          <w:p w:rsidR="00E568D8" w:rsidRPr="00560967" w:rsidRDefault="00E568D8" w:rsidP="00394710">
            <w:pPr>
              <w:ind w:right="-18"/>
              <w:rPr>
                <w:szCs w:val="22"/>
              </w:rPr>
            </w:pPr>
          </w:p>
          <w:p w:rsidR="00E568D8" w:rsidRPr="00560967" w:rsidRDefault="00AF45FB" w:rsidP="00394710">
            <w:pPr>
              <w:ind w:right="-18"/>
              <w:rPr>
                <w:szCs w:val="22"/>
              </w:rPr>
            </w:pPr>
            <w:r w:rsidRPr="00560967">
              <w:rPr>
                <w:szCs w:val="22"/>
              </w:rPr>
              <w:t>G</w:t>
            </w:r>
            <w:r w:rsidR="0081017A" w:rsidRPr="00560967">
              <w:rPr>
                <w:szCs w:val="22"/>
              </w:rPr>
              <w:t>REENBERG</w:t>
            </w:r>
            <w:r w:rsidRPr="00560967">
              <w:rPr>
                <w:szCs w:val="22"/>
              </w:rPr>
              <w:t xml:space="preserve"> T</w:t>
            </w:r>
            <w:r w:rsidR="0081017A" w:rsidRPr="00560967">
              <w:rPr>
                <w:szCs w:val="22"/>
              </w:rPr>
              <w:t>RAURIG</w:t>
            </w:r>
            <w:r w:rsidRPr="00560967">
              <w:rPr>
                <w:szCs w:val="22"/>
              </w:rPr>
              <w:t>, LLP</w:t>
            </w:r>
          </w:p>
          <w:p w:rsidR="00E568D8" w:rsidRPr="00560967" w:rsidRDefault="00E568D8" w:rsidP="00394710">
            <w:pPr>
              <w:ind w:right="-18"/>
              <w:rPr>
                <w:szCs w:val="22"/>
              </w:rPr>
            </w:pPr>
          </w:p>
          <w:p w:rsidR="00E568D8" w:rsidRPr="00560967" w:rsidRDefault="00E568D8" w:rsidP="00394710">
            <w:pPr>
              <w:rPr>
                <w:szCs w:val="22"/>
              </w:rPr>
            </w:pPr>
            <w:r w:rsidRPr="00560967">
              <w:rPr>
                <w:szCs w:val="22"/>
              </w:rPr>
              <w:t>On Request for Inspection of Records</w:t>
            </w:r>
          </w:p>
          <w:p w:rsidR="00E568D8" w:rsidRPr="00560967" w:rsidRDefault="00E568D8" w:rsidP="00394710">
            <w:pPr>
              <w:ind w:right="-18"/>
              <w:rPr>
                <w:szCs w:val="22"/>
              </w:rPr>
            </w:pPr>
          </w:p>
        </w:tc>
        <w:tc>
          <w:tcPr>
            <w:tcW w:w="720" w:type="dxa"/>
          </w:tcPr>
          <w:p w:rsidR="00E568D8" w:rsidRDefault="00E568D8" w:rsidP="00394710">
            <w:pPr>
              <w:rPr>
                <w:b/>
                <w:sz w:val="24"/>
                <w:szCs w:val="24"/>
              </w:rPr>
            </w:pPr>
            <w:r>
              <w:rPr>
                <w:b/>
                <w:sz w:val="24"/>
                <w:szCs w:val="24"/>
              </w:rPr>
              <w:t>)</w:t>
            </w:r>
          </w:p>
          <w:p w:rsidR="00E568D8" w:rsidRDefault="00E568D8" w:rsidP="00394710">
            <w:pPr>
              <w:rPr>
                <w:b/>
                <w:sz w:val="24"/>
                <w:szCs w:val="24"/>
              </w:rPr>
            </w:pPr>
            <w:r>
              <w:rPr>
                <w:b/>
                <w:sz w:val="24"/>
                <w:szCs w:val="24"/>
              </w:rPr>
              <w:t>)</w:t>
            </w:r>
          </w:p>
          <w:p w:rsidR="00E568D8" w:rsidRDefault="00E568D8" w:rsidP="00394710">
            <w:pPr>
              <w:rPr>
                <w:b/>
                <w:sz w:val="24"/>
                <w:szCs w:val="24"/>
              </w:rPr>
            </w:pPr>
            <w:r>
              <w:rPr>
                <w:b/>
                <w:sz w:val="24"/>
                <w:szCs w:val="24"/>
              </w:rPr>
              <w:t>)</w:t>
            </w:r>
          </w:p>
          <w:p w:rsidR="00E568D8" w:rsidRDefault="00E568D8" w:rsidP="00394710">
            <w:pPr>
              <w:rPr>
                <w:b/>
                <w:sz w:val="24"/>
                <w:szCs w:val="24"/>
              </w:rPr>
            </w:pPr>
            <w:r>
              <w:rPr>
                <w:b/>
                <w:sz w:val="24"/>
                <w:szCs w:val="24"/>
              </w:rPr>
              <w:t>)</w:t>
            </w:r>
          </w:p>
          <w:p w:rsidR="00E568D8" w:rsidRDefault="00E568D8" w:rsidP="00394710">
            <w:pPr>
              <w:rPr>
                <w:b/>
                <w:sz w:val="24"/>
                <w:szCs w:val="24"/>
              </w:rPr>
            </w:pPr>
            <w:r>
              <w:rPr>
                <w:b/>
                <w:sz w:val="24"/>
                <w:szCs w:val="24"/>
              </w:rPr>
              <w:t>)</w:t>
            </w:r>
          </w:p>
          <w:p w:rsidR="00E568D8" w:rsidRDefault="00E568D8" w:rsidP="00394710">
            <w:pPr>
              <w:rPr>
                <w:b/>
                <w:sz w:val="24"/>
                <w:szCs w:val="24"/>
              </w:rPr>
            </w:pPr>
          </w:p>
        </w:tc>
        <w:tc>
          <w:tcPr>
            <w:tcW w:w="4230" w:type="dxa"/>
          </w:tcPr>
          <w:p w:rsidR="00E568D8" w:rsidRDefault="00E568D8" w:rsidP="00394710">
            <w:pPr>
              <w:rPr>
                <w:sz w:val="24"/>
                <w:szCs w:val="24"/>
              </w:rPr>
            </w:pPr>
          </w:p>
          <w:p w:rsidR="00E568D8" w:rsidRDefault="00E568D8" w:rsidP="00394710">
            <w:pPr>
              <w:rPr>
                <w:sz w:val="24"/>
                <w:szCs w:val="24"/>
              </w:rPr>
            </w:pPr>
          </w:p>
          <w:p w:rsidR="00E568D8" w:rsidRPr="00560967" w:rsidRDefault="00E568D8" w:rsidP="00394710">
            <w:pPr>
              <w:rPr>
                <w:szCs w:val="22"/>
              </w:rPr>
            </w:pPr>
            <w:r w:rsidRPr="00560967">
              <w:rPr>
                <w:szCs w:val="22"/>
              </w:rPr>
              <w:t>FOIA Control No. 20</w:t>
            </w:r>
            <w:r w:rsidR="00C04FEF" w:rsidRPr="00560967">
              <w:rPr>
                <w:szCs w:val="22"/>
              </w:rPr>
              <w:t>1</w:t>
            </w:r>
            <w:r w:rsidR="00CA587B" w:rsidRPr="00560967">
              <w:rPr>
                <w:szCs w:val="22"/>
              </w:rPr>
              <w:t>3-025</w:t>
            </w:r>
          </w:p>
        </w:tc>
      </w:tr>
    </w:tbl>
    <w:p w:rsidR="00E568D8" w:rsidRPr="00560967" w:rsidRDefault="00E568D8" w:rsidP="00394710">
      <w:pPr>
        <w:rPr>
          <w:szCs w:val="22"/>
        </w:rPr>
      </w:pPr>
    </w:p>
    <w:p w:rsidR="00E568D8" w:rsidRPr="00560967" w:rsidRDefault="0015716D" w:rsidP="00394710">
      <w:pPr>
        <w:jc w:val="center"/>
        <w:rPr>
          <w:b/>
          <w:szCs w:val="22"/>
        </w:rPr>
      </w:pPr>
      <w:r w:rsidRPr="00560967">
        <w:rPr>
          <w:b/>
          <w:spacing w:val="-2"/>
          <w:szCs w:val="22"/>
        </w:rPr>
        <w:t>MEMORANDUM OPINION AND ORDER</w:t>
      </w:r>
    </w:p>
    <w:p w:rsidR="00E568D8" w:rsidRPr="00560967" w:rsidRDefault="00E568D8" w:rsidP="00394710">
      <w:pPr>
        <w:rPr>
          <w:szCs w:val="22"/>
        </w:rPr>
      </w:pPr>
    </w:p>
    <w:p w:rsidR="00E568D8" w:rsidRPr="00560967" w:rsidRDefault="005E6145" w:rsidP="00394710">
      <w:pPr>
        <w:tabs>
          <w:tab w:val="right" w:pos="9360"/>
        </w:tabs>
        <w:rPr>
          <w:b/>
          <w:szCs w:val="22"/>
        </w:rPr>
      </w:pPr>
      <w:r w:rsidRPr="00560967">
        <w:rPr>
          <w:b/>
          <w:szCs w:val="22"/>
        </w:rPr>
        <w:t>Adopted:</w:t>
      </w:r>
      <w:r w:rsidR="00FF744D">
        <w:rPr>
          <w:b/>
          <w:szCs w:val="22"/>
        </w:rPr>
        <w:t xml:space="preserve">  September 26, 2014</w:t>
      </w:r>
      <w:r w:rsidRPr="00560967">
        <w:rPr>
          <w:b/>
          <w:szCs w:val="22"/>
        </w:rPr>
        <w:tab/>
        <w:t>Released:</w:t>
      </w:r>
      <w:r w:rsidR="00FF744D">
        <w:rPr>
          <w:b/>
          <w:szCs w:val="22"/>
        </w:rPr>
        <w:t xml:space="preserve">  </w:t>
      </w:r>
      <w:r w:rsidR="006A3802">
        <w:rPr>
          <w:b/>
          <w:szCs w:val="22"/>
        </w:rPr>
        <w:t xml:space="preserve">October </w:t>
      </w:r>
      <w:r w:rsidR="00517258">
        <w:rPr>
          <w:b/>
          <w:szCs w:val="22"/>
        </w:rPr>
        <w:t>8</w:t>
      </w:r>
      <w:r w:rsidR="00FF744D">
        <w:rPr>
          <w:b/>
          <w:szCs w:val="22"/>
        </w:rPr>
        <w:t>, 2014</w:t>
      </w:r>
    </w:p>
    <w:p w:rsidR="00E568D8" w:rsidRPr="00560967" w:rsidRDefault="00E568D8" w:rsidP="00394710">
      <w:pPr>
        <w:tabs>
          <w:tab w:val="left" w:pos="5760"/>
        </w:tabs>
        <w:rPr>
          <w:b/>
          <w:szCs w:val="22"/>
        </w:rPr>
      </w:pPr>
    </w:p>
    <w:p w:rsidR="00560967" w:rsidRPr="00560967" w:rsidRDefault="00560967" w:rsidP="00560967">
      <w:pPr>
        <w:rPr>
          <w:szCs w:val="22"/>
        </w:rPr>
      </w:pPr>
      <w:r w:rsidRPr="00560967">
        <w:rPr>
          <w:szCs w:val="22"/>
        </w:rPr>
        <w:t>By the Commission: Commissioner Pai dissenting and issuing a statement; Commissioner O’Reilly dissenting.</w:t>
      </w:r>
    </w:p>
    <w:p w:rsidR="00E568D8" w:rsidRDefault="00E568D8" w:rsidP="00394710">
      <w:pPr>
        <w:tabs>
          <w:tab w:val="left" w:pos="5760"/>
        </w:tabs>
      </w:pPr>
    </w:p>
    <w:p w:rsidR="00235336" w:rsidRDefault="00E307F9" w:rsidP="00394710">
      <w:pPr>
        <w:pStyle w:val="Heading1"/>
        <w:keepNext w:val="0"/>
        <w:suppressAutoHyphens w:val="0"/>
      </w:pPr>
      <w:r>
        <w:t>INTRODUCTION</w:t>
      </w:r>
    </w:p>
    <w:p w:rsidR="00235336" w:rsidRPr="00235336" w:rsidRDefault="000623FD" w:rsidP="00394710">
      <w:pPr>
        <w:pStyle w:val="ParaNum"/>
      </w:pPr>
      <w:r w:rsidRPr="008B1A3E">
        <w:t xml:space="preserve">This </w:t>
      </w:r>
      <w:r w:rsidR="00D655A4">
        <w:t>Memorandum Opinion and Order</w:t>
      </w:r>
      <w:r w:rsidRPr="008B1A3E">
        <w:t xml:space="preserve"> denies an application for review</w:t>
      </w:r>
      <w:r>
        <w:rPr>
          <w:rStyle w:val="FootnoteReference"/>
        </w:rPr>
        <w:footnoteReference w:id="2"/>
      </w:r>
      <w:r w:rsidRPr="008B1A3E">
        <w:t xml:space="preserve"> filed by Greenberg Traurig, LLP, counsel to OpenBand, </w:t>
      </w:r>
      <w:r w:rsidR="00D655A4">
        <w:t xml:space="preserve">that seeks </w:t>
      </w:r>
      <w:r w:rsidRPr="008B1A3E">
        <w:t xml:space="preserve">review of a </w:t>
      </w:r>
      <w:r w:rsidR="00540342">
        <w:t xml:space="preserve">Freedom of Information Act (FOIA) </w:t>
      </w:r>
      <w:r w:rsidRPr="008B1A3E">
        <w:t xml:space="preserve">decision by the </w:t>
      </w:r>
      <w:r w:rsidR="00FA595B">
        <w:t xml:space="preserve">Commission’s </w:t>
      </w:r>
      <w:r w:rsidRPr="008B1A3E">
        <w:t>Office of General Counsel (OGC)</w:t>
      </w:r>
      <w:r w:rsidR="00540342">
        <w:t>.</w:t>
      </w:r>
      <w:r w:rsidR="000853FA">
        <w:t xml:space="preserve"> </w:t>
      </w:r>
      <w:r w:rsidR="00192E68">
        <w:t xml:space="preserve"> </w:t>
      </w:r>
      <w:r w:rsidR="000853FA">
        <w:t xml:space="preserve">We affirm OGC’s decision to withhold </w:t>
      </w:r>
      <w:r w:rsidR="00FA595B">
        <w:t xml:space="preserve">certain responsive </w:t>
      </w:r>
      <w:r w:rsidR="0036783A">
        <w:t xml:space="preserve">documents and </w:t>
      </w:r>
      <w:r w:rsidR="000853FA">
        <w:t xml:space="preserve">portions </w:t>
      </w:r>
      <w:r w:rsidR="0036783A">
        <w:t xml:space="preserve">thereof </w:t>
      </w:r>
      <w:r w:rsidR="000853FA">
        <w:t xml:space="preserve">and </w:t>
      </w:r>
      <w:r w:rsidR="00391EC4">
        <w:t xml:space="preserve">uphold </w:t>
      </w:r>
      <w:r w:rsidR="000853FA">
        <w:t>OGC</w:t>
      </w:r>
      <w:r w:rsidR="00391EC4">
        <w:t>’s finding</w:t>
      </w:r>
      <w:r w:rsidR="000853FA">
        <w:t xml:space="preserve"> that the documents at issue were protected from disclosure</w:t>
      </w:r>
      <w:r w:rsidR="009A5D13">
        <w:t xml:space="preserve"> under the joint defense privilege of Exemption 5.</w:t>
      </w:r>
      <w:r w:rsidR="00AB3452">
        <w:t xml:space="preserve"> </w:t>
      </w:r>
      <w:r w:rsidRPr="008B1A3E">
        <w:t xml:space="preserve"> </w:t>
      </w:r>
    </w:p>
    <w:p w:rsidR="00F50312" w:rsidRDefault="00E307F9" w:rsidP="00394710">
      <w:pPr>
        <w:pStyle w:val="Heading1"/>
        <w:keepNext w:val="0"/>
        <w:suppressAutoHyphens w:val="0"/>
      </w:pPr>
      <w:r>
        <w:t>BACKGROUND</w:t>
      </w:r>
    </w:p>
    <w:p w:rsidR="007930DD" w:rsidRDefault="00676E53" w:rsidP="00394710">
      <w:pPr>
        <w:pStyle w:val="ParaNum"/>
      </w:pPr>
      <w:r>
        <w:t>In August 2011, the Lansdowne HOA, located in Loudoun County, Virginia, filed suit in the U.S.</w:t>
      </w:r>
      <w:r w:rsidR="00B0271E">
        <w:t xml:space="preserve"> District Court for the Eastern District of Virginia</w:t>
      </w:r>
      <w:r w:rsidR="00AC79AA" w:rsidRPr="00AC79AA">
        <w:t xml:space="preserve"> against OpenBand, a cable operator providing telephone, Internet, and other services</w:t>
      </w:r>
      <w:r w:rsidR="00B0271E">
        <w:t>.</w:t>
      </w:r>
      <w:r w:rsidR="00204ED4">
        <w:rPr>
          <w:rStyle w:val="FootnoteReference"/>
        </w:rPr>
        <w:footnoteReference w:id="3"/>
      </w:r>
      <w:r w:rsidR="00204ED4">
        <w:t xml:space="preserve">  </w:t>
      </w:r>
      <w:r w:rsidR="00D17D2A">
        <w:t>Among other things</w:t>
      </w:r>
      <w:r w:rsidR="0070353C">
        <w:t>,</w:t>
      </w:r>
      <w:r w:rsidR="00D17D2A">
        <w:t xml:space="preserve"> the lawsuit alleged that </w:t>
      </w:r>
      <w:r w:rsidR="0070353C">
        <w:t>the contractual arrangement</w:t>
      </w:r>
      <w:r w:rsidR="00AB3452">
        <w:t xml:space="preserve"> </w:t>
      </w:r>
      <w:r w:rsidR="008625CB">
        <w:t>regarding</w:t>
      </w:r>
      <w:r w:rsidR="00AB3452">
        <w:t xml:space="preserve"> video programming and other utilities </w:t>
      </w:r>
      <w:r w:rsidR="008625CB">
        <w:t>for the Lansdowne community that was</w:t>
      </w:r>
      <w:r w:rsidR="0070353C">
        <w:t xml:space="preserve"> put in place by </w:t>
      </w:r>
      <w:r w:rsidR="00D85963">
        <w:t xml:space="preserve">the defendants </w:t>
      </w:r>
      <w:r w:rsidR="007930DD">
        <w:t>constituted an exclusive right to provide video programming services in violation of the</w:t>
      </w:r>
      <w:r w:rsidR="005E20F3">
        <w:t xml:space="preserve"> FCC’s</w:t>
      </w:r>
      <w:r w:rsidR="007930DD">
        <w:t xml:space="preserve"> </w:t>
      </w:r>
      <w:r w:rsidR="007930DD" w:rsidRPr="006858B3">
        <w:rPr>
          <w:i/>
        </w:rPr>
        <w:t>Exclusivity Order</w:t>
      </w:r>
      <w:r w:rsidR="007930DD">
        <w:t>.</w:t>
      </w:r>
      <w:r w:rsidR="00AC79AA">
        <w:rPr>
          <w:rStyle w:val="FootnoteReference"/>
        </w:rPr>
        <w:footnoteReference w:id="4"/>
      </w:r>
      <w:r w:rsidR="00D85963">
        <w:t xml:space="preserve">  Following the District Court’s decision in June 2012 that the contractual arrangement at issue </w:t>
      </w:r>
      <w:r w:rsidR="007136D6">
        <w:t>di</w:t>
      </w:r>
      <w:r w:rsidR="00192E68">
        <w:t xml:space="preserve">d violate the FCC’s </w:t>
      </w:r>
      <w:r w:rsidR="00192E68">
        <w:rPr>
          <w:i/>
        </w:rPr>
        <w:t xml:space="preserve">Exclusivity </w:t>
      </w:r>
      <w:r w:rsidR="00192E68" w:rsidRPr="00192E68">
        <w:rPr>
          <w:i/>
        </w:rPr>
        <w:t>Orde</w:t>
      </w:r>
      <w:r w:rsidR="00192E68" w:rsidRPr="00260349">
        <w:rPr>
          <w:i/>
        </w:rPr>
        <w:t>r</w:t>
      </w:r>
      <w:r w:rsidR="00192E68">
        <w:t>,</w:t>
      </w:r>
      <w:r w:rsidR="00192E68">
        <w:rPr>
          <w:rStyle w:val="FootnoteReference"/>
        </w:rPr>
        <w:footnoteReference w:id="5"/>
      </w:r>
      <w:r w:rsidR="00192E68">
        <w:t xml:space="preserve"> </w:t>
      </w:r>
      <w:r w:rsidR="00077801" w:rsidRPr="00192E68">
        <w:t>OpenBand</w:t>
      </w:r>
      <w:r w:rsidR="00077801">
        <w:t xml:space="preserve"> </w:t>
      </w:r>
      <w:r w:rsidR="00192E68">
        <w:t xml:space="preserve">filed an appeal with </w:t>
      </w:r>
      <w:r w:rsidR="00077801">
        <w:lastRenderedPageBreak/>
        <w:t>the U.S. Court of Appeals for the Fourth Circuit</w:t>
      </w:r>
      <w:r w:rsidR="00D27B4E">
        <w:t xml:space="preserve"> </w:t>
      </w:r>
      <w:r w:rsidR="007136D6">
        <w:t>in July 201</w:t>
      </w:r>
      <w:r w:rsidR="0075005F">
        <w:t>2</w:t>
      </w:r>
      <w:r w:rsidR="00D85963">
        <w:t xml:space="preserve">.  </w:t>
      </w:r>
      <w:r w:rsidR="001912E2">
        <w:t>In August 2012</w:t>
      </w:r>
      <w:r w:rsidR="00077801">
        <w:t xml:space="preserve">, Commission staff met with </w:t>
      </w:r>
      <w:r w:rsidR="00062275">
        <w:t xml:space="preserve">the </w:t>
      </w:r>
      <w:r w:rsidR="00077801">
        <w:t>Lansdowne HOA about the litigation</w:t>
      </w:r>
      <w:r w:rsidR="00D85963">
        <w:rPr>
          <w:rStyle w:val="FootnoteReference"/>
        </w:rPr>
        <w:footnoteReference w:id="6"/>
      </w:r>
      <w:r w:rsidR="00D27B4E">
        <w:t xml:space="preserve"> </w:t>
      </w:r>
      <w:r w:rsidR="00077801">
        <w:t xml:space="preserve">and </w:t>
      </w:r>
      <w:r w:rsidR="00FA0D31">
        <w:t xml:space="preserve">on October 10, 2012 </w:t>
      </w:r>
      <w:r w:rsidR="00FA595B">
        <w:t xml:space="preserve">the Commission </w:t>
      </w:r>
      <w:r w:rsidR="00077801">
        <w:t>file</w:t>
      </w:r>
      <w:r w:rsidR="00FA0D31">
        <w:t>d</w:t>
      </w:r>
      <w:r w:rsidR="00077801">
        <w:t xml:space="preserve"> an </w:t>
      </w:r>
      <w:r w:rsidR="00077801">
        <w:rPr>
          <w:i/>
        </w:rPr>
        <w:t xml:space="preserve">amicus </w:t>
      </w:r>
      <w:r w:rsidR="00077801">
        <w:t>brief urging the Fourth Circuit to affirm the</w:t>
      </w:r>
      <w:r w:rsidR="00711A61">
        <w:t xml:space="preserve"> District Court’s finding</w:t>
      </w:r>
      <w:r w:rsidR="00E2529A">
        <w:t>.</w:t>
      </w:r>
      <w:r w:rsidR="007930DD">
        <w:rPr>
          <w:rStyle w:val="FootnoteReference"/>
        </w:rPr>
        <w:footnoteReference w:id="7"/>
      </w:r>
      <w:r w:rsidR="007930DD">
        <w:t xml:space="preserve">  </w:t>
      </w:r>
    </w:p>
    <w:p w:rsidR="00FE59BE" w:rsidRDefault="00E619A3" w:rsidP="00394710">
      <w:pPr>
        <w:pStyle w:val="ParaNum"/>
      </w:pPr>
      <w:r>
        <w:t xml:space="preserve">On October 12, 2012, </w:t>
      </w:r>
      <w:r w:rsidR="007C4CD6">
        <w:t>OpenBand</w:t>
      </w:r>
      <w:r w:rsidR="00557D5B" w:rsidRPr="00F60612">
        <w:t xml:space="preserve"> filed a FOIA request </w:t>
      </w:r>
      <w:r>
        <w:t xml:space="preserve">relating to the </w:t>
      </w:r>
      <w:r w:rsidR="004D1EEF">
        <w:t xml:space="preserve">pending </w:t>
      </w:r>
      <w:r>
        <w:t>litigation.  Among other things, OpenBand requested</w:t>
      </w:r>
      <w:r w:rsidR="00557D5B" w:rsidRPr="00F60612">
        <w:t xml:space="preserve"> “[a]ll communications</w:t>
      </w:r>
      <w:r w:rsidR="00C06382" w:rsidRPr="00F60612">
        <w:t xml:space="preserve"> between the FCC, on the one hand, and the Lansdowne on the Potomac Homeowners Association, Inc., or any of its members, officers, directors, employees, agents, attorneys (including but not limited to the law firm of Wiltshire &amp; Grannis, LLP) or consultants, on the other hand.”</w:t>
      </w:r>
      <w:r w:rsidR="00C06382" w:rsidRPr="00F60612">
        <w:rPr>
          <w:rStyle w:val="FootnoteReference"/>
        </w:rPr>
        <w:footnoteReference w:id="8"/>
      </w:r>
      <w:r w:rsidR="000624C0">
        <w:t xml:space="preserve">  </w:t>
      </w:r>
    </w:p>
    <w:p w:rsidR="00E74EEC" w:rsidRDefault="00A62146" w:rsidP="00394710">
      <w:pPr>
        <w:pStyle w:val="ParaNum"/>
      </w:pPr>
      <w:r>
        <w:t xml:space="preserve">In its December 14, 2012 </w:t>
      </w:r>
      <w:r w:rsidR="004A62FB">
        <w:t>R</w:t>
      </w:r>
      <w:r>
        <w:t xml:space="preserve">esponse, OGC stated that it was redacting and withholding </w:t>
      </w:r>
      <w:r w:rsidR="00033293">
        <w:t>documents containing communications</w:t>
      </w:r>
      <w:r w:rsidR="00E74EEC">
        <w:t xml:space="preserve"> between Wiltshire &amp; Grannis and the Commission regarding </w:t>
      </w:r>
      <w:r w:rsidR="00E74EEC" w:rsidRPr="00FE59BE">
        <w:rPr>
          <w:i/>
        </w:rPr>
        <w:t xml:space="preserve">OpenBand v. Lansdowne </w:t>
      </w:r>
      <w:r w:rsidR="00E74EEC">
        <w:t>after the decision by the FCC to intervene</w:t>
      </w:r>
      <w:r w:rsidR="007D713B">
        <w:t>, on the grounds that they were protected from disclosure under the joint defense privilege</w:t>
      </w:r>
      <w:r w:rsidR="00E74EEC">
        <w:t>.</w:t>
      </w:r>
      <w:r w:rsidR="00E74EEC">
        <w:rPr>
          <w:rStyle w:val="FootnoteReference"/>
        </w:rPr>
        <w:footnoteReference w:id="9"/>
      </w:r>
      <w:r w:rsidR="00E74EEC">
        <w:t xml:space="preserve">  OGC’s response also noted that it covered only responsive documents from OGC and the Media Bureau (MB)</w:t>
      </w:r>
      <w:r w:rsidR="00B84E56">
        <w:t>,</w:t>
      </w:r>
      <w:r w:rsidR="00E74EEC">
        <w:t xml:space="preserve"> but that in the course of collecti</w:t>
      </w:r>
      <w:r w:rsidR="00E15749">
        <w:t>ng</w:t>
      </w:r>
      <w:r w:rsidR="00E74EEC">
        <w:t xml:space="preserve"> records, </w:t>
      </w:r>
      <w:r w:rsidR="00E15749">
        <w:t>OGC</w:t>
      </w:r>
      <w:r w:rsidR="00E74EEC">
        <w:t xml:space="preserve"> determined that there may be responsive records in the Enforcement Bureau (EB)</w:t>
      </w:r>
      <w:r w:rsidR="00B84E56">
        <w:t>.</w:t>
      </w:r>
      <w:r w:rsidR="00B84E56">
        <w:rPr>
          <w:rStyle w:val="FootnoteReference"/>
        </w:rPr>
        <w:footnoteReference w:id="10"/>
      </w:r>
      <w:r w:rsidR="00B84E56">
        <w:t xml:space="preserve">  Thus, OGC stated it would </w:t>
      </w:r>
      <w:r w:rsidR="00E74EEC">
        <w:t xml:space="preserve">provide </w:t>
      </w:r>
      <w:r w:rsidR="00B84E56">
        <w:t xml:space="preserve">a </w:t>
      </w:r>
      <w:r w:rsidR="00E74EEC">
        <w:t xml:space="preserve">supplemental response when </w:t>
      </w:r>
      <w:r w:rsidR="00B84E56">
        <w:t xml:space="preserve">the </w:t>
      </w:r>
      <w:r w:rsidR="00E74EEC">
        <w:t>search</w:t>
      </w:r>
      <w:r w:rsidR="00B84E56">
        <w:t xml:space="preserve"> of EB’s records was</w:t>
      </w:r>
      <w:r w:rsidR="00E74EEC">
        <w:t xml:space="preserve"> completed.</w:t>
      </w:r>
      <w:r w:rsidR="00B84E56">
        <w:rPr>
          <w:rStyle w:val="FootnoteReference"/>
        </w:rPr>
        <w:footnoteReference w:id="11"/>
      </w:r>
      <w:r w:rsidR="00E74EEC">
        <w:t xml:space="preserve">  </w:t>
      </w:r>
    </w:p>
    <w:p w:rsidR="00052A4C" w:rsidRDefault="00E74EEC" w:rsidP="00394710">
      <w:pPr>
        <w:pStyle w:val="ParaNum"/>
      </w:pPr>
      <w:r>
        <w:t xml:space="preserve">On January 11, 2013, OpenBand filed </w:t>
      </w:r>
      <w:r w:rsidR="00837CAA">
        <w:t>the</w:t>
      </w:r>
      <w:r>
        <w:t xml:space="preserve"> AFR.  </w:t>
      </w:r>
      <w:r w:rsidR="00B84E56">
        <w:t xml:space="preserve">OpenBand </w:t>
      </w:r>
      <w:r>
        <w:t>argue</w:t>
      </w:r>
      <w:r w:rsidR="00E2529A">
        <w:t>s</w:t>
      </w:r>
      <w:r>
        <w:t>, as a thres</w:t>
      </w:r>
      <w:r w:rsidR="00837CAA">
        <w:t>h</w:t>
      </w:r>
      <w:r>
        <w:t xml:space="preserve">old matter, that </w:t>
      </w:r>
      <w:r w:rsidR="00883A00">
        <w:t xml:space="preserve">the </w:t>
      </w:r>
      <w:r>
        <w:t xml:space="preserve">delay in </w:t>
      </w:r>
      <w:r w:rsidR="00883A00">
        <w:t xml:space="preserve">receiving the additional </w:t>
      </w:r>
      <w:r>
        <w:t>documents</w:t>
      </w:r>
      <w:r w:rsidR="00883A00">
        <w:t xml:space="preserve"> from EB</w:t>
      </w:r>
      <w:r>
        <w:t xml:space="preserve"> </w:t>
      </w:r>
      <w:r w:rsidR="00883A00">
        <w:t>c</w:t>
      </w:r>
      <w:r>
        <w:t xml:space="preserve">ould be prejudicial </w:t>
      </w:r>
      <w:r w:rsidR="00837CAA">
        <w:t xml:space="preserve">in its </w:t>
      </w:r>
      <w:r w:rsidR="007518CF">
        <w:t xml:space="preserve">(then) </w:t>
      </w:r>
      <w:r w:rsidR="00837CAA">
        <w:t>pending appeal before the Fourth Circuit.</w:t>
      </w:r>
      <w:r w:rsidR="00837CAA">
        <w:rPr>
          <w:rStyle w:val="FootnoteReference"/>
        </w:rPr>
        <w:footnoteReference w:id="12"/>
      </w:r>
      <w:r>
        <w:t xml:space="preserve">  Second, </w:t>
      </w:r>
      <w:r w:rsidR="00837CAA">
        <w:t>OpenBand</w:t>
      </w:r>
      <w:r>
        <w:t xml:space="preserve"> argue</w:t>
      </w:r>
      <w:r w:rsidR="00E2529A">
        <w:t>s</w:t>
      </w:r>
      <w:r>
        <w:t xml:space="preserve"> that</w:t>
      </w:r>
      <w:r w:rsidR="00837CAA">
        <w:t xml:space="preserve"> the</w:t>
      </w:r>
      <w:r>
        <w:t xml:space="preserve"> FCC could not assert </w:t>
      </w:r>
      <w:r w:rsidR="008F5D96">
        <w:t>the</w:t>
      </w:r>
      <w:r w:rsidR="00715032">
        <w:t xml:space="preserve"> </w:t>
      </w:r>
      <w:r>
        <w:t>joint defense privilege because the communications were not “inter</w:t>
      </w:r>
      <w:r w:rsidR="00F26297">
        <w:t>-</w:t>
      </w:r>
      <w:r>
        <w:t>agency</w:t>
      </w:r>
      <w:r w:rsidR="00F26297">
        <w:t xml:space="preserve"> or intra-agency</w:t>
      </w:r>
      <w:r>
        <w:t>” documents subject to Exemption 5 and</w:t>
      </w:r>
      <w:r w:rsidR="00867E9F">
        <w:t>,</w:t>
      </w:r>
      <w:r>
        <w:t xml:space="preserve"> even if they were, there was a “presumed conflict” between </w:t>
      </w:r>
      <w:r w:rsidR="00837CAA">
        <w:t>Lansdowne</w:t>
      </w:r>
      <w:r>
        <w:t xml:space="preserve"> and the FCC </w:t>
      </w:r>
      <w:r w:rsidR="00837CAA">
        <w:t>that</w:t>
      </w:r>
      <w:r>
        <w:t xml:space="preserve"> contravene</w:t>
      </w:r>
      <w:r w:rsidR="00837CAA">
        <w:t>s</w:t>
      </w:r>
      <w:r>
        <w:t xml:space="preserve"> </w:t>
      </w:r>
      <w:r w:rsidR="00837CAA">
        <w:t xml:space="preserve">assertion of any </w:t>
      </w:r>
      <w:r>
        <w:t>privileged relationship.</w:t>
      </w:r>
      <w:r w:rsidR="00837CAA">
        <w:rPr>
          <w:rStyle w:val="FootnoteReference"/>
        </w:rPr>
        <w:footnoteReference w:id="13"/>
      </w:r>
      <w:r>
        <w:t xml:space="preserve">  Finally, </w:t>
      </w:r>
      <w:r w:rsidR="00837CAA">
        <w:t>OpenBand</w:t>
      </w:r>
      <w:r>
        <w:t xml:space="preserve"> argue</w:t>
      </w:r>
      <w:r w:rsidR="00837CAA">
        <w:t>s</w:t>
      </w:r>
      <w:r>
        <w:t xml:space="preserve"> that there </w:t>
      </w:r>
      <w:r w:rsidR="00837CAA">
        <w:t>is</w:t>
      </w:r>
      <w:r>
        <w:t xml:space="preserve"> an overwhelming public interest supporting a discretionary release of the documents, suggesting that the communications between one o</w:t>
      </w:r>
      <w:r w:rsidR="00837CAA">
        <w:t>f</w:t>
      </w:r>
      <w:r>
        <w:t xml:space="preserve"> the </w:t>
      </w:r>
      <w:r w:rsidR="00496BA6">
        <w:t xml:space="preserve">Wiltshire &amp; Grannis </w:t>
      </w:r>
      <w:r>
        <w:t>attorneys and the FCC may have violated the Ethics in Government Act.</w:t>
      </w:r>
      <w:r w:rsidR="00837CAA">
        <w:rPr>
          <w:rStyle w:val="FootnoteReference"/>
        </w:rPr>
        <w:footnoteReference w:id="14"/>
      </w:r>
      <w:r>
        <w:t xml:space="preserve">  </w:t>
      </w:r>
      <w:bookmarkStart w:id="1" w:name="_Ref349823802"/>
    </w:p>
    <w:p w:rsidR="00E74EEC" w:rsidRDefault="00E74EEC" w:rsidP="00394710">
      <w:pPr>
        <w:pStyle w:val="ParaNum"/>
      </w:pPr>
      <w:r>
        <w:t>On January 31, 2013, OGC sent OpenBand a supplemental response con</w:t>
      </w:r>
      <w:r w:rsidR="0036783A">
        <w:t>taining</w:t>
      </w:r>
      <w:r>
        <w:t xml:space="preserve"> </w:t>
      </w:r>
      <w:r w:rsidR="002666DD">
        <w:t xml:space="preserve">EB’s </w:t>
      </w:r>
      <w:r w:rsidR="00496BA6">
        <w:t xml:space="preserve">responsive </w:t>
      </w:r>
      <w:r w:rsidR="0036783A">
        <w:t>documents</w:t>
      </w:r>
      <w:r w:rsidR="002666DD">
        <w:t>.</w:t>
      </w:r>
      <w:r w:rsidR="00B775F6">
        <w:rPr>
          <w:rStyle w:val="FootnoteReference"/>
        </w:rPr>
        <w:footnoteReference w:id="15"/>
      </w:r>
      <w:r w:rsidR="00496BA6">
        <w:t xml:space="preserve">  </w:t>
      </w:r>
      <w:r>
        <w:t xml:space="preserve">On </w:t>
      </w:r>
      <w:r w:rsidR="00496BA6">
        <w:t>April 5, 2013, the Fourth Circuit held in favor of Lansdowne</w:t>
      </w:r>
      <w:r w:rsidR="00B775F6">
        <w:t xml:space="preserve">, </w:t>
      </w:r>
      <w:r w:rsidR="00496BA6">
        <w:t xml:space="preserve">affirming the District Court’s judgment </w:t>
      </w:r>
      <w:r w:rsidR="00B775F6">
        <w:t>voiding the OpenBand contract provisions at issue.</w:t>
      </w:r>
      <w:r w:rsidR="00B775F6">
        <w:rPr>
          <w:rStyle w:val="FootnoteReference"/>
        </w:rPr>
        <w:footnoteReference w:id="16"/>
      </w:r>
      <w:r w:rsidR="00B775F6">
        <w:t xml:space="preserve">  </w:t>
      </w:r>
    </w:p>
    <w:bookmarkEnd w:id="1"/>
    <w:p w:rsidR="00DC23FD" w:rsidRDefault="00DC23FD" w:rsidP="00394710">
      <w:pPr>
        <w:pStyle w:val="Heading1"/>
        <w:keepNext w:val="0"/>
        <w:suppressAutoHyphens w:val="0"/>
      </w:pPr>
      <w:r>
        <w:t>DISCUSSION</w:t>
      </w:r>
    </w:p>
    <w:p w:rsidR="00A6561F" w:rsidRDefault="00EE37B4" w:rsidP="00394710">
      <w:pPr>
        <w:pStyle w:val="ParaNum"/>
      </w:pPr>
      <w:r>
        <w:t>As a preliminary matter,</w:t>
      </w:r>
      <w:r w:rsidR="00A6561F">
        <w:t xml:space="preserve"> we reject OpenBand’s assertions </w:t>
      </w:r>
      <w:r w:rsidR="009B7172">
        <w:t xml:space="preserve">of prejudice because of the timing of </w:t>
      </w:r>
      <w:r w:rsidR="00A6561F">
        <w:t xml:space="preserve">OGC’s January 31, 2013 Supplemental Response.  Even assuming OpenBand had </w:t>
      </w:r>
      <w:r w:rsidR="009B7172">
        <w:t xml:space="preserve">shown prejudice, </w:t>
      </w:r>
      <w:r w:rsidR="002B7EBD">
        <w:t>tha</w:t>
      </w:r>
      <w:r w:rsidR="007A4F1D">
        <w:t>t would have no bearing on the merits of its FOIA request</w:t>
      </w:r>
      <w:r w:rsidR="001F684E">
        <w:t>.  In particular, OpenBand was entitled to no special treatment of its FOIA request because of its pending argument before the Fourth Circuit,</w:t>
      </w:r>
      <w:r w:rsidR="001F684E">
        <w:rPr>
          <w:rStyle w:val="FootnoteReference"/>
        </w:rPr>
        <w:footnoteReference w:id="17"/>
      </w:r>
      <w:r w:rsidR="001F684E">
        <w:t xml:space="preserve"> which was held on January 29, 2013.</w:t>
      </w:r>
      <w:r w:rsidR="001F684E">
        <w:rPr>
          <w:rStyle w:val="FootnoteReference"/>
        </w:rPr>
        <w:footnoteReference w:id="18"/>
      </w:r>
      <w:r w:rsidR="001F684E">
        <w:t xml:space="preserve">  In addition, OGC </w:t>
      </w:r>
      <w:r w:rsidR="00DA124B">
        <w:t xml:space="preserve">reasonably carried out its duties under the FOIA in acting on OpenBand’s request.  </w:t>
      </w:r>
      <w:r w:rsidR="001F684E" w:rsidRPr="00CF13A1">
        <w:t xml:space="preserve">In this case, OGC initially searched its own records and records of MB because these two offices were directly involved in the </w:t>
      </w:r>
      <w:r w:rsidR="001F684E" w:rsidRPr="00CF13A1">
        <w:rPr>
          <w:i/>
        </w:rPr>
        <w:t>Exclusivity Order</w:t>
      </w:r>
      <w:r w:rsidR="001F684E" w:rsidRPr="008C2E6A">
        <w:t xml:space="preserve"> </w:t>
      </w:r>
      <w:r w:rsidR="001F684E" w:rsidRPr="00CF13A1">
        <w:t>proceedings.  OGC only became aware that the search should be extended to EB when, as indicated in the December 14, 2012 Initial Response and January 31, 2013 Supplemental Response, some of the records collected in searching OGC and MB referenced enforcement pr</w:t>
      </w:r>
      <w:r w:rsidR="001F684E">
        <w:t>oceedings involving OpenBand</w:t>
      </w:r>
      <w:r w:rsidR="00DA124B">
        <w:t xml:space="preserve">, thus indicating </w:t>
      </w:r>
      <w:r w:rsidR="009B7172">
        <w:t>to staff t</w:t>
      </w:r>
      <w:r w:rsidR="00DA124B">
        <w:t>hat there may be additional responsive documents in EB’s files</w:t>
      </w:r>
      <w:r w:rsidR="001F684E">
        <w:t>.</w:t>
      </w:r>
      <w:r w:rsidR="001F684E">
        <w:rPr>
          <w:rStyle w:val="FootnoteReference"/>
        </w:rPr>
        <w:footnoteReference w:id="19"/>
      </w:r>
      <w:r w:rsidR="00DA124B">
        <w:t xml:space="preserve">  In any event, it does not appear that the timing of the Supplemental Response caused </w:t>
      </w:r>
      <w:r w:rsidR="009B7172">
        <w:t xml:space="preserve">any </w:t>
      </w:r>
      <w:r w:rsidR="00DA124B">
        <w:t>actual prejudice, given that the documents provided did not concern OpenBand’s dispute with Lansdowne</w:t>
      </w:r>
      <w:r w:rsidR="00E83DFC">
        <w:t>.</w:t>
      </w:r>
      <w:r w:rsidR="00DA124B">
        <w:rPr>
          <w:rStyle w:val="FootnoteReference"/>
        </w:rPr>
        <w:footnoteReference w:id="20"/>
      </w:r>
      <w:r w:rsidR="00DE32F0">
        <w:t xml:space="preserve">  </w:t>
      </w:r>
    </w:p>
    <w:p w:rsidR="0069612C" w:rsidRDefault="000B5165" w:rsidP="00394710">
      <w:pPr>
        <w:pStyle w:val="ParaNum"/>
      </w:pPr>
      <w:r>
        <w:t xml:space="preserve">We also disagree with OpenBand’s assertion that the FCC improperly asserted the joint defense privilege under Exemption 5.  </w:t>
      </w:r>
      <w:r w:rsidR="007C15D5">
        <w:t>FOIA Exemption 5 protects from disclosure “inter-agency or intra-agency memorandums or letters which would not be available by law to a party other than an agency in litigation with the agency.”</w:t>
      </w:r>
      <w:r w:rsidR="007C15D5">
        <w:rPr>
          <w:rStyle w:val="FootnoteReference"/>
        </w:rPr>
        <w:footnoteReference w:id="21"/>
      </w:r>
      <w:r w:rsidR="007C15D5">
        <w:t xml:space="preserve">  </w:t>
      </w:r>
      <w:r w:rsidR="00FB779D">
        <w:t>A</w:t>
      </w:r>
      <w:r w:rsidR="007C15D5">
        <w:t xml:space="preserve"> document must meet </w:t>
      </w:r>
      <w:r w:rsidR="004D1632">
        <w:t>a two-prong statutory test</w:t>
      </w:r>
      <w:r w:rsidR="000D0C76">
        <w:t xml:space="preserve"> to receive protection under Exemption 5:  1) its source must be a government agency, and 2) it must fall within the ambit of a privilege against discovery under judicial standards that would govern litigation against the agency that holds the document.</w:t>
      </w:r>
      <w:r w:rsidR="000D0C76">
        <w:rPr>
          <w:rStyle w:val="FootnoteReference"/>
        </w:rPr>
        <w:footnoteReference w:id="22"/>
      </w:r>
      <w:r w:rsidR="000D0C76">
        <w:t xml:space="preserve">  </w:t>
      </w:r>
    </w:p>
    <w:p w:rsidR="00A035A5" w:rsidRDefault="000B5165" w:rsidP="00867E9F">
      <w:pPr>
        <w:pStyle w:val="ParaNum"/>
      </w:pPr>
      <w:r>
        <w:t>We first find that the documents are “</w:t>
      </w:r>
      <w:r w:rsidR="00D22174">
        <w:t xml:space="preserve">intra-agency memorandums or letters” and thus meet the first </w:t>
      </w:r>
      <w:r w:rsidR="004D1632">
        <w:t>prong</w:t>
      </w:r>
      <w:r w:rsidR="00D22174">
        <w:t xml:space="preserve">.  As the Supreme Court </w:t>
      </w:r>
      <w:r w:rsidR="002F71CF">
        <w:t xml:space="preserve">has </w:t>
      </w:r>
      <w:r w:rsidR="00D22174">
        <w:t>found</w:t>
      </w:r>
      <w:r w:rsidR="002F71CF">
        <w:t>,</w:t>
      </w:r>
      <w:r w:rsidR="009127F4">
        <w:rPr>
          <w:i/>
        </w:rPr>
        <w:t xml:space="preserve"> </w:t>
      </w:r>
      <w:r w:rsidR="00D22174">
        <w:t>“in some circumstances a document prepared outside the Government may nevertheless qualify as an ‘intra-agency’ memorandum under Exemption 5.”</w:t>
      </w:r>
      <w:r w:rsidR="00D22174">
        <w:rPr>
          <w:rStyle w:val="FootnoteReference"/>
        </w:rPr>
        <w:footnoteReference w:id="23"/>
      </w:r>
      <w:r w:rsidR="00B506E0">
        <w:t xml:space="preserve">  </w:t>
      </w:r>
      <w:r w:rsidR="004F7180">
        <w:t xml:space="preserve">In </w:t>
      </w:r>
      <w:r w:rsidR="004F7180" w:rsidRPr="009F4135">
        <w:rPr>
          <w:i/>
        </w:rPr>
        <w:t xml:space="preserve">Hunton </w:t>
      </w:r>
      <w:r w:rsidR="009F4135">
        <w:rPr>
          <w:i/>
        </w:rPr>
        <w:t>&amp;</w:t>
      </w:r>
      <w:r w:rsidR="004F7180" w:rsidRPr="009F4135">
        <w:rPr>
          <w:i/>
        </w:rPr>
        <w:t xml:space="preserve"> Williams</w:t>
      </w:r>
      <w:r w:rsidR="009F4135">
        <w:rPr>
          <w:i/>
        </w:rPr>
        <w:t xml:space="preserve"> v. U.S. Dep’t of Justice</w:t>
      </w:r>
      <w:r w:rsidR="004F7180">
        <w:t>,</w:t>
      </w:r>
      <w:r w:rsidR="009F4135">
        <w:rPr>
          <w:rStyle w:val="FootnoteReference"/>
        </w:rPr>
        <w:footnoteReference w:id="24"/>
      </w:r>
      <w:r w:rsidR="004F7180">
        <w:t xml:space="preserve"> the Fourth Circuit found that o</w:t>
      </w:r>
      <w:r w:rsidR="00B506E0">
        <w:t>ne of these circumstances is whe</w:t>
      </w:r>
      <w:r w:rsidR="00F36ED6">
        <w:t>re the c</w:t>
      </w:r>
      <w:r w:rsidR="00B506E0">
        <w:t xml:space="preserve">ommon interest </w:t>
      </w:r>
      <w:r w:rsidR="00B506E0" w:rsidRPr="009F4135">
        <w:t>doctrine</w:t>
      </w:r>
      <w:r w:rsidR="00F36ED6">
        <w:t xml:space="preserve"> applies.</w:t>
      </w:r>
      <w:r w:rsidR="00D76A6E">
        <w:rPr>
          <w:rStyle w:val="FootnoteReference"/>
        </w:rPr>
        <w:footnoteReference w:id="25"/>
      </w:r>
      <w:r w:rsidR="00F36ED6">
        <w:t xml:space="preserve">  The common interest doctrine permits parties whose legal interests coincide to share privileged materials with one another in order to more effectively prosecute or defend their claims.</w:t>
      </w:r>
      <w:r w:rsidR="00445A06">
        <w:rPr>
          <w:rStyle w:val="FootnoteReference"/>
        </w:rPr>
        <w:footnoteReference w:id="26"/>
      </w:r>
      <w:r w:rsidR="00F36ED6">
        <w:t xml:space="preserve">  For the common interest doctrine to apply in the context of Exemption 5, “an agency must show that it had agreed to help another party prevail on its legal claims at the time of the communications at issue because doing so was in the public interest.”</w:t>
      </w:r>
      <w:r w:rsidR="00645794">
        <w:rPr>
          <w:rStyle w:val="FootnoteReference"/>
        </w:rPr>
        <w:footnoteReference w:id="27"/>
      </w:r>
      <w:r w:rsidR="00F36ED6">
        <w:t xml:space="preserve">  While a written agreement is not necessary, there must be an agreement or a meeting of the minds.</w:t>
      </w:r>
      <w:r w:rsidR="00645794">
        <w:rPr>
          <w:rStyle w:val="FootnoteReference"/>
        </w:rPr>
        <w:footnoteReference w:id="28"/>
      </w:r>
      <w:r w:rsidR="00020B2B">
        <w:t xml:space="preserve"> </w:t>
      </w:r>
      <w:r w:rsidR="00DE32F0">
        <w:t xml:space="preserve"> </w:t>
      </w:r>
    </w:p>
    <w:p w:rsidR="00505871" w:rsidRDefault="00EC4CFB" w:rsidP="00505871">
      <w:pPr>
        <w:pStyle w:val="ParaNum"/>
      </w:pPr>
      <w:r>
        <w:t xml:space="preserve">Here, the communications between the Commission and </w:t>
      </w:r>
      <w:r w:rsidR="004C68D8">
        <w:t>Lansdowne counsel</w:t>
      </w:r>
      <w:r>
        <w:t xml:space="preserve"> meet these tests.  </w:t>
      </w:r>
      <w:r w:rsidR="009E5854">
        <w:t xml:space="preserve">As indicated in the Initial Decision, the redacted portions contain communications between </w:t>
      </w:r>
      <w:r w:rsidR="00917DFA">
        <w:t>Lansdowne counsel</w:t>
      </w:r>
      <w:r w:rsidR="009E5854">
        <w:t xml:space="preserve"> and the Commission regarding </w:t>
      </w:r>
      <w:r w:rsidR="009E5854" w:rsidRPr="00867E9F">
        <w:rPr>
          <w:i/>
        </w:rPr>
        <w:t xml:space="preserve">OpenBand v. Lansdowne </w:t>
      </w:r>
      <w:r w:rsidR="009E5854" w:rsidRPr="00867E9F">
        <w:rPr>
          <w:u w:val="single"/>
        </w:rPr>
        <w:t>after</w:t>
      </w:r>
      <w:r w:rsidR="009E5854">
        <w:t xml:space="preserve"> the Commission’s decision </w:t>
      </w:r>
      <w:r w:rsidR="00917DFA">
        <w:t xml:space="preserve">that it was in the public interest </w:t>
      </w:r>
      <w:r w:rsidR="009E5854">
        <w:t>to intervene that case</w:t>
      </w:r>
      <w:r w:rsidR="00917DFA">
        <w:t>.</w:t>
      </w:r>
      <w:r w:rsidR="00917DFA">
        <w:rPr>
          <w:rStyle w:val="FootnoteReference"/>
        </w:rPr>
        <w:footnoteReference w:id="29"/>
      </w:r>
      <w:r w:rsidR="00917DFA">
        <w:t xml:space="preserve">  </w:t>
      </w:r>
      <w:r w:rsidR="00EB3775">
        <w:t xml:space="preserve">Contrary to OpenBand’s assertions, none of the </w:t>
      </w:r>
      <w:r w:rsidR="0056499B">
        <w:t xml:space="preserve">withheld or </w:t>
      </w:r>
      <w:r w:rsidR="00EB3775">
        <w:t>redacted documents w</w:t>
      </w:r>
      <w:r w:rsidR="0065501A">
        <w:t>as</w:t>
      </w:r>
      <w:r w:rsidR="00EB3775">
        <w:t xml:space="preserve"> </w:t>
      </w:r>
      <w:r w:rsidR="00EB3775" w:rsidRPr="004D1632">
        <w:t xml:space="preserve">“aimed at attempting to convince the FCC </w:t>
      </w:r>
      <w:r w:rsidR="00EB3775">
        <w:t>either</w:t>
      </w:r>
      <w:r w:rsidR="00EB3775" w:rsidRPr="004D1632">
        <w:t xml:space="preserve"> </w:t>
      </w:r>
      <w:r w:rsidR="0056499B">
        <w:t xml:space="preserve">[to] </w:t>
      </w:r>
      <w:r w:rsidR="00EB3775" w:rsidRPr="004D1632">
        <w:t xml:space="preserve">file an amicus brief or </w:t>
      </w:r>
      <w:r w:rsidR="00EB3775">
        <w:t>[</w:t>
      </w:r>
      <w:r w:rsidR="00EB3775" w:rsidRPr="004D1632">
        <w:t>to</w:t>
      </w:r>
      <w:r w:rsidR="00EB3775">
        <w:t>]</w:t>
      </w:r>
      <w:r w:rsidR="00EB3775" w:rsidRPr="004D1632">
        <w:t xml:space="preserve"> intervene</w:t>
      </w:r>
      <w:r w:rsidR="00EB3775">
        <w:t>.</w:t>
      </w:r>
      <w:r w:rsidR="00EB3775" w:rsidRPr="004D1632">
        <w:t>”</w:t>
      </w:r>
      <w:r w:rsidR="0056499B">
        <w:rPr>
          <w:rStyle w:val="FootnoteReference"/>
        </w:rPr>
        <w:footnoteReference w:id="30"/>
      </w:r>
      <w:r w:rsidR="00EB3775">
        <w:t xml:space="preserve">  Rather, all of the </w:t>
      </w:r>
      <w:r w:rsidR="0056499B">
        <w:t xml:space="preserve">withheld or redacted </w:t>
      </w:r>
      <w:r w:rsidR="00EB3775">
        <w:t xml:space="preserve">communications between the Commission staff and Lansdowne </w:t>
      </w:r>
      <w:r w:rsidR="0056499B">
        <w:t>occurred</w:t>
      </w:r>
      <w:r w:rsidR="00020B2B">
        <w:t xml:space="preserve"> </w:t>
      </w:r>
      <w:r w:rsidR="00EB3775">
        <w:t>after t</w:t>
      </w:r>
      <w:r w:rsidR="00917DFA">
        <w:t xml:space="preserve">he Commission and Lansdowne formed a common interest in the case, </w:t>
      </w:r>
      <w:r w:rsidR="00917DFA" w:rsidRPr="00867E9F">
        <w:rPr>
          <w:i/>
        </w:rPr>
        <w:t>i.e.</w:t>
      </w:r>
      <w:r w:rsidR="00917DFA" w:rsidRPr="0056499B">
        <w:t>,</w:t>
      </w:r>
      <w:r w:rsidR="004C68D8" w:rsidRPr="00867E9F">
        <w:rPr>
          <w:i/>
        </w:rPr>
        <w:t xml:space="preserve"> </w:t>
      </w:r>
      <w:r w:rsidR="00917DFA">
        <w:t>persuading the court that the Commission’s rule prohibiting exclusive arrangements for cable and Open Video Systems (OVS) operators in multiple dwelling units was applicable to the arrangement at issue.</w:t>
      </w:r>
      <w:r w:rsidR="0038416E">
        <w:rPr>
          <w:rStyle w:val="FootnoteReference"/>
        </w:rPr>
        <w:footnoteReference w:id="31"/>
      </w:r>
      <w:r w:rsidR="00020B2B">
        <w:t xml:space="preserve"> </w:t>
      </w:r>
      <w:r w:rsidR="00E015A4">
        <w:t xml:space="preserve"> </w:t>
      </w:r>
    </w:p>
    <w:p w:rsidR="00A42D6F" w:rsidRDefault="00B074B7" w:rsidP="00505871">
      <w:pPr>
        <w:pStyle w:val="ParaNum"/>
      </w:pPr>
      <w:r>
        <w:t xml:space="preserve">Accordingly, OpenBand’s reliance on the Supreme Court’s decision in </w:t>
      </w:r>
      <w:r w:rsidRPr="004518A7">
        <w:rPr>
          <w:i/>
        </w:rPr>
        <w:t xml:space="preserve">Dept. of Interior v. Klamath Water </w:t>
      </w:r>
      <w:r w:rsidRPr="006A3A52">
        <w:rPr>
          <w:i/>
        </w:rPr>
        <w:t>Users</w:t>
      </w:r>
      <w:r w:rsidR="00DE1D92">
        <w:t xml:space="preserve"> </w:t>
      </w:r>
      <w:r>
        <w:t xml:space="preserve">to support its assertion that the documents at issue here do not meet the </w:t>
      </w:r>
      <w:r w:rsidR="00020B2B">
        <w:t>first</w:t>
      </w:r>
      <w:r>
        <w:t xml:space="preserve"> prong is misplaced</w:t>
      </w:r>
      <w:r w:rsidR="00264DC5">
        <w:t xml:space="preserve">.  In </w:t>
      </w:r>
      <w:r w:rsidR="00264DC5" w:rsidRPr="004518A7">
        <w:rPr>
          <w:i/>
        </w:rPr>
        <w:t>Klamath</w:t>
      </w:r>
      <w:r w:rsidR="00264DC5">
        <w:t xml:space="preserve">, the Court found that </w:t>
      </w:r>
      <w:r w:rsidR="005615BC">
        <w:t xml:space="preserve">records submitted </w:t>
      </w:r>
      <w:r w:rsidR="00020B2B">
        <w:t xml:space="preserve">to </w:t>
      </w:r>
      <w:r w:rsidR="005615BC">
        <w:t xml:space="preserve">the Department of Interior by several Indian tribes </w:t>
      </w:r>
      <w:r w:rsidR="00264DC5">
        <w:t>did not qualify as “</w:t>
      </w:r>
      <w:r w:rsidR="00020B2B">
        <w:t>intra-agency</w:t>
      </w:r>
      <w:r w:rsidR="00264DC5">
        <w:t>”</w:t>
      </w:r>
      <w:r w:rsidR="00020B2B">
        <w:t xml:space="preserve"> documents</w:t>
      </w:r>
      <w:r w:rsidR="00264DC5">
        <w:t xml:space="preserve"> because the parties were “self-advocates at the expense of others seeking benefits inadequate to satisfy everyone.”</w:t>
      </w:r>
      <w:r w:rsidR="0059630F" w:rsidRPr="0059630F">
        <w:rPr>
          <w:rStyle w:val="FootnoteReference"/>
        </w:rPr>
        <w:t xml:space="preserve"> </w:t>
      </w:r>
      <w:r w:rsidR="0059630F">
        <w:rPr>
          <w:rStyle w:val="FootnoteReference"/>
        </w:rPr>
        <w:footnoteReference w:id="32"/>
      </w:r>
      <w:r w:rsidR="0059630F">
        <w:t xml:space="preserve"> </w:t>
      </w:r>
      <w:r w:rsidR="00020B2B">
        <w:t xml:space="preserve"> </w:t>
      </w:r>
      <w:r w:rsidR="00B965EA">
        <w:t xml:space="preserve">As the </w:t>
      </w:r>
      <w:r w:rsidR="004F7180">
        <w:t xml:space="preserve">court found in the </w:t>
      </w:r>
      <w:r w:rsidR="004F7180" w:rsidRPr="004518A7">
        <w:rPr>
          <w:i/>
        </w:rPr>
        <w:t>Hunton</w:t>
      </w:r>
      <w:r w:rsidR="004F7180">
        <w:t xml:space="preserve"> case discussed above, </w:t>
      </w:r>
      <w:r w:rsidR="00020B2B">
        <w:t>however,</w:t>
      </w:r>
      <w:r w:rsidR="00630587">
        <w:t xml:space="preserve"> </w:t>
      </w:r>
      <w:r w:rsidR="00630587" w:rsidRPr="004518A7">
        <w:rPr>
          <w:i/>
        </w:rPr>
        <w:t>Klamath</w:t>
      </w:r>
      <w:r w:rsidR="00630587">
        <w:t xml:space="preserve"> did not address</w:t>
      </w:r>
      <w:r w:rsidR="002F5186">
        <w:t xml:space="preserve"> the common interest doctrine at all</w:t>
      </w:r>
      <w:r w:rsidR="004F7180">
        <w:t>.</w:t>
      </w:r>
      <w:r w:rsidR="00D16083">
        <w:rPr>
          <w:rStyle w:val="FootnoteReference"/>
        </w:rPr>
        <w:footnoteReference w:id="33"/>
      </w:r>
      <w:r w:rsidR="004F7180">
        <w:t xml:space="preserve">  R</w:t>
      </w:r>
      <w:r w:rsidR="002F5186">
        <w:t xml:space="preserve">ather, </w:t>
      </w:r>
      <w:r w:rsidR="004F7180">
        <w:t xml:space="preserve">the </w:t>
      </w:r>
      <w:r w:rsidR="00AA58F4" w:rsidRPr="004518A7">
        <w:rPr>
          <w:i/>
        </w:rPr>
        <w:t xml:space="preserve">Hunton </w:t>
      </w:r>
      <w:r w:rsidR="004F7180">
        <w:t xml:space="preserve">court explained </w:t>
      </w:r>
      <w:r w:rsidR="00AA58F4">
        <w:t xml:space="preserve">that </w:t>
      </w:r>
      <w:r w:rsidR="002F5186">
        <w:t>“</w:t>
      </w:r>
      <w:r w:rsidR="002F5186" w:rsidRPr="004518A7">
        <w:rPr>
          <w:i/>
        </w:rPr>
        <w:t xml:space="preserve">Klamath </w:t>
      </w:r>
      <w:r w:rsidR="002F5186">
        <w:t>addressed the case of self-interested parties attempting to persuade the government to adopt a particular policy, but those concerns are no longer in play once the government is actually persuaded that the policy is in the public interest.”</w:t>
      </w:r>
      <w:r w:rsidR="002F5186">
        <w:rPr>
          <w:rStyle w:val="FootnoteReference"/>
        </w:rPr>
        <w:footnoteReference w:id="34"/>
      </w:r>
      <w:r w:rsidR="002F5186">
        <w:t xml:space="preserve"> </w:t>
      </w:r>
      <w:r w:rsidR="00D16083">
        <w:t xml:space="preserve"> </w:t>
      </w:r>
      <w:r w:rsidR="0065501A">
        <w:t>Because</w:t>
      </w:r>
      <w:r w:rsidR="00926459">
        <w:t xml:space="preserve"> </w:t>
      </w:r>
      <w:r w:rsidR="0065501A">
        <w:t>all of the documents at issue are communications made after the Commission decided to intervene, the common interest doctrine is applicable, and the documents are “in</w:t>
      </w:r>
      <w:r w:rsidR="00020B2B">
        <w:t>tra-agency</w:t>
      </w:r>
      <w:r w:rsidR="0065501A">
        <w:t>” for purposes of Exemption 5.</w:t>
      </w:r>
      <w:r w:rsidR="002F5186">
        <w:t xml:space="preserve"> </w:t>
      </w:r>
      <w:r w:rsidR="004D1632" w:rsidRPr="004D1632">
        <w:t xml:space="preserve"> </w:t>
      </w:r>
    </w:p>
    <w:p w:rsidR="00BB7BB2" w:rsidRDefault="00020B2B" w:rsidP="000624C0">
      <w:pPr>
        <w:pStyle w:val="ParaNum"/>
      </w:pPr>
      <w:r>
        <w:t>In addition</w:t>
      </w:r>
      <w:r w:rsidR="007169AE">
        <w:t xml:space="preserve">, we find </w:t>
      </w:r>
      <w:r w:rsidR="00AA58F4">
        <w:t xml:space="preserve">the documents meet the second prong of the test set forth above, since </w:t>
      </w:r>
      <w:r w:rsidR="007169AE">
        <w:t xml:space="preserve">the joint defense privilege asserted by OGC “falls within the ambit of </w:t>
      </w:r>
      <w:r w:rsidR="00BE6D7E">
        <w:t xml:space="preserve">a </w:t>
      </w:r>
      <w:r w:rsidR="007169AE">
        <w:t>privilege” normally covered by Exemption 5.</w:t>
      </w:r>
      <w:r w:rsidR="00BE6D7E">
        <w:rPr>
          <w:rStyle w:val="FootnoteReference"/>
        </w:rPr>
        <w:footnoteReference w:id="35"/>
      </w:r>
      <w:r w:rsidR="00BE6D7E">
        <w:t xml:space="preserve">  The </w:t>
      </w:r>
      <w:r w:rsidR="0041117F">
        <w:t xml:space="preserve">joint defense privilege is an extension of the </w:t>
      </w:r>
      <w:r w:rsidR="00BE6D7E">
        <w:t>attorney-client privilege of Exemption 5</w:t>
      </w:r>
      <w:r w:rsidR="0041117F">
        <w:t xml:space="preserve"> and </w:t>
      </w:r>
      <w:r w:rsidR="000547A6">
        <w:t xml:space="preserve">thus </w:t>
      </w:r>
      <w:r w:rsidR="0041117F">
        <w:t xml:space="preserve">applies to communications </w:t>
      </w:r>
      <w:r w:rsidR="00BE6D7E">
        <w:t>between</w:t>
      </w:r>
      <w:r w:rsidR="00422753">
        <w:t xml:space="preserve"> parties sharing litigative interests</w:t>
      </w:r>
      <w:r w:rsidR="00C21F4A">
        <w:t>,</w:t>
      </w:r>
      <w:r w:rsidR="0041117F">
        <w:t xml:space="preserve"> such as those between the FCC and Lansdowne at issue here.</w:t>
      </w:r>
      <w:r w:rsidR="000547A6" w:rsidRPr="000547A6">
        <w:rPr>
          <w:rStyle w:val="FootnoteReference"/>
        </w:rPr>
        <w:t xml:space="preserve"> </w:t>
      </w:r>
      <w:r w:rsidR="000547A6">
        <w:rPr>
          <w:rStyle w:val="FootnoteReference"/>
        </w:rPr>
        <w:footnoteReference w:id="36"/>
      </w:r>
      <w:r w:rsidR="000571E0">
        <w:t xml:space="preserve">  We</w:t>
      </w:r>
      <w:r w:rsidR="00E92BE1">
        <w:t xml:space="preserve"> disagree with OpenBand’s assertion that the privileged relationship was contravened because </w:t>
      </w:r>
      <w:r w:rsidR="00BA431B">
        <w:t>“[</w:t>
      </w:r>
      <w:r w:rsidR="00E92BE1">
        <w:t>Lansdowne</w:t>
      </w:r>
      <w:r w:rsidR="00BA431B">
        <w:t xml:space="preserve">] has </w:t>
      </w:r>
      <w:r w:rsidR="00E92BE1">
        <w:t>asserted that OpenBand has a Tucker Act claim against the FCC.</w:t>
      </w:r>
      <w:r w:rsidR="00FA695F">
        <w:t>”</w:t>
      </w:r>
      <w:r w:rsidR="00C319C7">
        <w:rPr>
          <w:rStyle w:val="FootnoteReference"/>
        </w:rPr>
        <w:footnoteReference w:id="37"/>
      </w:r>
      <w:r w:rsidR="00E92BE1">
        <w:t xml:space="preserve">  </w:t>
      </w:r>
      <w:r w:rsidR="00673596">
        <w:t xml:space="preserve">First, </w:t>
      </w:r>
      <w:r w:rsidR="00494B0B">
        <w:t>Lansdowne</w:t>
      </w:r>
      <w:r w:rsidR="009E7945">
        <w:t xml:space="preserve"> has made no such assertion</w:t>
      </w:r>
      <w:r w:rsidR="00673596">
        <w:t xml:space="preserve">.  In the underlying litigation, Lansdowne argued that the 2007 </w:t>
      </w:r>
      <w:r w:rsidR="00673596" w:rsidRPr="00673596">
        <w:rPr>
          <w:i/>
        </w:rPr>
        <w:t>Exclusivity Order</w:t>
      </w:r>
      <w:r w:rsidR="00673596">
        <w:t xml:space="preserve"> prohibited arrangement</w:t>
      </w:r>
      <w:r w:rsidR="004518A7">
        <w:t>s</w:t>
      </w:r>
      <w:r w:rsidR="00673596">
        <w:t xml:space="preserve"> like the one at issue, even if partially embodied in purported easement</w:t>
      </w:r>
      <w:r w:rsidR="00F87307">
        <w:t>s</w:t>
      </w:r>
      <w:r w:rsidR="00673596">
        <w:t xml:space="preserve">, but Lansdowne took no position </w:t>
      </w:r>
      <w:r w:rsidR="00F87307">
        <w:t xml:space="preserve">on the separate legal issue of </w:t>
      </w:r>
      <w:r w:rsidR="00673596">
        <w:t xml:space="preserve">whether such a </w:t>
      </w:r>
      <w:r w:rsidR="00BA431B">
        <w:t xml:space="preserve">prohibition </w:t>
      </w:r>
      <w:r w:rsidR="00A035A5">
        <w:t xml:space="preserve">would </w:t>
      </w:r>
      <w:r w:rsidR="00F87307">
        <w:t xml:space="preserve">give rise to </w:t>
      </w:r>
      <w:r w:rsidR="00673596">
        <w:t xml:space="preserve">a </w:t>
      </w:r>
      <w:r w:rsidR="00F87307">
        <w:t xml:space="preserve">valid </w:t>
      </w:r>
      <w:r w:rsidR="00673596">
        <w:t xml:space="preserve">Tucker Act </w:t>
      </w:r>
      <w:r w:rsidR="00F87307">
        <w:t>c</w:t>
      </w:r>
      <w:r w:rsidR="00673596">
        <w:t>laim.</w:t>
      </w:r>
      <w:r w:rsidR="00BA431B">
        <w:rPr>
          <w:rStyle w:val="FootnoteReference"/>
        </w:rPr>
        <w:footnoteReference w:id="38"/>
      </w:r>
      <w:r w:rsidR="00673596">
        <w:t xml:space="preserve">  </w:t>
      </w:r>
      <w:r w:rsidR="00F87307">
        <w:t xml:space="preserve">The FCC and Lansdowne were therefore aligned in arguing that the </w:t>
      </w:r>
      <w:r w:rsidR="00F87307">
        <w:rPr>
          <w:i/>
        </w:rPr>
        <w:t xml:space="preserve">Order </w:t>
      </w:r>
      <w:r w:rsidR="00F87307">
        <w:t xml:space="preserve">reached these arrangements, </w:t>
      </w:r>
      <w:r w:rsidR="009E7945">
        <w:t>but</w:t>
      </w:r>
      <w:r w:rsidR="00F87307">
        <w:t xml:space="preserve"> there was no conflict on the issue of a</w:t>
      </w:r>
      <w:r w:rsidR="009E7945">
        <w:t>ny</w:t>
      </w:r>
      <w:r w:rsidR="00F87307">
        <w:t xml:space="preserve"> Tucker Act claim because Lansdowne took no position on the matter.  </w:t>
      </w:r>
      <w:r w:rsidR="00673596">
        <w:t xml:space="preserve">Moreover, even if </w:t>
      </w:r>
      <w:r w:rsidR="00494B0B">
        <w:t xml:space="preserve">Lansdowne </w:t>
      </w:r>
      <w:r w:rsidR="00673596">
        <w:t xml:space="preserve">had </w:t>
      </w:r>
      <w:r w:rsidR="00E92BE1">
        <w:t xml:space="preserve">made this argument </w:t>
      </w:r>
      <w:r w:rsidR="001B208E">
        <w:t>i</w:t>
      </w:r>
      <w:r w:rsidR="00E92BE1">
        <w:t xml:space="preserve">n the underlying proceeding, this </w:t>
      </w:r>
      <w:r w:rsidR="00673596">
        <w:t xml:space="preserve">would </w:t>
      </w:r>
      <w:r w:rsidR="00E92BE1">
        <w:t xml:space="preserve">not preclude </w:t>
      </w:r>
      <w:r w:rsidR="00AD4DD1">
        <w:t xml:space="preserve">the </w:t>
      </w:r>
      <w:r w:rsidR="00E92BE1">
        <w:t xml:space="preserve">FCC from asserting </w:t>
      </w:r>
      <w:r w:rsidR="000547A6">
        <w:t xml:space="preserve">the </w:t>
      </w:r>
      <w:r w:rsidR="00E92BE1">
        <w:t xml:space="preserve">joint defense privilege with regard to the communications at issue.  </w:t>
      </w:r>
      <w:r w:rsidR="00AD4DD1">
        <w:t>Lansdowne</w:t>
      </w:r>
      <w:r w:rsidR="00E92BE1">
        <w:t xml:space="preserve"> and the FCC </w:t>
      </w:r>
      <w:r w:rsidR="00AD4DD1">
        <w:t xml:space="preserve">need not </w:t>
      </w:r>
      <w:r w:rsidR="00E92BE1">
        <w:t>agree on every</w:t>
      </w:r>
      <w:r w:rsidR="007C28F1">
        <w:t xml:space="preserve"> issue </w:t>
      </w:r>
      <w:r w:rsidR="00E92BE1">
        <w:t xml:space="preserve">related to the litigation </w:t>
      </w:r>
      <w:r w:rsidR="007C28F1">
        <w:t xml:space="preserve">in order to protect their communications under the common interest doctrine. </w:t>
      </w:r>
      <w:r w:rsidR="00E92BE1">
        <w:t xml:space="preserve"> </w:t>
      </w:r>
      <w:r w:rsidR="007C28F1">
        <w:t xml:space="preserve">Rather, the </w:t>
      </w:r>
      <w:r w:rsidR="00E92BE1">
        <w:t>FCC must show that “it had agree</w:t>
      </w:r>
      <w:r w:rsidR="00855A11">
        <w:t xml:space="preserve">d to help [Lansdowne] </w:t>
      </w:r>
      <w:r w:rsidR="00E92BE1">
        <w:t xml:space="preserve">prevail on its legal claims </w:t>
      </w:r>
      <w:r w:rsidR="00E92BE1" w:rsidRPr="00673596">
        <w:rPr>
          <w:i/>
        </w:rPr>
        <w:t xml:space="preserve">at the time </w:t>
      </w:r>
      <w:r w:rsidR="007C28F1" w:rsidRPr="00673596">
        <w:rPr>
          <w:i/>
        </w:rPr>
        <w:t>o</w:t>
      </w:r>
      <w:r w:rsidR="00E92BE1" w:rsidRPr="00673596">
        <w:rPr>
          <w:i/>
        </w:rPr>
        <w:t>f the communications at issue</w:t>
      </w:r>
      <w:r w:rsidR="00855A11">
        <w:t xml:space="preserve"> because doing so was in the public interest.</w:t>
      </w:r>
      <w:r w:rsidR="00E92BE1">
        <w:t>”</w:t>
      </w:r>
      <w:r w:rsidR="00855A11">
        <w:rPr>
          <w:rStyle w:val="FootnoteReference"/>
        </w:rPr>
        <w:footnoteReference w:id="39"/>
      </w:r>
      <w:r w:rsidR="00E92BE1">
        <w:t xml:space="preserve"> </w:t>
      </w:r>
      <w:r w:rsidR="00BB7BB2">
        <w:t xml:space="preserve"> </w:t>
      </w:r>
      <w:r w:rsidR="00E92BE1">
        <w:t>Here</w:t>
      </w:r>
      <w:r w:rsidR="00FC0293">
        <w:t>,</w:t>
      </w:r>
      <w:r w:rsidR="00E92BE1">
        <w:t xml:space="preserve"> any assertion that </w:t>
      </w:r>
      <w:r w:rsidR="00FC0293">
        <w:t xml:space="preserve">OpenBand </w:t>
      </w:r>
      <w:r w:rsidR="00F87307">
        <w:t xml:space="preserve">could assert </w:t>
      </w:r>
      <w:r w:rsidR="00FC0293">
        <w:t xml:space="preserve">a </w:t>
      </w:r>
      <w:r w:rsidR="00E0042B">
        <w:t xml:space="preserve">valid </w:t>
      </w:r>
      <w:r w:rsidR="00E92BE1">
        <w:t xml:space="preserve">Tucker </w:t>
      </w:r>
      <w:r w:rsidR="00A92BB4">
        <w:t xml:space="preserve">Act </w:t>
      </w:r>
      <w:r w:rsidR="0016629F">
        <w:t>c</w:t>
      </w:r>
      <w:r w:rsidR="00E92BE1">
        <w:t xml:space="preserve">laim </w:t>
      </w:r>
      <w:r w:rsidR="00304212">
        <w:t xml:space="preserve">would </w:t>
      </w:r>
      <w:r w:rsidR="00E92BE1">
        <w:t xml:space="preserve">not </w:t>
      </w:r>
      <w:r w:rsidR="00304212">
        <w:t xml:space="preserve">be </w:t>
      </w:r>
      <w:r w:rsidR="00E92BE1">
        <w:t xml:space="preserve">relevant to the meeting of the minds between the FCC and </w:t>
      </w:r>
      <w:r w:rsidR="00FC0293">
        <w:t>Lansdowne</w:t>
      </w:r>
      <w:r w:rsidR="00E92BE1">
        <w:t xml:space="preserve"> concerning</w:t>
      </w:r>
      <w:r w:rsidR="00FC0293">
        <w:t xml:space="preserve"> their</w:t>
      </w:r>
      <w:r w:rsidR="00E92BE1">
        <w:t xml:space="preserve"> mutual goal of persuading the </w:t>
      </w:r>
      <w:r w:rsidR="00FC0293">
        <w:t>c</w:t>
      </w:r>
      <w:r w:rsidR="00E92BE1">
        <w:t xml:space="preserve">ourt that the Commission’s rule prohibiting exclusive arrangements </w:t>
      </w:r>
      <w:r w:rsidR="00A92BB4">
        <w:t>is</w:t>
      </w:r>
      <w:r w:rsidR="00E92BE1">
        <w:t xml:space="preserve"> applicable to the arrangement at issue.</w:t>
      </w:r>
      <w:r w:rsidR="000F37E3">
        <w:t xml:space="preserve">  </w:t>
      </w:r>
    </w:p>
    <w:p w:rsidR="00A91AF4" w:rsidRPr="00560967" w:rsidRDefault="00E92BE1" w:rsidP="00394710">
      <w:pPr>
        <w:pStyle w:val="ParaNum"/>
        <w:rPr>
          <w:szCs w:val="22"/>
        </w:rPr>
      </w:pPr>
      <w:r>
        <w:t xml:space="preserve">Finally, we disagree with OpenBand’s argument that there was an overwhelming public interest in a discretionary release of the documents at issue.  According to OpenBand, such a public interest exists because the communications between one of the </w:t>
      </w:r>
      <w:r w:rsidR="00623B44">
        <w:t xml:space="preserve">Lansdowne </w:t>
      </w:r>
      <w:r>
        <w:t>attorneys and the FCC may have violated the Ethics in Government Act.</w:t>
      </w:r>
      <w:r w:rsidR="001B208E">
        <w:rPr>
          <w:rStyle w:val="FootnoteReference"/>
        </w:rPr>
        <w:footnoteReference w:id="40"/>
      </w:r>
      <w:r>
        <w:t xml:space="preserve">  </w:t>
      </w:r>
      <w:r w:rsidR="00D91E2B" w:rsidRPr="00255D9D">
        <w:rPr>
          <w:color w:val="000000" w:themeColor="text1"/>
        </w:rPr>
        <w:t xml:space="preserve">Upon review of the facts and applicable law, we find </w:t>
      </w:r>
      <w:r w:rsidR="00630587">
        <w:rPr>
          <w:color w:val="000000" w:themeColor="text1"/>
        </w:rPr>
        <w:t xml:space="preserve">absolutely </w:t>
      </w:r>
      <w:r w:rsidR="00D91E2B" w:rsidRPr="00255D9D">
        <w:rPr>
          <w:color w:val="000000" w:themeColor="text1"/>
        </w:rPr>
        <w:t>no support for OpenBand’s argument that the criminal conflict of interest prohibition against a former employee representing a party in a matter in which the former employee participated while serving the government,</w:t>
      </w:r>
      <w:r w:rsidR="00D91E2B" w:rsidRPr="004F490F">
        <w:rPr>
          <w:rStyle w:val="FootnoteReference"/>
          <w:color w:val="000000" w:themeColor="text1"/>
        </w:rPr>
        <w:footnoteReference w:id="41"/>
      </w:r>
      <w:r w:rsidR="00D91E2B" w:rsidRPr="00255D9D">
        <w:rPr>
          <w:color w:val="000000" w:themeColor="text1"/>
        </w:rPr>
        <w:t xml:space="preserve"> was applicable to and violated by the former FCC General Counse</w:t>
      </w:r>
      <w:r w:rsidR="00D91E2B" w:rsidRPr="004D1EEF">
        <w:rPr>
          <w:color w:val="000000" w:themeColor="text1"/>
        </w:rPr>
        <w:t xml:space="preserve">l in the </w:t>
      </w:r>
      <w:r w:rsidR="00D91E2B" w:rsidRPr="00FB7197">
        <w:rPr>
          <w:i/>
          <w:color w:val="000000" w:themeColor="text1"/>
        </w:rPr>
        <w:t xml:space="preserve">OpenBand </w:t>
      </w:r>
      <w:r w:rsidR="00D91E2B" w:rsidRPr="00255D9D">
        <w:rPr>
          <w:color w:val="000000" w:themeColor="text1"/>
        </w:rPr>
        <w:t xml:space="preserve">litigation before the Fourth Circuit.  The 2007 </w:t>
      </w:r>
      <w:r w:rsidR="00D91E2B" w:rsidRPr="00255D9D">
        <w:rPr>
          <w:i/>
          <w:color w:val="000000" w:themeColor="text1"/>
        </w:rPr>
        <w:t>Exclusivity Order</w:t>
      </w:r>
      <w:r w:rsidR="00190713" w:rsidRPr="00255D9D">
        <w:rPr>
          <w:color w:val="000000" w:themeColor="text1"/>
        </w:rPr>
        <w:t xml:space="preserve"> proceeding that promulgated the bar on exclusive arrangements at issue in the </w:t>
      </w:r>
      <w:r w:rsidR="00190713" w:rsidRPr="00255D9D">
        <w:rPr>
          <w:i/>
          <w:color w:val="000000" w:themeColor="text1"/>
        </w:rPr>
        <w:t xml:space="preserve">OpenBand </w:t>
      </w:r>
      <w:r w:rsidR="00190713" w:rsidRPr="00255D9D">
        <w:rPr>
          <w:color w:val="000000" w:themeColor="text1"/>
        </w:rPr>
        <w:t>litigation</w:t>
      </w:r>
      <w:r w:rsidR="00D91E2B" w:rsidRPr="00255D9D">
        <w:rPr>
          <w:color w:val="000000" w:themeColor="text1"/>
        </w:rPr>
        <w:t xml:space="preserve"> </w:t>
      </w:r>
      <w:r w:rsidR="00190713" w:rsidRPr="00255D9D">
        <w:rPr>
          <w:color w:val="000000" w:themeColor="text1"/>
        </w:rPr>
        <w:t xml:space="preserve">was conducted </w:t>
      </w:r>
      <w:r w:rsidR="00D91E2B" w:rsidRPr="00255D9D">
        <w:rPr>
          <w:color w:val="000000" w:themeColor="text1"/>
        </w:rPr>
        <w:t xml:space="preserve">long after the former FCC General Counsel’s departure </w:t>
      </w:r>
      <w:r w:rsidR="00190713" w:rsidRPr="00255D9D">
        <w:rPr>
          <w:color w:val="000000" w:themeColor="text1"/>
        </w:rPr>
        <w:t>from th</w:t>
      </w:r>
      <w:r w:rsidR="00D91E2B" w:rsidRPr="00255D9D">
        <w:rPr>
          <w:color w:val="000000" w:themeColor="text1"/>
        </w:rPr>
        <w:t xml:space="preserve">e agency in 2001, and is not a continuation of </w:t>
      </w:r>
      <w:r w:rsidR="00190713" w:rsidRPr="00255D9D">
        <w:rPr>
          <w:color w:val="000000" w:themeColor="text1"/>
        </w:rPr>
        <w:t>the 1997 rulemaking on similar policy issues</w:t>
      </w:r>
      <w:r w:rsidR="004A3C60" w:rsidRPr="00255D9D">
        <w:rPr>
          <w:color w:val="000000" w:themeColor="text1"/>
        </w:rPr>
        <w:t>, or any other FCC proceeding,</w:t>
      </w:r>
      <w:r w:rsidR="00190713" w:rsidRPr="00255D9D">
        <w:rPr>
          <w:color w:val="000000" w:themeColor="text1"/>
        </w:rPr>
        <w:t xml:space="preserve"> </w:t>
      </w:r>
      <w:r w:rsidR="00D91E2B" w:rsidRPr="00255D9D">
        <w:rPr>
          <w:color w:val="000000" w:themeColor="text1"/>
        </w:rPr>
        <w:t>that took place during his employment.</w:t>
      </w:r>
      <w:r w:rsidR="004A3C60" w:rsidRPr="00255D9D">
        <w:rPr>
          <w:color w:val="000000" w:themeColor="text1"/>
        </w:rPr>
        <w:t xml:space="preserve">  </w:t>
      </w:r>
      <w:r w:rsidR="00147F48">
        <w:t>We therefore agree with the December 14, 2012 Decision against discretionary disclosure “given the harm to the integrity of the Commission’s processes, the attorney work product, and the attorney-client relationship that would result from release of those records.”</w:t>
      </w:r>
      <w:r w:rsidR="00147F48">
        <w:rPr>
          <w:rStyle w:val="FootnoteReference"/>
        </w:rPr>
        <w:footnoteReference w:id="42"/>
      </w:r>
    </w:p>
    <w:p w:rsidR="00701FD5" w:rsidRPr="00560967" w:rsidRDefault="00365190" w:rsidP="00394710">
      <w:pPr>
        <w:pStyle w:val="ParaNum"/>
        <w:rPr>
          <w:szCs w:val="22"/>
        </w:rPr>
      </w:pPr>
      <w:r w:rsidRPr="00560967">
        <w:rPr>
          <w:szCs w:val="22"/>
        </w:rPr>
        <w:t xml:space="preserve">ACCORDINGLY, IT IS </w:t>
      </w:r>
      <w:r w:rsidR="00C03B7F" w:rsidRPr="00560967">
        <w:rPr>
          <w:szCs w:val="22"/>
        </w:rPr>
        <w:t xml:space="preserve">ORDERED that the </w:t>
      </w:r>
      <w:r w:rsidR="00A53359" w:rsidRPr="00560967">
        <w:rPr>
          <w:szCs w:val="22"/>
        </w:rPr>
        <w:t xml:space="preserve">Application for Review </w:t>
      </w:r>
      <w:r w:rsidR="00C03B7F" w:rsidRPr="00560967">
        <w:rPr>
          <w:szCs w:val="22"/>
        </w:rPr>
        <w:t xml:space="preserve">filed by </w:t>
      </w:r>
      <w:r w:rsidR="00A53359" w:rsidRPr="00560967">
        <w:rPr>
          <w:szCs w:val="22"/>
        </w:rPr>
        <w:t xml:space="preserve">OpenBand in FOIA </w:t>
      </w:r>
      <w:r w:rsidR="00E40368" w:rsidRPr="00560967">
        <w:rPr>
          <w:szCs w:val="22"/>
        </w:rPr>
        <w:t>Control No. 201</w:t>
      </w:r>
      <w:r w:rsidR="00A53359" w:rsidRPr="00560967">
        <w:rPr>
          <w:szCs w:val="22"/>
        </w:rPr>
        <w:t>3</w:t>
      </w:r>
      <w:r w:rsidR="00E40368" w:rsidRPr="00560967">
        <w:rPr>
          <w:szCs w:val="22"/>
        </w:rPr>
        <w:t>-</w:t>
      </w:r>
      <w:r w:rsidR="00A53359" w:rsidRPr="00560967">
        <w:rPr>
          <w:szCs w:val="22"/>
        </w:rPr>
        <w:t>025</w:t>
      </w:r>
      <w:r w:rsidR="00E40368" w:rsidRPr="00560967">
        <w:rPr>
          <w:szCs w:val="22"/>
        </w:rPr>
        <w:t xml:space="preserve"> </w:t>
      </w:r>
      <w:r w:rsidR="00C03B7F" w:rsidRPr="00560967">
        <w:rPr>
          <w:szCs w:val="22"/>
        </w:rPr>
        <w:t xml:space="preserve">IS DENIED.  </w:t>
      </w:r>
    </w:p>
    <w:p w:rsidR="00E568D8" w:rsidRPr="00560967" w:rsidRDefault="00E568D8" w:rsidP="0024316E">
      <w:pPr>
        <w:pStyle w:val="ParaNum"/>
        <w:spacing w:after="240"/>
        <w:rPr>
          <w:szCs w:val="22"/>
        </w:rPr>
      </w:pPr>
      <w:r w:rsidRPr="00560967">
        <w:rPr>
          <w:szCs w:val="22"/>
        </w:rPr>
        <w:t xml:space="preserve">The officials responsible for this action are the following:  </w:t>
      </w:r>
      <w:r w:rsidR="00C319C7" w:rsidRPr="00560967">
        <w:rPr>
          <w:szCs w:val="22"/>
        </w:rPr>
        <w:t xml:space="preserve">Chairman Wheeler and Commissioners Clyburn, </w:t>
      </w:r>
      <w:r w:rsidR="00FC6071" w:rsidRPr="00560967">
        <w:rPr>
          <w:szCs w:val="22"/>
        </w:rPr>
        <w:t>Rosenworcel</w:t>
      </w:r>
      <w:r w:rsidR="00C319C7" w:rsidRPr="00560967">
        <w:rPr>
          <w:szCs w:val="22"/>
        </w:rPr>
        <w:t>,</w:t>
      </w:r>
      <w:r w:rsidR="00A53359" w:rsidRPr="00560967">
        <w:rPr>
          <w:szCs w:val="22"/>
        </w:rPr>
        <w:t xml:space="preserve"> </w:t>
      </w:r>
      <w:r w:rsidR="00FC6071" w:rsidRPr="00560967">
        <w:rPr>
          <w:szCs w:val="22"/>
        </w:rPr>
        <w:t>Pai</w:t>
      </w:r>
      <w:r w:rsidR="00C319C7" w:rsidRPr="00560967">
        <w:rPr>
          <w:szCs w:val="22"/>
        </w:rPr>
        <w:t>, and O’Rielly</w:t>
      </w:r>
      <w:r w:rsidRPr="00560967">
        <w:rPr>
          <w:szCs w:val="22"/>
        </w:rPr>
        <w:t>.</w:t>
      </w:r>
    </w:p>
    <w:p w:rsidR="00E568D8" w:rsidRPr="00560967" w:rsidRDefault="00E568D8" w:rsidP="00394710">
      <w:pPr>
        <w:ind w:left="3600" w:firstLine="720"/>
        <w:rPr>
          <w:szCs w:val="22"/>
        </w:rPr>
      </w:pPr>
      <w:r w:rsidRPr="00560967">
        <w:rPr>
          <w:szCs w:val="22"/>
        </w:rPr>
        <w:t>FEDERAL COMMUNICATIONS COMMISSION</w:t>
      </w:r>
    </w:p>
    <w:p w:rsidR="00E568D8" w:rsidRPr="00560967" w:rsidRDefault="00E568D8" w:rsidP="00394710">
      <w:pPr>
        <w:ind w:left="3600" w:firstLine="720"/>
        <w:rPr>
          <w:szCs w:val="22"/>
        </w:rPr>
      </w:pPr>
    </w:p>
    <w:p w:rsidR="00E568D8" w:rsidRPr="00560967" w:rsidRDefault="00E568D8" w:rsidP="00394710">
      <w:pPr>
        <w:ind w:left="3600" w:firstLine="720"/>
        <w:rPr>
          <w:szCs w:val="22"/>
        </w:rPr>
      </w:pPr>
    </w:p>
    <w:p w:rsidR="00E568D8" w:rsidRPr="00560967" w:rsidRDefault="00E568D8" w:rsidP="00394710">
      <w:pPr>
        <w:ind w:left="3600" w:firstLine="720"/>
        <w:rPr>
          <w:szCs w:val="22"/>
        </w:rPr>
      </w:pPr>
    </w:p>
    <w:p w:rsidR="00394710" w:rsidRPr="00560967" w:rsidRDefault="00394710" w:rsidP="00394710">
      <w:pPr>
        <w:ind w:left="3600" w:firstLine="720"/>
        <w:rPr>
          <w:szCs w:val="22"/>
        </w:rPr>
      </w:pPr>
    </w:p>
    <w:p w:rsidR="00E568D8" w:rsidRPr="00560967" w:rsidRDefault="00E568D8" w:rsidP="00394710">
      <w:pPr>
        <w:ind w:left="3600" w:firstLine="720"/>
        <w:rPr>
          <w:szCs w:val="22"/>
        </w:rPr>
      </w:pPr>
      <w:r w:rsidRPr="00560967">
        <w:rPr>
          <w:szCs w:val="22"/>
        </w:rPr>
        <w:t>Marlene H. Dortch</w:t>
      </w:r>
    </w:p>
    <w:p w:rsidR="009A3D8C" w:rsidRDefault="00E568D8" w:rsidP="00394710">
      <w:pPr>
        <w:pStyle w:val="Default"/>
        <w:widowControl w:val="0"/>
        <w:ind w:left="3600" w:firstLine="720"/>
        <w:rPr>
          <w:color w:val="auto"/>
          <w:sz w:val="22"/>
          <w:szCs w:val="22"/>
        </w:rPr>
      </w:pPr>
      <w:r w:rsidRPr="00560967">
        <w:rPr>
          <w:color w:val="auto"/>
          <w:sz w:val="22"/>
          <w:szCs w:val="22"/>
        </w:rPr>
        <w:t>Secretary</w:t>
      </w:r>
    </w:p>
    <w:p w:rsidR="009A3D8C" w:rsidRPr="00781A74" w:rsidRDefault="009A3D8C" w:rsidP="009A3D8C">
      <w:pPr>
        <w:spacing w:after="240"/>
        <w:jc w:val="center"/>
        <w:rPr>
          <w:b/>
        </w:rPr>
      </w:pPr>
      <w:r>
        <w:rPr>
          <w:szCs w:val="22"/>
        </w:rPr>
        <w:br w:type="page"/>
      </w:r>
      <w:r w:rsidRPr="00781A74">
        <w:rPr>
          <w:b/>
        </w:rPr>
        <w:t>DISSENTING STATEMENT OF</w:t>
      </w:r>
      <w:r w:rsidRPr="00781A74">
        <w:rPr>
          <w:b/>
        </w:rPr>
        <w:br/>
        <w:t>COMMISSIONER AJIT PAI</w:t>
      </w:r>
    </w:p>
    <w:p w:rsidR="009A3D8C" w:rsidRPr="00781A74" w:rsidRDefault="009A3D8C" w:rsidP="009A3D8C">
      <w:pPr>
        <w:spacing w:after="120"/>
        <w:ind w:left="720" w:hanging="720"/>
      </w:pPr>
      <w:r w:rsidRPr="00781A74">
        <w:t>Re:</w:t>
      </w:r>
      <w:r w:rsidRPr="00781A74">
        <w:tab/>
      </w:r>
      <w:r w:rsidRPr="00781A74">
        <w:rPr>
          <w:i/>
        </w:rPr>
        <w:t>Greenberg Traurig, LLP, On Request for Inspection of Records</w:t>
      </w:r>
      <w:r w:rsidRPr="00781A74">
        <w:t>, FOIA Control No. 2013-25.</w:t>
      </w:r>
    </w:p>
    <w:p w:rsidR="009A3D8C" w:rsidRPr="00781A74" w:rsidRDefault="009A3D8C" w:rsidP="009A3D8C">
      <w:pPr>
        <w:spacing w:after="120"/>
        <w:ind w:firstLine="720"/>
      </w:pPr>
      <w:r w:rsidRPr="00781A74">
        <w:t>This item raises a simple question:  Is a private law firm representing a private client part of the Federal Communications Commission?  My answer is no, but the Commission disagrees.  In order to shield documents from public disclosure, today’s FCC order brings the attorneys of Wiltshire Grannis into the Commission’s ranks.  Because that conclusion is inconsistent with the text and purpose of the Freedom of Information Act (FOIA), defies common sense, and does not reflect a commitment to transparency, I must respectfully dissent.</w:t>
      </w:r>
    </w:p>
    <w:p w:rsidR="009A3D8C" w:rsidRPr="00781A74" w:rsidRDefault="009A3D8C" w:rsidP="009A3D8C">
      <w:pPr>
        <w:spacing w:after="120"/>
        <w:ind w:firstLine="720"/>
      </w:pPr>
      <w:r w:rsidRPr="00781A74">
        <w:t>This dispute involves a FOIA request for communications between attorneys at Wiltshire Grannis</w:t>
      </w:r>
      <w:r w:rsidRPr="00781A74">
        <w:rPr>
          <w:vertAlign w:val="superscript"/>
        </w:rPr>
        <w:footnoteReference w:id="43"/>
      </w:r>
      <w:r w:rsidRPr="00781A74">
        <w:t xml:space="preserve"> and those at the FCC.  And in this item, the Commission refuses to produce those communications on the ground that they are protected from public disclosure by FOIA Exemption 5.  Looking to the text of the statute, the Commission specifically claims that these documents constitute “</w:t>
      </w:r>
      <w:r w:rsidRPr="00781A74">
        <w:rPr>
          <w:i/>
        </w:rPr>
        <w:t>intra-agency</w:t>
      </w:r>
      <w:r w:rsidRPr="00781A74">
        <w:t xml:space="preserve"> memorandums or letters which would not be available by law to a party other than an agency in litigation with the agency.”</w:t>
      </w:r>
      <w:r w:rsidRPr="00781A74">
        <w:rPr>
          <w:vertAlign w:val="superscript"/>
        </w:rPr>
        <w:footnoteReference w:id="44"/>
      </w:r>
    </w:p>
    <w:p w:rsidR="009A3D8C" w:rsidRPr="00781A74" w:rsidRDefault="009A3D8C" w:rsidP="009A3D8C">
      <w:pPr>
        <w:spacing w:after="120"/>
        <w:ind w:firstLine="720"/>
      </w:pPr>
      <w:r w:rsidRPr="00781A74">
        <w:t>But are these documents really intra-agency memorandums?  Getting to the basics, “intra” means “within” or “in the interior”</w:t>
      </w:r>
      <w:r w:rsidRPr="00781A74">
        <w:rPr>
          <w:vertAlign w:val="superscript"/>
        </w:rPr>
        <w:footnoteReference w:id="45"/>
      </w:r>
      <w:r w:rsidRPr="00781A74">
        <w:t xml:space="preserve"> so intra-agency means within an agency.</w:t>
      </w:r>
      <w:r w:rsidRPr="00781A74">
        <w:rPr>
          <w:vertAlign w:val="superscript"/>
        </w:rPr>
        <w:footnoteReference w:id="46"/>
      </w:r>
      <w:r w:rsidRPr="00781A74">
        <w:t xml:space="preserve">  Thus, for communications between Wiltshire Grannis and the FCC to be intra-agency memorandums, the Commission must conclude that Wiltshire Grannis was functioning as part of the FCC.</w:t>
      </w:r>
    </w:p>
    <w:p w:rsidR="009A3D8C" w:rsidRPr="00781A74" w:rsidRDefault="009A3D8C" w:rsidP="009A3D8C">
      <w:pPr>
        <w:spacing w:after="120"/>
        <w:ind w:firstLine="720"/>
      </w:pPr>
      <w:r w:rsidRPr="00781A74">
        <w:t xml:space="preserve">For me, that is a bridge too far.  To state the obvious, Wiltshire Grannis is not a Commission Bureau or Office.  Its attorneys certainly are not compensated pursuant to the GS scale.  And when they come to lobby the Commission, its attorneys must comply with our </w:t>
      </w:r>
      <w:r w:rsidRPr="00781A74">
        <w:rPr>
          <w:i/>
        </w:rPr>
        <w:t>ex parte</w:t>
      </w:r>
      <w:r w:rsidRPr="00781A74">
        <w:t xml:space="preserve"> rules.</w:t>
      </w:r>
    </w:p>
    <w:p w:rsidR="009A3D8C" w:rsidRPr="00781A74" w:rsidRDefault="009A3D8C" w:rsidP="009A3D8C">
      <w:pPr>
        <w:spacing w:after="120"/>
        <w:ind w:firstLine="720"/>
      </w:pPr>
      <w:r w:rsidRPr="00781A74">
        <w:t xml:space="preserve">Notwithstanding these facts, the Commission suggests that Wiltshire Grannis became part of the FCC for purposes of this dispute when the FCC decided to file an </w:t>
      </w:r>
      <w:r w:rsidRPr="00781A74">
        <w:rPr>
          <w:i/>
        </w:rPr>
        <w:t>amicus</w:t>
      </w:r>
      <w:r w:rsidRPr="00781A74">
        <w:t xml:space="preserve"> brief supporting one of the firm’s clients in the U.S. Court of Appeals for the Fourth Circuit.</w:t>
      </w:r>
    </w:p>
    <w:p w:rsidR="009A3D8C" w:rsidRPr="00781A74" w:rsidRDefault="009A3D8C" w:rsidP="009A3D8C">
      <w:pPr>
        <w:spacing w:after="120"/>
        <w:ind w:firstLine="720"/>
      </w:pPr>
      <w:r w:rsidRPr="00781A74">
        <w:t xml:space="preserve">Had the Commission hired Wiltshire Grannis to represent us in court or to function as consultants, I could see the argument that the firm should be treated as a part of the FCC for FOIA purposes.  As the U.S. Supreme Court has noted in a seminal case expounding Exemption 5, “the fact about the consultant that is constant in the typical cases is that the consultant does not represent an interest of its own, </w:t>
      </w:r>
      <w:r w:rsidRPr="00781A74">
        <w:rPr>
          <w:i/>
        </w:rPr>
        <w:t>or the interest of any other client</w:t>
      </w:r>
      <w:r w:rsidRPr="00781A74">
        <w:t xml:space="preserve">, when it advises the agency that hires it.  Its </w:t>
      </w:r>
      <w:r w:rsidRPr="00781A74">
        <w:rPr>
          <w:i/>
        </w:rPr>
        <w:t>only</w:t>
      </w:r>
      <w:r w:rsidRPr="00781A74">
        <w:t xml:space="preserve"> obligations are to truth and its sense of what good judgment calls for, and in those respects the consultant functions just as an employee would be expected to do.”</w:t>
      </w:r>
      <w:r w:rsidRPr="00781A74">
        <w:rPr>
          <w:vertAlign w:val="superscript"/>
        </w:rPr>
        <w:footnoteReference w:id="47"/>
      </w:r>
      <w:r w:rsidRPr="00781A74">
        <w:t xml:space="preserve">  In such cases, the Court has indicated that “consultants may be enough like the agency’s own personnel to justify calling their communications ‘inter-agency.’”</w:t>
      </w:r>
      <w:r w:rsidRPr="00781A74">
        <w:rPr>
          <w:vertAlign w:val="superscript"/>
        </w:rPr>
        <w:footnoteReference w:id="48"/>
      </w:r>
    </w:p>
    <w:p w:rsidR="009A3D8C" w:rsidRPr="00781A74" w:rsidRDefault="009A3D8C" w:rsidP="009A3D8C">
      <w:pPr>
        <w:spacing w:after="120"/>
        <w:ind w:firstLine="720"/>
      </w:pPr>
      <w:r w:rsidRPr="00781A74">
        <w:t xml:space="preserve">That is not the case here.  Wiltshire Grannis was not hired to represent or provide advice to the FCC.  Rather, in communicating with the FCC, it was representing a private client, the Lansdowne on the Potomac Home Owners Association, Inc.  In each communication, Wiltshire Grannis had an ethical responsibility to represent its client’s interest, </w:t>
      </w:r>
      <w:r w:rsidRPr="00781A74">
        <w:rPr>
          <w:i/>
        </w:rPr>
        <w:t>not</w:t>
      </w:r>
      <w:r w:rsidRPr="00781A74">
        <w:t xml:space="preserve"> the federal government’s.</w:t>
      </w:r>
      <w:r w:rsidRPr="00781A74">
        <w:rPr>
          <w:vertAlign w:val="superscript"/>
        </w:rPr>
        <w:footnoteReference w:id="49"/>
      </w:r>
    </w:p>
    <w:p w:rsidR="009A3D8C" w:rsidRPr="00781A74" w:rsidRDefault="009A3D8C" w:rsidP="009A3D8C">
      <w:pPr>
        <w:spacing w:after="120"/>
        <w:ind w:firstLine="720"/>
      </w:pPr>
      <w:r w:rsidRPr="00781A74">
        <w:t xml:space="preserve">The Supreme Court’s </w:t>
      </w:r>
      <w:r w:rsidRPr="00781A74">
        <w:rPr>
          <w:i/>
        </w:rPr>
        <w:t>Klamath</w:t>
      </w:r>
      <w:r w:rsidRPr="00781A74">
        <w:t xml:space="preserve"> decision is squarely on point.  There, the Court rejected the argument that a Tribe’s communications with the Bureau of Reclamation were “intra-agency” memorandums protected by Exemption 5.  Critically, the Court said that the Tribe “would be pressing its own view of its own interest in its communications with the Bureau.”</w:t>
      </w:r>
      <w:r w:rsidRPr="00781A74">
        <w:rPr>
          <w:vertAlign w:val="superscript"/>
        </w:rPr>
        <w:footnoteReference w:id="50"/>
      </w:r>
      <w:r w:rsidRPr="00781A74">
        <w:t xml:space="preserve">  So too here.  In its communications with the Commission, Wiltshire Grannis was pressing its client’s interest, not the government’s.  Therefore, those communications cannot reasonably be described as “intra-agency” memorandums.</w:t>
      </w:r>
      <w:r w:rsidRPr="00781A74">
        <w:rPr>
          <w:vertAlign w:val="superscript"/>
        </w:rPr>
        <w:footnoteReference w:id="51"/>
      </w:r>
    </w:p>
    <w:p w:rsidR="009A3D8C" w:rsidRPr="00781A74" w:rsidRDefault="009A3D8C" w:rsidP="009A3D8C">
      <w:pPr>
        <w:spacing w:after="120"/>
        <w:jc w:val="center"/>
      </w:pPr>
      <w:r w:rsidRPr="00781A74">
        <w:t>* * *</w:t>
      </w:r>
    </w:p>
    <w:p w:rsidR="009A3D8C" w:rsidRPr="00781A74" w:rsidRDefault="009A3D8C" w:rsidP="009A3D8C">
      <w:pPr>
        <w:spacing w:after="120"/>
        <w:ind w:firstLine="720"/>
      </w:pPr>
      <w:r w:rsidRPr="00781A74">
        <w:t>President Obama has stated that the Freedom of Information Act “should be administered with a clear presumption:  In the face of doubt, openness prevails.”</w:t>
      </w:r>
      <w:r w:rsidRPr="00781A74">
        <w:rPr>
          <w:vertAlign w:val="superscript"/>
        </w:rPr>
        <w:footnoteReference w:id="52"/>
      </w:r>
      <w:r w:rsidRPr="00781A74">
        <w:t xml:space="preserve">  Today, the Commission falls woefully short of meeting that standard.  </w:t>
      </w:r>
    </w:p>
    <w:p w:rsidR="009A3D8C" w:rsidRPr="00781A74" w:rsidRDefault="009A3D8C" w:rsidP="009A3D8C">
      <w:pPr>
        <w:spacing w:after="120"/>
        <w:ind w:firstLine="720"/>
      </w:pPr>
      <w:r w:rsidRPr="00781A74">
        <w:t xml:space="preserve">In the meantime, all that is left to say is “welcome” to our new FCC colleagues, the attorneys of Wiltshire Grannis. </w:t>
      </w:r>
    </w:p>
    <w:p w:rsidR="009A3D8C" w:rsidRPr="00207247" w:rsidRDefault="009A3D8C" w:rsidP="009A3D8C"/>
    <w:p w:rsidR="00E568D8" w:rsidRPr="00560967" w:rsidRDefault="00E568D8" w:rsidP="00394710">
      <w:pPr>
        <w:pStyle w:val="Default"/>
        <w:widowControl w:val="0"/>
        <w:ind w:left="3600" w:firstLine="720"/>
        <w:rPr>
          <w:sz w:val="22"/>
          <w:szCs w:val="22"/>
        </w:rPr>
      </w:pPr>
    </w:p>
    <w:sectPr w:rsidR="00E568D8" w:rsidRPr="00560967" w:rsidSect="002431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33" w:rsidRDefault="00BB7433">
      <w:r>
        <w:separator/>
      </w:r>
    </w:p>
  </w:endnote>
  <w:endnote w:type="continuationSeparator" w:id="0">
    <w:p w:rsidR="00BB7433" w:rsidRDefault="00BB7433">
      <w:r>
        <w:continuationSeparator/>
      </w:r>
    </w:p>
  </w:endnote>
  <w:endnote w:type="continuationNotice" w:id="1">
    <w:p w:rsidR="00BB7433" w:rsidRDefault="00BB7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38" w:rsidRDefault="00F37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A9" w:rsidRDefault="00743FA9">
    <w:pPr>
      <w:pStyle w:val="Footer"/>
      <w:jc w:val="center"/>
    </w:pPr>
    <w:r>
      <w:rPr>
        <w:rStyle w:val="PageNumber"/>
      </w:rPr>
      <w:fldChar w:fldCharType="begin"/>
    </w:r>
    <w:r>
      <w:rPr>
        <w:rStyle w:val="PageNumber"/>
      </w:rPr>
      <w:instrText xml:space="preserve"> PAGE </w:instrText>
    </w:r>
    <w:r>
      <w:rPr>
        <w:rStyle w:val="PageNumber"/>
      </w:rPr>
      <w:fldChar w:fldCharType="separate"/>
    </w:r>
    <w:r w:rsidR="00505BC7">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38" w:rsidRDefault="00F3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33" w:rsidRDefault="00BB7433">
      <w:pPr>
        <w:rPr>
          <w:sz w:val="20"/>
        </w:rPr>
      </w:pPr>
      <w:r>
        <w:rPr>
          <w:sz w:val="20"/>
        </w:rPr>
        <w:separator/>
      </w:r>
    </w:p>
  </w:footnote>
  <w:footnote w:type="continuationSeparator" w:id="0">
    <w:p w:rsidR="00BB7433" w:rsidRDefault="00BB7433">
      <w:pPr>
        <w:rPr>
          <w:sz w:val="20"/>
        </w:rPr>
      </w:pPr>
      <w:r>
        <w:t>(Continued from previous page)-----------------------------</w:t>
      </w:r>
    </w:p>
  </w:footnote>
  <w:footnote w:type="continuationNotice" w:id="1">
    <w:p w:rsidR="00BB7433" w:rsidRDefault="00BB7433" w:rsidP="0024316E">
      <w:pPr>
        <w:jc w:val="right"/>
        <w:rPr>
          <w:sz w:val="20"/>
        </w:rPr>
      </w:pPr>
      <w:r>
        <w:rPr>
          <w:sz w:val="20"/>
        </w:rPr>
        <w:t>(continued...)</w:t>
      </w:r>
    </w:p>
  </w:footnote>
  <w:footnote w:id="2">
    <w:p w:rsidR="000623FD" w:rsidRDefault="000623FD" w:rsidP="000623FD">
      <w:pPr>
        <w:pStyle w:val="FootnoteText"/>
      </w:pPr>
      <w:r>
        <w:rPr>
          <w:rStyle w:val="FootnoteReference"/>
        </w:rPr>
        <w:footnoteRef/>
      </w:r>
      <w:r>
        <w:t xml:space="preserve"> Letter from Sanford M. Saunders, Jr., Counsel to OpenBand, Greenberg</w:t>
      </w:r>
      <w:r w:rsidR="001249CE">
        <w:t xml:space="preserve"> </w:t>
      </w:r>
      <w:r>
        <w:t xml:space="preserve">Traurig, LLP to Joel Kaufman, Associate General Counsel and Chief, Administrative Law Division, FCC (dated January 11, 2013) (AFR).  </w:t>
      </w:r>
      <w:r w:rsidR="009A5D13">
        <w:t xml:space="preserve">Wiltshire &amp; Grannis LLP, counsel to Lansdowne Home Owners Association (Lansdowne HOA or Lansdowne), filed a Reply opposing the AFR.  Letter from John Nakahata and Steven A. Fredley, Counsel to Lansdowne Home Owners Association, Wiltshire &amp; Grannis LLP (dated January 28, 2013).  </w:t>
      </w:r>
      <w:r>
        <w:t>For simplicity, in this order we refer to</w:t>
      </w:r>
      <w:r w:rsidR="00715032">
        <w:t xml:space="preserve"> </w:t>
      </w:r>
      <w:r>
        <w:t>Mr. Saunders, Greenberg</w:t>
      </w:r>
      <w:r w:rsidR="001249CE">
        <w:t xml:space="preserve"> </w:t>
      </w:r>
      <w:r>
        <w:t xml:space="preserve">Traurig, and the OpenBand companies, individually or collectively, as “OpenBand,” even though Mr. Saunders made the FOIA request and filed the AFR.  </w:t>
      </w:r>
      <w:r>
        <w:rPr>
          <w:i/>
        </w:rPr>
        <w:t xml:space="preserve">See </w:t>
      </w:r>
      <w:r>
        <w:t>47 C.F.R. § 0.461(j) (AFR may be filed only by person making the initial FOIA request)</w:t>
      </w:r>
      <w:r w:rsidR="00C8213C">
        <w:t xml:space="preserve">; </w:t>
      </w:r>
      <w:r w:rsidR="00C8213C">
        <w:rPr>
          <w:i/>
        </w:rPr>
        <w:t>see also Russell D. Lukas</w:t>
      </w:r>
      <w:r w:rsidR="00C8213C">
        <w:t>, 21 FCC Rcd 6680, 6681 &amp; nn. 17, 19 (2006)</w:t>
      </w:r>
      <w:r>
        <w:t xml:space="preserve">.  </w:t>
      </w:r>
    </w:p>
  </w:footnote>
  <w:footnote w:id="3">
    <w:p w:rsidR="00204ED4" w:rsidRDefault="00204ED4">
      <w:pPr>
        <w:pStyle w:val="FootnoteText"/>
      </w:pPr>
      <w:r>
        <w:rPr>
          <w:rStyle w:val="FootnoteReference"/>
        </w:rPr>
        <w:footnoteRef/>
      </w:r>
      <w:r>
        <w:t xml:space="preserve"> </w:t>
      </w:r>
      <w:r>
        <w:rPr>
          <w:i/>
        </w:rPr>
        <w:t xml:space="preserve">See OpenBand at Lansdowne, LLC v. Lansdowne on the Potomac Homeowners Association Inc., </w:t>
      </w:r>
      <w:r>
        <w:t>No. 12-1925, Amicus Brief for the FCC in Support of Appellee, Statement of Facts at 11.  The suit was also brought against OpenBand’s parent and affiliate companies, and the Lansdowne developer</w:t>
      </w:r>
      <w:r w:rsidR="0070353C">
        <w:t xml:space="preserve">.  </w:t>
      </w:r>
      <w:r w:rsidR="0070353C">
        <w:rPr>
          <w:i/>
        </w:rPr>
        <w:t>Id.</w:t>
      </w:r>
      <w:r w:rsidR="000624C0">
        <w:rPr>
          <w:i/>
        </w:rPr>
        <w:t xml:space="preserve">  </w:t>
      </w:r>
    </w:p>
  </w:footnote>
  <w:footnote w:id="4">
    <w:p w:rsidR="00AC79AA" w:rsidRPr="00AC79AA" w:rsidRDefault="00AC79AA">
      <w:pPr>
        <w:pStyle w:val="FootnoteText"/>
      </w:pPr>
      <w:r>
        <w:rPr>
          <w:rStyle w:val="FootnoteReference"/>
        </w:rPr>
        <w:footnoteRef/>
      </w:r>
      <w:r>
        <w:t xml:space="preserve"> </w:t>
      </w:r>
      <w:r>
        <w:rPr>
          <w:i/>
        </w:rPr>
        <w:t>Exclusive Service Contracts for Provision of Video Services in Multiple Dwelling Units and Other Real Estate Developments</w:t>
      </w:r>
      <w:r w:rsidRPr="00AC79AA">
        <w:t>, 22 FCC Rcd 20235 (2007) (</w:t>
      </w:r>
      <w:r w:rsidRPr="00AC79AA">
        <w:rPr>
          <w:i/>
        </w:rPr>
        <w:t>Exclusivity Order</w:t>
      </w:r>
      <w:r w:rsidRPr="00AC79AA">
        <w:t>).</w:t>
      </w:r>
      <w:r w:rsidR="00DE32F0">
        <w:t xml:space="preserve">  </w:t>
      </w:r>
    </w:p>
  </w:footnote>
  <w:footnote w:id="5">
    <w:p w:rsidR="00192E68" w:rsidRPr="00AD07EF" w:rsidRDefault="00192E68" w:rsidP="00192E68">
      <w:pPr>
        <w:pStyle w:val="FootnoteText"/>
      </w:pPr>
      <w:r>
        <w:rPr>
          <w:rStyle w:val="FootnoteReference"/>
        </w:rPr>
        <w:footnoteRef/>
      </w:r>
      <w:r>
        <w:t xml:space="preserve"> </w:t>
      </w:r>
      <w:r>
        <w:rPr>
          <w:i/>
        </w:rPr>
        <w:t xml:space="preserve">Lansdowne on the Potomac Homeowners Ass’n, Inc. v. OpenBand at Lansdowne, LLC, </w:t>
      </w:r>
      <w:r>
        <w:t>Not Reported in F.Supp.2d, 2012 WL 2462301 (E.D.Va. 2012).</w:t>
      </w:r>
      <w:r w:rsidR="00D27B4E">
        <w:t xml:space="preserve"> </w:t>
      </w:r>
      <w:r w:rsidR="000624C0">
        <w:rPr>
          <w:b/>
        </w:rPr>
        <w:t xml:space="preserve"> </w:t>
      </w:r>
    </w:p>
  </w:footnote>
  <w:footnote w:id="6">
    <w:p w:rsidR="00D85963" w:rsidRDefault="00D85963">
      <w:pPr>
        <w:pStyle w:val="FootnoteText"/>
      </w:pPr>
      <w:r>
        <w:rPr>
          <w:rStyle w:val="FootnoteReference"/>
        </w:rPr>
        <w:footnoteRef/>
      </w:r>
      <w:r>
        <w:t xml:space="preserve"> </w:t>
      </w:r>
      <w:r w:rsidR="002D2A06">
        <w:rPr>
          <w:i/>
        </w:rPr>
        <w:t xml:space="preserve">See </w:t>
      </w:r>
      <w:r w:rsidR="002D2A06">
        <w:t xml:space="preserve">E-mail from Christopher Wright to Sean Lev (sent August 20, 2012 </w:t>
      </w:r>
      <w:r w:rsidR="00FA595B">
        <w:t>at</w:t>
      </w:r>
      <w:r w:rsidR="008625CB">
        <w:t xml:space="preserve"> </w:t>
      </w:r>
      <w:r w:rsidR="002D2A06">
        <w:t>3:02 pm) (referring to “the Fourth Circuit cases we discussed a couple of weeks ago”)</w:t>
      </w:r>
      <w:r w:rsidR="00605DF0">
        <w:t xml:space="preserve">.  </w:t>
      </w:r>
    </w:p>
  </w:footnote>
  <w:footnote w:id="7">
    <w:p w:rsidR="007930DD" w:rsidRPr="00646513" w:rsidRDefault="007930DD" w:rsidP="007930DD">
      <w:pPr>
        <w:pStyle w:val="FootnoteText"/>
      </w:pPr>
      <w:r>
        <w:rPr>
          <w:rStyle w:val="FootnoteReference"/>
        </w:rPr>
        <w:footnoteRef/>
      </w:r>
      <w:r>
        <w:t xml:space="preserve"> </w:t>
      </w:r>
      <w:r>
        <w:rPr>
          <w:i/>
        </w:rPr>
        <w:t xml:space="preserve">See OpenBand at Lansdowne, LLC v. Lansdowne on the Potomac Homeowners Association Inc., </w:t>
      </w:r>
      <w:r>
        <w:t xml:space="preserve">No. 12-1925, Amicus Brief for the FCC in Support of Appellee, Statement of Interest at 2; </w:t>
      </w:r>
      <w:r>
        <w:rPr>
          <w:i/>
        </w:rPr>
        <w:t>Lansdowne on the Potomac Homeowners Ass’n, Inc. v. OpenBand at Lansdowne, LLC</w:t>
      </w:r>
      <w:r>
        <w:t>, 713 F.3d 187 (4</w:t>
      </w:r>
      <w:r w:rsidRPr="00646513">
        <w:rPr>
          <w:vertAlign w:val="superscript"/>
        </w:rPr>
        <w:t>th</w:t>
      </w:r>
      <w:r>
        <w:t xml:space="preserve"> Cir. 2013). </w:t>
      </w:r>
      <w:r w:rsidR="00C8213C">
        <w:t xml:space="preserve"> </w:t>
      </w:r>
    </w:p>
  </w:footnote>
  <w:footnote w:id="8">
    <w:p w:rsidR="00C06382" w:rsidRDefault="00C06382">
      <w:pPr>
        <w:pStyle w:val="FootnoteText"/>
      </w:pPr>
      <w:r>
        <w:rPr>
          <w:rStyle w:val="FootnoteReference"/>
        </w:rPr>
        <w:footnoteRef/>
      </w:r>
      <w:r>
        <w:t xml:space="preserve"> Letter from Sanford M. Saunders, Jr., Esq. to Walter Boswell, Federal Communications Commission at 1 (filed Oct. 12, 2012) (Request).</w:t>
      </w:r>
      <w:r w:rsidR="00C8213C">
        <w:t xml:space="preserve">  </w:t>
      </w:r>
    </w:p>
  </w:footnote>
  <w:footnote w:id="9">
    <w:p w:rsidR="00E74EEC" w:rsidRDefault="00E74EEC">
      <w:pPr>
        <w:pStyle w:val="FootnoteText"/>
      </w:pPr>
      <w:r>
        <w:rPr>
          <w:rStyle w:val="FootnoteReference"/>
        </w:rPr>
        <w:footnoteRef/>
      </w:r>
      <w:r>
        <w:t xml:space="preserve"> </w:t>
      </w:r>
      <w:r w:rsidR="008625CB">
        <w:rPr>
          <w:i/>
        </w:rPr>
        <w:t>See</w:t>
      </w:r>
      <w:r w:rsidR="008625CB" w:rsidRPr="008C2E6A">
        <w:rPr>
          <w:i/>
        </w:rPr>
        <w:t xml:space="preserve"> </w:t>
      </w:r>
      <w:r w:rsidR="007D713B">
        <w:t xml:space="preserve">Letter from Joel Kaufman, Associate General Counsel and Chief, Administrative Law Division, FCC </w:t>
      </w:r>
      <w:r w:rsidR="007D713B" w:rsidRPr="00C8213C">
        <w:t>to Sanford M. Saunders, Jr.</w:t>
      </w:r>
      <w:r w:rsidR="007D713B">
        <w:t xml:space="preserve"> </w:t>
      </w:r>
      <w:r w:rsidR="008625CB">
        <w:t xml:space="preserve">at 2 </w:t>
      </w:r>
      <w:r w:rsidR="007D713B">
        <w:t>(dated December 14, 2012) (December 14, 2012 Response</w:t>
      </w:r>
      <w:r w:rsidR="008625CB">
        <w:t xml:space="preserve">). </w:t>
      </w:r>
      <w:r w:rsidR="007D713B" w:rsidRPr="008C2E6A">
        <w:rPr>
          <w:i/>
        </w:rPr>
        <w:t xml:space="preserve"> </w:t>
      </w:r>
      <w:r w:rsidR="008907AA">
        <w:t xml:space="preserve">The </w:t>
      </w:r>
      <w:r w:rsidR="002D2A06">
        <w:t>released</w:t>
      </w:r>
      <w:r w:rsidR="00FC3407">
        <w:t xml:space="preserve"> documents indicate that the decision to intervene was made sometime after mid-September 2012.  </w:t>
      </w:r>
    </w:p>
  </w:footnote>
  <w:footnote w:id="10">
    <w:p w:rsidR="00B84E56" w:rsidRPr="00BD0570" w:rsidRDefault="00B84E56">
      <w:pPr>
        <w:pStyle w:val="FootnoteText"/>
      </w:pPr>
      <w:r>
        <w:rPr>
          <w:rStyle w:val="FootnoteReference"/>
        </w:rPr>
        <w:footnoteRef/>
      </w:r>
      <w:r>
        <w:t xml:space="preserve"> </w:t>
      </w:r>
      <w:r>
        <w:rPr>
          <w:i/>
        </w:rPr>
        <w:t>See</w:t>
      </w:r>
      <w:r w:rsidR="00926459">
        <w:rPr>
          <w:i/>
        </w:rPr>
        <w:t xml:space="preserve"> id.  </w:t>
      </w:r>
    </w:p>
  </w:footnote>
  <w:footnote w:id="11">
    <w:p w:rsidR="00B84E56" w:rsidRDefault="00B84E56">
      <w:pPr>
        <w:pStyle w:val="FootnoteText"/>
      </w:pPr>
      <w:r>
        <w:rPr>
          <w:rStyle w:val="FootnoteReference"/>
        </w:rPr>
        <w:footnoteRef/>
      </w:r>
      <w:r>
        <w:t xml:space="preserve"> </w:t>
      </w:r>
      <w:r>
        <w:rPr>
          <w:i/>
        </w:rPr>
        <w:t xml:space="preserve">See </w:t>
      </w:r>
      <w:r w:rsidR="00926459">
        <w:rPr>
          <w:i/>
        </w:rPr>
        <w:t>id.</w:t>
      </w:r>
      <w:r w:rsidR="00C8213C">
        <w:t xml:space="preserve">  </w:t>
      </w:r>
    </w:p>
  </w:footnote>
  <w:footnote w:id="12">
    <w:p w:rsidR="00837CAA" w:rsidRDefault="00837CAA">
      <w:pPr>
        <w:pStyle w:val="FootnoteText"/>
      </w:pPr>
      <w:r>
        <w:rPr>
          <w:rStyle w:val="FootnoteReference"/>
        </w:rPr>
        <w:footnoteRef/>
      </w:r>
      <w:r>
        <w:t xml:space="preserve"> AFR at 1.</w:t>
      </w:r>
      <w:r w:rsidR="00C8213C">
        <w:t xml:space="preserve">  </w:t>
      </w:r>
    </w:p>
  </w:footnote>
  <w:footnote w:id="13">
    <w:p w:rsidR="00837CAA" w:rsidRDefault="00837CAA">
      <w:pPr>
        <w:pStyle w:val="FootnoteText"/>
      </w:pPr>
      <w:r>
        <w:rPr>
          <w:rStyle w:val="FootnoteReference"/>
        </w:rPr>
        <w:footnoteRef/>
      </w:r>
      <w:r w:rsidR="00926459">
        <w:t xml:space="preserve"> </w:t>
      </w:r>
      <w:r w:rsidR="00926459">
        <w:rPr>
          <w:i/>
        </w:rPr>
        <w:t>Id.</w:t>
      </w:r>
      <w:r>
        <w:t xml:space="preserve"> at 2-3.</w:t>
      </w:r>
      <w:r w:rsidR="00C8213C">
        <w:t xml:space="preserve">  </w:t>
      </w:r>
    </w:p>
  </w:footnote>
  <w:footnote w:id="14">
    <w:p w:rsidR="00837CAA" w:rsidRDefault="00837CAA">
      <w:pPr>
        <w:pStyle w:val="FootnoteText"/>
      </w:pPr>
      <w:r>
        <w:rPr>
          <w:rStyle w:val="FootnoteReference"/>
        </w:rPr>
        <w:footnoteRef/>
      </w:r>
      <w:r>
        <w:t xml:space="preserve"> AFR at 3-4.</w:t>
      </w:r>
      <w:r w:rsidR="00C8213C">
        <w:t xml:space="preserve">  </w:t>
      </w:r>
    </w:p>
  </w:footnote>
  <w:footnote w:id="15">
    <w:p w:rsidR="00B775F6" w:rsidRDefault="00B775F6">
      <w:pPr>
        <w:pStyle w:val="FootnoteText"/>
      </w:pPr>
      <w:r>
        <w:rPr>
          <w:rStyle w:val="FootnoteReference"/>
        </w:rPr>
        <w:footnoteRef/>
      </w:r>
      <w:r>
        <w:t xml:space="preserve"> Letter from Joel Kaufman, Associate General Counsel and Chief, Administrative Law Division to Sanford M. Saunders, Jr. (dated Jan. 31, 2013) (January 31, 2013 </w:t>
      </w:r>
      <w:r w:rsidR="00867E9F">
        <w:t>Supplemental Response</w:t>
      </w:r>
      <w:r>
        <w:t>).</w:t>
      </w:r>
      <w:r w:rsidR="00C8213C">
        <w:t xml:space="preserve">  </w:t>
      </w:r>
    </w:p>
  </w:footnote>
  <w:footnote w:id="16">
    <w:p w:rsidR="00B775F6" w:rsidRDefault="00B775F6">
      <w:pPr>
        <w:pStyle w:val="FootnoteText"/>
      </w:pPr>
      <w:r>
        <w:rPr>
          <w:rStyle w:val="FootnoteReference"/>
        </w:rPr>
        <w:footnoteRef/>
      </w:r>
      <w:r>
        <w:t xml:space="preserve"> </w:t>
      </w:r>
      <w:r>
        <w:rPr>
          <w:i/>
        </w:rPr>
        <w:t>See Lansdowne on the Potomac Homeowners Ass’n, Inc. v. OpenBand at Lansdowne, LLC</w:t>
      </w:r>
      <w:r>
        <w:t>, 713 F.3d 187, 195 (4</w:t>
      </w:r>
      <w:r w:rsidRPr="00646513">
        <w:rPr>
          <w:vertAlign w:val="superscript"/>
        </w:rPr>
        <w:t>th</w:t>
      </w:r>
      <w:r>
        <w:t xml:space="preserve"> Cir. 2013).</w:t>
      </w:r>
      <w:r w:rsidR="00DE32F0">
        <w:t xml:space="preserve">  </w:t>
      </w:r>
    </w:p>
  </w:footnote>
  <w:footnote w:id="17">
    <w:p w:rsidR="001F684E" w:rsidRPr="001F684E" w:rsidRDefault="001F684E">
      <w:pPr>
        <w:pStyle w:val="FootnoteText"/>
      </w:pPr>
      <w:r>
        <w:rPr>
          <w:rStyle w:val="FootnoteReference"/>
        </w:rPr>
        <w:footnoteRef/>
      </w:r>
      <w:r>
        <w:t xml:space="preserve"> </w:t>
      </w:r>
      <w:r>
        <w:rPr>
          <w:i/>
        </w:rPr>
        <w:t xml:space="preserve">See </w:t>
      </w:r>
      <w:r>
        <w:t>AFR at 1.</w:t>
      </w:r>
      <w:r w:rsidR="00DE32F0">
        <w:t xml:space="preserve">  </w:t>
      </w:r>
    </w:p>
  </w:footnote>
  <w:footnote w:id="18">
    <w:p w:rsidR="001F684E" w:rsidRDefault="001F684E">
      <w:pPr>
        <w:pStyle w:val="FootnoteText"/>
      </w:pPr>
      <w:r>
        <w:rPr>
          <w:rStyle w:val="FootnoteReference"/>
        </w:rPr>
        <w:footnoteRef/>
      </w:r>
      <w:r>
        <w:t xml:space="preserve"> </w:t>
      </w:r>
      <w:r>
        <w:rPr>
          <w:i/>
        </w:rPr>
        <w:t xml:space="preserve">See, e.g., In the Matter of Percy Squire, </w:t>
      </w:r>
      <w:r>
        <w:t xml:space="preserve">26 FCC Rcd 14930, 14933 (2011) (“a connection to civil litigation neither increases nor decreases the requester’s rights” under FOIA); </w:t>
      </w:r>
      <w:r>
        <w:rPr>
          <w:i/>
        </w:rPr>
        <w:t xml:space="preserve">Cooper Cameron Corp. v. U.S. Dep’t of Labor, Occupational Safety and Health Admin., </w:t>
      </w:r>
      <w:r>
        <w:t>280 F.3d 539, 547 (5</w:t>
      </w:r>
      <w:r w:rsidRPr="0031363D">
        <w:rPr>
          <w:vertAlign w:val="superscript"/>
        </w:rPr>
        <w:t>th</w:t>
      </w:r>
      <w:r>
        <w:t xml:space="preserve"> Cir. 2002) (the “specific motives of the party making the FOIA request are irrelevant” and the rights of a potential litigant making a FOIA request are no different than the rights of any other third party).</w:t>
      </w:r>
      <w:r w:rsidR="00DE32F0">
        <w:t xml:space="preserve">  </w:t>
      </w:r>
    </w:p>
  </w:footnote>
  <w:footnote w:id="19">
    <w:p w:rsidR="001F684E" w:rsidRPr="00BC3B5E" w:rsidRDefault="001F684E" w:rsidP="001F684E">
      <w:pPr>
        <w:pStyle w:val="FootnoteText"/>
      </w:pPr>
      <w:r>
        <w:rPr>
          <w:rStyle w:val="FootnoteReference"/>
        </w:rPr>
        <w:footnoteRef/>
      </w:r>
      <w:r>
        <w:t xml:space="preserve"> </w:t>
      </w:r>
      <w:r>
        <w:rPr>
          <w:i/>
        </w:rPr>
        <w:t xml:space="preserve">See </w:t>
      </w:r>
      <w:r>
        <w:t xml:space="preserve">December 14, 2012 Response at 1, January 31, 2013 Supplemental Response at 1.  </w:t>
      </w:r>
    </w:p>
  </w:footnote>
  <w:footnote w:id="20">
    <w:p w:rsidR="00DA124B" w:rsidRDefault="00DA124B" w:rsidP="00DA124B">
      <w:pPr>
        <w:pStyle w:val="FootnoteText"/>
      </w:pPr>
      <w:r>
        <w:rPr>
          <w:rStyle w:val="FootnoteReference"/>
        </w:rPr>
        <w:footnoteRef/>
      </w:r>
      <w:r>
        <w:t xml:space="preserve"> Indeed, after receiving the documents, OpenBand did not file an AFR or make any other attempt to demonstrate to the Commission how the timing of the January 31, 2013 Supplemental Response caused OpenBand any actual harm or prejudice.  </w:t>
      </w:r>
    </w:p>
  </w:footnote>
  <w:footnote w:id="21">
    <w:p w:rsidR="007C15D5" w:rsidRPr="007C15D5" w:rsidRDefault="007C15D5">
      <w:pPr>
        <w:pStyle w:val="FootnoteText"/>
      </w:pPr>
      <w:r>
        <w:rPr>
          <w:rStyle w:val="FootnoteReference"/>
        </w:rPr>
        <w:footnoteRef/>
      </w:r>
      <w:r>
        <w:t xml:space="preserve"> 5 U.S.C. § 552(b)(5)</w:t>
      </w:r>
      <w:r w:rsidR="00FB779D">
        <w:t>.</w:t>
      </w:r>
    </w:p>
  </w:footnote>
  <w:footnote w:id="22">
    <w:p w:rsidR="000D0C76" w:rsidRPr="000D0C76" w:rsidRDefault="000D0C76">
      <w:pPr>
        <w:pStyle w:val="FootnoteText"/>
      </w:pPr>
      <w:r>
        <w:rPr>
          <w:rStyle w:val="FootnoteReference"/>
        </w:rPr>
        <w:footnoteRef/>
      </w:r>
      <w:r>
        <w:t xml:space="preserve"> </w:t>
      </w:r>
      <w:r>
        <w:rPr>
          <w:i/>
        </w:rPr>
        <w:t>See</w:t>
      </w:r>
      <w:r w:rsidR="00926459">
        <w:rPr>
          <w:i/>
        </w:rPr>
        <w:t xml:space="preserve"> id.</w:t>
      </w:r>
      <w:r w:rsidR="00961919">
        <w:t>,</w:t>
      </w:r>
      <w:r w:rsidR="00FB779D">
        <w:t xml:space="preserve"> </w:t>
      </w:r>
      <w:r>
        <w:rPr>
          <w:i/>
        </w:rPr>
        <w:t xml:space="preserve">Dept. of Interior v. Klamath Water Users, </w:t>
      </w:r>
      <w:r w:rsidR="007B0D66">
        <w:t>532 U.S. 1, 8</w:t>
      </w:r>
      <w:r>
        <w:t xml:space="preserve"> (2001).</w:t>
      </w:r>
      <w:r w:rsidR="00DE32F0">
        <w:t xml:space="preserve">  </w:t>
      </w:r>
    </w:p>
  </w:footnote>
  <w:footnote w:id="23">
    <w:p w:rsidR="00D22174" w:rsidRDefault="00D22174">
      <w:pPr>
        <w:pStyle w:val="FootnoteText"/>
      </w:pPr>
      <w:r>
        <w:rPr>
          <w:rStyle w:val="FootnoteReference"/>
        </w:rPr>
        <w:footnoteRef/>
      </w:r>
      <w:r>
        <w:t xml:space="preserve"> </w:t>
      </w:r>
      <w:r>
        <w:rPr>
          <w:i/>
        </w:rPr>
        <w:t xml:space="preserve">See </w:t>
      </w:r>
      <w:r w:rsidR="00926459">
        <w:rPr>
          <w:i/>
        </w:rPr>
        <w:t>id.</w:t>
      </w:r>
      <w:r w:rsidR="00961919">
        <w:t>,</w:t>
      </w:r>
      <w:r w:rsidR="00445A06">
        <w:t xml:space="preserve"> </w:t>
      </w:r>
      <w:r w:rsidR="00445A06">
        <w:rPr>
          <w:i/>
        </w:rPr>
        <w:t xml:space="preserve">Hunton &amp; Williams v. U.S. Dept. of Justice, </w:t>
      </w:r>
      <w:r w:rsidR="00445A06">
        <w:t>590 F.3d 272, 276 (4</w:t>
      </w:r>
      <w:r w:rsidR="00445A06" w:rsidRPr="00267D11">
        <w:rPr>
          <w:vertAlign w:val="superscript"/>
        </w:rPr>
        <w:t>th</w:t>
      </w:r>
      <w:r w:rsidR="00445A06">
        <w:t xml:space="preserve"> Cir. 2010)</w:t>
      </w:r>
      <w:r>
        <w:t>.</w:t>
      </w:r>
      <w:r w:rsidR="00DE32F0">
        <w:t xml:space="preserve">  </w:t>
      </w:r>
    </w:p>
  </w:footnote>
  <w:footnote w:id="24">
    <w:p w:rsidR="009F4135" w:rsidRDefault="009F4135">
      <w:pPr>
        <w:pStyle w:val="FootnoteText"/>
      </w:pPr>
      <w:r>
        <w:rPr>
          <w:rStyle w:val="FootnoteReference"/>
        </w:rPr>
        <w:footnoteRef/>
      </w:r>
      <w:r>
        <w:t xml:space="preserve"> </w:t>
      </w:r>
      <w:r>
        <w:rPr>
          <w:i/>
        </w:rPr>
        <w:t xml:space="preserve">Hunton &amp; Williams v. U.S. Dept. of Justice, </w:t>
      </w:r>
      <w:r>
        <w:t>590 F.3d 272, 276 (4</w:t>
      </w:r>
      <w:r w:rsidRPr="00267D11">
        <w:rPr>
          <w:vertAlign w:val="superscript"/>
        </w:rPr>
        <w:t>th</w:t>
      </w:r>
      <w:r>
        <w:t xml:space="preserve"> Cir. 2010).</w:t>
      </w:r>
      <w:r w:rsidR="00DE32F0">
        <w:t xml:space="preserve">  </w:t>
      </w:r>
    </w:p>
  </w:footnote>
  <w:footnote w:id="25">
    <w:p w:rsidR="00D76A6E" w:rsidRDefault="00D76A6E">
      <w:pPr>
        <w:pStyle w:val="FootnoteText"/>
      </w:pPr>
      <w:r>
        <w:rPr>
          <w:rStyle w:val="FootnoteReference"/>
        </w:rPr>
        <w:footnoteRef/>
      </w:r>
      <w:r>
        <w:t xml:space="preserve"> </w:t>
      </w:r>
      <w:r w:rsidR="00926459">
        <w:rPr>
          <w:i/>
        </w:rPr>
        <w:t>Id.</w:t>
      </w:r>
      <w:r w:rsidR="00DE32F0">
        <w:rPr>
          <w:i/>
        </w:rPr>
        <w:t xml:space="preserve">  </w:t>
      </w:r>
    </w:p>
  </w:footnote>
  <w:footnote w:id="26">
    <w:p w:rsidR="00445A06" w:rsidRPr="00445A06" w:rsidRDefault="00445A06">
      <w:pPr>
        <w:pStyle w:val="FootnoteText"/>
      </w:pPr>
      <w:r>
        <w:rPr>
          <w:rStyle w:val="FootnoteReference"/>
        </w:rPr>
        <w:footnoteRef/>
      </w:r>
      <w:r>
        <w:t xml:space="preserve"> </w:t>
      </w:r>
      <w:r>
        <w:rPr>
          <w:i/>
        </w:rPr>
        <w:t>See</w:t>
      </w:r>
      <w:r w:rsidR="00926459">
        <w:rPr>
          <w:i/>
        </w:rPr>
        <w:t xml:space="preserve"> id. </w:t>
      </w:r>
      <w:r w:rsidR="00926459">
        <w:t xml:space="preserve">at </w:t>
      </w:r>
      <w:r>
        <w:t>27</w:t>
      </w:r>
      <w:r w:rsidR="00645794">
        <w:t>7</w:t>
      </w:r>
      <w:r>
        <w:t>.</w:t>
      </w:r>
    </w:p>
  </w:footnote>
  <w:footnote w:id="27">
    <w:p w:rsidR="00645794" w:rsidRPr="00645794" w:rsidRDefault="00645794">
      <w:pPr>
        <w:pStyle w:val="FootnoteText"/>
      </w:pPr>
      <w:r>
        <w:rPr>
          <w:rStyle w:val="FootnoteReference"/>
        </w:rPr>
        <w:footnoteRef/>
      </w:r>
      <w:r>
        <w:t xml:space="preserve"> </w:t>
      </w:r>
      <w:r>
        <w:rPr>
          <w:i/>
        </w:rPr>
        <w:t xml:space="preserve">See </w:t>
      </w:r>
      <w:r w:rsidR="00926459">
        <w:rPr>
          <w:i/>
        </w:rPr>
        <w:t xml:space="preserve">id. </w:t>
      </w:r>
      <w:r w:rsidR="00926459">
        <w:t xml:space="preserve">at </w:t>
      </w:r>
      <w:r>
        <w:t>274.</w:t>
      </w:r>
    </w:p>
  </w:footnote>
  <w:footnote w:id="28">
    <w:p w:rsidR="00645794" w:rsidRPr="00926200" w:rsidRDefault="00645794">
      <w:pPr>
        <w:pStyle w:val="FootnoteText"/>
        <w:rPr>
          <w:b/>
        </w:rPr>
      </w:pPr>
      <w:r>
        <w:rPr>
          <w:rStyle w:val="FootnoteReference"/>
        </w:rPr>
        <w:footnoteRef/>
      </w:r>
      <w:r>
        <w:t xml:space="preserve"> </w:t>
      </w:r>
      <w:r>
        <w:rPr>
          <w:i/>
        </w:rPr>
        <w:t xml:space="preserve">See </w:t>
      </w:r>
      <w:r w:rsidR="00926459">
        <w:rPr>
          <w:i/>
        </w:rPr>
        <w:t xml:space="preserve">id. </w:t>
      </w:r>
      <w:r w:rsidR="00926459">
        <w:t xml:space="preserve">at </w:t>
      </w:r>
      <w:r>
        <w:t>2</w:t>
      </w:r>
      <w:r w:rsidR="001912E2">
        <w:t>85</w:t>
      </w:r>
      <w:r w:rsidR="003836F6">
        <w:t xml:space="preserve">; </w:t>
      </w:r>
      <w:r w:rsidR="003836F6">
        <w:rPr>
          <w:i/>
        </w:rPr>
        <w:t>see also</w:t>
      </w:r>
      <w:r w:rsidR="001912E2">
        <w:t xml:space="preserve"> </w:t>
      </w:r>
      <w:r w:rsidR="001912E2">
        <w:rPr>
          <w:i/>
        </w:rPr>
        <w:t>American Management Services, LLC, v. Dept. of the Army</w:t>
      </w:r>
      <w:r w:rsidR="001912E2">
        <w:t>, 703 F.3d 724, 733-34 (4</w:t>
      </w:r>
      <w:r w:rsidR="001912E2" w:rsidRPr="00B17664">
        <w:rPr>
          <w:vertAlign w:val="superscript"/>
        </w:rPr>
        <w:t>th</w:t>
      </w:r>
      <w:r w:rsidR="001912E2">
        <w:t xml:space="preserve"> Cir. 2013)</w:t>
      </w:r>
      <w:r>
        <w:t>.</w:t>
      </w:r>
      <w:r w:rsidR="00926459">
        <w:t xml:space="preserve">  </w:t>
      </w:r>
    </w:p>
  </w:footnote>
  <w:footnote w:id="29">
    <w:p w:rsidR="00917DFA" w:rsidRDefault="00917DFA">
      <w:pPr>
        <w:pStyle w:val="FootnoteText"/>
      </w:pPr>
      <w:r>
        <w:rPr>
          <w:rStyle w:val="FootnoteReference"/>
        </w:rPr>
        <w:footnoteRef/>
      </w:r>
      <w:r>
        <w:t xml:space="preserve"> </w:t>
      </w:r>
      <w:r w:rsidR="00867E9F">
        <w:t xml:space="preserve">December 14, 2012 </w:t>
      </w:r>
      <w:r>
        <w:t>Response at 2.</w:t>
      </w:r>
    </w:p>
  </w:footnote>
  <w:footnote w:id="30">
    <w:p w:rsidR="0056499B" w:rsidRDefault="0056499B">
      <w:pPr>
        <w:pStyle w:val="FootnoteText"/>
      </w:pPr>
      <w:r>
        <w:rPr>
          <w:rStyle w:val="FootnoteReference"/>
        </w:rPr>
        <w:footnoteRef/>
      </w:r>
      <w:r>
        <w:t xml:space="preserve"> AFR at 2.</w:t>
      </w:r>
    </w:p>
  </w:footnote>
  <w:footnote w:id="31">
    <w:p w:rsidR="0038416E" w:rsidRDefault="0038416E">
      <w:pPr>
        <w:pStyle w:val="FootnoteText"/>
      </w:pPr>
      <w:r>
        <w:rPr>
          <w:rStyle w:val="FootnoteReference"/>
        </w:rPr>
        <w:footnoteRef/>
      </w:r>
      <w:r>
        <w:t xml:space="preserve"> </w:t>
      </w:r>
      <w:r>
        <w:rPr>
          <w:i/>
        </w:rPr>
        <w:t xml:space="preserve">See </w:t>
      </w:r>
      <w:r>
        <w:t xml:space="preserve">January 31, 2013 </w:t>
      </w:r>
      <w:r w:rsidR="00867E9F">
        <w:t>Supplemental Response</w:t>
      </w:r>
      <w:r>
        <w:t>.</w:t>
      </w:r>
    </w:p>
  </w:footnote>
  <w:footnote w:id="32">
    <w:p w:rsidR="0059630F" w:rsidRPr="009B153E" w:rsidRDefault="0059630F" w:rsidP="0059630F">
      <w:pPr>
        <w:pStyle w:val="FootnoteText"/>
      </w:pPr>
      <w:r>
        <w:rPr>
          <w:rStyle w:val="FootnoteReference"/>
        </w:rPr>
        <w:footnoteRef/>
      </w:r>
      <w:r>
        <w:t xml:space="preserve"> </w:t>
      </w:r>
      <w:r>
        <w:rPr>
          <w:i/>
        </w:rPr>
        <w:t xml:space="preserve">Klamath, </w:t>
      </w:r>
      <w:r w:rsidR="007B0D66">
        <w:t>532 U.S. 1, 12</w:t>
      </w:r>
      <w:r>
        <w:t>.</w:t>
      </w:r>
    </w:p>
  </w:footnote>
  <w:footnote w:id="33">
    <w:p w:rsidR="00D16083" w:rsidRDefault="00D16083">
      <w:pPr>
        <w:pStyle w:val="FootnoteText"/>
      </w:pPr>
      <w:r>
        <w:rPr>
          <w:rStyle w:val="FootnoteReference"/>
        </w:rPr>
        <w:footnoteRef/>
      </w:r>
      <w:r>
        <w:t xml:space="preserve"> </w:t>
      </w:r>
      <w:r>
        <w:rPr>
          <w:i/>
        </w:rPr>
        <w:t xml:space="preserve">See Hunton, </w:t>
      </w:r>
      <w:r>
        <w:t>590 F.3d 272, 279.</w:t>
      </w:r>
    </w:p>
  </w:footnote>
  <w:footnote w:id="34">
    <w:p w:rsidR="002F5186" w:rsidRDefault="002F5186" w:rsidP="002F5186">
      <w:pPr>
        <w:pStyle w:val="FootnoteText"/>
      </w:pPr>
      <w:r>
        <w:rPr>
          <w:rStyle w:val="FootnoteReference"/>
        </w:rPr>
        <w:footnoteRef/>
      </w:r>
      <w:r>
        <w:t xml:space="preserve"> </w:t>
      </w:r>
      <w:r w:rsidR="00926459">
        <w:rPr>
          <w:i/>
        </w:rPr>
        <w:t>Id.</w:t>
      </w:r>
    </w:p>
  </w:footnote>
  <w:footnote w:id="35">
    <w:p w:rsidR="00BE6D7E" w:rsidRPr="00BE6D7E" w:rsidRDefault="00BE6D7E">
      <w:pPr>
        <w:pStyle w:val="FootnoteText"/>
      </w:pPr>
      <w:r>
        <w:rPr>
          <w:rStyle w:val="FootnoteReference"/>
        </w:rPr>
        <w:footnoteRef/>
      </w:r>
      <w:r>
        <w:t xml:space="preserve"> </w:t>
      </w:r>
      <w:r>
        <w:rPr>
          <w:i/>
        </w:rPr>
        <w:t xml:space="preserve">See Klamath, </w:t>
      </w:r>
      <w:r w:rsidR="007B0D66">
        <w:t>532 U.S. at 8</w:t>
      </w:r>
      <w:r>
        <w:t>.</w:t>
      </w:r>
    </w:p>
  </w:footnote>
  <w:footnote w:id="36">
    <w:p w:rsidR="000547A6" w:rsidRPr="00141111" w:rsidRDefault="000547A6" w:rsidP="000547A6">
      <w:pPr>
        <w:pStyle w:val="FootnoteText"/>
      </w:pPr>
      <w:r>
        <w:rPr>
          <w:rStyle w:val="FootnoteReference"/>
        </w:rPr>
        <w:footnoteRef/>
      </w:r>
      <w:r>
        <w:t xml:space="preserve"> </w:t>
      </w:r>
      <w:r>
        <w:rPr>
          <w:i/>
        </w:rPr>
        <w:t>See, e.g., Hanson v. AID</w:t>
      </w:r>
      <w:r>
        <w:t>, 372 F.3d 286, 292 (4</w:t>
      </w:r>
      <w:r w:rsidRPr="00773DB1">
        <w:rPr>
          <w:vertAlign w:val="superscript"/>
        </w:rPr>
        <w:t>th</w:t>
      </w:r>
      <w:r>
        <w:t xml:space="preserve"> Cir. 2004) (applying Exemption 5 to report submitted by private consultant to USAID based on finding that attorney-client relationship existed between the two)</w:t>
      </w:r>
      <w:r w:rsidR="00961919">
        <w:t>,</w:t>
      </w:r>
      <w:r>
        <w:t xml:space="preserve"> </w:t>
      </w:r>
      <w:r>
        <w:rPr>
          <w:i/>
        </w:rPr>
        <w:t xml:space="preserve">Cavallaro v. U.S., </w:t>
      </w:r>
      <w:r>
        <w:t>284 F.3d 236, 249-50 (1</w:t>
      </w:r>
      <w:r w:rsidRPr="00773DB1">
        <w:rPr>
          <w:vertAlign w:val="superscript"/>
        </w:rPr>
        <w:t>st</w:t>
      </w:r>
      <w:r>
        <w:t xml:space="preserve"> Cir. 2002)</w:t>
      </w:r>
      <w:r w:rsidR="00101FB5">
        <w:t xml:space="preserve"> (</w:t>
      </w:r>
      <w:r w:rsidR="00645476">
        <w:t xml:space="preserve">recognizing </w:t>
      </w:r>
      <w:r w:rsidR="00645476" w:rsidRPr="00645476">
        <w:t>an exception to the general rule that the attorney-client privilege is waived when privileged information is disclosed to a third party</w:t>
      </w:r>
      <w:r w:rsidR="00645476">
        <w:t xml:space="preserve">, whether </w:t>
      </w:r>
      <w:r w:rsidR="001F7BC6">
        <w:t xml:space="preserve">that </w:t>
      </w:r>
      <w:r w:rsidR="00645476">
        <w:t>exception is termed “common interest,” “joint defense,” or otherwise)</w:t>
      </w:r>
      <w:r w:rsidR="00961919">
        <w:t>,</w:t>
      </w:r>
      <w:r>
        <w:t xml:space="preserve"> </w:t>
      </w:r>
      <w:r>
        <w:rPr>
          <w:i/>
        </w:rPr>
        <w:t xml:space="preserve">Fox News Network, LLC, v. U.S. Dept. of the Treasury, </w:t>
      </w:r>
      <w:r>
        <w:t xml:space="preserve">739 F.Supp.2d 515, 563 (S.D.N.Y. 2010) (attorney-client privilege between New York Federal Reserve Bank, a non-agency, and private law firm, not waived where third party, a Treasury attorney, is copied on privileged communications, because of common legal interests between NYFRB and Treasury).  In addition, the attorney work product privilege is also applicable to the FCC-Lansdowne communications at issue, </w:t>
      </w:r>
      <w:r>
        <w:rPr>
          <w:i/>
        </w:rPr>
        <w:t>see Strang v. Collyer</w:t>
      </w:r>
      <w:r>
        <w:t xml:space="preserve">, 710 F.Supp. 9, 12-13 (D.D.C. 1989) (attorney work product privilege of Exemption 5 applies to applies to materials generated in preparation of an </w:t>
      </w:r>
      <w:r>
        <w:rPr>
          <w:i/>
        </w:rPr>
        <w:t xml:space="preserve">amicus </w:t>
      </w:r>
      <w:r>
        <w:t xml:space="preserve">brief), </w:t>
      </w:r>
      <w:r>
        <w:rPr>
          <w:i/>
        </w:rPr>
        <w:t>aff’d sub nom. Strang v. DeSio</w:t>
      </w:r>
      <w:r>
        <w:t xml:space="preserve">, 899 F.2d 1268 (D.C. Cir. 1990).  </w:t>
      </w:r>
    </w:p>
  </w:footnote>
  <w:footnote w:id="37">
    <w:p w:rsidR="00C319C7" w:rsidRPr="00C319C7" w:rsidRDefault="00C319C7">
      <w:pPr>
        <w:pStyle w:val="FootnoteText"/>
      </w:pPr>
      <w:r>
        <w:rPr>
          <w:rStyle w:val="FootnoteReference"/>
        </w:rPr>
        <w:footnoteRef/>
      </w:r>
      <w:r>
        <w:t xml:space="preserve"> AFR at </w:t>
      </w:r>
      <w:r w:rsidR="00A92BB4">
        <w:t>2-3.</w:t>
      </w:r>
    </w:p>
  </w:footnote>
  <w:footnote w:id="38">
    <w:p w:rsidR="00BA431B" w:rsidRPr="00DF6355" w:rsidRDefault="00BA431B" w:rsidP="00BA431B">
      <w:pPr>
        <w:pStyle w:val="FootnoteText"/>
      </w:pPr>
      <w:r>
        <w:rPr>
          <w:rStyle w:val="FootnoteReference"/>
        </w:rPr>
        <w:footnoteRef/>
      </w:r>
      <w:r>
        <w:t xml:space="preserve"> </w:t>
      </w:r>
      <w:r w:rsidR="004518A7">
        <w:rPr>
          <w:i/>
        </w:rPr>
        <w:t>Lansdowne on the Potomac Homeowners Ass’n, Inc. v. OpenBand at Lansdowne, LLC</w:t>
      </w:r>
      <w:r w:rsidR="004518A7">
        <w:t>,</w:t>
      </w:r>
      <w:r w:rsidRPr="00BA431B">
        <w:rPr>
          <w:i/>
          <w:iCs/>
        </w:rPr>
        <w:t xml:space="preserve"> </w:t>
      </w:r>
      <w:r w:rsidRPr="00BA431B">
        <w:t>Not Reported in F.Supp.2d, 2012 WL 2462301</w:t>
      </w:r>
      <w:r>
        <w:t xml:space="preserve"> </w:t>
      </w:r>
      <w:r w:rsidRPr="00BA431B">
        <w:t>at 6 (E.D.Va. 2012)</w:t>
      </w:r>
      <w:r w:rsidR="002659D8">
        <w:t>.</w:t>
      </w:r>
      <w:r w:rsidR="0082574B">
        <w:t xml:space="preserve">  The district court held that the issue of whether the </w:t>
      </w:r>
      <w:r w:rsidR="0082574B">
        <w:rPr>
          <w:i/>
        </w:rPr>
        <w:t xml:space="preserve">Exclusivity Order </w:t>
      </w:r>
      <w:r w:rsidR="0082574B">
        <w:t>could result in a regulatory taking (thus giving rise to a Tucker Act claim), was irrelevant to the claims before the court and beyond the court’s jurisdiction to consider.  Following</w:t>
      </w:r>
      <w:r w:rsidR="0082574B" w:rsidRPr="0082574B">
        <w:t xml:space="preserve"> </w:t>
      </w:r>
      <w:r w:rsidR="0082574B">
        <w:t xml:space="preserve">the Fourth Circuit’s ruling in favor of Lansdowne on appeal, </w:t>
      </w:r>
      <w:r w:rsidR="0082574B">
        <w:rPr>
          <w:i/>
        </w:rPr>
        <w:t xml:space="preserve">see </w:t>
      </w:r>
      <w:r w:rsidR="0082574B">
        <w:t xml:space="preserve">para. 6 </w:t>
      </w:r>
      <w:r w:rsidR="0082574B">
        <w:rPr>
          <w:i/>
        </w:rPr>
        <w:t>supra</w:t>
      </w:r>
      <w:r w:rsidR="0082574B">
        <w:t>, Open Band</w:t>
      </w:r>
      <w:r w:rsidR="007B039D">
        <w:t xml:space="preserve"> sought a meeting with Commission staff and</w:t>
      </w:r>
      <w:r w:rsidR="00DF6355">
        <w:t xml:space="preserve"> indicated, among other things, that it would not pursue a Tucker Act claim.  </w:t>
      </w:r>
      <w:r w:rsidR="00DF6355">
        <w:rPr>
          <w:i/>
        </w:rPr>
        <w:t xml:space="preserve">See </w:t>
      </w:r>
      <w:r w:rsidR="00DF6355">
        <w:t>Letter from Sanford M. Saunders, Jr. to Joel Kaufman, Deputy General Counsel, Federal Communications Commission (dated May 24, 2013).</w:t>
      </w:r>
    </w:p>
  </w:footnote>
  <w:footnote w:id="39">
    <w:p w:rsidR="00855A11" w:rsidRPr="00855A11" w:rsidRDefault="00855A11">
      <w:pPr>
        <w:pStyle w:val="FootnoteText"/>
      </w:pPr>
      <w:r>
        <w:rPr>
          <w:rStyle w:val="FootnoteReference"/>
        </w:rPr>
        <w:footnoteRef/>
      </w:r>
      <w:r>
        <w:t xml:space="preserve"> </w:t>
      </w:r>
      <w:r>
        <w:rPr>
          <w:i/>
        </w:rPr>
        <w:t xml:space="preserve">Hunton, </w:t>
      </w:r>
      <w:r>
        <w:t>590 F.3d at 274</w:t>
      </w:r>
      <w:r w:rsidR="00344BCA">
        <w:t xml:space="preserve"> (italics added)</w:t>
      </w:r>
      <w:r>
        <w:t xml:space="preserve">; </w:t>
      </w:r>
      <w:r>
        <w:rPr>
          <w:i/>
        </w:rPr>
        <w:t xml:space="preserve">see also id. </w:t>
      </w:r>
      <w:r>
        <w:t>at 283 n.1</w:t>
      </w:r>
      <w:r w:rsidR="00FC0293">
        <w:t xml:space="preserve"> (“A fair interpretation of a common interest agreement … must leave room for the parties to debate the means by which they will secure their common end”).</w:t>
      </w:r>
    </w:p>
  </w:footnote>
  <w:footnote w:id="40">
    <w:p w:rsidR="001B208E" w:rsidRDefault="001B208E">
      <w:pPr>
        <w:pStyle w:val="FootnoteText"/>
      </w:pPr>
      <w:r>
        <w:rPr>
          <w:rStyle w:val="FootnoteReference"/>
        </w:rPr>
        <w:footnoteRef/>
      </w:r>
      <w:r>
        <w:t xml:space="preserve"> AFR at 3</w:t>
      </w:r>
      <w:r w:rsidR="007B0D66">
        <w:t xml:space="preserve">; </w:t>
      </w:r>
      <w:r w:rsidR="007B0D66">
        <w:rPr>
          <w:i/>
        </w:rPr>
        <w:t xml:space="preserve">see </w:t>
      </w:r>
      <w:r w:rsidR="007B0D66">
        <w:t xml:space="preserve">Ethics in Government Act of 1978, as amended, 5 U.S.C. App. § 101 </w:t>
      </w:r>
      <w:r w:rsidR="007B0D66" w:rsidRPr="007B0D66">
        <w:rPr>
          <w:i/>
        </w:rPr>
        <w:t>et</w:t>
      </w:r>
      <w:r w:rsidR="007B0D66" w:rsidRPr="00607328">
        <w:rPr>
          <w:i/>
        </w:rPr>
        <w:t xml:space="preserve"> seq</w:t>
      </w:r>
      <w:r>
        <w:t>.</w:t>
      </w:r>
      <w:r w:rsidR="00867E9F">
        <w:t xml:space="preserve">  </w:t>
      </w:r>
    </w:p>
  </w:footnote>
  <w:footnote w:id="41">
    <w:p w:rsidR="00D91E2B" w:rsidRPr="00D91E2B" w:rsidRDefault="00D91E2B">
      <w:pPr>
        <w:pStyle w:val="FootnoteText"/>
        <w:rPr>
          <w:u w:val="single"/>
        </w:rPr>
      </w:pPr>
      <w:r>
        <w:rPr>
          <w:rStyle w:val="FootnoteReference"/>
        </w:rPr>
        <w:footnoteRef/>
      </w:r>
      <w:r>
        <w:t xml:space="preserve"> </w:t>
      </w:r>
      <w:r>
        <w:rPr>
          <w:i/>
        </w:rPr>
        <w:t xml:space="preserve">See </w:t>
      </w:r>
      <w:r>
        <w:t>18 U.S.C. § 207(a).</w:t>
      </w:r>
    </w:p>
  </w:footnote>
  <w:footnote w:id="42">
    <w:p w:rsidR="00147F48" w:rsidRDefault="00147F48">
      <w:pPr>
        <w:pStyle w:val="FootnoteText"/>
      </w:pPr>
      <w:r>
        <w:rPr>
          <w:rStyle w:val="FootnoteReference"/>
        </w:rPr>
        <w:footnoteRef/>
      </w:r>
      <w:r>
        <w:t xml:space="preserve"> December 14, 2012 </w:t>
      </w:r>
      <w:r w:rsidR="00867E9F">
        <w:t>Response</w:t>
      </w:r>
      <w:r>
        <w:t xml:space="preserve"> at 3.</w:t>
      </w:r>
    </w:p>
  </w:footnote>
  <w:footnote w:id="43">
    <w:p w:rsidR="009A3D8C" w:rsidRDefault="009A3D8C" w:rsidP="009A3D8C">
      <w:pPr>
        <w:pStyle w:val="FootnoteText"/>
      </w:pPr>
      <w:r>
        <w:rPr>
          <w:rStyle w:val="FootnoteReference"/>
        </w:rPr>
        <w:footnoteRef/>
      </w:r>
      <w:r>
        <w:t xml:space="preserve"> Following the events relevant to this item, Wiltshire &amp; Grannis LLP (Wiltshire Grannis) changed its name to Harris, Wiltshire &amp; Grannis LLP.</w:t>
      </w:r>
    </w:p>
  </w:footnote>
  <w:footnote w:id="44">
    <w:p w:rsidR="009A3D8C" w:rsidRDefault="009A3D8C" w:rsidP="009A3D8C">
      <w:pPr>
        <w:pStyle w:val="FootnoteText"/>
      </w:pPr>
      <w:r>
        <w:rPr>
          <w:rStyle w:val="FootnoteReference"/>
        </w:rPr>
        <w:footnoteRef/>
      </w:r>
      <w:r>
        <w:t xml:space="preserve"> </w:t>
      </w:r>
      <w:r w:rsidRPr="007839DF">
        <w:rPr>
          <w:i/>
        </w:rPr>
        <w:t>Memorandum Opinion and Order</w:t>
      </w:r>
      <w:r>
        <w:t xml:space="preserve"> at para. 8 (quoting 5 U.S.C. § 552(b)(5)) (emphasis added).</w:t>
      </w:r>
    </w:p>
  </w:footnote>
  <w:footnote w:id="45">
    <w:p w:rsidR="009A3D8C" w:rsidRDefault="009A3D8C" w:rsidP="009A3D8C">
      <w:pPr>
        <w:pStyle w:val="FootnoteText"/>
      </w:pPr>
      <w:r>
        <w:rPr>
          <w:rStyle w:val="FootnoteReference"/>
        </w:rPr>
        <w:footnoteRef/>
      </w:r>
      <w:r>
        <w:t xml:space="preserve"> </w:t>
      </w:r>
      <w:r w:rsidRPr="0002766A">
        <w:rPr>
          <w:i/>
        </w:rPr>
        <w:t>See</w:t>
      </w:r>
      <w:r>
        <w:t xml:space="preserve"> Webster’s New International Dictionary 1302 (2d ed. 1958).</w:t>
      </w:r>
    </w:p>
  </w:footnote>
  <w:footnote w:id="46">
    <w:p w:rsidR="009A3D8C" w:rsidRPr="00C85C74" w:rsidRDefault="009A3D8C" w:rsidP="009A3D8C">
      <w:pPr>
        <w:pStyle w:val="FootnoteText"/>
      </w:pPr>
      <w:r w:rsidRPr="00C85C74">
        <w:rPr>
          <w:rStyle w:val="FootnoteReference"/>
        </w:rPr>
        <w:footnoteRef/>
      </w:r>
      <w:r w:rsidRPr="00C85C74">
        <w:t xml:space="preserve"> </w:t>
      </w:r>
      <w:r w:rsidRPr="007839DF">
        <w:rPr>
          <w:i/>
        </w:rPr>
        <w:t>See</w:t>
      </w:r>
      <w:r w:rsidRPr="00C85C74">
        <w:t xml:space="preserve">, </w:t>
      </w:r>
      <w:r w:rsidRPr="007839DF">
        <w:rPr>
          <w:i/>
        </w:rPr>
        <w:t>e</w:t>
      </w:r>
      <w:r w:rsidRPr="00C85C74">
        <w:t>.</w:t>
      </w:r>
      <w:r w:rsidRPr="007839DF">
        <w:rPr>
          <w:i/>
        </w:rPr>
        <w:t>g</w:t>
      </w:r>
      <w:r w:rsidRPr="00C85C74">
        <w:t xml:space="preserve">., </w:t>
      </w:r>
      <w:r w:rsidRPr="007839DF">
        <w:rPr>
          <w:i/>
        </w:rPr>
        <w:t>Tigue v. U.S. Dep’t of Justice</w:t>
      </w:r>
      <w:r w:rsidRPr="00C85C74">
        <w:t>, 312 F.3d 70 (2d Cir. 2002) (“‘</w:t>
      </w:r>
      <w:r>
        <w:t>[I]</w:t>
      </w:r>
      <w:r w:rsidRPr="007839DF">
        <w:rPr>
          <w:color w:val="000000"/>
          <w:shd w:val="clear" w:color="auto" w:fill="FFFFFF"/>
        </w:rPr>
        <w:t>ntra-agency’ documents are those that remain inside a single agency.”)</w:t>
      </w:r>
      <w:r>
        <w:rPr>
          <w:color w:val="000000"/>
          <w:shd w:val="clear" w:color="auto" w:fill="FFFFFF"/>
        </w:rPr>
        <w:t>.</w:t>
      </w:r>
    </w:p>
  </w:footnote>
  <w:footnote w:id="47">
    <w:p w:rsidR="009A3D8C" w:rsidRDefault="009A3D8C" w:rsidP="009A3D8C">
      <w:pPr>
        <w:pStyle w:val="FootnoteText"/>
      </w:pPr>
      <w:r>
        <w:rPr>
          <w:rStyle w:val="FootnoteReference"/>
        </w:rPr>
        <w:footnoteRef/>
      </w:r>
      <w:r>
        <w:t xml:space="preserve"> </w:t>
      </w:r>
      <w:r w:rsidRPr="00BD507A">
        <w:rPr>
          <w:i/>
        </w:rPr>
        <w:t>Dep’t of the Interior v. Klamath Water Users Protective Ass</w:t>
      </w:r>
      <w:r>
        <w:rPr>
          <w:i/>
        </w:rPr>
        <w:t>’</w:t>
      </w:r>
      <w:r w:rsidRPr="00BD507A">
        <w:rPr>
          <w:i/>
        </w:rPr>
        <w:t>n</w:t>
      </w:r>
      <w:r>
        <w:t>, 532 U.S. 1, 10–11 (2001) (emphasis added) (</w:t>
      </w:r>
      <w:r w:rsidRPr="00341B6F">
        <w:rPr>
          <w:i/>
        </w:rPr>
        <w:t>Klamath</w:t>
      </w:r>
      <w:r>
        <w:t>).</w:t>
      </w:r>
    </w:p>
  </w:footnote>
  <w:footnote w:id="48">
    <w:p w:rsidR="009A3D8C" w:rsidRDefault="009A3D8C" w:rsidP="009A3D8C">
      <w:pPr>
        <w:pStyle w:val="FootnoteText"/>
      </w:pPr>
      <w:r>
        <w:rPr>
          <w:rStyle w:val="FootnoteReference"/>
        </w:rPr>
        <w:footnoteRef/>
      </w:r>
      <w:r>
        <w:t xml:space="preserve"> </w:t>
      </w:r>
      <w:r w:rsidRPr="00BD507A">
        <w:rPr>
          <w:i/>
        </w:rPr>
        <w:t>Id</w:t>
      </w:r>
      <w:r>
        <w:t>. at 12.</w:t>
      </w:r>
    </w:p>
  </w:footnote>
  <w:footnote w:id="49">
    <w:p w:rsidR="009A3D8C" w:rsidRDefault="009A3D8C" w:rsidP="009A3D8C">
      <w:pPr>
        <w:pStyle w:val="FootnoteText"/>
      </w:pPr>
      <w:r>
        <w:rPr>
          <w:rStyle w:val="FootnoteReference"/>
        </w:rPr>
        <w:footnoteRef/>
      </w:r>
      <w:r>
        <w:t xml:space="preserve"> While the Commission maintains that those interests were one and the same once the FCC decided to file an </w:t>
      </w:r>
      <w:r w:rsidRPr="009F448D">
        <w:rPr>
          <w:i/>
        </w:rPr>
        <w:t xml:space="preserve">amicus </w:t>
      </w:r>
      <w:r>
        <w:t xml:space="preserve">brief supporting the firm’s client’s litigation position in the Fourth Circuit, that argument ignores the realities of litigation.  A private party and the FCC as an </w:t>
      </w:r>
      <w:r w:rsidRPr="009F448D">
        <w:rPr>
          <w:i/>
        </w:rPr>
        <w:t xml:space="preserve">amicus </w:t>
      </w:r>
      <w:r>
        <w:t xml:space="preserve">might share a similar objective in the litigation, but their strategic interests often diverge.  A private party is generally more interested in winning a particular dispute while the FCC is generally more concerned with the development of a particular body of law.  This, among other things, can lead parties ostensibly on the same side to make and/or emphasize different arguments.  Moreover, even on mundane issues, interests are distinct.  For example, a party and an </w:t>
      </w:r>
      <w:r w:rsidRPr="00177746">
        <w:rPr>
          <w:i/>
        </w:rPr>
        <w:t xml:space="preserve">amicus </w:t>
      </w:r>
      <w:r>
        <w:t>will often discuss how to divide time at oral argument.  And having worked in the Office of General Counsel, I can assure you that both sides to such conversations are not pursuing a common interest.  The FCC often wants more time than the private party’s counsel is willing to cede.</w:t>
      </w:r>
    </w:p>
  </w:footnote>
  <w:footnote w:id="50">
    <w:p w:rsidR="009A3D8C" w:rsidRDefault="009A3D8C" w:rsidP="009A3D8C">
      <w:pPr>
        <w:pStyle w:val="FootnoteText"/>
      </w:pPr>
      <w:r>
        <w:rPr>
          <w:rStyle w:val="FootnoteReference"/>
        </w:rPr>
        <w:footnoteRef/>
      </w:r>
      <w:r>
        <w:t xml:space="preserve"> </w:t>
      </w:r>
      <w:r>
        <w:rPr>
          <w:i/>
        </w:rPr>
        <w:t>Klamath</w:t>
      </w:r>
      <w:r>
        <w:t>, 532 U.S. at 13.</w:t>
      </w:r>
    </w:p>
  </w:footnote>
  <w:footnote w:id="51">
    <w:p w:rsidR="009A3D8C" w:rsidRDefault="009A3D8C" w:rsidP="009A3D8C">
      <w:pPr>
        <w:pStyle w:val="FootnoteText"/>
      </w:pPr>
      <w:r>
        <w:rPr>
          <w:rStyle w:val="FootnoteReference"/>
        </w:rPr>
        <w:footnoteRef/>
      </w:r>
      <w:r>
        <w:t xml:space="preserve"> To the extent that the Fourth Circuit’s decision in </w:t>
      </w:r>
      <w:r w:rsidRPr="007B67D0">
        <w:rPr>
          <w:i/>
        </w:rPr>
        <w:t>Hunton &amp; Williams v. U.S. Dep’t of Justice</w:t>
      </w:r>
      <w:r>
        <w:t xml:space="preserve">, 590 F.3d 272 (2010), points in the other direction, I find Judge Michael’s dissenting opinion in that case to be more persuasive.  </w:t>
      </w:r>
      <w:r w:rsidRPr="00B30750">
        <w:rPr>
          <w:i/>
        </w:rPr>
        <w:t>See id</w:t>
      </w:r>
      <w:r>
        <w:t xml:space="preserve">. at 290–91 (“The majority argues that when an outsider and the government have a unitary interest that fits within the common interest doctrine, communications between the outsider and the agency can be understood as ‘intra-agency’ under exemption 5.  The common interest doctrine, however, only relates to the second condition of the exemption, that is, the communications ‘must fall within the ambit of a privilege against discovery.’  Satisfaction of the second condition cannot serve as automatic satisfaction of the first condition.  As the Supreme Court emphasized in </w:t>
      </w:r>
      <w:r w:rsidRPr="00B30750">
        <w:rPr>
          <w:i/>
        </w:rPr>
        <w:t>Klamath</w:t>
      </w:r>
      <w:r>
        <w:t>, there is ‘no textual justification of draining the first [intra-agency] condition of independent vitality,’ and ‘the first condition of Exemption 5 is no less important than the second.’  Failure to satisfy the first (intra-agency) condition ‘rules out any application of Exemption 5’ to a communication that would otherwise be privileged against discovery.”  (internal citations omitted)).</w:t>
      </w:r>
    </w:p>
  </w:footnote>
  <w:footnote w:id="52">
    <w:p w:rsidR="009A3D8C" w:rsidRDefault="009A3D8C" w:rsidP="009A3D8C">
      <w:pPr>
        <w:pStyle w:val="FootnoteText"/>
      </w:pPr>
      <w:r>
        <w:rPr>
          <w:rStyle w:val="FootnoteReference"/>
        </w:rPr>
        <w:footnoteRef/>
      </w:r>
      <w:r>
        <w:t xml:space="preserve"> President Barack Obama, Memorandum for the Heads of Executive Departments and Agencies (Jan. 21,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38" w:rsidRDefault="00F37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A9" w:rsidRDefault="00743FA9">
    <w:pPr>
      <w:pStyle w:val="Header"/>
      <w:rPr>
        <w:b w:val="0"/>
      </w:rPr>
    </w:pPr>
    <w:r>
      <w:tab/>
      <w:t>Federal Communications Commission</w:t>
    </w:r>
    <w:r>
      <w:tab/>
      <w:t>FCC 1</w:t>
    </w:r>
    <w:r w:rsidR="00E31F09">
      <w:t>4</w:t>
    </w:r>
    <w:r>
      <w:t>-</w:t>
    </w:r>
    <w:r w:rsidR="004C5893">
      <w:t>140</w:t>
    </w:r>
    <w:r>
      <w:t xml:space="preserve"> </w:t>
    </w:r>
  </w:p>
  <w:p w:rsidR="00743FA9" w:rsidRDefault="00C22B94">
    <w:pPr>
      <w:pStyle w:val="Header"/>
    </w:pPr>
    <w:r>
      <w:rPr>
        <w:noProof/>
        <w:lang w:eastAsia="ja-JP"/>
      </w:rPr>
      <w:pict>
        <v:line id="_x0000_s2050" style="position:absolute;z-index:251658240" from="0,1.75pt" to="468pt,1.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A9" w:rsidRDefault="00743FA9">
    <w:pPr>
      <w:pStyle w:val="Header"/>
      <w:rPr>
        <w:b w:val="0"/>
      </w:rPr>
    </w:pPr>
    <w:r>
      <w:tab/>
      <w:t>Federal Communications Commission</w:t>
    </w:r>
    <w:r>
      <w:tab/>
      <w:t>FCC 1</w:t>
    </w:r>
    <w:r w:rsidR="00077801">
      <w:t>4</w:t>
    </w:r>
    <w:r w:rsidR="003435A6">
      <w:t>-</w:t>
    </w:r>
    <w:r w:rsidR="004C5893">
      <w:t>140</w:t>
    </w:r>
  </w:p>
  <w:p w:rsidR="00743FA9" w:rsidRDefault="00C22B94">
    <w:pPr>
      <w:pStyle w:val="Header"/>
    </w:pPr>
    <w:r>
      <w:rPr>
        <w:noProof/>
        <w:lang w:eastAsia="ja-JP"/>
      </w:rPr>
      <w:pict>
        <v:line id="_x0000_s2049"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1203B0"/>
    <w:lvl w:ilvl="0">
      <w:start w:val="1"/>
      <w:numFmt w:val="decimal"/>
      <w:lvlText w:val="%1."/>
      <w:lvlJc w:val="left"/>
      <w:pPr>
        <w:tabs>
          <w:tab w:val="num" w:pos="1440"/>
        </w:tabs>
        <w:ind w:left="144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C80E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493BCF"/>
    <w:multiLevelType w:val="hybridMultilevel"/>
    <w:tmpl w:val="207C7DCA"/>
    <w:lvl w:ilvl="0" w:tplc="B2F03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369A7AF7"/>
    <w:multiLevelType w:val="hybridMultilevel"/>
    <w:tmpl w:val="F77C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3D0F1B3D"/>
    <w:multiLevelType w:val="singleLevel"/>
    <w:tmpl w:val="CABC07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4"/>
        <w:szCs w:val="24"/>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EFA125A"/>
    <w:multiLevelType w:val="hybridMultilevel"/>
    <w:tmpl w:val="81F61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6D82A83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74B2D35"/>
    <w:multiLevelType w:val="hybridMultilevel"/>
    <w:tmpl w:val="65CC9C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3">
    <w:nsid w:val="7EDF121B"/>
    <w:multiLevelType w:val="hybridMultilevel"/>
    <w:tmpl w:val="8564D8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CC7AC8"/>
    <w:multiLevelType w:val="multilevel"/>
    <w:tmpl w:val="31829018"/>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1"/>
  </w:num>
  <w:num w:numId="2">
    <w:abstractNumId w:val="32"/>
  </w:num>
  <w:num w:numId="3">
    <w:abstractNumId w:val="5"/>
  </w:num>
  <w:num w:numId="4">
    <w:abstractNumId w:val="25"/>
  </w:num>
  <w:num w:numId="5">
    <w:abstractNumId w:val="11"/>
  </w:num>
  <w:num w:numId="6">
    <w:abstractNumId w:val="29"/>
  </w:num>
  <w:num w:numId="7">
    <w:abstractNumId w:val="20"/>
  </w:num>
  <w:num w:numId="8">
    <w:abstractNumId w:val="12"/>
  </w:num>
  <w:num w:numId="9">
    <w:abstractNumId w:val="28"/>
  </w:num>
  <w:num w:numId="10">
    <w:abstractNumId w:val="18"/>
  </w:num>
  <w:num w:numId="11">
    <w:abstractNumId w:val="16"/>
  </w:num>
  <w:num w:numId="12">
    <w:abstractNumId w:val="13"/>
  </w:num>
  <w:num w:numId="13">
    <w:abstractNumId w:val="19"/>
  </w:num>
  <w:num w:numId="14">
    <w:abstractNumId w:val="26"/>
  </w:num>
  <w:num w:numId="15">
    <w:abstractNumId w:val="3"/>
  </w:num>
  <w:num w:numId="16">
    <w:abstractNumId w:val="4"/>
  </w:num>
  <w:num w:numId="17">
    <w:abstractNumId w:val="14"/>
  </w:num>
  <w:num w:numId="18">
    <w:abstractNumId w:val="2"/>
  </w:num>
  <w:num w:numId="19">
    <w:abstractNumId w:val="15"/>
  </w:num>
  <w:num w:numId="20">
    <w:abstractNumId w:val="21"/>
  </w:num>
  <w:num w:numId="21">
    <w:abstractNumId w:val="24"/>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0"/>
  </w:num>
  <w:num w:numId="38">
    <w:abstractNumId w:val="10"/>
  </w:num>
  <w:num w:numId="39">
    <w:abstractNumId w:val="17"/>
  </w:num>
  <w:num w:numId="40">
    <w:abstractNumId w:val="33"/>
  </w:num>
  <w:num w:numId="41">
    <w:abstractNumId w:val="27"/>
  </w:num>
  <w:num w:numId="42">
    <w:abstractNumId w:val="23"/>
  </w:num>
  <w:num w:numId="43">
    <w:abstractNumId w:val="8"/>
  </w:num>
  <w:num w:numId="44">
    <w:abstractNumId w:val="34"/>
  </w:num>
  <w:num w:numId="45">
    <w:abstractNumId w:val="19"/>
    <w:lvlOverride w:ilvl="0">
      <w:startOverride w:val="1"/>
    </w:lvlOverride>
  </w:num>
  <w:num w:numId="46">
    <w:abstractNumId w:val="6"/>
  </w:num>
  <w:num w:numId="47">
    <w:abstractNumId w:val="30"/>
  </w:num>
  <w:num w:numId="48">
    <w:abstractNumId w:val="9"/>
  </w:num>
  <w:num w:numId="49">
    <w:abstractNumId w:val="22"/>
  </w:num>
  <w:num w:numId="50">
    <w:abstractNumId w:val="7"/>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568D8"/>
    <w:rsid w:val="00001226"/>
    <w:rsid w:val="0001169C"/>
    <w:rsid w:val="000148F4"/>
    <w:rsid w:val="000151A9"/>
    <w:rsid w:val="00015CC7"/>
    <w:rsid w:val="00016C0B"/>
    <w:rsid w:val="000205DA"/>
    <w:rsid w:val="00020B2B"/>
    <w:rsid w:val="00025813"/>
    <w:rsid w:val="00027929"/>
    <w:rsid w:val="00033293"/>
    <w:rsid w:val="0003598C"/>
    <w:rsid w:val="00036D90"/>
    <w:rsid w:val="00040678"/>
    <w:rsid w:val="00041DC7"/>
    <w:rsid w:val="0004221A"/>
    <w:rsid w:val="000453CF"/>
    <w:rsid w:val="00051802"/>
    <w:rsid w:val="00052A4C"/>
    <w:rsid w:val="00052C58"/>
    <w:rsid w:val="0005448E"/>
    <w:rsid w:val="000547A6"/>
    <w:rsid w:val="00054C85"/>
    <w:rsid w:val="000571E0"/>
    <w:rsid w:val="00057FED"/>
    <w:rsid w:val="00062275"/>
    <w:rsid w:val="000623FD"/>
    <w:rsid w:val="000624C0"/>
    <w:rsid w:val="00063422"/>
    <w:rsid w:val="000647FD"/>
    <w:rsid w:val="000713B3"/>
    <w:rsid w:val="00072C54"/>
    <w:rsid w:val="00073585"/>
    <w:rsid w:val="00075380"/>
    <w:rsid w:val="00075951"/>
    <w:rsid w:val="00075AEE"/>
    <w:rsid w:val="00077801"/>
    <w:rsid w:val="00082FC0"/>
    <w:rsid w:val="00083DAB"/>
    <w:rsid w:val="00083F6A"/>
    <w:rsid w:val="000853FA"/>
    <w:rsid w:val="000949F4"/>
    <w:rsid w:val="00095AA8"/>
    <w:rsid w:val="000972B3"/>
    <w:rsid w:val="000972DB"/>
    <w:rsid w:val="000A0FC0"/>
    <w:rsid w:val="000A457C"/>
    <w:rsid w:val="000A7A61"/>
    <w:rsid w:val="000B01BC"/>
    <w:rsid w:val="000B06D6"/>
    <w:rsid w:val="000B5165"/>
    <w:rsid w:val="000B7854"/>
    <w:rsid w:val="000C24F8"/>
    <w:rsid w:val="000C5B2D"/>
    <w:rsid w:val="000D0307"/>
    <w:rsid w:val="000D0C76"/>
    <w:rsid w:val="000D156A"/>
    <w:rsid w:val="000D27D6"/>
    <w:rsid w:val="000D45B5"/>
    <w:rsid w:val="000D4BDD"/>
    <w:rsid w:val="000D4F9B"/>
    <w:rsid w:val="000E02E9"/>
    <w:rsid w:val="000E5F71"/>
    <w:rsid w:val="000E73AA"/>
    <w:rsid w:val="000F23D8"/>
    <w:rsid w:val="000F37E3"/>
    <w:rsid w:val="000F4D30"/>
    <w:rsid w:val="000F53CD"/>
    <w:rsid w:val="000F6861"/>
    <w:rsid w:val="000F7F6B"/>
    <w:rsid w:val="00101FB5"/>
    <w:rsid w:val="001039A9"/>
    <w:rsid w:val="00105E43"/>
    <w:rsid w:val="001069C7"/>
    <w:rsid w:val="00112AA0"/>
    <w:rsid w:val="00115166"/>
    <w:rsid w:val="00115FE5"/>
    <w:rsid w:val="001217DA"/>
    <w:rsid w:val="001249CE"/>
    <w:rsid w:val="00130150"/>
    <w:rsid w:val="00131D16"/>
    <w:rsid w:val="00134E1C"/>
    <w:rsid w:val="00135AA4"/>
    <w:rsid w:val="00135BD9"/>
    <w:rsid w:val="00141111"/>
    <w:rsid w:val="00141BF6"/>
    <w:rsid w:val="00141C9A"/>
    <w:rsid w:val="00147074"/>
    <w:rsid w:val="00147F48"/>
    <w:rsid w:val="00152D6D"/>
    <w:rsid w:val="001530E9"/>
    <w:rsid w:val="00153B83"/>
    <w:rsid w:val="001557E8"/>
    <w:rsid w:val="00155ACB"/>
    <w:rsid w:val="00156B78"/>
    <w:rsid w:val="0015716D"/>
    <w:rsid w:val="00161532"/>
    <w:rsid w:val="001621F3"/>
    <w:rsid w:val="0016629F"/>
    <w:rsid w:val="00166726"/>
    <w:rsid w:val="00172620"/>
    <w:rsid w:val="00173E6F"/>
    <w:rsid w:val="0017461F"/>
    <w:rsid w:val="00174638"/>
    <w:rsid w:val="00174785"/>
    <w:rsid w:val="00180C4C"/>
    <w:rsid w:val="00181399"/>
    <w:rsid w:val="00182804"/>
    <w:rsid w:val="00183F20"/>
    <w:rsid w:val="00184E43"/>
    <w:rsid w:val="001861C2"/>
    <w:rsid w:val="00190713"/>
    <w:rsid w:val="001912E2"/>
    <w:rsid w:val="00192E68"/>
    <w:rsid w:val="0019577E"/>
    <w:rsid w:val="00196709"/>
    <w:rsid w:val="001A0761"/>
    <w:rsid w:val="001A09BC"/>
    <w:rsid w:val="001A1998"/>
    <w:rsid w:val="001A6B67"/>
    <w:rsid w:val="001B208E"/>
    <w:rsid w:val="001B6AA7"/>
    <w:rsid w:val="001B751B"/>
    <w:rsid w:val="001C1539"/>
    <w:rsid w:val="001C546D"/>
    <w:rsid w:val="001C682A"/>
    <w:rsid w:val="001D0119"/>
    <w:rsid w:val="001D052C"/>
    <w:rsid w:val="001E1661"/>
    <w:rsid w:val="001E33AA"/>
    <w:rsid w:val="001E54E0"/>
    <w:rsid w:val="001F0577"/>
    <w:rsid w:val="001F37B7"/>
    <w:rsid w:val="001F4166"/>
    <w:rsid w:val="001F5BEA"/>
    <w:rsid w:val="001F65B1"/>
    <w:rsid w:val="001F684E"/>
    <w:rsid w:val="001F7BC6"/>
    <w:rsid w:val="00204451"/>
    <w:rsid w:val="00204ED4"/>
    <w:rsid w:val="00207309"/>
    <w:rsid w:val="00211910"/>
    <w:rsid w:val="00213F39"/>
    <w:rsid w:val="00213FB9"/>
    <w:rsid w:val="002149A9"/>
    <w:rsid w:val="00220DC9"/>
    <w:rsid w:val="002229DB"/>
    <w:rsid w:val="00223129"/>
    <w:rsid w:val="00223D23"/>
    <w:rsid w:val="00232037"/>
    <w:rsid w:val="002323D7"/>
    <w:rsid w:val="00233CE2"/>
    <w:rsid w:val="00235336"/>
    <w:rsid w:val="002413CC"/>
    <w:rsid w:val="0024316E"/>
    <w:rsid w:val="002446E4"/>
    <w:rsid w:val="0024515C"/>
    <w:rsid w:val="00245DCC"/>
    <w:rsid w:val="00254306"/>
    <w:rsid w:val="002556C4"/>
    <w:rsid w:val="00255D9D"/>
    <w:rsid w:val="00260349"/>
    <w:rsid w:val="00262419"/>
    <w:rsid w:val="00262F0A"/>
    <w:rsid w:val="00262F15"/>
    <w:rsid w:val="00264DC5"/>
    <w:rsid w:val="002659D8"/>
    <w:rsid w:val="002666DD"/>
    <w:rsid w:val="002671E3"/>
    <w:rsid w:val="00267445"/>
    <w:rsid w:val="00267D11"/>
    <w:rsid w:val="002700B6"/>
    <w:rsid w:val="00274A66"/>
    <w:rsid w:val="00276248"/>
    <w:rsid w:val="00276804"/>
    <w:rsid w:val="002777CD"/>
    <w:rsid w:val="00282073"/>
    <w:rsid w:val="00284ACF"/>
    <w:rsid w:val="002851F3"/>
    <w:rsid w:val="002855C4"/>
    <w:rsid w:val="00285713"/>
    <w:rsid w:val="00285B69"/>
    <w:rsid w:val="00286665"/>
    <w:rsid w:val="00286887"/>
    <w:rsid w:val="00291290"/>
    <w:rsid w:val="00292C00"/>
    <w:rsid w:val="00295D5E"/>
    <w:rsid w:val="002A120B"/>
    <w:rsid w:val="002A3269"/>
    <w:rsid w:val="002A4A5B"/>
    <w:rsid w:val="002A63A0"/>
    <w:rsid w:val="002A75E0"/>
    <w:rsid w:val="002A7B19"/>
    <w:rsid w:val="002B098E"/>
    <w:rsid w:val="002B1E27"/>
    <w:rsid w:val="002B55FD"/>
    <w:rsid w:val="002B71A7"/>
    <w:rsid w:val="002B7EBD"/>
    <w:rsid w:val="002C1C67"/>
    <w:rsid w:val="002C67CC"/>
    <w:rsid w:val="002C6E13"/>
    <w:rsid w:val="002D2A06"/>
    <w:rsid w:val="002D2DC8"/>
    <w:rsid w:val="002D41EF"/>
    <w:rsid w:val="002D5BF1"/>
    <w:rsid w:val="002E1256"/>
    <w:rsid w:val="002F3E15"/>
    <w:rsid w:val="002F5186"/>
    <w:rsid w:val="002F6493"/>
    <w:rsid w:val="002F71CF"/>
    <w:rsid w:val="002F7D5A"/>
    <w:rsid w:val="00300649"/>
    <w:rsid w:val="00301002"/>
    <w:rsid w:val="00304212"/>
    <w:rsid w:val="0031070D"/>
    <w:rsid w:val="0031126C"/>
    <w:rsid w:val="00312B85"/>
    <w:rsid w:val="0031363D"/>
    <w:rsid w:val="00313CAE"/>
    <w:rsid w:val="00314125"/>
    <w:rsid w:val="00315E46"/>
    <w:rsid w:val="00325C7C"/>
    <w:rsid w:val="0032674A"/>
    <w:rsid w:val="00341674"/>
    <w:rsid w:val="00342E2E"/>
    <w:rsid w:val="00343159"/>
    <w:rsid w:val="00343502"/>
    <w:rsid w:val="003435A6"/>
    <w:rsid w:val="00344407"/>
    <w:rsid w:val="00344BCA"/>
    <w:rsid w:val="00345954"/>
    <w:rsid w:val="00346718"/>
    <w:rsid w:val="00352BC9"/>
    <w:rsid w:val="003602FC"/>
    <w:rsid w:val="00360CE2"/>
    <w:rsid w:val="00360DBC"/>
    <w:rsid w:val="003615B6"/>
    <w:rsid w:val="00364188"/>
    <w:rsid w:val="00365190"/>
    <w:rsid w:val="003670DD"/>
    <w:rsid w:val="0036783A"/>
    <w:rsid w:val="00372396"/>
    <w:rsid w:val="00373D5A"/>
    <w:rsid w:val="00375153"/>
    <w:rsid w:val="00375CB0"/>
    <w:rsid w:val="00376172"/>
    <w:rsid w:val="00377203"/>
    <w:rsid w:val="00382250"/>
    <w:rsid w:val="0038319C"/>
    <w:rsid w:val="003836F6"/>
    <w:rsid w:val="0038416E"/>
    <w:rsid w:val="00384189"/>
    <w:rsid w:val="00384778"/>
    <w:rsid w:val="0039127C"/>
    <w:rsid w:val="00391EC4"/>
    <w:rsid w:val="00392108"/>
    <w:rsid w:val="0039253E"/>
    <w:rsid w:val="0039265D"/>
    <w:rsid w:val="00392B4E"/>
    <w:rsid w:val="00394379"/>
    <w:rsid w:val="00394710"/>
    <w:rsid w:val="00395849"/>
    <w:rsid w:val="003971CA"/>
    <w:rsid w:val="00397AAF"/>
    <w:rsid w:val="003A2F3F"/>
    <w:rsid w:val="003A47BB"/>
    <w:rsid w:val="003A71AB"/>
    <w:rsid w:val="003B310A"/>
    <w:rsid w:val="003B3864"/>
    <w:rsid w:val="003C0D84"/>
    <w:rsid w:val="003C13C8"/>
    <w:rsid w:val="003C1532"/>
    <w:rsid w:val="003C4CB7"/>
    <w:rsid w:val="003C69A8"/>
    <w:rsid w:val="003C7B7C"/>
    <w:rsid w:val="003D0FBB"/>
    <w:rsid w:val="003D7252"/>
    <w:rsid w:val="003E01FB"/>
    <w:rsid w:val="003E1D6B"/>
    <w:rsid w:val="003E592A"/>
    <w:rsid w:val="003F17B1"/>
    <w:rsid w:val="003F1F3C"/>
    <w:rsid w:val="003F36E0"/>
    <w:rsid w:val="0040198A"/>
    <w:rsid w:val="004027BA"/>
    <w:rsid w:val="0040548A"/>
    <w:rsid w:val="00407C12"/>
    <w:rsid w:val="00407C9C"/>
    <w:rsid w:val="004107A1"/>
    <w:rsid w:val="0041117F"/>
    <w:rsid w:val="00413C23"/>
    <w:rsid w:val="00421590"/>
    <w:rsid w:val="00422753"/>
    <w:rsid w:val="00422EB4"/>
    <w:rsid w:val="0042470C"/>
    <w:rsid w:val="00426312"/>
    <w:rsid w:val="00426FF4"/>
    <w:rsid w:val="00430743"/>
    <w:rsid w:val="004339D0"/>
    <w:rsid w:val="00434037"/>
    <w:rsid w:val="00434F10"/>
    <w:rsid w:val="00435A2A"/>
    <w:rsid w:val="00435B80"/>
    <w:rsid w:val="004365F1"/>
    <w:rsid w:val="004374DE"/>
    <w:rsid w:val="00445649"/>
    <w:rsid w:val="00445A06"/>
    <w:rsid w:val="004466FA"/>
    <w:rsid w:val="00447DE9"/>
    <w:rsid w:val="00450FDC"/>
    <w:rsid w:val="004518A7"/>
    <w:rsid w:val="00462F8D"/>
    <w:rsid w:val="00464691"/>
    <w:rsid w:val="00470B79"/>
    <w:rsid w:val="00472ACE"/>
    <w:rsid w:val="00477CCA"/>
    <w:rsid w:val="004811D1"/>
    <w:rsid w:val="0048341D"/>
    <w:rsid w:val="00484120"/>
    <w:rsid w:val="00484CA1"/>
    <w:rsid w:val="0048766E"/>
    <w:rsid w:val="00494403"/>
    <w:rsid w:val="00494784"/>
    <w:rsid w:val="004947A4"/>
    <w:rsid w:val="00494B0B"/>
    <w:rsid w:val="00496BA6"/>
    <w:rsid w:val="004A1959"/>
    <w:rsid w:val="004A3C60"/>
    <w:rsid w:val="004A3EA6"/>
    <w:rsid w:val="004A62FB"/>
    <w:rsid w:val="004B035F"/>
    <w:rsid w:val="004B0370"/>
    <w:rsid w:val="004B0BB8"/>
    <w:rsid w:val="004B1EB6"/>
    <w:rsid w:val="004B328F"/>
    <w:rsid w:val="004B4388"/>
    <w:rsid w:val="004C5893"/>
    <w:rsid w:val="004C68D8"/>
    <w:rsid w:val="004C6E1D"/>
    <w:rsid w:val="004D02C9"/>
    <w:rsid w:val="004D1632"/>
    <w:rsid w:val="004D1653"/>
    <w:rsid w:val="004D1EEF"/>
    <w:rsid w:val="004D25B7"/>
    <w:rsid w:val="004D2AD0"/>
    <w:rsid w:val="004D65AB"/>
    <w:rsid w:val="004E0D8F"/>
    <w:rsid w:val="004E0F2F"/>
    <w:rsid w:val="004E1526"/>
    <w:rsid w:val="004E36D9"/>
    <w:rsid w:val="004E4BD7"/>
    <w:rsid w:val="004E7657"/>
    <w:rsid w:val="004F0B2C"/>
    <w:rsid w:val="004F490F"/>
    <w:rsid w:val="004F5494"/>
    <w:rsid w:val="004F551C"/>
    <w:rsid w:val="004F7180"/>
    <w:rsid w:val="004F7B87"/>
    <w:rsid w:val="00505871"/>
    <w:rsid w:val="00505AFA"/>
    <w:rsid w:val="00505BC7"/>
    <w:rsid w:val="00507358"/>
    <w:rsid w:val="00511A34"/>
    <w:rsid w:val="00511D00"/>
    <w:rsid w:val="0051534B"/>
    <w:rsid w:val="00517258"/>
    <w:rsid w:val="00517451"/>
    <w:rsid w:val="00522446"/>
    <w:rsid w:val="00522E98"/>
    <w:rsid w:val="00523136"/>
    <w:rsid w:val="0052464C"/>
    <w:rsid w:val="005276B6"/>
    <w:rsid w:val="005306AF"/>
    <w:rsid w:val="005312E9"/>
    <w:rsid w:val="005345C0"/>
    <w:rsid w:val="00535875"/>
    <w:rsid w:val="00540342"/>
    <w:rsid w:val="00541B3F"/>
    <w:rsid w:val="00543228"/>
    <w:rsid w:val="00543E9C"/>
    <w:rsid w:val="00546EDF"/>
    <w:rsid w:val="00555732"/>
    <w:rsid w:val="0055588C"/>
    <w:rsid w:val="00557676"/>
    <w:rsid w:val="00557D5B"/>
    <w:rsid w:val="00560967"/>
    <w:rsid w:val="00560D84"/>
    <w:rsid w:val="005615BC"/>
    <w:rsid w:val="0056194D"/>
    <w:rsid w:val="00562943"/>
    <w:rsid w:val="0056499B"/>
    <w:rsid w:val="00570CE6"/>
    <w:rsid w:val="005728C3"/>
    <w:rsid w:val="00575872"/>
    <w:rsid w:val="00583C90"/>
    <w:rsid w:val="0058437E"/>
    <w:rsid w:val="00584ADD"/>
    <w:rsid w:val="00586584"/>
    <w:rsid w:val="00586BBD"/>
    <w:rsid w:val="00586ED2"/>
    <w:rsid w:val="00590264"/>
    <w:rsid w:val="00591F98"/>
    <w:rsid w:val="00592B95"/>
    <w:rsid w:val="00595339"/>
    <w:rsid w:val="0059630F"/>
    <w:rsid w:val="005A07B0"/>
    <w:rsid w:val="005A1558"/>
    <w:rsid w:val="005A28C6"/>
    <w:rsid w:val="005B1D85"/>
    <w:rsid w:val="005B2C2E"/>
    <w:rsid w:val="005B4E1A"/>
    <w:rsid w:val="005B540E"/>
    <w:rsid w:val="005C02F8"/>
    <w:rsid w:val="005C036C"/>
    <w:rsid w:val="005C0EF2"/>
    <w:rsid w:val="005C154E"/>
    <w:rsid w:val="005C165E"/>
    <w:rsid w:val="005D29D7"/>
    <w:rsid w:val="005D7348"/>
    <w:rsid w:val="005E0F0A"/>
    <w:rsid w:val="005E1A49"/>
    <w:rsid w:val="005E20F3"/>
    <w:rsid w:val="005E48B8"/>
    <w:rsid w:val="005E4A14"/>
    <w:rsid w:val="005E6145"/>
    <w:rsid w:val="005F2611"/>
    <w:rsid w:val="005F4705"/>
    <w:rsid w:val="00602459"/>
    <w:rsid w:val="00602CFA"/>
    <w:rsid w:val="00603689"/>
    <w:rsid w:val="006041FF"/>
    <w:rsid w:val="00604FEB"/>
    <w:rsid w:val="00605DF0"/>
    <w:rsid w:val="00607328"/>
    <w:rsid w:val="00607F19"/>
    <w:rsid w:val="00613C72"/>
    <w:rsid w:val="00613EFA"/>
    <w:rsid w:val="006143A1"/>
    <w:rsid w:val="00614C9C"/>
    <w:rsid w:val="006178C3"/>
    <w:rsid w:val="00620497"/>
    <w:rsid w:val="006213A4"/>
    <w:rsid w:val="00621BE6"/>
    <w:rsid w:val="00623245"/>
    <w:rsid w:val="00623B44"/>
    <w:rsid w:val="0062564F"/>
    <w:rsid w:val="00625E6B"/>
    <w:rsid w:val="00627489"/>
    <w:rsid w:val="00630587"/>
    <w:rsid w:val="006311C3"/>
    <w:rsid w:val="00631388"/>
    <w:rsid w:val="00632A0B"/>
    <w:rsid w:val="00634177"/>
    <w:rsid w:val="006368E8"/>
    <w:rsid w:val="006377EE"/>
    <w:rsid w:val="00637F54"/>
    <w:rsid w:val="0064078B"/>
    <w:rsid w:val="0064092C"/>
    <w:rsid w:val="00641CD6"/>
    <w:rsid w:val="006428E7"/>
    <w:rsid w:val="0064311B"/>
    <w:rsid w:val="00645476"/>
    <w:rsid w:val="00645794"/>
    <w:rsid w:val="00645966"/>
    <w:rsid w:val="00646513"/>
    <w:rsid w:val="006506EA"/>
    <w:rsid w:val="0065084B"/>
    <w:rsid w:val="0065501A"/>
    <w:rsid w:val="00662F60"/>
    <w:rsid w:val="00667941"/>
    <w:rsid w:val="00670AEC"/>
    <w:rsid w:val="00671B34"/>
    <w:rsid w:val="00673596"/>
    <w:rsid w:val="00676E53"/>
    <w:rsid w:val="0068253E"/>
    <w:rsid w:val="006854C2"/>
    <w:rsid w:val="006858B3"/>
    <w:rsid w:val="0068607D"/>
    <w:rsid w:val="00693DAE"/>
    <w:rsid w:val="0069612C"/>
    <w:rsid w:val="00696FBA"/>
    <w:rsid w:val="006A185C"/>
    <w:rsid w:val="006A3802"/>
    <w:rsid w:val="006A3A52"/>
    <w:rsid w:val="006A708B"/>
    <w:rsid w:val="006B3359"/>
    <w:rsid w:val="006B3D37"/>
    <w:rsid w:val="006B4598"/>
    <w:rsid w:val="006B510F"/>
    <w:rsid w:val="006C0F8F"/>
    <w:rsid w:val="006C191A"/>
    <w:rsid w:val="006C2AFE"/>
    <w:rsid w:val="006C4AE2"/>
    <w:rsid w:val="006D55BE"/>
    <w:rsid w:val="006D68BF"/>
    <w:rsid w:val="006D6902"/>
    <w:rsid w:val="006E1DA0"/>
    <w:rsid w:val="006F14E3"/>
    <w:rsid w:val="006F28F1"/>
    <w:rsid w:val="006F3D46"/>
    <w:rsid w:val="00701699"/>
    <w:rsid w:val="00701FD5"/>
    <w:rsid w:val="0070353C"/>
    <w:rsid w:val="00705E86"/>
    <w:rsid w:val="00707A97"/>
    <w:rsid w:val="00710CC7"/>
    <w:rsid w:val="00711A61"/>
    <w:rsid w:val="007128F3"/>
    <w:rsid w:val="007136D6"/>
    <w:rsid w:val="00715032"/>
    <w:rsid w:val="00716944"/>
    <w:rsid w:val="007169AE"/>
    <w:rsid w:val="00716D7F"/>
    <w:rsid w:val="0072710D"/>
    <w:rsid w:val="0073176E"/>
    <w:rsid w:val="007318C1"/>
    <w:rsid w:val="00731D40"/>
    <w:rsid w:val="0074095D"/>
    <w:rsid w:val="00741375"/>
    <w:rsid w:val="00743FA9"/>
    <w:rsid w:val="0074420F"/>
    <w:rsid w:val="0074691B"/>
    <w:rsid w:val="0075005F"/>
    <w:rsid w:val="007510A6"/>
    <w:rsid w:val="007518CF"/>
    <w:rsid w:val="0075214D"/>
    <w:rsid w:val="00752721"/>
    <w:rsid w:val="00754C8E"/>
    <w:rsid w:val="00755B38"/>
    <w:rsid w:val="00756DCE"/>
    <w:rsid w:val="0076118F"/>
    <w:rsid w:val="0076269C"/>
    <w:rsid w:val="007629E2"/>
    <w:rsid w:val="007655BF"/>
    <w:rsid w:val="00770A9D"/>
    <w:rsid w:val="00771522"/>
    <w:rsid w:val="00772E01"/>
    <w:rsid w:val="007750C0"/>
    <w:rsid w:val="007754FB"/>
    <w:rsid w:val="00775771"/>
    <w:rsid w:val="00776922"/>
    <w:rsid w:val="00776A5F"/>
    <w:rsid w:val="00781956"/>
    <w:rsid w:val="00783F1E"/>
    <w:rsid w:val="0078638A"/>
    <w:rsid w:val="007930DD"/>
    <w:rsid w:val="00793EF3"/>
    <w:rsid w:val="007940D5"/>
    <w:rsid w:val="00796A14"/>
    <w:rsid w:val="007A0D3D"/>
    <w:rsid w:val="007A0F1E"/>
    <w:rsid w:val="007A120B"/>
    <w:rsid w:val="007A1944"/>
    <w:rsid w:val="007A37C9"/>
    <w:rsid w:val="007A4EA7"/>
    <w:rsid w:val="007A4F1D"/>
    <w:rsid w:val="007A61AD"/>
    <w:rsid w:val="007A7178"/>
    <w:rsid w:val="007A73AA"/>
    <w:rsid w:val="007B0152"/>
    <w:rsid w:val="007B039D"/>
    <w:rsid w:val="007B0D66"/>
    <w:rsid w:val="007B10E7"/>
    <w:rsid w:val="007B1C57"/>
    <w:rsid w:val="007B2C14"/>
    <w:rsid w:val="007B3558"/>
    <w:rsid w:val="007B76EC"/>
    <w:rsid w:val="007C15D5"/>
    <w:rsid w:val="007C28F1"/>
    <w:rsid w:val="007C4CD6"/>
    <w:rsid w:val="007C5960"/>
    <w:rsid w:val="007C6C24"/>
    <w:rsid w:val="007C78F0"/>
    <w:rsid w:val="007D3162"/>
    <w:rsid w:val="007D4DFC"/>
    <w:rsid w:val="007D713B"/>
    <w:rsid w:val="007E42C5"/>
    <w:rsid w:val="007E5A19"/>
    <w:rsid w:val="007F040A"/>
    <w:rsid w:val="007F05D8"/>
    <w:rsid w:val="007F1240"/>
    <w:rsid w:val="007F26BF"/>
    <w:rsid w:val="007F50BD"/>
    <w:rsid w:val="007F54CB"/>
    <w:rsid w:val="007F7537"/>
    <w:rsid w:val="0080078C"/>
    <w:rsid w:val="00800F5E"/>
    <w:rsid w:val="00804466"/>
    <w:rsid w:val="008066CC"/>
    <w:rsid w:val="0080793D"/>
    <w:rsid w:val="00807BEB"/>
    <w:rsid w:val="0081017A"/>
    <w:rsid w:val="008101FB"/>
    <w:rsid w:val="00812B37"/>
    <w:rsid w:val="00813F1A"/>
    <w:rsid w:val="008154C2"/>
    <w:rsid w:val="00820015"/>
    <w:rsid w:val="00821792"/>
    <w:rsid w:val="00824FBA"/>
    <w:rsid w:val="0082574B"/>
    <w:rsid w:val="00825DCE"/>
    <w:rsid w:val="008261DA"/>
    <w:rsid w:val="008309C3"/>
    <w:rsid w:val="008312C1"/>
    <w:rsid w:val="008338AF"/>
    <w:rsid w:val="0083770F"/>
    <w:rsid w:val="00837C42"/>
    <w:rsid w:val="00837CAA"/>
    <w:rsid w:val="00852D8F"/>
    <w:rsid w:val="00854D1F"/>
    <w:rsid w:val="00854E76"/>
    <w:rsid w:val="0085502F"/>
    <w:rsid w:val="00855A11"/>
    <w:rsid w:val="00856B13"/>
    <w:rsid w:val="00861128"/>
    <w:rsid w:val="00861C9E"/>
    <w:rsid w:val="008625CB"/>
    <w:rsid w:val="0086479E"/>
    <w:rsid w:val="00867E9F"/>
    <w:rsid w:val="008716F2"/>
    <w:rsid w:val="00883A00"/>
    <w:rsid w:val="00883CCC"/>
    <w:rsid w:val="0088602B"/>
    <w:rsid w:val="008907AA"/>
    <w:rsid w:val="00890DE4"/>
    <w:rsid w:val="00894F61"/>
    <w:rsid w:val="008957CA"/>
    <w:rsid w:val="00896C28"/>
    <w:rsid w:val="00897980"/>
    <w:rsid w:val="00897B3E"/>
    <w:rsid w:val="008A2BBD"/>
    <w:rsid w:val="008A367B"/>
    <w:rsid w:val="008A5A2B"/>
    <w:rsid w:val="008A78D9"/>
    <w:rsid w:val="008B111C"/>
    <w:rsid w:val="008B1A3E"/>
    <w:rsid w:val="008B58DC"/>
    <w:rsid w:val="008C1FE4"/>
    <w:rsid w:val="008C2C67"/>
    <w:rsid w:val="008C2E6A"/>
    <w:rsid w:val="008C3B34"/>
    <w:rsid w:val="008C503D"/>
    <w:rsid w:val="008C5C3A"/>
    <w:rsid w:val="008D1C02"/>
    <w:rsid w:val="008D27F5"/>
    <w:rsid w:val="008D2FF5"/>
    <w:rsid w:val="008D3ACF"/>
    <w:rsid w:val="008D4A0B"/>
    <w:rsid w:val="008D75EB"/>
    <w:rsid w:val="008D79F2"/>
    <w:rsid w:val="008F5D96"/>
    <w:rsid w:val="009017C7"/>
    <w:rsid w:val="00903DB3"/>
    <w:rsid w:val="0090791A"/>
    <w:rsid w:val="00907E45"/>
    <w:rsid w:val="009127F4"/>
    <w:rsid w:val="0091354C"/>
    <w:rsid w:val="00913F7C"/>
    <w:rsid w:val="00914FFF"/>
    <w:rsid w:val="00917DFA"/>
    <w:rsid w:val="00917F47"/>
    <w:rsid w:val="0092329A"/>
    <w:rsid w:val="00926200"/>
    <w:rsid w:val="00926459"/>
    <w:rsid w:val="0093779A"/>
    <w:rsid w:val="00942169"/>
    <w:rsid w:val="00944BCE"/>
    <w:rsid w:val="0094543C"/>
    <w:rsid w:val="009471CB"/>
    <w:rsid w:val="009473CE"/>
    <w:rsid w:val="00947541"/>
    <w:rsid w:val="00947749"/>
    <w:rsid w:val="009501E0"/>
    <w:rsid w:val="00961116"/>
    <w:rsid w:val="009613E0"/>
    <w:rsid w:val="00961919"/>
    <w:rsid w:val="009632A9"/>
    <w:rsid w:val="00966D73"/>
    <w:rsid w:val="009719D6"/>
    <w:rsid w:val="00971EEF"/>
    <w:rsid w:val="0097292F"/>
    <w:rsid w:val="00973B59"/>
    <w:rsid w:val="00975FE4"/>
    <w:rsid w:val="0097621B"/>
    <w:rsid w:val="009771E7"/>
    <w:rsid w:val="009824F6"/>
    <w:rsid w:val="00983099"/>
    <w:rsid w:val="00985848"/>
    <w:rsid w:val="00991457"/>
    <w:rsid w:val="00992163"/>
    <w:rsid w:val="0099444B"/>
    <w:rsid w:val="00995A27"/>
    <w:rsid w:val="00995A98"/>
    <w:rsid w:val="009975D3"/>
    <w:rsid w:val="00997A82"/>
    <w:rsid w:val="00997BBB"/>
    <w:rsid w:val="009A191D"/>
    <w:rsid w:val="009A2D96"/>
    <w:rsid w:val="009A3C86"/>
    <w:rsid w:val="009A3D8C"/>
    <w:rsid w:val="009A4053"/>
    <w:rsid w:val="009A4B11"/>
    <w:rsid w:val="009A5D13"/>
    <w:rsid w:val="009A72EF"/>
    <w:rsid w:val="009B153E"/>
    <w:rsid w:val="009B3F07"/>
    <w:rsid w:val="009B4552"/>
    <w:rsid w:val="009B6673"/>
    <w:rsid w:val="009B7172"/>
    <w:rsid w:val="009C154A"/>
    <w:rsid w:val="009C2E4B"/>
    <w:rsid w:val="009C4287"/>
    <w:rsid w:val="009C652E"/>
    <w:rsid w:val="009D0389"/>
    <w:rsid w:val="009D0660"/>
    <w:rsid w:val="009D2470"/>
    <w:rsid w:val="009D4007"/>
    <w:rsid w:val="009D4CE1"/>
    <w:rsid w:val="009D6C95"/>
    <w:rsid w:val="009E11B3"/>
    <w:rsid w:val="009E5854"/>
    <w:rsid w:val="009E7945"/>
    <w:rsid w:val="009F4135"/>
    <w:rsid w:val="009F48C3"/>
    <w:rsid w:val="009F4A3D"/>
    <w:rsid w:val="009F51B7"/>
    <w:rsid w:val="009F6CBC"/>
    <w:rsid w:val="00A01E34"/>
    <w:rsid w:val="00A035A5"/>
    <w:rsid w:val="00A03B6C"/>
    <w:rsid w:val="00A066B1"/>
    <w:rsid w:val="00A10963"/>
    <w:rsid w:val="00A20199"/>
    <w:rsid w:val="00A2120E"/>
    <w:rsid w:val="00A22D7B"/>
    <w:rsid w:val="00A25ADF"/>
    <w:rsid w:val="00A26FDB"/>
    <w:rsid w:val="00A30F27"/>
    <w:rsid w:val="00A370B3"/>
    <w:rsid w:val="00A42D6F"/>
    <w:rsid w:val="00A430EB"/>
    <w:rsid w:val="00A43465"/>
    <w:rsid w:val="00A45266"/>
    <w:rsid w:val="00A45C25"/>
    <w:rsid w:val="00A52D78"/>
    <w:rsid w:val="00A53349"/>
    <w:rsid w:val="00A53359"/>
    <w:rsid w:val="00A5399B"/>
    <w:rsid w:val="00A53E47"/>
    <w:rsid w:val="00A54722"/>
    <w:rsid w:val="00A54FDE"/>
    <w:rsid w:val="00A561DF"/>
    <w:rsid w:val="00A5696F"/>
    <w:rsid w:val="00A56BB7"/>
    <w:rsid w:val="00A56D84"/>
    <w:rsid w:val="00A60806"/>
    <w:rsid w:val="00A62146"/>
    <w:rsid w:val="00A653DE"/>
    <w:rsid w:val="00A6561F"/>
    <w:rsid w:val="00A659B0"/>
    <w:rsid w:val="00A70C1C"/>
    <w:rsid w:val="00A7109E"/>
    <w:rsid w:val="00A7625F"/>
    <w:rsid w:val="00A80067"/>
    <w:rsid w:val="00A82508"/>
    <w:rsid w:val="00A82D83"/>
    <w:rsid w:val="00A83F0D"/>
    <w:rsid w:val="00A86389"/>
    <w:rsid w:val="00A8668C"/>
    <w:rsid w:val="00A9022E"/>
    <w:rsid w:val="00A90CB6"/>
    <w:rsid w:val="00A911EA"/>
    <w:rsid w:val="00A91AF4"/>
    <w:rsid w:val="00A92BB4"/>
    <w:rsid w:val="00AA106D"/>
    <w:rsid w:val="00AA17D8"/>
    <w:rsid w:val="00AA55E7"/>
    <w:rsid w:val="00AA58F4"/>
    <w:rsid w:val="00AA6757"/>
    <w:rsid w:val="00AB3452"/>
    <w:rsid w:val="00AB3871"/>
    <w:rsid w:val="00AB6233"/>
    <w:rsid w:val="00AB6A8C"/>
    <w:rsid w:val="00AB7431"/>
    <w:rsid w:val="00AC2968"/>
    <w:rsid w:val="00AC39A4"/>
    <w:rsid w:val="00AC6A12"/>
    <w:rsid w:val="00AC79AA"/>
    <w:rsid w:val="00AD07EF"/>
    <w:rsid w:val="00AD0E1B"/>
    <w:rsid w:val="00AD344A"/>
    <w:rsid w:val="00AD4DD1"/>
    <w:rsid w:val="00AE62E3"/>
    <w:rsid w:val="00AE6639"/>
    <w:rsid w:val="00AE7911"/>
    <w:rsid w:val="00AF0574"/>
    <w:rsid w:val="00AF140C"/>
    <w:rsid w:val="00AF23B5"/>
    <w:rsid w:val="00AF2818"/>
    <w:rsid w:val="00AF45FB"/>
    <w:rsid w:val="00AF59AA"/>
    <w:rsid w:val="00AF7823"/>
    <w:rsid w:val="00B01901"/>
    <w:rsid w:val="00B0271E"/>
    <w:rsid w:val="00B028E4"/>
    <w:rsid w:val="00B047E4"/>
    <w:rsid w:val="00B074B7"/>
    <w:rsid w:val="00B07F91"/>
    <w:rsid w:val="00B12ACA"/>
    <w:rsid w:val="00B144F4"/>
    <w:rsid w:val="00B159BF"/>
    <w:rsid w:val="00B16685"/>
    <w:rsid w:val="00B169B9"/>
    <w:rsid w:val="00B16EE7"/>
    <w:rsid w:val="00B17664"/>
    <w:rsid w:val="00B2567B"/>
    <w:rsid w:val="00B2577C"/>
    <w:rsid w:val="00B341F1"/>
    <w:rsid w:val="00B36A48"/>
    <w:rsid w:val="00B43030"/>
    <w:rsid w:val="00B45ABF"/>
    <w:rsid w:val="00B5042C"/>
    <w:rsid w:val="00B506E0"/>
    <w:rsid w:val="00B526E8"/>
    <w:rsid w:val="00B536D7"/>
    <w:rsid w:val="00B57907"/>
    <w:rsid w:val="00B62A82"/>
    <w:rsid w:val="00B63EEC"/>
    <w:rsid w:val="00B70875"/>
    <w:rsid w:val="00B719C5"/>
    <w:rsid w:val="00B72474"/>
    <w:rsid w:val="00B73A8C"/>
    <w:rsid w:val="00B73C8A"/>
    <w:rsid w:val="00B76767"/>
    <w:rsid w:val="00B775F6"/>
    <w:rsid w:val="00B7783F"/>
    <w:rsid w:val="00B80FA2"/>
    <w:rsid w:val="00B81965"/>
    <w:rsid w:val="00B84E56"/>
    <w:rsid w:val="00B865DB"/>
    <w:rsid w:val="00B901A5"/>
    <w:rsid w:val="00B922C1"/>
    <w:rsid w:val="00B965EA"/>
    <w:rsid w:val="00BA1EFE"/>
    <w:rsid w:val="00BA431B"/>
    <w:rsid w:val="00BA453D"/>
    <w:rsid w:val="00BA67AE"/>
    <w:rsid w:val="00BA6943"/>
    <w:rsid w:val="00BA70EC"/>
    <w:rsid w:val="00BB03EA"/>
    <w:rsid w:val="00BB0EC0"/>
    <w:rsid w:val="00BB705F"/>
    <w:rsid w:val="00BB7433"/>
    <w:rsid w:val="00BB799B"/>
    <w:rsid w:val="00BB7BB2"/>
    <w:rsid w:val="00BC043F"/>
    <w:rsid w:val="00BC3B5E"/>
    <w:rsid w:val="00BC3BEC"/>
    <w:rsid w:val="00BC79BB"/>
    <w:rsid w:val="00BD0570"/>
    <w:rsid w:val="00BD14FA"/>
    <w:rsid w:val="00BD181A"/>
    <w:rsid w:val="00BD1ECC"/>
    <w:rsid w:val="00BD2F4B"/>
    <w:rsid w:val="00BD5257"/>
    <w:rsid w:val="00BD5E27"/>
    <w:rsid w:val="00BE2C3F"/>
    <w:rsid w:val="00BE6BE1"/>
    <w:rsid w:val="00BE6D7E"/>
    <w:rsid w:val="00BF07C6"/>
    <w:rsid w:val="00BF1E25"/>
    <w:rsid w:val="00BF4E35"/>
    <w:rsid w:val="00BF64A9"/>
    <w:rsid w:val="00C002A9"/>
    <w:rsid w:val="00C02198"/>
    <w:rsid w:val="00C034CD"/>
    <w:rsid w:val="00C03B7F"/>
    <w:rsid w:val="00C04FEF"/>
    <w:rsid w:val="00C06382"/>
    <w:rsid w:val="00C069E4"/>
    <w:rsid w:val="00C119C6"/>
    <w:rsid w:val="00C127D8"/>
    <w:rsid w:val="00C150FB"/>
    <w:rsid w:val="00C162E3"/>
    <w:rsid w:val="00C16F86"/>
    <w:rsid w:val="00C21837"/>
    <w:rsid w:val="00C21F4A"/>
    <w:rsid w:val="00C22B94"/>
    <w:rsid w:val="00C30337"/>
    <w:rsid w:val="00C30AEE"/>
    <w:rsid w:val="00C319C7"/>
    <w:rsid w:val="00C348AA"/>
    <w:rsid w:val="00C34F5C"/>
    <w:rsid w:val="00C35826"/>
    <w:rsid w:val="00C36D46"/>
    <w:rsid w:val="00C37147"/>
    <w:rsid w:val="00C37CB0"/>
    <w:rsid w:val="00C408CF"/>
    <w:rsid w:val="00C436DB"/>
    <w:rsid w:val="00C51A59"/>
    <w:rsid w:val="00C52AE8"/>
    <w:rsid w:val="00C550DB"/>
    <w:rsid w:val="00C55502"/>
    <w:rsid w:val="00C56E14"/>
    <w:rsid w:val="00C61C3C"/>
    <w:rsid w:val="00C624F1"/>
    <w:rsid w:val="00C64391"/>
    <w:rsid w:val="00C70913"/>
    <w:rsid w:val="00C77E6E"/>
    <w:rsid w:val="00C80195"/>
    <w:rsid w:val="00C8213C"/>
    <w:rsid w:val="00C821C1"/>
    <w:rsid w:val="00C82A01"/>
    <w:rsid w:val="00C91804"/>
    <w:rsid w:val="00C93A0F"/>
    <w:rsid w:val="00C96C96"/>
    <w:rsid w:val="00C9781F"/>
    <w:rsid w:val="00CA0372"/>
    <w:rsid w:val="00CA3B2F"/>
    <w:rsid w:val="00CA4197"/>
    <w:rsid w:val="00CA587B"/>
    <w:rsid w:val="00CB3D36"/>
    <w:rsid w:val="00CB42F2"/>
    <w:rsid w:val="00CC0AEF"/>
    <w:rsid w:val="00CC32A9"/>
    <w:rsid w:val="00CC6C38"/>
    <w:rsid w:val="00CD17D1"/>
    <w:rsid w:val="00CD46DE"/>
    <w:rsid w:val="00CD533C"/>
    <w:rsid w:val="00CD7ADF"/>
    <w:rsid w:val="00CE2A01"/>
    <w:rsid w:val="00CE2C2F"/>
    <w:rsid w:val="00CE4C94"/>
    <w:rsid w:val="00CF13A1"/>
    <w:rsid w:val="00CF1BFA"/>
    <w:rsid w:val="00CF2BAA"/>
    <w:rsid w:val="00CF33BA"/>
    <w:rsid w:val="00CF5106"/>
    <w:rsid w:val="00CF5111"/>
    <w:rsid w:val="00CF66DB"/>
    <w:rsid w:val="00D00F9E"/>
    <w:rsid w:val="00D03EBC"/>
    <w:rsid w:val="00D1453D"/>
    <w:rsid w:val="00D1462B"/>
    <w:rsid w:val="00D16083"/>
    <w:rsid w:val="00D175B6"/>
    <w:rsid w:val="00D17D2A"/>
    <w:rsid w:val="00D208A8"/>
    <w:rsid w:val="00D22174"/>
    <w:rsid w:val="00D24C88"/>
    <w:rsid w:val="00D24D77"/>
    <w:rsid w:val="00D24FDA"/>
    <w:rsid w:val="00D250E0"/>
    <w:rsid w:val="00D27B4E"/>
    <w:rsid w:val="00D33831"/>
    <w:rsid w:val="00D344DB"/>
    <w:rsid w:val="00D362C6"/>
    <w:rsid w:val="00D40AA1"/>
    <w:rsid w:val="00D41397"/>
    <w:rsid w:val="00D41E84"/>
    <w:rsid w:val="00D426BE"/>
    <w:rsid w:val="00D435E9"/>
    <w:rsid w:val="00D4384A"/>
    <w:rsid w:val="00D4691F"/>
    <w:rsid w:val="00D47FBB"/>
    <w:rsid w:val="00D50EB9"/>
    <w:rsid w:val="00D52B11"/>
    <w:rsid w:val="00D603A8"/>
    <w:rsid w:val="00D60434"/>
    <w:rsid w:val="00D654AE"/>
    <w:rsid w:val="00D655A4"/>
    <w:rsid w:val="00D65B42"/>
    <w:rsid w:val="00D73BAB"/>
    <w:rsid w:val="00D75220"/>
    <w:rsid w:val="00D75F57"/>
    <w:rsid w:val="00D76A6E"/>
    <w:rsid w:val="00D81483"/>
    <w:rsid w:val="00D85963"/>
    <w:rsid w:val="00D85965"/>
    <w:rsid w:val="00D86F7D"/>
    <w:rsid w:val="00D918E0"/>
    <w:rsid w:val="00D91E2B"/>
    <w:rsid w:val="00D932DE"/>
    <w:rsid w:val="00D93A03"/>
    <w:rsid w:val="00D947DE"/>
    <w:rsid w:val="00D94B68"/>
    <w:rsid w:val="00D9724A"/>
    <w:rsid w:val="00D97ED7"/>
    <w:rsid w:val="00DA0C1D"/>
    <w:rsid w:val="00DA124B"/>
    <w:rsid w:val="00DA151A"/>
    <w:rsid w:val="00DA30DC"/>
    <w:rsid w:val="00DA6C71"/>
    <w:rsid w:val="00DB5B73"/>
    <w:rsid w:val="00DB7AEF"/>
    <w:rsid w:val="00DC23FD"/>
    <w:rsid w:val="00DC461E"/>
    <w:rsid w:val="00DC5BEF"/>
    <w:rsid w:val="00DD319B"/>
    <w:rsid w:val="00DD4CAA"/>
    <w:rsid w:val="00DD5B22"/>
    <w:rsid w:val="00DD6FD7"/>
    <w:rsid w:val="00DE112F"/>
    <w:rsid w:val="00DE1D92"/>
    <w:rsid w:val="00DE32F0"/>
    <w:rsid w:val="00DE37E2"/>
    <w:rsid w:val="00DE5276"/>
    <w:rsid w:val="00DE5A2D"/>
    <w:rsid w:val="00DE6A80"/>
    <w:rsid w:val="00DE7FCC"/>
    <w:rsid w:val="00DF004A"/>
    <w:rsid w:val="00DF1280"/>
    <w:rsid w:val="00DF5893"/>
    <w:rsid w:val="00DF6355"/>
    <w:rsid w:val="00E0042B"/>
    <w:rsid w:val="00E015A4"/>
    <w:rsid w:val="00E06BCC"/>
    <w:rsid w:val="00E13DF9"/>
    <w:rsid w:val="00E1405D"/>
    <w:rsid w:val="00E15749"/>
    <w:rsid w:val="00E16CF1"/>
    <w:rsid w:val="00E24040"/>
    <w:rsid w:val="00E24521"/>
    <w:rsid w:val="00E2529A"/>
    <w:rsid w:val="00E26BD6"/>
    <w:rsid w:val="00E26D56"/>
    <w:rsid w:val="00E26FBA"/>
    <w:rsid w:val="00E278C6"/>
    <w:rsid w:val="00E307F9"/>
    <w:rsid w:val="00E31F09"/>
    <w:rsid w:val="00E325E5"/>
    <w:rsid w:val="00E330B0"/>
    <w:rsid w:val="00E34E68"/>
    <w:rsid w:val="00E40368"/>
    <w:rsid w:val="00E40D93"/>
    <w:rsid w:val="00E46B08"/>
    <w:rsid w:val="00E51F3C"/>
    <w:rsid w:val="00E53580"/>
    <w:rsid w:val="00E55693"/>
    <w:rsid w:val="00E561CA"/>
    <w:rsid w:val="00E568D8"/>
    <w:rsid w:val="00E57042"/>
    <w:rsid w:val="00E619A3"/>
    <w:rsid w:val="00E62781"/>
    <w:rsid w:val="00E63901"/>
    <w:rsid w:val="00E63FF9"/>
    <w:rsid w:val="00E643E8"/>
    <w:rsid w:val="00E647B8"/>
    <w:rsid w:val="00E64CEA"/>
    <w:rsid w:val="00E74EEC"/>
    <w:rsid w:val="00E76C0A"/>
    <w:rsid w:val="00E802CB"/>
    <w:rsid w:val="00E80366"/>
    <w:rsid w:val="00E83DFC"/>
    <w:rsid w:val="00E85570"/>
    <w:rsid w:val="00E86602"/>
    <w:rsid w:val="00E870A8"/>
    <w:rsid w:val="00E90ED7"/>
    <w:rsid w:val="00E91D45"/>
    <w:rsid w:val="00E92A30"/>
    <w:rsid w:val="00E92BE1"/>
    <w:rsid w:val="00EA19ED"/>
    <w:rsid w:val="00EA2D3F"/>
    <w:rsid w:val="00EA43CA"/>
    <w:rsid w:val="00EA7748"/>
    <w:rsid w:val="00EB0594"/>
    <w:rsid w:val="00EB0F18"/>
    <w:rsid w:val="00EB1C26"/>
    <w:rsid w:val="00EB21B5"/>
    <w:rsid w:val="00EB3775"/>
    <w:rsid w:val="00EB504E"/>
    <w:rsid w:val="00EB778F"/>
    <w:rsid w:val="00EC0AA7"/>
    <w:rsid w:val="00EC1107"/>
    <w:rsid w:val="00EC4AD6"/>
    <w:rsid w:val="00EC4CFB"/>
    <w:rsid w:val="00EC6B28"/>
    <w:rsid w:val="00EC75D9"/>
    <w:rsid w:val="00ED3168"/>
    <w:rsid w:val="00ED7E3C"/>
    <w:rsid w:val="00EE37B4"/>
    <w:rsid w:val="00EE4320"/>
    <w:rsid w:val="00EE4F4D"/>
    <w:rsid w:val="00EE793A"/>
    <w:rsid w:val="00EF1554"/>
    <w:rsid w:val="00EF185E"/>
    <w:rsid w:val="00EF1C28"/>
    <w:rsid w:val="00EF6B04"/>
    <w:rsid w:val="00EF7832"/>
    <w:rsid w:val="00F00248"/>
    <w:rsid w:val="00F0182B"/>
    <w:rsid w:val="00F02155"/>
    <w:rsid w:val="00F04124"/>
    <w:rsid w:val="00F05D03"/>
    <w:rsid w:val="00F06A57"/>
    <w:rsid w:val="00F10F9A"/>
    <w:rsid w:val="00F119A8"/>
    <w:rsid w:val="00F11B25"/>
    <w:rsid w:val="00F12C63"/>
    <w:rsid w:val="00F1365F"/>
    <w:rsid w:val="00F1440C"/>
    <w:rsid w:val="00F1777C"/>
    <w:rsid w:val="00F20F41"/>
    <w:rsid w:val="00F21FF0"/>
    <w:rsid w:val="00F23261"/>
    <w:rsid w:val="00F24C98"/>
    <w:rsid w:val="00F2557D"/>
    <w:rsid w:val="00F26297"/>
    <w:rsid w:val="00F2734A"/>
    <w:rsid w:val="00F332D1"/>
    <w:rsid w:val="00F3332A"/>
    <w:rsid w:val="00F36ED6"/>
    <w:rsid w:val="00F37260"/>
    <w:rsid w:val="00F37338"/>
    <w:rsid w:val="00F40EE3"/>
    <w:rsid w:val="00F41252"/>
    <w:rsid w:val="00F46090"/>
    <w:rsid w:val="00F50312"/>
    <w:rsid w:val="00F5191A"/>
    <w:rsid w:val="00F552D1"/>
    <w:rsid w:val="00F55476"/>
    <w:rsid w:val="00F55F7F"/>
    <w:rsid w:val="00F574FD"/>
    <w:rsid w:val="00F60612"/>
    <w:rsid w:val="00F60B14"/>
    <w:rsid w:val="00F6358D"/>
    <w:rsid w:val="00F6572D"/>
    <w:rsid w:val="00F66BB8"/>
    <w:rsid w:val="00F70CC2"/>
    <w:rsid w:val="00F81DFA"/>
    <w:rsid w:val="00F82E0D"/>
    <w:rsid w:val="00F87307"/>
    <w:rsid w:val="00F877B1"/>
    <w:rsid w:val="00F90462"/>
    <w:rsid w:val="00F94FDF"/>
    <w:rsid w:val="00F9628D"/>
    <w:rsid w:val="00F97A2D"/>
    <w:rsid w:val="00F97B08"/>
    <w:rsid w:val="00FA0D31"/>
    <w:rsid w:val="00FA1650"/>
    <w:rsid w:val="00FA1937"/>
    <w:rsid w:val="00FA2EDD"/>
    <w:rsid w:val="00FA357B"/>
    <w:rsid w:val="00FA37C8"/>
    <w:rsid w:val="00FA450A"/>
    <w:rsid w:val="00FA595B"/>
    <w:rsid w:val="00FA695F"/>
    <w:rsid w:val="00FB06B7"/>
    <w:rsid w:val="00FB21D1"/>
    <w:rsid w:val="00FB3238"/>
    <w:rsid w:val="00FB3D1B"/>
    <w:rsid w:val="00FB4805"/>
    <w:rsid w:val="00FB4AC4"/>
    <w:rsid w:val="00FB5E87"/>
    <w:rsid w:val="00FB6D94"/>
    <w:rsid w:val="00FB7197"/>
    <w:rsid w:val="00FB779D"/>
    <w:rsid w:val="00FC0293"/>
    <w:rsid w:val="00FC3407"/>
    <w:rsid w:val="00FC6071"/>
    <w:rsid w:val="00FD1B52"/>
    <w:rsid w:val="00FD1BF0"/>
    <w:rsid w:val="00FD3F4D"/>
    <w:rsid w:val="00FD405F"/>
    <w:rsid w:val="00FD78E9"/>
    <w:rsid w:val="00FE241D"/>
    <w:rsid w:val="00FE2992"/>
    <w:rsid w:val="00FE29A7"/>
    <w:rsid w:val="00FE2EE9"/>
    <w:rsid w:val="00FE3C01"/>
    <w:rsid w:val="00FE4B84"/>
    <w:rsid w:val="00FE59BE"/>
    <w:rsid w:val="00FF39E3"/>
    <w:rsid w:val="00FF5BD0"/>
    <w:rsid w:val="00FF5D3B"/>
    <w:rsid w:val="00FF63E5"/>
    <w:rsid w:val="00FF6A4B"/>
    <w:rsid w:val="00FF744D"/>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B94"/>
    <w:pPr>
      <w:widowControl w:val="0"/>
    </w:pPr>
    <w:rPr>
      <w:snapToGrid w:val="0"/>
      <w:kern w:val="28"/>
      <w:sz w:val="22"/>
    </w:rPr>
  </w:style>
  <w:style w:type="paragraph" w:styleId="Heading1">
    <w:name w:val="heading 1"/>
    <w:basedOn w:val="Normal"/>
    <w:next w:val="ParaNum"/>
    <w:qFormat/>
    <w:rsid w:val="00C22B94"/>
    <w:pPr>
      <w:keepNext/>
      <w:numPr>
        <w:numId w:val="4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22B94"/>
    <w:pPr>
      <w:keepNext/>
      <w:numPr>
        <w:ilvl w:val="1"/>
        <w:numId w:val="48"/>
      </w:numPr>
      <w:spacing w:after="120"/>
      <w:outlineLvl w:val="1"/>
    </w:pPr>
    <w:rPr>
      <w:b/>
    </w:rPr>
  </w:style>
  <w:style w:type="paragraph" w:styleId="Heading3">
    <w:name w:val="heading 3"/>
    <w:basedOn w:val="Normal"/>
    <w:next w:val="ParaNum"/>
    <w:qFormat/>
    <w:rsid w:val="00C22B94"/>
    <w:pPr>
      <w:keepNext/>
      <w:numPr>
        <w:ilvl w:val="2"/>
        <w:numId w:val="48"/>
      </w:numPr>
      <w:tabs>
        <w:tab w:val="left" w:pos="2160"/>
      </w:tabs>
      <w:spacing w:after="120"/>
      <w:outlineLvl w:val="2"/>
    </w:pPr>
    <w:rPr>
      <w:b/>
    </w:rPr>
  </w:style>
  <w:style w:type="paragraph" w:styleId="Heading4">
    <w:name w:val="heading 4"/>
    <w:basedOn w:val="Normal"/>
    <w:next w:val="ParaNum"/>
    <w:qFormat/>
    <w:rsid w:val="00C22B94"/>
    <w:pPr>
      <w:keepNext/>
      <w:numPr>
        <w:ilvl w:val="3"/>
        <w:numId w:val="48"/>
      </w:numPr>
      <w:tabs>
        <w:tab w:val="left" w:pos="2880"/>
      </w:tabs>
      <w:spacing w:after="120"/>
      <w:outlineLvl w:val="3"/>
    </w:pPr>
    <w:rPr>
      <w:b/>
    </w:rPr>
  </w:style>
  <w:style w:type="paragraph" w:styleId="Heading5">
    <w:name w:val="heading 5"/>
    <w:basedOn w:val="Normal"/>
    <w:next w:val="ParaNum"/>
    <w:qFormat/>
    <w:rsid w:val="00C22B94"/>
    <w:pPr>
      <w:keepNext/>
      <w:numPr>
        <w:ilvl w:val="4"/>
        <w:numId w:val="48"/>
      </w:numPr>
      <w:tabs>
        <w:tab w:val="left" w:pos="3600"/>
      </w:tabs>
      <w:suppressAutoHyphens/>
      <w:spacing w:after="120"/>
      <w:outlineLvl w:val="4"/>
    </w:pPr>
    <w:rPr>
      <w:b/>
    </w:rPr>
  </w:style>
  <w:style w:type="paragraph" w:styleId="Heading6">
    <w:name w:val="heading 6"/>
    <w:basedOn w:val="Normal"/>
    <w:next w:val="ParaNum"/>
    <w:qFormat/>
    <w:rsid w:val="00C22B94"/>
    <w:pPr>
      <w:numPr>
        <w:ilvl w:val="5"/>
        <w:numId w:val="48"/>
      </w:numPr>
      <w:tabs>
        <w:tab w:val="left" w:pos="4320"/>
      </w:tabs>
      <w:spacing w:after="120"/>
      <w:outlineLvl w:val="5"/>
    </w:pPr>
    <w:rPr>
      <w:b/>
    </w:rPr>
  </w:style>
  <w:style w:type="paragraph" w:styleId="Heading7">
    <w:name w:val="heading 7"/>
    <w:basedOn w:val="Normal"/>
    <w:next w:val="ParaNum"/>
    <w:qFormat/>
    <w:rsid w:val="00C22B94"/>
    <w:pPr>
      <w:numPr>
        <w:ilvl w:val="6"/>
        <w:numId w:val="48"/>
      </w:numPr>
      <w:tabs>
        <w:tab w:val="left" w:pos="5040"/>
      </w:tabs>
      <w:spacing w:after="120"/>
      <w:ind w:left="5040" w:hanging="720"/>
      <w:outlineLvl w:val="6"/>
    </w:pPr>
    <w:rPr>
      <w:b/>
    </w:rPr>
  </w:style>
  <w:style w:type="paragraph" w:styleId="Heading8">
    <w:name w:val="heading 8"/>
    <w:basedOn w:val="Normal"/>
    <w:next w:val="ParaNum"/>
    <w:qFormat/>
    <w:rsid w:val="00C22B94"/>
    <w:pPr>
      <w:numPr>
        <w:ilvl w:val="7"/>
        <w:numId w:val="48"/>
      </w:numPr>
      <w:tabs>
        <w:tab w:val="clear" w:pos="5400"/>
        <w:tab w:val="left" w:pos="5760"/>
      </w:tabs>
      <w:spacing w:after="120"/>
      <w:ind w:left="5760" w:hanging="720"/>
      <w:outlineLvl w:val="7"/>
    </w:pPr>
    <w:rPr>
      <w:b/>
    </w:rPr>
  </w:style>
  <w:style w:type="paragraph" w:styleId="Heading9">
    <w:name w:val="heading 9"/>
    <w:basedOn w:val="Normal"/>
    <w:next w:val="ParaNum"/>
    <w:qFormat/>
    <w:rsid w:val="00C22B94"/>
    <w:pPr>
      <w:numPr>
        <w:ilvl w:val="8"/>
        <w:numId w:val="4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2B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B94"/>
  </w:style>
  <w:style w:type="paragraph" w:styleId="Caption">
    <w:name w:val="caption"/>
    <w:basedOn w:val="Normal"/>
    <w:next w:val="Normal"/>
    <w:qFormat/>
    <w:pPr>
      <w:spacing w:before="120" w:after="120"/>
    </w:pPr>
    <w:rPr>
      <w:b/>
      <w:bCs/>
    </w:rPr>
  </w:style>
  <w:style w:type="paragraph" w:customStyle="1" w:styleId="ParaNum">
    <w:name w:val="ParaNum"/>
    <w:basedOn w:val="Normal"/>
    <w:rsid w:val="00C22B94"/>
    <w:pPr>
      <w:numPr>
        <w:numId w:val="47"/>
      </w:numPr>
      <w:tabs>
        <w:tab w:val="clear" w:pos="1080"/>
        <w:tab w:val="num" w:pos="1440"/>
      </w:tabs>
      <w:spacing w:after="120"/>
    </w:pPr>
  </w:style>
  <w:style w:type="paragraph" w:styleId="FootnoteText">
    <w:name w:val="footnote text"/>
    <w:link w:val="FootnoteTextChar"/>
    <w:rsid w:val="00C22B94"/>
    <w:pPr>
      <w:spacing w:after="120"/>
    </w:pPr>
  </w:style>
  <w:style w:type="paragraph" w:customStyle="1" w:styleId="Bullet">
    <w:name w:val="Bullet"/>
    <w:basedOn w:val="Normal"/>
    <w:rsid w:val="00C22B94"/>
    <w:pPr>
      <w:tabs>
        <w:tab w:val="left" w:pos="2160"/>
      </w:tabs>
      <w:spacing w:after="220"/>
      <w:ind w:left="2160" w:hanging="720"/>
    </w:pPr>
  </w:style>
  <w:style w:type="paragraph" w:styleId="BlockText">
    <w:name w:val="Block Text"/>
    <w:basedOn w:val="Normal"/>
    <w:rsid w:val="00C22B94"/>
    <w:pPr>
      <w:spacing w:after="240"/>
      <w:ind w:left="1440" w:right="1440"/>
    </w:pPr>
  </w:style>
  <w:style w:type="paragraph" w:customStyle="1" w:styleId="TableFormat">
    <w:name w:val="TableFormat"/>
    <w:basedOn w:val="Bullet"/>
    <w:rsid w:val="00C22B94"/>
    <w:pPr>
      <w:tabs>
        <w:tab w:val="clear" w:pos="2160"/>
        <w:tab w:val="left" w:pos="5040"/>
      </w:tabs>
      <w:ind w:left="5040" w:hanging="3600"/>
    </w:pPr>
  </w:style>
  <w:style w:type="character" w:styleId="FootnoteReference">
    <w:name w:val="footnote reference"/>
    <w:rsid w:val="00C22B94"/>
    <w:rPr>
      <w:rFonts w:ascii="Times New Roman" w:hAnsi="Times New Roman"/>
      <w:dstrike w:val="0"/>
      <w:color w:val="auto"/>
      <w:sz w:val="20"/>
      <w:vertAlign w:val="superscript"/>
    </w:rPr>
  </w:style>
  <w:style w:type="paragraph" w:styleId="Header">
    <w:name w:val="header"/>
    <w:basedOn w:val="Normal"/>
    <w:autoRedefine/>
    <w:rsid w:val="00C22B94"/>
    <w:pPr>
      <w:tabs>
        <w:tab w:val="center" w:pos="4680"/>
        <w:tab w:val="right" w:pos="9360"/>
      </w:tabs>
    </w:pPr>
    <w:rPr>
      <w:b/>
    </w:rPr>
  </w:style>
  <w:style w:type="paragraph" w:styleId="Footer">
    <w:name w:val="footer"/>
    <w:basedOn w:val="Normal"/>
    <w:rsid w:val="00C22B94"/>
    <w:pPr>
      <w:tabs>
        <w:tab w:val="center" w:pos="4320"/>
        <w:tab w:val="right" w:pos="8640"/>
      </w:tabs>
    </w:pPr>
  </w:style>
  <w:style w:type="paragraph" w:styleId="TOC2">
    <w:name w:val="toc 2"/>
    <w:basedOn w:val="Normal"/>
    <w:next w:val="Normal"/>
    <w:semiHidden/>
    <w:rsid w:val="00C22B9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22B9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22B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2B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2B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2B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2B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2B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2B94"/>
    <w:pPr>
      <w:tabs>
        <w:tab w:val="left" w:pos="3240"/>
        <w:tab w:val="right" w:leader="dot" w:pos="9360"/>
      </w:tabs>
      <w:suppressAutoHyphens/>
      <w:ind w:left="3240" w:hanging="360"/>
    </w:pPr>
    <w:rPr>
      <w:noProof/>
    </w:rPr>
  </w:style>
  <w:style w:type="character" w:styleId="PageNumber">
    <w:name w:val="page number"/>
    <w:basedOn w:val="DefaultParagraphFont"/>
    <w:rsid w:val="00C22B94"/>
  </w:style>
  <w:style w:type="paragraph" w:styleId="Title">
    <w:name w:val="Title"/>
    <w:basedOn w:val="Normal"/>
    <w:qFormat/>
    <w:pPr>
      <w:jc w:val="center"/>
    </w:pPr>
    <w:rPr>
      <w:b/>
      <w:bCs/>
    </w:rPr>
  </w:style>
  <w:style w:type="character" w:styleId="Hyperlink">
    <w:name w:val="Hyperlink"/>
    <w:rsid w:val="00C22B94"/>
    <w:rPr>
      <w:color w:val="0000FF"/>
      <w:u w:val="single"/>
    </w:rPr>
  </w:style>
  <w:style w:type="character" w:customStyle="1" w:styleId="FootnoteTextChar">
    <w:name w:val="Footnote Text Char"/>
    <w:link w:val="FootnoteText"/>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C22B94"/>
    <w:rPr>
      <w:sz w:val="20"/>
    </w:rPr>
  </w:style>
  <w:style w:type="character" w:customStyle="1" w:styleId="EndnoteTextChar">
    <w:name w:val="Endnote Text Char"/>
    <w:basedOn w:val="DefaultParagraphFont"/>
    <w:link w:val="EndnoteText"/>
    <w:rsid w:val="00394710"/>
    <w:rPr>
      <w:snapToGrid w:val="0"/>
      <w:kern w:val="28"/>
    </w:rPr>
  </w:style>
  <w:style w:type="character" w:styleId="EndnoteReference">
    <w:name w:val="endnote reference"/>
    <w:rsid w:val="00C22B94"/>
    <w:rPr>
      <w:vertAlign w:val="superscript"/>
    </w:rPr>
  </w:style>
  <w:style w:type="paragraph" w:styleId="TOAHeading">
    <w:name w:val="toa heading"/>
    <w:basedOn w:val="Normal"/>
    <w:next w:val="Normal"/>
    <w:rsid w:val="00C22B94"/>
    <w:pPr>
      <w:tabs>
        <w:tab w:val="right" w:pos="9360"/>
      </w:tabs>
      <w:suppressAutoHyphens/>
    </w:pPr>
  </w:style>
  <w:style w:type="character" w:customStyle="1" w:styleId="EquationCaption">
    <w:name w:val="_Equation Caption"/>
    <w:rsid w:val="00C22B94"/>
  </w:style>
  <w:style w:type="paragraph" w:customStyle="1" w:styleId="Paratitle">
    <w:name w:val="Para title"/>
    <w:basedOn w:val="Normal"/>
    <w:rsid w:val="00C22B94"/>
    <w:pPr>
      <w:tabs>
        <w:tab w:val="center" w:pos="9270"/>
      </w:tabs>
      <w:spacing w:after="240"/>
    </w:pPr>
    <w:rPr>
      <w:spacing w:val="-2"/>
    </w:rPr>
  </w:style>
  <w:style w:type="paragraph" w:customStyle="1" w:styleId="TOCTitle">
    <w:name w:val="TOC Title"/>
    <w:basedOn w:val="Normal"/>
    <w:rsid w:val="00C22B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2B94"/>
    <w:pPr>
      <w:jc w:val="center"/>
    </w:pPr>
    <w:rPr>
      <w:rFonts w:ascii="Times New Roman Bold" w:hAnsi="Times New Roman Bold"/>
      <w:b/>
      <w:bCs/>
      <w:caps/>
      <w:szCs w:val="22"/>
    </w:rPr>
  </w:style>
  <w:style w:type="paragraph" w:styleId="PlainText">
    <w:name w:val="Plain Text"/>
    <w:basedOn w:val="Normal"/>
    <w:link w:val="PlainTextChar"/>
    <w:uiPriority w:val="99"/>
    <w:unhideWhenUsed/>
    <w:rsid w:val="007169AE"/>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7169AE"/>
    <w:rPr>
      <w:rFonts w:ascii="Calibri" w:eastAsiaTheme="minorHAnsi" w:hAnsi="Calibri" w:cstheme="minorBidi"/>
      <w:sz w:val="22"/>
      <w:szCs w:val="21"/>
    </w:rPr>
  </w:style>
  <w:style w:type="paragraph" w:styleId="ListParagraph">
    <w:name w:val="List Paragraph"/>
    <w:basedOn w:val="Normal"/>
    <w:uiPriority w:val="34"/>
    <w:qFormat/>
    <w:rsid w:val="00673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B94"/>
    <w:pPr>
      <w:widowControl w:val="0"/>
    </w:pPr>
    <w:rPr>
      <w:snapToGrid w:val="0"/>
      <w:kern w:val="28"/>
      <w:sz w:val="22"/>
    </w:rPr>
  </w:style>
  <w:style w:type="paragraph" w:styleId="Heading1">
    <w:name w:val="heading 1"/>
    <w:basedOn w:val="Normal"/>
    <w:next w:val="ParaNum"/>
    <w:qFormat/>
    <w:rsid w:val="00C22B94"/>
    <w:pPr>
      <w:keepNext/>
      <w:numPr>
        <w:numId w:val="4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22B94"/>
    <w:pPr>
      <w:keepNext/>
      <w:numPr>
        <w:ilvl w:val="1"/>
        <w:numId w:val="48"/>
      </w:numPr>
      <w:spacing w:after="120"/>
      <w:outlineLvl w:val="1"/>
    </w:pPr>
    <w:rPr>
      <w:b/>
    </w:rPr>
  </w:style>
  <w:style w:type="paragraph" w:styleId="Heading3">
    <w:name w:val="heading 3"/>
    <w:basedOn w:val="Normal"/>
    <w:next w:val="ParaNum"/>
    <w:qFormat/>
    <w:rsid w:val="00C22B94"/>
    <w:pPr>
      <w:keepNext/>
      <w:numPr>
        <w:ilvl w:val="2"/>
        <w:numId w:val="48"/>
      </w:numPr>
      <w:tabs>
        <w:tab w:val="left" w:pos="2160"/>
      </w:tabs>
      <w:spacing w:after="120"/>
      <w:outlineLvl w:val="2"/>
    </w:pPr>
    <w:rPr>
      <w:b/>
    </w:rPr>
  </w:style>
  <w:style w:type="paragraph" w:styleId="Heading4">
    <w:name w:val="heading 4"/>
    <w:basedOn w:val="Normal"/>
    <w:next w:val="ParaNum"/>
    <w:qFormat/>
    <w:rsid w:val="00C22B94"/>
    <w:pPr>
      <w:keepNext/>
      <w:numPr>
        <w:ilvl w:val="3"/>
        <w:numId w:val="48"/>
      </w:numPr>
      <w:tabs>
        <w:tab w:val="left" w:pos="2880"/>
      </w:tabs>
      <w:spacing w:after="120"/>
      <w:outlineLvl w:val="3"/>
    </w:pPr>
    <w:rPr>
      <w:b/>
    </w:rPr>
  </w:style>
  <w:style w:type="paragraph" w:styleId="Heading5">
    <w:name w:val="heading 5"/>
    <w:basedOn w:val="Normal"/>
    <w:next w:val="ParaNum"/>
    <w:qFormat/>
    <w:rsid w:val="00C22B94"/>
    <w:pPr>
      <w:keepNext/>
      <w:numPr>
        <w:ilvl w:val="4"/>
        <w:numId w:val="48"/>
      </w:numPr>
      <w:tabs>
        <w:tab w:val="left" w:pos="3600"/>
      </w:tabs>
      <w:suppressAutoHyphens/>
      <w:spacing w:after="120"/>
      <w:outlineLvl w:val="4"/>
    </w:pPr>
    <w:rPr>
      <w:b/>
    </w:rPr>
  </w:style>
  <w:style w:type="paragraph" w:styleId="Heading6">
    <w:name w:val="heading 6"/>
    <w:basedOn w:val="Normal"/>
    <w:next w:val="ParaNum"/>
    <w:qFormat/>
    <w:rsid w:val="00C22B94"/>
    <w:pPr>
      <w:numPr>
        <w:ilvl w:val="5"/>
        <w:numId w:val="48"/>
      </w:numPr>
      <w:tabs>
        <w:tab w:val="left" w:pos="4320"/>
      </w:tabs>
      <w:spacing w:after="120"/>
      <w:outlineLvl w:val="5"/>
    </w:pPr>
    <w:rPr>
      <w:b/>
    </w:rPr>
  </w:style>
  <w:style w:type="paragraph" w:styleId="Heading7">
    <w:name w:val="heading 7"/>
    <w:basedOn w:val="Normal"/>
    <w:next w:val="ParaNum"/>
    <w:qFormat/>
    <w:rsid w:val="00C22B94"/>
    <w:pPr>
      <w:numPr>
        <w:ilvl w:val="6"/>
        <w:numId w:val="48"/>
      </w:numPr>
      <w:tabs>
        <w:tab w:val="left" w:pos="5040"/>
      </w:tabs>
      <w:spacing w:after="120"/>
      <w:ind w:left="5040" w:hanging="720"/>
      <w:outlineLvl w:val="6"/>
    </w:pPr>
    <w:rPr>
      <w:b/>
    </w:rPr>
  </w:style>
  <w:style w:type="paragraph" w:styleId="Heading8">
    <w:name w:val="heading 8"/>
    <w:basedOn w:val="Normal"/>
    <w:next w:val="ParaNum"/>
    <w:qFormat/>
    <w:rsid w:val="00C22B94"/>
    <w:pPr>
      <w:numPr>
        <w:ilvl w:val="7"/>
        <w:numId w:val="48"/>
      </w:numPr>
      <w:tabs>
        <w:tab w:val="clear" w:pos="5400"/>
        <w:tab w:val="left" w:pos="5760"/>
      </w:tabs>
      <w:spacing w:after="120"/>
      <w:ind w:left="5760" w:hanging="720"/>
      <w:outlineLvl w:val="7"/>
    </w:pPr>
    <w:rPr>
      <w:b/>
    </w:rPr>
  </w:style>
  <w:style w:type="paragraph" w:styleId="Heading9">
    <w:name w:val="heading 9"/>
    <w:basedOn w:val="Normal"/>
    <w:next w:val="ParaNum"/>
    <w:qFormat/>
    <w:rsid w:val="00C22B94"/>
    <w:pPr>
      <w:numPr>
        <w:ilvl w:val="8"/>
        <w:numId w:val="4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22B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B94"/>
  </w:style>
  <w:style w:type="paragraph" w:styleId="Caption">
    <w:name w:val="caption"/>
    <w:basedOn w:val="Normal"/>
    <w:next w:val="Normal"/>
    <w:qFormat/>
    <w:pPr>
      <w:spacing w:before="120" w:after="120"/>
    </w:pPr>
    <w:rPr>
      <w:b/>
      <w:bCs/>
    </w:rPr>
  </w:style>
  <w:style w:type="paragraph" w:customStyle="1" w:styleId="ParaNum">
    <w:name w:val="ParaNum"/>
    <w:basedOn w:val="Normal"/>
    <w:rsid w:val="00C22B94"/>
    <w:pPr>
      <w:numPr>
        <w:numId w:val="47"/>
      </w:numPr>
      <w:tabs>
        <w:tab w:val="clear" w:pos="1080"/>
        <w:tab w:val="num" w:pos="1440"/>
      </w:tabs>
      <w:spacing w:after="120"/>
    </w:pPr>
  </w:style>
  <w:style w:type="paragraph" w:styleId="FootnoteText">
    <w:name w:val="footnote text"/>
    <w:link w:val="FootnoteTextChar"/>
    <w:rsid w:val="00C22B94"/>
    <w:pPr>
      <w:spacing w:after="120"/>
    </w:pPr>
  </w:style>
  <w:style w:type="paragraph" w:customStyle="1" w:styleId="Bullet">
    <w:name w:val="Bullet"/>
    <w:basedOn w:val="Normal"/>
    <w:rsid w:val="00C22B94"/>
    <w:pPr>
      <w:tabs>
        <w:tab w:val="left" w:pos="2160"/>
      </w:tabs>
      <w:spacing w:after="220"/>
      <w:ind w:left="2160" w:hanging="720"/>
    </w:pPr>
  </w:style>
  <w:style w:type="paragraph" w:styleId="BlockText">
    <w:name w:val="Block Text"/>
    <w:basedOn w:val="Normal"/>
    <w:rsid w:val="00C22B94"/>
    <w:pPr>
      <w:spacing w:after="240"/>
      <w:ind w:left="1440" w:right="1440"/>
    </w:pPr>
  </w:style>
  <w:style w:type="paragraph" w:customStyle="1" w:styleId="TableFormat">
    <w:name w:val="TableFormat"/>
    <w:basedOn w:val="Bullet"/>
    <w:rsid w:val="00C22B94"/>
    <w:pPr>
      <w:tabs>
        <w:tab w:val="clear" w:pos="2160"/>
        <w:tab w:val="left" w:pos="5040"/>
      </w:tabs>
      <w:ind w:left="5040" w:hanging="3600"/>
    </w:pPr>
  </w:style>
  <w:style w:type="character" w:styleId="FootnoteReference">
    <w:name w:val="footnote reference"/>
    <w:rsid w:val="00C22B94"/>
    <w:rPr>
      <w:rFonts w:ascii="Times New Roman" w:hAnsi="Times New Roman"/>
      <w:dstrike w:val="0"/>
      <w:color w:val="auto"/>
      <w:sz w:val="20"/>
      <w:vertAlign w:val="superscript"/>
    </w:rPr>
  </w:style>
  <w:style w:type="paragraph" w:styleId="Header">
    <w:name w:val="header"/>
    <w:basedOn w:val="Normal"/>
    <w:autoRedefine/>
    <w:rsid w:val="00C22B94"/>
    <w:pPr>
      <w:tabs>
        <w:tab w:val="center" w:pos="4680"/>
        <w:tab w:val="right" w:pos="9360"/>
      </w:tabs>
    </w:pPr>
    <w:rPr>
      <w:b/>
    </w:rPr>
  </w:style>
  <w:style w:type="paragraph" w:styleId="Footer">
    <w:name w:val="footer"/>
    <w:basedOn w:val="Normal"/>
    <w:rsid w:val="00C22B94"/>
    <w:pPr>
      <w:tabs>
        <w:tab w:val="center" w:pos="4320"/>
        <w:tab w:val="right" w:pos="8640"/>
      </w:tabs>
    </w:pPr>
  </w:style>
  <w:style w:type="paragraph" w:styleId="TOC2">
    <w:name w:val="toc 2"/>
    <w:basedOn w:val="Normal"/>
    <w:next w:val="Normal"/>
    <w:semiHidden/>
    <w:rsid w:val="00C22B9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C22B9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C22B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22B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22B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22B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22B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22B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22B94"/>
    <w:pPr>
      <w:tabs>
        <w:tab w:val="left" w:pos="3240"/>
        <w:tab w:val="right" w:leader="dot" w:pos="9360"/>
      </w:tabs>
      <w:suppressAutoHyphens/>
      <w:ind w:left="3240" w:hanging="360"/>
    </w:pPr>
    <w:rPr>
      <w:noProof/>
    </w:rPr>
  </w:style>
  <w:style w:type="character" w:styleId="PageNumber">
    <w:name w:val="page number"/>
    <w:basedOn w:val="DefaultParagraphFont"/>
    <w:rsid w:val="00C22B94"/>
  </w:style>
  <w:style w:type="paragraph" w:styleId="Title">
    <w:name w:val="Title"/>
    <w:basedOn w:val="Normal"/>
    <w:qFormat/>
    <w:pPr>
      <w:jc w:val="center"/>
    </w:pPr>
    <w:rPr>
      <w:b/>
      <w:bCs/>
    </w:rPr>
  </w:style>
  <w:style w:type="character" w:styleId="Hyperlink">
    <w:name w:val="Hyperlink"/>
    <w:rsid w:val="00C22B94"/>
    <w:rPr>
      <w:color w:val="0000FF"/>
      <w:u w:val="single"/>
    </w:rPr>
  </w:style>
  <w:style w:type="character" w:customStyle="1" w:styleId="FootnoteTextChar">
    <w:name w:val="Footnote Text Char"/>
    <w:link w:val="FootnoteText"/>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C22B94"/>
    <w:rPr>
      <w:sz w:val="20"/>
    </w:rPr>
  </w:style>
  <w:style w:type="character" w:customStyle="1" w:styleId="EndnoteTextChar">
    <w:name w:val="Endnote Text Char"/>
    <w:basedOn w:val="DefaultParagraphFont"/>
    <w:link w:val="EndnoteText"/>
    <w:rsid w:val="00394710"/>
    <w:rPr>
      <w:snapToGrid w:val="0"/>
      <w:kern w:val="28"/>
    </w:rPr>
  </w:style>
  <w:style w:type="character" w:styleId="EndnoteReference">
    <w:name w:val="endnote reference"/>
    <w:rsid w:val="00C22B94"/>
    <w:rPr>
      <w:vertAlign w:val="superscript"/>
    </w:rPr>
  </w:style>
  <w:style w:type="paragraph" w:styleId="TOAHeading">
    <w:name w:val="toa heading"/>
    <w:basedOn w:val="Normal"/>
    <w:next w:val="Normal"/>
    <w:rsid w:val="00C22B94"/>
    <w:pPr>
      <w:tabs>
        <w:tab w:val="right" w:pos="9360"/>
      </w:tabs>
      <w:suppressAutoHyphens/>
    </w:pPr>
  </w:style>
  <w:style w:type="character" w:customStyle="1" w:styleId="EquationCaption">
    <w:name w:val="_Equation Caption"/>
    <w:rsid w:val="00C22B94"/>
  </w:style>
  <w:style w:type="paragraph" w:customStyle="1" w:styleId="Paratitle">
    <w:name w:val="Para title"/>
    <w:basedOn w:val="Normal"/>
    <w:rsid w:val="00C22B94"/>
    <w:pPr>
      <w:tabs>
        <w:tab w:val="center" w:pos="9270"/>
      </w:tabs>
      <w:spacing w:after="240"/>
    </w:pPr>
    <w:rPr>
      <w:spacing w:val="-2"/>
    </w:rPr>
  </w:style>
  <w:style w:type="paragraph" w:customStyle="1" w:styleId="TOCTitle">
    <w:name w:val="TOC Title"/>
    <w:basedOn w:val="Normal"/>
    <w:rsid w:val="00C22B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22B94"/>
    <w:pPr>
      <w:jc w:val="center"/>
    </w:pPr>
    <w:rPr>
      <w:rFonts w:ascii="Times New Roman Bold" w:hAnsi="Times New Roman Bold"/>
      <w:b/>
      <w:bCs/>
      <w:caps/>
      <w:szCs w:val="22"/>
    </w:rPr>
  </w:style>
  <w:style w:type="paragraph" w:styleId="PlainText">
    <w:name w:val="Plain Text"/>
    <w:basedOn w:val="Normal"/>
    <w:link w:val="PlainTextChar"/>
    <w:uiPriority w:val="99"/>
    <w:unhideWhenUsed/>
    <w:rsid w:val="007169AE"/>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7169AE"/>
    <w:rPr>
      <w:rFonts w:ascii="Calibri" w:eastAsiaTheme="minorHAnsi" w:hAnsi="Calibri" w:cstheme="minorBidi"/>
      <w:sz w:val="22"/>
      <w:szCs w:val="21"/>
    </w:rPr>
  </w:style>
  <w:style w:type="paragraph" w:styleId="ListParagraph">
    <w:name w:val="List Paragraph"/>
    <w:basedOn w:val="Normal"/>
    <w:uiPriority w:val="34"/>
    <w:qFormat/>
    <w:rsid w:val="0067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656">
      <w:bodyDiv w:val="1"/>
      <w:marLeft w:val="0"/>
      <w:marRight w:val="0"/>
      <w:marTop w:val="0"/>
      <w:marBottom w:val="0"/>
      <w:divBdr>
        <w:top w:val="none" w:sz="0" w:space="0" w:color="auto"/>
        <w:left w:val="none" w:sz="0" w:space="0" w:color="auto"/>
        <w:bottom w:val="none" w:sz="0" w:space="0" w:color="auto"/>
        <w:right w:val="none" w:sz="0" w:space="0" w:color="auto"/>
      </w:divBdr>
    </w:div>
    <w:div w:id="241648341">
      <w:bodyDiv w:val="1"/>
      <w:marLeft w:val="0"/>
      <w:marRight w:val="0"/>
      <w:marTop w:val="0"/>
      <w:marBottom w:val="0"/>
      <w:divBdr>
        <w:top w:val="none" w:sz="0" w:space="0" w:color="auto"/>
        <w:left w:val="none" w:sz="0" w:space="0" w:color="auto"/>
        <w:bottom w:val="none" w:sz="0" w:space="0" w:color="auto"/>
        <w:right w:val="none" w:sz="0" w:space="0" w:color="auto"/>
      </w:divBdr>
    </w:div>
    <w:div w:id="557320941">
      <w:bodyDiv w:val="1"/>
      <w:marLeft w:val="0"/>
      <w:marRight w:val="0"/>
      <w:marTop w:val="0"/>
      <w:marBottom w:val="0"/>
      <w:divBdr>
        <w:top w:val="none" w:sz="0" w:space="0" w:color="auto"/>
        <w:left w:val="none" w:sz="0" w:space="0" w:color="auto"/>
        <w:bottom w:val="none" w:sz="0" w:space="0" w:color="auto"/>
        <w:right w:val="none" w:sz="0" w:space="0" w:color="auto"/>
      </w:divBdr>
    </w:div>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182287">
      <w:bodyDiv w:val="1"/>
      <w:marLeft w:val="0"/>
      <w:marRight w:val="0"/>
      <w:marTop w:val="0"/>
      <w:marBottom w:val="0"/>
      <w:divBdr>
        <w:top w:val="none" w:sz="0" w:space="0" w:color="auto"/>
        <w:left w:val="none" w:sz="0" w:space="0" w:color="auto"/>
        <w:bottom w:val="none" w:sz="0" w:space="0" w:color="auto"/>
        <w:right w:val="none" w:sz="0" w:space="0" w:color="auto"/>
      </w:divBdr>
    </w:div>
    <w:div w:id="1525556670">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2631</Words>
  <Characters>14223</Characters>
  <Application>Microsoft Office Word</Application>
  <DocSecurity>0</DocSecurity>
  <Lines>220</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16908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2014-10-08T15:33:00Z</dcterms:created>
  <dcterms:modified xsi:type="dcterms:W3CDTF">2014-10-08T15:33:00Z</dcterms:modified>
  <cp:category> </cp:category>
  <cp:contentStatus> </cp:contentStatus>
</cp:coreProperties>
</file>