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47" w:rsidRPr="00781A74" w:rsidRDefault="00207247" w:rsidP="00207247">
      <w:pPr>
        <w:spacing w:after="240"/>
        <w:jc w:val="center"/>
        <w:rPr>
          <w:b/>
        </w:rPr>
      </w:pPr>
      <w:bookmarkStart w:id="0" w:name="_GoBack"/>
      <w:bookmarkEnd w:id="0"/>
      <w:r w:rsidRPr="00781A74">
        <w:rPr>
          <w:b/>
        </w:rPr>
        <w:t>DISSENTING STATEMENT OF</w:t>
      </w:r>
      <w:r w:rsidRPr="00781A74">
        <w:rPr>
          <w:b/>
        </w:rPr>
        <w:br/>
        <w:t>COMMISSIONER AJIT PAI</w:t>
      </w:r>
    </w:p>
    <w:p w:rsidR="00207247" w:rsidRPr="00781A74" w:rsidRDefault="00207247" w:rsidP="00207247">
      <w:pPr>
        <w:spacing w:after="120"/>
        <w:ind w:left="720" w:hanging="720"/>
      </w:pPr>
      <w:r w:rsidRPr="00781A74">
        <w:t>Re:</w:t>
      </w:r>
      <w:r w:rsidRPr="00781A74">
        <w:tab/>
      </w:r>
      <w:r w:rsidRPr="00781A74">
        <w:rPr>
          <w:i/>
        </w:rPr>
        <w:t>Greenberg Traurig, LLP, On Request for Inspection of Records</w:t>
      </w:r>
      <w:r w:rsidRPr="00781A74">
        <w:t>, FOIA Control No. 2013-25.</w:t>
      </w:r>
    </w:p>
    <w:p w:rsidR="00207247" w:rsidRPr="00781A74" w:rsidRDefault="00207247" w:rsidP="00207247">
      <w:pPr>
        <w:spacing w:after="120"/>
        <w:ind w:firstLine="720"/>
      </w:pPr>
      <w:r w:rsidRPr="00781A74">
        <w:t>This item raises a simple question:  Is a private law firm representing a private client part of the Federal Communications Commission?  My answer is no, but the Commission disagrees.  In order to shield documents from public disclosure, today’s FCC order brings the attorneys of Wiltshire Grannis into the Commission’s ranks.  Because that conclusion is inconsistent with the text and purpose of the Freedom of Information Act (FOIA), defies common sense, and does not reflect a commitment to transparency, I must respectfully dissent.</w:t>
      </w:r>
    </w:p>
    <w:p w:rsidR="00207247" w:rsidRPr="00781A74" w:rsidRDefault="00207247" w:rsidP="00207247">
      <w:pPr>
        <w:spacing w:after="120"/>
        <w:ind w:firstLine="720"/>
      </w:pPr>
      <w:r w:rsidRPr="00781A74">
        <w:t>This dispute involves a FOIA request for communications between attorneys at Wiltshire Grannis</w:t>
      </w:r>
      <w:r w:rsidRPr="00781A74">
        <w:rPr>
          <w:vertAlign w:val="superscript"/>
        </w:rPr>
        <w:footnoteReference w:id="2"/>
      </w:r>
      <w:r w:rsidRPr="00781A74">
        <w:t xml:space="preserve"> and those at the FCC.  And in this item, the Commission refuses to produce those communications on the ground that they are protected from public disclosure by FOIA Exemption 5.  Looking to the text of the statute, the Commission specifically claims that these documents constitute “</w:t>
      </w:r>
      <w:r w:rsidRPr="00781A74">
        <w:rPr>
          <w:i/>
        </w:rPr>
        <w:t>intra-agency</w:t>
      </w:r>
      <w:r w:rsidRPr="00781A74">
        <w:t xml:space="preserve"> memorandums or letters which would not be available by law to a party other than an agency in litigation with the agency.”</w:t>
      </w:r>
      <w:r w:rsidRPr="00781A74">
        <w:rPr>
          <w:vertAlign w:val="superscript"/>
        </w:rPr>
        <w:footnoteReference w:id="3"/>
      </w:r>
    </w:p>
    <w:p w:rsidR="00207247" w:rsidRPr="00781A74" w:rsidRDefault="00207247" w:rsidP="00207247">
      <w:pPr>
        <w:spacing w:after="120"/>
        <w:ind w:firstLine="720"/>
      </w:pPr>
      <w:r w:rsidRPr="00781A74">
        <w:t>But are these documents really intra-agency memorandums?  Getting to the basics, “intra” means “within” or “in the interior”</w:t>
      </w:r>
      <w:r w:rsidRPr="00781A74">
        <w:rPr>
          <w:vertAlign w:val="superscript"/>
        </w:rPr>
        <w:footnoteReference w:id="4"/>
      </w:r>
      <w:r w:rsidRPr="00781A74">
        <w:t xml:space="preserve"> so intra-agency means within an agency.</w:t>
      </w:r>
      <w:r w:rsidRPr="00781A74">
        <w:rPr>
          <w:vertAlign w:val="superscript"/>
        </w:rPr>
        <w:footnoteReference w:id="5"/>
      </w:r>
      <w:r w:rsidRPr="00781A74">
        <w:t xml:space="preserve">  Thus, for communications between Wiltshire Grannis and the FCC to be intra-agency memorandums, the Commission must conclude that Wiltshire Grannis was functioning as part of the FCC.</w:t>
      </w:r>
    </w:p>
    <w:p w:rsidR="00207247" w:rsidRPr="00781A74" w:rsidRDefault="00207247" w:rsidP="00207247">
      <w:pPr>
        <w:spacing w:after="120"/>
        <w:ind w:firstLine="720"/>
      </w:pPr>
      <w:r w:rsidRPr="00781A74">
        <w:t xml:space="preserve">For me, that is a bridge too far.  To state the obvious, Wiltshire Grannis is not a Commission Bureau or Office.  Its attorneys certainly are not compensated pursuant to the GS scale.  And when they come to lobby the Commission, its attorneys must comply with our </w:t>
      </w:r>
      <w:r w:rsidRPr="00781A74">
        <w:rPr>
          <w:i/>
        </w:rPr>
        <w:t>ex parte</w:t>
      </w:r>
      <w:r w:rsidRPr="00781A74">
        <w:t xml:space="preserve"> rules.</w:t>
      </w:r>
    </w:p>
    <w:p w:rsidR="00207247" w:rsidRPr="00781A74" w:rsidRDefault="00207247" w:rsidP="00207247">
      <w:pPr>
        <w:spacing w:after="120"/>
        <w:ind w:firstLine="720"/>
      </w:pPr>
      <w:r w:rsidRPr="00781A74">
        <w:t xml:space="preserve">Notwithstanding these facts, the Commission suggests that Wiltshire Grannis became part of the FCC for purposes of this dispute when the FCC decided to file an </w:t>
      </w:r>
      <w:r w:rsidRPr="00781A74">
        <w:rPr>
          <w:i/>
        </w:rPr>
        <w:t>amicus</w:t>
      </w:r>
      <w:r w:rsidRPr="00781A74">
        <w:t xml:space="preserve"> brief supporting one of the firm’s clients in the U.S. Court of Appeals for the Fourth Circuit.</w:t>
      </w:r>
    </w:p>
    <w:p w:rsidR="00207247" w:rsidRPr="00781A74" w:rsidRDefault="00207247" w:rsidP="00207247">
      <w:pPr>
        <w:spacing w:after="120"/>
        <w:ind w:firstLine="720"/>
      </w:pPr>
      <w:r w:rsidRPr="00781A74">
        <w:t xml:space="preserve">Had the Commission hired Wiltshire Grannis to represent us in court or to function as consultants, I could see the argument that the firm should be treated as a part of the FCC for FOIA purposes.  As the U.S. Supreme Court has noted in a seminal case expounding Exemption 5, “the fact about the consultant that is constant in the typical cases is that the consultant does not represent an interest of its own, </w:t>
      </w:r>
      <w:r w:rsidRPr="00781A74">
        <w:rPr>
          <w:i/>
        </w:rPr>
        <w:t>or the interest of any other client</w:t>
      </w:r>
      <w:r w:rsidRPr="00781A74">
        <w:t xml:space="preserve">, when it advises the agency that hires it.  Its </w:t>
      </w:r>
      <w:r w:rsidRPr="00781A74">
        <w:rPr>
          <w:i/>
        </w:rPr>
        <w:t>only</w:t>
      </w:r>
      <w:r w:rsidRPr="00781A74">
        <w:t xml:space="preserve"> obligations are to truth and its sense of what good judgment calls for, and in those respects the consultant functions just as an employee would be expected to do.”</w:t>
      </w:r>
      <w:r w:rsidRPr="00781A74">
        <w:rPr>
          <w:vertAlign w:val="superscript"/>
        </w:rPr>
        <w:footnoteReference w:id="6"/>
      </w:r>
      <w:r w:rsidRPr="00781A74">
        <w:t xml:space="preserve">  In such cases, the Court has indicated that “consultants may be enough like the agency’s own personnel to justify calling their communications ‘inter-agency.’”</w:t>
      </w:r>
      <w:r w:rsidRPr="00781A74">
        <w:rPr>
          <w:vertAlign w:val="superscript"/>
        </w:rPr>
        <w:footnoteReference w:id="7"/>
      </w:r>
    </w:p>
    <w:p w:rsidR="00207247" w:rsidRPr="00781A74" w:rsidRDefault="00207247" w:rsidP="00207247">
      <w:pPr>
        <w:spacing w:after="120"/>
        <w:ind w:firstLine="720"/>
      </w:pPr>
      <w:r w:rsidRPr="00781A74">
        <w:t xml:space="preserve">That is not the case here.  Wiltshire Grannis was not hired to represent or provide advice to the FCC.  Rather, in communicating with the FCC, it was representing a private client, the Lansdowne on the </w:t>
      </w:r>
      <w:r w:rsidRPr="00781A74">
        <w:lastRenderedPageBreak/>
        <w:t xml:space="preserve">Potomac Home Owners Association, Inc.  In each communication, Wiltshire Grannis had an ethical responsibility to represent its client’s interest, </w:t>
      </w:r>
      <w:r w:rsidRPr="00781A74">
        <w:rPr>
          <w:i/>
        </w:rPr>
        <w:t>not</w:t>
      </w:r>
      <w:r w:rsidRPr="00781A74">
        <w:t xml:space="preserve"> the federal government’s.</w:t>
      </w:r>
      <w:r w:rsidRPr="00781A74">
        <w:rPr>
          <w:vertAlign w:val="superscript"/>
        </w:rPr>
        <w:footnoteReference w:id="8"/>
      </w:r>
    </w:p>
    <w:p w:rsidR="00207247" w:rsidRPr="00781A74" w:rsidRDefault="00207247" w:rsidP="00207247">
      <w:pPr>
        <w:spacing w:after="120"/>
        <w:ind w:firstLine="720"/>
      </w:pPr>
      <w:r w:rsidRPr="00781A74">
        <w:t xml:space="preserve">The Supreme Court’s </w:t>
      </w:r>
      <w:r w:rsidRPr="00781A74">
        <w:rPr>
          <w:i/>
        </w:rPr>
        <w:t>Klamath</w:t>
      </w:r>
      <w:r w:rsidRPr="00781A74">
        <w:t xml:space="preserve"> decision is squarely on point.  There, the Court rejected the argument that a Tribe’s communications with the Bureau of Reclamation were “intra-agency” memorandums protected by Exemption 5.  Critically, the Court said that the Tribe “would be pressing its own view of its own interest in its communications with the Bureau.”</w:t>
      </w:r>
      <w:r w:rsidRPr="00781A74">
        <w:rPr>
          <w:vertAlign w:val="superscript"/>
        </w:rPr>
        <w:footnoteReference w:id="9"/>
      </w:r>
      <w:r w:rsidRPr="00781A74">
        <w:t xml:space="preserve">  So too here.  In its communications with the Commission, Wiltshire Grannis was pressing its client’s interest, not the government’s.  Therefore, those communications cannot reasonably be described as “intra-agency” memorandums.</w:t>
      </w:r>
      <w:r w:rsidRPr="00781A74">
        <w:rPr>
          <w:vertAlign w:val="superscript"/>
        </w:rPr>
        <w:footnoteReference w:id="10"/>
      </w:r>
    </w:p>
    <w:p w:rsidR="00207247" w:rsidRPr="00781A74" w:rsidRDefault="00207247" w:rsidP="00207247">
      <w:pPr>
        <w:spacing w:after="120"/>
        <w:jc w:val="center"/>
      </w:pPr>
      <w:r w:rsidRPr="00781A74">
        <w:t>* * *</w:t>
      </w:r>
    </w:p>
    <w:p w:rsidR="00207247" w:rsidRPr="00781A74" w:rsidRDefault="00207247" w:rsidP="00207247">
      <w:pPr>
        <w:spacing w:after="120"/>
        <w:ind w:firstLine="720"/>
      </w:pPr>
      <w:r w:rsidRPr="00781A74">
        <w:t>President Obama has stated that the Freedom of Information Act “should be administered with a clear presumption:  In the face of doubt, openness prevails.”</w:t>
      </w:r>
      <w:r w:rsidRPr="00781A74">
        <w:rPr>
          <w:vertAlign w:val="superscript"/>
        </w:rPr>
        <w:footnoteReference w:id="11"/>
      </w:r>
      <w:r w:rsidRPr="00781A74">
        <w:t xml:space="preserve">  Today, the Commission falls woefully short of meeting that standard.  </w:t>
      </w:r>
    </w:p>
    <w:p w:rsidR="00207247" w:rsidRPr="00781A74" w:rsidRDefault="00207247" w:rsidP="00207247">
      <w:pPr>
        <w:spacing w:after="120"/>
        <w:ind w:firstLine="720"/>
      </w:pPr>
      <w:r w:rsidRPr="00781A74">
        <w:t xml:space="preserve">In the meantime, all that is left to say is “welcome” to our new FCC colleagues, the attorneys of Wiltshire Grannis. </w:t>
      </w:r>
    </w:p>
    <w:p w:rsidR="00E568D8" w:rsidRPr="00207247" w:rsidRDefault="00E568D8" w:rsidP="00207247"/>
    <w:sectPr w:rsidR="00E568D8" w:rsidRPr="00207247" w:rsidSect="00243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DB" w:rsidRDefault="00BA60DB">
      <w:r>
        <w:separator/>
      </w:r>
    </w:p>
  </w:endnote>
  <w:endnote w:type="continuationSeparator" w:id="0">
    <w:p w:rsidR="00BA60DB" w:rsidRDefault="00BA60DB">
      <w:r>
        <w:continuationSeparator/>
      </w:r>
    </w:p>
  </w:endnote>
  <w:endnote w:type="continuationNotice" w:id="1">
    <w:p w:rsidR="00BA60DB" w:rsidRDefault="00BA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Footer"/>
      <w:jc w:val="center"/>
    </w:pPr>
    <w:r>
      <w:rPr>
        <w:rStyle w:val="PageNumber"/>
      </w:rPr>
      <w:fldChar w:fldCharType="begin"/>
    </w:r>
    <w:r>
      <w:rPr>
        <w:rStyle w:val="PageNumber"/>
      </w:rPr>
      <w:instrText xml:space="preserve"> PAGE </w:instrText>
    </w:r>
    <w:r>
      <w:rPr>
        <w:rStyle w:val="PageNumber"/>
      </w:rPr>
      <w:fldChar w:fldCharType="separate"/>
    </w:r>
    <w:r w:rsidR="005D1C3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DB" w:rsidRDefault="00BA60DB">
      <w:pPr>
        <w:rPr>
          <w:sz w:val="20"/>
        </w:rPr>
      </w:pPr>
      <w:r>
        <w:rPr>
          <w:sz w:val="20"/>
        </w:rPr>
        <w:separator/>
      </w:r>
    </w:p>
  </w:footnote>
  <w:footnote w:type="continuationSeparator" w:id="0">
    <w:p w:rsidR="00BA60DB" w:rsidRDefault="00BA60DB">
      <w:pPr>
        <w:rPr>
          <w:sz w:val="20"/>
        </w:rPr>
      </w:pPr>
      <w:r>
        <w:t>(Continued from previous page)-----------------------------</w:t>
      </w:r>
    </w:p>
  </w:footnote>
  <w:footnote w:type="continuationNotice" w:id="1">
    <w:p w:rsidR="00BA60DB" w:rsidRDefault="00BA60DB" w:rsidP="0024316E">
      <w:pPr>
        <w:jc w:val="right"/>
        <w:rPr>
          <w:sz w:val="20"/>
        </w:rPr>
      </w:pPr>
      <w:r>
        <w:rPr>
          <w:sz w:val="20"/>
        </w:rPr>
        <w:t>(continued...)</w:t>
      </w:r>
    </w:p>
  </w:footnote>
  <w:footnote w:id="2">
    <w:p w:rsidR="00207247" w:rsidRDefault="00207247" w:rsidP="00207247">
      <w:pPr>
        <w:pStyle w:val="FootnoteText"/>
      </w:pPr>
      <w:r>
        <w:rPr>
          <w:rStyle w:val="FootnoteReference"/>
        </w:rPr>
        <w:footnoteRef/>
      </w:r>
      <w:r>
        <w:t xml:space="preserve"> Following the events relevant to this item, Wiltshire &amp; Grannis LLP (Wiltshire Grannis) changed its name to Harris, Wiltshire &amp; Grannis LLP.</w:t>
      </w:r>
    </w:p>
  </w:footnote>
  <w:footnote w:id="3">
    <w:p w:rsidR="00207247" w:rsidRDefault="00207247" w:rsidP="00207247">
      <w:pPr>
        <w:pStyle w:val="FootnoteText"/>
      </w:pPr>
      <w:r>
        <w:rPr>
          <w:rStyle w:val="FootnoteReference"/>
        </w:rPr>
        <w:footnoteRef/>
      </w:r>
      <w:r>
        <w:t xml:space="preserve"> </w:t>
      </w:r>
      <w:r w:rsidRPr="007839DF">
        <w:rPr>
          <w:i/>
        </w:rPr>
        <w:t>Memorandum Opinion and Order</w:t>
      </w:r>
      <w:r>
        <w:t xml:space="preserve"> at para. 8 (quoting 5 U.S.C. § 552(b)(5)) (emphasis added).</w:t>
      </w:r>
    </w:p>
  </w:footnote>
  <w:footnote w:id="4">
    <w:p w:rsidR="00207247" w:rsidRDefault="00207247" w:rsidP="00207247">
      <w:pPr>
        <w:pStyle w:val="FootnoteText"/>
      </w:pPr>
      <w:r>
        <w:rPr>
          <w:rStyle w:val="FootnoteReference"/>
        </w:rPr>
        <w:footnoteRef/>
      </w:r>
      <w:r>
        <w:t xml:space="preserve"> </w:t>
      </w:r>
      <w:r w:rsidRPr="0002766A">
        <w:rPr>
          <w:i/>
        </w:rPr>
        <w:t>See</w:t>
      </w:r>
      <w:r>
        <w:t xml:space="preserve"> Webster’s New International Dictionary 1302 (2d ed. 1958).</w:t>
      </w:r>
    </w:p>
  </w:footnote>
  <w:footnote w:id="5">
    <w:p w:rsidR="00207247" w:rsidRPr="00C85C74" w:rsidRDefault="00207247" w:rsidP="00207247">
      <w:pPr>
        <w:pStyle w:val="FootnoteText"/>
      </w:pPr>
      <w:r w:rsidRPr="00C85C74">
        <w:rPr>
          <w:rStyle w:val="FootnoteReference"/>
        </w:rPr>
        <w:footnoteRef/>
      </w:r>
      <w:r w:rsidRPr="00C85C74">
        <w:t xml:space="preserve"> </w:t>
      </w:r>
      <w:r w:rsidRPr="007839DF">
        <w:rPr>
          <w:i/>
        </w:rPr>
        <w:t>See</w:t>
      </w:r>
      <w:r w:rsidRPr="00C85C74">
        <w:t xml:space="preserve">, </w:t>
      </w:r>
      <w:r w:rsidRPr="007839DF">
        <w:rPr>
          <w:i/>
        </w:rPr>
        <w:t>e</w:t>
      </w:r>
      <w:r w:rsidRPr="00C85C74">
        <w:t>.</w:t>
      </w:r>
      <w:r w:rsidRPr="007839DF">
        <w:rPr>
          <w:i/>
        </w:rPr>
        <w:t>g</w:t>
      </w:r>
      <w:r w:rsidRPr="00C85C74">
        <w:t xml:space="preserve">., </w:t>
      </w:r>
      <w:r w:rsidRPr="007839DF">
        <w:rPr>
          <w:i/>
        </w:rPr>
        <w:t>Tigue v. U.S. Dep’t of Justice</w:t>
      </w:r>
      <w:r w:rsidRPr="00C85C74">
        <w:t>, 312 F.3d 70 (2d Cir. 2002) (“‘</w:t>
      </w:r>
      <w:r>
        <w:t>[I]</w:t>
      </w:r>
      <w:r w:rsidRPr="007839DF">
        <w:rPr>
          <w:color w:val="000000"/>
          <w:shd w:val="clear" w:color="auto" w:fill="FFFFFF"/>
        </w:rPr>
        <w:t>ntra-agency’ documents are those that remain inside a single agency.”)</w:t>
      </w:r>
      <w:r>
        <w:rPr>
          <w:color w:val="000000"/>
          <w:shd w:val="clear" w:color="auto" w:fill="FFFFFF"/>
        </w:rPr>
        <w:t>.</w:t>
      </w:r>
    </w:p>
  </w:footnote>
  <w:footnote w:id="6">
    <w:p w:rsidR="00207247" w:rsidRDefault="00207247" w:rsidP="00207247">
      <w:pPr>
        <w:pStyle w:val="FootnoteText"/>
      </w:pPr>
      <w:r>
        <w:rPr>
          <w:rStyle w:val="FootnoteReference"/>
        </w:rPr>
        <w:footnoteRef/>
      </w:r>
      <w:r>
        <w:t xml:space="preserve"> </w:t>
      </w:r>
      <w:r w:rsidRPr="00BD507A">
        <w:rPr>
          <w:i/>
        </w:rPr>
        <w:t>Dep’t of the Interior v. Klamath Water Users Protective Ass</w:t>
      </w:r>
      <w:r>
        <w:rPr>
          <w:i/>
        </w:rPr>
        <w:t>’</w:t>
      </w:r>
      <w:r w:rsidRPr="00BD507A">
        <w:rPr>
          <w:i/>
        </w:rPr>
        <w:t>n</w:t>
      </w:r>
      <w:r>
        <w:t>, 532 U.S. 1, 10–11 (2001) (emphasis added) (</w:t>
      </w:r>
      <w:r w:rsidRPr="00341B6F">
        <w:rPr>
          <w:i/>
        </w:rPr>
        <w:t>Klamath</w:t>
      </w:r>
      <w:r>
        <w:t>).</w:t>
      </w:r>
    </w:p>
  </w:footnote>
  <w:footnote w:id="7">
    <w:p w:rsidR="00207247" w:rsidRDefault="00207247" w:rsidP="00207247">
      <w:pPr>
        <w:pStyle w:val="FootnoteText"/>
      </w:pPr>
      <w:r>
        <w:rPr>
          <w:rStyle w:val="FootnoteReference"/>
        </w:rPr>
        <w:footnoteRef/>
      </w:r>
      <w:r>
        <w:t xml:space="preserve"> </w:t>
      </w:r>
      <w:r w:rsidRPr="00BD507A">
        <w:rPr>
          <w:i/>
        </w:rPr>
        <w:t>Id</w:t>
      </w:r>
      <w:r>
        <w:t>. at 12.</w:t>
      </w:r>
    </w:p>
  </w:footnote>
  <w:footnote w:id="8">
    <w:p w:rsidR="00207247" w:rsidRDefault="00207247" w:rsidP="00207247">
      <w:pPr>
        <w:pStyle w:val="FootnoteText"/>
      </w:pPr>
      <w:r>
        <w:rPr>
          <w:rStyle w:val="FootnoteReference"/>
        </w:rPr>
        <w:footnoteRef/>
      </w:r>
      <w:r>
        <w:t xml:space="preserve"> While the Commission maintains that those interests were one and the same once the FCC decided to file an </w:t>
      </w:r>
      <w:r w:rsidRPr="009F448D">
        <w:rPr>
          <w:i/>
        </w:rPr>
        <w:t xml:space="preserve">amicus </w:t>
      </w:r>
      <w:r>
        <w:t xml:space="preserve">brief supporting the firm’s client’s litigation position in the Fourth Circuit, that argument ignores the realities of litigation.  A private party and the FCC as an </w:t>
      </w:r>
      <w:r w:rsidRPr="009F448D">
        <w:rPr>
          <w:i/>
        </w:rPr>
        <w:t xml:space="preserve">amicus </w:t>
      </w:r>
      <w:r>
        <w:t xml:space="preserve">might share a similar objective in the litigation, but their strategic interests often diverge.  A private party is generally more interested in winning a particular dispute while the FCC is generally more concerned with the development of a particular body of law.  This, among other things, can lead parties ostensibly on the same side to make and/or emphasize different arguments.  Moreover, even on mundane issues, interests are distinct.  For example, a party and an </w:t>
      </w:r>
      <w:r w:rsidRPr="00177746">
        <w:rPr>
          <w:i/>
        </w:rPr>
        <w:t xml:space="preserve">amicus </w:t>
      </w:r>
      <w:r>
        <w:t>will often discuss how to divide time at oral argument.  And having worked in the Office of General Counsel, I can assure you that both sides to such conversations are not pursuing a common interest.  The FCC often wants more time than the private party’s counsel is willing to cede.</w:t>
      </w:r>
    </w:p>
  </w:footnote>
  <w:footnote w:id="9">
    <w:p w:rsidR="00207247" w:rsidRDefault="00207247" w:rsidP="00207247">
      <w:pPr>
        <w:pStyle w:val="FootnoteText"/>
      </w:pPr>
      <w:r>
        <w:rPr>
          <w:rStyle w:val="FootnoteReference"/>
        </w:rPr>
        <w:footnoteRef/>
      </w:r>
      <w:r>
        <w:t xml:space="preserve"> </w:t>
      </w:r>
      <w:r>
        <w:rPr>
          <w:i/>
        </w:rPr>
        <w:t>Klamath</w:t>
      </w:r>
      <w:r>
        <w:t>, 532 U.S. at 13.</w:t>
      </w:r>
    </w:p>
  </w:footnote>
  <w:footnote w:id="10">
    <w:p w:rsidR="00207247" w:rsidRDefault="00207247" w:rsidP="00207247">
      <w:pPr>
        <w:pStyle w:val="FootnoteText"/>
      </w:pPr>
      <w:r>
        <w:rPr>
          <w:rStyle w:val="FootnoteReference"/>
        </w:rPr>
        <w:footnoteRef/>
      </w:r>
      <w:r>
        <w:t xml:space="preserve"> To the extent that the Fourth Circuit’s decision in </w:t>
      </w:r>
      <w:r w:rsidRPr="007B67D0">
        <w:rPr>
          <w:i/>
        </w:rPr>
        <w:t>Hunton &amp; Williams v. U.S. Dep’t of Justice</w:t>
      </w:r>
      <w:r>
        <w:t xml:space="preserve">, 590 F.3d 272 (2010), points in the other direction, I find Judge Michael’s dissenting opinion in that case to be more persuasive.  </w:t>
      </w:r>
      <w:r w:rsidRPr="00B30750">
        <w:rPr>
          <w:i/>
        </w:rPr>
        <w:t>See id</w:t>
      </w:r>
      <w:r>
        <w:t xml:space="preserve">. at 290–91 (“The majority argues that when an outsider and the government have a unitary interest that fits within the common interest doctrine, communications between the outsider and the agency can be understood as ‘intra-agency’ under exemption 5.  The common interest doctrine, however, only relates to the second condition of the exemption, that is, the communications ‘must fall within the ambit of a privilege against discovery.’  Satisfaction of the second condition cannot serve as automatic satisfaction of the first condition.  As the Supreme Court emphasized in </w:t>
      </w:r>
      <w:r w:rsidRPr="00B30750">
        <w:rPr>
          <w:i/>
        </w:rPr>
        <w:t>Klamath</w:t>
      </w:r>
      <w:r>
        <w:t>, there is ‘no textual justification of draining the first [intra-agency] condition of independent vitality,’ and ‘the first condition of Exemption 5 is no less important than the second.’  Failure to satisfy the first (intra-agency) condition ‘rules out any application of Exemption 5’ to a communication that would otherwise be privileged against discovery.”  (internal citations omitted)).</w:t>
      </w:r>
    </w:p>
  </w:footnote>
  <w:footnote w:id="11">
    <w:p w:rsidR="00207247" w:rsidRDefault="00207247" w:rsidP="00207247">
      <w:pPr>
        <w:pStyle w:val="FootnoteText"/>
      </w:pPr>
      <w:r>
        <w:rPr>
          <w:rStyle w:val="FootnoteReference"/>
        </w:rPr>
        <w:footnoteRef/>
      </w:r>
      <w:r>
        <w:t xml:space="preserve"> President Barack Obama, Memorandum for the Heads of Executive Departments and Agencies (Jan. 21,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Header"/>
      <w:rPr>
        <w:b w:val="0"/>
      </w:rPr>
    </w:pPr>
    <w:r>
      <w:tab/>
      <w:t>Federal Communications Commission</w:t>
    </w:r>
    <w:r>
      <w:tab/>
      <w:t>FCC 1</w:t>
    </w:r>
    <w:r w:rsidR="00E31F09">
      <w:t>4</w:t>
    </w:r>
    <w:r>
      <w:t>-</w:t>
    </w:r>
    <w:r w:rsidR="004C5893">
      <w:t>140</w:t>
    </w:r>
    <w:r>
      <w:t xml:space="preserve"> </w:t>
    </w:r>
  </w:p>
  <w:p w:rsidR="00743FA9" w:rsidRDefault="0020724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Header"/>
      <w:rPr>
        <w:b w:val="0"/>
      </w:rPr>
    </w:pPr>
    <w:r>
      <w:tab/>
      <w:t>Federal Communications Commission</w:t>
    </w:r>
    <w:r>
      <w:tab/>
      <w:t>FCC 1</w:t>
    </w:r>
    <w:r w:rsidR="00077801">
      <w:t>4</w:t>
    </w:r>
    <w:r w:rsidR="003435A6">
      <w:t>-</w:t>
    </w:r>
    <w:r w:rsidR="004C5893">
      <w:t>140</w:t>
    </w:r>
  </w:p>
  <w:p w:rsidR="00743FA9" w:rsidRDefault="00207247">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1203B0"/>
    <w:lvl w:ilvl="0">
      <w:start w:val="1"/>
      <w:numFmt w:val="decimal"/>
      <w:lvlText w:val="%1."/>
      <w:lvlJc w:val="left"/>
      <w:pPr>
        <w:tabs>
          <w:tab w:val="num" w:pos="1440"/>
        </w:tabs>
        <w:ind w:left="144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C80E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493BCF"/>
    <w:multiLevelType w:val="hybridMultilevel"/>
    <w:tmpl w:val="207C7DCA"/>
    <w:lvl w:ilvl="0" w:tplc="B2F03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369A7AF7"/>
    <w:multiLevelType w:val="hybridMultilevel"/>
    <w:tmpl w:val="F77C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CABC07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4"/>
        <w:szCs w:val="24"/>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FA125A"/>
    <w:multiLevelType w:val="hybridMultilevel"/>
    <w:tmpl w:val="81F61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6D82A83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74B2D35"/>
    <w:multiLevelType w:val="hybridMultilevel"/>
    <w:tmpl w:val="65CC9C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3">
    <w:nsid w:val="7EDF121B"/>
    <w:multiLevelType w:val="hybridMultilevel"/>
    <w:tmpl w:val="8564D8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CC7AC8"/>
    <w:multiLevelType w:val="multilevel"/>
    <w:tmpl w:val="31829018"/>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1"/>
  </w:num>
  <w:num w:numId="2">
    <w:abstractNumId w:val="32"/>
  </w:num>
  <w:num w:numId="3">
    <w:abstractNumId w:val="5"/>
  </w:num>
  <w:num w:numId="4">
    <w:abstractNumId w:val="25"/>
  </w:num>
  <w:num w:numId="5">
    <w:abstractNumId w:val="11"/>
  </w:num>
  <w:num w:numId="6">
    <w:abstractNumId w:val="29"/>
  </w:num>
  <w:num w:numId="7">
    <w:abstractNumId w:val="20"/>
  </w:num>
  <w:num w:numId="8">
    <w:abstractNumId w:val="12"/>
  </w:num>
  <w:num w:numId="9">
    <w:abstractNumId w:val="28"/>
  </w:num>
  <w:num w:numId="10">
    <w:abstractNumId w:val="18"/>
  </w:num>
  <w:num w:numId="11">
    <w:abstractNumId w:val="16"/>
  </w:num>
  <w:num w:numId="12">
    <w:abstractNumId w:val="13"/>
  </w:num>
  <w:num w:numId="13">
    <w:abstractNumId w:val="19"/>
  </w:num>
  <w:num w:numId="14">
    <w:abstractNumId w:val="26"/>
  </w:num>
  <w:num w:numId="15">
    <w:abstractNumId w:val="3"/>
  </w:num>
  <w:num w:numId="16">
    <w:abstractNumId w:val="4"/>
  </w:num>
  <w:num w:numId="17">
    <w:abstractNumId w:val="14"/>
  </w:num>
  <w:num w:numId="18">
    <w:abstractNumId w:val="2"/>
  </w:num>
  <w:num w:numId="19">
    <w:abstractNumId w:val="15"/>
  </w:num>
  <w:num w:numId="20">
    <w:abstractNumId w:val="21"/>
  </w:num>
  <w:num w:numId="21">
    <w:abstractNumId w:val="24"/>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0"/>
  </w:num>
  <w:num w:numId="38">
    <w:abstractNumId w:val="10"/>
  </w:num>
  <w:num w:numId="39">
    <w:abstractNumId w:val="17"/>
  </w:num>
  <w:num w:numId="40">
    <w:abstractNumId w:val="33"/>
  </w:num>
  <w:num w:numId="41">
    <w:abstractNumId w:val="27"/>
  </w:num>
  <w:num w:numId="42">
    <w:abstractNumId w:val="23"/>
  </w:num>
  <w:num w:numId="43">
    <w:abstractNumId w:val="8"/>
  </w:num>
  <w:num w:numId="44">
    <w:abstractNumId w:val="34"/>
  </w:num>
  <w:num w:numId="45">
    <w:abstractNumId w:val="19"/>
    <w:lvlOverride w:ilvl="0">
      <w:startOverride w:val="1"/>
    </w:lvlOverride>
  </w:num>
  <w:num w:numId="46">
    <w:abstractNumId w:val="6"/>
  </w:num>
  <w:num w:numId="47">
    <w:abstractNumId w:val="30"/>
  </w:num>
  <w:num w:numId="48">
    <w:abstractNumId w:val="9"/>
  </w:num>
  <w:num w:numId="49">
    <w:abstractNumId w:val="22"/>
  </w:num>
  <w:num w:numId="50">
    <w:abstractNumId w:val="7"/>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8D8"/>
    <w:rsid w:val="00001226"/>
    <w:rsid w:val="0001169C"/>
    <w:rsid w:val="000148F4"/>
    <w:rsid w:val="000151A9"/>
    <w:rsid w:val="00015CC7"/>
    <w:rsid w:val="00016C0B"/>
    <w:rsid w:val="000205DA"/>
    <w:rsid w:val="00020B2B"/>
    <w:rsid w:val="00025813"/>
    <w:rsid w:val="00027929"/>
    <w:rsid w:val="00033293"/>
    <w:rsid w:val="0003598C"/>
    <w:rsid w:val="00036D90"/>
    <w:rsid w:val="00040678"/>
    <w:rsid w:val="00041DC7"/>
    <w:rsid w:val="0004221A"/>
    <w:rsid w:val="000453CF"/>
    <w:rsid w:val="00051802"/>
    <w:rsid w:val="00052A4C"/>
    <w:rsid w:val="00052C58"/>
    <w:rsid w:val="0005448E"/>
    <w:rsid w:val="000547A6"/>
    <w:rsid w:val="00054C85"/>
    <w:rsid w:val="000571E0"/>
    <w:rsid w:val="00057FED"/>
    <w:rsid w:val="00062275"/>
    <w:rsid w:val="000623FD"/>
    <w:rsid w:val="000624C0"/>
    <w:rsid w:val="00063422"/>
    <w:rsid w:val="000647FD"/>
    <w:rsid w:val="000713B3"/>
    <w:rsid w:val="00072C54"/>
    <w:rsid w:val="00073585"/>
    <w:rsid w:val="00075380"/>
    <w:rsid w:val="00075951"/>
    <w:rsid w:val="00075AEE"/>
    <w:rsid w:val="00077801"/>
    <w:rsid w:val="00082FC0"/>
    <w:rsid w:val="00083DAB"/>
    <w:rsid w:val="00083F6A"/>
    <w:rsid w:val="000853FA"/>
    <w:rsid w:val="000949F4"/>
    <w:rsid w:val="00095AA8"/>
    <w:rsid w:val="000972B3"/>
    <w:rsid w:val="000972DB"/>
    <w:rsid w:val="000A0FC0"/>
    <w:rsid w:val="000A457C"/>
    <w:rsid w:val="000A7A61"/>
    <w:rsid w:val="000B01BC"/>
    <w:rsid w:val="000B06D6"/>
    <w:rsid w:val="000B5165"/>
    <w:rsid w:val="000B7854"/>
    <w:rsid w:val="000C24F8"/>
    <w:rsid w:val="000C5B2D"/>
    <w:rsid w:val="000D0307"/>
    <w:rsid w:val="000D0C76"/>
    <w:rsid w:val="000D156A"/>
    <w:rsid w:val="000D27D6"/>
    <w:rsid w:val="000D45B5"/>
    <w:rsid w:val="000D4BDD"/>
    <w:rsid w:val="000D4F9B"/>
    <w:rsid w:val="000E02E9"/>
    <w:rsid w:val="000E5F71"/>
    <w:rsid w:val="000E73AA"/>
    <w:rsid w:val="000F23D8"/>
    <w:rsid w:val="000F37E3"/>
    <w:rsid w:val="000F4D30"/>
    <w:rsid w:val="000F53CD"/>
    <w:rsid w:val="000F6861"/>
    <w:rsid w:val="000F7F6B"/>
    <w:rsid w:val="00101FB5"/>
    <w:rsid w:val="001039A9"/>
    <w:rsid w:val="00105E43"/>
    <w:rsid w:val="001069C7"/>
    <w:rsid w:val="00112AA0"/>
    <w:rsid w:val="00115166"/>
    <w:rsid w:val="00115FE5"/>
    <w:rsid w:val="001217DA"/>
    <w:rsid w:val="001249CE"/>
    <w:rsid w:val="00130150"/>
    <w:rsid w:val="00131D16"/>
    <w:rsid w:val="00134E1C"/>
    <w:rsid w:val="00135AA4"/>
    <w:rsid w:val="00135BD9"/>
    <w:rsid w:val="00141111"/>
    <w:rsid w:val="00141BF6"/>
    <w:rsid w:val="00141C9A"/>
    <w:rsid w:val="00147074"/>
    <w:rsid w:val="00147F48"/>
    <w:rsid w:val="00152D6D"/>
    <w:rsid w:val="001530E9"/>
    <w:rsid w:val="00153B83"/>
    <w:rsid w:val="001557E8"/>
    <w:rsid w:val="00155ACB"/>
    <w:rsid w:val="00156B78"/>
    <w:rsid w:val="0015716D"/>
    <w:rsid w:val="00161532"/>
    <w:rsid w:val="001621F3"/>
    <w:rsid w:val="0016629F"/>
    <w:rsid w:val="00166726"/>
    <w:rsid w:val="00172620"/>
    <w:rsid w:val="00173E6F"/>
    <w:rsid w:val="0017461F"/>
    <w:rsid w:val="00174638"/>
    <w:rsid w:val="00174785"/>
    <w:rsid w:val="00180C4C"/>
    <w:rsid w:val="00181399"/>
    <w:rsid w:val="00182804"/>
    <w:rsid w:val="00183F20"/>
    <w:rsid w:val="00184E43"/>
    <w:rsid w:val="001861C2"/>
    <w:rsid w:val="00190713"/>
    <w:rsid w:val="001912E2"/>
    <w:rsid w:val="00192E68"/>
    <w:rsid w:val="0019577E"/>
    <w:rsid w:val="00196709"/>
    <w:rsid w:val="001A0761"/>
    <w:rsid w:val="001A09BC"/>
    <w:rsid w:val="001A1998"/>
    <w:rsid w:val="001A6B67"/>
    <w:rsid w:val="001B208E"/>
    <w:rsid w:val="001B6632"/>
    <w:rsid w:val="001B6AA7"/>
    <w:rsid w:val="001B751B"/>
    <w:rsid w:val="001C1539"/>
    <w:rsid w:val="001C546D"/>
    <w:rsid w:val="001C682A"/>
    <w:rsid w:val="001D0119"/>
    <w:rsid w:val="001D052C"/>
    <w:rsid w:val="001E1661"/>
    <w:rsid w:val="001E33AA"/>
    <w:rsid w:val="001E54E0"/>
    <w:rsid w:val="001F0577"/>
    <w:rsid w:val="001F37B7"/>
    <w:rsid w:val="001F4166"/>
    <w:rsid w:val="001F5BEA"/>
    <w:rsid w:val="001F65B1"/>
    <w:rsid w:val="001F684E"/>
    <w:rsid w:val="001F7BC6"/>
    <w:rsid w:val="00204451"/>
    <w:rsid w:val="00204ED4"/>
    <w:rsid w:val="00207247"/>
    <w:rsid w:val="00207309"/>
    <w:rsid w:val="00211910"/>
    <w:rsid w:val="00213F39"/>
    <w:rsid w:val="00213FB9"/>
    <w:rsid w:val="002149A9"/>
    <w:rsid w:val="00220DC9"/>
    <w:rsid w:val="002229DB"/>
    <w:rsid w:val="00223129"/>
    <w:rsid w:val="00223D23"/>
    <w:rsid w:val="00232037"/>
    <w:rsid w:val="002323D7"/>
    <w:rsid w:val="00233CE2"/>
    <w:rsid w:val="00235336"/>
    <w:rsid w:val="002413CC"/>
    <w:rsid w:val="0024316E"/>
    <w:rsid w:val="002446E4"/>
    <w:rsid w:val="0024515C"/>
    <w:rsid w:val="00245DCC"/>
    <w:rsid w:val="00254306"/>
    <w:rsid w:val="002556C4"/>
    <w:rsid w:val="00255D9D"/>
    <w:rsid w:val="00260349"/>
    <w:rsid w:val="00262419"/>
    <w:rsid w:val="00262F0A"/>
    <w:rsid w:val="00262F15"/>
    <w:rsid w:val="00264DC5"/>
    <w:rsid w:val="002659D8"/>
    <w:rsid w:val="002666DD"/>
    <w:rsid w:val="002671E3"/>
    <w:rsid w:val="00267445"/>
    <w:rsid w:val="00267D11"/>
    <w:rsid w:val="002700B6"/>
    <w:rsid w:val="00274A66"/>
    <w:rsid w:val="00276248"/>
    <w:rsid w:val="00276804"/>
    <w:rsid w:val="002777CD"/>
    <w:rsid w:val="00282073"/>
    <w:rsid w:val="00284ACF"/>
    <w:rsid w:val="002851F3"/>
    <w:rsid w:val="002855C4"/>
    <w:rsid w:val="00285713"/>
    <w:rsid w:val="00285B69"/>
    <w:rsid w:val="00286665"/>
    <w:rsid w:val="00286887"/>
    <w:rsid w:val="00291290"/>
    <w:rsid w:val="00292C00"/>
    <w:rsid w:val="00295D5E"/>
    <w:rsid w:val="002A120B"/>
    <w:rsid w:val="002A3269"/>
    <w:rsid w:val="002A4A5B"/>
    <w:rsid w:val="002A63A0"/>
    <w:rsid w:val="002A75E0"/>
    <w:rsid w:val="002A7B19"/>
    <w:rsid w:val="002B098E"/>
    <w:rsid w:val="002B1E27"/>
    <w:rsid w:val="002B55FD"/>
    <w:rsid w:val="002B71A7"/>
    <w:rsid w:val="002B7EBD"/>
    <w:rsid w:val="002C1C67"/>
    <w:rsid w:val="002C67CC"/>
    <w:rsid w:val="002C6E13"/>
    <w:rsid w:val="002D2A06"/>
    <w:rsid w:val="002D2DC8"/>
    <w:rsid w:val="002D41EF"/>
    <w:rsid w:val="002D5BF1"/>
    <w:rsid w:val="002E1256"/>
    <w:rsid w:val="002F3E15"/>
    <w:rsid w:val="002F5186"/>
    <w:rsid w:val="002F6493"/>
    <w:rsid w:val="002F71CF"/>
    <w:rsid w:val="002F7D5A"/>
    <w:rsid w:val="00300649"/>
    <w:rsid w:val="00301002"/>
    <w:rsid w:val="00304212"/>
    <w:rsid w:val="0031070D"/>
    <w:rsid w:val="0031126C"/>
    <w:rsid w:val="00312B85"/>
    <w:rsid w:val="0031363D"/>
    <w:rsid w:val="00313CAE"/>
    <w:rsid w:val="00314125"/>
    <w:rsid w:val="00315E46"/>
    <w:rsid w:val="00325C7C"/>
    <w:rsid w:val="0032674A"/>
    <w:rsid w:val="00341674"/>
    <w:rsid w:val="00342E2E"/>
    <w:rsid w:val="00343159"/>
    <w:rsid w:val="00343502"/>
    <w:rsid w:val="003435A6"/>
    <w:rsid w:val="00344407"/>
    <w:rsid w:val="00344BCA"/>
    <w:rsid w:val="00345954"/>
    <w:rsid w:val="00346718"/>
    <w:rsid w:val="00352BC9"/>
    <w:rsid w:val="003602FC"/>
    <w:rsid w:val="00360CE2"/>
    <w:rsid w:val="00360DBC"/>
    <w:rsid w:val="003615B6"/>
    <w:rsid w:val="00364188"/>
    <w:rsid w:val="00365190"/>
    <w:rsid w:val="003670DD"/>
    <w:rsid w:val="0036783A"/>
    <w:rsid w:val="00372396"/>
    <w:rsid w:val="00373D5A"/>
    <w:rsid w:val="00375153"/>
    <w:rsid w:val="00375CB0"/>
    <w:rsid w:val="00376172"/>
    <w:rsid w:val="00377203"/>
    <w:rsid w:val="00382250"/>
    <w:rsid w:val="0038319C"/>
    <w:rsid w:val="003836F6"/>
    <w:rsid w:val="0038416E"/>
    <w:rsid w:val="00384189"/>
    <w:rsid w:val="00384778"/>
    <w:rsid w:val="0039127C"/>
    <w:rsid w:val="00391EC4"/>
    <w:rsid w:val="00392108"/>
    <w:rsid w:val="0039253E"/>
    <w:rsid w:val="0039265D"/>
    <w:rsid w:val="00392B4E"/>
    <w:rsid w:val="00394379"/>
    <w:rsid w:val="00394710"/>
    <w:rsid w:val="00395849"/>
    <w:rsid w:val="003971CA"/>
    <w:rsid w:val="00397AAF"/>
    <w:rsid w:val="003A2F3F"/>
    <w:rsid w:val="003A47BB"/>
    <w:rsid w:val="003A71AB"/>
    <w:rsid w:val="003B310A"/>
    <w:rsid w:val="003B3864"/>
    <w:rsid w:val="003C01E7"/>
    <w:rsid w:val="003C0D84"/>
    <w:rsid w:val="003C13C8"/>
    <w:rsid w:val="003C1532"/>
    <w:rsid w:val="003C4CB7"/>
    <w:rsid w:val="003C69A8"/>
    <w:rsid w:val="003C7B7C"/>
    <w:rsid w:val="003D0FBB"/>
    <w:rsid w:val="003D7252"/>
    <w:rsid w:val="003E01FB"/>
    <w:rsid w:val="003E1D6B"/>
    <w:rsid w:val="003E592A"/>
    <w:rsid w:val="003F17B1"/>
    <w:rsid w:val="003F1F3C"/>
    <w:rsid w:val="003F36E0"/>
    <w:rsid w:val="0040198A"/>
    <w:rsid w:val="004027BA"/>
    <w:rsid w:val="0040548A"/>
    <w:rsid w:val="00407C12"/>
    <w:rsid w:val="00407C9C"/>
    <w:rsid w:val="004107A1"/>
    <w:rsid w:val="0041117F"/>
    <w:rsid w:val="00413C23"/>
    <w:rsid w:val="00421590"/>
    <w:rsid w:val="00422753"/>
    <w:rsid w:val="00422EB4"/>
    <w:rsid w:val="0042470C"/>
    <w:rsid w:val="00426312"/>
    <w:rsid w:val="00426FF4"/>
    <w:rsid w:val="00430743"/>
    <w:rsid w:val="004339D0"/>
    <w:rsid w:val="00434037"/>
    <w:rsid w:val="00434F10"/>
    <w:rsid w:val="00435A2A"/>
    <w:rsid w:val="00435B80"/>
    <w:rsid w:val="004365F1"/>
    <w:rsid w:val="004374DE"/>
    <w:rsid w:val="00445649"/>
    <w:rsid w:val="00445A06"/>
    <w:rsid w:val="004466FA"/>
    <w:rsid w:val="00447DE9"/>
    <w:rsid w:val="00450FDC"/>
    <w:rsid w:val="004518A7"/>
    <w:rsid w:val="00462F8D"/>
    <w:rsid w:val="00464691"/>
    <w:rsid w:val="00470B79"/>
    <w:rsid w:val="00472ACE"/>
    <w:rsid w:val="00477CCA"/>
    <w:rsid w:val="004811D1"/>
    <w:rsid w:val="0048341D"/>
    <w:rsid w:val="00484120"/>
    <w:rsid w:val="00484CA1"/>
    <w:rsid w:val="0048766E"/>
    <w:rsid w:val="00494403"/>
    <w:rsid w:val="00494784"/>
    <w:rsid w:val="004947A4"/>
    <w:rsid w:val="00494B0B"/>
    <w:rsid w:val="0049579F"/>
    <w:rsid w:val="00496BA6"/>
    <w:rsid w:val="004A1959"/>
    <w:rsid w:val="004A3C60"/>
    <w:rsid w:val="004A3EA6"/>
    <w:rsid w:val="004A62FB"/>
    <w:rsid w:val="004B035F"/>
    <w:rsid w:val="004B0370"/>
    <w:rsid w:val="004B0BB8"/>
    <w:rsid w:val="004B1EB6"/>
    <w:rsid w:val="004B328F"/>
    <w:rsid w:val="004B4388"/>
    <w:rsid w:val="004C5893"/>
    <w:rsid w:val="004C68D8"/>
    <w:rsid w:val="004C6E1D"/>
    <w:rsid w:val="004D02C9"/>
    <w:rsid w:val="004D1632"/>
    <w:rsid w:val="004D1653"/>
    <w:rsid w:val="004D1EEF"/>
    <w:rsid w:val="004D25B7"/>
    <w:rsid w:val="004D2AD0"/>
    <w:rsid w:val="004D65AB"/>
    <w:rsid w:val="004E0D8F"/>
    <w:rsid w:val="004E0F2F"/>
    <w:rsid w:val="004E1526"/>
    <w:rsid w:val="004E36D9"/>
    <w:rsid w:val="004E4BD7"/>
    <w:rsid w:val="004E7657"/>
    <w:rsid w:val="004F0B2C"/>
    <w:rsid w:val="004F490F"/>
    <w:rsid w:val="004F5494"/>
    <w:rsid w:val="004F551C"/>
    <w:rsid w:val="004F7180"/>
    <w:rsid w:val="004F7B87"/>
    <w:rsid w:val="00505871"/>
    <w:rsid w:val="00505AFA"/>
    <w:rsid w:val="00507358"/>
    <w:rsid w:val="00511A34"/>
    <w:rsid w:val="00511D00"/>
    <w:rsid w:val="0051534B"/>
    <w:rsid w:val="00517451"/>
    <w:rsid w:val="00522446"/>
    <w:rsid w:val="00522E98"/>
    <w:rsid w:val="00523136"/>
    <w:rsid w:val="0052464C"/>
    <w:rsid w:val="005276B6"/>
    <w:rsid w:val="005306AF"/>
    <w:rsid w:val="005312E9"/>
    <w:rsid w:val="005345C0"/>
    <w:rsid w:val="00535875"/>
    <w:rsid w:val="00540342"/>
    <w:rsid w:val="00541B3F"/>
    <w:rsid w:val="00543228"/>
    <w:rsid w:val="00543E9C"/>
    <w:rsid w:val="00546EDF"/>
    <w:rsid w:val="00555732"/>
    <w:rsid w:val="0055588C"/>
    <w:rsid w:val="00557676"/>
    <w:rsid w:val="00557D5B"/>
    <w:rsid w:val="00560967"/>
    <w:rsid w:val="00560D84"/>
    <w:rsid w:val="005615BC"/>
    <w:rsid w:val="0056194D"/>
    <w:rsid w:val="00562943"/>
    <w:rsid w:val="0056499B"/>
    <w:rsid w:val="00570CE6"/>
    <w:rsid w:val="005728C3"/>
    <w:rsid w:val="00575872"/>
    <w:rsid w:val="00583C90"/>
    <w:rsid w:val="0058437E"/>
    <w:rsid w:val="00584ADD"/>
    <w:rsid w:val="00586584"/>
    <w:rsid w:val="00586BBD"/>
    <w:rsid w:val="00586ED2"/>
    <w:rsid w:val="00590264"/>
    <w:rsid w:val="00591F98"/>
    <w:rsid w:val="00592B95"/>
    <w:rsid w:val="00595339"/>
    <w:rsid w:val="0059630F"/>
    <w:rsid w:val="00596ED7"/>
    <w:rsid w:val="005A07B0"/>
    <w:rsid w:val="005A1558"/>
    <w:rsid w:val="005A28C6"/>
    <w:rsid w:val="005B1D85"/>
    <w:rsid w:val="005B2C2E"/>
    <w:rsid w:val="005B4E1A"/>
    <w:rsid w:val="005B540E"/>
    <w:rsid w:val="005C02F8"/>
    <w:rsid w:val="005C036C"/>
    <w:rsid w:val="005C0EF2"/>
    <w:rsid w:val="005C154E"/>
    <w:rsid w:val="005C165E"/>
    <w:rsid w:val="005D1C30"/>
    <w:rsid w:val="005D29D7"/>
    <w:rsid w:val="005D7348"/>
    <w:rsid w:val="005E0F0A"/>
    <w:rsid w:val="005E1A49"/>
    <w:rsid w:val="005E20F3"/>
    <w:rsid w:val="005E48B8"/>
    <w:rsid w:val="005E4A14"/>
    <w:rsid w:val="005E6145"/>
    <w:rsid w:val="005F2611"/>
    <w:rsid w:val="005F4705"/>
    <w:rsid w:val="00602459"/>
    <w:rsid w:val="00602CFA"/>
    <w:rsid w:val="00603689"/>
    <w:rsid w:val="006041FF"/>
    <w:rsid w:val="00604FEB"/>
    <w:rsid w:val="00605DF0"/>
    <w:rsid w:val="00607328"/>
    <w:rsid w:val="00607F19"/>
    <w:rsid w:val="00613C72"/>
    <w:rsid w:val="00613EFA"/>
    <w:rsid w:val="006143A1"/>
    <w:rsid w:val="00614C9C"/>
    <w:rsid w:val="006178C3"/>
    <w:rsid w:val="00620497"/>
    <w:rsid w:val="006213A4"/>
    <w:rsid w:val="00621BE6"/>
    <w:rsid w:val="00623245"/>
    <w:rsid w:val="00623B44"/>
    <w:rsid w:val="0062564F"/>
    <w:rsid w:val="00625E6B"/>
    <w:rsid w:val="00627489"/>
    <w:rsid w:val="00630587"/>
    <w:rsid w:val="006311C3"/>
    <w:rsid w:val="00631388"/>
    <w:rsid w:val="00632A0B"/>
    <w:rsid w:val="00634177"/>
    <w:rsid w:val="006368E8"/>
    <w:rsid w:val="006377EE"/>
    <w:rsid w:val="00637F54"/>
    <w:rsid w:val="0064078B"/>
    <w:rsid w:val="0064092C"/>
    <w:rsid w:val="00641CD6"/>
    <w:rsid w:val="006428E7"/>
    <w:rsid w:val="0064311B"/>
    <w:rsid w:val="00645476"/>
    <w:rsid w:val="00645794"/>
    <w:rsid w:val="00645966"/>
    <w:rsid w:val="00646513"/>
    <w:rsid w:val="006506EA"/>
    <w:rsid w:val="0065084B"/>
    <w:rsid w:val="0065501A"/>
    <w:rsid w:val="00662F60"/>
    <w:rsid w:val="00667941"/>
    <w:rsid w:val="00670AEC"/>
    <w:rsid w:val="00671B34"/>
    <w:rsid w:val="00673596"/>
    <w:rsid w:val="00676E53"/>
    <w:rsid w:val="0068253E"/>
    <w:rsid w:val="006854C2"/>
    <w:rsid w:val="006858B3"/>
    <w:rsid w:val="0068607D"/>
    <w:rsid w:val="00693DAE"/>
    <w:rsid w:val="0069612C"/>
    <w:rsid w:val="00696FBA"/>
    <w:rsid w:val="006A185C"/>
    <w:rsid w:val="006A3802"/>
    <w:rsid w:val="006A3A52"/>
    <w:rsid w:val="006A708B"/>
    <w:rsid w:val="006B3359"/>
    <w:rsid w:val="006B4598"/>
    <w:rsid w:val="006B510F"/>
    <w:rsid w:val="006C0F8F"/>
    <w:rsid w:val="006C191A"/>
    <w:rsid w:val="006C2AFE"/>
    <w:rsid w:val="006C4AE2"/>
    <w:rsid w:val="006D55BE"/>
    <w:rsid w:val="006D68BF"/>
    <w:rsid w:val="006D6902"/>
    <w:rsid w:val="006E1DA0"/>
    <w:rsid w:val="006F14E3"/>
    <w:rsid w:val="006F28F1"/>
    <w:rsid w:val="006F3D46"/>
    <w:rsid w:val="00701699"/>
    <w:rsid w:val="00701FD5"/>
    <w:rsid w:val="0070353C"/>
    <w:rsid w:val="00705E86"/>
    <w:rsid w:val="00707A97"/>
    <w:rsid w:val="00710CC7"/>
    <w:rsid w:val="00711A61"/>
    <w:rsid w:val="007128F3"/>
    <w:rsid w:val="007136D6"/>
    <w:rsid w:val="00715032"/>
    <w:rsid w:val="00716944"/>
    <w:rsid w:val="007169AE"/>
    <w:rsid w:val="00716D7F"/>
    <w:rsid w:val="0072710D"/>
    <w:rsid w:val="0073176E"/>
    <w:rsid w:val="007318C1"/>
    <w:rsid w:val="00731D40"/>
    <w:rsid w:val="0074095D"/>
    <w:rsid w:val="00741375"/>
    <w:rsid w:val="00743FA9"/>
    <w:rsid w:val="0074420F"/>
    <w:rsid w:val="0074691B"/>
    <w:rsid w:val="0075005F"/>
    <w:rsid w:val="007510A6"/>
    <w:rsid w:val="007518CF"/>
    <w:rsid w:val="0075214D"/>
    <w:rsid w:val="00752721"/>
    <w:rsid w:val="00754C8E"/>
    <w:rsid w:val="00755B38"/>
    <w:rsid w:val="00756DCE"/>
    <w:rsid w:val="0076118F"/>
    <w:rsid w:val="0076269C"/>
    <w:rsid w:val="007629E2"/>
    <w:rsid w:val="007655BF"/>
    <w:rsid w:val="00770A9D"/>
    <w:rsid w:val="00771522"/>
    <w:rsid w:val="00772E01"/>
    <w:rsid w:val="007750C0"/>
    <w:rsid w:val="007754FB"/>
    <w:rsid w:val="00775771"/>
    <w:rsid w:val="00776922"/>
    <w:rsid w:val="00776A5F"/>
    <w:rsid w:val="00777C64"/>
    <w:rsid w:val="00781956"/>
    <w:rsid w:val="00783F1E"/>
    <w:rsid w:val="0078638A"/>
    <w:rsid w:val="007930DD"/>
    <w:rsid w:val="00793EF3"/>
    <w:rsid w:val="007940D5"/>
    <w:rsid w:val="00796A14"/>
    <w:rsid w:val="007A0D3D"/>
    <w:rsid w:val="007A0F1E"/>
    <w:rsid w:val="007A120B"/>
    <w:rsid w:val="007A1944"/>
    <w:rsid w:val="007A37C9"/>
    <w:rsid w:val="007A4EA7"/>
    <w:rsid w:val="007A4F1D"/>
    <w:rsid w:val="007A61AD"/>
    <w:rsid w:val="007A7178"/>
    <w:rsid w:val="007A73AA"/>
    <w:rsid w:val="007B0152"/>
    <w:rsid w:val="007B039D"/>
    <w:rsid w:val="007B0D66"/>
    <w:rsid w:val="007B10E7"/>
    <w:rsid w:val="007B1C57"/>
    <w:rsid w:val="007B2C14"/>
    <w:rsid w:val="007B3558"/>
    <w:rsid w:val="007B76EC"/>
    <w:rsid w:val="007C15D5"/>
    <w:rsid w:val="007C28F1"/>
    <w:rsid w:val="007C4CD6"/>
    <w:rsid w:val="007C5960"/>
    <w:rsid w:val="007C6C24"/>
    <w:rsid w:val="007C78F0"/>
    <w:rsid w:val="007D3162"/>
    <w:rsid w:val="007D4DFC"/>
    <w:rsid w:val="007D713B"/>
    <w:rsid w:val="007E42C5"/>
    <w:rsid w:val="007E5A19"/>
    <w:rsid w:val="007F040A"/>
    <w:rsid w:val="007F05D8"/>
    <w:rsid w:val="007F1240"/>
    <w:rsid w:val="007F26BF"/>
    <w:rsid w:val="007F50BD"/>
    <w:rsid w:val="007F54CB"/>
    <w:rsid w:val="007F7537"/>
    <w:rsid w:val="0080078C"/>
    <w:rsid w:val="00800F5E"/>
    <w:rsid w:val="00804466"/>
    <w:rsid w:val="008066CC"/>
    <w:rsid w:val="0080793D"/>
    <w:rsid w:val="00807BEB"/>
    <w:rsid w:val="0081017A"/>
    <w:rsid w:val="008101FB"/>
    <w:rsid w:val="00812B37"/>
    <w:rsid w:val="00813F1A"/>
    <w:rsid w:val="008154C2"/>
    <w:rsid w:val="00820015"/>
    <w:rsid w:val="00821792"/>
    <w:rsid w:val="00824FBA"/>
    <w:rsid w:val="0082574B"/>
    <w:rsid w:val="00825DCE"/>
    <w:rsid w:val="008261DA"/>
    <w:rsid w:val="008309C3"/>
    <w:rsid w:val="008312C1"/>
    <w:rsid w:val="008338AF"/>
    <w:rsid w:val="0083770F"/>
    <w:rsid w:val="00837C42"/>
    <w:rsid w:val="00837CAA"/>
    <w:rsid w:val="00852D8F"/>
    <w:rsid w:val="00854D1F"/>
    <w:rsid w:val="00854E76"/>
    <w:rsid w:val="0085502F"/>
    <w:rsid w:val="00855A11"/>
    <w:rsid w:val="00856B13"/>
    <w:rsid w:val="00861128"/>
    <w:rsid w:val="00861C9E"/>
    <w:rsid w:val="008625CB"/>
    <w:rsid w:val="0086479E"/>
    <w:rsid w:val="00867E9F"/>
    <w:rsid w:val="008716F2"/>
    <w:rsid w:val="00883A00"/>
    <w:rsid w:val="00883CCC"/>
    <w:rsid w:val="0088602B"/>
    <w:rsid w:val="008907AA"/>
    <w:rsid w:val="00890DE4"/>
    <w:rsid w:val="00894F61"/>
    <w:rsid w:val="008957CA"/>
    <w:rsid w:val="00896C28"/>
    <w:rsid w:val="00897980"/>
    <w:rsid w:val="00897B3E"/>
    <w:rsid w:val="008A2BBD"/>
    <w:rsid w:val="008A367B"/>
    <w:rsid w:val="008A5A2B"/>
    <w:rsid w:val="008A78D9"/>
    <w:rsid w:val="008B111C"/>
    <w:rsid w:val="008B1A3E"/>
    <w:rsid w:val="008B58DC"/>
    <w:rsid w:val="008C1FE4"/>
    <w:rsid w:val="008C2C67"/>
    <w:rsid w:val="008C2E6A"/>
    <w:rsid w:val="008C3B34"/>
    <w:rsid w:val="008C503D"/>
    <w:rsid w:val="008C5C3A"/>
    <w:rsid w:val="008D1C02"/>
    <w:rsid w:val="008D27F5"/>
    <w:rsid w:val="008D2FF5"/>
    <w:rsid w:val="008D3ACF"/>
    <w:rsid w:val="008D4A0B"/>
    <w:rsid w:val="008D75EB"/>
    <w:rsid w:val="008D79F2"/>
    <w:rsid w:val="008F5D96"/>
    <w:rsid w:val="009017C7"/>
    <w:rsid w:val="00903DB3"/>
    <w:rsid w:val="0090791A"/>
    <w:rsid w:val="00907E45"/>
    <w:rsid w:val="009127F4"/>
    <w:rsid w:val="0091354C"/>
    <w:rsid w:val="00913F7C"/>
    <w:rsid w:val="00914FFF"/>
    <w:rsid w:val="00917DFA"/>
    <w:rsid w:val="00917F47"/>
    <w:rsid w:val="0092329A"/>
    <w:rsid w:val="00926200"/>
    <w:rsid w:val="00926459"/>
    <w:rsid w:val="0093779A"/>
    <w:rsid w:val="00942169"/>
    <w:rsid w:val="00944BCE"/>
    <w:rsid w:val="0094543C"/>
    <w:rsid w:val="009471CB"/>
    <w:rsid w:val="009473CE"/>
    <w:rsid w:val="00947541"/>
    <w:rsid w:val="00947749"/>
    <w:rsid w:val="009501E0"/>
    <w:rsid w:val="00961116"/>
    <w:rsid w:val="009613E0"/>
    <w:rsid w:val="00961919"/>
    <w:rsid w:val="009632A9"/>
    <w:rsid w:val="00966D73"/>
    <w:rsid w:val="009719D6"/>
    <w:rsid w:val="00971EEF"/>
    <w:rsid w:val="0097292F"/>
    <w:rsid w:val="00973B59"/>
    <w:rsid w:val="00975FE4"/>
    <w:rsid w:val="0097621B"/>
    <w:rsid w:val="009771E7"/>
    <w:rsid w:val="009824F6"/>
    <w:rsid w:val="00983099"/>
    <w:rsid w:val="00985848"/>
    <w:rsid w:val="00991457"/>
    <w:rsid w:val="00992163"/>
    <w:rsid w:val="0099444B"/>
    <w:rsid w:val="00995A27"/>
    <w:rsid w:val="00995A98"/>
    <w:rsid w:val="009975D3"/>
    <w:rsid w:val="00997A82"/>
    <w:rsid w:val="00997BBB"/>
    <w:rsid w:val="009A191D"/>
    <w:rsid w:val="009A2D96"/>
    <w:rsid w:val="009A3C86"/>
    <w:rsid w:val="009A4053"/>
    <w:rsid w:val="009A4B11"/>
    <w:rsid w:val="009A5D13"/>
    <w:rsid w:val="009A72EF"/>
    <w:rsid w:val="009B153E"/>
    <w:rsid w:val="009B3F07"/>
    <w:rsid w:val="009B4552"/>
    <w:rsid w:val="009B6673"/>
    <w:rsid w:val="009B7172"/>
    <w:rsid w:val="009C154A"/>
    <w:rsid w:val="009C2E4B"/>
    <w:rsid w:val="009C4287"/>
    <w:rsid w:val="009C652E"/>
    <w:rsid w:val="009D0389"/>
    <w:rsid w:val="009D0660"/>
    <w:rsid w:val="009D2470"/>
    <w:rsid w:val="009D4007"/>
    <w:rsid w:val="009D4CE1"/>
    <w:rsid w:val="009D6C95"/>
    <w:rsid w:val="009E11B3"/>
    <w:rsid w:val="009E3527"/>
    <w:rsid w:val="009E5854"/>
    <w:rsid w:val="009E7945"/>
    <w:rsid w:val="009F4135"/>
    <w:rsid w:val="009F48C3"/>
    <w:rsid w:val="009F4A3D"/>
    <w:rsid w:val="009F51B7"/>
    <w:rsid w:val="009F6CBC"/>
    <w:rsid w:val="00A01E34"/>
    <w:rsid w:val="00A035A5"/>
    <w:rsid w:val="00A03B6C"/>
    <w:rsid w:val="00A066B1"/>
    <w:rsid w:val="00A10963"/>
    <w:rsid w:val="00A20199"/>
    <w:rsid w:val="00A2120E"/>
    <w:rsid w:val="00A22D7B"/>
    <w:rsid w:val="00A25ADF"/>
    <w:rsid w:val="00A26FDB"/>
    <w:rsid w:val="00A30F27"/>
    <w:rsid w:val="00A42D6F"/>
    <w:rsid w:val="00A430EB"/>
    <w:rsid w:val="00A43465"/>
    <w:rsid w:val="00A45266"/>
    <w:rsid w:val="00A45C25"/>
    <w:rsid w:val="00A52D78"/>
    <w:rsid w:val="00A53349"/>
    <w:rsid w:val="00A53359"/>
    <w:rsid w:val="00A5399B"/>
    <w:rsid w:val="00A53E47"/>
    <w:rsid w:val="00A54722"/>
    <w:rsid w:val="00A54FDE"/>
    <w:rsid w:val="00A561DF"/>
    <w:rsid w:val="00A5696F"/>
    <w:rsid w:val="00A56BB7"/>
    <w:rsid w:val="00A56D84"/>
    <w:rsid w:val="00A60806"/>
    <w:rsid w:val="00A62146"/>
    <w:rsid w:val="00A653DE"/>
    <w:rsid w:val="00A6561F"/>
    <w:rsid w:val="00A659B0"/>
    <w:rsid w:val="00A70C1C"/>
    <w:rsid w:val="00A7109E"/>
    <w:rsid w:val="00A7625F"/>
    <w:rsid w:val="00A80067"/>
    <w:rsid w:val="00A82508"/>
    <w:rsid w:val="00A82D83"/>
    <w:rsid w:val="00A83F0D"/>
    <w:rsid w:val="00A86389"/>
    <w:rsid w:val="00A8668C"/>
    <w:rsid w:val="00A9022E"/>
    <w:rsid w:val="00A90CB6"/>
    <w:rsid w:val="00A911EA"/>
    <w:rsid w:val="00A91AF4"/>
    <w:rsid w:val="00A92BB4"/>
    <w:rsid w:val="00AA106D"/>
    <w:rsid w:val="00AA17D8"/>
    <w:rsid w:val="00AA55E7"/>
    <w:rsid w:val="00AA58F4"/>
    <w:rsid w:val="00AA6757"/>
    <w:rsid w:val="00AB3452"/>
    <w:rsid w:val="00AB3871"/>
    <w:rsid w:val="00AB6233"/>
    <w:rsid w:val="00AB6A8C"/>
    <w:rsid w:val="00AB7431"/>
    <w:rsid w:val="00AC2968"/>
    <w:rsid w:val="00AC39A4"/>
    <w:rsid w:val="00AC6A12"/>
    <w:rsid w:val="00AC79AA"/>
    <w:rsid w:val="00AD07EF"/>
    <w:rsid w:val="00AD0E1B"/>
    <w:rsid w:val="00AD344A"/>
    <w:rsid w:val="00AD4DD1"/>
    <w:rsid w:val="00AE62E3"/>
    <w:rsid w:val="00AE6639"/>
    <w:rsid w:val="00AE7911"/>
    <w:rsid w:val="00AF0574"/>
    <w:rsid w:val="00AF23B5"/>
    <w:rsid w:val="00AF2818"/>
    <w:rsid w:val="00AF45FB"/>
    <w:rsid w:val="00AF59AA"/>
    <w:rsid w:val="00AF7823"/>
    <w:rsid w:val="00B01901"/>
    <w:rsid w:val="00B0271E"/>
    <w:rsid w:val="00B028E4"/>
    <w:rsid w:val="00B047E4"/>
    <w:rsid w:val="00B074B7"/>
    <w:rsid w:val="00B07F91"/>
    <w:rsid w:val="00B12ACA"/>
    <w:rsid w:val="00B144F4"/>
    <w:rsid w:val="00B159BF"/>
    <w:rsid w:val="00B16685"/>
    <w:rsid w:val="00B169B9"/>
    <w:rsid w:val="00B16EE7"/>
    <w:rsid w:val="00B17664"/>
    <w:rsid w:val="00B2567B"/>
    <w:rsid w:val="00B2577C"/>
    <w:rsid w:val="00B341F1"/>
    <w:rsid w:val="00B36A48"/>
    <w:rsid w:val="00B43030"/>
    <w:rsid w:val="00B45ABF"/>
    <w:rsid w:val="00B5042C"/>
    <w:rsid w:val="00B506E0"/>
    <w:rsid w:val="00B526E8"/>
    <w:rsid w:val="00B536D7"/>
    <w:rsid w:val="00B57907"/>
    <w:rsid w:val="00B62A82"/>
    <w:rsid w:val="00B63EEC"/>
    <w:rsid w:val="00B70875"/>
    <w:rsid w:val="00B719C5"/>
    <w:rsid w:val="00B72474"/>
    <w:rsid w:val="00B73A8C"/>
    <w:rsid w:val="00B73C8A"/>
    <w:rsid w:val="00B76767"/>
    <w:rsid w:val="00B775F6"/>
    <w:rsid w:val="00B7783F"/>
    <w:rsid w:val="00B80FA2"/>
    <w:rsid w:val="00B81965"/>
    <w:rsid w:val="00B84E56"/>
    <w:rsid w:val="00B865DB"/>
    <w:rsid w:val="00B901A5"/>
    <w:rsid w:val="00B922C1"/>
    <w:rsid w:val="00B965EA"/>
    <w:rsid w:val="00BA1EFE"/>
    <w:rsid w:val="00BA431B"/>
    <w:rsid w:val="00BA453D"/>
    <w:rsid w:val="00BA60DB"/>
    <w:rsid w:val="00BA67AE"/>
    <w:rsid w:val="00BA6943"/>
    <w:rsid w:val="00BA70EC"/>
    <w:rsid w:val="00BB03EA"/>
    <w:rsid w:val="00BB0EC0"/>
    <w:rsid w:val="00BB705F"/>
    <w:rsid w:val="00BB799B"/>
    <w:rsid w:val="00BB7BB2"/>
    <w:rsid w:val="00BC043F"/>
    <w:rsid w:val="00BC3B5E"/>
    <w:rsid w:val="00BC3BEC"/>
    <w:rsid w:val="00BC79BB"/>
    <w:rsid w:val="00BD0570"/>
    <w:rsid w:val="00BD14FA"/>
    <w:rsid w:val="00BD181A"/>
    <w:rsid w:val="00BD1ECC"/>
    <w:rsid w:val="00BD2F4B"/>
    <w:rsid w:val="00BD5257"/>
    <w:rsid w:val="00BD5E27"/>
    <w:rsid w:val="00BE2C3F"/>
    <w:rsid w:val="00BE6BE1"/>
    <w:rsid w:val="00BE6D7E"/>
    <w:rsid w:val="00BF07C6"/>
    <w:rsid w:val="00BF1E25"/>
    <w:rsid w:val="00BF4E35"/>
    <w:rsid w:val="00BF64A9"/>
    <w:rsid w:val="00C002A9"/>
    <w:rsid w:val="00C02198"/>
    <w:rsid w:val="00C034CD"/>
    <w:rsid w:val="00C03B7F"/>
    <w:rsid w:val="00C04FEF"/>
    <w:rsid w:val="00C06382"/>
    <w:rsid w:val="00C069E4"/>
    <w:rsid w:val="00C119C6"/>
    <w:rsid w:val="00C127D8"/>
    <w:rsid w:val="00C150FB"/>
    <w:rsid w:val="00C162E3"/>
    <w:rsid w:val="00C16F86"/>
    <w:rsid w:val="00C21837"/>
    <w:rsid w:val="00C21F4A"/>
    <w:rsid w:val="00C30337"/>
    <w:rsid w:val="00C30AEE"/>
    <w:rsid w:val="00C319C7"/>
    <w:rsid w:val="00C348AA"/>
    <w:rsid w:val="00C34F5C"/>
    <w:rsid w:val="00C35826"/>
    <w:rsid w:val="00C36D46"/>
    <w:rsid w:val="00C37147"/>
    <w:rsid w:val="00C37CB0"/>
    <w:rsid w:val="00C408CF"/>
    <w:rsid w:val="00C436DB"/>
    <w:rsid w:val="00C51A59"/>
    <w:rsid w:val="00C52AE8"/>
    <w:rsid w:val="00C550DB"/>
    <w:rsid w:val="00C55502"/>
    <w:rsid w:val="00C56E14"/>
    <w:rsid w:val="00C61C3C"/>
    <w:rsid w:val="00C624F1"/>
    <w:rsid w:val="00C64391"/>
    <w:rsid w:val="00C70913"/>
    <w:rsid w:val="00C77E6E"/>
    <w:rsid w:val="00C80195"/>
    <w:rsid w:val="00C814CA"/>
    <w:rsid w:val="00C8213C"/>
    <w:rsid w:val="00C821C1"/>
    <w:rsid w:val="00C82A01"/>
    <w:rsid w:val="00C91804"/>
    <w:rsid w:val="00C93A0F"/>
    <w:rsid w:val="00C96C96"/>
    <w:rsid w:val="00C9781F"/>
    <w:rsid w:val="00CA0372"/>
    <w:rsid w:val="00CA3B2F"/>
    <w:rsid w:val="00CA4197"/>
    <w:rsid w:val="00CA587B"/>
    <w:rsid w:val="00CB3D36"/>
    <w:rsid w:val="00CB42F2"/>
    <w:rsid w:val="00CC0AEF"/>
    <w:rsid w:val="00CC32A9"/>
    <w:rsid w:val="00CC6C38"/>
    <w:rsid w:val="00CD17D1"/>
    <w:rsid w:val="00CD46DE"/>
    <w:rsid w:val="00CD533C"/>
    <w:rsid w:val="00CD7ADF"/>
    <w:rsid w:val="00CE2A01"/>
    <w:rsid w:val="00CE2C2F"/>
    <w:rsid w:val="00CE4C94"/>
    <w:rsid w:val="00CF13A1"/>
    <w:rsid w:val="00CF1BFA"/>
    <w:rsid w:val="00CF2BAA"/>
    <w:rsid w:val="00CF33BA"/>
    <w:rsid w:val="00CF5106"/>
    <w:rsid w:val="00CF5111"/>
    <w:rsid w:val="00CF66DB"/>
    <w:rsid w:val="00D00F9E"/>
    <w:rsid w:val="00D03EBC"/>
    <w:rsid w:val="00D1453D"/>
    <w:rsid w:val="00D1462B"/>
    <w:rsid w:val="00D16083"/>
    <w:rsid w:val="00D175B6"/>
    <w:rsid w:val="00D17D2A"/>
    <w:rsid w:val="00D208A8"/>
    <w:rsid w:val="00D22174"/>
    <w:rsid w:val="00D24C88"/>
    <w:rsid w:val="00D24D77"/>
    <w:rsid w:val="00D24FDA"/>
    <w:rsid w:val="00D250E0"/>
    <w:rsid w:val="00D27B4E"/>
    <w:rsid w:val="00D33831"/>
    <w:rsid w:val="00D344DB"/>
    <w:rsid w:val="00D362C6"/>
    <w:rsid w:val="00D40AA1"/>
    <w:rsid w:val="00D41397"/>
    <w:rsid w:val="00D41E84"/>
    <w:rsid w:val="00D426BE"/>
    <w:rsid w:val="00D435E9"/>
    <w:rsid w:val="00D4384A"/>
    <w:rsid w:val="00D4691F"/>
    <w:rsid w:val="00D47FBB"/>
    <w:rsid w:val="00D50EB9"/>
    <w:rsid w:val="00D52B11"/>
    <w:rsid w:val="00D603A8"/>
    <w:rsid w:val="00D60434"/>
    <w:rsid w:val="00D654AE"/>
    <w:rsid w:val="00D655A4"/>
    <w:rsid w:val="00D65B42"/>
    <w:rsid w:val="00D73BAB"/>
    <w:rsid w:val="00D75220"/>
    <w:rsid w:val="00D75F57"/>
    <w:rsid w:val="00D76A6E"/>
    <w:rsid w:val="00D81483"/>
    <w:rsid w:val="00D85963"/>
    <w:rsid w:val="00D85965"/>
    <w:rsid w:val="00D86F7D"/>
    <w:rsid w:val="00D918E0"/>
    <w:rsid w:val="00D91E2B"/>
    <w:rsid w:val="00D932DE"/>
    <w:rsid w:val="00D93A03"/>
    <w:rsid w:val="00D947DE"/>
    <w:rsid w:val="00D94B68"/>
    <w:rsid w:val="00D9724A"/>
    <w:rsid w:val="00D97ED7"/>
    <w:rsid w:val="00DA0C1D"/>
    <w:rsid w:val="00DA124B"/>
    <w:rsid w:val="00DA151A"/>
    <w:rsid w:val="00DA30DC"/>
    <w:rsid w:val="00DA6C71"/>
    <w:rsid w:val="00DB5B73"/>
    <w:rsid w:val="00DB7AEF"/>
    <w:rsid w:val="00DC23FD"/>
    <w:rsid w:val="00DC461E"/>
    <w:rsid w:val="00DC5BEF"/>
    <w:rsid w:val="00DD319B"/>
    <w:rsid w:val="00DD4CAA"/>
    <w:rsid w:val="00DD5B22"/>
    <w:rsid w:val="00DD6FD7"/>
    <w:rsid w:val="00DE112F"/>
    <w:rsid w:val="00DE1D92"/>
    <w:rsid w:val="00DE32F0"/>
    <w:rsid w:val="00DE37E2"/>
    <w:rsid w:val="00DE5276"/>
    <w:rsid w:val="00DE5A2D"/>
    <w:rsid w:val="00DE6A80"/>
    <w:rsid w:val="00DE7FCC"/>
    <w:rsid w:val="00DF004A"/>
    <w:rsid w:val="00DF1280"/>
    <w:rsid w:val="00DF5893"/>
    <w:rsid w:val="00DF6355"/>
    <w:rsid w:val="00E0042B"/>
    <w:rsid w:val="00E015A4"/>
    <w:rsid w:val="00E06BCC"/>
    <w:rsid w:val="00E13DF9"/>
    <w:rsid w:val="00E1405D"/>
    <w:rsid w:val="00E15749"/>
    <w:rsid w:val="00E16CF1"/>
    <w:rsid w:val="00E24040"/>
    <w:rsid w:val="00E24521"/>
    <w:rsid w:val="00E2529A"/>
    <w:rsid w:val="00E26BD6"/>
    <w:rsid w:val="00E26D56"/>
    <w:rsid w:val="00E26FBA"/>
    <w:rsid w:val="00E278C6"/>
    <w:rsid w:val="00E307F9"/>
    <w:rsid w:val="00E31F09"/>
    <w:rsid w:val="00E325E5"/>
    <w:rsid w:val="00E330B0"/>
    <w:rsid w:val="00E34E68"/>
    <w:rsid w:val="00E40368"/>
    <w:rsid w:val="00E40D93"/>
    <w:rsid w:val="00E46B08"/>
    <w:rsid w:val="00E51F3C"/>
    <w:rsid w:val="00E53580"/>
    <w:rsid w:val="00E54EA2"/>
    <w:rsid w:val="00E55693"/>
    <w:rsid w:val="00E561CA"/>
    <w:rsid w:val="00E568D8"/>
    <w:rsid w:val="00E57042"/>
    <w:rsid w:val="00E619A3"/>
    <w:rsid w:val="00E62781"/>
    <w:rsid w:val="00E63901"/>
    <w:rsid w:val="00E63FF9"/>
    <w:rsid w:val="00E643E8"/>
    <w:rsid w:val="00E647B8"/>
    <w:rsid w:val="00E64CEA"/>
    <w:rsid w:val="00E74EEC"/>
    <w:rsid w:val="00E76C0A"/>
    <w:rsid w:val="00E802CB"/>
    <w:rsid w:val="00E80366"/>
    <w:rsid w:val="00E83DFC"/>
    <w:rsid w:val="00E85570"/>
    <w:rsid w:val="00E86602"/>
    <w:rsid w:val="00E870A8"/>
    <w:rsid w:val="00E90ED7"/>
    <w:rsid w:val="00E91D45"/>
    <w:rsid w:val="00E92A30"/>
    <w:rsid w:val="00E92BE1"/>
    <w:rsid w:val="00EA19ED"/>
    <w:rsid w:val="00EA2D3F"/>
    <w:rsid w:val="00EA43CA"/>
    <w:rsid w:val="00EA7748"/>
    <w:rsid w:val="00EB0594"/>
    <w:rsid w:val="00EB0F18"/>
    <w:rsid w:val="00EB1C26"/>
    <w:rsid w:val="00EB21B5"/>
    <w:rsid w:val="00EB3775"/>
    <w:rsid w:val="00EB504E"/>
    <w:rsid w:val="00EB778F"/>
    <w:rsid w:val="00EC0AA7"/>
    <w:rsid w:val="00EC1107"/>
    <w:rsid w:val="00EC4AD6"/>
    <w:rsid w:val="00EC4CFB"/>
    <w:rsid w:val="00EC6B28"/>
    <w:rsid w:val="00EC75D9"/>
    <w:rsid w:val="00ED3168"/>
    <w:rsid w:val="00ED7E3C"/>
    <w:rsid w:val="00EE37B4"/>
    <w:rsid w:val="00EE4320"/>
    <w:rsid w:val="00EE4F4D"/>
    <w:rsid w:val="00EE793A"/>
    <w:rsid w:val="00EF1554"/>
    <w:rsid w:val="00EF185E"/>
    <w:rsid w:val="00EF1C28"/>
    <w:rsid w:val="00EF6B04"/>
    <w:rsid w:val="00EF7832"/>
    <w:rsid w:val="00F00248"/>
    <w:rsid w:val="00F0182B"/>
    <w:rsid w:val="00F02155"/>
    <w:rsid w:val="00F04124"/>
    <w:rsid w:val="00F05D03"/>
    <w:rsid w:val="00F06A57"/>
    <w:rsid w:val="00F10F9A"/>
    <w:rsid w:val="00F119A8"/>
    <w:rsid w:val="00F11B25"/>
    <w:rsid w:val="00F12C63"/>
    <w:rsid w:val="00F1365F"/>
    <w:rsid w:val="00F1440C"/>
    <w:rsid w:val="00F1777C"/>
    <w:rsid w:val="00F20F41"/>
    <w:rsid w:val="00F21FF0"/>
    <w:rsid w:val="00F23261"/>
    <w:rsid w:val="00F24C98"/>
    <w:rsid w:val="00F2557D"/>
    <w:rsid w:val="00F26297"/>
    <w:rsid w:val="00F2734A"/>
    <w:rsid w:val="00F332D1"/>
    <w:rsid w:val="00F3332A"/>
    <w:rsid w:val="00F36ED6"/>
    <w:rsid w:val="00F37260"/>
    <w:rsid w:val="00F40EE3"/>
    <w:rsid w:val="00F41252"/>
    <w:rsid w:val="00F46090"/>
    <w:rsid w:val="00F50312"/>
    <w:rsid w:val="00F5191A"/>
    <w:rsid w:val="00F552D1"/>
    <w:rsid w:val="00F55476"/>
    <w:rsid w:val="00F55F7F"/>
    <w:rsid w:val="00F574FD"/>
    <w:rsid w:val="00F60612"/>
    <w:rsid w:val="00F60B14"/>
    <w:rsid w:val="00F6358D"/>
    <w:rsid w:val="00F6572D"/>
    <w:rsid w:val="00F66BB8"/>
    <w:rsid w:val="00F70CC2"/>
    <w:rsid w:val="00F81DFA"/>
    <w:rsid w:val="00F82E0D"/>
    <w:rsid w:val="00F87307"/>
    <w:rsid w:val="00F877B1"/>
    <w:rsid w:val="00F90462"/>
    <w:rsid w:val="00F94FDF"/>
    <w:rsid w:val="00F9628D"/>
    <w:rsid w:val="00F97A2D"/>
    <w:rsid w:val="00F97B08"/>
    <w:rsid w:val="00FA0D31"/>
    <w:rsid w:val="00FA1650"/>
    <w:rsid w:val="00FA1937"/>
    <w:rsid w:val="00FA2EDD"/>
    <w:rsid w:val="00FA357B"/>
    <w:rsid w:val="00FA37C8"/>
    <w:rsid w:val="00FA450A"/>
    <w:rsid w:val="00FA595B"/>
    <w:rsid w:val="00FA695F"/>
    <w:rsid w:val="00FB06B7"/>
    <w:rsid w:val="00FB21D1"/>
    <w:rsid w:val="00FB3238"/>
    <w:rsid w:val="00FB3D1B"/>
    <w:rsid w:val="00FB4805"/>
    <w:rsid w:val="00FB4AC4"/>
    <w:rsid w:val="00FB5E87"/>
    <w:rsid w:val="00FB6D94"/>
    <w:rsid w:val="00FB7197"/>
    <w:rsid w:val="00FB779D"/>
    <w:rsid w:val="00FC0293"/>
    <w:rsid w:val="00FC3407"/>
    <w:rsid w:val="00FC6071"/>
    <w:rsid w:val="00FD1B52"/>
    <w:rsid w:val="00FD1BF0"/>
    <w:rsid w:val="00FD3F4D"/>
    <w:rsid w:val="00FD405F"/>
    <w:rsid w:val="00FD78E9"/>
    <w:rsid w:val="00FE241D"/>
    <w:rsid w:val="00FE2992"/>
    <w:rsid w:val="00FE29A7"/>
    <w:rsid w:val="00FE2EE9"/>
    <w:rsid w:val="00FE3C01"/>
    <w:rsid w:val="00FE4B84"/>
    <w:rsid w:val="00FE59BE"/>
    <w:rsid w:val="00FF39E3"/>
    <w:rsid w:val="00FF5BD0"/>
    <w:rsid w:val="00FF5D3B"/>
    <w:rsid w:val="00FF63E5"/>
    <w:rsid w:val="00FF6A4B"/>
    <w:rsid w:val="00FF744D"/>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C30"/>
    <w:pPr>
      <w:widowControl w:val="0"/>
    </w:pPr>
    <w:rPr>
      <w:snapToGrid w:val="0"/>
      <w:kern w:val="28"/>
      <w:sz w:val="22"/>
    </w:rPr>
  </w:style>
  <w:style w:type="paragraph" w:styleId="Heading1">
    <w:name w:val="heading 1"/>
    <w:basedOn w:val="Normal"/>
    <w:next w:val="ParaNum"/>
    <w:qFormat/>
    <w:rsid w:val="005D1C30"/>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1C30"/>
    <w:pPr>
      <w:keepNext/>
      <w:numPr>
        <w:ilvl w:val="1"/>
        <w:numId w:val="48"/>
      </w:numPr>
      <w:spacing w:after="120"/>
      <w:outlineLvl w:val="1"/>
    </w:pPr>
    <w:rPr>
      <w:b/>
    </w:rPr>
  </w:style>
  <w:style w:type="paragraph" w:styleId="Heading3">
    <w:name w:val="heading 3"/>
    <w:basedOn w:val="Normal"/>
    <w:next w:val="ParaNum"/>
    <w:qFormat/>
    <w:rsid w:val="005D1C30"/>
    <w:pPr>
      <w:keepNext/>
      <w:numPr>
        <w:ilvl w:val="2"/>
        <w:numId w:val="48"/>
      </w:numPr>
      <w:tabs>
        <w:tab w:val="left" w:pos="2160"/>
      </w:tabs>
      <w:spacing w:after="120"/>
      <w:outlineLvl w:val="2"/>
    </w:pPr>
    <w:rPr>
      <w:b/>
    </w:rPr>
  </w:style>
  <w:style w:type="paragraph" w:styleId="Heading4">
    <w:name w:val="heading 4"/>
    <w:basedOn w:val="Normal"/>
    <w:next w:val="ParaNum"/>
    <w:qFormat/>
    <w:rsid w:val="005D1C30"/>
    <w:pPr>
      <w:keepNext/>
      <w:numPr>
        <w:ilvl w:val="3"/>
        <w:numId w:val="48"/>
      </w:numPr>
      <w:tabs>
        <w:tab w:val="left" w:pos="2880"/>
      </w:tabs>
      <w:spacing w:after="120"/>
      <w:outlineLvl w:val="3"/>
    </w:pPr>
    <w:rPr>
      <w:b/>
    </w:rPr>
  </w:style>
  <w:style w:type="paragraph" w:styleId="Heading5">
    <w:name w:val="heading 5"/>
    <w:basedOn w:val="Normal"/>
    <w:next w:val="ParaNum"/>
    <w:qFormat/>
    <w:rsid w:val="005D1C30"/>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5D1C30"/>
    <w:pPr>
      <w:numPr>
        <w:ilvl w:val="5"/>
        <w:numId w:val="48"/>
      </w:numPr>
      <w:tabs>
        <w:tab w:val="left" w:pos="4320"/>
      </w:tabs>
      <w:spacing w:after="120"/>
      <w:outlineLvl w:val="5"/>
    </w:pPr>
    <w:rPr>
      <w:b/>
    </w:rPr>
  </w:style>
  <w:style w:type="paragraph" w:styleId="Heading7">
    <w:name w:val="heading 7"/>
    <w:basedOn w:val="Normal"/>
    <w:next w:val="ParaNum"/>
    <w:qFormat/>
    <w:rsid w:val="005D1C30"/>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5D1C30"/>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5D1C30"/>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C30"/>
  </w:style>
  <w:style w:type="paragraph" w:styleId="Caption">
    <w:name w:val="caption"/>
    <w:basedOn w:val="Normal"/>
    <w:next w:val="Normal"/>
    <w:qFormat/>
    <w:pPr>
      <w:spacing w:before="120" w:after="120"/>
    </w:pPr>
    <w:rPr>
      <w:b/>
      <w:bCs/>
      <w:snapToGrid/>
    </w:rPr>
  </w:style>
  <w:style w:type="paragraph" w:customStyle="1" w:styleId="ParaNum">
    <w:name w:val="ParaNum"/>
    <w:basedOn w:val="Normal"/>
    <w:rsid w:val="005D1C30"/>
    <w:pPr>
      <w:numPr>
        <w:numId w:val="47"/>
      </w:numPr>
      <w:tabs>
        <w:tab w:val="clear" w:pos="1080"/>
        <w:tab w:val="num" w:pos="1440"/>
      </w:tabs>
      <w:spacing w:after="120"/>
    </w:pPr>
  </w:style>
  <w:style w:type="paragraph" w:styleId="FootnoteText">
    <w:name w:val="footnote text"/>
    <w:link w:val="FootnoteTextChar"/>
    <w:rsid w:val="005D1C30"/>
    <w:pPr>
      <w:spacing w:after="120"/>
    </w:pPr>
  </w:style>
  <w:style w:type="paragraph" w:customStyle="1" w:styleId="Bullet">
    <w:name w:val="Bullet"/>
    <w:basedOn w:val="Normal"/>
    <w:rsid w:val="005D1C30"/>
    <w:pPr>
      <w:tabs>
        <w:tab w:val="left" w:pos="2160"/>
      </w:tabs>
      <w:spacing w:after="220"/>
      <w:ind w:left="2160" w:hanging="720"/>
    </w:pPr>
  </w:style>
  <w:style w:type="paragraph" w:styleId="BlockText">
    <w:name w:val="Block Text"/>
    <w:basedOn w:val="Normal"/>
    <w:rsid w:val="005D1C30"/>
    <w:pPr>
      <w:spacing w:after="240"/>
      <w:ind w:left="1440" w:right="1440"/>
    </w:pPr>
  </w:style>
  <w:style w:type="paragraph" w:customStyle="1" w:styleId="TableFormat">
    <w:name w:val="TableFormat"/>
    <w:basedOn w:val="Bullet"/>
    <w:rsid w:val="005D1C30"/>
    <w:pPr>
      <w:tabs>
        <w:tab w:val="clear" w:pos="2160"/>
        <w:tab w:val="left" w:pos="5040"/>
      </w:tabs>
      <w:ind w:left="5040" w:hanging="3600"/>
    </w:pPr>
  </w:style>
  <w:style w:type="character" w:styleId="FootnoteReference">
    <w:name w:val="footnote reference"/>
    <w:rsid w:val="005D1C30"/>
    <w:rPr>
      <w:rFonts w:ascii="Times New Roman" w:hAnsi="Times New Roman"/>
      <w:dstrike w:val="0"/>
      <w:color w:val="auto"/>
      <w:sz w:val="20"/>
      <w:vertAlign w:val="superscript"/>
    </w:rPr>
  </w:style>
  <w:style w:type="paragraph" w:styleId="Header">
    <w:name w:val="header"/>
    <w:basedOn w:val="Normal"/>
    <w:autoRedefine/>
    <w:rsid w:val="005D1C30"/>
    <w:pPr>
      <w:tabs>
        <w:tab w:val="center" w:pos="4680"/>
        <w:tab w:val="right" w:pos="9360"/>
      </w:tabs>
    </w:pPr>
    <w:rPr>
      <w:b/>
    </w:rPr>
  </w:style>
  <w:style w:type="paragraph" w:styleId="Footer">
    <w:name w:val="footer"/>
    <w:basedOn w:val="Normal"/>
    <w:rsid w:val="005D1C30"/>
    <w:pPr>
      <w:tabs>
        <w:tab w:val="center" w:pos="4320"/>
        <w:tab w:val="right" w:pos="8640"/>
      </w:tabs>
    </w:pPr>
  </w:style>
  <w:style w:type="paragraph" w:styleId="TOC2">
    <w:name w:val="toc 2"/>
    <w:basedOn w:val="Normal"/>
    <w:next w:val="Normal"/>
    <w:semiHidden/>
    <w:rsid w:val="005D1C30"/>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rPr>
      <w:snapToGrid/>
    </w:rPr>
  </w:style>
  <w:style w:type="paragraph" w:styleId="TOC1">
    <w:name w:val="toc 1"/>
    <w:basedOn w:val="Normal"/>
    <w:next w:val="Normal"/>
    <w:semiHidden/>
    <w:rsid w:val="005D1C3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D1C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C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C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C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C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C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C30"/>
    <w:pPr>
      <w:tabs>
        <w:tab w:val="left" w:pos="3240"/>
        <w:tab w:val="right" w:leader="dot" w:pos="9360"/>
      </w:tabs>
      <w:suppressAutoHyphens/>
      <w:ind w:left="3240" w:hanging="360"/>
    </w:pPr>
    <w:rPr>
      <w:noProof/>
    </w:rPr>
  </w:style>
  <w:style w:type="character" w:styleId="PageNumber">
    <w:name w:val="page number"/>
    <w:basedOn w:val="DefaultParagraphFont"/>
    <w:rsid w:val="005D1C30"/>
  </w:style>
  <w:style w:type="paragraph" w:styleId="Title">
    <w:name w:val="Title"/>
    <w:basedOn w:val="Normal"/>
    <w:qFormat/>
    <w:pPr>
      <w:jc w:val="center"/>
    </w:pPr>
    <w:rPr>
      <w:b/>
      <w:bCs/>
      <w:snapToGrid/>
    </w:rPr>
  </w:style>
  <w:style w:type="character" w:styleId="Hyperlink">
    <w:name w:val="Hyperlink"/>
    <w:rsid w:val="005D1C30"/>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napToGrid/>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5D1C30"/>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5D1C30"/>
    <w:rPr>
      <w:vertAlign w:val="superscript"/>
    </w:rPr>
  </w:style>
  <w:style w:type="paragraph" w:styleId="TOAHeading">
    <w:name w:val="toa heading"/>
    <w:basedOn w:val="Normal"/>
    <w:next w:val="Normal"/>
    <w:rsid w:val="005D1C30"/>
    <w:pPr>
      <w:tabs>
        <w:tab w:val="right" w:pos="9360"/>
      </w:tabs>
      <w:suppressAutoHyphens/>
    </w:pPr>
  </w:style>
  <w:style w:type="character" w:customStyle="1" w:styleId="EquationCaption">
    <w:name w:val="_Equation Caption"/>
    <w:rsid w:val="005D1C30"/>
  </w:style>
  <w:style w:type="paragraph" w:customStyle="1" w:styleId="Paratitle">
    <w:name w:val="Para title"/>
    <w:basedOn w:val="Normal"/>
    <w:rsid w:val="005D1C30"/>
    <w:pPr>
      <w:tabs>
        <w:tab w:val="center" w:pos="9270"/>
      </w:tabs>
      <w:spacing w:after="240"/>
    </w:pPr>
    <w:rPr>
      <w:spacing w:val="-2"/>
    </w:rPr>
  </w:style>
  <w:style w:type="paragraph" w:customStyle="1" w:styleId="TOCTitle">
    <w:name w:val="TOC Title"/>
    <w:basedOn w:val="Normal"/>
    <w:rsid w:val="005D1C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C30"/>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rPr>
      <w:rFonts w:ascii="Calibri" w:hAnsi="Calibri"/>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C30"/>
    <w:pPr>
      <w:widowControl w:val="0"/>
    </w:pPr>
    <w:rPr>
      <w:snapToGrid w:val="0"/>
      <w:kern w:val="28"/>
      <w:sz w:val="22"/>
    </w:rPr>
  </w:style>
  <w:style w:type="paragraph" w:styleId="Heading1">
    <w:name w:val="heading 1"/>
    <w:basedOn w:val="Normal"/>
    <w:next w:val="ParaNum"/>
    <w:qFormat/>
    <w:rsid w:val="005D1C30"/>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1C30"/>
    <w:pPr>
      <w:keepNext/>
      <w:numPr>
        <w:ilvl w:val="1"/>
        <w:numId w:val="48"/>
      </w:numPr>
      <w:spacing w:after="120"/>
      <w:outlineLvl w:val="1"/>
    </w:pPr>
    <w:rPr>
      <w:b/>
    </w:rPr>
  </w:style>
  <w:style w:type="paragraph" w:styleId="Heading3">
    <w:name w:val="heading 3"/>
    <w:basedOn w:val="Normal"/>
    <w:next w:val="ParaNum"/>
    <w:qFormat/>
    <w:rsid w:val="005D1C30"/>
    <w:pPr>
      <w:keepNext/>
      <w:numPr>
        <w:ilvl w:val="2"/>
        <w:numId w:val="48"/>
      </w:numPr>
      <w:tabs>
        <w:tab w:val="left" w:pos="2160"/>
      </w:tabs>
      <w:spacing w:after="120"/>
      <w:outlineLvl w:val="2"/>
    </w:pPr>
    <w:rPr>
      <w:b/>
    </w:rPr>
  </w:style>
  <w:style w:type="paragraph" w:styleId="Heading4">
    <w:name w:val="heading 4"/>
    <w:basedOn w:val="Normal"/>
    <w:next w:val="ParaNum"/>
    <w:qFormat/>
    <w:rsid w:val="005D1C30"/>
    <w:pPr>
      <w:keepNext/>
      <w:numPr>
        <w:ilvl w:val="3"/>
        <w:numId w:val="48"/>
      </w:numPr>
      <w:tabs>
        <w:tab w:val="left" w:pos="2880"/>
      </w:tabs>
      <w:spacing w:after="120"/>
      <w:outlineLvl w:val="3"/>
    </w:pPr>
    <w:rPr>
      <w:b/>
    </w:rPr>
  </w:style>
  <w:style w:type="paragraph" w:styleId="Heading5">
    <w:name w:val="heading 5"/>
    <w:basedOn w:val="Normal"/>
    <w:next w:val="ParaNum"/>
    <w:qFormat/>
    <w:rsid w:val="005D1C30"/>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5D1C30"/>
    <w:pPr>
      <w:numPr>
        <w:ilvl w:val="5"/>
        <w:numId w:val="48"/>
      </w:numPr>
      <w:tabs>
        <w:tab w:val="left" w:pos="4320"/>
      </w:tabs>
      <w:spacing w:after="120"/>
      <w:outlineLvl w:val="5"/>
    </w:pPr>
    <w:rPr>
      <w:b/>
    </w:rPr>
  </w:style>
  <w:style w:type="paragraph" w:styleId="Heading7">
    <w:name w:val="heading 7"/>
    <w:basedOn w:val="Normal"/>
    <w:next w:val="ParaNum"/>
    <w:qFormat/>
    <w:rsid w:val="005D1C30"/>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5D1C30"/>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5D1C30"/>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C30"/>
  </w:style>
  <w:style w:type="paragraph" w:styleId="Caption">
    <w:name w:val="caption"/>
    <w:basedOn w:val="Normal"/>
    <w:next w:val="Normal"/>
    <w:qFormat/>
    <w:pPr>
      <w:spacing w:before="120" w:after="120"/>
    </w:pPr>
    <w:rPr>
      <w:b/>
      <w:bCs/>
      <w:snapToGrid/>
    </w:rPr>
  </w:style>
  <w:style w:type="paragraph" w:customStyle="1" w:styleId="ParaNum">
    <w:name w:val="ParaNum"/>
    <w:basedOn w:val="Normal"/>
    <w:rsid w:val="005D1C30"/>
    <w:pPr>
      <w:numPr>
        <w:numId w:val="47"/>
      </w:numPr>
      <w:tabs>
        <w:tab w:val="clear" w:pos="1080"/>
        <w:tab w:val="num" w:pos="1440"/>
      </w:tabs>
      <w:spacing w:after="120"/>
    </w:pPr>
  </w:style>
  <w:style w:type="paragraph" w:styleId="FootnoteText">
    <w:name w:val="footnote text"/>
    <w:link w:val="FootnoteTextChar"/>
    <w:rsid w:val="005D1C30"/>
    <w:pPr>
      <w:spacing w:after="120"/>
    </w:pPr>
  </w:style>
  <w:style w:type="paragraph" w:customStyle="1" w:styleId="Bullet">
    <w:name w:val="Bullet"/>
    <w:basedOn w:val="Normal"/>
    <w:rsid w:val="005D1C30"/>
    <w:pPr>
      <w:tabs>
        <w:tab w:val="left" w:pos="2160"/>
      </w:tabs>
      <w:spacing w:after="220"/>
      <w:ind w:left="2160" w:hanging="720"/>
    </w:pPr>
  </w:style>
  <w:style w:type="paragraph" w:styleId="BlockText">
    <w:name w:val="Block Text"/>
    <w:basedOn w:val="Normal"/>
    <w:rsid w:val="005D1C30"/>
    <w:pPr>
      <w:spacing w:after="240"/>
      <w:ind w:left="1440" w:right="1440"/>
    </w:pPr>
  </w:style>
  <w:style w:type="paragraph" w:customStyle="1" w:styleId="TableFormat">
    <w:name w:val="TableFormat"/>
    <w:basedOn w:val="Bullet"/>
    <w:rsid w:val="005D1C30"/>
    <w:pPr>
      <w:tabs>
        <w:tab w:val="clear" w:pos="2160"/>
        <w:tab w:val="left" w:pos="5040"/>
      </w:tabs>
      <w:ind w:left="5040" w:hanging="3600"/>
    </w:pPr>
  </w:style>
  <w:style w:type="character" w:styleId="FootnoteReference">
    <w:name w:val="footnote reference"/>
    <w:rsid w:val="005D1C30"/>
    <w:rPr>
      <w:rFonts w:ascii="Times New Roman" w:hAnsi="Times New Roman"/>
      <w:dstrike w:val="0"/>
      <w:color w:val="auto"/>
      <w:sz w:val="20"/>
      <w:vertAlign w:val="superscript"/>
    </w:rPr>
  </w:style>
  <w:style w:type="paragraph" w:styleId="Header">
    <w:name w:val="header"/>
    <w:basedOn w:val="Normal"/>
    <w:autoRedefine/>
    <w:rsid w:val="005D1C30"/>
    <w:pPr>
      <w:tabs>
        <w:tab w:val="center" w:pos="4680"/>
        <w:tab w:val="right" w:pos="9360"/>
      </w:tabs>
    </w:pPr>
    <w:rPr>
      <w:b/>
    </w:rPr>
  </w:style>
  <w:style w:type="paragraph" w:styleId="Footer">
    <w:name w:val="footer"/>
    <w:basedOn w:val="Normal"/>
    <w:rsid w:val="005D1C30"/>
    <w:pPr>
      <w:tabs>
        <w:tab w:val="center" w:pos="4320"/>
        <w:tab w:val="right" w:pos="8640"/>
      </w:tabs>
    </w:pPr>
  </w:style>
  <w:style w:type="paragraph" w:styleId="TOC2">
    <w:name w:val="toc 2"/>
    <w:basedOn w:val="Normal"/>
    <w:next w:val="Normal"/>
    <w:semiHidden/>
    <w:rsid w:val="005D1C30"/>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rPr>
      <w:snapToGrid/>
    </w:rPr>
  </w:style>
  <w:style w:type="paragraph" w:styleId="TOC1">
    <w:name w:val="toc 1"/>
    <w:basedOn w:val="Normal"/>
    <w:next w:val="Normal"/>
    <w:semiHidden/>
    <w:rsid w:val="005D1C3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D1C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C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C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C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C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C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C30"/>
    <w:pPr>
      <w:tabs>
        <w:tab w:val="left" w:pos="3240"/>
        <w:tab w:val="right" w:leader="dot" w:pos="9360"/>
      </w:tabs>
      <w:suppressAutoHyphens/>
      <w:ind w:left="3240" w:hanging="360"/>
    </w:pPr>
    <w:rPr>
      <w:noProof/>
    </w:rPr>
  </w:style>
  <w:style w:type="character" w:styleId="PageNumber">
    <w:name w:val="page number"/>
    <w:basedOn w:val="DefaultParagraphFont"/>
    <w:rsid w:val="005D1C30"/>
  </w:style>
  <w:style w:type="paragraph" w:styleId="Title">
    <w:name w:val="Title"/>
    <w:basedOn w:val="Normal"/>
    <w:qFormat/>
    <w:pPr>
      <w:jc w:val="center"/>
    </w:pPr>
    <w:rPr>
      <w:b/>
      <w:bCs/>
      <w:snapToGrid/>
    </w:rPr>
  </w:style>
  <w:style w:type="character" w:styleId="Hyperlink">
    <w:name w:val="Hyperlink"/>
    <w:rsid w:val="005D1C30"/>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napToGrid/>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5D1C30"/>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5D1C30"/>
    <w:rPr>
      <w:vertAlign w:val="superscript"/>
    </w:rPr>
  </w:style>
  <w:style w:type="paragraph" w:styleId="TOAHeading">
    <w:name w:val="toa heading"/>
    <w:basedOn w:val="Normal"/>
    <w:next w:val="Normal"/>
    <w:rsid w:val="005D1C30"/>
    <w:pPr>
      <w:tabs>
        <w:tab w:val="right" w:pos="9360"/>
      </w:tabs>
      <w:suppressAutoHyphens/>
    </w:pPr>
  </w:style>
  <w:style w:type="character" w:customStyle="1" w:styleId="EquationCaption">
    <w:name w:val="_Equation Caption"/>
    <w:rsid w:val="005D1C30"/>
  </w:style>
  <w:style w:type="paragraph" w:customStyle="1" w:styleId="Paratitle">
    <w:name w:val="Para title"/>
    <w:basedOn w:val="Normal"/>
    <w:rsid w:val="005D1C30"/>
    <w:pPr>
      <w:tabs>
        <w:tab w:val="center" w:pos="9270"/>
      </w:tabs>
      <w:spacing w:after="240"/>
    </w:pPr>
    <w:rPr>
      <w:spacing w:val="-2"/>
    </w:rPr>
  </w:style>
  <w:style w:type="paragraph" w:customStyle="1" w:styleId="TOCTitle">
    <w:name w:val="TOC Title"/>
    <w:basedOn w:val="Normal"/>
    <w:rsid w:val="005D1C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C30"/>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rPr>
      <w:rFonts w:ascii="Calibri" w:hAnsi="Calibri"/>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656">
      <w:bodyDiv w:val="1"/>
      <w:marLeft w:val="0"/>
      <w:marRight w:val="0"/>
      <w:marTop w:val="0"/>
      <w:marBottom w:val="0"/>
      <w:divBdr>
        <w:top w:val="none" w:sz="0" w:space="0" w:color="auto"/>
        <w:left w:val="none" w:sz="0" w:space="0" w:color="auto"/>
        <w:bottom w:val="none" w:sz="0" w:space="0" w:color="auto"/>
        <w:right w:val="none" w:sz="0" w:space="0" w:color="auto"/>
      </w:divBdr>
    </w:div>
    <w:div w:id="241648341">
      <w:bodyDiv w:val="1"/>
      <w:marLeft w:val="0"/>
      <w:marRight w:val="0"/>
      <w:marTop w:val="0"/>
      <w:marBottom w:val="0"/>
      <w:divBdr>
        <w:top w:val="none" w:sz="0" w:space="0" w:color="auto"/>
        <w:left w:val="none" w:sz="0" w:space="0" w:color="auto"/>
        <w:bottom w:val="none" w:sz="0" w:space="0" w:color="auto"/>
        <w:right w:val="none" w:sz="0" w:space="0" w:color="auto"/>
      </w:divBdr>
    </w:div>
    <w:div w:id="557320941">
      <w:bodyDiv w:val="1"/>
      <w:marLeft w:val="0"/>
      <w:marRight w:val="0"/>
      <w:marTop w:val="0"/>
      <w:marBottom w:val="0"/>
      <w:divBdr>
        <w:top w:val="none" w:sz="0" w:space="0" w:color="auto"/>
        <w:left w:val="none" w:sz="0" w:space="0" w:color="auto"/>
        <w:bottom w:val="none" w:sz="0" w:space="0" w:color="auto"/>
        <w:right w:val="none" w:sz="0" w:space="0" w:color="auto"/>
      </w:divBdr>
    </w:div>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82287">
      <w:bodyDiv w:val="1"/>
      <w:marLeft w:val="0"/>
      <w:marRight w:val="0"/>
      <w:marTop w:val="0"/>
      <w:marBottom w:val="0"/>
      <w:divBdr>
        <w:top w:val="none" w:sz="0" w:space="0" w:color="auto"/>
        <w:left w:val="none" w:sz="0" w:space="0" w:color="auto"/>
        <w:bottom w:val="none" w:sz="0" w:space="0" w:color="auto"/>
        <w:right w:val="none" w:sz="0" w:space="0" w:color="auto"/>
      </w:divBdr>
    </w:div>
    <w:div w:id="1525556670">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669</Words>
  <Characters>3532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2014-10-08T15:34:00Z</dcterms:created>
  <dcterms:modified xsi:type="dcterms:W3CDTF">2014-10-08T15:34:00Z</dcterms:modified>
  <cp:category> </cp:category>
  <cp:contentStatus> </cp:contentStatus>
</cp:coreProperties>
</file>