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350B" w14:textId="77777777" w:rsidR="001B096D" w:rsidRDefault="0004332F" w:rsidP="009B19A7">
      <w:pPr>
        <w:spacing w:after="0"/>
        <w:jc w:val="center"/>
        <w:rPr>
          <w:rFonts w:cs="Times New Roman"/>
          <w:b/>
        </w:rPr>
      </w:pPr>
      <w:bookmarkStart w:id="0" w:name="_GoBack"/>
      <w:bookmarkEnd w:id="0"/>
      <w:r w:rsidRPr="007C1298">
        <w:rPr>
          <w:rFonts w:cs="Times New Roman"/>
          <w:b/>
        </w:rPr>
        <w:t>STATEMENT OF</w:t>
      </w:r>
    </w:p>
    <w:p w14:paraId="33457371" w14:textId="74542D82" w:rsidR="008E2D54" w:rsidRDefault="0004332F" w:rsidP="001B096D">
      <w:pPr>
        <w:spacing w:after="0"/>
        <w:jc w:val="center"/>
        <w:rPr>
          <w:rFonts w:cs="Times New Roman"/>
          <w:b/>
        </w:rPr>
      </w:pPr>
      <w:r w:rsidRPr="007C1298">
        <w:rPr>
          <w:rFonts w:cs="Times New Roman"/>
          <w:b/>
        </w:rPr>
        <w:t>COMMISSIONER AJIT PAI</w:t>
      </w:r>
      <w:r w:rsidR="008376B0">
        <w:rPr>
          <w:rFonts w:cs="Times New Roman"/>
          <w:b/>
        </w:rPr>
        <w:br/>
      </w:r>
      <w:r w:rsidR="00035CCE">
        <w:rPr>
          <w:rFonts w:cs="Times New Roman"/>
          <w:b/>
        </w:rPr>
        <w:t>CONCURRING</w:t>
      </w:r>
      <w:r w:rsidR="008E2D54">
        <w:rPr>
          <w:rFonts w:cs="Times New Roman"/>
          <w:b/>
        </w:rPr>
        <w:t xml:space="preserve"> IN PART</w:t>
      </w:r>
      <w:r w:rsidR="00611088">
        <w:rPr>
          <w:rFonts w:cs="Times New Roman"/>
          <w:b/>
        </w:rPr>
        <w:t>,</w:t>
      </w:r>
      <w:r w:rsidR="008E2D54">
        <w:rPr>
          <w:rFonts w:cs="Times New Roman"/>
          <w:b/>
        </w:rPr>
        <w:t xml:space="preserve"> DISSENTING IN PART</w:t>
      </w:r>
    </w:p>
    <w:p w14:paraId="2FD56697" w14:textId="77777777" w:rsidR="001B096D" w:rsidRPr="008E2D54" w:rsidRDefault="001B096D" w:rsidP="001B096D">
      <w:pPr>
        <w:spacing w:after="0"/>
        <w:jc w:val="center"/>
        <w:rPr>
          <w:rFonts w:cs="Times New Roman"/>
          <w:b/>
        </w:rPr>
      </w:pPr>
    </w:p>
    <w:p w14:paraId="7A313AD2" w14:textId="77777777" w:rsidR="00471375" w:rsidRPr="009D5B14" w:rsidRDefault="00471375" w:rsidP="00471375">
      <w:pPr>
        <w:spacing w:after="0"/>
        <w:ind w:left="720" w:hanging="720"/>
        <w:rPr>
          <w:rFonts w:eastAsia="Times New Roman" w:cs="Times New Roman"/>
          <w:b/>
          <w:i/>
        </w:rPr>
      </w:pPr>
      <w:r w:rsidRPr="009D5B14">
        <w:rPr>
          <w:rFonts w:eastAsia="Times New Roman" w:cs="Times New Roman"/>
          <w:b/>
          <w:i/>
        </w:rPr>
        <w:t xml:space="preserve">Re: </w:t>
      </w:r>
      <w:r w:rsidRPr="009D5B14">
        <w:rPr>
          <w:rFonts w:eastAsia="Times New Roman" w:cs="Times New Roman"/>
          <w:b/>
          <w:i/>
        </w:rPr>
        <w:tab/>
      </w:r>
      <w:r>
        <w:rPr>
          <w:rFonts w:eastAsia="Times New Roman" w:cs="Times New Roman"/>
          <w:b/>
          <w:i/>
        </w:rPr>
        <w:t xml:space="preserve">In the Matter of </w:t>
      </w:r>
      <w:r w:rsidRPr="009D5B14">
        <w:rPr>
          <w:rFonts w:eastAsia="Times New Roman" w:cs="Times New Roman"/>
          <w:b/>
          <w:i/>
        </w:rPr>
        <w:t xml:space="preserve">Updating Part 1 Competitive Bidding Rules, </w:t>
      </w:r>
      <w:r>
        <w:rPr>
          <w:rFonts w:eastAsia="Times New Roman" w:cs="Times New Roman"/>
          <w:b/>
          <w:i/>
        </w:rPr>
        <w:t>WT</w:t>
      </w:r>
      <w:r w:rsidRPr="009D5B14">
        <w:rPr>
          <w:rFonts w:eastAsia="Times New Roman" w:cs="Times New Roman"/>
          <w:b/>
          <w:i/>
        </w:rPr>
        <w:t xml:space="preserve"> Docket No. 14-</w:t>
      </w:r>
      <w:r>
        <w:rPr>
          <w:rFonts w:eastAsia="Times New Roman" w:cs="Times New Roman"/>
          <w:b/>
          <w:i/>
        </w:rPr>
        <w:t>170</w:t>
      </w:r>
      <w:r w:rsidRPr="009D5B14">
        <w:rPr>
          <w:rFonts w:eastAsia="Times New Roman" w:cs="Times New Roman"/>
          <w:b/>
          <w:i/>
        </w:rPr>
        <w:t>; Expanding the Economic and Innovation Opportunities of Spectrum Through Incentive Auctions, GN Docket No. 12-268; Petition of DIRECTV Group, Inc. and EchoStar LLC for Expedited Rulemaking to Amend Section 1.2105(a)(2)(xi) and 1.2106(a) of the Commission’s Rules and/or for Interim Conditional Waiver</w:t>
      </w:r>
      <w:r>
        <w:rPr>
          <w:rFonts w:eastAsia="Times New Roman" w:cs="Times New Roman"/>
          <w:b/>
          <w:i/>
        </w:rPr>
        <w:t>,</w:t>
      </w:r>
      <w:r w:rsidRPr="009D5B14">
        <w:rPr>
          <w:rFonts w:eastAsia="Times New Roman" w:cs="Times New Roman"/>
          <w:b/>
          <w:i/>
        </w:rPr>
        <w:t xml:space="preserve"> RM-11395; Implementation of the Commercial Spectrum Enhancement Act and Modernization of the Commission’s Competitive Bidding Rules and Procedures, WT Docket No. 05-211</w:t>
      </w:r>
    </w:p>
    <w:p w14:paraId="4DAA81E0" w14:textId="77777777" w:rsidR="00471375" w:rsidRDefault="00471375" w:rsidP="00471375">
      <w:pPr>
        <w:spacing w:after="0"/>
        <w:rPr>
          <w:rFonts w:eastAsia="Times New Roman" w:cs="Times New Roman"/>
        </w:rPr>
      </w:pPr>
      <w:r w:rsidRPr="00116AFB">
        <w:rPr>
          <w:rFonts w:eastAsia="Times New Roman" w:cs="Times New Roman"/>
        </w:rPr>
        <w:t xml:space="preserve"> </w:t>
      </w:r>
    </w:p>
    <w:p w14:paraId="6F2345F3" w14:textId="7E281FD4" w:rsidR="003567E5" w:rsidRDefault="00611088" w:rsidP="006254AC">
      <w:r>
        <w:t xml:space="preserve">     </w:t>
      </w:r>
      <w:r w:rsidR="00227EA3">
        <w:t xml:space="preserve">When Congress authorized the Commission to </w:t>
      </w:r>
      <w:r w:rsidR="0044361A">
        <w:t>provide</w:t>
      </w:r>
      <w:r w:rsidR="00227EA3">
        <w:t xml:space="preserve"> </w:t>
      </w:r>
      <w:r w:rsidR="006B02AA">
        <w:t xml:space="preserve">small businesses </w:t>
      </w:r>
      <w:r w:rsidR="00F96E63">
        <w:t xml:space="preserve">with taxpayer-funded discounts on </w:t>
      </w:r>
      <w:r w:rsidR="006B02AA">
        <w:t>auction</w:t>
      </w:r>
      <w:r w:rsidR="00F96E63">
        <w:t>ed spectrum</w:t>
      </w:r>
      <w:r w:rsidR="00227EA3">
        <w:t xml:space="preserve">, it </w:t>
      </w:r>
      <w:r w:rsidR="001224A7">
        <w:t xml:space="preserve">required us to </w:t>
      </w:r>
      <w:r w:rsidR="00227EA3">
        <w:t xml:space="preserve">put safeguards in place to prevent abuse and unjust enrichment at the expense of the American </w:t>
      </w:r>
      <w:r w:rsidR="001224A7">
        <w:t>people</w:t>
      </w:r>
      <w:r w:rsidR="00227EA3">
        <w:t>.</w:t>
      </w:r>
      <w:r w:rsidR="006B02AA">
        <w:rPr>
          <w:rStyle w:val="FootnoteReference"/>
        </w:rPr>
        <w:footnoteReference w:id="1"/>
      </w:r>
      <w:r w:rsidR="00227EA3">
        <w:t xml:space="preserve">  And for over 20 years, the FCC has </w:t>
      </w:r>
      <w:r w:rsidR="007815AB">
        <w:t>worked</w:t>
      </w:r>
      <w:r w:rsidR="00227EA3">
        <w:t xml:space="preserve"> in a bipartisan manner to </w:t>
      </w:r>
      <w:r w:rsidR="00D22FF1">
        <w:t>ensure that discounted spectrum could not just be passed along to large, well-funded corporations</w:t>
      </w:r>
      <w:r w:rsidR="005F1D0D">
        <w:t>.</w:t>
      </w:r>
      <w:r w:rsidR="0011304C">
        <w:rPr>
          <w:rStyle w:val="FootnoteReference"/>
        </w:rPr>
        <w:footnoteReference w:id="2"/>
      </w:r>
      <w:r w:rsidR="003567E5">
        <w:t xml:space="preserve">  </w:t>
      </w:r>
      <w:r w:rsidR="00044F4B">
        <w:t>Indeed, t</w:t>
      </w:r>
      <w:r w:rsidR="003567E5" w:rsidRPr="007C1298">
        <w:t xml:space="preserve">he whole point </w:t>
      </w:r>
      <w:r w:rsidR="00C22953">
        <w:t>was</w:t>
      </w:r>
      <w:r w:rsidR="003567E5">
        <w:t xml:space="preserve"> to </w:t>
      </w:r>
      <w:r w:rsidR="003567E5" w:rsidRPr="007C1298">
        <w:t xml:space="preserve">promote </w:t>
      </w:r>
      <w:r w:rsidR="007815AB">
        <w:t xml:space="preserve">independent, </w:t>
      </w:r>
      <w:r w:rsidR="003567E5">
        <w:t xml:space="preserve">facilities-based competition </w:t>
      </w:r>
      <w:r w:rsidR="00353E88">
        <w:t>by small</w:t>
      </w:r>
      <w:r w:rsidR="0044361A">
        <w:t xml:space="preserve"> providers—competition that will </w:t>
      </w:r>
      <w:r w:rsidR="00BC2ADD">
        <w:t>spur the</w:t>
      </w:r>
      <w:r w:rsidR="0044361A">
        <w:t xml:space="preserve"> deployment</w:t>
      </w:r>
      <w:r w:rsidR="00353E88">
        <w:t xml:space="preserve"> of new service</w:t>
      </w:r>
      <w:r w:rsidR="0044361A">
        <w:t xml:space="preserve"> to the public</w:t>
      </w:r>
      <w:r w:rsidR="00353E88">
        <w:t>, including in rural and underserved areas</w:t>
      </w:r>
      <w:r w:rsidR="0044361A">
        <w:t>—</w:t>
      </w:r>
      <w:r w:rsidR="003567E5">
        <w:t xml:space="preserve">not </w:t>
      </w:r>
      <w:r w:rsidR="006B02AA">
        <w:t xml:space="preserve">to create </w:t>
      </w:r>
      <w:r w:rsidR="00C81DCB">
        <w:t>taxpayer-funded</w:t>
      </w:r>
      <w:r w:rsidR="00D22FF1">
        <w:t xml:space="preserve"> middlemen.</w:t>
      </w:r>
    </w:p>
    <w:p w14:paraId="373F6560" w14:textId="645A0E6F" w:rsidR="003567E5" w:rsidRDefault="00611088" w:rsidP="006254AC">
      <w:pPr>
        <w:rPr>
          <w:rFonts w:cs="Times New Roman"/>
        </w:rPr>
      </w:pPr>
      <w:r>
        <w:t xml:space="preserve">     </w:t>
      </w:r>
      <w:r w:rsidR="00044F4B">
        <w:t>But t</w:t>
      </w:r>
      <w:r w:rsidR="003567E5">
        <w:t xml:space="preserve">oday, </w:t>
      </w:r>
      <w:r w:rsidR="00044F4B">
        <w:t xml:space="preserve">the </w:t>
      </w:r>
      <w:r w:rsidR="0011304C">
        <w:t xml:space="preserve">Commission </w:t>
      </w:r>
      <w:r w:rsidR="003567E5">
        <w:t xml:space="preserve">proposes to jettison </w:t>
      </w:r>
      <w:r w:rsidR="00044F4B">
        <w:t>this framework</w:t>
      </w:r>
      <w:r w:rsidR="003567E5">
        <w:t xml:space="preserve">.  </w:t>
      </w:r>
      <w:r w:rsidR="005F1D0D">
        <w:t xml:space="preserve">The NPRM </w:t>
      </w:r>
      <w:r w:rsidR="003567E5">
        <w:t xml:space="preserve">proposes to permit </w:t>
      </w:r>
      <w:r w:rsidR="00C22953">
        <w:t>small businesses (known as “designated entities</w:t>
      </w:r>
      <w:r w:rsidR="006E48A1">
        <w:t>”</w:t>
      </w:r>
      <w:r w:rsidR="00C22953">
        <w:t xml:space="preserve"> or “</w:t>
      </w:r>
      <w:r w:rsidR="000C67ED">
        <w:t>DEs</w:t>
      </w:r>
      <w:r w:rsidR="00C22953">
        <w:t>”)</w:t>
      </w:r>
      <w:r w:rsidR="003567E5">
        <w:t xml:space="preserve"> to obtain taxpayer-funded discounts and then turn around and lease </w:t>
      </w:r>
      <w:r w:rsidR="003567E5">
        <w:rPr>
          <w:color w:val="010101"/>
        </w:rPr>
        <w:t>100</w:t>
      </w:r>
      <w:r w:rsidR="009B19A7">
        <w:rPr>
          <w:color w:val="010101"/>
        </w:rPr>
        <w:t>%</w:t>
      </w:r>
      <w:r w:rsidR="003567E5">
        <w:rPr>
          <w:color w:val="010101"/>
        </w:rPr>
        <w:t xml:space="preserve"> of their spectrum to the world’s largest corporations.</w:t>
      </w:r>
      <w:r w:rsidR="0044361A">
        <w:rPr>
          <w:color w:val="010101"/>
        </w:rPr>
        <w:t xml:space="preserve">  </w:t>
      </w:r>
      <w:r w:rsidR="002D49A1">
        <w:rPr>
          <w:color w:val="010101"/>
        </w:rPr>
        <w:t xml:space="preserve">It does </w:t>
      </w:r>
      <w:r w:rsidR="0062539A">
        <w:rPr>
          <w:color w:val="010101"/>
        </w:rPr>
        <w:t xml:space="preserve">absolutely </w:t>
      </w:r>
      <w:r w:rsidR="002D49A1">
        <w:rPr>
          <w:color w:val="010101"/>
        </w:rPr>
        <w:t xml:space="preserve">nothing </w:t>
      </w:r>
      <w:r w:rsidR="008036DE" w:rsidRPr="000F09E5">
        <w:rPr>
          <w:rFonts w:cs="Times New Roman"/>
        </w:rPr>
        <w:t>good for competition in the wireless marketplace to award biddi</w:t>
      </w:r>
      <w:r w:rsidR="00DE237A">
        <w:rPr>
          <w:rFonts w:cs="Times New Roman"/>
        </w:rPr>
        <w:t xml:space="preserve">ng credits </w:t>
      </w:r>
      <w:r w:rsidR="003117F5">
        <w:rPr>
          <w:rFonts w:cs="Times New Roman"/>
        </w:rPr>
        <w:t xml:space="preserve">to </w:t>
      </w:r>
      <w:r w:rsidR="00DE237A">
        <w:rPr>
          <w:rFonts w:cs="Times New Roman"/>
        </w:rPr>
        <w:t>entities</w:t>
      </w:r>
      <w:r w:rsidR="003117F5">
        <w:rPr>
          <w:rFonts w:cs="Times New Roman"/>
        </w:rPr>
        <w:t xml:space="preserve"> that</w:t>
      </w:r>
      <w:r w:rsidR="00DE237A">
        <w:rPr>
          <w:rFonts w:cs="Times New Roman"/>
        </w:rPr>
        <w:t xml:space="preserve"> flip</w:t>
      </w:r>
      <w:r w:rsidR="003117F5">
        <w:rPr>
          <w:rFonts w:cs="Times New Roman"/>
        </w:rPr>
        <w:t xml:space="preserve"> their</w:t>
      </w:r>
      <w:r w:rsidR="00DE237A">
        <w:rPr>
          <w:rFonts w:cs="Times New Roman"/>
        </w:rPr>
        <w:t xml:space="preserve"> spectrum to large incumbent providers</w:t>
      </w:r>
      <w:r w:rsidR="0062539A">
        <w:rPr>
          <w:rFonts w:cs="Times New Roman"/>
        </w:rPr>
        <w:t xml:space="preserve">. </w:t>
      </w:r>
      <w:r w:rsidR="003117F5">
        <w:rPr>
          <w:rFonts w:cs="Times New Roman"/>
        </w:rPr>
        <w:t xml:space="preserve"> </w:t>
      </w:r>
      <w:r w:rsidR="0062539A">
        <w:rPr>
          <w:rFonts w:cs="Times New Roman"/>
        </w:rPr>
        <w:t>To the contrary, i</w:t>
      </w:r>
      <w:r w:rsidR="00A20224">
        <w:rPr>
          <w:rFonts w:cs="Times New Roman"/>
        </w:rPr>
        <w:t>t only makes it harder for small and regional facilities-based providers</w:t>
      </w:r>
      <w:r w:rsidR="003117F5">
        <w:rPr>
          <w:rFonts w:cs="Times New Roman"/>
        </w:rPr>
        <w:t xml:space="preserve"> </w:t>
      </w:r>
      <w:r w:rsidR="00A20224">
        <w:rPr>
          <w:rFonts w:cs="Times New Roman"/>
        </w:rPr>
        <w:t>to win spectrum and compete on a level playing field.</w:t>
      </w:r>
    </w:p>
    <w:p w14:paraId="4874373C" w14:textId="6DE8B347" w:rsidR="002D49A1" w:rsidRDefault="00611088" w:rsidP="006254AC">
      <w:pPr>
        <w:rPr>
          <w:color w:val="010101"/>
        </w:rPr>
      </w:pPr>
      <w:r>
        <w:rPr>
          <w:color w:val="010101"/>
        </w:rPr>
        <w:t xml:space="preserve">     </w:t>
      </w:r>
      <w:r w:rsidR="002D49A1">
        <w:rPr>
          <w:color w:val="010101"/>
        </w:rPr>
        <w:t xml:space="preserve">The Commission did not need to take this approach.  We could have adopted an NPRM that focused exclusively on ways we could lawfully advance and strengthen our DE program, improve our competitive bidding regulations, and make it easier for DEs and other providers to deploy facilities.  To be sure, the NPRM asks some questions along those lines.  And I thank my colleagues for agreeing to include some suggestions designed to promote DE participation while guarding against unjust enrichment, such as </w:t>
      </w:r>
      <w:r w:rsidR="008E34E8">
        <w:rPr>
          <w:color w:val="010101"/>
        </w:rPr>
        <w:t xml:space="preserve">seeking comment on </w:t>
      </w:r>
      <w:r w:rsidR="002D49A1">
        <w:rPr>
          <w:color w:val="010101"/>
        </w:rPr>
        <w:t>whether the FCC should retain a modified version of the facilities-based requirement or adopt a 10-year unjust enrichment schedule.  But I cannot support the vast majority of today’s proposals.  As a result, I am concurring in part and dissenting in part.</w:t>
      </w:r>
    </w:p>
    <w:p w14:paraId="522931D3" w14:textId="2D77CCA5" w:rsidR="002D49A1" w:rsidRDefault="002D49A1" w:rsidP="00460291">
      <w:pPr>
        <w:jc w:val="center"/>
        <w:rPr>
          <w:rFonts w:cs="Times New Roman"/>
        </w:rPr>
      </w:pPr>
      <w:r>
        <w:rPr>
          <w:rFonts w:cs="Times New Roman"/>
        </w:rPr>
        <w:t>I.</w:t>
      </w:r>
    </w:p>
    <w:p w14:paraId="232E93CF" w14:textId="77777777" w:rsidR="00B85724" w:rsidRDefault="00611088" w:rsidP="006254AC">
      <w:pPr>
        <w:rPr>
          <w:color w:val="010101"/>
        </w:rPr>
      </w:pPr>
      <w:r>
        <w:rPr>
          <w:color w:val="010101"/>
        </w:rPr>
        <w:t xml:space="preserve">     </w:t>
      </w:r>
      <w:r w:rsidR="002D49A1">
        <w:rPr>
          <w:color w:val="010101"/>
        </w:rPr>
        <w:t>At the outset, l</w:t>
      </w:r>
      <w:r w:rsidR="002D49A1" w:rsidRPr="00BF0578">
        <w:rPr>
          <w:color w:val="010101"/>
        </w:rPr>
        <w:t>et’s be clear about what the Commission’s proposal</w:t>
      </w:r>
      <w:r w:rsidR="002D49A1">
        <w:rPr>
          <w:color w:val="010101"/>
        </w:rPr>
        <w:t xml:space="preserve"> </w:t>
      </w:r>
      <w:r w:rsidR="002D49A1" w:rsidRPr="00BF0578">
        <w:rPr>
          <w:color w:val="010101"/>
        </w:rPr>
        <w:t xml:space="preserve">would allow.  A small business would be permitted to purchase spectrum at a </w:t>
      </w:r>
      <w:r w:rsidR="002D49A1">
        <w:rPr>
          <w:color w:val="010101"/>
        </w:rPr>
        <w:t xml:space="preserve">35% </w:t>
      </w:r>
      <w:r w:rsidR="002D49A1" w:rsidRPr="00BF0578">
        <w:rPr>
          <w:color w:val="010101"/>
        </w:rPr>
        <w:t>discount and then lease all of its spectrum capacity to our nation’s largest wireless carrier</w:t>
      </w:r>
      <w:r w:rsidR="002D49A1">
        <w:rPr>
          <w:color w:val="010101"/>
        </w:rPr>
        <w:t>s</w:t>
      </w:r>
      <w:r w:rsidR="002D49A1" w:rsidRPr="00BF0578">
        <w:rPr>
          <w:color w:val="010101"/>
        </w:rPr>
        <w:t>.</w:t>
      </w:r>
      <w:r w:rsidR="002D49A1">
        <w:rPr>
          <w:color w:val="010101"/>
        </w:rPr>
        <w:t xml:space="preserve">  I can see how this </w:t>
      </w:r>
      <w:r w:rsidR="008E34E8">
        <w:rPr>
          <w:color w:val="010101"/>
        </w:rPr>
        <w:t>c</w:t>
      </w:r>
      <w:r w:rsidR="002D49A1">
        <w:rPr>
          <w:color w:val="010101"/>
        </w:rPr>
        <w:t xml:space="preserve">ould be good for the large wireless carrier that would gain access to discounted spectrum (rather than purchasing </w:t>
      </w:r>
      <w:r w:rsidR="0079044F">
        <w:rPr>
          <w:color w:val="010101"/>
        </w:rPr>
        <w:t xml:space="preserve">it </w:t>
      </w:r>
      <w:r w:rsidR="002D49A1">
        <w:rPr>
          <w:color w:val="010101"/>
        </w:rPr>
        <w:t>for itself at full price).  And I can see how this would be profitable for the small business with no business plan beyond regulatory arbitrage.  But how is any of this in the public interest?  It isn’t.  By failing to recover the full value of spectrum, we are adding to the national debt.  And by failing to require DEs to offer service to the public, we are denying the American people the benefits of additional competition</w:t>
      </w:r>
      <w:r w:rsidR="0079044F">
        <w:rPr>
          <w:color w:val="010101"/>
        </w:rPr>
        <w:t xml:space="preserve"> that </w:t>
      </w:r>
      <w:r w:rsidR="006E48A1">
        <w:rPr>
          <w:color w:val="010101"/>
        </w:rPr>
        <w:t>taxpayer-funded discounts</w:t>
      </w:r>
      <w:r w:rsidR="0079044F">
        <w:rPr>
          <w:color w:val="010101"/>
        </w:rPr>
        <w:t xml:space="preserve"> were intended to provide</w:t>
      </w:r>
      <w:r w:rsidR="002D49A1">
        <w:rPr>
          <w:color w:val="010101"/>
        </w:rPr>
        <w:t xml:space="preserve">.  </w:t>
      </w:r>
      <w:r w:rsidR="00B85724" w:rsidRPr="00B85724">
        <w:rPr>
          <w:color w:val="010101"/>
        </w:rPr>
        <w:t xml:space="preserve">In fact, by giving bidding credits to entities that simply lease all of their spectrum </w:t>
      </w:r>
      <w:r w:rsidR="00B85724" w:rsidRPr="00B85724">
        <w:rPr>
          <w:color w:val="010101"/>
        </w:rPr>
        <w:lastRenderedPageBreak/>
        <w:t xml:space="preserve">capacity to the nation’s largest wireless carriers, we are </w:t>
      </w:r>
      <w:r w:rsidR="00B85724" w:rsidRPr="00B85724">
        <w:rPr>
          <w:i/>
          <w:color w:val="010101"/>
        </w:rPr>
        <w:t>increasing</w:t>
      </w:r>
      <w:r w:rsidR="00B85724" w:rsidRPr="00B85724">
        <w:rPr>
          <w:color w:val="010101"/>
        </w:rPr>
        <w:t xml:space="preserve"> concentration in the wireless market by preventing smaller carriers that actually provide facilities-based service from obtaining spectrum.</w:t>
      </w:r>
    </w:p>
    <w:p w14:paraId="11694E30" w14:textId="2964FF82" w:rsidR="002D49A1" w:rsidRDefault="00B85724" w:rsidP="006254AC">
      <w:pPr>
        <w:rPr>
          <w:color w:val="010101"/>
        </w:rPr>
      </w:pPr>
      <w:r>
        <w:rPr>
          <w:color w:val="010101"/>
        </w:rPr>
        <w:t xml:space="preserve">     </w:t>
      </w:r>
      <w:r w:rsidR="002D49A1">
        <w:rPr>
          <w:color w:val="010101"/>
        </w:rPr>
        <w:t xml:space="preserve">In short, this proposal would make a very </w:t>
      </w:r>
      <w:r w:rsidR="00D12E5E">
        <w:rPr>
          <w:color w:val="010101"/>
        </w:rPr>
        <w:t>small number of</w:t>
      </w:r>
      <w:r w:rsidR="002D49A1">
        <w:rPr>
          <w:color w:val="010101"/>
        </w:rPr>
        <w:t xml:space="preserve"> Americans very wealthy and leave 99.99</w:t>
      </w:r>
      <w:r w:rsidR="009B19A7">
        <w:rPr>
          <w:color w:val="010101"/>
        </w:rPr>
        <w:t xml:space="preserve">% </w:t>
      </w:r>
      <w:r w:rsidR="002D49A1">
        <w:rPr>
          <w:color w:val="010101"/>
        </w:rPr>
        <w:t xml:space="preserve">of us worse off.  </w:t>
      </w:r>
    </w:p>
    <w:p w14:paraId="1620F582" w14:textId="1A412587" w:rsidR="00BF307C" w:rsidRDefault="00611088" w:rsidP="006254AC">
      <w:r>
        <w:rPr>
          <w:color w:val="010101"/>
        </w:rPr>
        <w:t xml:space="preserve">     </w:t>
      </w:r>
      <w:r w:rsidR="00A20224">
        <w:rPr>
          <w:color w:val="010101"/>
        </w:rPr>
        <w:t xml:space="preserve">Indeed, the NPRM’s approach creates all </w:t>
      </w:r>
      <w:r w:rsidR="003567E5">
        <w:rPr>
          <w:color w:val="010101"/>
        </w:rPr>
        <w:t>the wrong incentives</w:t>
      </w:r>
      <w:r w:rsidR="006B02AA">
        <w:rPr>
          <w:color w:val="010101"/>
        </w:rPr>
        <w:t xml:space="preserve">, as </w:t>
      </w:r>
      <w:r w:rsidR="00D12E5E">
        <w:rPr>
          <w:color w:val="010101"/>
        </w:rPr>
        <w:t xml:space="preserve">both Democratic and Republican </w:t>
      </w:r>
      <w:r w:rsidR="00523975">
        <w:rPr>
          <w:color w:val="010101"/>
        </w:rPr>
        <w:t xml:space="preserve">FCC </w:t>
      </w:r>
      <w:r w:rsidR="006B02AA">
        <w:rPr>
          <w:color w:val="010101"/>
        </w:rPr>
        <w:t>Commissioner</w:t>
      </w:r>
      <w:r w:rsidR="00523975">
        <w:rPr>
          <w:color w:val="010101"/>
        </w:rPr>
        <w:t>s have consistently recognized.  For example, Commissioner</w:t>
      </w:r>
      <w:r w:rsidR="006B02AA">
        <w:rPr>
          <w:color w:val="010101"/>
        </w:rPr>
        <w:t xml:space="preserve"> </w:t>
      </w:r>
      <w:r w:rsidR="001646D1">
        <w:rPr>
          <w:color w:val="010101"/>
        </w:rPr>
        <w:t xml:space="preserve">Michael </w:t>
      </w:r>
      <w:r w:rsidR="006B02AA">
        <w:rPr>
          <w:color w:val="010101"/>
        </w:rPr>
        <w:t xml:space="preserve">Copps </w:t>
      </w:r>
      <w:r w:rsidR="000722DA">
        <w:rPr>
          <w:color w:val="010101"/>
        </w:rPr>
        <w:t xml:space="preserve">called on the Commission to </w:t>
      </w:r>
      <w:r w:rsidR="001646D1">
        <w:rPr>
          <w:color w:val="010101"/>
        </w:rPr>
        <w:t>strengthen</w:t>
      </w:r>
      <w:r w:rsidR="00C81DCB">
        <w:rPr>
          <w:color w:val="010101"/>
        </w:rPr>
        <w:t>—not eliminate—</w:t>
      </w:r>
      <w:r w:rsidR="000722DA">
        <w:rPr>
          <w:color w:val="010101"/>
        </w:rPr>
        <w:t xml:space="preserve">the facilities-based requirement </w:t>
      </w:r>
      <w:r w:rsidR="00523975">
        <w:rPr>
          <w:color w:val="010101"/>
        </w:rPr>
        <w:t xml:space="preserve">the last time the FCC examined these rules </w:t>
      </w:r>
      <w:r w:rsidR="00BF307C">
        <w:rPr>
          <w:color w:val="010101"/>
        </w:rPr>
        <w:t>precisely because it encourages</w:t>
      </w:r>
      <w:r w:rsidR="000722DA">
        <w:rPr>
          <w:color w:val="010101"/>
        </w:rPr>
        <w:t xml:space="preserve"> competition from smaller providers and give</w:t>
      </w:r>
      <w:r w:rsidR="00BF307C">
        <w:rPr>
          <w:color w:val="010101"/>
        </w:rPr>
        <w:t>s</w:t>
      </w:r>
      <w:r w:rsidR="000722DA">
        <w:rPr>
          <w:color w:val="010101"/>
        </w:rPr>
        <w:t xml:space="preserve"> them a “fighting chance to compete with industry giants.”</w:t>
      </w:r>
      <w:r w:rsidR="00264990">
        <w:rPr>
          <w:rStyle w:val="FootnoteReference"/>
          <w:color w:val="010101"/>
        </w:rPr>
        <w:footnoteReference w:id="3"/>
      </w:r>
      <w:r w:rsidR="001F0ED4">
        <w:rPr>
          <w:color w:val="010101"/>
        </w:rPr>
        <w:t xml:space="preserve">  </w:t>
      </w:r>
      <w:r w:rsidR="00BF307C">
        <w:rPr>
          <w:color w:val="010101"/>
        </w:rPr>
        <w:t xml:space="preserve">Commissioner Copps recognized that giving </w:t>
      </w:r>
      <w:r w:rsidR="00C81DCB">
        <w:rPr>
          <w:color w:val="010101"/>
        </w:rPr>
        <w:t>large co</w:t>
      </w:r>
      <w:r w:rsidR="007815AB">
        <w:rPr>
          <w:color w:val="010101"/>
        </w:rPr>
        <w:t xml:space="preserve">rporations </w:t>
      </w:r>
      <w:r w:rsidR="00BF307C">
        <w:rPr>
          <w:color w:val="010101"/>
        </w:rPr>
        <w:t xml:space="preserve">access to </w:t>
      </w:r>
      <w:r w:rsidR="001F0ED4">
        <w:rPr>
          <w:color w:val="010101"/>
        </w:rPr>
        <w:t>“</w:t>
      </w:r>
      <w:r w:rsidR="00BF307C">
        <w:rPr>
          <w:color w:val="010101"/>
        </w:rPr>
        <w:t>discount</w:t>
      </w:r>
      <w:r w:rsidR="001F0ED4">
        <w:rPr>
          <w:color w:val="010101"/>
        </w:rPr>
        <w:t>s they were never meant to enjoy”</w:t>
      </w:r>
      <w:r w:rsidR="00BF307C">
        <w:rPr>
          <w:color w:val="010101"/>
        </w:rPr>
        <w:t xml:space="preserve">—which today’s NPRM </w:t>
      </w:r>
      <w:r w:rsidR="00E30887">
        <w:rPr>
          <w:color w:val="010101"/>
        </w:rPr>
        <w:t xml:space="preserve">proposes to </w:t>
      </w:r>
      <w:r w:rsidR="00BF307C">
        <w:rPr>
          <w:color w:val="010101"/>
        </w:rPr>
        <w:t>do—</w:t>
      </w:r>
      <w:r w:rsidR="00BF307C">
        <w:t>“</w:t>
      </w:r>
      <w:r w:rsidR="00BF307C" w:rsidRPr="0013493C">
        <w:t xml:space="preserve">threatens the integrity of our auctions and, worse, it cheats consumers. </w:t>
      </w:r>
      <w:r w:rsidR="00BF307C">
        <w:t xml:space="preserve"> </w:t>
      </w:r>
      <w:r w:rsidR="00BF307C" w:rsidRPr="0013493C">
        <w:t>It costs taxpayers millions of dollars in foregone revenue.</w:t>
      </w:r>
      <w:r w:rsidR="00BF307C">
        <w:t xml:space="preserve"> </w:t>
      </w:r>
      <w:r w:rsidR="00BF307C" w:rsidRPr="0013493C">
        <w:t xml:space="preserve"> It also means that</w:t>
      </w:r>
      <w:r w:rsidR="006248DB">
        <w:t xml:space="preserve"> spectrum goes to those</w:t>
      </w:r>
      <w:r w:rsidR="00BF307C" w:rsidRPr="0013493C">
        <w:t xml:space="preserve"> most willing and able to manipulate the rules of the game, rather than to the entities Congress actually intended to benefit.</w:t>
      </w:r>
      <w:r w:rsidR="00BF307C">
        <w:t>”</w:t>
      </w:r>
      <w:r w:rsidR="00BF307C">
        <w:rPr>
          <w:rStyle w:val="FootnoteReference"/>
        </w:rPr>
        <w:footnoteReference w:id="4"/>
      </w:r>
    </w:p>
    <w:p w14:paraId="097749B5" w14:textId="5049600B" w:rsidR="00C81DCB" w:rsidRPr="000F09E5" w:rsidRDefault="00611088" w:rsidP="006254AC">
      <w:pPr>
        <w:rPr>
          <w:color w:val="010101"/>
        </w:rPr>
      </w:pPr>
      <w:r>
        <w:rPr>
          <w:color w:val="010101"/>
        </w:rPr>
        <w:t xml:space="preserve">     </w:t>
      </w:r>
      <w:r w:rsidR="00C81DCB">
        <w:rPr>
          <w:color w:val="010101"/>
        </w:rPr>
        <w:t xml:space="preserve">What is more, the NPRM actually proposes to </w:t>
      </w:r>
      <w:r w:rsidR="001F0ED4">
        <w:rPr>
          <w:color w:val="010101"/>
        </w:rPr>
        <w:t xml:space="preserve">eliminate an FCC </w:t>
      </w:r>
      <w:r w:rsidR="00C81DCB">
        <w:rPr>
          <w:color w:val="010101"/>
        </w:rPr>
        <w:t>rule that enables</w:t>
      </w:r>
      <w:r w:rsidR="001F0ED4">
        <w:rPr>
          <w:color w:val="010101"/>
        </w:rPr>
        <w:t xml:space="preserve"> the Commission </w:t>
      </w:r>
      <w:r w:rsidR="00C81DCB">
        <w:rPr>
          <w:color w:val="010101"/>
        </w:rPr>
        <w:t>to conduct oversight of DE leases.</w:t>
      </w:r>
      <w:r w:rsidR="00C81DCB">
        <w:rPr>
          <w:rStyle w:val="FootnoteReference"/>
          <w:color w:val="010101"/>
        </w:rPr>
        <w:footnoteReference w:id="5"/>
      </w:r>
      <w:r w:rsidR="00C81DCB">
        <w:rPr>
          <w:color w:val="010101"/>
        </w:rPr>
        <w:t xml:space="preserve">  </w:t>
      </w:r>
      <w:r w:rsidR="00E30887">
        <w:rPr>
          <w:color w:val="010101"/>
        </w:rPr>
        <w:t>So</w:t>
      </w:r>
      <w:r w:rsidR="00C81DCB">
        <w:rPr>
          <w:color w:val="010101"/>
        </w:rPr>
        <w:t xml:space="preserve"> at </w:t>
      </w:r>
      <w:r w:rsidR="00197B01">
        <w:rPr>
          <w:color w:val="010101"/>
        </w:rPr>
        <w:t xml:space="preserve">the very moment </w:t>
      </w:r>
      <w:r w:rsidR="00C81DCB">
        <w:rPr>
          <w:color w:val="010101"/>
        </w:rPr>
        <w:t xml:space="preserve">the FCC is proposing </w:t>
      </w:r>
      <w:r w:rsidR="00197B01">
        <w:rPr>
          <w:color w:val="010101"/>
        </w:rPr>
        <w:t xml:space="preserve">DE </w:t>
      </w:r>
      <w:r w:rsidR="00C81DCB">
        <w:rPr>
          <w:color w:val="010101"/>
        </w:rPr>
        <w:t xml:space="preserve">rules that invite abuse, </w:t>
      </w:r>
      <w:r w:rsidR="00197B01">
        <w:rPr>
          <w:color w:val="010101"/>
        </w:rPr>
        <w:t xml:space="preserve">it is seeking to </w:t>
      </w:r>
      <w:r w:rsidR="00C81DCB">
        <w:rPr>
          <w:color w:val="010101"/>
        </w:rPr>
        <w:t>eliminate reporting requirements that enable the FCC to police just such misconduct.  This is troubling</w:t>
      </w:r>
      <w:r w:rsidR="00C81DCB" w:rsidRPr="000F09E5">
        <w:rPr>
          <w:color w:val="010101"/>
        </w:rPr>
        <w:t>.</w:t>
      </w:r>
    </w:p>
    <w:p w14:paraId="40535130" w14:textId="29F66216" w:rsidR="00E30887" w:rsidRDefault="00611088" w:rsidP="006254AC">
      <w:pPr>
        <w:rPr>
          <w:color w:val="010101"/>
        </w:rPr>
      </w:pPr>
      <w:r>
        <w:rPr>
          <w:color w:val="010101"/>
        </w:rPr>
        <w:t xml:space="preserve">     </w:t>
      </w:r>
      <w:r w:rsidR="00C81DCB">
        <w:rPr>
          <w:color w:val="010101"/>
        </w:rPr>
        <w:t xml:space="preserve">In </w:t>
      </w:r>
      <w:r w:rsidR="001646D1">
        <w:rPr>
          <w:color w:val="010101"/>
        </w:rPr>
        <w:t>my view, and consistent with Commissioner Copps’ views years ago</w:t>
      </w:r>
      <w:r w:rsidR="00C81DCB">
        <w:rPr>
          <w:color w:val="010101"/>
        </w:rPr>
        <w:t xml:space="preserve">, proposing to eliminate the long-standing facilities-based requirement is contrary to our statutory authority, undermines the integrity of the DE program, </w:t>
      </w:r>
      <w:r w:rsidR="008036DE">
        <w:rPr>
          <w:color w:val="010101"/>
        </w:rPr>
        <w:t xml:space="preserve">impedes competition, </w:t>
      </w:r>
      <w:r w:rsidR="00C81DCB">
        <w:rPr>
          <w:color w:val="010101"/>
        </w:rPr>
        <w:t xml:space="preserve">and abdicates </w:t>
      </w:r>
      <w:r w:rsidR="001F0ED4">
        <w:rPr>
          <w:color w:val="010101"/>
        </w:rPr>
        <w:t>the responsibilities we owe</w:t>
      </w:r>
      <w:r w:rsidR="007815AB">
        <w:rPr>
          <w:color w:val="010101"/>
        </w:rPr>
        <w:t xml:space="preserve"> to the </w:t>
      </w:r>
      <w:r w:rsidR="00C81DCB">
        <w:rPr>
          <w:color w:val="010101"/>
        </w:rPr>
        <w:t>American taxpaye</w:t>
      </w:r>
      <w:r w:rsidR="001F0ED4">
        <w:rPr>
          <w:color w:val="010101"/>
        </w:rPr>
        <w:t>r</w:t>
      </w:r>
      <w:r w:rsidR="00C81DCB">
        <w:rPr>
          <w:color w:val="010101"/>
        </w:rPr>
        <w:t>.</w:t>
      </w:r>
    </w:p>
    <w:p w14:paraId="5C928079" w14:textId="3B3BCFE2" w:rsidR="00475B05" w:rsidRDefault="0079044F" w:rsidP="001F7469">
      <w:pPr>
        <w:jc w:val="center"/>
        <w:rPr>
          <w:color w:val="010101"/>
        </w:rPr>
      </w:pPr>
      <w:r>
        <w:rPr>
          <w:color w:val="010101"/>
        </w:rPr>
        <w:t>I</w:t>
      </w:r>
      <w:r w:rsidR="000A3CE3" w:rsidRPr="000A3CE3">
        <w:rPr>
          <w:color w:val="010101"/>
        </w:rPr>
        <w:t>I.</w:t>
      </w:r>
    </w:p>
    <w:p w14:paraId="7CDD667E" w14:textId="6C1DA288" w:rsidR="00F64DB1" w:rsidRDefault="00611088" w:rsidP="006254AC">
      <w:r>
        <w:rPr>
          <w:color w:val="010101"/>
        </w:rPr>
        <w:t xml:space="preserve">     </w:t>
      </w:r>
      <w:r w:rsidR="00BF0578">
        <w:rPr>
          <w:color w:val="010101"/>
        </w:rPr>
        <w:t>It should come as no surprise that t</w:t>
      </w:r>
      <w:r w:rsidR="00C657E9">
        <w:rPr>
          <w:color w:val="010101"/>
        </w:rPr>
        <w:t xml:space="preserve">he NPRM’s proposal to eliminate the requirement that </w:t>
      </w:r>
      <w:r w:rsidR="008036DE">
        <w:rPr>
          <w:color w:val="010101"/>
        </w:rPr>
        <w:t>taxpayer-funded businesses</w:t>
      </w:r>
      <w:r w:rsidR="00C657E9">
        <w:rPr>
          <w:color w:val="010101"/>
        </w:rPr>
        <w:t xml:space="preserve"> provide facilities-based service runs contrary to the statutory scheme Congress</w:t>
      </w:r>
      <w:r w:rsidR="00840B37">
        <w:rPr>
          <w:color w:val="010101"/>
        </w:rPr>
        <w:t xml:space="preserve"> enacted</w:t>
      </w:r>
      <w:r w:rsidR="00182B9C">
        <w:rPr>
          <w:color w:val="010101"/>
        </w:rPr>
        <w:t xml:space="preserve">, as numerous bipartisan </w:t>
      </w:r>
      <w:r w:rsidR="007815AB">
        <w:rPr>
          <w:color w:val="010101"/>
        </w:rPr>
        <w:t>FCC decisions make clear</w:t>
      </w:r>
      <w:r w:rsidR="00C657E9">
        <w:rPr>
          <w:color w:val="010101"/>
        </w:rPr>
        <w:t xml:space="preserve">.  How does the NPRM justify </w:t>
      </w:r>
      <w:r w:rsidR="007815AB">
        <w:rPr>
          <w:color w:val="010101"/>
        </w:rPr>
        <w:t xml:space="preserve">this </w:t>
      </w:r>
      <w:r w:rsidR="00182B9C">
        <w:rPr>
          <w:color w:val="010101"/>
        </w:rPr>
        <w:t xml:space="preserve">drastic </w:t>
      </w:r>
      <w:r w:rsidR="007815AB">
        <w:rPr>
          <w:color w:val="010101"/>
        </w:rPr>
        <w:t xml:space="preserve">change of course?  </w:t>
      </w:r>
      <w:r w:rsidR="00B46FE5">
        <w:rPr>
          <w:color w:val="010101"/>
        </w:rPr>
        <w:t>It engag</w:t>
      </w:r>
      <w:r w:rsidR="00B84DDC">
        <w:rPr>
          <w:color w:val="010101"/>
        </w:rPr>
        <w:t>es</w:t>
      </w:r>
      <w:r w:rsidR="00B46FE5">
        <w:rPr>
          <w:color w:val="010101"/>
        </w:rPr>
        <w:t xml:space="preserve"> in </w:t>
      </w:r>
      <w:r w:rsidR="00D51C60">
        <w:rPr>
          <w:color w:val="010101"/>
        </w:rPr>
        <w:t xml:space="preserve">some </w:t>
      </w:r>
      <w:r w:rsidR="00B46FE5">
        <w:rPr>
          <w:color w:val="010101"/>
        </w:rPr>
        <w:t xml:space="preserve">revisionist history.  It </w:t>
      </w:r>
      <w:r w:rsidR="00F64DB1">
        <w:rPr>
          <w:color w:val="010101"/>
        </w:rPr>
        <w:t xml:space="preserve">casually </w:t>
      </w:r>
      <w:r w:rsidR="00AC2456">
        <w:rPr>
          <w:color w:val="010101"/>
        </w:rPr>
        <w:t>asserts that up until today, the Commission</w:t>
      </w:r>
      <w:r w:rsidR="00F96E63">
        <w:rPr>
          <w:color w:val="010101"/>
        </w:rPr>
        <w:t>’s decisions</w:t>
      </w:r>
      <w:r w:rsidR="00553576">
        <w:rPr>
          <w:color w:val="010101"/>
        </w:rPr>
        <w:t xml:space="preserve"> simply</w:t>
      </w:r>
      <w:r w:rsidR="00F96E63">
        <w:rPr>
          <w:color w:val="010101"/>
        </w:rPr>
        <w:t xml:space="preserve"> “</w:t>
      </w:r>
      <w:r w:rsidR="00AC2456" w:rsidRPr="00F81D8A">
        <w:t>placed undue weight on language</w:t>
      </w:r>
      <w:r w:rsidR="00AC2456">
        <w:t xml:space="preserve">” </w:t>
      </w:r>
      <w:r w:rsidR="007815AB">
        <w:t xml:space="preserve">contained in </w:t>
      </w:r>
      <w:r w:rsidR="00D51C60">
        <w:t>certain</w:t>
      </w:r>
      <w:r w:rsidR="00B46FE5">
        <w:t xml:space="preserve"> l</w:t>
      </w:r>
      <w:r w:rsidR="00F64DB1">
        <w:t>egislative history</w:t>
      </w:r>
      <w:r w:rsidR="00AC2456">
        <w:t>.</w:t>
      </w:r>
      <w:r w:rsidR="00AC2456">
        <w:rPr>
          <w:rStyle w:val="FootnoteReference"/>
        </w:rPr>
        <w:footnoteReference w:id="6"/>
      </w:r>
      <w:r w:rsidR="00F64DB1">
        <w:t xml:space="preserve">  </w:t>
      </w:r>
      <w:r w:rsidR="00B84DDC">
        <w:t>T</w:t>
      </w:r>
      <w:r w:rsidR="00F64DB1">
        <w:t>his assertion does not withstand scrutiny.</w:t>
      </w:r>
    </w:p>
    <w:p w14:paraId="54B1E75C" w14:textId="47F1329E" w:rsidR="00AC2456" w:rsidRDefault="00611088" w:rsidP="006254AC">
      <w:r>
        <w:t xml:space="preserve">     </w:t>
      </w:r>
      <w:r w:rsidR="00C22953">
        <w:t>Start with</w:t>
      </w:r>
      <w:r w:rsidR="00F64DB1">
        <w:t xml:space="preserve"> Section 309(j) itself.</w:t>
      </w:r>
      <w:r w:rsidR="00B46FE5">
        <w:t xml:space="preserve">  </w:t>
      </w:r>
      <w:r w:rsidR="00387F96">
        <w:t>In that provision, Congress</w:t>
      </w:r>
      <w:r w:rsidR="00B46FE5">
        <w:t xml:space="preserve"> </w:t>
      </w:r>
      <w:r w:rsidR="00EE3788">
        <w:t>authorize</w:t>
      </w:r>
      <w:r w:rsidR="001646D1">
        <w:t>d</w:t>
      </w:r>
      <w:r w:rsidR="00EE3788">
        <w:t xml:space="preserve"> the Commission to use bidding credits to provide DEs with “</w:t>
      </w:r>
      <w:r w:rsidR="00B46FE5" w:rsidRPr="00B46FE5">
        <w:t>the opportunity to participate in the provi</w:t>
      </w:r>
      <w:r w:rsidR="00B46FE5">
        <w:t>sion of spectrum-based services.”</w:t>
      </w:r>
      <w:r w:rsidR="00B46FE5">
        <w:rPr>
          <w:rStyle w:val="FootnoteReference"/>
        </w:rPr>
        <w:footnoteReference w:id="7"/>
      </w:r>
      <w:r w:rsidR="00387F96">
        <w:t xml:space="preserve">  Congress</w:t>
      </w:r>
      <w:r w:rsidR="00D51C60">
        <w:t xml:space="preserve"> </w:t>
      </w:r>
      <w:r w:rsidR="00387F96">
        <w:t xml:space="preserve">then codified its determination that </w:t>
      </w:r>
      <w:r w:rsidR="00D51C60">
        <w:t>the Commission shall “r</w:t>
      </w:r>
      <w:r w:rsidR="00D51C60" w:rsidRPr="00D51C60">
        <w:t xml:space="preserve">equire such transfer disclosures and antitrafficking restrictions </w:t>
      </w:r>
      <w:r w:rsidR="00EE3788">
        <w:t>. . .</w:t>
      </w:r>
      <w:r w:rsidR="00D51C60" w:rsidRPr="00D51C60">
        <w:t xml:space="preserve"> as may be necessary to prevent unjust enrichment as a result of the methods employed to issue licenses and permits</w:t>
      </w:r>
      <w:r w:rsidR="00EE3788">
        <w:t>.</w:t>
      </w:r>
      <w:r w:rsidR="00D51C60">
        <w:t>”</w:t>
      </w:r>
      <w:r w:rsidR="00EE3788">
        <w:rPr>
          <w:rStyle w:val="FootnoteReference"/>
        </w:rPr>
        <w:footnoteReference w:id="8"/>
      </w:r>
    </w:p>
    <w:p w14:paraId="48058A5D" w14:textId="0B2FB0F1" w:rsidR="00291E9D" w:rsidRDefault="00611088" w:rsidP="006254AC">
      <w:r>
        <w:t xml:space="preserve">     </w:t>
      </w:r>
      <w:r w:rsidR="0082711A">
        <w:t>T</w:t>
      </w:r>
      <w:r w:rsidR="00EE3788">
        <w:t xml:space="preserve">he Commission has consistently </w:t>
      </w:r>
      <w:r w:rsidR="0066610A">
        <w:t xml:space="preserve">and unanimously </w:t>
      </w:r>
      <w:r w:rsidR="008D587A">
        <w:t>recognized</w:t>
      </w:r>
      <w:r w:rsidR="0082711A">
        <w:t xml:space="preserve"> this language as requiring</w:t>
      </w:r>
      <w:r w:rsidR="00EE3788">
        <w:t xml:space="preserve"> DEs to operate as facilities-based providers—not </w:t>
      </w:r>
      <w:r w:rsidR="007815AB">
        <w:t xml:space="preserve">profiteering </w:t>
      </w:r>
      <w:r w:rsidR="00EE3788">
        <w:t xml:space="preserve">middlemen.  </w:t>
      </w:r>
      <w:r w:rsidR="0082711A">
        <w:t>L</w:t>
      </w:r>
      <w:r w:rsidR="00EE3788">
        <w:t>ess than seven months after Congress passed Section 309(j), the Commission</w:t>
      </w:r>
      <w:r w:rsidR="00732FBC">
        <w:t xml:space="preserve"> </w:t>
      </w:r>
      <w:r w:rsidR="00EE3788">
        <w:t xml:space="preserve">recognized </w:t>
      </w:r>
      <w:r w:rsidR="00291E9D">
        <w:t>that “[i]</w:t>
      </w:r>
      <w:r w:rsidR="00291E9D" w:rsidRPr="00291E9D">
        <w:t xml:space="preserve">t would be unjust and inconsistent with the will of Congress for </w:t>
      </w:r>
      <w:r w:rsidR="0082711A">
        <w:t>[DEs]</w:t>
      </w:r>
      <w:r w:rsidR="00506196">
        <w:t xml:space="preserve"> . . .</w:t>
      </w:r>
      <w:r w:rsidR="00291E9D" w:rsidRPr="00291E9D">
        <w:t xml:space="preserve"> to obtai</w:t>
      </w:r>
      <w:r w:rsidR="00291E9D">
        <w:t>n a license with the government’</w:t>
      </w:r>
      <w:r w:rsidR="00291E9D" w:rsidRPr="00291E9D">
        <w:t>s help, transfer that license after a short period of time to an entity that was not entitled to special treatment at the auction, and appropriate for themselves the difference between the full market value of the license and the discounted price which they paid the government for that license</w:t>
      </w:r>
      <w:r w:rsidR="00291E9D">
        <w:t>.”</w:t>
      </w:r>
      <w:r w:rsidR="00291E9D">
        <w:rPr>
          <w:rStyle w:val="FootnoteReference"/>
        </w:rPr>
        <w:footnoteReference w:id="9"/>
      </w:r>
    </w:p>
    <w:p w14:paraId="1799F8BD" w14:textId="3FA3C35A" w:rsidR="009D1375" w:rsidRDefault="00611088" w:rsidP="006254AC">
      <w:r>
        <w:t xml:space="preserve">     </w:t>
      </w:r>
      <w:r w:rsidR="0082711A">
        <w:t>Ten years later</w:t>
      </w:r>
      <w:r w:rsidR="009D1375">
        <w:t>, when the FCC sought to liberalize its secondary market rules</w:t>
      </w:r>
      <w:r w:rsidR="00D6248C">
        <w:t xml:space="preserve">, </w:t>
      </w:r>
      <w:r w:rsidR="009D1375">
        <w:t>it recognized that Section 309(j)</w:t>
      </w:r>
      <w:r w:rsidR="00732FBC">
        <w:t xml:space="preserve"> required it to treat leases of DE spectrum</w:t>
      </w:r>
      <w:r w:rsidR="009D1375">
        <w:t xml:space="preserve"> differently</w:t>
      </w:r>
      <w:r w:rsidR="00F47627">
        <w:t xml:space="preserve"> than all others</w:t>
      </w:r>
      <w:r w:rsidR="009D1375">
        <w:t>.</w:t>
      </w:r>
      <w:r w:rsidR="0000768D">
        <w:t xml:space="preserve">  </w:t>
      </w:r>
      <w:r w:rsidR="00FE5142">
        <w:t xml:space="preserve">Congress’s </w:t>
      </w:r>
      <w:r w:rsidR="00FE5142" w:rsidRPr="002A3798">
        <w:rPr>
          <w:color w:val="010101"/>
        </w:rPr>
        <w:t xml:space="preserve">“statutory directives were not intended to provide generalized economic assistance to small businesses, but rather to facilitate their ability to acquire licenses, build out </w:t>
      </w:r>
      <w:r w:rsidR="00FE5142">
        <w:rPr>
          <w:color w:val="010101"/>
        </w:rPr>
        <w:t>systems, and provide service</w:t>
      </w:r>
      <w:r w:rsidR="006E48A1">
        <w:rPr>
          <w:color w:val="010101"/>
        </w:rPr>
        <w:t>.</w:t>
      </w:r>
      <w:r w:rsidR="00FE5142">
        <w:rPr>
          <w:color w:val="010101"/>
        </w:rPr>
        <w:t>”</w:t>
      </w:r>
      <w:r w:rsidR="00FE5142">
        <w:rPr>
          <w:rStyle w:val="FootnoteReference"/>
          <w:color w:val="010101"/>
        </w:rPr>
        <w:footnoteReference w:id="10"/>
      </w:r>
      <w:r w:rsidR="0000768D">
        <w:t xml:space="preserve"> </w:t>
      </w:r>
      <w:r w:rsidR="006E48A1">
        <w:t xml:space="preserve"> T</w:t>
      </w:r>
      <w:r w:rsidR="0000768D">
        <w:t xml:space="preserve">he Commission </w:t>
      </w:r>
      <w:r w:rsidR="006E48A1">
        <w:t xml:space="preserve">also </w:t>
      </w:r>
      <w:r w:rsidR="0000768D">
        <w:t>stated</w:t>
      </w:r>
      <w:r w:rsidR="006E48A1">
        <w:t>,</w:t>
      </w:r>
      <w:r w:rsidR="00FE5142">
        <w:t xml:space="preserve"> </w:t>
      </w:r>
      <w:r w:rsidR="0000768D">
        <w:t>“</w:t>
      </w:r>
      <w:r w:rsidR="009D1375">
        <w:t xml:space="preserve">the licensee cannot make spectrum leasing its primary business and </w:t>
      </w:r>
      <w:r w:rsidR="009D1375" w:rsidRPr="0000768D">
        <w:t xml:space="preserve">must . . . </w:t>
      </w:r>
      <w:r w:rsidR="0000768D" w:rsidRPr="0000768D">
        <w:t>continue to provide facilities-based netw</w:t>
      </w:r>
      <w:r w:rsidR="0000768D">
        <w:t>ork services under its licenses</w:t>
      </w:r>
      <w:r w:rsidR="0000768D" w:rsidRPr="0000768D">
        <w:t>”</w:t>
      </w:r>
      <w:r w:rsidR="0000768D">
        <w:t xml:space="preserve"> regardless of the degree of control the DE maintains over the leased spectrum.</w:t>
      </w:r>
      <w:r w:rsidR="0000768D">
        <w:rPr>
          <w:rStyle w:val="FootnoteReference"/>
        </w:rPr>
        <w:footnoteReference w:id="11"/>
      </w:r>
      <w:r w:rsidR="0000768D">
        <w:t xml:space="preserve">  In fact, </w:t>
      </w:r>
      <w:r w:rsidR="00C16A75">
        <w:t xml:space="preserve">the Commission rejected the contention made by </w:t>
      </w:r>
      <w:r w:rsidR="0000768D">
        <w:t>many large wireless providers at the time that DEs “ne</w:t>
      </w:r>
      <w:r w:rsidR="0000768D" w:rsidRPr="0000768D">
        <w:t>ed not be limited to constructing and operating a facilities-based netwo</w:t>
      </w:r>
      <w:r w:rsidR="0000768D">
        <w:t>rk in order to satisfy Congress’</w:t>
      </w:r>
      <w:r w:rsidR="0000768D" w:rsidRPr="0000768D">
        <w:t xml:space="preserve"> objective that they participate</w:t>
      </w:r>
      <w:r w:rsidR="0000768D">
        <w:t xml:space="preserve"> in the spectrum market</w:t>
      </w:r>
      <w:r w:rsidR="00126978">
        <w:t>.</w:t>
      </w:r>
      <w:r w:rsidR="0000768D">
        <w:t>”</w:t>
      </w:r>
      <w:r w:rsidR="00126978">
        <w:t xml:space="preserve">  I</w:t>
      </w:r>
      <w:r w:rsidR="00C16A75">
        <w:t>t</w:t>
      </w:r>
      <w:r w:rsidR="0000768D">
        <w:t xml:space="preserve"> stat</w:t>
      </w:r>
      <w:r w:rsidR="00C16A75">
        <w:t>ed</w:t>
      </w:r>
      <w:r w:rsidR="0000768D">
        <w:t xml:space="preserve"> that “[w]e</w:t>
      </w:r>
      <w:r w:rsidR="0000768D" w:rsidRPr="0000768D">
        <w:t xml:space="preserve"> cannot accept </w:t>
      </w:r>
      <w:r w:rsidR="00516C8C">
        <w:t>that reading of Section 309(j</w:t>
      </w:r>
      <w:r w:rsidR="000A3CE3">
        <w:t>)” because “</w:t>
      </w:r>
      <w:r w:rsidR="0000768D" w:rsidRPr="0000768D">
        <w:t>Congress specifically intended that, in order to prevent unjust enrichment, the licensee receiving designated entity benefits actually provide facilities-based services as authorized by its license.</w:t>
      </w:r>
      <w:r w:rsidR="00516C8C">
        <w:t>”</w:t>
      </w:r>
      <w:r w:rsidR="00516C8C">
        <w:rPr>
          <w:rStyle w:val="FootnoteReference"/>
        </w:rPr>
        <w:footnoteReference w:id="12"/>
      </w:r>
    </w:p>
    <w:p w14:paraId="08E8342B" w14:textId="088A1736" w:rsidR="000A3CE3" w:rsidRDefault="00611088" w:rsidP="006254AC">
      <w:r>
        <w:t xml:space="preserve">     </w:t>
      </w:r>
      <w:r w:rsidR="00D6248C">
        <w:t>The statutory basis for this decision</w:t>
      </w:r>
      <w:r w:rsidR="005306C0">
        <w:t xml:space="preserve"> was clear.  T</w:t>
      </w:r>
      <w:r w:rsidR="000A3CE3">
        <w:t xml:space="preserve">he Commission </w:t>
      </w:r>
      <w:r w:rsidR="005306C0">
        <w:t>stated that</w:t>
      </w:r>
      <w:r w:rsidR="000A3CE3">
        <w:t xml:space="preserve"> “</w:t>
      </w:r>
      <w:r w:rsidR="005306C0">
        <w:t>Section 309(j) . . .</w:t>
      </w:r>
      <w:r w:rsidR="000A3CE3" w:rsidRPr="000A3CE3">
        <w:t xml:space="preserve"> directs the Commission to prescribe anti-trafficking restrictions and payment schedules as necessary to prevent designated entity benefits from giving rise to unjust enrichment.</w:t>
      </w:r>
      <w:r w:rsidR="005306C0">
        <w:t>”</w:t>
      </w:r>
      <w:r w:rsidR="005306C0">
        <w:rPr>
          <w:rStyle w:val="FootnoteReference"/>
        </w:rPr>
        <w:footnoteReference w:id="13"/>
      </w:r>
      <w:r w:rsidR="005306C0">
        <w:t xml:space="preserve">  Treating DE leases differently was necessary, the Commission determined, because otherwise “</w:t>
      </w:r>
      <w:r w:rsidR="000A3CE3" w:rsidRPr="000A3CE3">
        <w:t xml:space="preserve">we would run the risk that </w:t>
      </w:r>
      <w:r w:rsidR="005306C0">
        <w:t>[DE]</w:t>
      </w:r>
      <w:r w:rsidR="000A3CE3" w:rsidRPr="000A3CE3">
        <w:t xml:space="preserve"> </w:t>
      </w:r>
      <w:r w:rsidR="005306C0">
        <w:t xml:space="preserve">. . . </w:t>
      </w:r>
      <w:r w:rsidR="000A3CE3" w:rsidRPr="000A3CE3">
        <w:t>incentives would benefit, indirectly, entities that do not qualify for such incentives in the primary market. In other words, we would be paving the way for the very unjust enrichment Congress wanted us to prevent.</w:t>
      </w:r>
      <w:r w:rsidR="000A3CE3">
        <w:t>”</w:t>
      </w:r>
      <w:r w:rsidR="005306C0">
        <w:rPr>
          <w:rStyle w:val="FootnoteReference"/>
        </w:rPr>
        <w:footnoteReference w:id="14"/>
      </w:r>
    </w:p>
    <w:p w14:paraId="4F26105D" w14:textId="34A918FB" w:rsidR="00553576" w:rsidRDefault="00611088" w:rsidP="006254AC">
      <w:r>
        <w:t xml:space="preserve">     </w:t>
      </w:r>
      <w:r w:rsidR="008963DB">
        <w:t>W</w:t>
      </w:r>
      <w:r w:rsidR="003316EB">
        <w:t xml:space="preserve">hen the Commission </w:t>
      </w:r>
      <w:r w:rsidR="001D0A9E">
        <w:t>took up the question of Section 309(j)’s application to DE leases</w:t>
      </w:r>
      <w:r w:rsidR="008963DB">
        <w:t xml:space="preserve"> in 2006</w:t>
      </w:r>
      <w:r w:rsidR="001D0A9E">
        <w:t xml:space="preserve">, </w:t>
      </w:r>
      <w:r w:rsidR="0082711A">
        <w:t>the Commission</w:t>
      </w:r>
      <w:r w:rsidR="008963DB">
        <w:t xml:space="preserve"> </w:t>
      </w:r>
      <w:r w:rsidR="00732FBC">
        <w:t xml:space="preserve">found no wiggle room in </w:t>
      </w:r>
      <w:r w:rsidR="003316EB">
        <w:t>the statutory language.</w:t>
      </w:r>
      <w:r w:rsidR="00941E39">
        <w:t xml:space="preserve">  </w:t>
      </w:r>
      <w:r w:rsidR="0082711A">
        <w:t xml:space="preserve">It </w:t>
      </w:r>
      <w:r w:rsidR="00941E39">
        <w:t xml:space="preserve">recognized that </w:t>
      </w:r>
      <w:r w:rsidR="00732FBC">
        <w:t>the provision</w:t>
      </w:r>
      <w:r w:rsidR="00941E39">
        <w:t xml:space="preserve"> directs the FCC to ensure</w:t>
      </w:r>
      <w:r w:rsidR="00732FBC">
        <w:t xml:space="preserve"> that</w:t>
      </w:r>
      <w:r w:rsidR="00941E39">
        <w:t xml:space="preserve"> </w:t>
      </w:r>
      <w:r w:rsidR="00D6248C">
        <w:t>“</w:t>
      </w:r>
      <w:r w:rsidR="00D6248C" w:rsidRPr="00D6248C">
        <w:t>every recipient of our designated entity benefits is an entity that uses its licenses to directly provide facilities-based telecommunications services for the benefit of the public.</w:t>
      </w:r>
      <w:r w:rsidR="00D6248C">
        <w:t>”</w:t>
      </w:r>
      <w:r w:rsidR="00D6248C">
        <w:rPr>
          <w:rStyle w:val="FootnoteReference"/>
        </w:rPr>
        <w:footnoteReference w:id="15"/>
      </w:r>
      <w:r w:rsidR="00F47627">
        <w:t xml:space="preserve"> </w:t>
      </w:r>
      <w:r w:rsidR="008376B0">
        <w:t xml:space="preserve"> </w:t>
      </w:r>
      <w:r w:rsidR="0082711A">
        <w:t xml:space="preserve">It </w:t>
      </w:r>
      <w:r w:rsidR="00387F96">
        <w:t>adopted the current rules “</w:t>
      </w:r>
      <w:r w:rsidR="00387F96" w:rsidRPr="00442722">
        <w:t>to ensure, as Congress intended, that</w:t>
      </w:r>
      <w:r w:rsidR="008376B0">
        <w:t> </w:t>
      </w:r>
      <w:r w:rsidR="00387F96">
        <w:t>. .</w:t>
      </w:r>
      <w:r w:rsidR="008376B0">
        <w:t> </w:t>
      </w:r>
      <w:r w:rsidR="00387F96">
        <w:t>.</w:t>
      </w:r>
      <w:r w:rsidR="00387F96" w:rsidRPr="00442722">
        <w:t xml:space="preserve"> benefits are awarded to provide opportunities for designated entities to become robust independent facilities-based service providers with the ability to provide new and innovative services to the public.</w:t>
      </w:r>
      <w:r w:rsidR="00387F96">
        <w:t>”</w:t>
      </w:r>
      <w:r w:rsidR="00387F96">
        <w:rPr>
          <w:rStyle w:val="FootnoteReference"/>
        </w:rPr>
        <w:footnoteReference w:id="16"/>
      </w:r>
      <w:r w:rsidR="00553576">
        <w:t xml:space="preserve">  </w:t>
      </w:r>
      <w:r w:rsidR="0082711A">
        <w:t xml:space="preserve">It </w:t>
      </w:r>
      <w:r w:rsidR="00553576">
        <w:t>held that “where an agreement concerns the actual use of the designated entity’s spectrum capacity, it is the agreement, as opposed to the party with whom it is entered into, that causes the relationship to be ripe for abuse and creates the potential for the relationship to impede a designated entity’s ability to become a facilities-based provider, as intended by Congress.”</w:t>
      </w:r>
      <w:r w:rsidR="00553576">
        <w:rPr>
          <w:rStyle w:val="FootnoteReference"/>
        </w:rPr>
        <w:footnoteReference w:id="17"/>
      </w:r>
    </w:p>
    <w:p w14:paraId="024EA937" w14:textId="56302F06" w:rsidR="00F47627" w:rsidRDefault="00611088" w:rsidP="006254AC">
      <w:r>
        <w:t xml:space="preserve">     </w:t>
      </w:r>
      <w:r w:rsidR="00F47627">
        <w:t xml:space="preserve">In a </w:t>
      </w:r>
      <w:r w:rsidR="00D64B8D">
        <w:t xml:space="preserve">subsequent </w:t>
      </w:r>
      <w:r w:rsidR="00F47627">
        <w:t>order, the FCC again stated that “</w:t>
      </w:r>
      <w:r w:rsidR="00F47627" w:rsidRPr="00F47627">
        <w:t>Section 309(j)(4)(D) directs the Comm</w:t>
      </w:r>
      <w:r w:rsidR="00F47627">
        <w:t>ission to issue regulations to ‘ensure’</w:t>
      </w:r>
      <w:r w:rsidR="00F47627" w:rsidRPr="00F47627">
        <w:t xml:space="preserve"> that designated entities </w:t>
      </w:r>
      <w:r w:rsidR="00F47627">
        <w:t>‘</w:t>
      </w:r>
      <w:r w:rsidR="00F47627" w:rsidRPr="00F47627">
        <w:t>are given the opportunity to participate in the provis</w:t>
      </w:r>
      <w:r w:rsidR="00F47627">
        <w:t>ion of spectrum-based services.’</w:t>
      </w:r>
      <w:r w:rsidR="004E1F58">
        <w:t>”</w:t>
      </w:r>
      <w:r w:rsidR="004E1F58">
        <w:rPr>
          <w:rStyle w:val="FootnoteReference"/>
        </w:rPr>
        <w:footnoteReference w:id="18"/>
      </w:r>
      <w:r w:rsidR="00F47627">
        <w:t xml:space="preserve">  </w:t>
      </w:r>
      <w:r w:rsidR="004E1F58">
        <w:t>“</w:t>
      </w:r>
      <w:r w:rsidR="00F47627">
        <w:t>We believe that the word ‘participate’</w:t>
      </w:r>
      <w:r w:rsidR="00F47627" w:rsidRPr="00F47627">
        <w:t xml:space="preserve"> in this directive contemplates significant involvement in the provision of services to the public, </w:t>
      </w:r>
      <w:r w:rsidR="00F47627" w:rsidRPr="00387F96">
        <w:rPr>
          <w:i/>
        </w:rPr>
        <w:t>not merely passive ownership of a license to spectrum used by others to provide service</w:t>
      </w:r>
      <w:r w:rsidR="00F47627" w:rsidRPr="00F47627">
        <w:t>.</w:t>
      </w:r>
      <w:r w:rsidR="00F47627">
        <w:t>”</w:t>
      </w:r>
      <w:r w:rsidR="00F47627">
        <w:rPr>
          <w:rStyle w:val="FootnoteReference"/>
        </w:rPr>
        <w:footnoteReference w:id="19"/>
      </w:r>
    </w:p>
    <w:p w14:paraId="1EBE45E6" w14:textId="4270D060" w:rsidR="00FE5142" w:rsidRDefault="00611088" w:rsidP="006254AC">
      <w:r>
        <w:t xml:space="preserve">     </w:t>
      </w:r>
      <w:r w:rsidR="00FE5142">
        <w:t>Given this strikingly consistent approach over many years, the NPRM’s abrupt assertion that the FCC’s facilities-based requirement was grounded in a misreading of legislative history belies credulity.  The legislative history shows that Congress passed the relevant portions of Section 309(j) “</w:t>
      </w:r>
      <w:r w:rsidR="00FE5142" w:rsidRPr="00247540">
        <w:t>to deter speculation and participation</w:t>
      </w:r>
      <w:r w:rsidR="00FE5142">
        <w:t xml:space="preserve"> </w:t>
      </w:r>
      <w:r w:rsidR="00FE5142" w:rsidRPr="00247540">
        <w:t>in the licensing process by those who have no intention of offering service to the public.</w:t>
      </w:r>
      <w:r w:rsidR="00FE5142">
        <w:t>”</w:t>
      </w:r>
      <w:r w:rsidR="00FE5142">
        <w:rPr>
          <w:rStyle w:val="FootnoteReference"/>
        </w:rPr>
        <w:footnoteReference w:id="20"/>
      </w:r>
      <w:r w:rsidR="00FE5142">
        <w:t xml:space="preserve">  There is simply no way to square the NPRM’s proposal to eliminate the facilities-based requirement with Section 309(j) or the policies underlying that provision.</w:t>
      </w:r>
      <w:r w:rsidR="00B85724">
        <w:rPr>
          <w:rStyle w:val="FootnoteReference"/>
        </w:rPr>
        <w:footnoteReference w:id="21"/>
      </w:r>
    </w:p>
    <w:p w14:paraId="048C54C3" w14:textId="47DAE696" w:rsidR="005B4438" w:rsidRDefault="00611088" w:rsidP="006254AC">
      <w:r>
        <w:t xml:space="preserve">     </w:t>
      </w:r>
      <w:r w:rsidR="00150D78">
        <w:t>What is more,</w:t>
      </w:r>
      <w:r w:rsidR="00FE5142">
        <w:t xml:space="preserve"> there has been broad-based support for the FCC’s long-held view that imposing limits on DE leasing is critical to the success and integrity of the Commission’s program.  </w:t>
      </w:r>
      <w:r w:rsidR="00F43CBD">
        <w:t>For example</w:t>
      </w:r>
      <w:r w:rsidR="00150D78">
        <w:t xml:space="preserve">, </w:t>
      </w:r>
      <w:r w:rsidR="00387F96">
        <w:t xml:space="preserve">Commissioner Copps </w:t>
      </w:r>
      <w:r w:rsidR="00F43CBD">
        <w:t xml:space="preserve">in 2006 </w:t>
      </w:r>
      <w:r w:rsidR="00387F96">
        <w:t>urged the Commission to “</w:t>
      </w:r>
      <w:r w:rsidR="00387F96" w:rsidRPr="0013493C">
        <w:t>move quickly to</w:t>
      </w:r>
      <w:r w:rsidR="00387F96">
        <w:t xml:space="preserve"> curb abuses of the DE program” by adopting the facilities-based requirement that the </w:t>
      </w:r>
      <w:r w:rsidR="008D587A">
        <w:t xml:space="preserve">NPRM </w:t>
      </w:r>
      <w:r w:rsidR="00387F96">
        <w:t>proposes to eliminate today.</w:t>
      </w:r>
      <w:r w:rsidR="00387F96">
        <w:rPr>
          <w:rStyle w:val="FootnoteReference"/>
        </w:rPr>
        <w:footnoteReference w:id="22"/>
      </w:r>
      <w:r w:rsidR="00387F96">
        <w:t xml:space="preserve">  </w:t>
      </w:r>
      <w:r w:rsidR="00150D78">
        <w:t>He</w:t>
      </w:r>
      <w:r w:rsidR="00387F96">
        <w:t xml:space="preserve"> explained that without the rule in place “</w:t>
      </w:r>
      <w:r w:rsidR="00387F96" w:rsidRPr="0013493C">
        <w:t>entities with deep pockets</w:t>
      </w:r>
      <w:r w:rsidR="00387F96">
        <w:t xml:space="preserve"> </w:t>
      </w:r>
      <w:r w:rsidR="00387F96" w:rsidRPr="0013493C">
        <w:t xml:space="preserve">helped themselves to discounts </w:t>
      </w:r>
      <w:r w:rsidR="00387F96">
        <w:t>they were never meant to enjoy.”</w:t>
      </w:r>
      <w:r w:rsidR="00387F96">
        <w:rPr>
          <w:rStyle w:val="FootnoteReference"/>
        </w:rPr>
        <w:footnoteReference w:id="23"/>
      </w:r>
      <w:r w:rsidR="00CF0DB2">
        <w:t xml:space="preserve">  “[B]</w:t>
      </w:r>
      <w:r w:rsidR="00CF0DB2" w:rsidRPr="00CF0DB2">
        <w:t>y strengthening our unjust enrichment rules</w:t>
      </w:r>
      <w:r w:rsidR="00CF0DB2">
        <w:t>,” Commissioner Copps stated, “</w:t>
      </w:r>
      <w:r w:rsidR="00CF0DB2" w:rsidRPr="00CF0DB2">
        <w:t xml:space="preserve">we take away the incentive for speculators to try </w:t>
      </w:r>
      <w:r w:rsidR="00CF0DB2">
        <w:t>to masquerade as legitimate DEs</w:t>
      </w:r>
      <w:r w:rsidR="008376B0">
        <w:t> </w:t>
      </w:r>
      <w:r w:rsidR="00CF0DB2">
        <w:t>. . .</w:t>
      </w:r>
      <w:r w:rsidR="008376B0">
        <w:t> </w:t>
      </w:r>
      <w:r w:rsidR="00CF0DB2">
        <w:t xml:space="preserve">.  </w:t>
      </w:r>
      <w:r w:rsidR="00CF0DB2" w:rsidRPr="00CF0DB2">
        <w:t>And most importantly, we reserve the DE program for companies that actually intend to use their spectrum to serve customers.</w:t>
      </w:r>
      <w:r w:rsidR="00CF0DB2">
        <w:t>”</w:t>
      </w:r>
      <w:r w:rsidR="00CF0DB2">
        <w:rPr>
          <w:rStyle w:val="FootnoteReference"/>
        </w:rPr>
        <w:footnoteReference w:id="24"/>
      </w:r>
      <w:r w:rsidR="005B4438">
        <w:t xml:space="preserve">  </w:t>
      </w:r>
    </w:p>
    <w:p w14:paraId="0C708F60" w14:textId="33CCD6B8" w:rsidR="00F45776" w:rsidRDefault="00611088" w:rsidP="006254AC">
      <w:r>
        <w:t xml:space="preserve">     </w:t>
      </w:r>
      <w:r w:rsidR="005B4438">
        <w:t xml:space="preserve">Commissioner Adelstein shared a </w:t>
      </w:r>
      <w:r w:rsidR="0037249C">
        <w:t>s</w:t>
      </w:r>
      <w:r w:rsidR="005B4438">
        <w:t xml:space="preserve">imilar position.  He </w:t>
      </w:r>
      <w:r w:rsidR="00126978">
        <w:t>believed</w:t>
      </w:r>
      <w:r w:rsidR="005B4438">
        <w:t xml:space="preserve"> that the Commission should be acting to close “loophole[s]” in the DE program, not opening them up.</w:t>
      </w:r>
      <w:r w:rsidR="005B4438">
        <w:rPr>
          <w:rStyle w:val="FootnoteReference"/>
        </w:rPr>
        <w:footnoteReference w:id="25"/>
      </w:r>
      <w:r w:rsidR="005B4438">
        <w:t xml:space="preserve">  </w:t>
      </w:r>
      <w:r w:rsidR="00387558">
        <w:t xml:space="preserve">He expressed serious concerns </w:t>
      </w:r>
      <w:r w:rsidR="0037249C">
        <w:t>about the impact a contrary approach would have</w:t>
      </w:r>
      <w:r w:rsidR="00387558">
        <w:t xml:space="preserve"> on American taxpayers</w:t>
      </w:r>
      <w:r w:rsidR="005B4438">
        <w:t>:  “</w:t>
      </w:r>
      <w:r w:rsidR="00387558">
        <w:t>Do we really want the nation’</w:t>
      </w:r>
      <w:r w:rsidR="005B4438" w:rsidRPr="005B4438">
        <w:t>s largest wireless carriers partnering with DEs to get a 25% discount so that auction revenues to the U.S. Treasury could pote</w:t>
      </w:r>
      <w:r w:rsidR="00387558">
        <w:t xml:space="preserve">ntially </w:t>
      </w:r>
      <w:r w:rsidR="005B4438" w:rsidRPr="005B4438">
        <w:t xml:space="preserve">be reduced by billions of dollars? </w:t>
      </w:r>
      <w:r w:rsidR="005B4438">
        <w:t xml:space="preserve"> </w:t>
      </w:r>
      <w:r w:rsidR="005B4438" w:rsidRPr="005B4438">
        <w:t>How is the public interest served in that outcome?</w:t>
      </w:r>
      <w:r w:rsidR="005B4438">
        <w:t>”</w:t>
      </w:r>
      <w:r w:rsidR="00387558">
        <w:rPr>
          <w:rStyle w:val="FootnoteReference"/>
        </w:rPr>
        <w:footnoteReference w:id="26"/>
      </w:r>
    </w:p>
    <w:p w14:paraId="5539071A" w14:textId="54561C98" w:rsidR="00B16B30" w:rsidRDefault="00611088" w:rsidP="006254AC">
      <w:r>
        <w:t xml:space="preserve">     </w:t>
      </w:r>
      <w:r w:rsidR="00B16B30">
        <w:t xml:space="preserve">The </w:t>
      </w:r>
      <w:r w:rsidR="00D64B8D">
        <w:t xml:space="preserve">U.S. Court of Appeals for the </w:t>
      </w:r>
      <w:r w:rsidR="00B16B30">
        <w:t xml:space="preserve">Third Circuit made </w:t>
      </w:r>
      <w:r w:rsidR="00126978">
        <w:t xml:space="preserve">the same </w:t>
      </w:r>
      <w:r w:rsidR="00B16B30">
        <w:t xml:space="preserve">point when it </w:t>
      </w:r>
      <w:r w:rsidR="00150D78">
        <w:t>reviewed</w:t>
      </w:r>
      <w:r w:rsidR="005B1C90">
        <w:t xml:space="preserve"> the FCC’s 2006 DE rule</w:t>
      </w:r>
      <w:r w:rsidR="00B16B30">
        <w:t>s.</w:t>
      </w:r>
      <w:r w:rsidR="00B16B30">
        <w:rPr>
          <w:rStyle w:val="FootnoteReference"/>
        </w:rPr>
        <w:footnoteReference w:id="27"/>
      </w:r>
      <w:r w:rsidR="00B16B30">
        <w:t xml:space="preserve">  The court drew a distinction between the provision of facilities-based service, on the one hand, and arrangements under which “</w:t>
      </w:r>
      <w:r w:rsidR="00B16B30" w:rsidRPr="009E36DE">
        <w:t>a DE merely monetizes its credits or partners with a large</w:t>
      </w:r>
      <w:r w:rsidR="00B16B30">
        <w:t xml:space="preserve"> carrier, thus rendering the DE’</w:t>
      </w:r>
      <w:r w:rsidR="00B16B30" w:rsidRPr="009E36DE">
        <w:t>s sepa</w:t>
      </w:r>
      <w:r w:rsidR="00B16B30">
        <w:t>rate existence a mere formality” on the other.</w:t>
      </w:r>
      <w:r w:rsidR="00B16B30">
        <w:rPr>
          <w:rStyle w:val="FootnoteReference"/>
        </w:rPr>
        <w:footnoteReference w:id="28"/>
      </w:r>
      <w:r w:rsidR="00B16B30">
        <w:t xml:space="preserve">  The court indicated that the rationale underlying the relevant DE rule would not permit small businesses to “</w:t>
      </w:r>
      <w:r w:rsidR="00B16B30" w:rsidRPr="00AB43EA">
        <w:t>sell or lease overly large quantities</w:t>
      </w:r>
      <w:r w:rsidR="00B16B30">
        <w:t xml:space="preserve"> of their capacity to any single lessee.”</w:t>
      </w:r>
      <w:r w:rsidR="00B16B30">
        <w:rPr>
          <w:rStyle w:val="FootnoteReference"/>
        </w:rPr>
        <w:footnoteReference w:id="29"/>
      </w:r>
    </w:p>
    <w:p w14:paraId="0D5D75E9" w14:textId="0693E590" w:rsidR="007410E0" w:rsidRDefault="00611088" w:rsidP="006254AC">
      <w:r>
        <w:t xml:space="preserve">     </w:t>
      </w:r>
      <w:r w:rsidR="00F43CBD">
        <w:t xml:space="preserve">And </w:t>
      </w:r>
      <w:r w:rsidR="00B16B30">
        <w:t xml:space="preserve">the U.S. Department of Justice has stated that “the FCC should </w:t>
      </w:r>
      <w:r w:rsidR="00B16B30" w:rsidRPr="009E0421">
        <w:t>disqualify</w:t>
      </w:r>
      <w:r w:rsidR="00B16B30">
        <w:t xml:space="preserve"> a DE that has any</w:t>
      </w:r>
      <w:r w:rsidR="008376B0">
        <w:t> </w:t>
      </w:r>
      <w:r w:rsidR="00B16B30">
        <w:t>. .</w:t>
      </w:r>
      <w:r w:rsidR="008376B0">
        <w:t> </w:t>
      </w:r>
      <w:r w:rsidR="00B16B30">
        <w:t>. agreement with a large wireless carrier that suggests that the licenses will be used principally for the benefit of the large wireless carrier.”</w:t>
      </w:r>
      <w:r w:rsidR="00B16B30">
        <w:rPr>
          <w:rStyle w:val="FootnoteReference"/>
        </w:rPr>
        <w:footnoteReference w:id="30"/>
      </w:r>
      <w:r w:rsidR="00B16B30">
        <w:t xml:space="preserve">  </w:t>
      </w:r>
    </w:p>
    <w:p w14:paraId="07D25740" w14:textId="72DA7FD4" w:rsidR="00B16B30" w:rsidRDefault="00611088" w:rsidP="006254AC">
      <w:r>
        <w:t xml:space="preserve">     </w:t>
      </w:r>
      <w:r w:rsidR="007410E0">
        <w:t xml:space="preserve">Congress, numerous FCC Commissioners over the years, the Third Circuit, the Department of Justice—all were in unison regarding </w:t>
      </w:r>
      <w:r w:rsidR="00F43CBD">
        <w:t xml:space="preserve">how to ensure that DEs are truly independent providers.  </w:t>
      </w:r>
      <w:r w:rsidR="00B16B30">
        <w:t xml:space="preserve">Yet today’s NPRM </w:t>
      </w:r>
      <w:r w:rsidR="008376B0">
        <w:t xml:space="preserve">blesses just </w:t>
      </w:r>
      <w:r w:rsidR="00F43CBD">
        <w:t>the opposite</w:t>
      </w:r>
      <w:r w:rsidR="008376B0">
        <w:t xml:space="preserve"> approach.</w:t>
      </w:r>
    </w:p>
    <w:p w14:paraId="19D55447" w14:textId="19203BF7" w:rsidR="00A264E3" w:rsidRDefault="00A264E3" w:rsidP="00F96E63">
      <w:pPr>
        <w:jc w:val="center"/>
      </w:pPr>
      <w:r>
        <w:t>II</w:t>
      </w:r>
      <w:r w:rsidR="00CB1D24">
        <w:t>I</w:t>
      </w:r>
      <w:r>
        <w:t>.</w:t>
      </w:r>
    </w:p>
    <w:p w14:paraId="280EEA1B" w14:textId="4366E2E6" w:rsidR="001B6E1E" w:rsidRDefault="00611088" w:rsidP="006254AC">
      <w:r>
        <w:t xml:space="preserve">     </w:t>
      </w:r>
      <w:r w:rsidR="00763F82">
        <w:t>The NPRM</w:t>
      </w:r>
      <w:r w:rsidR="00323999">
        <w:t>’s proposals</w:t>
      </w:r>
      <w:r w:rsidR="00763F82">
        <w:t xml:space="preserve"> suffer from several additional flaws as well.  </w:t>
      </w:r>
      <w:r w:rsidR="005B1C90" w:rsidRPr="0079044F">
        <w:rPr>
          <w:i/>
        </w:rPr>
        <w:t>First</w:t>
      </w:r>
      <w:r w:rsidR="005B1C90">
        <w:t xml:space="preserve">, </w:t>
      </w:r>
      <w:r w:rsidR="001B6E1E">
        <w:t xml:space="preserve">the NPRM’s approach to DE leasing cannot be </w:t>
      </w:r>
      <w:r w:rsidR="00C54EB0">
        <w:t xml:space="preserve">reconciled </w:t>
      </w:r>
      <w:r w:rsidR="00323999">
        <w:t xml:space="preserve">with </w:t>
      </w:r>
      <w:r w:rsidR="001B6E1E">
        <w:t>its proposal on joint bidding.</w:t>
      </w:r>
      <w:r w:rsidR="001B6E1E">
        <w:rPr>
          <w:rStyle w:val="FootnoteReference"/>
        </w:rPr>
        <w:footnoteReference w:id="31"/>
      </w:r>
      <w:r w:rsidR="001B6E1E">
        <w:t xml:space="preserve">  In the joint bidding section of the NPRM, the Commission proposes to adopt a broad</w:t>
      </w:r>
      <w:r w:rsidR="00323999">
        <w:t xml:space="preserve"> prohibition against</w:t>
      </w:r>
      <w:r w:rsidR="009D66C3">
        <w:t xml:space="preserve"> </w:t>
      </w:r>
      <w:r w:rsidR="001B6E1E">
        <w:t>any agreement between nationwid</w:t>
      </w:r>
      <w:r w:rsidR="00C861E7">
        <w:t xml:space="preserve">e wireless providers that even </w:t>
      </w:r>
      <w:r w:rsidR="001B6E1E">
        <w:t>relate</w:t>
      </w:r>
      <w:r w:rsidR="00184FDF">
        <w:t>s</w:t>
      </w:r>
      <w:r w:rsidR="001B6E1E">
        <w:t xml:space="preserve"> to </w:t>
      </w:r>
      <w:r w:rsidR="001C703B">
        <w:t xml:space="preserve">the competitive bidding process, </w:t>
      </w:r>
      <w:r w:rsidR="00C861E7">
        <w:t>even</w:t>
      </w:r>
      <w:r w:rsidR="001C703B">
        <w:t xml:space="preserve"> </w:t>
      </w:r>
      <w:r w:rsidR="005E6E06">
        <w:t>though the NPRM identifies no evidence that there’s a</w:t>
      </w:r>
      <w:r w:rsidR="00C861E7">
        <w:t>ny</w:t>
      </w:r>
      <w:r w:rsidR="005E6E06">
        <w:t xml:space="preserve"> need for </w:t>
      </w:r>
      <w:r w:rsidR="006B6361">
        <w:t xml:space="preserve">such a </w:t>
      </w:r>
      <w:r w:rsidR="005E6E06">
        <w:t>rule.</w:t>
      </w:r>
      <w:r w:rsidR="00323999">
        <w:rPr>
          <w:rStyle w:val="FootnoteReference"/>
        </w:rPr>
        <w:footnoteReference w:id="32"/>
      </w:r>
      <w:r w:rsidR="001B6E1E">
        <w:t xml:space="preserve">  </w:t>
      </w:r>
      <w:r w:rsidR="009D66C3">
        <w:t>The FCC’s reasoning?  Any such arrangement “would reduce the participants’ ability or incentive to compete independently, which would lessen competition . . . and could harm American consumers by increasing the price or reducing the quality of mobile wireless service.”</w:t>
      </w:r>
      <w:r w:rsidR="009D66C3">
        <w:rPr>
          <w:rStyle w:val="FootnoteReference"/>
        </w:rPr>
        <w:footnoteReference w:id="33"/>
      </w:r>
      <w:r w:rsidR="00323999">
        <w:t xml:space="preserve">  This begs the question</w:t>
      </w:r>
      <w:r w:rsidR="006E549A">
        <w:t>:  H</w:t>
      </w:r>
      <w:r w:rsidR="009D66C3">
        <w:t xml:space="preserve">ow </w:t>
      </w:r>
      <w:r w:rsidR="00323999">
        <w:t>can the NPRM conclude that</w:t>
      </w:r>
      <w:r w:rsidR="00323999">
        <w:rPr>
          <w:i/>
        </w:rPr>
        <w:t xml:space="preserve"> </w:t>
      </w:r>
      <w:r w:rsidR="00C861E7" w:rsidRPr="0079044F">
        <w:rPr>
          <w:i/>
        </w:rPr>
        <w:t>any</w:t>
      </w:r>
      <w:r w:rsidR="005E6E06">
        <w:t xml:space="preserve"> type of </w:t>
      </w:r>
      <w:r w:rsidR="00323999">
        <w:t>agreement between two nationwide providers would necessarily harm consumers</w:t>
      </w:r>
      <w:r w:rsidR="005E6E06">
        <w:t xml:space="preserve"> and reduce the incentives to compete</w:t>
      </w:r>
      <w:r w:rsidR="00323999">
        <w:t>, yet maintain that an agreement under which a small provider leases 100</w:t>
      </w:r>
      <w:r w:rsidR="009B19A7">
        <w:t>%</w:t>
      </w:r>
      <w:r w:rsidR="005E6E06">
        <w:t xml:space="preserve"> of its spectrum</w:t>
      </w:r>
      <w:r w:rsidR="00323999">
        <w:t xml:space="preserve"> to a large corporation raises no such concerns?  The NPRM offers no answer.</w:t>
      </w:r>
    </w:p>
    <w:p w14:paraId="5F37DE21" w14:textId="5D1B6732" w:rsidR="001F5F97" w:rsidRDefault="00611088" w:rsidP="006254AC">
      <w:r>
        <w:rPr>
          <w:i/>
        </w:rPr>
        <w:t xml:space="preserve">     </w:t>
      </w:r>
      <w:r w:rsidR="001B6E1E" w:rsidRPr="00523975">
        <w:rPr>
          <w:i/>
        </w:rPr>
        <w:t>Second</w:t>
      </w:r>
      <w:r w:rsidR="001B6E1E">
        <w:t xml:space="preserve">, and similarly, </w:t>
      </w:r>
      <w:r w:rsidR="00AB31B9">
        <w:t xml:space="preserve">the </w:t>
      </w:r>
      <w:r w:rsidR="005B1C90">
        <w:t>proposal</w:t>
      </w:r>
      <w:r w:rsidR="00AB31B9">
        <w:t xml:space="preserve"> </w:t>
      </w:r>
      <w:r w:rsidR="00763F82">
        <w:t xml:space="preserve">to eliminate the facilities-based requirement </w:t>
      </w:r>
      <w:r w:rsidR="00AB31B9">
        <w:t xml:space="preserve">cannot be reconciled with the FCC’s recent </w:t>
      </w:r>
      <w:r w:rsidR="001F5F97">
        <w:t xml:space="preserve">approach to </w:t>
      </w:r>
      <w:r w:rsidR="002A286D">
        <w:t>Joint Sales Agreement</w:t>
      </w:r>
      <w:r w:rsidR="00AB31B9">
        <w:t>s</w:t>
      </w:r>
      <w:r w:rsidR="002A286D">
        <w:t xml:space="preserve"> (JSA</w:t>
      </w:r>
      <w:r w:rsidR="00AB31B9">
        <w:t>s)</w:t>
      </w:r>
      <w:r w:rsidR="00184FDF">
        <w:t xml:space="preserve"> in the broadcast television industry</w:t>
      </w:r>
      <w:r w:rsidR="002A286D">
        <w:t>.</w:t>
      </w:r>
      <w:r w:rsidR="00B63B2E">
        <w:rPr>
          <w:rStyle w:val="FootnoteReference"/>
        </w:rPr>
        <w:footnoteReference w:id="34"/>
      </w:r>
      <w:r w:rsidR="00AB31B9">
        <w:t xml:space="preserve">  </w:t>
      </w:r>
      <w:r w:rsidR="005B1C90">
        <w:t>In th</w:t>
      </w:r>
      <w:r w:rsidR="005E6E06">
        <w:t xml:space="preserve">e JSA context, the FCC </w:t>
      </w:r>
      <w:r w:rsidR="00946279">
        <w:t>prohibited one broadcast television licensee from selling more than 15</w:t>
      </w:r>
      <w:r w:rsidR="009B19A7">
        <w:t>%</w:t>
      </w:r>
      <w:r w:rsidR="00946279">
        <w:t xml:space="preserve"> of another station’s advertising time.  The FCC’s theory?  It claimed that the </w:t>
      </w:r>
      <w:r w:rsidR="001F5F97">
        <w:t xml:space="preserve">mere existence of such an agreement </w:t>
      </w:r>
      <w:r w:rsidR="00763F82">
        <w:t xml:space="preserve">gave </w:t>
      </w:r>
      <w:r w:rsidR="001F5F97">
        <w:t>licensees selling the advertising</w:t>
      </w:r>
      <w:r w:rsidR="001F5F97" w:rsidRPr="007C1298">
        <w:t xml:space="preserve"> “</w:t>
      </w:r>
      <w:r w:rsidR="001F5F97">
        <w:t>the opportunity, ability, and incentive to exert significant influence over the” other station</w:t>
      </w:r>
      <w:r w:rsidR="001F5F97" w:rsidRPr="007C1298">
        <w:t>.</w:t>
      </w:r>
      <w:r w:rsidR="001F5F97" w:rsidRPr="007C1298">
        <w:rPr>
          <w:rStyle w:val="FootnoteReference"/>
        </w:rPr>
        <w:footnoteReference w:id="35"/>
      </w:r>
      <w:r w:rsidR="001F5F97">
        <w:t xml:space="preserve">  </w:t>
      </w:r>
      <w:r w:rsidR="001F5F97" w:rsidRPr="007C1298">
        <w:t>It was said then that “[w]hen one licensee controls the cash flow of another, it controls the other.  The old admonition ‘follow the money’ has never been more appropriate.”</w:t>
      </w:r>
      <w:r w:rsidR="001F5F97" w:rsidRPr="007C1298">
        <w:rPr>
          <w:rStyle w:val="FootnoteReference"/>
        </w:rPr>
        <w:footnoteReference w:id="36"/>
      </w:r>
      <w:r w:rsidR="001F5F97" w:rsidRPr="007C1298">
        <w:t xml:space="preserve">  The Commission thus determined that the</w:t>
      </w:r>
      <w:r w:rsidR="001F5F97">
        <w:t xml:space="preserve"> mere presence of</w:t>
      </w:r>
      <w:r w:rsidR="001F5F97" w:rsidRPr="007C1298">
        <w:t xml:space="preserve"> these agreements required attribution for purposes of the agency’s media ownership rules because the risk of undue influence was simply too great.</w:t>
      </w:r>
      <w:r w:rsidR="001F5F97" w:rsidRPr="007C1298">
        <w:rPr>
          <w:rStyle w:val="FootnoteReference"/>
        </w:rPr>
        <w:footnoteReference w:id="37"/>
      </w:r>
    </w:p>
    <w:p w14:paraId="7D518D66" w14:textId="3F7634C0" w:rsidR="001F5F97" w:rsidRDefault="00611088" w:rsidP="006254AC">
      <w:r>
        <w:t xml:space="preserve">     </w:t>
      </w:r>
      <w:r w:rsidR="001F5F97">
        <w:t xml:space="preserve">Yet </w:t>
      </w:r>
      <w:r w:rsidR="00763F82">
        <w:t xml:space="preserve">under today’s proposal, </w:t>
      </w:r>
      <w:r w:rsidR="001F5F97">
        <w:t>one licensee could control 100</w:t>
      </w:r>
      <w:r w:rsidR="009B19A7">
        <w:t>%</w:t>
      </w:r>
      <w:r w:rsidR="001F5F97">
        <w:t xml:space="preserve"> of the spectrum of another</w:t>
      </w:r>
      <w:r w:rsidR="00184FDF">
        <w:t>.</w:t>
      </w:r>
      <w:r w:rsidR="001F5F97">
        <w:t xml:space="preserve">  How can the FCC reconcile these different approaches?  </w:t>
      </w:r>
      <w:r w:rsidR="001F5F97" w:rsidRPr="007C1298">
        <w:t>How is it that one television stati</w:t>
      </w:r>
      <w:r w:rsidR="001F5F97">
        <w:t>on in a small market selling 16</w:t>
      </w:r>
      <w:r w:rsidR="009B19A7">
        <w:t>%</w:t>
      </w:r>
      <w:r w:rsidR="001F5F97" w:rsidRPr="007C1298">
        <w:t xml:space="preserve"> of another station’s advertising is conclusive evidence of “undue influence” and an intolerable end-run around our rules, </w:t>
      </w:r>
      <w:r w:rsidR="001F5F97">
        <w:t>but, as proposed in this NPRM, a DE can lease 100</w:t>
      </w:r>
      <w:r w:rsidR="009B19A7">
        <w:t xml:space="preserve">% </w:t>
      </w:r>
      <w:r w:rsidR="001F5F97">
        <w:t xml:space="preserve">of its spectrum to some of the largest companies in the world without triggering any concerns about undue influence?  As I stated </w:t>
      </w:r>
      <w:r w:rsidR="005E6E06">
        <w:t>earlier when the Commission</w:t>
      </w:r>
      <w:r w:rsidR="00763F82">
        <w:t xml:space="preserve"> waived our facilities-based requirement </w:t>
      </w:r>
      <w:r w:rsidR="001F5F97">
        <w:t>for the benefit of a single private equity firm,</w:t>
      </w:r>
      <w:r w:rsidR="001F5F97">
        <w:rPr>
          <w:rStyle w:val="FootnoteReference"/>
        </w:rPr>
        <w:footnoteReference w:id="38"/>
      </w:r>
      <w:r w:rsidR="001F5F97">
        <w:t xml:space="preserve"> w</w:t>
      </w:r>
      <w:r w:rsidR="001F5F97" w:rsidRPr="007C1298">
        <w:t>hatever happened to the old admonition “fo</w:t>
      </w:r>
      <w:r w:rsidR="001F5F97">
        <w:t>llow the money”?  Why follow 1</w:t>
      </w:r>
      <w:r w:rsidR="009B19A7">
        <w:t xml:space="preserve">6% </w:t>
      </w:r>
      <w:r w:rsidR="001F5F97">
        <w:t>of the money, but not 100</w:t>
      </w:r>
      <w:r w:rsidR="009B19A7">
        <w:t>%</w:t>
      </w:r>
      <w:r w:rsidR="001F5F97" w:rsidRPr="007C1298">
        <w:t xml:space="preserve"> of the money?  </w:t>
      </w:r>
      <w:r w:rsidR="00B85724" w:rsidRPr="00B85724">
        <w:t>Some say that we must take into account differences between the broadcast television business and the wireless business.  But if anything, those differences cut the other way.  Indeed, a middleman that simply leases all of its spectrum to our nation’s largest wireless carriers is not even a “wireless carrier” in any meaningful sense of the term.</w:t>
      </w:r>
    </w:p>
    <w:p w14:paraId="3CAA7419" w14:textId="2899464D" w:rsidR="002A286D" w:rsidRPr="00986802" w:rsidRDefault="00611088" w:rsidP="006254AC">
      <w:r>
        <w:rPr>
          <w:i/>
        </w:rPr>
        <w:t xml:space="preserve">     </w:t>
      </w:r>
      <w:r w:rsidR="001C703B" w:rsidRPr="0079044F">
        <w:rPr>
          <w:i/>
        </w:rPr>
        <w:t>Third</w:t>
      </w:r>
      <w:r w:rsidR="001C703B">
        <w:t xml:space="preserve">, </w:t>
      </w:r>
      <w:r w:rsidR="00392CFD">
        <w:t xml:space="preserve">the NPRM makes no attempt to </w:t>
      </w:r>
      <w:r w:rsidR="006B6361">
        <w:t xml:space="preserve">harmonize </w:t>
      </w:r>
      <w:r w:rsidR="00392CFD">
        <w:t xml:space="preserve">its </w:t>
      </w:r>
      <w:r w:rsidR="00763F82">
        <w:t>proposed approach</w:t>
      </w:r>
      <w:r w:rsidR="00392CFD">
        <w:t xml:space="preserve"> to DE leasing with other Commission precedents.  </w:t>
      </w:r>
      <w:r w:rsidR="001C703B">
        <w:t>For example, t</w:t>
      </w:r>
      <w:r w:rsidR="00392CFD">
        <w:t>he NPRM proposes to replace</w:t>
      </w:r>
      <w:r w:rsidR="00763F82">
        <w:t xml:space="preserve"> our</w:t>
      </w:r>
      <w:r w:rsidR="00392CFD">
        <w:t xml:space="preserve"> existing, bright-line approach to DE leasing with a post-auction, fact-based inquiry into the degree of control </w:t>
      </w:r>
      <w:r w:rsidR="005E6E06">
        <w:t xml:space="preserve">that </w:t>
      </w:r>
      <w:r w:rsidR="00763F82">
        <w:t>particular lease</w:t>
      </w:r>
      <w:r w:rsidR="005E6E06">
        <w:t>s</w:t>
      </w:r>
      <w:r w:rsidR="00986802">
        <w:t xml:space="preserve"> would </w:t>
      </w:r>
      <w:r w:rsidR="005E6E06">
        <w:t>give</w:t>
      </w:r>
      <w:r w:rsidR="00763F82">
        <w:t xml:space="preserve"> l</w:t>
      </w:r>
      <w:r w:rsidR="005E6E06">
        <w:t xml:space="preserve">arge companies over </w:t>
      </w:r>
      <w:r w:rsidR="001C703B">
        <w:t xml:space="preserve">the </w:t>
      </w:r>
      <w:r w:rsidR="00763F82">
        <w:t>DE</w:t>
      </w:r>
      <w:r w:rsidR="00986802">
        <w:t xml:space="preserve">.  But the level of uncertainty that this case-by-case approach will create is directly contrary to the FCC’s recent approach to spectrum auctions.  In the FCC’s </w:t>
      </w:r>
      <w:r w:rsidR="00986802">
        <w:rPr>
          <w:i/>
        </w:rPr>
        <w:t>Mobile Spectrum Holdings Order</w:t>
      </w:r>
      <w:r w:rsidR="00986802">
        <w:t>, for example, the Commission concluded that “i</w:t>
      </w:r>
      <w:r w:rsidR="00986802" w:rsidRPr="00986802">
        <w:t>t is in the public interest to replace our post-auction case-by-case analysis</w:t>
      </w:r>
      <w:r w:rsidR="00986802">
        <w:t xml:space="preserve">” with bright-line, </w:t>
      </w:r>
      <w:r w:rsidR="00986802">
        <w:rPr>
          <w:i/>
        </w:rPr>
        <w:t>ex ante</w:t>
      </w:r>
      <w:r w:rsidR="00986802">
        <w:t xml:space="preserve"> rules.</w:t>
      </w:r>
      <w:r w:rsidR="00986802">
        <w:rPr>
          <w:rStyle w:val="FootnoteReference"/>
        </w:rPr>
        <w:footnoteReference w:id="39"/>
      </w:r>
      <w:r w:rsidR="00986802">
        <w:t xml:space="preserve">  Likewise, the NPRM itself states in the joint bidding section that “</w:t>
      </w:r>
      <w:r w:rsidR="00986802">
        <w:rPr>
          <w:color w:val="000000"/>
        </w:rPr>
        <w:t>certainty and clarity in advance of the start of an auction . . . best serve the public interest.”</w:t>
      </w:r>
      <w:r w:rsidR="00986802">
        <w:rPr>
          <w:rStyle w:val="FootnoteReference"/>
          <w:color w:val="000000"/>
        </w:rPr>
        <w:footnoteReference w:id="40"/>
      </w:r>
      <w:r w:rsidR="00986802">
        <w:rPr>
          <w:color w:val="000000"/>
        </w:rPr>
        <w:t xml:space="preserve">  </w:t>
      </w:r>
      <w:r w:rsidR="00BF0874">
        <w:rPr>
          <w:color w:val="000000"/>
        </w:rPr>
        <w:t xml:space="preserve">There isn’t any way to </w:t>
      </w:r>
      <w:r w:rsidR="00986802">
        <w:rPr>
          <w:color w:val="000000"/>
        </w:rPr>
        <w:t xml:space="preserve">square those approaches with </w:t>
      </w:r>
      <w:r w:rsidR="00BF0874">
        <w:rPr>
          <w:color w:val="000000"/>
        </w:rPr>
        <w:t xml:space="preserve">the </w:t>
      </w:r>
      <w:r w:rsidR="00986802">
        <w:rPr>
          <w:color w:val="000000"/>
        </w:rPr>
        <w:t>decision here</w:t>
      </w:r>
      <w:r w:rsidR="00BF0874">
        <w:rPr>
          <w:color w:val="000000"/>
        </w:rPr>
        <w:t>, and</w:t>
      </w:r>
      <w:r w:rsidR="00986802">
        <w:rPr>
          <w:color w:val="000000"/>
        </w:rPr>
        <w:t xml:space="preserve"> </w:t>
      </w:r>
      <w:r w:rsidR="00BF0874">
        <w:rPr>
          <w:color w:val="000000"/>
        </w:rPr>
        <w:t>t</w:t>
      </w:r>
      <w:r w:rsidR="00986802">
        <w:rPr>
          <w:color w:val="000000"/>
        </w:rPr>
        <w:t xml:space="preserve">he NPRM </w:t>
      </w:r>
      <w:r w:rsidR="00BF0874">
        <w:rPr>
          <w:color w:val="000000"/>
        </w:rPr>
        <w:t>doesn’t try</w:t>
      </w:r>
      <w:r w:rsidR="00986802">
        <w:rPr>
          <w:color w:val="000000"/>
        </w:rPr>
        <w:t>.</w:t>
      </w:r>
      <w:r w:rsidR="00184FDF">
        <w:rPr>
          <w:color w:val="000000"/>
        </w:rPr>
        <w:t xml:space="preserve">  </w:t>
      </w:r>
      <w:r w:rsidR="00D404FC">
        <w:rPr>
          <w:color w:val="000000"/>
        </w:rPr>
        <w:t xml:space="preserve">It would seem </w:t>
      </w:r>
      <w:r w:rsidR="00184FDF">
        <w:rPr>
          <w:color w:val="000000"/>
        </w:rPr>
        <w:t xml:space="preserve">the Commission </w:t>
      </w:r>
      <w:r w:rsidR="00256520">
        <w:rPr>
          <w:color w:val="000000"/>
        </w:rPr>
        <w:t xml:space="preserve">chooses either </w:t>
      </w:r>
      <w:r w:rsidR="00184FDF">
        <w:rPr>
          <w:color w:val="000000"/>
        </w:rPr>
        <w:t xml:space="preserve">the certainty of bright-line rules or the flexibility </w:t>
      </w:r>
      <w:r w:rsidR="00D404FC">
        <w:rPr>
          <w:color w:val="000000"/>
        </w:rPr>
        <w:t xml:space="preserve">of </w:t>
      </w:r>
      <w:r w:rsidR="00184FDF">
        <w:rPr>
          <w:color w:val="000000"/>
        </w:rPr>
        <w:t>case-by-case adjudication as necessary to further its ideological agenda.</w:t>
      </w:r>
    </w:p>
    <w:p w14:paraId="7234A83D" w14:textId="1B2AB14C" w:rsidR="00B550D9" w:rsidRDefault="00611088" w:rsidP="006254AC">
      <w:r>
        <w:rPr>
          <w:i/>
        </w:rPr>
        <w:t xml:space="preserve">     </w:t>
      </w:r>
      <w:r w:rsidR="00B550D9" w:rsidRPr="0079044F">
        <w:rPr>
          <w:i/>
        </w:rPr>
        <w:t>Fourth</w:t>
      </w:r>
      <w:r w:rsidR="00B550D9">
        <w:t xml:space="preserve">, </w:t>
      </w:r>
      <w:r w:rsidR="00C37106">
        <w:t xml:space="preserve">I do not support the </w:t>
      </w:r>
      <w:r w:rsidR="00184FDF">
        <w:t>Commission’s decision to seek comment on</w:t>
      </w:r>
      <w:r w:rsidR="00C37106">
        <w:t xml:space="preserve"> instituting closed, DE-only spectrum auctions.</w:t>
      </w:r>
      <w:r w:rsidR="00C37106">
        <w:rPr>
          <w:rStyle w:val="FootnoteReference"/>
        </w:rPr>
        <w:footnoteReference w:id="41"/>
      </w:r>
      <w:r w:rsidR="00C37106">
        <w:t xml:space="preserve">  In my view, </w:t>
      </w:r>
      <w:r w:rsidR="00C37106" w:rsidRPr="007D7EDC">
        <w:t>the FCC should not limit competitors’ ability to compete.  We shoul</w:t>
      </w:r>
      <w:r w:rsidR="00C37106">
        <w:t>d not pick winners and losers.</w:t>
      </w:r>
      <w:r w:rsidR="0067172F">
        <w:t xml:space="preserve">  Instead, we should </w:t>
      </w:r>
      <w:r w:rsidR="00C861E7">
        <w:t xml:space="preserve">pursue policies that </w:t>
      </w:r>
      <w:r w:rsidR="0067172F">
        <w:t>maximize participation in our spectrum auctions.</w:t>
      </w:r>
      <w:r w:rsidR="009C0972">
        <w:t xml:space="preserve">  That’s especially the case when bidding limitations by definition will reduce the </w:t>
      </w:r>
      <w:r w:rsidR="00963ADF">
        <w:t xml:space="preserve">revenue </w:t>
      </w:r>
      <w:r w:rsidR="009C0972">
        <w:t xml:space="preserve">the U.S. Government (and hence taxpayers) </w:t>
      </w:r>
      <w:r w:rsidR="001C102C">
        <w:t xml:space="preserve">could </w:t>
      </w:r>
      <w:r w:rsidR="009C0972">
        <w:t>gain from such auctions</w:t>
      </w:r>
      <w:r w:rsidR="006E48A1">
        <w:t xml:space="preserve"> while providing no offsetting public benefits under the new spectrum</w:t>
      </w:r>
      <w:r w:rsidR="00F97E97">
        <w:t>-</w:t>
      </w:r>
      <w:r w:rsidR="006E48A1">
        <w:t>flipping regime</w:t>
      </w:r>
      <w:r w:rsidR="009C0972">
        <w:t>.</w:t>
      </w:r>
    </w:p>
    <w:p w14:paraId="2C83F028" w14:textId="4FE0625C" w:rsidR="00A07793" w:rsidRDefault="00611088" w:rsidP="006254AC">
      <w:r>
        <w:rPr>
          <w:i/>
        </w:rPr>
        <w:t xml:space="preserve">     </w:t>
      </w:r>
      <w:r w:rsidR="00B550D9" w:rsidRPr="00D12E5E">
        <w:rPr>
          <w:i/>
        </w:rPr>
        <w:t>Finally</w:t>
      </w:r>
      <w:r w:rsidR="001C703B">
        <w:t xml:space="preserve">, at a time when the FCC is proposing changes that </w:t>
      </w:r>
      <w:r w:rsidR="00B550D9">
        <w:t>invite</w:t>
      </w:r>
      <w:r w:rsidR="001C703B">
        <w:t xml:space="preserve"> arbitrage and abuse of the DE program, </w:t>
      </w:r>
      <w:r w:rsidR="00B550D9">
        <w:t xml:space="preserve">I cannot support the </w:t>
      </w:r>
      <w:r w:rsidR="009C6C6C">
        <w:t xml:space="preserve">NPRM’s </w:t>
      </w:r>
      <w:r w:rsidR="00B550D9">
        <w:t>proposal to lessen FCC oversight.</w:t>
      </w:r>
      <w:r w:rsidR="0067172F">
        <w:rPr>
          <w:rStyle w:val="FootnoteReference"/>
        </w:rPr>
        <w:footnoteReference w:id="42"/>
      </w:r>
      <w:r w:rsidR="00B550D9">
        <w:t xml:space="preserve">  This is not the time to </w:t>
      </w:r>
      <w:r w:rsidR="00C37106">
        <w:t xml:space="preserve">discard tools that can help the FCC identify </w:t>
      </w:r>
      <w:r w:rsidR="009C6C6C">
        <w:t xml:space="preserve">misuse of taxpayer funds.  Nonetheless, the NPRM proposes to eliminate the requirement that DE licensees file annual reports with the FCC </w:t>
      </w:r>
      <w:r w:rsidR="00C861E7">
        <w:t xml:space="preserve">that </w:t>
      </w:r>
      <w:r w:rsidR="009C6C6C">
        <w:t>identify all agreements, in existence or proposed, that relate to the licensee’s eligibility for DE benefits.</w:t>
      </w:r>
      <w:r w:rsidR="0067172F">
        <w:t xml:space="preserve">  </w:t>
      </w:r>
      <w:r w:rsidR="00184FDF">
        <w:t>In my view, t</w:t>
      </w:r>
      <w:r w:rsidR="005E1E07">
        <w:t>ransparency is essential here.</w:t>
      </w:r>
    </w:p>
    <w:p w14:paraId="1CE0F480" w14:textId="466D9F8C" w:rsidR="00DC63B8" w:rsidRDefault="00C861E7" w:rsidP="000468F5">
      <w:pPr>
        <w:jc w:val="center"/>
      </w:pPr>
      <w:r>
        <w:t>I</w:t>
      </w:r>
      <w:r w:rsidR="00AC69B1">
        <w:t>V</w:t>
      </w:r>
      <w:r>
        <w:t>.</w:t>
      </w:r>
    </w:p>
    <w:p w14:paraId="7D1093FC" w14:textId="6E2A54A3" w:rsidR="00170A02" w:rsidRDefault="00611088" w:rsidP="006254AC">
      <w:r>
        <w:t xml:space="preserve">     </w:t>
      </w:r>
      <w:r w:rsidR="00732DC4">
        <w:t>While I do not support the NPRM’</w:t>
      </w:r>
      <w:r w:rsidR="006316F8">
        <w:t>s proposal to eliminate the facilities-based requirement</w:t>
      </w:r>
      <w:r w:rsidR="00732DC4">
        <w:t>, I appreciate my colleagues agreeing to incorporate some of my suggestions.  I am glad that the NPRM now seeks comment on retaining a modified version of the facilities-based requirement and whether eliminating the requirement would in</w:t>
      </w:r>
      <w:r w:rsidR="00170A02">
        <w:t>crease the chances that DEs would</w:t>
      </w:r>
      <w:r w:rsidR="00732DC4">
        <w:t xml:space="preserve"> be subject to undue influence.  Also, the NPRM now seeks comment on how its proposed approach could impact auction revenues and whether it would result in ineligible entities obtaining </w:t>
      </w:r>
      <w:r w:rsidR="00170A02">
        <w:t>access to discounted spectrum.</w:t>
      </w:r>
      <w:r w:rsidR="00732DC4">
        <w:t xml:space="preserve">  </w:t>
      </w:r>
      <w:r w:rsidR="002F5041">
        <w:t>Moreover</w:t>
      </w:r>
      <w:r w:rsidR="00170A02">
        <w:t xml:space="preserve">, </w:t>
      </w:r>
      <w:r w:rsidR="00BF6CC5">
        <w:t>the NPRM now</w:t>
      </w:r>
      <w:r w:rsidR="00C42D37">
        <w:t xml:space="preserve"> </w:t>
      </w:r>
      <w:r w:rsidR="00CF7CF7">
        <w:t>seek</w:t>
      </w:r>
      <w:r w:rsidR="00BF6CC5">
        <w:t>s</w:t>
      </w:r>
      <w:r w:rsidR="00CF7CF7">
        <w:t xml:space="preserve"> specific comment on whether the Commission should strengthen its unjust enrichment rules by adopting a 10-year repayment schedule</w:t>
      </w:r>
      <w:r w:rsidR="00CF7CF7">
        <w:rPr>
          <w:rStyle w:val="FootnoteReference"/>
        </w:rPr>
        <w:footnoteReference w:id="43"/>
      </w:r>
      <w:r w:rsidR="00CF7CF7">
        <w:t xml:space="preserve"> and by requiring full reimbursement of any taxpayer-funded discounts, plus interest, if a DE loses eligibility before completing its licensing obligations.</w:t>
      </w:r>
      <w:r w:rsidR="00CF7CF7">
        <w:rPr>
          <w:rStyle w:val="FootnoteReference"/>
        </w:rPr>
        <w:footnoteReference w:id="44"/>
      </w:r>
      <w:r w:rsidR="00CF7CF7">
        <w:t xml:space="preserve">  </w:t>
      </w:r>
      <w:r w:rsidR="00C42D37">
        <w:t xml:space="preserve">Finally, </w:t>
      </w:r>
      <w:r w:rsidR="00BF6CC5">
        <w:t>the NPRM asks</w:t>
      </w:r>
      <w:r w:rsidR="00CF7CF7">
        <w:t xml:space="preserve"> whether a DE with multiple agreements or arrangements with a large provider merit</w:t>
      </w:r>
      <w:r w:rsidR="006E48A1">
        <w:t>s</w:t>
      </w:r>
      <w:r w:rsidR="00CF7CF7">
        <w:t xml:space="preserve"> more rigorous scrutiny.</w:t>
      </w:r>
      <w:r w:rsidR="00CF7CF7">
        <w:rPr>
          <w:rStyle w:val="FootnoteReference"/>
        </w:rPr>
        <w:footnoteReference w:id="45"/>
      </w:r>
      <w:r w:rsidR="00CF7CF7">
        <w:t xml:space="preserve">  I hope commenters submit useful information on these important topics.</w:t>
      </w:r>
    </w:p>
    <w:p w14:paraId="7705BA02" w14:textId="68FDDCA9" w:rsidR="003A5937" w:rsidRDefault="00611088" w:rsidP="006254AC">
      <w:r>
        <w:t xml:space="preserve">     </w:t>
      </w:r>
      <w:r w:rsidR="00FA3D49">
        <w:t>The NPRM includes other proposals that are worth exploring.  For example, it seeks comment on prohibiting a single entity from filing multiple short-form applications and on prohibiting commonly-controlled entities from submitting multiple applications.  In addition, the NPRM seeks comment on whether the FCC should modify our f</w:t>
      </w:r>
      <w:r w:rsidR="002F5041">
        <w:t>ormer defaulter rule</w:t>
      </w:r>
      <w:r w:rsidR="00FA3D49">
        <w:t>.  I concur in these portions of the NPRM.</w:t>
      </w:r>
    </w:p>
    <w:p w14:paraId="31BDE958" w14:textId="77777777" w:rsidR="00FA3D49" w:rsidRDefault="002E1296" w:rsidP="002E1296">
      <w:pPr>
        <w:jc w:val="center"/>
      </w:pPr>
      <w:r>
        <w:t>*</w:t>
      </w:r>
      <w:r w:rsidR="00FB5A10">
        <w:t xml:space="preserve"> </w:t>
      </w:r>
      <w:r>
        <w:t>*</w:t>
      </w:r>
      <w:r w:rsidR="00FB5A10">
        <w:t xml:space="preserve"> </w:t>
      </w:r>
      <w:r>
        <w:t>*</w:t>
      </w:r>
    </w:p>
    <w:p w14:paraId="5DADB04E" w14:textId="6E072B5D" w:rsidR="00DC63B8" w:rsidRDefault="00611088" w:rsidP="006254AC">
      <w:r>
        <w:t xml:space="preserve">     </w:t>
      </w:r>
      <w:r w:rsidR="001B5F07">
        <w:t xml:space="preserve">In the end, </w:t>
      </w:r>
      <w:r w:rsidR="00006420">
        <w:t xml:space="preserve">this NPRM </w:t>
      </w:r>
      <w:r w:rsidR="00E9587D">
        <w:t xml:space="preserve">is the latest lost </w:t>
      </w:r>
      <w:r w:rsidR="001B5F07">
        <w:t>opportunity to focus on ways we could</w:t>
      </w:r>
      <w:r w:rsidR="00184FDF">
        <w:t>, on a bipartisan basis,</w:t>
      </w:r>
      <w:r w:rsidR="001B5F07">
        <w:t xml:space="preserve"> lawfully</w:t>
      </w:r>
      <w:r w:rsidR="004A726E" w:rsidRPr="004A726E">
        <w:t xml:space="preserve"> </w:t>
      </w:r>
      <w:r w:rsidR="004A726E" w:rsidRPr="007C1298">
        <w:t>promote entry by small companies into the wireless business</w:t>
      </w:r>
      <w:r w:rsidR="001112CD">
        <w:t xml:space="preserve">, facilitate the deployment of new facilities, and encourage the provision of service to underserved areas.  </w:t>
      </w:r>
      <w:r w:rsidR="00E9587D">
        <w:t>In</w:t>
      </w:r>
      <w:r w:rsidR="004A726E">
        <w:t xml:space="preserve">stead, the </w:t>
      </w:r>
      <w:r w:rsidR="00006420">
        <w:t xml:space="preserve">Commission </w:t>
      </w:r>
      <w:r w:rsidR="004A726E">
        <w:t>proposes an arbitrage scheme that allows DEs to obtain discounted access to spectrum and then profit as middlemen.  This impedes—</w:t>
      </w:r>
      <w:r w:rsidR="00184FDF">
        <w:t xml:space="preserve">rather than </w:t>
      </w:r>
      <w:r w:rsidR="004A726E">
        <w:t>furthers—the type of competition that Congress sought to promote when it authorized taxpayer</w:t>
      </w:r>
      <w:r w:rsidR="006316F8">
        <w:t>-funded discounts on spectrum.</w:t>
      </w:r>
      <w:r w:rsidR="00184FDF">
        <w:t xml:space="preserve">  I therefore hope that the Commission veers from its current course in this proceeding.</w:t>
      </w:r>
    </w:p>
    <w:sectPr w:rsidR="00DC63B8" w:rsidSect="006110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2F41" w14:textId="77777777" w:rsidR="000770B4" w:rsidRDefault="000770B4" w:rsidP="0004332F">
      <w:pPr>
        <w:spacing w:after="0"/>
      </w:pPr>
      <w:r>
        <w:separator/>
      </w:r>
    </w:p>
  </w:endnote>
  <w:endnote w:type="continuationSeparator" w:id="0">
    <w:p w14:paraId="065DFB0C" w14:textId="77777777" w:rsidR="000770B4" w:rsidRDefault="000770B4" w:rsidP="00043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C350" w14:textId="77777777" w:rsidR="007A0DED" w:rsidRDefault="007A0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18513"/>
      <w:docPartObj>
        <w:docPartGallery w:val="Page Numbers (Bottom of Page)"/>
        <w:docPartUnique/>
      </w:docPartObj>
    </w:sdtPr>
    <w:sdtEndPr>
      <w:rPr>
        <w:noProof/>
      </w:rPr>
    </w:sdtEndPr>
    <w:sdtContent>
      <w:p w14:paraId="38BEFD7C" w14:textId="77777777" w:rsidR="006E549A" w:rsidRDefault="006E549A" w:rsidP="007A1860">
        <w:pPr>
          <w:pStyle w:val="Footer"/>
          <w:spacing w:before="120"/>
          <w:jc w:val="center"/>
        </w:pPr>
        <w:r>
          <w:fldChar w:fldCharType="begin"/>
        </w:r>
        <w:r>
          <w:instrText xml:space="preserve"> PAGE   \* MERGEFORMAT </w:instrText>
        </w:r>
        <w:r>
          <w:fldChar w:fldCharType="separate"/>
        </w:r>
        <w:r w:rsidR="00B85724">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859C" w14:textId="77777777" w:rsidR="007A0DED" w:rsidRDefault="007A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F8268" w14:textId="77777777" w:rsidR="000770B4" w:rsidRDefault="000770B4" w:rsidP="0004332F">
      <w:pPr>
        <w:spacing w:after="0"/>
      </w:pPr>
      <w:r>
        <w:separator/>
      </w:r>
    </w:p>
  </w:footnote>
  <w:footnote w:type="continuationSeparator" w:id="0">
    <w:p w14:paraId="0987350B" w14:textId="77777777" w:rsidR="000770B4" w:rsidRDefault="000770B4" w:rsidP="0004332F">
      <w:pPr>
        <w:spacing w:after="0"/>
      </w:pPr>
      <w:r>
        <w:continuationSeparator/>
      </w:r>
    </w:p>
  </w:footnote>
  <w:footnote w:id="1">
    <w:p w14:paraId="1201631D" w14:textId="77777777" w:rsidR="006E549A" w:rsidRPr="00B44552" w:rsidRDefault="006E549A">
      <w:pPr>
        <w:pStyle w:val="FootnoteText"/>
      </w:pPr>
      <w:r w:rsidRPr="00B44552">
        <w:rPr>
          <w:rStyle w:val="FootnoteReference"/>
        </w:rPr>
        <w:footnoteRef/>
      </w:r>
      <w:r w:rsidRPr="00B44552">
        <w:t xml:space="preserve"> </w:t>
      </w:r>
      <w:r w:rsidRPr="00B44552">
        <w:rPr>
          <w:rFonts w:cs="Times New Roman"/>
          <w:i/>
        </w:rPr>
        <w:t xml:space="preserve">See </w:t>
      </w:r>
      <w:r w:rsidRPr="00B44552">
        <w:rPr>
          <w:rFonts w:cs="Times New Roman"/>
        </w:rPr>
        <w:t xml:space="preserve">47 U.S.C. § 309(j)(4)(D)–(E); </w:t>
      </w:r>
      <w:r w:rsidRPr="00B44552">
        <w:rPr>
          <w:rFonts w:cs="Times New Roman"/>
          <w:i/>
        </w:rPr>
        <w:t>see also</w:t>
      </w:r>
      <w:r w:rsidRPr="00B44552">
        <w:rPr>
          <w:rFonts w:cs="Times New Roman"/>
        </w:rPr>
        <w:t xml:space="preserve"> Conference Report, Omnibus Budget Reconciliation Act of 1993, H.R. Rep. 103-213, 103rd Cong., 1st Sess.</w:t>
      </w:r>
      <w:r w:rsidRPr="00B44552">
        <w:rPr>
          <w:rFonts w:eastAsia="Times New Roman" w:cs="Times New Roman"/>
        </w:rPr>
        <w:t xml:space="preserve"> 484 (1993), </w:t>
      </w:r>
      <w:r w:rsidRPr="00B44552">
        <w:rPr>
          <w:rFonts w:eastAsia="Times New Roman" w:cs="Times New Roman"/>
          <w:i/>
        </w:rPr>
        <w:t xml:space="preserve">available at </w:t>
      </w:r>
      <w:r w:rsidRPr="00B44552">
        <w:rPr>
          <w:rFonts w:eastAsia="Times New Roman" w:cs="Times New Roman"/>
        </w:rPr>
        <w:t>http://go.usa.gov/55wx.</w:t>
      </w:r>
    </w:p>
  </w:footnote>
  <w:footnote w:id="2">
    <w:p w14:paraId="5A4418BD" w14:textId="6ED32269" w:rsidR="006E549A" w:rsidRPr="00B44552" w:rsidRDefault="006E549A">
      <w:pPr>
        <w:pStyle w:val="FootnoteText"/>
      </w:pPr>
      <w:r w:rsidRPr="00B44552">
        <w:rPr>
          <w:rStyle w:val="FootnoteReference"/>
        </w:rPr>
        <w:footnoteRef/>
      </w:r>
      <w:r w:rsidRPr="00B44552">
        <w:t xml:space="preserve"> </w:t>
      </w:r>
      <w:r w:rsidRPr="00B44552">
        <w:rPr>
          <w:i/>
        </w:rPr>
        <w:t>See</w:t>
      </w:r>
      <w:r w:rsidRPr="00B44552">
        <w:t xml:space="preserve"> </w:t>
      </w:r>
      <w:r w:rsidRPr="00B44552">
        <w:rPr>
          <w:i/>
        </w:rPr>
        <w:t>Implementation of Section 309(j) of the Communications Act—Competitive Bidding</w:t>
      </w:r>
      <w:r w:rsidRPr="00B44552">
        <w:t>, PP Docket No. 93-253, Second Report and Order, 9 FCC Rcd 2348, 2394</w:t>
      </w:r>
      <w:r w:rsidR="00506196" w:rsidRPr="00B44552">
        <w:t>-95</w:t>
      </w:r>
      <w:r w:rsidRPr="00B44552">
        <w:t>, para</w:t>
      </w:r>
      <w:r w:rsidR="009B19A7" w:rsidRPr="00B44552">
        <w:t>s</w:t>
      </w:r>
      <w:r w:rsidRPr="00B44552">
        <w:t>. 2</w:t>
      </w:r>
      <w:r w:rsidR="00506196" w:rsidRPr="00B44552">
        <w:t>58-65</w:t>
      </w:r>
      <w:r w:rsidRPr="00B44552">
        <w:t xml:space="preserve"> (1994) (</w:t>
      </w:r>
      <w:r w:rsidRPr="00B44552">
        <w:rPr>
          <w:i/>
        </w:rPr>
        <w:t>Competitive Bidding Second Report and Order</w:t>
      </w:r>
      <w:r w:rsidRPr="00B44552">
        <w:t>).</w:t>
      </w:r>
    </w:p>
  </w:footnote>
  <w:footnote w:id="3">
    <w:p w14:paraId="17C77D77" w14:textId="58CEAE36" w:rsidR="006E549A" w:rsidRPr="006254AC" w:rsidRDefault="006E549A">
      <w:pPr>
        <w:pStyle w:val="FootnoteText"/>
      </w:pPr>
      <w:r w:rsidRPr="00B44552">
        <w:rPr>
          <w:rStyle w:val="FootnoteReference"/>
        </w:rPr>
        <w:footnoteRef/>
      </w:r>
      <w:r w:rsidRPr="00B44552">
        <w:t xml:space="preserve"> </w:t>
      </w:r>
      <w:r w:rsidR="00523975" w:rsidRPr="00B44552">
        <w:rPr>
          <w:i/>
        </w:rPr>
        <w:t>See Implementation of the Commercial Spectrum Enhancement Act and Modernization of the Commission’s Competitive Bidding Rules and Procedures</w:t>
      </w:r>
      <w:r w:rsidR="00523975" w:rsidRPr="00B44552">
        <w:t xml:space="preserve">, WT Docket No. 05-211, Second Report </w:t>
      </w:r>
      <w:r w:rsidR="00506196" w:rsidRPr="00B44552">
        <w:t>and</w:t>
      </w:r>
      <w:r w:rsidR="00523975" w:rsidRPr="00B44552">
        <w:t xml:space="preserve"> Order and Second Further Notice of Proposed Rulemaking, 21 FCC Rcd 4753, 4808 (2006) </w:t>
      </w:r>
      <w:r w:rsidR="009B19A7" w:rsidRPr="00B44552">
        <w:t>(Statement of Commissioner Michael J. Copps)</w:t>
      </w:r>
      <w:r w:rsidR="009B19A7" w:rsidRPr="006254AC">
        <w:t xml:space="preserve"> </w:t>
      </w:r>
      <w:r w:rsidR="00523975" w:rsidRPr="006254AC">
        <w:t>(</w:t>
      </w:r>
      <w:r w:rsidRPr="006254AC">
        <w:rPr>
          <w:i/>
        </w:rPr>
        <w:t>CSEA/Part I Second Report and Order</w:t>
      </w:r>
      <w:r w:rsidR="00523975" w:rsidRPr="006254AC">
        <w:t>)</w:t>
      </w:r>
      <w:r w:rsidRPr="006254AC">
        <w:t>.</w:t>
      </w:r>
    </w:p>
  </w:footnote>
  <w:footnote w:id="4">
    <w:p w14:paraId="5B24FDA8" w14:textId="743EC38A" w:rsidR="006E549A" w:rsidRPr="006254AC" w:rsidRDefault="006E549A" w:rsidP="00BF307C">
      <w:pPr>
        <w:pStyle w:val="FootnoteText"/>
      </w:pPr>
      <w:r w:rsidRPr="006254AC">
        <w:rPr>
          <w:rStyle w:val="FootnoteReference"/>
        </w:rPr>
        <w:footnoteRef/>
      </w:r>
      <w:r w:rsidRPr="006254AC">
        <w:t xml:space="preserve"> </w:t>
      </w:r>
      <w:r w:rsidR="009B19A7" w:rsidRPr="006254AC">
        <w:rPr>
          <w:i/>
        </w:rPr>
        <w:t>Id</w:t>
      </w:r>
      <w:r w:rsidR="009B19A7" w:rsidRPr="006254AC">
        <w:t>.</w:t>
      </w:r>
    </w:p>
  </w:footnote>
  <w:footnote w:id="5">
    <w:p w14:paraId="3523F9CD" w14:textId="77777777" w:rsidR="006E549A" w:rsidRPr="006254AC" w:rsidRDefault="006E549A">
      <w:pPr>
        <w:pStyle w:val="FootnoteText"/>
      </w:pPr>
      <w:r w:rsidRPr="006254AC">
        <w:rPr>
          <w:rStyle w:val="FootnoteReference"/>
        </w:rPr>
        <w:footnoteRef/>
      </w:r>
      <w:r w:rsidRPr="006254AC">
        <w:t xml:space="preserve"> </w:t>
      </w:r>
      <w:r w:rsidRPr="006254AC">
        <w:rPr>
          <w:i/>
        </w:rPr>
        <w:t>NPRM</w:t>
      </w:r>
      <w:r w:rsidRPr="006254AC">
        <w:t xml:space="preserve"> at paras. 77–79.</w:t>
      </w:r>
    </w:p>
  </w:footnote>
  <w:footnote w:id="6">
    <w:p w14:paraId="4032EE83" w14:textId="77777777" w:rsidR="006E549A" w:rsidRPr="006254AC" w:rsidRDefault="006E549A" w:rsidP="00AC2456">
      <w:pPr>
        <w:pStyle w:val="FootnoteText"/>
      </w:pPr>
      <w:r w:rsidRPr="006254AC">
        <w:rPr>
          <w:rStyle w:val="FootnoteReference"/>
        </w:rPr>
        <w:footnoteRef/>
      </w:r>
      <w:r w:rsidRPr="006254AC">
        <w:t xml:space="preserve"> </w:t>
      </w:r>
      <w:r w:rsidRPr="006254AC">
        <w:rPr>
          <w:i/>
        </w:rPr>
        <w:t>See NPRM</w:t>
      </w:r>
      <w:r w:rsidRPr="006254AC">
        <w:t xml:space="preserve"> at para. 23.</w:t>
      </w:r>
    </w:p>
  </w:footnote>
  <w:footnote w:id="7">
    <w:p w14:paraId="7CF4E48A" w14:textId="77777777" w:rsidR="006E549A" w:rsidRPr="006254AC" w:rsidRDefault="006E549A">
      <w:pPr>
        <w:pStyle w:val="FootnoteText"/>
      </w:pPr>
      <w:r w:rsidRPr="006254AC">
        <w:rPr>
          <w:rStyle w:val="FootnoteReference"/>
        </w:rPr>
        <w:footnoteRef/>
      </w:r>
      <w:r w:rsidRPr="006254AC">
        <w:t xml:space="preserve"> 47 U.S.C. § 309(j)(4)(D).</w:t>
      </w:r>
    </w:p>
  </w:footnote>
  <w:footnote w:id="8">
    <w:p w14:paraId="59F070E0" w14:textId="65142548" w:rsidR="006E549A" w:rsidRPr="006254AC" w:rsidRDefault="006E549A">
      <w:pPr>
        <w:pStyle w:val="FootnoteText"/>
      </w:pPr>
      <w:r w:rsidRPr="006254AC">
        <w:rPr>
          <w:rStyle w:val="FootnoteReference"/>
        </w:rPr>
        <w:footnoteRef/>
      </w:r>
      <w:r w:rsidRPr="006254AC">
        <w:t xml:space="preserve"> 47 U.S.C. § 30</w:t>
      </w:r>
      <w:r w:rsidR="00F97E97" w:rsidRPr="006254AC">
        <w:t>9</w:t>
      </w:r>
      <w:r w:rsidRPr="006254AC">
        <w:t>(j)(4)(E).</w:t>
      </w:r>
    </w:p>
  </w:footnote>
  <w:footnote w:id="9">
    <w:p w14:paraId="78272D32" w14:textId="647B6030" w:rsidR="006E549A" w:rsidRPr="006254AC" w:rsidRDefault="006E549A">
      <w:pPr>
        <w:pStyle w:val="FootnoteText"/>
      </w:pPr>
      <w:r w:rsidRPr="006254AC">
        <w:rPr>
          <w:rStyle w:val="FootnoteReference"/>
        </w:rPr>
        <w:footnoteRef/>
      </w:r>
      <w:r w:rsidRPr="006254AC">
        <w:t xml:space="preserve"> </w:t>
      </w:r>
      <w:r w:rsidRPr="006254AC">
        <w:rPr>
          <w:i/>
        </w:rPr>
        <w:t>Competitive Bidding Second Report and Order</w:t>
      </w:r>
      <w:r w:rsidRPr="006254AC">
        <w:t>, 9 FCC Rcd at 2394, para. 260.</w:t>
      </w:r>
    </w:p>
  </w:footnote>
  <w:footnote w:id="10">
    <w:p w14:paraId="11FDBF9E" w14:textId="062ADBBC" w:rsidR="006E549A" w:rsidRPr="006254AC" w:rsidRDefault="006E549A" w:rsidP="00FE5142">
      <w:pPr>
        <w:pStyle w:val="FootnoteText"/>
      </w:pPr>
      <w:r w:rsidRPr="006254AC">
        <w:rPr>
          <w:rStyle w:val="FootnoteReference"/>
        </w:rPr>
        <w:footnoteRef/>
      </w:r>
      <w:r w:rsidRPr="006254AC">
        <w:t xml:space="preserve"> </w:t>
      </w:r>
      <w:r w:rsidRPr="006254AC">
        <w:rPr>
          <w:i/>
          <w:color w:val="010101"/>
        </w:rPr>
        <w:t>Promoting Efficient Use of Spectrum through Elimination of Barriers to the Development of Secondary Markets</w:t>
      </w:r>
      <w:r w:rsidRPr="006254AC">
        <w:rPr>
          <w:color w:val="010101"/>
        </w:rPr>
        <w:t>, WT Docket No. 00-230, Second Report and Order, Order on Reconsideration, and Second Further Notice of Proposed Rulemaking, 19 FCC Rcd 17503, 17538, para. 70 (2004) (</w:t>
      </w:r>
      <w:r w:rsidRPr="006254AC">
        <w:rPr>
          <w:rFonts w:cs="Times New Roman"/>
          <w:i/>
        </w:rPr>
        <w:t>Secondary Markets Second Report and Order</w:t>
      </w:r>
      <w:r w:rsidRPr="006254AC">
        <w:rPr>
          <w:color w:val="010101"/>
        </w:rPr>
        <w:t xml:space="preserve">); </w:t>
      </w:r>
      <w:r w:rsidRPr="006254AC">
        <w:rPr>
          <w:i/>
          <w:color w:val="010101"/>
        </w:rPr>
        <w:t xml:space="preserve">see also </w:t>
      </w:r>
      <w:r w:rsidRPr="006254AC">
        <w:rPr>
          <w:i/>
        </w:rPr>
        <w:t>Competitive Bidding</w:t>
      </w:r>
      <w:r w:rsidR="00891746" w:rsidRPr="006254AC">
        <w:rPr>
          <w:i/>
        </w:rPr>
        <w:t xml:space="preserve"> Second Report and Order</w:t>
      </w:r>
      <w:r w:rsidRPr="006254AC">
        <w:t xml:space="preserve">, 9 FCC Rcd </w:t>
      </w:r>
      <w:r w:rsidR="00891746" w:rsidRPr="006254AC">
        <w:t xml:space="preserve">at </w:t>
      </w:r>
      <w:r w:rsidRPr="006254AC">
        <w:t xml:space="preserve"> 2394, para. 260.</w:t>
      </w:r>
    </w:p>
  </w:footnote>
  <w:footnote w:id="11">
    <w:p w14:paraId="4EACCBF7" w14:textId="77777777" w:rsidR="006E549A" w:rsidRPr="006254AC" w:rsidRDefault="006E549A">
      <w:pPr>
        <w:pStyle w:val="FootnoteText"/>
      </w:pPr>
      <w:r w:rsidRPr="006254AC">
        <w:rPr>
          <w:rStyle w:val="FootnoteReference"/>
        </w:rPr>
        <w:footnoteRef/>
      </w:r>
      <w:r w:rsidRPr="006254AC">
        <w:t xml:space="preserve"> </w:t>
      </w:r>
      <w:r w:rsidRPr="006254AC">
        <w:rPr>
          <w:rFonts w:cs="Times New Roman"/>
          <w:i/>
        </w:rPr>
        <w:t>Secondary Markets Second Report and Order</w:t>
      </w:r>
      <w:r w:rsidRPr="006254AC">
        <w:rPr>
          <w:rFonts w:cs="Times New Roman"/>
        </w:rPr>
        <w:t>,</w:t>
      </w:r>
      <w:r w:rsidRPr="006254AC">
        <w:rPr>
          <w:color w:val="010101"/>
        </w:rPr>
        <w:t xml:space="preserve"> 19 FCC Rcd at 17541, para. 76.</w:t>
      </w:r>
    </w:p>
  </w:footnote>
  <w:footnote w:id="12">
    <w:p w14:paraId="5619AC14" w14:textId="634FFB51" w:rsidR="006E549A" w:rsidRPr="006254AC" w:rsidRDefault="006E549A">
      <w:pPr>
        <w:pStyle w:val="FootnoteText"/>
      </w:pPr>
      <w:r w:rsidRPr="006254AC">
        <w:rPr>
          <w:rStyle w:val="FootnoteReference"/>
        </w:rPr>
        <w:footnoteRef/>
      </w:r>
      <w:r w:rsidRPr="006254AC">
        <w:t xml:space="preserve"> </w:t>
      </w:r>
      <w:r w:rsidR="006E48A1" w:rsidRPr="006254AC">
        <w:rPr>
          <w:rFonts w:cs="Times New Roman"/>
          <w:i/>
        </w:rPr>
        <w:t>Id.</w:t>
      </w:r>
      <w:r w:rsidRPr="006254AC">
        <w:rPr>
          <w:rFonts w:cs="Times New Roman"/>
        </w:rPr>
        <w:t xml:space="preserve"> at 1754</w:t>
      </w:r>
      <w:r w:rsidR="00891746" w:rsidRPr="006254AC">
        <w:rPr>
          <w:rFonts w:cs="Times New Roman"/>
        </w:rPr>
        <w:t>4</w:t>
      </w:r>
      <w:r w:rsidRPr="006254AC">
        <w:rPr>
          <w:rFonts w:cs="Times New Roman"/>
        </w:rPr>
        <w:t>, para. 82.</w:t>
      </w:r>
    </w:p>
  </w:footnote>
  <w:footnote w:id="13">
    <w:p w14:paraId="31EB63F1" w14:textId="0CA39028" w:rsidR="006E549A" w:rsidRPr="006254AC" w:rsidRDefault="006E549A">
      <w:pPr>
        <w:pStyle w:val="FootnoteText"/>
      </w:pPr>
      <w:r w:rsidRPr="006254AC">
        <w:rPr>
          <w:rStyle w:val="FootnoteReference"/>
        </w:rPr>
        <w:footnoteRef/>
      </w:r>
      <w:r w:rsidRPr="006254AC">
        <w:t xml:space="preserve"> </w:t>
      </w:r>
      <w:r w:rsidR="006E48A1" w:rsidRPr="006254AC">
        <w:rPr>
          <w:rFonts w:cs="Times New Roman"/>
          <w:i/>
        </w:rPr>
        <w:t>Id.</w:t>
      </w:r>
      <w:r w:rsidRPr="006254AC">
        <w:rPr>
          <w:rFonts w:cs="Times New Roman"/>
        </w:rPr>
        <w:t xml:space="preserve"> at 175378, para. 71.</w:t>
      </w:r>
    </w:p>
  </w:footnote>
  <w:footnote w:id="14">
    <w:p w14:paraId="2E65E4E0" w14:textId="765BD4A8" w:rsidR="006E549A" w:rsidRPr="006254AC" w:rsidRDefault="006E549A">
      <w:pPr>
        <w:pStyle w:val="FootnoteText"/>
      </w:pPr>
      <w:r w:rsidRPr="006254AC">
        <w:rPr>
          <w:rStyle w:val="FootnoteReference"/>
        </w:rPr>
        <w:footnoteRef/>
      </w:r>
      <w:r w:rsidRPr="006254AC">
        <w:t xml:space="preserve"> </w:t>
      </w:r>
      <w:r w:rsidR="006E48A1" w:rsidRPr="006254AC">
        <w:rPr>
          <w:rFonts w:cs="Times New Roman"/>
          <w:i/>
        </w:rPr>
        <w:t>Id.</w:t>
      </w:r>
    </w:p>
  </w:footnote>
  <w:footnote w:id="15">
    <w:p w14:paraId="160A346D" w14:textId="77777777" w:rsidR="006E549A" w:rsidRPr="006254AC" w:rsidRDefault="006E549A">
      <w:pPr>
        <w:pStyle w:val="FootnoteText"/>
      </w:pPr>
      <w:r w:rsidRPr="006254AC">
        <w:rPr>
          <w:rStyle w:val="FootnoteReference"/>
        </w:rPr>
        <w:footnoteRef/>
      </w:r>
      <w:r w:rsidRPr="006254AC">
        <w:t xml:space="preserve"> </w:t>
      </w:r>
      <w:r w:rsidRPr="006254AC">
        <w:rPr>
          <w:i/>
        </w:rPr>
        <w:t>CSEA/Part I Second Report and Order</w:t>
      </w:r>
      <w:r w:rsidRPr="006254AC">
        <w:t>, 21 FCC Rcd at 4760, para. 15.</w:t>
      </w:r>
    </w:p>
  </w:footnote>
  <w:footnote w:id="16">
    <w:p w14:paraId="208A0547" w14:textId="04F5625D" w:rsidR="006E549A" w:rsidRPr="006254AC" w:rsidRDefault="006E549A" w:rsidP="00387F96">
      <w:pPr>
        <w:pStyle w:val="FootnoteText"/>
      </w:pPr>
      <w:r w:rsidRPr="006254AC">
        <w:rPr>
          <w:rStyle w:val="FootnoteReference"/>
        </w:rPr>
        <w:footnoteRef/>
      </w:r>
      <w:r w:rsidRPr="006254AC">
        <w:t xml:space="preserve"> </w:t>
      </w:r>
      <w:r w:rsidR="006E48A1" w:rsidRPr="006254AC">
        <w:rPr>
          <w:i/>
        </w:rPr>
        <w:t>Id.</w:t>
      </w:r>
      <w:r w:rsidRPr="006254AC">
        <w:t xml:space="preserve"> at 4762, para. 21.</w:t>
      </w:r>
    </w:p>
  </w:footnote>
  <w:footnote w:id="17">
    <w:p w14:paraId="69F939CD" w14:textId="16A3465D" w:rsidR="006E549A" w:rsidRPr="006254AC" w:rsidRDefault="006E549A">
      <w:pPr>
        <w:pStyle w:val="FootnoteText"/>
      </w:pPr>
      <w:r w:rsidRPr="006254AC">
        <w:rPr>
          <w:rStyle w:val="FootnoteReference"/>
        </w:rPr>
        <w:footnoteRef/>
      </w:r>
      <w:r w:rsidRPr="006254AC">
        <w:t xml:space="preserve"> </w:t>
      </w:r>
      <w:r w:rsidR="006E48A1" w:rsidRPr="006254AC">
        <w:rPr>
          <w:i/>
        </w:rPr>
        <w:t xml:space="preserve">Id. </w:t>
      </w:r>
      <w:r w:rsidRPr="006254AC">
        <w:t>at 4762, para. 23.</w:t>
      </w:r>
    </w:p>
  </w:footnote>
  <w:footnote w:id="18">
    <w:p w14:paraId="192B527B" w14:textId="77777777" w:rsidR="006E549A" w:rsidRPr="006254AC" w:rsidRDefault="006E549A">
      <w:pPr>
        <w:pStyle w:val="FootnoteText"/>
      </w:pPr>
      <w:r w:rsidRPr="006254AC">
        <w:rPr>
          <w:rStyle w:val="FootnoteReference"/>
        </w:rPr>
        <w:footnoteRef/>
      </w:r>
      <w:r w:rsidRPr="006254AC">
        <w:t xml:space="preserve"> </w:t>
      </w:r>
      <w:r w:rsidRPr="006254AC">
        <w:rPr>
          <w:i/>
          <w:color w:val="010101"/>
        </w:rPr>
        <w:t>Implementation of the Commercial Spectrum Enhancement Act and Modernization of the Commission’s Competitive Bidding Rules and Procedures</w:t>
      </w:r>
      <w:r w:rsidRPr="006254AC">
        <w:rPr>
          <w:color w:val="010101"/>
        </w:rPr>
        <w:t>, WT Docket No. 05-211, Order on Reconsideration, 21 FCC Rcd 6703, 6705, n.8 (2006) (emphasis added) (</w:t>
      </w:r>
      <w:r w:rsidRPr="006254AC">
        <w:rPr>
          <w:i/>
          <w:color w:val="010101"/>
        </w:rPr>
        <w:t>CSEA/Part I Order on Reconsideration</w:t>
      </w:r>
      <w:r w:rsidRPr="006254AC">
        <w:rPr>
          <w:color w:val="010101"/>
        </w:rPr>
        <w:t>).</w:t>
      </w:r>
    </w:p>
  </w:footnote>
  <w:footnote w:id="19">
    <w:p w14:paraId="2E07E677" w14:textId="77777777" w:rsidR="006E549A" w:rsidRPr="006254AC" w:rsidRDefault="006E549A">
      <w:pPr>
        <w:pStyle w:val="FootnoteText"/>
      </w:pPr>
      <w:r w:rsidRPr="006254AC">
        <w:rPr>
          <w:rStyle w:val="FootnoteReference"/>
        </w:rPr>
        <w:footnoteRef/>
      </w:r>
      <w:r w:rsidRPr="006254AC">
        <w:t xml:space="preserve"> </w:t>
      </w:r>
      <w:r w:rsidRPr="006254AC">
        <w:rPr>
          <w:i/>
          <w:color w:val="010101"/>
        </w:rPr>
        <w:t>Id</w:t>
      </w:r>
      <w:r w:rsidRPr="006254AC">
        <w:rPr>
          <w:color w:val="010101"/>
        </w:rPr>
        <w:t>. (emphasis added).</w:t>
      </w:r>
    </w:p>
  </w:footnote>
  <w:footnote w:id="20">
    <w:p w14:paraId="00213C66" w14:textId="77777777" w:rsidR="006E549A" w:rsidRPr="006254AC" w:rsidRDefault="006E549A" w:rsidP="00FE5142">
      <w:pPr>
        <w:pStyle w:val="FootnoteText"/>
      </w:pPr>
      <w:r w:rsidRPr="006254AC">
        <w:rPr>
          <w:rStyle w:val="FootnoteReference"/>
        </w:rPr>
        <w:footnoteRef/>
      </w:r>
      <w:r w:rsidRPr="006254AC">
        <w:t xml:space="preserve"> H.R. Rep. No. 103-111, at 257–58 (1993) (Conference Agreement adopted House provisions, in relevant part, with amendments.  H.R. Conf. Rep. No. 103-213, at 483 (1993)).</w:t>
      </w:r>
    </w:p>
  </w:footnote>
  <w:footnote w:id="21">
    <w:p w14:paraId="7CF6BD0D" w14:textId="5764B642" w:rsidR="00B85724" w:rsidRDefault="00B85724">
      <w:pPr>
        <w:pStyle w:val="FootnoteText"/>
      </w:pPr>
      <w:r>
        <w:rPr>
          <w:rStyle w:val="FootnoteReference"/>
        </w:rPr>
        <w:footnoteRef/>
      </w:r>
      <w:r>
        <w:t xml:space="preserve"> </w:t>
      </w:r>
      <w:r w:rsidRPr="00B85724">
        <w:t>While some have cited consolidation in the wireless industry as counseling in favor of eliminating the facilities-based requirement, any such consolidation is irrelevant to determining the limits Congress imposed on the FCC’s authority.  And in any case, as mentioned above, eliminating that requirement would only increase market concentration since spectrum would be flipped from non-facilities-based entities to the largest wireless carriers.</w:t>
      </w:r>
    </w:p>
  </w:footnote>
  <w:footnote w:id="22">
    <w:p w14:paraId="1616CE61" w14:textId="77777777" w:rsidR="006E549A" w:rsidRPr="006254AC" w:rsidRDefault="006E549A" w:rsidP="00387F96">
      <w:pPr>
        <w:pStyle w:val="FootnoteText"/>
      </w:pPr>
      <w:r w:rsidRPr="006254AC">
        <w:rPr>
          <w:rStyle w:val="FootnoteReference"/>
        </w:rPr>
        <w:footnoteRef/>
      </w:r>
      <w:r w:rsidRPr="006254AC">
        <w:t xml:space="preserve"> </w:t>
      </w:r>
      <w:r w:rsidRPr="006254AC">
        <w:rPr>
          <w:i/>
        </w:rPr>
        <w:t>See CSEA/Part I Second Report and Order</w:t>
      </w:r>
      <w:r w:rsidRPr="006254AC">
        <w:t>, 21 FCC Rcd at 4808 (Statement of Commissioner Michael J. Copps).</w:t>
      </w:r>
    </w:p>
  </w:footnote>
  <w:footnote w:id="23">
    <w:p w14:paraId="03F810FF" w14:textId="6086F7AD" w:rsidR="006E549A" w:rsidRPr="006254AC" w:rsidRDefault="006E549A" w:rsidP="00387F96">
      <w:pPr>
        <w:pStyle w:val="FootnoteText"/>
      </w:pPr>
      <w:r w:rsidRPr="006254AC">
        <w:rPr>
          <w:rStyle w:val="FootnoteReference"/>
        </w:rPr>
        <w:footnoteRef/>
      </w:r>
      <w:r w:rsidRPr="006254AC">
        <w:t xml:space="preserve"> </w:t>
      </w:r>
      <w:r w:rsidR="006E48A1" w:rsidRPr="006254AC">
        <w:rPr>
          <w:i/>
        </w:rPr>
        <w:t>Id</w:t>
      </w:r>
      <w:r w:rsidRPr="006254AC">
        <w:t>.</w:t>
      </w:r>
    </w:p>
  </w:footnote>
  <w:footnote w:id="24">
    <w:p w14:paraId="5EB0B97E" w14:textId="6647FF3A" w:rsidR="006E549A" w:rsidRPr="006254AC" w:rsidRDefault="006E549A">
      <w:pPr>
        <w:pStyle w:val="FootnoteText"/>
      </w:pPr>
      <w:r w:rsidRPr="006254AC">
        <w:rPr>
          <w:rStyle w:val="FootnoteReference"/>
        </w:rPr>
        <w:footnoteRef/>
      </w:r>
      <w:r w:rsidRPr="006254AC">
        <w:t xml:space="preserve"> </w:t>
      </w:r>
      <w:r w:rsidR="006E48A1" w:rsidRPr="006254AC">
        <w:rPr>
          <w:i/>
        </w:rPr>
        <w:t>Id</w:t>
      </w:r>
      <w:r w:rsidRPr="006254AC">
        <w:t>.</w:t>
      </w:r>
    </w:p>
  </w:footnote>
  <w:footnote w:id="25">
    <w:p w14:paraId="3CC90546" w14:textId="5BBEF003" w:rsidR="006E549A" w:rsidRPr="006254AC" w:rsidRDefault="006E549A">
      <w:pPr>
        <w:pStyle w:val="FootnoteText"/>
      </w:pPr>
      <w:r w:rsidRPr="006254AC">
        <w:rPr>
          <w:rStyle w:val="FootnoteReference"/>
        </w:rPr>
        <w:footnoteRef/>
      </w:r>
      <w:r w:rsidRPr="006254AC">
        <w:t xml:space="preserve"> </w:t>
      </w:r>
      <w:r w:rsidR="006E48A1" w:rsidRPr="006254AC">
        <w:rPr>
          <w:i/>
        </w:rPr>
        <w:t>Id.</w:t>
      </w:r>
      <w:r w:rsidRPr="006254AC">
        <w:t xml:space="preserve"> at 4810 (Statement of Commissioner Jonathan Adelstein Approving in Part, Dissenting in Part).</w:t>
      </w:r>
    </w:p>
  </w:footnote>
  <w:footnote w:id="26">
    <w:p w14:paraId="06DC2D11" w14:textId="77777777" w:rsidR="006E549A" w:rsidRPr="006254AC" w:rsidRDefault="006E549A">
      <w:pPr>
        <w:pStyle w:val="FootnoteText"/>
      </w:pPr>
      <w:r w:rsidRPr="006254AC">
        <w:rPr>
          <w:rStyle w:val="FootnoteReference"/>
        </w:rPr>
        <w:footnoteRef/>
      </w:r>
      <w:r w:rsidRPr="006254AC">
        <w:t xml:space="preserve"> </w:t>
      </w:r>
      <w:r w:rsidRPr="006254AC">
        <w:rPr>
          <w:i/>
        </w:rPr>
        <w:t>Implementation of the Commercial Spectrum Enhancement Act and Modernization of the Commission’s Competitive Bidding Rules and Procedures</w:t>
      </w:r>
      <w:r w:rsidRPr="006254AC">
        <w:t>, WT Docket No. 05-211, 21 FCC Rcd 1753, 1772 (2006) (Statement of Commissioner Jonathan Adelstein).</w:t>
      </w:r>
    </w:p>
  </w:footnote>
  <w:footnote w:id="27">
    <w:p w14:paraId="47B9A876" w14:textId="77777777" w:rsidR="006E549A" w:rsidRPr="006254AC" w:rsidRDefault="006E549A" w:rsidP="00B16B30">
      <w:pPr>
        <w:pStyle w:val="FootnoteText"/>
        <w:rPr>
          <w:i/>
        </w:rPr>
      </w:pPr>
      <w:r w:rsidRPr="006254AC">
        <w:rPr>
          <w:rStyle w:val="FootnoteReference"/>
        </w:rPr>
        <w:footnoteRef/>
      </w:r>
      <w:r w:rsidRPr="006254AC">
        <w:t xml:space="preserve"> </w:t>
      </w:r>
      <w:r w:rsidRPr="006254AC">
        <w:rPr>
          <w:i/>
        </w:rPr>
        <w:t>See Council Tree Communications, Inc. v. FCC</w:t>
      </w:r>
      <w:r w:rsidRPr="006254AC">
        <w:t>, 619 F.3d 235, 255 n.8 (3d Cir. 2010).</w:t>
      </w:r>
    </w:p>
  </w:footnote>
  <w:footnote w:id="28">
    <w:p w14:paraId="3880950E" w14:textId="77777777" w:rsidR="006E549A" w:rsidRPr="006254AC" w:rsidRDefault="006E549A" w:rsidP="00B16B30">
      <w:pPr>
        <w:pStyle w:val="FootnoteText"/>
      </w:pPr>
      <w:r w:rsidRPr="006254AC">
        <w:rPr>
          <w:rStyle w:val="FootnoteReference"/>
        </w:rPr>
        <w:footnoteRef/>
      </w:r>
      <w:r w:rsidRPr="006254AC">
        <w:t xml:space="preserve"> </w:t>
      </w:r>
      <w:r w:rsidRPr="006254AC">
        <w:rPr>
          <w:i/>
        </w:rPr>
        <w:t>Id.</w:t>
      </w:r>
    </w:p>
  </w:footnote>
  <w:footnote w:id="29">
    <w:p w14:paraId="37E2F9ED" w14:textId="77777777" w:rsidR="006E549A" w:rsidRPr="006254AC" w:rsidRDefault="006E549A" w:rsidP="00B16B30">
      <w:pPr>
        <w:pStyle w:val="FootnoteText"/>
        <w:rPr>
          <w:i/>
        </w:rPr>
      </w:pPr>
      <w:r w:rsidRPr="006254AC">
        <w:rPr>
          <w:rStyle w:val="FootnoteReference"/>
        </w:rPr>
        <w:footnoteRef/>
      </w:r>
      <w:r w:rsidRPr="006254AC">
        <w:t xml:space="preserve"> </w:t>
      </w:r>
      <w:r w:rsidRPr="006254AC">
        <w:rPr>
          <w:i/>
        </w:rPr>
        <w:t>Id.</w:t>
      </w:r>
    </w:p>
  </w:footnote>
  <w:footnote w:id="30">
    <w:p w14:paraId="199AC9A6" w14:textId="77777777" w:rsidR="006E549A" w:rsidRPr="006254AC" w:rsidRDefault="006E549A" w:rsidP="00B16B30">
      <w:pPr>
        <w:pStyle w:val="FootnoteText"/>
      </w:pPr>
      <w:r w:rsidRPr="006254AC">
        <w:rPr>
          <w:rStyle w:val="FootnoteReference"/>
        </w:rPr>
        <w:footnoteRef/>
      </w:r>
      <w:r w:rsidRPr="006254AC">
        <w:t xml:space="preserve"> </w:t>
      </w:r>
      <w:r w:rsidRPr="006254AC">
        <w:rPr>
          <w:i/>
        </w:rPr>
        <w:t>See</w:t>
      </w:r>
      <w:r w:rsidRPr="006254AC">
        <w:t xml:space="preserve"> Ex Parte Submission of the U.S. Department of Justice, WT Docket No. 05-211, at 5 (Mar. 17, 2006), </w:t>
      </w:r>
      <w:r w:rsidRPr="006254AC">
        <w:rPr>
          <w:i/>
        </w:rPr>
        <w:t xml:space="preserve">available at </w:t>
      </w:r>
      <w:r w:rsidRPr="006254AC">
        <w:t>http://go.usa.gov/58fY.</w:t>
      </w:r>
    </w:p>
  </w:footnote>
  <w:footnote w:id="31">
    <w:p w14:paraId="651410DE" w14:textId="77777777" w:rsidR="006E549A" w:rsidRPr="006254AC" w:rsidRDefault="006E549A" w:rsidP="001B6E1E">
      <w:pPr>
        <w:pStyle w:val="FootnoteText"/>
      </w:pPr>
      <w:r w:rsidRPr="006254AC">
        <w:rPr>
          <w:rStyle w:val="FootnoteReference"/>
        </w:rPr>
        <w:footnoteRef/>
      </w:r>
      <w:r w:rsidRPr="006254AC">
        <w:t xml:space="preserve"> </w:t>
      </w:r>
      <w:r w:rsidRPr="006254AC">
        <w:rPr>
          <w:i/>
        </w:rPr>
        <w:t>See NPRM</w:t>
      </w:r>
      <w:r w:rsidRPr="006254AC">
        <w:t xml:space="preserve"> at paras. 107–40.</w:t>
      </w:r>
    </w:p>
  </w:footnote>
  <w:footnote w:id="32">
    <w:p w14:paraId="4DD80125" w14:textId="716270F0" w:rsidR="006E549A" w:rsidRPr="006254AC" w:rsidRDefault="006E549A">
      <w:pPr>
        <w:pStyle w:val="FootnoteText"/>
      </w:pPr>
      <w:r w:rsidRPr="006254AC">
        <w:rPr>
          <w:rStyle w:val="FootnoteReference"/>
        </w:rPr>
        <w:footnoteRef/>
      </w:r>
      <w:r w:rsidRPr="006254AC">
        <w:t xml:space="preserve"> </w:t>
      </w:r>
      <w:r w:rsidRPr="006254AC">
        <w:rPr>
          <w:i/>
        </w:rPr>
        <w:t xml:space="preserve">See </w:t>
      </w:r>
      <w:r w:rsidR="00F97E97" w:rsidRPr="006254AC">
        <w:rPr>
          <w:i/>
        </w:rPr>
        <w:t xml:space="preserve">id. </w:t>
      </w:r>
      <w:r w:rsidRPr="006254AC">
        <w:t>paras. 131–34.</w:t>
      </w:r>
    </w:p>
  </w:footnote>
  <w:footnote w:id="33">
    <w:p w14:paraId="72B0C2E1" w14:textId="016751A7" w:rsidR="006E549A" w:rsidRPr="006254AC" w:rsidRDefault="006E549A">
      <w:pPr>
        <w:pStyle w:val="FootnoteText"/>
      </w:pPr>
      <w:r w:rsidRPr="006254AC">
        <w:rPr>
          <w:rStyle w:val="FootnoteReference"/>
        </w:rPr>
        <w:footnoteRef/>
      </w:r>
      <w:r w:rsidRPr="006254AC">
        <w:t xml:space="preserve"> </w:t>
      </w:r>
      <w:r w:rsidR="00F97E97" w:rsidRPr="006254AC">
        <w:rPr>
          <w:i/>
        </w:rPr>
        <w:t xml:space="preserve">Id. </w:t>
      </w:r>
      <w:r w:rsidRPr="006254AC">
        <w:t>para. 132.</w:t>
      </w:r>
    </w:p>
  </w:footnote>
  <w:footnote w:id="34">
    <w:p w14:paraId="023114CC" w14:textId="77777777" w:rsidR="006E549A" w:rsidRPr="006254AC" w:rsidRDefault="006E549A">
      <w:pPr>
        <w:pStyle w:val="FootnoteText"/>
      </w:pPr>
      <w:r w:rsidRPr="006254AC">
        <w:rPr>
          <w:rStyle w:val="FootnoteReference"/>
        </w:rPr>
        <w:footnoteRef/>
      </w:r>
      <w:r w:rsidRPr="006254AC">
        <w:t xml:space="preserve"> </w:t>
      </w:r>
      <w:r w:rsidRPr="006254AC">
        <w:rPr>
          <w:i/>
        </w:rPr>
        <w:t>See, e.g.</w:t>
      </w:r>
      <w:r w:rsidRPr="006254AC">
        <w:t xml:space="preserve">, </w:t>
      </w:r>
      <w:r w:rsidRPr="006254AC">
        <w:rPr>
          <w:i/>
        </w:rPr>
        <w:t>Processing of Broadcast Television Applications Proposing Sharing Arrangements and Contingent Interests</w:t>
      </w:r>
      <w:r w:rsidRPr="006254AC">
        <w:t>, Public Notice, 29 FCC Rcd 2647 (Med. Bur. 2014) (</w:t>
      </w:r>
      <w:r w:rsidRPr="006254AC">
        <w:rPr>
          <w:i/>
        </w:rPr>
        <w:t>JSA Processing PN</w:t>
      </w:r>
      <w:r w:rsidRPr="006254AC">
        <w:t>).</w:t>
      </w:r>
    </w:p>
  </w:footnote>
  <w:footnote w:id="35">
    <w:p w14:paraId="2FF78EAE" w14:textId="77777777" w:rsidR="006E549A" w:rsidRPr="006254AC" w:rsidRDefault="006E549A" w:rsidP="001F5F97">
      <w:pPr>
        <w:pStyle w:val="FootnoteText"/>
      </w:pPr>
      <w:r w:rsidRPr="006254AC">
        <w:rPr>
          <w:rStyle w:val="FootnoteReference"/>
        </w:rPr>
        <w:footnoteRef/>
      </w:r>
      <w:r w:rsidRPr="006254AC">
        <w:t xml:space="preserve"> </w:t>
      </w:r>
      <w:r w:rsidRPr="006254AC">
        <w:rPr>
          <w:i/>
        </w:rPr>
        <w:t>2014 Quadrennial Regulatory Review — Review of the Commission’s Broadcast Ownership Rules and Other Rules Adopted Pursuant to Section 202 of the Telecommunications Act of 1996 et al</w:t>
      </w:r>
      <w:r w:rsidRPr="006254AC">
        <w:t>., MB Docket Nos. 14-50, 09-182, 07-294, 04-256, Further Notice of Proposed Rulemaking and Report and Order, 29 FCC Rcd 4371, 4527 para. 340 (2014) (</w:t>
      </w:r>
      <w:r w:rsidRPr="006254AC">
        <w:rPr>
          <w:i/>
        </w:rPr>
        <w:t>2014 Quadrennial Regulatory Review</w:t>
      </w:r>
      <w:r w:rsidRPr="006254AC">
        <w:t xml:space="preserve">) (“[T]he ability of a broker to control a brokered television station’s advertising revenue, its principal source of income, affords the broker the opportunity, ability, and incentive to exert significant influence over the brokered station.”); </w:t>
      </w:r>
      <w:r w:rsidRPr="006254AC">
        <w:rPr>
          <w:i/>
        </w:rPr>
        <w:t>see also</w:t>
      </w:r>
      <w:r w:rsidRPr="006254AC">
        <w:t xml:space="preserve"> </w:t>
      </w:r>
      <w:r w:rsidRPr="006254AC">
        <w:rPr>
          <w:i/>
        </w:rPr>
        <w:t>id</w:t>
      </w:r>
      <w:r w:rsidRPr="006254AC">
        <w:t xml:space="preserve">. at 4533, para. 350 (“[T]elevision JSAs involving a significant portion of the brokered station’s advertising time convey the incentive and potential for the broker to influence program selection and station operations.”); </w:t>
      </w:r>
      <w:r w:rsidRPr="006254AC">
        <w:rPr>
          <w:i/>
        </w:rPr>
        <w:t>id</w:t>
      </w:r>
      <w:r w:rsidRPr="006254AC">
        <w:t xml:space="preserve">. at 4539, para. 360 (“[A] 15 percent advertising time threshold will identify the level of control or influence that would realistically allow holders of such influence to affect core operating functions of a station, including programming choices, and give them an incentive to do so.”); </w:t>
      </w:r>
      <w:r w:rsidRPr="006254AC">
        <w:rPr>
          <w:i/>
        </w:rPr>
        <w:t>id</w:t>
      </w:r>
      <w:r w:rsidRPr="006254AC">
        <w:t xml:space="preserve">. at 4539, para. 361 (“As the amount of advertising revenue controlled by the brokering station increases, so too does its incentive and ability to influence brokered station’s programming.”); </w:t>
      </w:r>
      <w:r w:rsidRPr="006254AC">
        <w:rPr>
          <w:i/>
        </w:rPr>
        <w:t>id</w:t>
      </w:r>
      <w:r w:rsidRPr="006254AC">
        <w:t xml:space="preserve">. at 4582 (Statement of Chairman Tom Wheeler) (JSAs provide broker stations “the incentive and ability to unduly influence the operations” of brokered stations), </w:t>
      </w:r>
      <w:r w:rsidRPr="006254AC">
        <w:rPr>
          <w:i/>
        </w:rPr>
        <w:t>available at</w:t>
      </w:r>
      <w:r w:rsidRPr="006254AC">
        <w:t xml:space="preserve"> http://go.usa.gov/58Ck.</w:t>
      </w:r>
    </w:p>
  </w:footnote>
  <w:footnote w:id="36">
    <w:p w14:paraId="4729885F" w14:textId="77777777" w:rsidR="006E549A" w:rsidRPr="006254AC" w:rsidRDefault="006E549A" w:rsidP="001F5F97">
      <w:pPr>
        <w:pStyle w:val="FootnoteText"/>
      </w:pPr>
      <w:r w:rsidRPr="006254AC">
        <w:rPr>
          <w:rStyle w:val="FootnoteReference"/>
        </w:rPr>
        <w:footnoteRef/>
      </w:r>
      <w:r w:rsidRPr="006254AC">
        <w:t xml:space="preserve"> </w:t>
      </w:r>
      <w:r w:rsidRPr="006254AC">
        <w:rPr>
          <w:i/>
        </w:rPr>
        <w:t>Id.</w:t>
      </w:r>
      <w:r w:rsidRPr="006254AC">
        <w:t xml:space="preserve"> at 4582 (Statement of Chairman Tom Wheeler).</w:t>
      </w:r>
    </w:p>
  </w:footnote>
  <w:footnote w:id="37">
    <w:p w14:paraId="1F618938" w14:textId="77777777" w:rsidR="006E549A" w:rsidRPr="006254AC" w:rsidRDefault="006E549A" w:rsidP="001F5F97">
      <w:pPr>
        <w:rPr>
          <w:rFonts w:cs="Times New Roman"/>
          <w:sz w:val="20"/>
          <w:szCs w:val="20"/>
        </w:rPr>
      </w:pPr>
      <w:r w:rsidRPr="006254AC">
        <w:rPr>
          <w:rStyle w:val="FootnoteReference"/>
          <w:sz w:val="20"/>
          <w:szCs w:val="20"/>
        </w:rPr>
        <w:footnoteRef/>
      </w:r>
      <w:r w:rsidRPr="006254AC">
        <w:rPr>
          <w:sz w:val="20"/>
          <w:szCs w:val="20"/>
        </w:rPr>
        <w:t xml:space="preserve"> </w:t>
      </w:r>
      <w:r w:rsidRPr="006254AC">
        <w:rPr>
          <w:i/>
          <w:sz w:val="20"/>
          <w:szCs w:val="20"/>
        </w:rPr>
        <w:t xml:space="preserve">See </w:t>
      </w:r>
      <w:r w:rsidRPr="00B44552">
        <w:rPr>
          <w:i/>
          <w:sz w:val="20"/>
          <w:szCs w:val="20"/>
        </w:rPr>
        <w:t>JSA Processing PN</w:t>
      </w:r>
      <w:r w:rsidRPr="00EA3B28">
        <w:rPr>
          <w:sz w:val="20"/>
          <w:szCs w:val="20"/>
        </w:rPr>
        <w:t>, 29 FCC Rcd</w:t>
      </w:r>
      <w:r w:rsidRPr="00EA3B28">
        <w:rPr>
          <w:i/>
          <w:sz w:val="20"/>
          <w:szCs w:val="20"/>
        </w:rPr>
        <w:t xml:space="preserve"> </w:t>
      </w:r>
      <w:r w:rsidRPr="00F47FB9">
        <w:rPr>
          <w:sz w:val="20"/>
          <w:szCs w:val="20"/>
        </w:rPr>
        <w:t xml:space="preserve">at 2648; </w:t>
      </w:r>
      <w:r w:rsidRPr="00F47FB9">
        <w:rPr>
          <w:i/>
          <w:sz w:val="20"/>
          <w:szCs w:val="20"/>
        </w:rPr>
        <w:t xml:space="preserve">but see </w:t>
      </w:r>
      <w:r w:rsidRPr="006254AC">
        <w:rPr>
          <w:sz w:val="20"/>
          <w:szCs w:val="20"/>
        </w:rPr>
        <w:t xml:space="preserve">Statement of FCC Commissioner Ajit Pai on the Media Bureau’s New Guidance on Sharing Arrangements and Contingent Interests (Mar. 12, 2014), http://go.usa.gov/58ax; </w:t>
      </w:r>
      <w:r w:rsidRPr="006254AC">
        <w:rPr>
          <w:rFonts w:cs="Times New Roman"/>
          <w:i/>
          <w:sz w:val="20"/>
          <w:szCs w:val="20"/>
        </w:rPr>
        <w:t>2014 Quadrennial Regulatory Review</w:t>
      </w:r>
      <w:r w:rsidRPr="006254AC">
        <w:rPr>
          <w:rFonts w:cs="Times New Roman"/>
          <w:sz w:val="20"/>
          <w:szCs w:val="20"/>
        </w:rPr>
        <w:t xml:space="preserve">, 29 FCC Rcd at 4587 (Dissenting Statement of Commissioner Ajit Pai), </w:t>
      </w:r>
      <w:r w:rsidRPr="006254AC">
        <w:rPr>
          <w:rFonts w:cs="Times New Roman"/>
          <w:i/>
          <w:sz w:val="20"/>
          <w:szCs w:val="20"/>
        </w:rPr>
        <w:t xml:space="preserve">available at </w:t>
      </w:r>
      <w:r w:rsidRPr="006254AC">
        <w:rPr>
          <w:rFonts w:cs="Times New Roman"/>
          <w:sz w:val="20"/>
          <w:szCs w:val="20"/>
        </w:rPr>
        <w:t>http://go.usa.gov/58a5; Joint Statement of Commissioners Ajit Pai and Michael O’Rielly on Three More TV Stations Going Dark Under The FCC’s New JSA Policy (June 24, 2014), http://go.usa.gov/58xQ; Statement of Commissioners Ajit Pai and Michael O’Rielly on the Negative Impact of the Decision to Restrict Television Stations’ Use of Joint Sales Agreements (May 29, 2014), http://go.usa.gov/9N7V.</w:t>
      </w:r>
    </w:p>
  </w:footnote>
  <w:footnote w:id="38">
    <w:p w14:paraId="7BD9E19D" w14:textId="77777777" w:rsidR="006E549A" w:rsidRPr="006254AC" w:rsidRDefault="006E549A" w:rsidP="001F5F97">
      <w:pPr>
        <w:pStyle w:val="FootnoteText"/>
      </w:pPr>
      <w:r w:rsidRPr="006254AC">
        <w:rPr>
          <w:rStyle w:val="FootnoteReference"/>
        </w:rPr>
        <w:footnoteRef/>
      </w:r>
      <w:r w:rsidRPr="006254AC">
        <w:t xml:space="preserve"> </w:t>
      </w:r>
      <w:r w:rsidRPr="006254AC">
        <w:rPr>
          <w:i/>
        </w:rPr>
        <w:t>See Grain Management, LLC’s Request for Clarification or Waiver of Section 1.2110(b)(3)(iv)(A) of the Commission’s Rules</w:t>
      </w:r>
      <w:r w:rsidRPr="006254AC">
        <w:t>, WT Docket No. 05-211, Order, FCC 14-103 (2014) (Dissenting Statement of Commissioner Ajit Pai), go.usa.gov/5PSY.</w:t>
      </w:r>
    </w:p>
  </w:footnote>
  <w:footnote w:id="39">
    <w:p w14:paraId="70B12DAE" w14:textId="0A4C8073" w:rsidR="006E549A" w:rsidRPr="006254AC" w:rsidRDefault="006E549A">
      <w:pPr>
        <w:pStyle w:val="FootnoteText"/>
      </w:pPr>
      <w:r w:rsidRPr="006254AC">
        <w:rPr>
          <w:rStyle w:val="FootnoteReference"/>
        </w:rPr>
        <w:footnoteRef/>
      </w:r>
      <w:r w:rsidRPr="006254AC">
        <w:t xml:space="preserve"> </w:t>
      </w:r>
      <w:r w:rsidRPr="006254AC">
        <w:rPr>
          <w:i/>
        </w:rPr>
        <w:t>Policies Regarding Mobile Spectrum Holdings</w:t>
      </w:r>
      <w:r w:rsidRPr="006254AC">
        <w:t>, WT Docket No. 12-269, Report and Order, 29 FCC Rcd 6133</w:t>
      </w:r>
      <w:r w:rsidR="00BF6CC5" w:rsidRPr="006254AC">
        <w:t xml:space="preserve">, 619, </w:t>
      </w:r>
      <w:r w:rsidRPr="006254AC">
        <w:t xml:space="preserve"> paras. 139–42 (2014).</w:t>
      </w:r>
    </w:p>
  </w:footnote>
  <w:footnote w:id="40">
    <w:p w14:paraId="583270E8" w14:textId="5EE483EB" w:rsidR="006E549A" w:rsidRPr="006254AC" w:rsidRDefault="006E549A">
      <w:pPr>
        <w:pStyle w:val="FootnoteText"/>
      </w:pPr>
      <w:r w:rsidRPr="006254AC">
        <w:rPr>
          <w:rStyle w:val="FootnoteReference"/>
        </w:rPr>
        <w:footnoteRef/>
      </w:r>
      <w:r w:rsidRPr="006254AC">
        <w:t xml:space="preserve"> </w:t>
      </w:r>
      <w:r w:rsidRPr="006254AC">
        <w:rPr>
          <w:i/>
        </w:rPr>
        <w:t>NPRM</w:t>
      </w:r>
      <w:r w:rsidR="006E48A1" w:rsidRPr="006254AC">
        <w:t xml:space="preserve"> at </w:t>
      </w:r>
      <w:r w:rsidRPr="006254AC">
        <w:t>paras. 133–34.</w:t>
      </w:r>
    </w:p>
  </w:footnote>
  <w:footnote w:id="41">
    <w:p w14:paraId="2222687F" w14:textId="136657F2" w:rsidR="006E549A" w:rsidRPr="006254AC" w:rsidRDefault="006E549A">
      <w:pPr>
        <w:pStyle w:val="FootnoteText"/>
      </w:pPr>
      <w:r w:rsidRPr="006254AC">
        <w:rPr>
          <w:rStyle w:val="FootnoteReference"/>
        </w:rPr>
        <w:footnoteRef/>
      </w:r>
      <w:r w:rsidRPr="006254AC">
        <w:t xml:space="preserve"> </w:t>
      </w:r>
      <w:r w:rsidRPr="006254AC">
        <w:rPr>
          <w:i/>
        </w:rPr>
        <w:t xml:space="preserve">See </w:t>
      </w:r>
      <w:r w:rsidR="00F97E97" w:rsidRPr="006254AC">
        <w:rPr>
          <w:i/>
        </w:rPr>
        <w:t xml:space="preserve">id. </w:t>
      </w:r>
      <w:r w:rsidRPr="006254AC">
        <w:t>paras. 80–81.</w:t>
      </w:r>
    </w:p>
  </w:footnote>
  <w:footnote w:id="42">
    <w:p w14:paraId="1D0F9F6A" w14:textId="72C31C65" w:rsidR="006E549A" w:rsidRPr="006254AC" w:rsidRDefault="006E549A">
      <w:pPr>
        <w:pStyle w:val="FootnoteText"/>
      </w:pPr>
      <w:r w:rsidRPr="006254AC">
        <w:rPr>
          <w:rStyle w:val="FootnoteReference"/>
        </w:rPr>
        <w:footnoteRef/>
      </w:r>
      <w:r w:rsidRPr="006254AC">
        <w:t xml:space="preserve"> </w:t>
      </w:r>
      <w:r w:rsidRPr="006254AC">
        <w:rPr>
          <w:i/>
        </w:rPr>
        <w:t xml:space="preserve">See </w:t>
      </w:r>
      <w:r w:rsidR="00F97E97" w:rsidRPr="006254AC">
        <w:rPr>
          <w:i/>
        </w:rPr>
        <w:t xml:space="preserve">id. </w:t>
      </w:r>
      <w:r w:rsidRPr="006254AC">
        <w:t>paras. 77–79 (proposing to repeal the reporting requirement at 47 C.F.R. § 1.2110(n)).</w:t>
      </w:r>
    </w:p>
  </w:footnote>
  <w:footnote w:id="43">
    <w:p w14:paraId="5C35E5BB" w14:textId="72FA1C90" w:rsidR="00CF7CF7" w:rsidRPr="006254AC" w:rsidRDefault="00CF7CF7" w:rsidP="00CF7CF7">
      <w:pPr>
        <w:pStyle w:val="FootnoteText"/>
      </w:pPr>
      <w:r w:rsidRPr="006254AC">
        <w:rPr>
          <w:rStyle w:val="FootnoteReference"/>
        </w:rPr>
        <w:footnoteRef/>
      </w:r>
      <w:r w:rsidRPr="006254AC">
        <w:t xml:space="preserve"> </w:t>
      </w:r>
      <w:r w:rsidR="00F97E97" w:rsidRPr="006254AC">
        <w:rPr>
          <w:i/>
        </w:rPr>
        <w:t xml:space="preserve">Id. </w:t>
      </w:r>
      <w:r w:rsidRPr="006254AC">
        <w:t>para. 45.</w:t>
      </w:r>
    </w:p>
  </w:footnote>
  <w:footnote w:id="44">
    <w:p w14:paraId="1ABB1C77" w14:textId="7FFBAFF2" w:rsidR="00CF7CF7" w:rsidRPr="006254AC" w:rsidRDefault="00CF7CF7" w:rsidP="00CF7CF7">
      <w:pPr>
        <w:pStyle w:val="FootnoteText"/>
      </w:pPr>
      <w:r w:rsidRPr="006254AC">
        <w:rPr>
          <w:rStyle w:val="FootnoteReference"/>
        </w:rPr>
        <w:footnoteRef/>
      </w:r>
      <w:r w:rsidRPr="006254AC">
        <w:t xml:space="preserve"> </w:t>
      </w:r>
      <w:r w:rsidR="00F97E97" w:rsidRPr="006254AC">
        <w:rPr>
          <w:i/>
        </w:rPr>
        <w:t xml:space="preserve">Id. </w:t>
      </w:r>
      <w:r w:rsidRPr="006254AC">
        <w:t>para. 46.</w:t>
      </w:r>
    </w:p>
  </w:footnote>
  <w:footnote w:id="45">
    <w:p w14:paraId="173FB96E" w14:textId="31614D28" w:rsidR="00CF7CF7" w:rsidRPr="006254AC" w:rsidRDefault="00CF7CF7" w:rsidP="00CF7CF7">
      <w:pPr>
        <w:pStyle w:val="FootnoteText"/>
      </w:pPr>
      <w:r w:rsidRPr="006254AC">
        <w:rPr>
          <w:rStyle w:val="FootnoteReference"/>
        </w:rPr>
        <w:footnoteRef/>
      </w:r>
      <w:r w:rsidRPr="006254AC">
        <w:t xml:space="preserve"> </w:t>
      </w:r>
      <w:r w:rsidR="00F97E97" w:rsidRPr="006254AC">
        <w:rPr>
          <w:i/>
        </w:rPr>
        <w:t xml:space="preserve">Id. </w:t>
      </w:r>
      <w:r w:rsidR="00BF6CC5" w:rsidRPr="006254AC">
        <w:t>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0C9D" w14:textId="77777777" w:rsidR="007A0DED" w:rsidRDefault="007A0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4637" w14:textId="77777777" w:rsidR="007A0DED" w:rsidRDefault="007A0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2971" w14:textId="77777777" w:rsidR="007A0DED" w:rsidRDefault="007A0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2F"/>
    <w:rsid w:val="00005EE9"/>
    <w:rsid w:val="00006420"/>
    <w:rsid w:val="0000768D"/>
    <w:rsid w:val="00035CCE"/>
    <w:rsid w:val="0004332F"/>
    <w:rsid w:val="00044F4B"/>
    <w:rsid w:val="000468F5"/>
    <w:rsid w:val="00052A92"/>
    <w:rsid w:val="00057279"/>
    <w:rsid w:val="000722DA"/>
    <w:rsid w:val="000770B4"/>
    <w:rsid w:val="00087C88"/>
    <w:rsid w:val="000A3CE3"/>
    <w:rsid w:val="000A45A4"/>
    <w:rsid w:val="000C67ED"/>
    <w:rsid w:val="000F09E5"/>
    <w:rsid w:val="001112CD"/>
    <w:rsid w:val="0011304C"/>
    <w:rsid w:val="00117FA2"/>
    <w:rsid w:val="001224A7"/>
    <w:rsid w:val="00124969"/>
    <w:rsid w:val="00125C46"/>
    <w:rsid w:val="00126978"/>
    <w:rsid w:val="0013493C"/>
    <w:rsid w:val="00135C31"/>
    <w:rsid w:val="00141147"/>
    <w:rsid w:val="001429FE"/>
    <w:rsid w:val="00150D78"/>
    <w:rsid w:val="001535C0"/>
    <w:rsid w:val="001646D1"/>
    <w:rsid w:val="00170A02"/>
    <w:rsid w:val="00182B9C"/>
    <w:rsid w:val="00184FDF"/>
    <w:rsid w:val="00197672"/>
    <w:rsid w:val="00197B01"/>
    <w:rsid w:val="001B096D"/>
    <w:rsid w:val="001B5F07"/>
    <w:rsid w:val="001B6E1E"/>
    <w:rsid w:val="001C102C"/>
    <w:rsid w:val="001C1779"/>
    <w:rsid w:val="001C2134"/>
    <w:rsid w:val="001C4E02"/>
    <w:rsid w:val="001C703B"/>
    <w:rsid w:val="001D0A9E"/>
    <w:rsid w:val="001D2AE7"/>
    <w:rsid w:val="001D47D4"/>
    <w:rsid w:val="001F0ED4"/>
    <w:rsid w:val="001F0F15"/>
    <w:rsid w:val="001F2337"/>
    <w:rsid w:val="001F5F97"/>
    <w:rsid w:val="001F7469"/>
    <w:rsid w:val="00227EA3"/>
    <w:rsid w:val="00247540"/>
    <w:rsid w:val="00256520"/>
    <w:rsid w:val="00264990"/>
    <w:rsid w:val="00264D95"/>
    <w:rsid w:val="00286EB5"/>
    <w:rsid w:val="002901AD"/>
    <w:rsid w:val="00291E9D"/>
    <w:rsid w:val="002A286D"/>
    <w:rsid w:val="002A68B0"/>
    <w:rsid w:val="002D0616"/>
    <w:rsid w:val="002D099D"/>
    <w:rsid w:val="002D1D8A"/>
    <w:rsid w:val="002D49A1"/>
    <w:rsid w:val="002E1296"/>
    <w:rsid w:val="002F5041"/>
    <w:rsid w:val="003117F5"/>
    <w:rsid w:val="0031545F"/>
    <w:rsid w:val="00321AD1"/>
    <w:rsid w:val="00322E0B"/>
    <w:rsid w:val="00323999"/>
    <w:rsid w:val="003316EB"/>
    <w:rsid w:val="0034469B"/>
    <w:rsid w:val="00353E88"/>
    <w:rsid w:val="003567E5"/>
    <w:rsid w:val="00362A3A"/>
    <w:rsid w:val="0037249C"/>
    <w:rsid w:val="00373BB7"/>
    <w:rsid w:val="00382CE0"/>
    <w:rsid w:val="00387558"/>
    <w:rsid w:val="00387F96"/>
    <w:rsid w:val="00392CFD"/>
    <w:rsid w:val="00394602"/>
    <w:rsid w:val="00396170"/>
    <w:rsid w:val="0039736E"/>
    <w:rsid w:val="003A0DB9"/>
    <w:rsid w:val="003A11D9"/>
    <w:rsid w:val="003A5937"/>
    <w:rsid w:val="003B542E"/>
    <w:rsid w:val="003C1A6A"/>
    <w:rsid w:val="003E2069"/>
    <w:rsid w:val="003F6391"/>
    <w:rsid w:val="004079C5"/>
    <w:rsid w:val="0041242D"/>
    <w:rsid w:val="00416B45"/>
    <w:rsid w:val="00420382"/>
    <w:rsid w:val="00421FD9"/>
    <w:rsid w:val="00430B2B"/>
    <w:rsid w:val="00434751"/>
    <w:rsid w:val="00442722"/>
    <w:rsid w:val="0044361A"/>
    <w:rsid w:val="00460291"/>
    <w:rsid w:val="004678A4"/>
    <w:rsid w:val="004701FD"/>
    <w:rsid w:val="00470E6C"/>
    <w:rsid w:val="00471375"/>
    <w:rsid w:val="00475B05"/>
    <w:rsid w:val="004A726E"/>
    <w:rsid w:val="004B1AB1"/>
    <w:rsid w:val="004B363B"/>
    <w:rsid w:val="004E1F58"/>
    <w:rsid w:val="00506196"/>
    <w:rsid w:val="00506926"/>
    <w:rsid w:val="00513030"/>
    <w:rsid w:val="00516C8C"/>
    <w:rsid w:val="00523975"/>
    <w:rsid w:val="005306C0"/>
    <w:rsid w:val="0053205E"/>
    <w:rsid w:val="00553576"/>
    <w:rsid w:val="0055778E"/>
    <w:rsid w:val="00561A44"/>
    <w:rsid w:val="00575797"/>
    <w:rsid w:val="005B1C90"/>
    <w:rsid w:val="005B4438"/>
    <w:rsid w:val="005C7CE3"/>
    <w:rsid w:val="005D08FF"/>
    <w:rsid w:val="005D0C45"/>
    <w:rsid w:val="005E1E07"/>
    <w:rsid w:val="005E28BE"/>
    <w:rsid w:val="005E5B8F"/>
    <w:rsid w:val="005E6E06"/>
    <w:rsid w:val="005F1D0D"/>
    <w:rsid w:val="005F625E"/>
    <w:rsid w:val="005F77FB"/>
    <w:rsid w:val="0060054C"/>
    <w:rsid w:val="00607928"/>
    <w:rsid w:val="006107D9"/>
    <w:rsid w:val="00611088"/>
    <w:rsid w:val="0061278D"/>
    <w:rsid w:val="00614563"/>
    <w:rsid w:val="006248DB"/>
    <w:rsid w:val="0062539A"/>
    <w:rsid w:val="006254AC"/>
    <w:rsid w:val="006314EA"/>
    <w:rsid w:val="006316F8"/>
    <w:rsid w:val="00640CA8"/>
    <w:rsid w:val="006420B6"/>
    <w:rsid w:val="00642FBC"/>
    <w:rsid w:val="006537E8"/>
    <w:rsid w:val="00655CC7"/>
    <w:rsid w:val="006577E2"/>
    <w:rsid w:val="0066610A"/>
    <w:rsid w:val="0067172F"/>
    <w:rsid w:val="006743B2"/>
    <w:rsid w:val="00681C18"/>
    <w:rsid w:val="006A240F"/>
    <w:rsid w:val="006A2480"/>
    <w:rsid w:val="006B02AA"/>
    <w:rsid w:val="006B6361"/>
    <w:rsid w:val="006D2212"/>
    <w:rsid w:val="006D29C9"/>
    <w:rsid w:val="006D5A34"/>
    <w:rsid w:val="006E300D"/>
    <w:rsid w:val="006E48A1"/>
    <w:rsid w:val="006E4C47"/>
    <w:rsid w:val="006E549A"/>
    <w:rsid w:val="006E7D1A"/>
    <w:rsid w:val="00722631"/>
    <w:rsid w:val="00732DC4"/>
    <w:rsid w:val="00732FBC"/>
    <w:rsid w:val="0074084D"/>
    <w:rsid w:val="007410E0"/>
    <w:rsid w:val="0074318C"/>
    <w:rsid w:val="00753225"/>
    <w:rsid w:val="00763F82"/>
    <w:rsid w:val="00776316"/>
    <w:rsid w:val="007815AB"/>
    <w:rsid w:val="0079044F"/>
    <w:rsid w:val="007A0DED"/>
    <w:rsid w:val="007A1860"/>
    <w:rsid w:val="007C5A14"/>
    <w:rsid w:val="007F30C7"/>
    <w:rsid w:val="008036DE"/>
    <w:rsid w:val="00810CCF"/>
    <w:rsid w:val="0082711A"/>
    <w:rsid w:val="008303D7"/>
    <w:rsid w:val="00833243"/>
    <w:rsid w:val="00834C93"/>
    <w:rsid w:val="00837196"/>
    <w:rsid w:val="008376B0"/>
    <w:rsid w:val="00840B37"/>
    <w:rsid w:val="00840FEA"/>
    <w:rsid w:val="008627F7"/>
    <w:rsid w:val="00891746"/>
    <w:rsid w:val="008963DB"/>
    <w:rsid w:val="008975AE"/>
    <w:rsid w:val="008A30CE"/>
    <w:rsid w:val="008B7641"/>
    <w:rsid w:val="008B7E5D"/>
    <w:rsid w:val="008D2C30"/>
    <w:rsid w:val="008D550D"/>
    <w:rsid w:val="008D587A"/>
    <w:rsid w:val="008E0B43"/>
    <w:rsid w:val="008E2D54"/>
    <w:rsid w:val="008E34E8"/>
    <w:rsid w:val="0090175A"/>
    <w:rsid w:val="009119C9"/>
    <w:rsid w:val="00913858"/>
    <w:rsid w:val="0091437D"/>
    <w:rsid w:val="00930A87"/>
    <w:rsid w:val="00941E39"/>
    <w:rsid w:val="00946279"/>
    <w:rsid w:val="00963ADF"/>
    <w:rsid w:val="00986802"/>
    <w:rsid w:val="009B19A7"/>
    <w:rsid w:val="009C01B4"/>
    <w:rsid w:val="009C0972"/>
    <w:rsid w:val="009C208C"/>
    <w:rsid w:val="009C6C6C"/>
    <w:rsid w:val="009D1375"/>
    <w:rsid w:val="009D66C3"/>
    <w:rsid w:val="009E0F4F"/>
    <w:rsid w:val="009E3490"/>
    <w:rsid w:val="009E36DE"/>
    <w:rsid w:val="00A07793"/>
    <w:rsid w:val="00A12E25"/>
    <w:rsid w:val="00A20224"/>
    <w:rsid w:val="00A21544"/>
    <w:rsid w:val="00A264E3"/>
    <w:rsid w:val="00A36309"/>
    <w:rsid w:val="00A639BC"/>
    <w:rsid w:val="00A800E3"/>
    <w:rsid w:val="00AA2BB6"/>
    <w:rsid w:val="00AB31B9"/>
    <w:rsid w:val="00AB43EA"/>
    <w:rsid w:val="00AC071C"/>
    <w:rsid w:val="00AC2456"/>
    <w:rsid w:val="00AC69B1"/>
    <w:rsid w:val="00AE1133"/>
    <w:rsid w:val="00AE15EE"/>
    <w:rsid w:val="00AE2884"/>
    <w:rsid w:val="00AE4F11"/>
    <w:rsid w:val="00AF5160"/>
    <w:rsid w:val="00B018B4"/>
    <w:rsid w:val="00B16B30"/>
    <w:rsid w:val="00B2621E"/>
    <w:rsid w:val="00B44552"/>
    <w:rsid w:val="00B46FE5"/>
    <w:rsid w:val="00B550D9"/>
    <w:rsid w:val="00B60579"/>
    <w:rsid w:val="00B63B2E"/>
    <w:rsid w:val="00B71336"/>
    <w:rsid w:val="00B83CD9"/>
    <w:rsid w:val="00B84DDC"/>
    <w:rsid w:val="00B85724"/>
    <w:rsid w:val="00B93C51"/>
    <w:rsid w:val="00BA2226"/>
    <w:rsid w:val="00BB7B36"/>
    <w:rsid w:val="00BC2ADD"/>
    <w:rsid w:val="00BD326D"/>
    <w:rsid w:val="00BF0578"/>
    <w:rsid w:val="00BF0874"/>
    <w:rsid w:val="00BF307C"/>
    <w:rsid w:val="00BF6CC5"/>
    <w:rsid w:val="00C05D4A"/>
    <w:rsid w:val="00C12F28"/>
    <w:rsid w:val="00C16A75"/>
    <w:rsid w:val="00C2123D"/>
    <w:rsid w:val="00C22953"/>
    <w:rsid w:val="00C27AC8"/>
    <w:rsid w:val="00C37106"/>
    <w:rsid w:val="00C37ED7"/>
    <w:rsid w:val="00C40DAA"/>
    <w:rsid w:val="00C41D81"/>
    <w:rsid w:val="00C42D37"/>
    <w:rsid w:val="00C43E96"/>
    <w:rsid w:val="00C54EB0"/>
    <w:rsid w:val="00C657E9"/>
    <w:rsid w:val="00C81DCB"/>
    <w:rsid w:val="00C861E7"/>
    <w:rsid w:val="00C973C5"/>
    <w:rsid w:val="00CB1D24"/>
    <w:rsid w:val="00CC0BBB"/>
    <w:rsid w:val="00CC7ACB"/>
    <w:rsid w:val="00CD18B4"/>
    <w:rsid w:val="00CE10FF"/>
    <w:rsid w:val="00CF0DB2"/>
    <w:rsid w:val="00CF7CF7"/>
    <w:rsid w:val="00D12E5E"/>
    <w:rsid w:val="00D22FF1"/>
    <w:rsid w:val="00D347A8"/>
    <w:rsid w:val="00D3729E"/>
    <w:rsid w:val="00D404FC"/>
    <w:rsid w:val="00D40946"/>
    <w:rsid w:val="00D51C60"/>
    <w:rsid w:val="00D56AA1"/>
    <w:rsid w:val="00D61DF5"/>
    <w:rsid w:val="00D6248C"/>
    <w:rsid w:val="00D64B8D"/>
    <w:rsid w:val="00D87CC0"/>
    <w:rsid w:val="00DA73A3"/>
    <w:rsid w:val="00DB5C15"/>
    <w:rsid w:val="00DC63B8"/>
    <w:rsid w:val="00DD47F0"/>
    <w:rsid w:val="00DE237A"/>
    <w:rsid w:val="00DE6954"/>
    <w:rsid w:val="00DF2A36"/>
    <w:rsid w:val="00DF552F"/>
    <w:rsid w:val="00E23839"/>
    <w:rsid w:val="00E30887"/>
    <w:rsid w:val="00E30EEA"/>
    <w:rsid w:val="00E546CB"/>
    <w:rsid w:val="00E566D3"/>
    <w:rsid w:val="00E718D1"/>
    <w:rsid w:val="00E75392"/>
    <w:rsid w:val="00E76E21"/>
    <w:rsid w:val="00E91F31"/>
    <w:rsid w:val="00E9587D"/>
    <w:rsid w:val="00EA3B28"/>
    <w:rsid w:val="00EB7690"/>
    <w:rsid w:val="00EC1CD2"/>
    <w:rsid w:val="00EC1D3B"/>
    <w:rsid w:val="00ED5DB8"/>
    <w:rsid w:val="00EE3788"/>
    <w:rsid w:val="00F04D9D"/>
    <w:rsid w:val="00F22BEA"/>
    <w:rsid w:val="00F43CBD"/>
    <w:rsid w:val="00F44019"/>
    <w:rsid w:val="00F45776"/>
    <w:rsid w:val="00F47627"/>
    <w:rsid w:val="00F47FB9"/>
    <w:rsid w:val="00F5355B"/>
    <w:rsid w:val="00F61164"/>
    <w:rsid w:val="00F64851"/>
    <w:rsid w:val="00F64DB1"/>
    <w:rsid w:val="00F7482E"/>
    <w:rsid w:val="00F92591"/>
    <w:rsid w:val="00F928C1"/>
    <w:rsid w:val="00F96E63"/>
    <w:rsid w:val="00F97E97"/>
    <w:rsid w:val="00FA3D49"/>
    <w:rsid w:val="00FB5A10"/>
    <w:rsid w:val="00FD0532"/>
    <w:rsid w:val="00FE5142"/>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0F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332F"/>
    <w:rPr>
      <w:sz w:val="20"/>
      <w:szCs w:val="20"/>
    </w:rPr>
  </w:style>
  <w:style w:type="character" w:customStyle="1" w:styleId="FootnoteTextChar">
    <w:name w:val="Footnote Text Char"/>
    <w:basedOn w:val="DefaultParagraphFont"/>
    <w:link w:val="FootnoteText"/>
    <w:uiPriority w:val="99"/>
    <w:rsid w:val="0004332F"/>
    <w:rPr>
      <w:rFonts w:ascii="Times New Roman" w:hAnsi="Times New Roman"/>
      <w:sz w:val="20"/>
      <w:szCs w:val="20"/>
    </w:rPr>
  </w:style>
  <w:style w:type="character" w:styleId="FootnoteReference">
    <w:name w:val="footnote reference"/>
    <w:basedOn w:val="DefaultParagraphFont"/>
    <w:uiPriority w:val="99"/>
    <w:unhideWhenUsed/>
    <w:rsid w:val="0004332F"/>
    <w:rPr>
      <w:vertAlign w:val="superscript"/>
    </w:rPr>
  </w:style>
  <w:style w:type="paragraph" w:styleId="Footer">
    <w:name w:val="footer"/>
    <w:basedOn w:val="Normal"/>
    <w:link w:val="FooterChar"/>
    <w:uiPriority w:val="99"/>
    <w:unhideWhenUsed/>
    <w:rsid w:val="0004332F"/>
    <w:pPr>
      <w:tabs>
        <w:tab w:val="center" w:pos="4680"/>
        <w:tab w:val="right" w:pos="9360"/>
      </w:tabs>
      <w:spacing w:after="0"/>
    </w:pPr>
  </w:style>
  <w:style w:type="character" w:customStyle="1" w:styleId="FooterChar">
    <w:name w:val="Footer Char"/>
    <w:basedOn w:val="DefaultParagraphFont"/>
    <w:link w:val="Footer"/>
    <w:uiPriority w:val="99"/>
    <w:rsid w:val="0004332F"/>
    <w:rPr>
      <w:rFonts w:ascii="Times New Roman" w:hAnsi="Times New Roman"/>
    </w:rPr>
  </w:style>
  <w:style w:type="character" w:styleId="Hyperlink">
    <w:name w:val="Hyperlink"/>
    <w:basedOn w:val="DefaultParagraphFont"/>
    <w:uiPriority w:val="99"/>
    <w:unhideWhenUsed/>
    <w:rsid w:val="0004332F"/>
    <w:rPr>
      <w:color w:val="0000FF" w:themeColor="hyperlink"/>
      <w:u w:val="single"/>
    </w:rPr>
  </w:style>
  <w:style w:type="paragraph" w:styleId="BalloonText">
    <w:name w:val="Balloon Text"/>
    <w:basedOn w:val="Normal"/>
    <w:link w:val="BalloonTextChar"/>
    <w:uiPriority w:val="99"/>
    <w:semiHidden/>
    <w:unhideWhenUsed/>
    <w:rsid w:val="00ED5D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8"/>
    <w:rPr>
      <w:rFonts w:ascii="Tahoma" w:hAnsi="Tahoma" w:cs="Tahoma"/>
      <w:sz w:val="16"/>
      <w:szCs w:val="16"/>
    </w:rPr>
  </w:style>
  <w:style w:type="paragraph" w:styleId="Header">
    <w:name w:val="header"/>
    <w:basedOn w:val="Normal"/>
    <w:link w:val="HeaderChar"/>
    <w:unhideWhenUsed/>
    <w:rsid w:val="00C27AC8"/>
    <w:pPr>
      <w:tabs>
        <w:tab w:val="center" w:pos="4680"/>
        <w:tab w:val="right" w:pos="9360"/>
      </w:tabs>
      <w:spacing w:after="0"/>
    </w:pPr>
  </w:style>
  <w:style w:type="character" w:customStyle="1" w:styleId="HeaderChar">
    <w:name w:val="Header Char"/>
    <w:basedOn w:val="DefaultParagraphFont"/>
    <w:link w:val="Header"/>
    <w:uiPriority w:val="99"/>
    <w:rsid w:val="00C27AC8"/>
    <w:rPr>
      <w:rFonts w:ascii="Times New Roman" w:hAnsi="Times New Roman"/>
    </w:rPr>
  </w:style>
  <w:style w:type="paragraph" w:styleId="ListParagraph">
    <w:name w:val="List Paragraph"/>
    <w:basedOn w:val="Normal"/>
    <w:uiPriority w:val="34"/>
    <w:qFormat/>
    <w:rsid w:val="00F04D9D"/>
    <w:pPr>
      <w:ind w:left="720"/>
      <w:contextualSpacing/>
    </w:pPr>
  </w:style>
  <w:style w:type="character" w:styleId="CommentReference">
    <w:name w:val="annotation reference"/>
    <w:basedOn w:val="DefaultParagraphFont"/>
    <w:uiPriority w:val="99"/>
    <w:semiHidden/>
    <w:unhideWhenUsed/>
    <w:rsid w:val="0066610A"/>
    <w:rPr>
      <w:sz w:val="16"/>
      <w:szCs w:val="16"/>
    </w:rPr>
  </w:style>
  <w:style w:type="paragraph" w:styleId="CommentText">
    <w:name w:val="annotation text"/>
    <w:basedOn w:val="Normal"/>
    <w:link w:val="CommentTextChar"/>
    <w:uiPriority w:val="99"/>
    <w:semiHidden/>
    <w:unhideWhenUsed/>
    <w:rsid w:val="0066610A"/>
    <w:rPr>
      <w:sz w:val="20"/>
      <w:szCs w:val="20"/>
    </w:rPr>
  </w:style>
  <w:style w:type="character" w:customStyle="1" w:styleId="CommentTextChar">
    <w:name w:val="Comment Text Char"/>
    <w:basedOn w:val="DefaultParagraphFont"/>
    <w:link w:val="CommentText"/>
    <w:uiPriority w:val="99"/>
    <w:semiHidden/>
    <w:rsid w:val="006661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610A"/>
    <w:rPr>
      <w:b/>
      <w:bCs/>
    </w:rPr>
  </w:style>
  <w:style w:type="character" w:customStyle="1" w:styleId="CommentSubjectChar">
    <w:name w:val="Comment Subject Char"/>
    <w:basedOn w:val="CommentTextChar"/>
    <w:link w:val="CommentSubject"/>
    <w:uiPriority w:val="99"/>
    <w:semiHidden/>
    <w:rsid w:val="0066610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332F"/>
    <w:rPr>
      <w:sz w:val="20"/>
      <w:szCs w:val="20"/>
    </w:rPr>
  </w:style>
  <w:style w:type="character" w:customStyle="1" w:styleId="FootnoteTextChar">
    <w:name w:val="Footnote Text Char"/>
    <w:basedOn w:val="DefaultParagraphFont"/>
    <w:link w:val="FootnoteText"/>
    <w:uiPriority w:val="99"/>
    <w:rsid w:val="0004332F"/>
    <w:rPr>
      <w:rFonts w:ascii="Times New Roman" w:hAnsi="Times New Roman"/>
      <w:sz w:val="20"/>
      <w:szCs w:val="20"/>
    </w:rPr>
  </w:style>
  <w:style w:type="character" w:styleId="FootnoteReference">
    <w:name w:val="footnote reference"/>
    <w:basedOn w:val="DefaultParagraphFont"/>
    <w:uiPriority w:val="99"/>
    <w:unhideWhenUsed/>
    <w:rsid w:val="0004332F"/>
    <w:rPr>
      <w:vertAlign w:val="superscript"/>
    </w:rPr>
  </w:style>
  <w:style w:type="paragraph" w:styleId="Footer">
    <w:name w:val="footer"/>
    <w:basedOn w:val="Normal"/>
    <w:link w:val="FooterChar"/>
    <w:uiPriority w:val="99"/>
    <w:unhideWhenUsed/>
    <w:rsid w:val="0004332F"/>
    <w:pPr>
      <w:tabs>
        <w:tab w:val="center" w:pos="4680"/>
        <w:tab w:val="right" w:pos="9360"/>
      </w:tabs>
      <w:spacing w:after="0"/>
    </w:pPr>
  </w:style>
  <w:style w:type="character" w:customStyle="1" w:styleId="FooterChar">
    <w:name w:val="Footer Char"/>
    <w:basedOn w:val="DefaultParagraphFont"/>
    <w:link w:val="Footer"/>
    <w:uiPriority w:val="99"/>
    <w:rsid w:val="0004332F"/>
    <w:rPr>
      <w:rFonts w:ascii="Times New Roman" w:hAnsi="Times New Roman"/>
    </w:rPr>
  </w:style>
  <w:style w:type="character" w:styleId="Hyperlink">
    <w:name w:val="Hyperlink"/>
    <w:basedOn w:val="DefaultParagraphFont"/>
    <w:uiPriority w:val="99"/>
    <w:unhideWhenUsed/>
    <w:rsid w:val="0004332F"/>
    <w:rPr>
      <w:color w:val="0000FF" w:themeColor="hyperlink"/>
      <w:u w:val="single"/>
    </w:rPr>
  </w:style>
  <w:style w:type="paragraph" w:styleId="BalloonText">
    <w:name w:val="Balloon Text"/>
    <w:basedOn w:val="Normal"/>
    <w:link w:val="BalloonTextChar"/>
    <w:uiPriority w:val="99"/>
    <w:semiHidden/>
    <w:unhideWhenUsed/>
    <w:rsid w:val="00ED5D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8"/>
    <w:rPr>
      <w:rFonts w:ascii="Tahoma" w:hAnsi="Tahoma" w:cs="Tahoma"/>
      <w:sz w:val="16"/>
      <w:szCs w:val="16"/>
    </w:rPr>
  </w:style>
  <w:style w:type="paragraph" w:styleId="Header">
    <w:name w:val="header"/>
    <w:basedOn w:val="Normal"/>
    <w:link w:val="HeaderChar"/>
    <w:unhideWhenUsed/>
    <w:rsid w:val="00C27AC8"/>
    <w:pPr>
      <w:tabs>
        <w:tab w:val="center" w:pos="4680"/>
        <w:tab w:val="right" w:pos="9360"/>
      </w:tabs>
      <w:spacing w:after="0"/>
    </w:pPr>
  </w:style>
  <w:style w:type="character" w:customStyle="1" w:styleId="HeaderChar">
    <w:name w:val="Header Char"/>
    <w:basedOn w:val="DefaultParagraphFont"/>
    <w:link w:val="Header"/>
    <w:uiPriority w:val="99"/>
    <w:rsid w:val="00C27AC8"/>
    <w:rPr>
      <w:rFonts w:ascii="Times New Roman" w:hAnsi="Times New Roman"/>
    </w:rPr>
  </w:style>
  <w:style w:type="paragraph" w:styleId="ListParagraph">
    <w:name w:val="List Paragraph"/>
    <w:basedOn w:val="Normal"/>
    <w:uiPriority w:val="34"/>
    <w:qFormat/>
    <w:rsid w:val="00F04D9D"/>
    <w:pPr>
      <w:ind w:left="720"/>
      <w:contextualSpacing/>
    </w:pPr>
  </w:style>
  <w:style w:type="character" w:styleId="CommentReference">
    <w:name w:val="annotation reference"/>
    <w:basedOn w:val="DefaultParagraphFont"/>
    <w:uiPriority w:val="99"/>
    <w:semiHidden/>
    <w:unhideWhenUsed/>
    <w:rsid w:val="0066610A"/>
    <w:rPr>
      <w:sz w:val="16"/>
      <w:szCs w:val="16"/>
    </w:rPr>
  </w:style>
  <w:style w:type="paragraph" w:styleId="CommentText">
    <w:name w:val="annotation text"/>
    <w:basedOn w:val="Normal"/>
    <w:link w:val="CommentTextChar"/>
    <w:uiPriority w:val="99"/>
    <w:semiHidden/>
    <w:unhideWhenUsed/>
    <w:rsid w:val="0066610A"/>
    <w:rPr>
      <w:sz w:val="20"/>
      <w:szCs w:val="20"/>
    </w:rPr>
  </w:style>
  <w:style w:type="character" w:customStyle="1" w:styleId="CommentTextChar">
    <w:name w:val="Comment Text Char"/>
    <w:basedOn w:val="DefaultParagraphFont"/>
    <w:link w:val="CommentText"/>
    <w:uiPriority w:val="99"/>
    <w:semiHidden/>
    <w:rsid w:val="006661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610A"/>
    <w:rPr>
      <w:b/>
      <w:bCs/>
    </w:rPr>
  </w:style>
  <w:style w:type="character" w:customStyle="1" w:styleId="CommentSubjectChar">
    <w:name w:val="Comment Subject Char"/>
    <w:basedOn w:val="CommentTextChar"/>
    <w:link w:val="CommentSubject"/>
    <w:uiPriority w:val="99"/>
    <w:semiHidden/>
    <w:rsid w:val="0066610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3237</Words>
  <Characters>17751</Characters>
  <Application>Microsoft Office Word</Application>
  <DocSecurity>0</DocSecurity>
  <Lines>231</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2014-10-03T19:55:00Z</cp:lastPrinted>
  <dcterms:created xsi:type="dcterms:W3CDTF">2014-10-10T16:00:00Z</dcterms:created>
  <dcterms:modified xsi:type="dcterms:W3CDTF">2014-10-10T16:00:00Z</dcterms:modified>
  <cp:category> </cp:category>
  <cp:contentStatus> </cp:contentStatus>
</cp:coreProperties>
</file>