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FBE" w:rsidRPr="000561E6" w:rsidRDefault="007E2FBE" w:rsidP="00E261AD">
      <w:pPr>
        <w:ind w:left="720" w:hanging="360"/>
        <w:jc w:val="center"/>
        <w:rPr>
          <w:b/>
        </w:rPr>
      </w:pPr>
      <w:bookmarkStart w:id="0" w:name="_GoBack"/>
      <w:bookmarkEnd w:id="0"/>
      <w:r w:rsidRPr="000561E6">
        <w:rPr>
          <w:b/>
        </w:rPr>
        <w:t>Before the</w:t>
      </w:r>
    </w:p>
    <w:p w:rsidR="007E2FBE" w:rsidRPr="000561E6" w:rsidRDefault="007E2FBE" w:rsidP="00E261AD">
      <w:pPr>
        <w:jc w:val="center"/>
        <w:rPr>
          <w:b/>
        </w:rPr>
      </w:pPr>
      <w:r w:rsidRPr="000561E6">
        <w:rPr>
          <w:b/>
        </w:rPr>
        <w:t>F</w:t>
      </w:r>
      <w:r w:rsidR="008C31F5">
        <w:rPr>
          <w:b/>
        </w:rPr>
        <w:t>ederal Communications Commission</w:t>
      </w:r>
    </w:p>
    <w:p w:rsidR="007E2FBE" w:rsidRPr="000561E6" w:rsidRDefault="007E2FBE" w:rsidP="00E261AD">
      <w:pPr>
        <w:jc w:val="center"/>
        <w:rPr>
          <w:b/>
        </w:rPr>
      </w:pPr>
      <w:r w:rsidRPr="000561E6">
        <w:rPr>
          <w:b/>
        </w:rPr>
        <w:t>Washington, D.C.  20554</w:t>
      </w:r>
    </w:p>
    <w:p w:rsidR="007E2FBE" w:rsidRPr="000561E6" w:rsidRDefault="007E2FBE" w:rsidP="00E261AD">
      <w:pPr>
        <w:rPr>
          <w:b/>
        </w:rPr>
      </w:pPr>
    </w:p>
    <w:tbl>
      <w:tblPr>
        <w:tblW w:w="9648" w:type="dxa"/>
        <w:tblLayout w:type="fixed"/>
        <w:tblLook w:val="0000" w:firstRow="0" w:lastRow="0" w:firstColumn="0" w:lastColumn="0" w:noHBand="0" w:noVBand="0"/>
      </w:tblPr>
      <w:tblGrid>
        <w:gridCol w:w="4698"/>
        <w:gridCol w:w="720"/>
        <w:gridCol w:w="4230"/>
      </w:tblGrid>
      <w:tr w:rsidR="0075123C" w:rsidRPr="00BA30CA" w:rsidTr="0075123C">
        <w:tc>
          <w:tcPr>
            <w:tcW w:w="4698" w:type="dxa"/>
          </w:tcPr>
          <w:p w:rsidR="0075123C" w:rsidRPr="00BA30CA" w:rsidRDefault="0075123C" w:rsidP="00033F35">
            <w:pPr>
              <w:ind w:right="-18"/>
              <w:rPr>
                <w:szCs w:val="22"/>
              </w:rPr>
            </w:pPr>
            <w:r w:rsidRPr="00BA30CA">
              <w:rPr>
                <w:szCs w:val="22"/>
              </w:rPr>
              <w:t>In the Matter of</w:t>
            </w:r>
          </w:p>
          <w:p w:rsidR="0075123C" w:rsidRPr="00BA30CA" w:rsidRDefault="0075123C" w:rsidP="00033F35">
            <w:pPr>
              <w:ind w:right="-18"/>
              <w:rPr>
                <w:szCs w:val="22"/>
              </w:rPr>
            </w:pPr>
          </w:p>
          <w:p w:rsidR="0075123C" w:rsidRDefault="0075123C" w:rsidP="00033F35">
            <w:pPr>
              <w:ind w:right="-18"/>
              <w:rPr>
                <w:szCs w:val="22"/>
              </w:rPr>
            </w:pPr>
            <w:r w:rsidRPr="0064032D">
              <w:t>MARITIME COMMUNICATIONS/LAND</w:t>
            </w:r>
            <w:r>
              <w:t xml:space="preserve"> MOBILE, LLC</w:t>
            </w:r>
          </w:p>
          <w:p w:rsidR="0075123C" w:rsidRPr="00BA30CA" w:rsidRDefault="0075123C" w:rsidP="00033F35">
            <w:pPr>
              <w:ind w:right="-18"/>
              <w:rPr>
                <w:szCs w:val="22"/>
              </w:rPr>
            </w:pPr>
          </w:p>
          <w:p w:rsidR="0075123C" w:rsidRPr="00BA30CA" w:rsidRDefault="0075123C" w:rsidP="00033F35">
            <w:pPr>
              <w:ind w:right="-18"/>
              <w:rPr>
                <w:szCs w:val="22"/>
              </w:rPr>
            </w:pPr>
            <w:r w:rsidRPr="0075123C">
              <w:rPr>
                <w:sz w:val="20"/>
              </w:rPr>
              <w:t>Participant in Auction No. 61 and Licensee of</w:t>
            </w:r>
          </w:p>
          <w:p w:rsidR="0075123C" w:rsidRDefault="0075123C" w:rsidP="00033F35">
            <w:pPr>
              <w:ind w:right="-18"/>
              <w:rPr>
                <w:sz w:val="20"/>
              </w:rPr>
            </w:pPr>
            <w:r w:rsidRPr="0075123C">
              <w:rPr>
                <w:sz w:val="20"/>
              </w:rPr>
              <w:t>Various Authorizations in the Wireless Radio</w:t>
            </w:r>
          </w:p>
          <w:p w:rsidR="0075123C" w:rsidRDefault="0075123C" w:rsidP="00033F35">
            <w:pPr>
              <w:ind w:right="-18"/>
            </w:pPr>
            <w:r w:rsidRPr="0075123C">
              <w:rPr>
                <w:sz w:val="20"/>
              </w:rPr>
              <w:t>Services</w:t>
            </w:r>
            <w:r w:rsidRPr="0064032D">
              <w:tab/>
            </w:r>
          </w:p>
          <w:p w:rsidR="0075123C" w:rsidRDefault="0075123C" w:rsidP="00033F35">
            <w:pPr>
              <w:ind w:right="-18"/>
            </w:pPr>
          </w:p>
          <w:p w:rsidR="0075123C" w:rsidRDefault="0075123C" w:rsidP="00033F35">
            <w:pPr>
              <w:ind w:right="-18"/>
            </w:pPr>
            <w:r w:rsidRPr="0064032D">
              <w:t>Applicant for Modification of Various</w:t>
            </w:r>
          </w:p>
          <w:p w:rsidR="00BB6D1D" w:rsidRDefault="0075123C" w:rsidP="00033F35">
            <w:pPr>
              <w:ind w:right="-18"/>
            </w:pPr>
            <w:r w:rsidRPr="0064032D">
              <w:t>Authorizations in the Wireless Radio Services</w:t>
            </w:r>
          </w:p>
          <w:p w:rsidR="00BB6D1D" w:rsidRDefault="00BB6D1D" w:rsidP="00033F35">
            <w:pPr>
              <w:ind w:right="-18"/>
            </w:pPr>
          </w:p>
          <w:p w:rsidR="00BB6D1D" w:rsidRDefault="00BB6D1D" w:rsidP="00033F35">
            <w:pPr>
              <w:ind w:right="-18"/>
            </w:pPr>
            <w:r w:rsidRPr="0064032D">
              <w:t>Applicant with ENCANA OIL AND GAS (USA), INC.; DUQUESNE LIGHT COMPANY, DCP</w:t>
            </w:r>
          </w:p>
          <w:p w:rsidR="00BB6D1D" w:rsidRDefault="00BB6D1D" w:rsidP="00033F35">
            <w:pPr>
              <w:ind w:right="-18"/>
            </w:pPr>
            <w:r w:rsidRPr="0064032D">
              <w:t>MIDSTREAM, LP; JACKSON COUNTY</w:t>
            </w:r>
          </w:p>
          <w:p w:rsidR="00BB6D1D" w:rsidRDefault="00BB6D1D" w:rsidP="00033F35">
            <w:pPr>
              <w:ind w:right="-18"/>
            </w:pPr>
            <w:r w:rsidRPr="0064032D">
              <w:t>RURAL MEMBERSHIP ELECTRIC</w:t>
            </w:r>
          </w:p>
          <w:p w:rsidR="00BB6D1D" w:rsidRDefault="00BB6D1D" w:rsidP="00033F35">
            <w:pPr>
              <w:ind w:right="-18"/>
            </w:pPr>
            <w:r w:rsidRPr="0064032D">
              <w:t>COOPERATIVE; PUGET SOUND ENERGY,</w:t>
            </w:r>
          </w:p>
          <w:p w:rsidR="00BB6D1D" w:rsidRDefault="00BB6D1D" w:rsidP="00033F35">
            <w:pPr>
              <w:ind w:right="-18"/>
            </w:pPr>
            <w:r w:rsidRPr="0064032D">
              <w:t>INC.; ENBRIDGE ENERGY COMPANY</w:t>
            </w:r>
            <w:r>
              <w:t xml:space="preserve"> </w:t>
            </w:r>
            <w:r w:rsidRPr="0064032D">
              <w:t>INC.; INTERSTATE POWER AND LIGHT</w:t>
            </w:r>
          </w:p>
          <w:p w:rsidR="00BB6D1D" w:rsidRDefault="00BB6D1D" w:rsidP="00BB6D1D">
            <w:pPr>
              <w:ind w:right="-18"/>
            </w:pPr>
            <w:r w:rsidRPr="0064032D">
              <w:t>COMPANY; WISCONSIN POWER AND</w:t>
            </w:r>
            <w:r>
              <w:t xml:space="preserve"> </w:t>
            </w:r>
            <w:r w:rsidRPr="0064032D">
              <w:t>LIGHT COMPANY; DIXIE ELECTRIC</w:t>
            </w:r>
          </w:p>
          <w:p w:rsidR="00BB6D1D" w:rsidRDefault="00BB6D1D" w:rsidP="00BB6D1D">
            <w:pPr>
              <w:ind w:right="-18"/>
            </w:pPr>
            <w:r w:rsidRPr="0064032D">
              <w:t>MEMBERHIP CORPORATION, INC.;</w:t>
            </w:r>
          </w:p>
          <w:p w:rsidR="00BB6D1D" w:rsidRDefault="00BB6D1D" w:rsidP="00BB6D1D">
            <w:pPr>
              <w:ind w:right="-18"/>
            </w:pPr>
            <w:r w:rsidRPr="0064032D">
              <w:t>ATLAS PIPELINE-MID CONTINENT, LLC;</w:t>
            </w:r>
          </w:p>
          <w:p w:rsidR="00297313" w:rsidRDefault="00BB6D1D" w:rsidP="00BB6D1D">
            <w:pPr>
              <w:ind w:right="-18"/>
            </w:pPr>
            <w:r w:rsidRPr="0064032D">
              <w:t>AND SOUTHERN; CALIFORNIA REGIONAL RAIL</w:t>
            </w:r>
            <w:r>
              <w:t xml:space="preserve"> </w:t>
            </w:r>
            <w:r w:rsidRPr="0064032D">
              <w:t>AUTHORITY</w:t>
            </w:r>
          </w:p>
          <w:p w:rsidR="00297313" w:rsidRDefault="00297313" w:rsidP="00BB6D1D">
            <w:pPr>
              <w:ind w:right="-18"/>
            </w:pPr>
          </w:p>
          <w:p w:rsidR="00297313" w:rsidRDefault="00297313" w:rsidP="00BB6D1D">
            <w:pPr>
              <w:ind w:right="-18"/>
            </w:pPr>
            <w:r w:rsidRPr="0064032D">
              <w:t>For Commission Consent to the Assignment of</w:t>
            </w:r>
          </w:p>
          <w:p w:rsidR="00297313" w:rsidRDefault="00297313" w:rsidP="00BB6D1D">
            <w:pPr>
              <w:ind w:right="-18"/>
            </w:pPr>
            <w:r w:rsidRPr="0064032D">
              <w:t>Various Authorizations in the Wireless Radio</w:t>
            </w:r>
          </w:p>
          <w:p w:rsidR="00297313" w:rsidRDefault="00297313" w:rsidP="00BB6D1D">
            <w:pPr>
              <w:ind w:right="-18"/>
            </w:pPr>
            <w:r w:rsidRPr="0064032D">
              <w:t>Service</w:t>
            </w:r>
          </w:p>
          <w:p w:rsidR="0075123C" w:rsidRPr="00BA30CA" w:rsidRDefault="00BB6D1D" w:rsidP="00BB6D1D">
            <w:pPr>
              <w:ind w:right="-18"/>
              <w:rPr>
                <w:szCs w:val="22"/>
              </w:rPr>
            </w:pPr>
            <w:r w:rsidRPr="0064032D">
              <w:tab/>
            </w:r>
            <w:r w:rsidR="0075123C" w:rsidRPr="0064032D">
              <w:tab/>
            </w:r>
          </w:p>
        </w:tc>
        <w:tc>
          <w:tcPr>
            <w:tcW w:w="720" w:type="dxa"/>
          </w:tcPr>
          <w:p w:rsidR="0075123C" w:rsidRPr="00BA30CA" w:rsidRDefault="0075123C" w:rsidP="00033F35">
            <w:pPr>
              <w:rPr>
                <w:b/>
                <w:szCs w:val="22"/>
              </w:rPr>
            </w:pPr>
            <w:r w:rsidRPr="00BA30CA">
              <w:rPr>
                <w:b/>
                <w:szCs w:val="22"/>
              </w:rPr>
              <w:t>)</w:t>
            </w:r>
          </w:p>
          <w:p w:rsidR="0075123C" w:rsidRPr="00BA30CA" w:rsidRDefault="0075123C" w:rsidP="00033F35">
            <w:pPr>
              <w:rPr>
                <w:b/>
                <w:szCs w:val="22"/>
              </w:rPr>
            </w:pPr>
            <w:r w:rsidRPr="00BA30CA">
              <w:rPr>
                <w:b/>
                <w:szCs w:val="22"/>
              </w:rPr>
              <w:t>)</w:t>
            </w:r>
          </w:p>
          <w:p w:rsidR="0075123C" w:rsidRPr="00BA30CA" w:rsidRDefault="0075123C" w:rsidP="00033F35">
            <w:pPr>
              <w:rPr>
                <w:b/>
                <w:szCs w:val="22"/>
              </w:rPr>
            </w:pPr>
            <w:r w:rsidRPr="00BA30CA">
              <w:rPr>
                <w:b/>
                <w:szCs w:val="22"/>
              </w:rPr>
              <w:t>)</w:t>
            </w:r>
          </w:p>
          <w:p w:rsidR="0075123C" w:rsidRPr="00BA30CA" w:rsidRDefault="0075123C" w:rsidP="00033F35">
            <w:pPr>
              <w:rPr>
                <w:b/>
                <w:szCs w:val="22"/>
              </w:rPr>
            </w:pPr>
            <w:r w:rsidRPr="00BA30CA">
              <w:rPr>
                <w:b/>
                <w:szCs w:val="22"/>
              </w:rPr>
              <w:t>)</w:t>
            </w:r>
          </w:p>
          <w:p w:rsidR="0075123C" w:rsidRDefault="0075123C" w:rsidP="00033F35">
            <w:pPr>
              <w:rPr>
                <w:b/>
                <w:szCs w:val="22"/>
              </w:rPr>
            </w:pPr>
            <w:r w:rsidRPr="00BA30CA">
              <w:rPr>
                <w:b/>
                <w:szCs w:val="22"/>
              </w:rPr>
              <w:t>)</w:t>
            </w:r>
          </w:p>
          <w:p w:rsidR="0075123C" w:rsidRDefault="0075123C" w:rsidP="00033F35">
            <w:pPr>
              <w:rPr>
                <w:b/>
                <w:szCs w:val="22"/>
              </w:rPr>
            </w:pPr>
            <w:r>
              <w:rPr>
                <w:b/>
                <w:szCs w:val="22"/>
              </w:rPr>
              <w:t>)</w:t>
            </w:r>
          </w:p>
          <w:p w:rsidR="0075123C" w:rsidRDefault="0075123C" w:rsidP="00033F35">
            <w:pPr>
              <w:rPr>
                <w:b/>
                <w:szCs w:val="22"/>
              </w:rPr>
            </w:pPr>
            <w:r>
              <w:rPr>
                <w:b/>
                <w:szCs w:val="22"/>
              </w:rPr>
              <w:t>)</w:t>
            </w:r>
          </w:p>
          <w:p w:rsidR="0075123C" w:rsidRDefault="0075123C" w:rsidP="00033F35">
            <w:pPr>
              <w:rPr>
                <w:b/>
                <w:szCs w:val="22"/>
              </w:rPr>
            </w:pPr>
            <w:r>
              <w:rPr>
                <w:b/>
                <w:szCs w:val="22"/>
              </w:rPr>
              <w:t>)</w:t>
            </w:r>
          </w:p>
          <w:p w:rsidR="0075123C" w:rsidRDefault="0075123C" w:rsidP="00033F35">
            <w:pPr>
              <w:rPr>
                <w:b/>
                <w:szCs w:val="22"/>
              </w:rPr>
            </w:pPr>
            <w:r>
              <w:rPr>
                <w:b/>
                <w:szCs w:val="22"/>
              </w:rPr>
              <w:t>)</w:t>
            </w:r>
          </w:p>
          <w:p w:rsidR="0075123C" w:rsidRDefault="0075123C" w:rsidP="00033F35">
            <w:pPr>
              <w:rPr>
                <w:b/>
                <w:szCs w:val="22"/>
              </w:rPr>
            </w:pPr>
            <w:r>
              <w:rPr>
                <w:b/>
                <w:szCs w:val="22"/>
              </w:rPr>
              <w:t>)</w:t>
            </w:r>
          </w:p>
          <w:p w:rsidR="0075123C" w:rsidRDefault="0075123C" w:rsidP="00033F35">
            <w:pPr>
              <w:rPr>
                <w:b/>
                <w:szCs w:val="22"/>
              </w:rPr>
            </w:pPr>
            <w:r>
              <w:rPr>
                <w:b/>
                <w:szCs w:val="22"/>
              </w:rPr>
              <w:t>)</w:t>
            </w:r>
          </w:p>
          <w:p w:rsidR="0075123C" w:rsidRDefault="0075123C" w:rsidP="00033F35">
            <w:pPr>
              <w:rPr>
                <w:b/>
                <w:szCs w:val="22"/>
              </w:rPr>
            </w:pPr>
            <w:r>
              <w:rPr>
                <w:b/>
                <w:szCs w:val="22"/>
              </w:rPr>
              <w:t>)</w:t>
            </w:r>
          </w:p>
          <w:p w:rsidR="0075123C" w:rsidRDefault="0075123C" w:rsidP="00033F35">
            <w:pPr>
              <w:rPr>
                <w:b/>
                <w:szCs w:val="22"/>
              </w:rPr>
            </w:pPr>
            <w:r>
              <w:rPr>
                <w:b/>
                <w:szCs w:val="22"/>
              </w:rPr>
              <w:t>)</w:t>
            </w:r>
          </w:p>
          <w:p w:rsidR="00BB6D1D" w:rsidRDefault="00BB6D1D" w:rsidP="00033F35">
            <w:pPr>
              <w:rPr>
                <w:b/>
                <w:szCs w:val="22"/>
              </w:rPr>
            </w:pPr>
            <w:r>
              <w:rPr>
                <w:b/>
                <w:szCs w:val="22"/>
              </w:rPr>
              <w:t>)</w:t>
            </w:r>
          </w:p>
          <w:p w:rsidR="00BB6D1D" w:rsidRDefault="00BB6D1D" w:rsidP="00033F35">
            <w:pPr>
              <w:rPr>
                <w:b/>
                <w:szCs w:val="22"/>
              </w:rPr>
            </w:pPr>
            <w:r>
              <w:rPr>
                <w:b/>
                <w:szCs w:val="22"/>
              </w:rPr>
              <w:t>)</w:t>
            </w:r>
          </w:p>
          <w:p w:rsidR="00BB6D1D" w:rsidRDefault="00BB6D1D" w:rsidP="00033F35">
            <w:pPr>
              <w:rPr>
                <w:b/>
                <w:szCs w:val="22"/>
              </w:rPr>
            </w:pPr>
            <w:r>
              <w:rPr>
                <w:b/>
                <w:szCs w:val="22"/>
              </w:rPr>
              <w:t>)</w:t>
            </w:r>
          </w:p>
          <w:p w:rsidR="00BB6D1D" w:rsidRDefault="00BB6D1D" w:rsidP="00033F35">
            <w:pPr>
              <w:rPr>
                <w:b/>
                <w:szCs w:val="22"/>
              </w:rPr>
            </w:pPr>
            <w:r>
              <w:rPr>
                <w:b/>
                <w:szCs w:val="22"/>
              </w:rPr>
              <w:t>)</w:t>
            </w:r>
          </w:p>
          <w:p w:rsidR="00BB6D1D" w:rsidRDefault="00BB6D1D" w:rsidP="00033F35">
            <w:pPr>
              <w:rPr>
                <w:b/>
                <w:szCs w:val="22"/>
              </w:rPr>
            </w:pPr>
            <w:r>
              <w:rPr>
                <w:b/>
                <w:szCs w:val="22"/>
              </w:rPr>
              <w:t>)</w:t>
            </w:r>
          </w:p>
          <w:p w:rsidR="00BB6D1D" w:rsidRDefault="00BB6D1D" w:rsidP="00033F35">
            <w:pPr>
              <w:rPr>
                <w:b/>
                <w:szCs w:val="22"/>
              </w:rPr>
            </w:pPr>
            <w:r>
              <w:rPr>
                <w:b/>
                <w:szCs w:val="22"/>
              </w:rPr>
              <w:t>)</w:t>
            </w:r>
          </w:p>
          <w:p w:rsidR="00BB6D1D" w:rsidRDefault="00BB6D1D" w:rsidP="00033F35">
            <w:pPr>
              <w:rPr>
                <w:b/>
                <w:szCs w:val="22"/>
              </w:rPr>
            </w:pPr>
            <w:r>
              <w:rPr>
                <w:b/>
                <w:szCs w:val="22"/>
              </w:rPr>
              <w:t>)</w:t>
            </w:r>
          </w:p>
          <w:p w:rsidR="00BB6D1D" w:rsidRDefault="00BB6D1D" w:rsidP="00033F35">
            <w:pPr>
              <w:rPr>
                <w:b/>
                <w:szCs w:val="22"/>
              </w:rPr>
            </w:pPr>
            <w:r>
              <w:rPr>
                <w:b/>
                <w:szCs w:val="22"/>
              </w:rPr>
              <w:t>)</w:t>
            </w:r>
          </w:p>
          <w:p w:rsidR="00BB6D1D" w:rsidRDefault="00BB6D1D" w:rsidP="00033F35">
            <w:pPr>
              <w:rPr>
                <w:b/>
                <w:szCs w:val="22"/>
              </w:rPr>
            </w:pPr>
            <w:r>
              <w:rPr>
                <w:b/>
                <w:szCs w:val="22"/>
              </w:rPr>
              <w:t>)</w:t>
            </w:r>
          </w:p>
          <w:p w:rsidR="00BB6D1D" w:rsidRDefault="00BB6D1D" w:rsidP="00033F35">
            <w:pPr>
              <w:rPr>
                <w:b/>
                <w:szCs w:val="22"/>
              </w:rPr>
            </w:pPr>
            <w:r>
              <w:rPr>
                <w:b/>
                <w:szCs w:val="22"/>
              </w:rPr>
              <w:t>)</w:t>
            </w:r>
          </w:p>
          <w:p w:rsidR="00BB6D1D" w:rsidRDefault="00BB6D1D" w:rsidP="00033F35">
            <w:pPr>
              <w:rPr>
                <w:b/>
                <w:szCs w:val="22"/>
              </w:rPr>
            </w:pPr>
            <w:r>
              <w:rPr>
                <w:b/>
                <w:szCs w:val="22"/>
              </w:rPr>
              <w:t>)</w:t>
            </w:r>
          </w:p>
          <w:p w:rsidR="00BB6D1D" w:rsidRDefault="00BB6D1D" w:rsidP="00033F35">
            <w:pPr>
              <w:rPr>
                <w:b/>
                <w:szCs w:val="22"/>
              </w:rPr>
            </w:pPr>
            <w:r>
              <w:rPr>
                <w:b/>
                <w:szCs w:val="22"/>
              </w:rPr>
              <w:t>)</w:t>
            </w:r>
          </w:p>
          <w:p w:rsidR="00BB6D1D" w:rsidRDefault="00BB6D1D" w:rsidP="00033F35">
            <w:pPr>
              <w:rPr>
                <w:b/>
                <w:szCs w:val="22"/>
              </w:rPr>
            </w:pPr>
            <w:r>
              <w:rPr>
                <w:b/>
                <w:szCs w:val="22"/>
              </w:rPr>
              <w:t>)</w:t>
            </w:r>
          </w:p>
          <w:p w:rsidR="00297313" w:rsidRDefault="00297313" w:rsidP="00033F35">
            <w:pPr>
              <w:rPr>
                <w:b/>
                <w:szCs w:val="22"/>
              </w:rPr>
            </w:pPr>
            <w:r>
              <w:rPr>
                <w:b/>
                <w:szCs w:val="22"/>
              </w:rPr>
              <w:t>)</w:t>
            </w:r>
          </w:p>
          <w:p w:rsidR="00297313" w:rsidRDefault="00297313" w:rsidP="00033F35">
            <w:pPr>
              <w:rPr>
                <w:b/>
                <w:szCs w:val="22"/>
              </w:rPr>
            </w:pPr>
            <w:r>
              <w:rPr>
                <w:b/>
                <w:szCs w:val="22"/>
              </w:rPr>
              <w:t>)</w:t>
            </w:r>
          </w:p>
          <w:p w:rsidR="0075123C" w:rsidRPr="00BA30CA" w:rsidRDefault="00297313" w:rsidP="00D845A8">
            <w:pPr>
              <w:rPr>
                <w:b/>
                <w:szCs w:val="22"/>
              </w:rPr>
            </w:pPr>
            <w:r>
              <w:rPr>
                <w:b/>
                <w:szCs w:val="22"/>
              </w:rPr>
              <w:t>)</w:t>
            </w:r>
          </w:p>
        </w:tc>
        <w:tc>
          <w:tcPr>
            <w:tcW w:w="4230" w:type="dxa"/>
          </w:tcPr>
          <w:p w:rsidR="0075123C" w:rsidRPr="00BA30CA" w:rsidRDefault="0075123C" w:rsidP="00033F35">
            <w:pPr>
              <w:rPr>
                <w:szCs w:val="22"/>
              </w:rPr>
            </w:pPr>
          </w:p>
          <w:p w:rsidR="0075123C" w:rsidRPr="00BA30CA" w:rsidRDefault="0075123C" w:rsidP="00033F35">
            <w:pPr>
              <w:rPr>
                <w:szCs w:val="22"/>
              </w:rPr>
            </w:pPr>
          </w:p>
          <w:p w:rsidR="0075123C" w:rsidRPr="00BA30CA" w:rsidRDefault="00D845A8" w:rsidP="00033F35">
            <w:pPr>
              <w:rPr>
                <w:szCs w:val="22"/>
              </w:rPr>
            </w:pPr>
            <w:r w:rsidRPr="0064032D">
              <w:t>EB Docket No. 11-71</w:t>
            </w:r>
          </w:p>
          <w:p w:rsidR="0075123C" w:rsidRDefault="00D845A8" w:rsidP="00033F35">
            <w:r w:rsidRPr="0064032D">
              <w:t>File No. EB-09-IH-1751</w:t>
            </w:r>
          </w:p>
          <w:p w:rsidR="00D845A8" w:rsidRDefault="00D845A8" w:rsidP="00033F35">
            <w:r w:rsidRPr="0064032D">
              <w:t>FRN:  0013587779</w:t>
            </w:r>
          </w:p>
          <w:p w:rsidR="00D845A8" w:rsidRDefault="00D845A8" w:rsidP="00033F35"/>
          <w:p w:rsidR="00D845A8" w:rsidRDefault="00D845A8" w:rsidP="00033F35"/>
          <w:p w:rsidR="00D845A8" w:rsidRDefault="00D845A8" w:rsidP="00033F35">
            <w:r w:rsidRPr="0064032D">
              <w:t>Application File Nos.</w:t>
            </w:r>
          </w:p>
          <w:p w:rsidR="00D845A8" w:rsidRDefault="00D845A8" w:rsidP="00033F35">
            <w:r w:rsidRPr="0064032D">
              <w:t>0004030479, 0004144435</w:t>
            </w:r>
          </w:p>
          <w:p w:rsidR="00D845A8" w:rsidRDefault="00D845A8" w:rsidP="00033F35">
            <w:r w:rsidRPr="0064032D">
              <w:t>0004193028, 0004193328</w:t>
            </w:r>
          </w:p>
          <w:p w:rsidR="00D845A8" w:rsidRDefault="00D845A8" w:rsidP="00033F35">
            <w:r w:rsidRPr="0064032D">
              <w:t>0004354053, 0004309872,</w:t>
            </w:r>
          </w:p>
          <w:p w:rsidR="00D845A8" w:rsidRDefault="00D845A8" w:rsidP="00033F35">
            <w:r w:rsidRPr="0064032D">
              <w:t>0004310060, 0004314903,</w:t>
            </w:r>
          </w:p>
          <w:p w:rsidR="00D845A8" w:rsidRDefault="00D845A8" w:rsidP="00033F35">
            <w:r w:rsidRPr="0064032D">
              <w:t xml:space="preserve">0004315013, 0004430505, </w:t>
            </w:r>
          </w:p>
          <w:p w:rsidR="00D845A8" w:rsidRDefault="00D845A8" w:rsidP="00033F35">
            <w:r w:rsidRPr="0064032D">
              <w:t xml:space="preserve">0004417199, 0004419431  </w:t>
            </w:r>
          </w:p>
          <w:p w:rsidR="00D845A8" w:rsidRDefault="00D845A8" w:rsidP="00033F35">
            <w:r w:rsidRPr="0064032D">
              <w:t>0004422320, 0004422329,</w:t>
            </w:r>
          </w:p>
          <w:p w:rsidR="00D845A8" w:rsidRDefault="00D845A8" w:rsidP="00033F35">
            <w:r w:rsidRPr="0064032D">
              <w:t xml:space="preserve">0004507921, 0004153701,  </w:t>
            </w:r>
          </w:p>
          <w:p w:rsidR="00D845A8" w:rsidRPr="00BA30CA" w:rsidRDefault="00D845A8" w:rsidP="00033F35">
            <w:pPr>
              <w:rPr>
                <w:szCs w:val="22"/>
              </w:rPr>
            </w:pPr>
            <w:r w:rsidRPr="0064032D">
              <w:t>0004526264, and 0004604962</w:t>
            </w:r>
          </w:p>
        </w:tc>
      </w:tr>
    </w:tbl>
    <w:p w:rsidR="007E2FBE" w:rsidRPr="000561E6" w:rsidRDefault="007E2FBE" w:rsidP="00E261AD">
      <w:r w:rsidRPr="000561E6">
        <w:rPr>
          <w:b/>
        </w:rPr>
        <w:tab/>
      </w:r>
      <w:r w:rsidRPr="000561E6">
        <w:rPr>
          <w:b/>
        </w:rPr>
        <w:tab/>
      </w:r>
      <w:r w:rsidRPr="000561E6">
        <w:rPr>
          <w:b/>
        </w:rPr>
        <w:tab/>
      </w:r>
      <w:r w:rsidRPr="000561E6">
        <w:rPr>
          <w:b/>
        </w:rPr>
        <w:tab/>
      </w:r>
      <w:r w:rsidRPr="000561E6">
        <w:rPr>
          <w:b/>
        </w:rPr>
        <w:tab/>
      </w:r>
      <w:r w:rsidRPr="000561E6">
        <w:rPr>
          <w:b/>
        </w:rPr>
        <w:tab/>
      </w:r>
      <w:r w:rsidRPr="000561E6">
        <w:rPr>
          <w:b/>
        </w:rPr>
        <w:tab/>
      </w:r>
      <w:r w:rsidRPr="000561E6">
        <w:rPr>
          <w:b/>
        </w:rPr>
        <w:tab/>
      </w:r>
      <w:r w:rsidRPr="000561E6">
        <w:rPr>
          <w:b/>
        </w:rPr>
        <w:tab/>
      </w:r>
      <w:r w:rsidRPr="000561E6">
        <w:rPr>
          <w:b/>
        </w:rPr>
        <w:tab/>
      </w:r>
    </w:p>
    <w:p w:rsidR="007E2FBE" w:rsidRDefault="00E730E6" w:rsidP="00E261AD">
      <w:pPr>
        <w:jc w:val="center"/>
        <w:rPr>
          <w:b/>
        </w:rPr>
      </w:pPr>
      <w:r w:rsidRPr="000561E6">
        <w:rPr>
          <w:b/>
        </w:rPr>
        <w:t xml:space="preserve">MEMORANDUM OPINION AND </w:t>
      </w:r>
      <w:r w:rsidR="007E2FBE" w:rsidRPr="000561E6">
        <w:rPr>
          <w:b/>
        </w:rPr>
        <w:t>ORDER</w:t>
      </w:r>
    </w:p>
    <w:p w:rsidR="00902AEC" w:rsidRDefault="00902AEC" w:rsidP="00E261AD">
      <w:pPr>
        <w:jc w:val="center"/>
        <w:rPr>
          <w:b/>
        </w:rPr>
      </w:pPr>
    </w:p>
    <w:p w:rsidR="007E2FBE" w:rsidRPr="000561E6" w:rsidRDefault="00902AEC" w:rsidP="00902AEC">
      <w:pPr>
        <w:tabs>
          <w:tab w:val="right" w:pos="9360"/>
        </w:tabs>
        <w:rPr>
          <w:b/>
        </w:rPr>
      </w:pPr>
      <w:r w:rsidRPr="00BA30CA">
        <w:rPr>
          <w:b/>
          <w:szCs w:val="22"/>
        </w:rPr>
        <w:t xml:space="preserve">Adopted:  </w:t>
      </w:r>
      <w:r w:rsidR="008B3D53">
        <w:rPr>
          <w:b/>
          <w:szCs w:val="22"/>
        </w:rPr>
        <w:t xml:space="preserve">October 7, </w:t>
      </w:r>
      <w:r>
        <w:rPr>
          <w:b/>
          <w:szCs w:val="22"/>
        </w:rPr>
        <w:t>2014</w:t>
      </w:r>
      <w:r w:rsidRPr="00BA30CA">
        <w:rPr>
          <w:b/>
          <w:szCs w:val="22"/>
        </w:rPr>
        <w:tab/>
        <w:t xml:space="preserve">Released:  </w:t>
      </w:r>
      <w:r w:rsidR="00650824">
        <w:rPr>
          <w:b/>
          <w:szCs w:val="22"/>
        </w:rPr>
        <w:t xml:space="preserve">October </w:t>
      </w:r>
      <w:r w:rsidR="00F97451">
        <w:rPr>
          <w:b/>
          <w:szCs w:val="22"/>
        </w:rPr>
        <w:t>14</w:t>
      </w:r>
      <w:r w:rsidR="00650824">
        <w:rPr>
          <w:b/>
          <w:szCs w:val="22"/>
        </w:rPr>
        <w:t>,</w:t>
      </w:r>
      <w:r>
        <w:rPr>
          <w:b/>
          <w:szCs w:val="22"/>
        </w:rPr>
        <w:t xml:space="preserve"> 2014</w:t>
      </w:r>
    </w:p>
    <w:p w:rsidR="00BD5610" w:rsidRPr="000561E6" w:rsidRDefault="00BD5610" w:rsidP="00E261AD">
      <w:pPr>
        <w:jc w:val="both"/>
        <w:rPr>
          <w:b/>
        </w:rPr>
      </w:pPr>
    </w:p>
    <w:p w:rsidR="00BD5610" w:rsidRDefault="007D1103" w:rsidP="00E261AD">
      <w:r w:rsidRPr="000561E6">
        <w:t>By the Commission:</w:t>
      </w:r>
    </w:p>
    <w:p w:rsidR="00601606" w:rsidRPr="000561E6" w:rsidRDefault="00601606" w:rsidP="00E261AD"/>
    <w:p w:rsidR="000561E6" w:rsidRPr="000561E6" w:rsidRDefault="007D1103" w:rsidP="00E261AD">
      <w:pPr>
        <w:pStyle w:val="Heading1"/>
      </w:pPr>
      <w:r w:rsidRPr="00727998">
        <w:t>INTRODUCTION</w:t>
      </w:r>
    </w:p>
    <w:p w:rsidR="00982B46" w:rsidRDefault="00E730E6" w:rsidP="00D8362B">
      <w:pPr>
        <w:pStyle w:val="ParaNum"/>
      </w:pPr>
      <w:r w:rsidRPr="007A6B95">
        <w:t xml:space="preserve">By this memorandum opinion and order, we </w:t>
      </w:r>
      <w:r w:rsidR="00033F35">
        <w:t xml:space="preserve">dismiss </w:t>
      </w:r>
      <w:r w:rsidRPr="007A6B95">
        <w:t>the “</w:t>
      </w:r>
      <w:r w:rsidR="00283B6F" w:rsidRPr="007A6B95">
        <w:t xml:space="preserve">Appeal under Rule § 1.301(a),” </w:t>
      </w:r>
      <w:r w:rsidR="000561E6" w:rsidRPr="007A6B95">
        <w:t xml:space="preserve">filed </w:t>
      </w:r>
      <w:r w:rsidR="00375E80">
        <w:t xml:space="preserve">January 28, 2014 </w:t>
      </w:r>
      <w:r w:rsidR="00E776DC" w:rsidRPr="007A6B95">
        <w:t>(as corrected</w:t>
      </w:r>
      <w:r w:rsidR="00E3204D">
        <w:t>)</w:t>
      </w:r>
      <w:r w:rsidR="000561E6" w:rsidRPr="007A6B95">
        <w:t>, by Warren Havens</w:t>
      </w:r>
      <w:r w:rsidR="00375E80">
        <w:t xml:space="preserve"> (</w:t>
      </w:r>
      <w:r w:rsidR="00600158" w:rsidRPr="007A6B95">
        <w:t>Appeal</w:t>
      </w:r>
      <w:r w:rsidR="000629EB" w:rsidRPr="007A6B95">
        <w:t>)</w:t>
      </w:r>
      <w:r w:rsidR="000561E6" w:rsidRPr="007A6B95">
        <w:t>.</w:t>
      </w:r>
      <w:r w:rsidR="00975E5C" w:rsidRPr="007A6B95">
        <w:t xml:space="preserve">  </w:t>
      </w:r>
      <w:r w:rsidR="000629EB" w:rsidRPr="007A6B95">
        <w:t xml:space="preserve">Havens seeks interlocutory review of a procedural ruling </w:t>
      </w:r>
      <w:r w:rsidR="00853B2F" w:rsidRPr="007A6B95">
        <w:t>(</w:t>
      </w:r>
      <w:r w:rsidR="00D609FA">
        <w:t>14M-3)</w:t>
      </w:r>
      <w:r w:rsidR="00853B2F" w:rsidRPr="007A6B95">
        <w:t xml:space="preserve"> </w:t>
      </w:r>
      <w:r w:rsidR="000629EB" w:rsidRPr="007A6B95">
        <w:t xml:space="preserve">by Chief Administrative Law Judge Richard L. Sippel (ALJ) </w:t>
      </w:r>
      <w:r w:rsidR="004B55EE">
        <w:t xml:space="preserve">that rejected </w:t>
      </w:r>
      <w:r w:rsidR="00083D86">
        <w:t>Havens’ claim of attorney-client privilege at a pre</w:t>
      </w:r>
      <w:r w:rsidR="00375E80">
        <w:t>hearing conference.</w:t>
      </w:r>
      <w:r w:rsidR="000629EB">
        <w:rPr>
          <w:rStyle w:val="FootnoteReference"/>
        </w:rPr>
        <w:footnoteReference w:id="2"/>
      </w:r>
      <w:r w:rsidR="000915AC" w:rsidRPr="007A6B95">
        <w:t xml:space="preserve">  </w:t>
      </w:r>
      <w:r w:rsidR="007A6B95">
        <w:t xml:space="preserve">We </w:t>
      </w:r>
      <w:r w:rsidR="00033F35">
        <w:t xml:space="preserve">find that a subsequent ruling </w:t>
      </w:r>
      <w:r w:rsidR="00033F35">
        <w:lastRenderedPageBreak/>
        <w:t>by the ALJ</w:t>
      </w:r>
      <w:r w:rsidR="004B721C">
        <w:t xml:space="preserve"> has mooted appeal of the attorney-client privilege question.</w:t>
      </w:r>
      <w:r w:rsidR="00033F35">
        <w:rPr>
          <w:rStyle w:val="FootnoteReference"/>
        </w:rPr>
        <w:footnoteReference w:id="3"/>
      </w:r>
      <w:r w:rsidR="00033F35">
        <w:t xml:space="preserve"> </w:t>
      </w:r>
      <w:r w:rsidR="004B721C">
        <w:t xml:space="preserve"> </w:t>
      </w:r>
      <w:r w:rsidR="00D609FA">
        <w:t xml:space="preserve">We also dismiss </w:t>
      </w:r>
      <w:r w:rsidR="00FB511F">
        <w:t>six</w:t>
      </w:r>
      <w:r w:rsidR="0092760C">
        <w:t xml:space="preserve"> </w:t>
      </w:r>
      <w:r w:rsidR="00350BB6">
        <w:t>other</w:t>
      </w:r>
      <w:r w:rsidR="005531A7">
        <w:t xml:space="preserve"> </w:t>
      </w:r>
      <w:r w:rsidR="00D609FA">
        <w:t>interlocutory appeals</w:t>
      </w:r>
      <w:r w:rsidR="004B721C">
        <w:t xml:space="preserve"> that Havens has filed concerning the same proceeding</w:t>
      </w:r>
      <w:r w:rsidR="00D609FA">
        <w:t>.</w:t>
      </w:r>
      <w:r w:rsidR="00361B64" w:rsidRPr="007A6B95">
        <w:t xml:space="preserve">  </w:t>
      </w:r>
    </w:p>
    <w:p w:rsidR="0087400B" w:rsidRDefault="00982B46" w:rsidP="00E261AD">
      <w:pPr>
        <w:pStyle w:val="Heading1"/>
      </w:pPr>
      <w:r w:rsidRPr="00D175AE">
        <w:t>BACKGROUND</w:t>
      </w:r>
    </w:p>
    <w:p w:rsidR="00CB007C" w:rsidRDefault="00B667C7" w:rsidP="00D8362B">
      <w:pPr>
        <w:pStyle w:val="ParaNum"/>
      </w:pPr>
      <w:r w:rsidRPr="00701C55">
        <w:rPr>
          <w:u w:val="single"/>
        </w:rPr>
        <w:t>Proceedings below</w:t>
      </w:r>
      <w:r w:rsidRPr="006155A9">
        <w:t xml:space="preserve">.  </w:t>
      </w:r>
      <w:r w:rsidR="00D87E61" w:rsidRPr="006155A9">
        <w:t>In this hearing proceeding</w:t>
      </w:r>
      <w:r w:rsidR="004B721C">
        <w:t xml:space="preserve">, </w:t>
      </w:r>
      <w:r w:rsidR="00157077" w:rsidRPr="006155A9">
        <w:t>EB Docket No. 11-71</w:t>
      </w:r>
      <w:r w:rsidR="004B721C">
        <w:t xml:space="preserve"> (Maritime Proceeding</w:t>
      </w:r>
      <w:r w:rsidR="00157077" w:rsidRPr="006155A9">
        <w:t>)</w:t>
      </w:r>
      <w:r w:rsidR="00D87E61" w:rsidRPr="006155A9">
        <w:t xml:space="preserve">, the Commission designated </w:t>
      </w:r>
      <w:r w:rsidR="00157077" w:rsidRPr="006155A9">
        <w:t>issues against a company called Maritime Communications/Land Mobile, LLC (</w:t>
      </w:r>
      <w:r w:rsidR="009D4872">
        <w:t>Maritime</w:t>
      </w:r>
      <w:r w:rsidR="00157077" w:rsidRPr="006155A9">
        <w:t xml:space="preserve">) to determine whether </w:t>
      </w:r>
      <w:r w:rsidR="004B55EE">
        <w:t>Maritime’s</w:t>
      </w:r>
      <w:r w:rsidR="004B55EE" w:rsidRPr="006155A9">
        <w:t xml:space="preserve"> </w:t>
      </w:r>
      <w:r w:rsidR="00157077" w:rsidRPr="006155A9">
        <w:t>wireless radio licenses should be revoked and its related wireless radio applications should be denied.</w:t>
      </w:r>
      <w:r w:rsidR="00157077" w:rsidRPr="00157077">
        <w:rPr>
          <w:rStyle w:val="FootnoteReference"/>
        </w:rPr>
        <w:footnoteReference w:id="4"/>
      </w:r>
      <w:r w:rsidR="00157077" w:rsidRPr="006155A9">
        <w:t xml:space="preserve">  The </w:t>
      </w:r>
      <w:r w:rsidR="00D87E61" w:rsidRPr="006155A9">
        <w:t xml:space="preserve">designated issues include </w:t>
      </w:r>
      <w:r w:rsidR="00157077" w:rsidRPr="006155A9">
        <w:t xml:space="preserve">whether </w:t>
      </w:r>
      <w:r w:rsidR="009D4872">
        <w:t>Maritime</w:t>
      </w:r>
      <w:r w:rsidR="00157077" w:rsidRPr="006155A9">
        <w:t xml:space="preserve"> failed to disclose its real-parties-in-interest, whether </w:t>
      </w:r>
      <w:r w:rsidR="009D4872">
        <w:t>Maritime</w:t>
      </w:r>
      <w:r w:rsidR="00157077" w:rsidRPr="006155A9">
        <w:t xml:space="preserve"> made misrepresentations or lacked candor, whether </w:t>
      </w:r>
      <w:r w:rsidR="009D4872">
        <w:t>Maritime</w:t>
      </w:r>
      <w:r w:rsidR="00157077" w:rsidRPr="006155A9">
        <w:t xml:space="preserve"> committed </w:t>
      </w:r>
      <w:r w:rsidR="00DF762D">
        <w:t xml:space="preserve">rules </w:t>
      </w:r>
      <w:r w:rsidR="0025489F">
        <w:t>violations</w:t>
      </w:r>
      <w:r w:rsidR="00157077" w:rsidRPr="006155A9">
        <w:t xml:space="preserve">, and whether certain of </w:t>
      </w:r>
      <w:r w:rsidR="009D4872">
        <w:t>Maritime</w:t>
      </w:r>
      <w:r w:rsidR="00157077" w:rsidRPr="006155A9">
        <w:t>’s license</w:t>
      </w:r>
      <w:r w:rsidR="0038512C">
        <w:t>s</w:t>
      </w:r>
      <w:r w:rsidR="00157077" w:rsidRPr="006155A9">
        <w:t xml:space="preserve"> </w:t>
      </w:r>
      <w:r w:rsidR="009D4872">
        <w:t xml:space="preserve">automatically </w:t>
      </w:r>
      <w:r w:rsidR="00157077" w:rsidRPr="006155A9">
        <w:t>cancelled for failure to construct or operate.</w:t>
      </w:r>
      <w:r w:rsidR="00157077" w:rsidRPr="00157077">
        <w:rPr>
          <w:rStyle w:val="FootnoteReference"/>
        </w:rPr>
        <w:footnoteReference w:id="5"/>
      </w:r>
      <w:r w:rsidR="00157077" w:rsidRPr="006155A9">
        <w:t xml:space="preserve">  Havens </w:t>
      </w:r>
      <w:r w:rsidR="008363AD">
        <w:t xml:space="preserve">is a </w:t>
      </w:r>
      <w:r w:rsidR="00157077" w:rsidRPr="006155A9">
        <w:t>part</w:t>
      </w:r>
      <w:r w:rsidR="008363AD">
        <w:t>y</w:t>
      </w:r>
      <w:r w:rsidR="00157077" w:rsidRPr="006155A9">
        <w:t xml:space="preserve"> to the </w:t>
      </w:r>
      <w:r w:rsidR="009D4872">
        <w:t>Maritime</w:t>
      </w:r>
      <w:r w:rsidR="00157077" w:rsidRPr="006155A9">
        <w:t xml:space="preserve"> </w:t>
      </w:r>
      <w:r w:rsidR="005E6B9D">
        <w:t>P</w:t>
      </w:r>
      <w:r w:rsidR="009158EC" w:rsidRPr="006155A9">
        <w:t>roceeding</w:t>
      </w:r>
      <w:r w:rsidR="00157077" w:rsidRPr="006155A9">
        <w:t xml:space="preserve">.  </w:t>
      </w:r>
    </w:p>
    <w:p w:rsidR="00472646" w:rsidRDefault="00CB007C" w:rsidP="00D8362B">
      <w:pPr>
        <w:pStyle w:val="ParaNum"/>
      </w:pPr>
      <w:r w:rsidRPr="00B8116D">
        <w:t xml:space="preserve">The ALJ stayed the </w:t>
      </w:r>
      <w:r w:rsidR="009D4872">
        <w:t>Maritime</w:t>
      </w:r>
      <w:r w:rsidRPr="00B8116D">
        <w:t xml:space="preserve"> </w:t>
      </w:r>
      <w:r w:rsidR="005E6B9D">
        <w:t>P</w:t>
      </w:r>
      <w:r w:rsidRPr="00B8116D">
        <w:t xml:space="preserve">roceeding, with the exception of one issue, </w:t>
      </w:r>
      <w:r w:rsidR="00D7206C">
        <w:t>to permit</w:t>
      </w:r>
      <w:r w:rsidRPr="00B8116D">
        <w:t xml:space="preserve"> the Commission </w:t>
      </w:r>
      <w:r w:rsidR="00D7206C">
        <w:t>to</w:t>
      </w:r>
      <w:r w:rsidR="00D7206C" w:rsidRPr="00B8116D">
        <w:t xml:space="preserve"> </w:t>
      </w:r>
      <w:r w:rsidRPr="00B8116D">
        <w:t xml:space="preserve">consider whether </w:t>
      </w:r>
      <w:r w:rsidR="009D4872">
        <w:t>Maritime</w:t>
      </w:r>
      <w:r w:rsidRPr="00B8116D">
        <w:t xml:space="preserve"> should be </w:t>
      </w:r>
      <w:r w:rsidR="006C4260">
        <w:t>allowed</w:t>
      </w:r>
      <w:r w:rsidR="006C4260" w:rsidRPr="00B8116D">
        <w:t xml:space="preserve"> </w:t>
      </w:r>
      <w:r w:rsidRPr="00B8116D">
        <w:t xml:space="preserve">to transfer its authorizations pursuant to the Commission’s </w:t>
      </w:r>
      <w:r w:rsidRPr="00B8116D">
        <w:rPr>
          <w:i/>
        </w:rPr>
        <w:t xml:space="preserve">Second Thursday </w:t>
      </w:r>
      <w:r w:rsidRPr="00B8116D">
        <w:t>doctrine.</w:t>
      </w:r>
      <w:r>
        <w:rPr>
          <w:rStyle w:val="FootnoteReference"/>
        </w:rPr>
        <w:footnoteReference w:id="6"/>
      </w:r>
      <w:r w:rsidRPr="00B8116D">
        <w:t xml:space="preserve">  Litigation of the remaining issue, “Issue </w:t>
      </w:r>
      <w:r w:rsidR="00EA09A6" w:rsidRPr="00B8116D">
        <w:t>(g)</w:t>
      </w:r>
      <w:r w:rsidRPr="00B8116D">
        <w:t xml:space="preserve">,” </w:t>
      </w:r>
      <w:r w:rsidR="00F11FB3" w:rsidRPr="00B8116D">
        <w:t xml:space="preserve">which concerns the question of whether some of </w:t>
      </w:r>
      <w:r w:rsidR="009D4872">
        <w:t>Maritime</w:t>
      </w:r>
      <w:r w:rsidR="00F11FB3" w:rsidRPr="00B8116D">
        <w:t xml:space="preserve">’s licenses have </w:t>
      </w:r>
      <w:r w:rsidR="00334B9F">
        <w:t xml:space="preserve">automatically </w:t>
      </w:r>
      <w:r w:rsidR="00F11FB3" w:rsidRPr="00B8116D">
        <w:t xml:space="preserve">cancelled, </w:t>
      </w:r>
      <w:r w:rsidRPr="00B8116D">
        <w:t>has proceeded through the discovery phase</w:t>
      </w:r>
      <w:r w:rsidR="00F11FB3" w:rsidRPr="00B8116D">
        <w:t xml:space="preserve">.  </w:t>
      </w:r>
    </w:p>
    <w:p w:rsidR="00B8116D" w:rsidRPr="00472646" w:rsidRDefault="00B8116D" w:rsidP="00D8362B">
      <w:pPr>
        <w:pStyle w:val="ParaNum"/>
      </w:pPr>
      <w:r w:rsidRPr="00B8116D">
        <w:t xml:space="preserve">The matters before us arise from </w:t>
      </w:r>
      <w:r w:rsidR="009D4872">
        <w:t>M</w:t>
      </w:r>
      <w:r w:rsidR="00334B9F">
        <w:t>aritime</w:t>
      </w:r>
      <w:r w:rsidRPr="00B8116D">
        <w:t>’s attempts to obtain summary decision on Issue</w:t>
      </w:r>
      <w:r w:rsidR="0038512C">
        <w:t> </w:t>
      </w:r>
      <w:r w:rsidR="00472646">
        <w:t>(g)</w:t>
      </w:r>
      <w:r w:rsidRPr="00B8116D">
        <w:t xml:space="preserve"> and Havens’ opposition to these attempts.  </w:t>
      </w:r>
      <w:r w:rsidR="00F44C9A">
        <w:t>On August 14, 2013, t</w:t>
      </w:r>
      <w:r w:rsidRPr="00B8116D">
        <w:t xml:space="preserve">he ALJ granted in part and denied in part </w:t>
      </w:r>
      <w:r w:rsidR="009D4872">
        <w:t>M</w:t>
      </w:r>
      <w:r w:rsidR="00334B9F">
        <w:t>aritime</w:t>
      </w:r>
      <w:r w:rsidRPr="00B8116D">
        <w:t xml:space="preserve">’s </w:t>
      </w:r>
      <w:r w:rsidR="00C91CD1">
        <w:t xml:space="preserve">May 8, 2013, </w:t>
      </w:r>
      <w:r w:rsidR="00CB007C" w:rsidRPr="00B8116D">
        <w:t xml:space="preserve">Motion for Summary Decision </w:t>
      </w:r>
      <w:r w:rsidR="00A8386D" w:rsidRPr="00B8116D">
        <w:t xml:space="preserve">on </w:t>
      </w:r>
      <w:r w:rsidR="00472646">
        <w:t>Issue (g)</w:t>
      </w:r>
      <w:r w:rsidR="00CB007C" w:rsidRPr="00B8116D">
        <w:t>.</w:t>
      </w:r>
      <w:r w:rsidR="008D677F">
        <w:rPr>
          <w:rStyle w:val="FootnoteReference"/>
        </w:rPr>
        <w:footnoteReference w:id="7"/>
      </w:r>
      <w:r w:rsidR="00853B2F" w:rsidRPr="00B8116D">
        <w:t xml:space="preserve">  </w:t>
      </w:r>
      <w:r w:rsidR="00AF2065">
        <w:t xml:space="preserve">In partially denying the motion, the ALJ noted that Havens was appearing </w:t>
      </w:r>
      <w:r w:rsidR="00AF2065" w:rsidRPr="00701C55">
        <w:rPr>
          <w:i/>
        </w:rPr>
        <w:t>pro se</w:t>
      </w:r>
      <w:r w:rsidR="00AF2065">
        <w:t>, and that</w:t>
      </w:r>
      <w:r w:rsidR="00472646">
        <w:t xml:space="preserve">, </w:t>
      </w:r>
      <w:r w:rsidR="001F5EF9">
        <w:t xml:space="preserve">generally, </w:t>
      </w:r>
      <w:r w:rsidR="00472646">
        <w:t xml:space="preserve">pursuant to </w:t>
      </w:r>
      <w:r w:rsidR="00AF2065">
        <w:t>Commission policy</w:t>
      </w:r>
      <w:r w:rsidR="00472646">
        <w:t xml:space="preserve">, </w:t>
      </w:r>
      <w:r w:rsidR="00AF2065">
        <w:t xml:space="preserve">summary decision should </w:t>
      </w:r>
      <w:r w:rsidR="00472646">
        <w:t xml:space="preserve">not in fairness </w:t>
      </w:r>
      <w:r w:rsidR="00AF2065">
        <w:t xml:space="preserve">be used against parties who appear </w:t>
      </w:r>
      <w:r w:rsidR="00AF2065" w:rsidRPr="00701C55">
        <w:rPr>
          <w:i/>
        </w:rPr>
        <w:t>pro se.</w:t>
      </w:r>
      <w:r w:rsidR="00AF2065" w:rsidRPr="00AF2065">
        <w:rPr>
          <w:rStyle w:val="FootnoteReference"/>
        </w:rPr>
        <w:footnoteReference w:id="8"/>
      </w:r>
      <w:r w:rsidR="00AF2065" w:rsidRPr="00AF2065">
        <w:t xml:space="preserve"> </w:t>
      </w:r>
      <w:r w:rsidR="00AF2065" w:rsidRPr="00701C55">
        <w:rPr>
          <w:i/>
        </w:rPr>
        <w:t xml:space="preserve"> </w:t>
      </w:r>
      <w:r w:rsidR="00334B9F">
        <w:t xml:space="preserve">In response to Maritime’s continuing efforts to seek summary disposition, </w:t>
      </w:r>
      <w:r w:rsidR="00AF2065">
        <w:t>Havens subsequently</w:t>
      </w:r>
      <w:r w:rsidR="00E24AC1">
        <w:t xml:space="preserve">, on December 2, 13, </w:t>
      </w:r>
      <w:r w:rsidR="00AF2065">
        <w:t xml:space="preserve">filed a motion asking the ALJ to reject </w:t>
      </w:r>
      <w:r w:rsidR="00AC6764">
        <w:t xml:space="preserve">further </w:t>
      </w:r>
      <w:r w:rsidR="00AF2065">
        <w:t xml:space="preserve">summary disposition of Issue </w:t>
      </w:r>
      <w:r w:rsidR="00AC6764">
        <w:t>(g)</w:t>
      </w:r>
      <w:r w:rsidR="00AF2065">
        <w:t xml:space="preserve">.  In that motion, Havens indicated that </w:t>
      </w:r>
      <w:r w:rsidR="00AF2065" w:rsidRPr="00AA10FA">
        <w:t>“Havens</w:t>
      </w:r>
      <w:r w:rsidR="00E24AC1">
        <w:t>[’]</w:t>
      </w:r>
      <w:r w:rsidR="00AF2065" w:rsidRPr="00AA10FA">
        <w:t xml:space="preserve"> actions in this hearing on a pro se basis have been infor</w:t>
      </w:r>
      <w:r w:rsidR="00E24AC1">
        <w:t>med by assisting counsel as to procedure and substance</w:t>
      </w:r>
      <w:r w:rsidR="00AF2065">
        <w:t>.</w:t>
      </w:r>
      <w:r w:rsidR="00AF2065" w:rsidRPr="00AA10FA">
        <w:t>”</w:t>
      </w:r>
      <w:r w:rsidR="00AF2065">
        <w:rPr>
          <w:rStyle w:val="FootnoteReference"/>
        </w:rPr>
        <w:footnoteReference w:id="9"/>
      </w:r>
      <w:r w:rsidR="00472646">
        <w:t xml:space="preserve">  </w:t>
      </w:r>
      <w:r w:rsidR="004C2405">
        <w:t>On that same date, Maritime filed a further motion for summary disposition, in which the FCC’s Enforcement Bureau joined.</w:t>
      </w:r>
      <w:r w:rsidR="004C2405">
        <w:rPr>
          <w:rStyle w:val="FootnoteReference"/>
        </w:rPr>
        <w:footnoteReference w:id="10"/>
      </w:r>
      <w:r w:rsidR="004C2405">
        <w:t xml:space="preserve">  O</w:t>
      </w:r>
      <w:r w:rsidR="00E24AC1">
        <w:t xml:space="preserve">n December 16, 2013, </w:t>
      </w:r>
      <w:r w:rsidR="00472646">
        <w:t>responding</w:t>
      </w:r>
      <w:r w:rsidR="00DC4E57">
        <w:t xml:space="preserve"> to</w:t>
      </w:r>
      <w:r w:rsidR="00472646">
        <w:t xml:space="preserve"> </w:t>
      </w:r>
      <w:r w:rsidR="004C2405">
        <w:t>that</w:t>
      </w:r>
      <w:r w:rsidR="00472646">
        <w:t xml:space="preserve"> </w:t>
      </w:r>
      <w:r w:rsidR="004C2405">
        <w:t>joint motion,</w:t>
      </w:r>
      <w:r w:rsidR="00472646">
        <w:t xml:space="preserve"> Havens </w:t>
      </w:r>
      <w:r w:rsidR="006A2146">
        <w:t>(despite his ear</w:t>
      </w:r>
      <w:r w:rsidR="00981D42">
        <w:t>l</w:t>
      </w:r>
      <w:r w:rsidR="006A2146">
        <w:t xml:space="preserve">ier representations about </w:t>
      </w:r>
      <w:r w:rsidR="0060518B">
        <w:t>“</w:t>
      </w:r>
      <w:r w:rsidR="006A2146">
        <w:t>assisting co</w:t>
      </w:r>
      <w:r w:rsidR="00D45012">
        <w:t>u</w:t>
      </w:r>
      <w:r w:rsidR="006A2146">
        <w:t>nsel</w:t>
      </w:r>
      <w:r w:rsidR="0060518B">
        <w:t>”</w:t>
      </w:r>
      <w:r w:rsidR="006A2146">
        <w:t xml:space="preserve">) </w:t>
      </w:r>
      <w:r w:rsidR="00472646">
        <w:t>renewed his argument that summary decision should not be used against him because he is partic</w:t>
      </w:r>
      <w:r w:rsidR="00AC6764">
        <w:t>i</w:t>
      </w:r>
      <w:r w:rsidR="00472646">
        <w:t xml:space="preserve">pating </w:t>
      </w:r>
      <w:r w:rsidR="00AC6764">
        <w:t xml:space="preserve">in the proceeding </w:t>
      </w:r>
      <w:r w:rsidR="00472646" w:rsidRPr="00701C55">
        <w:rPr>
          <w:i/>
        </w:rPr>
        <w:t>pro</w:t>
      </w:r>
      <w:r w:rsidR="0060518B">
        <w:rPr>
          <w:i/>
        </w:rPr>
        <w:t> </w:t>
      </w:r>
      <w:r w:rsidR="00472646" w:rsidRPr="00701C55">
        <w:rPr>
          <w:i/>
        </w:rPr>
        <w:t>se.</w:t>
      </w:r>
      <w:r w:rsidR="00472646" w:rsidRPr="008E1829">
        <w:rPr>
          <w:rStyle w:val="FootnoteReference"/>
        </w:rPr>
        <w:footnoteReference w:id="11"/>
      </w:r>
      <w:r w:rsidR="004526BE" w:rsidRPr="00701C55">
        <w:rPr>
          <w:i/>
        </w:rPr>
        <w:t xml:space="preserve"> </w:t>
      </w:r>
      <w:r w:rsidR="0038512C">
        <w:rPr>
          <w:i/>
        </w:rPr>
        <w:t xml:space="preserve"> </w:t>
      </w:r>
      <w:r w:rsidR="00E24AC1">
        <w:t xml:space="preserve"> </w:t>
      </w:r>
    </w:p>
    <w:p w:rsidR="002E395C" w:rsidRDefault="0090104E" w:rsidP="002E395C">
      <w:pPr>
        <w:pStyle w:val="ParaNum"/>
      </w:pPr>
      <w:r>
        <w:t xml:space="preserve">In response to </w:t>
      </w:r>
      <w:r w:rsidR="00E24AC1">
        <w:t xml:space="preserve">Havens’ December 16 filing, </w:t>
      </w:r>
      <w:r w:rsidR="009D20FD">
        <w:t xml:space="preserve">the </w:t>
      </w:r>
      <w:r w:rsidR="00E3204D" w:rsidRPr="00AC2DA4">
        <w:t xml:space="preserve">ALJ </w:t>
      </w:r>
      <w:r w:rsidR="002E395C">
        <w:t xml:space="preserve">took several actions to inquire into </w:t>
      </w:r>
      <w:r w:rsidR="00E3204D" w:rsidRPr="00AC2DA4">
        <w:t>whether and to what extent Havens</w:t>
      </w:r>
      <w:r w:rsidR="004526BE">
        <w:t>’ pleadings reflect</w:t>
      </w:r>
      <w:r w:rsidR="00D91E18">
        <w:t>ed</w:t>
      </w:r>
      <w:r w:rsidR="004526BE">
        <w:t xml:space="preserve"> the assistance of counsel</w:t>
      </w:r>
      <w:r w:rsidR="00D91E18">
        <w:t>, ultimately scheduling</w:t>
      </w:r>
      <w:r w:rsidR="00576CCA" w:rsidRPr="00AC2DA4">
        <w:t xml:space="preserve"> a prehearing conference </w:t>
      </w:r>
      <w:r w:rsidR="00EC7458" w:rsidRPr="00AC2DA4">
        <w:t xml:space="preserve">to examine Havens’ </w:t>
      </w:r>
      <w:r w:rsidR="00D91E18">
        <w:t xml:space="preserve">assisting counsel </w:t>
      </w:r>
      <w:r w:rsidR="00A13765">
        <w:t>regarding</w:t>
      </w:r>
      <w:r w:rsidR="00850D1A">
        <w:t xml:space="preserve"> </w:t>
      </w:r>
      <w:r w:rsidR="00AC6764">
        <w:t>the</w:t>
      </w:r>
      <w:r w:rsidR="00A13765">
        <w:t xml:space="preserve"> nature and scope of</w:t>
      </w:r>
      <w:r w:rsidR="00AC6764">
        <w:t xml:space="preserve"> </w:t>
      </w:r>
      <w:r w:rsidR="004C2405">
        <w:t xml:space="preserve">the </w:t>
      </w:r>
      <w:r w:rsidR="00AC6764">
        <w:t xml:space="preserve">services they </w:t>
      </w:r>
      <w:r w:rsidR="004C2405">
        <w:t xml:space="preserve">have </w:t>
      </w:r>
      <w:r w:rsidR="00AC6764">
        <w:t>provided Havens</w:t>
      </w:r>
      <w:r w:rsidR="00EC7458" w:rsidRPr="00AC2DA4">
        <w:t>.</w:t>
      </w:r>
      <w:r w:rsidR="00EC7458">
        <w:rPr>
          <w:rStyle w:val="FootnoteReference"/>
        </w:rPr>
        <w:footnoteReference w:id="12"/>
      </w:r>
      <w:r w:rsidR="00EC7458" w:rsidRPr="00AC2DA4">
        <w:t xml:space="preserve">  </w:t>
      </w:r>
      <w:r w:rsidR="00D91E18">
        <w:t>In advance of the</w:t>
      </w:r>
      <w:r w:rsidR="000F3BBF">
        <w:t xml:space="preserve"> prehearing conference, </w:t>
      </w:r>
      <w:r w:rsidR="00BB79B8">
        <w:t xml:space="preserve">Havens </w:t>
      </w:r>
      <w:r w:rsidR="00170C95">
        <w:t xml:space="preserve">objected to any possible examination of assisting counsel, asserting </w:t>
      </w:r>
      <w:r w:rsidR="00BB79B8">
        <w:t xml:space="preserve">that the </w:t>
      </w:r>
      <w:r w:rsidR="0010569E">
        <w:t xml:space="preserve">ALJ’s proposal to question </w:t>
      </w:r>
      <w:r w:rsidR="00D91E18">
        <w:t>them</w:t>
      </w:r>
      <w:r w:rsidR="0010569E">
        <w:t xml:space="preserve"> as to the</w:t>
      </w:r>
      <w:r w:rsidR="004C2405">
        <w:t>ir</w:t>
      </w:r>
      <w:r w:rsidR="0010569E">
        <w:t xml:space="preserve"> services </w:t>
      </w:r>
      <w:r w:rsidR="00D91E18">
        <w:t xml:space="preserve">was </w:t>
      </w:r>
      <w:r w:rsidR="0010569E">
        <w:t xml:space="preserve">barred because </w:t>
      </w:r>
      <w:r w:rsidR="009158EC">
        <w:t xml:space="preserve">that topic </w:t>
      </w:r>
      <w:r w:rsidR="006A41FF">
        <w:t>is privileged.</w:t>
      </w:r>
      <w:r w:rsidR="00BB79B8" w:rsidRPr="0039633D">
        <w:rPr>
          <w:rStyle w:val="FootnoteReference"/>
        </w:rPr>
        <w:footnoteReference w:id="13"/>
      </w:r>
      <w:r w:rsidR="00EC7458" w:rsidRPr="0039633D">
        <w:t xml:space="preserve"> </w:t>
      </w:r>
      <w:r w:rsidR="00BC65FC">
        <w:t xml:space="preserve"> </w:t>
      </w:r>
      <w:r w:rsidR="00FD106B">
        <w:t>A</w:t>
      </w:r>
      <w:r w:rsidR="002530E6">
        <w:t xml:space="preserve">t Havens’ direction, </w:t>
      </w:r>
      <w:r w:rsidR="00FD106B">
        <w:t xml:space="preserve">assisting counsel </w:t>
      </w:r>
      <w:r w:rsidR="002530E6">
        <w:t>declined</w:t>
      </w:r>
      <w:r w:rsidR="00FD106B">
        <w:t xml:space="preserve"> at the hearing</w:t>
      </w:r>
      <w:r w:rsidR="002530E6">
        <w:t xml:space="preserve"> to answer </w:t>
      </w:r>
      <w:r w:rsidR="00170C95">
        <w:t xml:space="preserve">any of </w:t>
      </w:r>
      <w:r w:rsidR="002530E6">
        <w:t>the ALJ’s questions</w:t>
      </w:r>
      <w:r w:rsidR="0039633D" w:rsidRPr="00AC2DA4">
        <w:t>.</w:t>
      </w:r>
      <w:r w:rsidR="0039633D">
        <w:rPr>
          <w:rStyle w:val="FootnoteReference"/>
        </w:rPr>
        <w:footnoteReference w:id="14"/>
      </w:r>
    </w:p>
    <w:p w:rsidR="00A13765" w:rsidRDefault="00B92286" w:rsidP="00D8362B">
      <w:pPr>
        <w:pStyle w:val="ParaNum"/>
      </w:pPr>
      <w:r w:rsidRPr="000C387B">
        <w:t xml:space="preserve">In 14M-3, </w:t>
      </w:r>
      <w:r w:rsidR="007752E9">
        <w:t>which memorializes and expands</w:t>
      </w:r>
      <w:r w:rsidR="00A42FB0">
        <w:t xml:space="preserve"> upon an</w:t>
      </w:r>
      <w:r w:rsidR="007752E9">
        <w:t xml:space="preserve"> oral ruling</w:t>
      </w:r>
      <w:r w:rsidR="00A42FB0">
        <w:t xml:space="preserve"> </w:t>
      </w:r>
      <w:r w:rsidR="007752E9">
        <w:t xml:space="preserve">at the prehearing conference, </w:t>
      </w:r>
      <w:r w:rsidRPr="000C387B">
        <w:t xml:space="preserve">the ALJ </w:t>
      </w:r>
      <w:r w:rsidR="007B444C">
        <w:t>rejected</w:t>
      </w:r>
      <w:r w:rsidRPr="000C387B">
        <w:t xml:space="preserve"> </w:t>
      </w:r>
      <w:r w:rsidR="007752E9">
        <w:t xml:space="preserve">Havens’ </w:t>
      </w:r>
      <w:r w:rsidRPr="000C387B">
        <w:t>claims of privilege.</w:t>
      </w:r>
      <w:r w:rsidR="000C387B">
        <w:rPr>
          <w:rStyle w:val="FootnoteReference"/>
        </w:rPr>
        <w:footnoteReference w:id="15"/>
      </w:r>
      <w:r w:rsidR="002E395C">
        <w:t xml:space="preserve">  </w:t>
      </w:r>
      <w:r w:rsidR="00A13765">
        <w:t>I</w:t>
      </w:r>
      <w:r w:rsidR="004E29C2">
        <w:t xml:space="preserve">n </w:t>
      </w:r>
      <w:r w:rsidR="00AB6BFD">
        <w:t>the Appeal</w:t>
      </w:r>
      <w:r w:rsidR="004E29C2">
        <w:t>,</w:t>
      </w:r>
      <w:r w:rsidR="00497A6C" w:rsidRPr="00254489">
        <w:t xml:space="preserve"> </w:t>
      </w:r>
      <w:r w:rsidR="00A13765">
        <w:t xml:space="preserve">Havens </w:t>
      </w:r>
      <w:r w:rsidR="00E722EF" w:rsidRPr="00254489">
        <w:t xml:space="preserve">asks the Commission to </w:t>
      </w:r>
      <w:r w:rsidR="00290DA6">
        <w:t>overturn</w:t>
      </w:r>
      <w:r w:rsidR="00E722EF" w:rsidRPr="00254489">
        <w:t xml:space="preserve"> 14M-3 because it requires legal counsel who assisted </w:t>
      </w:r>
      <w:r w:rsidR="00350BB6">
        <w:t>him</w:t>
      </w:r>
      <w:r w:rsidR="00350BB6" w:rsidRPr="00254489">
        <w:t xml:space="preserve"> </w:t>
      </w:r>
      <w:r w:rsidR="006C7200" w:rsidRPr="00254489">
        <w:t xml:space="preserve">to </w:t>
      </w:r>
      <w:r w:rsidR="00E722EF" w:rsidRPr="00254489">
        <w:t xml:space="preserve">disclose information protected under </w:t>
      </w:r>
      <w:r w:rsidR="00E015AD">
        <w:t xml:space="preserve">the </w:t>
      </w:r>
      <w:r w:rsidR="00E722EF" w:rsidRPr="00254489">
        <w:t xml:space="preserve">attorney-client </w:t>
      </w:r>
      <w:r w:rsidR="00E015AD">
        <w:t>p</w:t>
      </w:r>
      <w:r w:rsidR="00E722EF" w:rsidRPr="00254489">
        <w:t>rivilege.</w:t>
      </w:r>
      <w:r w:rsidR="00E722EF">
        <w:rPr>
          <w:rStyle w:val="FootnoteReference"/>
        </w:rPr>
        <w:footnoteReference w:id="16"/>
      </w:r>
      <w:r w:rsidR="00E722EF" w:rsidRPr="00254489">
        <w:t xml:space="preserve">  </w:t>
      </w:r>
    </w:p>
    <w:p w:rsidR="006C4260" w:rsidRDefault="00EC1D22" w:rsidP="006C4260">
      <w:pPr>
        <w:pStyle w:val="ParaNum"/>
      </w:pPr>
      <w:r>
        <w:t>During the pendency of</w:t>
      </w:r>
      <w:r w:rsidR="00393927">
        <w:t xml:space="preserve"> Havens</w:t>
      </w:r>
      <w:r>
        <w:t>’</w:t>
      </w:r>
      <w:r w:rsidR="00FD106B">
        <w:t xml:space="preserve"> </w:t>
      </w:r>
      <w:r w:rsidR="00AB6BFD">
        <w:t>Appeal</w:t>
      </w:r>
      <w:r w:rsidR="00393927">
        <w:t>,</w:t>
      </w:r>
      <w:r w:rsidR="00DC4E57">
        <w:t xml:space="preserve"> </w:t>
      </w:r>
      <w:r w:rsidR="007A6FF2">
        <w:t xml:space="preserve">in a decision released June 17, 2014, </w:t>
      </w:r>
      <w:r w:rsidR="00393927">
        <w:t>the</w:t>
      </w:r>
      <w:r w:rsidR="00FD106B">
        <w:t xml:space="preserve"> </w:t>
      </w:r>
      <w:r w:rsidR="00393927">
        <w:t xml:space="preserve">ALJ granted in part and denied in part </w:t>
      </w:r>
      <w:r w:rsidR="00AB6BFD">
        <w:t>Maritime</w:t>
      </w:r>
      <w:r w:rsidR="00A72CDC">
        <w:t xml:space="preserve"> and the Enforcement Bureau</w:t>
      </w:r>
      <w:r w:rsidR="00AB6BFD">
        <w:t>’s</w:t>
      </w:r>
      <w:r w:rsidR="00393927">
        <w:t xml:space="preserve"> </w:t>
      </w:r>
      <w:r w:rsidR="00A72CDC">
        <w:t xml:space="preserve">joint </w:t>
      </w:r>
      <w:r w:rsidR="00AB6BFD">
        <w:t>motion for summary decision</w:t>
      </w:r>
      <w:r w:rsidR="00393927">
        <w:t>.</w:t>
      </w:r>
      <w:r w:rsidR="00AB6BFD">
        <w:rPr>
          <w:rStyle w:val="FootnoteReference"/>
        </w:rPr>
        <w:footnoteReference w:id="17"/>
      </w:r>
      <w:r w:rsidR="00393927">
        <w:t xml:space="preserve">  In so doing, the ALJ rejected </w:t>
      </w:r>
      <w:r w:rsidR="00FD106B">
        <w:t xml:space="preserve">the </w:t>
      </w:r>
      <w:r w:rsidR="00393927">
        <w:t>argument</w:t>
      </w:r>
      <w:r w:rsidR="00FD106B">
        <w:t xml:space="preserve"> of Havens’</w:t>
      </w:r>
      <w:r w:rsidR="00393927">
        <w:t xml:space="preserve"> December 16 opposition</w:t>
      </w:r>
      <w:r w:rsidR="00393927">
        <w:rPr>
          <w:rStyle w:val="FootnoteReference"/>
        </w:rPr>
        <w:footnoteReference w:id="18"/>
      </w:r>
      <w:r w:rsidR="00393927">
        <w:t xml:space="preserve"> that Havens is entitled to lenient treatment as a </w:t>
      </w:r>
      <w:r w:rsidR="00393927">
        <w:rPr>
          <w:i/>
        </w:rPr>
        <w:t xml:space="preserve">pro se </w:t>
      </w:r>
      <w:r w:rsidR="00393927">
        <w:t>litigant.</w:t>
      </w:r>
      <w:r w:rsidR="00393927">
        <w:rPr>
          <w:rStyle w:val="FootnoteReference"/>
        </w:rPr>
        <w:footnoteReference w:id="19"/>
      </w:r>
      <w:r w:rsidR="00FD106B">
        <w:t xml:space="preserve">  The A</w:t>
      </w:r>
      <w:r w:rsidR="007609DA">
        <w:t xml:space="preserve">LJ reached that decision without the benefit of responses </w:t>
      </w:r>
      <w:r w:rsidR="00330E58">
        <w:t>to the questions that</w:t>
      </w:r>
      <w:r w:rsidR="007609DA">
        <w:t xml:space="preserve"> Havens’ assisting counsel </w:t>
      </w:r>
      <w:r w:rsidR="00330E58">
        <w:t>refused to answer at the prehearing conference</w:t>
      </w:r>
      <w:r w:rsidR="00AB6BFD">
        <w:t xml:space="preserve"> concerning the nature of their assistance to Havens</w:t>
      </w:r>
      <w:r w:rsidR="007609DA">
        <w:t>.</w:t>
      </w:r>
      <w:r w:rsidR="007609DA">
        <w:rPr>
          <w:rStyle w:val="FootnoteReference"/>
        </w:rPr>
        <w:footnoteReference w:id="20"/>
      </w:r>
    </w:p>
    <w:p w:rsidR="00DC2F02" w:rsidRDefault="00DC2F02" w:rsidP="00DC2F02">
      <w:pPr>
        <w:pStyle w:val="Heading1"/>
      </w:pPr>
      <w:r>
        <w:t>DISCUSSION</w:t>
      </w:r>
    </w:p>
    <w:p w:rsidR="00DC2F02" w:rsidRDefault="00DC2F02" w:rsidP="006C4260">
      <w:pPr>
        <w:pStyle w:val="ParaNum"/>
      </w:pPr>
      <w:r w:rsidRPr="006C4260">
        <w:rPr>
          <w:u w:val="single"/>
        </w:rPr>
        <w:t>Appeal of</w:t>
      </w:r>
      <w:r w:rsidR="00711BF5">
        <w:rPr>
          <w:u w:val="single"/>
        </w:rPr>
        <w:t xml:space="preserve"> </w:t>
      </w:r>
      <w:r w:rsidRPr="006C4260">
        <w:rPr>
          <w:u w:val="single"/>
        </w:rPr>
        <w:t>14M-3</w:t>
      </w:r>
      <w:r>
        <w:t>.  As reflected in the transcript of the prehearing conference</w:t>
      </w:r>
      <w:r>
        <w:rPr>
          <w:rStyle w:val="FootnoteReference"/>
        </w:rPr>
        <w:footnoteReference w:id="21"/>
      </w:r>
      <w:r>
        <w:t>—as well as in several of the oppositions to Havens’ Appeal</w:t>
      </w:r>
      <w:r>
        <w:rPr>
          <w:rStyle w:val="FootnoteReference"/>
        </w:rPr>
        <w:footnoteReference w:id="22"/>
      </w:r>
      <w:r>
        <w:t xml:space="preserve">—the ALJ’s purpose in seeking to question Havens’ assisting counsel at the prehearing conference was to obtain information that would inform the ALJ’s analysis of whether Havens should receive lenient treatment as a </w:t>
      </w:r>
      <w:r w:rsidRPr="006C4260">
        <w:rPr>
          <w:i/>
        </w:rPr>
        <w:t xml:space="preserve">pro se </w:t>
      </w:r>
      <w:r>
        <w:t>litigant when opposing Maritime and the Enforcement Bureau’s joint motion for summary decision on Issue (g).</w:t>
      </w:r>
      <w:r>
        <w:rPr>
          <w:rStyle w:val="FootnoteReference"/>
        </w:rPr>
        <w:footnoteReference w:id="23"/>
      </w:r>
      <w:r>
        <w:t xml:space="preserve">  In the June 17, 2014, order, however, the ALJ was able to resolve that question without recourse to further information from Havens’ assisting counsel.</w:t>
      </w:r>
      <w:r>
        <w:rPr>
          <w:rStyle w:val="FootnoteReference"/>
        </w:rPr>
        <w:footnoteReference w:id="24"/>
      </w:r>
      <w:r>
        <w:t xml:space="preserve">  Accordingly, we find that whether the ALJ erred in overruling Havens’ privilege claims at the prehearing conference—which is the sole question presented in Havens’ Appeal that is suitable for interlocutory appeal as a matter of right under the Commission’s rules</w:t>
      </w:r>
      <w:r>
        <w:rPr>
          <w:rStyle w:val="FootnoteReference"/>
        </w:rPr>
        <w:footnoteReference w:id="25"/>
      </w:r>
      <w:r>
        <w:t xml:space="preserve">—is moot.  </w:t>
      </w:r>
      <w:r w:rsidRPr="00FE656D">
        <w:t>We</w:t>
      </w:r>
      <w:r w:rsidRPr="006155A9">
        <w:t xml:space="preserve"> </w:t>
      </w:r>
      <w:r>
        <w:t xml:space="preserve">therefore dismiss </w:t>
      </w:r>
      <w:r w:rsidRPr="006155A9">
        <w:t>Havens’ Appeal.</w:t>
      </w:r>
    </w:p>
    <w:p w:rsidR="004C5438" w:rsidRDefault="001A4C5C" w:rsidP="00443878">
      <w:pPr>
        <w:pStyle w:val="ParaNum"/>
        <w:keepNext/>
      </w:pPr>
      <w:r>
        <w:t xml:space="preserve">Other Appeals.  </w:t>
      </w:r>
      <w:r w:rsidR="008431C6" w:rsidRPr="006F526A">
        <w:t xml:space="preserve">In addition to </w:t>
      </w:r>
      <w:r w:rsidR="004C5438">
        <w:t>challenging</w:t>
      </w:r>
      <w:r w:rsidR="008431C6" w:rsidRPr="006F526A">
        <w:t xml:space="preserve"> 14M-3, Havens has filed interlocutory appeals </w:t>
      </w:r>
      <w:r w:rsidR="00E42C93">
        <w:t>concerning</w:t>
      </w:r>
      <w:r w:rsidR="00E42C93" w:rsidRPr="006F526A">
        <w:t xml:space="preserve"> </w:t>
      </w:r>
      <w:r w:rsidR="00151390">
        <w:t>other</w:t>
      </w:r>
      <w:r w:rsidR="008431C6" w:rsidRPr="006F526A">
        <w:t xml:space="preserve"> </w:t>
      </w:r>
      <w:r w:rsidR="00E129CE">
        <w:t xml:space="preserve">procedural rulings </w:t>
      </w:r>
      <w:r w:rsidR="00151390">
        <w:t>in the Maritime Proceeding</w:t>
      </w:r>
      <w:r w:rsidR="00C66E0B">
        <w:t xml:space="preserve">.  </w:t>
      </w:r>
      <w:r w:rsidR="006C694A">
        <w:t>T</w:t>
      </w:r>
      <w:r w:rsidR="00C66E0B">
        <w:t xml:space="preserve">wo of these, </w:t>
      </w:r>
      <w:r w:rsidR="00DB6CC3">
        <w:t>13M-22</w:t>
      </w:r>
      <w:r w:rsidR="00DB6CC3">
        <w:rPr>
          <w:rStyle w:val="FootnoteReference"/>
        </w:rPr>
        <w:footnoteReference w:id="26"/>
      </w:r>
      <w:r w:rsidR="00DB6CC3">
        <w:t xml:space="preserve"> and 14M-1</w:t>
      </w:r>
      <w:r w:rsidR="006C694A">
        <w:t>,</w:t>
      </w:r>
      <w:r w:rsidR="00DB6CC3">
        <w:rPr>
          <w:rStyle w:val="FootnoteReference"/>
        </w:rPr>
        <w:footnoteReference w:id="27"/>
      </w:r>
      <w:r w:rsidR="00C66E0B">
        <w:t xml:space="preserve"> relate to aspects of the ALJ’s attempts to inquire into Havens’ legal assistance preliminary to 14M-3.  Two other orders, 14M-22 and 14M-25</w:t>
      </w:r>
      <w:r w:rsidR="00711BF5">
        <w:t>,</w:t>
      </w:r>
      <w:r w:rsidR="00E7120F">
        <w:t xml:space="preserve"> concern actions regarding </w:t>
      </w:r>
      <w:r w:rsidR="00FC4055">
        <w:t>H</w:t>
      </w:r>
      <w:r w:rsidR="00E7120F">
        <w:t xml:space="preserve">avens’ legal </w:t>
      </w:r>
      <w:r w:rsidR="007337F2">
        <w:t xml:space="preserve">representation </w:t>
      </w:r>
      <w:r w:rsidR="00E7120F">
        <w:t>following 14M-3.  We will not discuss the</w:t>
      </w:r>
      <w:r w:rsidR="00FC4055">
        <w:t>s</w:t>
      </w:r>
      <w:r w:rsidR="00E7120F">
        <w:t xml:space="preserve">e matters at great length, because none of the orders involved falls within the scope of rulings that qualify for interlocutory appeal as of right. </w:t>
      </w:r>
      <w:r w:rsidR="00C66E0B">
        <w:t xml:space="preserve">   </w:t>
      </w:r>
      <w:r w:rsidR="00DB7163">
        <w:t xml:space="preserve">  </w:t>
      </w:r>
    </w:p>
    <w:p w:rsidR="0092760C" w:rsidRDefault="001A4C5C" w:rsidP="006B52FB">
      <w:pPr>
        <w:pStyle w:val="ParaNum"/>
        <w:keepNext/>
      </w:pPr>
      <w:r w:rsidRPr="00443878">
        <w:rPr>
          <w:u w:val="single"/>
        </w:rPr>
        <w:t>Appeals of 13M-22 and 14M-1</w:t>
      </w:r>
      <w:r w:rsidRPr="006B52FB">
        <w:t xml:space="preserve">. </w:t>
      </w:r>
      <w:r w:rsidRPr="00AB6BFD">
        <w:t xml:space="preserve"> </w:t>
      </w:r>
      <w:r w:rsidR="00DB7163">
        <w:t>Havens asserts</w:t>
      </w:r>
      <w:r w:rsidR="00FF1D81" w:rsidRPr="006F526A">
        <w:t xml:space="preserve"> </w:t>
      </w:r>
      <w:r w:rsidR="00DB7163">
        <w:t xml:space="preserve">that he may appeal both </w:t>
      </w:r>
      <w:r w:rsidR="00E42C93">
        <w:t>13M-22 and 14M-1</w:t>
      </w:r>
      <w:r w:rsidR="00DB7163">
        <w:t xml:space="preserve"> as a matter of right</w:t>
      </w:r>
      <w:r w:rsidR="00FF1D81" w:rsidRPr="006F526A">
        <w:t xml:space="preserve"> under §</w:t>
      </w:r>
      <w:r w:rsidR="00E42C93">
        <w:t> </w:t>
      </w:r>
      <w:r w:rsidR="00FF1D81" w:rsidRPr="006F526A">
        <w:t>1.301(a).</w:t>
      </w:r>
      <w:r w:rsidR="00DB6CC3">
        <w:rPr>
          <w:rStyle w:val="FootnoteReference"/>
        </w:rPr>
        <w:footnoteReference w:id="28"/>
      </w:r>
      <w:r w:rsidR="008431C6" w:rsidRPr="006F526A">
        <w:t xml:space="preserve">  </w:t>
      </w:r>
      <w:r w:rsidR="00081606">
        <w:t>C</w:t>
      </w:r>
      <w:r w:rsidR="006362F2" w:rsidRPr="006F526A">
        <w:t xml:space="preserve">ontrary to </w:t>
      </w:r>
      <w:r w:rsidR="004C5438">
        <w:t xml:space="preserve">his </w:t>
      </w:r>
      <w:r w:rsidR="00761ED7">
        <w:t xml:space="preserve">assertions, </w:t>
      </w:r>
      <w:r w:rsidR="00081606">
        <w:t xml:space="preserve">however, </w:t>
      </w:r>
      <w:r w:rsidR="00151390">
        <w:t xml:space="preserve">neither </w:t>
      </w:r>
      <w:r w:rsidR="004C5438">
        <w:t>13</w:t>
      </w:r>
      <w:r w:rsidR="006761AB">
        <w:t>M</w:t>
      </w:r>
      <w:r w:rsidR="004C5438">
        <w:t>-22 nor 14M-1</w:t>
      </w:r>
      <w:r w:rsidR="00761ED7">
        <w:t xml:space="preserve"> falls within the categories of rulings that may be appealed as of right on an interlocutory basis.</w:t>
      </w:r>
      <w:r w:rsidR="00761ED7">
        <w:rPr>
          <w:rStyle w:val="FootnoteReference"/>
          <w:sz w:val="22"/>
          <w:szCs w:val="22"/>
        </w:rPr>
        <w:footnoteReference w:id="29"/>
      </w:r>
      <w:r w:rsidR="008431C6" w:rsidRPr="001520AB">
        <w:t xml:space="preserve"> </w:t>
      </w:r>
      <w:r w:rsidR="008431C6" w:rsidRPr="006F526A">
        <w:t xml:space="preserve"> </w:t>
      </w:r>
      <w:r w:rsidR="00D83830" w:rsidRPr="006F526A">
        <w:t>Mo</w:t>
      </w:r>
      <w:r w:rsidR="00D83830" w:rsidRPr="00701422">
        <w:t xml:space="preserve">re specifically, </w:t>
      </w:r>
      <w:r w:rsidR="00082409">
        <w:t>13M-22</w:t>
      </w:r>
      <w:r w:rsidR="00D83830" w:rsidRPr="00701422">
        <w:t xml:space="preserve"> </w:t>
      </w:r>
      <w:r w:rsidR="004C5438" w:rsidRPr="00701422">
        <w:t>addresse</w:t>
      </w:r>
      <w:r w:rsidR="004C5438">
        <w:t>s</w:t>
      </w:r>
      <w:r w:rsidR="004C5438" w:rsidRPr="00701422">
        <w:t xml:space="preserve"> </w:t>
      </w:r>
      <w:r w:rsidR="00D83830" w:rsidRPr="00701422">
        <w:t>several procedural issues: (1) suspension of the pre-hearing calendar</w:t>
      </w:r>
      <w:r w:rsidR="00763AFB">
        <w:t>,</w:t>
      </w:r>
      <w:r w:rsidR="00763AFB" w:rsidRPr="00701422">
        <w:t xml:space="preserve"> </w:t>
      </w:r>
      <w:r w:rsidR="00D83830" w:rsidRPr="00701422">
        <w:t>(2) the timeliness of Havens’ filings</w:t>
      </w:r>
      <w:r w:rsidR="00763AFB">
        <w:t>,</w:t>
      </w:r>
      <w:r w:rsidR="00763AFB" w:rsidRPr="00701422">
        <w:t xml:space="preserve"> </w:t>
      </w:r>
      <w:r w:rsidR="00D83830" w:rsidRPr="00701422">
        <w:t>(3)</w:t>
      </w:r>
      <w:r w:rsidR="009158EC">
        <w:t> </w:t>
      </w:r>
      <w:r w:rsidR="003B4CA3">
        <w:t xml:space="preserve">a requirement that </w:t>
      </w:r>
      <w:r w:rsidR="00D83830" w:rsidRPr="00701422">
        <w:t>Havens</w:t>
      </w:r>
      <w:r w:rsidR="009158EC">
        <w:t>’</w:t>
      </w:r>
      <w:r w:rsidR="00D83830" w:rsidRPr="00701422">
        <w:t xml:space="preserve"> assisting counsel</w:t>
      </w:r>
      <w:r w:rsidR="003B4CA3">
        <w:t xml:space="preserve"> file notices of appearance</w:t>
      </w:r>
      <w:r w:rsidR="00763AFB">
        <w:t>,</w:t>
      </w:r>
      <w:r w:rsidR="00D83830" w:rsidRPr="00701422">
        <w:t xml:space="preserve"> (3) a request for an extension of time, (4) a motion for further discover</w:t>
      </w:r>
      <w:r w:rsidR="00351504" w:rsidRPr="00701422">
        <w:t>y</w:t>
      </w:r>
      <w:r w:rsidR="00D83830" w:rsidRPr="00701422">
        <w:t xml:space="preserve">, </w:t>
      </w:r>
      <w:r w:rsidR="00351504" w:rsidRPr="00701422">
        <w:t>(5)</w:t>
      </w:r>
      <w:r w:rsidR="004C5438">
        <w:t> </w:t>
      </w:r>
      <w:r w:rsidR="00351504" w:rsidRPr="00701422">
        <w:t>the status of allegedly undisclosed evidence</w:t>
      </w:r>
      <w:r w:rsidR="00763AFB">
        <w:t>,</w:t>
      </w:r>
      <w:r w:rsidR="00763AFB" w:rsidRPr="00701422">
        <w:t xml:space="preserve"> </w:t>
      </w:r>
      <w:r w:rsidR="00351504" w:rsidRPr="00701422">
        <w:t>(6) a motion for declaratory ruling</w:t>
      </w:r>
      <w:r w:rsidR="00763AFB">
        <w:t>,</w:t>
      </w:r>
      <w:r w:rsidR="00763AFB" w:rsidRPr="00701422">
        <w:t xml:space="preserve"> </w:t>
      </w:r>
      <w:r w:rsidR="00351504" w:rsidRPr="00701422">
        <w:t xml:space="preserve">and (7) </w:t>
      </w:r>
      <w:r w:rsidR="00DC2F02">
        <w:t xml:space="preserve">a </w:t>
      </w:r>
      <w:r w:rsidR="00A560EF">
        <w:t>glossary</w:t>
      </w:r>
      <w:r w:rsidR="00A560EF" w:rsidRPr="00701422">
        <w:t xml:space="preserve"> </w:t>
      </w:r>
      <w:r w:rsidR="00351504" w:rsidRPr="00701422">
        <w:t>submission</w:t>
      </w:r>
      <w:r w:rsidR="00A560EF">
        <w:t>s</w:t>
      </w:r>
      <w:r w:rsidR="00351504" w:rsidRPr="00701422">
        <w:t xml:space="preserve"> by the parties.</w:t>
      </w:r>
      <w:r w:rsidR="003B4CA3">
        <w:rPr>
          <w:rStyle w:val="FootnoteReference"/>
        </w:rPr>
        <w:footnoteReference w:id="30"/>
      </w:r>
      <w:r w:rsidR="00351504" w:rsidRPr="00701422">
        <w:t xml:space="preserve">  None of these issues falls within the scope of §</w:t>
      </w:r>
      <w:r w:rsidR="003B4CA3">
        <w:t> </w:t>
      </w:r>
      <w:r w:rsidR="00351504" w:rsidRPr="00701422">
        <w:t>1.301(a)</w:t>
      </w:r>
      <w:r w:rsidR="009D3E77">
        <w:t xml:space="preserve">, inasmuch as none of </w:t>
      </w:r>
      <w:r w:rsidR="00DC2F02">
        <w:t>the ALJ’s corresponding</w:t>
      </w:r>
      <w:r w:rsidR="009D3E77">
        <w:t xml:space="preserve"> rulings terminate</w:t>
      </w:r>
      <w:r w:rsidR="00962875">
        <w:t>s</w:t>
      </w:r>
      <w:r w:rsidR="009D3E77">
        <w:t xml:space="preserve"> the right of a party to parti</w:t>
      </w:r>
      <w:r w:rsidR="00962875">
        <w:t>ci</w:t>
      </w:r>
      <w:r w:rsidR="009D3E77">
        <w:t>pate in the proceeding, remove</w:t>
      </w:r>
      <w:r w:rsidR="00A84372">
        <w:t>s</w:t>
      </w:r>
      <w:r w:rsidR="009D3E77">
        <w:t xml:space="preserve"> counsel</w:t>
      </w:r>
      <w:r w:rsidR="00962875">
        <w:t xml:space="preserve"> from the hearing</w:t>
      </w:r>
      <w:r w:rsidR="009D3E77">
        <w:t xml:space="preserve">, or </w:t>
      </w:r>
      <w:r w:rsidR="00DC2F02">
        <w:t>fits within</w:t>
      </w:r>
      <w:r w:rsidR="009D3E77">
        <w:t xml:space="preserve"> any of the other specified categories of rulings</w:t>
      </w:r>
      <w:r w:rsidR="00962875">
        <w:t xml:space="preserve"> that qualify for interlocutory review as of right</w:t>
      </w:r>
      <w:r w:rsidR="00351504" w:rsidRPr="00701422">
        <w:t xml:space="preserve">.  </w:t>
      </w:r>
      <w:r w:rsidR="00677CC4">
        <w:t xml:space="preserve">Similarly, we do not construe 14M-1 as a ruling within the scope of § 1.301(a).  </w:t>
      </w:r>
      <w:r w:rsidR="00247858" w:rsidRPr="00701422">
        <w:t>14M</w:t>
      </w:r>
      <w:r w:rsidR="00B10487">
        <w:t>-</w:t>
      </w:r>
      <w:r w:rsidR="00247858" w:rsidRPr="00701422">
        <w:t>1</w:t>
      </w:r>
      <w:r w:rsidR="00B10487">
        <w:t xml:space="preserve"> </w:t>
      </w:r>
      <w:r w:rsidR="004C5438">
        <w:t xml:space="preserve">is the order in which </w:t>
      </w:r>
      <w:r w:rsidR="00B10487">
        <w:t>the ALJ</w:t>
      </w:r>
      <w:r w:rsidR="00247858" w:rsidRPr="00701422">
        <w:t xml:space="preserve"> scheduled the prehearing conference dealing with Havens’ assisting counsel.</w:t>
      </w:r>
      <w:r w:rsidR="00BE6F99">
        <w:rPr>
          <w:rStyle w:val="FootnoteReference"/>
          <w:szCs w:val="22"/>
        </w:rPr>
        <w:footnoteReference w:id="31"/>
      </w:r>
      <w:r w:rsidR="00247858" w:rsidRPr="00701422">
        <w:t xml:space="preserve">  We do not construe an order scheduling a prehearing conference as falling within the scope of §</w:t>
      </w:r>
      <w:r w:rsidR="00DF740C">
        <w:t> </w:t>
      </w:r>
      <w:r w:rsidR="00247858" w:rsidRPr="00701422">
        <w:t>1.301(a).</w:t>
      </w:r>
      <w:r w:rsidR="001520AB" w:rsidRPr="00701422">
        <w:t xml:space="preserve"> </w:t>
      </w:r>
      <w:r w:rsidR="00851B60" w:rsidRPr="00701422">
        <w:t xml:space="preserve"> </w:t>
      </w:r>
      <w:r w:rsidR="00E42C93">
        <w:t>Because</w:t>
      </w:r>
      <w:r w:rsidR="00763AFB">
        <w:t xml:space="preserve"> </w:t>
      </w:r>
      <w:r w:rsidR="00E42C93">
        <w:t>neither 13M-22 nor 14M-1 is</w:t>
      </w:r>
      <w:r w:rsidR="00763AFB">
        <w:t xml:space="preserve"> appealable to the Commission as a matter of right</w:t>
      </w:r>
      <w:r w:rsidR="00E42C93">
        <w:t>, we dismiss Havens’ appeals of those rulings pursuant to § 1.</w:t>
      </w:r>
      <w:r w:rsidR="0060518B">
        <w:t>301</w:t>
      </w:r>
      <w:r w:rsidR="00E42C93">
        <w:t>(a)</w:t>
      </w:r>
      <w:r w:rsidR="00763AFB">
        <w:t>.</w:t>
      </w:r>
    </w:p>
    <w:p w:rsidR="0092760C" w:rsidRDefault="00025422" w:rsidP="00D8362B">
      <w:pPr>
        <w:pStyle w:val="ParaNum"/>
      </w:pPr>
      <w:r>
        <w:t xml:space="preserve">In addition to </w:t>
      </w:r>
      <w:r w:rsidR="00E42C93">
        <w:t>appealing 13M-22 and 14M-1</w:t>
      </w:r>
      <w:r>
        <w:t xml:space="preserve"> </w:t>
      </w:r>
      <w:r w:rsidR="00FC4055">
        <w:t xml:space="preserve">as a matter of right </w:t>
      </w:r>
      <w:r>
        <w:t>under §</w:t>
      </w:r>
      <w:r w:rsidR="00F533E4">
        <w:t> </w:t>
      </w:r>
      <w:r>
        <w:t xml:space="preserve">1.301(a), </w:t>
      </w:r>
      <w:r w:rsidR="003A5BD4">
        <w:t xml:space="preserve"> Havens </w:t>
      </w:r>
      <w:r w:rsidR="00FC4055">
        <w:t xml:space="preserve">alternatively </w:t>
      </w:r>
      <w:r w:rsidR="003A5BD4">
        <w:t xml:space="preserve">sought permission from the ALJ to file interlocutory appeals of </w:t>
      </w:r>
      <w:r w:rsidR="00E42C93">
        <w:t xml:space="preserve">those </w:t>
      </w:r>
      <w:r w:rsidR="00FC4055">
        <w:t xml:space="preserve">same orders </w:t>
      </w:r>
      <w:r w:rsidR="003A5BD4">
        <w:t>pursuant to 47 C.F.R. § 1.301(b)</w:t>
      </w:r>
      <w:r w:rsidR="008843F5">
        <w:t>, t</w:t>
      </w:r>
      <w:r w:rsidR="003A5BD4">
        <w:t xml:space="preserve">he provision of </w:t>
      </w:r>
      <w:r w:rsidR="00B10487">
        <w:t>the Commission’s</w:t>
      </w:r>
      <w:r w:rsidR="003A5BD4">
        <w:t xml:space="preserve"> rules </w:t>
      </w:r>
      <w:r w:rsidR="00E42C93">
        <w:t xml:space="preserve">that governs </w:t>
      </w:r>
      <w:r w:rsidR="003A5BD4">
        <w:t>discretionary review of interlocutory rulings</w:t>
      </w:r>
      <w:r w:rsidR="00727A94">
        <w:t>.</w:t>
      </w:r>
      <w:r w:rsidR="00727A94">
        <w:rPr>
          <w:rStyle w:val="FootnoteReference"/>
        </w:rPr>
        <w:footnoteReference w:id="32"/>
      </w:r>
      <w:r w:rsidR="00727A94">
        <w:t xml:space="preserve"> </w:t>
      </w:r>
      <w:r w:rsidR="00505570">
        <w:t xml:space="preserve"> </w:t>
      </w:r>
      <w:r w:rsidR="00727A94">
        <w:t>T</w:t>
      </w:r>
      <w:r w:rsidR="003A5BD4">
        <w:t xml:space="preserve">he ALJ denied </w:t>
      </w:r>
      <w:r w:rsidR="009158EC">
        <w:t>Havens’</w:t>
      </w:r>
      <w:r w:rsidR="003A5BD4">
        <w:t xml:space="preserve"> requests.</w:t>
      </w:r>
      <w:r w:rsidR="00B10487">
        <w:rPr>
          <w:rStyle w:val="FootnoteReference"/>
          <w:szCs w:val="22"/>
        </w:rPr>
        <w:footnoteReference w:id="33"/>
      </w:r>
      <w:r w:rsidR="003A5BD4">
        <w:t xml:space="preserve">  </w:t>
      </w:r>
      <w:r w:rsidR="001520AB" w:rsidRPr="00701422">
        <w:t>On February 4, 2014, Havens filed an appeal of the ALJ’s ruling denying Havens’ request</w:t>
      </w:r>
      <w:r w:rsidR="00B10487">
        <w:t xml:space="preserve"> </w:t>
      </w:r>
      <w:r w:rsidR="001520AB" w:rsidRPr="00701422">
        <w:t xml:space="preserve">for </w:t>
      </w:r>
      <w:r w:rsidR="00C66526" w:rsidRPr="00701422">
        <w:t xml:space="preserve">discretionary </w:t>
      </w:r>
      <w:r w:rsidR="001520AB" w:rsidRPr="00701422">
        <w:t xml:space="preserve">leave to file an interlocutory </w:t>
      </w:r>
      <w:r w:rsidR="00C60F82" w:rsidRPr="00701422">
        <w:t xml:space="preserve">appeal </w:t>
      </w:r>
      <w:r w:rsidR="001520AB" w:rsidRPr="00701422">
        <w:t>of 14M-1.</w:t>
      </w:r>
      <w:r w:rsidR="001520AB">
        <w:rPr>
          <w:rStyle w:val="FootnoteReference"/>
          <w:sz w:val="22"/>
          <w:szCs w:val="22"/>
        </w:rPr>
        <w:footnoteReference w:id="34"/>
      </w:r>
      <w:r w:rsidR="001520AB" w:rsidRPr="00701422">
        <w:t xml:space="preserve">  </w:t>
      </w:r>
      <w:r w:rsidR="0029629A">
        <w:t xml:space="preserve">Similarly, on March 6, 2014, Havens filed an appeal of </w:t>
      </w:r>
      <w:r w:rsidR="0029629A" w:rsidRPr="00701422">
        <w:t xml:space="preserve">the ALJ’s ruling denying Havens’ request, under 47 C.F.R. § 1.301(b), for </w:t>
      </w:r>
      <w:r w:rsidR="0029629A">
        <w:t>leave to file an interlocutory appeal of 13M-22.</w:t>
      </w:r>
      <w:r w:rsidR="0029629A">
        <w:rPr>
          <w:rStyle w:val="FootnoteReference"/>
          <w:szCs w:val="22"/>
        </w:rPr>
        <w:footnoteReference w:id="35"/>
      </w:r>
      <w:r w:rsidR="0029629A">
        <w:t xml:space="preserve">  </w:t>
      </w:r>
      <w:r w:rsidR="00B10487" w:rsidRPr="00701422">
        <w:t>Under §</w:t>
      </w:r>
      <w:r w:rsidR="00B10487">
        <w:t> </w:t>
      </w:r>
      <w:r w:rsidR="00B10487" w:rsidRPr="00701422">
        <w:t>1.301(b),</w:t>
      </w:r>
      <w:r w:rsidR="00B10487">
        <w:t xml:space="preserve"> ALJ</w:t>
      </w:r>
      <w:r w:rsidR="00B10487" w:rsidRPr="00701422">
        <w:t xml:space="preserve"> ruling</w:t>
      </w:r>
      <w:r w:rsidR="00B10487">
        <w:t>s</w:t>
      </w:r>
      <w:r w:rsidR="00B10487" w:rsidRPr="00701422">
        <w:t xml:space="preserve"> </w:t>
      </w:r>
      <w:r w:rsidR="00626715">
        <w:t>that deny</w:t>
      </w:r>
      <w:r w:rsidR="00B10487">
        <w:t xml:space="preserve"> permission to file</w:t>
      </w:r>
      <w:r w:rsidR="00626715">
        <w:t xml:space="preserve"> “discretionary”</w:t>
      </w:r>
      <w:r w:rsidR="00B10487" w:rsidRPr="00701422">
        <w:t xml:space="preserve"> interlocutory appeal</w:t>
      </w:r>
      <w:r w:rsidR="00B10487">
        <w:t>s</w:t>
      </w:r>
      <w:r w:rsidR="00B10487" w:rsidRPr="00701422">
        <w:t xml:space="preserve"> </w:t>
      </w:r>
      <w:r w:rsidR="00B10487">
        <w:t>are</w:t>
      </w:r>
      <w:r w:rsidR="00B10487" w:rsidRPr="00701422">
        <w:t xml:space="preserve"> final, </w:t>
      </w:r>
      <w:r w:rsidR="00B10487" w:rsidRPr="00701422">
        <w:rPr>
          <w:i/>
        </w:rPr>
        <w:t>i.e.</w:t>
      </w:r>
      <w:r w:rsidR="00B10487" w:rsidRPr="000E6BD6">
        <w:t>,</w:t>
      </w:r>
      <w:r w:rsidR="00B10487" w:rsidRPr="00701422">
        <w:rPr>
          <w:i/>
        </w:rPr>
        <w:t xml:space="preserve"> </w:t>
      </w:r>
      <w:r w:rsidR="00B10487" w:rsidRPr="00701422">
        <w:t xml:space="preserve">nonappealable.  </w:t>
      </w:r>
      <w:r w:rsidR="00083110">
        <w:t xml:space="preserve">We therefore dismiss </w:t>
      </w:r>
      <w:r w:rsidR="00E42C93">
        <w:t>Havens’ February 4 and March 6 appeals.</w:t>
      </w:r>
      <w:r w:rsidR="00742DBA">
        <w:rPr>
          <w:rStyle w:val="FootnoteReference"/>
        </w:rPr>
        <w:footnoteReference w:id="36"/>
      </w:r>
    </w:p>
    <w:p w:rsidR="00742DBA" w:rsidRDefault="00742DBA" w:rsidP="00D8362B">
      <w:pPr>
        <w:pStyle w:val="ParaNum"/>
      </w:pPr>
      <w:r>
        <w:rPr>
          <w:u w:val="single"/>
        </w:rPr>
        <w:t>Appeal of 14M-22</w:t>
      </w:r>
      <w:r w:rsidRPr="006C694A">
        <w:t>.</w:t>
      </w:r>
      <w:r w:rsidRPr="00A84372">
        <w:t xml:space="preserve">  </w:t>
      </w:r>
      <w:r w:rsidR="0092760C">
        <w:t>On July 22, 2014, Havens filed an appeal</w:t>
      </w:r>
      <w:r>
        <w:t xml:space="preserve"> under § 1.301(a)</w:t>
      </w:r>
      <w:r w:rsidR="0092760C">
        <w:t xml:space="preserve"> of an order addressing procedural dates for the </w:t>
      </w:r>
      <w:r w:rsidR="008255EB">
        <w:t xml:space="preserve">completion </w:t>
      </w:r>
      <w:r w:rsidR="0092760C">
        <w:t>of discovery and the commencement of the hearing for Issue (g).</w:t>
      </w:r>
      <w:r w:rsidR="0092760C">
        <w:rPr>
          <w:rStyle w:val="FootnoteReference"/>
        </w:rPr>
        <w:footnoteReference w:id="37"/>
      </w:r>
      <w:r w:rsidR="0092760C">
        <w:t xml:space="preserve">  The order </w:t>
      </w:r>
      <w:r w:rsidR="0060518B">
        <w:t xml:space="preserve">states: </w:t>
      </w:r>
      <w:r w:rsidR="0092760C">
        <w:t xml:space="preserve"> “</w:t>
      </w:r>
      <w:r w:rsidR="0060518B">
        <w:t xml:space="preserve">[C]ounsel </w:t>
      </w:r>
      <w:r w:rsidR="0092760C">
        <w:t xml:space="preserve">representing Mr. Havens at trial </w:t>
      </w:r>
      <w:r w:rsidR="0092760C" w:rsidRPr="00B438E3">
        <w:t>SHALL FILE AND SERVE a Notice of Appearance on or before July 30, 2014.</w:t>
      </w:r>
      <w:r w:rsidR="003815DA" w:rsidRPr="00B438E3">
        <w:t>”</w:t>
      </w:r>
      <w:r w:rsidR="007F061C" w:rsidRPr="00B438E3">
        <w:rPr>
          <w:rStyle w:val="FootnoteReference"/>
        </w:rPr>
        <w:footnoteReference w:id="38"/>
      </w:r>
    </w:p>
    <w:p w:rsidR="00BD5610" w:rsidRDefault="00DC2B65" w:rsidP="00D8362B">
      <w:pPr>
        <w:pStyle w:val="ParaNum"/>
      </w:pPr>
      <w:r>
        <w:t xml:space="preserve"> </w:t>
      </w:r>
      <w:r w:rsidR="007C61B5">
        <w:t xml:space="preserve">14M-22 does not fall within the </w:t>
      </w:r>
      <w:r>
        <w:t>categories of rulings that would be appealable as a matter of right</w:t>
      </w:r>
      <w:r w:rsidR="007C61B5">
        <w:t>, which categories include</w:t>
      </w:r>
      <w:r w:rsidR="006761AB">
        <w:t xml:space="preserve"> rulings that “den[y] or terminate[] the right of any person to participate as a party to a hearing proceeding</w:t>
      </w:r>
      <w:r>
        <w:t>,</w:t>
      </w:r>
      <w:r w:rsidR="006761AB">
        <w:t>”</w:t>
      </w:r>
      <w:r>
        <w:rPr>
          <w:rStyle w:val="FootnoteReference"/>
        </w:rPr>
        <w:footnoteReference w:id="39"/>
      </w:r>
      <w:r w:rsidR="006761AB">
        <w:t xml:space="preserve"> or that “remove counsel from [a] hearing.”</w:t>
      </w:r>
      <w:r w:rsidR="006761AB">
        <w:rPr>
          <w:rStyle w:val="FootnoteReference"/>
        </w:rPr>
        <w:footnoteReference w:id="40"/>
      </w:r>
      <w:r>
        <w:t xml:space="preserve">  </w:t>
      </w:r>
      <w:r w:rsidR="007F061C" w:rsidRPr="004D5B46">
        <w:t>Contrary to Havens’ assertion</w:t>
      </w:r>
      <w:r w:rsidR="000C30E7">
        <w:t xml:space="preserve">, </w:t>
      </w:r>
      <w:r w:rsidR="007F061C" w:rsidRPr="004D5B46">
        <w:t>we</w:t>
      </w:r>
      <w:r w:rsidR="007F061C">
        <w:t xml:space="preserve"> do not read 14M-22 as prohibiting Havens from representing himself, or</w:t>
      </w:r>
      <w:r w:rsidR="00F533E4">
        <w:t xml:space="preserve"> as</w:t>
      </w:r>
      <w:r w:rsidR="007F061C">
        <w:t xml:space="preserve"> </w:t>
      </w:r>
      <w:r w:rsidR="001C4134">
        <w:t xml:space="preserve">prospectively terminating </w:t>
      </w:r>
      <w:r w:rsidR="00F13423">
        <w:t xml:space="preserve">his </w:t>
      </w:r>
      <w:r w:rsidR="007F061C">
        <w:t xml:space="preserve">participation </w:t>
      </w:r>
      <w:r w:rsidR="00BC349A">
        <w:t xml:space="preserve">in the </w:t>
      </w:r>
      <w:r w:rsidR="00F13423">
        <w:t xml:space="preserve">Maritime Proceeding </w:t>
      </w:r>
      <w:r w:rsidR="007F061C">
        <w:t>if he attempts to represent himself.</w:t>
      </w:r>
      <w:r w:rsidR="007F061C">
        <w:rPr>
          <w:rStyle w:val="FootnoteReference"/>
        </w:rPr>
        <w:footnoteReference w:id="41"/>
      </w:r>
      <w:r w:rsidR="007F061C">
        <w:t xml:space="preserve">  </w:t>
      </w:r>
      <w:r w:rsidR="004D5B46">
        <w:t xml:space="preserve">During the course of the Maritime Proceeding, Havens has indicated </w:t>
      </w:r>
      <w:r w:rsidR="0060518B">
        <w:t xml:space="preserve">on at least one occasion </w:t>
      </w:r>
      <w:r w:rsidR="004D5B46">
        <w:t>that he “intend[s] to have, but [has] not yet fully secured, legal counsel for the hearing.”</w:t>
      </w:r>
      <w:r w:rsidR="004D5B46">
        <w:rPr>
          <w:rStyle w:val="FootnoteReference"/>
        </w:rPr>
        <w:footnoteReference w:id="42"/>
      </w:r>
      <w:r w:rsidR="004D5B46">
        <w:t xml:space="preserve">  </w:t>
      </w:r>
      <w:r w:rsidR="007F061C">
        <w:t xml:space="preserve">We understand </w:t>
      </w:r>
      <w:r w:rsidR="004D5B46">
        <w:t>14M-22</w:t>
      </w:r>
      <w:r w:rsidR="007F061C">
        <w:t xml:space="preserve"> to </w:t>
      </w:r>
      <w:r w:rsidR="0060518B">
        <w:t>require</w:t>
      </w:r>
      <w:r w:rsidR="007F061C">
        <w:t xml:space="preserve"> any counsel who</w:t>
      </w:r>
      <w:r w:rsidR="0060518B">
        <w:t>m Havens may wish to</w:t>
      </w:r>
      <w:r w:rsidR="007F061C">
        <w:t xml:space="preserve"> represent </w:t>
      </w:r>
      <w:r w:rsidR="0060518B">
        <w:t xml:space="preserve">him </w:t>
      </w:r>
      <w:r w:rsidR="007F061C">
        <w:t xml:space="preserve">at the hearing </w:t>
      </w:r>
      <w:r w:rsidR="0060518B">
        <w:t xml:space="preserve">to </w:t>
      </w:r>
      <w:r w:rsidR="007F061C">
        <w:t>file a notice of appearance</w:t>
      </w:r>
      <w:r w:rsidR="00981A1D">
        <w:t xml:space="preserve"> </w:t>
      </w:r>
      <w:r w:rsidR="0060518B">
        <w:t>on or</w:t>
      </w:r>
      <w:r w:rsidR="00981A1D">
        <w:t xml:space="preserve"> before July 30</w:t>
      </w:r>
      <w:r w:rsidR="0060518B">
        <w:t>, 2014</w:t>
      </w:r>
      <w:r w:rsidR="007F061C">
        <w:t xml:space="preserve">.  </w:t>
      </w:r>
      <w:r w:rsidR="0060518B">
        <w:t>We do not construe the imposition of that deadline as a “preemptive ‘ruling removing counsel,’” as Havens has characterized it</w:t>
      </w:r>
      <w:r w:rsidR="00F13423">
        <w:t>,</w:t>
      </w:r>
      <w:r w:rsidR="0060518B">
        <w:rPr>
          <w:rStyle w:val="FootnoteReference"/>
        </w:rPr>
        <w:footnoteReference w:id="43"/>
      </w:r>
      <w:r w:rsidR="00F13423">
        <w:t xml:space="preserve"> nor as a ruling preventing Havens from participating as a party in the Maritime Proceeding.</w:t>
      </w:r>
      <w:r w:rsidR="0060518B">
        <w:t xml:space="preserve">  </w:t>
      </w:r>
      <w:r w:rsidR="00F533E4">
        <w:t>Because 14M-22 thus does not implicate § 1.301(a), it is not appealable as a matter of right</w:t>
      </w:r>
      <w:r w:rsidR="00B55499">
        <w:t>,</w:t>
      </w:r>
      <w:r w:rsidR="00F533E4">
        <w:t xml:space="preserve"> and w</w:t>
      </w:r>
      <w:r w:rsidR="00F533E4" w:rsidRPr="0092760C">
        <w:t>e</w:t>
      </w:r>
      <w:r w:rsidR="00F533E4" w:rsidRPr="0092760C">
        <w:rPr>
          <w:b/>
        </w:rPr>
        <w:t xml:space="preserve"> </w:t>
      </w:r>
      <w:r w:rsidR="00851B60" w:rsidRPr="00701422">
        <w:t xml:space="preserve">dismiss </w:t>
      </w:r>
      <w:r w:rsidR="00B10487">
        <w:t xml:space="preserve">Havens’ interlocutory </w:t>
      </w:r>
      <w:r w:rsidR="00851B60" w:rsidRPr="00701422">
        <w:t>appeal.</w:t>
      </w:r>
    </w:p>
    <w:p w:rsidR="0046506C" w:rsidRPr="007F4AC8" w:rsidRDefault="00C35CBC" w:rsidP="00FB511F">
      <w:pPr>
        <w:pStyle w:val="ParaNum"/>
      </w:pPr>
      <w:r>
        <w:rPr>
          <w:u w:val="single"/>
        </w:rPr>
        <w:t>Appeal of 14M-25</w:t>
      </w:r>
      <w:r w:rsidRPr="006C694A">
        <w:t xml:space="preserve">. </w:t>
      </w:r>
      <w:r>
        <w:rPr>
          <w:u w:val="single"/>
        </w:rPr>
        <w:t xml:space="preserve"> </w:t>
      </w:r>
      <w:r w:rsidR="00632309" w:rsidRPr="006C694A">
        <w:t xml:space="preserve">Finally, Havens appeals an order in which the ALJ </w:t>
      </w:r>
      <w:r w:rsidR="004A4ACF">
        <w:t>directed</w:t>
      </w:r>
      <w:r w:rsidR="00632309" w:rsidRPr="006C694A">
        <w:t xml:space="preserve"> Havens and an attorney, James A. Stenger (Stenger) of the firm of Chadbourne &amp; Parke, LLP, to file prehearing submissions jointly and required them to coordinate</w:t>
      </w:r>
      <w:r w:rsidR="00632309">
        <w:t xml:space="preserve"> questioning witnesses and objections at the hearing.</w:t>
      </w:r>
      <w:r w:rsidR="00632309">
        <w:rPr>
          <w:rStyle w:val="FootnoteReference"/>
        </w:rPr>
        <w:footnoteReference w:id="44"/>
      </w:r>
      <w:r w:rsidR="00632309">
        <w:t xml:space="preserve">  Although </w:t>
      </w:r>
      <w:r w:rsidR="007337F2" w:rsidRPr="00C45C66">
        <w:t>no attorney has filed a notice of appearance on behalf of Havens</w:t>
      </w:r>
      <w:r w:rsidR="00632309" w:rsidRPr="00C45C66">
        <w:t>,</w:t>
      </w:r>
      <w:r w:rsidR="007337F2" w:rsidRPr="00C45C66">
        <w:t xml:space="preserve"> o</w:t>
      </w:r>
      <w:r w:rsidR="0046506C" w:rsidRPr="00C45C66">
        <w:t>n</w:t>
      </w:r>
      <w:r w:rsidR="0046506C">
        <w:t xml:space="preserve"> July 29, 2014, </w:t>
      </w:r>
      <w:r w:rsidR="00632309">
        <w:t xml:space="preserve">Stenger </w:t>
      </w:r>
      <w:r w:rsidR="0046506C">
        <w:t>filed a notice of appearance on behalf of two of Havens’ companies, Environmental LLC and Verde Systems LLC.</w:t>
      </w:r>
      <w:r w:rsidR="00A25362">
        <w:rPr>
          <w:rStyle w:val="FootnoteReference"/>
        </w:rPr>
        <w:footnoteReference w:id="45"/>
      </w:r>
      <w:r w:rsidR="0046506C">
        <w:t xml:space="preserve">  </w:t>
      </w:r>
      <w:r w:rsidR="00B00DCF">
        <w:t xml:space="preserve">We </w:t>
      </w:r>
      <w:r w:rsidR="005367C9">
        <w:t xml:space="preserve">find that </w:t>
      </w:r>
      <w:r w:rsidR="00B06BFB">
        <w:t xml:space="preserve">the </w:t>
      </w:r>
      <w:r w:rsidR="00F1296B">
        <w:t>order</w:t>
      </w:r>
      <w:r w:rsidR="00B06BFB">
        <w:t xml:space="preserve"> in question</w:t>
      </w:r>
      <w:r w:rsidR="007337F2">
        <w:t xml:space="preserve">, </w:t>
      </w:r>
      <w:r w:rsidR="00B06BFB">
        <w:t xml:space="preserve">14M-25, </w:t>
      </w:r>
      <w:r w:rsidR="007337F2">
        <w:t xml:space="preserve">which merely imposes conditions on how Havens, as a party, must conduct himself, </w:t>
      </w:r>
      <w:r w:rsidR="00F1296B">
        <w:t xml:space="preserve">does </w:t>
      </w:r>
      <w:r w:rsidR="005367C9">
        <w:t xml:space="preserve">not </w:t>
      </w:r>
      <w:r w:rsidR="007337F2">
        <w:t>terminate his party status</w:t>
      </w:r>
      <w:r w:rsidR="00B55499">
        <w:t xml:space="preserve">.  It therefore </w:t>
      </w:r>
      <w:r w:rsidR="007337F2">
        <w:t xml:space="preserve">does not </w:t>
      </w:r>
      <w:r w:rsidR="007606F4">
        <w:t>“effectively” deny Havens’ right to participate as a party</w:t>
      </w:r>
      <w:r w:rsidR="00B55499">
        <w:t>.</w:t>
      </w:r>
      <w:r w:rsidR="007606F4">
        <w:rPr>
          <w:rStyle w:val="FootnoteReference"/>
        </w:rPr>
        <w:footnoteReference w:id="46"/>
      </w:r>
      <w:r w:rsidR="007606F4">
        <w:t xml:space="preserve"> </w:t>
      </w:r>
      <w:r w:rsidR="00B55499">
        <w:t xml:space="preserve"> W</w:t>
      </w:r>
      <w:r w:rsidR="005367C9">
        <w:t xml:space="preserve">e dismiss his interlocutory appeal, </w:t>
      </w:r>
    </w:p>
    <w:p w:rsidR="00E50ABF" w:rsidRDefault="00486A71" w:rsidP="000A4985">
      <w:pPr>
        <w:pStyle w:val="Heading1"/>
      </w:pPr>
      <w:r w:rsidRPr="00727998">
        <w:t>ORDERING CLAUSE</w:t>
      </w:r>
      <w:r w:rsidR="00E50ABF">
        <w:t>S</w:t>
      </w:r>
      <w:r w:rsidR="00AE11B9" w:rsidRPr="001D2584">
        <w:t xml:space="preserve">  </w:t>
      </w:r>
    </w:p>
    <w:p w:rsidR="007D5FA9" w:rsidRDefault="007D5FA9" w:rsidP="00902AEC">
      <w:pPr>
        <w:pStyle w:val="ParaNum"/>
      </w:pPr>
      <w:r>
        <w:t xml:space="preserve">Accordingly, </w:t>
      </w:r>
      <w:r w:rsidR="006C59D2">
        <w:t>IT IS ORDERED t</w:t>
      </w:r>
      <w:r w:rsidR="004840FE" w:rsidRPr="001D2584">
        <w:t>hat the Appeal under Rule § 1.301(a)</w:t>
      </w:r>
      <w:r w:rsidR="00B51177" w:rsidRPr="001D2584">
        <w:t>,</w:t>
      </w:r>
      <w:r w:rsidR="004840FE" w:rsidRPr="001D2584">
        <w:t xml:space="preserve"> filed </w:t>
      </w:r>
      <w:r w:rsidR="00B51177" w:rsidRPr="001D2584">
        <w:t>January 28, 2014</w:t>
      </w:r>
      <w:r w:rsidR="004840FE" w:rsidRPr="001D2584">
        <w:t>, by Warren Havens</w:t>
      </w:r>
      <w:r w:rsidR="001D2584">
        <w:t xml:space="preserve"> IS </w:t>
      </w:r>
      <w:r w:rsidR="00A35268">
        <w:t>DISMISSED</w:t>
      </w:r>
      <w:r w:rsidR="00851B60">
        <w:t xml:space="preserve">; the </w:t>
      </w:r>
      <w:r w:rsidR="00B24B0F">
        <w:t xml:space="preserve">Interlocutory </w:t>
      </w:r>
      <w:r w:rsidR="00B24B0F" w:rsidRPr="001D2584">
        <w:t xml:space="preserve">Appeal under Rule § 1.301(a), filed </w:t>
      </w:r>
      <w:r w:rsidR="00B24B0F">
        <w:t xml:space="preserve">March 6, 2014, </w:t>
      </w:r>
      <w:r w:rsidR="00B24B0F" w:rsidRPr="001D2584">
        <w:t>by Warren Havens</w:t>
      </w:r>
      <w:r w:rsidR="00B24B0F">
        <w:t xml:space="preserve"> IS DISMISSED; the Interlocutory </w:t>
      </w:r>
      <w:r w:rsidR="00851B60" w:rsidRPr="001D2584">
        <w:t xml:space="preserve">Appeal under Rule § 1.301(a), filed </w:t>
      </w:r>
      <w:r w:rsidR="00851B60">
        <w:t xml:space="preserve">February 4, 2014, </w:t>
      </w:r>
      <w:r w:rsidR="00851B60" w:rsidRPr="001D2584">
        <w:t>by Warren Havens</w:t>
      </w:r>
      <w:r w:rsidR="00851B60">
        <w:t xml:space="preserve"> IS DISMISSED; </w:t>
      </w:r>
      <w:r w:rsidR="001D2584">
        <w:t xml:space="preserve">the </w:t>
      </w:r>
      <w:r w:rsidR="001D2584" w:rsidRPr="001D2584">
        <w:t xml:space="preserve">Appeal under Rule § 1.301(a), filed January </w:t>
      </w:r>
      <w:r w:rsidR="001D2584">
        <w:t>15</w:t>
      </w:r>
      <w:r w:rsidR="001D2584" w:rsidRPr="001D2584">
        <w:t>, 2014, by Warren Havens</w:t>
      </w:r>
      <w:r w:rsidR="001D2584">
        <w:t xml:space="preserve"> IS DISMISSED; the Interlocutory Appeal Under Section 1.301(a), filed December 3</w:t>
      </w:r>
      <w:r w:rsidR="008D125E">
        <w:t>0</w:t>
      </w:r>
      <w:r w:rsidR="001D2584">
        <w:t>, 2013, by Warren Havens</w:t>
      </w:r>
      <w:r w:rsidR="00C60F82">
        <w:t>,</w:t>
      </w:r>
      <w:r w:rsidR="001D2584">
        <w:t xml:space="preserve"> and the Request to Accept </w:t>
      </w:r>
      <w:r w:rsidR="001129D0">
        <w:t xml:space="preserve">and </w:t>
      </w:r>
      <w:r w:rsidR="001D2584">
        <w:t>Supplement to Interlocutory</w:t>
      </w:r>
      <w:r w:rsidR="00A35268">
        <w:t xml:space="preserve"> </w:t>
      </w:r>
      <w:r w:rsidR="001D2584">
        <w:t>Appeal Under Section 1.301(a), filed January 7, 2014, by Warren Havens ARE DISMISSED</w:t>
      </w:r>
      <w:r w:rsidR="00A96593">
        <w:t xml:space="preserve">; the </w:t>
      </w:r>
      <w:r w:rsidR="002F36E6">
        <w:t>Appeal Under §</w:t>
      </w:r>
      <w:r w:rsidR="00C666E5">
        <w:t> </w:t>
      </w:r>
      <w:r w:rsidR="002F36E6">
        <w:t>1.301(a) Regarding and Comments on FCC 14M-22, filed July 22, 2014, by Warren Havens IS DISMISSED</w:t>
      </w:r>
      <w:r w:rsidR="005367C9">
        <w:t>; and the Request Under § 1.301(a), filed August 18, 2014, by Warren Havens IS DISMISSED</w:t>
      </w:r>
      <w:r w:rsidR="001D2584">
        <w:t>.</w:t>
      </w:r>
    </w:p>
    <w:p w:rsidR="002D027D" w:rsidRDefault="007D5FA9" w:rsidP="00902AEC">
      <w:pPr>
        <w:pStyle w:val="ParaNum"/>
      </w:pPr>
      <w:r w:rsidRPr="001D2584">
        <w:t>IT IS</w:t>
      </w:r>
      <w:r>
        <w:t xml:space="preserve"> FURTHER</w:t>
      </w:r>
      <w:r w:rsidRPr="001D2584">
        <w:t xml:space="preserve"> ORDERED</w:t>
      </w:r>
      <w:r>
        <w:t xml:space="preserve"> that the Request to Strike and Comments on Choctaw’s “Opposition to Interlocutory Appeal of Warren Havens,” filed February 12, 2014, by Warren Havens IS GRANTED AND Choctaw’s Opposition to Interlocutory Appeal of Warren Havens, filed February 5, 2014</w:t>
      </w:r>
      <w:r w:rsidR="00F533E4">
        <w:t>,</w:t>
      </w:r>
      <w:r>
        <w:t xml:space="preserve"> IS STRICKEN.</w:t>
      </w:r>
      <w:r w:rsidR="004840FE">
        <w:tab/>
      </w:r>
      <w:r w:rsidR="004840FE">
        <w:tab/>
      </w:r>
      <w:r w:rsidR="004840FE">
        <w:tab/>
      </w:r>
      <w:r w:rsidR="004840FE">
        <w:tab/>
      </w:r>
    </w:p>
    <w:p w:rsidR="00902AEC" w:rsidRDefault="00902AEC" w:rsidP="00902AEC">
      <w:r>
        <w:tab/>
      </w:r>
      <w:r>
        <w:tab/>
      </w:r>
      <w:r>
        <w:tab/>
      </w:r>
      <w:r>
        <w:tab/>
      </w:r>
      <w:r>
        <w:tab/>
      </w:r>
      <w:r>
        <w:tab/>
        <w:t>FEDERAL COMMUNICATIONS COMMISSION</w:t>
      </w:r>
    </w:p>
    <w:p w:rsidR="00902AEC" w:rsidRDefault="00902AEC" w:rsidP="00033F35"/>
    <w:p w:rsidR="00902AEC" w:rsidRDefault="00902AEC" w:rsidP="00033F35"/>
    <w:p w:rsidR="00902AEC" w:rsidRDefault="00902AEC" w:rsidP="00033F35"/>
    <w:p w:rsidR="00902AEC" w:rsidRDefault="00902AEC" w:rsidP="00033F35">
      <w:r>
        <w:tab/>
      </w:r>
      <w:r>
        <w:tab/>
      </w:r>
      <w:r>
        <w:tab/>
      </w:r>
      <w:r>
        <w:tab/>
      </w:r>
      <w:r>
        <w:tab/>
      </w:r>
      <w:r>
        <w:tab/>
        <w:t>Marlene H. Dortch</w:t>
      </w:r>
    </w:p>
    <w:p w:rsidR="00C65F69" w:rsidRDefault="00902AEC" w:rsidP="00033F35">
      <w:r>
        <w:tab/>
      </w:r>
      <w:r>
        <w:tab/>
      </w:r>
      <w:r>
        <w:tab/>
      </w:r>
      <w:r>
        <w:tab/>
      </w:r>
      <w:r>
        <w:tab/>
      </w:r>
      <w:r>
        <w:tab/>
        <w:t>Secretary</w:t>
      </w:r>
    </w:p>
    <w:p w:rsidR="00C65F69" w:rsidRDefault="00C65F69" w:rsidP="00033F35"/>
    <w:p w:rsidR="00C65F69" w:rsidRDefault="00C65F69" w:rsidP="00033F35"/>
    <w:p w:rsidR="00C65F69" w:rsidRDefault="00C65F69" w:rsidP="00033F35"/>
    <w:p w:rsidR="00C62EAB" w:rsidRPr="000561E6" w:rsidRDefault="004E1B60" w:rsidP="003845F4">
      <w:r>
        <w:tab/>
      </w:r>
      <w:r>
        <w:tab/>
      </w:r>
      <w:r>
        <w:tab/>
      </w:r>
      <w:r>
        <w:tab/>
      </w:r>
    </w:p>
    <w:sectPr w:rsidR="00C62EAB" w:rsidRPr="000561E6" w:rsidSect="004558B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3C6" w:rsidRDefault="00BE03C6" w:rsidP="00975E5C">
      <w:r>
        <w:separator/>
      </w:r>
    </w:p>
  </w:endnote>
  <w:endnote w:type="continuationSeparator" w:id="0">
    <w:p w:rsidR="00BE03C6" w:rsidRDefault="00BE03C6" w:rsidP="00975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97" w:rsidRDefault="004511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6966604"/>
      <w:docPartObj>
        <w:docPartGallery w:val="Page Numbers (Bottom of Page)"/>
        <w:docPartUnique/>
      </w:docPartObj>
    </w:sdtPr>
    <w:sdtEndPr>
      <w:rPr>
        <w:noProof/>
      </w:rPr>
    </w:sdtEndPr>
    <w:sdtContent>
      <w:p w:rsidR="00E7120F" w:rsidRPr="007C702C" w:rsidRDefault="00E7120F">
        <w:pPr>
          <w:pStyle w:val="Footer"/>
          <w:jc w:val="center"/>
        </w:pPr>
        <w:r w:rsidRPr="007C702C">
          <w:fldChar w:fldCharType="begin"/>
        </w:r>
        <w:r w:rsidRPr="007C702C">
          <w:instrText xml:space="preserve"> PAGE   \* MERGEFORMAT </w:instrText>
        </w:r>
        <w:r w:rsidRPr="007C702C">
          <w:fldChar w:fldCharType="separate"/>
        </w:r>
        <w:r w:rsidR="008C31F5">
          <w:rPr>
            <w:noProof/>
          </w:rPr>
          <w:t>5</w:t>
        </w:r>
        <w:r w:rsidRPr="007C702C">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97" w:rsidRDefault="00451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3C6" w:rsidRDefault="00BE03C6" w:rsidP="00975E5C">
      <w:r>
        <w:separator/>
      </w:r>
    </w:p>
  </w:footnote>
  <w:footnote w:type="continuationSeparator" w:id="0">
    <w:p w:rsidR="00BE03C6" w:rsidRDefault="00BE03C6" w:rsidP="003519C2">
      <w:pPr>
        <w:spacing w:before="120"/>
        <w:rPr>
          <w:sz w:val="20"/>
        </w:rPr>
      </w:pPr>
      <w:r>
        <w:rPr>
          <w:sz w:val="20"/>
        </w:rPr>
        <w:t xml:space="preserve">(Continued from previous page)  </w:t>
      </w:r>
      <w:r>
        <w:rPr>
          <w:sz w:val="20"/>
        </w:rPr>
        <w:separator/>
      </w:r>
    </w:p>
  </w:footnote>
  <w:footnote w:type="continuationNotice" w:id="1">
    <w:p w:rsidR="00BE03C6" w:rsidRPr="00CC61A9" w:rsidRDefault="00BE03C6" w:rsidP="00D8362B">
      <w:pPr>
        <w:jc w:val="right"/>
        <w:rPr>
          <w:sz w:val="20"/>
        </w:rPr>
      </w:pPr>
      <w:r>
        <w:rPr>
          <w:sz w:val="20"/>
        </w:rPr>
        <w:t>(c</w:t>
      </w:r>
      <w:r w:rsidRPr="00CC61A9">
        <w:rPr>
          <w:sz w:val="20"/>
        </w:rPr>
        <w:t>ontinued</w:t>
      </w:r>
      <w:r>
        <w:rPr>
          <w:sz w:val="20"/>
        </w:rPr>
        <w:t xml:space="preserve">. . .) </w:t>
      </w:r>
    </w:p>
  </w:footnote>
  <w:footnote w:id="2">
    <w:p w:rsidR="00E7120F" w:rsidRPr="00EF5E7C" w:rsidRDefault="00E7120F">
      <w:pPr>
        <w:pStyle w:val="FootnoteText"/>
      </w:pPr>
      <w:r w:rsidRPr="00EF5E7C">
        <w:rPr>
          <w:rStyle w:val="FootnoteReference"/>
        </w:rPr>
        <w:footnoteRef/>
      </w:r>
      <w:r w:rsidRPr="00EF5E7C">
        <w:t xml:space="preserve"> </w:t>
      </w:r>
      <w:r w:rsidRPr="00EF5E7C">
        <w:rPr>
          <w:i/>
        </w:rPr>
        <w:t xml:space="preserve">See </w:t>
      </w:r>
      <w:r w:rsidRPr="00477AD7">
        <w:t>Order,</w:t>
      </w:r>
      <w:r w:rsidRPr="00EF5E7C">
        <w:rPr>
          <w:i/>
        </w:rPr>
        <w:t xml:space="preserve"> </w:t>
      </w:r>
      <w:r w:rsidRPr="00EF5E7C">
        <w:t xml:space="preserve">FCC </w:t>
      </w:r>
      <w:r>
        <w:t>14</w:t>
      </w:r>
      <w:r w:rsidRPr="00EF5E7C">
        <w:t>M-</w:t>
      </w:r>
      <w:r>
        <w:t>3</w:t>
      </w:r>
      <w:r w:rsidRPr="00EF5E7C">
        <w:t xml:space="preserve"> (</w:t>
      </w:r>
      <w:r>
        <w:t>Jan. 17, 2014</w:t>
      </w:r>
      <w:r w:rsidRPr="00EF5E7C">
        <w:t>) (</w:t>
      </w:r>
      <w:r>
        <w:t>14M-3</w:t>
      </w:r>
      <w:r w:rsidRPr="00EF5E7C">
        <w:t xml:space="preserve">).  </w:t>
      </w:r>
      <w:r>
        <w:t xml:space="preserve">Various parties filed oppositions or responses to Havens’ Appeal.  </w:t>
      </w:r>
      <w:r>
        <w:rPr>
          <w:i/>
        </w:rPr>
        <w:t>See</w:t>
      </w:r>
      <w:r>
        <w:t xml:space="preserve"> Response of Technology Law Group to Interlocutory Appeal of Order FCC 14M-3, filed February 4, 2014 (TLG Response); Submission of Mr. James Ming Chen to Warren Havens’ January 28, 2014 Interlocutory Appeal, filed February 4, 2014 (Chen Submission); Enforcement Bureau’s Opposition to Mr. Havens’ Interlocutory Appeal, filed February 4, 2014 (EB Opposition); Maritime’s Opposition to Havens’ January 28, 2014 Interlocutory Appeal, filed February 7, 2014; Choctaw’s Opposition to Interlocutory Appeal of Warren Havens, filed February 5, 2014.  </w:t>
      </w:r>
      <w:r>
        <w:rPr>
          <w:i/>
        </w:rPr>
        <w:t xml:space="preserve">See also </w:t>
      </w:r>
      <w:r>
        <w:t xml:space="preserve">Enforcement Bureau’s Comments on the January 17, 2014 Prehearing Conference, filed January 27, 2014.  Havens has moved to strike the opposition of Choctaw Telecommunications, LLC and Choctaw Holdings, LLC (collectively, Choctaw).  </w:t>
      </w:r>
      <w:r>
        <w:rPr>
          <w:i/>
        </w:rPr>
        <w:t xml:space="preserve">See </w:t>
      </w:r>
      <w:r>
        <w:t xml:space="preserve">Request to Strike and Comments on Choctaw’s “Opposition to Interlocutory Appeal of Warren Havens,” filed February 14, 2014.  Choctaw was permitted to intervene in the Maritime Proceeding for the limited purpose of updating the status of its application for </w:t>
      </w:r>
      <w:r>
        <w:rPr>
          <w:i/>
        </w:rPr>
        <w:t xml:space="preserve">Second Thursday </w:t>
      </w:r>
      <w:r>
        <w:t xml:space="preserve">relief.  </w:t>
      </w:r>
      <w:r>
        <w:rPr>
          <w:i/>
        </w:rPr>
        <w:t xml:space="preserve">See infra </w:t>
      </w:r>
      <w:r>
        <w:t xml:space="preserve">note 5; Order, FCC 13M-4 (Mar. 11, 2003) at 3.  Consequently, Choctaw’s pleading is beyond the scope of its authorized participation, and we grant Havens’ motion to strike it.  </w:t>
      </w:r>
      <w:r>
        <w:rPr>
          <w:i/>
        </w:rPr>
        <w:t xml:space="preserve">See </w:t>
      </w:r>
      <w:r w:rsidRPr="00811D17">
        <w:rPr>
          <w:i/>
        </w:rPr>
        <w:t xml:space="preserve">infra </w:t>
      </w:r>
      <w:r w:rsidRPr="00811D17">
        <w:t>para. 15.</w:t>
      </w:r>
      <w:r>
        <w:t xml:space="preserve"> </w:t>
      </w:r>
      <w:r w:rsidRPr="00EF5E7C">
        <w:t xml:space="preserve"> </w:t>
      </w:r>
    </w:p>
  </w:footnote>
  <w:footnote w:id="3">
    <w:p w:rsidR="00E7120F" w:rsidRPr="00033F35" w:rsidRDefault="00E7120F">
      <w:pPr>
        <w:pStyle w:val="FootnoteText"/>
      </w:pPr>
      <w:r>
        <w:rPr>
          <w:rStyle w:val="FootnoteReference"/>
        </w:rPr>
        <w:footnoteRef/>
      </w:r>
      <w:r>
        <w:t xml:space="preserve"> </w:t>
      </w:r>
      <w:r>
        <w:rPr>
          <w:i/>
        </w:rPr>
        <w:t xml:space="preserve">See </w:t>
      </w:r>
      <w:r>
        <w:t>Memorandum Opinion and Order, FCC 14M-18 (Jun. 17, 2014) (14M-18).</w:t>
      </w:r>
    </w:p>
  </w:footnote>
  <w:footnote w:id="4">
    <w:p w:rsidR="00E7120F" w:rsidRPr="00EF5E7C" w:rsidRDefault="00E7120F" w:rsidP="00157077">
      <w:pPr>
        <w:pStyle w:val="FootnoteText"/>
        <w:rPr>
          <w:rStyle w:val="FootnoteReference"/>
        </w:rPr>
      </w:pPr>
      <w:r w:rsidRPr="00EF5E7C">
        <w:rPr>
          <w:rStyle w:val="FootnoteReference"/>
        </w:rPr>
        <w:footnoteRef/>
      </w:r>
      <w:r w:rsidRPr="00EF5E7C">
        <w:t xml:space="preserve"> </w:t>
      </w:r>
      <w:r w:rsidRPr="00EF5E7C">
        <w:rPr>
          <w:i/>
        </w:rPr>
        <w:t>See Maritime Communications/Land Mobile, LLC</w:t>
      </w:r>
      <w:r w:rsidRPr="00EF5E7C">
        <w:t>, 26 FCC Rcd 6520 (2011) (</w:t>
      </w:r>
      <w:r w:rsidRPr="008E345F">
        <w:rPr>
          <w:i/>
        </w:rPr>
        <w:t>HDO</w:t>
      </w:r>
      <w:r w:rsidRPr="00EF5E7C">
        <w:t>).</w:t>
      </w:r>
      <w:r w:rsidRPr="00EF5E7C">
        <w:rPr>
          <w:rStyle w:val="FootnoteReference"/>
        </w:rPr>
        <w:t xml:space="preserve"> </w:t>
      </w:r>
    </w:p>
  </w:footnote>
  <w:footnote w:id="5">
    <w:p w:rsidR="00E7120F" w:rsidRPr="00EF5E7C" w:rsidRDefault="00E7120F" w:rsidP="00157077">
      <w:pPr>
        <w:pStyle w:val="FootnoteText"/>
      </w:pPr>
      <w:r w:rsidRPr="00EF5E7C">
        <w:rPr>
          <w:rStyle w:val="FootnoteReference"/>
        </w:rPr>
        <w:footnoteRef/>
      </w:r>
      <w:r w:rsidRPr="00EF5E7C">
        <w:t xml:space="preserve"> </w:t>
      </w:r>
      <w:r w:rsidRPr="00EF5E7C">
        <w:rPr>
          <w:i/>
        </w:rPr>
        <w:t xml:space="preserve">See </w:t>
      </w:r>
      <w:r w:rsidRPr="008E345F">
        <w:rPr>
          <w:i/>
        </w:rPr>
        <w:t>HDO</w:t>
      </w:r>
      <w:r w:rsidRPr="00EF5E7C">
        <w:t>, 26 FCC Rcd at 6547 ¶ 62.</w:t>
      </w:r>
    </w:p>
  </w:footnote>
  <w:footnote w:id="6">
    <w:p w:rsidR="00E7120F" w:rsidRPr="00D16BCB" w:rsidRDefault="00E7120F">
      <w:pPr>
        <w:pStyle w:val="FootnoteText"/>
      </w:pPr>
      <w:r w:rsidRPr="00CB007C">
        <w:rPr>
          <w:rStyle w:val="FootnoteReference"/>
        </w:rPr>
        <w:footnoteRef/>
      </w:r>
      <w:r w:rsidRPr="00CB007C">
        <w:t xml:space="preserve"> </w:t>
      </w:r>
      <w:r w:rsidRPr="00CB007C">
        <w:rPr>
          <w:i/>
        </w:rPr>
        <w:t xml:space="preserve">See </w:t>
      </w:r>
      <w:r w:rsidRPr="00F44C9A">
        <w:t>Order</w:t>
      </w:r>
      <w:r w:rsidRPr="00CB007C">
        <w:rPr>
          <w:i/>
        </w:rPr>
        <w:t xml:space="preserve">, </w:t>
      </w:r>
      <w:r w:rsidRPr="00CB007C">
        <w:t>FCC 13M-6 (Mar. 31, 2013).</w:t>
      </w:r>
      <w:r>
        <w:t xml:space="preserve">  </w:t>
      </w:r>
      <w:r>
        <w:rPr>
          <w:i/>
        </w:rPr>
        <w:t>See also Public Notice</w:t>
      </w:r>
      <w:r w:rsidRPr="008E345F">
        <w:t xml:space="preserve">, </w:t>
      </w:r>
      <w:r>
        <w:t xml:space="preserve">DA 13-569 (Mar. 28, 2013).  Under the </w:t>
      </w:r>
      <w:r>
        <w:rPr>
          <w:i/>
        </w:rPr>
        <w:t xml:space="preserve">Second Thursday </w:t>
      </w:r>
      <w:r>
        <w:t xml:space="preserve">doctrine, a bankrupt licensee, the qualifications of which are subject to a hearing proceeding, may sell its stations where alleged wrongdoers would not benefit from the sale and the proceeds would be used to reimburse innocent creditors.  </w:t>
      </w:r>
      <w:r>
        <w:rPr>
          <w:i/>
        </w:rPr>
        <w:t>See Second Thursday Corp.</w:t>
      </w:r>
      <w:r w:rsidRPr="008E345F">
        <w:t xml:space="preserve">, </w:t>
      </w:r>
      <w:r>
        <w:t xml:space="preserve">22 FCC 2d 515, </w:t>
      </w:r>
      <w:r w:rsidRPr="006C4260">
        <w:rPr>
          <w:i/>
        </w:rPr>
        <w:t>recon. granted on other grounds</w:t>
      </w:r>
      <w:r w:rsidRPr="008E345F">
        <w:t>,</w:t>
      </w:r>
      <w:r>
        <w:rPr>
          <w:i/>
        </w:rPr>
        <w:t xml:space="preserve"> </w:t>
      </w:r>
      <w:r>
        <w:t xml:space="preserve">25 FCC 2d 112 (1970).  Choctaw </w:t>
      </w:r>
      <w:r w:rsidR="00D16BCB">
        <w:t>is the</w:t>
      </w:r>
      <w:r w:rsidR="00E267B0">
        <w:t xml:space="preserve"> </w:t>
      </w:r>
      <w:r>
        <w:t xml:space="preserve">transferee of Maritime’s licenses </w:t>
      </w:r>
      <w:r w:rsidR="005F44C2">
        <w:t xml:space="preserve">specified </w:t>
      </w:r>
      <w:r>
        <w:t xml:space="preserve">in the proposed </w:t>
      </w:r>
      <w:r w:rsidRPr="00BB296F">
        <w:rPr>
          <w:i/>
        </w:rPr>
        <w:t>Second Thursday</w:t>
      </w:r>
      <w:r>
        <w:t xml:space="preserve"> transaction.</w:t>
      </w:r>
      <w:r w:rsidR="00D16BCB">
        <w:t xml:space="preserve">  The Commission ultimately denied Maritime’s request for </w:t>
      </w:r>
      <w:r w:rsidR="00D16BCB">
        <w:rPr>
          <w:i/>
        </w:rPr>
        <w:t xml:space="preserve">Second Thursday </w:t>
      </w:r>
      <w:r w:rsidR="00D16BCB">
        <w:t>relief, but removed some licenses from hearing to consider applications to transfer the</w:t>
      </w:r>
      <w:r w:rsidR="005F44C2">
        <w:t xml:space="preserve">m </w:t>
      </w:r>
      <w:r w:rsidR="00D16BCB">
        <w:t xml:space="preserve">to the Southern California Regional Rail Authority for positive train control.  </w:t>
      </w:r>
      <w:r w:rsidR="00D16BCB">
        <w:rPr>
          <w:i/>
        </w:rPr>
        <w:t xml:space="preserve">See </w:t>
      </w:r>
      <w:r w:rsidR="00CB7A19">
        <w:rPr>
          <w:i/>
        </w:rPr>
        <w:t>Maritime Communications/Land Mobile, LLC, Debtor-In-Possession</w:t>
      </w:r>
      <w:r w:rsidR="00CB7A19">
        <w:t>, FCC 14-</w:t>
      </w:r>
      <w:r w:rsidR="007A770B">
        <w:t xml:space="preserve">133 </w:t>
      </w:r>
      <w:r w:rsidR="00CB7A19">
        <w:t xml:space="preserve">(Sept. </w:t>
      </w:r>
      <w:r w:rsidR="007A770B">
        <w:t>11</w:t>
      </w:r>
      <w:r w:rsidR="00CB7A19">
        <w:t>, 2014).</w:t>
      </w:r>
    </w:p>
  </w:footnote>
  <w:footnote w:id="7">
    <w:p w:rsidR="00E7120F" w:rsidRPr="00A8386D" w:rsidRDefault="00E7120F" w:rsidP="008D677F">
      <w:pPr>
        <w:pStyle w:val="FootnoteText"/>
      </w:pPr>
      <w:r w:rsidRPr="00A8386D">
        <w:rPr>
          <w:rStyle w:val="FootnoteReference"/>
        </w:rPr>
        <w:footnoteRef/>
      </w:r>
      <w:r w:rsidRPr="00A8386D">
        <w:t xml:space="preserve"> </w:t>
      </w:r>
      <w:r w:rsidRPr="00A8386D">
        <w:rPr>
          <w:i/>
        </w:rPr>
        <w:t xml:space="preserve">See </w:t>
      </w:r>
      <w:r>
        <w:t xml:space="preserve">Memorandum Opinion and Order, FCC 13M-16 (Aug. 14, 2013) (13M-16).  </w:t>
      </w:r>
    </w:p>
  </w:footnote>
  <w:footnote w:id="8">
    <w:p w:rsidR="00E7120F" w:rsidRPr="00A160BD" w:rsidRDefault="00E7120F">
      <w:pPr>
        <w:pStyle w:val="FootnoteText"/>
      </w:pPr>
      <w:r w:rsidRPr="00AF2065">
        <w:rPr>
          <w:rStyle w:val="FootnoteReference"/>
        </w:rPr>
        <w:footnoteRef/>
      </w:r>
      <w:r w:rsidRPr="00AF2065">
        <w:t xml:space="preserve"> </w:t>
      </w:r>
      <w:r w:rsidRPr="00AF2065">
        <w:rPr>
          <w:i/>
        </w:rPr>
        <w:t xml:space="preserve">See </w:t>
      </w:r>
      <w:r>
        <w:t xml:space="preserve">13M-16 </w:t>
      </w:r>
      <w:r w:rsidRPr="00AF2065">
        <w:t>at 7-9 ¶¶ 17-20.</w:t>
      </w:r>
      <w:r>
        <w:t xml:space="preserve">  </w:t>
      </w:r>
      <w:r>
        <w:rPr>
          <w:i/>
        </w:rPr>
        <w:t>See also Summary Decision Procedures</w:t>
      </w:r>
      <w:r w:rsidRPr="008E345F">
        <w:t xml:space="preserve">, </w:t>
      </w:r>
      <w:r>
        <w:t xml:space="preserve">34 FCC 2d 485, 488 ¶ 6 (1972) (“[A] motion for summary decision should not in fairness be used against parties who appear without counsel [except where the issues are more simple than complex and the </w:t>
      </w:r>
      <w:r w:rsidRPr="00E6339C">
        <w:rPr>
          <w:i/>
        </w:rPr>
        <w:t xml:space="preserve">pro se </w:t>
      </w:r>
      <w:r>
        <w:t>party has personal knowledge of the facts].”).</w:t>
      </w:r>
    </w:p>
  </w:footnote>
  <w:footnote w:id="9">
    <w:p w:rsidR="00E7120F" w:rsidRPr="00472646" w:rsidRDefault="00E7120F">
      <w:pPr>
        <w:pStyle w:val="FootnoteText"/>
      </w:pPr>
      <w:r w:rsidRPr="00472646">
        <w:rPr>
          <w:rStyle w:val="FootnoteReference"/>
        </w:rPr>
        <w:footnoteRef/>
      </w:r>
      <w:r w:rsidRPr="00472646">
        <w:t xml:space="preserve"> Havens-SkyTel First Motion Under Order 13M-19 to Reject Settlement, Proceed With the Hearing and Provide Additional Relevant Discovery, filed December 2, 2013</w:t>
      </w:r>
      <w:r>
        <w:t>,</w:t>
      </w:r>
      <w:r w:rsidRPr="00472646">
        <w:t xml:space="preserve"> at 1 n.1</w:t>
      </w:r>
      <w:r>
        <w:t xml:space="preserve">. </w:t>
      </w:r>
    </w:p>
  </w:footnote>
  <w:footnote w:id="10">
    <w:p w:rsidR="00E7120F" w:rsidRDefault="00E7120F">
      <w:pPr>
        <w:pStyle w:val="FootnoteText"/>
      </w:pPr>
      <w:r>
        <w:rPr>
          <w:rStyle w:val="FootnoteReference"/>
        </w:rPr>
        <w:footnoteRef/>
      </w:r>
      <w:r>
        <w:t xml:space="preserve"> </w:t>
      </w:r>
      <w:r>
        <w:rPr>
          <w:i/>
        </w:rPr>
        <w:t xml:space="preserve">See </w:t>
      </w:r>
      <w:r>
        <w:t>Joint Motion of Enforcement Bureau and Maritime [Communications/Land Mobile, LLC] for Summary Decision on Issue G, filed December 2, 2013.</w:t>
      </w:r>
    </w:p>
  </w:footnote>
  <w:footnote w:id="11">
    <w:p w:rsidR="00E7120F" w:rsidRPr="00472646" w:rsidRDefault="00E7120F">
      <w:pPr>
        <w:pStyle w:val="FootnoteText"/>
      </w:pPr>
      <w:r w:rsidRPr="00472646">
        <w:rPr>
          <w:rStyle w:val="FootnoteReference"/>
        </w:rPr>
        <w:footnoteRef/>
      </w:r>
      <w:r w:rsidRPr="00472646">
        <w:t xml:space="preserve"> </w:t>
      </w:r>
      <w:r w:rsidRPr="00472646">
        <w:rPr>
          <w:i/>
        </w:rPr>
        <w:t xml:space="preserve">See </w:t>
      </w:r>
      <w:r w:rsidRPr="00472646">
        <w:t>Havens Opposition to Joint Motion for Enforcement Bureau &amp; [</w:t>
      </w:r>
      <w:r>
        <w:t>Maritime</w:t>
      </w:r>
      <w:r w:rsidRPr="00472646">
        <w:t>] for Summary Decision on Issue G, filed December 16, 2013, at 104</w:t>
      </w:r>
      <w:r>
        <w:t>-05</w:t>
      </w:r>
      <w:r w:rsidRPr="00472646">
        <w:t xml:space="preserve">, </w:t>
      </w:r>
      <w:r w:rsidRPr="00472646">
        <w:rPr>
          <w:i/>
        </w:rPr>
        <w:t xml:space="preserve">quoting </w:t>
      </w:r>
      <w:r w:rsidRPr="008F2C3E">
        <w:t>13M-16</w:t>
      </w:r>
      <w:r>
        <w:rPr>
          <w:i/>
        </w:rPr>
        <w:t xml:space="preserve"> </w:t>
      </w:r>
      <w:r w:rsidRPr="00472646">
        <w:t xml:space="preserve">at 7 ¶ 18.   </w:t>
      </w:r>
    </w:p>
  </w:footnote>
  <w:footnote w:id="12">
    <w:p w:rsidR="00E7120F" w:rsidRPr="00EC7458" w:rsidRDefault="00E7120F">
      <w:pPr>
        <w:pStyle w:val="FootnoteText"/>
        <w:rPr>
          <w:i/>
        </w:rPr>
      </w:pPr>
      <w:r w:rsidRPr="00EC7458">
        <w:rPr>
          <w:rStyle w:val="FootnoteReference"/>
        </w:rPr>
        <w:footnoteRef/>
      </w:r>
      <w:r w:rsidRPr="00EC7458">
        <w:t xml:space="preserve"> </w:t>
      </w:r>
      <w:r w:rsidRPr="00EC7458">
        <w:rPr>
          <w:i/>
        </w:rPr>
        <w:t xml:space="preserve">See </w:t>
      </w:r>
      <w:r>
        <w:t xml:space="preserve">Order, </w:t>
      </w:r>
      <w:r w:rsidRPr="0010720C">
        <w:t xml:space="preserve">14M-1 </w:t>
      </w:r>
      <w:r>
        <w:t xml:space="preserve">(Jan. 8, 2014) (14M-1), </w:t>
      </w:r>
      <w:r w:rsidRPr="0010720C">
        <w:t>at 2-3 ¶¶ 3-7.</w:t>
      </w:r>
      <w:r>
        <w:t xml:space="preserve">  Havens’ interlocutory appeal of 14M-1 is discussed </w:t>
      </w:r>
      <w:r>
        <w:rPr>
          <w:i/>
        </w:rPr>
        <w:t xml:space="preserve">infra </w:t>
      </w:r>
      <w:r>
        <w:t xml:space="preserve">at paragraphs </w:t>
      </w:r>
      <w:r w:rsidRPr="0099366C">
        <w:t>9</w:t>
      </w:r>
      <w:r w:rsidRPr="00811D17">
        <w:t xml:space="preserve"> through 11.</w:t>
      </w:r>
    </w:p>
  </w:footnote>
  <w:footnote w:id="13">
    <w:p w:rsidR="00E7120F" w:rsidRPr="00E94E5C" w:rsidRDefault="00E7120F">
      <w:pPr>
        <w:pStyle w:val="FootnoteText"/>
      </w:pPr>
      <w:r w:rsidRPr="00BB79B8">
        <w:rPr>
          <w:rStyle w:val="FootnoteReference"/>
        </w:rPr>
        <w:footnoteRef/>
      </w:r>
      <w:r w:rsidRPr="00BB79B8">
        <w:t xml:space="preserve"> </w:t>
      </w:r>
      <w:r w:rsidRPr="00BB79B8">
        <w:rPr>
          <w:i/>
        </w:rPr>
        <w:t xml:space="preserve">See </w:t>
      </w:r>
      <w:r w:rsidRPr="00BB79B8">
        <w:t>Motion for Relief regarding Order FCC 14M-1 (the “Order”)</w:t>
      </w:r>
      <w:r>
        <w:t xml:space="preserve">, filed January 15, 2014, </w:t>
      </w:r>
      <w:r w:rsidRPr="00BB79B8">
        <w:t>at 2 ¶ 2</w:t>
      </w:r>
      <w:r>
        <w:t>.</w:t>
      </w:r>
      <w:r w:rsidRPr="00BB79B8">
        <w:t xml:space="preserve"> </w:t>
      </w:r>
      <w:r>
        <w:t xml:space="preserve">   </w:t>
      </w:r>
    </w:p>
  </w:footnote>
  <w:footnote w:id="14">
    <w:p w:rsidR="00E7120F" w:rsidRPr="00EC7458" w:rsidRDefault="00E7120F" w:rsidP="0039633D">
      <w:pPr>
        <w:pStyle w:val="FootnoteText"/>
      </w:pPr>
      <w:r w:rsidRPr="00EC7458">
        <w:rPr>
          <w:rStyle w:val="FootnoteReference"/>
        </w:rPr>
        <w:footnoteRef/>
      </w:r>
      <w:r w:rsidRPr="00EC7458">
        <w:t xml:space="preserve"> </w:t>
      </w:r>
      <w:r w:rsidRPr="00EC7458">
        <w:rPr>
          <w:i/>
        </w:rPr>
        <w:t>See</w:t>
      </w:r>
      <w:r>
        <w:rPr>
          <w:i/>
        </w:rPr>
        <w:t xml:space="preserve"> generally</w:t>
      </w:r>
      <w:r w:rsidRPr="00EC7458">
        <w:rPr>
          <w:i/>
        </w:rPr>
        <w:t xml:space="preserve"> </w:t>
      </w:r>
      <w:r>
        <w:t>tr., Volume 8.</w:t>
      </w:r>
    </w:p>
  </w:footnote>
  <w:footnote w:id="15">
    <w:p w:rsidR="00E7120F" w:rsidRPr="000C387B" w:rsidRDefault="00E7120F">
      <w:pPr>
        <w:pStyle w:val="FootnoteText"/>
      </w:pPr>
      <w:r w:rsidRPr="000C387B">
        <w:rPr>
          <w:rStyle w:val="FootnoteReference"/>
        </w:rPr>
        <w:footnoteRef/>
      </w:r>
      <w:r w:rsidRPr="000C387B">
        <w:t xml:space="preserve"> </w:t>
      </w:r>
      <w:r w:rsidRPr="000C387B">
        <w:rPr>
          <w:i/>
        </w:rPr>
        <w:t xml:space="preserve">See </w:t>
      </w:r>
      <w:r>
        <w:t xml:space="preserve">14M-3 </w:t>
      </w:r>
      <w:r w:rsidRPr="000C387B">
        <w:t>at 1-2.</w:t>
      </w:r>
      <w:r>
        <w:t xml:space="preserve">  </w:t>
      </w:r>
      <w:r>
        <w:rPr>
          <w:i/>
        </w:rPr>
        <w:t xml:space="preserve">See also id. </w:t>
      </w:r>
      <w:r>
        <w:t>at 3 n.3;</w:t>
      </w:r>
      <w:r>
        <w:rPr>
          <w:i/>
        </w:rPr>
        <w:t xml:space="preserve"> </w:t>
      </w:r>
      <w:r>
        <w:t>tr. at 8-1063-64 (bench ruling).</w:t>
      </w:r>
    </w:p>
  </w:footnote>
  <w:footnote w:id="16">
    <w:p w:rsidR="00E7120F" w:rsidRPr="00E015AD" w:rsidRDefault="00E7120F">
      <w:pPr>
        <w:pStyle w:val="FootnoteText"/>
      </w:pPr>
      <w:r w:rsidRPr="00E722EF">
        <w:rPr>
          <w:rStyle w:val="FootnoteReference"/>
        </w:rPr>
        <w:footnoteRef/>
      </w:r>
      <w:r w:rsidRPr="00E722EF">
        <w:t xml:space="preserve"> </w:t>
      </w:r>
      <w:r w:rsidRPr="00E722EF">
        <w:rPr>
          <w:i/>
        </w:rPr>
        <w:t xml:space="preserve">See </w:t>
      </w:r>
      <w:r w:rsidRPr="00E722EF">
        <w:t>Appeal at 2.</w:t>
      </w:r>
      <w:r>
        <w:t xml:space="preserve">  In the Appeal, </w:t>
      </w:r>
      <w:r w:rsidRPr="00254489">
        <w:t>Havens</w:t>
      </w:r>
      <w:r>
        <w:t xml:space="preserve"> invokes “[p]rivileges,” </w:t>
      </w:r>
      <w:r>
        <w:rPr>
          <w:i/>
        </w:rPr>
        <w:t>id.</w:t>
      </w:r>
      <w:r>
        <w:t>, that he describes</w:t>
      </w:r>
      <w:r w:rsidRPr="00254489">
        <w:t xml:space="preserve"> as “attorney-client privilege, wo</w:t>
      </w:r>
      <w:r>
        <w:t>rk product, and confidentiality,</w:t>
      </w:r>
      <w:r w:rsidRPr="00254489">
        <w:t>”</w:t>
      </w:r>
      <w:r>
        <w:t xml:space="preserve"> </w:t>
      </w:r>
      <w:r>
        <w:rPr>
          <w:i/>
        </w:rPr>
        <w:t xml:space="preserve">id. </w:t>
      </w:r>
      <w:r>
        <w:t>at 4.  In 14M-3, however, the ALJ restricted his analysis to</w:t>
      </w:r>
      <w:r w:rsidRPr="009A591B">
        <w:t xml:space="preserve"> the attorney-cli</w:t>
      </w:r>
      <w:r>
        <w:t>ent privilege, finding that Havens did not raise any other privilege “with respect to particular questions asked in the January 17, 2014, prehearing conference</w:t>
      </w:r>
      <w:r w:rsidRPr="009A591B">
        <w:t>.</w:t>
      </w:r>
      <w:r>
        <w:t>”  14M-3 at 1 n.2.</w:t>
      </w:r>
      <w:r w:rsidRPr="009A591B">
        <w:t xml:space="preserve">  </w:t>
      </w:r>
      <w:r>
        <w:t xml:space="preserve">Because we dismiss Havens’ appeal as moot, </w:t>
      </w:r>
      <w:r>
        <w:rPr>
          <w:i/>
        </w:rPr>
        <w:t xml:space="preserve">see infra </w:t>
      </w:r>
      <w:r w:rsidRPr="00811D17">
        <w:t>para. 8, we</w:t>
      </w:r>
      <w:r>
        <w:t xml:space="preserve"> need not consider or decide whether the ALJ correctly limited the scope of his analysis.</w:t>
      </w:r>
    </w:p>
  </w:footnote>
  <w:footnote w:id="17">
    <w:p w:rsidR="00E7120F" w:rsidRPr="00AB6BFD" w:rsidRDefault="00E7120F">
      <w:pPr>
        <w:pStyle w:val="FootnoteText"/>
      </w:pPr>
      <w:r>
        <w:rPr>
          <w:rStyle w:val="FootnoteReference"/>
        </w:rPr>
        <w:footnoteRef/>
      </w:r>
      <w:r>
        <w:t xml:space="preserve"> </w:t>
      </w:r>
      <w:r>
        <w:rPr>
          <w:i/>
        </w:rPr>
        <w:t xml:space="preserve">See </w:t>
      </w:r>
      <w:r>
        <w:t xml:space="preserve">14M-18; </w:t>
      </w:r>
      <w:r>
        <w:rPr>
          <w:i/>
        </w:rPr>
        <w:t xml:space="preserve">supra </w:t>
      </w:r>
      <w:r>
        <w:t>note 9.</w:t>
      </w:r>
    </w:p>
  </w:footnote>
  <w:footnote w:id="18">
    <w:p w:rsidR="00E7120F" w:rsidRPr="006138B7" w:rsidRDefault="00E7120F" w:rsidP="00393927">
      <w:pPr>
        <w:pStyle w:val="FootnoteText"/>
      </w:pPr>
      <w:r>
        <w:rPr>
          <w:rStyle w:val="FootnoteReference"/>
        </w:rPr>
        <w:footnoteRef/>
      </w:r>
      <w:r>
        <w:t xml:space="preserve"> </w:t>
      </w:r>
      <w:r>
        <w:rPr>
          <w:i/>
        </w:rPr>
        <w:t xml:space="preserve">See supra </w:t>
      </w:r>
      <w:r>
        <w:t>para. 4 and note 8.</w:t>
      </w:r>
    </w:p>
  </w:footnote>
  <w:footnote w:id="19">
    <w:p w:rsidR="00E7120F" w:rsidRPr="006138B7" w:rsidRDefault="00E7120F" w:rsidP="00393927">
      <w:pPr>
        <w:pStyle w:val="FootnoteText"/>
      </w:pPr>
      <w:r>
        <w:rPr>
          <w:rStyle w:val="FootnoteReference"/>
        </w:rPr>
        <w:footnoteRef/>
      </w:r>
      <w:r>
        <w:t xml:space="preserve"> </w:t>
      </w:r>
      <w:r>
        <w:rPr>
          <w:i/>
        </w:rPr>
        <w:t xml:space="preserve">See </w:t>
      </w:r>
      <w:r>
        <w:t>14M-18 at 12-14 ¶¶ 33-37.</w:t>
      </w:r>
    </w:p>
  </w:footnote>
  <w:footnote w:id="20">
    <w:p w:rsidR="00E7120F" w:rsidRPr="007609DA" w:rsidRDefault="00E7120F">
      <w:pPr>
        <w:pStyle w:val="FootnoteText"/>
      </w:pPr>
      <w:r>
        <w:rPr>
          <w:rStyle w:val="FootnoteReference"/>
        </w:rPr>
        <w:footnoteRef/>
      </w:r>
      <w:r>
        <w:t xml:space="preserve"> </w:t>
      </w:r>
      <w:r>
        <w:rPr>
          <w:i/>
        </w:rPr>
        <w:t xml:space="preserve">See id. </w:t>
      </w:r>
      <w:r>
        <w:t xml:space="preserve">at 14 ¶ 37.  Havens has not sought interlocutory review of this aspect of the ALJ’s June 17, 2014, order.  </w:t>
      </w:r>
    </w:p>
  </w:footnote>
  <w:footnote w:id="21">
    <w:p w:rsidR="00E7120F" w:rsidRPr="009317DE" w:rsidRDefault="00E7120F" w:rsidP="00DC2F02">
      <w:pPr>
        <w:pStyle w:val="FootnoteText"/>
      </w:pPr>
      <w:r>
        <w:rPr>
          <w:rStyle w:val="FootnoteReference"/>
        </w:rPr>
        <w:footnoteRef/>
      </w:r>
      <w:r>
        <w:t xml:space="preserve"> </w:t>
      </w:r>
      <w:r>
        <w:rPr>
          <w:i/>
        </w:rPr>
        <w:t>See, e.g.</w:t>
      </w:r>
      <w:r>
        <w:t xml:space="preserve">, tr. at 8-1040, lines 10-12 (explaining, in response to inquiries from Havens concerning the purpose of the ALJ’s questions:  “Why should I give you any leniency for being pro se if you have got ghost writer lawyers behind you cranking this stuff out?”); </w:t>
      </w:r>
      <w:r>
        <w:rPr>
          <w:i/>
        </w:rPr>
        <w:t xml:space="preserve">id. </w:t>
      </w:r>
      <w:r>
        <w:t>at 8-1051, lines 20-25  (“Because again, I have got this problem measuring the substantial participation, whether Mr. Havens is substantially participating in these pleadings as to whether he is entitled to [my] looking at him in a lenient fashion as opposed to an attorney.  In other words, [whether] he kind of gets [an] advantage.”).</w:t>
      </w:r>
    </w:p>
  </w:footnote>
  <w:footnote w:id="22">
    <w:p w:rsidR="00E7120F" w:rsidRPr="00A771A3" w:rsidRDefault="00E7120F" w:rsidP="00DC2F02">
      <w:pPr>
        <w:pStyle w:val="FootnoteText"/>
      </w:pPr>
      <w:r>
        <w:rPr>
          <w:rStyle w:val="FootnoteReference"/>
        </w:rPr>
        <w:footnoteRef/>
      </w:r>
      <w:r>
        <w:t xml:space="preserve"> </w:t>
      </w:r>
      <w:r>
        <w:rPr>
          <w:i/>
        </w:rPr>
        <w:t>See, e.g.</w:t>
      </w:r>
      <w:r>
        <w:t>,</w:t>
      </w:r>
      <w:r>
        <w:rPr>
          <w:i/>
        </w:rPr>
        <w:t xml:space="preserve"> </w:t>
      </w:r>
      <w:r>
        <w:t xml:space="preserve">TLG Response at 4 (characterizing “the issue that gives rise to this appeal” as “the propriety of deference to Mr. Havens as a </w:t>
      </w:r>
      <w:r>
        <w:rPr>
          <w:i/>
        </w:rPr>
        <w:t xml:space="preserve">pro se </w:t>
      </w:r>
      <w:r>
        <w:t xml:space="preserve">party”); Chen Submission at 4 (calling “[t]he issue of Mr. Havens’ </w:t>
      </w:r>
      <w:r>
        <w:rPr>
          <w:i/>
        </w:rPr>
        <w:t xml:space="preserve">pro se </w:t>
      </w:r>
      <w:r>
        <w:t xml:space="preserve">status . . . the only issue in question here”); EB Opposition (“The privilege issue arose because the Presiding Judge had sought information about whether Mr. Havens—who had asserted that he was appearing </w:t>
      </w:r>
      <w:r>
        <w:rPr>
          <w:i/>
        </w:rPr>
        <w:t xml:space="preserve">pro se </w:t>
      </w:r>
      <w:r>
        <w:t>and had sought special consideration on that basis—had in fact received the advice of counsel on issues pertinent to a pending motion for summary decision.” (footnote omitted)).</w:t>
      </w:r>
    </w:p>
  </w:footnote>
  <w:footnote w:id="23">
    <w:p w:rsidR="00E7120F" w:rsidRDefault="00E7120F" w:rsidP="00DC2F02">
      <w:pPr>
        <w:pStyle w:val="FootnoteText"/>
      </w:pPr>
      <w:r>
        <w:rPr>
          <w:rStyle w:val="FootnoteReference"/>
        </w:rPr>
        <w:footnoteRef/>
      </w:r>
      <w:r>
        <w:t xml:space="preserve"> </w:t>
      </w:r>
      <w:r>
        <w:rPr>
          <w:i/>
        </w:rPr>
        <w:t xml:space="preserve">See supra </w:t>
      </w:r>
      <w:r>
        <w:t>note 9.</w:t>
      </w:r>
    </w:p>
  </w:footnote>
  <w:footnote w:id="24">
    <w:p w:rsidR="00E7120F" w:rsidRPr="007A6FF2" w:rsidRDefault="00E7120F" w:rsidP="00DC2F02">
      <w:pPr>
        <w:pStyle w:val="FootnoteText"/>
      </w:pPr>
      <w:r>
        <w:rPr>
          <w:rStyle w:val="FootnoteReference"/>
        </w:rPr>
        <w:footnoteRef/>
      </w:r>
      <w:r>
        <w:t xml:space="preserve"> </w:t>
      </w:r>
      <w:r>
        <w:rPr>
          <w:i/>
        </w:rPr>
        <w:t xml:space="preserve">See </w:t>
      </w:r>
      <w:r>
        <w:t>14M-18 at 14 ¶ 37.</w:t>
      </w:r>
    </w:p>
  </w:footnote>
  <w:footnote w:id="25">
    <w:p w:rsidR="00E7120F" w:rsidRPr="00D903D6" w:rsidRDefault="00E7120F" w:rsidP="00DC2F02">
      <w:pPr>
        <w:pStyle w:val="FootnoteText"/>
      </w:pPr>
      <w:r>
        <w:rPr>
          <w:rStyle w:val="FootnoteReference"/>
        </w:rPr>
        <w:footnoteRef/>
      </w:r>
      <w:r>
        <w:t xml:space="preserve"> </w:t>
      </w:r>
      <w:r>
        <w:rPr>
          <w:i/>
        </w:rPr>
        <w:t xml:space="preserve">See </w:t>
      </w:r>
      <w:r>
        <w:t xml:space="preserve">47 C.F.R. § 1.301(a)(2).  A ruling that </w:t>
      </w:r>
      <w:r w:rsidRPr="006A25A9">
        <w:t>require</w:t>
      </w:r>
      <w:r>
        <w:t>s</w:t>
      </w:r>
      <w:r w:rsidRPr="006A25A9">
        <w:t xml:space="preserve"> testimony or the production of docu</w:t>
      </w:r>
      <w:r>
        <w:t xml:space="preserve">ments over a claim of privilege is one of five classes of rulings that qualify for interlocutory appeal as a matter of right.  </w:t>
      </w:r>
      <w:r>
        <w:rPr>
          <w:i/>
        </w:rPr>
        <w:t xml:space="preserve">See infra </w:t>
      </w:r>
      <w:r>
        <w:t>note 28.  Other matters raised in Havens’ appeal are outside the scope of § 1.301(a).</w:t>
      </w:r>
    </w:p>
  </w:footnote>
  <w:footnote w:id="26">
    <w:p w:rsidR="00E7120F" w:rsidRDefault="00E7120F">
      <w:pPr>
        <w:pStyle w:val="FootnoteText"/>
      </w:pPr>
      <w:r>
        <w:rPr>
          <w:rStyle w:val="FootnoteReference"/>
        </w:rPr>
        <w:footnoteRef/>
      </w:r>
      <w:r>
        <w:t xml:space="preserve"> </w:t>
      </w:r>
      <w:r w:rsidRPr="00886CF3">
        <w:t>Order,</w:t>
      </w:r>
      <w:r w:rsidRPr="00EF5E7C">
        <w:rPr>
          <w:i/>
        </w:rPr>
        <w:t xml:space="preserve"> </w:t>
      </w:r>
      <w:r w:rsidRPr="00EF5E7C">
        <w:t xml:space="preserve">FCC </w:t>
      </w:r>
      <w:r>
        <w:t>13</w:t>
      </w:r>
      <w:r w:rsidRPr="00EF5E7C">
        <w:t>M-</w:t>
      </w:r>
      <w:r>
        <w:t>22</w:t>
      </w:r>
      <w:r w:rsidRPr="00EF5E7C">
        <w:t xml:space="preserve"> (</w:t>
      </w:r>
      <w:r>
        <w:t>Dec. 19, 2013</w:t>
      </w:r>
      <w:r w:rsidRPr="00EF5E7C">
        <w:t>)</w:t>
      </w:r>
      <w:r>
        <w:t xml:space="preserve"> (13M-22).</w:t>
      </w:r>
    </w:p>
  </w:footnote>
  <w:footnote w:id="27">
    <w:p w:rsidR="00E7120F" w:rsidRPr="00DB7163" w:rsidRDefault="00E7120F">
      <w:pPr>
        <w:pStyle w:val="FootnoteText"/>
      </w:pPr>
      <w:r>
        <w:rPr>
          <w:rStyle w:val="FootnoteReference"/>
        </w:rPr>
        <w:footnoteRef/>
      </w:r>
      <w:r>
        <w:t xml:space="preserve"> </w:t>
      </w:r>
      <w:r>
        <w:rPr>
          <w:i/>
        </w:rPr>
        <w:t xml:space="preserve">See supra </w:t>
      </w:r>
      <w:r>
        <w:t>note 11.</w:t>
      </w:r>
    </w:p>
  </w:footnote>
  <w:footnote w:id="28">
    <w:p w:rsidR="00E7120F" w:rsidRDefault="00E7120F">
      <w:pPr>
        <w:pStyle w:val="FootnoteText"/>
      </w:pPr>
      <w:r>
        <w:rPr>
          <w:rStyle w:val="FootnoteReference"/>
        </w:rPr>
        <w:footnoteRef/>
      </w:r>
      <w:r>
        <w:t xml:space="preserve"> </w:t>
      </w:r>
      <w:r>
        <w:rPr>
          <w:i/>
        </w:rPr>
        <w:t xml:space="preserve">See </w:t>
      </w:r>
      <w:r w:rsidRPr="00247858">
        <w:t>Interlocutory Appeal Under Section 1.301(a), filed Jan</w:t>
      </w:r>
      <w:r>
        <w:t>uary 15, 2014 (appealing 14M-1); Interlocutory Appeal Under Section 1.301(a), filed December 31, 2013 (</w:t>
      </w:r>
      <w:r w:rsidRPr="00C666E5">
        <w:t>as corrected</w:t>
      </w:r>
      <w:r>
        <w:t xml:space="preserve">) (appealing 13M-22); </w:t>
      </w:r>
      <w:r>
        <w:rPr>
          <w:i/>
        </w:rPr>
        <w:t xml:space="preserve">see also </w:t>
      </w:r>
      <w:r>
        <w:t xml:space="preserve">Request to Accept and Supplement to Interlocutory Appeal Under Section 1.301(a), filed January 7, 2014 (concerning 13M-22).  </w:t>
      </w:r>
    </w:p>
  </w:footnote>
  <w:footnote w:id="29">
    <w:p w:rsidR="00E7120F" w:rsidRPr="008431C6" w:rsidRDefault="00E7120F">
      <w:pPr>
        <w:pStyle w:val="FootnoteText"/>
      </w:pPr>
      <w:r w:rsidRPr="008431C6">
        <w:rPr>
          <w:rStyle w:val="FootnoteReference"/>
        </w:rPr>
        <w:footnoteRef/>
      </w:r>
      <w:r w:rsidRPr="008431C6">
        <w:t xml:space="preserve"> </w:t>
      </w:r>
      <w:r w:rsidRPr="006A25A9">
        <w:t>The five types of ruling</w:t>
      </w:r>
      <w:r>
        <w:t>s</w:t>
      </w:r>
      <w:r w:rsidRPr="006A25A9">
        <w:t xml:space="preserve"> </w:t>
      </w:r>
      <w:r>
        <w:t xml:space="preserve">appealable as a matter of right </w:t>
      </w:r>
      <w:r w:rsidRPr="006A25A9">
        <w:t xml:space="preserve">are: (1) a ruling that denies or terminates a person’s </w:t>
      </w:r>
      <w:r>
        <w:t>right to participate as a party,</w:t>
      </w:r>
      <w:r w:rsidRPr="006A25A9">
        <w:t xml:space="preserve"> (2) a ruling that requires testimony or the production of docu</w:t>
      </w:r>
      <w:r>
        <w:t>ments over a claim of privilege,</w:t>
      </w:r>
      <w:r w:rsidRPr="006A25A9">
        <w:t xml:space="preserve"> (3) a ruling th</w:t>
      </w:r>
      <w:r>
        <w:t>at</w:t>
      </w:r>
      <w:r w:rsidRPr="006A25A9">
        <w:t xml:space="preserve"> denies a motion to</w:t>
      </w:r>
      <w:r>
        <w:t xml:space="preserve"> disqualify the presiding judge,</w:t>
      </w:r>
      <w:r w:rsidRPr="006A25A9">
        <w:t xml:space="preserve"> (4) a ruling that grants a settlement wit</w:t>
      </w:r>
      <w:r>
        <w:t>hout terminating the proceeding,</w:t>
      </w:r>
      <w:r w:rsidRPr="006A25A9">
        <w:t xml:space="preserve"> and (5) a ruling that removes a counsel from the hearing.</w:t>
      </w:r>
      <w:r>
        <w:t xml:space="preserve">  </w:t>
      </w:r>
      <w:r>
        <w:rPr>
          <w:i/>
        </w:rPr>
        <w:t xml:space="preserve">See </w:t>
      </w:r>
      <w:r>
        <w:t>47 C.F.R. § 1.301(a).</w:t>
      </w:r>
      <w:r w:rsidRPr="006A25A9">
        <w:t xml:space="preserve">  </w:t>
      </w:r>
      <w:r>
        <w:t xml:space="preserve">With respect to other rulings, a party may ask the ALJ for leave to file an interlocutory appeal upon a showing that the appeal presents a new or novel question of law or policy and that the ruling is such that error would likely require remand should the appeal be deferred and raised as an exception.  </w:t>
      </w:r>
      <w:r>
        <w:rPr>
          <w:i/>
        </w:rPr>
        <w:t xml:space="preserve">See </w:t>
      </w:r>
      <w:r w:rsidRPr="003102F2">
        <w:rPr>
          <w:i/>
        </w:rPr>
        <w:t>id.</w:t>
      </w:r>
      <w:r>
        <w:t xml:space="preserve"> § 1.301(b).</w:t>
      </w:r>
    </w:p>
  </w:footnote>
  <w:footnote w:id="30">
    <w:p w:rsidR="00E7120F" w:rsidRPr="003B4CA3" w:rsidRDefault="00E7120F">
      <w:pPr>
        <w:pStyle w:val="FootnoteText"/>
      </w:pPr>
      <w:r>
        <w:rPr>
          <w:rStyle w:val="FootnoteReference"/>
        </w:rPr>
        <w:footnoteRef/>
      </w:r>
      <w:r>
        <w:t xml:space="preserve"> </w:t>
      </w:r>
      <w:r>
        <w:rPr>
          <w:i/>
        </w:rPr>
        <w:t xml:space="preserve">See </w:t>
      </w:r>
      <w:r>
        <w:t>13M-22 at 2-8 ¶¶ 2-17.</w:t>
      </w:r>
    </w:p>
  </w:footnote>
  <w:footnote w:id="31">
    <w:p w:rsidR="00E7120F" w:rsidRPr="00BE6F99" w:rsidRDefault="00E7120F">
      <w:pPr>
        <w:pStyle w:val="FootnoteText"/>
      </w:pPr>
      <w:r>
        <w:rPr>
          <w:rStyle w:val="FootnoteReference"/>
        </w:rPr>
        <w:footnoteRef/>
      </w:r>
      <w:r>
        <w:t xml:space="preserve"> </w:t>
      </w:r>
      <w:r>
        <w:rPr>
          <w:i/>
        </w:rPr>
        <w:t xml:space="preserve">See </w:t>
      </w:r>
      <w:r>
        <w:t xml:space="preserve">14M-1 at 1-2 ¶ 1; </w:t>
      </w:r>
      <w:r>
        <w:rPr>
          <w:i/>
        </w:rPr>
        <w:t xml:space="preserve">see also supra </w:t>
      </w:r>
      <w:r>
        <w:t>paragraph 5.</w:t>
      </w:r>
    </w:p>
  </w:footnote>
  <w:footnote w:id="32">
    <w:p w:rsidR="00E7120F" w:rsidRDefault="00E7120F">
      <w:pPr>
        <w:pStyle w:val="FootnoteText"/>
      </w:pPr>
      <w:r>
        <w:rPr>
          <w:rStyle w:val="FootnoteReference"/>
        </w:rPr>
        <w:footnoteRef/>
      </w:r>
      <w:r>
        <w:t xml:space="preserve"> </w:t>
      </w:r>
      <w:r>
        <w:rPr>
          <w:i/>
        </w:rPr>
        <w:t xml:space="preserve">See </w:t>
      </w:r>
      <w:r>
        <w:t>Request Under Section 1.301(b) , filed January 16, 2014 (errata copy) (requesting permission to appeal 14M-1); Request [to appeal] under Section 1.301(b), filed December 27, 2013, and similar pleadings filed December 30, 2013, and January 7, 2014 (requesting permission to appeal 13M-22).</w:t>
      </w:r>
    </w:p>
  </w:footnote>
  <w:footnote w:id="33">
    <w:p w:rsidR="00E7120F" w:rsidRPr="00B10487" w:rsidRDefault="00E7120F">
      <w:pPr>
        <w:pStyle w:val="FootnoteText"/>
      </w:pPr>
      <w:r>
        <w:rPr>
          <w:rStyle w:val="FootnoteReference"/>
        </w:rPr>
        <w:footnoteRef/>
      </w:r>
      <w:r>
        <w:t xml:space="preserve"> </w:t>
      </w:r>
      <w:r>
        <w:rPr>
          <w:i/>
        </w:rPr>
        <w:t xml:space="preserve">See </w:t>
      </w:r>
      <w:r>
        <w:t>Order, FCC 14M-6 (Jan. 30, 2014); Order, 14M-7 (Feb. 26, 2014).</w:t>
      </w:r>
    </w:p>
  </w:footnote>
  <w:footnote w:id="34">
    <w:p w:rsidR="00E7120F" w:rsidRPr="001520AB" w:rsidRDefault="00E7120F">
      <w:pPr>
        <w:pStyle w:val="FootnoteText"/>
      </w:pPr>
      <w:r w:rsidRPr="001520AB">
        <w:rPr>
          <w:rStyle w:val="FootnoteReference"/>
        </w:rPr>
        <w:footnoteRef/>
      </w:r>
      <w:r w:rsidRPr="001520AB">
        <w:t xml:space="preserve"> </w:t>
      </w:r>
      <w:r w:rsidRPr="001520AB">
        <w:rPr>
          <w:i/>
        </w:rPr>
        <w:t xml:space="preserve">See </w:t>
      </w:r>
      <w:r w:rsidRPr="001520AB">
        <w:t>Order, 14M-6 (Jan. 30, 2014); Interlocutory Appeal Under § 1.301(a), filed February 4, 2014</w:t>
      </w:r>
      <w:r>
        <w:t xml:space="preserve"> (February 4 Appeal); Enforcement Bureau’s Opposition to Mr. Havens’ Interlocutory Appeal, filed February 11, 2014. </w:t>
      </w:r>
    </w:p>
  </w:footnote>
  <w:footnote w:id="35">
    <w:p w:rsidR="00E7120F" w:rsidRPr="0029629A" w:rsidRDefault="00E7120F">
      <w:pPr>
        <w:pStyle w:val="FootnoteText"/>
      </w:pPr>
      <w:r>
        <w:rPr>
          <w:rStyle w:val="FootnoteReference"/>
        </w:rPr>
        <w:footnoteRef/>
      </w:r>
      <w:r>
        <w:t xml:space="preserve"> Order, FCC 14M-7 (Feb. 26, 2014); Interlocutory Appeal Under § 1.301(a), filed March 7, 2014 (as corrected). </w:t>
      </w:r>
    </w:p>
  </w:footnote>
  <w:footnote w:id="36">
    <w:p w:rsidR="00E7120F" w:rsidRDefault="00E7120F">
      <w:pPr>
        <w:pStyle w:val="FootnoteText"/>
      </w:pPr>
      <w:r>
        <w:rPr>
          <w:rStyle w:val="FootnoteReference"/>
        </w:rPr>
        <w:footnoteRef/>
      </w:r>
      <w:r w:rsidRPr="001520AB">
        <w:t xml:space="preserve">  </w:t>
      </w:r>
      <w:r>
        <w:t xml:space="preserve">Havens states that, in addition the ALJ’s rulings denying leave to file interlocutory appeals of 13M-22 and 14M-1, the February 4 and March 6 appeals cover two other orders by the ALJ: Order, FCC 14M-4 (Jan. 27, 2014), and Order, FCC 14M-5 (Jan. 28, 2014).  </w:t>
      </w:r>
      <w:r>
        <w:rPr>
          <w:i/>
        </w:rPr>
        <w:t xml:space="preserve">See </w:t>
      </w:r>
      <w:r>
        <w:t xml:space="preserve">February 4 Appeal at 1.  Those orders involve the time for filing an appeal of 14M-3 and other miscellaneous matters.  They do not qualify for interlocutory review as of right.  </w:t>
      </w:r>
    </w:p>
  </w:footnote>
  <w:footnote w:id="37">
    <w:p w:rsidR="00E7120F" w:rsidRPr="0092760C" w:rsidRDefault="00E7120F">
      <w:pPr>
        <w:pStyle w:val="FootnoteText"/>
      </w:pPr>
      <w:r>
        <w:rPr>
          <w:rStyle w:val="FootnoteReference"/>
        </w:rPr>
        <w:footnoteRef/>
      </w:r>
      <w:r>
        <w:t xml:space="preserve"> </w:t>
      </w:r>
      <w:r>
        <w:rPr>
          <w:i/>
        </w:rPr>
        <w:t xml:space="preserve">See </w:t>
      </w:r>
      <w:r>
        <w:t>Order, FCC 14M-22 (Jul. 15, 2014) (14M-22), at 3; Appeal Under § 1.301(a) Regarding and Comments on FCC 14M-22, filed July 22, 2014 (Havens 14M-22 Appeal).</w:t>
      </w:r>
    </w:p>
  </w:footnote>
  <w:footnote w:id="38">
    <w:p w:rsidR="00E7120F" w:rsidRPr="00E35854" w:rsidRDefault="00E7120F">
      <w:pPr>
        <w:pStyle w:val="FootnoteText"/>
      </w:pPr>
      <w:r>
        <w:rPr>
          <w:rStyle w:val="FootnoteReference"/>
        </w:rPr>
        <w:footnoteRef/>
      </w:r>
      <w:r>
        <w:t xml:space="preserve"> 14M-22 at 3 (emphasis omitted). </w:t>
      </w:r>
    </w:p>
  </w:footnote>
  <w:footnote w:id="39">
    <w:p w:rsidR="00E7120F" w:rsidRDefault="00E7120F">
      <w:pPr>
        <w:pStyle w:val="FootnoteText"/>
      </w:pPr>
      <w:r>
        <w:rPr>
          <w:rStyle w:val="FootnoteReference"/>
        </w:rPr>
        <w:footnoteRef/>
      </w:r>
      <w:r>
        <w:t xml:space="preserve"> 47 C.F.R. § 1.301(a)(1).</w:t>
      </w:r>
    </w:p>
  </w:footnote>
  <w:footnote w:id="40">
    <w:p w:rsidR="00E7120F" w:rsidRPr="006761AB" w:rsidRDefault="00E7120F">
      <w:pPr>
        <w:pStyle w:val="FootnoteText"/>
      </w:pPr>
      <w:r>
        <w:rPr>
          <w:rStyle w:val="FootnoteReference"/>
        </w:rPr>
        <w:footnoteRef/>
      </w:r>
      <w:r>
        <w:t xml:space="preserve"> </w:t>
      </w:r>
      <w:r>
        <w:rPr>
          <w:i/>
        </w:rPr>
        <w:t xml:space="preserve">Id. </w:t>
      </w:r>
      <w:r>
        <w:t>§ 1.301(a)(5).</w:t>
      </w:r>
    </w:p>
  </w:footnote>
  <w:footnote w:id="41">
    <w:p w:rsidR="00E7120F" w:rsidRPr="0099366C" w:rsidRDefault="00E7120F">
      <w:pPr>
        <w:pStyle w:val="FootnoteText"/>
      </w:pPr>
      <w:r>
        <w:rPr>
          <w:rStyle w:val="FootnoteReference"/>
        </w:rPr>
        <w:footnoteRef/>
      </w:r>
      <w:r>
        <w:t xml:space="preserve"> The Commission has recognized an individual’s right to appear </w:t>
      </w:r>
      <w:r>
        <w:rPr>
          <w:i/>
        </w:rPr>
        <w:t>pro se.  See Black Television Workshop of Los Angeles, Inc.</w:t>
      </w:r>
      <w:r w:rsidRPr="007D746E">
        <w:t>,</w:t>
      </w:r>
      <w:r>
        <w:rPr>
          <w:i/>
        </w:rPr>
        <w:t xml:space="preserve"> </w:t>
      </w:r>
      <w:r>
        <w:t xml:space="preserve">7 FCC Rcd 6868, 6870 ¶ 7 (1992) (characterizing “the right to self-representation [as] a right of high-standing”).  In the Maritime Proceeding, although the ALJ has (legitimately) determined that Havens may not represent </w:t>
      </w:r>
      <w:r w:rsidRPr="007D746E">
        <w:t>corporate parties</w:t>
      </w:r>
      <w:r>
        <w:rPr>
          <w:i/>
        </w:rPr>
        <w:t xml:space="preserve"> </w:t>
      </w:r>
      <w:r>
        <w:t xml:space="preserve">with which Havens is affiliated, the ALJ has permitted Havens to represent himself.  </w:t>
      </w:r>
      <w:r w:rsidRPr="00771C7D">
        <w:rPr>
          <w:i/>
        </w:rPr>
        <w:t>See Maritime Communications/Land Mobile, LLC</w:t>
      </w:r>
      <w:r w:rsidRPr="00886CF3">
        <w:t xml:space="preserve">, </w:t>
      </w:r>
      <w:r w:rsidRPr="00771C7D">
        <w:t xml:space="preserve">28 FCC Rcd 11596, </w:t>
      </w:r>
      <w:r>
        <w:t>11599</w:t>
      </w:r>
      <w:r w:rsidRPr="00771C7D">
        <w:t xml:space="preserve"> </w:t>
      </w:r>
      <w:r>
        <w:t>¶¶ 9-11</w:t>
      </w:r>
      <w:r w:rsidRPr="00771C7D">
        <w:t xml:space="preserve"> (2013)</w:t>
      </w:r>
      <w:r>
        <w:t>.</w:t>
      </w:r>
    </w:p>
  </w:footnote>
  <w:footnote w:id="42">
    <w:p w:rsidR="00E7120F" w:rsidRPr="0026022E" w:rsidRDefault="00E7120F">
      <w:pPr>
        <w:pStyle w:val="FootnoteText"/>
      </w:pPr>
      <w:r>
        <w:rPr>
          <w:rStyle w:val="FootnoteReference"/>
        </w:rPr>
        <w:footnoteRef/>
      </w:r>
      <w:r>
        <w:t xml:space="preserve"> 14M-18 at 12 ¶ 31 n.101, </w:t>
      </w:r>
      <w:r w:rsidRPr="007D746E">
        <w:rPr>
          <w:i/>
        </w:rPr>
        <w:t>quoting</w:t>
      </w:r>
      <w:r>
        <w:t xml:space="preserve"> Proposed Schedule from Warren Havens, filed August 27, 2013, at 3 ¶ 4.</w:t>
      </w:r>
      <w:r>
        <w:rPr>
          <w:i/>
        </w:rPr>
        <w:t xml:space="preserve"> </w:t>
      </w:r>
    </w:p>
  </w:footnote>
  <w:footnote w:id="43">
    <w:p w:rsidR="00E7120F" w:rsidRDefault="00E7120F">
      <w:pPr>
        <w:pStyle w:val="FootnoteText"/>
      </w:pPr>
      <w:r>
        <w:rPr>
          <w:rStyle w:val="FootnoteReference"/>
        </w:rPr>
        <w:footnoteRef/>
      </w:r>
      <w:r>
        <w:t xml:space="preserve"> Havens 14M-22 Appeal at 2.</w:t>
      </w:r>
    </w:p>
  </w:footnote>
  <w:footnote w:id="44">
    <w:p w:rsidR="00632309" w:rsidRPr="00837F1E" w:rsidRDefault="00632309" w:rsidP="00632309">
      <w:pPr>
        <w:pStyle w:val="FootnoteText"/>
        <w:rPr>
          <w:i/>
        </w:rPr>
      </w:pPr>
      <w:r>
        <w:rPr>
          <w:rStyle w:val="FootnoteReference"/>
        </w:rPr>
        <w:footnoteRef/>
      </w:r>
      <w:r>
        <w:t xml:space="preserve"> </w:t>
      </w:r>
      <w:r>
        <w:rPr>
          <w:i/>
        </w:rPr>
        <w:t xml:space="preserve">See </w:t>
      </w:r>
      <w:r>
        <w:t>Order, FCC 14M-25 (Aug. 11, 29014) (14M-25) at 3</w:t>
      </w:r>
      <w:r>
        <w:rPr>
          <w:i/>
        </w:rPr>
        <w:t xml:space="preserve">.  </w:t>
      </w:r>
    </w:p>
  </w:footnote>
  <w:footnote w:id="45">
    <w:p w:rsidR="00E7120F" w:rsidRPr="00A25362" w:rsidRDefault="00E7120F">
      <w:pPr>
        <w:pStyle w:val="FootnoteText"/>
      </w:pPr>
      <w:r>
        <w:rPr>
          <w:rStyle w:val="FootnoteReference"/>
        </w:rPr>
        <w:footnoteRef/>
      </w:r>
      <w:r>
        <w:t xml:space="preserve"> </w:t>
      </w:r>
      <w:r>
        <w:rPr>
          <w:i/>
        </w:rPr>
        <w:t xml:space="preserve">See </w:t>
      </w:r>
      <w:r>
        <w:t xml:space="preserve">Notice of Appearance, filed July 29, 2014, by James A. Stenger, Chadbourne &amp; Parke, LLP.  In a pleading filed the same day (and in some subsequent pleadings), Stenger stated that Havens (acting </w:t>
      </w:r>
      <w:r w:rsidRPr="00803C82">
        <w:rPr>
          <w:i/>
        </w:rPr>
        <w:t>pro se</w:t>
      </w:r>
      <w:r>
        <w:t xml:space="preserve">) agreed with the content of the pleading and </w:t>
      </w:r>
      <w:r w:rsidR="00B06BFB">
        <w:t xml:space="preserve">set forth </w:t>
      </w:r>
      <w:r>
        <w:t xml:space="preserve">Havens’ position on the merits.  </w:t>
      </w:r>
      <w:r>
        <w:rPr>
          <w:i/>
        </w:rPr>
        <w:t>See, e.g.</w:t>
      </w:r>
      <w:r w:rsidRPr="000A4985">
        <w:t xml:space="preserve">, </w:t>
      </w:r>
      <w:r>
        <w:t>Response to Joint Request for Prehearing Conference, filed July 29, 2014, at 2, n.1.</w:t>
      </w:r>
    </w:p>
  </w:footnote>
  <w:footnote w:id="46">
    <w:p w:rsidR="00E7120F" w:rsidRPr="00F1296B" w:rsidRDefault="00E7120F" w:rsidP="007606F4">
      <w:pPr>
        <w:pStyle w:val="FootnoteText"/>
      </w:pPr>
      <w:r>
        <w:rPr>
          <w:rStyle w:val="FootnoteReference"/>
        </w:rPr>
        <w:footnoteRef/>
      </w:r>
      <w:r>
        <w:t xml:space="preserve"> </w:t>
      </w:r>
      <w:r>
        <w:rPr>
          <w:i/>
        </w:rPr>
        <w:t xml:space="preserve">See </w:t>
      </w:r>
      <w:r>
        <w:t xml:space="preserve">Request Under § 1.301(a), filed August 18, 2014, by Warren Havens.  </w:t>
      </w:r>
      <w:r>
        <w:rPr>
          <w:i/>
        </w:rPr>
        <w:t xml:space="preserve">See also </w:t>
      </w:r>
      <w:r>
        <w:t xml:space="preserve">Enforcement Bureau’s Opposition to Mr. Havens’ Interlocutory Appeal, filed August 21, 2014; E-mail from Warren </w:t>
      </w:r>
      <w:r w:rsidR="00B55499">
        <w:t>H</w:t>
      </w:r>
      <w:r>
        <w:t xml:space="preserve">avens to Pamela Kane </w:t>
      </w:r>
      <w:r>
        <w:rPr>
          <w:i/>
        </w:rPr>
        <w:t xml:space="preserve">et al. </w:t>
      </w:r>
      <w:r>
        <w:t>(Aug. 21,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197" w:rsidRDefault="004511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0F" w:rsidRPr="002D5650" w:rsidRDefault="00E7120F" w:rsidP="00BE46D1">
    <w:pPr>
      <w:pStyle w:val="Header"/>
    </w:pPr>
    <w:r w:rsidRPr="002D5650">
      <w:tab/>
      <w:t>Federal Communications Commission</w:t>
    </w:r>
    <w:r w:rsidRPr="002D5650">
      <w:tab/>
      <w:t>FCC 1</w:t>
    </w:r>
    <w:r>
      <w:t>4</w:t>
    </w:r>
    <w:r w:rsidRPr="002D5650">
      <w:t>-</w:t>
    </w:r>
    <w:r w:rsidR="002A044B">
      <w:t>149</w:t>
    </w:r>
  </w:p>
  <w:p w:rsidR="00E7120F" w:rsidRDefault="00E7120F" w:rsidP="00BE46D1">
    <w:pPr>
      <w:pStyle w:val="Header"/>
    </w:pPr>
    <w:r>
      <w:rPr>
        <w:noProof/>
        <w:snapToGrid/>
      </w:rPr>
      <mc:AlternateContent>
        <mc:Choice Requires="wps">
          <w:drawing>
            <wp:anchor distT="4294967291" distB="4294967291" distL="114300" distR="114300" simplePos="0" relativeHeight="251661312" behindDoc="0" locked="0" layoutInCell="0" allowOverlap="1" wp14:anchorId="5814A728" wp14:editId="2B5D88C4">
              <wp:simplePos x="0" y="0"/>
              <wp:positionH relativeFrom="column">
                <wp:posOffset>0</wp:posOffset>
              </wp:positionH>
              <wp:positionV relativeFrom="paragraph">
                <wp:posOffset>22224</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rp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" o:allowincell="f"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20F" w:rsidRPr="00BE46D1" w:rsidRDefault="00E7120F" w:rsidP="00BE46D1">
    <w:pPr>
      <w:tabs>
        <w:tab w:val="center" w:pos="4680"/>
        <w:tab w:val="right" w:pos="9360"/>
      </w:tabs>
    </w:pPr>
    <w:r>
      <w:rPr>
        <w:b/>
      </w:rPr>
      <w:tab/>
    </w:r>
    <w:r w:rsidRPr="00BE46D1">
      <w:rPr>
        <w:b/>
      </w:rPr>
      <w:t>Federal Communications Commission</w:t>
    </w:r>
    <w:r w:rsidRPr="00BE46D1">
      <w:rPr>
        <w:b/>
      </w:rPr>
      <w:tab/>
      <w:t>FCC 14-</w:t>
    </w:r>
    <w:r w:rsidR="002A044B">
      <w:rPr>
        <w:b/>
      </w:rPr>
      <w:t>149</w:t>
    </w:r>
  </w:p>
  <w:p w:rsidR="00E7120F" w:rsidRPr="00BE46D1" w:rsidRDefault="00E7120F" w:rsidP="00BE46D1">
    <w:pPr>
      <w:tabs>
        <w:tab w:val="center" w:pos="4680"/>
        <w:tab w:val="right" w:pos="9360"/>
      </w:tabs>
      <w:rPr>
        <w:b/>
      </w:rPr>
    </w:pPr>
    <w:r w:rsidRPr="00BE46D1">
      <w:rPr>
        <w:b/>
        <w:noProof/>
        <w:snapToGrid/>
      </w:rPr>
      <mc:AlternateContent>
        <mc:Choice Requires="wps">
          <w:drawing>
            <wp:anchor distT="4294967291" distB="4294967291" distL="114300" distR="114300" simplePos="0" relativeHeight="251663360" behindDoc="0" locked="0" layoutInCell="0" allowOverlap="1" wp14:anchorId="241D348C" wp14:editId="0F759C4E">
              <wp:simplePos x="0" y="0"/>
              <wp:positionH relativeFrom="column">
                <wp:posOffset>0</wp:posOffset>
              </wp:positionH>
              <wp:positionV relativeFrom="paragraph">
                <wp:posOffset>22224</wp:posOffset>
              </wp:positionV>
              <wp:extent cx="59436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37B7A53"/>
    <w:multiLevelType w:val="hybridMultilevel"/>
    <w:tmpl w:val="B4720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E383096"/>
    <w:multiLevelType w:val="hybridMultilevel"/>
    <w:tmpl w:val="616859BA"/>
    <w:lvl w:ilvl="0" w:tplc="37D66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3A3DDB"/>
    <w:multiLevelType w:val="hybridMultilevel"/>
    <w:tmpl w:val="E738D410"/>
    <w:lvl w:ilvl="0" w:tplc="F68263A2">
      <w:start w:val="1"/>
      <w:numFmt w:val="decimal"/>
      <w:pStyle w:val="ListParagraph"/>
      <w:lvlText w:val="%1."/>
      <w:lvlJc w:val="left"/>
      <w:pPr>
        <w:ind w:left="-360" w:firstLine="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4E62587E"/>
    <w:multiLevelType w:val="hybridMultilevel"/>
    <w:tmpl w:val="399A1442"/>
    <w:lvl w:ilvl="0" w:tplc="BCA8149E">
      <w:start w:val="1"/>
      <w:numFmt w:val="upperRoman"/>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0">
    <w:nsid w:val="6D7F6851"/>
    <w:multiLevelType w:val="hybridMultilevel"/>
    <w:tmpl w:val="189EA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D22523"/>
    <w:multiLevelType w:val="hybridMultilevel"/>
    <w:tmpl w:val="5C4EB7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EE5B0F"/>
    <w:multiLevelType w:val="hybridMultilevel"/>
    <w:tmpl w:val="7A547BE8"/>
    <w:lvl w:ilvl="0" w:tplc="BD307F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F3206A9"/>
    <w:multiLevelType w:val="hybridMultilevel"/>
    <w:tmpl w:val="601ED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8"/>
  </w:num>
  <w:num w:numId="3">
    <w:abstractNumId w:val="13"/>
  </w:num>
  <w:num w:numId="4">
    <w:abstractNumId w:val="11"/>
  </w:num>
  <w:num w:numId="5">
    <w:abstractNumId w:val="1"/>
  </w:num>
  <w:num w:numId="6">
    <w:abstractNumId w:val="5"/>
  </w:num>
  <w:num w:numId="7">
    <w:abstractNumId w:val="10"/>
  </w:num>
  <w:num w:numId="8">
    <w:abstractNumId w:val="6"/>
  </w:num>
  <w:num w:numId="9">
    <w:abstractNumId w:val="2"/>
  </w:num>
  <w:num w:numId="10">
    <w:abstractNumId w:val="9"/>
  </w:num>
  <w:num w:numId="11">
    <w:abstractNumId w:val="4"/>
  </w:num>
  <w:num w:numId="12">
    <w:abstractNumId w:val="7"/>
  </w:num>
  <w:num w:numId="13">
    <w:abstractNumId w:val="3"/>
  </w:num>
  <w:num w:numId="14">
    <w:abstractNumId w:val="0"/>
  </w:num>
  <w:num w:numId="15">
    <w:abstractNumId w:val="6"/>
  </w:num>
  <w:num w:numId="16">
    <w:abstractNumId w:val="6"/>
  </w:num>
  <w:num w:numId="17">
    <w:abstractNumId w:val="6"/>
  </w:num>
  <w:num w:numId="18">
    <w:abstractNumId w:val="6"/>
  </w:num>
  <w:num w:numId="19">
    <w:abstractNumId w:val="6"/>
  </w:num>
  <w:num w:numId="20">
    <w:abstractNumId w:val="6"/>
  </w:num>
  <w:num w:numId="21">
    <w:abstractNumId w:val="4"/>
  </w:num>
  <w:num w:numId="22">
    <w:abstractNumId w:val="4"/>
  </w:num>
  <w:num w:numId="23">
    <w:abstractNumId w:val="4"/>
  </w:num>
  <w:num w:numId="24">
    <w:abstractNumId w:val="9"/>
    <w:lvlOverride w:ilvl="0">
      <w:startOverride w:val="1"/>
    </w:lvlOverride>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ttachedTemplate r:id="rId1"/>
  <w:linkStyles/>
  <w:defaultTabStop w:val="720"/>
  <w:characterSpacingControl w:val="doNotCompress"/>
  <w:hdrShapeDefaults>
    <o:shapedefaults v:ext="edit" spidmax="3276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FBE"/>
    <w:rsid w:val="0000004D"/>
    <w:rsid w:val="0000208A"/>
    <w:rsid w:val="00002612"/>
    <w:rsid w:val="00006D2E"/>
    <w:rsid w:val="0000744B"/>
    <w:rsid w:val="0001067F"/>
    <w:rsid w:val="00013ADF"/>
    <w:rsid w:val="000142D4"/>
    <w:rsid w:val="00015FD3"/>
    <w:rsid w:val="00016548"/>
    <w:rsid w:val="00017D18"/>
    <w:rsid w:val="00020EF3"/>
    <w:rsid w:val="0002387A"/>
    <w:rsid w:val="00024EDF"/>
    <w:rsid w:val="00025422"/>
    <w:rsid w:val="0002662F"/>
    <w:rsid w:val="00033F35"/>
    <w:rsid w:val="00035344"/>
    <w:rsid w:val="00035F7B"/>
    <w:rsid w:val="00041D9A"/>
    <w:rsid w:val="000465C2"/>
    <w:rsid w:val="00046B73"/>
    <w:rsid w:val="00052901"/>
    <w:rsid w:val="00052D07"/>
    <w:rsid w:val="000561E6"/>
    <w:rsid w:val="00056A06"/>
    <w:rsid w:val="00057642"/>
    <w:rsid w:val="0006091C"/>
    <w:rsid w:val="0006196C"/>
    <w:rsid w:val="000629EB"/>
    <w:rsid w:val="00062E36"/>
    <w:rsid w:val="0006315C"/>
    <w:rsid w:val="000631B4"/>
    <w:rsid w:val="00063358"/>
    <w:rsid w:val="00072CB0"/>
    <w:rsid w:val="00072DFE"/>
    <w:rsid w:val="00073D1C"/>
    <w:rsid w:val="00075266"/>
    <w:rsid w:val="00081606"/>
    <w:rsid w:val="00081CD9"/>
    <w:rsid w:val="00081E3B"/>
    <w:rsid w:val="00082409"/>
    <w:rsid w:val="00083110"/>
    <w:rsid w:val="00083D86"/>
    <w:rsid w:val="000851E4"/>
    <w:rsid w:val="0008604A"/>
    <w:rsid w:val="000862F5"/>
    <w:rsid w:val="00090AB6"/>
    <w:rsid w:val="000915AC"/>
    <w:rsid w:val="00095686"/>
    <w:rsid w:val="0009791A"/>
    <w:rsid w:val="00097BAE"/>
    <w:rsid w:val="000A0221"/>
    <w:rsid w:val="000A1E42"/>
    <w:rsid w:val="000A3F49"/>
    <w:rsid w:val="000A4985"/>
    <w:rsid w:val="000A4CA6"/>
    <w:rsid w:val="000A5464"/>
    <w:rsid w:val="000A5AA0"/>
    <w:rsid w:val="000B02AB"/>
    <w:rsid w:val="000B0FF7"/>
    <w:rsid w:val="000B1880"/>
    <w:rsid w:val="000B4EDF"/>
    <w:rsid w:val="000C30E7"/>
    <w:rsid w:val="000C34FD"/>
    <w:rsid w:val="000C387B"/>
    <w:rsid w:val="000C7B2F"/>
    <w:rsid w:val="000D30D4"/>
    <w:rsid w:val="000D3CFA"/>
    <w:rsid w:val="000D5052"/>
    <w:rsid w:val="000D6A09"/>
    <w:rsid w:val="000E003C"/>
    <w:rsid w:val="000E0094"/>
    <w:rsid w:val="000E6BCB"/>
    <w:rsid w:val="000F20A7"/>
    <w:rsid w:val="000F2BA2"/>
    <w:rsid w:val="000F3BBF"/>
    <w:rsid w:val="000F5A2A"/>
    <w:rsid w:val="00101DFA"/>
    <w:rsid w:val="00103BD3"/>
    <w:rsid w:val="0010569E"/>
    <w:rsid w:val="0010644D"/>
    <w:rsid w:val="0010720C"/>
    <w:rsid w:val="001129D0"/>
    <w:rsid w:val="001162BC"/>
    <w:rsid w:val="00116EF5"/>
    <w:rsid w:val="001206A4"/>
    <w:rsid w:val="00122021"/>
    <w:rsid w:val="001223A4"/>
    <w:rsid w:val="00126744"/>
    <w:rsid w:val="00134DED"/>
    <w:rsid w:val="00135A6B"/>
    <w:rsid w:val="0013629C"/>
    <w:rsid w:val="00136D0B"/>
    <w:rsid w:val="00136DAA"/>
    <w:rsid w:val="00142939"/>
    <w:rsid w:val="00143218"/>
    <w:rsid w:val="00151390"/>
    <w:rsid w:val="00151690"/>
    <w:rsid w:val="001520AB"/>
    <w:rsid w:val="00154DFA"/>
    <w:rsid w:val="00155249"/>
    <w:rsid w:val="00157077"/>
    <w:rsid w:val="00157982"/>
    <w:rsid w:val="001602E0"/>
    <w:rsid w:val="001610CA"/>
    <w:rsid w:val="00161D17"/>
    <w:rsid w:val="00163B47"/>
    <w:rsid w:val="0016743C"/>
    <w:rsid w:val="00170C95"/>
    <w:rsid w:val="00171678"/>
    <w:rsid w:val="00175182"/>
    <w:rsid w:val="001814E1"/>
    <w:rsid w:val="00190CE2"/>
    <w:rsid w:val="001913D5"/>
    <w:rsid w:val="0019260C"/>
    <w:rsid w:val="001971D2"/>
    <w:rsid w:val="00197BE2"/>
    <w:rsid w:val="001A4C5C"/>
    <w:rsid w:val="001B09C7"/>
    <w:rsid w:val="001B2750"/>
    <w:rsid w:val="001B353B"/>
    <w:rsid w:val="001B6969"/>
    <w:rsid w:val="001C1CB4"/>
    <w:rsid w:val="001C21E5"/>
    <w:rsid w:val="001C24DC"/>
    <w:rsid w:val="001C4134"/>
    <w:rsid w:val="001C5F81"/>
    <w:rsid w:val="001C66DB"/>
    <w:rsid w:val="001D2584"/>
    <w:rsid w:val="001D4B1B"/>
    <w:rsid w:val="001E0ACF"/>
    <w:rsid w:val="001E22FE"/>
    <w:rsid w:val="001E407F"/>
    <w:rsid w:val="001E484E"/>
    <w:rsid w:val="001E735C"/>
    <w:rsid w:val="001F00D7"/>
    <w:rsid w:val="001F0247"/>
    <w:rsid w:val="001F0482"/>
    <w:rsid w:val="001F0DBD"/>
    <w:rsid w:val="001F3326"/>
    <w:rsid w:val="001F5EF9"/>
    <w:rsid w:val="0020011C"/>
    <w:rsid w:val="00202A7C"/>
    <w:rsid w:val="002030DA"/>
    <w:rsid w:val="00210122"/>
    <w:rsid w:val="00211864"/>
    <w:rsid w:val="002118DD"/>
    <w:rsid w:val="002154E0"/>
    <w:rsid w:val="002157FC"/>
    <w:rsid w:val="0021630D"/>
    <w:rsid w:val="00220A4B"/>
    <w:rsid w:val="00221BC9"/>
    <w:rsid w:val="0022472D"/>
    <w:rsid w:val="00226D63"/>
    <w:rsid w:val="00230169"/>
    <w:rsid w:val="00233206"/>
    <w:rsid w:val="00240CD1"/>
    <w:rsid w:val="002417B4"/>
    <w:rsid w:val="00246092"/>
    <w:rsid w:val="00246620"/>
    <w:rsid w:val="00247858"/>
    <w:rsid w:val="00247AC4"/>
    <w:rsid w:val="00250396"/>
    <w:rsid w:val="00251247"/>
    <w:rsid w:val="0025151A"/>
    <w:rsid w:val="002530E6"/>
    <w:rsid w:val="00254489"/>
    <w:rsid w:val="0025489F"/>
    <w:rsid w:val="0026022E"/>
    <w:rsid w:val="00264C33"/>
    <w:rsid w:val="00264D02"/>
    <w:rsid w:val="002708FE"/>
    <w:rsid w:val="0027315C"/>
    <w:rsid w:val="002737F4"/>
    <w:rsid w:val="00280750"/>
    <w:rsid w:val="00281361"/>
    <w:rsid w:val="00283B6F"/>
    <w:rsid w:val="0028419B"/>
    <w:rsid w:val="00287139"/>
    <w:rsid w:val="00290DA6"/>
    <w:rsid w:val="00293E92"/>
    <w:rsid w:val="002950C4"/>
    <w:rsid w:val="0029629A"/>
    <w:rsid w:val="00297313"/>
    <w:rsid w:val="002A044B"/>
    <w:rsid w:val="002A2D4E"/>
    <w:rsid w:val="002A56E0"/>
    <w:rsid w:val="002B132D"/>
    <w:rsid w:val="002B31BE"/>
    <w:rsid w:val="002B452C"/>
    <w:rsid w:val="002B55D6"/>
    <w:rsid w:val="002B5E0F"/>
    <w:rsid w:val="002B7B12"/>
    <w:rsid w:val="002C1DCE"/>
    <w:rsid w:val="002C5A28"/>
    <w:rsid w:val="002C7F88"/>
    <w:rsid w:val="002D027D"/>
    <w:rsid w:val="002D11A2"/>
    <w:rsid w:val="002D26E5"/>
    <w:rsid w:val="002D3C27"/>
    <w:rsid w:val="002D5650"/>
    <w:rsid w:val="002D7912"/>
    <w:rsid w:val="002E04F4"/>
    <w:rsid w:val="002E3080"/>
    <w:rsid w:val="002E395C"/>
    <w:rsid w:val="002E448E"/>
    <w:rsid w:val="002F1DBF"/>
    <w:rsid w:val="002F36E6"/>
    <w:rsid w:val="002F3931"/>
    <w:rsid w:val="002F40B0"/>
    <w:rsid w:val="002F5761"/>
    <w:rsid w:val="002F665C"/>
    <w:rsid w:val="002F7B7D"/>
    <w:rsid w:val="002F7EA4"/>
    <w:rsid w:val="0030180D"/>
    <w:rsid w:val="00302B30"/>
    <w:rsid w:val="00304777"/>
    <w:rsid w:val="00304C01"/>
    <w:rsid w:val="00305151"/>
    <w:rsid w:val="003075AB"/>
    <w:rsid w:val="003102F2"/>
    <w:rsid w:val="00311D4F"/>
    <w:rsid w:val="003131A6"/>
    <w:rsid w:val="00316ADC"/>
    <w:rsid w:val="00317DF0"/>
    <w:rsid w:val="00320238"/>
    <w:rsid w:val="00321DD2"/>
    <w:rsid w:val="00322F70"/>
    <w:rsid w:val="00324194"/>
    <w:rsid w:val="003247AA"/>
    <w:rsid w:val="0032694D"/>
    <w:rsid w:val="00330E58"/>
    <w:rsid w:val="003334DF"/>
    <w:rsid w:val="00334B9F"/>
    <w:rsid w:val="0034115B"/>
    <w:rsid w:val="00342CE5"/>
    <w:rsid w:val="00345578"/>
    <w:rsid w:val="00350BB6"/>
    <w:rsid w:val="00351504"/>
    <w:rsid w:val="003519C2"/>
    <w:rsid w:val="00351A84"/>
    <w:rsid w:val="00352B34"/>
    <w:rsid w:val="00354445"/>
    <w:rsid w:val="0036129B"/>
    <w:rsid w:val="003616AD"/>
    <w:rsid w:val="00361B64"/>
    <w:rsid w:val="00362F05"/>
    <w:rsid w:val="00363490"/>
    <w:rsid w:val="0036722D"/>
    <w:rsid w:val="00370463"/>
    <w:rsid w:val="003715F5"/>
    <w:rsid w:val="0037214D"/>
    <w:rsid w:val="00374E28"/>
    <w:rsid w:val="00375E80"/>
    <w:rsid w:val="00380567"/>
    <w:rsid w:val="003815DA"/>
    <w:rsid w:val="00382756"/>
    <w:rsid w:val="003831B6"/>
    <w:rsid w:val="003845F4"/>
    <w:rsid w:val="0038512C"/>
    <w:rsid w:val="00385CF7"/>
    <w:rsid w:val="00387B23"/>
    <w:rsid w:val="00391548"/>
    <w:rsid w:val="00392643"/>
    <w:rsid w:val="00393783"/>
    <w:rsid w:val="00393927"/>
    <w:rsid w:val="003955A1"/>
    <w:rsid w:val="0039633D"/>
    <w:rsid w:val="00397E9C"/>
    <w:rsid w:val="003A071F"/>
    <w:rsid w:val="003A2621"/>
    <w:rsid w:val="003A28F8"/>
    <w:rsid w:val="003A5BD4"/>
    <w:rsid w:val="003B0C96"/>
    <w:rsid w:val="003B39C1"/>
    <w:rsid w:val="003B4347"/>
    <w:rsid w:val="003B4CA3"/>
    <w:rsid w:val="003B6560"/>
    <w:rsid w:val="003B7C69"/>
    <w:rsid w:val="003C5207"/>
    <w:rsid w:val="003C705C"/>
    <w:rsid w:val="003D041B"/>
    <w:rsid w:val="003D52D1"/>
    <w:rsid w:val="003E0236"/>
    <w:rsid w:val="003E3B2C"/>
    <w:rsid w:val="003E4B92"/>
    <w:rsid w:val="003E60FA"/>
    <w:rsid w:val="003E7673"/>
    <w:rsid w:val="003F0086"/>
    <w:rsid w:val="003F107D"/>
    <w:rsid w:val="003F7DEE"/>
    <w:rsid w:val="00402348"/>
    <w:rsid w:val="00402EFA"/>
    <w:rsid w:val="0040372A"/>
    <w:rsid w:val="0040448F"/>
    <w:rsid w:val="00410C4D"/>
    <w:rsid w:val="0041161F"/>
    <w:rsid w:val="004121F5"/>
    <w:rsid w:val="00413510"/>
    <w:rsid w:val="00414396"/>
    <w:rsid w:val="00414AEA"/>
    <w:rsid w:val="00414F70"/>
    <w:rsid w:val="00416EE8"/>
    <w:rsid w:val="004200A1"/>
    <w:rsid w:val="00421919"/>
    <w:rsid w:val="004223F0"/>
    <w:rsid w:val="00424960"/>
    <w:rsid w:val="00425AB9"/>
    <w:rsid w:val="00426032"/>
    <w:rsid w:val="004301F6"/>
    <w:rsid w:val="004315A1"/>
    <w:rsid w:val="00435210"/>
    <w:rsid w:val="004366F0"/>
    <w:rsid w:val="00443878"/>
    <w:rsid w:val="004453DE"/>
    <w:rsid w:val="00445D7C"/>
    <w:rsid w:val="0044602B"/>
    <w:rsid w:val="00450B4E"/>
    <w:rsid w:val="004510EA"/>
    <w:rsid w:val="00451197"/>
    <w:rsid w:val="004516D1"/>
    <w:rsid w:val="00451B28"/>
    <w:rsid w:val="004526BE"/>
    <w:rsid w:val="004558BF"/>
    <w:rsid w:val="00462C24"/>
    <w:rsid w:val="00464CF6"/>
    <w:rsid w:val="0046506C"/>
    <w:rsid w:val="00466EE5"/>
    <w:rsid w:val="00472646"/>
    <w:rsid w:val="00475FB4"/>
    <w:rsid w:val="004777A7"/>
    <w:rsid w:val="00477AD7"/>
    <w:rsid w:val="00481C73"/>
    <w:rsid w:val="00483B7E"/>
    <w:rsid w:val="004840FE"/>
    <w:rsid w:val="00484C9A"/>
    <w:rsid w:val="00486A71"/>
    <w:rsid w:val="00490370"/>
    <w:rsid w:val="00492DEE"/>
    <w:rsid w:val="004948AA"/>
    <w:rsid w:val="004977ED"/>
    <w:rsid w:val="00497A6C"/>
    <w:rsid w:val="00497DE4"/>
    <w:rsid w:val="004A245B"/>
    <w:rsid w:val="004A25D2"/>
    <w:rsid w:val="004A4ACF"/>
    <w:rsid w:val="004A61F3"/>
    <w:rsid w:val="004B1029"/>
    <w:rsid w:val="004B25B9"/>
    <w:rsid w:val="004B4FF8"/>
    <w:rsid w:val="004B507C"/>
    <w:rsid w:val="004B55EE"/>
    <w:rsid w:val="004B5921"/>
    <w:rsid w:val="004B721C"/>
    <w:rsid w:val="004C2405"/>
    <w:rsid w:val="004C2D5D"/>
    <w:rsid w:val="004C4455"/>
    <w:rsid w:val="004C47C2"/>
    <w:rsid w:val="004C5438"/>
    <w:rsid w:val="004C65A4"/>
    <w:rsid w:val="004D5B46"/>
    <w:rsid w:val="004D7D25"/>
    <w:rsid w:val="004D7E2F"/>
    <w:rsid w:val="004E15D2"/>
    <w:rsid w:val="004E1B60"/>
    <w:rsid w:val="004E29C2"/>
    <w:rsid w:val="004E2D6F"/>
    <w:rsid w:val="004E30CC"/>
    <w:rsid w:val="004E5C43"/>
    <w:rsid w:val="004F182E"/>
    <w:rsid w:val="004F6B46"/>
    <w:rsid w:val="004F6C24"/>
    <w:rsid w:val="004F7E90"/>
    <w:rsid w:val="00502F14"/>
    <w:rsid w:val="00503472"/>
    <w:rsid w:val="00503D84"/>
    <w:rsid w:val="00505570"/>
    <w:rsid w:val="00505856"/>
    <w:rsid w:val="00506479"/>
    <w:rsid w:val="00506A39"/>
    <w:rsid w:val="00507262"/>
    <w:rsid w:val="00513EBB"/>
    <w:rsid w:val="005149C3"/>
    <w:rsid w:val="00521AFE"/>
    <w:rsid w:val="00521DA1"/>
    <w:rsid w:val="00524B98"/>
    <w:rsid w:val="00525F71"/>
    <w:rsid w:val="00533496"/>
    <w:rsid w:val="00534A14"/>
    <w:rsid w:val="005367C9"/>
    <w:rsid w:val="00537E9C"/>
    <w:rsid w:val="00540FA1"/>
    <w:rsid w:val="00543FB9"/>
    <w:rsid w:val="00546EB3"/>
    <w:rsid w:val="00547719"/>
    <w:rsid w:val="00547934"/>
    <w:rsid w:val="005500CF"/>
    <w:rsid w:val="005531A7"/>
    <w:rsid w:val="00555AF3"/>
    <w:rsid w:val="00561F2F"/>
    <w:rsid w:val="00564154"/>
    <w:rsid w:val="00564816"/>
    <w:rsid w:val="00565C3A"/>
    <w:rsid w:val="005701E9"/>
    <w:rsid w:val="00575AF8"/>
    <w:rsid w:val="00576CCA"/>
    <w:rsid w:val="005776FA"/>
    <w:rsid w:val="005804E1"/>
    <w:rsid w:val="00585696"/>
    <w:rsid w:val="00591309"/>
    <w:rsid w:val="005916E2"/>
    <w:rsid w:val="0059477F"/>
    <w:rsid w:val="005A0C30"/>
    <w:rsid w:val="005A1CA0"/>
    <w:rsid w:val="005A1F47"/>
    <w:rsid w:val="005A210E"/>
    <w:rsid w:val="005A2243"/>
    <w:rsid w:val="005A3F03"/>
    <w:rsid w:val="005A5F1B"/>
    <w:rsid w:val="005A7453"/>
    <w:rsid w:val="005B14EF"/>
    <w:rsid w:val="005B1A63"/>
    <w:rsid w:val="005B1FCA"/>
    <w:rsid w:val="005B6C47"/>
    <w:rsid w:val="005C01C5"/>
    <w:rsid w:val="005C1792"/>
    <w:rsid w:val="005C58FD"/>
    <w:rsid w:val="005C70F5"/>
    <w:rsid w:val="005D4D82"/>
    <w:rsid w:val="005D508F"/>
    <w:rsid w:val="005E3CD5"/>
    <w:rsid w:val="005E41A7"/>
    <w:rsid w:val="005E46F7"/>
    <w:rsid w:val="005E6B9D"/>
    <w:rsid w:val="005E7B8C"/>
    <w:rsid w:val="005F0B77"/>
    <w:rsid w:val="005F1B66"/>
    <w:rsid w:val="005F44C2"/>
    <w:rsid w:val="005F65A5"/>
    <w:rsid w:val="00600158"/>
    <w:rsid w:val="0060072E"/>
    <w:rsid w:val="00601606"/>
    <w:rsid w:val="006045DA"/>
    <w:rsid w:val="0060518B"/>
    <w:rsid w:val="006108BD"/>
    <w:rsid w:val="006120FE"/>
    <w:rsid w:val="006138B7"/>
    <w:rsid w:val="00615386"/>
    <w:rsid w:val="006155A9"/>
    <w:rsid w:val="00626715"/>
    <w:rsid w:val="0062712D"/>
    <w:rsid w:val="00632309"/>
    <w:rsid w:val="006340F8"/>
    <w:rsid w:val="0063447B"/>
    <w:rsid w:val="00635F14"/>
    <w:rsid w:val="006362F2"/>
    <w:rsid w:val="00636900"/>
    <w:rsid w:val="0063789F"/>
    <w:rsid w:val="0064032D"/>
    <w:rsid w:val="00640AA5"/>
    <w:rsid w:val="00646444"/>
    <w:rsid w:val="00650824"/>
    <w:rsid w:val="00652E4B"/>
    <w:rsid w:val="00660679"/>
    <w:rsid w:val="0066184A"/>
    <w:rsid w:val="00661BA1"/>
    <w:rsid w:val="00663C7B"/>
    <w:rsid w:val="00675A78"/>
    <w:rsid w:val="006761AB"/>
    <w:rsid w:val="00677CC4"/>
    <w:rsid w:val="0068606B"/>
    <w:rsid w:val="00686957"/>
    <w:rsid w:val="00692B65"/>
    <w:rsid w:val="00694DB7"/>
    <w:rsid w:val="006973EE"/>
    <w:rsid w:val="006A2146"/>
    <w:rsid w:val="006A25A9"/>
    <w:rsid w:val="006A2AC2"/>
    <w:rsid w:val="006A41FF"/>
    <w:rsid w:val="006A422B"/>
    <w:rsid w:val="006A6DCA"/>
    <w:rsid w:val="006A74BF"/>
    <w:rsid w:val="006A7C9B"/>
    <w:rsid w:val="006A7FBF"/>
    <w:rsid w:val="006B2982"/>
    <w:rsid w:val="006B3D45"/>
    <w:rsid w:val="006B4002"/>
    <w:rsid w:val="006B52FB"/>
    <w:rsid w:val="006C057E"/>
    <w:rsid w:val="006C12BF"/>
    <w:rsid w:val="006C4260"/>
    <w:rsid w:val="006C4903"/>
    <w:rsid w:val="006C59D2"/>
    <w:rsid w:val="006C694A"/>
    <w:rsid w:val="006C7200"/>
    <w:rsid w:val="006C7A43"/>
    <w:rsid w:val="006D317B"/>
    <w:rsid w:val="006E05EA"/>
    <w:rsid w:val="006E4762"/>
    <w:rsid w:val="006E6C07"/>
    <w:rsid w:val="006F526A"/>
    <w:rsid w:val="006F5689"/>
    <w:rsid w:val="006F66A6"/>
    <w:rsid w:val="007000BB"/>
    <w:rsid w:val="00701422"/>
    <w:rsid w:val="0070152C"/>
    <w:rsid w:val="00701C55"/>
    <w:rsid w:val="0070368B"/>
    <w:rsid w:val="0070456A"/>
    <w:rsid w:val="00706DF3"/>
    <w:rsid w:val="00711BF5"/>
    <w:rsid w:val="007123F5"/>
    <w:rsid w:val="00727998"/>
    <w:rsid w:val="00727A94"/>
    <w:rsid w:val="00731A9B"/>
    <w:rsid w:val="007337F2"/>
    <w:rsid w:val="00734333"/>
    <w:rsid w:val="00736983"/>
    <w:rsid w:val="00742DBA"/>
    <w:rsid w:val="00743C9A"/>
    <w:rsid w:val="00750526"/>
    <w:rsid w:val="0075123C"/>
    <w:rsid w:val="007514E9"/>
    <w:rsid w:val="0075173C"/>
    <w:rsid w:val="0075244D"/>
    <w:rsid w:val="00753DB0"/>
    <w:rsid w:val="00754144"/>
    <w:rsid w:val="00755737"/>
    <w:rsid w:val="00755818"/>
    <w:rsid w:val="00756EB6"/>
    <w:rsid w:val="00757E32"/>
    <w:rsid w:val="007606F4"/>
    <w:rsid w:val="007609DA"/>
    <w:rsid w:val="00761CB2"/>
    <w:rsid w:val="00761CBE"/>
    <w:rsid w:val="00761ED7"/>
    <w:rsid w:val="00763AFB"/>
    <w:rsid w:val="007674B7"/>
    <w:rsid w:val="00770786"/>
    <w:rsid w:val="00771C7D"/>
    <w:rsid w:val="00771DAE"/>
    <w:rsid w:val="0077288A"/>
    <w:rsid w:val="00772D10"/>
    <w:rsid w:val="00774282"/>
    <w:rsid w:val="007752E9"/>
    <w:rsid w:val="007772D9"/>
    <w:rsid w:val="00780314"/>
    <w:rsid w:val="007806BA"/>
    <w:rsid w:val="00790370"/>
    <w:rsid w:val="00790548"/>
    <w:rsid w:val="00790608"/>
    <w:rsid w:val="00790738"/>
    <w:rsid w:val="00791199"/>
    <w:rsid w:val="00793777"/>
    <w:rsid w:val="00797019"/>
    <w:rsid w:val="007A5186"/>
    <w:rsid w:val="007A6B95"/>
    <w:rsid w:val="007A6FF2"/>
    <w:rsid w:val="007A7155"/>
    <w:rsid w:val="007A770B"/>
    <w:rsid w:val="007B0A3D"/>
    <w:rsid w:val="007B11CC"/>
    <w:rsid w:val="007B14F0"/>
    <w:rsid w:val="007B2778"/>
    <w:rsid w:val="007B444C"/>
    <w:rsid w:val="007B53C7"/>
    <w:rsid w:val="007C2693"/>
    <w:rsid w:val="007C2C5F"/>
    <w:rsid w:val="007C56FC"/>
    <w:rsid w:val="007C61B5"/>
    <w:rsid w:val="007C702C"/>
    <w:rsid w:val="007D1103"/>
    <w:rsid w:val="007D2078"/>
    <w:rsid w:val="007D20F4"/>
    <w:rsid w:val="007D4526"/>
    <w:rsid w:val="007D5FA9"/>
    <w:rsid w:val="007D746E"/>
    <w:rsid w:val="007E2FBE"/>
    <w:rsid w:val="007E52B8"/>
    <w:rsid w:val="007F061C"/>
    <w:rsid w:val="007F17EA"/>
    <w:rsid w:val="007F2328"/>
    <w:rsid w:val="007F24F3"/>
    <w:rsid w:val="007F4AC8"/>
    <w:rsid w:val="007F4F78"/>
    <w:rsid w:val="007F6AE8"/>
    <w:rsid w:val="007F7999"/>
    <w:rsid w:val="00803C82"/>
    <w:rsid w:val="0080467E"/>
    <w:rsid w:val="0080790D"/>
    <w:rsid w:val="00811D17"/>
    <w:rsid w:val="008160E1"/>
    <w:rsid w:val="00817877"/>
    <w:rsid w:val="00820094"/>
    <w:rsid w:val="00820645"/>
    <w:rsid w:val="008217E1"/>
    <w:rsid w:val="00822882"/>
    <w:rsid w:val="00822D38"/>
    <w:rsid w:val="008238FC"/>
    <w:rsid w:val="008255EB"/>
    <w:rsid w:val="00826491"/>
    <w:rsid w:val="00830727"/>
    <w:rsid w:val="00832C39"/>
    <w:rsid w:val="008363AD"/>
    <w:rsid w:val="00836D69"/>
    <w:rsid w:val="00837EE4"/>
    <w:rsid w:val="00837F1E"/>
    <w:rsid w:val="008431C6"/>
    <w:rsid w:val="00844024"/>
    <w:rsid w:val="00845DCE"/>
    <w:rsid w:val="00846801"/>
    <w:rsid w:val="0085099D"/>
    <w:rsid w:val="00850D1A"/>
    <w:rsid w:val="00851B60"/>
    <w:rsid w:val="00853B2F"/>
    <w:rsid w:val="008558D8"/>
    <w:rsid w:val="00863AF8"/>
    <w:rsid w:val="00863BF3"/>
    <w:rsid w:val="008679F0"/>
    <w:rsid w:val="0087400B"/>
    <w:rsid w:val="0087772B"/>
    <w:rsid w:val="008777BB"/>
    <w:rsid w:val="00880047"/>
    <w:rsid w:val="008804B9"/>
    <w:rsid w:val="00881C97"/>
    <w:rsid w:val="00883320"/>
    <w:rsid w:val="008843F5"/>
    <w:rsid w:val="00885146"/>
    <w:rsid w:val="0089195D"/>
    <w:rsid w:val="00892373"/>
    <w:rsid w:val="008925E1"/>
    <w:rsid w:val="00892E50"/>
    <w:rsid w:val="00895881"/>
    <w:rsid w:val="008A2C78"/>
    <w:rsid w:val="008A2DA6"/>
    <w:rsid w:val="008A55F7"/>
    <w:rsid w:val="008A62FA"/>
    <w:rsid w:val="008A70B1"/>
    <w:rsid w:val="008A756A"/>
    <w:rsid w:val="008B3D53"/>
    <w:rsid w:val="008B3FAC"/>
    <w:rsid w:val="008B5B4E"/>
    <w:rsid w:val="008C0CBB"/>
    <w:rsid w:val="008C31F5"/>
    <w:rsid w:val="008C4104"/>
    <w:rsid w:val="008C74DC"/>
    <w:rsid w:val="008D125E"/>
    <w:rsid w:val="008D2AAC"/>
    <w:rsid w:val="008D567F"/>
    <w:rsid w:val="008D677F"/>
    <w:rsid w:val="008D6B82"/>
    <w:rsid w:val="008E1829"/>
    <w:rsid w:val="008E1EEF"/>
    <w:rsid w:val="008E3296"/>
    <w:rsid w:val="008E345F"/>
    <w:rsid w:val="008E3C22"/>
    <w:rsid w:val="008E4C27"/>
    <w:rsid w:val="008E6438"/>
    <w:rsid w:val="008E7442"/>
    <w:rsid w:val="008F2C3E"/>
    <w:rsid w:val="008F4CDD"/>
    <w:rsid w:val="008F5EAE"/>
    <w:rsid w:val="008F66E6"/>
    <w:rsid w:val="008F69A4"/>
    <w:rsid w:val="00900D41"/>
    <w:rsid w:val="0090104E"/>
    <w:rsid w:val="00902676"/>
    <w:rsid w:val="00902AEC"/>
    <w:rsid w:val="00912330"/>
    <w:rsid w:val="00912D46"/>
    <w:rsid w:val="00914D7E"/>
    <w:rsid w:val="009158EC"/>
    <w:rsid w:val="00916EE7"/>
    <w:rsid w:val="0092494B"/>
    <w:rsid w:val="00925158"/>
    <w:rsid w:val="0092760C"/>
    <w:rsid w:val="00930EBB"/>
    <w:rsid w:val="00930FAC"/>
    <w:rsid w:val="009317DE"/>
    <w:rsid w:val="009335C0"/>
    <w:rsid w:val="00937DA3"/>
    <w:rsid w:val="00940832"/>
    <w:rsid w:val="0094479E"/>
    <w:rsid w:val="00945358"/>
    <w:rsid w:val="00946F55"/>
    <w:rsid w:val="00950BFB"/>
    <w:rsid w:val="00952417"/>
    <w:rsid w:val="00953644"/>
    <w:rsid w:val="00954EC3"/>
    <w:rsid w:val="00955D25"/>
    <w:rsid w:val="00955FD0"/>
    <w:rsid w:val="009574E6"/>
    <w:rsid w:val="00962875"/>
    <w:rsid w:val="0096470D"/>
    <w:rsid w:val="00965CD4"/>
    <w:rsid w:val="00967295"/>
    <w:rsid w:val="00975E5C"/>
    <w:rsid w:val="00976BF8"/>
    <w:rsid w:val="00981A1D"/>
    <w:rsid w:val="00981D42"/>
    <w:rsid w:val="009824C9"/>
    <w:rsid w:val="00982B46"/>
    <w:rsid w:val="00987412"/>
    <w:rsid w:val="00990660"/>
    <w:rsid w:val="00990EF9"/>
    <w:rsid w:val="00991876"/>
    <w:rsid w:val="009918D6"/>
    <w:rsid w:val="0099366C"/>
    <w:rsid w:val="0099420F"/>
    <w:rsid w:val="00995D57"/>
    <w:rsid w:val="00995EB9"/>
    <w:rsid w:val="00996B4D"/>
    <w:rsid w:val="009A33E8"/>
    <w:rsid w:val="009A38CF"/>
    <w:rsid w:val="009A43DE"/>
    <w:rsid w:val="009A4D0C"/>
    <w:rsid w:val="009A591B"/>
    <w:rsid w:val="009A68FC"/>
    <w:rsid w:val="009B02CD"/>
    <w:rsid w:val="009B1946"/>
    <w:rsid w:val="009C039A"/>
    <w:rsid w:val="009C066C"/>
    <w:rsid w:val="009C2322"/>
    <w:rsid w:val="009C2933"/>
    <w:rsid w:val="009C33E6"/>
    <w:rsid w:val="009C3A2D"/>
    <w:rsid w:val="009C57AE"/>
    <w:rsid w:val="009C6746"/>
    <w:rsid w:val="009C6A03"/>
    <w:rsid w:val="009C6F31"/>
    <w:rsid w:val="009D20FD"/>
    <w:rsid w:val="009D364E"/>
    <w:rsid w:val="009D3E77"/>
    <w:rsid w:val="009D4872"/>
    <w:rsid w:val="009D56DE"/>
    <w:rsid w:val="009D7EBA"/>
    <w:rsid w:val="009E3B38"/>
    <w:rsid w:val="009E54E4"/>
    <w:rsid w:val="009E5F96"/>
    <w:rsid w:val="009E75DF"/>
    <w:rsid w:val="009F448A"/>
    <w:rsid w:val="009F5374"/>
    <w:rsid w:val="00A00C72"/>
    <w:rsid w:val="00A01D63"/>
    <w:rsid w:val="00A02513"/>
    <w:rsid w:val="00A0257E"/>
    <w:rsid w:val="00A04470"/>
    <w:rsid w:val="00A13765"/>
    <w:rsid w:val="00A160BD"/>
    <w:rsid w:val="00A172D0"/>
    <w:rsid w:val="00A236A9"/>
    <w:rsid w:val="00A23E41"/>
    <w:rsid w:val="00A25362"/>
    <w:rsid w:val="00A35268"/>
    <w:rsid w:val="00A36BE6"/>
    <w:rsid w:val="00A4223C"/>
    <w:rsid w:val="00A42FB0"/>
    <w:rsid w:val="00A43F1D"/>
    <w:rsid w:val="00A472CC"/>
    <w:rsid w:val="00A52BEC"/>
    <w:rsid w:val="00A55157"/>
    <w:rsid w:val="00A560EF"/>
    <w:rsid w:val="00A623A6"/>
    <w:rsid w:val="00A63499"/>
    <w:rsid w:val="00A641F8"/>
    <w:rsid w:val="00A65248"/>
    <w:rsid w:val="00A656D9"/>
    <w:rsid w:val="00A658CF"/>
    <w:rsid w:val="00A67331"/>
    <w:rsid w:val="00A72CDC"/>
    <w:rsid w:val="00A72DE0"/>
    <w:rsid w:val="00A73675"/>
    <w:rsid w:val="00A73D9A"/>
    <w:rsid w:val="00A7548D"/>
    <w:rsid w:val="00A75554"/>
    <w:rsid w:val="00A75FB7"/>
    <w:rsid w:val="00A76872"/>
    <w:rsid w:val="00A771A3"/>
    <w:rsid w:val="00A81D89"/>
    <w:rsid w:val="00A8386D"/>
    <w:rsid w:val="00A84372"/>
    <w:rsid w:val="00A871A3"/>
    <w:rsid w:val="00A91C2F"/>
    <w:rsid w:val="00A94A3D"/>
    <w:rsid w:val="00A95A59"/>
    <w:rsid w:val="00A96593"/>
    <w:rsid w:val="00AA10FA"/>
    <w:rsid w:val="00AA34EC"/>
    <w:rsid w:val="00AB40FF"/>
    <w:rsid w:val="00AB423F"/>
    <w:rsid w:val="00AB43DE"/>
    <w:rsid w:val="00AB4F14"/>
    <w:rsid w:val="00AB6BFD"/>
    <w:rsid w:val="00AC0DC0"/>
    <w:rsid w:val="00AC191A"/>
    <w:rsid w:val="00AC1EF0"/>
    <w:rsid w:val="00AC2DA4"/>
    <w:rsid w:val="00AC4E95"/>
    <w:rsid w:val="00AC5558"/>
    <w:rsid w:val="00AC6764"/>
    <w:rsid w:val="00AC71B8"/>
    <w:rsid w:val="00AD5C0C"/>
    <w:rsid w:val="00AD7212"/>
    <w:rsid w:val="00AE0762"/>
    <w:rsid w:val="00AE11B9"/>
    <w:rsid w:val="00AE4ECB"/>
    <w:rsid w:val="00AE5BEC"/>
    <w:rsid w:val="00AE7331"/>
    <w:rsid w:val="00AF08FD"/>
    <w:rsid w:val="00AF0901"/>
    <w:rsid w:val="00AF16A1"/>
    <w:rsid w:val="00AF1A02"/>
    <w:rsid w:val="00AF2065"/>
    <w:rsid w:val="00AF2678"/>
    <w:rsid w:val="00AF4424"/>
    <w:rsid w:val="00AF4B68"/>
    <w:rsid w:val="00AF66AE"/>
    <w:rsid w:val="00B00DCF"/>
    <w:rsid w:val="00B01878"/>
    <w:rsid w:val="00B05469"/>
    <w:rsid w:val="00B06BFB"/>
    <w:rsid w:val="00B10487"/>
    <w:rsid w:val="00B128A6"/>
    <w:rsid w:val="00B240E2"/>
    <w:rsid w:val="00B24B0F"/>
    <w:rsid w:val="00B2791D"/>
    <w:rsid w:val="00B32F9B"/>
    <w:rsid w:val="00B35C33"/>
    <w:rsid w:val="00B35E0F"/>
    <w:rsid w:val="00B37D9B"/>
    <w:rsid w:val="00B438E3"/>
    <w:rsid w:val="00B4526C"/>
    <w:rsid w:val="00B452BB"/>
    <w:rsid w:val="00B463C5"/>
    <w:rsid w:val="00B47519"/>
    <w:rsid w:val="00B503FF"/>
    <w:rsid w:val="00B50BB6"/>
    <w:rsid w:val="00B51177"/>
    <w:rsid w:val="00B52B4C"/>
    <w:rsid w:val="00B54BA6"/>
    <w:rsid w:val="00B55499"/>
    <w:rsid w:val="00B57697"/>
    <w:rsid w:val="00B606DF"/>
    <w:rsid w:val="00B650C9"/>
    <w:rsid w:val="00B6630B"/>
    <w:rsid w:val="00B667C7"/>
    <w:rsid w:val="00B70119"/>
    <w:rsid w:val="00B72E45"/>
    <w:rsid w:val="00B739D2"/>
    <w:rsid w:val="00B748D6"/>
    <w:rsid w:val="00B76543"/>
    <w:rsid w:val="00B76A61"/>
    <w:rsid w:val="00B77445"/>
    <w:rsid w:val="00B805A5"/>
    <w:rsid w:val="00B8116D"/>
    <w:rsid w:val="00B8358E"/>
    <w:rsid w:val="00B83C94"/>
    <w:rsid w:val="00B85F38"/>
    <w:rsid w:val="00B92286"/>
    <w:rsid w:val="00B9284F"/>
    <w:rsid w:val="00B93391"/>
    <w:rsid w:val="00B9666D"/>
    <w:rsid w:val="00B96C6C"/>
    <w:rsid w:val="00B972BD"/>
    <w:rsid w:val="00B976A3"/>
    <w:rsid w:val="00B97A51"/>
    <w:rsid w:val="00BA2A7B"/>
    <w:rsid w:val="00BA5AF8"/>
    <w:rsid w:val="00BA6B31"/>
    <w:rsid w:val="00BB296F"/>
    <w:rsid w:val="00BB46A0"/>
    <w:rsid w:val="00BB5DF9"/>
    <w:rsid w:val="00BB6081"/>
    <w:rsid w:val="00BB6D1D"/>
    <w:rsid w:val="00BB72FA"/>
    <w:rsid w:val="00BB79B8"/>
    <w:rsid w:val="00BB7FA9"/>
    <w:rsid w:val="00BC052B"/>
    <w:rsid w:val="00BC06D3"/>
    <w:rsid w:val="00BC0D58"/>
    <w:rsid w:val="00BC349A"/>
    <w:rsid w:val="00BC3DCE"/>
    <w:rsid w:val="00BC4C6D"/>
    <w:rsid w:val="00BC4EA3"/>
    <w:rsid w:val="00BC542F"/>
    <w:rsid w:val="00BC65FC"/>
    <w:rsid w:val="00BD3F60"/>
    <w:rsid w:val="00BD5610"/>
    <w:rsid w:val="00BE03C6"/>
    <w:rsid w:val="00BE46D1"/>
    <w:rsid w:val="00BE61AB"/>
    <w:rsid w:val="00BE6B93"/>
    <w:rsid w:val="00BE6F99"/>
    <w:rsid w:val="00BE76A4"/>
    <w:rsid w:val="00BF3048"/>
    <w:rsid w:val="00BF3555"/>
    <w:rsid w:val="00BF3640"/>
    <w:rsid w:val="00BF6ED5"/>
    <w:rsid w:val="00C00241"/>
    <w:rsid w:val="00C01B88"/>
    <w:rsid w:val="00C02673"/>
    <w:rsid w:val="00C04697"/>
    <w:rsid w:val="00C04B6A"/>
    <w:rsid w:val="00C05232"/>
    <w:rsid w:val="00C05FEA"/>
    <w:rsid w:val="00C11103"/>
    <w:rsid w:val="00C11514"/>
    <w:rsid w:val="00C17E32"/>
    <w:rsid w:val="00C2048F"/>
    <w:rsid w:val="00C21311"/>
    <w:rsid w:val="00C25505"/>
    <w:rsid w:val="00C32CA9"/>
    <w:rsid w:val="00C35CBC"/>
    <w:rsid w:val="00C35F8F"/>
    <w:rsid w:val="00C41B83"/>
    <w:rsid w:val="00C426F5"/>
    <w:rsid w:val="00C42A6F"/>
    <w:rsid w:val="00C43D84"/>
    <w:rsid w:val="00C43EC9"/>
    <w:rsid w:val="00C45C66"/>
    <w:rsid w:val="00C502D5"/>
    <w:rsid w:val="00C514FB"/>
    <w:rsid w:val="00C529B0"/>
    <w:rsid w:val="00C53845"/>
    <w:rsid w:val="00C543DE"/>
    <w:rsid w:val="00C57CA3"/>
    <w:rsid w:val="00C60F82"/>
    <w:rsid w:val="00C61B08"/>
    <w:rsid w:val="00C62EAB"/>
    <w:rsid w:val="00C65F5F"/>
    <w:rsid w:val="00C65F69"/>
    <w:rsid w:val="00C6608F"/>
    <w:rsid w:val="00C66526"/>
    <w:rsid w:val="00C666E5"/>
    <w:rsid w:val="00C66950"/>
    <w:rsid w:val="00C66E0B"/>
    <w:rsid w:val="00C76F99"/>
    <w:rsid w:val="00C802EE"/>
    <w:rsid w:val="00C81B54"/>
    <w:rsid w:val="00C840E5"/>
    <w:rsid w:val="00C90A9B"/>
    <w:rsid w:val="00C90E0B"/>
    <w:rsid w:val="00C91CD1"/>
    <w:rsid w:val="00C9608E"/>
    <w:rsid w:val="00CA10C6"/>
    <w:rsid w:val="00CA59C8"/>
    <w:rsid w:val="00CB007C"/>
    <w:rsid w:val="00CB0324"/>
    <w:rsid w:val="00CB1EA6"/>
    <w:rsid w:val="00CB24D5"/>
    <w:rsid w:val="00CB2D5A"/>
    <w:rsid w:val="00CB5553"/>
    <w:rsid w:val="00CB7A19"/>
    <w:rsid w:val="00CC038C"/>
    <w:rsid w:val="00CC4A23"/>
    <w:rsid w:val="00CC4B41"/>
    <w:rsid w:val="00CC61A9"/>
    <w:rsid w:val="00CC61E6"/>
    <w:rsid w:val="00CC7266"/>
    <w:rsid w:val="00CD50AD"/>
    <w:rsid w:val="00CE07C3"/>
    <w:rsid w:val="00CE25C2"/>
    <w:rsid w:val="00CE589F"/>
    <w:rsid w:val="00CE67E6"/>
    <w:rsid w:val="00CE7F08"/>
    <w:rsid w:val="00CF3FF5"/>
    <w:rsid w:val="00CF585D"/>
    <w:rsid w:val="00CF5C07"/>
    <w:rsid w:val="00CF6B19"/>
    <w:rsid w:val="00CF6B88"/>
    <w:rsid w:val="00D03EFA"/>
    <w:rsid w:val="00D04B59"/>
    <w:rsid w:val="00D07126"/>
    <w:rsid w:val="00D07E69"/>
    <w:rsid w:val="00D07E98"/>
    <w:rsid w:val="00D10AC0"/>
    <w:rsid w:val="00D14276"/>
    <w:rsid w:val="00D15E94"/>
    <w:rsid w:val="00D16BCB"/>
    <w:rsid w:val="00D175AE"/>
    <w:rsid w:val="00D21B4C"/>
    <w:rsid w:val="00D2581F"/>
    <w:rsid w:val="00D301C6"/>
    <w:rsid w:val="00D31A48"/>
    <w:rsid w:val="00D327A2"/>
    <w:rsid w:val="00D33EB3"/>
    <w:rsid w:val="00D35F36"/>
    <w:rsid w:val="00D375A1"/>
    <w:rsid w:val="00D418B7"/>
    <w:rsid w:val="00D41FB0"/>
    <w:rsid w:val="00D4292D"/>
    <w:rsid w:val="00D45012"/>
    <w:rsid w:val="00D574BF"/>
    <w:rsid w:val="00D609FA"/>
    <w:rsid w:val="00D618F5"/>
    <w:rsid w:val="00D6194E"/>
    <w:rsid w:val="00D7206C"/>
    <w:rsid w:val="00D72267"/>
    <w:rsid w:val="00D75374"/>
    <w:rsid w:val="00D77313"/>
    <w:rsid w:val="00D81C67"/>
    <w:rsid w:val="00D83022"/>
    <w:rsid w:val="00D8362B"/>
    <w:rsid w:val="00D83830"/>
    <w:rsid w:val="00D83D2E"/>
    <w:rsid w:val="00D845A8"/>
    <w:rsid w:val="00D84E7A"/>
    <w:rsid w:val="00D853B6"/>
    <w:rsid w:val="00D865E2"/>
    <w:rsid w:val="00D87E61"/>
    <w:rsid w:val="00D903D6"/>
    <w:rsid w:val="00D91E18"/>
    <w:rsid w:val="00D96389"/>
    <w:rsid w:val="00DA0A3B"/>
    <w:rsid w:val="00DA2847"/>
    <w:rsid w:val="00DA4B26"/>
    <w:rsid w:val="00DB085D"/>
    <w:rsid w:val="00DB202F"/>
    <w:rsid w:val="00DB41EF"/>
    <w:rsid w:val="00DB4437"/>
    <w:rsid w:val="00DB6570"/>
    <w:rsid w:val="00DB6CC3"/>
    <w:rsid w:val="00DB7163"/>
    <w:rsid w:val="00DC13AD"/>
    <w:rsid w:val="00DC2B65"/>
    <w:rsid w:val="00DC2F02"/>
    <w:rsid w:val="00DC3749"/>
    <w:rsid w:val="00DC3DD5"/>
    <w:rsid w:val="00DC4DB0"/>
    <w:rsid w:val="00DC4E57"/>
    <w:rsid w:val="00DC7FC6"/>
    <w:rsid w:val="00DD186B"/>
    <w:rsid w:val="00DD70BD"/>
    <w:rsid w:val="00DD7AC2"/>
    <w:rsid w:val="00DE0F7A"/>
    <w:rsid w:val="00DE1E51"/>
    <w:rsid w:val="00DE21DF"/>
    <w:rsid w:val="00DE72D7"/>
    <w:rsid w:val="00DE76EE"/>
    <w:rsid w:val="00DF0532"/>
    <w:rsid w:val="00DF3D8F"/>
    <w:rsid w:val="00DF3FE5"/>
    <w:rsid w:val="00DF45B2"/>
    <w:rsid w:val="00DF4791"/>
    <w:rsid w:val="00DF5006"/>
    <w:rsid w:val="00DF740C"/>
    <w:rsid w:val="00DF762D"/>
    <w:rsid w:val="00E00049"/>
    <w:rsid w:val="00E00A73"/>
    <w:rsid w:val="00E015AD"/>
    <w:rsid w:val="00E04481"/>
    <w:rsid w:val="00E0452B"/>
    <w:rsid w:val="00E109E3"/>
    <w:rsid w:val="00E1179F"/>
    <w:rsid w:val="00E11908"/>
    <w:rsid w:val="00E129CE"/>
    <w:rsid w:val="00E13E2C"/>
    <w:rsid w:val="00E14251"/>
    <w:rsid w:val="00E1459B"/>
    <w:rsid w:val="00E17038"/>
    <w:rsid w:val="00E207FD"/>
    <w:rsid w:val="00E21CDF"/>
    <w:rsid w:val="00E22C05"/>
    <w:rsid w:val="00E24AC1"/>
    <w:rsid w:val="00E261AD"/>
    <w:rsid w:val="00E267B0"/>
    <w:rsid w:val="00E26D73"/>
    <w:rsid w:val="00E3012B"/>
    <w:rsid w:val="00E3204D"/>
    <w:rsid w:val="00E35854"/>
    <w:rsid w:val="00E36EF4"/>
    <w:rsid w:val="00E37454"/>
    <w:rsid w:val="00E42C1E"/>
    <w:rsid w:val="00E42C93"/>
    <w:rsid w:val="00E4566B"/>
    <w:rsid w:val="00E50113"/>
    <w:rsid w:val="00E50ABF"/>
    <w:rsid w:val="00E51E93"/>
    <w:rsid w:val="00E60E35"/>
    <w:rsid w:val="00E6339C"/>
    <w:rsid w:val="00E706B8"/>
    <w:rsid w:val="00E70EB9"/>
    <w:rsid w:val="00E7120F"/>
    <w:rsid w:val="00E71670"/>
    <w:rsid w:val="00E722EF"/>
    <w:rsid w:val="00E730E6"/>
    <w:rsid w:val="00E74E47"/>
    <w:rsid w:val="00E75753"/>
    <w:rsid w:val="00E75791"/>
    <w:rsid w:val="00E75A77"/>
    <w:rsid w:val="00E775DF"/>
    <w:rsid w:val="00E776DC"/>
    <w:rsid w:val="00E80970"/>
    <w:rsid w:val="00E851A6"/>
    <w:rsid w:val="00E85BD8"/>
    <w:rsid w:val="00E9270A"/>
    <w:rsid w:val="00E942DF"/>
    <w:rsid w:val="00E94E5C"/>
    <w:rsid w:val="00E96489"/>
    <w:rsid w:val="00E97554"/>
    <w:rsid w:val="00E97629"/>
    <w:rsid w:val="00E97768"/>
    <w:rsid w:val="00EA09A6"/>
    <w:rsid w:val="00EA23AF"/>
    <w:rsid w:val="00EA2479"/>
    <w:rsid w:val="00EA58C2"/>
    <w:rsid w:val="00EA6E4E"/>
    <w:rsid w:val="00EA762A"/>
    <w:rsid w:val="00EB2E35"/>
    <w:rsid w:val="00EB558D"/>
    <w:rsid w:val="00EB5CB0"/>
    <w:rsid w:val="00EC1D22"/>
    <w:rsid w:val="00EC5CFC"/>
    <w:rsid w:val="00EC7458"/>
    <w:rsid w:val="00EC79B2"/>
    <w:rsid w:val="00ED14FC"/>
    <w:rsid w:val="00ED1936"/>
    <w:rsid w:val="00ED252F"/>
    <w:rsid w:val="00ED3BF0"/>
    <w:rsid w:val="00EE41E0"/>
    <w:rsid w:val="00EF064C"/>
    <w:rsid w:val="00EF5E7C"/>
    <w:rsid w:val="00EF7831"/>
    <w:rsid w:val="00F03F3D"/>
    <w:rsid w:val="00F03F5D"/>
    <w:rsid w:val="00F05A47"/>
    <w:rsid w:val="00F072AD"/>
    <w:rsid w:val="00F103A2"/>
    <w:rsid w:val="00F10A5D"/>
    <w:rsid w:val="00F10E19"/>
    <w:rsid w:val="00F1132C"/>
    <w:rsid w:val="00F11FB3"/>
    <w:rsid w:val="00F1296B"/>
    <w:rsid w:val="00F13423"/>
    <w:rsid w:val="00F17380"/>
    <w:rsid w:val="00F23137"/>
    <w:rsid w:val="00F23FCF"/>
    <w:rsid w:val="00F304E8"/>
    <w:rsid w:val="00F341F4"/>
    <w:rsid w:val="00F34CB4"/>
    <w:rsid w:val="00F356EA"/>
    <w:rsid w:val="00F374B6"/>
    <w:rsid w:val="00F40D79"/>
    <w:rsid w:val="00F44C9A"/>
    <w:rsid w:val="00F533E4"/>
    <w:rsid w:val="00F55F14"/>
    <w:rsid w:val="00F6182B"/>
    <w:rsid w:val="00F66396"/>
    <w:rsid w:val="00F67112"/>
    <w:rsid w:val="00F675A9"/>
    <w:rsid w:val="00F677DF"/>
    <w:rsid w:val="00F67C68"/>
    <w:rsid w:val="00F7135D"/>
    <w:rsid w:val="00F718D8"/>
    <w:rsid w:val="00F72D15"/>
    <w:rsid w:val="00F773F4"/>
    <w:rsid w:val="00F77CA9"/>
    <w:rsid w:val="00F83E92"/>
    <w:rsid w:val="00F86D4D"/>
    <w:rsid w:val="00F87A21"/>
    <w:rsid w:val="00F91417"/>
    <w:rsid w:val="00F97451"/>
    <w:rsid w:val="00FA2359"/>
    <w:rsid w:val="00FA5DBE"/>
    <w:rsid w:val="00FA7601"/>
    <w:rsid w:val="00FB075F"/>
    <w:rsid w:val="00FB511F"/>
    <w:rsid w:val="00FC13A1"/>
    <w:rsid w:val="00FC4055"/>
    <w:rsid w:val="00FC757B"/>
    <w:rsid w:val="00FD0E4A"/>
    <w:rsid w:val="00FD106B"/>
    <w:rsid w:val="00FD199C"/>
    <w:rsid w:val="00FD3059"/>
    <w:rsid w:val="00FD769D"/>
    <w:rsid w:val="00FE2187"/>
    <w:rsid w:val="00FE2B0B"/>
    <w:rsid w:val="00FE2D70"/>
    <w:rsid w:val="00FE39FE"/>
    <w:rsid w:val="00FE47EA"/>
    <w:rsid w:val="00FE4A1D"/>
    <w:rsid w:val="00FE656D"/>
    <w:rsid w:val="00FE7070"/>
    <w:rsid w:val="00FE780A"/>
    <w:rsid w:val="00FF1AEA"/>
    <w:rsid w:val="00FF1D81"/>
    <w:rsid w:val="00FF2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B0"/>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2F40B0"/>
    <w:pPr>
      <w:keepNext/>
      <w:numPr>
        <w:numId w:val="1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F40B0"/>
    <w:pPr>
      <w:keepNext/>
      <w:numPr>
        <w:ilvl w:val="1"/>
        <w:numId w:val="11"/>
      </w:numPr>
      <w:spacing w:after="120"/>
      <w:outlineLvl w:val="1"/>
    </w:pPr>
    <w:rPr>
      <w:b/>
    </w:rPr>
  </w:style>
  <w:style w:type="paragraph" w:styleId="Heading3">
    <w:name w:val="heading 3"/>
    <w:basedOn w:val="Normal"/>
    <w:next w:val="ParaNum"/>
    <w:link w:val="Heading3Char"/>
    <w:qFormat/>
    <w:rsid w:val="002F40B0"/>
    <w:pPr>
      <w:keepNext/>
      <w:numPr>
        <w:ilvl w:val="2"/>
        <w:numId w:val="11"/>
      </w:numPr>
      <w:tabs>
        <w:tab w:val="left" w:pos="2160"/>
      </w:tabs>
      <w:spacing w:after="120"/>
      <w:outlineLvl w:val="2"/>
    </w:pPr>
    <w:rPr>
      <w:b/>
    </w:rPr>
  </w:style>
  <w:style w:type="paragraph" w:styleId="Heading4">
    <w:name w:val="heading 4"/>
    <w:basedOn w:val="Normal"/>
    <w:next w:val="ParaNum"/>
    <w:link w:val="Heading4Char"/>
    <w:qFormat/>
    <w:rsid w:val="002F40B0"/>
    <w:pPr>
      <w:keepNext/>
      <w:numPr>
        <w:ilvl w:val="3"/>
        <w:numId w:val="11"/>
      </w:numPr>
      <w:tabs>
        <w:tab w:val="left" w:pos="2880"/>
      </w:tabs>
      <w:spacing w:after="120"/>
      <w:outlineLvl w:val="3"/>
    </w:pPr>
    <w:rPr>
      <w:b/>
    </w:rPr>
  </w:style>
  <w:style w:type="paragraph" w:styleId="Heading5">
    <w:name w:val="heading 5"/>
    <w:basedOn w:val="Normal"/>
    <w:next w:val="ParaNum"/>
    <w:link w:val="Heading5Char"/>
    <w:qFormat/>
    <w:rsid w:val="002F40B0"/>
    <w:pPr>
      <w:keepNext/>
      <w:numPr>
        <w:ilvl w:val="4"/>
        <w:numId w:val="11"/>
      </w:numPr>
      <w:tabs>
        <w:tab w:val="left" w:pos="3600"/>
      </w:tabs>
      <w:suppressAutoHyphens/>
      <w:spacing w:after="120"/>
      <w:outlineLvl w:val="4"/>
    </w:pPr>
    <w:rPr>
      <w:b/>
    </w:rPr>
  </w:style>
  <w:style w:type="paragraph" w:styleId="Heading6">
    <w:name w:val="heading 6"/>
    <w:basedOn w:val="Normal"/>
    <w:next w:val="ParaNum"/>
    <w:link w:val="Heading6Char"/>
    <w:qFormat/>
    <w:rsid w:val="002F40B0"/>
    <w:pPr>
      <w:numPr>
        <w:ilvl w:val="5"/>
        <w:numId w:val="11"/>
      </w:numPr>
      <w:tabs>
        <w:tab w:val="left" w:pos="4320"/>
      </w:tabs>
      <w:spacing w:after="120"/>
      <w:outlineLvl w:val="5"/>
    </w:pPr>
    <w:rPr>
      <w:b/>
    </w:rPr>
  </w:style>
  <w:style w:type="paragraph" w:styleId="Heading7">
    <w:name w:val="heading 7"/>
    <w:basedOn w:val="Normal"/>
    <w:next w:val="ParaNum"/>
    <w:link w:val="Heading7Char"/>
    <w:qFormat/>
    <w:rsid w:val="002F40B0"/>
    <w:pPr>
      <w:numPr>
        <w:ilvl w:val="6"/>
        <w:numId w:val="11"/>
      </w:numPr>
      <w:tabs>
        <w:tab w:val="left" w:pos="5040"/>
      </w:tabs>
      <w:spacing w:after="120"/>
      <w:ind w:left="5040" w:hanging="720"/>
      <w:outlineLvl w:val="6"/>
    </w:pPr>
    <w:rPr>
      <w:b/>
    </w:rPr>
  </w:style>
  <w:style w:type="paragraph" w:styleId="Heading8">
    <w:name w:val="heading 8"/>
    <w:basedOn w:val="Normal"/>
    <w:next w:val="ParaNum"/>
    <w:link w:val="Heading8Char"/>
    <w:qFormat/>
    <w:rsid w:val="002F40B0"/>
    <w:pPr>
      <w:numPr>
        <w:ilvl w:val="7"/>
        <w:numId w:val="1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F40B0"/>
    <w:pPr>
      <w:numPr>
        <w:ilvl w:val="8"/>
        <w:numId w:val="1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F40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40B0"/>
  </w:style>
  <w:style w:type="paragraph" w:styleId="ListParagraph">
    <w:name w:val="List Paragraph"/>
    <w:basedOn w:val="Normal"/>
    <w:uiPriority w:val="34"/>
    <w:qFormat/>
    <w:rsid w:val="0096470D"/>
    <w:pPr>
      <w:numPr>
        <w:numId w:val="8"/>
      </w:numPr>
      <w:spacing w:line="480" w:lineRule="auto"/>
      <w:contextualSpacing/>
    </w:pPr>
  </w:style>
  <w:style w:type="paragraph" w:styleId="FootnoteText">
    <w:name w:val="footnote text"/>
    <w:link w:val="FootnoteTextChar"/>
    <w:rsid w:val="002F40B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75E5C"/>
    <w:rPr>
      <w:rFonts w:ascii="Times New Roman" w:eastAsia="Times New Roman" w:hAnsi="Times New Roman" w:cs="Times New Roman"/>
      <w:sz w:val="20"/>
      <w:szCs w:val="20"/>
    </w:rPr>
  </w:style>
  <w:style w:type="character" w:styleId="FootnoteReference">
    <w:name w:val="footnote reference"/>
    <w:rsid w:val="002F40B0"/>
    <w:rPr>
      <w:rFonts w:ascii="Times New Roman" w:hAnsi="Times New Roman"/>
      <w:dstrike w:val="0"/>
      <w:color w:val="auto"/>
      <w:sz w:val="20"/>
      <w:vertAlign w:val="superscript"/>
    </w:rPr>
  </w:style>
  <w:style w:type="paragraph" w:styleId="Header">
    <w:name w:val="header"/>
    <w:basedOn w:val="Normal"/>
    <w:link w:val="HeaderChar"/>
    <w:autoRedefine/>
    <w:rsid w:val="002F40B0"/>
    <w:pPr>
      <w:tabs>
        <w:tab w:val="center" w:pos="4680"/>
        <w:tab w:val="right" w:pos="9360"/>
      </w:tabs>
    </w:pPr>
    <w:rPr>
      <w:b/>
    </w:rPr>
  </w:style>
  <w:style w:type="character" w:customStyle="1" w:styleId="HeaderChar">
    <w:name w:val="Header Char"/>
    <w:basedOn w:val="DefaultParagraphFont"/>
    <w:link w:val="Header"/>
    <w:rsid w:val="00BE46D1"/>
    <w:rPr>
      <w:rFonts w:ascii="Times New Roman" w:eastAsia="Times New Roman" w:hAnsi="Times New Roman" w:cs="Times New Roman"/>
      <w:b/>
      <w:snapToGrid w:val="0"/>
      <w:kern w:val="28"/>
      <w:szCs w:val="20"/>
    </w:rPr>
  </w:style>
  <w:style w:type="paragraph" w:styleId="Footer">
    <w:name w:val="footer"/>
    <w:basedOn w:val="Normal"/>
    <w:link w:val="FooterChar"/>
    <w:rsid w:val="002F40B0"/>
    <w:pPr>
      <w:tabs>
        <w:tab w:val="center" w:pos="4320"/>
        <w:tab w:val="right" w:pos="8640"/>
      </w:tabs>
    </w:pPr>
  </w:style>
  <w:style w:type="character" w:customStyle="1" w:styleId="FooterChar">
    <w:name w:val="Footer Char"/>
    <w:basedOn w:val="DefaultParagraphFont"/>
    <w:link w:val="Footer"/>
    <w:rsid w:val="00753DB0"/>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770786"/>
    <w:rPr>
      <w:rFonts w:ascii="Tahoma" w:hAnsi="Tahoma" w:cs="Tahoma"/>
      <w:sz w:val="16"/>
      <w:szCs w:val="16"/>
    </w:rPr>
  </w:style>
  <w:style w:type="character" w:customStyle="1" w:styleId="BalloonTextChar">
    <w:name w:val="Balloon Text Char"/>
    <w:basedOn w:val="DefaultParagraphFont"/>
    <w:link w:val="BalloonText"/>
    <w:uiPriority w:val="99"/>
    <w:semiHidden/>
    <w:rsid w:val="00770786"/>
    <w:rPr>
      <w:rFonts w:ascii="Tahoma" w:hAnsi="Tahoma" w:cs="Tahoma"/>
      <w:sz w:val="16"/>
      <w:szCs w:val="16"/>
    </w:rPr>
  </w:style>
  <w:style w:type="character" w:styleId="CommentReference">
    <w:name w:val="annotation reference"/>
    <w:basedOn w:val="DefaultParagraphFont"/>
    <w:uiPriority w:val="99"/>
    <w:semiHidden/>
    <w:unhideWhenUsed/>
    <w:rsid w:val="00CE25C2"/>
    <w:rPr>
      <w:sz w:val="16"/>
      <w:szCs w:val="16"/>
    </w:rPr>
  </w:style>
  <w:style w:type="paragraph" w:styleId="CommentText">
    <w:name w:val="annotation text"/>
    <w:basedOn w:val="Normal"/>
    <w:link w:val="CommentTextChar"/>
    <w:uiPriority w:val="99"/>
    <w:semiHidden/>
    <w:unhideWhenUsed/>
    <w:rsid w:val="00CE25C2"/>
    <w:rPr>
      <w:sz w:val="20"/>
    </w:rPr>
  </w:style>
  <w:style w:type="character" w:customStyle="1" w:styleId="CommentTextChar">
    <w:name w:val="Comment Text Char"/>
    <w:basedOn w:val="DefaultParagraphFont"/>
    <w:link w:val="CommentText"/>
    <w:uiPriority w:val="99"/>
    <w:semiHidden/>
    <w:rsid w:val="00CE25C2"/>
    <w:rPr>
      <w:sz w:val="20"/>
      <w:szCs w:val="20"/>
    </w:rPr>
  </w:style>
  <w:style w:type="paragraph" w:styleId="CommentSubject">
    <w:name w:val="annotation subject"/>
    <w:basedOn w:val="CommentText"/>
    <w:next w:val="CommentText"/>
    <w:link w:val="CommentSubjectChar"/>
    <w:uiPriority w:val="99"/>
    <w:semiHidden/>
    <w:unhideWhenUsed/>
    <w:rsid w:val="00CE25C2"/>
    <w:rPr>
      <w:b/>
      <w:bCs/>
    </w:rPr>
  </w:style>
  <w:style w:type="character" w:customStyle="1" w:styleId="CommentSubjectChar">
    <w:name w:val="Comment Subject Char"/>
    <w:basedOn w:val="CommentTextChar"/>
    <w:link w:val="CommentSubject"/>
    <w:uiPriority w:val="99"/>
    <w:semiHidden/>
    <w:rsid w:val="00CE25C2"/>
    <w:rPr>
      <w:b/>
      <w:bCs/>
      <w:sz w:val="20"/>
      <w:szCs w:val="20"/>
    </w:rPr>
  </w:style>
  <w:style w:type="character" w:styleId="Hyperlink">
    <w:name w:val="Hyperlink"/>
    <w:rsid w:val="002F40B0"/>
    <w:rPr>
      <w:color w:val="0000FF"/>
      <w:u w:val="single"/>
    </w:rPr>
  </w:style>
  <w:style w:type="character" w:styleId="FollowedHyperlink">
    <w:name w:val="FollowedHyperlink"/>
    <w:basedOn w:val="DefaultParagraphFont"/>
    <w:uiPriority w:val="99"/>
    <w:semiHidden/>
    <w:unhideWhenUsed/>
    <w:rsid w:val="00AC4E95"/>
    <w:rPr>
      <w:color w:val="800080" w:themeColor="followedHyperlink"/>
      <w:u w:val="single"/>
    </w:rPr>
  </w:style>
  <w:style w:type="character" w:customStyle="1" w:styleId="Heading1Char">
    <w:name w:val="Heading 1 Char"/>
    <w:basedOn w:val="DefaultParagraphFont"/>
    <w:link w:val="Heading1"/>
    <w:rsid w:val="00D175A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D175AE"/>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D175A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D175AE"/>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D175AE"/>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D175A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D175A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D175AE"/>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D175AE"/>
    <w:rPr>
      <w:rFonts w:ascii="Times New Roman" w:eastAsia="Times New Roman" w:hAnsi="Times New Roman" w:cs="Times New Roman"/>
      <w:b/>
      <w:snapToGrid w:val="0"/>
      <w:kern w:val="28"/>
      <w:szCs w:val="20"/>
    </w:rPr>
  </w:style>
  <w:style w:type="paragraph" w:customStyle="1" w:styleId="ParaNum">
    <w:name w:val="ParaNum"/>
    <w:basedOn w:val="Normal"/>
    <w:rsid w:val="002F40B0"/>
    <w:pPr>
      <w:numPr>
        <w:numId w:val="10"/>
      </w:numPr>
      <w:tabs>
        <w:tab w:val="clear" w:pos="1080"/>
        <w:tab w:val="num" w:pos="1440"/>
      </w:tabs>
      <w:spacing w:after="120"/>
    </w:pPr>
  </w:style>
  <w:style w:type="paragraph" w:styleId="EndnoteText">
    <w:name w:val="endnote text"/>
    <w:basedOn w:val="Normal"/>
    <w:link w:val="EndnoteTextChar"/>
    <w:semiHidden/>
    <w:rsid w:val="002F40B0"/>
    <w:rPr>
      <w:sz w:val="20"/>
    </w:rPr>
  </w:style>
  <w:style w:type="character" w:customStyle="1" w:styleId="EndnoteTextChar">
    <w:name w:val="Endnote Text Char"/>
    <w:basedOn w:val="DefaultParagraphFont"/>
    <w:link w:val="EndnoteText"/>
    <w:semiHidden/>
    <w:rsid w:val="00D175AE"/>
    <w:rPr>
      <w:rFonts w:ascii="Times New Roman" w:eastAsia="Times New Roman" w:hAnsi="Times New Roman" w:cs="Times New Roman"/>
      <w:snapToGrid w:val="0"/>
      <w:kern w:val="28"/>
      <w:sz w:val="20"/>
      <w:szCs w:val="20"/>
    </w:rPr>
  </w:style>
  <w:style w:type="character" w:styleId="EndnoteReference">
    <w:name w:val="endnote reference"/>
    <w:semiHidden/>
    <w:rsid w:val="002F40B0"/>
    <w:rPr>
      <w:vertAlign w:val="superscript"/>
    </w:rPr>
  </w:style>
  <w:style w:type="paragraph" w:styleId="TOC1">
    <w:name w:val="toc 1"/>
    <w:basedOn w:val="Normal"/>
    <w:next w:val="Normal"/>
    <w:semiHidden/>
    <w:rsid w:val="002F40B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F40B0"/>
    <w:pPr>
      <w:tabs>
        <w:tab w:val="left" w:pos="720"/>
        <w:tab w:val="right" w:leader="dot" w:pos="9360"/>
      </w:tabs>
      <w:suppressAutoHyphens/>
      <w:ind w:left="720" w:right="720" w:hanging="360"/>
    </w:pPr>
    <w:rPr>
      <w:noProof/>
    </w:rPr>
  </w:style>
  <w:style w:type="paragraph" w:styleId="TOC3">
    <w:name w:val="toc 3"/>
    <w:basedOn w:val="Normal"/>
    <w:next w:val="Normal"/>
    <w:semiHidden/>
    <w:rsid w:val="002F40B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F40B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F40B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F40B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F40B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F40B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F40B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F40B0"/>
    <w:pPr>
      <w:tabs>
        <w:tab w:val="right" w:pos="9360"/>
      </w:tabs>
      <w:suppressAutoHyphens/>
    </w:pPr>
  </w:style>
  <w:style w:type="character" w:customStyle="1" w:styleId="EquationCaption">
    <w:name w:val="_Equation Caption"/>
    <w:rsid w:val="002F40B0"/>
  </w:style>
  <w:style w:type="character" w:styleId="PageNumber">
    <w:name w:val="page number"/>
    <w:basedOn w:val="DefaultParagraphFont"/>
    <w:rsid w:val="002F40B0"/>
  </w:style>
  <w:style w:type="paragraph" w:styleId="BlockText">
    <w:name w:val="Block Text"/>
    <w:basedOn w:val="Normal"/>
    <w:rsid w:val="002F40B0"/>
    <w:pPr>
      <w:spacing w:after="240"/>
      <w:ind w:left="1440" w:right="1440"/>
    </w:pPr>
  </w:style>
  <w:style w:type="paragraph" w:customStyle="1" w:styleId="Paratitle">
    <w:name w:val="Para title"/>
    <w:basedOn w:val="Normal"/>
    <w:rsid w:val="002F40B0"/>
    <w:pPr>
      <w:tabs>
        <w:tab w:val="center" w:pos="9270"/>
      </w:tabs>
      <w:spacing w:after="240"/>
    </w:pPr>
    <w:rPr>
      <w:spacing w:val="-2"/>
    </w:rPr>
  </w:style>
  <w:style w:type="paragraph" w:customStyle="1" w:styleId="Bullet">
    <w:name w:val="Bullet"/>
    <w:basedOn w:val="Normal"/>
    <w:rsid w:val="002F40B0"/>
    <w:pPr>
      <w:tabs>
        <w:tab w:val="left" w:pos="2160"/>
      </w:tabs>
      <w:spacing w:after="220"/>
      <w:ind w:left="2160" w:hanging="720"/>
    </w:pPr>
  </w:style>
  <w:style w:type="paragraph" w:customStyle="1" w:styleId="TableFormat">
    <w:name w:val="TableFormat"/>
    <w:basedOn w:val="Bullet"/>
    <w:rsid w:val="002F40B0"/>
    <w:pPr>
      <w:tabs>
        <w:tab w:val="clear" w:pos="2160"/>
        <w:tab w:val="left" w:pos="5040"/>
      </w:tabs>
      <w:ind w:left="5040" w:hanging="3600"/>
    </w:pPr>
  </w:style>
  <w:style w:type="paragraph" w:customStyle="1" w:styleId="TOCTitle">
    <w:name w:val="TOC Title"/>
    <w:basedOn w:val="Normal"/>
    <w:rsid w:val="002F40B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F40B0"/>
    <w:pPr>
      <w:jc w:val="center"/>
    </w:pPr>
    <w:rPr>
      <w:rFonts w:ascii="Times New Roman Bold" w:hAnsi="Times New Roman Bold"/>
      <w:b/>
      <w:bCs/>
      <w:caps/>
      <w:szCs w:val="22"/>
    </w:rPr>
  </w:style>
  <w:style w:type="paragraph" w:styleId="Revision">
    <w:name w:val="Revision"/>
    <w:hidden/>
    <w:uiPriority w:val="99"/>
    <w:semiHidden/>
    <w:rsid w:val="00A42FB0"/>
    <w:pPr>
      <w:spacing w:after="0" w:line="240" w:lineRule="auto"/>
    </w:pPr>
    <w:rPr>
      <w:rFonts w:ascii="Times New Roman" w:eastAsia="Times New Roman" w:hAnsi="Times New Roman" w:cs="Times New Roman"/>
      <w:snapToGrid w:val="0"/>
      <w:kern w:val="28"/>
      <w:szCs w:val="20"/>
    </w:rPr>
  </w:style>
  <w:style w:type="character" w:customStyle="1" w:styleId="apple-converted-space">
    <w:name w:val="apple-converted-space"/>
    <w:basedOn w:val="DefaultParagraphFont"/>
    <w:rsid w:val="006C057E"/>
  </w:style>
  <w:style w:type="character" w:customStyle="1" w:styleId="searchterm">
    <w:name w:val="searchterm"/>
    <w:basedOn w:val="DefaultParagraphFont"/>
    <w:rsid w:val="006C05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0B0"/>
    <w:pPr>
      <w:widowControl w:val="0"/>
      <w:spacing w:after="0" w:line="240" w:lineRule="auto"/>
    </w:pPr>
    <w:rPr>
      <w:rFonts w:ascii="Times New Roman" w:eastAsia="Times New Roman" w:hAnsi="Times New Roman" w:cs="Times New Roman"/>
      <w:snapToGrid w:val="0"/>
      <w:kern w:val="28"/>
      <w:szCs w:val="20"/>
    </w:rPr>
  </w:style>
  <w:style w:type="paragraph" w:styleId="Heading1">
    <w:name w:val="heading 1"/>
    <w:basedOn w:val="Normal"/>
    <w:next w:val="ParaNum"/>
    <w:link w:val="Heading1Char"/>
    <w:qFormat/>
    <w:rsid w:val="002F40B0"/>
    <w:pPr>
      <w:keepNext/>
      <w:numPr>
        <w:numId w:val="11"/>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2F40B0"/>
    <w:pPr>
      <w:keepNext/>
      <w:numPr>
        <w:ilvl w:val="1"/>
        <w:numId w:val="11"/>
      </w:numPr>
      <w:spacing w:after="120"/>
      <w:outlineLvl w:val="1"/>
    </w:pPr>
    <w:rPr>
      <w:b/>
    </w:rPr>
  </w:style>
  <w:style w:type="paragraph" w:styleId="Heading3">
    <w:name w:val="heading 3"/>
    <w:basedOn w:val="Normal"/>
    <w:next w:val="ParaNum"/>
    <w:link w:val="Heading3Char"/>
    <w:qFormat/>
    <w:rsid w:val="002F40B0"/>
    <w:pPr>
      <w:keepNext/>
      <w:numPr>
        <w:ilvl w:val="2"/>
        <w:numId w:val="11"/>
      </w:numPr>
      <w:tabs>
        <w:tab w:val="left" w:pos="2160"/>
      </w:tabs>
      <w:spacing w:after="120"/>
      <w:outlineLvl w:val="2"/>
    </w:pPr>
    <w:rPr>
      <w:b/>
    </w:rPr>
  </w:style>
  <w:style w:type="paragraph" w:styleId="Heading4">
    <w:name w:val="heading 4"/>
    <w:basedOn w:val="Normal"/>
    <w:next w:val="ParaNum"/>
    <w:link w:val="Heading4Char"/>
    <w:qFormat/>
    <w:rsid w:val="002F40B0"/>
    <w:pPr>
      <w:keepNext/>
      <w:numPr>
        <w:ilvl w:val="3"/>
        <w:numId w:val="11"/>
      </w:numPr>
      <w:tabs>
        <w:tab w:val="left" w:pos="2880"/>
      </w:tabs>
      <w:spacing w:after="120"/>
      <w:outlineLvl w:val="3"/>
    </w:pPr>
    <w:rPr>
      <w:b/>
    </w:rPr>
  </w:style>
  <w:style w:type="paragraph" w:styleId="Heading5">
    <w:name w:val="heading 5"/>
    <w:basedOn w:val="Normal"/>
    <w:next w:val="ParaNum"/>
    <w:link w:val="Heading5Char"/>
    <w:qFormat/>
    <w:rsid w:val="002F40B0"/>
    <w:pPr>
      <w:keepNext/>
      <w:numPr>
        <w:ilvl w:val="4"/>
        <w:numId w:val="11"/>
      </w:numPr>
      <w:tabs>
        <w:tab w:val="left" w:pos="3600"/>
      </w:tabs>
      <w:suppressAutoHyphens/>
      <w:spacing w:after="120"/>
      <w:outlineLvl w:val="4"/>
    </w:pPr>
    <w:rPr>
      <w:b/>
    </w:rPr>
  </w:style>
  <w:style w:type="paragraph" w:styleId="Heading6">
    <w:name w:val="heading 6"/>
    <w:basedOn w:val="Normal"/>
    <w:next w:val="ParaNum"/>
    <w:link w:val="Heading6Char"/>
    <w:qFormat/>
    <w:rsid w:val="002F40B0"/>
    <w:pPr>
      <w:numPr>
        <w:ilvl w:val="5"/>
        <w:numId w:val="11"/>
      </w:numPr>
      <w:tabs>
        <w:tab w:val="left" w:pos="4320"/>
      </w:tabs>
      <w:spacing w:after="120"/>
      <w:outlineLvl w:val="5"/>
    </w:pPr>
    <w:rPr>
      <w:b/>
    </w:rPr>
  </w:style>
  <w:style w:type="paragraph" w:styleId="Heading7">
    <w:name w:val="heading 7"/>
    <w:basedOn w:val="Normal"/>
    <w:next w:val="ParaNum"/>
    <w:link w:val="Heading7Char"/>
    <w:qFormat/>
    <w:rsid w:val="002F40B0"/>
    <w:pPr>
      <w:numPr>
        <w:ilvl w:val="6"/>
        <w:numId w:val="11"/>
      </w:numPr>
      <w:tabs>
        <w:tab w:val="left" w:pos="5040"/>
      </w:tabs>
      <w:spacing w:after="120"/>
      <w:ind w:left="5040" w:hanging="720"/>
      <w:outlineLvl w:val="6"/>
    </w:pPr>
    <w:rPr>
      <w:b/>
    </w:rPr>
  </w:style>
  <w:style w:type="paragraph" w:styleId="Heading8">
    <w:name w:val="heading 8"/>
    <w:basedOn w:val="Normal"/>
    <w:next w:val="ParaNum"/>
    <w:link w:val="Heading8Char"/>
    <w:qFormat/>
    <w:rsid w:val="002F40B0"/>
    <w:pPr>
      <w:numPr>
        <w:ilvl w:val="7"/>
        <w:numId w:val="11"/>
      </w:numPr>
      <w:tabs>
        <w:tab w:val="clear" w:pos="5400"/>
        <w:tab w:val="left" w:pos="5760"/>
      </w:tabs>
      <w:spacing w:after="120"/>
      <w:ind w:left="5760" w:hanging="720"/>
      <w:outlineLvl w:val="7"/>
    </w:pPr>
    <w:rPr>
      <w:b/>
    </w:rPr>
  </w:style>
  <w:style w:type="paragraph" w:styleId="Heading9">
    <w:name w:val="heading 9"/>
    <w:basedOn w:val="Normal"/>
    <w:next w:val="ParaNum"/>
    <w:link w:val="Heading9Char"/>
    <w:qFormat/>
    <w:rsid w:val="002F40B0"/>
    <w:pPr>
      <w:numPr>
        <w:ilvl w:val="8"/>
        <w:numId w:val="1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2F40B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F40B0"/>
  </w:style>
  <w:style w:type="paragraph" w:styleId="ListParagraph">
    <w:name w:val="List Paragraph"/>
    <w:basedOn w:val="Normal"/>
    <w:uiPriority w:val="34"/>
    <w:qFormat/>
    <w:rsid w:val="0096470D"/>
    <w:pPr>
      <w:numPr>
        <w:numId w:val="8"/>
      </w:numPr>
      <w:spacing w:line="480" w:lineRule="auto"/>
      <w:contextualSpacing/>
    </w:pPr>
  </w:style>
  <w:style w:type="paragraph" w:styleId="FootnoteText">
    <w:name w:val="footnote text"/>
    <w:link w:val="FootnoteTextChar"/>
    <w:rsid w:val="002F40B0"/>
    <w:pPr>
      <w:spacing w:after="12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75E5C"/>
    <w:rPr>
      <w:rFonts w:ascii="Times New Roman" w:eastAsia="Times New Roman" w:hAnsi="Times New Roman" w:cs="Times New Roman"/>
      <w:sz w:val="20"/>
      <w:szCs w:val="20"/>
    </w:rPr>
  </w:style>
  <w:style w:type="character" w:styleId="FootnoteReference">
    <w:name w:val="footnote reference"/>
    <w:rsid w:val="002F40B0"/>
    <w:rPr>
      <w:rFonts w:ascii="Times New Roman" w:hAnsi="Times New Roman"/>
      <w:dstrike w:val="0"/>
      <w:color w:val="auto"/>
      <w:sz w:val="20"/>
      <w:vertAlign w:val="superscript"/>
    </w:rPr>
  </w:style>
  <w:style w:type="paragraph" w:styleId="Header">
    <w:name w:val="header"/>
    <w:basedOn w:val="Normal"/>
    <w:link w:val="HeaderChar"/>
    <w:autoRedefine/>
    <w:rsid w:val="002F40B0"/>
    <w:pPr>
      <w:tabs>
        <w:tab w:val="center" w:pos="4680"/>
        <w:tab w:val="right" w:pos="9360"/>
      </w:tabs>
    </w:pPr>
    <w:rPr>
      <w:b/>
    </w:rPr>
  </w:style>
  <w:style w:type="character" w:customStyle="1" w:styleId="HeaderChar">
    <w:name w:val="Header Char"/>
    <w:basedOn w:val="DefaultParagraphFont"/>
    <w:link w:val="Header"/>
    <w:rsid w:val="00BE46D1"/>
    <w:rPr>
      <w:rFonts w:ascii="Times New Roman" w:eastAsia="Times New Roman" w:hAnsi="Times New Roman" w:cs="Times New Roman"/>
      <w:b/>
      <w:snapToGrid w:val="0"/>
      <w:kern w:val="28"/>
      <w:szCs w:val="20"/>
    </w:rPr>
  </w:style>
  <w:style w:type="paragraph" w:styleId="Footer">
    <w:name w:val="footer"/>
    <w:basedOn w:val="Normal"/>
    <w:link w:val="FooterChar"/>
    <w:rsid w:val="002F40B0"/>
    <w:pPr>
      <w:tabs>
        <w:tab w:val="center" w:pos="4320"/>
        <w:tab w:val="right" w:pos="8640"/>
      </w:tabs>
    </w:pPr>
  </w:style>
  <w:style w:type="character" w:customStyle="1" w:styleId="FooterChar">
    <w:name w:val="Footer Char"/>
    <w:basedOn w:val="DefaultParagraphFont"/>
    <w:link w:val="Footer"/>
    <w:rsid w:val="00753DB0"/>
    <w:rPr>
      <w:rFonts w:ascii="Times New Roman" w:eastAsia="Times New Roman" w:hAnsi="Times New Roman" w:cs="Times New Roman"/>
      <w:snapToGrid w:val="0"/>
      <w:kern w:val="28"/>
      <w:szCs w:val="20"/>
    </w:rPr>
  </w:style>
  <w:style w:type="paragraph" w:styleId="BalloonText">
    <w:name w:val="Balloon Text"/>
    <w:basedOn w:val="Normal"/>
    <w:link w:val="BalloonTextChar"/>
    <w:uiPriority w:val="99"/>
    <w:semiHidden/>
    <w:unhideWhenUsed/>
    <w:rsid w:val="00770786"/>
    <w:rPr>
      <w:rFonts w:ascii="Tahoma" w:hAnsi="Tahoma" w:cs="Tahoma"/>
      <w:sz w:val="16"/>
      <w:szCs w:val="16"/>
    </w:rPr>
  </w:style>
  <w:style w:type="character" w:customStyle="1" w:styleId="BalloonTextChar">
    <w:name w:val="Balloon Text Char"/>
    <w:basedOn w:val="DefaultParagraphFont"/>
    <w:link w:val="BalloonText"/>
    <w:uiPriority w:val="99"/>
    <w:semiHidden/>
    <w:rsid w:val="00770786"/>
    <w:rPr>
      <w:rFonts w:ascii="Tahoma" w:hAnsi="Tahoma" w:cs="Tahoma"/>
      <w:sz w:val="16"/>
      <w:szCs w:val="16"/>
    </w:rPr>
  </w:style>
  <w:style w:type="character" w:styleId="CommentReference">
    <w:name w:val="annotation reference"/>
    <w:basedOn w:val="DefaultParagraphFont"/>
    <w:uiPriority w:val="99"/>
    <w:semiHidden/>
    <w:unhideWhenUsed/>
    <w:rsid w:val="00CE25C2"/>
    <w:rPr>
      <w:sz w:val="16"/>
      <w:szCs w:val="16"/>
    </w:rPr>
  </w:style>
  <w:style w:type="paragraph" w:styleId="CommentText">
    <w:name w:val="annotation text"/>
    <w:basedOn w:val="Normal"/>
    <w:link w:val="CommentTextChar"/>
    <w:uiPriority w:val="99"/>
    <w:semiHidden/>
    <w:unhideWhenUsed/>
    <w:rsid w:val="00CE25C2"/>
    <w:rPr>
      <w:sz w:val="20"/>
    </w:rPr>
  </w:style>
  <w:style w:type="character" w:customStyle="1" w:styleId="CommentTextChar">
    <w:name w:val="Comment Text Char"/>
    <w:basedOn w:val="DefaultParagraphFont"/>
    <w:link w:val="CommentText"/>
    <w:uiPriority w:val="99"/>
    <w:semiHidden/>
    <w:rsid w:val="00CE25C2"/>
    <w:rPr>
      <w:sz w:val="20"/>
      <w:szCs w:val="20"/>
    </w:rPr>
  </w:style>
  <w:style w:type="paragraph" w:styleId="CommentSubject">
    <w:name w:val="annotation subject"/>
    <w:basedOn w:val="CommentText"/>
    <w:next w:val="CommentText"/>
    <w:link w:val="CommentSubjectChar"/>
    <w:uiPriority w:val="99"/>
    <w:semiHidden/>
    <w:unhideWhenUsed/>
    <w:rsid w:val="00CE25C2"/>
    <w:rPr>
      <w:b/>
      <w:bCs/>
    </w:rPr>
  </w:style>
  <w:style w:type="character" w:customStyle="1" w:styleId="CommentSubjectChar">
    <w:name w:val="Comment Subject Char"/>
    <w:basedOn w:val="CommentTextChar"/>
    <w:link w:val="CommentSubject"/>
    <w:uiPriority w:val="99"/>
    <w:semiHidden/>
    <w:rsid w:val="00CE25C2"/>
    <w:rPr>
      <w:b/>
      <w:bCs/>
      <w:sz w:val="20"/>
      <w:szCs w:val="20"/>
    </w:rPr>
  </w:style>
  <w:style w:type="character" w:styleId="Hyperlink">
    <w:name w:val="Hyperlink"/>
    <w:rsid w:val="002F40B0"/>
    <w:rPr>
      <w:color w:val="0000FF"/>
      <w:u w:val="single"/>
    </w:rPr>
  </w:style>
  <w:style w:type="character" w:styleId="FollowedHyperlink">
    <w:name w:val="FollowedHyperlink"/>
    <w:basedOn w:val="DefaultParagraphFont"/>
    <w:uiPriority w:val="99"/>
    <w:semiHidden/>
    <w:unhideWhenUsed/>
    <w:rsid w:val="00AC4E95"/>
    <w:rPr>
      <w:color w:val="800080" w:themeColor="followedHyperlink"/>
      <w:u w:val="single"/>
    </w:rPr>
  </w:style>
  <w:style w:type="character" w:customStyle="1" w:styleId="Heading1Char">
    <w:name w:val="Heading 1 Char"/>
    <w:basedOn w:val="DefaultParagraphFont"/>
    <w:link w:val="Heading1"/>
    <w:rsid w:val="00D175AE"/>
    <w:rPr>
      <w:rFonts w:ascii="Times New Roman Bold" w:eastAsia="Times New Roman" w:hAnsi="Times New Roman Bold" w:cs="Times New Roman"/>
      <w:b/>
      <w:caps/>
      <w:snapToGrid w:val="0"/>
      <w:kern w:val="28"/>
      <w:szCs w:val="20"/>
    </w:rPr>
  </w:style>
  <w:style w:type="character" w:customStyle="1" w:styleId="Heading2Char">
    <w:name w:val="Heading 2 Char"/>
    <w:basedOn w:val="DefaultParagraphFont"/>
    <w:link w:val="Heading2"/>
    <w:rsid w:val="00D175AE"/>
    <w:rPr>
      <w:rFonts w:ascii="Times New Roman" w:eastAsia="Times New Roman" w:hAnsi="Times New Roman" w:cs="Times New Roman"/>
      <w:b/>
      <w:snapToGrid w:val="0"/>
      <w:kern w:val="28"/>
      <w:szCs w:val="20"/>
    </w:rPr>
  </w:style>
  <w:style w:type="character" w:customStyle="1" w:styleId="Heading3Char">
    <w:name w:val="Heading 3 Char"/>
    <w:basedOn w:val="DefaultParagraphFont"/>
    <w:link w:val="Heading3"/>
    <w:rsid w:val="00D175AE"/>
    <w:rPr>
      <w:rFonts w:ascii="Times New Roman" w:eastAsia="Times New Roman" w:hAnsi="Times New Roman" w:cs="Times New Roman"/>
      <w:b/>
      <w:snapToGrid w:val="0"/>
      <w:kern w:val="28"/>
      <w:szCs w:val="20"/>
    </w:rPr>
  </w:style>
  <w:style w:type="character" w:customStyle="1" w:styleId="Heading4Char">
    <w:name w:val="Heading 4 Char"/>
    <w:basedOn w:val="DefaultParagraphFont"/>
    <w:link w:val="Heading4"/>
    <w:rsid w:val="00D175AE"/>
    <w:rPr>
      <w:rFonts w:ascii="Times New Roman" w:eastAsia="Times New Roman" w:hAnsi="Times New Roman" w:cs="Times New Roman"/>
      <w:b/>
      <w:snapToGrid w:val="0"/>
      <w:kern w:val="28"/>
      <w:szCs w:val="20"/>
    </w:rPr>
  </w:style>
  <w:style w:type="character" w:customStyle="1" w:styleId="Heading5Char">
    <w:name w:val="Heading 5 Char"/>
    <w:basedOn w:val="DefaultParagraphFont"/>
    <w:link w:val="Heading5"/>
    <w:rsid w:val="00D175AE"/>
    <w:rPr>
      <w:rFonts w:ascii="Times New Roman" w:eastAsia="Times New Roman" w:hAnsi="Times New Roman" w:cs="Times New Roman"/>
      <w:b/>
      <w:snapToGrid w:val="0"/>
      <w:kern w:val="28"/>
      <w:szCs w:val="20"/>
    </w:rPr>
  </w:style>
  <w:style w:type="character" w:customStyle="1" w:styleId="Heading6Char">
    <w:name w:val="Heading 6 Char"/>
    <w:basedOn w:val="DefaultParagraphFont"/>
    <w:link w:val="Heading6"/>
    <w:rsid w:val="00D175AE"/>
    <w:rPr>
      <w:rFonts w:ascii="Times New Roman" w:eastAsia="Times New Roman" w:hAnsi="Times New Roman" w:cs="Times New Roman"/>
      <w:b/>
      <w:snapToGrid w:val="0"/>
      <w:kern w:val="28"/>
      <w:szCs w:val="20"/>
    </w:rPr>
  </w:style>
  <w:style w:type="character" w:customStyle="1" w:styleId="Heading7Char">
    <w:name w:val="Heading 7 Char"/>
    <w:basedOn w:val="DefaultParagraphFont"/>
    <w:link w:val="Heading7"/>
    <w:rsid w:val="00D175AE"/>
    <w:rPr>
      <w:rFonts w:ascii="Times New Roman" w:eastAsia="Times New Roman" w:hAnsi="Times New Roman" w:cs="Times New Roman"/>
      <w:b/>
      <w:snapToGrid w:val="0"/>
      <w:kern w:val="28"/>
      <w:szCs w:val="20"/>
    </w:rPr>
  </w:style>
  <w:style w:type="character" w:customStyle="1" w:styleId="Heading8Char">
    <w:name w:val="Heading 8 Char"/>
    <w:basedOn w:val="DefaultParagraphFont"/>
    <w:link w:val="Heading8"/>
    <w:rsid w:val="00D175AE"/>
    <w:rPr>
      <w:rFonts w:ascii="Times New Roman" w:eastAsia="Times New Roman" w:hAnsi="Times New Roman" w:cs="Times New Roman"/>
      <w:b/>
      <w:snapToGrid w:val="0"/>
      <w:kern w:val="28"/>
      <w:szCs w:val="20"/>
    </w:rPr>
  </w:style>
  <w:style w:type="character" w:customStyle="1" w:styleId="Heading9Char">
    <w:name w:val="Heading 9 Char"/>
    <w:basedOn w:val="DefaultParagraphFont"/>
    <w:link w:val="Heading9"/>
    <w:rsid w:val="00D175AE"/>
    <w:rPr>
      <w:rFonts w:ascii="Times New Roman" w:eastAsia="Times New Roman" w:hAnsi="Times New Roman" w:cs="Times New Roman"/>
      <w:b/>
      <w:snapToGrid w:val="0"/>
      <w:kern w:val="28"/>
      <w:szCs w:val="20"/>
    </w:rPr>
  </w:style>
  <w:style w:type="paragraph" w:customStyle="1" w:styleId="ParaNum">
    <w:name w:val="ParaNum"/>
    <w:basedOn w:val="Normal"/>
    <w:rsid w:val="002F40B0"/>
    <w:pPr>
      <w:numPr>
        <w:numId w:val="10"/>
      </w:numPr>
      <w:tabs>
        <w:tab w:val="clear" w:pos="1080"/>
        <w:tab w:val="num" w:pos="1440"/>
      </w:tabs>
      <w:spacing w:after="120"/>
    </w:pPr>
  </w:style>
  <w:style w:type="paragraph" w:styleId="EndnoteText">
    <w:name w:val="endnote text"/>
    <w:basedOn w:val="Normal"/>
    <w:link w:val="EndnoteTextChar"/>
    <w:semiHidden/>
    <w:rsid w:val="002F40B0"/>
    <w:rPr>
      <w:sz w:val="20"/>
    </w:rPr>
  </w:style>
  <w:style w:type="character" w:customStyle="1" w:styleId="EndnoteTextChar">
    <w:name w:val="Endnote Text Char"/>
    <w:basedOn w:val="DefaultParagraphFont"/>
    <w:link w:val="EndnoteText"/>
    <w:semiHidden/>
    <w:rsid w:val="00D175AE"/>
    <w:rPr>
      <w:rFonts w:ascii="Times New Roman" w:eastAsia="Times New Roman" w:hAnsi="Times New Roman" w:cs="Times New Roman"/>
      <w:snapToGrid w:val="0"/>
      <w:kern w:val="28"/>
      <w:sz w:val="20"/>
      <w:szCs w:val="20"/>
    </w:rPr>
  </w:style>
  <w:style w:type="character" w:styleId="EndnoteReference">
    <w:name w:val="endnote reference"/>
    <w:semiHidden/>
    <w:rsid w:val="002F40B0"/>
    <w:rPr>
      <w:vertAlign w:val="superscript"/>
    </w:rPr>
  </w:style>
  <w:style w:type="paragraph" w:styleId="TOC1">
    <w:name w:val="toc 1"/>
    <w:basedOn w:val="Normal"/>
    <w:next w:val="Normal"/>
    <w:semiHidden/>
    <w:rsid w:val="002F40B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2F40B0"/>
    <w:pPr>
      <w:tabs>
        <w:tab w:val="left" w:pos="720"/>
        <w:tab w:val="right" w:leader="dot" w:pos="9360"/>
      </w:tabs>
      <w:suppressAutoHyphens/>
      <w:ind w:left="720" w:right="720" w:hanging="360"/>
    </w:pPr>
    <w:rPr>
      <w:noProof/>
    </w:rPr>
  </w:style>
  <w:style w:type="paragraph" w:styleId="TOC3">
    <w:name w:val="toc 3"/>
    <w:basedOn w:val="Normal"/>
    <w:next w:val="Normal"/>
    <w:semiHidden/>
    <w:rsid w:val="002F40B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2F40B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2F40B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2F40B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2F40B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2F40B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2F40B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2F40B0"/>
    <w:pPr>
      <w:tabs>
        <w:tab w:val="right" w:pos="9360"/>
      </w:tabs>
      <w:suppressAutoHyphens/>
    </w:pPr>
  </w:style>
  <w:style w:type="character" w:customStyle="1" w:styleId="EquationCaption">
    <w:name w:val="_Equation Caption"/>
    <w:rsid w:val="002F40B0"/>
  </w:style>
  <w:style w:type="character" w:styleId="PageNumber">
    <w:name w:val="page number"/>
    <w:basedOn w:val="DefaultParagraphFont"/>
    <w:rsid w:val="002F40B0"/>
  </w:style>
  <w:style w:type="paragraph" w:styleId="BlockText">
    <w:name w:val="Block Text"/>
    <w:basedOn w:val="Normal"/>
    <w:rsid w:val="002F40B0"/>
    <w:pPr>
      <w:spacing w:after="240"/>
      <w:ind w:left="1440" w:right="1440"/>
    </w:pPr>
  </w:style>
  <w:style w:type="paragraph" w:customStyle="1" w:styleId="Paratitle">
    <w:name w:val="Para title"/>
    <w:basedOn w:val="Normal"/>
    <w:rsid w:val="002F40B0"/>
    <w:pPr>
      <w:tabs>
        <w:tab w:val="center" w:pos="9270"/>
      </w:tabs>
      <w:spacing w:after="240"/>
    </w:pPr>
    <w:rPr>
      <w:spacing w:val="-2"/>
    </w:rPr>
  </w:style>
  <w:style w:type="paragraph" w:customStyle="1" w:styleId="Bullet">
    <w:name w:val="Bullet"/>
    <w:basedOn w:val="Normal"/>
    <w:rsid w:val="002F40B0"/>
    <w:pPr>
      <w:tabs>
        <w:tab w:val="left" w:pos="2160"/>
      </w:tabs>
      <w:spacing w:after="220"/>
      <w:ind w:left="2160" w:hanging="720"/>
    </w:pPr>
  </w:style>
  <w:style w:type="paragraph" w:customStyle="1" w:styleId="TableFormat">
    <w:name w:val="TableFormat"/>
    <w:basedOn w:val="Bullet"/>
    <w:rsid w:val="002F40B0"/>
    <w:pPr>
      <w:tabs>
        <w:tab w:val="clear" w:pos="2160"/>
        <w:tab w:val="left" w:pos="5040"/>
      </w:tabs>
      <w:ind w:left="5040" w:hanging="3600"/>
    </w:pPr>
  </w:style>
  <w:style w:type="paragraph" w:customStyle="1" w:styleId="TOCTitle">
    <w:name w:val="TOC Title"/>
    <w:basedOn w:val="Normal"/>
    <w:rsid w:val="002F40B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2F40B0"/>
    <w:pPr>
      <w:jc w:val="center"/>
    </w:pPr>
    <w:rPr>
      <w:rFonts w:ascii="Times New Roman Bold" w:hAnsi="Times New Roman Bold"/>
      <w:b/>
      <w:bCs/>
      <w:caps/>
      <w:szCs w:val="22"/>
    </w:rPr>
  </w:style>
  <w:style w:type="paragraph" w:styleId="Revision">
    <w:name w:val="Revision"/>
    <w:hidden/>
    <w:uiPriority w:val="99"/>
    <w:semiHidden/>
    <w:rsid w:val="00A42FB0"/>
    <w:pPr>
      <w:spacing w:after="0" w:line="240" w:lineRule="auto"/>
    </w:pPr>
    <w:rPr>
      <w:rFonts w:ascii="Times New Roman" w:eastAsia="Times New Roman" w:hAnsi="Times New Roman" w:cs="Times New Roman"/>
      <w:snapToGrid w:val="0"/>
      <w:kern w:val="28"/>
      <w:szCs w:val="20"/>
    </w:rPr>
  </w:style>
  <w:style w:type="character" w:customStyle="1" w:styleId="apple-converted-space">
    <w:name w:val="apple-converted-space"/>
    <w:basedOn w:val="DefaultParagraphFont"/>
    <w:rsid w:val="006C057E"/>
  </w:style>
  <w:style w:type="character" w:customStyle="1" w:styleId="searchterm">
    <w:name w:val="searchterm"/>
    <w:basedOn w:val="DefaultParagraphFont"/>
    <w:rsid w:val="006C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43295">
      <w:bodyDiv w:val="1"/>
      <w:marLeft w:val="0"/>
      <w:marRight w:val="0"/>
      <w:marTop w:val="0"/>
      <w:marBottom w:val="0"/>
      <w:divBdr>
        <w:top w:val="none" w:sz="0" w:space="0" w:color="auto"/>
        <w:left w:val="none" w:sz="0" w:space="0" w:color="auto"/>
        <w:bottom w:val="none" w:sz="0" w:space="0" w:color="auto"/>
        <w:right w:val="none" w:sz="0" w:space="0" w:color="auto"/>
      </w:divBdr>
    </w:div>
    <w:div w:id="807478588">
      <w:bodyDiv w:val="1"/>
      <w:marLeft w:val="0"/>
      <w:marRight w:val="0"/>
      <w:marTop w:val="0"/>
      <w:marBottom w:val="0"/>
      <w:divBdr>
        <w:top w:val="none" w:sz="0" w:space="0" w:color="auto"/>
        <w:left w:val="none" w:sz="0" w:space="0" w:color="auto"/>
        <w:bottom w:val="none" w:sz="0" w:space="0" w:color="auto"/>
        <w:right w:val="none" w:sz="0" w:space="0" w:color="auto"/>
      </w:divBdr>
    </w:div>
    <w:div w:id="1360088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2051</Words>
  <Characters>11172</Characters>
  <Application>Microsoft Office Word</Application>
  <DocSecurity>0</DocSecurity>
  <Lines>229</Lines>
  <Paragraphs>90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13251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2014-09-02T12:52:00Z</cp:lastPrinted>
  <dcterms:created xsi:type="dcterms:W3CDTF">2014-10-14T17:36:00Z</dcterms:created>
  <dcterms:modified xsi:type="dcterms:W3CDTF">2014-10-14T17:36:00Z</dcterms:modified>
  <cp:category> </cp:category>
  <cp:contentStatus> </cp:contentStatus>
</cp:coreProperties>
</file>