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031BAE" w:rsidRPr="00031BAE" w:rsidRDefault="00031BAE" w:rsidP="00031BAE">
            <w:pPr>
              <w:widowControl/>
              <w:ind w:right="-18"/>
              <w:rPr>
                <w:b/>
                <w:snapToGrid/>
                <w:kern w:val="0"/>
                <w:szCs w:val="22"/>
              </w:rPr>
            </w:pPr>
            <w:r w:rsidRPr="00031BAE">
              <w:rPr>
                <w:b/>
                <w:snapToGrid/>
                <w:kern w:val="0"/>
                <w:szCs w:val="22"/>
              </w:rPr>
              <w:t>Golden Gulf Coast Broadcasting, Inc.,</w:t>
            </w:r>
          </w:p>
          <w:p w:rsidR="00031BAE" w:rsidRPr="00031BAE" w:rsidRDefault="00031BAE" w:rsidP="00031BAE">
            <w:pPr>
              <w:widowControl/>
              <w:ind w:right="-18"/>
              <w:rPr>
                <w:b/>
                <w:snapToGrid/>
                <w:kern w:val="0"/>
                <w:szCs w:val="22"/>
              </w:rPr>
            </w:pPr>
            <w:r w:rsidRPr="00031BAE">
              <w:rPr>
                <w:b/>
                <w:snapToGrid/>
                <w:kern w:val="0"/>
                <w:szCs w:val="22"/>
              </w:rPr>
              <w:t>Assignor</w:t>
            </w:r>
          </w:p>
          <w:p w:rsidR="00031BAE" w:rsidRPr="00031BAE" w:rsidRDefault="00031BAE" w:rsidP="00031BAE">
            <w:pPr>
              <w:widowControl/>
              <w:ind w:right="-18"/>
              <w:rPr>
                <w:b/>
                <w:snapToGrid/>
                <w:kern w:val="0"/>
                <w:szCs w:val="22"/>
              </w:rPr>
            </w:pPr>
          </w:p>
          <w:p w:rsidR="00031BAE" w:rsidRPr="00031BAE" w:rsidRDefault="00031BAE" w:rsidP="00031BAE">
            <w:pPr>
              <w:widowControl/>
              <w:ind w:right="-18"/>
              <w:rPr>
                <w:snapToGrid/>
                <w:kern w:val="0"/>
                <w:szCs w:val="22"/>
              </w:rPr>
            </w:pPr>
            <w:r w:rsidRPr="00031BAE">
              <w:rPr>
                <w:snapToGrid/>
                <w:kern w:val="0"/>
                <w:szCs w:val="22"/>
              </w:rPr>
              <w:t>and</w:t>
            </w:r>
          </w:p>
          <w:p w:rsidR="00031BAE" w:rsidRPr="00031BAE" w:rsidRDefault="00031BAE" w:rsidP="00031BAE">
            <w:pPr>
              <w:widowControl/>
              <w:ind w:right="-18"/>
              <w:rPr>
                <w:snapToGrid/>
                <w:kern w:val="0"/>
                <w:szCs w:val="22"/>
              </w:rPr>
            </w:pPr>
          </w:p>
          <w:p w:rsidR="00031BAE" w:rsidRPr="00031BAE" w:rsidRDefault="00031BAE" w:rsidP="00031BAE">
            <w:pPr>
              <w:widowControl/>
              <w:ind w:right="-18"/>
              <w:rPr>
                <w:b/>
                <w:snapToGrid/>
                <w:kern w:val="0"/>
                <w:szCs w:val="22"/>
              </w:rPr>
            </w:pPr>
            <w:r w:rsidRPr="00031BAE">
              <w:rPr>
                <w:b/>
                <w:snapToGrid/>
                <w:kern w:val="0"/>
                <w:szCs w:val="22"/>
              </w:rPr>
              <w:t>Capstar TX Limited Partnership,</w:t>
            </w:r>
          </w:p>
          <w:p w:rsidR="00031BAE" w:rsidRPr="00031BAE" w:rsidRDefault="00031BAE" w:rsidP="00031BAE">
            <w:pPr>
              <w:widowControl/>
              <w:ind w:right="-18"/>
              <w:rPr>
                <w:b/>
                <w:snapToGrid/>
                <w:kern w:val="0"/>
                <w:szCs w:val="22"/>
              </w:rPr>
            </w:pPr>
            <w:r w:rsidRPr="00031BAE">
              <w:rPr>
                <w:b/>
                <w:snapToGrid/>
                <w:kern w:val="0"/>
                <w:szCs w:val="22"/>
              </w:rPr>
              <w:t>Assignee</w:t>
            </w:r>
          </w:p>
          <w:p w:rsidR="00031BAE" w:rsidRPr="00031BAE" w:rsidRDefault="00031BAE" w:rsidP="00031BAE">
            <w:pPr>
              <w:widowControl/>
              <w:ind w:right="-18"/>
              <w:rPr>
                <w:snapToGrid/>
                <w:kern w:val="0"/>
                <w:szCs w:val="22"/>
              </w:rPr>
            </w:pPr>
          </w:p>
          <w:p w:rsidR="00031BAE" w:rsidRPr="00031BAE" w:rsidRDefault="00031BAE" w:rsidP="00031BAE">
            <w:pPr>
              <w:widowControl/>
              <w:ind w:right="-18"/>
              <w:rPr>
                <w:snapToGrid/>
                <w:kern w:val="0"/>
                <w:szCs w:val="22"/>
              </w:rPr>
            </w:pPr>
            <w:r w:rsidRPr="00031BAE">
              <w:rPr>
                <w:snapToGrid/>
                <w:kern w:val="0"/>
                <w:szCs w:val="22"/>
              </w:rPr>
              <w:t>Application for Assignment of License of</w:t>
            </w:r>
          </w:p>
          <w:p w:rsidR="00031BAE" w:rsidRPr="00031BAE" w:rsidRDefault="00031BAE" w:rsidP="00031BAE">
            <w:pPr>
              <w:widowControl/>
              <w:ind w:right="-18"/>
              <w:rPr>
                <w:snapToGrid/>
                <w:kern w:val="0"/>
                <w:szCs w:val="22"/>
              </w:rPr>
            </w:pPr>
            <w:r w:rsidRPr="00031BAE">
              <w:rPr>
                <w:snapToGrid/>
                <w:kern w:val="0"/>
                <w:szCs w:val="22"/>
              </w:rPr>
              <w:t>WQYZ(FM), Ocean Springs, Mississippi</w:t>
            </w:r>
          </w:p>
          <w:p w:rsidR="00031BAE" w:rsidRPr="00031BAE" w:rsidRDefault="00031BAE" w:rsidP="00031BAE">
            <w:pPr>
              <w:widowControl/>
              <w:ind w:right="-18"/>
              <w:rPr>
                <w:snapToGrid/>
                <w:kern w:val="0"/>
                <w:szCs w:val="22"/>
              </w:rPr>
            </w:pPr>
          </w:p>
          <w:p w:rsidR="00031BAE" w:rsidRPr="00031BAE" w:rsidRDefault="00031BAE" w:rsidP="00031BAE">
            <w:pPr>
              <w:widowControl/>
              <w:ind w:right="-18"/>
              <w:rPr>
                <w:b/>
                <w:snapToGrid/>
                <w:kern w:val="0"/>
                <w:szCs w:val="22"/>
              </w:rPr>
            </w:pPr>
            <w:r w:rsidRPr="00031BAE">
              <w:rPr>
                <w:b/>
                <w:snapToGrid/>
                <w:kern w:val="0"/>
                <w:szCs w:val="22"/>
              </w:rPr>
              <w:t>Golden Gulf Coast Broadcasting, Inc.</w:t>
            </w:r>
          </w:p>
          <w:p w:rsidR="00031BAE" w:rsidRPr="00031BAE" w:rsidRDefault="00031BAE" w:rsidP="00031BAE">
            <w:pPr>
              <w:widowControl/>
              <w:ind w:right="-18"/>
              <w:rPr>
                <w:snapToGrid/>
                <w:kern w:val="0"/>
                <w:szCs w:val="22"/>
              </w:rPr>
            </w:pPr>
          </w:p>
          <w:p w:rsidR="00031BAE" w:rsidRPr="00031BAE" w:rsidRDefault="00031BAE" w:rsidP="00031BAE">
            <w:pPr>
              <w:widowControl/>
              <w:ind w:right="-18"/>
              <w:rPr>
                <w:snapToGrid/>
                <w:kern w:val="0"/>
                <w:szCs w:val="22"/>
              </w:rPr>
            </w:pPr>
            <w:r w:rsidRPr="00031BAE">
              <w:rPr>
                <w:snapToGrid/>
                <w:kern w:val="0"/>
                <w:szCs w:val="22"/>
              </w:rPr>
              <w:t>Application for Renewal of License of</w:t>
            </w:r>
          </w:p>
          <w:p w:rsidR="004C2EE3" w:rsidRPr="007115F7" w:rsidRDefault="00031BAE" w:rsidP="00031BAE">
            <w:pPr>
              <w:tabs>
                <w:tab w:val="center" w:pos="4680"/>
              </w:tabs>
              <w:suppressAutoHyphens/>
              <w:rPr>
                <w:spacing w:val="-2"/>
              </w:rPr>
            </w:pPr>
            <w:r w:rsidRPr="00031BAE">
              <w:rPr>
                <w:snapToGrid/>
                <w:kern w:val="0"/>
                <w:szCs w:val="22"/>
              </w:rPr>
              <w:t>WQYZ(FM), Ocean Springs, Mississippi</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b/>
                <w:spacing w:val="-2"/>
              </w:rPr>
            </w:pPr>
            <w:r>
              <w:rPr>
                <w:b/>
                <w:spacing w:val="-2"/>
              </w:rPr>
              <w:t>)</w:t>
            </w:r>
          </w:p>
          <w:p w:rsidR="00031BAE" w:rsidRDefault="00031BAE">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031BAE" w:rsidRPr="00031BAE" w:rsidRDefault="00031BAE" w:rsidP="00031BAE">
            <w:pPr>
              <w:widowControl/>
              <w:rPr>
                <w:snapToGrid/>
                <w:spacing w:val="-2"/>
                <w:kern w:val="0"/>
                <w:szCs w:val="22"/>
              </w:rPr>
            </w:pPr>
            <w:r w:rsidRPr="00031BAE">
              <w:rPr>
                <w:snapToGrid/>
                <w:spacing w:val="-2"/>
                <w:kern w:val="0"/>
                <w:szCs w:val="22"/>
              </w:rPr>
              <w:t>File No. BALH-20031125ALX</w:t>
            </w:r>
          </w:p>
          <w:p w:rsidR="00031BAE" w:rsidRPr="00031BAE" w:rsidRDefault="00031BAE" w:rsidP="00031BAE">
            <w:pPr>
              <w:widowControl/>
              <w:rPr>
                <w:snapToGrid/>
                <w:spacing w:val="-2"/>
                <w:kern w:val="0"/>
                <w:szCs w:val="22"/>
              </w:rPr>
            </w:pPr>
            <w:r w:rsidRPr="00031BAE">
              <w:rPr>
                <w:snapToGrid/>
                <w:spacing w:val="-2"/>
                <w:kern w:val="0"/>
                <w:szCs w:val="22"/>
              </w:rPr>
              <w:t>Facility ID No. 24513</w:t>
            </w:r>
          </w:p>
          <w:p w:rsidR="00031BAE" w:rsidRPr="00031BAE" w:rsidRDefault="00031BAE" w:rsidP="00031BAE">
            <w:pPr>
              <w:widowControl/>
              <w:rPr>
                <w:snapToGrid/>
                <w:kern w:val="0"/>
                <w:szCs w:val="22"/>
              </w:rPr>
            </w:pPr>
          </w:p>
          <w:p w:rsidR="00031BAE" w:rsidRPr="00031BAE" w:rsidRDefault="00031BAE" w:rsidP="00031BAE">
            <w:pPr>
              <w:widowControl/>
              <w:tabs>
                <w:tab w:val="left" w:pos="1185"/>
              </w:tabs>
              <w:rPr>
                <w:snapToGrid/>
                <w:kern w:val="0"/>
                <w:szCs w:val="22"/>
              </w:rPr>
            </w:pPr>
            <w:r w:rsidRPr="00031BAE">
              <w:rPr>
                <w:snapToGrid/>
                <w:kern w:val="0"/>
                <w:szCs w:val="22"/>
              </w:rPr>
              <w:tab/>
            </w: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p>
          <w:p w:rsidR="00031BAE" w:rsidRPr="00031BAE" w:rsidRDefault="00031BAE" w:rsidP="00031BAE">
            <w:pPr>
              <w:widowControl/>
              <w:rPr>
                <w:snapToGrid/>
                <w:kern w:val="0"/>
                <w:szCs w:val="22"/>
              </w:rPr>
            </w:pPr>
            <w:r w:rsidRPr="00031BAE">
              <w:rPr>
                <w:snapToGrid/>
                <w:kern w:val="0"/>
                <w:szCs w:val="22"/>
              </w:rPr>
              <w:t>File No. BRH-20040202AHI</w:t>
            </w:r>
          </w:p>
          <w:p w:rsidR="004C2EE3" w:rsidRDefault="00031BAE" w:rsidP="00031BAE">
            <w:pPr>
              <w:tabs>
                <w:tab w:val="center" w:pos="4680"/>
              </w:tabs>
              <w:suppressAutoHyphens/>
              <w:rPr>
                <w:spacing w:val="-2"/>
              </w:rPr>
            </w:pPr>
            <w:r w:rsidRPr="00031BAE">
              <w:rPr>
                <w:snapToGrid/>
                <w:kern w:val="0"/>
                <w:szCs w:val="22"/>
              </w:rPr>
              <w:t>Facility ID No. 24513</w:t>
            </w:r>
          </w:p>
        </w:tc>
      </w:tr>
    </w:tbl>
    <w:p w:rsidR="004C2EE3" w:rsidRDefault="004C2EE3" w:rsidP="0070224F"/>
    <w:p w:rsidR="004E0E9A" w:rsidRDefault="004E0E9A" w:rsidP="0070224F"/>
    <w:p w:rsidR="00841AB1" w:rsidRDefault="00031BAE" w:rsidP="00F021FA">
      <w:pPr>
        <w:pStyle w:val="StyleBoldCentered"/>
      </w:pPr>
      <w:r w:rsidRPr="00031BAE">
        <w:t>MEMORANDUM OPINION AND ORDER</w:t>
      </w:r>
    </w:p>
    <w:p w:rsidR="004C2EE3" w:rsidRDefault="004C2EE3">
      <w:pPr>
        <w:tabs>
          <w:tab w:val="left" w:pos="-720"/>
        </w:tabs>
        <w:suppressAutoHyphens/>
        <w:spacing w:line="227" w:lineRule="auto"/>
        <w:rPr>
          <w:spacing w:val="-2"/>
        </w:rPr>
      </w:pPr>
    </w:p>
    <w:p w:rsidR="004C2EE3" w:rsidRDefault="00031BAE" w:rsidP="00133F79">
      <w:pPr>
        <w:tabs>
          <w:tab w:val="left" w:pos="720"/>
          <w:tab w:val="right" w:pos="9360"/>
        </w:tabs>
        <w:suppressAutoHyphens/>
        <w:spacing w:line="227" w:lineRule="auto"/>
        <w:rPr>
          <w:spacing w:val="-2"/>
        </w:rPr>
      </w:pPr>
      <w:r w:rsidRPr="00031BAE">
        <w:rPr>
          <w:b/>
          <w:spacing w:val="-2"/>
        </w:rPr>
        <w:t>Adopted:  February 20, 2014</w:t>
      </w:r>
      <w:r w:rsidRPr="00031BAE">
        <w:rPr>
          <w:b/>
          <w:spacing w:val="-2"/>
        </w:rPr>
        <w:tab/>
        <w:t xml:space="preserve">Released: </w:t>
      </w:r>
      <w:r w:rsidR="00437302">
        <w:rPr>
          <w:b/>
          <w:spacing w:val="-2"/>
        </w:rPr>
        <w:t xml:space="preserve"> </w:t>
      </w:r>
      <w:r w:rsidRPr="00031BAE">
        <w:rPr>
          <w:b/>
          <w:spacing w:val="-2"/>
        </w:rPr>
        <w:t>February 20, 2014</w:t>
      </w:r>
    </w:p>
    <w:p w:rsidR="00822CE0" w:rsidRDefault="00822CE0"/>
    <w:p w:rsidR="004C2EE3" w:rsidRDefault="00031BAE">
      <w:r w:rsidRPr="00031BAE">
        <w:t>By the Commission:</w:t>
      </w:r>
      <w:r w:rsidRPr="00031BAE">
        <w:tab/>
      </w:r>
    </w:p>
    <w:p w:rsidR="00437302" w:rsidRDefault="00437302">
      <w:pPr>
        <w:rPr>
          <w:spacing w:val="-2"/>
        </w:rPr>
      </w:pPr>
    </w:p>
    <w:p w:rsidR="00031BAE" w:rsidRPr="00031BAE" w:rsidRDefault="00031BAE" w:rsidP="003A445D">
      <w:pPr>
        <w:pStyle w:val="ParaNum"/>
        <w:tabs>
          <w:tab w:val="clear" w:pos="1080"/>
          <w:tab w:val="num" w:pos="1440"/>
        </w:tabs>
        <w:rPr>
          <w:snapToGrid/>
        </w:rPr>
      </w:pPr>
      <w:r w:rsidRPr="00031BAE">
        <w:rPr>
          <w:snapToGrid/>
        </w:rPr>
        <w:t>The Commission has before it an Application for Review filed by WJZD, Inc. (“WJZD”).  WJZD seeks review of a March 12, 2007, action by the Media Bureau (“Bureau”) (“</w:t>
      </w:r>
      <w:r w:rsidRPr="00031BAE">
        <w:rPr>
          <w:i/>
          <w:snapToGrid/>
        </w:rPr>
        <w:t>Reconsideration Decision</w:t>
      </w:r>
      <w:r w:rsidRPr="00031BAE">
        <w:rPr>
          <w:snapToGrid/>
        </w:rPr>
        <w:t>”)</w:t>
      </w:r>
      <w:r w:rsidRPr="00031BAE">
        <w:rPr>
          <w:snapToGrid/>
          <w:vertAlign w:val="superscript"/>
        </w:rPr>
        <w:footnoteReference w:id="2"/>
      </w:r>
      <w:r w:rsidRPr="00031BAE">
        <w:rPr>
          <w:snapToGrid/>
        </w:rPr>
        <w:t xml:space="preserve"> dismissing WJZD’s Petition for Reconsideration of the Bureau’s May 26, 2005, grant of the above-captioned applications (“Applications”) filed by Golden Gulf Coast Broadcasting, Inc. (“Golden”) for assignment and renewal of the license for station WQYZ(FM), Ocean Springs, Mississippi.</w:t>
      </w:r>
      <w:r w:rsidRPr="00031BAE">
        <w:rPr>
          <w:snapToGrid/>
          <w:vertAlign w:val="superscript"/>
        </w:rPr>
        <w:footnoteReference w:id="3"/>
      </w:r>
      <w:r w:rsidRPr="00031BAE">
        <w:rPr>
          <w:snapToGrid/>
        </w:rPr>
        <w:t xml:space="preserve">  In the </w:t>
      </w:r>
      <w:r w:rsidRPr="00031BAE">
        <w:rPr>
          <w:i/>
          <w:snapToGrid/>
        </w:rPr>
        <w:t>Reconsideration Decision</w:t>
      </w:r>
      <w:r w:rsidRPr="00031BAE">
        <w:rPr>
          <w:snapToGrid/>
        </w:rPr>
        <w:t>,</w:t>
      </w:r>
      <w:r w:rsidRPr="00031BAE">
        <w:rPr>
          <w:i/>
          <w:snapToGrid/>
        </w:rPr>
        <w:t xml:space="preserve"> </w:t>
      </w:r>
      <w:r w:rsidRPr="00031BAE">
        <w:rPr>
          <w:snapToGrid/>
        </w:rPr>
        <w:t>the Bureau affirmed its prior finding that WJZD had failed to raise a substantial or material question of fact whether Golden and the assignee, Capstar TX Limited Partnership (“Capstar”), had engaged in an unauthorized transfer of control of station WQYZ(FM).</w:t>
      </w:r>
      <w:r w:rsidRPr="00031BAE">
        <w:rPr>
          <w:snapToGrid/>
          <w:vertAlign w:val="superscript"/>
        </w:rPr>
        <w:footnoteReference w:id="4"/>
      </w:r>
      <w:r w:rsidRPr="00031BAE">
        <w:rPr>
          <w:snapToGrid/>
        </w:rPr>
        <w:t xml:space="preserve">  The Bureau found on reconsideration that it had applied the correct legal standard by looking beyond the contractual terms of the parties’ local marketing agreement and examining which party had exercised actual operational control over the personnel, programming, and finances of the station, concluding that Golden had properly done so.  </w:t>
      </w:r>
    </w:p>
    <w:p w:rsidR="00031BAE" w:rsidRPr="00031BAE" w:rsidRDefault="00031BAE" w:rsidP="0069459A">
      <w:pPr>
        <w:pStyle w:val="ParaNum"/>
        <w:tabs>
          <w:tab w:val="clear" w:pos="1080"/>
          <w:tab w:val="num" w:pos="1440"/>
        </w:tabs>
        <w:rPr>
          <w:snapToGrid/>
        </w:rPr>
      </w:pPr>
      <w:r w:rsidRPr="00031BAE">
        <w:rPr>
          <w:snapToGrid/>
        </w:rPr>
        <w:t xml:space="preserve">In the </w:t>
      </w:r>
      <w:r w:rsidRPr="00031BAE">
        <w:rPr>
          <w:i/>
          <w:snapToGrid/>
        </w:rPr>
        <w:t>Staff Decision</w:t>
      </w:r>
      <w:r w:rsidRPr="00031BAE">
        <w:rPr>
          <w:snapToGrid/>
        </w:rPr>
        <w:t xml:space="preserve"> and </w:t>
      </w:r>
      <w:r w:rsidRPr="00031BAE">
        <w:rPr>
          <w:i/>
          <w:snapToGrid/>
        </w:rPr>
        <w:t>Reconsideration Decision</w:t>
      </w:r>
      <w:r w:rsidRPr="00031BAE">
        <w:rPr>
          <w:snapToGrid/>
        </w:rPr>
        <w:t>,</w:t>
      </w:r>
      <w:r w:rsidRPr="00031BAE">
        <w:rPr>
          <w:i/>
          <w:snapToGrid/>
        </w:rPr>
        <w:t xml:space="preserve"> </w:t>
      </w:r>
      <w:r w:rsidRPr="00031BAE">
        <w:rPr>
          <w:snapToGrid/>
        </w:rPr>
        <w:t xml:space="preserve">the Bureau thoroughly addressed each of WJZD’s factual allegations regarding </w:t>
      </w:r>
      <w:r w:rsidRPr="00031BAE">
        <w:rPr>
          <w:i/>
          <w:snapToGrid/>
        </w:rPr>
        <w:t xml:space="preserve">de facto </w:t>
      </w:r>
      <w:r w:rsidRPr="00031BAE">
        <w:rPr>
          <w:snapToGrid/>
        </w:rPr>
        <w:t xml:space="preserve">control, </w:t>
      </w:r>
      <w:r w:rsidRPr="009F210E">
        <w:rPr>
          <w:snapToGrid/>
        </w:rPr>
        <w:t>including</w:t>
      </w:r>
      <w:r w:rsidRPr="00031BAE">
        <w:rPr>
          <w:snapToGrid/>
        </w:rPr>
        <w:t xml:space="preserve"> the relocation of the station’s </w:t>
      </w:r>
      <w:r w:rsidRPr="00031BAE">
        <w:rPr>
          <w:snapToGrid/>
        </w:rPr>
        <w:lastRenderedPageBreak/>
        <w:t xml:space="preserve">main studio, understaffing of its main studio, identity of its program director, its use of an unauthorized studio transmitter link and </w:t>
      </w:r>
      <w:r w:rsidRPr="00031BAE">
        <w:rPr>
          <w:i/>
          <w:snapToGrid/>
        </w:rPr>
        <w:t xml:space="preserve">ex parte </w:t>
      </w:r>
      <w:r w:rsidRPr="00031BAE">
        <w:rPr>
          <w:snapToGrid/>
        </w:rPr>
        <w:t>rule violations.  The Bureau held that these various allegations, taken together with all the facts on record, did not raise a substantial and material question of fact such as would require an evidentiary hearing.</w:t>
      </w:r>
      <w:r w:rsidRPr="00031BAE">
        <w:rPr>
          <w:snapToGrid/>
          <w:vertAlign w:val="superscript"/>
        </w:rPr>
        <w:footnoteReference w:id="5"/>
      </w:r>
      <w:r w:rsidRPr="00031BAE">
        <w:rPr>
          <w:snapToGrid/>
        </w:rPr>
        <w:t xml:space="preserve">  In so holding, the Bureau rejected WJZD’s contention that the </w:t>
      </w:r>
      <w:r w:rsidRPr="00031BAE">
        <w:rPr>
          <w:i/>
          <w:snapToGrid/>
        </w:rPr>
        <w:t>Staff Decision</w:t>
      </w:r>
      <w:r w:rsidRPr="00031BAE">
        <w:rPr>
          <w:snapToGrid/>
        </w:rPr>
        <w:t xml:space="preserve"> was deficient because the Bureau did not distinguish the instant facts from those present in the cases string-cited by WJZD in its Petition to Deny, noting that, applying the Commission’s appropriate analysis regarding transfer of control allegations, WJZD had failed to demonstrate that Capstar had ultimate control over WQYZ’s programming, finances or personnel.</w:t>
      </w:r>
      <w:r w:rsidRPr="00031BAE">
        <w:rPr>
          <w:snapToGrid/>
          <w:vertAlign w:val="superscript"/>
        </w:rPr>
        <w:t xml:space="preserve"> </w:t>
      </w:r>
      <w:r w:rsidRPr="00031BAE">
        <w:rPr>
          <w:snapToGrid/>
          <w:vertAlign w:val="superscript"/>
        </w:rPr>
        <w:footnoteReference w:id="6"/>
      </w:r>
      <w:r w:rsidRPr="00031BAE">
        <w:rPr>
          <w:snapToGrid/>
        </w:rPr>
        <w:t xml:space="preserve"> </w:t>
      </w:r>
      <w:r w:rsidRPr="00031BAE" w:rsidDel="00B13AC6">
        <w:rPr>
          <w:snapToGrid/>
        </w:rPr>
        <w:t xml:space="preserve"> </w:t>
      </w:r>
      <w:r w:rsidRPr="00031BAE">
        <w:rPr>
          <w:snapToGrid/>
        </w:rPr>
        <w:t>We agree with the Bureau’s analysis.</w:t>
      </w:r>
      <w:r w:rsidRPr="00031BAE">
        <w:rPr>
          <w:snapToGrid/>
          <w:vertAlign w:val="superscript"/>
        </w:rPr>
        <w:t xml:space="preserve"> </w:t>
      </w:r>
      <w:r w:rsidRPr="00031BAE">
        <w:rPr>
          <w:snapToGrid/>
          <w:vertAlign w:val="superscript"/>
        </w:rPr>
        <w:footnoteReference w:id="7"/>
      </w:r>
      <w:r w:rsidRPr="00031BAE">
        <w:rPr>
          <w:snapToGrid/>
        </w:rPr>
        <w:t xml:space="preserve">   </w:t>
      </w:r>
    </w:p>
    <w:p w:rsidR="00031BAE" w:rsidRPr="00031BAE" w:rsidRDefault="00031BAE" w:rsidP="0069459A">
      <w:pPr>
        <w:pStyle w:val="ParaNum"/>
        <w:tabs>
          <w:tab w:val="clear" w:pos="1080"/>
          <w:tab w:val="num" w:pos="1440"/>
        </w:tabs>
        <w:rPr>
          <w:snapToGrid/>
        </w:rPr>
      </w:pPr>
      <w:r w:rsidRPr="00031BAE">
        <w:rPr>
          <w:snapToGrid/>
        </w:rPr>
        <w:t xml:space="preserve">We also agree with the Bureau’s rejection of WJZD’s allegation that, WJZD having raised the issue of whether Clear Channel Communications and its subsidiaries, including Capstar, have the requisite character to become Commission licensees as a result of their alleged broadcast of indecent material, Clear Channel violated the </w:t>
      </w:r>
      <w:r w:rsidRPr="00031BAE">
        <w:rPr>
          <w:i/>
          <w:snapToGrid/>
        </w:rPr>
        <w:t>ex parte</w:t>
      </w:r>
      <w:r w:rsidRPr="00031BAE">
        <w:rPr>
          <w:snapToGrid/>
        </w:rPr>
        <w:t xml:space="preserve"> rules in subsequently </w:t>
      </w:r>
      <w:r w:rsidRPr="009F210E">
        <w:rPr>
          <w:snapToGrid/>
        </w:rPr>
        <w:t>negotiating</w:t>
      </w:r>
      <w:r w:rsidRPr="00031BAE">
        <w:rPr>
          <w:snapToGrid/>
        </w:rPr>
        <w:t xml:space="preserve"> a consent decree with the Commission resolving those matters without allowing WJZD to be present.</w:t>
      </w:r>
      <w:r w:rsidRPr="00031BAE">
        <w:rPr>
          <w:snapToGrid/>
          <w:vertAlign w:val="superscript"/>
        </w:rPr>
        <w:footnoteReference w:id="8"/>
      </w:r>
      <w:r w:rsidRPr="00031BAE">
        <w:rPr>
          <w:snapToGrid/>
        </w:rPr>
        <w:t xml:space="preserve">  In rejecting that contention, the Bureau noted that the communications at issue had been requested by the Commission for the purpose of resolving settlement issues and therefore were exempt from the general prohibition on </w:t>
      </w:r>
      <w:r w:rsidRPr="00031BAE">
        <w:rPr>
          <w:i/>
          <w:snapToGrid/>
        </w:rPr>
        <w:t>ex parte</w:t>
      </w:r>
      <w:r w:rsidRPr="00031BAE">
        <w:rPr>
          <w:snapToGrid/>
        </w:rPr>
        <w:t xml:space="preserve"> communications.</w:t>
      </w:r>
      <w:r w:rsidRPr="00031BAE">
        <w:rPr>
          <w:snapToGrid/>
          <w:vertAlign w:val="superscript"/>
        </w:rPr>
        <w:footnoteReference w:id="9"/>
      </w:r>
      <w:r w:rsidRPr="00031BAE">
        <w:rPr>
          <w:snapToGrid/>
        </w:rPr>
        <w:t xml:space="preserve">  </w:t>
      </w:r>
    </w:p>
    <w:p w:rsidR="00031BAE" w:rsidRPr="00031BAE" w:rsidRDefault="00031BAE" w:rsidP="0069459A">
      <w:pPr>
        <w:pStyle w:val="ParaNum"/>
        <w:tabs>
          <w:tab w:val="clear" w:pos="1080"/>
          <w:tab w:val="num" w:pos="1440"/>
        </w:tabs>
        <w:rPr>
          <w:snapToGrid/>
        </w:rPr>
      </w:pPr>
      <w:r w:rsidRPr="00031BAE">
        <w:rPr>
          <w:snapToGrid/>
        </w:rPr>
        <w:t xml:space="preserve">Upon review of the Application for Review and the entire record, we conclude that WJZD has not demonstrated that the Bureau erred.  The Bureau, in the </w:t>
      </w:r>
      <w:r w:rsidRPr="00031BAE">
        <w:rPr>
          <w:i/>
          <w:snapToGrid/>
        </w:rPr>
        <w:t>Reconsideration Decision</w:t>
      </w:r>
      <w:r w:rsidRPr="00031BAE">
        <w:rPr>
          <w:snapToGrid/>
        </w:rPr>
        <w:t xml:space="preserve">, properly decided the matters raised, and we uphold its </w:t>
      </w:r>
      <w:r w:rsidRPr="009F210E">
        <w:rPr>
          <w:snapToGrid/>
        </w:rPr>
        <w:t>decision</w:t>
      </w:r>
      <w:r w:rsidRPr="00031BAE">
        <w:rPr>
          <w:snapToGrid/>
        </w:rPr>
        <w:t xml:space="preserve"> for the reasons stated therein.</w:t>
      </w:r>
    </w:p>
    <w:p w:rsidR="00031BAE" w:rsidRPr="00031BAE" w:rsidRDefault="00031BAE" w:rsidP="0069459A">
      <w:pPr>
        <w:pStyle w:val="ParaNum"/>
        <w:tabs>
          <w:tab w:val="clear" w:pos="1080"/>
          <w:tab w:val="left" w:pos="1440"/>
        </w:tabs>
        <w:rPr>
          <w:snapToGrid/>
        </w:rPr>
      </w:pPr>
      <w:r w:rsidRPr="00031BAE">
        <w:rPr>
          <w:snapToGrid/>
        </w:rPr>
        <w:t>ACCORDINGLY, IT IS ORDERED that, pursuant to Section 5(c)(5) of the Communications Act of 1934, as amended,</w:t>
      </w:r>
      <w:r w:rsidRPr="00031BAE">
        <w:rPr>
          <w:snapToGrid/>
          <w:vertAlign w:val="superscript"/>
        </w:rPr>
        <w:footnoteReference w:id="10"/>
      </w:r>
      <w:r w:rsidRPr="00031BAE">
        <w:rPr>
          <w:snapToGrid/>
        </w:rPr>
        <w:t xml:space="preserve"> and Section 1.115(g) of the Commission’s rules,</w:t>
      </w:r>
      <w:r w:rsidRPr="00031BAE">
        <w:rPr>
          <w:snapToGrid/>
          <w:vertAlign w:val="superscript"/>
        </w:rPr>
        <w:footnoteReference w:id="11"/>
      </w:r>
      <w:r w:rsidRPr="00031BAE">
        <w:rPr>
          <w:snapToGrid/>
        </w:rPr>
        <w:t xml:space="preserve"> the Application for Review IS DISMISSED for the </w:t>
      </w:r>
      <w:r w:rsidRPr="009F210E">
        <w:rPr>
          <w:snapToGrid/>
        </w:rPr>
        <w:t>reasons</w:t>
      </w:r>
      <w:r w:rsidRPr="00031BAE">
        <w:rPr>
          <w:snapToGrid/>
        </w:rPr>
        <w:t xml:space="preserve"> stated in note 2 above and IS otherwise DENIED.  </w:t>
      </w:r>
    </w:p>
    <w:p w:rsidR="00031BAE" w:rsidRPr="00031BAE" w:rsidRDefault="00031BAE" w:rsidP="00031BAE">
      <w:pPr>
        <w:widowControl/>
        <w:tabs>
          <w:tab w:val="left" w:pos="720"/>
          <w:tab w:val="left" w:pos="1430"/>
          <w:tab w:val="left" w:pos="4680"/>
        </w:tabs>
        <w:jc w:val="both"/>
        <w:rPr>
          <w:snapToGrid/>
          <w:kern w:val="0"/>
          <w:szCs w:val="22"/>
        </w:rPr>
      </w:pPr>
    </w:p>
    <w:p w:rsidR="00031BAE" w:rsidRPr="00031BAE" w:rsidRDefault="00031BAE" w:rsidP="00031BAE">
      <w:pPr>
        <w:widowControl/>
        <w:tabs>
          <w:tab w:val="left" w:pos="0"/>
        </w:tabs>
        <w:suppressAutoHyphens/>
        <w:ind w:firstLine="990"/>
        <w:jc w:val="both"/>
        <w:rPr>
          <w:snapToGrid/>
          <w:kern w:val="0"/>
          <w:szCs w:val="22"/>
        </w:rPr>
      </w:pPr>
      <w:r w:rsidRPr="00031BAE">
        <w:rPr>
          <w:snapToGrid/>
          <w:kern w:val="0"/>
          <w:szCs w:val="22"/>
        </w:rPr>
        <w:tab/>
      </w:r>
      <w:r w:rsidRPr="00031BAE">
        <w:rPr>
          <w:snapToGrid/>
          <w:kern w:val="0"/>
          <w:szCs w:val="22"/>
        </w:rPr>
        <w:tab/>
      </w:r>
      <w:r w:rsidRPr="00031BAE">
        <w:rPr>
          <w:snapToGrid/>
          <w:kern w:val="0"/>
          <w:szCs w:val="22"/>
        </w:rPr>
        <w:tab/>
      </w:r>
      <w:r w:rsidRPr="00031BAE">
        <w:rPr>
          <w:snapToGrid/>
          <w:kern w:val="0"/>
          <w:szCs w:val="22"/>
        </w:rPr>
        <w:tab/>
      </w:r>
      <w:r w:rsidRPr="00031BAE">
        <w:rPr>
          <w:snapToGrid/>
          <w:kern w:val="0"/>
          <w:szCs w:val="22"/>
        </w:rPr>
        <w:tab/>
        <w:t>FEDERAL COMMUNICATIONS COMMISSION</w:t>
      </w:r>
    </w:p>
    <w:p w:rsidR="00031BAE" w:rsidRPr="00031BAE" w:rsidRDefault="00031BAE" w:rsidP="00031BAE">
      <w:pPr>
        <w:widowControl/>
        <w:tabs>
          <w:tab w:val="left" w:pos="0"/>
        </w:tabs>
        <w:suppressAutoHyphens/>
        <w:ind w:firstLine="990"/>
        <w:jc w:val="both"/>
        <w:rPr>
          <w:snapToGrid/>
          <w:kern w:val="0"/>
          <w:szCs w:val="22"/>
        </w:rPr>
      </w:pPr>
    </w:p>
    <w:p w:rsidR="00031BAE" w:rsidRPr="00031BAE" w:rsidRDefault="00031BAE" w:rsidP="00031BAE">
      <w:pPr>
        <w:widowControl/>
        <w:tabs>
          <w:tab w:val="left" w:pos="0"/>
        </w:tabs>
        <w:suppressAutoHyphens/>
        <w:ind w:firstLine="990"/>
        <w:jc w:val="both"/>
        <w:rPr>
          <w:snapToGrid/>
          <w:kern w:val="0"/>
          <w:szCs w:val="22"/>
        </w:rPr>
      </w:pPr>
    </w:p>
    <w:p w:rsidR="00031BAE" w:rsidRPr="00031BAE" w:rsidRDefault="00031BAE" w:rsidP="00031BAE">
      <w:pPr>
        <w:widowControl/>
        <w:tabs>
          <w:tab w:val="left" w:pos="0"/>
        </w:tabs>
        <w:suppressAutoHyphens/>
        <w:ind w:firstLine="990"/>
        <w:jc w:val="both"/>
        <w:rPr>
          <w:snapToGrid/>
          <w:kern w:val="0"/>
          <w:szCs w:val="22"/>
        </w:rPr>
      </w:pPr>
    </w:p>
    <w:p w:rsidR="00031BAE" w:rsidRPr="00031BAE" w:rsidRDefault="00031BAE" w:rsidP="00031BAE">
      <w:pPr>
        <w:widowControl/>
        <w:tabs>
          <w:tab w:val="left" w:pos="0"/>
        </w:tabs>
        <w:suppressAutoHyphens/>
        <w:ind w:firstLine="990"/>
        <w:jc w:val="both"/>
        <w:rPr>
          <w:snapToGrid/>
          <w:kern w:val="0"/>
          <w:szCs w:val="22"/>
        </w:rPr>
      </w:pPr>
    </w:p>
    <w:p w:rsidR="00031BAE" w:rsidRPr="00031BAE" w:rsidRDefault="00031BAE" w:rsidP="00031BAE">
      <w:pPr>
        <w:widowControl/>
        <w:tabs>
          <w:tab w:val="left" w:pos="4320"/>
        </w:tabs>
        <w:suppressAutoHyphens/>
        <w:ind w:firstLine="990"/>
        <w:jc w:val="both"/>
        <w:rPr>
          <w:snapToGrid/>
          <w:kern w:val="0"/>
          <w:szCs w:val="22"/>
        </w:rPr>
      </w:pPr>
      <w:r w:rsidRPr="00031BAE">
        <w:rPr>
          <w:snapToGrid/>
          <w:kern w:val="0"/>
          <w:szCs w:val="22"/>
        </w:rPr>
        <w:tab/>
        <w:t xml:space="preserve">Marlene H. Dortch  </w:t>
      </w:r>
    </w:p>
    <w:p w:rsidR="00031BAE" w:rsidRPr="00031BAE" w:rsidRDefault="00031BAE" w:rsidP="00031BAE">
      <w:pPr>
        <w:tabs>
          <w:tab w:val="left" w:pos="1440"/>
        </w:tabs>
        <w:jc w:val="both"/>
        <w:rPr>
          <w:snapToGrid/>
          <w:kern w:val="0"/>
          <w:szCs w:val="22"/>
        </w:rPr>
      </w:pPr>
      <w:r w:rsidRPr="00031BAE">
        <w:rPr>
          <w:snapToGrid/>
          <w:kern w:val="0"/>
          <w:szCs w:val="22"/>
        </w:rPr>
        <w:t xml:space="preserve">                    </w:t>
      </w:r>
      <w:r w:rsidRPr="00031BAE">
        <w:rPr>
          <w:snapToGrid/>
          <w:kern w:val="0"/>
          <w:szCs w:val="22"/>
        </w:rPr>
        <w:tab/>
      </w:r>
      <w:r w:rsidRPr="00031BAE">
        <w:rPr>
          <w:snapToGrid/>
          <w:kern w:val="0"/>
          <w:szCs w:val="22"/>
        </w:rPr>
        <w:tab/>
      </w:r>
      <w:r w:rsidRPr="00031BAE">
        <w:rPr>
          <w:snapToGrid/>
          <w:kern w:val="0"/>
          <w:szCs w:val="22"/>
        </w:rPr>
        <w:tab/>
      </w:r>
      <w:r w:rsidRPr="00031BAE">
        <w:rPr>
          <w:snapToGrid/>
          <w:kern w:val="0"/>
          <w:szCs w:val="22"/>
        </w:rPr>
        <w:tab/>
      </w:r>
      <w:r w:rsidRPr="00031BAE">
        <w:rPr>
          <w:snapToGrid/>
          <w:kern w:val="0"/>
          <w:szCs w:val="22"/>
        </w:rPr>
        <w:tab/>
        <w:t>Secretary</w:t>
      </w:r>
    </w:p>
    <w:p w:rsidR="002C00E8" w:rsidRPr="002C00E8" w:rsidRDefault="002C00E8" w:rsidP="00031BAE">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0E" w:rsidRDefault="001C5E0E">
      <w:pPr>
        <w:spacing w:line="20" w:lineRule="exact"/>
      </w:pPr>
    </w:p>
  </w:endnote>
  <w:endnote w:type="continuationSeparator" w:id="0">
    <w:p w:rsidR="001C5E0E" w:rsidRDefault="001C5E0E">
      <w:r>
        <w:t xml:space="preserve"> </w:t>
      </w:r>
    </w:p>
  </w:endnote>
  <w:endnote w:type="continuationNotice" w:id="1">
    <w:p w:rsidR="001C5E0E" w:rsidRDefault="001C5E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6146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0E" w:rsidRDefault="001C5E0E">
      <w:r>
        <w:separator/>
      </w:r>
    </w:p>
  </w:footnote>
  <w:footnote w:type="continuationSeparator" w:id="0">
    <w:p w:rsidR="001C5E0E" w:rsidRDefault="001C5E0E" w:rsidP="00C721AC">
      <w:pPr>
        <w:spacing w:before="120"/>
        <w:rPr>
          <w:sz w:val="20"/>
        </w:rPr>
      </w:pPr>
      <w:r>
        <w:rPr>
          <w:sz w:val="20"/>
        </w:rPr>
        <w:t xml:space="preserve">(Continued from previous page)  </w:t>
      </w:r>
      <w:r>
        <w:rPr>
          <w:sz w:val="20"/>
        </w:rPr>
        <w:separator/>
      </w:r>
    </w:p>
  </w:footnote>
  <w:footnote w:type="continuationNotice" w:id="1">
    <w:p w:rsidR="001C5E0E" w:rsidRDefault="001C5E0E" w:rsidP="00C721AC">
      <w:pPr>
        <w:jc w:val="right"/>
        <w:rPr>
          <w:sz w:val="20"/>
        </w:rPr>
      </w:pPr>
      <w:r>
        <w:rPr>
          <w:sz w:val="20"/>
        </w:rPr>
        <w:t>(continued….)</w:t>
      </w:r>
    </w:p>
  </w:footnote>
  <w:footnote w:id="2">
    <w:p w:rsidR="00031BAE" w:rsidRPr="00F14242" w:rsidRDefault="00031BAE" w:rsidP="00031BAE">
      <w:pPr>
        <w:pStyle w:val="FootnoteText"/>
      </w:pPr>
      <w:r w:rsidRPr="00F14242">
        <w:rPr>
          <w:rStyle w:val="FootnoteReference"/>
        </w:rPr>
        <w:footnoteRef/>
      </w:r>
      <w:r w:rsidRPr="00F14242">
        <w:t xml:space="preserve"> </w:t>
      </w:r>
      <w:r w:rsidRPr="00F14242">
        <w:rPr>
          <w:i/>
        </w:rPr>
        <w:t>Lawrence E. Steelman</w:t>
      </w:r>
      <w:r w:rsidRPr="00F14242">
        <w:t>, Letter, 22 FCC Rcd 4866 (MB 2007).</w:t>
      </w:r>
    </w:p>
  </w:footnote>
  <w:footnote w:id="3">
    <w:p w:rsidR="00031BAE" w:rsidRPr="004F3764" w:rsidRDefault="00031BAE" w:rsidP="00031BAE">
      <w:pPr>
        <w:pStyle w:val="FootnoteText"/>
        <w:jc w:val="both"/>
      </w:pPr>
      <w:r w:rsidRPr="00F14242">
        <w:rPr>
          <w:rStyle w:val="FootnoteReference"/>
        </w:rPr>
        <w:footnoteRef/>
      </w:r>
      <w:r w:rsidRPr="00F14242">
        <w:t xml:space="preserve"> </w:t>
      </w:r>
      <w:r>
        <w:rPr>
          <w:i/>
        </w:rPr>
        <w:t>WJZD</w:t>
      </w:r>
      <w:r w:rsidRPr="00F14242">
        <w:rPr>
          <w:i/>
        </w:rPr>
        <w:t>, Inc.</w:t>
      </w:r>
      <w:r w:rsidRPr="00F14242">
        <w:t xml:space="preserve">, Letter, </w:t>
      </w:r>
      <w:r>
        <w:t>20 FCC Rcd 9941</w:t>
      </w:r>
      <w:r w:rsidRPr="00F14242">
        <w:t xml:space="preserve"> (MB 2005)</w:t>
      </w:r>
      <w:r>
        <w:t xml:space="preserve"> (“</w:t>
      </w:r>
      <w:r>
        <w:rPr>
          <w:i/>
        </w:rPr>
        <w:t>Staff Decision</w:t>
      </w:r>
      <w:r>
        <w:t>”)</w:t>
      </w:r>
      <w:r w:rsidRPr="00F14242">
        <w:t xml:space="preserve">.  To the extent that the Application for Review purports to seek review of the </w:t>
      </w:r>
      <w:r>
        <w:rPr>
          <w:i/>
        </w:rPr>
        <w:t>Staff Decision</w:t>
      </w:r>
      <w:r>
        <w:t xml:space="preserve">, </w:t>
      </w:r>
      <w:r w:rsidRPr="00F14242">
        <w:t>it is untimely</w:t>
      </w:r>
      <w:r>
        <w:t xml:space="preserve"> and is hereby dismissed</w:t>
      </w:r>
      <w:r w:rsidRPr="00F14242">
        <w:t xml:space="preserve">.  </w:t>
      </w:r>
      <w:r w:rsidRPr="00F14242">
        <w:rPr>
          <w:i/>
        </w:rPr>
        <w:t xml:space="preserve">See </w:t>
      </w:r>
      <w:r w:rsidRPr="00F14242">
        <w:t>47 C.F.R. §§ 1.115(d)</w:t>
      </w:r>
      <w:r>
        <w:t xml:space="preserve">, 1.4(b)(2); Application for Review at 1-2. </w:t>
      </w:r>
    </w:p>
  </w:footnote>
  <w:footnote w:id="4">
    <w:p w:rsidR="00031BAE" w:rsidRPr="00C41285" w:rsidRDefault="00031BAE" w:rsidP="00031BAE">
      <w:pPr>
        <w:pStyle w:val="FootnoteText"/>
      </w:pPr>
      <w:r w:rsidRPr="00F14242">
        <w:rPr>
          <w:rStyle w:val="FootnoteReference"/>
        </w:rPr>
        <w:footnoteRef/>
      </w:r>
      <w:r w:rsidRPr="00F14242">
        <w:t xml:space="preserve"> </w:t>
      </w:r>
      <w:r>
        <w:rPr>
          <w:i/>
        </w:rPr>
        <w:t xml:space="preserve">See </w:t>
      </w:r>
      <w:r w:rsidRPr="00F14242">
        <w:t>47 U.S.C. § 310(d).</w:t>
      </w:r>
      <w:r>
        <w:t xml:space="preserve">  </w:t>
      </w:r>
    </w:p>
  </w:footnote>
  <w:footnote w:id="5">
    <w:p w:rsidR="00031BAE" w:rsidRPr="00C41285" w:rsidRDefault="00031BAE" w:rsidP="00031BAE">
      <w:pPr>
        <w:pStyle w:val="FootnoteText"/>
      </w:pPr>
      <w:r>
        <w:rPr>
          <w:rStyle w:val="FootnoteReference"/>
        </w:rPr>
        <w:footnoteRef/>
      </w:r>
      <w:r>
        <w:t xml:space="preserve"> </w:t>
      </w:r>
      <w:r w:rsidRPr="00C41285">
        <w:t xml:space="preserve">The Bureau did, however, </w:t>
      </w:r>
      <w:r>
        <w:t>propose</w:t>
      </w:r>
      <w:r w:rsidRPr="00C41285">
        <w:t xml:space="preserve"> a forfeiture</w:t>
      </w:r>
      <w:r>
        <w:t>, which Golden has paid,</w:t>
      </w:r>
      <w:r w:rsidRPr="00C41285">
        <w:t xml:space="preserve"> for</w:t>
      </w:r>
      <w:r>
        <w:t xml:space="preserve"> Golden’s failure to maintain a “meaningful presence”</w:t>
      </w:r>
      <w:r w:rsidRPr="00C41285">
        <w:t xml:space="preserve"> </w:t>
      </w:r>
      <w:r>
        <w:t>at</w:t>
      </w:r>
      <w:r w:rsidRPr="00C41285">
        <w:t xml:space="preserve"> the main studio</w:t>
      </w:r>
      <w:r>
        <w:t>, including managerial and staff level employees, in violation of</w:t>
      </w:r>
      <w:r w:rsidRPr="00C41285">
        <w:t xml:space="preserve"> 47 C.F.R. § 73.1125.</w:t>
      </w:r>
      <w:r>
        <w:t xml:space="preserve">  The Bureau determined that, contrary to WJDZ’s contention, this violation did not establish that an </w:t>
      </w:r>
      <w:r w:rsidR="009C7CF7">
        <w:t>un</w:t>
      </w:r>
      <w:r>
        <w:t xml:space="preserve">authorized transfer of control of the station had occurred. </w:t>
      </w:r>
      <w:r w:rsidRPr="00C36A65">
        <w:rPr>
          <w:i/>
        </w:rPr>
        <w:t>Reconsideration Decision</w:t>
      </w:r>
      <w:r>
        <w:t>, 22 FCC Rcd at 4870.  We agree with this conclusion.</w:t>
      </w:r>
    </w:p>
  </w:footnote>
  <w:footnote w:id="6">
    <w:p w:rsidR="00031BAE" w:rsidRDefault="00031BAE" w:rsidP="00031BAE">
      <w:pPr>
        <w:pStyle w:val="FootnoteText"/>
      </w:pPr>
      <w:r w:rsidRPr="007452F7">
        <w:rPr>
          <w:rStyle w:val="FootnoteReference"/>
        </w:rPr>
        <w:footnoteRef/>
      </w:r>
      <w:r w:rsidRPr="007452F7">
        <w:rPr>
          <w:rStyle w:val="FootnoteReference"/>
        </w:rPr>
        <w:t xml:space="preserve"> </w:t>
      </w:r>
      <w:r w:rsidRPr="007452F7">
        <w:rPr>
          <w:i/>
        </w:rPr>
        <w:t>Reconsideration Decision</w:t>
      </w:r>
      <w:r w:rsidRPr="007452F7">
        <w:t>, 22 FCC Rcd at 4869.</w:t>
      </w:r>
    </w:p>
  </w:footnote>
  <w:footnote w:id="7">
    <w:p w:rsidR="00031BAE" w:rsidRPr="007452F7" w:rsidRDefault="00031BAE" w:rsidP="00031BAE">
      <w:pPr>
        <w:pStyle w:val="FootnoteText"/>
      </w:pPr>
      <w:r>
        <w:rPr>
          <w:rStyle w:val="FootnoteReference"/>
        </w:rPr>
        <w:footnoteRef/>
      </w:r>
      <w:r>
        <w:t xml:space="preserve"> </w:t>
      </w:r>
      <w:r w:rsidRPr="007452F7">
        <w:t xml:space="preserve">WJZD </w:t>
      </w:r>
      <w:r>
        <w:t>failed</w:t>
      </w:r>
      <w:r w:rsidRPr="007452F7">
        <w:t xml:space="preserve"> to discuss the operative facts in any of those cases, much less demonstrate that the precedent mandates designation for hearing here</w:t>
      </w:r>
      <w:r>
        <w:t xml:space="preserve">, falling far short of the requirement that it “specify, with particularity,” why the Bureau’s grant of the applications was in conflict with that precedent.  </w:t>
      </w:r>
      <w:r w:rsidRPr="007452F7">
        <w:rPr>
          <w:i/>
        </w:rPr>
        <w:t xml:space="preserve">See </w:t>
      </w:r>
      <w:r>
        <w:t>47 C.F.R. § 1.115(b)(2)(i).</w:t>
      </w:r>
    </w:p>
  </w:footnote>
  <w:footnote w:id="8">
    <w:p w:rsidR="00031BAE" w:rsidRPr="00C36A65" w:rsidRDefault="00031BAE" w:rsidP="00031BAE">
      <w:pPr>
        <w:pStyle w:val="FootnoteText"/>
      </w:pPr>
      <w:r>
        <w:rPr>
          <w:rStyle w:val="FootnoteReference"/>
        </w:rPr>
        <w:footnoteRef/>
      </w:r>
      <w:r>
        <w:t xml:space="preserve"> </w:t>
      </w:r>
      <w:r w:rsidRPr="00C36A65">
        <w:t>Application for Review at 13-15.</w:t>
      </w:r>
    </w:p>
  </w:footnote>
  <w:footnote w:id="9">
    <w:p w:rsidR="00031BAE" w:rsidRPr="002A1C97" w:rsidRDefault="00031BAE" w:rsidP="00031BAE">
      <w:pPr>
        <w:pStyle w:val="FootnoteText"/>
      </w:pPr>
      <w:r>
        <w:rPr>
          <w:rStyle w:val="FootnoteReference"/>
        </w:rPr>
        <w:footnoteRef/>
      </w:r>
      <w:r>
        <w:t xml:space="preserve"> </w:t>
      </w:r>
      <w:r w:rsidRPr="002A1C97">
        <w:rPr>
          <w:i/>
        </w:rPr>
        <w:t>Reconsideration Decision</w:t>
      </w:r>
      <w:r w:rsidRPr="002A1C97">
        <w:t>, 22 FCC Rcd at 4871</w:t>
      </w:r>
      <w:r>
        <w:t xml:space="preserve"> (</w:t>
      </w:r>
      <w:r w:rsidRPr="00B21830">
        <w:t>citing</w:t>
      </w:r>
      <w:r w:rsidRPr="002A1C97">
        <w:t xml:space="preserve"> 47 C.F.R. § 1.1204(a)(10)</w:t>
      </w:r>
      <w:r>
        <w:t>)</w:t>
      </w:r>
      <w:r w:rsidRPr="002A1C97">
        <w:t>.</w:t>
      </w:r>
    </w:p>
  </w:footnote>
  <w:footnote w:id="10">
    <w:p w:rsidR="00031BAE" w:rsidRPr="00F14242" w:rsidRDefault="00031BAE" w:rsidP="00031BAE">
      <w:pPr>
        <w:pStyle w:val="FootnoteText"/>
      </w:pPr>
      <w:r w:rsidRPr="00F14242">
        <w:rPr>
          <w:rStyle w:val="FootnoteReference"/>
        </w:rPr>
        <w:footnoteRef/>
      </w:r>
      <w:r w:rsidRPr="00F14242">
        <w:t xml:space="preserve"> 47 U.S.C. § 155(c)(5).</w:t>
      </w:r>
    </w:p>
  </w:footnote>
  <w:footnote w:id="11">
    <w:p w:rsidR="00031BAE" w:rsidRPr="00F14242" w:rsidRDefault="00031BAE" w:rsidP="00031BAE">
      <w:pPr>
        <w:pStyle w:val="FootnoteText"/>
      </w:pPr>
      <w:r w:rsidRPr="00F14242">
        <w:rPr>
          <w:rStyle w:val="FootnoteReference"/>
        </w:rPr>
        <w:footnoteRef/>
      </w:r>
      <w:r w:rsidRPr="00F14242">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D9" w:rsidRDefault="00F53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523CE">
      <w:t>FCC 14-14</w:t>
    </w:r>
  </w:p>
  <w:p w:rsidR="00D25FB5" w:rsidRDefault="00031BA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1AF5736" wp14:editId="7EB191D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31BAE"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523CE">
      <w:t xml:space="preserve">FCC </w:t>
    </w:r>
    <w:r>
      <w:rPr>
        <w:spacing w:val="-2"/>
      </w:rPr>
      <w:t>14-</w:t>
    </w:r>
    <w:r w:rsidR="00C523CE">
      <w:rPr>
        <w:spacing w:val="-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E"/>
    <w:rsid w:val="00013D31"/>
    <w:rsid w:val="00031BAE"/>
    <w:rsid w:val="00036039"/>
    <w:rsid w:val="00037F90"/>
    <w:rsid w:val="0006146C"/>
    <w:rsid w:val="000875BF"/>
    <w:rsid w:val="00096D8C"/>
    <w:rsid w:val="000C0B65"/>
    <w:rsid w:val="000E05FE"/>
    <w:rsid w:val="000E3D42"/>
    <w:rsid w:val="00122BD5"/>
    <w:rsid w:val="00133F79"/>
    <w:rsid w:val="00194A66"/>
    <w:rsid w:val="001C5E0E"/>
    <w:rsid w:val="001D6BCF"/>
    <w:rsid w:val="001E01CA"/>
    <w:rsid w:val="00275CF5"/>
    <w:rsid w:val="0028301F"/>
    <w:rsid w:val="00285017"/>
    <w:rsid w:val="002A2D2E"/>
    <w:rsid w:val="002C00E8"/>
    <w:rsid w:val="00343749"/>
    <w:rsid w:val="003660ED"/>
    <w:rsid w:val="003A445D"/>
    <w:rsid w:val="003B0550"/>
    <w:rsid w:val="003B694F"/>
    <w:rsid w:val="003F171C"/>
    <w:rsid w:val="00412FC5"/>
    <w:rsid w:val="00422276"/>
    <w:rsid w:val="004242F1"/>
    <w:rsid w:val="00437302"/>
    <w:rsid w:val="00441A55"/>
    <w:rsid w:val="00445A00"/>
    <w:rsid w:val="00451B0F"/>
    <w:rsid w:val="004C2EE3"/>
    <w:rsid w:val="004E0E9A"/>
    <w:rsid w:val="004E4A22"/>
    <w:rsid w:val="00511968"/>
    <w:rsid w:val="00523363"/>
    <w:rsid w:val="0055614C"/>
    <w:rsid w:val="00584632"/>
    <w:rsid w:val="005E14C2"/>
    <w:rsid w:val="00607BA5"/>
    <w:rsid w:val="0061180A"/>
    <w:rsid w:val="00626EB6"/>
    <w:rsid w:val="00655D03"/>
    <w:rsid w:val="00683388"/>
    <w:rsid w:val="00683F84"/>
    <w:rsid w:val="0069459A"/>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C7CF7"/>
    <w:rsid w:val="009F210E"/>
    <w:rsid w:val="009F76DB"/>
    <w:rsid w:val="00A32C3B"/>
    <w:rsid w:val="00A45F4F"/>
    <w:rsid w:val="00A600A9"/>
    <w:rsid w:val="00AA55B7"/>
    <w:rsid w:val="00AA5B9E"/>
    <w:rsid w:val="00AB2407"/>
    <w:rsid w:val="00AB53DF"/>
    <w:rsid w:val="00B07E5C"/>
    <w:rsid w:val="00B55305"/>
    <w:rsid w:val="00B811F7"/>
    <w:rsid w:val="00BA5DC6"/>
    <w:rsid w:val="00BA6196"/>
    <w:rsid w:val="00BC022F"/>
    <w:rsid w:val="00BC6D8C"/>
    <w:rsid w:val="00C34006"/>
    <w:rsid w:val="00C426B1"/>
    <w:rsid w:val="00C523CE"/>
    <w:rsid w:val="00C66160"/>
    <w:rsid w:val="00C721AC"/>
    <w:rsid w:val="00C90D6A"/>
    <w:rsid w:val="00CA247E"/>
    <w:rsid w:val="00CC72B6"/>
    <w:rsid w:val="00D0218D"/>
    <w:rsid w:val="00D25FB5"/>
    <w:rsid w:val="00D3364A"/>
    <w:rsid w:val="00D44223"/>
    <w:rsid w:val="00DA2529"/>
    <w:rsid w:val="00DB130A"/>
    <w:rsid w:val="00DB2EBB"/>
    <w:rsid w:val="00DC10A1"/>
    <w:rsid w:val="00DC655F"/>
    <w:rsid w:val="00DD0B59"/>
    <w:rsid w:val="00DD7EBD"/>
    <w:rsid w:val="00DF62B6"/>
    <w:rsid w:val="00E07225"/>
    <w:rsid w:val="00E5409F"/>
    <w:rsid w:val="00EE04DD"/>
    <w:rsid w:val="00EE5B08"/>
    <w:rsid w:val="00EE6488"/>
    <w:rsid w:val="00F021FA"/>
    <w:rsid w:val="00F534D9"/>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614</Words>
  <Characters>3454</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2014-02-20T15:04:00Z</cp:lastPrinted>
  <dcterms:created xsi:type="dcterms:W3CDTF">2014-02-21T18:01:00Z</dcterms:created>
  <dcterms:modified xsi:type="dcterms:W3CDTF">2014-02-21T18:01:00Z</dcterms:modified>
  <cp:category> </cp:category>
  <cp:contentStatus> </cp:contentStatus>
</cp:coreProperties>
</file>