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683D" w:rsidRDefault="00CD683D">
      <w:pPr>
        <w:jc w:val="center"/>
        <w:rPr>
          <w:b/>
        </w:rPr>
      </w:pPr>
      <w:bookmarkStart w:id="0" w:name="_GoBack"/>
      <w:bookmarkEnd w:id="0"/>
      <w:r>
        <w:rPr>
          <w:rFonts w:ascii="Times New Roman Bold" w:hAnsi="Times New Roman Bold"/>
          <w:b/>
          <w:szCs w:val="22"/>
        </w:rPr>
        <w:t>Before</w:t>
      </w:r>
      <w:r>
        <w:rPr>
          <w:b/>
        </w:rPr>
        <w:t xml:space="preserve"> the</w:t>
      </w:r>
    </w:p>
    <w:p w:rsidR="00CD683D" w:rsidRDefault="00CD683D">
      <w:pPr>
        <w:pStyle w:val="StyleBoldCentered"/>
      </w:pPr>
      <w:r>
        <w:t>F</w:t>
      </w:r>
      <w:r>
        <w:rPr>
          <w:caps w:val="0"/>
        </w:rPr>
        <w:t>ederal Communications Commission</w:t>
      </w:r>
    </w:p>
    <w:p w:rsidR="00CD683D" w:rsidRDefault="00CD683D">
      <w:pPr>
        <w:pStyle w:val="StyleBoldCentered"/>
      </w:pPr>
      <w:r>
        <w:rPr>
          <w:caps w:val="0"/>
        </w:rPr>
        <w:t>Washington</w:t>
      </w:r>
      <w:r>
        <w:t>, D.C. 20554</w:t>
      </w:r>
    </w:p>
    <w:p w:rsidR="00CD683D" w:rsidRDefault="00CD683D"/>
    <w:tbl>
      <w:tblPr>
        <w:tblW w:w="0" w:type="auto"/>
        <w:tblLayout w:type="fixed"/>
        <w:tblLook w:val="0000" w:firstRow="0" w:lastRow="0" w:firstColumn="0" w:lastColumn="0" w:noHBand="0" w:noVBand="0"/>
      </w:tblPr>
      <w:tblGrid>
        <w:gridCol w:w="4698"/>
        <w:gridCol w:w="630"/>
        <w:gridCol w:w="4248"/>
      </w:tblGrid>
      <w:tr w:rsidR="00CD683D">
        <w:tc>
          <w:tcPr>
            <w:tcW w:w="4698" w:type="dxa"/>
          </w:tcPr>
          <w:p w:rsidR="00CD683D" w:rsidRDefault="00CD683D">
            <w:pPr>
              <w:tabs>
                <w:tab w:val="center" w:pos="4680"/>
              </w:tabs>
              <w:suppressAutoHyphens/>
              <w:rPr>
                <w:spacing w:val="-2"/>
              </w:rPr>
            </w:pPr>
            <w:r>
              <w:rPr>
                <w:spacing w:val="-2"/>
              </w:rPr>
              <w:t>In the Matter of</w:t>
            </w:r>
          </w:p>
          <w:p w:rsidR="00CD683D" w:rsidRDefault="00CD683D">
            <w:pPr>
              <w:tabs>
                <w:tab w:val="center" w:pos="4680"/>
              </w:tabs>
              <w:suppressAutoHyphens/>
              <w:rPr>
                <w:spacing w:val="-2"/>
              </w:rPr>
            </w:pPr>
          </w:p>
          <w:p w:rsidR="00CD683D" w:rsidRDefault="00CD683D" w:rsidP="0008532D">
            <w:pPr>
              <w:tabs>
                <w:tab w:val="center" w:pos="4680"/>
              </w:tabs>
              <w:suppressAutoHyphens/>
              <w:rPr>
                <w:spacing w:val="-2"/>
              </w:rPr>
            </w:pPr>
            <w:bookmarkStart w:id="1" w:name="OLE_LINK4"/>
            <w:r>
              <w:rPr>
                <w:spacing w:val="-2"/>
              </w:rPr>
              <w:t>Amendment of Parts 73 and 74 of the Commission’s Rules to Establish Rules for Digital Low Power Television</w:t>
            </w:r>
            <w:r w:rsidR="005253F6">
              <w:rPr>
                <w:spacing w:val="-2"/>
              </w:rPr>
              <w:t xml:space="preserve"> and</w:t>
            </w:r>
            <w:r>
              <w:rPr>
                <w:spacing w:val="-2"/>
              </w:rPr>
              <w:t xml:space="preserve"> Television Translator  Stations</w:t>
            </w:r>
            <w:bookmarkEnd w:id="1"/>
          </w:p>
          <w:p w:rsidR="00D74DAE" w:rsidRDefault="00D74DAE" w:rsidP="0008532D">
            <w:pPr>
              <w:tabs>
                <w:tab w:val="center" w:pos="4680"/>
              </w:tabs>
              <w:suppressAutoHyphens/>
              <w:rPr>
                <w:spacing w:val="-2"/>
              </w:rPr>
            </w:pPr>
          </w:p>
          <w:p w:rsidR="00D74DAE" w:rsidRDefault="00D74DAE" w:rsidP="0008532D">
            <w:pPr>
              <w:tabs>
                <w:tab w:val="center" w:pos="4680"/>
              </w:tabs>
              <w:suppressAutoHyphens/>
              <w:rPr>
                <w:spacing w:val="-2"/>
              </w:rPr>
            </w:pPr>
            <w:r w:rsidRPr="00D74DAE">
              <w:rPr>
                <w:spacing w:val="-2"/>
              </w:rPr>
              <w:t>Expanding the Economic and Innovation Opportunities of Spectrum Through Incentive Auctions</w:t>
            </w:r>
          </w:p>
          <w:p w:rsidR="00346338" w:rsidRDefault="00346338" w:rsidP="0008532D">
            <w:pPr>
              <w:tabs>
                <w:tab w:val="center" w:pos="4680"/>
              </w:tabs>
              <w:suppressAutoHyphens/>
              <w:rPr>
                <w:spacing w:val="-2"/>
              </w:rPr>
            </w:pPr>
          </w:p>
          <w:p w:rsidR="00346338" w:rsidRDefault="00346338" w:rsidP="0008532D">
            <w:pPr>
              <w:tabs>
                <w:tab w:val="center" w:pos="4680"/>
              </w:tabs>
              <w:suppressAutoHyphens/>
              <w:rPr>
                <w:spacing w:val="-2"/>
              </w:rPr>
            </w:pPr>
            <w:r>
              <w:rPr>
                <w:spacing w:val="-2"/>
              </w:rPr>
              <w:t>Amendment of Part 15 of the Commission’s Rules to Eliminate the Analog Tuner Requirement</w:t>
            </w:r>
          </w:p>
          <w:p w:rsidR="00D74DAE" w:rsidRDefault="00D74DAE" w:rsidP="0008532D">
            <w:pPr>
              <w:tabs>
                <w:tab w:val="center" w:pos="4680"/>
              </w:tabs>
              <w:suppressAutoHyphens/>
              <w:rPr>
                <w:spacing w:val="-2"/>
              </w:rPr>
            </w:pPr>
          </w:p>
        </w:tc>
        <w:tc>
          <w:tcPr>
            <w:tcW w:w="630" w:type="dxa"/>
          </w:tcPr>
          <w:p w:rsidR="00CD683D" w:rsidRDefault="00CD683D">
            <w:pPr>
              <w:tabs>
                <w:tab w:val="center" w:pos="4680"/>
              </w:tabs>
              <w:suppressAutoHyphens/>
              <w:rPr>
                <w:b/>
                <w:spacing w:val="-2"/>
              </w:rPr>
            </w:pPr>
            <w:r>
              <w:rPr>
                <w:b/>
                <w:spacing w:val="-2"/>
              </w:rPr>
              <w:t>)</w:t>
            </w:r>
          </w:p>
          <w:p w:rsidR="00CD683D" w:rsidRDefault="00CD683D">
            <w:pPr>
              <w:tabs>
                <w:tab w:val="center" w:pos="4680"/>
              </w:tabs>
              <w:suppressAutoHyphens/>
              <w:rPr>
                <w:b/>
                <w:spacing w:val="-2"/>
              </w:rPr>
            </w:pPr>
            <w:r>
              <w:rPr>
                <w:b/>
                <w:spacing w:val="-2"/>
              </w:rPr>
              <w:t>)</w:t>
            </w:r>
          </w:p>
          <w:p w:rsidR="00CD683D" w:rsidRDefault="00CD683D">
            <w:pPr>
              <w:tabs>
                <w:tab w:val="center" w:pos="4680"/>
              </w:tabs>
              <w:suppressAutoHyphens/>
              <w:rPr>
                <w:b/>
                <w:spacing w:val="-2"/>
              </w:rPr>
            </w:pPr>
            <w:r>
              <w:rPr>
                <w:b/>
                <w:spacing w:val="-2"/>
              </w:rPr>
              <w:t>)</w:t>
            </w:r>
          </w:p>
          <w:p w:rsidR="00CD683D" w:rsidRDefault="00CD683D">
            <w:pPr>
              <w:tabs>
                <w:tab w:val="center" w:pos="4680"/>
              </w:tabs>
              <w:suppressAutoHyphens/>
              <w:rPr>
                <w:b/>
                <w:spacing w:val="-2"/>
              </w:rPr>
            </w:pPr>
            <w:r>
              <w:rPr>
                <w:b/>
                <w:spacing w:val="-2"/>
              </w:rPr>
              <w:t>)</w:t>
            </w:r>
          </w:p>
          <w:p w:rsidR="00CD683D" w:rsidRDefault="00CD683D">
            <w:pPr>
              <w:tabs>
                <w:tab w:val="center" w:pos="4680"/>
              </w:tabs>
              <w:suppressAutoHyphens/>
              <w:rPr>
                <w:b/>
                <w:spacing w:val="-2"/>
              </w:rPr>
            </w:pPr>
            <w:r>
              <w:rPr>
                <w:b/>
                <w:spacing w:val="-2"/>
              </w:rPr>
              <w:t>)</w:t>
            </w:r>
          </w:p>
          <w:p w:rsidR="00CD683D" w:rsidRDefault="00CD683D">
            <w:pPr>
              <w:tabs>
                <w:tab w:val="center" w:pos="4680"/>
              </w:tabs>
              <w:suppressAutoHyphens/>
              <w:rPr>
                <w:b/>
                <w:spacing w:val="-2"/>
              </w:rPr>
            </w:pPr>
            <w:r>
              <w:rPr>
                <w:b/>
                <w:spacing w:val="-2"/>
              </w:rPr>
              <w:t>)</w:t>
            </w:r>
          </w:p>
          <w:p w:rsidR="00D74DAE" w:rsidRDefault="00D74DAE">
            <w:pPr>
              <w:tabs>
                <w:tab w:val="center" w:pos="4680"/>
              </w:tabs>
              <w:suppressAutoHyphens/>
              <w:rPr>
                <w:b/>
                <w:spacing w:val="-2"/>
              </w:rPr>
            </w:pPr>
            <w:r>
              <w:rPr>
                <w:b/>
                <w:spacing w:val="-2"/>
              </w:rPr>
              <w:t>)</w:t>
            </w:r>
          </w:p>
          <w:p w:rsidR="00D74DAE" w:rsidRDefault="00D74DAE">
            <w:pPr>
              <w:tabs>
                <w:tab w:val="center" w:pos="4680"/>
              </w:tabs>
              <w:suppressAutoHyphens/>
              <w:rPr>
                <w:b/>
                <w:spacing w:val="-2"/>
              </w:rPr>
            </w:pPr>
            <w:r>
              <w:rPr>
                <w:b/>
                <w:spacing w:val="-2"/>
              </w:rPr>
              <w:t>)</w:t>
            </w:r>
          </w:p>
          <w:p w:rsidR="00D74DAE" w:rsidRDefault="00D74DAE">
            <w:pPr>
              <w:tabs>
                <w:tab w:val="center" w:pos="4680"/>
              </w:tabs>
              <w:suppressAutoHyphens/>
              <w:rPr>
                <w:b/>
                <w:spacing w:val="-2"/>
              </w:rPr>
            </w:pPr>
            <w:r>
              <w:rPr>
                <w:b/>
                <w:spacing w:val="-2"/>
              </w:rPr>
              <w:t>)</w:t>
            </w:r>
          </w:p>
          <w:p w:rsidR="00D74DAE" w:rsidRDefault="00D74DAE">
            <w:pPr>
              <w:tabs>
                <w:tab w:val="center" w:pos="4680"/>
              </w:tabs>
              <w:suppressAutoHyphens/>
              <w:rPr>
                <w:b/>
                <w:spacing w:val="-2"/>
              </w:rPr>
            </w:pPr>
            <w:r>
              <w:rPr>
                <w:b/>
                <w:spacing w:val="-2"/>
              </w:rPr>
              <w:t>)</w:t>
            </w:r>
          </w:p>
          <w:p w:rsidR="00346338" w:rsidRDefault="00346338">
            <w:pPr>
              <w:tabs>
                <w:tab w:val="center" w:pos="4680"/>
              </w:tabs>
              <w:suppressAutoHyphens/>
              <w:rPr>
                <w:b/>
                <w:spacing w:val="-2"/>
              </w:rPr>
            </w:pPr>
            <w:r>
              <w:rPr>
                <w:b/>
                <w:spacing w:val="-2"/>
              </w:rPr>
              <w:t>)</w:t>
            </w:r>
          </w:p>
          <w:p w:rsidR="00346338" w:rsidRDefault="00346338">
            <w:pPr>
              <w:tabs>
                <w:tab w:val="center" w:pos="4680"/>
              </w:tabs>
              <w:suppressAutoHyphens/>
              <w:rPr>
                <w:b/>
                <w:spacing w:val="-2"/>
              </w:rPr>
            </w:pPr>
            <w:r>
              <w:rPr>
                <w:b/>
                <w:spacing w:val="-2"/>
              </w:rPr>
              <w:t>)</w:t>
            </w:r>
          </w:p>
          <w:p w:rsidR="00346338" w:rsidRDefault="00346338">
            <w:pPr>
              <w:tabs>
                <w:tab w:val="center" w:pos="4680"/>
              </w:tabs>
              <w:suppressAutoHyphens/>
              <w:rPr>
                <w:b/>
                <w:spacing w:val="-2"/>
              </w:rPr>
            </w:pPr>
            <w:r>
              <w:rPr>
                <w:b/>
                <w:spacing w:val="-2"/>
              </w:rPr>
              <w:t>)</w:t>
            </w:r>
          </w:p>
        </w:tc>
        <w:tc>
          <w:tcPr>
            <w:tcW w:w="4248" w:type="dxa"/>
          </w:tcPr>
          <w:p w:rsidR="00CD683D" w:rsidRDefault="00CD683D">
            <w:pPr>
              <w:tabs>
                <w:tab w:val="center" w:pos="4680"/>
              </w:tabs>
              <w:suppressAutoHyphens/>
              <w:rPr>
                <w:spacing w:val="-2"/>
              </w:rPr>
            </w:pPr>
          </w:p>
          <w:p w:rsidR="00CD683D" w:rsidRDefault="00CD683D">
            <w:pPr>
              <w:pStyle w:val="TOAHeading"/>
              <w:tabs>
                <w:tab w:val="clear" w:pos="9360"/>
                <w:tab w:val="center" w:pos="4680"/>
              </w:tabs>
              <w:rPr>
                <w:spacing w:val="-2"/>
              </w:rPr>
            </w:pPr>
          </w:p>
          <w:p w:rsidR="00CD683D" w:rsidRDefault="00CD683D">
            <w:pPr>
              <w:pStyle w:val="TOAHeading"/>
              <w:tabs>
                <w:tab w:val="clear" w:pos="9360"/>
                <w:tab w:val="center" w:pos="4680"/>
              </w:tabs>
              <w:rPr>
                <w:spacing w:val="-2"/>
                <w:szCs w:val="22"/>
              </w:rPr>
            </w:pPr>
            <w:r>
              <w:rPr>
                <w:spacing w:val="-2"/>
                <w:szCs w:val="22"/>
              </w:rPr>
              <w:t>MB Docket No. 03-185</w:t>
            </w:r>
          </w:p>
          <w:p w:rsidR="00D74DAE" w:rsidRDefault="00D74DAE" w:rsidP="00045033"/>
          <w:p w:rsidR="00D74DAE" w:rsidRDefault="00D74DAE" w:rsidP="00045033"/>
          <w:p w:rsidR="00D74DAE" w:rsidRDefault="00D74DAE" w:rsidP="00045033"/>
          <w:p w:rsidR="00D74DAE" w:rsidRDefault="00D74DAE" w:rsidP="00045033"/>
          <w:p w:rsidR="00D74DAE" w:rsidRDefault="00D74DAE" w:rsidP="00045033">
            <w:r>
              <w:t>GN Docket No. 12-268</w:t>
            </w:r>
          </w:p>
          <w:p w:rsidR="00346338" w:rsidRDefault="00346338" w:rsidP="00045033"/>
          <w:p w:rsidR="00346338" w:rsidRDefault="00346338" w:rsidP="00045033"/>
          <w:p w:rsidR="00346338" w:rsidRDefault="00346338" w:rsidP="00045033"/>
          <w:p w:rsidR="00346338" w:rsidRDefault="00651734" w:rsidP="00045033">
            <w:r>
              <w:t>ET Docket No. 14-175</w:t>
            </w:r>
          </w:p>
          <w:p w:rsidR="00346338" w:rsidRPr="00045033" w:rsidRDefault="00346338" w:rsidP="00045033"/>
        </w:tc>
      </w:tr>
    </w:tbl>
    <w:p w:rsidR="00E13E61" w:rsidRDefault="00036D39" w:rsidP="005772DB">
      <w:pPr>
        <w:pStyle w:val="StyleBoldCentered"/>
      </w:pPr>
      <w:r>
        <w:t>THIRD NOTICE OF PROPOSED RULEMAKING</w:t>
      </w:r>
    </w:p>
    <w:p w:rsidR="00CD683D" w:rsidRDefault="00CD683D">
      <w:pPr>
        <w:tabs>
          <w:tab w:val="left" w:pos="-720"/>
        </w:tabs>
        <w:suppressAutoHyphens/>
        <w:spacing w:line="227" w:lineRule="auto"/>
        <w:rPr>
          <w:spacing w:val="-2"/>
        </w:rPr>
      </w:pPr>
    </w:p>
    <w:p w:rsidR="00CD683D" w:rsidRDefault="00CD683D" w:rsidP="002E77C5">
      <w:pPr>
        <w:tabs>
          <w:tab w:val="left" w:pos="720"/>
          <w:tab w:val="left" w:pos="5760"/>
        </w:tabs>
        <w:suppressAutoHyphens/>
        <w:spacing w:line="227" w:lineRule="auto"/>
        <w:rPr>
          <w:b/>
          <w:spacing w:val="-2"/>
        </w:rPr>
      </w:pPr>
      <w:r>
        <w:rPr>
          <w:b/>
          <w:spacing w:val="-2"/>
        </w:rPr>
        <w:t xml:space="preserve">Adopted:  </w:t>
      </w:r>
      <w:r w:rsidR="007711F6">
        <w:rPr>
          <w:b/>
          <w:spacing w:val="-2"/>
        </w:rPr>
        <w:t>October 9, 2014</w:t>
      </w:r>
      <w:r w:rsidR="007711F6">
        <w:rPr>
          <w:b/>
          <w:spacing w:val="-2"/>
        </w:rPr>
        <w:tab/>
      </w:r>
      <w:r>
        <w:rPr>
          <w:b/>
          <w:spacing w:val="-2"/>
        </w:rPr>
        <w:t xml:space="preserve">Released:  </w:t>
      </w:r>
      <w:r w:rsidR="007711F6">
        <w:rPr>
          <w:b/>
          <w:spacing w:val="-2"/>
        </w:rPr>
        <w:t>October 10, 2014</w:t>
      </w:r>
    </w:p>
    <w:p w:rsidR="00CD683D" w:rsidRDefault="00CD683D">
      <w:pPr>
        <w:tabs>
          <w:tab w:val="left" w:pos="5760"/>
        </w:tabs>
        <w:rPr>
          <w:b/>
          <w:spacing w:val="-2"/>
        </w:rPr>
      </w:pPr>
    </w:p>
    <w:p w:rsidR="00626D72" w:rsidRPr="00626D72" w:rsidRDefault="00CA1939" w:rsidP="00626D72">
      <w:pPr>
        <w:tabs>
          <w:tab w:val="left" w:pos="2160"/>
          <w:tab w:val="left" w:pos="2880"/>
          <w:tab w:val="left" w:pos="5760"/>
        </w:tabs>
        <w:rPr>
          <w:spacing w:val="-2"/>
        </w:rPr>
      </w:pPr>
      <w:r>
        <w:rPr>
          <w:spacing w:val="-2"/>
        </w:rPr>
        <w:t>Comment Date:</w:t>
      </w:r>
      <w:r w:rsidR="00DD68F7">
        <w:rPr>
          <w:spacing w:val="-2"/>
        </w:rPr>
        <w:tab/>
      </w:r>
      <w:r w:rsidR="00DD68F7">
        <w:rPr>
          <w:b/>
          <w:spacing w:val="-2"/>
        </w:rPr>
        <w:t>(3</w:t>
      </w:r>
      <w:r w:rsidR="00626D72" w:rsidRPr="00F850F9">
        <w:rPr>
          <w:b/>
          <w:spacing w:val="-2"/>
        </w:rPr>
        <w:t xml:space="preserve">0 days </w:t>
      </w:r>
      <w:r w:rsidR="00862D14">
        <w:rPr>
          <w:b/>
          <w:spacing w:val="-2"/>
        </w:rPr>
        <w:t>after date of</w:t>
      </w:r>
      <w:r w:rsidR="00626D72" w:rsidRPr="00F850F9">
        <w:rPr>
          <w:b/>
          <w:spacing w:val="-2"/>
        </w:rPr>
        <w:t xml:space="preserve"> publication in </w:t>
      </w:r>
      <w:r w:rsidR="00862D14">
        <w:rPr>
          <w:b/>
          <w:spacing w:val="-2"/>
        </w:rPr>
        <w:t xml:space="preserve">the </w:t>
      </w:r>
      <w:r w:rsidR="00626D72" w:rsidRPr="00F850F9">
        <w:rPr>
          <w:b/>
          <w:spacing w:val="-2"/>
        </w:rPr>
        <w:t>Federal Register</w:t>
      </w:r>
      <w:r w:rsidR="00DD68F7">
        <w:rPr>
          <w:b/>
          <w:spacing w:val="-2"/>
        </w:rPr>
        <w:t>)</w:t>
      </w:r>
    </w:p>
    <w:p w:rsidR="00626D72" w:rsidRPr="00F850F9" w:rsidRDefault="00626D72" w:rsidP="00626D72">
      <w:pPr>
        <w:tabs>
          <w:tab w:val="left" w:pos="2160"/>
          <w:tab w:val="left" w:pos="2880"/>
          <w:tab w:val="left" w:pos="5760"/>
        </w:tabs>
        <w:rPr>
          <w:b/>
          <w:spacing w:val="-2"/>
        </w:rPr>
      </w:pPr>
      <w:r w:rsidRPr="00626D72">
        <w:rPr>
          <w:spacing w:val="-2"/>
        </w:rPr>
        <w:t>Reply Comment Date:</w:t>
      </w:r>
      <w:r w:rsidRPr="00626D72">
        <w:rPr>
          <w:spacing w:val="-2"/>
        </w:rPr>
        <w:tab/>
      </w:r>
      <w:r w:rsidR="00DD68F7" w:rsidRPr="00F850F9">
        <w:rPr>
          <w:b/>
          <w:spacing w:val="-2"/>
        </w:rPr>
        <w:t>(</w:t>
      </w:r>
      <w:r w:rsidR="00CA1939" w:rsidRPr="00F850F9">
        <w:rPr>
          <w:b/>
          <w:spacing w:val="-2"/>
        </w:rPr>
        <w:t>45</w:t>
      </w:r>
      <w:r w:rsidRPr="00F850F9">
        <w:rPr>
          <w:b/>
          <w:spacing w:val="-2"/>
        </w:rPr>
        <w:t xml:space="preserve"> </w:t>
      </w:r>
      <w:r w:rsidR="00862D14" w:rsidRPr="00862D14">
        <w:rPr>
          <w:b/>
          <w:spacing w:val="-2"/>
        </w:rPr>
        <w:t>days after date of publication in the Federal Register</w:t>
      </w:r>
      <w:r w:rsidR="00DD68F7" w:rsidRPr="00F850F9">
        <w:rPr>
          <w:b/>
          <w:spacing w:val="-2"/>
        </w:rPr>
        <w:t>)</w:t>
      </w:r>
    </w:p>
    <w:p w:rsidR="00626D72" w:rsidRDefault="00626D72" w:rsidP="00626D72">
      <w:pPr>
        <w:tabs>
          <w:tab w:val="left" w:pos="2160"/>
          <w:tab w:val="left" w:pos="2880"/>
          <w:tab w:val="left" w:pos="5760"/>
        </w:tabs>
        <w:rPr>
          <w:b/>
          <w:spacing w:val="-2"/>
        </w:rPr>
      </w:pPr>
    </w:p>
    <w:p w:rsidR="00CD683D" w:rsidRDefault="00CD683D">
      <w:pPr>
        <w:tabs>
          <w:tab w:val="left" w:pos="5760"/>
        </w:tabs>
        <w:rPr>
          <w:b/>
          <w:spacing w:val="-2"/>
        </w:rPr>
      </w:pPr>
      <w:r>
        <w:rPr>
          <w:spacing w:val="-2"/>
        </w:rPr>
        <w:t xml:space="preserve">By the Commission:   </w:t>
      </w:r>
      <w:r>
        <w:rPr>
          <w:b/>
          <w:spacing w:val="-2"/>
        </w:rPr>
        <w:t xml:space="preserve"> </w:t>
      </w:r>
    </w:p>
    <w:p w:rsidR="001E2B31" w:rsidRDefault="001E2B31" w:rsidP="001E2B31">
      <w:pPr>
        <w:pStyle w:val="TOCTitle"/>
      </w:pPr>
      <w:bookmarkStart w:id="2" w:name="TOChere"/>
      <w:bookmarkStart w:id="3" w:name="_Toc151525885"/>
      <w:bookmarkStart w:id="4" w:name="_Toc153880330"/>
      <w:bookmarkStart w:id="5" w:name="_Toc156193005"/>
      <w:bookmarkStart w:id="6" w:name="_Toc156207383"/>
      <w:bookmarkStart w:id="7" w:name="_Toc156386494"/>
      <w:bookmarkStart w:id="8" w:name="_Toc156728504"/>
      <w:bookmarkStart w:id="9" w:name="_Toc156984277"/>
      <w:bookmarkStart w:id="10" w:name="_Toc157345920"/>
      <w:bookmarkStart w:id="11" w:name="_Toc157942543"/>
      <w:bookmarkStart w:id="12" w:name="_Toc158021171"/>
      <w:bookmarkStart w:id="13" w:name="_Toc158021228"/>
      <w:bookmarkStart w:id="14" w:name="_Toc158185333"/>
      <w:bookmarkStart w:id="15" w:name="_Toc158197553"/>
      <w:bookmarkStart w:id="16" w:name="_Toc158544518"/>
      <w:bookmarkStart w:id="17" w:name="_Toc158704654"/>
      <w:bookmarkStart w:id="18" w:name="_Toc158736718"/>
      <w:bookmarkStart w:id="19" w:name="_Toc158803357"/>
      <w:bookmarkStart w:id="20" w:name="_Toc159322358"/>
      <w:bookmarkStart w:id="21" w:name="_Toc159407161"/>
      <w:bookmarkStart w:id="22" w:name="_Toc159407221"/>
      <w:bookmarkStart w:id="23" w:name="_Toc159842247"/>
      <w:bookmarkStart w:id="24" w:name="_Toc159843542"/>
      <w:bookmarkStart w:id="25" w:name="_Toc159846870"/>
      <w:bookmarkStart w:id="26" w:name="_Toc159846994"/>
      <w:bookmarkStart w:id="27" w:name="_Toc164830304"/>
      <w:bookmarkStart w:id="28" w:name="_Toc164837653"/>
      <w:bookmarkStart w:id="29" w:name="_Toc164837990"/>
      <w:bookmarkStart w:id="30" w:name="_Toc164842299"/>
      <w:bookmarkStart w:id="31" w:name="_Toc164846120"/>
      <w:bookmarkStart w:id="32" w:name="_Toc164846145"/>
      <w:r>
        <w:t>Table of Contents</w:t>
      </w:r>
    </w:p>
    <w:p w:rsidR="001E2B31" w:rsidRDefault="001E2B31" w:rsidP="001E2B31">
      <w:pPr>
        <w:pStyle w:val="Paratitle"/>
      </w:pPr>
      <w:r>
        <w:t>Heading</w:t>
      </w:r>
      <w:r>
        <w:tab/>
        <w:t>Paragraph #</w:t>
      </w:r>
      <w:bookmarkStart w:id="33" w:name="start_here"/>
      <w:bookmarkEnd w:id="33"/>
    </w:p>
    <w:p w:rsidR="001E2B31" w:rsidRDefault="001E2B31" w:rsidP="001E2B31">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BACKGROUND</w:t>
      </w:r>
      <w:r>
        <w:tab/>
      </w:r>
      <w:r w:rsidR="004F55BB">
        <w:t>1</w:t>
      </w:r>
    </w:p>
    <w:p w:rsidR="001E2B31" w:rsidRDefault="001E2B31" w:rsidP="001E2B31">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DISCUSSION</w:t>
      </w:r>
      <w:r>
        <w:tab/>
      </w:r>
      <w:r w:rsidR="004F55BB">
        <w:t>5</w:t>
      </w:r>
    </w:p>
    <w:p w:rsidR="001E2B31" w:rsidRDefault="001E2B31" w:rsidP="001E2B3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Extending the September 1, 2015 LPTV and TV Translator Digital Transition Date</w:t>
      </w:r>
      <w:r>
        <w:tab/>
      </w:r>
      <w:r w:rsidR="004F55BB">
        <w:t>5</w:t>
      </w:r>
    </w:p>
    <w:p w:rsidR="001E2B31" w:rsidRDefault="001E2B31" w:rsidP="001E2B3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LPTV and TV Translator Channel Sharing</w:t>
      </w:r>
      <w:r>
        <w:tab/>
        <w:t>1</w:t>
      </w:r>
      <w:r w:rsidR="004F55BB">
        <w:t>3</w:t>
      </w:r>
    </w:p>
    <w:p w:rsidR="001E2B31" w:rsidRDefault="001E2B31" w:rsidP="001E2B3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Extending Channel Sharing to LPTV and TV Translators</w:t>
      </w:r>
      <w:r>
        <w:tab/>
        <w:t>1</w:t>
      </w:r>
      <w:r w:rsidR="004F55BB">
        <w:t>3</w:t>
      </w:r>
    </w:p>
    <w:p w:rsidR="001E2B31" w:rsidRDefault="001E2B31" w:rsidP="001E2B3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Voluntary and Flexible Channel Sharing</w:t>
      </w:r>
      <w:r>
        <w:tab/>
        <w:t>1</w:t>
      </w:r>
      <w:r w:rsidR="004F55BB">
        <w:t>6</w:t>
      </w:r>
    </w:p>
    <w:p w:rsidR="001E2B31" w:rsidRDefault="001E2B31" w:rsidP="001E2B31">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Licensing Procedures</w:t>
      </w:r>
      <w:r>
        <w:tab/>
      </w:r>
      <w:r w:rsidR="004F55BB">
        <w:t>19</w:t>
      </w:r>
    </w:p>
    <w:p w:rsidR="001E2B31" w:rsidRDefault="00AF67D7" w:rsidP="001E2B31">
      <w:pPr>
        <w:pStyle w:val="TOC3"/>
        <w:tabs>
          <w:tab w:val="left" w:pos="360"/>
        </w:tabs>
      </w:pPr>
      <w:r>
        <w:t>4</w:t>
      </w:r>
      <w:r w:rsidR="001E2B31">
        <w:t>.</w:t>
      </w:r>
      <w:r w:rsidR="001E2B31">
        <w:rPr>
          <w:rFonts w:asciiTheme="minorHAnsi" w:eastAsiaTheme="minorEastAsia" w:hAnsiTheme="minorHAnsi" w:cstheme="minorBidi"/>
          <w:snapToGrid/>
          <w:kern w:val="0"/>
          <w:szCs w:val="22"/>
        </w:rPr>
        <w:tab/>
      </w:r>
      <w:r w:rsidR="001E2B31">
        <w:t>Channel Sharing Operating Rules</w:t>
      </w:r>
      <w:r w:rsidR="001E2B31">
        <w:tab/>
        <w:t>2</w:t>
      </w:r>
      <w:r w:rsidR="004F55BB">
        <w:t>3</w:t>
      </w:r>
    </w:p>
    <w:p w:rsidR="00AF67D7" w:rsidRDefault="00AF67D7" w:rsidP="00AF67D7">
      <w:pPr>
        <w:pStyle w:val="TOC3"/>
        <w:tabs>
          <w:tab w:val="left" w:pos="360"/>
        </w:tabs>
        <w:rPr>
          <w:rFonts w:asciiTheme="minorHAnsi" w:eastAsiaTheme="minorEastAsia" w:hAnsiTheme="minorHAnsi" w:cstheme="minorBidi"/>
          <w:snapToGrid/>
          <w:kern w:val="0"/>
          <w:szCs w:val="22"/>
        </w:rPr>
      </w:pPr>
      <w:r>
        <w:t>5.</w:t>
      </w:r>
      <w:r>
        <w:tab/>
        <w:t>Channel Sharing Between LPTV and TV Translators and Other Television Services</w:t>
      </w:r>
      <w:r>
        <w:tab/>
        <w:t>2</w:t>
      </w:r>
      <w:r w:rsidR="004F55BB">
        <w:t>5</w:t>
      </w:r>
    </w:p>
    <w:p w:rsidR="001E2B31" w:rsidRDefault="001E2B31" w:rsidP="001E2B3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Creation of a New Digital-to-Digital Replacement Translator Service</w:t>
      </w:r>
      <w:r>
        <w:tab/>
      </w:r>
      <w:r w:rsidR="004F55BB">
        <w:t>2</w:t>
      </w:r>
      <w:r w:rsidR="008E7420">
        <w:t>8</w:t>
      </w:r>
    </w:p>
    <w:p w:rsidR="001E2B31" w:rsidRDefault="001E2B31" w:rsidP="001E2B31">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Licensing of Digital-to-Digital Replacement Translators</w:t>
      </w:r>
      <w:r>
        <w:tab/>
        <w:t>3</w:t>
      </w:r>
      <w:r w:rsidR="004F55BB">
        <w:t>2</w:t>
      </w:r>
    </w:p>
    <w:p w:rsidR="001E2B31" w:rsidRDefault="001E2B31" w:rsidP="001E2B31">
      <w:pPr>
        <w:pStyle w:val="TOC4"/>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Eligibility</w:t>
      </w:r>
      <w:r w:rsidR="004F55BB">
        <w:t>/Service Area</w:t>
      </w:r>
      <w:r>
        <w:tab/>
        <w:t>3</w:t>
      </w:r>
      <w:r w:rsidR="004F55BB">
        <w:t>2</w:t>
      </w:r>
    </w:p>
    <w:p w:rsidR="001E2B31" w:rsidRDefault="001E2B31" w:rsidP="00964C04">
      <w:pPr>
        <w:pStyle w:val="TOC4"/>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Processing Priority</w:t>
      </w:r>
      <w:r>
        <w:tab/>
        <w:t>35</w:t>
      </w:r>
    </w:p>
    <w:p w:rsidR="001E2B31" w:rsidRDefault="004F55BB" w:rsidP="001E2B31">
      <w:pPr>
        <w:pStyle w:val="TOC4"/>
        <w:tabs>
          <w:tab w:val="left" w:pos="360"/>
        </w:tabs>
        <w:rPr>
          <w:rFonts w:asciiTheme="minorHAnsi" w:eastAsiaTheme="minorEastAsia" w:hAnsiTheme="minorHAnsi" w:cstheme="minorBidi"/>
          <w:snapToGrid/>
          <w:kern w:val="0"/>
          <w:szCs w:val="22"/>
        </w:rPr>
      </w:pPr>
      <w:r>
        <w:t>c</w:t>
      </w:r>
      <w:r w:rsidR="001E2B31">
        <w:t>.</w:t>
      </w:r>
      <w:r w:rsidR="001E2B31">
        <w:rPr>
          <w:rFonts w:asciiTheme="minorHAnsi" w:eastAsiaTheme="minorEastAsia" w:hAnsiTheme="minorHAnsi" w:cstheme="minorBidi"/>
          <w:snapToGrid/>
          <w:kern w:val="0"/>
          <w:szCs w:val="22"/>
        </w:rPr>
        <w:tab/>
      </w:r>
      <w:r w:rsidR="001E2B31">
        <w:t>Licensing and Operating Rules</w:t>
      </w:r>
      <w:r w:rsidR="001E2B31">
        <w:tab/>
        <w:t>3</w:t>
      </w:r>
      <w:r>
        <w:t>7</w:t>
      </w:r>
    </w:p>
    <w:p w:rsidR="001E2B31" w:rsidRDefault="001E2B31" w:rsidP="001E2B31">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Discontinuation of Applications for DRTs</w:t>
      </w:r>
      <w:r>
        <w:tab/>
        <w:t>4</w:t>
      </w:r>
      <w:r w:rsidR="004F55BB">
        <w:t>3</w:t>
      </w:r>
    </w:p>
    <w:p w:rsidR="001E2B31" w:rsidRDefault="001E2B31" w:rsidP="001E2B31">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Assistance to LPTV and TV Translator Stations in Finding Displacement Channels After the Incentive Auction</w:t>
      </w:r>
      <w:r>
        <w:tab/>
        <w:t>4</w:t>
      </w:r>
      <w:r w:rsidR="004F55BB">
        <w:t>4</w:t>
      </w:r>
    </w:p>
    <w:p w:rsidR="001E2B31" w:rsidRDefault="001E2B31" w:rsidP="001E2B31">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Operation of Analog Radio Services by Digital LPTV Stations as Ancillary or Supplementary Services</w:t>
      </w:r>
      <w:r>
        <w:tab/>
        <w:t>4</w:t>
      </w:r>
      <w:r w:rsidR="004F55BB">
        <w:t>7</w:t>
      </w:r>
    </w:p>
    <w:p w:rsidR="001E2B31" w:rsidRDefault="001E2B31" w:rsidP="001E2B31">
      <w:pPr>
        <w:pStyle w:val="TOC2"/>
        <w:tabs>
          <w:tab w:val="left" w:pos="360"/>
        </w:tabs>
        <w:rPr>
          <w:rFonts w:asciiTheme="minorHAnsi" w:eastAsiaTheme="minorEastAsia" w:hAnsiTheme="minorHAnsi" w:cstheme="minorBidi"/>
          <w:snapToGrid/>
          <w:kern w:val="0"/>
          <w:szCs w:val="22"/>
        </w:rPr>
      </w:pPr>
      <w:r>
        <w:t>F.</w:t>
      </w:r>
      <w:r>
        <w:rPr>
          <w:rFonts w:asciiTheme="minorHAnsi" w:eastAsiaTheme="minorEastAsia" w:hAnsiTheme="minorHAnsi" w:cstheme="minorBidi"/>
          <w:snapToGrid/>
          <w:kern w:val="0"/>
          <w:szCs w:val="22"/>
        </w:rPr>
        <w:tab/>
      </w:r>
      <w:r>
        <w:t>Elimination of Analog Tuner Requirement</w:t>
      </w:r>
      <w:r>
        <w:tab/>
        <w:t>5</w:t>
      </w:r>
      <w:r w:rsidR="004F55BB">
        <w:t>4</w:t>
      </w:r>
    </w:p>
    <w:p w:rsidR="001E2B31" w:rsidRDefault="001E2B31" w:rsidP="001E2B31">
      <w:pPr>
        <w:pStyle w:val="TOC2"/>
        <w:tabs>
          <w:tab w:val="left" w:pos="360"/>
        </w:tabs>
      </w:pPr>
      <w:r>
        <w:t>G.</w:t>
      </w:r>
      <w:r>
        <w:rPr>
          <w:rFonts w:asciiTheme="minorHAnsi" w:eastAsiaTheme="minorEastAsia" w:hAnsiTheme="minorHAnsi" w:cstheme="minorBidi"/>
          <w:snapToGrid/>
          <w:kern w:val="0"/>
          <w:szCs w:val="22"/>
        </w:rPr>
        <w:tab/>
      </w:r>
      <w:r>
        <w:t xml:space="preserve">Additional Measures to </w:t>
      </w:r>
      <w:r w:rsidR="005C4FB0">
        <w:t>Preserve LPTV and TV Translator Services</w:t>
      </w:r>
      <w:r>
        <w:tab/>
      </w:r>
      <w:r w:rsidR="004F55BB">
        <w:t>59</w:t>
      </w:r>
    </w:p>
    <w:p w:rsidR="00DD68F7" w:rsidRDefault="00DD68F7" w:rsidP="00F850F9">
      <w:pPr>
        <w:rPr>
          <w:rFonts w:eastAsiaTheme="minorEastAsia"/>
        </w:rPr>
      </w:pPr>
    </w:p>
    <w:p w:rsidR="00DD68F7" w:rsidRPr="00F850F9" w:rsidRDefault="00DD68F7" w:rsidP="00F850F9">
      <w:pPr>
        <w:rPr>
          <w:rFonts w:eastAsiaTheme="minorEastAsia"/>
        </w:rPr>
      </w:pPr>
    </w:p>
    <w:p w:rsidR="001E2B31" w:rsidRDefault="001E2B31" w:rsidP="001E2B31">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PROCEDURAL MATTERS</w:t>
      </w:r>
      <w:r>
        <w:tab/>
        <w:t>6</w:t>
      </w:r>
      <w:r w:rsidR="004F55BB">
        <w:t>0</w:t>
      </w:r>
    </w:p>
    <w:p w:rsidR="001E2B31" w:rsidRDefault="001E2B31" w:rsidP="001E2B31">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Ex Parte Presentations</w:t>
      </w:r>
      <w:r>
        <w:tab/>
        <w:t>6</w:t>
      </w:r>
      <w:r w:rsidR="004F55BB">
        <w:t>0</w:t>
      </w:r>
    </w:p>
    <w:p w:rsidR="001E2B31" w:rsidRDefault="001E2B31" w:rsidP="001E2B31">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Comment Period and Filing Procedures</w:t>
      </w:r>
      <w:r>
        <w:tab/>
        <w:t>6</w:t>
      </w:r>
      <w:r w:rsidR="004F55BB">
        <w:t>1</w:t>
      </w:r>
    </w:p>
    <w:p w:rsidR="001E2B31" w:rsidRDefault="001E2B31" w:rsidP="001E2B31">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Initial Regulatory Flexibility Analysis</w:t>
      </w:r>
      <w:r>
        <w:tab/>
        <w:t>6</w:t>
      </w:r>
      <w:r w:rsidR="004F55BB">
        <w:t>4</w:t>
      </w:r>
    </w:p>
    <w:p w:rsidR="001E2B31" w:rsidRDefault="001E2B31" w:rsidP="001E2B31">
      <w:pPr>
        <w:pStyle w:val="TOC2"/>
        <w:tabs>
          <w:tab w:val="left" w:pos="360"/>
        </w:tabs>
        <w:rPr>
          <w:rFonts w:asciiTheme="minorHAnsi" w:eastAsiaTheme="minorEastAsia" w:hAnsiTheme="minorHAnsi" w:cstheme="minorBidi"/>
          <w:snapToGrid/>
          <w:kern w:val="0"/>
          <w:szCs w:val="22"/>
        </w:rPr>
      </w:pPr>
      <w:r>
        <w:t>D.</w:t>
      </w:r>
      <w:r>
        <w:rPr>
          <w:rFonts w:asciiTheme="minorHAnsi" w:eastAsiaTheme="minorEastAsia" w:hAnsiTheme="minorHAnsi" w:cstheme="minorBidi"/>
          <w:snapToGrid/>
          <w:kern w:val="0"/>
          <w:szCs w:val="22"/>
        </w:rPr>
        <w:tab/>
      </w:r>
      <w:r>
        <w:t>Paperwork Reduction Act Analysis</w:t>
      </w:r>
      <w:r>
        <w:tab/>
        <w:t>6</w:t>
      </w:r>
      <w:r w:rsidR="004F55BB">
        <w:t>5</w:t>
      </w:r>
    </w:p>
    <w:p w:rsidR="001E2B31" w:rsidRDefault="001E2B31" w:rsidP="001E2B31">
      <w:pPr>
        <w:pStyle w:val="TOC2"/>
        <w:tabs>
          <w:tab w:val="left" w:pos="360"/>
        </w:tabs>
        <w:rPr>
          <w:rFonts w:asciiTheme="minorHAnsi" w:eastAsiaTheme="minorEastAsia" w:hAnsiTheme="minorHAnsi" w:cstheme="minorBidi"/>
          <w:snapToGrid/>
          <w:kern w:val="0"/>
          <w:szCs w:val="22"/>
        </w:rPr>
      </w:pPr>
      <w:r>
        <w:t>E.</w:t>
      </w:r>
      <w:r>
        <w:rPr>
          <w:rFonts w:asciiTheme="minorHAnsi" w:eastAsiaTheme="minorEastAsia" w:hAnsiTheme="minorHAnsi" w:cstheme="minorBidi"/>
          <w:snapToGrid/>
          <w:kern w:val="0"/>
          <w:szCs w:val="22"/>
        </w:rPr>
        <w:tab/>
      </w:r>
      <w:r>
        <w:t>Further Information</w:t>
      </w:r>
      <w:r>
        <w:tab/>
        <w:t>6</w:t>
      </w:r>
      <w:r w:rsidR="004F55BB">
        <w:t>6</w:t>
      </w:r>
    </w:p>
    <w:p w:rsidR="001E2B31" w:rsidRDefault="001E2B31" w:rsidP="001E2B31">
      <w:pPr>
        <w:pStyle w:val="TOC1"/>
      </w:pPr>
      <w:r>
        <w:t>IV.</w:t>
      </w:r>
      <w:r>
        <w:rPr>
          <w:rFonts w:asciiTheme="minorHAnsi" w:eastAsiaTheme="minorEastAsia" w:hAnsiTheme="minorHAnsi" w:cstheme="minorBidi"/>
          <w:caps w:val="0"/>
          <w:snapToGrid/>
          <w:kern w:val="0"/>
          <w:szCs w:val="22"/>
        </w:rPr>
        <w:tab/>
      </w:r>
      <w:r>
        <w:t>ORDERING CLAUSES</w:t>
      </w:r>
      <w:r>
        <w:tab/>
      </w:r>
      <w:r w:rsidR="004F55BB">
        <w:t>67</w:t>
      </w:r>
    </w:p>
    <w:p w:rsidR="00BA7ED3" w:rsidRDefault="00BA7ED3" w:rsidP="001E2B31">
      <w:pPr>
        <w:rPr>
          <w:rFonts w:eastAsiaTheme="minorEastAsia"/>
        </w:rPr>
      </w:pPr>
      <w:r>
        <w:rPr>
          <w:rFonts w:eastAsiaTheme="minorEastAsia"/>
        </w:rPr>
        <w:t>APPENDIX A – PROPOSED RULES</w:t>
      </w:r>
    </w:p>
    <w:p w:rsidR="00BA7ED3" w:rsidRDefault="00BA7ED3" w:rsidP="001E2B31">
      <w:pPr>
        <w:rPr>
          <w:rFonts w:eastAsiaTheme="minorEastAsia"/>
        </w:rPr>
      </w:pPr>
      <w:r>
        <w:rPr>
          <w:rFonts w:eastAsiaTheme="minorEastAsia"/>
        </w:rPr>
        <w:t>APPENDIX B – INITIAL REGULATORY FLEXIBILITY ANALYSIS</w:t>
      </w:r>
    </w:p>
    <w:p w:rsidR="00BA7ED3" w:rsidRPr="001E2B31" w:rsidRDefault="00BA7ED3" w:rsidP="001E2B31">
      <w:pPr>
        <w:rPr>
          <w:rFonts w:eastAsiaTheme="minorEastAsia"/>
        </w:rPr>
      </w:pPr>
    </w:p>
    <w:p w:rsidR="00CD683D" w:rsidRDefault="005B5ECE">
      <w:pPr>
        <w:pStyle w:val="Heading1"/>
      </w:pPr>
      <w:bookmarkStart w:id="34" w:name="_Toc393265895"/>
      <w:bookmarkEnd w:id="2"/>
      <w:r>
        <w:t>BACKGROUND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4"/>
    </w:p>
    <w:p w:rsidR="002214B4" w:rsidRDefault="002214B4" w:rsidP="005C4FB0">
      <w:pPr>
        <w:pStyle w:val="ParaNum"/>
      </w:pPr>
      <w:r w:rsidRPr="001C2C96">
        <w:t>In this Third Notice of Proposed Rulemaking (</w:t>
      </w:r>
      <w:r w:rsidR="002A611C" w:rsidRPr="001C2C96">
        <w:t>“</w:t>
      </w:r>
      <w:r w:rsidR="00560333">
        <w:t>Third</w:t>
      </w:r>
      <w:r w:rsidRPr="001C2C96">
        <w:t xml:space="preserve"> Notice</w:t>
      </w:r>
      <w:r w:rsidR="002A611C" w:rsidRPr="001C2C96">
        <w:t>”</w:t>
      </w:r>
      <w:r w:rsidRPr="001C2C96">
        <w:t xml:space="preserve">), we seek comment on a </w:t>
      </w:r>
      <w:r w:rsidRPr="00AF5313">
        <w:t>number of issue</w:t>
      </w:r>
      <w:r w:rsidR="00622283" w:rsidRPr="00AF5313">
        <w:t>s</w:t>
      </w:r>
      <w:r w:rsidRPr="00AF5313">
        <w:t xml:space="preserve"> involving</w:t>
      </w:r>
      <w:r w:rsidRPr="001C2C96">
        <w:t xml:space="preserve"> low power television</w:t>
      </w:r>
      <w:r w:rsidR="004C1CDC">
        <w:t xml:space="preserve"> (“LPTV”)</w:t>
      </w:r>
      <w:r w:rsidRPr="001C2C96">
        <w:t xml:space="preserve"> </w:t>
      </w:r>
      <w:r w:rsidR="004C1CDC">
        <w:t xml:space="preserve">and </w:t>
      </w:r>
      <w:r w:rsidRPr="001C2C96">
        <w:t xml:space="preserve">TV translator </w:t>
      </w:r>
      <w:r w:rsidR="004C1CDC">
        <w:t>stations</w:t>
      </w:r>
      <w:r w:rsidR="00007582">
        <w:t xml:space="preserve"> (referred to collectively as “</w:t>
      </w:r>
      <w:r w:rsidR="0048702D">
        <w:t>LPTV and TV translator stations</w:t>
      </w:r>
      <w:r w:rsidR="00007582">
        <w:t>”)</w:t>
      </w:r>
      <w:r w:rsidR="00A17CF4" w:rsidRPr="001C2C96">
        <w:t xml:space="preserve">.  </w:t>
      </w:r>
      <w:r w:rsidR="0048702D">
        <w:t>These</w:t>
      </w:r>
      <w:r w:rsidR="004C1CDC" w:rsidRPr="00437310">
        <w:t xml:space="preserve"> stations </w:t>
      </w:r>
      <w:r w:rsidR="002C2ED8">
        <w:t>are</w:t>
      </w:r>
      <w:r w:rsidR="004C1CDC" w:rsidRPr="00437310">
        <w:t xml:space="preserve"> a</w:t>
      </w:r>
      <w:r w:rsidR="004C1CDC">
        <w:t xml:space="preserve"> </w:t>
      </w:r>
      <w:r w:rsidR="004C1CDC" w:rsidRPr="00437310">
        <w:t xml:space="preserve">source of diverse and local programming </w:t>
      </w:r>
      <w:r w:rsidR="00CA1939">
        <w:t xml:space="preserve">for viewers, </w:t>
      </w:r>
      <w:r w:rsidR="00823E37">
        <w:t xml:space="preserve">especially </w:t>
      </w:r>
      <w:r w:rsidR="004C1CDC" w:rsidRPr="00437310">
        <w:t>in rural and remote locations.</w:t>
      </w:r>
      <w:r w:rsidR="004C1CDC">
        <w:rPr>
          <w:rStyle w:val="FootnoteReference"/>
        </w:rPr>
        <w:footnoteReference w:id="2"/>
      </w:r>
      <w:r w:rsidR="004C1CDC">
        <w:t xml:space="preserve">  </w:t>
      </w:r>
      <w:r w:rsidR="00A17CF4" w:rsidRPr="001C2C96">
        <w:t>Through this proceeding</w:t>
      </w:r>
      <w:r w:rsidR="00BF1439">
        <w:t>,</w:t>
      </w:r>
      <w:r w:rsidR="00A17CF4" w:rsidRPr="001C2C96">
        <w:t xml:space="preserve"> we seek </w:t>
      </w:r>
      <w:r w:rsidR="00BF1439">
        <w:t xml:space="preserve">comment on measures </w:t>
      </w:r>
      <w:r w:rsidR="00A17CF4" w:rsidRPr="001C2C96">
        <w:t xml:space="preserve">to </w:t>
      </w:r>
      <w:r w:rsidRPr="001C2C96">
        <w:t xml:space="preserve">facilitate </w:t>
      </w:r>
      <w:r w:rsidR="00A17CF4" w:rsidRPr="001C2C96">
        <w:t xml:space="preserve">the final conversion of </w:t>
      </w:r>
      <w:r w:rsidR="00F100DC">
        <w:t>LPTV and TV translator</w:t>
      </w:r>
      <w:r w:rsidR="00A17CF4" w:rsidRPr="001C2C96">
        <w:t xml:space="preserve"> stations to digital </w:t>
      </w:r>
      <w:r w:rsidR="004C1CDC">
        <w:t xml:space="preserve">service </w:t>
      </w:r>
      <w:r w:rsidR="00A17CF4" w:rsidRPr="001C2C96">
        <w:t>and</w:t>
      </w:r>
      <w:r w:rsidR="005C4FB0" w:rsidRPr="005C4FB0">
        <w:t xml:space="preserve"> consider additional means to mitigate the potential impact of the incentive auction and the repacking process on LPTV and TV translator stations to help preserve the important services they provide</w:t>
      </w:r>
      <w:r w:rsidR="00CA5B4F">
        <w:t>.</w:t>
      </w:r>
      <w:r>
        <w:t xml:space="preserve"> </w:t>
      </w:r>
    </w:p>
    <w:p w:rsidR="00006169" w:rsidRPr="00006169" w:rsidRDefault="002C2ED8" w:rsidP="00822B16">
      <w:pPr>
        <w:pStyle w:val="ParaNum"/>
        <w:widowControl/>
      </w:pPr>
      <w:r>
        <w:t xml:space="preserve">In </w:t>
      </w:r>
      <w:r w:rsidR="005C4FB0">
        <w:t>May</w:t>
      </w:r>
      <w:r>
        <w:t xml:space="preserve"> 2014, </w:t>
      </w:r>
      <w:r w:rsidR="006B44B6">
        <w:t>we</w:t>
      </w:r>
      <w:r w:rsidRPr="00DF36C2">
        <w:t xml:space="preserve"> </w:t>
      </w:r>
      <w:r w:rsidR="005C4FB0">
        <w:t>adopted</w:t>
      </w:r>
      <w:r w:rsidRPr="00DF36C2">
        <w:t xml:space="preserve"> a </w:t>
      </w:r>
      <w:r w:rsidRPr="00DC1326">
        <w:rPr>
          <w:i/>
        </w:rPr>
        <w:t>Report and Order</w:t>
      </w:r>
      <w:r w:rsidRPr="00DF36C2">
        <w:t xml:space="preserve"> </w:t>
      </w:r>
      <w:r w:rsidR="0056017A">
        <w:t xml:space="preserve">promulgating </w:t>
      </w:r>
      <w:r>
        <w:t xml:space="preserve">rules to implement the </w:t>
      </w:r>
      <w:r w:rsidRPr="00DF36C2">
        <w:t>broadcast televi</w:t>
      </w:r>
      <w:r>
        <w:t xml:space="preserve">sion spectrum incentive auction authorized by the </w:t>
      </w:r>
      <w:r w:rsidR="00FF72F5">
        <w:t>Middle Class Tax Relief and Job Creation Act</w:t>
      </w:r>
      <w:r>
        <w:t xml:space="preserve"> (the “Spectrum Act”)</w:t>
      </w:r>
      <w:r w:rsidRPr="00DF36C2">
        <w:t>.</w:t>
      </w:r>
      <w:r w:rsidRPr="00DF36C2">
        <w:rPr>
          <w:rStyle w:val="FootnoteReference"/>
        </w:rPr>
        <w:footnoteReference w:id="3"/>
      </w:r>
      <w:r>
        <w:t xml:space="preserve">  </w:t>
      </w:r>
      <w:r w:rsidR="00617FF2">
        <w:t xml:space="preserve">As </w:t>
      </w:r>
      <w:r w:rsidR="006B44B6">
        <w:t>we</w:t>
      </w:r>
      <w:r w:rsidR="00006169">
        <w:t xml:space="preserve"> </w:t>
      </w:r>
      <w:r w:rsidR="00437310" w:rsidRPr="00437310">
        <w:t>recognize</w:t>
      </w:r>
      <w:r w:rsidR="00006169">
        <w:t>d</w:t>
      </w:r>
      <w:r>
        <w:t xml:space="preserve"> in the </w:t>
      </w:r>
      <w:r w:rsidRPr="00010777">
        <w:rPr>
          <w:i/>
        </w:rPr>
        <w:t>Incentive Auction Report and Order</w:t>
      </w:r>
      <w:r w:rsidR="00617FF2">
        <w:t>,</w:t>
      </w:r>
      <w:r w:rsidR="00437310" w:rsidRPr="00437310">
        <w:t xml:space="preserve"> </w:t>
      </w:r>
      <w:r>
        <w:t xml:space="preserve">the auction </w:t>
      </w:r>
      <w:r w:rsidR="00617FF2">
        <w:t xml:space="preserve">will </w:t>
      </w:r>
      <w:r w:rsidR="00B639F7">
        <w:t xml:space="preserve">potentially displace </w:t>
      </w:r>
      <w:r w:rsidR="00617FF2">
        <w:t xml:space="preserve">a significant </w:t>
      </w:r>
      <w:r w:rsidR="00B639F7">
        <w:t xml:space="preserve">number of LPTV and TV translator </w:t>
      </w:r>
      <w:r w:rsidR="00006169">
        <w:t>stations.</w:t>
      </w:r>
      <w:r w:rsidR="00006169">
        <w:rPr>
          <w:rStyle w:val="FootnoteReference"/>
        </w:rPr>
        <w:footnoteReference w:id="4"/>
      </w:r>
      <w:r w:rsidR="00006169">
        <w:t xml:space="preserve">  </w:t>
      </w:r>
      <w:r w:rsidR="004C1CDC" w:rsidRPr="001C2C96">
        <w:t>As part of the incentive a</w:t>
      </w:r>
      <w:r w:rsidR="004C1CDC">
        <w:t xml:space="preserve">uction, </w:t>
      </w:r>
      <w:r w:rsidR="006B44B6">
        <w:t>we</w:t>
      </w:r>
      <w:r w:rsidR="004C1CDC">
        <w:t xml:space="preserve"> will </w:t>
      </w:r>
      <w:r w:rsidR="004C1CDC" w:rsidRPr="001C2C96">
        <w:t>reorganiz</w:t>
      </w:r>
      <w:r w:rsidR="0030445B">
        <w:t>e</w:t>
      </w:r>
      <w:r w:rsidR="004C1CDC" w:rsidRPr="001C2C96">
        <w:t xml:space="preserve"> or “repack” the broadcast television bands in order to free up a portion of the ultra high frequency (UHF) band for new flexible uses.</w:t>
      </w:r>
      <w:r w:rsidR="004C1CDC" w:rsidRPr="001C2C96">
        <w:rPr>
          <w:rStyle w:val="FootnoteReference"/>
        </w:rPr>
        <w:footnoteReference w:id="5"/>
      </w:r>
      <w:r w:rsidR="00C07B18">
        <w:t xml:space="preserve">  </w:t>
      </w:r>
      <w:r w:rsidR="00BD0D97">
        <w:t xml:space="preserve">Consistent with the requirements of the Spectrum Act, </w:t>
      </w:r>
      <w:r w:rsidR="006B44B6">
        <w:t>we</w:t>
      </w:r>
      <w:r>
        <w:t xml:space="preserve"> </w:t>
      </w:r>
      <w:r w:rsidR="00BD0D97">
        <w:t xml:space="preserve">will </w:t>
      </w:r>
      <w:r w:rsidR="005C4FB0">
        <w:t>make all reasonable efforts</w:t>
      </w:r>
      <w:r w:rsidR="00BD0D97">
        <w:t xml:space="preserve"> to preserve the coverage area and population served of eligible full power and Class A television stations in the repacking process, but LPTV and TV translator stations will not receive such protection.</w:t>
      </w:r>
      <w:r w:rsidR="001D7DB1">
        <w:rPr>
          <w:rStyle w:val="FootnoteReference"/>
        </w:rPr>
        <w:footnoteReference w:id="6"/>
      </w:r>
      <w:r w:rsidR="00006169" w:rsidRPr="00006169">
        <w:t xml:space="preserve"> </w:t>
      </w:r>
      <w:r w:rsidR="001D7DB1">
        <w:t xml:space="preserve"> </w:t>
      </w:r>
      <w:r w:rsidR="0030445B">
        <w:t xml:space="preserve">Accordingly, </w:t>
      </w:r>
      <w:r w:rsidR="00DB534D">
        <w:t xml:space="preserve">a significant number of </w:t>
      </w:r>
      <w:r w:rsidR="00006169">
        <w:t>LPTV and TV translator</w:t>
      </w:r>
      <w:r w:rsidR="00006169" w:rsidRPr="00006169">
        <w:t xml:space="preserve"> stations </w:t>
      </w:r>
      <w:r w:rsidR="003D7549">
        <w:t xml:space="preserve">may be </w:t>
      </w:r>
      <w:r w:rsidR="00006169" w:rsidRPr="00006169">
        <w:t xml:space="preserve">displaced </w:t>
      </w:r>
      <w:r w:rsidR="0030445B">
        <w:t xml:space="preserve">as a result of the </w:t>
      </w:r>
      <w:r w:rsidR="00231778">
        <w:t xml:space="preserve">auction or </w:t>
      </w:r>
      <w:r w:rsidR="0030445B">
        <w:t xml:space="preserve">repacking process </w:t>
      </w:r>
      <w:r w:rsidR="00006169" w:rsidRPr="00006169">
        <w:t xml:space="preserve">and </w:t>
      </w:r>
      <w:r w:rsidR="0001345B">
        <w:t>required</w:t>
      </w:r>
      <w:r w:rsidR="0001345B" w:rsidRPr="00006169">
        <w:t xml:space="preserve"> </w:t>
      </w:r>
      <w:r w:rsidR="00006169" w:rsidRPr="00006169">
        <w:t>to</w:t>
      </w:r>
      <w:r w:rsidR="0030445B">
        <w:t xml:space="preserve"> </w:t>
      </w:r>
      <w:r w:rsidR="00006169" w:rsidRPr="00006169">
        <w:t xml:space="preserve">find a </w:t>
      </w:r>
      <w:r w:rsidR="00006169" w:rsidRPr="00006169">
        <w:lastRenderedPageBreak/>
        <w:t>new channel</w:t>
      </w:r>
      <w:r w:rsidR="00E40FA8">
        <w:t xml:space="preserve"> from the smaller number of channels that will remain in the reorganized spectrum </w:t>
      </w:r>
      <w:r w:rsidR="0030445B">
        <w:t>or</w:t>
      </w:r>
      <w:r w:rsidR="00006169" w:rsidRPr="00006169">
        <w:t xml:space="preserve"> discontinue operations.</w:t>
      </w:r>
      <w:r w:rsidR="0008532D">
        <w:rPr>
          <w:rStyle w:val="FootnoteReference"/>
        </w:rPr>
        <w:footnoteReference w:id="7"/>
      </w:r>
      <w:r w:rsidR="0008532D">
        <w:t xml:space="preserve"> </w:t>
      </w:r>
      <w:r w:rsidR="00771B8A">
        <w:t xml:space="preserve"> </w:t>
      </w:r>
      <w:r w:rsidR="00006169" w:rsidRPr="00006169">
        <w:t xml:space="preserve">    </w:t>
      </w:r>
    </w:p>
    <w:p w:rsidR="0057724E" w:rsidRPr="00F4684A" w:rsidRDefault="00D30451" w:rsidP="00A247EC">
      <w:pPr>
        <w:pStyle w:val="ParaNum"/>
      </w:pPr>
      <w:r>
        <w:t>In order to mitigate the impact of the auction and repacking process on</w:t>
      </w:r>
      <w:r w:rsidR="0021775F">
        <w:t xml:space="preserve"> LPTV and TV translator</w:t>
      </w:r>
      <w:r>
        <w:t xml:space="preserve"> stations, </w:t>
      </w:r>
      <w:r w:rsidR="00965C3B">
        <w:t>and</w:t>
      </w:r>
      <w:r w:rsidRPr="005842F0">
        <w:t xml:space="preserve"> </w:t>
      </w:r>
      <w:r w:rsidR="006D74D5">
        <w:t xml:space="preserve">to attempt to ensure </w:t>
      </w:r>
      <w:r w:rsidR="00DA2F6C">
        <w:t xml:space="preserve">that </w:t>
      </w:r>
      <w:r w:rsidRPr="005842F0">
        <w:t>the programming they provide continues to reach viewers</w:t>
      </w:r>
      <w:r w:rsidR="00965C3B">
        <w:t xml:space="preserve">, </w:t>
      </w:r>
      <w:r w:rsidR="006B44B6">
        <w:t>we</w:t>
      </w:r>
      <w:r>
        <w:t xml:space="preserve"> </w:t>
      </w:r>
      <w:r w:rsidR="00A247EC">
        <w:t xml:space="preserve">directed the Media Bureau </w:t>
      </w:r>
      <w:r w:rsidR="00965C3B">
        <w:t xml:space="preserve">in the </w:t>
      </w:r>
      <w:r w:rsidR="00965C3B" w:rsidRPr="00DC1326">
        <w:rPr>
          <w:i/>
        </w:rPr>
        <w:t>Incentive Auction Report and Order</w:t>
      </w:r>
      <w:r w:rsidR="00965C3B">
        <w:t xml:space="preserve"> </w:t>
      </w:r>
      <w:r w:rsidR="00A247EC">
        <w:t>to</w:t>
      </w:r>
      <w:r w:rsidR="00A247EC" w:rsidRPr="00623DF0">
        <w:t xml:space="preserve"> open a special </w:t>
      </w:r>
      <w:r w:rsidR="00F155A2">
        <w:t xml:space="preserve">displacement </w:t>
      </w:r>
      <w:r w:rsidR="00A247EC" w:rsidRPr="00623DF0">
        <w:t xml:space="preserve">filing window </w:t>
      </w:r>
      <w:r w:rsidR="00A247EC">
        <w:t>for</w:t>
      </w:r>
      <w:r w:rsidR="00A247EC" w:rsidRPr="005842F0">
        <w:t xml:space="preserve"> operating LPTV and TV translator stations that </w:t>
      </w:r>
      <w:r w:rsidR="00F155A2">
        <w:t>are displaced as a result of the repacking process or the reverse or forward auction.</w:t>
      </w:r>
      <w:r>
        <w:rPr>
          <w:rStyle w:val="FootnoteReference"/>
        </w:rPr>
        <w:footnoteReference w:id="8"/>
      </w:r>
      <w:r w:rsidR="000633CD">
        <w:t xml:space="preserve"> </w:t>
      </w:r>
      <w:r w:rsidRPr="005842F0">
        <w:t xml:space="preserve"> </w:t>
      </w:r>
      <w:r w:rsidR="00A247EC">
        <w:t>In addition</w:t>
      </w:r>
      <w:r w:rsidR="00BE0403">
        <w:t xml:space="preserve">, </w:t>
      </w:r>
      <w:r w:rsidR="006B44B6">
        <w:t>we</w:t>
      </w:r>
      <w:r w:rsidR="00BE0403">
        <w:t xml:space="preserve"> stated </w:t>
      </w:r>
      <w:r w:rsidR="006B44B6">
        <w:t>our</w:t>
      </w:r>
      <w:r w:rsidR="00BE0403">
        <w:t xml:space="preserve"> </w:t>
      </w:r>
      <w:r w:rsidR="00F155A2">
        <w:t>inten</w:t>
      </w:r>
      <w:r w:rsidR="006B44B6">
        <w:t xml:space="preserve">tion </w:t>
      </w:r>
      <w:r w:rsidR="00F155A2">
        <w:t>to initiate</w:t>
      </w:r>
      <w:r w:rsidR="00F155A2">
        <w:rPr>
          <w:szCs w:val="22"/>
        </w:rPr>
        <w:t xml:space="preserve"> an </w:t>
      </w:r>
      <w:r w:rsidR="00F155A2" w:rsidRPr="00DC1326">
        <w:rPr>
          <w:i/>
          <w:szCs w:val="22"/>
        </w:rPr>
        <w:t>LPTV/TV Translator Proceeding</w:t>
      </w:r>
      <w:r w:rsidR="0057724E" w:rsidRPr="00A247EC">
        <w:rPr>
          <w:szCs w:val="22"/>
        </w:rPr>
        <w:t xml:space="preserve"> </w:t>
      </w:r>
      <w:r w:rsidR="00A247EC" w:rsidRPr="00A247EC">
        <w:rPr>
          <w:szCs w:val="22"/>
        </w:rPr>
        <w:t>“</w:t>
      </w:r>
      <w:r w:rsidR="0057724E" w:rsidRPr="00A247EC">
        <w:rPr>
          <w:szCs w:val="22"/>
        </w:rPr>
        <w:t>to consider additional measures that may help alleviate the consequences of LPTV and TV translator station displacements resulting from the auction and repacking process.</w:t>
      </w:r>
      <w:r w:rsidR="00BE0403" w:rsidRPr="00A247EC">
        <w:rPr>
          <w:szCs w:val="22"/>
        </w:rPr>
        <w:t>”</w:t>
      </w:r>
      <w:r w:rsidR="00AA3457">
        <w:rPr>
          <w:rStyle w:val="FootnoteReference"/>
          <w:szCs w:val="22"/>
        </w:rPr>
        <w:footnoteReference w:id="9"/>
      </w:r>
      <w:r w:rsidR="00BE0403" w:rsidRPr="00A247EC">
        <w:rPr>
          <w:szCs w:val="22"/>
        </w:rPr>
        <w:t xml:space="preserve">  The</w:t>
      </w:r>
      <w:r w:rsidR="00077630">
        <w:rPr>
          <w:szCs w:val="22"/>
        </w:rPr>
        <w:t>se measures included</w:t>
      </w:r>
      <w:r w:rsidR="005F1396">
        <w:rPr>
          <w:szCs w:val="22"/>
        </w:rPr>
        <w:t xml:space="preserve"> </w:t>
      </w:r>
      <w:r w:rsidR="002A002B">
        <w:rPr>
          <w:szCs w:val="22"/>
        </w:rPr>
        <w:t>considering “</w:t>
      </w:r>
      <w:r w:rsidR="0057724E" w:rsidRPr="00A247EC">
        <w:rPr>
          <w:szCs w:val="22"/>
        </w:rPr>
        <w:t>whether to modify the current September 1, 2015 deadline for LPTV stations to convert to digital service</w:t>
      </w:r>
      <w:r w:rsidR="00A07B50">
        <w:rPr>
          <w:szCs w:val="22"/>
        </w:rPr>
        <w:t>,</w:t>
      </w:r>
      <w:r w:rsidR="00BE0403" w:rsidRPr="00A247EC">
        <w:rPr>
          <w:szCs w:val="22"/>
        </w:rPr>
        <w:t>”</w:t>
      </w:r>
      <w:r w:rsidR="00AA3457">
        <w:rPr>
          <w:rStyle w:val="FootnoteReference"/>
          <w:szCs w:val="22"/>
        </w:rPr>
        <w:footnoteReference w:id="10"/>
      </w:r>
      <w:r w:rsidR="00E40FA8">
        <w:rPr>
          <w:szCs w:val="22"/>
        </w:rPr>
        <w:t xml:space="preserve"> and</w:t>
      </w:r>
      <w:r w:rsidR="00BE0403" w:rsidRPr="00A247EC">
        <w:rPr>
          <w:szCs w:val="22"/>
        </w:rPr>
        <w:t xml:space="preserve"> </w:t>
      </w:r>
      <w:r w:rsidR="002A002B">
        <w:rPr>
          <w:szCs w:val="22"/>
        </w:rPr>
        <w:t>“</w:t>
      </w:r>
      <w:r w:rsidR="0057724E" w:rsidRPr="00A247EC">
        <w:rPr>
          <w:szCs w:val="22"/>
        </w:rPr>
        <w:t>whether to permit LPTV and TV translator stations to participate in channel sharing arrangements after the conclusion of the reverse auction</w:t>
      </w:r>
      <w:r w:rsidR="00E40FA8">
        <w:rPr>
          <w:szCs w:val="22"/>
        </w:rPr>
        <w:t>.</w:t>
      </w:r>
      <w:r w:rsidR="00BE0403" w:rsidRPr="00A247EC">
        <w:rPr>
          <w:szCs w:val="22"/>
        </w:rPr>
        <w:t>”</w:t>
      </w:r>
      <w:r w:rsidR="00AA3457">
        <w:rPr>
          <w:rStyle w:val="FootnoteReference"/>
          <w:szCs w:val="22"/>
        </w:rPr>
        <w:footnoteReference w:id="11"/>
      </w:r>
      <w:r w:rsidR="00BE0403" w:rsidRPr="00A247EC">
        <w:rPr>
          <w:szCs w:val="22"/>
        </w:rPr>
        <w:t xml:space="preserve"> </w:t>
      </w:r>
      <w:r w:rsidR="00E40FA8">
        <w:rPr>
          <w:szCs w:val="22"/>
        </w:rPr>
        <w:t xml:space="preserve">We also stated our intent to invite comment on </w:t>
      </w:r>
      <w:r w:rsidR="00A07B50">
        <w:rPr>
          <w:szCs w:val="22"/>
        </w:rPr>
        <w:t xml:space="preserve">“whether to create a new digital replacement translator service for </w:t>
      </w:r>
      <w:r w:rsidR="00DB534D">
        <w:rPr>
          <w:szCs w:val="22"/>
        </w:rPr>
        <w:t xml:space="preserve">full power </w:t>
      </w:r>
      <w:r w:rsidR="00A07B50">
        <w:rPr>
          <w:szCs w:val="22"/>
        </w:rPr>
        <w:t>stations that experience losses in their pre-auction service areas.”</w:t>
      </w:r>
      <w:r w:rsidR="00A07B50">
        <w:rPr>
          <w:rStyle w:val="FootnoteReference"/>
          <w:szCs w:val="22"/>
        </w:rPr>
        <w:footnoteReference w:id="12"/>
      </w:r>
      <w:r w:rsidR="00BE0403" w:rsidRPr="00A247EC">
        <w:rPr>
          <w:szCs w:val="22"/>
        </w:rPr>
        <w:t xml:space="preserve"> </w:t>
      </w:r>
      <w:r w:rsidR="00A07B50">
        <w:rPr>
          <w:szCs w:val="22"/>
        </w:rPr>
        <w:t xml:space="preserve"> </w:t>
      </w:r>
      <w:r w:rsidR="00951DA4" w:rsidRPr="009718E7">
        <w:rPr>
          <w:color w:val="000000"/>
        </w:rPr>
        <w:t>Finally, the</w:t>
      </w:r>
      <w:r w:rsidR="00951DA4">
        <w:rPr>
          <w:color w:val="000000"/>
        </w:rPr>
        <w:t xml:space="preserve"> Commission pledged to explore “</w:t>
      </w:r>
      <w:r w:rsidR="00951DA4" w:rsidRPr="009718E7">
        <w:rPr>
          <w:color w:val="000000"/>
        </w:rPr>
        <w:t>efficient ways to assign the remaining spectrum available for L</w:t>
      </w:r>
      <w:r w:rsidR="00951DA4">
        <w:rPr>
          <w:color w:val="000000"/>
        </w:rPr>
        <w:t>PTV and TV translator stations,”</w:t>
      </w:r>
      <w:r w:rsidR="00951DA4" w:rsidRPr="009718E7">
        <w:rPr>
          <w:color w:val="000000"/>
        </w:rPr>
        <w:t xml:space="preserve"> including the possible use of o</w:t>
      </w:r>
      <w:r w:rsidR="00951DA4">
        <w:rPr>
          <w:color w:val="000000"/>
        </w:rPr>
        <w:t>ptimization tools, in order to “</w:t>
      </w:r>
      <w:r w:rsidR="00951DA4" w:rsidRPr="009718E7">
        <w:rPr>
          <w:color w:val="000000"/>
        </w:rPr>
        <w:t>expedite and ease the post-auction transition process for many low power stations.</w:t>
      </w:r>
      <w:r w:rsidR="00951DA4">
        <w:rPr>
          <w:color w:val="000000"/>
        </w:rPr>
        <w:t>”</w:t>
      </w:r>
      <w:r w:rsidR="00AA3457">
        <w:rPr>
          <w:rStyle w:val="FootnoteReference"/>
          <w:szCs w:val="22"/>
        </w:rPr>
        <w:footnoteReference w:id="13"/>
      </w:r>
      <w:r w:rsidR="00BE0403" w:rsidRPr="00A247EC">
        <w:rPr>
          <w:szCs w:val="22"/>
        </w:rPr>
        <w:t xml:space="preserve"> </w:t>
      </w:r>
      <w:r w:rsidR="002A002B">
        <w:rPr>
          <w:szCs w:val="22"/>
        </w:rPr>
        <w:t xml:space="preserve"> </w:t>
      </w:r>
      <w:r w:rsidR="00E17456">
        <w:rPr>
          <w:szCs w:val="22"/>
        </w:rPr>
        <w:t>Specifically, w</w:t>
      </w:r>
      <w:r w:rsidR="00A07B50">
        <w:rPr>
          <w:szCs w:val="22"/>
        </w:rPr>
        <w:t>e also indicated that</w:t>
      </w:r>
      <w:r w:rsidR="00653830">
        <w:rPr>
          <w:szCs w:val="22"/>
        </w:rPr>
        <w:t>,</w:t>
      </w:r>
      <w:r w:rsidR="00A07B50">
        <w:rPr>
          <w:szCs w:val="22"/>
        </w:rPr>
        <w:t xml:space="preserve"> </w:t>
      </w:r>
      <w:r w:rsidR="00B319A8">
        <w:rPr>
          <w:kern w:val="0"/>
        </w:rPr>
        <w:t>b</w:t>
      </w:r>
      <w:r w:rsidR="00F4684A" w:rsidRPr="00A247EC">
        <w:rPr>
          <w:kern w:val="0"/>
        </w:rPr>
        <w:t xml:space="preserve">ecause it is likely that a number of LPTV and TV translator stations will be displaced from UHF channels, </w:t>
      </w:r>
      <w:r w:rsidR="00A07B50">
        <w:rPr>
          <w:kern w:val="0"/>
        </w:rPr>
        <w:t>we</w:t>
      </w:r>
      <w:r w:rsidR="00F4684A" w:rsidRPr="00A247EC">
        <w:rPr>
          <w:kern w:val="0"/>
        </w:rPr>
        <w:t xml:space="preserve"> would consider whether and, if so how, we should facilitate the ability of such stations to relocate to VHF channels where UHF channels are unavailable.</w:t>
      </w:r>
      <w:r w:rsidR="00E17456">
        <w:rPr>
          <w:rStyle w:val="FootnoteReference"/>
          <w:kern w:val="0"/>
        </w:rPr>
        <w:footnoteReference w:id="14"/>
      </w:r>
      <w:r w:rsidR="00F4684A" w:rsidRPr="00A247EC">
        <w:rPr>
          <w:kern w:val="0"/>
        </w:rPr>
        <w:t xml:space="preserve">  </w:t>
      </w:r>
    </w:p>
    <w:p w:rsidR="00F56F5F" w:rsidRPr="00F56F5F" w:rsidRDefault="00BE0403" w:rsidP="002F646E">
      <w:pPr>
        <w:pStyle w:val="ParaNum"/>
        <w:widowControl/>
      </w:pPr>
      <w:r>
        <w:t xml:space="preserve">In this proceeding, we consider </w:t>
      </w:r>
      <w:r w:rsidR="002A611C">
        <w:t xml:space="preserve">the </w:t>
      </w:r>
      <w:r w:rsidR="004A3B6B">
        <w:t>m</w:t>
      </w:r>
      <w:r w:rsidR="002A611C">
        <w:t xml:space="preserve">easures discussed in the </w:t>
      </w:r>
      <w:r w:rsidR="002A611C" w:rsidRPr="00F56F5F">
        <w:rPr>
          <w:i/>
        </w:rPr>
        <w:t>Incentive Auction Report and</w:t>
      </w:r>
      <w:r w:rsidRPr="00F56F5F">
        <w:rPr>
          <w:i/>
        </w:rPr>
        <w:t xml:space="preserve"> </w:t>
      </w:r>
      <w:r w:rsidR="00E867CD" w:rsidRPr="00F56F5F">
        <w:rPr>
          <w:i/>
        </w:rPr>
        <w:t>Order</w:t>
      </w:r>
      <w:r w:rsidR="00B07BC1">
        <w:t xml:space="preserve">, </w:t>
      </w:r>
      <w:r>
        <w:t xml:space="preserve">other measures to </w:t>
      </w:r>
      <w:r w:rsidR="002214B4">
        <w:t xml:space="preserve">ensure the successful completion of the </w:t>
      </w:r>
      <w:r w:rsidR="00BA3249">
        <w:t>LPTV and TV translator</w:t>
      </w:r>
      <w:r w:rsidR="002214B4">
        <w:t xml:space="preserve"> digital transition</w:t>
      </w:r>
      <w:r w:rsidR="0056017A">
        <w:t xml:space="preserve"> and to </w:t>
      </w:r>
      <w:r w:rsidR="005C4FB0" w:rsidRPr="005C4FB0">
        <w:t>help preserve the important services LPTV and TV translator stations provide</w:t>
      </w:r>
      <w:r w:rsidR="00B07BC1">
        <w:t>, and other related matters</w:t>
      </w:r>
      <w:r>
        <w:t>.  Specifically,</w:t>
      </w:r>
      <w:r w:rsidR="002214B4">
        <w:t xml:space="preserve"> we</w:t>
      </w:r>
      <w:r w:rsidR="00A32FF9">
        <w:t xml:space="preserve"> </w:t>
      </w:r>
      <w:r w:rsidR="006B1989">
        <w:t>ten</w:t>
      </w:r>
      <w:r w:rsidR="004A3B6B">
        <w:t>t</w:t>
      </w:r>
      <w:r w:rsidR="006B1989">
        <w:t xml:space="preserve">atively conclude </w:t>
      </w:r>
      <w:r w:rsidR="0056017A">
        <w:t xml:space="preserve">that we should:  (1) </w:t>
      </w:r>
      <w:r w:rsidR="002214B4">
        <w:t>extend the September 1, 2015 digital transition deadline</w:t>
      </w:r>
      <w:r w:rsidR="00771B8A">
        <w:t xml:space="preserve"> for LPTV and TV translator stations</w:t>
      </w:r>
      <w:r w:rsidR="002214B4">
        <w:t xml:space="preserve">; (2) adopt rules to allow channel sharing by and between LPTV and TV translator stations; </w:t>
      </w:r>
      <w:r w:rsidR="0056017A">
        <w:t xml:space="preserve">and </w:t>
      </w:r>
      <w:r w:rsidR="002214B4">
        <w:t>(3) create a “digital-to-digital replacement translator</w:t>
      </w:r>
      <w:r w:rsidR="00560720">
        <w:t>” service</w:t>
      </w:r>
      <w:r w:rsidR="00BA3249">
        <w:t xml:space="preserve"> for </w:t>
      </w:r>
      <w:r w:rsidR="006555A6">
        <w:t xml:space="preserve">full power </w:t>
      </w:r>
      <w:r w:rsidR="00BA3249">
        <w:t>stations that experience losses in their pre-auction service areas</w:t>
      </w:r>
      <w:r w:rsidR="0056017A">
        <w:t xml:space="preserve">.  We also </w:t>
      </w:r>
      <w:r w:rsidR="002214B4">
        <w:t xml:space="preserve"> </w:t>
      </w:r>
      <w:r w:rsidR="00E97EE2" w:rsidRPr="00E97EE2">
        <w:t>seek comment on</w:t>
      </w:r>
      <w:r w:rsidR="0056017A">
        <w:t>: (1)</w:t>
      </w:r>
      <w:r w:rsidR="00E97EE2" w:rsidRPr="00E97EE2">
        <w:t xml:space="preserve"> our proposed use of the </w:t>
      </w:r>
      <w:r w:rsidR="003F707B">
        <w:t>i</w:t>
      </w:r>
      <w:r w:rsidR="00E97EE2" w:rsidRPr="00E97EE2">
        <w:t xml:space="preserve">ncentive </w:t>
      </w:r>
      <w:r w:rsidR="003F707B">
        <w:t>a</w:t>
      </w:r>
      <w:r w:rsidR="00E97EE2" w:rsidRPr="00E97EE2">
        <w:t xml:space="preserve">uction optimization model to assist LPTV and TV translator stations displaced by </w:t>
      </w:r>
      <w:r w:rsidR="00AC21F5">
        <w:t xml:space="preserve">the </w:t>
      </w:r>
      <w:r w:rsidR="003F707B">
        <w:t>a</w:t>
      </w:r>
      <w:r w:rsidR="00E97EE2" w:rsidRPr="00E97EE2">
        <w:t xml:space="preserve">uction </w:t>
      </w:r>
      <w:r w:rsidR="005253F6">
        <w:t xml:space="preserve">and </w:t>
      </w:r>
      <w:r w:rsidR="00E97EE2" w:rsidRPr="00E97EE2">
        <w:t xml:space="preserve">repacking </w:t>
      </w:r>
      <w:r w:rsidR="00AC21F5">
        <w:t xml:space="preserve">process </w:t>
      </w:r>
      <w:r w:rsidR="00E97EE2" w:rsidRPr="00E97EE2">
        <w:t xml:space="preserve">to identify new </w:t>
      </w:r>
      <w:r w:rsidR="00E97EE2">
        <w:t xml:space="preserve">channels; </w:t>
      </w:r>
      <w:r w:rsidR="00096DB6">
        <w:t>(</w:t>
      </w:r>
      <w:r w:rsidR="0056017A">
        <w:t>2</w:t>
      </w:r>
      <w:r w:rsidR="00096DB6">
        <w:t>) whether to permit digital LPTV stations to operate a</w:t>
      </w:r>
      <w:r w:rsidR="002214B4">
        <w:t>na</w:t>
      </w:r>
      <w:r w:rsidR="00096DB6">
        <w:t xml:space="preserve">log </w:t>
      </w:r>
      <w:r w:rsidR="00BA3249">
        <w:t xml:space="preserve">FM </w:t>
      </w:r>
      <w:r w:rsidR="00096DB6">
        <w:t>radio</w:t>
      </w:r>
      <w:r w:rsidR="00BA3249">
        <w:t>-type</w:t>
      </w:r>
      <w:r w:rsidR="00096DB6">
        <w:t xml:space="preserve"> services on an ancillary or supplementary b</w:t>
      </w:r>
      <w:r w:rsidR="002214B4">
        <w:t>asis</w:t>
      </w:r>
      <w:r w:rsidR="00F56F5F">
        <w:t>; and (</w:t>
      </w:r>
      <w:r w:rsidR="0056017A">
        <w:t>3</w:t>
      </w:r>
      <w:r w:rsidR="00F56F5F">
        <w:t>)</w:t>
      </w:r>
      <w:r w:rsidR="00F56F5F" w:rsidRPr="00F56F5F">
        <w:rPr>
          <w:kern w:val="0"/>
        </w:rPr>
        <w:t xml:space="preserve"> </w:t>
      </w:r>
      <w:r w:rsidR="00F56F5F" w:rsidRPr="00F56F5F">
        <w:rPr>
          <w:kern w:val="0"/>
          <w:szCs w:val="22"/>
        </w:rPr>
        <w:t xml:space="preserve">whether </w:t>
      </w:r>
      <w:r w:rsidR="00F56F5F" w:rsidRPr="00F56F5F">
        <w:rPr>
          <w:szCs w:val="22"/>
        </w:rPr>
        <w:t>to eliminate the requirement in section 15.117(b) of our rules that TV receivers include analog tuners.</w:t>
      </w:r>
      <w:r w:rsidR="00F56F5F" w:rsidRPr="005F1396">
        <w:rPr>
          <w:rStyle w:val="FootnoteReference"/>
          <w:szCs w:val="22"/>
        </w:rPr>
        <w:footnoteReference w:id="15"/>
      </w:r>
      <w:r w:rsidR="00F56F5F" w:rsidRPr="00F56F5F">
        <w:rPr>
          <w:szCs w:val="22"/>
        </w:rPr>
        <w:t xml:space="preserve"> </w:t>
      </w:r>
      <w:r w:rsidR="00F56F5F">
        <w:rPr>
          <w:szCs w:val="22"/>
        </w:rPr>
        <w:t xml:space="preserve"> </w:t>
      </w:r>
      <w:r w:rsidR="003A6492" w:rsidRPr="00F56F5F">
        <w:rPr>
          <w:szCs w:val="22"/>
        </w:rPr>
        <w:t>W</w:t>
      </w:r>
      <w:r w:rsidR="00F4684A" w:rsidRPr="00F56F5F">
        <w:rPr>
          <w:kern w:val="0"/>
        </w:rPr>
        <w:t xml:space="preserve">e </w:t>
      </w:r>
      <w:r w:rsidR="0099625D" w:rsidRPr="00F56F5F">
        <w:rPr>
          <w:kern w:val="0"/>
        </w:rPr>
        <w:t xml:space="preserve">also </w:t>
      </w:r>
      <w:r w:rsidR="00F4684A" w:rsidRPr="00F56F5F">
        <w:rPr>
          <w:kern w:val="0"/>
        </w:rPr>
        <w:t xml:space="preserve">invite input on any other measures we should consider to further mitigate the impact of the auction and repacking process on </w:t>
      </w:r>
      <w:r w:rsidR="001F0484" w:rsidRPr="00F56F5F">
        <w:rPr>
          <w:kern w:val="0"/>
        </w:rPr>
        <w:t>LPTV and TV translator</w:t>
      </w:r>
      <w:r w:rsidR="00F4684A" w:rsidRPr="00F56F5F">
        <w:rPr>
          <w:kern w:val="0"/>
        </w:rPr>
        <w:t xml:space="preserve"> stations.</w:t>
      </w:r>
      <w:r w:rsidR="003A6492" w:rsidRPr="00F56F5F">
        <w:rPr>
          <w:kern w:val="0"/>
        </w:rPr>
        <w:t xml:space="preserve">  </w:t>
      </w:r>
      <w:bookmarkStart w:id="35" w:name="_Toc151525888"/>
      <w:bookmarkStart w:id="36" w:name="_Toc153880333"/>
      <w:bookmarkStart w:id="37" w:name="_Toc156193010"/>
      <w:bookmarkStart w:id="38" w:name="_Toc156207388"/>
      <w:bookmarkStart w:id="39" w:name="_Toc156386499"/>
      <w:bookmarkStart w:id="40" w:name="_Toc156728509"/>
      <w:bookmarkStart w:id="41" w:name="_Toc156984286"/>
      <w:bookmarkStart w:id="42" w:name="_Toc157345931"/>
      <w:bookmarkStart w:id="43" w:name="_Toc157942554"/>
      <w:bookmarkStart w:id="44" w:name="_Toc158021182"/>
      <w:bookmarkStart w:id="45" w:name="_Toc158021239"/>
      <w:bookmarkStart w:id="46" w:name="_Toc158185343"/>
      <w:bookmarkStart w:id="47" w:name="_Toc158197563"/>
      <w:bookmarkStart w:id="48" w:name="_Toc158544528"/>
      <w:bookmarkStart w:id="49" w:name="_Toc158704664"/>
      <w:bookmarkStart w:id="50" w:name="_Toc158736729"/>
      <w:bookmarkStart w:id="51" w:name="_Toc158803368"/>
      <w:bookmarkStart w:id="52" w:name="_Toc159322369"/>
      <w:bookmarkStart w:id="53" w:name="_Toc159407172"/>
      <w:bookmarkStart w:id="54" w:name="_Toc159407232"/>
      <w:bookmarkStart w:id="55" w:name="_Toc159842259"/>
      <w:bookmarkStart w:id="56" w:name="_Toc159843554"/>
      <w:bookmarkStart w:id="57" w:name="_Toc159846881"/>
      <w:bookmarkStart w:id="58" w:name="_Toc159847005"/>
      <w:bookmarkStart w:id="59" w:name="_Toc164830308"/>
      <w:bookmarkStart w:id="60" w:name="_Toc164837657"/>
      <w:bookmarkStart w:id="61" w:name="_Toc164837994"/>
      <w:bookmarkStart w:id="62" w:name="_Toc164842303"/>
      <w:bookmarkStart w:id="63" w:name="_Toc164846124"/>
      <w:bookmarkStart w:id="64" w:name="_Toc164846149"/>
    </w:p>
    <w:p w:rsidR="00CD683D" w:rsidRDefault="00CD683D" w:rsidP="00F56F5F">
      <w:pPr>
        <w:pStyle w:val="Heading1"/>
      </w:pPr>
      <w:bookmarkStart w:id="65" w:name="_Toc393265896"/>
      <w:r>
        <w:t>DISCUSSION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024158" w:rsidRDefault="0021775F" w:rsidP="00CD683D">
      <w:pPr>
        <w:pStyle w:val="Heading2"/>
      </w:pPr>
      <w:bookmarkStart w:id="66" w:name="_Toc164830309"/>
      <w:bookmarkStart w:id="67" w:name="_Toc164837658"/>
      <w:bookmarkStart w:id="68" w:name="_Toc164837995"/>
      <w:bookmarkStart w:id="69" w:name="_Toc164842304"/>
      <w:bookmarkStart w:id="70" w:name="_Toc164846125"/>
      <w:bookmarkStart w:id="71" w:name="_Toc164846150"/>
      <w:bookmarkStart w:id="72" w:name="_Toc393265897"/>
      <w:r>
        <w:t xml:space="preserve">Extending the </w:t>
      </w:r>
      <w:r w:rsidR="00CD683D">
        <w:t xml:space="preserve">September 1, 2015 </w:t>
      </w:r>
      <w:r w:rsidR="00764842">
        <w:t xml:space="preserve">LPTV </w:t>
      </w:r>
      <w:r w:rsidR="001F0484">
        <w:t xml:space="preserve">and TV Translator </w:t>
      </w:r>
      <w:r w:rsidR="00764842">
        <w:t xml:space="preserve">Digital </w:t>
      </w:r>
      <w:r w:rsidR="00CD683D">
        <w:t>Transition Date</w:t>
      </w:r>
      <w:bookmarkEnd w:id="66"/>
      <w:bookmarkEnd w:id="67"/>
      <w:bookmarkEnd w:id="68"/>
      <w:bookmarkEnd w:id="69"/>
      <w:bookmarkEnd w:id="70"/>
      <w:bookmarkEnd w:id="71"/>
      <w:bookmarkEnd w:id="72"/>
    </w:p>
    <w:p w:rsidR="002B6DA1" w:rsidRPr="00B9293B" w:rsidRDefault="00301E71" w:rsidP="005C4FB0">
      <w:pPr>
        <w:pStyle w:val="ParaNum"/>
        <w:rPr>
          <w:szCs w:val="22"/>
        </w:rPr>
      </w:pPr>
      <w:r>
        <w:t>W</w:t>
      </w:r>
      <w:r w:rsidR="00231563">
        <w:t xml:space="preserve">e </w:t>
      </w:r>
      <w:r w:rsidR="00B15ABC">
        <w:t xml:space="preserve">tentatively conclude </w:t>
      </w:r>
      <w:r w:rsidR="0056017A">
        <w:t xml:space="preserve">that we should </w:t>
      </w:r>
      <w:r w:rsidR="00231563">
        <w:t xml:space="preserve">postpone the </w:t>
      </w:r>
      <w:r w:rsidR="00F97D4D" w:rsidRPr="001C2C96">
        <w:t>September 1, 2015</w:t>
      </w:r>
      <w:r w:rsidR="00231563" w:rsidRPr="001C2C96">
        <w:t xml:space="preserve"> </w:t>
      </w:r>
      <w:r w:rsidR="006236F6">
        <w:t>deadline</w:t>
      </w:r>
      <w:r w:rsidR="00231563" w:rsidRPr="001C2C96">
        <w:t xml:space="preserve"> for </w:t>
      </w:r>
      <w:r w:rsidR="00DC1326">
        <w:t>LPTV and TV translator</w:t>
      </w:r>
      <w:r w:rsidR="001A7358">
        <w:t xml:space="preserve"> stations</w:t>
      </w:r>
      <w:r w:rsidR="00E95AA6">
        <w:t xml:space="preserve"> </w:t>
      </w:r>
      <w:r w:rsidR="000633CD">
        <w:t xml:space="preserve">to </w:t>
      </w:r>
      <w:r w:rsidR="00E95AA6">
        <w:t>transition to digital</w:t>
      </w:r>
      <w:r w:rsidR="00231563" w:rsidRPr="001C2C96">
        <w:t>.</w:t>
      </w:r>
      <w:r w:rsidR="009C71EC">
        <w:rPr>
          <w:rStyle w:val="FootnoteReference"/>
        </w:rPr>
        <w:footnoteReference w:id="16"/>
      </w:r>
      <w:r w:rsidR="002214B4" w:rsidRPr="001C2C96">
        <w:t xml:space="preserve"> </w:t>
      </w:r>
      <w:r w:rsidR="001F0484">
        <w:t xml:space="preserve"> </w:t>
      </w:r>
      <w:r w:rsidR="0014366A">
        <w:t xml:space="preserve">The Commission established </w:t>
      </w:r>
      <w:r w:rsidR="0014366A" w:rsidRPr="0014366A">
        <w:t xml:space="preserve">the September 2015 deadline in 2011, reasoning that a deadline in four years would allow time for LPTV and TV translator operators to learn more about the future reallocation of broadcast TV spectrum and </w:t>
      </w:r>
      <w:r w:rsidR="006F0CF3">
        <w:t>“</w:t>
      </w:r>
      <w:r w:rsidR="0014366A" w:rsidRPr="0014366A">
        <w:t>even if the reallocation is not concluded before the conversion deadline, a 2015 deadline will permit low power operators to take specific proposals into account when finalizing their transition plans.”</w:t>
      </w:r>
      <w:r w:rsidR="00096DB6" w:rsidRPr="001C2C96">
        <w:rPr>
          <w:rStyle w:val="FootnoteReference"/>
        </w:rPr>
        <w:footnoteReference w:id="17"/>
      </w:r>
      <w:r w:rsidR="0014366A">
        <w:t xml:space="preserve"> </w:t>
      </w:r>
      <w:r w:rsidR="00312727">
        <w:t xml:space="preserve"> </w:t>
      </w:r>
      <w:r w:rsidR="0014366A" w:rsidRPr="0014366A">
        <w:t>In 2013, the Commission declined to postpone the September 2015 deadline because of the upcoming incentive auction, anticipating that the auction and the repacking process would occu</w:t>
      </w:r>
      <w:r w:rsidR="0014366A">
        <w:t>r in 2014, before the deadline.</w:t>
      </w:r>
      <w:r w:rsidR="0014366A">
        <w:rPr>
          <w:rStyle w:val="FootnoteReference"/>
        </w:rPr>
        <w:footnoteReference w:id="18"/>
      </w:r>
      <w:r w:rsidR="0014366A" w:rsidRPr="0014366A">
        <w:t xml:space="preserve"> </w:t>
      </w:r>
      <w:r w:rsidR="005C4FB0" w:rsidRPr="005C4FB0">
        <w:t>However, at this time it appears that the current LPTV and TV translator digital transition deadline may occur in close conjunction with the incentive auction, leaving LPTV and TV translator stations little or no time to consider its impact before having to complete their digital conversion</w:t>
      </w:r>
      <w:r w:rsidR="002B6DA1">
        <w:t>.</w:t>
      </w:r>
    </w:p>
    <w:p w:rsidR="00B9293B" w:rsidRPr="008C4842" w:rsidRDefault="00B9293B" w:rsidP="00B9293B">
      <w:pPr>
        <w:pStyle w:val="ParaNum"/>
        <w:rPr>
          <w:szCs w:val="22"/>
        </w:rPr>
      </w:pPr>
      <w:r>
        <w:t>As of the release date of this Third Notice, approximately 5</w:t>
      </w:r>
      <w:r w:rsidR="005C4589">
        <w:t>6</w:t>
      </w:r>
      <w:r>
        <w:t xml:space="preserve">% of LPTV and </w:t>
      </w:r>
      <w:r w:rsidR="005C4589">
        <w:t>80</w:t>
      </w:r>
      <w:r>
        <w:t xml:space="preserve">% of TV translator stations have completed their transition to digital.  However, </w:t>
      </w:r>
      <w:r w:rsidR="005C4589">
        <w:t>795</w:t>
      </w:r>
      <w:r>
        <w:t xml:space="preserve"> LPTV and </w:t>
      </w:r>
      <w:r w:rsidR="005C4589">
        <w:t>779</w:t>
      </w:r>
      <w:r>
        <w:t xml:space="preserve"> TV translator stations have not yet completed their conversion. Because a significant number of stations have yet to complete their transition to digital service, and wi</w:t>
      </w:r>
      <w:r w:rsidRPr="00FC5F4D">
        <w:t>th</w:t>
      </w:r>
      <w:r>
        <w:t xml:space="preserve"> less than a year </w:t>
      </w:r>
      <w:r w:rsidRPr="00FC5F4D">
        <w:t>before the digital transition</w:t>
      </w:r>
      <w:r>
        <w:t xml:space="preserve"> deadline</w:t>
      </w:r>
      <w:r w:rsidRPr="00FC5F4D">
        <w:t>,</w:t>
      </w:r>
      <w:r>
        <w:t xml:space="preserve"> we </w:t>
      </w:r>
      <w:r w:rsidR="00DB534D">
        <w:t xml:space="preserve">tentatively conclude </w:t>
      </w:r>
      <w:r w:rsidR="008F5D2D">
        <w:t xml:space="preserve">that we should </w:t>
      </w:r>
      <w:r w:rsidR="00DB534D">
        <w:t>postpone the transition d</w:t>
      </w:r>
      <w:r w:rsidRPr="00B9293B">
        <w:t xml:space="preserve">eadline in order to avoid requiring stations to incur the costs of digital transition before completion of the </w:t>
      </w:r>
      <w:r w:rsidR="005C4589">
        <w:t xml:space="preserve">auction and </w:t>
      </w:r>
      <w:r w:rsidRPr="00B9293B">
        <w:t>repacking process, which is likely to impact a significant number of LPTV</w:t>
      </w:r>
      <w:r>
        <w:t xml:space="preserve"> and TV translator stations.  We also seek input from the industry about why the remaining analog stations have not yet converted.    </w:t>
      </w:r>
    </w:p>
    <w:p w:rsidR="00B309A1" w:rsidRPr="005011A1" w:rsidRDefault="006C4E14" w:rsidP="005011A1">
      <w:pPr>
        <w:pStyle w:val="ParaNum"/>
        <w:rPr>
          <w:szCs w:val="22"/>
        </w:rPr>
      </w:pPr>
      <w:r>
        <w:t xml:space="preserve">A number of commenters in </w:t>
      </w:r>
      <w:r w:rsidR="00AA3457">
        <w:t xml:space="preserve">the </w:t>
      </w:r>
      <w:r w:rsidR="003F707B">
        <w:t>incentive auction</w:t>
      </w:r>
      <w:r>
        <w:t xml:space="preserve"> proceeding </w:t>
      </w:r>
      <w:r w:rsidR="00B47BC2">
        <w:t>argued that</w:t>
      </w:r>
      <w:r w:rsidR="00A367EA">
        <w:t xml:space="preserve"> </w:t>
      </w:r>
      <w:r w:rsidR="002A611C">
        <w:t>having a transition</w:t>
      </w:r>
      <w:r>
        <w:t xml:space="preserve"> </w:t>
      </w:r>
      <w:r w:rsidR="00E65E85">
        <w:t xml:space="preserve">deadline </w:t>
      </w:r>
      <w:r w:rsidR="002A611C">
        <w:t>that</w:t>
      </w:r>
      <w:r w:rsidR="00E65E85">
        <w:t xml:space="preserve"> is close to </w:t>
      </w:r>
      <w:r w:rsidR="00AA3457">
        <w:t xml:space="preserve">the </w:t>
      </w:r>
      <w:r w:rsidR="003F707B">
        <w:t>incentive auction</w:t>
      </w:r>
      <w:r w:rsidR="00BA6A39">
        <w:t xml:space="preserve"> would have a negative impact on </w:t>
      </w:r>
      <w:r w:rsidR="00377947">
        <w:t>LPTV and TV translator</w:t>
      </w:r>
      <w:r w:rsidR="00BA6A39">
        <w:t xml:space="preserve"> stations</w:t>
      </w:r>
      <w:r>
        <w:t>.</w:t>
      </w:r>
      <w:r w:rsidR="00A367EA">
        <w:t xml:space="preserve">  They pointed out the hazards of requiring </w:t>
      </w:r>
      <w:r w:rsidR="00377947">
        <w:t>such</w:t>
      </w:r>
      <w:r w:rsidR="00A367EA">
        <w:t xml:space="preserve"> stations to “double build” facilities – once to meet the </w:t>
      </w:r>
      <w:r w:rsidR="00F97D4D">
        <w:t>September 1, 2015</w:t>
      </w:r>
      <w:r w:rsidR="00A367EA">
        <w:t xml:space="preserve"> deadline and then again to accommodate the changes that will occur as a result of the </w:t>
      </w:r>
      <w:r w:rsidR="003F707B">
        <w:t>auction</w:t>
      </w:r>
      <w:r w:rsidR="00A367EA">
        <w:t xml:space="preserve"> </w:t>
      </w:r>
      <w:r w:rsidR="005253F6">
        <w:t xml:space="preserve">and </w:t>
      </w:r>
      <w:r w:rsidR="00A367EA">
        <w:t>repacking</w:t>
      </w:r>
      <w:r w:rsidR="00BA6A39">
        <w:t xml:space="preserve"> process</w:t>
      </w:r>
      <w:r w:rsidR="00A367EA">
        <w:t>.</w:t>
      </w:r>
      <w:r w:rsidR="00992D65">
        <w:rPr>
          <w:rStyle w:val="FootnoteReference"/>
        </w:rPr>
        <w:footnoteReference w:id="19"/>
      </w:r>
      <w:r w:rsidR="0014366A">
        <w:t xml:space="preserve">  T</w:t>
      </w:r>
      <w:r w:rsidR="00624506" w:rsidRPr="005011A1">
        <w:rPr>
          <w:szCs w:val="22"/>
        </w:rPr>
        <w:t>hese commenters supported a p</w:t>
      </w:r>
      <w:r w:rsidR="00A367EA" w:rsidRPr="00F850F9">
        <w:rPr>
          <w:szCs w:val="22"/>
        </w:rPr>
        <w:t>ostpone</w:t>
      </w:r>
      <w:r w:rsidR="00624506" w:rsidRPr="00F850F9">
        <w:rPr>
          <w:szCs w:val="22"/>
        </w:rPr>
        <w:t xml:space="preserve">ment of </w:t>
      </w:r>
      <w:r w:rsidR="00A367EA" w:rsidRPr="00F850F9">
        <w:rPr>
          <w:szCs w:val="22"/>
        </w:rPr>
        <w:t xml:space="preserve">the </w:t>
      </w:r>
      <w:r w:rsidR="00F97D4D" w:rsidRPr="00F850F9">
        <w:rPr>
          <w:szCs w:val="22"/>
        </w:rPr>
        <w:t>September 1, 2015</w:t>
      </w:r>
      <w:r w:rsidR="00A367EA" w:rsidRPr="00F850F9">
        <w:rPr>
          <w:szCs w:val="22"/>
        </w:rPr>
        <w:t xml:space="preserve"> transition date until after </w:t>
      </w:r>
      <w:r w:rsidR="00B47BC2" w:rsidRPr="00F850F9">
        <w:rPr>
          <w:szCs w:val="22"/>
        </w:rPr>
        <w:t xml:space="preserve">the </w:t>
      </w:r>
      <w:r w:rsidR="00A367EA" w:rsidRPr="00F850F9">
        <w:rPr>
          <w:szCs w:val="22"/>
        </w:rPr>
        <w:t xml:space="preserve">repacking </w:t>
      </w:r>
      <w:r w:rsidR="00B47BC2" w:rsidRPr="00F850F9">
        <w:rPr>
          <w:szCs w:val="22"/>
        </w:rPr>
        <w:t xml:space="preserve">process </w:t>
      </w:r>
      <w:r w:rsidR="00A367EA" w:rsidRPr="00F850F9">
        <w:rPr>
          <w:szCs w:val="22"/>
        </w:rPr>
        <w:t xml:space="preserve">has been concluded to allow low power stations to </w:t>
      </w:r>
      <w:r w:rsidR="00624506" w:rsidRPr="00F850F9">
        <w:rPr>
          <w:szCs w:val="22"/>
        </w:rPr>
        <w:t>evaluate the impact of repacking and to avoid the double build issue.</w:t>
      </w:r>
      <w:r w:rsidR="00A367EA">
        <w:rPr>
          <w:rStyle w:val="FootnoteReference"/>
          <w:szCs w:val="22"/>
        </w:rPr>
        <w:footnoteReference w:id="20"/>
      </w:r>
    </w:p>
    <w:p w:rsidR="00B309A1" w:rsidRPr="00437B0F" w:rsidRDefault="00B309A1" w:rsidP="00B309A1">
      <w:pPr>
        <w:pStyle w:val="ParaNum"/>
        <w:rPr>
          <w:szCs w:val="22"/>
        </w:rPr>
      </w:pPr>
      <w:r>
        <w:t xml:space="preserve">Although we tentatively conclude that postponement of the digital transition deadline is appropriate, </w:t>
      </w:r>
      <w:r w:rsidRPr="00FE016A">
        <w:t xml:space="preserve">we </w:t>
      </w:r>
      <w:r>
        <w:t>note that, since the initiation of the digital television conversion process, the Commission has</w:t>
      </w:r>
      <w:r w:rsidRPr="00FE016A">
        <w:t xml:space="preserve"> consistently sought to ensure an expedited and successful transition for all television services, so that the public will be able to enjoy the benefits of digital broadcast television technology</w:t>
      </w:r>
      <w:r>
        <w:t>.</w:t>
      </w:r>
      <w:r w:rsidRPr="00891A49">
        <w:rPr>
          <w:rStyle w:val="FootnoteReference"/>
        </w:rPr>
        <w:t xml:space="preserve"> </w:t>
      </w:r>
      <w:r>
        <w:rPr>
          <w:rStyle w:val="FootnoteReference"/>
        </w:rPr>
        <w:footnoteReference w:id="21"/>
      </w:r>
      <w:r w:rsidRPr="00FE016A">
        <w:t xml:space="preserve">  </w:t>
      </w:r>
      <w:r>
        <w:t>We seek comment on whether and how postponement of the low power transition date will impact these goals. In addition, we seek comment from existing LPTV and TV translator stations on the status of their conversion efforts and the additional costs they may have to incur should they have to “double build” their digital facilities.  We also invite comment from low power stations that have completed the conversion process regarding their experience and the extent of their current digital service offerings.</w:t>
      </w:r>
      <w:r>
        <w:rPr>
          <w:rStyle w:val="FootnoteReference"/>
        </w:rPr>
        <w:footnoteReference w:id="22"/>
      </w:r>
      <w:r>
        <w:t xml:space="preserve"> </w:t>
      </w:r>
    </w:p>
    <w:p w:rsidR="009B22FE" w:rsidRPr="00B309A1" w:rsidRDefault="00C1068C" w:rsidP="0091300C">
      <w:pPr>
        <w:pStyle w:val="ParaNum"/>
        <w:rPr>
          <w:szCs w:val="22"/>
        </w:rPr>
      </w:pPr>
      <w:r>
        <w:t>S</w:t>
      </w:r>
      <w:r w:rsidR="00C92FE4">
        <w:t xml:space="preserve">hould we </w:t>
      </w:r>
      <w:r w:rsidR="002B2435">
        <w:t xml:space="preserve">adopt our tentative conclusion and postpone the </w:t>
      </w:r>
      <w:r w:rsidR="00F97D4D">
        <w:t>September 1, 2015</w:t>
      </w:r>
      <w:r w:rsidR="00C92FE4">
        <w:t xml:space="preserve"> transition date, we seek comment on </w:t>
      </w:r>
      <w:r w:rsidR="00B0745C" w:rsidRPr="00B309A1">
        <w:rPr>
          <w:color w:val="000000"/>
        </w:rPr>
        <w:t>whether to establish a new deadline now or wait until after the incentive auction</w:t>
      </w:r>
      <w:r w:rsidR="00C92FE4">
        <w:t xml:space="preserve">.  </w:t>
      </w:r>
      <w:r w:rsidR="009B22FE">
        <w:t xml:space="preserve">The advantage </w:t>
      </w:r>
      <w:r w:rsidR="00DE7DB9">
        <w:t>of</w:t>
      </w:r>
      <w:r w:rsidR="009B22FE">
        <w:t xml:space="preserve"> </w:t>
      </w:r>
      <w:r w:rsidR="00B0745C">
        <w:t>the latter</w:t>
      </w:r>
      <w:r w:rsidR="009B22FE">
        <w:t xml:space="preserve"> approach would be to allow</w:t>
      </w:r>
      <w:r w:rsidR="00C92FE4">
        <w:t xml:space="preserve"> </w:t>
      </w:r>
      <w:r w:rsidR="009B22FE">
        <w:t xml:space="preserve">us to examine the outcome of the </w:t>
      </w:r>
      <w:r w:rsidR="003F707B">
        <w:t>incentive auction</w:t>
      </w:r>
      <w:r w:rsidR="009B22FE">
        <w:t xml:space="preserve"> and take int</w:t>
      </w:r>
      <w:r w:rsidR="00C92FE4">
        <w:t xml:space="preserve">o account the overall impact </w:t>
      </w:r>
      <w:r w:rsidR="009B22FE">
        <w:t xml:space="preserve">of </w:t>
      </w:r>
      <w:r w:rsidR="00463CD9">
        <w:t xml:space="preserve">the </w:t>
      </w:r>
      <w:r w:rsidR="009B22FE">
        <w:t xml:space="preserve">repacking </w:t>
      </w:r>
      <w:r w:rsidR="00463CD9">
        <w:t xml:space="preserve">process </w:t>
      </w:r>
      <w:r w:rsidR="00C92FE4">
        <w:t xml:space="preserve">on </w:t>
      </w:r>
      <w:r w:rsidR="00DE7DB9">
        <w:t>LPTV and TV translator</w:t>
      </w:r>
      <w:r w:rsidR="00C92FE4">
        <w:t xml:space="preserve"> stations </w:t>
      </w:r>
      <w:r w:rsidR="009B22FE">
        <w:t xml:space="preserve">before settling on </w:t>
      </w:r>
      <w:r w:rsidR="00C92FE4">
        <w:t xml:space="preserve">a new transition date.  Alternatively, </w:t>
      </w:r>
      <w:r w:rsidR="0074542A">
        <w:t xml:space="preserve">prior to the auction, </w:t>
      </w:r>
      <w:r w:rsidR="00C92FE4">
        <w:t xml:space="preserve">we </w:t>
      </w:r>
      <w:r w:rsidR="00463CD9">
        <w:t>could</w:t>
      </w:r>
      <w:r w:rsidR="0074542A">
        <w:t xml:space="preserve"> </w:t>
      </w:r>
      <w:r w:rsidR="00DE7DB9">
        <w:t>establish</w:t>
      </w:r>
      <w:r w:rsidR="00C92FE4">
        <w:t xml:space="preserve"> a new transition date</w:t>
      </w:r>
      <w:r w:rsidR="00764842">
        <w:t xml:space="preserve"> based on the record in this proceeding</w:t>
      </w:r>
      <w:r w:rsidR="0013785D">
        <w:t xml:space="preserve">.  </w:t>
      </w:r>
      <w:r w:rsidR="009B22FE">
        <w:t>Th</w:t>
      </w:r>
      <w:r w:rsidR="005E43BD">
        <w:t>at</w:t>
      </w:r>
      <w:r w:rsidR="009B22FE">
        <w:t xml:space="preserve"> approach would provide </w:t>
      </w:r>
      <w:r w:rsidR="00DE7DB9">
        <w:t>LPTV and TV translator</w:t>
      </w:r>
      <w:r w:rsidR="009B22FE">
        <w:t xml:space="preserve"> stations with more certainty </w:t>
      </w:r>
      <w:r w:rsidR="005E43BD">
        <w:t>about</w:t>
      </w:r>
      <w:r w:rsidR="009B22FE">
        <w:t xml:space="preserve"> when the transition will </w:t>
      </w:r>
      <w:r w:rsidR="00DE7DB9">
        <w:t>end</w:t>
      </w:r>
      <w:r w:rsidR="00F31F52">
        <w:t xml:space="preserve"> and </w:t>
      </w:r>
      <w:r w:rsidR="005E43BD">
        <w:t xml:space="preserve">might </w:t>
      </w:r>
      <w:r w:rsidR="00764842">
        <w:t>expedite completion of the digital transition</w:t>
      </w:r>
      <w:r w:rsidR="009B22FE">
        <w:t xml:space="preserve">.  </w:t>
      </w:r>
      <w:r w:rsidR="0013785D">
        <w:t>We seek comment on the advantages and disadvantages of both approaches.</w:t>
      </w:r>
    </w:p>
    <w:p w:rsidR="002B6DA1" w:rsidRPr="00131C2F" w:rsidRDefault="005E43BD" w:rsidP="004E5E75">
      <w:pPr>
        <w:pStyle w:val="ParaNum"/>
        <w:rPr>
          <w:szCs w:val="22"/>
        </w:rPr>
      </w:pPr>
      <w:r>
        <w:t>If</w:t>
      </w:r>
      <w:r w:rsidR="003036DE">
        <w:t xml:space="preserve"> we </w:t>
      </w:r>
      <w:r w:rsidR="009B22FE">
        <w:t xml:space="preserve">decide to </w:t>
      </w:r>
      <w:r w:rsidR="0013785D">
        <w:t>set</w:t>
      </w:r>
      <w:r w:rsidR="001953EB">
        <w:t>,</w:t>
      </w:r>
      <w:r w:rsidR="001953EB" w:rsidRPr="001953EB">
        <w:t xml:space="preserve"> </w:t>
      </w:r>
      <w:r w:rsidR="001953EB">
        <w:t>prior to the auction,</w:t>
      </w:r>
      <w:r w:rsidR="0013785D">
        <w:t xml:space="preserve"> a new transition date, we seek comment on an appropriate new transition date.  </w:t>
      </w:r>
      <w:r w:rsidR="004E5E75" w:rsidRPr="004E5E75">
        <w:t xml:space="preserve">We note that </w:t>
      </w:r>
      <w:r w:rsidR="00DE7DB9">
        <w:t>LPTV and TV translator</w:t>
      </w:r>
      <w:r w:rsidR="004E5E75" w:rsidRPr="004E5E75">
        <w:t xml:space="preserve"> stations </w:t>
      </w:r>
      <w:r w:rsidR="00DE7DB9">
        <w:t>may</w:t>
      </w:r>
      <w:r w:rsidR="004E5E75" w:rsidRPr="004E5E75">
        <w:t xml:space="preserve"> have to wait several months after the conclusion of the incentive auction </w:t>
      </w:r>
      <w:r w:rsidR="00DE7DB9">
        <w:t xml:space="preserve">to determine whether they are displaced as well as </w:t>
      </w:r>
      <w:r w:rsidR="003D7549">
        <w:t xml:space="preserve">the </w:t>
      </w:r>
      <w:r w:rsidR="00DE7DB9">
        <w:t>channel availability for displacement applications.</w:t>
      </w:r>
      <w:r w:rsidR="004E5E75">
        <w:t xml:space="preserve">  </w:t>
      </w:r>
      <w:r w:rsidR="001953EB">
        <w:rPr>
          <w:szCs w:val="22"/>
        </w:rPr>
        <w:t xml:space="preserve">Within three months after the </w:t>
      </w:r>
      <w:r w:rsidR="004E5E75" w:rsidRPr="00131C2F">
        <w:rPr>
          <w:szCs w:val="22"/>
        </w:rPr>
        <w:t xml:space="preserve">release of the Public Notice announcing the new channel assignments (the </w:t>
      </w:r>
      <w:r w:rsidR="00175DD6" w:rsidRPr="00131C2F">
        <w:rPr>
          <w:szCs w:val="22"/>
        </w:rPr>
        <w:t>“</w:t>
      </w:r>
      <w:r w:rsidR="004E5E75" w:rsidRPr="00131C2F">
        <w:rPr>
          <w:i/>
          <w:szCs w:val="22"/>
        </w:rPr>
        <w:t>Channel Reassignment Public Notice</w:t>
      </w:r>
      <w:r w:rsidR="004E5E75" w:rsidRPr="00131C2F">
        <w:rPr>
          <w:szCs w:val="22"/>
        </w:rPr>
        <w:t>”)</w:t>
      </w:r>
      <w:r w:rsidR="00D5565B">
        <w:rPr>
          <w:szCs w:val="22"/>
        </w:rPr>
        <w:t>,</w:t>
      </w:r>
      <w:r w:rsidR="004E5E75" w:rsidRPr="00131C2F">
        <w:rPr>
          <w:szCs w:val="22"/>
        </w:rPr>
        <w:t xml:space="preserve"> full power and Class A television</w:t>
      </w:r>
      <w:r w:rsidR="00175DD6" w:rsidRPr="00131C2F">
        <w:rPr>
          <w:szCs w:val="22"/>
        </w:rPr>
        <w:t xml:space="preserve"> </w:t>
      </w:r>
      <w:r w:rsidR="004E5E75" w:rsidRPr="00131C2F">
        <w:rPr>
          <w:szCs w:val="22"/>
        </w:rPr>
        <w:t xml:space="preserve">stations reassigned </w:t>
      </w:r>
      <w:r w:rsidR="001953EB">
        <w:rPr>
          <w:szCs w:val="22"/>
        </w:rPr>
        <w:t xml:space="preserve">to new </w:t>
      </w:r>
      <w:r w:rsidR="004E5E75" w:rsidRPr="00131C2F">
        <w:rPr>
          <w:szCs w:val="22"/>
        </w:rPr>
        <w:t xml:space="preserve">channels will be required to </w:t>
      </w:r>
      <w:r w:rsidR="00D5565B">
        <w:rPr>
          <w:szCs w:val="22"/>
        </w:rPr>
        <w:t>file minor change applications for</w:t>
      </w:r>
      <w:r w:rsidR="004E5E75" w:rsidRPr="00131C2F">
        <w:rPr>
          <w:szCs w:val="22"/>
        </w:rPr>
        <w:t xml:space="preserve"> construction permit</w:t>
      </w:r>
      <w:r w:rsidR="00D5565B">
        <w:rPr>
          <w:szCs w:val="22"/>
        </w:rPr>
        <w:t>s</w:t>
      </w:r>
      <w:r w:rsidR="004E5E75" w:rsidRPr="00131C2F">
        <w:rPr>
          <w:szCs w:val="22"/>
        </w:rPr>
        <w:t xml:space="preserve"> for their new channel</w:t>
      </w:r>
      <w:r w:rsidR="00D5565B">
        <w:rPr>
          <w:szCs w:val="22"/>
        </w:rPr>
        <w:t>s</w:t>
      </w:r>
      <w:r w:rsidR="00B45272" w:rsidRPr="00131C2F">
        <w:rPr>
          <w:szCs w:val="22"/>
        </w:rPr>
        <w:t>.</w:t>
      </w:r>
      <w:r w:rsidR="00B45272">
        <w:rPr>
          <w:rStyle w:val="FootnoteReference"/>
          <w:szCs w:val="22"/>
        </w:rPr>
        <w:footnoteReference w:id="23"/>
      </w:r>
      <w:r w:rsidR="00B45272" w:rsidRPr="00131C2F">
        <w:rPr>
          <w:szCs w:val="22"/>
        </w:rPr>
        <w:t xml:space="preserve">  </w:t>
      </w:r>
      <w:r w:rsidR="004E5E75" w:rsidRPr="00131C2F">
        <w:rPr>
          <w:szCs w:val="22"/>
        </w:rPr>
        <w:t xml:space="preserve">Following that </w:t>
      </w:r>
      <w:r w:rsidR="001953EB">
        <w:rPr>
          <w:szCs w:val="22"/>
        </w:rPr>
        <w:t>three</w:t>
      </w:r>
      <w:r w:rsidR="004E5E75" w:rsidRPr="00131C2F">
        <w:rPr>
          <w:szCs w:val="22"/>
        </w:rPr>
        <w:t xml:space="preserve">-month period, full power and Class A stations that </w:t>
      </w:r>
      <w:r w:rsidR="00D5565B">
        <w:rPr>
          <w:szCs w:val="22"/>
        </w:rPr>
        <w:t>were reassigned to new channels</w:t>
      </w:r>
      <w:r w:rsidR="004E5E75" w:rsidRPr="00131C2F">
        <w:rPr>
          <w:szCs w:val="22"/>
        </w:rPr>
        <w:t xml:space="preserve"> will be allowed to </w:t>
      </w:r>
      <w:r w:rsidR="00D5565B">
        <w:rPr>
          <w:szCs w:val="22"/>
        </w:rPr>
        <w:t xml:space="preserve">file for alternate channels or expanded facilities </w:t>
      </w:r>
      <w:r w:rsidR="004E5E75" w:rsidRPr="00131C2F">
        <w:rPr>
          <w:szCs w:val="22"/>
        </w:rPr>
        <w:t xml:space="preserve">during </w:t>
      </w:r>
      <w:r w:rsidR="00D5565B">
        <w:rPr>
          <w:szCs w:val="22"/>
        </w:rPr>
        <w:t>two</w:t>
      </w:r>
      <w:r w:rsidR="004E5E75" w:rsidRPr="00131C2F">
        <w:rPr>
          <w:szCs w:val="22"/>
        </w:rPr>
        <w:t xml:space="preserve"> window filing oppor</w:t>
      </w:r>
      <w:r w:rsidR="00B45272" w:rsidRPr="00131C2F">
        <w:rPr>
          <w:szCs w:val="22"/>
        </w:rPr>
        <w:t>tunit</w:t>
      </w:r>
      <w:r w:rsidR="00D5565B">
        <w:rPr>
          <w:szCs w:val="22"/>
        </w:rPr>
        <w:t>ies</w:t>
      </w:r>
      <w:r w:rsidR="00B45272" w:rsidRPr="00131C2F">
        <w:rPr>
          <w:szCs w:val="22"/>
        </w:rPr>
        <w:t>.</w:t>
      </w:r>
      <w:r w:rsidR="00B45272">
        <w:rPr>
          <w:rStyle w:val="FootnoteReference"/>
          <w:szCs w:val="22"/>
        </w:rPr>
        <w:footnoteReference w:id="24"/>
      </w:r>
      <w:r w:rsidR="00B45272" w:rsidRPr="00131C2F">
        <w:rPr>
          <w:szCs w:val="22"/>
        </w:rPr>
        <w:t xml:space="preserve">  </w:t>
      </w:r>
      <w:r w:rsidR="00B0745C" w:rsidRPr="009718E7">
        <w:rPr>
          <w:color w:val="000000"/>
        </w:rPr>
        <w:t xml:space="preserve">Thus, the full extent to which LPTV and TV translators will be displaced by new channel assignments </w:t>
      </w:r>
      <w:r w:rsidR="001953EB">
        <w:rPr>
          <w:color w:val="000000"/>
        </w:rPr>
        <w:t xml:space="preserve">may </w:t>
      </w:r>
      <w:r w:rsidR="00B0745C" w:rsidRPr="009718E7">
        <w:rPr>
          <w:color w:val="000000"/>
        </w:rPr>
        <w:t xml:space="preserve">not be known </w:t>
      </w:r>
      <w:r w:rsidR="00430EF6">
        <w:rPr>
          <w:szCs w:val="22"/>
        </w:rPr>
        <w:t>until</w:t>
      </w:r>
      <w:r w:rsidR="00340FD3">
        <w:rPr>
          <w:szCs w:val="22"/>
        </w:rPr>
        <w:t xml:space="preserve"> </w:t>
      </w:r>
      <w:r w:rsidR="00D5565B">
        <w:rPr>
          <w:szCs w:val="22"/>
        </w:rPr>
        <w:t>six</w:t>
      </w:r>
      <w:r w:rsidR="00B45272" w:rsidRPr="00131C2F">
        <w:rPr>
          <w:szCs w:val="22"/>
        </w:rPr>
        <w:t xml:space="preserve"> or more months after the c</w:t>
      </w:r>
      <w:r w:rsidR="00D5565B">
        <w:rPr>
          <w:szCs w:val="22"/>
        </w:rPr>
        <w:t>onclusion</w:t>
      </w:r>
      <w:r w:rsidR="00B45272" w:rsidRPr="00131C2F">
        <w:rPr>
          <w:szCs w:val="22"/>
        </w:rPr>
        <w:t xml:space="preserve"> </w:t>
      </w:r>
      <w:r w:rsidR="00131C2F" w:rsidRPr="00131C2F">
        <w:rPr>
          <w:szCs w:val="22"/>
        </w:rPr>
        <w:t>of the incentive auction</w:t>
      </w:r>
      <w:r w:rsidR="009C71EC">
        <w:rPr>
          <w:szCs w:val="22"/>
        </w:rPr>
        <w:t>.</w:t>
      </w:r>
      <w:r w:rsidR="00131C2F" w:rsidRPr="00131C2F">
        <w:rPr>
          <w:szCs w:val="22"/>
        </w:rPr>
        <w:t xml:space="preserve">  </w:t>
      </w:r>
      <w:r w:rsidR="00B45272">
        <w:t>Given th</w:t>
      </w:r>
      <w:r w:rsidR="00131C2F">
        <w:t>is</w:t>
      </w:r>
      <w:r w:rsidR="00B45272">
        <w:t xml:space="preserve"> post-auction timetable, would a </w:t>
      </w:r>
      <w:r w:rsidR="0013785D">
        <w:t xml:space="preserve">postponement </w:t>
      </w:r>
      <w:r w:rsidR="00FE1707">
        <w:t xml:space="preserve">of </w:t>
      </w:r>
      <w:r w:rsidR="007A3703">
        <w:t xml:space="preserve">the current deadline </w:t>
      </w:r>
      <w:r w:rsidR="004378D6">
        <w:t xml:space="preserve">to </w:t>
      </w:r>
      <w:r w:rsidR="00FE1707">
        <w:t xml:space="preserve">twelve months </w:t>
      </w:r>
      <w:r w:rsidR="004378D6">
        <w:t xml:space="preserve">after </w:t>
      </w:r>
      <w:r w:rsidR="00B15ABC">
        <w:t xml:space="preserve">the close of the </w:t>
      </w:r>
      <w:r w:rsidR="001953EB">
        <w:t>i</w:t>
      </w:r>
      <w:r w:rsidR="00B15ABC">
        <w:t xml:space="preserve">ncentive </w:t>
      </w:r>
      <w:r w:rsidR="001953EB">
        <w:t>a</w:t>
      </w:r>
      <w:r w:rsidR="00B15ABC">
        <w:t xml:space="preserve">uction </w:t>
      </w:r>
      <w:r w:rsidR="0013785D">
        <w:t xml:space="preserve">be appropriate in order to further our goal of </w:t>
      </w:r>
      <w:r w:rsidR="007924B0">
        <w:t xml:space="preserve">expediting </w:t>
      </w:r>
      <w:r w:rsidR="0013785D">
        <w:t>the transition to digital for these services</w:t>
      </w:r>
      <w:r w:rsidR="00FE1707">
        <w:t>?</w:t>
      </w:r>
      <w:r w:rsidR="00B45272">
        <w:t xml:space="preserve">  </w:t>
      </w:r>
      <w:r w:rsidR="004378D6">
        <w:t>W</w:t>
      </w:r>
      <w:r w:rsidR="0013785D">
        <w:t xml:space="preserve">e </w:t>
      </w:r>
      <w:r w:rsidR="004378D6">
        <w:t xml:space="preserve">also invite </w:t>
      </w:r>
      <w:r w:rsidR="0013785D">
        <w:t xml:space="preserve">comment on alternative </w:t>
      </w:r>
      <w:r w:rsidR="00B0745C">
        <w:t xml:space="preserve">approaches and </w:t>
      </w:r>
      <w:r w:rsidR="0013785D">
        <w:t>dates.</w:t>
      </w:r>
      <w:r w:rsidR="008F7A46">
        <w:t xml:space="preserve"> </w:t>
      </w:r>
      <w:r w:rsidR="0013785D">
        <w:t xml:space="preserve"> </w:t>
      </w:r>
      <w:r w:rsidR="002B6DA1">
        <w:t xml:space="preserve">Whatever the new </w:t>
      </w:r>
      <w:r w:rsidR="00B0745C">
        <w:t>deadline</w:t>
      </w:r>
      <w:r w:rsidR="002B6DA1">
        <w:t xml:space="preserve">, </w:t>
      </w:r>
      <w:r w:rsidR="0013785D">
        <w:t xml:space="preserve">we intend that it will continue to be </w:t>
      </w:r>
      <w:r w:rsidR="002B6DA1">
        <w:t>a “hard” deadline</w:t>
      </w:r>
      <w:r w:rsidR="0013785D">
        <w:t xml:space="preserve"> and that </w:t>
      </w:r>
      <w:r w:rsidR="002B6DA1">
        <w:t xml:space="preserve">all analog transmissions </w:t>
      </w:r>
      <w:r w:rsidR="0013785D">
        <w:t xml:space="preserve">will be required to </w:t>
      </w:r>
      <w:r w:rsidR="002B6DA1">
        <w:t xml:space="preserve">cease even if </w:t>
      </w:r>
      <w:r w:rsidR="009324A1">
        <w:t xml:space="preserve">stations’ </w:t>
      </w:r>
      <w:r w:rsidR="002B6DA1">
        <w:t xml:space="preserve">digital facilities are not yet </w:t>
      </w:r>
      <w:r w:rsidR="008F7A46">
        <w:t>constructed</w:t>
      </w:r>
      <w:r w:rsidR="002B6DA1">
        <w:t>.</w:t>
      </w:r>
      <w:r w:rsidR="009324A1">
        <w:rPr>
          <w:rStyle w:val="FootnoteReference"/>
        </w:rPr>
        <w:footnoteReference w:id="25"/>
      </w:r>
      <w:r w:rsidR="002B6DA1">
        <w:t xml:space="preserve">  </w:t>
      </w:r>
      <w:r w:rsidR="0013785D">
        <w:t>We seek comment on this approach.</w:t>
      </w:r>
    </w:p>
    <w:p w:rsidR="003B2AC0" w:rsidRDefault="004378D6" w:rsidP="00577B6C">
      <w:pPr>
        <w:pStyle w:val="ParaNum"/>
        <w:widowControl/>
      </w:pPr>
      <w:r>
        <w:t xml:space="preserve">If </w:t>
      </w:r>
      <w:r w:rsidR="00584F8A">
        <w:t xml:space="preserve">we extend the digital transition </w:t>
      </w:r>
      <w:r w:rsidR="00C1057A">
        <w:t xml:space="preserve">deadline for </w:t>
      </w:r>
      <w:r w:rsidR="00557505">
        <w:t>LPTV and TV translator</w:t>
      </w:r>
      <w:r w:rsidR="00C1057A">
        <w:t xml:space="preserve"> stations</w:t>
      </w:r>
      <w:r w:rsidR="00584F8A">
        <w:t xml:space="preserve">, we </w:t>
      </w:r>
      <w:r w:rsidR="00437372" w:rsidRPr="00437372">
        <w:t>propose to make corresponding rule changes and to modify transition-related digital construction permits to effectuate any new transition date</w:t>
      </w:r>
      <w:r w:rsidR="008C02E9">
        <w:t>.</w:t>
      </w:r>
      <w:r w:rsidR="00DA2D3E">
        <w:rPr>
          <w:rStyle w:val="FootnoteReference"/>
        </w:rPr>
        <w:footnoteReference w:id="26"/>
      </w:r>
      <w:r w:rsidR="00DA2D3E" w:rsidRPr="00DA2D3E">
        <w:t xml:space="preserve">  </w:t>
      </w:r>
      <w:r w:rsidR="008C02E9" w:rsidRPr="008C02E9">
        <w:t xml:space="preserve">In addition, we propose to modify the rules to continue to allow transitioning stations to request one </w:t>
      </w:r>
      <w:r w:rsidR="006F0CF3">
        <w:t>“</w:t>
      </w:r>
      <w:r w:rsidR="008C02E9" w:rsidRPr="008C02E9">
        <w:t>last minute</w:t>
      </w:r>
      <w:r w:rsidR="006F0CF3">
        <w:t>”</w:t>
      </w:r>
      <w:r w:rsidR="008C02E9" w:rsidRPr="008C02E9">
        <w:t xml:space="preserve"> extension beyond the transition deadline of up to six months, </w:t>
      </w:r>
      <w:r w:rsidR="008C02E9">
        <w:t>so long as the request is filed at least four months before the new deadline and meets the other criteria in our current rule.</w:t>
      </w:r>
      <w:r w:rsidR="008C02E9">
        <w:rPr>
          <w:rStyle w:val="FootnoteReference"/>
        </w:rPr>
        <w:footnoteReference w:id="27"/>
      </w:r>
      <w:r w:rsidR="008C02E9">
        <w:t xml:space="preserve">  As in the current rule, we propose that extension requests no longer be accepted after that deadline and that use of the tolling rule commence the following day.  We seek comment on these proposals</w:t>
      </w:r>
    </w:p>
    <w:p w:rsidR="008C02E9" w:rsidDel="008C02E9" w:rsidRDefault="00A17D29" w:rsidP="002F646E">
      <w:pPr>
        <w:pStyle w:val="ParaNum"/>
        <w:widowControl/>
      </w:pPr>
      <w:r>
        <w:t>Finally, t</w:t>
      </w:r>
      <w:r w:rsidR="008C02E9">
        <w:t>he September 1, 2015 digital transition date d</w:t>
      </w:r>
      <w:r w:rsidR="008C02E9" w:rsidRPr="008C02E9">
        <w:t xml:space="preserve">oes not </w:t>
      </w:r>
      <w:r w:rsidR="008C02E9">
        <w:t xml:space="preserve">apply to </w:t>
      </w:r>
      <w:r w:rsidR="008C02E9" w:rsidRPr="008C02E9">
        <w:t>holders of unbuilt construction permits for new digital LPTV and TV translator stati</w:t>
      </w:r>
      <w:r w:rsidR="008C02E9">
        <w:t>ons.</w:t>
      </w:r>
      <w:r>
        <w:rPr>
          <w:rStyle w:val="FootnoteReference"/>
        </w:rPr>
        <w:footnoteReference w:id="28"/>
      </w:r>
      <w:r w:rsidR="008C02E9">
        <w:t xml:space="preserve">  These permits </w:t>
      </w:r>
      <w:r w:rsidR="008C02E9" w:rsidRPr="008C02E9">
        <w:t>are issued a three-year construction deadline at the time the initial construction permit is granted</w:t>
      </w:r>
      <w:r w:rsidR="00292FD1">
        <w:t>.</w:t>
      </w:r>
      <w:r w:rsidR="00292FD1">
        <w:rPr>
          <w:rStyle w:val="FootnoteReference"/>
        </w:rPr>
        <w:footnoteReference w:id="29"/>
      </w:r>
      <w:r w:rsidR="00292FD1">
        <w:t xml:space="preserve">  </w:t>
      </w:r>
      <w:r w:rsidR="00CB1407" w:rsidRPr="009019C6">
        <w:t xml:space="preserve">Many of the more than 1,700 </w:t>
      </w:r>
      <w:r w:rsidR="0081506C">
        <w:t>ou</w:t>
      </w:r>
      <w:r w:rsidR="00571D45">
        <w:t>t</w:t>
      </w:r>
      <w:r w:rsidR="0081506C">
        <w:t xml:space="preserve">standing </w:t>
      </w:r>
      <w:r w:rsidR="00CB1407" w:rsidRPr="009019C6">
        <w:t xml:space="preserve">new </w:t>
      </w:r>
      <w:r w:rsidR="0081506C">
        <w:t xml:space="preserve">digital LPTV and TV translator </w:t>
      </w:r>
      <w:r w:rsidR="00CB1407" w:rsidRPr="009019C6">
        <w:t>station permittees have been granted two extensions of time to construct by the Media Bureau staff and some have filed applications requesting a third extension of time.</w:t>
      </w:r>
      <w:r w:rsidR="00CB1407" w:rsidRPr="00CB1407">
        <w:rPr>
          <w:vertAlign w:val="superscript"/>
        </w:rPr>
        <w:footnoteReference w:id="30"/>
      </w:r>
      <w:r w:rsidR="00CB1407" w:rsidRPr="009019C6">
        <w:t xml:space="preserve">  </w:t>
      </w:r>
      <w:r w:rsidR="003B2AC0" w:rsidRPr="003B2AC0">
        <w:t xml:space="preserve">In order to treat these permittees similarly to the permittees of </w:t>
      </w:r>
      <w:r w:rsidR="003B2AC0">
        <w:t xml:space="preserve">transitioning LPTV and TV translator </w:t>
      </w:r>
      <w:r w:rsidR="003B2AC0" w:rsidRPr="003B2AC0">
        <w:t xml:space="preserve">stations, </w:t>
      </w:r>
      <w:r w:rsidR="003B2AC0">
        <w:t xml:space="preserve">by Public Notice released today, </w:t>
      </w:r>
      <w:r w:rsidR="008A4944">
        <w:t xml:space="preserve">we have </w:t>
      </w:r>
      <w:r w:rsidR="00292FD1">
        <w:t>s</w:t>
      </w:r>
      <w:r w:rsidR="00CB1407" w:rsidRPr="009019C6">
        <w:t xml:space="preserve">uspended the expiration date and construction deadlines of </w:t>
      </w:r>
      <w:r w:rsidR="0081506C">
        <w:t xml:space="preserve">construction </w:t>
      </w:r>
      <w:r w:rsidR="00CB1407" w:rsidRPr="009019C6">
        <w:t>permits for new digital LPTV and TV translator stations pending final action in th</w:t>
      </w:r>
      <w:r w:rsidR="00CB1407">
        <w:t>is proceeding</w:t>
      </w:r>
      <w:r w:rsidR="00CB1407" w:rsidRPr="009019C6">
        <w:t>.</w:t>
      </w:r>
      <w:r w:rsidR="00CB1407" w:rsidRPr="00CB1407">
        <w:rPr>
          <w:vertAlign w:val="superscript"/>
        </w:rPr>
        <w:footnoteReference w:id="31"/>
      </w:r>
      <w:r w:rsidR="003B2AC0">
        <w:t xml:space="preserve">  </w:t>
      </w:r>
      <w:r>
        <w:t>I</w:t>
      </w:r>
      <w:r w:rsidR="008C02E9" w:rsidRPr="008C02E9">
        <w:t xml:space="preserve">n the event we extend the deadline for </w:t>
      </w:r>
      <w:r w:rsidR="00DA2EF6">
        <w:t xml:space="preserve">transitioning </w:t>
      </w:r>
      <w:r w:rsidR="008C02E9" w:rsidRPr="008C02E9">
        <w:t>analog LPTV and TV translator stations</w:t>
      </w:r>
      <w:r>
        <w:t xml:space="preserve"> in this proceeding</w:t>
      </w:r>
      <w:r w:rsidR="008C02E9" w:rsidRPr="008C02E9">
        <w:t xml:space="preserve">, we </w:t>
      </w:r>
      <w:r>
        <w:t>ten</w:t>
      </w:r>
      <w:r w:rsidR="004A3B6B">
        <w:t>t</w:t>
      </w:r>
      <w:r>
        <w:t xml:space="preserve">atively conclude to extend </w:t>
      </w:r>
      <w:r w:rsidR="008C02E9" w:rsidRPr="008C02E9">
        <w:t>the deadline for construction permits for new digital stations to conform their construction deadline to the new digital transition deadline.</w:t>
      </w:r>
      <w:r w:rsidR="00292FD1">
        <w:rPr>
          <w:rStyle w:val="FootnoteReference"/>
        </w:rPr>
        <w:footnoteReference w:id="32"/>
      </w:r>
      <w:r>
        <w:t xml:space="preserve">  We seek comment on this tentative conclusion.  </w:t>
      </w:r>
    </w:p>
    <w:p w:rsidR="00CD683D" w:rsidRDefault="00036D39">
      <w:pPr>
        <w:pStyle w:val="Heading2"/>
      </w:pPr>
      <w:bookmarkStart w:id="73" w:name="_Toc393265898"/>
      <w:r>
        <w:t xml:space="preserve">LPTV </w:t>
      </w:r>
      <w:r w:rsidR="00E60116">
        <w:t xml:space="preserve">and TV Translator </w:t>
      </w:r>
      <w:r>
        <w:t>Channel Sharing</w:t>
      </w:r>
      <w:bookmarkEnd w:id="73"/>
    </w:p>
    <w:p w:rsidR="0082591E" w:rsidRPr="0082591E" w:rsidRDefault="003E5AE5" w:rsidP="0082591E">
      <w:pPr>
        <w:pStyle w:val="Heading3"/>
      </w:pPr>
      <w:bookmarkStart w:id="74" w:name="_Toc393265899"/>
      <w:r>
        <w:t>Extending Channel Sharing to LPTV and TV Translators</w:t>
      </w:r>
      <w:bookmarkEnd w:id="74"/>
    </w:p>
    <w:p w:rsidR="00EE2649" w:rsidRDefault="00231563" w:rsidP="00DD675B">
      <w:pPr>
        <w:pStyle w:val="ParaNum"/>
        <w:rPr>
          <w:szCs w:val="22"/>
        </w:rPr>
      </w:pPr>
      <w:r w:rsidRPr="00462A69">
        <w:rPr>
          <w:szCs w:val="22"/>
        </w:rPr>
        <w:t xml:space="preserve">We </w:t>
      </w:r>
      <w:r w:rsidR="00BD1C81" w:rsidRPr="00462A69">
        <w:rPr>
          <w:szCs w:val="22"/>
        </w:rPr>
        <w:t>tentatively conclude</w:t>
      </w:r>
      <w:r w:rsidRPr="00462A69">
        <w:rPr>
          <w:szCs w:val="22"/>
        </w:rPr>
        <w:t xml:space="preserve"> </w:t>
      </w:r>
      <w:r w:rsidR="004528E5">
        <w:rPr>
          <w:szCs w:val="22"/>
        </w:rPr>
        <w:t>that we should</w:t>
      </w:r>
      <w:r w:rsidR="004528E5" w:rsidRPr="00462A69">
        <w:rPr>
          <w:szCs w:val="22"/>
        </w:rPr>
        <w:t xml:space="preserve"> </w:t>
      </w:r>
      <w:r w:rsidRPr="00462A69">
        <w:rPr>
          <w:szCs w:val="22"/>
        </w:rPr>
        <w:t xml:space="preserve">adopt rules to permit channel sharing </w:t>
      </w:r>
      <w:r w:rsidR="00913F0D" w:rsidRPr="00462A69">
        <w:rPr>
          <w:szCs w:val="22"/>
        </w:rPr>
        <w:t xml:space="preserve">by and </w:t>
      </w:r>
      <w:r w:rsidRPr="00462A69">
        <w:rPr>
          <w:szCs w:val="22"/>
        </w:rPr>
        <w:t>between LPTV and TV translator</w:t>
      </w:r>
      <w:r w:rsidR="00A77A94">
        <w:rPr>
          <w:szCs w:val="22"/>
        </w:rPr>
        <w:t xml:space="preserve"> stations</w:t>
      </w:r>
      <w:r w:rsidR="002B2435">
        <w:rPr>
          <w:szCs w:val="22"/>
        </w:rPr>
        <w:t xml:space="preserve">, </w:t>
      </w:r>
      <w:r w:rsidR="00AC7542" w:rsidRPr="00247CA9">
        <w:rPr>
          <w:szCs w:val="22"/>
        </w:rPr>
        <w:t>and we seek comment on a variety of rules to implement channel sharing for these stations.</w:t>
      </w:r>
      <w:r w:rsidR="00AC7542" w:rsidRPr="00462A69">
        <w:rPr>
          <w:szCs w:val="22"/>
        </w:rPr>
        <w:t xml:space="preserve">  </w:t>
      </w:r>
      <w:r w:rsidR="00881C37">
        <w:rPr>
          <w:szCs w:val="22"/>
        </w:rPr>
        <w:t>Our existing channel sharing rules apply only to full power and Class A stations bidding in the incentive auction.</w:t>
      </w:r>
      <w:r w:rsidR="00056613">
        <w:rPr>
          <w:rStyle w:val="FootnoteReference"/>
          <w:szCs w:val="22"/>
        </w:rPr>
        <w:footnoteReference w:id="33"/>
      </w:r>
      <w:r w:rsidR="00881C37">
        <w:rPr>
          <w:szCs w:val="22"/>
        </w:rPr>
        <w:t xml:space="preserve">  We now consider creating channel sharing rules for LPTV and TV translator stations outside of the auction context.</w:t>
      </w:r>
      <w:r w:rsidR="00312727">
        <w:t xml:space="preserve">  </w:t>
      </w:r>
      <w:r w:rsidR="00EE2649">
        <w:rPr>
          <w:szCs w:val="22"/>
        </w:rPr>
        <w:t xml:space="preserve">We </w:t>
      </w:r>
      <w:r w:rsidR="00566F88">
        <w:rPr>
          <w:szCs w:val="22"/>
        </w:rPr>
        <w:t xml:space="preserve">tentatively </w:t>
      </w:r>
      <w:r w:rsidR="00EE2649">
        <w:rPr>
          <w:szCs w:val="22"/>
        </w:rPr>
        <w:t xml:space="preserve">conclude that </w:t>
      </w:r>
      <w:r w:rsidR="00566F88">
        <w:rPr>
          <w:szCs w:val="22"/>
        </w:rPr>
        <w:t xml:space="preserve">such rules </w:t>
      </w:r>
      <w:r w:rsidR="00C255E9">
        <w:rPr>
          <w:szCs w:val="22"/>
        </w:rPr>
        <w:t>are</w:t>
      </w:r>
      <w:r w:rsidR="00566F88">
        <w:rPr>
          <w:szCs w:val="22"/>
        </w:rPr>
        <w:t xml:space="preserve"> permitted under </w:t>
      </w:r>
      <w:r w:rsidR="00EE2649">
        <w:rPr>
          <w:szCs w:val="22"/>
        </w:rPr>
        <w:t xml:space="preserve">our general authority </w:t>
      </w:r>
      <w:r w:rsidR="00566F88">
        <w:rPr>
          <w:szCs w:val="22"/>
        </w:rPr>
        <w:t>in</w:t>
      </w:r>
      <w:r w:rsidR="00EE2649">
        <w:rPr>
          <w:szCs w:val="22"/>
        </w:rPr>
        <w:t xml:space="preserve"> </w:t>
      </w:r>
      <w:r w:rsidR="006F0CF3">
        <w:rPr>
          <w:szCs w:val="22"/>
        </w:rPr>
        <w:t>Title III</w:t>
      </w:r>
      <w:r w:rsidR="00A102DC">
        <w:rPr>
          <w:szCs w:val="22"/>
        </w:rPr>
        <w:t xml:space="preserve"> </w:t>
      </w:r>
      <w:r w:rsidR="00EE2649">
        <w:rPr>
          <w:szCs w:val="22"/>
        </w:rPr>
        <w:t xml:space="preserve">of the Communications Act of 1934, </w:t>
      </w:r>
      <w:r w:rsidR="00EB07F4">
        <w:rPr>
          <w:szCs w:val="22"/>
        </w:rPr>
        <w:t>as amended</w:t>
      </w:r>
      <w:r w:rsidR="00EE2649">
        <w:rPr>
          <w:szCs w:val="22"/>
        </w:rPr>
        <w:t>.</w:t>
      </w:r>
      <w:r w:rsidR="00A102DC">
        <w:rPr>
          <w:rStyle w:val="FootnoteReference"/>
          <w:szCs w:val="22"/>
        </w:rPr>
        <w:footnoteReference w:id="34"/>
      </w:r>
    </w:p>
    <w:p w:rsidR="00DD675B" w:rsidRPr="00462A69" w:rsidRDefault="00DD675B" w:rsidP="00DD675B">
      <w:pPr>
        <w:pStyle w:val="ParaNum"/>
        <w:rPr>
          <w:szCs w:val="22"/>
        </w:rPr>
      </w:pPr>
      <w:r w:rsidRPr="00462A69">
        <w:rPr>
          <w:szCs w:val="22"/>
        </w:rPr>
        <w:t xml:space="preserve">In the </w:t>
      </w:r>
      <w:r w:rsidRPr="00462A69">
        <w:rPr>
          <w:i/>
          <w:szCs w:val="22"/>
        </w:rPr>
        <w:t>Incentive Auction Report and Order</w:t>
      </w:r>
      <w:r w:rsidRPr="00462A69">
        <w:rPr>
          <w:szCs w:val="22"/>
        </w:rPr>
        <w:t xml:space="preserve">, </w:t>
      </w:r>
      <w:r w:rsidR="00EA293B">
        <w:rPr>
          <w:szCs w:val="22"/>
        </w:rPr>
        <w:t>we</w:t>
      </w:r>
      <w:r w:rsidRPr="00462A69">
        <w:rPr>
          <w:szCs w:val="22"/>
        </w:rPr>
        <w:t xml:space="preserve"> recognized “the potential benefits of allowing LPTV and TV translator stations to explo</w:t>
      </w:r>
      <w:r w:rsidRPr="00247CA9">
        <w:rPr>
          <w:szCs w:val="22"/>
        </w:rPr>
        <w:t>re channel sharing outside of the auction context, such as to ensure the continued viability of LPTV and TV translator services through new programming and business arrangements, to promote spectral efficiency by freeing up spectrum, and to promote the use of available digital capacity on other platforms to distribute programming.”</w:t>
      </w:r>
      <w:r>
        <w:rPr>
          <w:rStyle w:val="FootnoteReference"/>
          <w:szCs w:val="22"/>
        </w:rPr>
        <w:footnoteReference w:id="35"/>
      </w:r>
      <w:r w:rsidRPr="00462A69">
        <w:rPr>
          <w:szCs w:val="22"/>
        </w:rPr>
        <w:t xml:space="preserve">  </w:t>
      </w:r>
      <w:r w:rsidR="00132213">
        <w:rPr>
          <w:szCs w:val="22"/>
        </w:rPr>
        <w:t xml:space="preserve">A commenter </w:t>
      </w:r>
      <w:r w:rsidR="00132213">
        <w:t xml:space="preserve">in the incentive auction proceeding </w:t>
      </w:r>
      <w:r>
        <w:t>also note</w:t>
      </w:r>
      <w:r w:rsidR="00420D46">
        <w:t>d</w:t>
      </w:r>
      <w:r>
        <w:t xml:space="preserve"> the possibility that </w:t>
      </w:r>
      <w:r w:rsidRPr="00812F02">
        <w:t xml:space="preserve">channel sharing may </w:t>
      </w:r>
      <w:r>
        <w:t>make operation</w:t>
      </w:r>
      <w:r w:rsidR="00132213">
        <w:t>s</w:t>
      </w:r>
      <w:r>
        <w:t xml:space="preserve"> </w:t>
      </w:r>
      <w:r w:rsidRPr="00812F02">
        <w:t xml:space="preserve">more cost-effective for </w:t>
      </w:r>
      <w:r>
        <w:t>LPTV and TV translator</w:t>
      </w:r>
      <w:r w:rsidR="00650869">
        <w:t xml:space="preserve"> </w:t>
      </w:r>
      <w:r>
        <w:t>s</w:t>
      </w:r>
      <w:r w:rsidR="00650869">
        <w:t>tations</w:t>
      </w:r>
      <w:r>
        <w:t xml:space="preserve">, a benefit that could be particularly important to marginal stations, </w:t>
      </w:r>
      <w:r w:rsidRPr="00812F02">
        <w:t>because tower lease</w:t>
      </w:r>
      <w:r>
        <w:t>s</w:t>
      </w:r>
      <w:r w:rsidRPr="00812F02">
        <w:t>, infrastructure</w:t>
      </w:r>
      <w:r w:rsidR="00650869">
        <w:t>,</w:t>
      </w:r>
      <w:r w:rsidRPr="00812F02">
        <w:t xml:space="preserve"> and other costs can be shared.</w:t>
      </w:r>
      <w:r>
        <w:rPr>
          <w:rStyle w:val="FootnoteReference"/>
        </w:rPr>
        <w:footnoteReference w:id="36"/>
      </w:r>
      <w:r w:rsidRPr="00812F02">
        <w:t xml:space="preserve"> </w:t>
      </w:r>
      <w:r w:rsidR="00EB07F4">
        <w:t xml:space="preserve">Channel sharing may also assist stations that have not yet completed their digital facilities to meet the digital transition deadline. </w:t>
      </w:r>
      <w:r w:rsidRPr="00812F02">
        <w:t xml:space="preserve"> </w:t>
      </w:r>
      <w:r>
        <w:t xml:space="preserve">In addition, channel sharing </w:t>
      </w:r>
      <w:r w:rsidR="00CA214E">
        <w:t xml:space="preserve">may </w:t>
      </w:r>
      <w:r>
        <w:t xml:space="preserve">help to mitigate the impact of </w:t>
      </w:r>
      <w:r w:rsidR="005A1BF0">
        <w:t>the a</w:t>
      </w:r>
      <w:r>
        <w:t>uction</w:t>
      </w:r>
      <w:r w:rsidR="005253F6">
        <w:t xml:space="preserve"> and </w:t>
      </w:r>
      <w:r>
        <w:t>repacking process</w:t>
      </w:r>
      <w:r w:rsidR="006E28DA">
        <w:t xml:space="preserve">.  For example, </w:t>
      </w:r>
      <w:r w:rsidR="00AC1F42">
        <w:t xml:space="preserve">two displaced LPTV or TV translator stations may file displacement applications proposing to share a single channel.  Alternatively, a </w:t>
      </w:r>
      <w:r w:rsidR="006E28DA">
        <w:t xml:space="preserve">displaced LPTV or TV translator station could agree to </w:t>
      </w:r>
      <w:r>
        <w:t>share the channel of a non-displaced statio</w:t>
      </w:r>
      <w:r w:rsidR="00AC1F42">
        <w:t>n</w:t>
      </w:r>
      <w:r w:rsidR="006E28DA">
        <w:t xml:space="preserve">.  </w:t>
      </w:r>
      <w:r w:rsidR="00AC1F42">
        <w:t xml:space="preserve">These types of channel sharing </w:t>
      </w:r>
      <w:r w:rsidR="006E28DA">
        <w:t>arrangement</w:t>
      </w:r>
      <w:r w:rsidR="00AC1F42">
        <w:t>s</w:t>
      </w:r>
      <w:r w:rsidR="006E28DA">
        <w:t xml:space="preserve"> would minimiz</w:t>
      </w:r>
      <w:r w:rsidR="00AC1F42">
        <w:t>e</w:t>
      </w:r>
      <w:r w:rsidR="006E28DA">
        <w:t xml:space="preserve"> the number of mutually exclusive </w:t>
      </w:r>
      <w:r w:rsidR="00AC1F42">
        <w:t xml:space="preserve">applications filed in the post-incentive auction displacement window </w:t>
      </w:r>
      <w:r w:rsidR="006E28DA">
        <w:t xml:space="preserve">and </w:t>
      </w:r>
      <w:r>
        <w:t xml:space="preserve">free up valuable channels for use by </w:t>
      </w:r>
      <w:r w:rsidR="006E28DA">
        <w:t xml:space="preserve">other </w:t>
      </w:r>
      <w:r>
        <w:t>displaced stations.</w:t>
      </w:r>
      <w:r>
        <w:rPr>
          <w:rStyle w:val="FootnoteReference"/>
        </w:rPr>
        <w:footnoteReference w:id="37"/>
      </w:r>
      <w:r w:rsidRPr="00462A69">
        <w:rPr>
          <w:szCs w:val="22"/>
        </w:rPr>
        <w:t xml:space="preserve">  </w:t>
      </w:r>
      <w:r>
        <w:t xml:space="preserve">For all of these reasons, we tentatively conclude that authorizing channel sharing between and among LPTV and TV translator stations would serve the public interest, and we seek comment on this tentative </w:t>
      </w:r>
      <w:r w:rsidR="00CA214E">
        <w:t>conclusion</w:t>
      </w:r>
      <w:r>
        <w:t>.</w:t>
      </w:r>
      <w:r>
        <w:rPr>
          <w:rStyle w:val="FootnoteReference"/>
        </w:rPr>
        <w:footnoteReference w:id="38"/>
      </w:r>
    </w:p>
    <w:p w:rsidR="00462A69" w:rsidRPr="00462A69" w:rsidRDefault="00462A69" w:rsidP="002F646E">
      <w:pPr>
        <w:pStyle w:val="ParaNum"/>
        <w:widowControl/>
      </w:pPr>
      <w:r>
        <w:t>To implement channel sharing between LPTV and TV translators we propose the following rules and procedures</w:t>
      </w:r>
      <w:r w:rsidR="00CA214E">
        <w:t>,</w:t>
      </w:r>
      <w:r>
        <w:t xml:space="preserve"> similar to those we adopted for </w:t>
      </w:r>
      <w:r w:rsidR="004A2F03">
        <w:t xml:space="preserve">full power and Class A television </w:t>
      </w:r>
      <w:r>
        <w:t xml:space="preserve">channel sharing in the incentive auction context.  </w:t>
      </w:r>
      <w:r w:rsidR="00CA214E">
        <w:t>As in</w:t>
      </w:r>
      <w:r>
        <w:t xml:space="preserve"> the full power and Class A channel sharing rules, we propose that LPTV channel sharing be voluntary and flexible, that stations be permitted to choose their channel sharing partners, that channel sharing agreements (“CSAs”) </w:t>
      </w:r>
      <w:r w:rsidR="00731C9F">
        <w:t xml:space="preserve">be required to </w:t>
      </w:r>
      <w:r w:rsidR="004A2F03">
        <w:t>outline stations’ rights with respect to ce</w:t>
      </w:r>
      <w:r>
        <w:t xml:space="preserve">rtain </w:t>
      </w:r>
      <w:r w:rsidR="00D84C2A">
        <w:t>matters</w:t>
      </w:r>
      <w:r w:rsidR="00CA214E">
        <w:t>,</w:t>
      </w:r>
      <w:r>
        <w:t xml:space="preserve"> and that stations be permitted to assign or transfer their rights </w:t>
      </w:r>
      <w:r w:rsidRPr="00462A69">
        <w:rPr>
          <w:szCs w:val="22"/>
        </w:rPr>
        <w:t>under a CSA</w:t>
      </w:r>
      <w:r>
        <w:rPr>
          <w:szCs w:val="22"/>
        </w:rPr>
        <w:t xml:space="preserve">.  </w:t>
      </w:r>
      <w:r w:rsidR="004A2F03">
        <w:rPr>
          <w:szCs w:val="22"/>
        </w:rPr>
        <w:t xml:space="preserve">We propose a streamlined set of rules and </w:t>
      </w:r>
      <w:r w:rsidR="00731C9F">
        <w:rPr>
          <w:szCs w:val="22"/>
        </w:rPr>
        <w:t xml:space="preserve">procedures </w:t>
      </w:r>
      <w:r w:rsidR="00366F41">
        <w:rPr>
          <w:szCs w:val="22"/>
        </w:rPr>
        <w:t>for</w:t>
      </w:r>
      <w:r w:rsidR="004A2F03">
        <w:rPr>
          <w:szCs w:val="22"/>
        </w:rPr>
        <w:t xml:space="preserve"> reviewing and licensing LPTV and TV translator </w:t>
      </w:r>
      <w:r w:rsidR="00731C9F">
        <w:rPr>
          <w:szCs w:val="22"/>
        </w:rPr>
        <w:t>CSAs,</w:t>
      </w:r>
      <w:r w:rsidR="004A2F03">
        <w:rPr>
          <w:szCs w:val="22"/>
        </w:rPr>
        <w:t xml:space="preserve"> and </w:t>
      </w:r>
      <w:r w:rsidR="004A2F03" w:rsidRPr="004A2F03">
        <w:rPr>
          <w:szCs w:val="22"/>
        </w:rPr>
        <w:t xml:space="preserve">for </w:t>
      </w:r>
      <w:r w:rsidR="00366F41">
        <w:rPr>
          <w:szCs w:val="22"/>
        </w:rPr>
        <w:t>termination of</w:t>
      </w:r>
      <w:r w:rsidR="00366F41" w:rsidRPr="004A2F03">
        <w:rPr>
          <w:szCs w:val="22"/>
        </w:rPr>
        <w:t xml:space="preserve"> </w:t>
      </w:r>
      <w:r w:rsidR="004A2F03" w:rsidRPr="004A2F03">
        <w:rPr>
          <w:szCs w:val="22"/>
        </w:rPr>
        <w:t>a</w:t>
      </w:r>
      <w:r w:rsidR="00E0558D">
        <w:rPr>
          <w:szCs w:val="22"/>
        </w:rPr>
        <w:t>n</w:t>
      </w:r>
      <w:r w:rsidR="004A2F03" w:rsidRPr="004A2F03">
        <w:rPr>
          <w:szCs w:val="22"/>
        </w:rPr>
        <w:t xml:space="preserve"> LPTV or TV translator channel sharing station’s license</w:t>
      </w:r>
      <w:r w:rsidR="00731C9F">
        <w:rPr>
          <w:szCs w:val="22"/>
        </w:rPr>
        <w:t xml:space="preserve">, that </w:t>
      </w:r>
      <w:r w:rsidR="00731C9F">
        <w:t>differ from the rules for full power and Class A stations in some respects to accommodate the particularities of the low power television service</w:t>
      </w:r>
      <w:r w:rsidR="004A2F03" w:rsidRPr="004A2F03">
        <w:rPr>
          <w:szCs w:val="22"/>
        </w:rPr>
        <w:t>.</w:t>
      </w:r>
      <w:r w:rsidR="00A77A94">
        <w:rPr>
          <w:szCs w:val="22"/>
        </w:rPr>
        <w:t xml:space="preserve">  </w:t>
      </w:r>
      <w:r w:rsidR="002567C4">
        <w:rPr>
          <w:szCs w:val="22"/>
        </w:rPr>
        <w:t>Finally, we</w:t>
      </w:r>
      <w:r w:rsidR="00A77A94">
        <w:rPr>
          <w:szCs w:val="22"/>
        </w:rPr>
        <w:t xml:space="preserve"> also seek comment on whether to permit channel sharing between LPTV and TV translator stations and full power and Class A television stations.</w:t>
      </w:r>
    </w:p>
    <w:p w:rsidR="0089207D" w:rsidRDefault="0089207D" w:rsidP="00366AE3">
      <w:pPr>
        <w:pStyle w:val="Heading3"/>
      </w:pPr>
      <w:bookmarkStart w:id="75" w:name="_Toc393265900"/>
      <w:r w:rsidRPr="0089207D">
        <w:t xml:space="preserve">Voluntary and Flexible </w:t>
      </w:r>
      <w:r w:rsidR="00AD32AA">
        <w:t>Channel Sharing</w:t>
      </w:r>
      <w:bookmarkEnd w:id="75"/>
    </w:p>
    <w:p w:rsidR="00DD675B" w:rsidRDefault="00DD675B" w:rsidP="00DD675B">
      <w:pPr>
        <w:pStyle w:val="ParaNum"/>
      </w:pPr>
      <w:r>
        <w:t>Should we decide to authorize channel sharing by and between LPTV and TV translator stations, we emphasize that channel sharing would be entirely voluntary.</w:t>
      </w:r>
      <w:r>
        <w:rPr>
          <w:rStyle w:val="FootnoteReference"/>
        </w:rPr>
        <w:footnoteReference w:id="39"/>
      </w:r>
      <w:r>
        <w:t xml:space="preserve">  We do not intend to be involved in the process of matching licensees interested in channel sharing with potential partners.</w:t>
      </w:r>
      <w:r>
        <w:rPr>
          <w:rStyle w:val="FootnoteReference"/>
          <w:szCs w:val="22"/>
        </w:rPr>
        <w:footnoteReference w:id="40"/>
      </w:r>
      <w:r>
        <w:t xml:space="preserve">  Rather, under the rules we propose, LPTV and TV translator</w:t>
      </w:r>
      <w:r w:rsidR="002634F3">
        <w:t xml:space="preserve"> </w:t>
      </w:r>
      <w:r>
        <w:t>s</w:t>
      </w:r>
      <w:r w:rsidR="002634F3">
        <w:t>tations</w:t>
      </w:r>
      <w:r>
        <w:t xml:space="preserve"> would decide for themselves whether and with whom to enter into a channel sharing arrangement.</w:t>
      </w:r>
    </w:p>
    <w:p w:rsidR="00A97076" w:rsidRDefault="00A97076" w:rsidP="00A97076">
      <w:pPr>
        <w:pStyle w:val="ParaNum"/>
      </w:pPr>
      <w:r>
        <w:t xml:space="preserve">As with </w:t>
      </w:r>
      <w:r w:rsidR="00744576">
        <w:t xml:space="preserve">full power and Class A television </w:t>
      </w:r>
      <w:r>
        <w:t xml:space="preserve">channel sharing, we propose </w:t>
      </w:r>
      <w:r w:rsidR="00612334">
        <w:t xml:space="preserve">to require </w:t>
      </w:r>
      <w:r>
        <w:t xml:space="preserve">all LPTV and TV translator stations </w:t>
      </w:r>
      <w:r w:rsidR="00132213">
        <w:t>to operate</w:t>
      </w:r>
      <w:r w:rsidR="00EB07F4">
        <w:t xml:space="preserve"> in digital on the shared channel and </w:t>
      </w:r>
      <w:r w:rsidR="00AD32AA">
        <w:t xml:space="preserve">to </w:t>
      </w:r>
      <w:r>
        <w:t>retain spectrum usage rights sufficient to ensure at least enough capacity to operate one standard definition (“SD”) programming stream at all times.</w:t>
      </w:r>
      <w:r>
        <w:rPr>
          <w:rStyle w:val="FootnoteReference"/>
        </w:rPr>
        <w:footnoteReference w:id="41"/>
      </w:r>
      <w:r>
        <w:t xml:space="preserve">  This requirement will ensure that each </w:t>
      </w:r>
      <w:r w:rsidR="00306991">
        <w:t xml:space="preserve">LPTV and TV translator </w:t>
      </w:r>
      <w:r>
        <w:t>station will have sufficient channel capacity to meet our requirement to “transmit at least one over-the-air video broadcast signal provided at no direct charge to viewers.</w:t>
      </w:r>
      <w:r w:rsidR="004A3559">
        <w:t xml:space="preserve"> . . .</w:t>
      </w:r>
      <w:r>
        <w:t>”</w:t>
      </w:r>
      <w:r>
        <w:rPr>
          <w:rStyle w:val="FootnoteReference"/>
        </w:rPr>
        <w:footnoteReference w:id="42"/>
      </w:r>
      <w:r>
        <w:t xml:space="preserve">  </w:t>
      </w:r>
      <w:r w:rsidR="00306991">
        <w:t xml:space="preserve">However, we propose </w:t>
      </w:r>
      <w:r w:rsidR="00612334">
        <w:t xml:space="preserve">to allow </w:t>
      </w:r>
      <w:r w:rsidR="00306991">
        <w:t xml:space="preserve">stations </w:t>
      </w:r>
      <w:r>
        <w:t>flexibility within this “minimum capacity” requirement to tailor their agreements</w:t>
      </w:r>
      <w:r w:rsidR="00306991">
        <w:t xml:space="preserve"> and allow </w:t>
      </w:r>
      <w:r>
        <w:t>a variety of different types of spectrum sharing to meet the individualized programming and economic needs of the parties involved.</w:t>
      </w:r>
      <w:r w:rsidR="00306991">
        <w:rPr>
          <w:rStyle w:val="FootnoteReference"/>
        </w:rPr>
        <w:footnoteReference w:id="43"/>
      </w:r>
      <w:r>
        <w:t xml:space="preserve">  </w:t>
      </w:r>
      <w:r w:rsidR="00306991">
        <w:t xml:space="preserve">Therefore, we do not propose to </w:t>
      </w:r>
      <w:r>
        <w:t xml:space="preserve">prescribe a fixed split of the capacity of the six </w:t>
      </w:r>
      <w:r w:rsidR="004A3559">
        <w:t>megahertz</w:t>
      </w:r>
      <w:r>
        <w:t xml:space="preserve"> channel </w:t>
      </w:r>
      <w:r w:rsidR="00612334">
        <w:t>between the stations</w:t>
      </w:r>
      <w:r>
        <w:t xml:space="preserve"> from a technological or licensing perspective</w:t>
      </w:r>
      <w:r w:rsidR="00AD32AA">
        <w:t>.</w:t>
      </w:r>
      <w:r w:rsidR="001523CB">
        <w:t xml:space="preserve">  </w:t>
      </w:r>
      <w:r w:rsidR="00AD32AA">
        <w:t>W</w:t>
      </w:r>
      <w:r w:rsidR="00306991">
        <w:t xml:space="preserve">e propose that </w:t>
      </w:r>
      <w:r w:rsidR="00730936">
        <w:t xml:space="preserve">all channel sharing stations be licensed for the </w:t>
      </w:r>
      <w:r>
        <w:t xml:space="preserve">entire capacity of the six </w:t>
      </w:r>
      <w:r w:rsidR="004A3559">
        <w:t>megahertz</w:t>
      </w:r>
      <w:r>
        <w:t xml:space="preserve"> channel </w:t>
      </w:r>
      <w:r w:rsidR="00612334">
        <w:t xml:space="preserve">and </w:t>
      </w:r>
      <w:r w:rsidR="00730936">
        <w:t xml:space="preserve">that the stations be allowed to </w:t>
      </w:r>
      <w:r>
        <w:t>determine the manner in which that capacity will be divided among them</w:t>
      </w:r>
      <w:r w:rsidR="00730936">
        <w:t>selves</w:t>
      </w:r>
      <w:r w:rsidR="00306991">
        <w:t xml:space="preserve"> subject only t</w:t>
      </w:r>
      <w:r>
        <w:t>o the minimum capacity requirement.</w:t>
      </w:r>
      <w:r w:rsidR="00306991">
        <w:rPr>
          <w:rStyle w:val="FootnoteReference"/>
        </w:rPr>
        <w:footnoteReference w:id="44"/>
      </w:r>
      <w:r>
        <w:t xml:space="preserve"> </w:t>
      </w:r>
    </w:p>
    <w:p w:rsidR="00F459E8" w:rsidRPr="00363C02" w:rsidRDefault="00731C9F" w:rsidP="00F459E8">
      <w:pPr>
        <w:pStyle w:val="ParaNum"/>
        <w:rPr>
          <w:szCs w:val="22"/>
        </w:rPr>
      </w:pPr>
      <w:r>
        <w:t>W</w:t>
      </w:r>
      <w:r w:rsidR="00306991">
        <w:t>e</w:t>
      </w:r>
      <w:r>
        <w:t xml:space="preserve"> also</w:t>
      </w:r>
      <w:r w:rsidR="00306991">
        <w:t xml:space="preserve"> propose</w:t>
      </w:r>
      <w:r w:rsidR="00A97076">
        <w:t xml:space="preserve"> </w:t>
      </w:r>
      <w:r w:rsidR="008442C0">
        <w:t xml:space="preserve">to </w:t>
      </w:r>
      <w:r w:rsidR="00A97076">
        <w:t xml:space="preserve">retain our existing policy framework for </w:t>
      </w:r>
      <w:r w:rsidR="008442C0">
        <w:t xml:space="preserve">the </w:t>
      </w:r>
      <w:r w:rsidR="00A97076">
        <w:t xml:space="preserve">licensing and </w:t>
      </w:r>
      <w:r w:rsidR="008442C0">
        <w:t xml:space="preserve">operation of </w:t>
      </w:r>
      <w:r w:rsidR="00CE220D">
        <w:t xml:space="preserve">channel sharing </w:t>
      </w:r>
      <w:r w:rsidR="00306991">
        <w:t xml:space="preserve">LPTV and TV translator </w:t>
      </w:r>
      <w:r w:rsidR="00A97076">
        <w:t>stations.</w:t>
      </w:r>
      <w:r w:rsidR="00306991">
        <w:rPr>
          <w:rStyle w:val="FootnoteReference"/>
        </w:rPr>
        <w:footnoteReference w:id="45"/>
      </w:r>
      <w:r w:rsidR="00A97076">
        <w:t xml:space="preserve">  Under this policy, despite sharing a single channel and transmission facility, each station w</w:t>
      </w:r>
      <w:r w:rsidR="008442C0">
        <w:t>ould</w:t>
      </w:r>
      <w:r w:rsidR="00A97076">
        <w:t xml:space="preserve"> continue to be licensed separately.  Each station w</w:t>
      </w:r>
      <w:r w:rsidR="008442C0">
        <w:t>ould</w:t>
      </w:r>
      <w:r w:rsidR="00A97076">
        <w:t xml:space="preserve"> have its own call sign, and each licensee w</w:t>
      </w:r>
      <w:r w:rsidR="008442C0">
        <w:t>ould</w:t>
      </w:r>
      <w:r w:rsidR="00A97076">
        <w:t xml:space="preserve"> separately be subject to all of the Commission’s obligations, rules, and policies.</w:t>
      </w:r>
      <w:r w:rsidR="00803AA1">
        <w:rPr>
          <w:rStyle w:val="FootnoteReference"/>
        </w:rPr>
        <w:footnoteReference w:id="46"/>
      </w:r>
      <w:r w:rsidR="00A97076">
        <w:t xml:space="preserve">  </w:t>
      </w:r>
      <w:r w:rsidR="009E6986">
        <w:t>We seek comment on th</w:t>
      </w:r>
      <w:r w:rsidR="00363C02">
        <w:t>ese proposals.</w:t>
      </w:r>
    </w:p>
    <w:p w:rsidR="0089207D" w:rsidRPr="00DE2F95" w:rsidRDefault="0089207D" w:rsidP="0089207D">
      <w:pPr>
        <w:pStyle w:val="Heading3"/>
      </w:pPr>
      <w:bookmarkStart w:id="76" w:name="_Toc393265902"/>
      <w:r>
        <w:t>Licensing Procedures</w:t>
      </w:r>
      <w:bookmarkEnd w:id="76"/>
    </w:p>
    <w:p w:rsidR="00C05F18" w:rsidRPr="00A22340" w:rsidRDefault="00CA068C" w:rsidP="000D33DD">
      <w:pPr>
        <w:pStyle w:val="ParaNum"/>
      </w:pPr>
      <w:r>
        <w:t>W</w:t>
      </w:r>
      <w:r w:rsidR="003A2AE3">
        <w:t xml:space="preserve">e propose a licensing scheme for reviewing and approving channel sharing </w:t>
      </w:r>
      <w:r w:rsidR="00A22340">
        <w:t xml:space="preserve">between </w:t>
      </w:r>
      <w:r>
        <w:t xml:space="preserve">LPTV and TV translator </w:t>
      </w:r>
      <w:r w:rsidR="00A22340">
        <w:t>stations</w:t>
      </w:r>
      <w:r>
        <w:t xml:space="preserve"> that</w:t>
      </w:r>
      <w:r w:rsidR="003A2AE3">
        <w:t xml:space="preserve"> </w:t>
      </w:r>
      <w:r w:rsidR="00A22340">
        <w:t xml:space="preserve">differs from the </w:t>
      </w:r>
      <w:r w:rsidR="008A7122">
        <w:t xml:space="preserve">one </w:t>
      </w:r>
      <w:r w:rsidR="003A2AE3">
        <w:t>adopted for full power and Class A stations.</w:t>
      </w:r>
      <w:r w:rsidR="00F25D3E">
        <w:rPr>
          <w:rStyle w:val="FootnoteReference"/>
          <w:szCs w:val="22"/>
        </w:rPr>
        <w:footnoteReference w:id="47"/>
      </w:r>
      <w:r w:rsidR="00D055E0">
        <w:t xml:space="preserve">  </w:t>
      </w:r>
      <w:r w:rsidR="00DA0E16">
        <w:t>B</w:t>
      </w:r>
      <w:r w:rsidR="00D055E0" w:rsidRPr="000D33DD">
        <w:rPr>
          <w:szCs w:val="22"/>
        </w:rPr>
        <w:t>ecause the implementation of a channel sharing arrangement does not involve construction that require</w:t>
      </w:r>
      <w:r w:rsidR="00DA0E16">
        <w:rPr>
          <w:szCs w:val="22"/>
        </w:rPr>
        <w:t>s</w:t>
      </w:r>
      <w:r w:rsidR="00D055E0" w:rsidRPr="000D33DD">
        <w:rPr>
          <w:szCs w:val="22"/>
        </w:rPr>
        <w:t xml:space="preserve"> Commission pre-approval, </w:t>
      </w:r>
      <w:r w:rsidR="00D67E7E">
        <w:rPr>
          <w:szCs w:val="22"/>
        </w:rPr>
        <w:t>and because channel sharing arrangement</w:t>
      </w:r>
      <w:r>
        <w:rPr>
          <w:szCs w:val="22"/>
        </w:rPr>
        <w:t>s involving full power and Class A stations</w:t>
      </w:r>
      <w:r w:rsidR="00D67E7E">
        <w:rPr>
          <w:szCs w:val="22"/>
        </w:rPr>
        <w:t xml:space="preserve"> will have been reviewed </w:t>
      </w:r>
      <w:r w:rsidR="009A79A9">
        <w:rPr>
          <w:szCs w:val="22"/>
        </w:rPr>
        <w:t xml:space="preserve">already </w:t>
      </w:r>
      <w:r w:rsidR="00D67E7E">
        <w:rPr>
          <w:szCs w:val="22"/>
        </w:rPr>
        <w:t xml:space="preserve">in conjunction with the </w:t>
      </w:r>
      <w:r w:rsidR="00D84C2A">
        <w:rPr>
          <w:szCs w:val="22"/>
        </w:rPr>
        <w:t xml:space="preserve">stations submitting bids in the </w:t>
      </w:r>
      <w:r w:rsidR="00D67E7E">
        <w:rPr>
          <w:szCs w:val="22"/>
        </w:rPr>
        <w:t xml:space="preserve">incentive auction, </w:t>
      </w:r>
      <w:r w:rsidR="00C8417B">
        <w:rPr>
          <w:szCs w:val="22"/>
        </w:rPr>
        <w:t>we</w:t>
      </w:r>
      <w:r w:rsidR="00DA0E16">
        <w:rPr>
          <w:szCs w:val="22"/>
        </w:rPr>
        <w:t xml:space="preserve"> found that </w:t>
      </w:r>
      <w:r w:rsidR="00D055E0" w:rsidRPr="000D33DD">
        <w:rPr>
          <w:szCs w:val="22"/>
        </w:rPr>
        <w:t xml:space="preserve">there </w:t>
      </w:r>
      <w:r w:rsidR="004C51D3">
        <w:rPr>
          <w:szCs w:val="22"/>
        </w:rPr>
        <w:t>wa</w:t>
      </w:r>
      <w:r w:rsidR="00D055E0" w:rsidRPr="000D33DD">
        <w:rPr>
          <w:szCs w:val="22"/>
        </w:rPr>
        <w:t xml:space="preserve">s no need for </w:t>
      </w:r>
      <w:r w:rsidR="00DA0E16">
        <w:rPr>
          <w:szCs w:val="22"/>
        </w:rPr>
        <w:t>such</w:t>
      </w:r>
      <w:r w:rsidR="004C51D3">
        <w:rPr>
          <w:szCs w:val="22"/>
        </w:rPr>
        <w:t xml:space="preserve"> </w:t>
      </w:r>
      <w:r w:rsidR="00D055E0" w:rsidRPr="000D33DD">
        <w:rPr>
          <w:szCs w:val="22"/>
        </w:rPr>
        <w:t xml:space="preserve">stations to </w:t>
      </w:r>
      <w:r w:rsidR="00A22340">
        <w:rPr>
          <w:szCs w:val="22"/>
        </w:rPr>
        <w:t>go through a two</w:t>
      </w:r>
      <w:r w:rsidR="00D20E4A">
        <w:rPr>
          <w:szCs w:val="22"/>
        </w:rPr>
        <w:t>-</w:t>
      </w:r>
      <w:r w:rsidR="00A22340">
        <w:rPr>
          <w:szCs w:val="22"/>
        </w:rPr>
        <w:t xml:space="preserve">step process by first </w:t>
      </w:r>
      <w:r w:rsidR="00D055E0" w:rsidRPr="000D33DD">
        <w:rPr>
          <w:szCs w:val="22"/>
        </w:rPr>
        <w:t>apply</w:t>
      </w:r>
      <w:r w:rsidR="00A22340">
        <w:rPr>
          <w:szCs w:val="22"/>
        </w:rPr>
        <w:t>ing</w:t>
      </w:r>
      <w:r w:rsidR="00D055E0" w:rsidRPr="000D33DD">
        <w:rPr>
          <w:szCs w:val="22"/>
        </w:rPr>
        <w:t xml:space="preserve"> for construction permits</w:t>
      </w:r>
      <w:r w:rsidR="004C51D3">
        <w:rPr>
          <w:szCs w:val="22"/>
        </w:rPr>
        <w:t xml:space="preserve"> to implement their channel sharing proposal</w:t>
      </w:r>
      <w:r w:rsidR="00DA0E16">
        <w:rPr>
          <w:szCs w:val="22"/>
        </w:rPr>
        <w:t>s</w:t>
      </w:r>
      <w:r w:rsidR="00A22340">
        <w:rPr>
          <w:szCs w:val="22"/>
        </w:rPr>
        <w:t xml:space="preserve"> and then filing for new shared license</w:t>
      </w:r>
      <w:r w:rsidR="00DA0E16">
        <w:rPr>
          <w:szCs w:val="22"/>
        </w:rPr>
        <w:t>s</w:t>
      </w:r>
      <w:r w:rsidR="00D055E0" w:rsidRPr="000D33DD">
        <w:rPr>
          <w:szCs w:val="22"/>
        </w:rPr>
        <w:t>.</w:t>
      </w:r>
      <w:r w:rsidR="004C51D3">
        <w:rPr>
          <w:rStyle w:val="FootnoteReference"/>
          <w:szCs w:val="22"/>
        </w:rPr>
        <w:footnoteReference w:id="48"/>
      </w:r>
      <w:r w:rsidR="00D055E0" w:rsidRPr="000D33DD">
        <w:rPr>
          <w:szCs w:val="22"/>
        </w:rPr>
        <w:t xml:space="preserve">  </w:t>
      </w:r>
      <w:r w:rsidR="00A22340">
        <w:rPr>
          <w:szCs w:val="22"/>
        </w:rPr>
        <w:t xml:space="preserve">  </w:t>
      </w:r>
      <w:r w:rsidR="00DA0E16">
        <w:rPr>
          <w:szCs w:val="22"/>
        </w:rPr>
        <w:t>In contrast</w:t>
      </w:r>
      <w:r w:rsidR="00A22340">
        <w:rPr>
          <w:szCs w:val="22"/>
        </w:rPr>
        <w:t>, LPTV and TV translator stations will not have already participated in the incentive auction</w:t>
      </w:r>
      <w:r w:rsidR="009A79A9">
        <w:rPr>
          <w:szCs w:val="22"/>
        </w:rPr>
        <w:t>,</w:t>
      </w:r>
      <w:r w:rsidR="00A22340">
        <w:rPr>
          <w:szCs w:val="22"/>
        </w:rPr>
        <w:t xml:space="preserve"> and the Commission will not have had an opportunity to review the</w:t>
      </w:r>
      <w:r w:rsidR="00DA0E16">
        <w:rPr>
          <w:szCs w:val="22"/>
        </w:rPr>
        <w:t>ir</w:t>
      </w:r>
      <w:r w:rsidR="00A22340">
        <w:rPr>
          <w:szCs w:val="22"/>
        </w:rPr>
        <w:t xml:space="preserve"> proposed channel sharing arrangement</w:t>
      </w:r>
      <w:r w:rsidR="00DA0E16">
        <w:rPr>
          <w:szCs w:val="22"/>
        </w:rPr>
        <w:t>s</w:t>
      </w:r>
      <w:r w:rsidR="00E04D2E">
        <w:rPr>
          <w:szCs w:val="22"/>
        </w:rPr>
        <w:t>, including any technical changes to the stations’ facilities</w:t>
      </w:r>
      <w:r w:rsidR="00A22340">
        <w:rPr>
          <w:szCs w:val="22"/>
        </w:rPr>
        <w:t>.</w:t>
      </w:r>
      <w:r w:rsidR="004665C5">
        <w:rPr>
          <w:rStyle w:val="FootnoteReference"/>
          <w:szCs w:val="22"/>
        </w:rPr>
        <w:footnoteReference w:id="49"/>
      </w:r>
      <w:r w:rsidR="00056A80">
        <w:rPr>
          <w:szCs w:val="22"/>
        </w:rPr>
        <w:t xml:space="preserve">  </w:t>
      </w:r>
      <w:r w:rsidR="00A22340">
        <w:rPr>
          <w:szCs w:val="22"/>
        </w:rPr>
        <w:t xml:space="preserve">Therefore, we propose the following </w:t>
      </w:r>
      <w:r w:rsidR="00056A80">
        <w:rPr>
          <w:szCs w:val="22"/>
        </w:rPr>
        <w:t>two-step p</w:t>
      </w:r>
      <w:r w:rsidR="00A22340">
        <w:rPr>
          <w:szCs w:val="22"/>
        </w:rPr>
        <w:t>rocess for implementing channel sharing between LPTV and TV translator stations</w:t>
      </w:r>
      <w:r w:rsidR="00DA0E16">
        <w:rPr>
          <w:szCs w:val="22"/>
        </w:rPr>
        <w:t xml:space="preserve"> that addresses the particularities of the low power television service while minimizing costs and burdens in order to encourage channel sharing among these stations</w:t>
      </w:r>
      <w:r w:rsidR="00A22340">
        <w:rPr>
          <w:szCs w:val="22"/>
        </w:rPr>
        <w:t xml:space="preserve">. </w:t>
      </w:r>
    </w:p>
    <w:p w:rsidR="003B7E18" w:rsidRPr="00F52192" w:rsidRDefault="00056A80" w:rsidP="009D25E2">
      <w:pPr>
        <w:pStyle w:val="ParaNum"/>
        <w:rPr>
          <w:lang w:val="x-none" w:eastAsia="x-none"/>
        </w:rPr>
      </w:pPr>
      <w:r>
        <w:t xml:space="preserve">As the first step, </w:t>
      </w:r>
      <w:r w:rsidR="004665C5">
        <w:t xml:space="preserve">if no technical changes are necessary for sharing, </w:t>
      </w:r>
      <w:r w:rsidR="00746AE6">
        <w:t>a</w:t>
      </w:r>
      <w:r>
        <w:t xml:space="preserve"> channel sharing station </w:t>
      </w:r>
      <w:r w:rsidR="000603B2">
        <w:t xml:space="preserve">relinquishing </w:t>
      </w:r>
      <w:r>
        <w:t xml:space="preserve">its channel would file an </w:t>
      </w:r>
      <w:r w:rsidR="00A22340">
        <w:t xml:space="preserve">application for </w:t>
      </w:r>
      <w:r w:rsidR="00173209">
        <w:t xml:space="preserve">digital </w:t>
      </w:r>
      <w:r w:rsidR="00A22340">
        <w:t>construction permit (FCC Form 346)</w:t>
      </w:r>
      <w:r w:rsidR="004665C5">
        <w:t xml:space="preserve"> for the same technical facilities as the sharer station</w:t>
      </w:r>
      <w:r>
        <w:t>,</w:t>
      </w:r>
      <w:r w:rsidR="00A24A40">
        <w:rPr>
          <w:rStyle w:val="FootnoteReference"/>
        </w:rPr>
        <w:footnoteReference w:id="50"/>
      </w:r>
      <w:r>
        <w:t xml:space="preserve"> </w:t>
      </w:r>
      <w:r w:rsidR="00A22340">
        <w:t>includ</w:t>
      </w:r>
      <w:r w:rsidR="00746AE6">
        <w:t>ing</w:t>
      </w:r>
      <w:r w:rsidR="00A22340">
        <w:t xml:space="preserve"> a copy of the channel sharing agreement</w:t>
      </w:r>
      <w:r w:rsidR="00BA16AC">
        <w:t xml:space="preserve"> (“CSA”)</w:t>
      </w:r>
      <w:r w:rsidR="00A22340">
        <w:t xml:space="preserve"> </w:t>
      </w:r>
      <w:r w:rsidR="00301803">
        <w:t>as an exhibit, and cross reference the other sharing station(s).</w:t>
      </w:r>
      <w:r w:rsidR="004665C5">
        <w:t xml:space="preserve">  In this case, the sharer station would not need to take action at this time.</w:t>
      </w:r>
      <w:r w:rsidR="0035738A">
        <w:t xml:space="preserve">  </w:t>
      </w:r>
      <w:r w:rsidR="004665C5">
        <w:t>If the CSA required technical changes to the sharer station’s facilities, each sharing station would file an application for construction permit for identical technical facilities proposing to share the channel, along with the CSA.</w:t>
      </w:r>
      <w:r w:rsidR="0035738A">
        <w:rPr>
          <w:rStyle w:val="FootnoteReference"/>
        </w:rPr>
        <w:footnoteReference w:id="51"/>
      </w:r>
      <w:r w:rsidR="00173209">
        <w:t xml:space="preserve"> </w:t>
      </w:r>
      <w:r w:rsidR="004A3B6B">
        <w:t xml:space="preserve"> </w:t>
      </w:r>
      <w:r w:rsidR="00D67E7E">
        <w:t>As a second step</w:t>
      </w:r>
      <w:r w:rsidR="009D25E2">
        <w:t>, a</w:t>
      </w:r>
      <w:r w:rsidR="00301803">
        <w:t xml:space="preserve">fter the sharing stations have </w:t>
      </w:r>
      <w:r w:rsidR="00962B06">
        <w:t xml:space="preserve">obtained the necessary construction permits, </w:t>
      </w:r>
      <w:r w:rsidR="00D67E7E">
        <w:t>implemented their shared facility</w:t>
      </w:r>
      <w:r w:rsidR="00301803">
        <w:t xml:space="preserve"> and initiated </w:t>
      </w:r>
      <w:r w:rsidR="000603B2">
        <w:t xml:space="preserve">shared </w:t>
      </w:r>
      <w:r w:rsidR="00301803">
        <w:t xml:space="preserve">operations, </w:t>
      </w:r>
      <w:r w:rsidR="00746AE6">
        <w:t>a</w:t>
      </w:r>
      <w:r w:rsidR="00301803">
        <w:t xml:space="preserve"> station relinquishing its channel would notify the Commission that it has terminated operation</w:t>
      </w:r>
      <w:r w:rsidR="009A79A9">
        <w:t xml:space="preserve"> on that channel</w:t>
      </w:r>
      <w:r w:rsidR="00301803">
        <w:t>.</w:t>
      </w:r>
      <w:r w:rsidR="00D84C2A">
        <w:rPr>
          <w:rStyle w:val="FootnoteReference"/>
        </w:rPr>
        <w:footnoteReference w:id="52"/>
      </w:r>
      <w:r w:rsidR="00301803">
        <w:t xml:space="preserve">  At the same time, sharing stations would file application</w:t>
      </w:r>
      <w:r w:rsidR="00962B06">
        <w:t>s</w:t>
      </w:r>
      <w:r w:rsidR="00301803">
        <w:t xml:space="preserve"> for license (</w:t>
      </w:r>
      <w:r w:rsidR="00962B06">
        <w:t xml:space="preserve">FCC </w:t>
      </w:r>
      <w:r w:rsidR="00301803">
        <w:t xml:space="preserve">Form 347) to complete the licensing process.  </w:t>
      </w:r>
      <w:r w:rsidR="000D33DD" w:rsidRPr="000D33DD">
        <w:t>We seek comment on the</w:t>
      </w:r>
      <w:r w:rsidR="00C2622B">
        <w:t>se</w:t>
      </w:r>
      <w:r w:rsidR="000D33DD" w:rsidRPr="000D33DD">
        <w:t xml:space="preserve"> proposed procedures.</w:t>
      </w:r>
    </w:p>
    <w:p w:rsidR="00D67E7E" w:rsidRPr="00F0450D" w:rsidRDefault="00166FB7" w:rsidP="00D2069A">
      <w:pPr>
        <w:pStyle w:val="ParaNum"/>
        <w:rPr>
          <w:lang w:val="x-none" w:eastAsia="x-none"/>
        </w:rPr>
      </w:pPr>
      <w:r>
        <w:t>W</w:t>
      </w:r>
      <w:r w:rsidR="00DA0E16">
        <w:t xml:space="preserve">e seek comment on an appropriate length of time for channel sharing </w:t>
      </w:r>
      <w:r>
        <w:t xml:space="preserve">LPTV and TV translator </w:t>
      </w:r>
      <w:r w:rsidR="00DA0E16">
        <w:t>stations to implement their arrangements.  W</w:t>
      </w:r>
      <w:r w:rsidR="00D67E7E" w:rsidRPr="009D25E2">
        <w:t xml:space="preserve">e required that channel sharing arrangements </w:t>
      </w:r>
      <w:r w:rsidR="00DA0E16">
        <w:t>involving full power and Class A stations</w:t>
      </w:r>
      <w:r w:rsidR="0065032D">
        <w:t xml:space="preserve"> in the incentive auction</w:t>
      </w:r>
      <w:r w:rsidR="00DA0E16">
        <w:t xml:space="preserve"> </w:t>
      </w:r>
      <w:r w:rsidR="00D67E7E" w:rsidRPr="009D25E2">
        <w:t xml:space="preserve">be implemented within three months </w:t>
      </w:r>
      <w:r w:rsidR="009A79A9">
        <w:t>after</w:t>
      </w:r>
      <w:r w:rsidR="009A79A9" w:rsidRPr="009D25E2">
        <w:t xml:space="preserve"> </w:t>
      </w:r>
      <w:r w:rsidR="00D67E7E" w:rsidRPr="009D25E2">
        <w:t>the relinquishing station receiv</w:t>
      </w:r>
      <w:r w:rsidR="009A79A9">
        <w:t>es</w:t>
      </w:r>
      <w:r w:rsidR="00D67E7E" w:rsidRPr="009D25E2">
        <w:t xml:space="preserve"> its reverse auction proceeds.</w:t>
      </w:r>
      <w:r w:rsidR="00D67E7E">
        <w:rPr>
          <w:rStyle w:val="FootnoteReference"/>
        </w:rPr>
        <w:footnoteReference w:id="53"/>
      </w:r>
      <w:r w:rsidR="00D67E7E" w:rsidRPr="009D25E2">
        <w:t xml:space="preserve">  </w:t>
      </w:r>
      <w:r w:rsidR="00011FF2">
        <w:t>While we found that this deadline would expedite</w:t>
      </w:r>
      <w:r w:rsidR="006224AF">
        <w:t xml:space="preserve"> the transition to the reorganized UHF band</w:t>
      </w:r>
      <w:r w:rsidR="00D67E7E" w:rsidRPr="009D25E2">
        <w:t>,</w:t>
      </w:r>
      <w:r w:rsidR="00011FF2">
        <w:rPr>
          <w:rStyle w:val="FootnoteReference"/>
        </w:rPr>
        <w:footnoteReference w:id="54"/>
      </w:r>
      <w:r w:rsidR="00D67E7E" w:rsidRPr="009D25E2">
        <w:t xml:space="preserve"> we do not believe it is necessary to set a similar deadline for </w:t>
      </w:r>
      <w:r w:rsidR="005253F6">
        <w:t xml:space="preserve">LPTV and TV translator stations to </w:t>
      </w:r>
      <w:r w:rsidR="00D67E7E" w:rsidRPr="009D25E2">
        <w:t>implement their channel sharing arrangement</w:t>
      </w:r>
      <w:r w:rsidR="00DA0E16">
        <w:t>s</w:t>
      </w:r>
      <w:r w:rsidR="00D67E7E">
        <w:t>.</w:t>
      </w:r>
      <w:r w:rsidR="00F0450D">
        <w:t xml:space="preserve">  </w:t>
      </w:r>
      <w:r w:rsidR="00D67E7E">
        <w:t>Therefore,</w:t>
      </w:r>
      <w:r w:rsidR="00730525">
        <w:t xml:space="preserve"> </w:t>
      </w:r>
      <w:r w:rsidR="00DA0E16">
        <w:t>w</w:t>
      </w:r>
      <w:r w:rsidR="00D67E7E">
        <w:t xml:space="preserve">e </w:t>
      </w:r>
      <w:r w:rsidR="00730525">
        <w:t xml:space="preserve">seek comment on whether to allow </w:t>
      </w:r>
      <w:r w:rsidR="00D67E7E" w:rsidRPr="008E159B">
        <w:t xml:space="preserve">channel sharing stations </w:t>
      </w:r>
      <w:r w:rsidR="00730525">
        <w:t xml:space="preserve">the </w:t>
      </w:r>
      <w:r w:rsidR="00D67E7E" w:rsidRPr="008E159B">
        <w:t xml:space="preserve">standard three-year construction period under the rules to implement their sharing </w:t>
      </w:r>
      <w:r w:rsidR="00730525">
        <w:t>deal</w:t>
      </w:r>
      <w:r w:rsidR="00DA0E16">
        <w:t>s</w:t>
      </w:r>
      <w:r w:rsidR="00D67E7E" w:rsidRPr="008E159B">
        <w:t>.</w:t>
      </w:r>
      <w:r w:rsidR="00D67E7E">
        <w:rPr>
          <w:rStyle w:val="FootnoteReference"/>
          <w:szCs w:val="22"/>
        </w:rPr>
        <w:footnoteReference w:id="55"/>
      </w:r>
      <w:r w:rsidR="00730525">
        <w:t xml:space="preserve">  </w:t>
      </w:r>
      <w:r w:rsidR="00F0450D">
        <w:t>We expect that many stations will not</w:t>
      </w:r>
      <w:r w:rsidR="00566F88">
        <w:t xml:space="preserve"> </w:t>
      </w:r>
      <w:r w:rsidR="00F0450D">
        <w:t xml:space="preserve">need </w:t>
      </w:r>
      <w:r w:rsidR="00730525">
        <w:t>a</w:t>
      </w:r>
      <w:r w:rsidR="00F0450D">
        <w:t xml:space="preserve"> full three</w:t>
      </w:r>
      <w:r w:rsidR="009A79A9">
        <w:t>-</w:t>
      </w:r>
      <w:r w:rsidR="00F0450D">
        <w:t>year time period</w:t>
      </w:r>
      <w:r w:rsidR="00AC7918">
        <w:t xml:space="preserve">.  </w:t>
      </w:r>
      <w:r w:rsidR="00F873DD">
        <w:t>Indeed</w:t>
      </w:r>
      <w:r w:rsidR="00AC7918">
        <w:t>, some</w:t>
      </w:r>
      <w:r w:rsidR="00D84C2A">
        <w:t xml:space="preserve"> </w:t>
      </w:r>
      <w:r w:rsidR="0065032D">
        <w:t xml:space="preserve">LPTV and TV translator </w:t>
      </w:r>
      <w:r w:rsidR="00D84C2A">
        <w:t xml:space="preserve">stations </w:t>
      </w:r>
      <w:r w:rsidR="00D67E7E">
        <w:t xml:space="preserve">displaced by the </w:t>
      </w:r>
      <w:r w:rsidR="00F873DD">
        <w:t>repacking process</w:t>
      </w:r>
      <w:r w:rsidR="00132213">
        <w:t xml:space="preserve"> and forced to go silent </w:t>
      </w:r>
      <w:r w:rsidR="00F0450D">
        <w:t xml:space="preserve">will need to </w:t>
      </w:r>
      <w:r w:rsidR="00D84C2A">
        <w:t>resume operations within twelve months to avoid automatic cancellation of their license</w:t>
      </w:r>
      <w:r w:rsidR="008D2ED3">
        <w:t xml:space="preserve"> pursuant to </w:t>
      </w:r>
      <w:r w:rsidR="00E0558D">
        <w:t>s</w:t>
      </w:r>
      <w:r w:rsidR="008D2ED3">
        <w:t>ection 312(g) of the Communications Act</w:t>
      </w:r>
      <w:r w:rsidR="00D84C2A">
        <w:t>.</w:t>
      </w:r>
      <w:r w:rsidR="00D84C2A">
        <w:rPr>
          <w:rStyle w:val="FootnoteReference"/>
        </w:rPr>
        <w:footnoteReference w:id="56"/>
      </w:r>
      <w:r w:rsidR="00D84C2A">
        <w:t xml:space="preserve">  </w:t>
      </w:r>
      <w:r w:rsidR="00B864B4">
        <w:t xml:space="preserve">Finding a channel sharing partner and resuming operations on a shared facility within the twelve months could be an important way for displaced stations to avoid automatic cancellation of their license.  </w:t>
      </w:r>
      <w:r w:rsidR="00F873DD">
        <w:t>Other stations</w:t>
      </w:r>
      <w:r w:rsidR="008D2ED3">
        <w:t xml:space="preserve"> not facing this timing constraint</w:t>
      </w:r>
      <w:r w:rsidR="00D2069A" w:rsidRPr="00D2069A">
        <w:t xml:space="preserve"> may </w:t>
      </w:r>
      <w:r w:rsidR="008D2ED3">
        <w:t xml:space="preserve">want or need </w:t>
      </w:r>
      <w:r w:rsidR="00F873DD">
        <w:t>more time</w:t>
      </w:r>
      <w:r w:rsidR="00D2069A" w:rsidRPr="00D2069A">
        <w:t xml:space="preserve"> to implement their new shared facilities.</w:t>
      </w:r>
      <w:r w:rsidR="00F0450D">
        <w:t xml:space="preserve"> </w:t>
      </w:r>
      <w:r w:rsidR="00D2069A">
        <w:t xml:space="preserve"> </w:t>
      </w:r>
      <w:r w:rsidR="00D67E7E">
        <w:t>We see</w:t>
      </w:r>
      <w:r w:rsidR="00F0450D">
        <w:t>k</w:t>
      </w:r>
      <w:r w:rsidR="00D67E7E">
        <w:t xml:space="preserve"> comment on this </w:t>
      </w:r>
      <w:r w:rsidR="00F873DD">
        <w:t>issue</w:t>
      </w:r>
      <w:r w:rsidR="00D67E7E">
        <w:t>.</w:t>
      </w:r>
    </w:p>
    <w:p w:rsidR="00231563" w:rsidRDefault="00F873DD" w:rsidP="00A24A40">
      <w:pPr>
        <w:pStyle w:val="ParaNum"/>
      </w:pPr>
      <w:r>
        <w:t xml:space="preserve">We also seek comment on whether to apply existing restrictions on </w:t>
      </w:r>
      <w:r w:rsidR="00166FB7">
        <w:t>relocation proposal</w:t>
      </w:r>
      <w:r>
        <w:t xml:space="preserve">s </w:t>
      </w:r>
      <w:r w:rsidR="00166FB7">
        <w:t xml:space="preserve">to LPTV and TV translator channel sharing arrangements.  </w:t>
      </w:r>
      <w:r w:rsidR="00103C40">
        <w:t xml:space="preserve">LPTV and TV translator stations </w:t>
      </w:r>
      <w:r w:rsidR="005F2630">
        <w:t xml:space="preserve">may </w:t>
      </w:r>
      <w:r w:rsidR="00103C40">
        <w:t xml:space="preserve">need </w:t>
      </w:r>
      <w:r w:rsidR="00945681" w:rsidRPr="00945681">
        <w:t>flexibility in their ability to move their facilities in order to take advantage of channel sharing.</w:t>
      </w:r>
      <w:r w:rsidR="00730525">
        <w:rPr>
          <w:rStyle w:val="FootnoteReference"/>
        </w:rPr>
        <w:footnoteReference w:id="57"/>
      </w:r>
      <w:r w:rsidR="00945681" w:rsidRPr="00945681">
        <w:t xml:space="preserve"> </w:t>
      </w:r>
      <w:r w:rsidR="00070E19">
        <w:t xml:space="preserve"> </w:t>
      </w:r>
      <w:r w:rsidR="00166FB7">
        <w:t>Specifically</w:t>
      </w:r>
      <w:r w:rsidR="00AC7918">
        <w:t xml:space="preserve">, LPTV and TV translator stations may need to propose to relocate to a shared transmission site that is several miles from the location of their current transmission site.  However, under our current rules, LPTV and TV translator stations </w:t>
      </w:r>
      <w:r w:rsidR="00173209">
        <w:t xml:space="preserve">filing a minor change application </w:t>
      </w:r>
      <w:r w:rsidR="00AC7918">
        <w:t xml:space="preserve">may not propose a move of their transmitter site of greater than </w:t>
      </w:r>
      <w:r w:rsidR="00173209" w:rsidRPr="00173209">
        <w:t>30 miles (48 kilometers) from the reference coordinates of the existing station’s antenna location</w:t>
      </w:r>
      <w:r w:rsidR="00173209">
        <w:t>.</w:t>
      </w:r>
      <w:r w:rsidR="00AC7918">
        <w:rPr>
          <w:rStyle w:val="FootnoteReference"/>
        </w:rPr>
        <w:footnoteReference w:id="58"/>
      </w:r>
      <w:r w:rsidR="00AC7918">
        <w:t xml:space="preserve">  In addition, LPTV and TV translator stations may file</w:t>
      </w:r>
      <w:r w:rsidR="00173209">
        <w:t xml:space="preserve"> a minor change application </w:t>
      </w:r>
      <w:r w:rsidR="00166FB7">
        <w:t>only if</w:t>
      </w:r>
      <w:r w:rsidR="00AC7918">
        <w:t xml:space="preserve"> there is contour overlap between the propos</w:t>
      </w:r>
      <w:r w:rsidR="00166FB7">
        <w:t>ed</w:t>
      </w:r>
      <w:r w:rsidR="00AC7918">
        <w:t xml:space="preserve"> and existing facilities.</w:t>
      </w:r>
      <w:r w:rsidR="00AC7918">
        <w:rPr>
          <w:rStyle w:val="FootnoteReference"/>
        </w:rPr>
        <w:footnoteReference w:id="59"/>
      </w:r>
      <w:r w:rsidR="00AC7918">
        <w:t xml:space="preserve">  These rules were adopted to </w:t>
      </w:r>
      <w:r w:rsidR="00166FB7">
        <w:t>prevent</w:t>
      </w:r>
      <w:r w:rsidR="00AC7918">
        <w:t xml:space="preserve"> LPTV and TV translator stations </w:t>
      </w:r>
      <w:r w:rsidR="00166FB7">
        <w:t>from</w:t>
      </w:r>
      <w:r w:rsidR="00AC7918">
        <w:t xml:space="preserve"> mak</w:t>
      </w:r>
      <w:r w:rsidR="00166FB7">
        <w:t>ing</w:t>
      </w:r>
      <w:r w:rsidR="00AC7918">
        <w:t xml:space="preserve"> major changes to their facilities through “minor change” applications, and to ensure that stations continue to provide coverage to viewers who rely on their service.</w:t>
      </w:r>
      <w:r w:rsidR="00AC7918">
        <w:rPr>
          <w:rStyle w:val="FootnoteReference"/>
        </w:rPr>
        <w:footnoteReference w:id="60"/>
      </w:r>
      <w:r w:rsidR="00AC7918">
        <w:t xml:space="preserve"> </w:t>
      </w:r>
      <w:r w:rsidR="009370F5">
        <w:t xml:space="preserve"> We seek comment on whether continued application of </w:t>
      </w:r>
      <w:r w:rsidR="00166FB7">
        <w:t xml:space="preserve">these </w:t>
      </w:r>
      <w:r w:rsidR="009370F5">
        <w:t xml:space="preserve">limitations is necessary </w:t>
      </w:r>
      <w:r w:rsidR="00166FB7">
        <w:t>and appropriate</w:t>
      </w:r>
      <w:r w:rsidR="00A91BC0">
        <w:t xml:space="preserve"> or whether</w:t>
      </w:r>
      <w:r w:rsidR="00166FB7">
        <w:t xml:space="preserve"> their</w:t>
      </w:r>
      <w:r w:rsidR="00A91BC0">
        <w:t xml:space="preserve"> application in the context of channel sharing modifications </w:t>
      </w:r>
      <w:r w:rsidR="006954D1">
        <w:t xml:space="preserve">would unduly limit channel sharing between LPTV and TV translator stations. </w:t>
      </w:r>
      <w:r w:rsidR="00D74DAE">
        <w:t xml:space="preserve"> </w:t>
      </w:r>
      <w:r w:rsidR="00166FB7">
        <w:t>Alternatively,</w:t>
      </w:r>
      <w:r w:rsidR="00166FB7" w:rsidRPr="00D74DAE">
        <w:t xml:space="preserve"> </w:t>
      </w:r>
      <w:r w:rsidR="00D74DAE" w:rsidRPr="00D74DAE">
        <w:t>should these restrictions be waived in certain cases to allow LPTV and TV translators more flexibility in their channel sharing arrangements</w:t>
      </w:r>
      <w:r w:rsidR="008D2ED3">
        <w:t>, and if so, under what circumstances</w:t>
      </w:r>
      <w:r w:rsidR="00D74DAE" w:rsidRPr="00D74DAE">
        <w:t>?</w:t>
      </w:r>
    </w:p>
    <w:p w:rsidR="0089207D" w:rsidRPr="00DE2F95" w:rsidRDefault="00CD3AFB" w:rsidP="00CE15EB">
      <w:pPr>
        <w:pStyle w:val="Heading3"/>
      </w:pPr>
      <w:bookmarkStart w:id="77" w:name="_Toc393265903"/>
      <w:r>
        <w:t>Channel Sharing Operating Rules</w:t>
      </w:r>
      <w:bookmarkEnd w:id="77"/>
    </w:p>
    <w:p w:rsidR="0039528A" w:rsidRPr="0039528A" w:rsidRDefault="00E44AE4" w:rsidP="00CD3AFB">
      <w:pPr>
        <w:pStyle w:val="ParaNum"/>
      </w:pPr>
      <w:r>
        <w:t>As discussed below, w</w:t>
      </w:r>
      <w:r w:rsidR="0039528A">
        <w:t xml:space="preserve">e propose </w:t>
      </w:r>
      <w:r w:rsidR="0080708C">
        <w:t xml:space="preserve">to </w:t>
      </w:r>
      <w:r w:rsidR="0039528A">
        <w:t xml:space="preserve">adopt “channel sharing operating rules” similar to those adopted for full power and Class A television stations in the </w:t>
      </w:r>
      <w:r w:rsidR="0039528A">
        <w:rPr>
          <w:i/>
        </w:rPr>
        <w:t>Incentive Auction Report and Order</w:t>
      </w:r>
      <w:r w:rsidR="00CD3AFB">
        <w:t xml:space="preserve"> </w:t>
      </w:r>
      <w:r w:rsidR="00A91BC0">
        <w:t>with respect to t</w:t>
      </w:r>
      <w:r w:rsidR="00CD3AFB">
        <w:t>he terms of CSAs</w:t>
      </w:r>
      <w:r w:rsidR="00C92E96">
        <w:t>,</w:t>
      </w:r>
      <w:r w:rsidR="00CD3AFB">
        <w:t xml:space="preserve"> </w:t>
      </w:r>
      <w:r w:rsidR="000F3CF6">
        <w:t xml:space="preserve">as well as the </w:t>
      </w:r>
      <w:r w:rsidR="000F3CF6">
        <w:rPr>
          <w:szCs w:val="22"/>
        </w:rPr>
        <w:t>transfer or a</w:t>
      </w:r>
      <w:r w:rsidR="000F3CF6" w:rsidRPr="00CD3AFB">
        <w:rPr>
          <w:szCs w:val="22"/>
        </w:rPr>
        <w:t xml:space="preserve">ssignment of </w:t>
      </w:r>
      <w:r w:rsidR="000F3CF6">
        <w:rPr>
          <w:szCs w:val="22"/>
        </w:rPr>
        <w:t>c</w:t>
      </w:r>
      <w:r w:rsidR="000F3CF6" w:rsidRPr="00CD3AFB">
        <w:rPr>
          <w:szCs w:val="22"/>
        </w:rPr>
        <w:t xml:space="preserve">hannel </w:t>
      </w:r>
      <w:r w:rsidR="000F3CF6">
        <w:rPr>
          <w:szCs w:val="22"/>
        </w:rPr>
        <w:t>sharing l</w:t>
      </w:r>
      <w:r w:rsidR="000F3CF6" w:rsidRPr="00CD3AFB">
        <w:rPr>
          <w:szCs w:val="22"/>
        </w:rPr>
        <w:t>icenses</w:t>
      </w:r>
      <w:r w:rsidR="000F3CF6">
        <w:t>.</w:t>
      </w:r>
      <w:r w:rsidR="0039528A">
        <w:rPr>
          <w:rStyle w:val="FootnoteReference"/>
          <w:szCs w:val="22"/>
        </w:rPr>
        <w:footnoteReference w:id="61"/>
      </w:r>
      <w:r w:rsidR="00795AD6">
        <w:t xml:space="preserve">  We propose a different approach</w:t>
      </w:r>
      <w:r>
        <w:t>, however,</w:t>
      </w:r>
      <w:r w:rsidR="00795AD6">
        <w:t xml:space="preserve"> when a channel sharing station’s license is terminated due to voluntary relinquishment, revocation, or failure to renew.</w:t>
      </w:r>
      <w:r w:rsidR="0039528A">
        <w:t xml:space="preserve">  </w:t>
      </w:r>
    </w:p>
    <w:p w:rsidR="00F95C17" w:rsidRDefault="0039528A" w:rsidP="0039528A">
      <w:pPr>
        <w:pStyle w:val="ParaNum"/>
        <w:rPr>
          <w:szCs w:val="22"/>
        </w:rPr>
      </w:pPr>
      <w:r>
        <w:rPr>
          <w:i/>
          <w:szCs w:val="22"/>
        </w:rPr>
        <w:t>C</w:t>
      </w:r>
      <w:r w:rsidR="00A91BC0">
        <w:rPr>
          <w:i/>
          <w:szCs w:val="22"/>
        </w:rPr>
        <w:t>SAs</w:t>
      </w:r>
      <w:r>
        <w:rPr>
          <w:szCs w:val="22"/>
        </w:rPr>
        <w:t xml:space="preserve">.  </w:t>
      </w:r>
      <w:r w:rsidR="00401FD4">
        <w:rPr>
          <w:szCs w:val="22"/>
        </w:rPr>
        <w:t xml:space="preserve">CSAs for full power and/or Class A stations </w:t>
      </w:r>
      <w:r w:rsidR="00F72640">
        <w:rPr>
          <w:szCs w:val="22"/>
        </w:rPr>
        <w:t xml:space="preserve">must </w:t>
      </w:r>
      <w:r w:rsidR="00401FD4">
        <w:rPr>
          <w:szCs w:val="22"/>
        </w:rPr>
        <w:t>include provisions governing certain key aspects of their operations.</w:t>
      </w:r>
      <w:r w:rsidR="00DF132D" w:rsidRPr="000E0E0F">
        <w:rPr>
          <w:rStyle w:val="FootnoteReference"/>
          <w:szCs w:val="22"/>
        </w:rPr>
        <w:footnoteReference w:id="62"/>
      </w:r>
      <w:r w:rsidR="00401FD4">
        <w:rPr>
          <w:szCs w:val="22"/>
        </w:rPr>
        <w:t xml:space="preserve"> </w:t>
      </w:r>
      <w:r w:rsidR="00F72640">
        <w:rPr>
          <w:szCs w:val="22"/>
        </w:rPr>
        <w:t xml:space="preserve"> </w:t>
      </w:r>
      <w:r w:rsidR="00401FD4">
        <w:rPr>
          <w:szCs w:val="22"/>
        </w:rPr>
        <w:t xml:space="preserve">In so </w:t>
      </w:r>
      <w:r w:rsidR="00F72640">
        <w:rPr>
          <w:szCs w:val="22"/>
        </w:rPr>
        <w:t>requiring</w:t>
      </w:r>
      <w:r w:rsidR="00401FD4">
        <w:rPr>
          <w:szCs w:val="22"/>
        </w:rPr>
        <w:t xml:space="preserve">, we recognized that </w:t>
      </w:r>
      <w:r w:rsidR="00F95C17">
        <w:rPr>
          <w:szCs w:val="22"/>
        </w:rPr>
        <w:t>c</w:t>
      </w:r>
      <w:r w:rsidR="00F95C17" w:rsidRPr="00F95C17">
        <w:rPr>
          <w:snapToGrid/>
          <w:szCs w:val="22"/>
        </w:rPr>
        <w:t>hannel sharing will create new and complex relationships</w:t>
      </w:r>
      <w:r w:rsidR="00401FD4">
        <w:rPr>
          <w:snapToGrid/>
          <w:szCs w:val="22"/>
        </w:rPr>
        <w:t xml:space="preserve">, and sought </w:t>
      </w:r>
      <w:r w:rsidR="00401FD4" w:rsidRPr="00F95C17">
        <w:rPr>
          <w:snapToGrid/>
          <w:szCs w:val="22"/>
        </w:rPr>
        <w:t>to avoid disputes that could lead to a disruption in service to the public and to ensure that each licensee is able to fulfill its independent obligation to comply with all pertinent statutory requirements and our rules</w:t>
      </w:r>
      <w:r w:rsidR="00F95C17" w:rsidRPr="00F95C17">
        <w:rPr>
          <w:snapToGrid/>
          <w:szCs w:val="22"/>
        </w:rPr>
        <w:t>.</w:t>
      </w:r>
      <w:r w:rsidR="00F95C17">
        <w:rPr>
          <w:rStyle w:val="FootnoteReference"/>
          <w:snapToGrid/>
          <w:szCs w:val="22"/>
        </w:rPr>
        <w:footnoteReference w:id="63"/>
      </w:r>
      <w:r w:rsidR="008637E1">
        <w:rPr>
          <w:snapToGrid/>
          <w:szCs w:val="22"/>
        </w:rPr>
        <w:t xml:space="preserve">  </w:t>
      </w:r>
      <w:r w:rsidR="00F95C17" w:rsidRPr="00F95C17">
        <w:rPr>
          <w:snapToGrid/>
          <w:szCs w:val="22"/>
        </w:rPr>
        <w:t xml:space="preserve">At the same time, </w:t>
      </w:r>
      <w:r w:rsidR="00F95C17">
        <w:rPr>
          <w:snapToGrid/>
          <w:szCs w:val="22"/>
        </w:rPr>
        <w:t xml:space="preserve">we </w:t>
      </w:r>
      <w:r w:rsidR="002A76EB">
        <w:rPr>
          <w:snapToGrid/>
          <w:szCs w:val="22"/>
        </w:rPr>
        <w:t xml:space="preserve">noted that the Commission </w:t>
      </w:r>
      <w:r w:rsidR="00F95C17" w:rsidRPr="00F95C17">
        <w:rPr>
          <w:snapToGrid/>
          <w:szCs w:val="22"/>
        </w:rPr>
        <w:t xml:space="preserve">ordinarily </w:t>
      </w:r>
      <w:r w:rsidR="002A76EB">
        <w:rPr>
          <w:snapToGrid/>
          <w:szCs w:val="22"/>
        </w:rPr>
        <w:t xml:space="preserve">does </w:t>
      </w:r>
      <w:r w:rsidR="00167D08">
        <w:rPr>
          <w:snapToGrid/>
          <w:szCs w:val="22"/>
        </w:rPr>
        <w:t xml:space="preserve">not </w:t>
      </w:r>
      <w:r w:rsidR="002A76EB">
        <w:rPr>
          <w:snapToGrid/>
          <w:szCs w:val="22"/>
        </w:rPr>
        <w:t xml:space="preserve">become involved </w:t>
      </w:r>
      <w:r w:rsidR="00F95C17" w:rsidRPr="00F95C17">
        <w:rPr>
          <w:snapToGrid/>
          <w:szCs w:val="22"/>
        </w:rPr>
        <w:t>in private contractual agreements</w:t>
      </w:r>
      <w:r w:rsidR="002A76EB">
        <w:rPr>
          <w:snapToGrid/>
          <w:szCs w:val="22"/>
        </w:rPr>
        <w:t xml:space="preserve"> and that we do not wish</w:t>
      </w:r>
      <w:r w:rsidR="00F95C17" w:rsidRPr="00F95C17">
        <w:rPr>
          <w:snapToGrid/>
          <w:szCs w:val="22"/>
        </w:rPr>
        <w:t xml:space="preserve"> to discourage channel sharing relationships.  </w:t>
      </w:r>
    </w:p>
    <w:p w:rsidR="0039528A" w:rsidRPr="000E0E0F" w:rsidRDefault="002A76EB" w:rsidP="00050945">
      <w:pPr>
        <w:pStyle w:val="ParaNum"/>
        <w:widowControl/>
        <w:rPr>
          <w:szCs w:val="22"/>
        </w:rPr>
      </w:pPr>
      <w:r>
        <w:rPr>
          <w:szCs w:val="22"/>
        </w:rPr>
        <w:t xml:space="preserve">We tentatively conclude that </w:t>
      </w:r>
      <w:r w:rsidR="00F72640">
        <w:rPr>
          <w:szCs w:val="22"/>
        </w:rPr>
        <w:t>the same requirements are warranted</w:t>
      </w:r>
      <w:r>
        <w:rPr>
          <w:szCs w:val="22"/>
        </w:rPr>
        <w:t xml:space="preserve"> in the context of LPTV and TV translator </w:t>
      </w:r>
      <w:r w:rsidR="00167D08">
        <w:rPr>
          <w:szCs w:val="22"/>
        </w:rPr>
        <w:t xml:space="preserve">channel </w:t>
      </w:r>
      <w:r>
        <w:rPr>
          <w:szCs w:val="22"/>
        </w:rPr>
        <w:t xml:space="preserve">sharing.  As with full power and Class A sharing arrangements, we </w:t>
      </w:r>
      <w:r>
        <w:rPr>
          <w:snapToGrid/>
          <w:szCs w:val="22"/>
        </w:rPr>
        <w:t xml:space="preserve">believe this approach </w:t>
      </w:r>
      <w:r w:rsidRPr="00F95C17">
        <w:rPr>
          <w:snapToGrid/>
          <w:szCs w:val="22"/>
        </w:rPr>
        <w:t>will protect the public interest and ensure the success of channel sharing with minimal intrusion into channel sharing relationships.</w:t>
      </w:r>
      <w:r>
        <w:rPr>
          <w:snapToGrid/>
          <w:szCs w:val="22"/>
        </w:rPr>
        <w:t xml:space="preserve"> </w:t>
      </w:r>
      <w:r w:rsidR="00F72640">
        <w:rPr>
          <w:snapToGrid/>
          <w:szCs w:val="22"/>
        </w:rPr>
        <w:t xml:space="preserve"> </w:t>
      </w:r>
      <w:r w:rsidR="00F95C17">
        <w:rPr>
          <w:szCs w:val="22"/>
        </w:rPr>
        <w:t xml:space="preserve">Therefore, </w:t>
      </w:r>
      <w:r w:rsidR="0039528A">
        <w:rPr>
          <w:szCs w:val="22"/>
        </w:rPr>
        <w:t xml:space="preserve">we propose that </w:t>
      </w:r>
      <w:r w:rsidR="00F95C17">
        <w:rPr>
          <w:szCs w:val="22"/>
        </w:rPr>
        <w:t>LPTV and TV translator</w:t>
      </w:r>
      <w:r w:rsidR="0039528A">
        <w:rPr>
          <w:szCs w:val="22"/>
        </w:rPr>
        <w:t xml:space="preserve"> </w:t>
      </w:r>
      <w:r w:rsidR="0039528A" w:rsidRPr="000E0E0F">
        <w:rPr>
          <w:szCs w:val="22"/>
        </w:rPr>
        <w:t xml:space="preserve">CSAs </w:t>
      </w:r>
      <w:r w:rsidR="00F72640">
        <w:rPr>
          <w:szCs w:val="22"/>
        </w:rPr>
        <w:t xml:space="preserve">be required to </w:t>
      </w:r>
      <w:r w:rsidR="0039528A" w:rsidRPr="000E0E0F">
        <w:rPr>
          <w:szCs w:val="22"/>
        </w:rPr>
        <w:t>contain provisions outlining each licensee’s rights and responsibilities in the following areas: (1) access to facilities, including whether each licensee will have unrestrained access to the shared transmission facilities; (2) allocation of bandwidth within the shared channel; (3) operation, maintenance, repair, and modification of facilities, including a list of all relevant equipment, a description of each party’s financial obligations, and any relevant notice provisions; and (4) termination or transfer/assignment of rights to the shared licenses, including the ability of a new licensee to assume the existing CSA.</w:t>
      </w:r>
      <w:r w:rsidR="0039528A" w:rsidRPr="000E0E0F">
        <w:rPr>
          <w:rStyle w:val="FootnoteReference"/>
          <w:szCs w:val="22"/>
        </w:rPr>
        <w:footnoteReference w:id="64"/>
      </w:r>
      <w:r w:rsidR="0039528A" w:rsidRPr="000E0E0F">
        <w:rPr>
          <w:szCs w:val="22"/>
        </w:rPr>
        <w:t xml:space="preserve">  </w:t>
      </w:r>
      <w:r w:rsidR="00CE15EB">
        <w:rPr>
          <w:szCs w:val="22"/>
        </w:rPr>
        <w:t>W</w:t>
      </w:r>
      <w:r w:rsidR="00B31C7C">
        <w:rPr>
          <w:szCs w:val="22"/>
        </w:rPr>
        <w:t>e propose to r</w:t>
      </w:r>
      <w:r w:rsidR="0039528A" w:rsidRPr="000E0E0F">
        <w:rPr>
          <w:szCs w:val="22"/>
        </w:rPr>
        <w:t>eserve the right to review CSA provisions and require modification of any that do not comply with these requirements or the Commission’s rules.</w:t>
      </w:r>
      <w:r w:rsidR="00B31C7C">
        <w:rPr>
          <w:szCs w:val="22"/>
        </w:rPr>
        <w:t xml:space="preserve">  We seek comment on these proposals. </w:t>
      </w:r>
      <w:r w:rsidR="0039528A" w:rsidRPr="000E0E0F">
        <w:rPr>
          <w:szCs w:val="22"/>
        </w:rPr>
        <w:t xml:space="preserve">    </w:t>
      </w:r>
    </w:p>
    <w:p w:rsidR="00980BA9" w:rsidRDefault="00B31C7C" w:rsidP="00803B89">
      <w:pPr>
        <w:pStyle w:val="ParaNum"/>
      </w:pPr>
      <w:r w:rsidRPr="00B31C7C">
        <w:rPr>
          <w:i/>
        </w:rPr>
        <w:t>Termination and Assignment/Transfer of Channel Sharing Licenses</w:t>
      </w:r>
      <w:r w:rsidRPr="00B31C7C">
        <w:t xml:space="preserve">.  </w:t>
      </w:r>
      <w:r w:rsidR="0048445E">
        <w:t>W</w:t>
      </w:r>
      <w:r w:rsidR="0048445E" w:rsidRPr="00B31C7C">
        <w:t xml:space="preserve">e </w:t>
      </w:r>
      <w:r w:rsidR="00094241">
        <w:t xml:space="preserve">seek comment on </w:t>
      </w:r>
      <w:r w:rsidR="006A1AD9">
        <w:t xml:space="preserve">a streamlined approach </w:t>
      </w:r>
      <w:r w:rsidR="0080708C">
        <w:t>to the situation in which</w:t>
      </w:r>
      <w:r w:rsidR="0048445E">
        <w:t xml:space="preserve"> </w:t>
      </w:r>
      <w:r w:rsidRPr="00B31C7C">
        <w:t>a</w:t>
      </w:r>
      <w:r w:rsidR="00522CE1">
        <w:t>n</w:t>
      </w:r>
      <w:r w:rsidRPr="00B31C7C">
        <w:t xml:space="preserve"> LPTV or TV translator channel sharing station’s license </w:t>
      </w:r>
      <w:r w:rsidR="0048445E">
        <w:t>is</w:t>
      </w:r>
      <w:r w:rsidR="0048445E" w:rsidRPr="00B31C7C">
        <w:t xml:space="preserve"> </w:t>
      </w:r>
      <w:r w:rsidRPr="00B31C7C">
        <w:t>terminated due to voluntary relinquishment, revocation, failure to renew, or any other circumstance</w:t>
      </w:r>
      <w:r w:rsidR="0048445E" w:rsidRPr="007C701F">
        <w:t>.</w:t>
      </w:r>
      <w:r w:rsidR="00803B89">
        <w:t xml:space="preserve">  </w:t>
      </w:r>
      <w:r w:rsidR="0048445E">
        <w:t>Under th</w:t>
      </w:r>
      <w:r w:rsidR="00F72640">
        <w:t>e proposed</w:t>
      </w:r>
      <w:r w:rsidR="0048445E">
        <w:t xml:space="preserve"> approach, </w:t>
      </w:r>
      <w:r w:rsidR="00803B89">
        <w:t>where a</w:t>
      </w:r>
      <w:r w:rsidR="005D0CDA">
        <w:t>n</w:t>
      </w:r>
      <w:r w:rsidR="00803B89">
        <w:t xml:space="preserve"> LPTV or TV translator sharing station’s license is terminated, </w:t>
      </w:r>
      <w:r w:rsidR="00522167">
        <w:t xml:space="preserve">we would modify the license(s) of </w:t>
      </w:r>
      <w:r w:rsidRPr="00B31C7C">
        <w:t>the remaining channel sharing station</w:t>
      </w:r>
      <w:r w:rsidR="00522167">
        <w:t>(s) to reflect th</w:t>
      </w:r>
      <w:r w:rsidR="00C442BC">
        <w:t>at its channel is no longer shared with the terminated</w:t>
      </w:r>
      <w:r w:rsidR="00522167">
        <w:t xml:space="preserve"> license</w:t>
      </w:r>
      <w:r w:rsidR="00C442BC">
        <w:t>e</w:t>
      </w:r>
      <w:r w:rsidR="006A1AD9">
        <w:t>.</w:t>
      </w:r>
      <w:r w:rsidR="00870F78">
        <w:rPr>
          <w:rStyle w:val="FootnoteReference"/>
        </w:rPr>
        <w:footnoteReference w:id="65"/>
      </w:r>
      <w:r w:rsidR="006A1AD9">
        <w:t xml:space="preserve">  In the event that only one station remains</w:t>
      </w:r>
      <w:r w:rsidR="00803B89">
        <w:t xml:space="preserve"> on the shared channel</w:t>
      </w:r>
      <w:r w:rsidR="006A1AD9">
        <w:t>, th</w:t>
      </w:r>
      <w:r w:rsidR="00803B89">
        <w:t>at</w:t>
      </w:r>
      <w:r w:rsidR="006A1AD9">
        <w:t xml:space="preserve"> station could request that the shared channel be re-designated as a non-shared channel or could enter into a CSA with </w:t>
      </w:r>
      <w:r w:rsidR="004F3888">
        <w:t>a</w:t>
      </w:r>
      <w:r w:rsidR="00C32E94">
        <w:t>nother LPTV or TV translator station</w:t>
      </w:r>
      <w:r w:rsidR="00B2046A">
        <w:t xml:space="preserve"> and resume shared operations</w:t>
      </w:r>
      <w:r w:rsidR="00293EF1">
        <w:t>, subject to Commission approval</w:t>
      </w:r>
      <w:r w:rsidR="006A1AD9">
        <w:t xml:space="preserve">.  </w:t>
      </w:r>
      <w:r w:rsidR="00E44AE4">
        <w:t xml:space="preserve">This approach differs from the approach we adopted for full power and Class A television channel sharing arrangements </w:t>
      </w:r>
      <w:r w:rsidR="00E44AE4">
        <w:rPr>
          <w:szCs w:val="22"/>
        </w:rPr>
        <w:t xml:space="preserve">in order </w:t>
      </w:r>
      <w:r w:rsidR="00E44AE4" w:rsidRPr="00803B89">
        <w:rPr>
          <w:szCs w:val="22"/>
        </w:rPr>
        <w:t xml:space="preserve">to reduce the cost and burden </w:t>
      </w:r>
      <w:r w:rsidR="00E44AE4">
        <w:rPr>
          <w:szCs w:val="22"/>
        </w:rPr>
        <w:t xml:space="preserve">to LPTV and TV translator stations </w:t>
      </w:r>
      <w:r w:rsidR="00E44AE4" w:rsidRPr="00803B89">
        <w:rPr>
          <w:szCs w:val="22"/>
        </w:rPr>
        <w:t>and to encourage channel sharing among these stations.</w:t>
      </w:r>
      <w:r w:rsidR="00E44AE4">
        <w:rPr>
          <w:rStyle w:val="FootnoteReference"/>
          <w:szCs w:val="22"/>
        </w:rPr>
        <w:footnoteReference w:id="66"/>
      </w:r>
      <w:r w:rsidR="00E44AE4">
        <w:t xml:space="preserve">  </w:t>
      </w:r>
    </w:p>
    <w:p w:rsidR="00DE2F95" w:rsidRDefault="00980BA9" w:rsidP="00803B89">
      <w:pPr>
        <w:pStyle w:val="ParaNum"/>
      </w:pPr>
      <w:r>
        <w:t>In addition, w</w:t>
      </w:r>
      <w:r w:rsidR="00B31C7C" w:rsidRPr="00B31C7C">
        <w:t xml:space="preserve">e propose </w:t>
      </w:r>
      <w:r w:rsidR="0080708C">
        <w:t xml:space="preserve">to </w:t>
      </w:r>
      <w:r w:rsidR="00B31C7C" w:rsidRPr="00B31C7C">
        <w:t xml:space="preserve">allow rights under a CSA to be assigned or transferred, subject to the requirements of </w:t>
      </w:r>
      <w:r w:rsidR="00795AD6">
        <w:t>S</w:t>
      </w:r>
      <w:r w:rsidR="00B31C7C" w:rsidRPr="00B31C7C">
        <w:t>ection 310 of the Communications Act,</w:t>
      </w:r>
      <w:r w:rsidR="00B31C7C" w:rsidRPr="000E0E0F">
        <w:rPr>
          <w:rStyle w:val="FootnoteReference"/>
          <w:szCs w:val="22"/>
        </w:rPr>
        <w:footnoteReference w:id="67"/>
      </w:r>
      <w:r w:rsidR="00B31C7C" w:rsidRPr="00B31C7C">
        <w:t xml:space="preserve"> our rules, and the requirement that the assignee or transferee</w:t>
      </w:r>
      <w:r w:rsidR="008637E1">
        <w:t xml:space="preserve"> </w:t>
      </w:r>
      <w:r w:rsidR="00B31C7C" w:rsidRPr="00B31C7C">
        <w:t>comply with the applicable CSA.</w:t>
      </w:r>
      <w:r w:rsidR="00B31C7C" w:rsidRPr="000E0E0F">
        <w:rPr>
          <w:rStyle w:val="FootnoteReference"/>
          <w:szCs w:val="22"/>
        </w:rPr>
        <w:footnoteReference w:id="68"/>
      </w:r>
      <w:r w:rsidR="00B31C7C" w:rsidRPr="00B31C7C">
        <w:t xml:space="preserve">  We seek comment on the</w:t>
      </w:r>
      <w:r>
        <w:t xml:space="preserve"> above</w:t>
      </w:r>
      <w:r w:rsidR="00B31C7C" w:rsidRPr="00B31C7C">
        <w:t xml:space="preserve"> proposals</w:t>
      </w:r>
      <w:r w:rsidR="0048445E">
        <w:t xml:space="preserve"> and on any alternative approaches we should consider</w:t>
      </w:r>
      <w:r w:rsidR="00B31C7C" w:rsidRPr="00B31C7C">
        <w:t>.</w:t>
      </w:r>
    </w:p>
    <w:p w:rsidR="00A77A94" w:rsidRPr="00F459E8" w:rsidRDefault="00A77A94" w:rsidP="00A77A94">
      <w:pPr>
        <w:pStyle w:val="Heading3"/>
      </w:pPr>
      <w:r>
        <w:t xml:space="preserve">Channel Sharing Between LPTV and TV Translators and Other Television Services </w:t>
      </w:r>
    </w:p>
    <w:p w:rsidR="00A77A94" w:rsidRDefault="00A77A94" w:rsidP="00803B89">
      <w:pPr>
        <w:pStyle w:val="ParaNum"/>
      </w:pPr>
      <w:r>
        <w:t xml:space="preserve">Should we adopt rules authorizing channel sharing for LPTV and TV translator stations, we seek comment on whether to permit these stations to channel </w:t>
      </w:r>
      <w:r w:rsidR="005253F6">
        <w:t xml:space="preserve">share </w:t>
      </w:r>
      <w:r>
        <w:t>with full power and Class A television stations as well.  We seek comment on the feasibility of allowing channel sharing between primary (full power and Class A) and secondary (LPTV and TV translator) services, each of which operate with differing power levels and interference protection rights.</w:t>
      </w:r>
      <w:r w:rsidRPr="000E385D">
        <w:rPr>
          <w:rStyle w:val="EndnoteReference"/>
        </w:rPr>
        <w:t xml:space="preserve"> </w:t>
      </w:r>
      <w:r>
        <w:rPr>
          <w:rStyle w:val="FootnoteReference"/>
        </w:rPr>
        <w:footnoteReference w:id="69"/>
      </w:r>
      <w:r>
        <w:t xml:space="preserve">  In the </w:t>
      </w:r>
      <w:r w:rsidRPr="00A77A94">
        <w:rPr>
          <w:i/>
        </w:rPr>
        <w:t>Incentive Auction Report and Order</w:t>
      </w:r>
      <w:r>
        <w:t>, we allowed channel sharing between full power and Class A television stations despite the fact that each operate with different technical rules.</w:t>
      </w:r>
      <w:r w:rsidRPr="000E385D">
        <w:rPr>
          <w:rStyle w:val="FootnoteReference"/>
        </w:rPr>
        <w:t xml:space="preserve"> </w:t>
      </w:r>
      <w:r>
        <w:rPr>
          <w:rStyle w:val="FootnoteReference"/>
        </w:rPr>
        <w:footnoteReference w:id="70"/>
      </w:r>
      <w:r>
        <w:t xml:space="preserve">  We concluded that the </w:t>
      </w:r>
      <w:r w:rsidRPr="009D357E">
        <w:t xml:space="preserve">Class A television station sharing a full power television station’s channel after the incentive auction </w:t>
      </w:r>
      <w:r>
        <w:t>would be permitted to operate under the Part 73 rules governing power levels and interference.</w:t>
      </w:r>
      <w:r>
        <w:rPr>
          <w:rStyle w:val="FootnoteReference"/>
        </w:rPr>
        <w:footnoteReference w:id="71"/>
      </w:r>
      <w:r>
        <w:t xml:space="preserve">  To facilitate channel sharing and further assist displaced LPTV and TV translator stations to find a new channel, we </w:t>
      </w:r>
      <w:r w:rsidR="00595A13">
        <w:t xml:space="preserve">seek comment on whether to </w:t>
      </w:r>
      <w:r>
        <w:t xml:space="preserve">allow LPTV and TV translator stations that share a full power or Class A television station’s channel to similarly operate under the rules governing power levels and interference for full power and Class A television stations.   </w:t>
      </w:r>
      <w:r w:rsidRPr="00EC4B93">
        <w:t xml:space="preserve">In the unlikely event a full power or Class A television station proposes to share an LPTV or TV translator station’s channel, </w:t>
      </w:r>
      <w:r w:rsidR="007523AA">
        <w:t xml:space="preserve">we propose that </w:t>
      </w:r>
      <w:r w:rsidR="00595A13">
        <w:t xml:space="preserve">the full power or Class A station </w:t>
      </w:r>
      <w:r w:rsidR="007523AA">
        <w:t xml:space="preserve">would </w:t>
      </w:r>
      <w:r w:rsidRPr="00EC4B93">
        <w:t>be subject to the power level and interference protection rules associated with the channel of the LPTV or TV translator station</w:t>
      </w:r>
      <w:r>
        <w:t>.  We seek comment on these proposals</w:t>
      </w:r>
      <w:r w:rsidR="004F2DA5">
        <w:t xml:space="preserve">, including any regulatory difficulties that would result from channel sharing between a full power or Class A television station and an LPTV or TV translator station.  </w:t>
      </w:r>
      <w:r>
        <w:t xml:space="preserve"> </w:t>
      </w:r>
    </w:p>
    <w:p w:rsidR="00CD683D" w:rsidRDefault="00CA1AE2" w:rsidP="00CD683D">
      <w:pPr>
        <w:pStyle w:val="Heading2"/>
      </w:pPr>
      <w:bookmarkStart w:id="78" w:name="_Toc393265904"/>
      <w:r>
        <w:t xml:space="preserve">Creation of a New </w:t>
      </w:r>
      <w:r w:rsidR="00036D39">
        <w:t>Digital-to-Digital Replacement Translator</w:t>
      </w:r>
      <w:r w:rsidR="00CD683D">
        <w:t xml:space="preserve"> </w:t>
      </w:r>
      <w:r w:rsidR="000F7F23">
        <w:t>Service</w:t>
      </w:r>
      <w:bookmarkEnd w:id="78"/>
    </w:p>
    <w:p w:rsidR="00575E93" w:rsidRDefault="00575E93" w:rsidP="00575E93">
      <w:pPr>
        <w:pStyle w:val="ParaNum"/>
      </w:pPr>
      <w:r>
        <w:t>We propose to establish a new “digital-to-digital” replacement translator service that will allow eligible full power television stations to recover lost digital service area that results from the</w:t>
      </w:r>
      <w:r w:rsidR="0001066D">
        <w:t xml:space="preserve"> reverse </w:t>
      </w:r>
      <w:r>
        <w:t>auction</w:t>
      </w:r>
      <w:r w:rsidR="0001066D">
        <w:t xml:space="preserve"> and repacking process</w:t>
      </w:r>
      <w:r>
        <w:t>.</w:t>
      </w:r>
      <w:r w:rsidR="00DB7839">
        <w:rPr>
          <w:rStyle w:val="FootnoteReference"/>
        </w:rPr>
        <w:footnoteReference w:id="72"/>
      </w:r>
      <w:r>
        <w:t xml:space="preserve">  In 2009, as full power stations were transitioning from analog to digital operation, the Commission recognized that</w:t>
      </w:r>
      <w:r w:rsidRPr="00476AFB">
        <w:t>, in some cases, “a portion of the existing analog service area of a full-service station will no longer be able to receive service after the station transitions to digital broadcasting.</w:t>
      </w:r>
      <w:r>
        <w:t>”</w:t>
      </w:r>
      <w:r>
        <w:rPr>
          <w:rStyle w:val="FootnoteReference"/>
        </w:rPr>
        <w:footnoteReference w:id="73"/>
      </w:r>
      <w:r>
        <w:t xml:space="preserve">  </w:t>
      </w:r>
      <w:r>
        <w:rPr>
          <w:szCs w:val="22"/>
        </w:rPr>
        <w:t>T</w:t>
      </w:r>
      <w:r w:rsidRPr="00907992">
        <w:t>o assist full</w:t>
      </w:r>
      <w:r>
        <w:t xml:space="preserve"> power television stations </w:t>
      </w:r>
      <w:r w:rsidRPr="00907992">
        <w:t>to re</w:t>
      </w:r>
      <w:r>
        <w:t>store</w:t>
      </w:r>
      <w:r w:rsidRPr="00907992">
        <w:t xml:space="preserve"> service to any loss areas, </w:t>
      </w:r>
      <w:r>
        <w:t xml:space="preserve">the Commission </w:t>
      </w:r>
      <w:r w:rsidRPr="00907992">
        <w:t>establish</w:t>
      </w:r>
      <w:r>
        <w:t>ed</w:t>
      </w:r>
      <w:r w:rsidRPr="00907992">
        <w:t xml:space="preserve"> a new digital </w:t>
      </w:r>
      <w:r w:rsidR="002D2C3B">
        <w:t xml:space="preserve">replacement </w:t>
      </w:r>
      <w:r w:rsidRPr="00907992">
        <w:t xml:space="preserve">translator service </w:t>
      </w:r>
      <w:r w:rsidR="008A7122">
        <w:t>(</w:t>
      </w:r>
      <w:r w:rsidR="00092CFA">
        <w:t>“</w:t>
      </w:r>
      <w:r w:rsidR="008A7122">
        <w:t>DRT</w:t>
      </w:r>
      <w:r w:rsidR="00092CFA">
        <w:t>”</w:t>
      </w:r>
      <w:r w:rsidR="008A7122">
        <w:t xml:space="preserve">) </w:t>
      </w:r>
      <w:r>
        <w:t>“</w:t>
      </w:r>
      <w:r w:rsidRPr="00907992">
        <w:t xml:space="preserve">for the purpose of </w:t>
      </w:r>
      <w:r w:rsidRPr="00907992">
        <w:rPr>
          <w:szCs w:val="22"/>
        </w:rPr>
        <w:t>maintaining broadcast service that the public has come to depend upon and enjoy</w:t>
      </w:r>
      <w:r>
        <w:rPr>
          <w:szCs w:val="22"/>
        </w:rPr>
        <w:t xml:space="preserve"> [in analog]</w:t>
      </w:r>
      <w:r w:rsidRPr="00907992">
        <w:rPr>
          <w:szCs w:val="22"/>
        </w:rPr>
        <w:t>.</w:t>
      </w:r>
      <w:r>
        <w:rPr>
          <w:szCs w:val="22"/>
        </w:rPr>
        <w:t>”</w:t>
      </w:r>
      <w:r>
        <w:rPr>
          <w:rStyle w:val="FootnoteReference"/>
          <w:szCs w:val="22"/>
        </w:rPr>
        <w:footnoteReference w:id="74"/>
      </w:r>
      <w:r>
        <w:rPr>
          <w:szCs w:val="22"/>
        </w:rPr>
        <w:t xml:space="preserve"> </w:t>
      </w:r>
      <w:r w:rsidRPr="00276AB3">
        <w:rPr>
          <w:szCs w:val="22"/>
        </w:rPr>
        <w:t xml:space="preserve">  </w:t>
      </w:r>
    </w:p>
    <w:p w:rsidR="00575E93" w:rsidRDefault="00575E93" w:rsidP="002F646E">
      <w:pPr>
        <w:pStyle w:val="ParaNum"/>
        <w:widowControl/>
      </w:pPr>
      <w:r>
        <w:t xml:space="preserve">We now seek comment on whether we should establish a similar replacement service for full power stations that are reassigned to new channels, either in the repacking process or through a winning UHF-to-VHF or high-VHF-to-low-VHF bid, </w:t>
      </w:r>
      <w:r w:rsidR="00C0036A">
        <w:t xml:space="preserve">if those full power stations </w:t>
      </w:r>
      <w:r>
        <w:t xml:space="preserve">discover that </w:t>
      </w:r>
      <w:r w:rsidRPr="00476AFB">
        <w:t>a portion of the</w:t>
      </w:r>
      <w:r>
        <w:t>ir</w:t>
      </w:r>
      <w:r w:rsidRPr="00476AFB">
        <w:t xml:space="preserve"> existing </w:t>
      </w:r>
      <w:r>
        <w:t>pre-auction</w:t>
      </w:r>
      <w:r w:rsidRPr="00476AFB">
        <w:t xml:space="preserve"> service area will no longer be able to receive service after the station transitions to </w:t>
      </w:r>
      <w:r>
        <w:t xml:space="preserve">its new channel.  We recognize that </w:t>
      </w:r>
      <w:r w:rsidR="00247CA9">
        <w:t xml:space="preserve">there may be </w:t>
      </w:r>
      <w:r>
        <w:t xml:space="preserve">some </w:t>
      </w:r>
      <w:r w:rsidR="00247CA9">
        <w:t xml:space="preserve">instances </w:t>
      </w:r>
      <w:r w:rsidR="00C0036A">
        <w:t xml:space="preserve">in which </w:t>
      </w:r>
      <w:r w:rsidR="00247CA9">
        <w:t xml:space="preserve">a </w:t>
      </w:r>
      <w:r>
        <w:t xml:space="preserve">station may not be able to fully </w:t>
      </w:r>
      <w:r w:rsidR="008778C1">
        <w:t>r</w:t>
      </w:r>
      <w:r>
        <w:t xml:space="preserve">eplicate </w:t>
      </w:r>
      <w:r w:rsidR="00247CA9">
        <w:t>its</w:t>
      </w:r>
      <w:r>
        <w:t xml:space="preserve"> pre-auction service area because, like some stations transitioning to digital during the DTV transition, </w:t>
      </w:r>
      <w:r w:rsidR="00247CA9">
        <w:t>it</w:t>
      </w:r>
      <w:r>
        <w:t xml:space="preserve"> </w:t>
      </w:r>
      <w:r w:rsidR="00247CA9">
        <w:t>is</w:t>
      </w:r>
      <w:r>
        <w:t xml:space="preserve"> unable to build</w:t>
      </w:r>
      <w:r w:rsidRPr="00F435DD">
        <w:t xml:space="preserve"> </w:t>
      </w:r>
      <w:r w:rsidR="00247CA9">
        <w:t>its</w:t>
      </w:r>
      <w:r w:rsidRPr="00F435DD">
        <w:t xml:space="preserve"> assigned channel at </w:t>
      </w:r>
      <w:r w:rsidR="00247CA9">
        <w:t>its</w:t>
      </w:r>
      <w:r w:rsidRPr="00F435DD">
        <w:t xml:space="preserve"> current tower site </w:t>
      </w:r>
      <w:r w:rsidR="00C0036A">
        <w:t>as a result of</w:t>
      </w:r>
      <w:r w:rsidRPr="00F435DD">
        <w:t xml:space="preserve"> technical or legal issues.</w:t>
      </w:r>
      <w:r w:rsidR="00A660D0">
        <w:rPr>
          <w:rStyle w:val="FootnoteReference"/>
        </w:rPr>
        <w:footnoteReference w:id="75"/>
      </w:r>
      <w:r w:rsidR="00A660D0">
        <w:t xml:space="preserve">  </w:t>
      </w:r>
      <w:r>
        <w:t xml:space="preserve">In addition, broadcasters </w:t>
      </w:r>
      <w:r w:rsidR="00F27722">
        <w:t>that</w:t>
      </w:r>
      <w:r>
        <w:t xml:space="preserve"> voluntarily relocate to a different band may have difficulty maintaining their antenna pattern on the new channel</w:t>
      </w:r>
      <w:r>
        <w:rPr>
          <w:rStyle w:val="FootnoteReference"/>
        </w:rPr>
        <w:footnoteReference w:id="76"/>
      </w:r>
      <w:r>
        <w:t xml:space="preserve"> and may experience unusual coverage problems.</w:t>
      </w:r>
      <w:r>
        <w:rPr>
          <w:rStyle w:val="FootnoteReference"/>
        </w:rPr>
        <w:footnoteReference w:id="77"/>
      </w:r>
      <w:r>
        <w:t xml:space="preserve">  These and other circumstances could result in full power television stations experiencing loss areas on initiation of their new channel facilities.  To assist stations to overcome these challenges and to replace lost digital service area result</w:t>
      </w:r>
      <w:r w:rsidR="00273E9C">
        <w:t>ing from new channel assignments</w:t>
      </w:r>
      <w:r>
        <w:t>, we seek comment on whether to create a new digital-to-digital replacement translator service.</w:t>
      </w:r>
      <w:r>
        <w:rPr>
          <w:rStyle w:val="FootnoteReference"/>
        </w:rPr>
        <w:footnoteReference w:id="78"/>
      </w:r>
    </w:p>
    <w:p w:rsidR="008437DB" w:rsidRDefault="00575E93" w:rsidP="009C38F5">
      <w:pPr>
        <w:pStyle w:val="ParaNum"/>
      </w:pPr>
      <w:r w:rsidRPr="00575E93">
        <w:rPr>
          <w:szCs w:val="22"/>
        </w:rPr>
        <w:t xml:space="preserve">In addition, </w:t>
      </w:r>
      <w:r w:rsidR="00DA5D9E">
        <w:t>w</w:t>
      </w:r>
      <w:r>
        <w:t xml:space="preserve">e seek comment on whether to discontinue the licensing of </w:t>
      </w:r>
      <w:r w:rsidR="00273E9C">
        <w:t xml:space="preserve">new </w:t>
      </w:r>
      <w:r w:rsidR="00247CA9">
        <w:t xml:space="preserve">analog-to-digital </w:t>
      </w:r>
      <w:r>
        <w:t xml:space="preserve">replacement translators given that the DTV transition was completed five years ago and stations have had ample opportunity to identify the need for such a translator to </w:t>
      </w:r>
      <w:r w:rsidR="001C5400">
        <w:t>serve</w:t>
      </w:r>
      <w:r>
        <w:t xml:space="preserve"> lost analog service</w:t>
      </w:r>
      <w:r w:rsidR="001C5400">
        <w:t xml:space="preserve"> areas</w:t>
      </w:r>
      <w:r>
        <w:t>.</w:t>
      </w:r>
      <w:r w:rsidR="00DA5D9E">
        <w:rPr>
          <w:rStyle w:val="FootnoteReference"/>
          <w:szCs w:val="22"/>
        </w:rPr>
        <w:footnoteReference w:id="79"/>
      </w:r>
      <w:r>
        <w:t xml:space="preserve"> </w:t>
      </w:r>
      <w:r w:rsidR="00FF7183">
        <w:t xml:space="preserve">  </w:t>
      </w:r>
      <w:r w:rsidR="006928AD">
        <w:t xml:space="preserve"> </w:t>
      </w:r>
      <w:r w:rsidR="00010753">
        <w:t xml:space="preserve">  </w:t>
      </w:r>
    </w:p>
    <w:p w:rsidR="008437DB" w:rsidRDefault="00907992" w:rsidP="00720071">
      <w:pPr>
        <w:pStyle w:val="Heading3"/>
      </w:pPr>
      <w:bookmarkStart w:id="79" w:name="_Toc393265905"/>
      <w:r>
        <w:t>Li</w:t>
      </w:r>
      <w:r w:rsidR="00C15818">
        <w:t>censing of Digital</w:t>
      </w:r>
      <w:r w:rsidR="00170168">
        <w:t>-</w:t>
      </w:r>
      <w:r w:rsidR="00C15818">
        <w:t>to</w:t>
      </w:r>
      <w:r w:rsidR="00170168">
        <w:t>-</w:t>
      </w:r>
      <w:r w:rsidR="00C15818">
        <w:t>Digital Replacement Translators</w:t>
      </w:r>
      <w:bookmarkEnd w:id="79"/>
      <w:r w:rsidR="00981130">
        <w:t xml:space="preserve"> </w:t>
      </w:r>
    </w:p>
    <w:p w:rsidR="00EF0292" w:rsidRDefault="00EF0292" w:rsidP="00EF0292">
      <w:pPr>
        <w:pStyle w:val="Heading4"/>
      </w:pPr>
      <w:bookmarkStart w:id="80" w:name="_Toc393265906"/>
      <w:r>
        <w:t>Eligibility</w:t>
      </w:r>
      <w:bookmarkEnd w:id="80"/>
      <w:r w:rsidR="00296080">
        <w:t>/Service Area</w:t>
      </w:r>
    </w:p>
    <w:p w:rsidR="00EF0292" w:rsidRDefault="00EF0292" w:rsidP="00EF0292">
      <w:pPr>
        <w:pStyle w:val="ParaNum"/>
      </w:pPr>
      <w:r>
        <w:t xml:space="preserve">We tentatively conclude that </w:t>
      </w:r>
      <w:r w:rsidRPr="007F4D8F">
        <w:t xml:space="preserve">eligibility for the </w:t>
      </w:r>
      <w:r>
        <w:t xml:space="preserve">digital-to-digital replacement </w:t>
      </w:r>
      <w:r w:rsidRPr="007F4D8F">
        <w:t xml:space="preserve">translator service </w:t>
      </w:r>
      <w:r>
        <w:t xml:space="preserve">should </w:t>
      </w:r>
      <w:r w:rsidRPr="007F4D8F">
        <w:t>be li</w:t>
      </w:r>
      <w:r>
        <w:t>mited to those full power</w:t>
      </w:r>
      <w:r w:rsidRPr="007F4D8F">
        <w:t xml:space="preserve"> television stations</w:t>
      </w:r>
      <w:r>
        <w:t xml:space="preserve"> whose channels are changed following the incentive auction</w:t>
      </w:r>
      <w:r>
        <w:rPr>
          <w:rStyle w:val="FootnoteReference"/>
        </w:rPr>
        <w:footnoteReference w:id="80"/>
      </w:r>
      <w:r>
        <w:t xml:space="preserve"> t</w:t>
      </w:r>
      <w:r w:rsidRPr="007F4D8F">
        <w:t xml:space="preserve">hat can demonstrate that </w:t>
      </w:r>
      <w:r>
        <w:t xml:space="preserve">(1) </w:t>
      </w:r>
      <w:r w:rsidRPr="007F4D8F">
        <w:t xml:space="preserve">a portion </w:t>
      </w:r>
      <w:r>
        <w:t>o</w:t>
      </w:r>
      <w:r w:rsidRPr="007F4D8F">
        <w:t xml:space="preserve">f their </w:t>
      </w:r>
      <w:r>
        <w:t>pre- auction service area</w:t>
      </w:r>
      <w:r w:rsidRPr="007F4D8F">
        <w:t xml:space="preserve"> wi</w:t>
      </w:r>
      <w:r>
        <w:t xml:space="preserve">ll not be served by the </w:t>
      </w:r>
      <w:r w:rsidRPr="007F4D8F">
        <w:t xml:space="preserve">facilities </w:t>
      </w:r>
      <w:r>
        <w:t>on their new channel</w:t>
      </w:r>
      <w:r w:rsidR="00170168">
        <w:t>,</w:t>
      </w:r>
      <w:r>
        <w:t xml:space="preserve"> </w:t>
      </w:r>
      <w:r w:rsidRPr="007F4D8F">
        <w:t>an</w:t>
      </w:r>
      <w:r>
        <w:t xml:space="preserve">d (2) the proposed digital-to-digital replacement translator will </w:t>
      </w:r>
      <w:r w:rsidRPr="007F4D8F">
        <w:t xml:space="preserve">be used </w:t>
      </w:r>
      <w:r>
        <w:t>solely to fill in such loss areas</w:t>
      </w:r>
      <w:r w:rsidRPr="007F4D8F">
        <w:t>.</w:t>
      </w:r>
      <w:r>
        <w:rPr>
          <w:rStyle w:val="FootnoteReference"/>
        </w:rPr>
        <w:footnoteReference w:id="81"/>
      </w:r>
      <w:r w:rsidRPr="007F4D8F">
        <w:t xml:space="preserve">  We </w:t>
      </w:r>
      <w:r>
        <w:t xml:space="preserve">believe these </w:t>
      </w:r>
      <w:r w:rsidRPr="007F4D8F">
        <w:t>requirement</w:t>
      </w:r>
      <w:r>
        <w:t>s</w:t>
      </w:r>
      <w:r w:rsidRPr="007F4D8F">
        <w:t xml:space="preserve"> </w:t>
      </w:r>
      <w:r>
        <w:t>will be consistent with the limited scope of our objective in proposing this new service:</w:t>
      </w:r>
      <w:r w:rsidRPr="007F4D8F">
        <w:t xml:space="preserve"> </w:t>
      </w:r>
      <w:r w:rsidR="00092CFA">
        <w:t xml:space="preserve"> </w:t>
      </w:r>
      <w:r>
        <w:t>to</w:t>
      </w:r>
      <w:r w:rsidRPr="007F4D8F">
        <w:t xml:space="preserve"> </w:t>
      </w:r>
      <w:r>
        <w:t>assist full power</w:t>
      </w:r>
      <w:r w:rsidRPr="007F4D8F">
        <w:t xml:space="preserve"> </w:t>
      </w:r>
      <w:r>
        <w:t xml:space="preserve">television </w:t>
      </w:r>
      <w:r w:rsidRPr="007F4D8F">
        <w:t>st</w:t>
      </w:r>
      <w:r>
        <w:t xml:space="preserve">ations to maintain their digital </w:t>
      </w:r>
      <w:r w:rsidRPr="007F4D8F">
        <w:t xml:space="preserve">service areas </w:t>
      </w:r>
      <w:r>
        <w:t>following the completion of the repacking process</w:t>
      </w:r>
      <w:r w:rsidR="00575E93">
        <w:t xml:space="preserve"> and auction</w:t>
      </w:r>
      <w:r>
        <w:t>,</w:t>
      </w:r>
      <w:r>
        <w:rPr>
          <w:rStyle w:val="FootnoteReference"/>
        </w:rPr>
        <w:footnoteReference w:id="82"/>
      </w:r>
      <w:r w:rsidRPr="007F4D8F">
        <w:t xml:space="preserve"> </w:t>
      </w:r>
      <w:r>
        <w:t>but not to enable expansions of such service areas</w:t>
      </w:r>
      <w:r w:rsidRPr="007F4D8F">
        <w:t>.</w:t>
      </w:r>
      <w:r>
        <w:t xml:space="preserve">  We seek comment on </w:t>
      </w:r>
      <w:r w:rsidR="00170168">
        <w:t xml:space="preserve">this </w:t>
      </w:r>
      <w:r>
        <w:t xml:space="preserve">objective and </w:t>
      </w:r>
      <w:r w:rsidR="00170168">
        <w:t>th</w:t>
      </w:r>
      <w:r w:rsidR="004E6D0E">
        <w:t>is</w:t>
      </w:r>
      <w:r w:rsidR="00170168">
        <w:t xml:space="preserve"> </w:t>
      </w:r>
      <w:r>
        <w:t>tentative conclusion.</w:t>
      </w:r>
    </w:p>
    <w:p w:rsidR="00D01DA5" w:rsidRDefault="0001066D" w:rsidP="00296080">
      <w:pPr>
        <w:pStyle w:val="ParaNum"/>
      </w:pPr>
      <w:r>
        <w:t>W</w:t>
      </w:r>
      <w:r w:rsidR="00D01DA5">
        <w:t xml:space="preserve">e propose </w:t>
      </w:r>
      <w:r w:rsidR="00D01DA5" w:rsidRPr="00287271">
        <w:t xml:space="preserve">to limit the service area of </w:t>
      </w:r>
      <w:r w:rsidR="00296080">
        <w:t>digital-to-digital replacement</w:t>
      </w:r>
      <w:r w:rsidR="00D01DA5">
        <w:t xml:space="preserve"> translators to digital</w:t>
      </w:r>
      <w:r w:rsidR="00D01DA5" w:rsidRPr="00287271">
        <w:t xml:space="preserve"> loss areas</w:t>
      </w:r>
      <w:r w:rsidR="00D01DA5">
        <w:t xml:space="preserve"> resulting from the </w:t>
      </w:r>
      <w:r w:rsidR="00273E9C">
        <w:t xml:space="preserve">reverse auction and </w:t>
      </w:r>
      <w:r w:rsidR="00D01DA5">
        <w:t>repacking process</w:t>
      </w:r>
      <w:r w:rsidR="00D01DA5" w:rsidRPr="00287271">
        <w:t>.</w:t>
      </w:r>
      <w:r w:rsidR="00D01DA5" w:rsidRPr="00287271">
        <w:rPr>
          <w:vertAlign w:val="superscript"/>
        </w:rPr>
        <w:footnoteReference w:id="83"/>
      </w:r>
      <w:r w:rsidR="00D01DA5" w:rsidRPr="00287271">
        <w:t xml:space="preserve">  </w:t>
      </w:r>
      <w:r w:rsidR="00D01DA5">
        <w:t xml:space="preserve">To </w:t>
      </w:r>
      <w:r w:rsidR="00296080">
        <w:t xml:space="preserve">implement this </w:t>
      </w:r>
      <w:r w:rsidR="00D01DA5">
        <w:t xml:space="preserve">restriction, we propose </w:t>
      </w:r>
      <w:r w:rsidR="00296080">
        <w:t xml:space="preserve">to require </w:t>
      </w:r>
      <w:r w:rsidR="00D01DA5" w:rsidRPr="00287271">
        <w:t xml:space="preserve">applicants for </w:t>
      </w:r>
      <w:r w:rsidR="00D01DA5">
        <w:t>a</w:t>
      </w:r>
      <w:r w:rsidR="00D01DA5" w:rsidRPr="00287271">
        <w:t xml:space="preserve"> </w:t>
      </w:r>
      <w:r w:rsidR="00D01DA5">
        <w:t xml:space="preserve">digital-to-digital replacement </w:t>
      </w:r>
      <w:r w:rsidR="00D01DA5" w:rsidRPr="00287271">
        <w:t xml:space="preserve">translator </w:t>
      </w:r>
      <w:r w:rsidR="00D01DA5">
        <w:t xml:space="preserve">to demonstrate a digital loss area through </w:t>
      </w:r>
      <w:r w:rsidR="00D01DA5" w:rsidRPr="00287271">
        <w:t>an engineering study th</w:t>
      </w:r>
      <w:r w:rsidR="00D01DA5">
        <w:t xml:space="preserve">at depicts the </w:t>
      </w:r>
      <w:r w:rsidR="00D01DA5" w:rsidRPr="00287271">
        <w:t xml:space="preserve">station’s </w:t>
      </w:r>
      <w:r w:rsidR="00D01DA5">
        <w:t xml:space="preserve">pre- and post-incentive auction digital </w:t>
      </w:r>
      <w:r w:rsidR="00D01DA5" w:rsidRPr="00287271">
        <w:t>service area</w:t>
      </w:r>
      <w:r w:rsidR="00D01DA5">
        <w:t>s</w:t>
      </w:r>
      <w:r w:rsidR="00D01DA5" w:rsidRPr="00287271">
        <w:t>.</w:t>
      </w:r>
      <w:r w:rsidR="00296080">
        <w:t xml:space="preserve">  We tentatively conclude that “pre-auction digital</w:t>
      </w:r>
      <w:r w:rsidR="00296080" w:rsidRPr="00287271">
        <w:t xml:space="preserve"> service area” </w:t>
      </w:r>
      <w:r>
        <w:t>should be</w:t>
      </w:r>
      <w:r w:rsidR="00F53368">
        <w:t xml:space="preserve"> defined as </w:t>
      </w:r>
      <w:r w:rsidR="00296080" w:rsidRPr="008E159B">
        <w:t xml:space="preserve">the geographic area within the </w:t>
      </w:r>
      <w:r w:rsidR="00296080">
        <w:t xml:space="preserve">full power station’s </w:t>
      </w:r>
      <w:r w:rsidR="00296080" w:rsidRPr="008E159B">
        <w:t xml:space="preserve">noise-limited contour </w:t>
      </w:r>
      <w:r w:rsidR="00296080">
        <w:t>(</w:t>
      </w:r>
      <w:r w:rsidR="00296080" w:rsidRPr="008E159B">
        <w:t xml:space="preserve">of its facility licensed by the </w:t>
      </w:r>
      <w:r w:rsidR="00296080">
        <w:t>p</w:t>
      </w:r>
      <w:r w:rsidR="00296080" w:rsidRPr="008E159B">
        <w:t>re-auction licensing deadline</w:t>
      </w:r>
      <w:r w:rsidR="00296080">
        <w:t>)</w:t>
      </w:r>
      <w:r>
        <w:t>.</w:t>
      </w:r>
      <w:r w:rsidR="00296080" w:rsidRPr="00287271">
        <w:t xml:space="preserve"> </w:t>
      </w:r>
      <w:r w:rsidR="00296080">
        <w:t xml:space="preserve"> </w:t>
      </w:r>
      <w:r w:rsidR="00D01DA5">
        <w:t>W</w:t>
      </w:r>
      <w:r w:rsidR="00D01DA5" w:rsidRPr="00287271">
        <w:t>e recognize</w:t>
      </w:r>
      <w:r w:rsidR="00D01DA5">
        <w:t xml:space="preserve"> </w:t>
      </w:r>
      <w:r w:rsidR="00D01DA5" w:rsidRPr="00287271">
        <w:t>that</w:t>
      </w:r>
      <w:r w:rsidR="009D0719">
        <w:t xml:space="preserve">, due to the lack of available transmitter sites, </w:t>
      </w:r>
      <w:r w:rsidR="00D01DA5" w:rsidRPr="00287271">
        <w:t xml:space="preserve">it </w:t>
      </w:r>
      <w:r w:rsidR="00D01DA5">
        <w:t xml:space="preserve">may be impossible </w:t>
      </w:r>
      <w:r>
        <w:t xml:space="preserve">or extremely costly </w:t>
      </w:r>
      <w:r w:rsidR="00D01DA5">
        <w:t xml:space="preserve">for stations to locate a translator that replaces digital </w:t>
      </w:r>
      <w:r w:rsidR="00D01DA5" w:rsidRPr="00287271">
        <w:t xml:space="preserve">loss areas without also </w:t>
      </w:r>
      <w:r w:rsidR="00D01DA5">
        <w:t xml:space="preserve">slightly expanding their pre-auction </w:t>
      </w:r>
      <w:r>
        <w:t xml:space="preserve">digital </w:t>
      </w:r>
      <w:r w:rsidR="00D01DA5" w:rsidRPr="00287271">
        <w:t>service areas</w:t>
      </w:r>
      <w:r w:rsidR="009D0719">
        <w:t>.</w:t>
      </w:r>
      <w:r>
        <w:rPr>
          <w:rStyle w:val="FootnoteReference"/>
        </w:rPr>
        <w:footnoteReference w:id="84"/>
      </w:r>
      <w:r w:rsidR="009D0719">
        <w:t xml:space="preserve">  </w:t>
      </w:r>
      <w:r w:rsidR="00AB74D7">
        <w:t>We believe a better approach would be to allow applicants to propose</w:t>
      </w:r>
      <w:r w:rsidR="00D01DA5" w:rsidRPr="00287271">
        <w:t xml:space="preserve"> </w:t>
      </w:r>
      <w:r w:rsidR="00D01DA5" w:rsidRPr="00296080">
        <w:rPr>
          <w:i/>
        </w:rPr>
        <w:t xml:space="preserve">de minimis </w:t>
      </w:r>
      <w:r w:rsidR="00D01DA5">
        <w:t>expansion</w:t>
      </w:r>
      <w:r w:rsidR="00296080">
        <w:t>s</w:t>
      </w:r>
      <w:r w:rsidR="00D01DA5">
        <w:t xml:space="preserve"> of pre-auction</w:t>
      </w:r>
      <w:r w:rsidR="00D01DA5" w:rsidRPr="00287271">
        <w:t xml:space="preserve"> </w:t>
      </w:r>
      <w:r w:rsidR="001203F7">
        <w:t xml:space="preserve">digital </w:t>
      </w:r>
      <w:r w:rsidR="00D01DA5" w:rsidRPr="00287271">
        <w:t xml:space="preserve">service areas on a showing that </w:t>
      </w:r>
      <w:r w:rsidR="00D01DA5">
        <w:t>the expansion</w:t>
      </w:r>
      <w:r w:rsidR="00296080">
        <w:t>s</w:t>
      </w:r>
      <w:r w:rsidR="00D01DA5" w:rsidRPr="00287271">
        <w:t xml:space="preserve"> </w:t>
      </w:r>
      <w:r w:rsidR="00296080">
        <w:t>are</w:t>
      </w:r>
      <w:r w:rsidR="00D01DA5" w:rsidRPr="00287271">
        <w:t xml:space="preserve"> necessary to replace service </w:t>
      </w:r>
      <w:r w:rsidR="000379BA">
        <w:t xml:space="preserve">area </w:t>
      </w:r>
      <w:r w:rsidR="00D01DA5">
        <w:t xml:space="preserve">lost as a result of </w:t>
      </w:r>
      <w:r w:rsidR="00296080">
        <w:t>the</w:t>
      </w:r>
      <w:r w:rsidR="00273E9C">
        <w:t>ir new channel assignments</w:t>
      </w:r>
      <w:r w:rsidR="00D01DA5" w:rsidRPr="00287271">
        <w:t>.</w:t>
      </w:r>
      <w:r w:rsidR="00D01DA5">
        <w:rPr>
          <w:rStyle w:val="FootnoteReference"/>
        </w:rPr>
        <w:footnoteReference w:id="85"/>
      </w:r>
      <w:r w:rsidR="00D01DA5">
        <w:t xml:space="preserve">  To demonstrate </w:t>
      </w:r>
      <w:r w:rsidR="00296080">
        <w:t xml:space="preserve">necessity, </w:t>
      </w:r>
      <w:r w:rsidR="00D01DA5">
        <w:t xml:space="preserve">we propose that stations be required to show that </w:t>
      </w:r>
      <w:r w:rsidR="00D01DA5" w:rsidRPr="00500A31">
        <w:t xml:space="preserve">it is not possible to site a </w:t>
      </w:r>
      <w:r w:rsidR="00D01DA5">
        <w:t xml:space="preserve">digital-to-digital replacement </w:t>
      </w:r>
      <w:r w:rsidR="00D01DA5" w:rsidRPr="00500A31">
        <w:t xml:space="preserve">translator without </w:t>
      </w:r>
      <w:r w:rsidR="00D01DA5" w:rsidRPr="00296080">
        <w:rPr>
          <w:i/>
        </w:rPr>
        <w:t>de minimis</w:t>
      </w:r>
      <w:r w:rsidR="00D01DA5" w:rsidRPr="00500A31">
        <w:t xml:space="preserve"> expansion of the station’s </w:t>
      </w:r>
      <w:r w:rsidR="00D01DA5">
        <w:t xml:space="preserve">pre-auction digital </w:t>
      </w:r>
      <w:r w:rsidR="00D01DA5" w:rsidRPr="00500A31">
        <w:t>service area.</w:t>
      </w:r>
      <w:r w:rsidR="00D01DA5">
        <w:t xml:space="preserve">  Further, we propose to define </w:t>
      </w:r>
      <w:r w:rsidR="00D01DA5" w:rsidRPr="00296080">
        <w:rPr>
          <w:i/>
        </w:rPr>
        <w:t>de minimis</w:t>
      </w:r>
      <w:r w:rsidR="00D01DA5">
        <w:t xml:space="preserve"> on a case-by-case basis</w:t>
      </w:r>
      <w:r w:rsidR="00296080">
        <w:t>,</w:t>
      </w:r>
      <w:r w:rsidR="00D01DA5">
        <w:t xml:space="preserve"> consistent with the approach we took for processing DRT applications.</w:t>
      </w:r>
      <w:r w:rsidR="00D01DA5">
        <w:rPr>
          <w:rStyle w:val="FootnoteReference"/>
        </w:rPr>
        <w:footnoteReference w:id="86"/>
      </w:r>
      <w:r w:rsidR="00D01DA5">
        <w:t xml:space="preserve">  </w:t>
      </w:r>
      <w:r w:rsidR="00D01DA5" w:rsidRPr="004C58CF">
        <w:t>We</w:t>
      </w:r>
      <w:r w:rsidR="00D01DA5">
        <w:t xml:space="preserve"> seek comment on these proposals.</w:t>
      </w:r>
    </w:p>
    <w:p w:rsidR="00EF0292" w:rsidRPr="00F41003" w:rsidRDefault="00EF0292" w:rsidP="00F649E9">
      <w:pPr>
        <w:pStyle w:val="ParaNum"/>
      </w:pPr>
      <w:r>
        <w:t xml:space="preserve">We also seek comment on the appropriate timing for the availability of this proposed new service.  Specifically, we propose that the opportunity to apply for a digital-to-digital replacement translator </w:t>
      </w:r>
      <w:r w:rsidR="00DA02CF">
        <w:t xml:space="preserve">be limited, </w:t>
      </w:r>
      <w:r w:rsidR="00AB4340">
        <w:t>commencing</w:t>
      </w:r>
      <w:r w:rsidR="00DA02CF">
        <w:t xml:space="preserve"> </w:t>
      </w:r>
      <w:r w:rsidR="00C345C9">
        <w:t>with</w:t>
      </w:r>
      <w:r w:rsidR="00575E93">
        <w:t xml:space="preserve"> the opening of the </w:t>
      </w:r>
      <w:r w:rsidR="00C345C9">
        <w:t>post</w:t>
      </w:r>
      <w:r w:rsidR="002B0518">
        <w:t>-</w:t>
      </w:r>
      <w:r w:rsidR="00C345C9">
        <w:t xml:space="preserve">auction LPTV and TV translator displacement window </w:t>
      </w:r>
      <w:r w:rsidR="00DA02CF">
        <w:t>and ending one year after the completion of the 39-month post-incentive auction transition period.</w:t>
      </w:r>
      <w:r w:rsidR="00C345C9">
        <w:rPr>
          <w:rStyle w:val="FootnoteReference"/>
        </w:rPr>
        <w:footnoteReference w:id="87"/>
      </w:r>
      <w:r w:rsidR="00DA02CF">
        <w:t xml:space="preserve"> </w:t>
      </w:r>
      <w:r w:rsidR="00C345C9">
        <w:t xml:space="preserve"> </w:t>
      </w:r>
      <w:r w:rsidR="00DA02CF">
        <w:t xml:space="preserve">Under this proposal, stations could begin applying for digital-to-digital replacement translators </w:t>
      </w:r>
      <w:r w:rsidR="00C345C9">
        <w:t>during the LPTV and TV translator displacement window</w:t>
      </w:r>
      <w:r w:rsidR="00823E37">
        <w:t xml:space="preserve"> and </w:t>
      </w:r>
      <w:r w:rsidR="00AB4340">
        <w:t xml:space="preserve">would then </w:t>
      </w:r>
      <w:r w:rsidR="00DA02CF">
        <w:t xml:space="preserve">have </w:t>
      </w:r>
      <w:r w:rsidR="00AB4340">
        <w:t xml:space="preserve">one year beyond the completion of the post-auction transition period </w:t>
      </w:r>
      <w:r w:rsidR="00DA02CF">
        <w:t>to identify the need and apply for a digital-to-digital repla</w:t>
      </w:r>
      <w:r w:rsidR="00F649E9">
        <w:t xml:space="preserve">cement translator.  </w:t>
      </w:r>
      <w:r>
        <w:t xml:space="preserve">We believe this </w:t>
      </w:r>
      <w:r w:rsidR="00DB7507">
        <w:t xml:space="preserve">proposed </w:t>
      </w:r>
      <w:r>
        <w:t>deadline will provide full power television stations sufficient time to identify any possible loss areas that result from the</w:t>
      </w:r>
      <w:r w:rsidR="00273E9C">
        <w:t>ir new channel assignments</w:t>
      </w:r>
      <w:r>
        <w:t xml:space="preserve"> while also </w:t>
      </w:r>
      <w:r w:rsidR="00DB7507">
        <w:t>helping to limit</w:t>
      </w:r>
      <w:r>
        <w:t xml:space="preserve"> this service</w:t>
      </w:r>
      <w:r w:rsidR="00DB7507">
        <w:t xml:space="preserve"> to its proposed objective of replacing a loss that results from the </w:t>
      </w:r>
      <w:r w:rsidR="00273E9C">
        <w:t>reverse</w:t>
      </w:r>
      <w:r w:rsidR="00DB7507">
        <w:t xml:space="preserve"> auction </w:t>
      </w:r>
      <w:r w:rsidR="00273E9C">
        <w:t xml:space="preserve">and </w:t>
      </w:r>
      <w:r w:rsidR="00DB7507">
        <w:t>repacking process</w:t>
      </w:r>
      <w:r>
        <w:t xml:space="preserve">.  We seek comment on this proposal and on any alternative </w:t>
      </w:r>
      <w:r w:rsidR="00AB4340">
        <w:t xml:space="preserve">commencement and </w:t>
      </w:r>
      <w:r>
        <w:t xml:space="preserve">expiration dates we should consider.     </w:t>
      </w:r>
    </w:p>
    <w:p w:rsidR="00C15818" w:rsidRDefault="00C15818" w:rsidP="00C15818">
      <w:pPr>
        <w:pStyle w:val="Heading4"/>
      </w:pPr>
      <w:bookmarkStart w:id="81" w:name="_Toc393265907"/>
      <w:r>
        <w:t>Processing Priority</w:t>
      </w:r>
      <w:bookmarkEnd w:id="81"/>
    </w:p>
    <w:p w:rsidR="00500A59" w:rsidRDefault="00D628CB" w:rsidP="002F646E">
      <w:pPr>
        <w:pStyle w:val="ParaNum"/>
        <w:widowControl/>
      </w:pPr>
      <w:r>
        <w:t>We propose to afford applications for new digital-to-digital replacement translators co-equal processing priority with displacement applications for existing DRTs that are displaced as a result of the auction and repacking process.</w:t>
      </w:r>
      <w:r w:rsidR="00500A59">
        <w:t xml:space="preserve">   </w:t>
      </w:r>
      <w:r>
        <w:t xml:space="preserve">We propose co-equal processing treatment of these two types of applications to meet two goals.  First, we seek </w:t>
      </w:r>
      <w:r w:rsidR="004F3C31" w:rsidRPr="004F3C31">
        <w:t xml:space="preserve">to assist </w:t>
      </w:r>
      <w:r>
        <w:t xml:space="preserve">those </w:t>
      </w:r>
      <w:r w:rsidR="004F3C31" w:rsidRPr="004F3C31">
        <w:t>full</w:t>
      </w:r>
      <w:r w:rsidR="004F3C31">
        <w:t xml:space="preserve"> power</w:t>
      </w:r>
      <w:r w:rsidR="004F3C31" w:rsidRPr="004F3C31">
        <w:t xml:space="preserve"> stations</w:t>
      </w:r>
      <w:r w:rsidR="004F3C31">
        <w:t xml:space="preserve"> </w:t>
      </w:r>
      <w:r>
        <w:t xml:space="preserve">that need a new </w:t>
      </w:r>
      <w:r w:rsidR="00810598">
        <w:t xml:space="preserve">digital-to-digital replacement translator </w:t>
      </w:r>
      <w:r>
        <w:t xml:space="preserve">to quickly obtain an authorization </w:t>
      </w:r>
      <w:r w:rsidR="009F6FDA">
        <w:t xml:space="preserve">and </w:t>
      </w:r>
      <w:r w:rsidR="00753E2D">
        <w:t xml:space="preserve">schedule construction to coincide with the completion of their </w:t>
      </w:r>
      <w:r>
        <w:t>repacked</w:t>
      </w:r>
      <w:r w:rsidR="00753E2D">
        <w:t xml:space="preserve"> facilities</w:t>
      </w:r>
      <w:r>
        <w:t>.  We also r</w:t>
      </w:r>
      <w:r w:rsidR="009F6FDA">
        <w:t>ecognize that full power stations with existing DRTs that are displaced by the repacking process</w:t>
      </w:r>
      <w:r w:rsidR="00810598">
        <w:t xml:space="preserve"> </w:t>
      </w:r>
      <w:r w:rsidR="009F6FDA">
        <w:t xml:space="preserve">will need to construct on their new channel to </w:t>
      </w:r>
      <w:r w:rsidR="00815613" w:rsidRPr="00815613">
        <w:t>help preserve the</w:t>
      </w:r>
      <w:r w:rsidR="00815613">
        <w:t>ir</w:t>
      </w:r>
      <w:r w:rsidR="00815613" w:rsidRPr="00815613">
        <w:t xml:space="preserve"> existing service</w:t>
      </w:r>
      <w:r w:rsidR="009F6FDA">
        <w:t>.</w:t>
      </w:r>
      <w:r w:rsidR="009416DA">
        <w:rPr>
          <w:rStyle w:val="FootnoteReference"/>
        </w:rPr>
        <w:footnoteReference w:id="88"/>
      </w:r>
      <w:r w:rsidR="009F6FDA">
        <w:t xml:space="preserve">  Therefore, </w:t>
      </w:r>
      <w:r w:rsidR="00EF1C7D">
        <w:t xml:space="preserve">to balance these two goals, </w:t>
      </w:r>
      <w:r w:rsidR="009F6FDA">
        <w:t>w</w:t>
      </w:r>
      <w:r w:rsidR="009F6FDA" w:rsidRPr="009F6FDA">
        <w:t xml:space="preserve">e propose that applications for </w:t>
      </w:r>
      <w:r w:rsidR="009F6FDA">
        <w:t xml:space="preserve">new </w:t>
      </w:r>
      <w:r w:rsidR="009F6FDA" w:rsidRPr="009F6FDA">
        <w:t xml:space="preserve">digital-to-digital replacement translators be afforded a </w:t>
      </w:r>
      <w:r>
        <w:t xml:space="preserve">co–equal </w:t>
      </w:r>
      <w:r w:rsidR="009F6FDA" w:rsidRPr="009F6FDA">
        <w:t xml:space="preserve">processing priority with displacement applications for </w:t>
      </w:r>
      <w:r w:rsidR="009F6FDA">
        <w:t>existing DRTs</w:t>
      </w:r>
      <w:r w:rsidR="009F6FDA" w:rsidRPr="009F6FDA">
        <w:t xml:space="preserve"> in cases of mutual exclusivity.</w:t>
      </w:r>
    </w:p>
    <w:p w:rsidR="00D05F8A" w:rsidRPr="007F4D8F" w:rsidRDefault="00500A59" w:rsidP="00891E42">
      <w:pPr>
        <w:pStyle w:val="ParaNum"/>
        <w:widowControl/>
      </w:pPr>
      <w:r w:rsidRPr="00500A59">
        <w:t xml:space="preserve">In the </w:t>
      </w:r>
      <w:r w:rsidRPr="004F5D7A">
        <w:rPr>
          <w:i/>
        </w:rPr>
        <w:t>Incentive Auction Report and Order</w:t>
      </w:r>
      <w:r w:rsidRPr="00500A59">
        <w:t>, we adopted a processing priority for displacement applications filed by full power television stations seeking to replace a displaced DRT.</w:t>
      </w:r>
      <w:r w:rsidR="00EF1C7D">
        <w:rPr>
          <w:rStyle w:val="FootnoteReference"/>
        </w:rPr>
        <w:footnoteReference w:id="89"/>
      </w:r>
      <w:r w:rsidRPr="00500A59">
        <w:t xml:space="preserve"> </w:t>
      </w:r>
      <w:r>
        <w:t xml:space="preserve"> </w:t>
      </w:r>
      <w:r w:rsidR="00EF1C7D">
        <w:t>Therefore, p</w:t>
      </w:r>
      <w:r>
        <w:t xml:space="preserve">ursuant to our proposal, </w:t>
      </w:r>
      <w:r w:rsidR="00EF1C7D">
        <w:t xml:space="preserve">both applications for new digital-to-digital replacement translators and displacement applications for existing DRTs </w:t>
      </w:r>
      <w:r>
        <w:t xml:space="preserve">would have processing priority over all other LPTV and TV translator applications including new, minor change and displacement applications.  </w:t>
      </w:r>
      <w:r w:rsidR="005C497A">
        <w:t xml:space="preserve">Under </w:t>
      </w:r>
      <w:r w:rsidR="00EF1C7D">
        <w:t>our</w:t>
      </w:r>
      <w:r w:rsidR="005C497A">
        <w:t xml:space="preserve"> approach</w:t>
      </w:r>
      <w:r w:rsidR="00810598">
        <w:t>,</w:t>
      </w:r>
      <w:r>
        <w:t xml:space="preserve"> </w:t>
      </w:r>
      <w:r w:rsidR="00631905">
        <w:t xml:space="preserve">we propose beginning to accept applications for </w:t>
      </w:r>
      <w:r w:rsidR="009F6FDA">
        <w:t xml:space="preserve">new </w:t>
      </w:r>
      <w:r w:rsidR="00631905">
        <w:t xml:space="preserve">digital-to-digital replacement translators </w:t>
      </w:r>
      <w:r w:rsidR="00631905" w:rsidRPr="00631905">
        <w:t>commencing with the opening of the post-auction LPTV and TV translator displacement window</w:t>
      </w:r>
      <w:r w:rsidR="00631905">
        <w:t xml:space="preserve">.  All applications for </w:t>
      </w:r>
      <w:r w:rsidR="009F6FDA">
        <w:t xml:space="preserve">new </w:t>
      </w:r>
      <w:r w:rsidR="00631905">
        <w:t xml:space="preserve">digital-to-digital replacement translators and displacement applications for </w:t>
      </w:r>
      <w:r w:rsidR="009F6FDA">
        <w:t xml:space="preserve">existing DRTs </w:t>
      </w:r>
      <w:r w:rsidR="00631905">
        <w:t>filed during th</w:t>
      </w:r>
      <w:r w:rsidR="009F6FDA">
        <w:t>e</w:t>
      </w:r>
      <w:r w:rsidR="00631905">
        <w:t xml:space="preserve"> post-auction displacement window would be considered filed on the last</w:t>
      </w:r>
      <w:r w:rsidR="004D6CF5">
        <w:t xml:space="preserve"> </w:t>
      </w:r>
      <w:r w:rsidR="00631905">
        <w:t>day of the window</w:t>
      </w:r>
      <w:r w:rsidR="00457DA0">
        <w:t>, would</w:t>
      </w:r>
      <w:r w:rsidR="004D6CF5">
        <w:t xml:space="preserve"> have priority over all </w:t>
      </w:r>
      <w:r w:rsidR="009F6FDA">
        <w:t xml:space="preserve">other </w:t>
      </w:r>
      <w:r w:rsidR="004D6CF5">
        <w:t xml:space="preserve">displacement applications filed during the window by LPTV and TV translator stations, and </w:t>
      </w:r>
      <w:r w:rsidR="00457DA0">
        <w:t>would</w:t>
      </w:r>
      <w:r w:rsidR="004D6CF5">
        <w:t xml:space="preserve"> be </w:t>
      </w:r>
      <w:r w:rsidR="00631905">
        <w:t>considered co-equal if mutually exclusive.</w:t>
      </w:r>
      <w:r w:rsidR="004D6CF5">
        <w:t xml:space="preserve">  Following the close of the displacement window, applications for </w:t>
      </w:r>
      <w:r w:rsidR="009F6FDA">
        <w:t xml:space="preserve">new </w:t>
      </w:r>
      <w:r w:rsidR="004D6CF5">
        <w:t>digital-to-digi</w:t>
      </w:r>
      <w:r w:rsidR="00457DA0">
        <w:t>tal replacement translators would</w:t>
      </w:r>
      <w:r w:rsidR="004D6CF5">
        <w:t xml:space="preserve"> be accepted on a first-come, first-served basis, w</w:t>
      </w:r>
      <w:r w:rsidR="00457DA0">
        <w:t xml:space="preserve">ould </w:t>
      </w:r>
      <w:r w:rsidR="004D6CF5">
        <w:t xml:space="preserve">continue to have priority over all LPTV and TV translator new, minor change or displacement applications, even if </w:t>
      </w:r>
      <w:r w:rsidR="00872A12">
        <w:t>first</w:t>
      </w:r>
      <w:r w:rsidR="004D6CF5">
        <w:t xml:space="preserve">-filed, and co-equal priority with applications for displacement applications for </w:t>
      </w:r>
      <w:r w:rsidR="00872A12">
        <w:t>existing DRTs</w:t>
      </w:r>
      <w:r w:rsidR="004D6CF5">
        <w:t xml:space="preserve"> filed on the same day. </w:t>
      </w:r>
      <w:r w:rsidR="004F3C31">
        <w:t>We seek comment on these proposals</w:t>
      </w:r>
      <w:r w:rsidR="00B6313E">
        <w:t xml:space="preserve"> and request input on any alternative approaches we should consider</w:t>
      </w:r>
      <w:r w:rsidR="004F3C31">
        <w:t>.</w:t>
      </w:r>
      <w:r w:rsidR="008437DB">
        <w:t xml:space="preserve"> </w:t>
      </w:r>
      <w:r w:rsidR="00D05F8A">
        <w:t xml:space="preserve"> </w:t>
      </w:r>
    </w:p>
    <w:p w:rsidR="003B1608" w:rsidRDefault="00FA3479" w:rsidP="00D01DA5">
      <w:pPr>
        <w:pStyle w:val="Heading4"/>
      </w:pPr>
      <w:bookmarkStart w:id="82" w:name="_Toc393265909"/>
      <w:r>
        <w:t>Licensing and Operating Rules</w:t>
      </w:r>
      <w:bookmarkEnd w:id="82"/>
    </w:p>
    <w:p w:rsidR="00072F79" w:rsidRDefault="00072F79" w:rsidP="00AF2E19">
      <w:pPr>
        <w:pStyle w:val="ParaNum"/>
      </w:pPr>
      <w:r w:rsidRPr="00072F79">
        <w:t xml:space="preserve">We </w:t>
      </w:r>
      <w:r>
        <w:t xml:space="preserve">seek comment on </w:t>
      </w:r>
      <w:r w:rsidRPr="00072F79">
        <w:t xml:space="preserve">a number of </w:t>
      </w:r>
      <w:r w:rsidR="005A47E8">
        <w:t xml:space="preserve">proposed </w:t>
      </w:r>
      <w:r>
        <w:t xml:space="preserve">licensing and </w:t>
      </w:r>
      <w:r w:rsidRPr="00072F79">
        <w:t xml:space="preserve">operating rules </w:t>
      </w:r>
      <w:r>
        <w:t>for digital-to-digital replacement translators</w:t>
      </w:r>
      <w:r w:rsidR="00237323">
        <w:t xml:space="preserve"> </w:t>
      </w:r>
      <w:r w:rsidR="006D47F0">
        <w:t xml:space="preserve">analogous </w:t>
      </w:r>
      <w:r>
        <w:t xml:space="preserve">to those </w:t>
      </w:r>
      <w:r w:rsidR="00237323">
        <w:t>the Commission</w:t>
      </w:r>
      <w:r>
        <w:t xml:space="preserve"> adopted for </w:t>
      </w:r>
      <w:r w:rsidR="003E3984">
        <w:t xml:space="preserve">DRTs </w:t>
      </w:r>
      <w:r>
        <w:t>in 2009.</w:t>
      </w:r>
      <w:r w:rsidR="003F5D0B">
        <w:t xml:space="preserve">  </w:t>
      </w:r>
      <w:r w:rsidR="006D47F0">
        <w:t xml:space="preserve">Although we tentatively conclude that the same rules would be appropriate, we welcome input regarding why a different approach </w:t>
      </w:r>
      <w:r w:rsidR="00237323">
        <w:t>might</w:t>
      </w:r>
      <w:r w:rsidR="00A42A6D">
        <w:t xml:space="preserve"> be preferable</w:t>
      </w:r>
      <w:r w:rsidR="006D47F0">
        <w:t xml:space="preserve"> in this context and any alternative proposals. </w:t>
      </w:r>
    </w:p>
    <w:p w:rsidR="00E515B7" w:rsidRDefault="00072F79" w:rsidP="00913F0B">
      <w:pPr>
        <w:pStyle w:val="ParaNum"/>
      </w:pPr>
      <w:r>
        <w:rPr>
          <w:i/>
        </w:rPr>
        <w:t>Associat</w:t>
      </w:r>
      <w:r w:rsidR="005A47E8">
        <w:rPr>
          <w:i/>
        </w:rPr>
        <w:t>ion</w:t>
      </w:r>
      <w:r>
        <w:rPr>
          <w:i/>
        </w:rPr>
        <w:t xml:space="preserve"> </w:t>
      </w:r>
      <w:r w:rsidR="005318F2">
        <w:rPr>
          <w:i/>
        </w:rPr>
        <w:t>w</w:t>
      </w:r>
      <w:r>
        <w:rPr>
          <w:i/>
        </w:rPr>
        <w:t xml:space="preserve">ith Main Station </w:t>
      </w:r>
      <w:r w:rsidRPr="00F649E9">
        <w:rPr>
          <w:i/>
        </w:rPr>
        <w:t>License</w:t>
      </w:r>
      <w:r>
        <w:t xml:space="preserve">.  </w:t>
      </w:r>
      <w:r w:rsidR="005A47E8">
        <w:t xml:space="preserve">Under our current rules, </w:t>
      </w:r>
      <w:r w:rsidR="003E3984">
        <w:t xml:space="preserve">DRTs </w:t>
      </w:r>
      <w:r w:rsidR="005A47E8">
        <w:t xml:space="preserve">must be </w:t>
      </w:r>
      <w:r>
        <w:t xml:space="preserve">associated with the </w:t>
      </w:r>
      <w:r w:rsidR="00AF2E19">
        <w:t>full power television</w:t>
      </w:r>
      <w:r w:rsidR="00AF2E19" w:rsidRPr="003E4148">
        <w:t xml:space="preserve"> station’s main license.</w:t>
      </w:r>
      <w:r w:rsidR="00AF2E19" w:rsidRPr="003E4148">
        <w:rPr>
          <w:vertAlign w:val="superscript"/>
        </w:rPr>
        <w:footnoteReference w:id="90"/>
      </w:r>
      <w:r>
        <w:t xml:space="preserve">  We propose a similar licensing approach for digital-to-digital replacement translators.  </w:t>
      </w:r>
      <w:r w:rsidR="00AF2E19">
        <w:t xml:space="preserve">Under this approach, </w:t>
      </w:r>
      <w:r w:rsidR="00AF2E19" w:rsidRPr="003E4148">
        <w:t xml:space="preserve">the </w:t>
      </w:r>
      <w:r w:rsidR="00AF2E19">
        <w:t xml:space="preserve">digital-to-digital replacement translator license could </w:t>
      </w:r>
      <w:r w:rsidR="00AF2E19" w:rsidRPr="003E4148">
        <w:t xml:space="preserve">not be separately assigned or transferred </w:t>
      </w:r>
      <w:r w:rsidR="00AF2E19">
        <w:t xml:space="preserve">and would </w:t>
      </w:r>
      <w:r w:rsidR="00AF2E19" w:rsidRPr="003E4148">
        <w:t>be renewed</w:t>
      </w:r>
      <w:r w:rsidR="005A47E8">
        <w:t>, transferred</w:t>
      </w:r>
      <w:r w:rsidR="00A42A6D">
        <w:t>,</w:t>
      </w:r>
      <w:r w:rsidR="00AF2E19" w:rsidRPr="003E4148">
        <w:t xml:space="preserve"> or assi</w:t>
      </w:r>
      <w:r w:rsidR="00AF2E19">
        <w:t xml:space="preserve">gned along with the </w:t>
      </w:r>
      <w:r w:rsidR="00AF2E19" w:rsidRPr="003E4148">
        <w:t xml:space="preserve">main license.  We believe that </w:t>
      </w:r>
      <w:r w:rsidR="00913F0B">
        <w:t>these</w:t>
      </w:r>
      <w:r w:rsidR="00AF2E19" w:rsidRPr="003E4148">
        <w:t xml:space="preserve"> </w:t>
      </w:r>
      <w:r>
        <w:t>limitation</w:t>
      </w:r>
      <w:r w:rsidR="00913F0B">
        <w:t>s</w:t>
      </w:r>
      <w:r w:rsidR="00AF2E19" w:rsidRPr="003E4148">
        <w:t xml:space="preserve"> </w:t>
      </w:r>
      <w:r w:rsidR="00913F0B">
        <w:t>are</w:t>
      </w:r>
      <w:r w:rsidR="00913F0B" w:rsidRPr="003E4148">
        <w:t xml:space="preserve"> </w:t>
      </w:r>
      <w:r w:rsidR="00AF2E19" w:rsidRPr="003E4148">
        <w:t xml:space="preserve">necessary to ensure that </w:t>
      </w:r>
      <w:r w:rsidR="003D788C">
        <w:t xml:space="preserve">digital-to-digital </w:t>
      </w:r>
      <w:r w:rsidR="00AF2E19" w:rsidRPr="003E4148">
        <w:t>replacement translator</w:t>
      </w:r>
      <w:r w:rsidR="00237323">
        <w:t xml:space="preserve"> license</w:t>
      </w:r>
      <w:r w:rsidR="007A77E5">
        <w:t>s</w:t>
      </w:r>
      <w:r w:rsidR="00AF2E19" w:rsidRPr="003E4148">
        <w:t xml:space="preserve"> </w:t>
      </w:r>
      <w:r w:rsidR="00237323">
        <w:t>are used</w:t>
      </w:r>
      <w:r w:rsidR="00913F0B">
        <w:t xml:space="preserve"> only</w:t>
      </w:r>
      <w:r w:rsidR="00913F0B" w:rsidRPr="003E4148">
        <w:t xml:space="preserve"> </w:t>
      </w:r>
      <w:r w:rsidR="00AF2E19" w:rsidRPr="003E4148">
        <w:t xml:space="preserve">to restore service to a loss area </w:t>
      </w:r>
      <w:r w:rsidR="00237323">
        <w:t xml:space="preserve">as a result of the </w:t>
      </w:r>
      <w:r w:rsidR="00457DA0">
        <w:t xml:space="preserve">incentive auction and </w:t>
      </w:r>
      <w:r w:rsidR="00237323">
        <w:t>repacking process</w:t>
      </w:r>
      <w:r w:rsidR="00AF2E19" w:rsidRPr="003E4148">
        <w:t xml:space="preserve">.  </w:t>
      </w:r>
      <w:r w:rsidR="003D788C">
        <w:t xml:space="preserve">We also believe that this measure will </w:t>
      </w:r>
      <w:r w:rsidR="00AF2E19" w:rsidRPr="003E4148">
        <w:t>prevent a replacement translator from being converted to an LPTV station.</w:t>
      </w:r>
      <w:r w:rsidR="003D788C" w:rsidRPr="003D788C">
        <w:rPr>
          <w:vertAlign w:val="superscript"/>
        </w:rPr>
        <w:t xml:space="preserve">  </w:t>
      </w:r>
      <w:r w:rsidR="00913F0B">
        <w:t xml:space="preserve"> </w:t>
      </w:r>
      <w:r w:rsidR="00757B3C">
        <w:t xml:space="preserve">Similar to the </w:t>
      </w:r>
      <w:r w:rsidR="008E0972">
        <w:t>current approach</w:t>
      </w:r>
      <w:r w:rsidR="00757B3C">
        <w:t>,</w:t>
      </w:r>
      <w:r w:rsidR="00757B3C">
        <w:rPr>
          <w:rStyle w:val="FootnoteReference"/>
        </w:rPr>
        <w:footnoteReference w:id="91"/>
      </w:r>
      <w:r w:rsidR="00757B3C">
        <w:t xml:space="preserve"> </w:t>
      </w:r>
      <w:r w:rsidR="00AF2E19" w:rsidRPr="003E4148">
        <w:t xml:space="preserve">we </w:t>
      </w:r>
      <w:r w:rsidR="007A77E5">
        <w:t xml:space="preserve">also </w:t>
      </w:r>
      <w:r w:rsidR="003D788C">
        <w:t xml:space="preserve">propose that </w:t>
      </w:r>
      <w:r w:rsidR="00AF2E19" w:rsidRPr="003E4148">
        <w:t xml:space="preserve">applications for </w:t>
      </w:r>
      <w:r w:rsidR="00757B3C">
        <w:t xml:space="preserve">digital-to-digital </w:t>
      </w:r>
      <w:r w:rsidR="003D788C">
        <w:t xml:space="preserve">replacement translators be filed on FCC Form 346, </w:t>
      </w:r>
      <w:r w:rsidR="00AF2E19" w:rsidRPr="003E4148">
        <w:t>be treated as minor change application</w:t>
      </w:r>
      <w:r w:rsidR="007A77E5">
        <w:t>s</w:t>
      </w:r>
      <w:r w:rsidR="00AF2E19" w:rsidRPr="003E4148">
        <w:t xml:space="preserve">, and </w:t>
      </w:r>
      <w:r w:rsidR="007A77E5">
        <w:t>be exempt from</w:t>
      </w:r>
      <w:r w:rsidR="003D788C">
        <w:t xml:space="preserve"> </w:t>
      </w:r>
      <w:r w:rsidR="00757B3C">
        <w:t xml:space="preserve">filing </w:t>
      </w:r>
      <w:r w:rsidR="003D788C">
        <w:t>fee</w:t>
      </w:r>
      <w:r w:rsidR="007A77E5">
        <w:t>s</w:t>
      </w:r>
      <w:r w:rsidR="00AF2E19" w:rsidRPr="003E4148">
        <w:t>.</w:t>
      </w:r>
      <w:r w:rsidR="003D788C">
        <w:t xml:space="preserve">  </w:t>
      </w:r>
    </w:p>
    <w:p w:rsidR="00010463" w:rsidRDefault="00757B3C" w:rsidP="00973D8C">
      <w:pPr>
        <w:pStyle w:val="ParaNum"/>
      </w:pPr>
      <w:r w:rsidRPr="00720071">
        <w:rPr>
          <w:i/>
        </w:rPr>
        <w:t xml:space="preserve">Secondary Frequency Use </w:t>
      </w:r>
      <w:r w:rsidRPr="00F649E9">
        <w:rPr>
          <w:i/>
        </w:rPr>
        <w:t>Status</w:t>
      </w:r>
      <w:r>
        <w:t xml:space="preserve">.  </w:t>
      </w:r>
      <w:r w:rsidR="008E0972">
        <w:t>W</w:t>
      </w:r>
      <w:r w:rsidR="002A0272">
        <w:t xml:space="preserve">e </w:t>
      </w:r>
      <w:r>
        <w:t xml:space="preserve">propose </w:t>
      </w:r>
      <w:r w:rsidR="003E4148" w:rsidRPr="003E4148">
        <w:t xml:space="preserve">that </w:t>
      </w:r>
      <w:r w:rsidR="002A0272">
        <w:t xml:space="preserve">digital-to-digital replacement </w:t>
      </w:r>
      <w:r w:rsidR="003E4148" w:rsidRPr="003E4148">
        <w:t>translator stations be licensed with “secondary” frequency use status.</w:t>
      </w:r>
      <w:r w:rsidR="002A0272">
        <w:rPr>
          <w:rStyle w:val="FootnoteReference"/>
        </w:rPr>
        <w:footnoteReference w:id="92"/>
      </w:r>
      <w:r w:rsidR="003E4148" w:rsidRPr="003E4148">
        <w:t xml:space="preserve">  </w:t>
      </w:r>
      <w:r>
        <w:t>Under this approach, t</w:t>
      </w:r>
      <w:r w:rsidR="003E4148" w:rsidRPr="003E4148">
        <w:t xml:space="preserve">hese </w:t>
      </w:r>
      <w:r w:rsidR="003F5D0B">
        <w:t>translators</w:t>
      </w:r>
      <w:r w:rsidR="003F5D0B" w:rsidRPr="003E4148">
        <w:t xml:space="preserve"> </w:t>
      </w:r>
      <w:r w:rsidR="003E4148" w:rsidRPr="003E4148">
        <w:t>w</w:t>
      </w:r>
      <w:r>
        <w:t>ould</w:t>
      </w:r>
      <w:r w:rsidR="003E4148" w:rsidRPr="003E4148">
        <w:t xml:space="preserve"> not be permitted to cause interference to, and must accept interference from, full</w:t>
      </w:r>
      <w:r w:rsidR="002A0272">
        <w:t xml:space="preserve"> power </w:t>
      </w:r>
      <w:r w:rsidR="003E4148" w:rsidRPr="003E4148">
        <w:t>television stations, certain land mobile radio operatio</w:t>
      </w:r>
      <w:r w:rsidR="002A0272">
        <w:t>ns</w:t>
      </w:r>
      <w:r w:rsidR="00A42A6D">
        <w:t>,</w:t>
      </w:r>
      <w:r w:rsidR="002A0272">
        <w:t xml:space="preserve"> and other primary services</w:t>
      </w:r>
      <w:r w:rsidR="00737654">
        <w:t>,</w:t>
      </w:r>
      <w:r w:rsidR="002A0272">
        <w:t xml:space="preserve"> and would be </w:t>
      </w:r>
      <w:r w:rsidR="003E4148" w:rsidRPr="003E4148">
        <w:t>subject to the interference protections to land mobile station operations in the 470- 512 MHz band set forth in the rules.</w:t>
      </w:r>
      <w:r w:rsidR="003E4148" w:rsidRPr="003E4148">
        <w:rPr>
          <w:vertAlign w:val="superscript"/>
        </w:rPr>
        <w:footnoteReference w:id="93"/>
      </w:r>
      <w:r w:rsidR="002A0272">
        <w:t xml:space="preserve">  </w:t>
      </w:r>
    </w:p>
    <w:p w:rsidR="00C15818" w:rsidRDefault="00973D8C" w:rsidP="002F646E">
      <w:pPr>
        <w:pStyle w:val="ParaNum"/>
        <w:widowControl/>
      </w:pPr>
      <w:r w:rsidRPr="00720071">
        <w:rPr>
          <w:i/>
        </w:rPr>
        <w:t xml:space="preserve">Application of Other </w:t>
      </w:r>
      <w:r w:rsidR="00BB2B4F">
        <w:rPr>
          <w:i/>
        </w:rPr>
        <w:t xml:space="preserve">TV </w:t>
      </w:r>
      <w:r w:rsidRPr="00720071">
        <w:rPr>
          <w:i/>
        </w:rPr>
        <w:t>Translator Rules</w:t>
      </w:r>
      <w:r w:rsidRPr="00973D8C">
        <w:t xml:space="preserve">.  </w:t>
      </w:r>
      <w:r w:rsidR="00757B3C">
        <w:t>I</w:t>
      </w:r>
      <w:r w:rsidR="003E4148" w:rsidRPr="003E4148">
        <w:t xml:space="preserve">n order to facilitate </w:t>
      </w:r>
      <w:r w:rsidR="003F5D0B">
        <w:t xml:space="preserve">the </w:t>
      </w:r>
      <w:r w:rsidR="00757B3C">
        <w:t xml:space="preserve">ability </w:t>
      </w:r>
      <w:r w:rsidR="003F5D0B">
        <w:t xml:space="preserve">of </w:t>
      </w:r>
      <w:r w:rsidR="00757B3C">
        <w:t>stations to apply for and licens</w:t>
      </w:r>
      <w:r w:rsidR="005318F2">
        <w:t>e</w:t>
      </w:r>
      <w:r w:rsidR="00757B3C">
        <w:t xml:space="preserve"> </w:t>
      </w:r>
      <w:r w:rsidR="002A0272">
        <w:t xml:space="preserve">digital-to-digital </w:t>
      </w:r>
      <w:r w:rsidR="003E4148" w:rsidRPr="003E4148">
        <w:t>replacement translators, except as specified herein,</w:t>
      </w:r>
      <w:r w:rsidR="003E4148" w:rsidRPr="003E4148">
        <w:rPr>
          <w:vertAlign w:val="superscript"/>
        </w:rPr>
        <w:footnoteReference w:id="94"/>
      </w:r>
      <w:r w:rsidR="003E4148" w:rsidRPr="003E4148">
        <w:t xml:space="preserve"> we </w:t>
      </w:r>
      <w:r w:rsidR="00757B3C">
        <w:t xml:space="preserve">propose </w:t>
      </w:r>
      <w:r w:rsidR="00A42A6D">
        <w:t xml:space="preserve">to </w:t>
      </w:r>
      <w:r w:rsidR="003E4148" w:rsidRPr="003E4148">
        <w:t xml:space="preserve">apply the </w:t>
      </w:r>
      <w:r w:rsidR="003F5D0B">
        <w:t xml:space="preserve">existing </w:t>
      </w:r>
      <w:r w:rsidR="003E4148" w:rsidRPr="003E4148">
        <w:t xml:space="preserve">rules associated with television translator stations to </w:t>
      </w:r>
      <w:r w:rsidR="00757B3C">
        <w:t>digital-to-digital</w:t>
      </w:r>
      <w:r w:rsidR="002A0272">
        <w:t xml:space="preserve"> replacement </w:t>
      </w:r>
      <w:r w:rsidR="003E4148" w:rsidRPr="003E4148">
        <w:t>translator</w:t>
      </w:r>
      <w:r w:rsidR="002A0272">
        <w:t>s</w:t>
      </w:r>
      <w:r w:rsidR="003E4148" w:rsidRPr="003E4148">
        <w:t>, including the rules concerning power limits,</w:t>
      </w:r>
      <w:r w:rsidR="003E4148" w:rsidRPr="003E4148">
        <w:rPr>
          <w:vertAlign w:val="superscript"/>
        </w:rPr>
        <w:footnoteReference w:id="95"/>
      </w:r>
      <w:r w:rsidR="003E4148" w:rsidRPr="003E4148">
        <w:t xml:space="preserve"> out-of-channel emission limits,</w:t>
      </w:r>
      <w:r w:rsidR="003E4148" w:rsidRPr="003E4148">
        <w:rPr>
          <w:vertAlign w:val="superscript"/>
        </w:rPr>
        <w:footnoteReference w:id="96"/>
      </w:r>
      <w:r w:rsidR="003E4148" w:rsidRPr="003E4148">
        <w:t xml:space="preserve"> unattended operation,</w:t>
      </w:r>
      <w:r w:rsidR="003E4148" w:rsidRPr="003E4148">
        <w:rPr>
          <w:vertAlign w:val="superscript"/>
        </w:rPr>
        <w:footnoteReference w:id="97"/>
      </w:r>
      <w:r w:rsidR="003E4148" w:rsidRPr="003E4148">
        <w:t xml:space="preserve"> time of operation</w:t>
      </w:r>
      <w:r w:rsidR="00092CFA">
        <w:t>,</w:t>
      </w:r>
      <w:r w:rsidR="00872A12" w:rsidRPr="003E4148">
        <w:rPr>
          <w:vertAlign w:val="superscript"/>
        </w:rPr>
        <w:footnoteReference w:id="98"/>
      </w:r>
      <w:r w:rsidR="00872A12">
        <w:t xml:space="preserve"> and resolution of mutual exclusivity</w:t>
      </w:r>
      <w:r w:rsidR="003E4148" w:rsidRPr="003E4148">
        <w:t>.</w:t>
      </w:r>
      <w:r w:rsidR="003E4148" w:rsidRPr="003E4148">
        <w:rPr>
          <w:vertAlign w:val="superscript"/>
        </w:rPr>
        <w:footnoteReference w:id="99"/>
      </w:r>
      <w:r w:rsidR="002A0272">
        <w:rPr>
          <w:snapToGrid/>
          <w:kern w:val="0"/>
          <w:szCs w:val="22"/>
        </w:rPr>
        <w:t xml:space="preserve"> </w:t>
      </w:r>
      <w:r w:rsidR="003E4148" w:rsidRPr="002A0272">
        <w:rPr>
          <w:rFonts w:ascii="Arial" w:hAnsi="Arial" w:cs="Arial"/>
          <w:snapToGrid/>
          <w:kern w:val="0"/>
          <w:sz w:val="20"/>
        </w:rPr>
        <w:t xml:space="preserve">  </w:t>
      </w:r>
    </w:p>
    <w:p w:rsidR="003F5D0B" w:rsidRDefault="00757B3C" w:rsidP="003F5D0B">
      <w:pPr>
        <w:pStyle w:val="ParaNum"/>
      </w:pPr>
      <w:r w:rsidRPr="00757B3C">
        <w:rPr>
          <w:i/>
        </w:rPr>
        <w:t>Call Signs</w:t>
      </w:r>
      <w:r>
        <w:t xml:space="preserve">.  </w:t>
      </w:r>
      <w:r w:rsidR="00191FD3" w:rsidRPr="00757B3C">
        <w:t>We</w:t>
      </w:r>
      <w:r w:rsidR="00191FD3">
        <w:t xml:space="preserve"> </w:t>
      </w:r>
      <w:r w:rsidR="004D6FAA">
        <w:t xml:space="preserve">propose </w:t>
      </w:r>
      <w:r w:rsidR="00A42A6D">
        <w:t xml:space="preserve">to </w:t>
      </w:r>
      <w:r w:rsidR="004D6FAA">
        <w:t xml:space="preserve">assign </w:t>
      </w:r>
      <w:r w:rsidR="00191FD3">
        <w:t>digital-to-digital replacement translators the same call sign as their associated full power television station.  The Commission</w:t>
      </w:r>
      <w:r w:rsidR="008E0972">
        <w:t xml:space="preserve"> previously</w:t>
      </w:r>
      <w:r w:rsidR="00191FD3">
        <w:t xml:space="preserve"> </w:t>
      </w:r>
      <w:r w:rsidR="003F5D0B">
        <w:t>conclu</w:t>
      </w:r>
      <w:r w:rsidR="008E0972">
        <w:t>ded</w:t>
      </w:r>
      <w:r w:rsidR="003F5D0B">
        <w:t xml:space="preserve"> </w:t>
      </w:r>
      <w:r w:rsidR="00191FD3">
        <w:t>that “</w:t>
      </w:r>
      <w:r w:rsidR="00C15818" w:rsidRPr="00C15818">
        <w:t>use of a unique call sign for replacement translators serves little or no purpose and will only cause confusion</w:t>
      </w:r>
      <w:r w:rsidR="005318F2">
        <w:t>,</w:t>
      </w:r>
      <w:r w:rsidR="006821A3">
        <w:t>”</w:t>
      </w:r>
      <w:r w:rsidR="00191FD3">
        <w:t xml:space="preserve"> would be more costly to stations</w:t>
      </w:r>
      <w:r w:rsidR="00A42A6D">
        <w:t>,</w:t>
      </w:r>
      <w:r w:rsidR="00191FD3">
        <w:t xml:space="preserve"> and could cause technical problems.</w:t>
      </w:r>
      <w:r w:rsidR="005318F2" w:rsidRPr="00C15818">
        <w:rPr>
          <w:vertAlign w:val="superscript"/>
        </w:rPr>
        <w:footnoteReference w:id="100"/>
      </w:r>
      <w:r w:rsidR="005318F2">
        <w:t xml:space="preserve">  </w:t>
      </w:r>
      <w:r w:rsidR="004D6FAA">
        <w:t>F</w:t>
      </w:r>
      <w:r w:rsidR="00191FD3">
        <w:t xml:space="preserve">or the same reasons, we </w:t>
      </w:r>
      <w:r w:rsidR="004D6FAA">
        <w:t xml:space="preserve">believe that </w:t>
      </w:r>
      <w:r w:rsidR="00191FD3">
        <w:t xml:space="preserve">use of a unique call sign </w:t>
      </w:r>
      <w:r w:rsidR="004D6FAA">
        <w:t xml:space="preserve">for digital-to-digital replacement translators </w:t>
      </w:r>
      <w:r w:rsidR="00191FD3">
        <w:t xml:space="preserve">is not appropriate.  </w:t>
      </w:r>
    </w:p>
    <w:p w:rsidR="009D0719" w:rsidRDefault="004D6FAA" w:rsidP="008437DB">
      <w:pPr>
        <w:pStyle w:val="ParaNum"/>
      </w:pPr>
      <w:r w:rsidRPr="004D6FAA">
        <w:rPr>
          <w:i/>
        </w:rPr>
        <w:t>Construction Period</w:t>
      </w:r>
      <w:r>
        <w:t>.  W</w:t>
      </w:r>
      <w:r w:rsidR="006821A3">
        <w:t xml:space="preserve">e </w:t>
      </w:r>
      <w:r>
        <w:t xml:space="preserve">propose </w:t>
      </w:r>
      <w:r w:rsidR="003F5D0B">
        <w:t xml:space="preserve">that </w:t>
      </w:r>
      <w:r w:rsidR="00973D8C">
        <w:t>s</w:t>
      </w:r>
      <w:r w:rsidR="006821A3">
        <w:t>tations be given a full three-year construction period to build their digital-to-digital replacement translators.</w:t>
      </w:r>
      <w:r>
        <w:rPr>
          <w:rStyle w:val="FootnoteReference"/>
        </w:rPr>
        <w:footnoteReference w:id="101"/>
      </w:r>
      <w:r>
        <w:t xml:space="preserve">  </w:t>
      </w:r>
      <w:r w:rsidR="006821A3">
        <w:t xml:space="preserve">We believe that </w:t>
      </w:r>
      <w:r w:rsidR="00C15818" w:rsidRPr="00C15818">
        <w:t xml:space="preserve">a full three-year period for completion of </w:t>
      </w:r>
      <w:r w:rsidR="006821A3">
        <w:t xml:space="preserve">replacement translator facilities </w:t>
      </w:r>
      <w:r w:rsidR="008E0972">
        <w:t>will help</w:t>
      </w:r>
      <w:r w:rsidR="00C15818" w:rsidRPr="00C15818">
        <w:t xml:space="preserve"> to ensure the successful implementation of this new service. </w:t>
      </w:r>
      <w:r>
        <w:t xml:space="preserve"> </w:t>
      </w:r>
      <w:r w:rsidR="008E0972">
        <w:t xml:space="preserve">Among other things, we believe it </w:t>
      </w:r>
      <w:r w:rsidR="005318F2">
        <w:t>will allow st</w:t>
      </w:r>
      <w:r w:rsidR="006821A3">
        <w:t xml:space="preserve">ations </w:t>
      </w:r>
      <w:r>
        <w:t xml:space="preserve">that are reassigned </w:t>
      </w:r>
      <w:r w:rsidR="00573B49">
        <w:t xml:space="preserve">to </w:t>
      </w:r>
      <w:r>
        <w:t xml:space="preserve">new channels in the </w:t>
      </w:r>
      <w:r w:rsidR="00573B49">
        <w:t>repacking process</w:t>
      </w:r>
      <w:r w:rsidR="005318F2">
        <w:t>, some of which will have 39</w:t>
      </w:r>
      <w:r w:rsidR="00C92E96">
        <w:t xml:space="preserve"> months </w:t>
      </w:r>
      <w:r w:rsidR="006821A3">
        <w:t xml:space="preserve">to complete construction of their </w:t>
      </w:r>
      <w:r w:rsidR="00573B49">
        <w:t xml:space="preserve">post-auction </w:t>
      </w:r>
      <w:r w:rsidR="006821A3">
        <w:t>facilities</w:t>
      </w:r>
      <w:r w:rsidR="005318F2">
        <w:t xml:space="preserve">, </w:t>
      </w:r>
      <w:r w:rsidR="00573B49">
        <w:t xml:space="preserve">to </w:t>
      </w:r>
      <w:r w:rsidR="006821A3">
        <w:t xml:space="preserve">schedule construction of their replacement translator to coincide with the completion of their full power facilities. </w:t>
      </w:r>
      <w:r w:rsidR="008E0972">
        <w:t xml:space="preserve"> W</w:t>
      </w:r>
      <w:r w:rsidR="00573B49">
        <w:t xml:space="preserve">e </w:t>
      </w:r>
      <w:r w:rsidR="008E0972">
        <w:t>are concerned</w:t>
      </w:r>
      <w:r w:rsidR="00573B49">
        <w:t xml:space="preserve"> that </w:t>
      </w:r>
      <w:r w:rsidR="008E0972">
        <w:t>a shorter construction</w:t>
      </w:r>
      <w:r w:rsidR="00C15818" w:rsidRPr="00C15818">
        <w:t xml:space="preserve"> period could discourage </w:t>
      </w:r>
      <w:r w:rsidR="008E0972">
        <w:t>licensees</w:t>
      </w:r>
      <w:r w:rsidR="00C15818" w:rsidRPr="00C15818">
        <w:t xml:space="preserve"> from </w:t>
      </w:r>
      <w:r w:rsidR="00457DA0">
        <w:t xml:space="preserve">taking advantage of their processing priority by </w:t>
      </w:r>
      <w:r w:rsidR="00C15818" w:rsidRPr="00C15818">
        <w:t xml:space="preserve">applying </w:t>
      </w:r>
      <w:r>
        <w:t>for digital-to-digital replacement translator</w:t>
      </w:r>
      <w:r w:rsidR="008E0972">
        <w:t>s</w:t>
      </w:r>
      <w:r>
        <w:t xml:space="preserve"> </w:t>
      </w:r>
      <w:r w:rsidR="00457DA0">
        <w:t>at the earliest possible time</w:t>
      </w:r>
      <w:r>
        <w:t>.</w:t>
      </w:r>
    </w:p>
    <w:p w:rsidR="009D0719" w:rsidRPr="009D0719" w:rsidRDefault="009D0719" w:rsidP="00B53A97">
      <w:pPr>
        <w:pStyle w:val="Heading3"/>
      </w:pPr>
      <w:r w:rsidRPr="009D0719">
        <w:t xml:space="preserve">Discontinuation of Applications for </w:t>
      </w:r>
      <w:r w:rsidR="00273E9C">
        <w:t xml:space="preserve">New </w:t>
      </w:r>
      <w:r w:rsidRPr="009D0719">
        <w:t>DRTs</w:t>
      </w:r>
    </w:p>
    <w:p w:rsidR="00935AAD" w:rsidRDefault="004D6FAA" w:rsidP="008849B5">
      <w:pPr>
        <w:pStyle w:val="ParaNum"/>
      </w:pPr>
      <w:r>
        <w:t xml:space="preserve">  </w:t>
      </w:r>
      <w:r w:rsidR="00E634AF">
        <w:t xml:space="preserve">We tentatively conclude that allowing </w:t>
      </w:r>
      <w:r w:rsidR="004A3B6B">
        <w:t xml:space="preserve">the licensing of </w:t>
      </w:r>
      <w:r w:rsidR="00273E9C">
        <w:t>new</w:t>
      </w:r>
      <w:r w:rsidR="00E634AF">
        <w:t xml:space="preserve"> </w:t>
      </w:r>
      <w:r w:rsidR="00807D86">
        <w:t>analog-to-digital replacement translators</w:t>
      </w:r>
      <w:r w:rsidR="008778C1">
        <w:t xml:space="preserve"> </w:t>
      </w:r>
      <w:r w:rsidR="00E634AF">
        <w:t xml:space="preserve">is no longer necessary and propose to no longer accept applications for such facilities.  </w:t>
      </w:r>
      <w:r w:rsidR="00415A30">
        <w:t xml:space="preserve">As </w:t>
      </w:r>
      <w:r w:rsidR="008E0972">
        <w:t>not</w:t>
      </w:r>
      <w:r w:rsidR="00415A30">
        <w:t>ed above, t</w:t>
      </w:r>
      <w:r w:rsidR="00FC0815">
        <w:t xml:space="preserve">he Media Bureau placed a freeze on the filing of applications </w:t>
      </w:r>
      <w:r w:rsidR="00415A30">
        <w:t xml:space="preserve">for </w:t>
      </w:r>
      <w:r w:rsidR="00457DA0">
        <w:t>analog-to-digital replacement translators (“</w:t>
      </w:r>
      <w:r w:rsidR="008778C1">
        <w:t>DRTs</w:t>
      </w:r>
      <w:r w:rsidR="00457DA0">
        <w:t>”)</w:t>
      </w:r>
      <w:r w:rsidR="00BA68F5">
        <w:t xml:space="preserve"> </w:t>
      </w:r>
      <w:r w:rsidR="00FC0815" w:rsidRPr="00FC0815">
        <w:t>earlier this year</w:t>
      </w:r>
      <w:r w:rsidR="00FC0815">
        <w:t>.</w:t>
      </w:r>
      <w:r w:rsidR="00FC0815">
        <w:rPr>
          <w:rStyle w:val="FootnoteReference"/>
        </w:rPr>
        <w:footnoteReference w:id="102"/>
      </w:r>
      <w:r w:rsidR="00FC0815">
        <w:t xml:space="preserve">  Prior to the freeze, f</w:t>
      </w:r>
      <w:r w:rsidR="00E634AF">
        <w:t xml:space="preserve">ull power stations had </w:t>
      </w:r>
      <w:r w:rsidR="00415A30">
        <w:t xml:space="preserve">more than </w:t>
      </w:r>
      <w:r w:rsidR="00D05F8A">
        <w:t xml:space="preserve">five years </w:t>
      </w:r>
      <w:r w:rsidR="00E634AF">
        <w:t xml:space="preserve">to apply for </w:t>
      </w:r>
      <w:r w:rsidR="00BA68F5">
        <w:t>this type of replacement translator</w:t>
      </w:r>
      <w:r w:rsidR="00E634AF">
        <w:t xml:space="preserve"> to </w:t>
      </w:r>
      <w:r w:rsidR="005318F2" w:rsidRPr="005318F2">
        <w:t xml:space="preserve">provide service to viewers within their analog coverage areas who lost service as a result of a </w:t>
      </w:r>
      <w:r w:rsidR="005318F2">
        <w:t xml:space="preserve">station’s </w:t>
      </w:r>
      <w:r w:rsidR="00E634AF">
        <w:t xml:space="preserve">2009 </w:t>
      </w:r>
      <w:r w:rsidR="00FC0815">
        <w:t xml:space="preserve">digital </w:t>
      </w:r>
      <w:r w:rsidR="00E634AF">
        <w:t>transition.</w:t>
      </w:r>
      <w:r w:rsidR="00B309A1">
        <w:rPr>
          <w:rStyle w:val="FootnoteReference"/>
        </w:rPr>
        <w:footnoteReference w:id="103"/>
      </w:r>
      <w:r w:rsidR="00E634AF">
        <w:t xml:space="preserve">  </w:t>
      </w:r>
      <w:r w:rsidR="00FC0815">
        <w:t xml:space="preserve">Given the length of time that has passed since the </w:t>
      </w:r>
      <w:r w:rsidR="00415A30">
        <w:t xml:space="preserve">digital </w:t>
      </w:r>
      <w:r w:rsidR="00FC0815">
        <w:t>transition</w:t>
      </w:r>
      <w:r w:rsidR="00415A30">
        <w:t xml:space="preserve"> deadline</w:t>
      </w:r>
      <w:r w:rsidR="00FC0815">
        <w:t xml:space="preserve">, </w:t>
      </w:r>
      <w:r w:rsidR="00BF7424">
        <w:t xml:space="preserve">we </w:t>
      </w:r>
      <w:r w:rsidR="00094241">
        <w:t xml:space="preserve">do not believe </w:t>
      </w:r>
      <w:r w:rsidR="00FC0815">
        <w:t xml:space="preserve">any future applications will be necessary for stations </w:t>
      </w:r>
      <w:r w:rsidR="00BF7424">
        <w:t>to replace a</w:t>
      </w:r>
      <w:r w:rsidR="00FC0815">
        <w:t xml:space="preserve">n analog </w:t>
      </w:r>
      <w:r w:rsidR="00BF7424">
        <w:t xml:space="preserve">loss area that occurred </w:t>
      </w:r>
      <w:r w:rsidR="00FC0815">
        <w:t>a</w:t>
      </w:r>
      <w:r w:rsidR="00BF7424">
        <w:t>s a result of the</w:t>
      </w:r>
      <w:r w:rsidR="00D05F8A">
        <w:t xml:space="preserve"> </w:t>
      </w:r>
      <w:r w:rsidR="007A3258">
        <w:t xml:space="preserve">digital </w:t>
      </w:r>
      <w:r w:rsidR="00BF7424">
        <w:t>transition</w:t>
      </w:r>
      <w:r w:rsidR="00D05F8A">
        <w:t>.</w:t>
      </w:r>
      <w:r w:rsidR="00E65C27">
        <w:rPr>
          <w:rStyle w:val="FootnoteReference"/>
        </w:rPr>
        <w:footnoteReference w:id="104"/>
      </w:r>
      <w:r w:rsidR="00BA68F5">
        <w:t xml:space="preserve">  </w:t>
      </w:r>
      <w:r w:rsidR="00BF7424">
        <w:t xml:space="preserve">We seek comment on this </w:t>
      </w:r>
      <w:r w:rsidR="00FC0815">
        <w:t xml:space="preserve">tentative </w:t>
      </w:r>
      <w:r w:rsidR="00BF7424">
        <w:t>conclusion.</w:t>
      </w:r>
      <w:r w:rsidR="00E634AF">
        <w:t xml:space="preserve">  </w:t>
      </w:r>
    </w:p>
    <w:p w:rsidR="00CD683D" w:rsidRDefault="0095141F" w:rsidP="002371E0">
      <w:pPr>
        <w:pStyle w:val="Heading2"/>
      </w:pPr>
      <w:bookmarkStart w:id="83" w:name="_Toc393265911"/>
      <w:r>
        <w:t>Assistance to</w:t>
      </w:r>
      <w:r w:rsidR="00973D8C">
        <w:t xml:space="preserve"> </w:t>
      </w:r>
      <w:r w:rsidR="00F07A58">
        <w:t>L</w:t>
      </w:r>
      <w:r w:rsidR="00E670F6">
        <w:t>PTV and TV Translator</w:t>
      </w:r>
      <w:r w:rsidR="00F07A58">
        <w:t xml:space="preserve"> Stations</w:t>
      </w:r>
      <w:r>
        <w:t xml:space="preserve"> in Finding Displacement Channels After the Incentive Auction</w:t>
      </w:r>
      <w:bookmarkEnd w:id="83"/>
    </w:p>
    <w:p w:rsidR="003A697C" w:rsidRPr="00A621D0" w:rsidRDefault="003A697C" w:rsidP="003A697C">
      <w:pPr>
        <w:pStyle w:val="ParaNum"/>
      </w:pPr>
      <w:bookmarkStart w:id="84" w:name="_Toc116114212"/>
      <w:bookmarkStart w:id="85" w:name="_Toc116114319"/>
      <w:bookmarkStart w:id="86" w:name="_Toc116459077"/>
      <w:bookmarkStart w:id="87" w:name="_Toc116462394"/>
      <w:bookmarkStart w:id="88" w:name="_Toc116810924"/>
      <w:bookmarkStart w:id="89" w:name="_Toc116814412"/>
      <w:bookmarkStart w:id="90" w:name="_Toc116817206"/>
      <w:bookmarkStart w:id="91" w:name="_Toc116888136"/>
      <w:bookmarkStart w:id="92" w:name="_Toc116892847"/>
      <w:bookmarkStart w:id="93" w:name="_Toc116896368"/>
      <w:bookmarkStart w:id="94" w:name="_Toc118611134"/>
      <w:bookmarkStart w:id="95" w:name="_Toc138576118"/>
      <w:bookmarkStart w:id="96" w:name="_Toc138822574"/>
      <w:bookmarkStart w:id="97" w:name="_Toc138843550"/>
      <w:bookmarkStart w:id="98" w:name="_Toc138845538"/>
      <w:bookmarkStart w:id="99" w:name="_Toc139373782"/>
      <w:bookmarkStart w:id="100" w:name="_Toc139687228"/>
      <w:bookmarkStart w:id="101" w:name="_Toc139884888"/>
      <w:bookmarkStart w:id="102" w:name="_Toc139945633"/>
      <w:bookmarkStart w:id="103" w:name="_Toc139945861"/>
      <w:bookmarkStart w:id="104" w:name="_Toc139946196"/>
      <w:bookmarkStart w:id="105" w:name="_Toc140574617"/>
      <w:bookmarkStart w:id="106" w:name="_Toc142215189"/>
      <w:bookmarkStart w:id="107" w:name="_Toc142369983"/>
      <w:bookmarkStart w:id="108" w:name="_Toc142370127"/>
      <w:bookmarkStart w:id="109" w:name="_Toc142384561"/>
      <w:bookmarkStart w:id="110" w:name="_Toc144024774"/>
      <w:bookmarkStart w:id="111" w:name="_Toc148337493"/>
      <w:bookmarkStart w:id="112" w:name="_Toc159846903"/>
      <w:bookmarkStart w:id="113" w:name="_Toc159847027"/>
      <w:r>
        <w:rPr>
          <w:snapToGrid/>
        </w:rPr>
        <w:t xml:space="preserve">Commenters in </w:t>
      </w:r>
      <w:r w:rsidRPr="008A23CB">
        <w:rPr>
          <w:snapToGrid/>
        </w:rPr>
        <w:t>the incentive auction proc</w:t>
      </w:r>
      <w:r w:rsidRPr="00472B3A">
        <w:rPr>
          <w:snapToGrid/>
        </w:rPr>
        <w:t xml:space="preserve">eeding </w:t>
      </w:r>
      <w:r>
        <w:rPr>
          <w:snapToGrid/>
        </w:rPr>
        <w:t xml:space="preserve">noted </w:t>
      </w:r>
      <w:r w:rsidRPr="00472B3A">
        <w:rPr>
          <w:snapToGrid/>
        </w:rPr>
        <w:t xml:space="preserve">that it will be highly challenging for some displaced LPTV and TV translator stations to find new channel homes on the decreased number of channels that will be allocated </w:t>
      </w:r>
      <w:r w:rsidR="000379BA">
        <w:rPr>
          <w:snapToGrid/>
        </w:rPr>
        <w:t xml:space="preserve">and assigned </w:t>
      </w:r>
      <w:r w:rsidRPr="00472B3A">
        <w:rPr>
          <w:snapToGrid/>
        </w:rPr>
        <w:t>for television use post-auction.</w:t>
      </w:r>
      <w:r>
        <w:rPr>
          <w:rStyle w:val="FootnoteReference"/>
          <w:snapToGrid/>
        </w:rPr>
        <w:footnoteReference w:id="105"/>
      </w:r>
      <w:r w:rsidRPr="008A23CB">
        <w:rPr>
          <w:snapToGrid/>
        </w:rPr>
        <w:t xml:space="preserve">  </w:t>
      </w:r>
      <w:r w:rsidR="001F1F56">
        <w:rPr>
          <w:snapToGrid/>
        </w:rPr>
        <w:t xml:space="preserve">In the </w:t>
      </w:r>
      <w:r w:rsidR="001F1F56">
        <w:rPr>
          <w:i/>
          <w:snapToGrid/>
        </w:rPr>
        <w:t xml:space="preserve">Incentive Auction Report and </w:t>
      </w:r>
      <w:r w:rsidR="001F1F56" w:rsidRPr="00612742">
        <w:rPr>
          <w:snapToGrid/>
        </w:rPr>
        <w:t>Order</w:t>
      </w:r>
      <w:r w:rsidR="001F1F56">
        <w:rPr>
          <w:snapToGrid/>
        </w:rPr>
        <w:t>, w</w:t>
      </w:r>
      <w:r w:rsidRPr="001F1F56">
        <w:t>e</w:t>
      </w:r>
      <w:r>
        <w:t xml:space="preserve"> identified the possibility of using </w:t>
      </w:r>
      <w:r w:rsidRPr="008A23CB">
        <w:rPr>
          <w:snapToGrid/>
        </w:rPr>
        <w:t xml:space="preserve">the incentive auction repacking software in order </w:t>
      </w:r>
      <w:r w:rsidRPr="00472B3A">
        <w:rPr>
          <w:snapToGrid/>
        </w:rPr>
        <w:t>to assist displaced LPTV and TV translator stations to identify new channels, and to ensure that a greater number of these stations will be able to relocate to new channels.</w:t>
      </w:r>
      <w:r w:rsidR="001F1F56">
        <w:rPr>
          <w:rStyle w:val="FootnoteReference"/>
          <w:snapToGrid/>
        </w:rPr>
        <w:footnoteReference w:id="106"/>
      </w:r>
      <w:r w:rsidRPr="00472B3A">
        <w:rPr>
          <w:snapToGrid/>
        </w:rPr>
        <w:t xml:space="preserve"> </w:t>
      </w:r>
      <w:r w:rsidRPr="008A23CB">
        <w:rPr>
          <w:szCs w:val="22"/>
        </w:rPr>
        <w:t>We found that,</w:t>
      </w:r>
      <w:r w:rsidRPr="00472B3A">
        <w:rPr>
          <w:szCs w:val="22"/>
        </w:rPr>
        <w:t xml:space="preserve"> “[i]f feasible, the use of our </w:t>
      </w:r>
      <w:r>
        <w:rPr>
          <w:szCs w:val="22"/>
        </w:rPr>
        <w:t xml:space="preserve">[repacking and optimization] </w:t>
      </w:r>
      <w:r w:rsidRPr="00472B3A">
        <w:rPr>
          <w:szCs w:val="22"/>
        </w:rPr>
        <w:t>software for this purpose may expedite and ease the post-auction transition process for many low power stations.”</w:t>
      </w:r>
      <w:r>
        <w:rPr>
          <w:rStyle w:val="FootnoteReference"/>
          <w:szCs w:val="22"/>
        </w:rPr>
        <w:footnoteReference w:id="107"/>
      </w:r>
      <w:r w:rsidRPr="008A23CB">
        <w:rPr>
          <w:szCs w:val="22"/>
        </w:rPr>
        <w:t xml:space="preserve"> </w:t>
      </w:r>
      <w:r w:rsidRPr="008A23CB">
        <w:rPr>
          <w:snapToGrid/>
        </w:rPr>
        <w:t xml:space="preserve"> </w:t>
      </w:r>
      <w:r>
        <w:rPr>
          <w:snapToGrid/>
        </w:rPr>
        <w:t xml:space="preserve"> </w:t>
      </w:r>
    </w:p>
    <w:p w:rsidR="003A697C" w:rsidRDefault="000379BA" w:rsidP="000379BA">
      <w:pPr>
        <w:pStyle w:val="ParaNum"/>
      </w:pPr>
      <w:r w:rsidRPr="000379BA">
        <w:t xml:space="preserve">We believe that the availability of the repacking and optimization software may provide a unique opportunity for the Commission to assist with the challenges displaced LPTV and TV translator stations face in finding new channel homes.  </w:t>
      </w:r>
      <w:r w:rsidR="003A697C" w:rsidRPr="003A697C">
        <w:t xml:space="preserve">We seek comment on </w:t>
      </w:r>
      <w:r w:rsidR="001F1F56">
        <w:t xml:space="preserve">the </w:t>
      </w:r>
      <w:r w:rsidR="003A697C" w:rsidRPr="003A697C">
        <w:t xml:space="preserve">use </w:t>
      </w:r>
      <w:r w:rsidR="001F1F56">
        <w:t xml:space="preserve">of </w:t>
      </w:r>
      <w:r w:rsidR="003A697C" w:rsidRPr="003A697C">
        <w:t xml:space="preserve">these </w:t>
      </w:r>
      <w:r>
        <w:t xml:space="preserve">software </w:t>
      </w:r>
      <w:r w:rsidR="003A697C" w:rsidRPr="003A697C">
        <w:t xml:space="preserve">tools to facilitate the relocation of displaced low power stations.  In particular, because it is likely that a number of low power stations will be displaced from UHF channels, we seek comment on whether and, if so how, our optimization software could facilitate the ability of low power stations to relocate to VHF channels where UHF channels are unavailable.  One possibility is that, prior to opening the special window for LPTV and TV translator stations affected by the repacking process to file displacement applications, the Media Bureau could utilize the optimization model to identify </w:t>
      </w:r>
      <w:r>
        <w:t xml:space="preserve">market </w:t>
      </w:r>
      <w:r w:rsidR="003A697C" w:rsidRPr="003A697C">
        <w:t xml:space="preserve">areas where all </w:t>
      </w:r>
      <w:r>
        <w:t xml:space="preserve">displaced </w:t>
      </w:r>
      <w:r w:rsidR="003A697C" w:rsidRPr="003A697C">
        <w:t xml:space="preserve">LPTV and TV translator stations can be accommodated onto new channels. For </w:t>
      </w:r>
      <w:r>
        <w:t xml:space="preserve">such </w:t>
      </w:r>
      <w:r w:rsidR="003A697C" w:rsidRPr="003A697C">
        <w:t xml:space="preserve">markets, the Media Bureau would issue a Public Notice listing </w:t>
      </w:r>
      <w:r>
        <w:t xml:space="preserve">potential </w:t>
      </w:r>
      <w:r w:rsidR="003A697C" w:rsidRPr="003A697C">
        <w:t>channel assignments for displaced low power stations.</w:t>
      </w:r>
      <w:r w:rsidR="005F75FF">
        <w:rPr>
          <w:rStyle w:val="FootnoteReference"/>
        </w:rPr>
        <w:footnoteReference w:id="108"/>
      </w:r>
      <w:r w:rsidR="003A697C" w:rsidRPr="003A697C">
        <w:t xml:space="preserve"> </w:t>
      </w:r>
      <w:r>
        <w:t>D</w:t>
      </w:r>
      <w:r w:rsidR="003A697C" w:rsidRPr="003A697C">
        <w:t xml:space="preserve">isplaced low power stations would be encouraged to file for those channels in the displacement window.  In cases where not all LPTV and TV translator stations can be accommodated onto new channels using current operating parameters, the Media Bureau could use the software to identify possible arrangements based on other objectives, such as maximizing the number of stations assigned or minimizing the interference that stations might experience, to assist stations in examining engineering solutions to find channels. In addition, we seek comment on alternative methods for efficiently assigning the spectrum that will remain available post-auction for LPTV and TV </w:t>
      </w:r>
      <w:r w:rsidR="005011A1">
        <w:t>t</w:t>
      </w:r>
      <w:r w:rsidR="003A697C" w:rsidRPr="003A697C">
        <w:t>ranslator stations.</w:t>
      </w:r>
    </w:p>
    <w:p w:rsidR="00CD683D" w:rsidRPr="00971E0A" w:rsidRDefault="003A697C" w:rsidP="003A697C">
      <w:pPr>
        <w:pStyle w:val="ParaNum"/>
        <w:rPr>
          <w:szCs w:val="22"/>
        </w:rPr>
      </w:pPr>
      <w:r w:rsidRPr="007C701F">
        <w:rPr>
          <w:snapToGrid/>
        </w:rPr>
        <w:t>We emphasize that</w:t>
      </w:r>
      <w:r>
        <w:rPr>
          <w:snapToGrid/>
        </w:rPr>
        <w:t xml:space="preserve"> stations’ </w:t>
      </w:r>
      <w:r w:rsidR="000379BA">
        <w:rPr>
          <w:snapToGrid/>
        </w:rPr>
        <w:t xml:space="preserve">decision to seek channel assignments </w:t>
      </w:r>
      <w:r>
        <w:rPr>
          <w:snapToGrid/>
        </w:rPr>
        <w:t>recommended by the Media Bureau as a result of using</w:t>
      </w:r>
      <w:r w:rsidRPr="007C701F">
        <w:rPr>
          <w:snapToGrid/>
        </w:rPr>
        <w:t xml:space="preserve"> </w:t>
      </w:r>
      <w:r>
        <w:rPr>
          <w:snapToGrid/>
        </w:rPr>
        <w:t xml:space="preserve">repacking and </w:t>
      </w:r>
      <w:r w:rsidRPr="007C701F">
        <w:rPr>
          <w:snapToGrid/>
        </w:rPr>
        <w:t xml:space="preserve">optimization software or </w:t>
      </w:r>
      <w:r>
        <w:rPr>
          <w:snapToGrid/>
        </w:rPr>
        <w:t>an</w:t>
      </w:r>
      <w:r w:rsidRPr="007C701F">
        <w:rPr>
          <w:snapToGrid/>
        </w:rPr>
        <w:t>other method to assist with the displacement process</w:t>
      </w:r>
      <w:r>
        <w:rPr>
          <w:snapToGrid/>
        </w:rPr>
        <w:t xml:space="preserve"> would be voluntary. </w:t>
      </w:r>
      <w:r>
        <w:rPr>
          <w:snapToGrid/>
          <w:kern w:val="0"/>
          <w:szCs w:val="22"/>
        </w:rPr>
        <w:t xml:space="preserve"> We do not propose to require stations </w:t>
      </w:r>
      <w:r w:rsidRPr="007C701F">
        <w:rPr>
          <w:snapToGrid/>
        </w:rPr>
        <w:t xml:space="preserve">to accept channel assignments identified by the </w:t>
      </w:r>
      <w:r w:rsidR="000379BA">
        <w:rPr>
          <w:snapToGrid/>
        </w:rPr>
        <w:t>Media Bureau</w:t>
      </w:r>
      <w:r w:rsidRPr="007C701F">
        <w:rPr>
          <w:snapToGrid/>
        </w:rPr>
        <w:t>.  Such an obligation would run counter to more than 30 years of licensing policies with respect to LPTV and TV translator stations.</w:t>
      </w:r>
      <w:r>
        <w:rPr>
          <w:rStyle w:val="FootnoteReference"/>
          <w:snapToGrid/>
        </w:rPr>
        <w:footnoteReference w:id="109"/>
      </w:r>
      <w:r w:rsidRPr="007C701F">
        <w:rPr>
          <w:snapToGrid/>
        </w:rPr>
        <w:t xml:space="preserve">  We intend </w:t>
      </w:r>
      <w:r>
        <w:rPr>
          <w:snapToGrid/>
        </w:rPr>
        <w:t xml:space="preserve">that </w:t>
      </w:r>
      <w:r w:rsidRPr="007C701F">
        <w:rPr>
          <w:snapToGrid/>
        </w:rPr>
        <w:t>these stations continue to be permitted to seek displacement channel</w:t>
      </w:r>
      <w:r w:rsidR="000379BA">
        <w:rPr>
          <w:snapToGrid/>
        </w:rPr>
        <w:t>s</w:t>
      </w:r>
      <w:r w:rsidRPr="007C701F">
        <w:rPr>
          <w:snapToGrid/>
        </w:rPr>
        <w:t xml:space="preserve"> that work best for their particular circumstances, so long as the channel selection</w:t>
      </w:r>
      <w:r w:rsidR="000379BA">
        <w:rPr>
          <w:snapToGrid/>
        </w:rPr>
        <w:t>s</w:t>
      </w:r>
      <w:r w:rsidRPr="007C701F">
        <w:rPr>
          <w:snapToGrid/>
        </w:rPr>
        <w:t xml:space="preserve"> compl</w:t>
      </w:r>
      <w:r w:rsidR="000379BA">
        <w:rPr>
          <w:snapToGrid/>
        </w:rPr>
        <w:t>y</w:t>
      </w:r>
      <w:r w:rsidRPr="007C701F">
        <w:rPr>
          <w:snapToGrid/>
        </w:rPr>
        <w:t xml:space="preserve"> with our licensing and technical rules.</w:t>
      </w:r>
      <w:r>
        <w:rPr>
          <w:snapToGrid/>
        </w:rPr>
        <w:t xml:space="preserve">  </w:t>
      </w:r>
      <w:r w:rsidRPr="00720071">
        <w:rPr>
          <w:snapToGrid/>
          <w:kern w:val="0"/>
          <w:szCs w:val="22"/>
        </w:rPr>
        <w:t xml:space="preserve">Although stations would be permitted to apply </w:t>
      </w:r>
      <w:r>
        <w:rPr>
          <w:snapToGrid/>
          <w:kern w:val="0"/>
          <w:szCs w:val="22"/>
        </w:rPr>
        <w:t xml:space="preserve">for </w:t>
      </w:r>
      <w:r w:rsidRPr="00720071">
        <w:rPr>
          <w:snapToGrid/>
          <w:kern w:val="0"/>
          <w:szCs w:val="22"/>
        </w:rPr>
        <w:t xml:space="preserve">channels of their choice, we believe that issuing a list of possible channel assignments </w:t>
      </w:r>
      <w:r>
        <w:rPr>
          <w:snapToGrid/>
          <w:kern w:val="0"/>
          <w:szCs w:val="22"/>
        </w:rPr>
        <w:t>would</w:t>
      </w:r>
      <w:r w:rsidRPr="00720071">
        <w:rPr>
          <w:snapToGrid/>
          <w:kern w:val="0"/>
          <w:szCs w:val="22"/>
        </w:rPr>
        <w:t xml:space="preserve"> significantly reduce the possibility of mutually exclusive applications being filed in the displacement window and greatly facilitate the post-</w:t>
      </w:r>
      <w:r>
        <w:rPr>
          <w:snapToGrid/>
          <w:kern w:val="0"/>
          <w:szCs w:val="22"/>
        </w:rPr>
        <w:t>incentive auction</w:t>
      </w:r>
      <w:r w:rsidRPr="00720071">
        <w:rPr>
          <w:snapToGrid/>
          <w:kern w:val="0"/>
          <w:szCs w:val="22"/>
        </w:rPr>
        <w:t xml:space="preserve"> displacement and band clearing processes.  We seek comment on these proposals</w:t>
      </w:r>
      <w:r>
        <w:rPr>
          <w:snapToGrid/>
          <w:kern w:val="0"/>
          <w:szCs w:val="22"/>
        </w:rPr>
        <w:t>.</w:t>
      </w:r>
    </w:p>
    <w:p w:rsidR="007673B6" w:rsidRDefault="007673B6" w:rsidP="007673B6">
      <w:pPr>
        <w:pStyle w:val="Heading2"/>
      </w:pPr>
      <w:bookmarkStart w:id="114" w:name="_Toc393265912"/>
      <w:r>
        <w:t xml:space="preserve">Operation of Analog Radio Services </w:t>
      </w:r>
      <w:r w:rsidR="0095141F">
        <w:t>b</w:t>
      </w:r>
      <w:r>
        <w:t>y Digital LPTV Stations as Ancillary or Supplementary Services</w:t>
      </w:r>
      <w:bookmarkEnd w:id="114"/>
    </w:p>
    <w:p w:rsidR="00384119" w:rsidRPr="00384119" w:rsidRDefault="00E82ED1" w:rsidP="008B642B">
      <w:pPr>
        <w:pStyle w:val="ParaNum"/>
        <w:widowControl/>
      </w:pPr>
      <w:r w:rsidRPr="00AE456E">
        <w:rPr>
          <w:szCs w:val="22"/>
        </w:rPr>
        <w:t xml:space="preserve">We seek comment on whether to allow LPTV stations on digital </w:t>
      </w:r>
      <w:r w:rsidR="00713D76" w:rsidRPr="00AE456E">
        <w:rPr>
          <w:szCs w:val="22"/>
        </w:rPr>
        <w:t xml:space="preserve">television </w:t>
      </w:r>
      <w:r w:rsidRPr="00AE456E">
        <w:rPr>
          <w:szCs w:val="22"/>
        </w:rPr>
        <w:t xml:space="preserve">channel 6 </w:t>
      </w:r>
      <w:r w:rsidR="004670E6">
        <w:rPr>
          <w:szCs w:val="22"/>
        </w:rPr>
        <w:t>(82-88 MH</w:t>
      </w:r>
      <w:r w:rsidR="004A3559">
        <w:rPr>
          <w:szCs w:val="22"/>
        </w:rPr>
        <w:t>z</w:t>
      </w:r>
      <w:r w:rsidR="004670E6">
        <w:rPr>
          <w:szCs w:val="22"/>
        </w:rPr>
        <w:t xml:space="preserve">) </w:t>
      </w:r>
      <w:r w:rsidRPr="00AE456E">
        <w:rPr>
          <w:szCs w:val="22"/>
        </w:rPr>
        <w:t>to operate analog FM radio</w:t>
      </w:r>
      <w:r w:rsidR="00D33B7B">
        <w:rPr>
          <w:szCs w:val="22"/>
        </w:rPr>
        <w:t>-</w:t>
      </w:r>
      <w:r w:rsidRPr="00AE456E">
        <w:rPr>
          <w:szCs w:val="22"/>
        </w:rPr>
        <w:t>type services on an ancillary or supplementary basis</w:t>
      </w:r>
      <w:r w:rsidR="004670E6">
        <w:rPr>
          <w:szCs w:val="22"/>
        </w:rPr>
        <w:t xml:space="preserve"> pursuant to section 73.624(c) of the rules</w:t>
      </w:r>
      <w:r w:rsidRPr="00AE456E">
        <w:rPr>
          <w:szCs w:val="22"/>
        </w:rPr>
        <w:t>.</w:t>
      </w:r>
      <w:r w:rsidR="004670E6">
        <w:rPr>
          <w:rStyle w:val="FootnoteReference"/>
          <w:szCs w:val="22"/>
        </w:rPr>
        <w:footnoteReference w:id="110"/>
      </w:r>
      <w:r w:rsidR="00713D76" w:rsidRPr="00AE456E">
        <w:rPr>
          <w:szCs w:val="22"/>
        </w:rPr>
        <w:t xml:space="preserve">  </w:t>
      </w:r>
      <w:r w:rsidRPr="00AE456E">
        <w:rPr>
          <w:szCs w:val="22"/>
        </w:rPr>
        <w:t xml:space="preserve">Currently, some </w:t>
      </w:r>
      <w:r w:rsidR="004670E6">
        <w:rPr>
          <w:szCs w:val="22"/>
        </w:rPr>
        <w:t xml:space="preserve">analog </w:t>
      </w:r>
      <w:r w:rsidRPr="00AE456E">
        <w:rPr>
          <w:szCs w:val="22"/>
        </w:rPr>
        <w:t>LPTV</w:t>
      </w:r>
      <w:r w:rsidR="00617483" w:rsidRPr="00AE456E">
        <w:rPr>
          <w:szCs w:val="22"/>
        </w:rPr>
        <w:t xml:space="preserve"> stations </w:t>
      </w:r>
      <w:r w:rsidR="004670E6">
        <w:rPr>
          <w:szCs w:val="22"/>
        </w:rPr>
        <w:t xml:space="preserve">licensed on channel 6 </w:t>
      </w:r>
      <w:r w:rsidR="00617483" w:rsidRPr="00AE456E">
        <w:rPr>
          <w:szCs w:val="22"/>
        </w:rPr>
        <w:t>are operating</w:t>
      </w:r>
      <w:r w:rsidR="00713D76" w:rsidRPr="00AE456E">
        <w:rPr>
          <w:szCs w:val="22"/>
        </w:rPr>
        <w:t xml:space="preserve"> with </w:t>
      </w:r>
      <w:r w:rsidR="00617483" w:rsidRPr="00AE456E">
        <w:rPr>
          <w:szCs w:val="22"/>
        </w:rPr>
        <w:t xml:space="preserve">very limited </w:t>
      </w:r>
      <w:r w:rsidRPr="00AE456E">
        <w:rPr>
          <w:szCs w:val="22"/>
        </w:rPr>
        <w:t xml:space="preserve">visual </w:t>
      </w:r>
      <w:r w:rsidR="004670E6">
        <w:rPr>
          <w:szCs w:val="22"/>
        </w:rPr>
        <w:t xml:space="preserve">programming </w:t>
      </w:r>
      <w:r w:rsidRPr="00AE456E">
        <w:rPr>
          <w:szCs w:val="22"/>
        </w:rPr>
        <w:t xml:space="preserve">and </w:t>
      </w:r>
      <w:r w:rsidR="00045E05">
        <w:rPr>
          <w:szCs w:val="22"/>
        </w:rPr>
        <w:t xml:space="preserve">an </w:t>
      </w:r>
      <w:r w:rsidRPr="00AE456E">
        <w:rPr>
          <w:szCs w:val="22"/>
        </w:rPr>
        <w:t xml:space="preserve">audio </w:t>
      </w:r>
      <w:r w:rsidR="004670E6">
        <w:rPr>
          <w:szCs w:val="22"/>
        </w:rPr>
        <w:t xml:space="preserve">signal </w:t>
      </w:r>
      <w:r w:rsidR="00713D76" w:rsidRPr="00AE456E">
        <w:rPr>
          <w:szCs w:val="22"/>
        </w:rPr>
        <w:t xml:space="preserve">that </w:t>
      </w:r>
      <w:r w:rsidR="004670E6">
        <w:rPr>
          <w:szCs w:val="22"/>
        </w:rPr>
        <w:t xml:space="preserve">is programmed </w:t>
      </w:r>
      <w:r w:rsidR="00A10C9E" w:rsidRPr="00AE456E">
        <w:rPr>
          <w:szCs w:val="22"/>
        </w:rPr>
        <w:t>like a</w:t>
      </w:r>
      <w:r w:rsidRPr="00AE456E">
        <w:rPr>
          <w:szCs w:val="22"/>
        </w:rPr>
        <w:t xml:space="preserve"> radio s</w:t>
      </w:r>
      <w:r w:rsidR="00A10C9E" w:rsidRPr="00AE456E">
        <w:rPr>
          <w:szCs w:val="22"/>
        </w:rPr>
        <w:t>tation</w:t>
      </w:r>
      <w:r w:rsidRPr="00AE456E">
        <w:rPr>
          <w:szCs w:val="22"/>
        </w:rPr>
        <w:t>.</w:t>
      </w:r>
      <w:r w:rsidR="00713D76" w:rsidRPr="00AE456E">
        <w:rPr>
          <w:szCs w:val="22"/>
        </w:rPr>
        <w:t xml:space="preserve">  </w:t>
      </w:r>
      <w:r w:rsidR="00617483" w:rsidRPr="00AE456E">
        <w:rPr>
          <w:szCs w:val="22"/>
        </w:rPr>
        <w:t>FM radio li</w:t>
      </w:r>
      <w:r w:rsidR="00713D76" w:rsidRPr="00AE456E">
        <w:rPr>
          <w:szCs w:val="22"/>
        </w:rPr>
        <w:t>st</w:t>
      </w:r>
      <w:r w:rsidR="00617483" w:rsidRPr="00AE456E">
        <w:rPr>
          <w:szCs w:val="22"/>
        </w:rPr>
        <w:t xml:space="preserve">eners are able to receive the audio portion of these LPTV stations </w:t>
      </w:r>
      <w:r w:rsidR="004670E6">
        <w:rPr>
          <w:szCs w:val="22"/>
        </w:rPr>
        <w:t>at 8</w:t>
      </w:r>
      <w:r w:rsidR="00F23BF7">
        <w:rPr>
          <w:szCs w:val="22"/>
        </w:rPr>
        <w:t>7</w:t>
      </w:r>
      <w:r w:rsidR="004670E6">
        <w:rPr>
          <w:szCs w:val="22"/>
        </w:rPr>
        <w:t xml:space="preserve">.76 MHz, which is adjacent to noncommercial educational (NCE) FM </w:t>
      </w:r>
      <w:r w:rsidR="00713D76" w:rsidRPr="00AE456E">
        <w:rPr>
          <w:szCs w:val="22"/>
        </w:rPr>
        <w:t xml:space="preserve">channel </w:t>
      </w:r>
      <w:r w:rsidR="004670E6">
        <w:rPr>
          <w:szCs w:val="22"/>
        </w:rPr>
        <w:t>20</w:t>
      </w:r>
      <w:r w:rsidR="00F23BF7">
        <w:rPr>
          <w:szCs w:val="22"/>
        </w:rPr>
        <w:t>1</w:t>
      </w:r>
      <w:r w:rsidR="004670E6">
        <w:rPr>
          <w:szCs w:val="22"/>
        </w:rPr>
        <w:t xml:space="preserve"> (</w:t>
      </w:r>
      <w:r w:rsidR="00713D76" w:rsidRPr="00AE456E">
        <w:rPr>
          <w:szCs w:val="22"/>
        </w:rPr>
        <w:t>88.</w:t>
      </w:r>
      <w:r w:rsidR="00F23BF7">
        <w:rPr>
          <w:szCs w:val="22"/>
        </w:rPr>
        <w:t>1</w:t>
      </w:r>
      <w:r w:rsidR="004670E6">
        <w:rPr>
          <w:szCs w:val="22"/>
        </w:rPr>
        <w:t xml:space="preserve"> MHz)</w:t>
      </w:r>
      <w:r w:rsidR="00A10C9E" w:rsidRPr="00AE456E">
        <w:rPr>
          <w:szCs w:val="22"/>
        </w:rPr>
        <w:t xml:space="preserve">.  </w:t>
      </w:r>
      <w:r w:rsidR="00713D76" w:rsidRPr="00AE456E">
        <w:rPr>
          <w:szCs w:val="22"/>
        </w:rPr>
        <w:t xml:space="preserve">When these LPTV stations convert to digital, however, they are unable to continue providing such </w:t>
      </w:r>
      <w:r w:rsidR="00935AAD">
        <w:rPr>
          <w:szCs w:val="22"/>
        </w:rPr>
        <w:t xml:space="preserve">radio </w:t>
      </w:r>
      <w:r w:rsidR="00713D76" w:rsidRPr="00AE456E">
        <w:rPr>
          <w:szCs w:val="22"/>
        </w:rPr>
        <w:t xml:space="preserve">service because the </w:t>
      </w:r>
      <w:r w:rsidR="00F23BF7">
        <w:rPr>
          <w:szCs w:val="22"/>
        </w:rPr>
        <w:t xml:space="preserve">digital </w:t>
      </w:r>
      <w:r w:rsidR="00713D76" w:rsidRPr="00AE456E">
        <w:rPr>
          <w:szCs w:val="22"/>
        </w:rPr>
        <w:t xml:space="preserve">audio portion of their </w:t>
      </w:r>
      <w:r w:rsidR="004670E6">
        <w:rPr>
          <w:szCs w:val="22"/>
        </w:rPr>
        <w:t xml:space="preserve">signal </w:t>
      </w:r>
      <w:r w:rsidR="00713D76" w:rsidRPr="00AE456E">
        <w:rPr>
          <w:szCs w:val="22"/>
        </w:rPr>
        <w:t>can no longer be received by standard FM receivers.</w:t>
      </w:r>
      <w:r w:rsidR="00AE456E" w:rsidRPr="00AE456E">
        <w:rPr>
          <w:szCs w:val="22"/>
        </w:rPr>
        <w:t xml:space="preserve">  </w:t>
      </w:r>
    </w:p>
    <w:p w:rsidR="00F216E5" w:rsidRPr="00384119" w:rsidRDefault="00AE456E">
      <w:pPr>
        <w:pStyle w:val="ParaNum"/>
        <w:widowControl/>
        <w:rPr>
          <w:szCs w:val="22"/>
        </w:rPr>
      </w:pPr>
      <w:r w:rsidRPr="00384119">
        <w:rPr>
          <w:szCs w:val="22"/>
        </w:rPr>
        <w:t>LPTV stations have been proposing engineering solutions to allow their continued</w:t>
      </w:r>
      <w:r w:rsidR="00AE6CF4">
        <w:rPr>
          <w:szCs w:val="22"/>
        </w:rPr>
        <w:t xml:space="preserve"> FM radio-type</w:t>
      </w:r>
      <w:r w:rsidRPr="00384119">
        <w:rPr>
          <w:szCs w:val="22"/>
        </w:rPr>
        <w:t xml:space="preserve"> operation following their conversion to digital.</w:t>
      </w:r>
      <w:r w:rsidR="006B3206">
        <w:rPr>
          <w:rStyle w:val="FootnoteReference"/>
          <w:szCs w:val="22"/>
        </w:rPr>
        <w:footnoteReference w:id="111"/>
      </w:r>
      <w:r w:rsidR="000F5874">
        <w:t xml:space="preserve">  </w:t>
      </w:r>
      <w:r w:rsidR="00935AAD">
        <w:t>For example</w:t>
      </w:r>
      <w:r w:rsidR="008778C1">
        <w:t xml:space="preserve">, </w:t>
      </w:r>
      <w:r w:rsidR="00384119">
        <w:t xml:space="preserve">a station </w:t>
      </w:r>
      <w:r w:rsidR="008778C1">
        <w:t xml:space="preserve">has proposed </w:t>
      </w:r>
      <w:r w:rsidR="00384119">
        <w:t xml:space="preserve">using a single </w:t>
      </w:r>
      <w:r w:rsidR="00E82ED1">
        <w:t xml:space="preserve">transmitter </w:t>
      </w:r>
      <w:r>
        <w:t xml:space="preserve">that </w:t>
      </w:r>
      <w:r w:rsidR="00E82ED1">
        <w:t>allows a digital visual and audio stream</w:t>
      </w:r>
      <w:r w:rsidR="008F17E1">
        <w:t>,</w:t>
      </w:r>
      <w:r w:rsidR="00E82ED1">
        <w:t xml:space="preserve"> as well as a separate analog audio transmission</w:t>
      </w:r>
      <w:r w:rsidR="008F17E1">
        <w:t>,</w:t>
      </w:r>
      <w:r w:rsidR="00A4622E">
        <w:t xml:space="preserve"> to </w:t>
      </w:r>
      <w:r>
        <w:t xml:space="preserve">simultaneously operate a digital LPTV station on channel 6 and an analog FM </w:t>
      </w:r>
      <w:r w:rsidR="00F216E5">
        <w:t>radio</w:t>
      </w:r>
      <w:r w:rsidR="00A4622E">
        <w:t>-type service at</w:t>
      </w:r>
      <w:r w:rsidR="00F216E5">
        <w:t xml:space="preserve"> 87.76 MHz</w:t>
      </w:r>
      <w:r>
        <w:t>.</w:t>
      </w:r>
      <w:r w:rsidR="008F17E1">
        <w:rPr>
          <w:rStyle w:val="FootnoteReference"/>
        </w:rPr>
        <w:footnoteReference w:id="112"/>
      </w:r>
      <w:r w:rsidR="008F17E1">
        <w:t xml:space="preserve">  </w:t>
      </w:r>
      <w:r w:rsidR="000F5874">
        <w:t xml:space="preserve">Under this proposal, </w:t>
      </w:r>
      <w:r w:rsidR="00CA496D">
        <w:t>we</w:t>
      </w:r>
      <w:r>
        <w:t xml:space="preserve"> </w:t>
      </w:r>
      <w:r w:rsidR="000F5874">
        <w:t xml:space="preserve">would </w:t>
      </w:r>
      <w:r>
        <w:t xml:space="preserve">treat the analog FM </w:t>
      </w:r>
      <w:r w:rsidR="00E82ED1" w:rsidRPr="00384119">
        <w:rPr>
          <w:szCs w:val="22"/>
        </w:rPr>
        <w:t xml:space="preserve">audio transmission as an “ancillary or supplementary” service offering under </w:t>
      </w:r>
      <w:r w:rsidR="008F17E1" w:rsidRPr="00384119">
        <w:rPr>
          <w:szCs w:val="22"/>
        </w:rPr>
        <w:t xml:space="preserve">section </w:t>
      </w:r>
      <w:r w:rsidR="00F216E5" w:rsidRPr="00384119">
        <w:rPr>
          <w:szCs w:val="22"/>
        </w:rPr>
        <w:t>74.790(i) of the Commission’s rules</w:t>
      </w:r>
      <w:r w:rsidR="00AE6CF4">
        <w:rPr>
          <w:szCs w:val="22"/>
        </w:rPr>
        <w:t>,</w:t>
      </w:r>
      <w:r w:rsidR="00F216E5" w:rsidRPr="00384119">
        <w:rPr>
          <w:szCs w:val="22"/>
        </w:rPr>
        <w:t xml:space="preserve"> </w:t>
      </w:r>
      <w:r w:rsidR="008F17E1" w:rsidRPr="00384119">
        <w:rPr>
          <w:szCs w:val="22"/>
        </w:rPr>
        <w:t>which</w:t>
      </w:r>
      <w:r w:rsidR="00F216E5" w:rsidRPr="00384119">
        <w:rPr>
          <w:szCs w:val="22"/>
        </w:rPr>
        <w:t xml:space="preserve"> provides that “a digital LPTV station may offer services of any nature, consistent with the public interest, convenience, and necessity, on an ancillary or supplementary basis in accordance with the provisions of § 73.624(c)</w:t>
      </w:r>
      <w:r w:rsidR="00192A3C">
        <w:rPr>
          <w:szCs w:val="22"/>
        </w:rPr>
        <w:t xml:space="preserve"> . . . .</w:t>
      </w:r>
      <w:r w:rsidR="00F216E5" w:rsidRPr="00384119">
        <w:rPr>
          <w:szCs w:val="22"/>
        </w:rPr>
        <w:t>”</w:t>
      </w:r>
      <w:r w:rsidR="00F216E5">
        <w:rPr>
          <w:rStyle w:val="FootnoteReference"/>
          <w:szCs w:val="22"/>
        </w:rPr>
        <w:footnoteReference w:id="113"/>
      </w:r>
      <w:r w:rsidR="00F216E5" w:rsidRPr="00384119">
        <w:rPr>
          <w:szCs w:val="22"/>
        </w:rPr>
        <w:t xml:space="preserve"> </w:t>
      </w:r>
      <w:r w:rsidR="00CA496D">
        <w:rPr>
          <w:szCs w:val="22"/>
        </w:rPr>
        <w:t xml:space="preserve"> </w:t>
      </w:r>
      <w:r w:rsidR="00F216E5" w:rsidRPr="00384119">
        <w:rPr>
          <w:szCs w:val="22"/>
        </w:rPr>
        <w:t>Section 73.624(c) in turn provides that:</w:t>
      </w:r>
    </w:p>
    <w:p w:rsidR="00F216E5" w:rsidRPr="00F216E5" w:rsidRDefault="00F216E5" w:rsidP="00F216E5">
      <w:pPr>
        <w:pStyle w:val="ParaNum"/>
        <w:numPr>
          <w:ilvl w:val="0"/>
          <w:numId w:val="0"/>
        </w:numPr>
        <w:ind w:left="1440" w:right="1440"/>
        <w:rPr>
          <w:szCs w:val="22"/>
        </w:rPr>
      </w:pPr>
      <w:r w:rsidRPr="00F216E5">
        <w:rPr>
          <w:szCs w:val="22"/>
        </w:rPr>
        <w:t>The kinds of services that may be provided include, but are not limited to computer software distribution, data transmissions, teletext, interactive materials, aural messages, paging services, audio signals, subscription video, and any other services that do not derogate DTV broadcast stations</w:t>
      </w:r>
      <w:r w:rsidR="00AE6CF4">
        <w:rPr>
          <w:szCs w:val="22"/>
        </w:rPr>
        <w:t>’</w:t>
      </w:r>
      <w:r w:rsidRPr="00F216E5">
        <w:rPr>
          <w:szCs w:val="22"/>
        </w:rPr>
        <w:t xml:space="preserve"> obligations under paragraph (b) of </w:t>
      </w:r>
      <w:r>
        <w:rPr>
          <w:szCs w:val="22"/>
        </w:rPr>
        <w:t>this section.</w:t>
      </w:r>
      <w:r w:rsidR="00045E05">
        <w:rPr>
          <w:rStyle w:val="FootnoteReference"/>
          <w:szCs w:val="22"/>
        </w:rPr>
        <w:footnoteReference w:id="114"/>
      </w:r>
    </w:p>
    <w:p w:rsidR="007A698B" w:rsidRPr="009B0AB4" w:rsidRDefault="00F216E5" w:rsidP="002F646E">
      <w:pPr>
        <w:pStyle w:val="ParaNum"/>
        <w:widowControl/>
        <w:rPr>
          <w:szCs w:val="22"/>
        </w:rPr>
      </w:pPr>
      <w:r w:rsidRPr="00F216E5">
        <w:t xml:space="preserve"> </w:t>
      </w:r>
      <w:r w:rsidR="006378F2">
        <w:t>We seek comment on whether to permit LPTV stations</w:t>
      </w:r>
      <w:r w:rsidR="006378F2">
        <w:rPr>
          <w:rStyle w:val="FootnoteReference"/>
        </w:rPr>
        <w:footnoteReference w:id="115"/>
      </w:r>
      <w:r w:rsidR="006378F2">
        <w:t xml:space="preserve"> </w:t>
      </w:r>
      <w:r w:rsidR="00741171" w:rsidRPr="009B0AB4">
        <w:rPr>
          <w:szCs w:val="22"/>
        </w:rPr>
        <w:t xml:space="preserve">on digital television channel 6 </w:t>
      </w:r>
      <w:r w:rsidR="00741171" w:rsidRPr="007A100C">
        <w:rPr>
          <w:szCs w:val="22"/>
        </w:rPr>
        <w:t xml:space="preserve">(82-88 MHz) </w:t>
      </w:r>
      <w:r w:rsidR="006378F2">
        <w:t xml:space="preserve">to operate dual digital and analog transmission systems in this manner. </w:t>
      </w:r>
      <w:r w:rsidR="00F53368">
        <w:t xml:space="preserve"> </w:t>
      </w:r>
      <w:r w:rsidR="00F53368" w:rsidRPr="00F53368">
        <w:t>These stations are low power television stations and, following the eventual transition, will be operating solely in digital</w:t>
      </w:r>
      <w:r w:rsidR="00F53368">
        <w:t>.</w:t>
      </w:r>
      <w:r w:rsidR="00B47BDB">
        <w:t xml:space="preserve">  </w:t>
      </w:r>
      <w:r w:rsidR="00F53368">
        <w:t xml:space="preserve">We seek comment on whether </w:t>
      </w:r>
      <w:r w:rsidR="005A1BFF">
        <w:t xml:space="preserve">a </w:t>
      </w:r>
      <w:r w:rsidR="005A1BFF" w:rsidRPr="008849B5">
        <w:t>digital LPTV station</w:t>
      </w:r>
      <w:r w:rsidR="005A1BFF">
        <w:t xml:space="preserve"> </w:t>
      </w:r>
      <w:r w:rsidR="00F53368">
        <w:t xml:space="preserve">can </w:t>
      </w:r>
      <w:r w:rsidR="007138D9">
        <w:t>provi</w:t>
      </w:r>
      <w:r w:rsidR="005A1BFF">
        <w:t xml:space="preserve">de </w:t>
      </w:r>
      <w:r w:rsidR="007138D9">
        <w:t>an analog FM radio</w:t>
      </w:r>
      <w:r w:rsidR="00D33B7B">
        <w:t>-type</w:t>
      </w:r>
      <w:r w:rsidR="007138D9">
        <w:t xml:space="preserve"> service </w:t>
      </w:r>
      <w:r w:rsidR="005A1BFF">
        <w:t xml:space="preserve">as an </w:t>
      </w:r>
      <w:r w:rsidR="00E82ED1">
        <w:t>ancillary or supplementary</w:t>
      </w:r>
      <w:r w:rsidR="007138D9">
        <w:t xml:space="preserve"> service</w:t>
      </w:r>
      <w:r w:rsidR="005A1BFF">
        <w:t xml:space="preserve"> consistent with the Communications Act and our rules</w:t>
      </w:r>
      <w:r w:rsidR="00F53368">
        <w:t>.</w:t>
      </w:r>
      <w:r w:rsidR="00AE6CF4">
        <w:rPr>
          <w:rStyle w:val="FootnoteReference"/>
        </w:rPr>
        <w:footnoteReference w:id="116"/>
      </w:r>
      <w:r w:rsidR="009B0AB4">
        <w:t xml:space="preserve">  For example, whenever operating</w:t>
      </w:r>
      <w:r w:rsidR="009B0AB4" w:rsidRPr="009B0AB4">
        <w:t>, a digital LPTV station must transmit an over-the-air video program signal at no direct charge to viewers</w:t>
      </w:r>
      <w:r w:rsidR="009B0AB4">
        <w:t>.</w:t>
      </w:r>
      <w:r w:rsidR="009B0AB4">
        <w:rPr>
          <w:rStyle w:val="FootnoteReference"/>
        </w:rPr>
        <w:footnoteReference w:id="117"/>
      </w:r>
      <w:r w:rsidR="007A100C">
        <w:t xml:space="preserve">  In addition, </w:t>
      </w:r>
      <w:r w:rsidR="005011A1">
        <w:t>s</w:t>
      </w:r>
      <w:r w:rsidR="007A698B">
        <w:t>ection 336(b)(1)</w:t>
      </w:r>
      <w:r w:rsidR="007A100C">
        <w:t xml:space="preserve"> of the Communications Act</w:t>
      </w:r>
      <w:r w:rsidR="007A698B">
        <w:t xml:space="preserve">, provides that the Commission </w:t>
      </w:r>
      <w:r w:rsidR="00BF4F08">
        <w:t xml:space="preserve">may </w:t>
      </w:r>
      <w:r w:rsidR="007A698B">
        <w:t xml:space="preserve">only permit ancillary or supplementary services </w:t>
      </w:r>
      <w:r w:rsidR="004E6BCC">
        <w:t>“</w:t>
      </w:r>
      <w:r w:rsidR="007A698B">
        <w:t>if the use of a designated frequency for such services is consistent with the technology or method designated by the Commission for the provision of advanced television services.”</w:t>
      </w:r>
      <w:r w:rsidR="007A698B">
        <w:rPr>
          <w:rStyle w:val="FootnoteReference"/>
        </w:rPr>
        <w:footnoteReference w:id="118"/>
      </w:r>
      <w:r w:rsidR="007A698B">
        <w:t xml:space="preserve">  We seek comment on whether a digital LPTV station offering an analog </w:t>
      </w:r>
      <w:r w:rsidR="002B0518">
        <w:t xml:space="preserve">FM </w:t>
      </w:r>
      <w:r w:rsidR="007A698B">
        <w:t>radio-type service</w:t>
      </w:r>
      <w:r w:rsidR="007A100C">
        <w:t xml:space="preserve"> on an ancillary or supplementary basis would be able to satisfy these </w:t>
      </w:r>
      <w:r w:rsidR="00B650CA">
        <w:t>requirement</w:t>
      </w:r>
      <w:r w:rsidR="007A100C">
        <w:t>s</w:t>
      </w:r>
      <w:r w:rsidR="00B650CA">
        <w:t>.</w:t>
      </w:r>
      <w:r w:rsidR="007A698B">
        <w:t xml:space="preserve">  </w:t>
      </w:r>
    </w:p>
    <w:p w:rsidR="00734404" w:rsidRPr="00734404" w:rsidRDefault="00AE6763" w:rsidP="006B1989">
      <w:pPr>
        <w:pStyle w:val="ParaNum"/>
        <w:rPr>
          <w:szCs w:val="22"/>
        </w:rPr>
      </w:pPr>
      <w:r>
        <w:t>W</w:t>
      </w:r>
      <w:r w:rsidR="00B650CA">
        <w:t xml:space="preserve">e </w:t>
      </w:r>
      <w:r w:rsidR="00B47BDB">
        <w:t>also seek</w:t>
      </w:r>
      <w:r>
        <w:t xml:space="preserve"> </w:t>
      </w:r>
      <w:r w:rsidR="00B650CA">
        <w:t xml:space="preserve">comment on the potential </w:t>
      </w:r>
      <w:r>
        <w:t>for a digital LPTV station’s analog FM radio-type service to</w:t>
      </w:r>
      <w:r w:rsidR="00B650CA">
        <w:t xml:space="preserve"> interfere </w:t>
      </w:r>
      <w:r w:rsidR="006B1989" w:rsidRPr="00B23BC1">
        <w:t xml:space="preserve">with or disrupt the </w:t>
      </w:r>
      <w:r w:rsidR="006B1989">
        <w:t xml:space="preserve">LPTV </w:t>
      </w:r>
      <w:r w:rsidR="006B1989" w:rsidRPr="00B23BC1">
        <w:t>station’s digital TV service</w:t>
      </w:r>
      <w:r w:rsidR="006B1989" w:rsidRPr="00AE6763">
        <w:rPr>
          <w:szCs w:val="22"/>
        </w:rPr>
        <w:t xml:space="preserve">.  </w:t>
      </w:r>
      <w:r w:rsidRPr="00AE6763">
        <w:rPr>
          <w:color w:val="000000"/>
          <w:szCs w:val="22"/>
        </w:rPr>
        <w:t xml:space="preserve">Section 336(b)(2) </w:t>
      </w:r>
      <w:r w:rsidR="005011A1">
        <w:rPr>
          <w:color w:val="000000"/>
          <w:szCs w:val="22"/>
        </w:rPr>
        <w:t xml:space="preserve">of the Act </w:t>
      </w:r>
      <w:r w:rsidRPr="00AE6763">
        <w:rPr>
          <w:color w:val="000000"/>
          <w:szCs w:val="22"/>
        </w:rPr>
        <w:t>provides that the Commission shall “limit the broadcasting of ancillary or supplementary services on designated frequencies so as to avoid derogation of any advanced television services, including high definition television broadcasts, that the Commission may require using such frequencies.”</w:t>
      </w:r>
      <w:r>
        <w:rPr>
          <w:rStyle w:val="FootnoteReference"/>
          <w:szCs w:val="22"/>
        </w:rPr>
        <w:footnoteReference w:id="119"/>
      </w:r>
      <w:r w:rsidRPr="00AE6763">
        <w:rPr>
          <w:color w:val="000000"/>
          <w:szCs w:val="22"/>
        </w:rPr>
        <w:t xml:space="preserve">  </w:t>
      </w:r>
      <w:r w:rsidR="006B1989">
        <w:t xml:space="preserve">Would a </w:t>
      </w:r>
      <w:r w:rsidR="004E6BCC">
        <w:t xml:space="preserve">digital </w:t>
      </w:r>
      <w:r w:rsidR="006B1989">
        <w:t xml:space="preserve">LPTV station be able to operate an analog transmitter without interfering or derogating its co-channel digital operation?  </w:t>
      </w:r>
    </w:p>
    <w:p w:rsidR="00293CAE" w:rsidRPr="00323B46" w:rsidRDefault="006B1989" w:rsidP="002F646E">
      <w:pPr>
        <w:pStyle w:val="ParaNum"/>
        <w:widowControl/>
        <w:rPr>
          <w:szCs w:val="22"/>
        </w:rPr>
      </w:pPr>
      <w:r>
        <w:t>In addition, we seek comment on the potential of interference to other primary licensees</w:t>
      </w:r>
      <w:r w:rsidR="00B650CA">
        <w:t xml:space="preserve">.  </w:t>
      </w:r>
      <w:r w:rsidR="009B5A8D">
        <w:t xml:space="preserve">Because </w:t>
      </w:r>
      <w:r w:rsidR="00D33B7B">
        <w:t>an</w:t>
      </w:r>
      <w:r w:rsidR="009B5A8D">
        <w:t xml:space="preserve"> LPTV station operates on a secondary interference basis, the provision of an ancillary or supplementary service by the station must also </w:t>
      </w:r>
      <w:r w:rsidR="00B650CA">
        <w:t xml:space="preserve">be </w:t>
      </w:r>
      <w:r w:rsidR="009B5A8D">
        <w:t xml:space="preserve">on a secondary basis.  Therefore, it must protect the operations of all primary licensees.  LPTV stations on channel 6 are </w:t>
      </w:r>
      <w:r w:rsidR="009B5A8D" w:rsidRPr="00B70FE9">
        <w:t>second and third adjacent to</w:t>
      </w:r>
      <w:r w:rsidR="009B5A8D">
        <w:t xml:space="preserve"> FM channels 201 and 202, which are licensed on a primary basis for NCE FM radio operations.  We seek comment on the potential for interference from digital LPTV stations’ ancillary or supplementary analog FM radio-type operations to primary licensees</w:t>
      </w:r>
      <w:r w:rsidR="00BD230A">
        <w:t>,</w:t>
      </w:r>
      <w:r w:rsidR="009B5A8D">
        <w:t xml:space="preserve"> including NCE FM radio stations.  </w:t>
      </w:r>
      <w:r w:rsidR="00BF4F08">
        <w:t>We</w:t>
      </w:r>
      <w:r w:rsidR="009B5A8D">
        <w:t xml:space="preserve"> </w:t>
      </w:r>
      <w:r w:rsidR="00B650CA">
        <w:t xml:space="preserve">also </w:t>
      </w:r>
      <w:r w:rsidR="009B5A8D">
        <w:t xml:space="preserve">seek comment on </w:t>
      </w:r>
      <w:r w:rsidR="00BF4F08">
        <w:t>what rules we might adopt</w:t>
      </w:r>
      <w:r w:rsidR="009B5A8D">
        <w:t xml:space="preserve"> to prevent such interference.  </w:t>
      </w:r>
      <w:r>
        <w:t xml:space="preserve">If we permit such operations, </w:t>
      </w:r>
      <w:r w:rsidR="00B47BDB">
        <w:t>should we</w:t>
      </w:r>
      <w:r>
        <w:t xml:space="preserve"> prohibit any overlap between </w:t>
      </w:r>
      <w:r w:rsidRPr="00323B46">
        <w:t xml:space="preserve">the </w:t>
      </w:r>
      <w:r>
        <w:t>100</w:t>
      </w:r>
      <w:r w:rsidRPr="00323B46">
        <w:t xml:space="preserve"> dBu </w:t>
      </w:r>
      <w:r>
        <w:t xml:space="preserve">interfering </w:t>
      </w:r>
      <w:r w:rsidRPr="00323B46">
        <w:t xml:space="preserve">contour of the </w:t>
      </w:r>
      <w:r>
        <w:t>c</w:t>
      </w:r>
      <w:r w:rsidRPr="00323B46">
        <w:t xml:space="preserve">hannel 6 </w:t>
      </w:r>
      <w:r>
        <w:t xml:space="preserve">LPTV </w:t>
      </w:r>
      <w:r w:rsidRPr="00323B46">
        <w:t xml:space="preserve">station and the </w:t>
      </w:r>
      <w:r>
        <w:t xml:space="preserve">60 </w:t>
      </w:r>
      <w:r w:rsidRPr="00323B46">
        <w:t xml:space="preserve">dBu </w:t>
      </w:r>
      <w:r>
        <w:t xml:space="preserve">protected </w:t>
      </w:r>
      <w:r w:rsidRPr="00323B46">
        <w:t xml:space="preserve">contour of the </w:t>
      </w:r>
      <w:r>
        <w:t xml:space="preserve">NCE </w:t>
      </w:r>
      <w:r w:rsidRPr="00323B46">
        <w:t>FM station</w:t>
      </w:r>
      <w:r w:rsidR="00B47BDB">
        <w:t>?</w:t>
      </w:r>
      <w:r>
        <w:rPr>
          <w:rStyle w:val="FootnoteReference"/>
        </w:rPr>
        <w:footnoteReference w:id="120"/>
      </w:r>
      <w:r>
        <w:t xml:space="preserve">  </w:t>
      </w:r>
      <w:r w:rsidRPr="006B1989">
        <w:t xml:space="preserve">In addition, </w:t>
      </w:r>
      <w:r w:rsidR="00B47BDB">
        <w:t xml:space="preserve">should </w:t>
      </w:r>
      <w:r w:rsidR="009743C9">
        <w:t xml:space="preserve">we propose that if </w:t>
      </w:r>
      <w:r w:rsidRPr="006B1989">
        <w:t xml:space="preserve">the operation of the LPTV </w:t>
      </w:r>
      <w:r w:rsidR="00AE6763">
        <w:t xml:space="preserve">station </w:t>
      </w:r>
      <w:r w:rsidRPr="006B1989">
        <w:t>cause</w:t>
      </w:r>
      <w:r w:rsidR="009743C9">
        <w:t>s</w:t>
      </w:r>
      <w:r w:rsidRPr="006B1989">
        <w:t xml:space="preserve"> any actual interference to the transmission of any authorized FM broadcast station, the LPTV station would be required to eliminate the interference or immediately suspend operations</w:t>
      </w:r>
      <w:r w:rsidR="00B47BDB">
        <w:t>?</w:t>
      </w:r>
      <w:r w:rsidRPr="006B1989">
        <w:t xml:space="preserve">  </w:t>
      </w:r>
      <w:r w:rsidR="00B650CA">
        <w:t>Would</w:t>
      </w:r>
      <w:r w:rsidR="009B5A8D">
        <w:t xml:space="preserve"> such a prohibition of contour overlap adequately prevent interference to primary licensees including NCE FM stations</w:t>
      </w:r>
      <w:r w:rsidR="00B650CA">
        <w:t>?</w:t>
      </w:r>
    </w:p>
    <w:p w:rsidR="00293CAE" w:rsidRPr="00293CAE" w:rsidRDefault="007A698B" w:rsidP="009B5A8D">
      <w:pPr>
        <w:pStyle w:val="ParaNum"/>
        <w:rPr>
          <w:szCs w:val="22"/>
        </w:rPr>
      </w:pPr>
      <w:r>
        <w:t xml:space="preserve"> </w:t>
      </w:r>
      <w:r w:rsidR="00B650CA">
        <w:t>If we</w:t>
      </w:r>
      <w:r w:rsidR="004113FD">
        <w:t xml:space="preserve"> decide to</w:t>
      </w:r>
      <w:r w:rsidR="00B650CA">
        <w:t xml:space="preserve"> permit analog FM radio-type operations by LPTV stations</w:t>
      </w:r>
      <w:r w:rsidR="00AE6763" w:rsidRPr="00AE6763">
        <w:t xml:space="preserve"> </w:t>
      </w:r>
      <w:r w:rsidR="00AE6763">
        <w:t>on an ancillary or</w:t>
      </w:r>
      <w:r w:rsidR="004E6BCC">
        <w:t xml:space="preserve"> </w:t>
      </w:r>
      <w:r w:rsidR="00AE6763">
        <w:t>supplementary basis</w:t>
      </w:r>
      <w:r w:rsidR="00B650CA">
        <w:t>, we also seek comment on whether such operations should be subject to the Part 73 rules applicable to FM radio stations.</w:t>
      </w:r>
      <w:r w:rsidR="001F1F56">
        <w:rPr>
          <w:rStyle w:val="FootnoteReference"/>
        </w:rPr>
        <w:footnoteReference w:id="121"/>
      </w:r>
      <w:r w:rsidR="00B650CA">
        <w:t xml:space="preserve">  S</w:t>
      </w:r>
      <w:r w:rsidR="00293CAE">
        <w:t>ection 336(b)(3) of the Communications Act mandates that the Commission “</w:t>
      </w:r>
      <w:r w:rsidR="00293CAE" w:rsidRPr="00293CAE">
        <w:t>apply to any other ancillary or supplementary service such of the Commission’s regulations as are applicable to the offering of analogous services by any other person</w:t>
      </w:r>
      <w:r w:rsidR="00293CAE">
        <w:t xml:space="preserve"> . . . .”</w:t>
      </w:r>
      <w:r w:rsidR="00293CAE">
        <w:rPr>
          <w:rStyle w:val="FootnoteReference"/>
        </w:rPr>
        <w:footnoteReference w:id="122"/>
      </w:r>
      <w:r w:rsidR="00293CAE">
        <w:t xml:space="preserve">  </w:t>
      </w:r>
      <w:r w:rsidR="00E11049" w:rsidRPr="00406849">
        <w:rPr>
          <w:szCs w:val="22"/>
        </w:rPr>
        <w:t xml:space="preserve">We seek comment </w:t>
      </w:r>
      <w:r w:rsidR="00CE274A">
        <w:rPr>
          <w:szCs w:val="22"/>
        </w:rPr>
        <w:t xml:space="preserve">on </w:t>
      </w:r>
      <w:r w:rsidR="00E11049" w:rsidRPr="00406849">
        <w:rPr>
          <w:szCs w:val="22"/>
        </w:rPr>
        <w:t>whether the analog FM radio</w:t>
      </w:r>
      <w:r w:rsidR="00406849" w:rsidRPr="00406849">
        <w:rPr>
          <w:szCs w:val="22"/>
        </w:rPr>
        <w:t>-</w:t>
      </w:r>
      <w:r w:rsidR="00E11049" w:rsidRPr="00406849">
        <w:rPr>
          <w:szCs w:val="22"/>
        </w:rPr>
        <w:t xml:space="preserve">type service </w:t>
      </w:r>
      <w:r w:rsidR="00406849" w:rsidRPr="00406849">
        <w:rPr>
          <w:szCs w:val="22"/>
        </w:rPr>
        <w:t xml:space="preserve">discussed herein </w:t>
      </w:r>
      <w:r w:rsidR="00045E05" w:rsidRPr="00406849">
        <w:rPr>
          <w:szCs w:val="22"/>
        </w:rPr>
        <w:t>is</w:t>
      </w:r>
      <w:r w:rsidR="00E11049" w:rsidRPr="00406849">
        <w:rPr>
          <w:szCs w:val="22"/>
        </w:rPr>
        <w:t xml:space="preserve"> “analogous to other services subject to regulation by the Commission”</w:t>
      </w:r>
      <w:r w:rsidR="007729FB">
        <w:rPr>
          <w:szCs w:val="22"/>
        </w:rPr>
        <w:t xml:space="preserve"> within the meaning of </w:t>
      </w:r>
      <w:r w:rsidR="005011A1">
        <w:rPr>
          <w:szCs w:val="22"/>
        </w:rPr>
        <w:t>s</w:t>
      </w:r>
      <w:r w:rsidR="007729FB">
        <w:rPr>
          <w:szCs w:val="22"/>
        </w:rPr>
        <w:t xml:space="preserve">ection 336(b)(3) and the Commission’s implementing rules and, if so, on which of the Part 73 rules should apply to the offering of </w:t>
      </w:r>
      <w:r w:rsidR="004E6BCC">
        <w:rPr>
          <w:szCs w:val="22"/>
        </w:rPr>
        <w:t xml:space="preserve">an </w:t>
      </w:r>
      <w:r w:rsidR="007729FB">
        <w:rPr>
          <w:szCs w:val="22"/>
        </w:rPr>
        <w:t xml:space="preserve">analog FM radio-type service.  </w:t>
      </w:r>
      <w:r w:rsidR="00CE274A">
        <w:rPr>
          <w:szCs w:val="22"/>
        </w:rPr>
        <w:t>T</w:t>
      </w:r>
      <w:r w:rsidR="00E11049" w:rsidRPr="00406849">
        <w:rPr>
          <w:szCs w:val="22"/>
        </w:rPr>
        <w:t>he Pa</w:t>
      </w:r>
      <w:r w:rsidR="00045E05" w:rsidRPr="00406849">
        <w:rPr>
          <w:szCs w:val="22"/>
        </w:rPr>
        <w:t>rt 73 rules</w:t>
      </w:r>
      <w:r w:rsidR="00406849" w:rsidRPr="00406849">
        <w:rPr>
          <w:szCs w:val="22"/>
        </w:rPr>
        <w:t xml:space="preserve"> </w:t>
      </w:r>
      <w:r w:rsidR="00E11049" w:rsidRPr="00406849">
        <w:rPr>
          <w:szCs w:val="22"/>
        </w:rPr>
        <w:t xml:space="preserve">require, </w:t>
      </w:r>
      <w:r w:rsidR="00CE274A">
        <w:rPr>
          <w:szCs w:val="22"/>
        </w:rPr>
        <w:t>for example, that an FM radio station file</w:t>
      </w:r>
      <w:r w:rsidR="00B76C5B">
        <w:rPr>
          <w:szCs w:val="22"/>
        </w:rPr>
        <w:t xml:space="preserve"> an application for </w:t>
      </w:r>
      <w:r w:rsidR="009B5A8D">
        <w:rPr>
          <w:szCs w:val="22"/>
        </w:rPr>
        <w:t xml:space="preserve">a </w:t>
      </w:r>
      <w:r w:rsidR="00B76C5B">
        <w:rPr>
          <w:szCs w:val="22"/>
        </w:rPr>
        <w:t xml:space="preserve">construction permit and </w:t>
      </w:r>
      <w:r w:rsidR="00B70FE9" w:rsidRPr="00406849">
        <w:rPr>
          <w:szCs w:val="22"/>
        </w:rPr>
        <w:t>license to operate,</w:t>
      </w:r>
      <w:r w:rsidR="001674F8">
        <w:rPr>
          <w:rStyle w:val="FootnoteReference"/>
          <w:szCs w:val="22"/>
        </w:rPr>
        <w:footnoteReference w:id="123"/>
      </w:r>
      <w:r w:rsidR="00907D4B">
        <w:rPr>
          <w:szCs w:val="22"/>
        </w:rPr>
        <w:t xml:space="preserve"> </w:t>
      </w:r>
      <w:r w:rsidR="009B5A8D">
        <w:rPr>
          <w:szCs w:val="22"/>
        </w:rPr>
        <w:t>that stations be located on c</w:t>
      </w:r>
      <w:r w:rsidR="009B5A8D" w:rsidRPr="009B5A8D">
        <w:rPr>
          <w:szCs w:val="22"/>
        </w:rPr>
        <w:t>hannels 88.1 MHz through 107.9 MHz</w:t>
      </w:r>
      <w:r w:rsidR="009B5A8D">
        <w:rPr>
          <w:szCs w:val="22"/>
        </w:rPr>
        <w:t>,</w:t>
      </w:r>
      <w:r w:rsidR="009B5A8D">
        <w:rPr>
          <w:rStyle w:val="FootnoteReference"/>
          <w:szCs w:val="22"/>
        </w:rPr>
        <w:footnoteReference w:id="124"/>
      </w:r>
      <w:r w:rsidR="009B5A8D">
        <w:rPr>
          <w:szCs w:val="22"/>
        </w:rPr>
        <w:t xml:space="preserve"> </w:t>
      </w:r>
      <w:r w:rsidR="00E11049" w:rsidRPr="00406849">
        <w:rPr>
          <w:szCs w:val="22"/>
        </w:rPr>
        <w:t xml:space="preserve">that </w:t>
      </w:r>
      <w:r w:rsidR="00B70FE9" w:rsidRPr="00406849">
        <w:rPr>
          <w:szCs w:val="22"/>
        </w:rPr>
        <w:t xml:space="preserve">primary FM </w:t>
      </w:r>
      <w:r w:rsidR="00E11049" w:rsidRPr="00406849">
        <w:rPr>
          <w:szCs w:val="22"/>
        </w:rPr>
        <w:t>channels be allotted through rulemaking,</w:t>
      </w:r>
      <w:r w:rsidR="001674F8">
        <w:rPr>
          <w:rStyle w:val="FootnoteReference"/>
          <w:szCs w:val="22"/>
        </w:rPr>
        <w:footnoteReference w:id="125"/>
      </w:r>
      <w:r w:rsidR="007729FB">
        <w:rPr>
          <w:szCs w:val="22"/>
        </w:rPr>
        <w:t xml:space="preserve"> </w:t>
      </w:r>
      <w:r w:rsidR="00A36A05">
        <w:rPr>
          <w:szCs w:val="22"/>
        </w:rPr>
        <w:t>that such stations maintain a main studio and public inspection file</w:t>
      </w:r>
      <w:r w:rsidR="00E11049" w:rsidRPr="00406849">
        <w:rPr>
          <w:szCs w:val="22"/>
        </w:rPr>
        <w:t>,</w:t>
      </w:r>
      <w:r w:rsidR="001674F8">
        <w:rPr>
          <w:rStyle w:val="FootnoteReference"/>
          <w:szCs w:val="22"/>
        </w:rPr>
        <w:footnoteReference w:id="126"/>
      </w:r>
      <w:r w:rsidR="00E11049" w:rsidRPr="00406849">
        <w:rPr>
          <w:szCs w:val="22"/>
        </w:rPr>
        <w:t xml:space="preserve"> </w:t>
      </w:r>
      <w:r w:rsidR="00406849" w:rsidRPr="00406849">
        <w:rPr>
          <w:szCs w:val="22"/>
        </w:rPr>
        <w:t>and that the use of such frequencies in border areas be coordinated with Canada and Mexico.</w:t>
      </w:r>
      <w:r w:rsidR="00406849">
        <w:rPr>
          <w:rStyle w:val="FootnoteReference"/>
          <w:szCs w:val="22"/>
        </w:rPr>
        <w:footnoteReference w:id="127"/>
      </w:r>
      <w:r w:rsidR="00406849" w:rsidRPr="00406849">
        <w:rPr>
          <w:szCs w:val="22"/>
        </w:rPr>
        <w:t xml:space="preserve">  </w:t>
      </w:r>
    </w:p>
    <w:p w:rsidR="00DD6CA4" w:rsidRPr="00F56F5F" w:rsidRDefault="00323B46" w:rsidP="005E5F1F">
      <w:pPr>
        <w:pStyle w:val="ParaNum"/>
      </w:pPr>
      <w:r>
        <w:t xml:space="preserve">Finally, should we permit the provision of an </w:t>
      </w:r>
      <w:r w:rsidR="004E6BCC">
        <w:t xml:space="preserve">analog </w:t>
      </w:r>
      <w:r>
        <w:t>FM radio</w:t>
      </w:r>
      <w:r w:rsidR="003656BF">
        <w:t>-type</w:t>
      </w:r>
      <w:r>
        <w:t xml:space="preserve"> service on an ancillary or supplementary basis, we seek comment </w:t>
      </w:r>
      <w:r w:rsidR="00CE274A">
        <w:t xml:space="preserve">on </w:t>
      </w:r>
      <w:r>
        <w:t xml:space="preserve">whether </w:t>
      </w:r>
      <w:r w:rsidR="00CE274A">
        <w:t xml:space="preserve">that </w:t>
      </w:r>
      <w:r>
        <w:t xml:space="preserve">service would be subject to </w:t>
      </w:r>
      <w:r w:rsidR="007729FB">
        <w:t>a</w:t>
      </w:r>
      <w:r>
        <w:t xml:space="preserve"> five percent fee.</w:t>
      </w:r>
      <w:r w:rsidR="005E5F1F">
        <w:rPr>
          <w:rStyle w:val="FootnoteReference"/>
        </w:rPr>
        <w:footnoteReference w:id="128"/>
      </w:r>
      <w:r>
        <w:t xml:space="preserve">  </w:t>
      </w:r>
      <w:r w:rsidR="004E6BCC">
        <w:t>Our</w:t>
      </w:r>
      <w:r>
        <w:t xml:space="preserve"> ancillary and supplementary rule provides that digi</w:t>
      </w:r>
      <w:r w:rsidR="005E5F1F">
        <w:t>t</w:t>
      </w:r>
      <w:r>
        <w:t>al television stations “</w:t>
      </w:r>
      <w:r w:rsidRPr="005E5F1F">
        <w:rPr>
          <w:szCs w:val="22"/>
        </w:rPr>
        <w:t>must annually remit a fee of five percent of the gross revenues derived from all ancillary and supplementary services</w:t>
      </w:r>
      <w:r w:rsidR="003857B5">
        <w:rPr>
          <w:szCs w:val="22"/>
        </w:rPr>
        <w:t xml:space="preserve"> . . . </w:t>
      </w:r>
      <w:r w:rsidRPr="005E5F1F">
        <w:rPr>
          <w:szCs w:val="22"/>
        </w:rPr>
        <w:t>which are feeable</w:t>
      </w:r>
      <w:r w:rsidR="003857B5">
        <w:rPr>
          <w:szCs w:val="22"/>
        </w:rPr>
        <w:t xml:space="preserve"> . . . .</w:t>
      </w:r>
      <w:r w:rsidRPr="005E5F1F">
        <w:rPr>
          <w:szCs w:val="22"/>
        </w:rPr>
        <w:t>.”</w:t>
      </w:r>
      <w:r w:rsidR="005E5F1F">
        <w:rPr>
          <w:rStyle w:val="FootnoteReference"/>
          <w:szCs w:val="22"/>
        </w:rPr>
        <w:footnoteReference w:id="129"/>
      </w:r>
      <w:r w:rsidRPr="005E5F1F">
        <w:rPr>
          <w:szCs w:val="22"/>
        </w:rPr>
        <w:t xml:space="preserve">  “</w:t>
      </w:r>
      <w:r w:rsidR="004E6BCC">
        <w:rPr>
          <w:szCs w:val="22"/>
        </w:rPr>
        <w:t>F</w:t>
      </w:r>
      <w:r w:rsidRPr="005E5F1F">
        <w:rPr>
          <w:szCs w:val="22"/>
        </w:rPr>
        <w:t xml:space="preserve">eeable” </w:t>
      </w:r>
      <w:r w:rsidR="004E6BCC">
        <w:rPr>
          <w:szCs w:val="22"/>
        </w:rPr>
        <w:t xml:space="preserve">services are defined </w:t>
      </w:r>
      <w:r w:rsidRPr="005E5F1F">
        <w:rPr>
          <w:szCs w:val="22"/>
        </w:rPr>
        <w:t>as “[a]ll ancillary or supplementary services for which payment of a subscription fee or charge is required in order to receive the service</w:t>
      </w:r>
      <w:r w:rsidR="005E5F1F" w:rsidRPr="005E5F1F">
        <w:rPr>
          <w:szCs w:val="22"/>
        </w:rPr>
        <w:t>.</w:t>
      </w:r>
      <w:r w:rsidRPr="005E5F1F">
        <w:rPr>
          <w:szCs w:val="22"/>
        </w:rPr>
        <w:t>”</w:t>
      </w:r>
      <w:r w:rsidR="005E5F1F">
        <w:rPr>
          <w:rStyle w:val="FootnoteReference"/>
          <w:szCs w:val="22"/>
        </w:rPr>
        <w:footnoteReference w:id="130"/>
      </w:r>
      <w:r w:rsidR="005E5F1F" w:rsidRPr="005E5F1F">
        <w:rPr>
          <w:szCs w:val="22"/>
        </w:rPr>
        <w:t xml:space="preserve">  </w:t>
      </w:r>
      <w:r w:rsidR="004824A3">
        <w:rPr>
          <w:szCs w:val="22"/>
        </w:rPr>
        <w:t>“</w:t>
      </w:r>
      <w:r w:rsidR="005E5F1F" w:rsidRPr="005E5F1F">
        <w:rPr>
          <w:szCs w:val="22"/>
        </w:rPr>
        <w:t>Feeable</w:t>
      </w:r>
      <w:r w:rsidR="004824A3">
        <w:rPr>
          <w:szCs w:val="22"/>
        </w:rPr>
        <w:t>”</w:t>
      </w:r>
      <w:r w:rsidR="005E5F1F" w:rsidRPr="005E5F1F">
        <w:rPr>
          <w:szCs w:val="22"/>
        </w:rPr>
        <w:t xml:space="preserve"> services are also defined as</w:t>
      </w:r>
      <w:r w:rsidRPr="005E5F1F">
        <w:rPr>
          <w:szCs w:val="22"/>
        </w:rPr>
        <w:t xml:space="preserve"> “[a]ny ancillary or supplementary service for which no payment is required from consumers in order to receive the service . . . if the DTV licensee directly or indirectly receives compensation from a third party in return for the transmission of material provided by that third party (other than commercial advertisements used to support broadcasting for which a subscription fee is not required).</w:t>
      </w:r>
      <w:r w:rsidR="005E5F1F" w:rsidRPr="005E5F1F">
        <w:rPr>
          <w:szCs w:val="22"/>
        </w:rPr>
        <w:t>”</w:t>
      </w:r>
      <w:r w:rsidR="005E5F1F">
        <w:rPr>
          <w:rStyle w:val="FootnoteReference"/>
          <w:szCs w:val="22"/>
        </w:rPr>
        <w:footnoteReference w:id="131"/>
      </w:r>
      <w:r w:rsidR="005E5F1F" w:rsidRPr="005E5F1F">
        <w:rPr>
          <w:szCs w:val="22"/>
        </w:rPr>
        <w:t xml:space="preserve">   </w:t>
      </w:r>
      <w:r w:rsidR="005E5F1F">
        <w:rPr>
          <w:szCs w:val="22"/>
        </w:rPr>
        <w:t>The FM radio</w:t>
      </w:r>
      <w:r w:rsidR="00143883">
        <w:rPr>
          <w:szCs w:val="22"/>
        </w:rPr>
        <w:t>-type</w:t>
      </w:r>
      <w:r w:rsidR="005E5F1F">
        <w:rPr>
          <w:szCs w:val="22"/>
        </w:rPr>
        <w:t xml:space="preserve"> services provided by LPTV stations, thus far, </w:t>
      </w:r>
      <w:r w:rsidR="005E5F1F" w:rsidRPr="005E5F1F">
        <w:rPr>
          <w:szCs w:val="22"/>
        </w:rPr>
        <w:t xml:space="preserve">appear to have been available to the general public without subscription.  </w:t>
      </w:r>
      <w:r w:rsidR="00CE274A">
        <w:rPr>
          <w:szCs w:val="22"/>
        </w:rPr>
        <w:t>G</w:t>
      </w:r>
      <w:r w:rsidR="005E5F1F" w:rsidRPr="005E5F1F">
        <w:rPr>
          <w:szCs w:val="22"/>
        </w:rPr>
        <w:t>iven the</w:t>
      </w:r>
      <w:r w:rsidR="003857B5">
        <w:rPr>
          <w:szCs w:val="22"/>
        </w:rPr>
        <w:t>se</w:t>
      </w:r>
      <w:r w:rsidR="005E5F1F" w:rsidRPr="005E5F1F">
        <w:rPr>
          <w:szCs w:val="22"/>
        </w:rPr>
        <w:t xml:space="preserve"> definitions, we seek comment</w:t>
      </w:r>
      <w:r w:rsidR="00CE274A">
        <w:rPr>
          <w:szCs w:val="22"/>
        </w:rPr>
        <w:t xml:space="preserve"> on whether, and </w:t>
      </w:r>
      <w:r w:rsidR="005E5F1F">
        <w:rPr>
          <w:szCs w:val="22"/>
        </w:rPr>
        <w:t>under what circumstances,</w:t>
      </w:r>
      <w:r w:rsidR="005E5F1F" w:rsidRPr="005E5F1F">
        <w:rPr>
          <w:szCs w:val="22"/>
        </w:rPr>
        <w:t xml:space="preserve"> an LPTV station’s ancillary or supplementary analog FM radio service</w:t>
      </w:r>
      <w:r w:rsidR="005E5F1F">
        <w:rPr>
          <w:szCs w:val="22"/>
        </w:rPr>
        <w:t xml:space="preserve"> s</w:t>
      </w:r>
      <w:r w:rsidR="005E5F1F" w:rsidRPr="005E5F1F">
        <w:rPr>
          <w:szCs w:val="22"/>
        </w:rPr>
        <w:t>hould be deemed “feeable”</w:t>
      </w:r>
      <w:r w:rsidR="005E5F1F">
        <w:rPr>
          <w:szCs w:val="22"/>
        </w:rPr>
        <w:t xml:space="preserve"> and subject to the five percent fee.</w:t>
      </w:r>
    </w:p>
    <w:p w:rsidR="00F56F5F" w:rsidRPr="00F56F5F" w:rsidRDefault="00F56F5F" w:rsidP="00F56F5F">
      <w:pPr>
        <w:pStyle w:val="Heading2"/>
      </w:pPr>
      <w:bookmarkStart w:id="115" w:name="_Toc393265913"/>
      <w:r>
        <w:t>Elimination of Analog Tuner Requirement</w:t>
      </w:r>
      <w:bookmarkEnd w:id="115"/>
    </w:p>
    <w:p w:rsidR="00BE15F8" w:rsidRDefault="00BE15F8" w:rsidP="002F646E">
      <w:pPr>
        <w:pStyle w:val="ParaNum"/>
        <w:widowControl/>
      </w:pPr>
      <w:r w:rsidRPr="00BE15F8">
        <w:t>We seek comment on a proposed change to section 15.117(b) of our rules that would eliminate any obligation to integrate analog tuners in TV receivers.</w:t>
      </w:r>
      <w:r w:rsidR="008A7370">
        <w:rPr>
          <w:rStyle w:val="FootnoteReference"/>
        </w:rPr>
        <w:footnoteReference w:id="132"/>
      </w:r>
      <w:r w:rsidRPr="00BE15F8">
        <w:t xml:space="preserve">  This proposed modification would allow TV broadcast receiver manufacturers and importers to </w:t>
      </w:r>
      <w:r w:rsidR="00C84BBF">
        <w:t>ship</w:t>
      </w:r>
      <w:r w:rsidRPr="00BE15F8">
        <w:t xml:space="preserve"> and import devices without analog tuners before all LPTV and TV translator stations cease analog broadcasting, but would continue to require those devices to be able to receive all digital broadcast TV channels.</w:t>
      </w:r>
      <w:r w:rsidRPr="00BE15F8">
        <w:rPr>
          <w:sz w:val="20"/>
          <w:vertAlign w:val="superscript"/>
        </w:rPr>
        <w:footnoteReference w:id="133"/>
      </w:r>
      <w:r w:rsidRPr="00BE15F8">
        <w:t xml:space="preserve">  </w:t>
      </w:r>
      <w:r w:rsidR="008A7370" w:rsidRPr="003D20BD">
        <w:rPr>
          <w:szCs w:val="22"/>
        </w:rPr>
        <w:t>S</w:t>
      </w:r>
      <w:r w:rsidRPr="003D20BD">
        <w:rPr>
          <w:szCs w:val="22"/>
        </w:rPr>
        <w:t>ection 15.117(b)</w:t>
      </w:r>
      <w:r w:rsidR="008A7370" w:rsidRPr="003D20BD">
        <w:rPr>
          <w:szCs w:val="22"/>
        </w:rPr>
        <w:t xml:space="preserve"> currently provid</w:t>
      </w:r>
      <w:r w:rsidRPr="003D20BD">
        <w:rPr>
          <w:szCs w:val="22"/>
        </w:rPr>
        <w:t>es that “TV broadcast receivers shall be capable of adequately receiving all channels allocated by the Commission to the television broadcast service.”</w:t>
      </w:r>
      <w:r w:rsidRPr="00BE15F8">
        <w:rPr>
          <w:sz w:val="20"/>
          <w:szCs w:val="22"/>
          <w:vertAlign w:val="superscript"/>
        </w:rPr>
        <w:footnoteReference w:id="134"/>
      </w:r>
      <w:r w:rsidRPr="003D20BD">
        <w:rPr>
          <w:szCs w:val="22"/>
        </w:rPr>
        <w:t xml:space="preserve">  The purpose of this rule </w:t>
      </w:r>
      <w:r w:rsidR="00CE274A" w:rsidRPr="003D20BD">
        <w:rPr>
          <w:szCs w:val="22"/>
        </w:rPr>
        <w:t xml:space="preserve">is </w:t>
      </w:r>
      <w:r w:rsidRPr="003D20BD">
        <w:rPr>
          <w:szCs w:val="22"/>
        </w:rPr>
        <w:t>to ensure that television broadcast receivers receive all television broadcast channels irrespective of the channel’s place in the broadcast spectrum.</w:t>
      </w:r>
      <w:r w:rsidRPr="00BE15F8">
        <w:rPr>
          <w:sz w:val="20"/>
          <w:szCs w:val="22"/>
          <w:vertAlign w:val="superscript"/>
        </w:rPr>
        <w:footnoteReference w:id="135"/>
      </w:r>
      <w:r w:rsidR="003D20BD" w:rsidRPr="003D20BD">
        <w:rPr>
          <w:szCs w:val="22"/>
        </w:rPr>
        <w:t xml:space="preserve">  </w:t>
      </w:r>
      <w:r w:rsidRPr="003D20BD">
        <w:rPr>
          <w:color w:val="000000"/>
          <w:szCs w:val="22"/>
          <w:shd w:val="clear" w:color="auto" w:fill="FFFFFF"/>
        </w:rPr>
        <w:t xml:space="preserve">Given that all full power stations ceased analog broadcasts in 2009 and </w:t>
      </w:r>
      <w:r w:rsidR="000F68A3">
        <w:rPr>
          <w:color w:val="000000"/>
          <w:szCs w:val="22"/>
          <w:shd w:val="clear" w:color="auto" w:fill="FFFFFF"/>
        </w:rPr>
        <w:t xml:space="preserve">approximately </w:t>
      </w:r>
      <w:r w:rsidR="000F68A3" w:rsidRPr="000F68A3">
        <w:rPr>
          <w:color w:val="000000"/>
          <w:szCs w:val="22"/>
          <w:shd w:val="clear" w:color="auto" w:fill="FFFFFF"/>
        </w:rPr>
        <w:t>5</w:t>
      </w:r>
      <w:r w:rsidR="005C4589">
        <w:rPr>
          <w:color w:val="000000"/>
          <w:szCs w:val="22"/>
          <w:shd w:val="clear" w:color="auto" w:fill="FFFFFF"/>
        </w:rPr>
        <w:t>6</w:t>
      </w:r>
      <w:r w:rsidR="000F68A3" w:rsidRPr="000F68A3">
        <w:rPr>
          <w:color w:val="000000"/>
          <w:szCs w:val="22"/>
          <w:shd w:val="clear" w:color="auto" w:fill="FFFFFF"/>
        </w:rPr>
        <w:t>% of LPTV</w:t>
      </w:r>
      <w:r w:rsidR="000F68A3">
        <w:rPr>
          <w:color w:val="000000"/>
          <w:szCs w:val="22"/>
          <w:shd w:val="clear" w:color="auto" w:fill="FFFFFF"/>
        </w:rPr>
        <w:t>,</w:t>
      </w:r>
      <w:r w:rsidR="000F68A3" w:rsidRPr="000F68A3">
        <w:rPr>
          <w:color w:val="000000"/>
          <w:szCs w:val="22"/>
          <w:shd w:val="clear" w:color="auto" w:fill="FFFFFF"/>
        </w:rPr>
        <w:t xml:space="preserve"> </w:t>
      </w:r>
      <w:r w:rsidR="005C4589">
        <w:rPr>
          <w:color w:val="000000"/>
          <w:szCs w:val="22"/>
          <w:shd w:val="clear" w:color="auto" w:fill="FFFFFF"/>
        </w:rPr>
        <w:t>80</w:t>
      </w:r>
      <w:r w:rsidR="000F68A3" w:rsidRPr="000F68A3">
        <w:rPr>
          <w:color w:val="000000"/>
          <w:szCs w:val="22"/>
          <w:shd w:val="clear" w:color="auto" w:fill="FFFFFF"/>
        </w:rPr>
        <w:t>% of TV translator stations</w:t>
      </w:r>
      <w:r w:rsidR="000F68A3">
        <w:rPr>
          <w:color w:val="000000"/>
          <w:szCs w:val="22"/>
          <w:shd w:val="clear" w:color="auto" w:fill="FFFFFF"/>
        </w:rPr>
        <w:t xml:space="preserve"> and 5</w:t>
      </w:r>
      <w:r w:rsidR="005C4589">
        <w:rPr>
          <w:color w:val="000000"/>
          <w:szCs w:val="22"/>
          <w:shd w:val="clear" w:color="auto" w:fill="FFFFFF"/>
        </w:rPr>
        <w:t>8</w:t>
      </w:r>
      <w:r w:rsidR="000F68A3">
        <w:rPr>
          <w:color w:val="000000"/>
          <w:szCs w:val="22"/>
          <w:shd w:val="clear" w:color="auto" w:fill="FFFFFF"/>
        </w:rPr>
        <w:t>% of Class A television stations have completed their conversion to digital</w:t>
      </w:r>
      <w:r w:rsidRPr="003D20BD">
        <w:rPr>
          <w:color w:val="000000"/>
          <w:szCs w:val="22"/>
          <w:shd w:val="clear" w:color="auto" w:fill="FFFFFF"/>
        </w:rPr>
        <w:t>,</w:t>
      </w:r>
      <w:r w:rsidR="003D20BD">
        <w:rPr>
          <w:color w:val="000000"/>
          <w:szCs w:val="22"/>
          <w:shd w:val="clear" w:color="auto" w:fill="FFFFFF"/>
        </w:rPr>
        <w:t xml:space="preserve"> </w:t>
      </w:r>
      <w:r w:rsidRPr="003D20BD">
        <w:rPr>
          <w:color w:val="000000"/>
          <w:szCs w:val="22"/>
          <w:shd w:val="clear" w:color="auto" w:fill="FFFFFF"/>
        </w:rPr>
        <w:t xml:space="preserve">we seek comment on whether section 15.117(b) of our rules is still necessary to achieve its purpose.  </w:t>
      </w:r>
      <w:r w:rsidR="003D20BD" w:rsidRPr="003D20BD">
        <w:rPr>
          <w:color w:val="000000"/>
          <w:szCs w:val="22"/>
          <w:shd w:val="clear" w:color="auto" w:fill="FFFFFF"/>
        </w:rPr>
        <w:t xml:space="preserve"> </w:t>
      </w:r>
    </w:p>
    <w:p w:rsidR="00BE15F8" w:rsidRPr="00F52192" w:rsidRDefault="003D20BD" w:rsidP="00E17456">
      <w:pPr>
        <w:pStyle w:val="ParaNum"/>
      </w:pPr>
      <w:r w:rsidRPr="00F77262">
        <w:rPr>
          <w:color w:val="000000"/>
          <w:szCs w:val="22"/>
          <w:shd w:val="clear" w:color="auto" w:fill="FFFFFF"/>
        </w:rPr>
        <w:t>S</w:t>
      </w:r>
      <w:r w:rsidR="00BE15F8" w:rsidRPr="00F77262">
        <w:rPr>
          <w:color w:val="000000"/>
          <w:szCs w:val="22"/>
          <w:shd w:val="clear" w:color="auto" w:fill="FFFFFF"/>
        </w:rPr>
        <w:t xml:space="preserve">hould </w:t>
      </w:r>
      <w:r w:rsidRPr="00552477">
        <w:rPr>
          <w:color w:val="000000"/>
          <w:szCs w:val="22"/>
          <w:shd w:val="clear" w:color="auto" w:fill="FFFFFF"/>
        </w:rPr>
        <w:t xml:space="preserve">we </w:t>
      </w:r>
      <w:r w:rsidR="00BE15F8" w:rsidRPr="00552477">
        <w:rPr>
          <w:color w:val="000000"/>
          <w:szCs w:val="22"/>
          <w:shd w:val="clear" w:color="auto" w:fill="FFFFFF"/>
        </w:rPr>
        <w:t xml:space="preserve">eliminate the analog tuner requirement </w:t>
      </w:r>
      <w:r w:rsidRPr="004A3B6B">
        <w:rPr>
          <w:color w:val="000000"/>
          <w:szCs w:val="22"/>
          <w:shd w:val="clear" w:color="auto" w:fill="FFFFFF"/>
        </w:rPr>
        <w:t>before all broadcast TV</w:t>
      </w:r>
      <w:r w:rsidR="00BE15F8" w:rsidRPr="004A3B6B">
        <w:rPr>
          <w:color w:val="000000"/>
          <w:szCs w:val="22"/>
          <w:shd w:val="clear" w:color="auto" w:fill="FFFFFF"/>
        </w:rPr>
        <w:t xml:space="preserve"> stations</w:t>
      </w:r>
      <w:r w:rsidRPr="00F77262">
        <w:rPr>
          <w:color w:val="000000"/>
          <w:szCs w:val="22"/>
          <w:shd w:val="clear" w:color="auto" w:fill="FFFFFF"/>
        </w:rPr>
        <w:t xml:space="preserve"> cease</w:t>
      </w:r>
      <w:r w:rsidR="00BE15F8" w:rsidRPr="00F77262">
        <w:rPr>
          <w:color w:val="000000"/>
          <w:szCs w:val="22"/>
          <w:shd w:val="clear" w:color="auto" w:fill="FFFFFF"/>
        </w:rPr>
        <w:t xml:space="preserve"> broadcasting in analog?  What are the costs to manufacturers </w:t>
      </w:r>
      <w:r w:rsidRPr="00F77262">
        <w:rPr>
          <w:color w:val="000000"/>
          <w:szCs w:val="22"/>
          <w:shd w:val="clear" w:color="auto" w:fill="FFFFFF"/>
        </w:rPr>
        <w:t xml:space="preserve">of </w:t>
      </w:r>
      <w:r w:rsidR="00BE15F8" w:rsidRPr="00F77262">
        <w:rPr>
          <w:color w:val="000000"/>
          <w:szCs w:val="22"/>
          <w:shd w:val="clear" w:color="auto" w:fill="FFFFFF"/>
        </w:rPr>
        <w:t>continuing to build analog tuners in</w:t>
      </w:r>
      <w:r w:rsidR="00CE274A" w:rsidRPr="00F77262">
        <w:rPr>
          <w:color w:val="000000"/>
          <w:szCs w:val="22"/>
          <w:shd w:val="clear" w:color="auto" w:fill="FFFFFF"/>
        </w:rPr>
        <w:t>to</w:t>
      </w:r>
      <w:r w:rsidR="00BE15F8" w:rsidRPr="00F77262">
        <w:rPr>
          <w:color w:val="000000"/>
          <w:szCs w:val="22"/>
          <w:shd w:val="clear" w:color="auto" w:fill="FFFFFF"/>
        </w:rPr>
        <w:t xml:space="preserve"> their devices in comparison with the benefits to consumers?   </w:t>
      </w:r>
      <w:r w:rsidR="00CE274A" w:rsidRPr="00F77262">
        <w:rPr>
          <w:color w:val="000000"/>
          <w:szCs w:val="22"/>
          <w:shd w:val="clear" w:color="auto" w:fill="FFFFFF"/>
        </w:rPr>
        <w:t>In other words</w:t>
      </w:r>
      <w:r w:rsidR="00BE15F8" w:rsidRPr="00F77262">
        <w:rPr>
          <w:color w:val="000000"/>
          <w:szCs w:val="22"/>
          <w:shd w:val="clear" w:color="auto" w:fill="FFFFFF"/>
        </w:rPr>
        <w:t>, to what extent does the analog tuner requirement continue to serve the public interest given that all full power stations are digital and the vast majority of LPTV and TV translator stations are currently digital?</w:t>
      </w:r>
      <w:r w:rsidR="00F77262" w:rsidRPr="00F77262">
        <w:rPr>
          <w:color w:val="000000"/>
          <w:szCs w:val="22"/>
          <w:shd w:val="clear" w:color="auto" w:fill="FFFFFF"/>
        </w:rPr>
        <w:t xml:space="preserve">  If we eliminate the analog tuner requirement, should we otherwise modify Section 15.117 to remove requirements that apply to analog tuners?</w:t>
      </w:r>
      <w:r w:rsidR="00F77262" w:rsidRPr="00F77262">
        <w:rPr>
          <w:sz w:val="20"/>
          <w:szCs w:val="22"/>
          <w:shd w:val="clear" w:color="auto" w:fill="FFFFFF"/>
          <w:vertAlign w:val="superscript"/>
        </w:rPr>
        <w:footnoteReference w:id="136"/>
      </w:r>
      <w:r w:rsidR="00F77262" w:rsidRPr="00F77262">
        <w:rPr>
          <w:color w:val="000000"/>
          <w:szCs w:val="22"/>
          <w:shd w:val="clear" w:color="auto" w:fill="FFFFFF"/>
        </w:rPr>
        <w:t xml:space="preserve">  </w:t>
      </w:r>
    </w:p>
    <w:p w:rsidR="00BE15F8" w:rsidRPr="00F52192" w:rsidRDefault="00BE15F8" w:rsidP="00F52192">
      <w:pPr>
        <w:pStyle w:val="ParaNum"/>
      </w:pPr>
      <w:r w:rsidRPr="00F52192">
        <w:rPr>
          <w:color w:val="000000"/>
          <w:szCs w:val="22"/>
          <w:shd w:val="clear" w:color="auto" w:fill="FFFFFF"/>
        </w:rPr>
        <w:t xml:space="preserve">We note that the Media Bureau has waived the analog tuner requirement several times to </w:t>
      </w:r>
      <w:r w:rsidRPr="00BE15F8">
        <w:t>promote retail competition, reduce costs, and encourage energy efficiency.</w:t>
      </w:r>
      <w:r w:rsidRPr="00BE15F8">
        <w:rPr>
          <w:sz w:val="20"/>
          <w:vertAlign w:val="superscript"/>
        </w:rPr>
        <w:footnoteReference w:id="137"/>
      </w:r>
      <w:r w:rsidRPr="00BE15F8">
        <w:t xml:space="preserve">  In these instances, the Bureau concluded that waiver would save consumers money, reduce power consumption, and increase retail competition</w:t>
      </w:r>
      <w:r w:rsidRPr="00F52192">
        <w:rPr>
          <w:color w:val="000000"/>
          <w:szCs w:val="22"/>
          <w:shd w:val="clear" w:color="auto" w:fill="FFFFFF"/>
        </w:rPr>
        <w:t>.</w:t>
      </w:r>
      <w:r w:rsidRPr="00BE15F8">
        <w:rPr>
          <w:sz w:val="20"/>
          <w:vertAlign w:val="superscript"/>
        </w:rPr>
        <w:footnoteReference w:id="138"/>
      </w:r>
      <w:r w:rsidRPr="00F52192">
        <w:rPr>
          <w:color w:val="000000"/>
          <w:szCs w:val="22"/>
          <w:shd w:val="clear" w:color="auto" w:fill="FFFFFF"/>
        </w:rPr>
        <w:t xml:space="preserve">  Were those findings unique to the waiver requests at issue or do they apply more broadly?  Does the benefit of analog signal reception in every device for the few consumers that need it justify the cost and power consumption that analog tuners add to all devices?</w:t>
      </w:r>
    </w:p>
    <w:p w:rsidR="00BE15F8" w:rsidRDefault="003D20BD" w:rsidP="00F52192">
      <w:pPr>
        <w:pStyle w:val="ParaNum"/>
      </w:pPr>
      <w:r>
        <w:rPr>
          <w:color w:val="000000"/>
          <w:szCs w:val="22"/>
          <w:shd w:val="clear" w:color="auto" w:fill="FFFFFF"/>
        </w:rPr>
        <w:t>I</w:t>
      </w:r>
      <w:r w:rsidR="00BE15F8" w:rsidRPr="00F52192">
        <w:rPr>
          <w:color w:val="000000"/>
          <w:szCs w:val="22"/>
          <w:shd w:val="clear" w:color="auto" w:fill="FFFFFF"/>
        </w:rPr>
        <w:t>n its waiver orders</w:t>
      </w:r>
      <w:r w:rsidR="00A765CD">
        <w:rPr>
          <w:color w:val="000000"/>
          <w:szCs w:val="22"/>
          <w:shd w:val="clear" w:color="auto" w:fill="FFFFFF"/>
        </w:rPr>
        <w:t>,</w:t>
      </w:r>
      <w:r w:rsidR="00BE15F8" w:rsidRPr="00F52192">
        <w:rPr>
          <w:color w:val="000000"/>
          <w:szCs w:val="22"/>
          <w:shd w:val="clear" w:color="auto" w:fill="FFFFFF"/>
        </w:rPr>
        <w:t xml:space="preserve"> the Bureau found that granting a waiver of this rule in those specific cases would “have a </w:t>
      </w:r>
      <w:r w:rsidR="00BE15F8" w:rsidRPr="00F52192">
        <w:rPr>
          <w:i/>
          <w:color w:val="000000"/>
          <w:szCs w:val="22"/>
          <w:shd w:val="clear" w:color="auto" w:fill="FFFFFF"/>
        </w:rPr>
        <w:t>de minimis</w:t>
      </w:r>
      <w:r w:rsidR="00BE15F8" w:rsidRPr="00F52192">
        <w:rPr>
          <w:color w:val="000000"/>
          <w:szCs w:val="22"/>
          <w:shd w:val="clear" w:color="auto" w:fill="FFFFFF"/>
        </w:rPr>
        <w:t xml:space="preserve"> effect on consumers.”</w:t>
      </w:r>
      <w:r w:rsidR="00BE15F8" w:rsidRPr="00BE15F8">
        <w:rPr>
          <w:sz w:val="20"/>
          <w:shd w:val="clear" w:color="auto" w:fill="FFFFFF"/>
          <w:vertAlign w:val="superscript"/>
        </w:rPr>
        <w:footnoteReference w:id="139"/>
      </w:r>
      <w:r w:rsidR="00BE15F8" w:rsidRPr="00F52192">
        <w:rPr>
          <w:color w:val="000000"/>
          <w:szCs w:val="22"/>
          <w:shd w:val="clear" w:color="auto" w:fill="FFFFFF"/>
        </w:rPr>
        <w:t xml:space="preserve">  </w:t>
      </w:r>
      <w:r>
        <w:rPr>
          <w:color w:val="000000"/>
          <w:szCs w:val="22"/>
          <w:shd w:val="clear" w:color="auto" w:fill="FFFFFF"/>
        </w:rPr>
        <w:t>W</w:t>
      </w:r>
      <w:r w:rsidR="00BE15F8" w:rsidRPr="00F52192">
        <w:rPr>
          <w:color w:val="000000"/>
          <w:szCs w:val="22"/>
          <w:shd w:val="clear" w:color="auto" w:fill="FFFFFF"/>
        </w:rPr>
        <w:t xml:space="preserve">e seek comment on whether consumers will be able to rely on existing devices until the last of the </w:t>
      </w:r>
      <w:r>
        <w:rPr>
          <w:color w:val="000000"/>
          <w:szCs w:val="22"/>
          <w:shd w:val="clear" w:color="auto" w:fill="FFFFFF"/>
        </w:rPr>
        <w:t xml:space="preserve">analog LPTV and TV translator </w:t>
      </w:r>
      <w:r w:rsidR="00BE15F8" w:rsidRPr="00F52192">
        <w:rPr>
          <w:color w:val="000000"/>
          <w:szCs w:val="22"/>
          <w:shd w:val="clear" w:color="auto" w:fill="FFFFFF"/>
        </w:rPr>
        <w:t xml:space="preserve">stations has migrated to digital.  If some viewers need to purchase </w:t>
      </w:r>
      <w:r w:rsidR="00712C65">
        <w:rPr>
          <w:color w:val="000000"/>
          <w:szCs w:val="22"/>
          <w:shd w:val="clear" w:color="auto" w:fill="FFFFFF"/>
        </w:rPr>
        <w:t xml:space="preserve">additional </w:t>
      </w:r>
      <w:r w:rsidR="00BE15F8" w:rsidRPr="00BE15F8">
        <w:t>TV broadcast receivers with analog tuners</w:t>
      </w:r>
      <w:r w:rsidR="00BE15F8" w:rsidRPr="00F52192">
        <w:rPr>
          <w:color w:val="000000"/>
          <w:szCs w:val="22"/>
          <w:shd w:val="clear" w:color="auto" w:fill="FFFFFF"/>
        </w:rPr>
        <w:t xml:space="preserve">, will they be able to find used or specialty devices?  </w:t>
      </w:r>
      <w:r w:rsidR="00BE15F8" w:rsidRPr="00BE15F8">
        <w:t xml:space="preserve">Or is our existing rule necessary to ensure that these consumers will be able to view their local broadcast channels?  If we eliminate our rule, will </w:t>
      </w:r>
      <w:r w:rsidR="00175CC7">
        <w:t xml:space="preserve">all </w:t>
      </w:r>
      <w:r w:rsidR="00BE15F8" w:rsidRPr="00BE15F8">
        <w:t>manufacturers immediately cease including analog tuners in all their broadcast receivers?</w:t>
      </w:r>
    </w:p>
    <w:p w:rsidR="00BE15F8" w:rsidRPr="00344FEE" w:rsidRDefault="003A43F2" w:rsidP="00F52192">
      <w:pPr>
        <w:pStyle w:val="ParaNum"/>
        <w:rPr>
          <w:szCs w:val="22"/>
        </w:rPr>
      </w:pPr>
      <w:r>
        <w:rPr>
          <w:color w:val="000000"/>
          <w:szCs w:val="22"/>
          <w:shd w:val="clear" w:color="auto" w:fill="FFFFFF"/>
        </w:rPr>
        <w:t xml:space="preserve">In its waiver orders, </w:t>
      </w:r>
      <w:r w:rsidR="00BE15F8" w:rsidRPr="00F52192">
        <w:rPr>
          <w:color w:val="000000"/>
          <w:szCs w:val="22"/>
          <w:shd w:val="clear" w:color="auto" w:fill="FFFFFF"/>
        </w:rPr>
        <w:t xml:space="preserve">the Bureau </w:t>
      </w:r>
      <w:r>
        <w:rPr>
          <w:color w:val="000000"/>
          <w:szCs w:val="22"/>
          <w:shd w:val="clear" w:color="auto" w:fill="FFFFFF"/>
        </w:rPr>
        <w:t xml:space="preserve">also </w:t>
      </w:r>
      <w:r w:rsidR="00BE15F8" w:rsidRPr="00F52192">
        <w:rPr>
          <w:color w:val="000000"/>
          <w:szCs w:val="22"/>
          <w:shd w:val="clear" w:color="auto" w:fill="FFFFFF"/>
        </w:rPr>
        <w:t>conditioned the waivers on the recipients’ voluntary commitments to educate consumers and retailers about the devices’ limits and capabilities to prevent consumer confusion.</w:t>
      </w:r>
      <w:r w:rsidR="00BE15F8" w:rsidRPr="00BE15F8">
        <w:rPr>
          <w:sz w:val="20"/>
          <w:shd w:val="clear" w:color="auto" w:fill="FFFFFF"/>
          <w:vertAlign w:val="superscript"/>
        </w:rPr>
        <w:footnoteReference w:id="140"/>
      </w:r>
      <w:r w:rsidR="00BE15F8" w:rsidRPr="00F52192">
        <w:rPr>
          <w:color w:val="000000"/>
          <w:szCs w:val="22"/>
          <w:shd w:val="clear" w:color="auto" w:fill="FFFFFF"/>
        </w:rPr>
        <w:t xml:space="preserve">  If we </w:t>
      </w:r>
      <w:r>
        <w:rPr>
          <w:color w:val="000000"/>
          <w:szCs w:val="22"/>
          <w:shd w:val="clear" w:color="auto" w:fill="FFFFFF"/>
        </w:rPr>
        <w:t>adopt our proposal</w:t>
      </w:r>
      <w:r w:rsidR="00BE15F8" w:rsidRPr="00F52192">
        <w:rPr>
          <w:color w:val="000000"/>
          <w:szCs w:val="22"/>
          <w:shd w:val="clear" w:color="auto" w:fill="FFFFFF"/>
        </w:rPr>
        <w:t xml:space="preserve">, should we </w:t>
      </w:r>
      <w:r>
        <w:rPr>
          <w:color w:val="000000"/>
          <w:szCs w:val="22"/>
          <w:shd w:val="clear" w:color="auto" w:fill="FFFFFF"/>
        </w:rPr>
        <w:t>impose</w:t>
      </w:r>
      <w:r w:rsidRPr="00F52192">
        <w:rPr>
          <w:color w:val="000000"/>
          <w:szCs w:val="22"/>
          <w:shd w:val="clear" w:color="auto" w:fill="FFFFFF"/>
        </w:rPr>
        <w:t xml:space="preserve"> </w:t>
      </w:r>
      <w:r w:rsidR="00BE15F8" w:rsidRPr="00F52192">
        <w:rPr>
          <w:color w:val="000000"/>
          <w:szCs w:val="22"/>
          <w:shd w:val="clear" w:color="auto" w:fill="FFFFFF"/>
        </w:rPr>
        <w:t>similar consumer protection or education measures on broadcast receiver</w:t>
      </w:r>
      <w:r w:rsidR="00BE15F8" w:rsidRPr="00BE15F8">
        <w:t xml:space="preserve"> manufacturers and importers who market digital-only equipment prior to the LPTV and TV translator digital transition deadline</w:t>
      </w:r>
      <w:r w:rsidR="00BE15F8" w:rsidRPr="00F52192">
        <w:rPr>
          <w:color w:val="000000"/>
          <w:szCs w:val="22"/>
          <w:shd w:val="clear" w:color="auto" w:fill="FFFFFF"/>
        </w:rPr>
        <w:t xml:space="preserve">?  </w:t>
      </w:r>
      <w:r w:rsidR="00175CC7">
        <w:rPr>
          <w:color w:val="000000"/>
          <w:szCs w:val="22"/>
          <w:shd w:val="clear" w:color="auto" w:fill="FFFFFF"/>
        </w:rPr>
        <w:t xml:space="preserve">If so, should such measures only be required for a defined period of time?  </w:t>
      </w:r>
      <w:r w:rsidR="00BE15F8" w:rsidRPr="00F52192">
        <w:rPr>
          <w:color w:val="000000"/>
          <w:szCs w:val="22"/>
          <w:shd w:val="clear" w:color="auto" w:fill="FFFFFF"/>
        </w:rPr>
        <w:t xml:space="preserve">Or would such requirements be unnecessary because </w:t>
      </w:r>
      <w:r w:rsidR="00BE15F8" w:rsidRPr="00B24FAD">
        <w:rPr>
          <w:color w:val="000000"/>
          <w:szCs w:val="22"/>
          <w:shd w:val="clear" w:color="auto" w:fill="FFFFFF"/>
        </w:rPr>
        <w:t>the effect on consumers by the time any elimination would become effective will be “</w:t>
      </w:r>
      <w:r w:rsidR="00BE15F8" w:rsidRPr="00B24FAD">
        <w:rPr>
          <w:i/>
          <w:color w:val="000000"/>
          <w:szCs w:val="22"/>
          <w:shd w:val="clear" w:color="auto" w:fill="FFFFFF"/>
        </w:rPr>
        <w:t>de minimis</w:t>
      </w:r>
      <w:r w:rsidR="00BE15F8" w:rsidRPr="00B24FAD">
        <w:rPr>
          <w:color w:val="000000"/>
          <w:szCs w:val="22"/>
          <w:shd w:val="clear" w:color="auto" w:fill="FFFFFF"/>
        </w:rPr>
        <w:t xml:space="preserve">”?  </w:t>
      </w:r>
      <w:r>
        <w:rPr>
          <w:rStyle w:val="apple-style-span"/>
          <w:color w:val="000000"/>
          <w:szCs w:val="22"/>
          <w:shd w:val="clear" w:color="auto" w:fill="FFFFFF"/>
        </w:rPr>
        <w:t>W</w:t>
      </w:r>
      <w:r w:rsidR="00D53C80" w:rsidRPr="00B24FAD">
        <w:rPr>
          <w:rStyle w:val="apple-style-span"/>
          <w:color w:val="000000"/>
          <w:szCs w:val="22"/>
          <w:shd w:val="clear" w:color="auto" w:fill="FFFFFF"/>
        </w:rPr>
        <w:t xml:space="preserve">e </w:t>
      </w:r>
      <w:r>
        <w:rPr>
          <w:rStyle w:val="apple-style-span"/>
          <w:color w:val="000000"/>
          <w:szCs w:val="22"/>
          <w:shd w:val="clear" w:color="auto" w:fill="FFFFFF"/>
        </w:rPr>
        <w:t>invite comment on our</w:t>
      </w:r>
      <w:r w:rsidR="00D53C80" w:rsidRPr="00B24FAD">
        <w:rPr>
          <w:rStyle w:val="apple-style-span"/>
          <w:color w:val="000000"/>
          <w:szCs w:val="22"/>
          <w:shd w:val="clear" w:color="auto" w:fill="FFFFFF"/>
        </w:rPr>
        <w:t xml:space="preserve"> statutory authority to adopt consumer protection or education measures</w:t>
      </w:r>
      <w:r w:rsidR="00D53C80" w:rsidRPr="004D48FB">
        <w:rPr>
          <w:rStyle w:val="apple-style-span"/>
          <w:szCs w:val="22"/>
          <w:shd w:val="clear" w:color="auto" w:fill="FFFFFF"/>
        </w:rPr>
        <w:t xml:space="preserve"> </w:t>
      </w:r>
      <w:r>
        <w:rPr>
          <w:rStyle w:val="apple-style-span"/>
          <w:szCs w:val="22"/>
          <w:shd w:val="clear" w:color="auto" w:fill="FFFFFF"/>
        </w:rPr>
        <w:t xml:space="preserve">and </w:t>
      </w:r>
      <w:r w:rsidR="00BE15F8" w:rsidRPr="00B24FAD">
        <w:rPr>
          <w:color w:val="000000"/>
          <w:szCs w:val="22"/>
          <w:shd w:val="clear" w:color="auto" w:fill="FFFFFF"/>
        </w:rPr>
        <w:t>on any other issues related to our analog tuner rule that we should consider.</w:t>
      </w:r>
      <w:r w:rsidR="00C40B18">
        <w:rPr>
          <w:rStyle w:val="FootnoteReference"/>
          <w:szCs w:val="22"/>
          <w:shd w:val="clear" w:color="auto" w:fill="FFFFFF"/>
        </w:rPr>
        <w:footnoteReference w:id="141"/>
      </w:r>
    </w:p>
    <w:p w:rsidR="00344FEE" w:rsidRPr="00344FEE" w:rsidRDefault="00344FEE" w:rsidP="005C4FB0">
      <w:pPr>
        <w:pStyle w:val="Heading2"/>
      </w:pPr>
      <w:bookmarkStart w:id="116" w:name="_Toc393265914"/>
      <w:r w:rsidRPr="00344FEE">
        <w:t xml:space="preserve">Additional Measures to </w:t>
      </w:r>
      <w:r w:rsidR="005C4FB0" w:rsidRPr="005C4FB0">
        <w:t>Preserve LPTV and TV Translator Services</w:t>
      </w:r>
      <w:bookmarkEnd w:id="116"/>
    </w:p>
    <w:p w:rsidR="00712C65" w:rsidRPr="00344FEE" w:rsidRDefault="005C4FB0" w:rsidP="005C4FB0">
      <w:pPr>
        <w:pStyle w:val="ParaNum"/>
        <w:rPr>
          <w:szCs w:val="22"/>
        </w:rPr>
      </w:pPr>
      <w:r w:rsidRPr="005C4FB0">
        <w:rPr>
          <w:szCs w:val="22"/>
        </w:rPr>
        <w:t>Finally, we seek comment on additional measures we should consider in order to mitigate the impact of the incentive auction on LPTV and TV translator stations and to help preserve the important services they provide.  Commenters proposing other measures for consideration should identify our legal authority to take the proposed measures and describe in detail any perceived benefits and disadvantages of the measures advocated</w:t>
      </w:r>
      <w:r w:rsidR="00344FEE" w:rsidRPr="00344FEE">
        <w:rPr>
          <w:szCs w:val="22"/>
        </w:rPr>
        <w:t xml:space="preserve">.   </w:t>
      </w:r>
    </w:p>
    <w:p w:rsidR="00DD6CA4" w:rsidRPr="00DD6CA4" w:rsidRDefault="00DD6CA4" w:rsidP="00DD6CA4">
      <w:pPr>
        <w:pStyle w:val="Heading1"/>
      </w:pPr>
      <w:bookmarkStart w:id="117" w:name="_Toc393265915"/>
      <w:r w:rsidRPr="00DD6CA4">
        <w:t>PROCEDURAL MATTERS</w:t>
      </w:r>
      <w:bookmarkEnd w:id="117"/>
    </w:p>
    <w:p w:rsidR="00DD6CA4" w:rsidRPr="00DD6CA4" w:rsidRDefault="00DD6CA4" w:rsidP="00DD6CA4">
      <w:pPr>
        <w:pStyle w:val="Heading2"/>
      </w:pPr>
      <w:bookmarkStart w:id="118" w:name="_Toc393265916"/>
      <w:r w:rsidRPr="00DD6CA4">
        <w:t>Ex Parte Presentations</w:t>
      </w:r>
      <w:bookmarkEnd w:id="118"/>
    </w:p>
    <w:p w:rsidR="00DD6CA4" w:rsidRDefault="00DD6CA4" w:rsidP="00DD6CA4">
      <w:pPr>
        <w:pStyle w:val="ParaNum"/>
      </w:pPr>
      <w:bookmarkStart w:id="119" w:name="_Toc230683955"/>
      <w:bookmarkStart w:id="120" w:name="_Toc231534418"/>
      <w:bookmarkStart w:id="121" w:name="_Toc231535175"/>
      <w:bookmarkStart w:id="122" w:name="_Toc231549060"/>
      <w:bookmarkStart w:id="123" w:name="_Toc231610712"/>
      <w:bookmarkStart w:id="124" w:name="_Toc231619377"/>
      <w:bookmarkStart w:id="125" w:name="_Toc231687112"/>
      <w:bookmarkStart w:id="126" w:name="_Toc231706003"/>
      <w:bookmarkStart w:id="127" w:name="_Toc231706217"/>
      <w:bookmarkStart w:id="128" w:name="_Toc231707743"/>
      <w:bookmarkStart w:id="129" w:name="_Toc231812322"/>
      <w:bookmarkStart w:id="130" w:name="_Toc231873517"/>
      <w:bookmarkStart w:id="131" w:name="_Toc232214714"/>
      <w:bookmarkStart w:id="132" w:name="_Toc232219579"/>
      <w:bookmarkStart w:id="133" w:name="_Toc232307442"/>
      <w:bookmarkStart w:id="134" w:name="_Toc232388076"/>
      <w:bookmarkStart w:id="135" w:name="_Toc232392134"/>
      <w:bookmarkStart w:id="136" w:name="_Toc232397999"/>
      <w:bookmarkStart w:id="137" w:name="_Toc232399760"/>
      <w:bookmarkStart w:id="138" w:name="_Toc232400324"/>
      <w:bookmarkStart w:id="139" w:name="_Toc232400457"/>
      <w:bookmarkStart w:id="140" w:name="_Toc232403016"/>
      <w:bookmarkStart w:id="141" w:name="_Toc232404552"/>
      <w:bookmarkStart w:id="142" w:name="_Toc232406433"/>
      <w:bookmarkStart w:id="143" w:name="_Toc232408379"/>
      <w:bookmarkStart w:id="144" w:name="_Toc232410191"/>
      <w:bookmarkStart w:id="145" w:name="_Toc232410549"/>
      <w:bookmarkStart w:id="146" w:name="_Toc232411990"/>
      <w:bookmarkStart w:id="147" w:name="_Toc232412228"/>
      <w:bookmarkStart w:id="148" w:name="_Toc232419244"/>
      <w:bookmarkStart w:id="149" w:name="_Toc232421071"/>
      <w:bookmarkStart w:id="150" w:name="_Toc233442991"/>
      <w:bookmarkStart w:id="151" w:name="_Toc233443285"/>
      <w:bookmarkStart w:id="152" w:name="_Toc233450733"/>
      <w:bookmarkStart w:id="153" w:name="_Toc234125237"/>
      <w:bookmarkStart w:id="154" w:name="_Toc234806613"/>
      <w:bookmarkStart w:id="155" w:name="_Toc235253988"/>
      <w:bookmarkStart w:id="156" w:name="_Toc235499929"/>
      <w:bookmarkStart w:id="157" w:name="_Toc238548884"/>
      <w:bookmarkStart w:id="158" w:name="_Toc238549476"/>
      <w:bookmarkStart w:id="159" w:name="_Toc238612115"/>
      <w:bookmarkStart w:id="160" w:name="_Toc238612302"/>
      <w:bookmarkStart w:id="161" w:name="_Toc238612709"/>
      <w:bookmarkStart w:id="162" w:name="_Toc245199539"/>
      <w:bookmarkStart w:id="163" w:name="_Toc245202268"/>
      <w:bookmarkStart w:id="164" w:name="_Toc248739656"/>
      <w:bookmarkStart w:id="165" w:name="_Toc248740847"/>
      <w:bookmarkStart w:id="166" w:name="_Toc248803157"/>
      <w:bookmarkStart w:id="167" w:name="_Toc248804913"/>
      <w:bookmarkStart w:id="168" w:name="_Toc248814267"/>
      <w:bookmarkStart w:id="169" w:name="_Toc248909537"/>
      <w:bookmarkStart w:id="170" w:name="_Toc259178217"/>
      <w:bookmarkStart w:id="171" w:name="_Toc259178326"/>
      <w:bookmarkStart w:id="172" w:name="_Toc259779425"/>
      <w:bookmarkStart w:id="173" w:name="_Toc260058992"/>
      <w:bookmarkStart w:id="174" w:name="_Toc260125060"/>
      <w:bookmarkStart w:id="175" w:name="_Toc260135939"/>
      <w:bookmarkStart w:id="176" w:name="_Toc260388822"/>
      <w:bookmarkStart w:id="177" w:name="_Toc260905152"/>
      <w:bookmarkStart w:id="178" w:name="_Toc261507249"/>
      <w:bookmarkStart w:id="179" w:name="_Toc261585641"/>
      <w:bookmarkStart w:id="180" w:name="_Toc262717608"/>
      <w:bookmarkStart w:id="181" w:name="_Toc263400940"/>
      <w:bookmarkStart w:id="182" w:name="_Toc263688805"/>
      <w:bookmarkStart w:id="183" w:name="_Toc312236290"/>
      <w:bookmarkStart w:id="184" w:name="_Toc312237013"/>
      <w:bookmarkStart w:id="185" w:name="_Toc312237048"/>
      <w:bookmarkStart w:id="186" w:name="_Toc313634759"/>
      <w:bookmarkStart w:id="187" w:name="_Toc313635161"/>
      <w:bookmarkStart w:id="188" w:name="_Toc313635182"/>
      <w:bookmarkStart w:id="189" w:name="_Toc313635229"/>
      <w:bookmarkStart w:id="190" w:name="_Toc313635276"/>
      <w:bookmarkStart w:id="191" w:name="_Toc313635805"/>
      <w:bookmarkStart w:id="192" w:name="_Toc313635871"/>
      <w:bookmarkStart w:id="193" w:name="_Toc313636653"/>
      <w:bookmarkStart w:id="194" w:name="_Toc313637356"/>
      <w:bookmarkStart w:id="195" w:name="_Toc313637868"/>
      <w:bookmarkStart w:id="196" w:name="_Toc313638373"/>
      <w:bookmarkStart w:id="197" w:name="_Toc313881011"/>
      <w:bookmarkStart w:id="198" w:name="_Toc314216655"/>
      <w:bookmarkStart w:id="199" w:name="_Toc314216891"/>
      <w:bookmarkStart w:id="200" w:name="_Toc314218148"/>
      <w:bookmarkStart w:id="201" w:name="_Toc314228888"/>
      <w:bookmarkStart w:id="202" w:name="_Toc314229205"/>
      <w:bookmarkStart w:id="203" w:name="_Toc314234440"/>
      <w:bookmarkStart w:id="204" w:name="_Toc314234895"/>
      <w:bookmarkStart w:id="205" w:name="_Toc314236026"/>
      <w:bookmarkStart w:id="206" w:name="_Toc314238390"/>
      <w:bookmarkStart w:id="207" w:name="_Toc315344713"/>
      <w:bookmarkStart w:id="208" w:name="_Toc315349208"/>
      <w:bookmarkStart w:id="209" w:name="_Toc315349313"/>
      <w:bookmarkStart w:id="210" w:name="_Toc315349735"/>
      <w:bookmarkStart w:id="211" w:name="_Toc315351131"/>
      <w:bookmarkStart w:id="212" w:name="_Toc315352217"/>
      <w:bookmarkStart w:id="213" w:name="_Toc315443574"/>
      <w:bookmarkStart w:id="214" w:name="_Toc316030682"/>
      <w:bookmarkStart w:id="215" w:name="_Toc316032527"/>
      <w:bookmarkStart w:id="216" w:name="_Toc316033724"/>
      <w:bookmarkStart w:id="217" w:name="_Toc316037012"/>
      <w:bookmarkStart w:id="218" w:name="_Toc316037277"/>
      <w:bookmarkStart w:id="219" w:name="_Toc316038311"/>
      <w:bookmarkStart w:id="220" w:name="_Toc316038503"/>
      <w:bookmarkStart w:id="221" w:name="_Toc316038595"/>
      <w:bookmarkStart w:id="222" w:name="_Toc316041940"/>
      <w:bookmarkStart w:id="223" w:name="_Toc316043804"/>
      <w:bookmarkStart w:id="224" w:name="_Toc316059859"/>
      <w:bookmarkStart w:id="225" w:name="_Toc316060994"/>
      <w:bookmarkStart w:id="226" w:name="_Toc316392585"/>
      <w:bookmarkStart w:id="227" w:name="_Toc316393300"/>
      <w:bookmarkStart w:id="228" w:name="_Toc316393469"/>
      <w:bookmarkStart w:id="229" w:name="_Toc316394267"/>
      <w:bookmarkStart w:id="230" w:name="_Toc316396254"/>
      <w:bookmarkStart w:id="231" w:name="_Toc316987396"/>
      <w:bookmarkStart w:id="232" w:name="_Toc316987955"/>
      <w:bookmarkStart w:id="233" w:name="_Toc316992343"/>
      <w:bookmarkStart w:id="234" w:name="_Toc316999281"/>
      <w:bookmarkStart w:id="235" w:name="_Toc317002647"/>
      <w:bookmarkStart w:id="236" w:name="_Toc317161365"/>
      <w:bookmarkStart w:id="237" w:name="_Toc317164454"/>
      <w:bookmarkStart w:id="238" w:name="_Toc317168551"/>
      <w:bookmarkStart w:id="239" w:name="_Toc317174558"/>
      <w:bookmarkStart w:id="240" w:name="_Toc317240097"/>
      <w:bookmarkStart w:id="241" w:name="_Toc317240521"/>
      <w:bookmarkStart w:id="242" w:name="_Toc317263642"/>
      <w:bookmarkStart w:id="243" w:name="_Toc317759455"/>
      <w:r w:rsidRPr="00DD6CA4">
        <w:rPr>
          <w:lang w:val="x-none" w:eastAsia="x-none"/>
        </w:rPr>
        <w:t xml:space="preserve">The proceeding this </w:t>
      </w:r>
      <w:r w:rsidR="00B76C5B">
        <w:rPr>
          <w:i/>
          <w:lang w:eastAsia="x-none"/>
        </w:rPr>
        <w:t>Third Notice of Proposed Rulemaking</w:t>
      </w:r>
      <w:r w:rsidRPr="00DD6CA4">
        <w:rPr>
          <w:lang w:val="x-none" w:eastAsia="x-none"/>
        </w:rPr>
        <w:t xml:space="preserve"> initiates shall be treated as a “permit-but-disclose” proceeding in accordance with the Commission’s </w:t>
      </w:r>
      <w:r w:rsidRPr="00DD6CA4">
        <w:rPr>
          <w:i/>
          <w:iCs/>
          <w:lang w:val="x-none" w:eastAsia="x-none"/>
        </w:rPr>
        <w:t xml:space="preserve">ex parte </w:t>
      </w:r>
      <w:r w:rsidRPr="00DD6CA4">
        <w:rPr>
          <w:lang w:val="x-none" w:eastAsia="x-none"/>
        </w:rPr>
        <w:t>rules.</w:t>
      </w:r>
      <w:r w:rsidRPr="00DD6CA4">
        <w:rPr>
          <w:vertAlign w:val="superscript"/>
          <w:lang w:val="x-none"/>
        </w:rPr>
        <w:footnoteReference w:id="142"/>
      </w:r>
      <w:r w:rsidRPr="00DD6CA4">
        <w:rPr>
          <w:lang w:val="x-none" w:eastAsia="x-none"/>
        </w:rPr>
        <w:t xml:space="preserve">  Persons making </w:t>
      </w:r>
      <w:r w:rsidRPr="00DD6CA4">
        <w:rPr>
          <w:i/>
          <w:lang w:val="x-none" w:eastAsia="x-none"/>
        </w:rPr>
        <w:t xml:space="preserve">ex parte </w:t>
      </w:r>
      <w:r w:rsidRPr="00DD6CA4">
        <w:rPr>
          <w:lang w:val="x-none" w:eastAsia="x-none"/>
        </w:rPr>
        <w:t>presentations must file a copy of any written presentation or a memorandum summarizing any oral presentation within two business days after the presentation (unless a different deadline applicable to the Sunshine period applies).</w:t>
      </w:r>
      <w:r w:rsidR="00B76C5B">
        <w:rPr>
          <w:rStyle w:val="FootnoteReference"/>
          <w:lang w:val="x-none" w:eastAsia="x-none"/>
        </w:rPr>
        <w:footnoteReference w:id="143"/>
      </w:r>
      <w:r w:rsidRPr="00DD6CA4">
        <w:rPr>
          <w:lang w:val="x-none" w:eastAsia="x-none"/>
        </w:rPr>
        <w:t xml:space="preserve">  Persons making oral </w:t>
      </w:r>
      <w:r w:rsidRPr="00DD6CA4">
        <w:rPr>
          <w:i/>
          <w:iCs/>
          <w:lang w:val="x-none" w:eastAsia="x-none"/>
        </w:rPr>
        <w:t xml:space="preserve">ex parte </w:t>
      </w:r>
      <w:r w:rsidRPr="00DD6CA4">
        <w:rPr>
          <w:lang w:val="x-none" w:eastAsia="x-none"/>
        </w:rPr>
        <w:t xml:space="preserve">presentations are reminded that memoranda summarizing the presentation must (1) list all persons attending or otherwise participating in the meeting at which the </w:t>
      </w:r>
      <w:r w:rsidRPr="00DD6CA4">
        <w:rPr>
          <w:i/>
          <w:iCs/>
          <w:lang w:val="x-none" w:eastAsia="x-none"/>
        </w:rPr>
        <w:t xml:space="preserve">ex parte </w:t>
      </w:r>
      <w:r w:rsidRPr="00DD6CA4">
        <w:rPr>
          <w:lang w:val="x-none" w:eastAsia="x-none"/>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D6CA4">
        <w:rPr>
          <w:i/>
          <w:iCs/>
          <w:lang w:val="x-none" w:eastAsia="x-none"/>
        </w:rPr>
        <w:t xml:space="preserve">ex parte </w:t>
      </w:r>
      <w:r w:rsidRPr="00DD6CA4">
        <w:rPr>
          <w:lang w:val="x-none" w:eastAsia="x-none"/>
        </w:rPr>
        <w:t xml:space="preserve">meetings are deemed to be written </w:t>
      </w:r>
      <w:r w:rsidRPr="00DD6CA4">
        <w:rPr>
          <w:i/>
          <w:iCs/>
          <w:lang w:val="x-none" w:eastAsia="x-none"/>
        </w:rPr>
        <w:t>ex parte</w:t>
      </w:r>
      <w:r w:rsidRPr="00DD6CA4">
        <w:rPr>
          <w:lang w:val="x-none" w:eastAsia="x-none"/>
        </w:rPr>
        <w:t xml:space="preserve"> presentations and must be filed consistent with </w:t>
      </w:r>
      <w:r w:rsidR="00B76C5B">
        <w:rPr>
          <w:lang w:eastAsia="x-none"/>
        </w:rPr>
        <w:t xml:space="preserve">section </w:t>
      </w:r>
      <w:r w:rsidRPr="00DD6CA4">
        <w:rPr>
          <w:lang w:val="x-none" w:eastAsia="x-none"/>
        </w:rPr>
        <w:t>1.1206(b)</w:t>
      </w:r>
      <w:r w:rsidR="00B76C5B">
        <w:rPr>
          <w:lang w:eastAsia="x-none"/>
        </w:rPr>
        <w:t xml:space="preserve"> of the rules</w:t>
      </w:r>
      <w:r w:rsidRPr="00DD6CA4">
        <w:rPr>
          <w:lang w:val="x-none" w:eastAsia="x-none"/>
        </w:rPr>
        <w:t>.</w:t>
      </w:r>
      <w:r w:rsidR="00B76C5B">
        <w:rPr>
          <w:rStyle w:val="FootnoteReference"/>
          <w:lang w:val="x-none" w:eastAsia="x-none"/>
        </w:rPr>
        <w:footnoteReference w:id="144"/>
      </w:r>
      <w:r w:rsidRPr="00DD6CA4">
        <w:rPr>
          <w:lang w:val="x-none" w:eastAsia="x-none"/>
        </w:rPr>
        <w:t xml:space="preserve">  In proceedings governed by </w:t>
      </w:r>
      <w:r w:rsidR="00B76C5B">
        <w:rPr>
          <w:lang w:eastAsia="x-none"/>
        </w:rPr>
        <w:t xml:space="preserve">section </w:t>
      </w:r>
      <w:r w:rsidRPr="00DD6CA4">
        <w:rPr>
          <w:lang w:val="x-none" w:eastAsia="x-none"/>
        </w:rPr>
        <w:t xml:space="preserve">1.49(f) </w:t>
      </w:r>
      <w:r w:rsidR="00B76C5B">
        <w:rPr>
          <w:lang w:eastAsia="x-none"/>
        </w:rPr>
        <w:t>of the rules</w:t>
      </w:r>
      <w:r w:rsidR="00B76C5B">
        <w:rPr>
          <w:rStyle w:val="FootnoteReference"/>
          <w:lang w:eastAsia="x-none"/>
        </w:rPr>
        <w:footnoteReference w:id="145"/>
      </w:r>
      <w:r w:rsidR="00B76C5B">
        <w:rPr>
          <w:lang w:eastAsia="x-none"/>
        </w:rPr>
        <w:t xml:space="preserve"> </w:t>
      </w:r>
      <w:r w:rsidRPr="00DD6CA4">
        <w:rPr>
          <w:lang w:val="x-none" w:eastAsia="x-none"/>
        </w:rPr>
        <w:t xml:space="preserve">or for which the Commission has made available a method of electronic filing, written </w:t>
      </w:r>
      <w:r w:rsidRPr="00DD6CA4">
        <w:rPr>
          <w:i/>
          <w:iCs/>
          <w:lang w:val="x-none" w:eastAsia="x-none"/>
        </w:rPr>
        <w:t xml:space="preserve">ex parte </w:t>
      </w:r>
      <w:r w:rsidRPr="00DD6CA4">
        <w:rPr>
          <w:lang w:val="x-none" w:eastAsia="x-none"/>
        </w:rPr>
        <w:t xml:space="preserve">presentations and memoranda summarizing oral </w:t>
      </w:r>
      <w:r w:rsidRPr="00DD6CA4">
        <w:rPr>
          <w:i/>
          <w:iCs/>
          <w:lang w:val="x-none" w:eastAsia="x-none"/>
        </w:rPr>
        <w:t xml:space="preserve">ex parte </w:t>
      </w:r>
      <w:r w:rsidRPr="00DD6CA4">
        <w:rPr>
          <w:lang w:val="x-none" w:eastAsia="x-none"/>
        </w:rPr>
        <w:t>presentations, and all attachments thereto, must be filed through the electronic comment filing system available for that proceeding, and must be filed in their native format (</w:t>
      </w:r>
      <w:r w:rsidRPr="00DD6CA4">
        <w:rPr>
          <w:i/>
          <w:iCs/>
          <w:lang w:val="x-none" w:eastAsia="x-none"/>
        </w:rPr>
        <w:t>e.g.</w:t>
      </w:r>
      <w:r w:rsidRPr="00DD6CA4">
        <w:rPr>
          <w:lang w:val="x-none" w:eastAsia="x-none"/>
        </w:rPr>
        <w:t xml:space="preserve">, .doc, .xml, .ppt, searchable .pdf).  Participants in this proceeding should familiarize themselves with the Commission’s </w:t>
      </w:r>
      <w:r w:rsidRPr="00DD6CA4">
        <w:rPr>
          <w:i/>
          <w:iCs/>
          <w:lang w:val="x-none" w:eastAsia="x-none"/>
        </w:rPr>
        <w:t xml:space="preserve">ex parte </w:t>
      </w:r>
      <w:r w:rsidRPr="00DD6CA4">
        <w:rPr>
          <w:lang w:val="x-none" w:eastAsia="x-none"/>
        </w:rPr>
        <w:t>rules.</w:t>
      </w:r>
    </w:p>
    <w:p w:rsidR="00DD6CA4" w:rsidRDefault="00DD6CA4" w:rsidP="00DD6CA4">
      <w:pPr>
        <w:pStyle w:val="Heading2"/>
      </w:pPr>
      <w:bookmarkStart w:id="244" w:name="_Toc393265917"/>
      <w:r w:rsidRPr="00DD6CA4">
        <w:t>Comment Period and Filing Procedures</w:t>
      </w:r>
      <w:bookmarkEnd w:id="244"/>
    </w:p>
    <w:p w:rsidR="00DD6CA4" w:rsidRDefault="00DD6CA4" w:rsidP="00DD6CA4">
      <w:pPr>
        <w:pStyle w:val="ParaNum"/>
      </w:pPr>
      <w:r w:rsidRPr="00DD6CA4">
        <w:rPr>
          <w:lang w:val="x-none" w:eastAsia="x-none"/>
        </w:rPr>
        <w:t xml:space="preserve">Pursuant to sections 1.415 and 1.419 of the Commission’s rules, 47 C.F.R. §§ 1.415, 1.419, interested parties may file comments and reply comments on or before the dates indicated on the first page of this document.  </w:t>
      </w:r>
      <w:r w:rsidRPr="00DD6CA4">
        <w:rPr>
          <w:bCs/>
          <w:color w:val="000000"/>
          <w:szCs w:val="22"/>
          <w:lang w:val="x-none" w:eastAsia="x-none"/>
        </w:rPr>
        <w:t xml:space="preserve">All filings related to this </w:t>
      </w:r>
      <w:r w:rsidR="00B76C5B">
        <w:rPr>
          <w:bCs/>
          <w:i/>
          <w:color w:val="000000"/>
          <w:szCs w:val="22"/>
          <w:lang w:eastAsia="x-none"/>
        </w:rPr>
        <w:t>Third Notice of Proposed Rulemaking</w:t>
      </w:r>
      <w:r w:rsidR="00B76C5B">
        <w:rPr>
          <w:bCs/>
          <w:color w:val="000000"/>
          <w:szCs w:val="22"/>
          <w:lang w:eastAsia="x-none"/>
        </w:rPr>
        <w:t xml:space="preserve"> sh</w:t>
      </w:r>
      <w:r w:rsidRPr="00DD6CA4">
        <w:rPr>
          <w:bCs/>
          <w:color w:val="000000"/>
          <w:szCs w:val="22"/>
          <w:lang w:val="x-none" w:eastAsia="x-none"/>
        </w:rPr>
        <w:t xml:space="preserve">ould refer to </w:t>
      </w:r>
      <w:r w:rsidRPr="00DD6CA4">
        <w:rPr>
          <w:color w:val="000000"/>
          <w:spacing w:val="-2"/>
          <w:szCs w:val="22"/>
          <w:lang w:val="x-none" w:eastAsia="x-none"/>
        </w:rPr>
        <w:t xml:space="preserve">Docket No. </w:t>
      </w:r>
      <w:r w:rsidR="00B76C5B">
        <w:rPr>
          <w:color w:val="000000"/>
          <w:spacing w:val="-2"/>
          <w:szCs w:val="22"/>
          <w:lang w:eastAsia="x-none"/>
        </w:rPr>
        <w:t>03-185</w:t>
      </w:r>
      <w:r w:rsidR="00457DA0">
        <w:rPr>
          <w:color w:val="000000"/>
          <w:spacing w:val="-2"/>
          <w:szCs w:val="22"/>
          <w:lang w:eastAsia="x-none"/>
        </w:rPr>
        <w:t>, GN Docket No</w:t>
      </w:r>
      <w:r w:rsidR="00F24DE4">
        <w:rPr>
          <w:color w:val="000000"/>
          <w:spacing w:val="-2"/>
          <w:szCs w:val="22"/>
          <w:lang w:eastAsia="x-none"/>
        </w:rPr>
        <w:t>. 12-268 and ET Docket No. 14-175</w:t>
      </w:r>
      <w:r w:rsidRPr="00DD6CA4">
        <w:rPr>
          <w:bCs/>
          <w:color w:val="000000"/>
          <w:szCs w:val="22"/>
          <w:lang w:val="x-none" w:eastAsia="x-none"/>
        </w:rPr>
        <w:t>.</w:t>
      </w:r>
      <w:r w:rsidRPr="00DD6CA4">
        <w:rPr>
          <w:color w:val="000000"/>
          <w:szCs w:val="22"/>
          <w:lang w:val="x-none" w:eastAsia="x-none"/>
        </w:rPr>
        <w:t xml:space="preserve"> </w:t>
      </w:r>
      <w:r w:rsidRPr="00DD6CA4">
        <w:rPr>
          <w:lang w:val="x-none" w:eastAsia="x-none"/>
        </w:rPr>
        <w:t xml:space="preserve">Comments may be filed using the Commission’s Electronic Comment Filing System (ECFS).  </w:t>
      </w:r>
      <w:r w:rsidRPr="00DD6CA4">
        <w:rPr>
          <w:i/>
          <w:lang w:val="x-none" w:eastAsia="x-none"/>
        </w:rPr>
        <w:t>See Electronic Filing of Documents in Rulemaking Proceedings</w:t>
      </w:r>
      <w:r w:rsidRPr="00DD6CA4">
        <w:rPr>
          <w:lang w:val="x-none" w:eastAsia="x-none"/>
        </w:rPr>
        <w:t>, 63 FR 24121 (1998).</w:t>
      </w:r>
    </w:p>
    <w:p w:rsidR="00DD6CA4" w:rsidRPr="00DD6CA4" w:rsidRDefault="00DD6CA4" w:rsidP="00DD6CA4">
      <w:pPr>
        <w:widowControl/>
        <w:numPr>
          <w:ilvl w:val="0"/>
          <w:numId w:val="15"/>
        </w:numPr>
        <w:spacing w:after="120"/>
        <w:rPr>
          <w:snapToGrid/>
        </w:rPr>
      </w:pPr>
      <w:r w:rsidRPr="00DD6CA4">
        <w:rPr>
          <w:snapToGrid/>
        </w:rPr>
        <w:t xml:space="preserve">Electronic Filers:  Comments may be filed electronically using the Internet by accessing the ECFS:  </w:t>
      </w:r>
      <w:hyperlink r:id="rId8" w:history="1">
        <w:r w:rsidRPr="00DD6CA4">
          <w:rPr>
            <w:snapToGrid/>
            <w:color w:val="0000FF"/>
            <w:u w:val="single"/>
          </w:rPr>
          <w:t>http://fjallfoss.fcc.gov/ecfs2/</w:t>
        </w:r>
      </w:hyperlink>
      <w:r w:rsidRPr="00DD6CA4">
        <w:rPr>
          <w:snapToGrid/>
        </w:rPr>
        <w:t xml:space="preserve">.  </w:t>
      </w:r>
    </w:p>
    <w:p w:rsidR="00DD6CA4" w:rsidRPr="00DD6CA4" w:rsidRDefault="00DD6CA4" w:rsidP="00DD6CA4">
      <w:pPr>
        <w:widowControl/>
        <w:numPr>
          <w:ilvl w:val="0"/>
          <w:numId w:val="15"/>
        </w:numPr>
        <w:spacing w:after="120"/>
        <w:rPr>
          <w:snapToGrid/>
        </w:rPr>
      </w:pPr>
      <w:r w:rsidRPr="00DD6CA4">
        <w:rPr>
          <w:snapToGrid/>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DD6CA4" w:rsidRDefault="00DD6CA4" w:rsidP="00DD6CA4">
      <w:pPr>
        <w:pStyle w:val="ParaNum"/>
      </w:pPr>
      <w:r w:rsidRPr="00DD6CA4">
        <w:rPr>
          <w:lang w:val="x-none" w:eastAsia="x-none"/>
        </w:rPr>
        <w:t>Filings can be sent by hand or messenger delivery, by commercial overnight courier, or by first-class or overnight U.S. Postal Service mail.  All filings must be addressed to the Commission’s Secretary, Office of the Secretary, Federal Communications Commission.</w:t>
      </w:r>
    </w:p>
    <w:p w:rsidR="00DD6CA4" w:rsidRDefault="00DD6CA4" w:rsidP="00DD6CA4">
      <w:pPr>
        <w:pStyle w:val="ParaNum"/>
        <w:numPr>
          <w:ilvl w:val="0"/>
          <w:numId w:val="16"/>
        </w:numPr>
        <w:ind w:left="1080"/>
        <w:rPr>
          <w:lang w:eastAsia="x-none"/>
        </w:rPr>
      </w:pPr>
      <w:r>
        <w:rPr>
          <w:lang w:eastAsia="x-none"/>
        </w:rPr>
        <w:t>All hand-delivered or messenger-delivered paper filings for the Commission’s Secretary must be delivered to FCC Headquarters at 445 12th St., S</w:t>
      </w:r>
      <w:r w:rsidR="00122D05">
        <w:rPr>
          <w:lang w:eastAsia="x-none"/>
        </w:rPr>
        <w:t>.</w:t>
      </w:r>
      <w:r>
        <w:rPr>
          <w:lang w:eastAsia="x-none"/>
        </w:rPr>
        <w:t>W</w:t>
      </w:r>
      <w:r w:rsidR="00122D05">
        <w:rPr>
          <w:lang w:eastAsia="x-none"/>
        </w:rPr>
        <w:t>.</w:t>
      </w:r>
      <w:r>
        <w:rPr>
          <w:lang w:eastAsia="x-none"/>
        </w:rPr>
        <w:t>, Room TW-A325, Washington, D</w:t>
      </w:r>
      <w:r w:rsidR="00122D05">
        <w:rPr>
          <w:lang w:eastAsia="x-none"/>
        </w:rPr>
        <w:t>.</w:t>
      </w:r>
      <w:r>
        <w:rPr>
          <w:lang w:eastAsia="x-none"/>
        </w:rPr>
        <w:t>C</w:t>
      </w:r>
      <w:r w:rsidR="00122D05">
        <w:rPr>
          <w:lang w:eastAsia="x-none"/>
        </w:rPr>
        <w:t>.</w:t>
      </w:r>
      <w:r>
        <w:rPr>
          <w:lang w:eastAsia="x-none"/>
        </w:rPr>
        <w:t xml:space="preserve"> 20554.  The filing hours are 8:00 a.m. to 7:00 p.m.   All hand deliveries must be held together with rubber bands or fasteners.  Any envelopes and boxes must be disposed of before entering the building.  </w:t>
      </w:r>
    </w:p>
    <w:p w:rsidR="00DD6CA4" w:rsidRDefault="00DD6CA4" w:rsidP="00DD6CA4">
      <w:pPr>
        <w:pStyle w:val="ParaNum"/>
        <w:numPr>
          <w:ilvl w:val="0"/>
          <w:numId w:val="16"/>
        </w:numPr>
        <w:ind w:left="1080"/>
        <w:rPr>
          <w:lang w:eastAsia="x-none"/>
        </w:rPr>
      </w:pPr>
      <w:r>
        <w:rPr>
          <w:lang w:eastAsia="x-none"/>
        </w:rPr>
        <w:t>Commercial overnight mail (other than U.S. Postal Service Express Mail and Priority Mail) must be sent to 9300 East Hampton Drive, Capitol Heights, MD  20743.</w:t>
      </w:r>
    </w:p>
    <w:p w:rsidR="00DD6CA4" w:rsidRDefault="00DD6CA4" w:rsidP="00DD6CA4">
      <w:pPr>
        <w:pStyle w:val="ParaNum"/>
        <w:numPr>
          <w:ilvl w:val="0"/>
          <w:numId w:val="16"/>
        </w:numPr>
        <w:ind w:left="1080"/>
        <w:rPr>
          <w:lang w:eastAsia="x-none"/>
        </w:rPr>
      </w:pPr>
      <w:r>
        <w:rPr>
          <w:lang w:eastAsia="x-none"/>
        </w:rPr>
        <w:t>U.S. Postal Service first-class, Express, and Priority mail must be addressed to 445 12th Street, S</w:t>
      </w:r>
      <w:r w:rsidR="003D5309">
        <w:rPr>
          <w:lang w:eastAsia="x-none"/>
        </w:rPr>
        <w:t>.</w:t>
      </w:r>
      <w:r>
        <w:rPr>
          <w:lang w:eastAsia="x-none"/>
        </w:rPr>
        <w:t>W</w:t>
      </w:r>
      <w:r w:rsidR="003D5309">
        <w:rPr>
          <w:lang w:eastAsia="x-none"/>
        </w:rPr>
        <w:t>.</w:t>
      </w:r>
      <w:r>
        <w:rPr>
          <w:lang w:eastAsia="x-none"/>
        </w:rPr>
        <w:t>, Washington</w:t>
      </w:r>
      <w:r w:rsidR="00122D05">
        <w:rPr>
          <w:lang w:eastAsia="x-none"/>
        </w:rPr>
        <w:t xml:space="preserve">, </w:t>
      </w:r>
      <w:r>
        <w:rPr>
          <w:lang w:eastAsia="x-none"/>
        </w:rPr>
        <w:t>D</w:t>
      </w:r>
      <w:r w:rsidR="00122D05">
        <w:rPr>
          <w:lang w:eastAsia="x-none"/>
        </w:rPr>
        <w:t>.</w:t>
      </w:r>
      <w:r>
        <w:rPr>
          <w:lang w:eastAsia="x-none"/>
        </w:rPr>
        <w:t>C</w:t>
      </w:r>
      <w:r w:rsidR="00122D05">
        <w:rPr>
          <w:lang w:eastAsia="x-none"/>
        </w:rPr>
        <w:t>.</w:t>
      </w:r>
      <w:r>
        <w:rPr>
          <w:lang w:eastAsia="x-none"/>
        </w:rPr>
        <w:t xml:space="preserve">  20554.</w:t>
      </w:r>
    </w:p>
    <w:p w:rsidR="00DD6CA4" w:rsidRDefault="00DD6CA4" w:rsidP="00DD6CA4">
      <w:pPr>
        <w:pStyle w:val="ParaNum"/>
      </w:pPr>
      <w:r w:rsidRPr="00DD6CA4">
        <w:rPr>
          <w:lang w:val="x-none" w:eastAsia="x-none"/>
        </w:rPr>
        <w:t xml:space="preserve">People with Disabilities:  To request materials in accessible formats for people with disabilities (braille, large print, electronic files, audio format), send an e-mail to </w:t>
      </w:r>
      <w:hyperlink r:id="rId9" w:history="1">
        <w:r w:rsidRPr="00DD6CA4">
          <w:rPr>
            <w:color w:val="0000FF"/>
            <w:u w:val="single"/>
            <w:lang w:val="x-none" w:eastAsia="x-none"/>
          </w:rPr>
          <w:t>fcc504@fcc.gov</w:t>
        </w:r>
      </w:hyperlink>
      <w:r w:rsidRPr="00DD6CA4">
        <w:rPr>
          <w:lang w:val="x-none" w:eastAsia="x-none"/>
        </w:rPr>
        <w:t xml:space="preserve"> or call the Consumer </w:t>
      </w:r>
      <w:r w:rsidR="00122D05">
        <w:rPr>
          <w:lang w:eastAsia="x-none"/>
        </w:rPr>
        <w:t>and</w:t>
      </w:r>
      <w:r w:rsidRPr="00DD6CA4">
        <w:rPr>
          <w:lang w:val="x-none" w:eastAsia="x-none"/>
        </w:rPr>
        <w:t xml:space="preserve"> Governmental Affairs Bureau at 202-418-0530 (voice), 202-418-0432 (tty).</w:t>
      </w:r>
    </w:p>
    <w:p w:rsidR="00DD6CA4" w:rsidRDefault="00DD6CA4" w:rsidP="00DD6CA4">
      <w:pPr>
        <w:pStyle w:val="Heading2"/>
      </w:pPr>
      <w:bookmarkStart w:id="245" w:name="_Toc393265918"/>
      <w:r w:rsidRPr="00DD6CA4">
        <w:t>Initial Regulatory Flexibility Analysis</w:t>
      </w:r>
      <w:bookmarkEnd w:id="245"/>
    </w:p>
    <w:p w:rsidR="00DD6CA4" w:rsidRPr="0077278C" w:rsidRDefault="00DD6CA4" w:rsidP="00DD6CA4">
      <w:pPr>
        <w:pStyle w:val="ParaNum"/>
      </w:pPr>
      <w:r w:rsidRPr="00DD6CA4">
        <w:rPr>
          <w:kern w:val="0"/>
          <w:lang w:val="x-none" w:eastAsia="x-none"/>
        </w:rPr>
        <w:t xml:space="preserve">As required by </w:t>
      </w:r>
      <w:r w:rsidR="00161856">
        <w:rPr>
          <w:kern w:val="0"/>
          <w:lang w:eastAsia="x-none"/>
        </w:rPr>
        <w:t>s</w:t>
      </w:r>
      <w:r w:rsidRPr="00DD6CA4">
        <w:rPr>
          <w:kern w:val="0"/>
          <w:lang w:val="x-none" w:eastAsia="x-none"/>
        </w:rPr>
        <w:t>ection 603 of the Regulatory Flexibility Act, 5 U.S.C. § 603, the Commission has prepared an Initial Regulatory Flexibility Analysis (IRFA) of the possible significant economic impact on small entities of the proposals suggested in this document.  The IRFA is set forth in Appendix B.</w:t>
      </w:r>
    </w:p>
    <w:p w:rsidR="0077278C" w:rsidRPr="0077278C" w:rsidRDefault="0077278C" w:rsidP="0077278C">
      <w:pPr>
        <w:pStyle w:val="Heading2"/>
      </w:pPr>
      <w:bookmarkStart w:id="246" w:name="_Toc393265919"/>
      <w:r w:rsidRPr="0077278C">
        <w:t>Paperwork Reduction Act Analysis</w:t>
      </w:r>
      <w:bookmarkEnd w:id="246"/>
    </w:p>
    <w:p w:rsidR="0077278C" w:rsidRPr="0077278C" w:rsidRDefault="00DD6CA4" w:rsidP="00122D05">
      <w:pPr>
        <w:pStyle w:val="ParaNum"/>
      </w:pPr>
      <w:r w:rsidRPr="0077278C">
        <w:t>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w:t>
      </w:r>
      <w:r w:rsidR="00122D05">
        <w:t xml:space="preserve">, </w:t>
      </w:r>
      <w:r w:rsidR="00122D05">
        <w:rPr>
          <w:i/>
        </w:rPr>
        <w:t xml:space="preserve">see </w:t>
      </w:r>
      <w:r w:rsidR="00122D05">
        <w:t>44 U.S.C.</w:t>
      </w:r>
      <w:r w:rsidR="00122D05" w:rsidRPr="00122D05">
        <w:t xml:space="preserve"> §</w:t>
      </w:r>
      <w:r w:rsidR="00122D05">
        <w:t xml:space="preserve"> 3507</w:t>
      </w:r>
      <w:r w:rsidRPr="0077278C">
        <w:t>.</w:t>
      </w:r>
      <w:r w:rsidR="00122D05">
        <w:t xml:space="preserve"> </w:t>
      </w:r>
      <w:r w:rsidRPr="0077278C">
        <w:t xml:space="preserve"> In addition, pursuant to the Small Business Paperwork Relief Act of 2002, Public Law 107-198, </w:t>
      </w:r>
      <w:r w:rsidRPr="00720071">
        <w:rPr>
          <w:i/>
        </w:rPr>
        <w:t>see</w:t>
      </w:r>
      <w:r w:rsidRPr="0077278C">
        <w:t xml:space="preserve"> 44 U.S.C. </w:t>
      </w:r>
      <w:r w:rsidR="001C076D" w:rsidRPr="001C076D">
        <w:rPr>
          <w:szCs w:val="22"/>
        </w:rPr>
        <w:t>§</w:t>
      </w:r>
      <w:r w:rsidR="001C076D">
        <w:rPr>
          <w:szCs w:val="22"/>
        </w:rPr>
        <w:t xml:space="preserve"> </w:t>
      </w:r>
      <w:r w:rsidRPr="0077278C">
        <w:t>3506(c)(4), we seek specific comment on how we might further reduce the information collection burden for small business concerns with fewer than 25 employees.</w:t>
      </w:r>
    </w:p>
    <w:p w:rsidR="0077278C" w:rsidRPr="0077278C" w:rsidRDefault="0077278C" w:rsidP="0077278C">
      <w:pPr>
        <w:pStyle w:val="Heading2"/>
      </w:pPr>
      <w:bookmarkStart w:id="247" w:name="_Toc393265920"/>
      <w:r w:rsidRPr="0077278C">
        <w:t>Further Information</w:t>
      </w:r>
      <w:bookmarkEnd w:id="247"/>
    </w:p>
    <w:p w:rsidR="0077278C" w:rsidRDefault="00DD6CA4" w:rsidP="0077278C">
      <w:pPr>
        <w:pStyle w:val="ParaNum"/>
      </w:pPr>
      <w:r w:rsidRPr="0077278C">
        <w:rPr>
          <w:szCs w:val="22"/>
        </w:rPr>
        <w:t xml:space="preserve"> </w:t>
      </w:r>
      <w:r w:rsidRPr="0077278C">
        <w:rPr>
          <w:lang w:val="x-none" w:eastAsia="x-none"/>
        </w:rPr>
        <w:t xml:space="preserve">For further information about this </w:t>
      </w:r>
      <w:r w:rsidR="000D6D07">
        <w:rPr>
          <w:bCs/>
          <w:i/>
          <w:color w:val="000000"/>
          <w:szCs w:val="22"/>
          <w:lang w:eastAsia="x-none"/>
        </w:rPr>
        <w:t>Third Notice of Proposed Rulemaking</w:t>
      </w:r>
      <w:r w:rsidRPr="0077278C">
        <w:rPr>
          <w:lang w:val="x-none" w:eastAsia="x-none"/>
        </w:rPr>
        <w:t xml:space="preserve">, please contact </w:t>
      </w:r>
      <w:r w:rsidR="0077278C">
        <w:rPr>
          <w:lang w:eastAsia="x-none"/>
        </w:rPr>
        <w:t>Shaun Maher</w:t>
      </w:r>
      <w:r w:rsidRPr="0077278C">
        <w:rPr>
          <w:lang w:val="x-none" w:eastAsia="x-none"/>
        </w:rPr>
        <w:t xml:space="preserve"> at (202) 418-</w:t>
      </w:r>
      <w:r w:rsidR="0077278C">
        <w:rPr>
          <w:lang w:eastAsia="x-none"/>
        </w:rPr>
        <w:t>2324</w:t>
      </w:r>
      <w:r w:rsidRPr="0077278C">
        <w:rPr>
          <w:lang w:val="x-none" w:eastAsia="x-none"/>
        </w:rPr>
        <w:t xml:space="preserve">, </w:t>
      </w:r>
      <w:hyperlink r:id="rId10" w:history="1">
        <w:r w:rsidR="0077278C" w:rsidRPr="00553039">
          <w:rPr>
            <w:rStyle w:val="Hyperlink"/>
            <w:lang w:eastAsia="x-none"/>
          </w:rPr>
          <w:t>Shaun.Maher</w:t>
        </w:r>
        <w:r w:rsidR="0077278C" w:rsidRPr="00553039">
          <w:rPr>
            <w:rStyle w:val="Hyperlink"/>
            <w:lang w:val="x-none" w:eastAsia="x-none"/>
          </w:rPr>
          <w:t>@fcc.gov</w:t>
        </w:r>
      </w:hyperlink>
      <w:r w:rsidRPr="0077278C">
        <w:rPr>
          <w:lang w:val="x-none" w:eastAsia="x-none"/>
        </w:rPr>
        <w:t>.</w:t>
      </w:r>
    </w:p>
    <w:p w:rsidR="0077278C" w:rsidRDefault="0077278C" w:rsidP="0077278C">
      <w:pPr>
        <w:pStyle w:val="Heading1"/>
      </w:pPr>
      <w:bookmarkStart w:id="248" w:name="_Toc393265921"/>
      <w:r w:rsidRPr="0077278C">
        <w:t>ORDERING CLAUSES</w:t>
      </w:r>
      <w:bookmarkEnd w:id="248"/>
    </w:p>
    <w:p w:rsidR="00DD6CA4" w:rsidRDefault="00DD6CA4" w:rsidP="0077278C">
      <w:pPr>
        <w:pStyle w:val="ParaNum"/>
      </w:pPr>
      <w:r w:rsidRPr="0077278C">
        <w:rPr>
          <w:lang w:val="x-none" w:eastAsia="x-none"/>
        </w:rPr>
        <w:t xml:space="preserve">  </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r w:rsidRPr="0077278C">
        <w:rPr>
          <w:lang w:val="x-none" w:eastAsia="x-none"/>
        </w:rPr>
        <w:t>IT IS ORDERED that pursuant to sections 1, 4, 301, 303, 307, 308, 309, 310, 316, 319, and 403 of the Communications Act of 1934, as amended, 47 U.S.C. §§ 151, 154, 301, 303, 307, 308, 309, 310, 316, 319, and 403</w:t>
      </w:r>
      <w:r w:rsidRPr="0077278C">
        <w:rPr>
          <w:color w:val="000000"/>
          <w:lang w:val="x-none" w:eastAsia="x-none"/>
        </w:rPr>
        <w:t xml:space="preserve">, </w:t>
      </w:r>
      <w:r w:rsidRPr="0077278C">
        <w:rPr>
          <w:lang w:val="x-none" w:eastAsia="x-none"/>
        </w:rPr>
        <w:t xml:space="preserve">this </w:t>
      </w:r>
      <w:r w:rsidR="0077278C">
        <w:rPr>
          <w:i/>
          <w:lang w:eastAsia="x-none"/>
        </w:rPr>
        <w:t xml:space="preserve">Third  </w:t>
      </w:r>
      <w:r w:rsidR="00161856">
        <w:rPr>
          <w:i/>
          <w:iCs/>
          <w:lang w:val="x-none" w:eastAsia="x-none"/>
        </w:rPr>
        <w:t>Notice of Proposed Rule</w:t>
      </w:r>
      <w:r w:rsidR="00161856">
        <w:rPr>
          <w:i/>
          <w:iCs/>
          <w:lang w:eastAsia="x-none"/>
        </w:rPr>
        <w:t>m</w:t>
      </w:r>
      <w:r w:rsidRPr="0077278C">
        <w:rPr>
          <w:i/>
          <w:iCs/>
          <w:lang w:val="x-none" w:eastAsia="x-none"/>
        </w:rPr>
        <w:t>aking</w:t>
      </w:r>
      <w:r w:rsidRPr="0077278C">
        <w:rPr>
          <w:lang w:val="x-none" w:eastAsia="x-none"/>
        </w:rPr>
        <w:t xml:space="preserve"> IS ADOPTED.</w:t>
      </w:r>
      <w:bookmarkStart w:id="249" w:name="sp_999_19"/>
      <w:bookmarkStart w:id="250" w:name="SDU_19"/>
      <w:bookmarkStart w:id="251" w:name="sp_1511_16519"/>
      <w:bookmarkStart w:id="252" w:name="SDU_16519"/>
      <w:bookmarkStart w:id="253" w:name="citeas((Cite_as:_25_F.C.C.R._16498,_*165"/>
      <w:bookmarkEnd w:id="249"/>
      <w:bookmarkEnd w:id="250"/>
      <w:bookmarkEnd w:id="251"/>
      <w:bookmarkEnd w:id="252"/>
      <w:bookmarkEnd w:id="253"/>
    </w:p>
    <w:p w:rsidR="00DD6CA4" w:rsidRDefault="00DD6CA4" w:rsidP="0077278C">
      <w:pPr>
        <w:pStyle w:val="ParaNum"/>
      </w:pPr>
      <w:r w:rsidRPr="0077278C">
        <w:rPr>
          <w:lang w:val="x-none" w:eastAsia="x-none"/>
        </w:rPr>
        <w:t xml:space="preserve">IT IS FURTHER ORDERED that the Commission’s Consumer and Governmental Affairs Bureau, Reference Information Center, SHALL SEND a copy of this </w:t>
      </w:r>
      <w:r w:rsidR="003D5309">
        <w:rPr>
          <w:i/>
          <w:lang w:eastAsia="x-none"/>
        </w:rPr>
        <w:t xml:space="preserve">Third  </w:t>
      </w:r>
      <w:r w:rsidRPr="0077278C">
        <w:rPr>
          <w:i/>
          <w:iCs/>
          <w:lang w:val="x-none" w:eastAsia="x-none"/>
        </w:rPr>
        <w:t>Notice of Proposed Rule Making,</w:t>
      </w:r>
      <w:r w:rsidRPr="0077278C">
        <w:rPr>
          <w:lang w:val="x-none" w:eastAsia="x-none"/>
        </w:rPr>
        <w:t xml:space="preserve"> including the Initial Regulatory Flexibility Analysis</w:t>
      </w:r>
      <w:r w:rsidR="009E7D43">
        <w:rPr>
          <w:lang w:eastAsia="x-none"/>
        </w:rPr>
        <w:t>,</w:t>
      </w:r>
      <w:r w:rsidRPr="0077278C">
        <w:rPr>
          <w:lang w:val="x-none" w:eastAsia="x-none"/>
        </w:rPr>
        <w:t xml:space="preserve"> to the Chief Counsel for Advocacy of the Small Business Administration.</w:t>
      </w:r>
    </w:p>
    <w:p w:rsidR="00DD6CA4" w:rsidRPr="00DD6CA4" w:rsidRDefault="00DD6CA4" w:rsidP="00DD6CA4">
      <w:pPr>
        <w:keepNext/>
        <w:keepLines/>
        <w:widowControl/>
        <w:ind w:left="3600" w:firstLine="720"/>
        <w:rPr>
          <w:caps/>
          <w:snapToGrid/>
          <w:color w:val="000000"/>
          <w:szCs w:val="22"/>
        </w:rPr>
      </w:pPr>
      <w:r w:rsidRPr="00DD6CA4">
        <w:rPr>
          <w:snapToGrid/>
        </w:rPr>
        <w:t xml:space="preserve">FEDERAL </w:t>
      </w:r>
      <w:r w:rsidRPr="00DD6CA4">
        <w:rPr>
          <w:caps/>
          <w:snapToGrid/>
          <w:color w:val="000000"/>
          <w:szCs w:val="22"/>
        </w:rPr>
        <w:t>Communications Commission</w:t>
      </w:r>
    </w:p>
    <w:p w:rsidR="00DD6CA4" w:rsidRPr="00DD6CA4" w:rsidRDefault="00DD6CA4" w:rsidP="00DD6CA4">
      <w:pPr>
        <w:keepLines/>
        <w:widowControl/>
        <w:ind w:left="3600" w:firstLine="720"/>
        <w:rPr>
          <w:snapToGrid/>
          <w:color w:val="000000"/>
          <w:szCs w:val="22"/>
        </w:rPr>
      </w:pPr>
    </w:p>
    <w:p w:rsidR="00DD6CA4" w:rsidRPr="00DD6CA4" w:rsidRDefault="00DD6CA4" w:rsidP="00DD6CA4">
      <w:pPr>
        <w:keepLines/>
        <w:widowControl/>
        <w:ind w:left="3600" w:firstLine="720"/>
        <w:rPr>
          <w:snapToGrid/>
          <w:color w:val="000000"/>
          <w:szCs w:val="22"/>
        </w:rPr>
      </w:pPr>
    </w:p>
    <w:p w:rsidR="00DD6CA4" w:rsidRPr="00DD6CA4" w:rsidRDefault="00DD6CA4" w:rsidP="00DD6CA4">
      <w:pPr>
        <w:keepLines/>
        <w:widowControl/>
        <w:ind w:left="3600" w:firstLine="720"/>
        <w:rPr>
          <w:snapToGrid/>
          <w:color w:val="000000"/>
          <w:szCs w:val="22"/>
        </w:rPr>
      </w:pPr>
    </w:p>
    <w:p w:rsidR="00DD6CA4" w:rsidRPr="00DD6CA4" w:rsidRDefault="00DD6CA4" w:rsidP="00DD6CA4">
      <w:pPr>
        <w:keepLines/>
        <w:widowControl/>
        <w:rPr>
          <w:snapToGrid/>
          <w:color w:val="000000"/>
          <w:szCs w:val="22"/>
        </w:rPr>
      </w:pPr>
    </w:p>
    <w:p w:rsidR="00DD6CA4" w:rsidRPr="00DD6CA4" w:rsidRDefault="00DD6CA4" w:rsidP="00DD6CA4">
      <w:pPr>
        <w:keepNext/>
        <w:keepLines/>
        <w:widowControl/>
        <w:ind w:left="3600" w:firstLine="720"/>
        <w:rPr>
          <w:snapToGrid/>
          <w:color w:val="000000"/>
          <w:szCs w:val="22"/>
        </w:rPr>
      </w:pPr>
      <w:r w:rsidRPr="00DD6CA4">
        <w:rPr>
          <w:snapToGrid/>
          <w:color w:val="000000"/>
          <w:szCs w:val="22"/>
        </w:rPr>
        <w:t>Marlene H. Dortch</w:t>
      </w:r>
    </w:p>
    <w:p w:rsidR="00D00FF0" w:rsidRDefault="00DD68F7" w:rsidP="00F850F9">
      <w:pPr>
        <w:pStyle w:val="ParaNum"/>
        <w:numPr>
          <w:ilvl w:val="0"/>
          <w:numId w:val="0"/>
        </w:numPr>
        <w:jc w:val="center"/>
        <w:sectPr w:rsidR="00D00FF0" w:rsidSect="00F850F9">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type w:val="continuous"/>
          <w:pgSz w:w="12240" w:h="15840" w:code="1"/>
          <w:pgMar w:top="1440" w:right="1440" w:bottom="720" w:left="1440" w:header="720" w:footer="720" w:gutter="0"/>
          <w:cols w:space="720"/>
          <w:noEndnote/>
          <w:titlePg/>
        </w:sectPr>
      </w:pPr>
      <w:r>
        <w:rPr>
          <w:snapToGrid/>
        </w:rPr>
        <w:t xml:space="preserve">  </w:t>
      </w:r>
      <w:r w:rsidR="00DD6CA4" w:rsidRPr="00DD6CA4">
        <w:rPr>
          <w:snapToGrid/>
        </w:rPr>
        <w:t>Secretary</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rsidR="00CD683D" w:rsidRDefault="00CD683D" w:rsidP="00F850F9">
      <w:pPr>
        <w:pStyle w:val="ParaNum"/>
        <w:numPr>
          <w:ilvl w:val="0"/>
          <w:numId w:val="0"/>
        </w:numPr>
        <w:jc w:val="center"/>
        <w:rPr>
          <w:b/>
        </w:rPr>
      </w:pPr>
      <w:r>
        <w:rPr>
          <w:b/>
        </w:rPr>
        <w:t>APPENDIX A</w:t>
      </w:r>
    </w:p>
    <w:p w:rsidR="00036D39" w:rsidRDefault="00036D39" w:rsidP="00F850F9">
      <w:pPr>
        <w:jc w:val="center"/>
        <w:rPr>
          <w:b/>
        </w:rPr>
      </w:pPr>
      <w:r>
        <w:rPr>
          <w:b/>
        </w:rPr>
        <w:t>P</w:t>
      </w:r>
      <w:r w:rsidR="00DD68F7">
        <w:rPr>
          <w:b/>
        </w:rPr>
        <w:t>roposed Rules</w:t>
      </w:r>
    </w:p>
    <w:p w:rsidR="002075F4" w:rsidRDefault="002075F4">
      <w:pPr>
        <w:widowControl/>
        <w:rPr>
          <w:b/>
        </w:rPr>
      </w:pPr>
    </w:p>
    <w:p w:rsidR="00AC3E6C" w:rsidRDefault="00AC3E6C">
      <w:pPr>
        <w:widowControl/>
      </w:pPr>
      <w:r>
        <w:t xml:space="preserve">PART 15 – </w:t>
      </w:r>
      <w:r w:rsidR="007C4D14" w:rsidRPr="007C4D14">
        <w:t>RADIO FREQUENCY DEVICES</w:t>
      </w:r>
    </w:p>
    <w:p w:rsidR="00AC3E6C" w:rsidRDefault="00AC3E6C">
      <w:pPr>
        <w:widowControl/>
      </w:pPr>
    </w:p>
    <w:p w:rsidR="00AC3E6C" w:rsidRDefault="00AC3E6C" w:rsidP="00AC3E6C">
      <w:pPr>
        <w:widowControl/>
      </w:pPr>
      <w:r>
        <w:t xml:space="preserve">1.  </w:t>
      </w:r>
      <w:r w:rsidRPr="00F52192">
        <w:t>Amend Section 15.117 to read as follows:</w:t>
      </w:r>
    </w:p>
    <w:p w:rsidR="00AC3E6C" w:rsidRPr="00F52192" w:rsidRDefault="00AC3E6C" w:rsidP="00AC3E6C">
      <w:pPr>
        <w:widowControl/>
      </w:pPr>
    </w:p>
    <w:p w:rsidR="00AC3E6C" w:rsidRPr="00F52192" w:rsidRDefault="00AC3E6C" w:rsidP="00AC3E6C">
      <w:pPr>
        <w:widowControl/>
      </w:pPr>
      <w:r w:rsidRPr="00F52192">
        <w:t xml:space="preserve">§ 15.117   </w:t>
      </w:r>
      <w:r w:rsidR="00D81C9E">
        <w:t>TV broadcast receivers</w:t>
      </w:r>
      <w:r w:rsidRPr="00F52192">
        <w:t>.</w:t>
      </w:r>
    </w:p>
    <w:p w:rsidR="00AC3E6C" w:rsidRDefault="00AC3E6C" w:rsidP="00AC3E6C">
      <w:pPr>
        <w:widowControl/>
      </w:pPr>
    </w:p>
    <w:p w:rsidR="00AC3E6C" w:rsidRPr="00F52192" w:rsidRDefault="00AC3E6C" w:rsidP="00AC3E6C">
      <w:pPr>
        <w:widowControl/>
      </w:pPr>
      <w:r w:rsidRPr="00F52192">
        <w:t>* * * * *</w:t>
      </w:r>
    </w:p>
    <w:p w:rsidR="00AC3E6C" w:rsidRDefault="00AC3E6C" w:rsidP="00AC3E6C">
      <w:pPr>
        <w:widowControl/>
      </w:pPr>
    </w:p>
    <w:p w:rsidR="00AC3E6C" w:rsidRDefault="00AC3E6C" w:rsidP="00AC3E6C">
      <w:pPr>
        <w:widowControl/>
      </w:pPr>
      <w:r w:rsidRPr="00F52192">
        <w:t>(b) TV broadcast receivers shall be capable of adequately receiving all digital channels allocated by the Commission to the television broadcast service.</w:t>
      </w:r>
    </w:p>
    <w:p w:rsidR="00AC3E6C" w:rsidRDefault="00AC3E6C" w:rsidP="00AC3E6C">
      <w:pPr>
        <w:widowControl/>
      </w:pPr>
    </w:p>
    <w:p w:rsidR="00AC3E6C" w:rsidRPr="00F52192" w:rsidRDefault="00AC3E6C" w:rsidP="00F52192">
      <w:r w:rsidRPr="00AC3E6C">
        <w:t>* * * * *</w:t>
      </w:r>
    </w:p>
    <w:p w:rsidR="002075F4" w:rsidRDefault="002075F4" w:rsidP="002075F4">
      <w:pPr>
        <w:pStyle w:val="NormalWeb"/>
        <w:rPr>
          <w:color w:val="000000"/>
          <w:sz w:val="22"/>
          <w:szCs w:val="22"/>
        </w:rPr>
      </w:pPr>
      <w:r>
        <w:rPr>
          <w:color w:val="000000"/>
          <w:sz w:val="22"/>
          <w:szCs w:val="22"/>
        </w:rPr>
        <w:t>PART 74 – EXPERIMENTAL RADIO, AUXILIARY, SPECIAL BROADCAST AND OTHER PROGRAM DISTRIBUTIONAL SERVICES</w:t>
      </w:r>
    </w:p>
    <w:p w:rsidR="002075F4" w:rsidRDefault="007C4D14" w:rsidP="002075F4">
      <w:pPr>
        <w:pStyle w:val="NormalWeb"/>
        <w:rPr>
          <w:color w:val="000000"/>
          <w:sz w:val="22"/>
          <w:szCs w:val="22"/>
        </w:rPr>
      </w:pPr>
      <w:r>
        <w:rPr>
          <w:color w:val="000000"/>
          <w:sz w:val="22"/>
          <w:szCs w:val="22"/>
        </w:rPr>
        <w:t>2</w:t>
      </w:r>
      <w:r w:rsidR="002075F4">
        <w:rPr>
          <w:color w:val="000000"/>
          <w:sz w:val="22"/>
          <w:szCs w:val="22"/>
        </w:rPr>
        <w:t>.  The authority citation for Part 74 is amended to read as follows:</w:t>
      </w:r>
    </w:p>
    <w:p w:rsidR="002075F4" w:rsidRDefault="002075F4" w:rsidP="002075F4">
      <w:pPr>
        <w:pStyle w:val="NormalWeb"/>
        <w:rPr>
          <w:color w:val="000000"/>
          <w:sz w:val="22"/>
          <w:szCs w:val="22"/>
        </w:rPr>
      </w:pPr>
      <w:r>
        <w:rPr>
          <w:color w:val="000000"/>
          <w:sz w:val="22"/>
          <w:szCs w:val="22"/>
        </w:rPr>
        <w:t>Authority:  47 U.S.C. 154, 303, 307, 309, 336 and 554</w:t>
      </w:r>
    </w:p>
    <w:p w:rsidR="002075F4" w:rsidRDefault="007C4D14" w:rsidP="002075F4">
      <w:pPr>
        <w:widowControl/>
      </w:pPr>
      <w:r>
        <w:t>3</w:t>
      </w:r>
      <w:r w:rsidR="002075F4">
        <w:t>.  § 74.731 Purpose and permissible service.</w:t>
      </w:r>
    </w:p>
    <w:p w:rsidR="002075F4" w:rsidRDefault="002075F4" w:rsidP="002075F4">
      <w:pPr>
        <w:widowControl/>
      </w:pPr>
    </w:p>
    <w:p w:rsidR="002075F4" w:rsidRDefault="002075F4" w:rsidP="002075F4">
      <w:pPr>
        <w:widowControl/>
      </w:pPr>
      <w:r>
        <w:t>* * * * *</w:t>
      </w:r>
    </w:p>
    <w:p w:rsidR="002075F4" w:rsidRDefault="002075F4" w:rsidP="002075F4">
      <w:pPr>
        <w:widowControl/>
      </w:pPr>
    </w:p>
    <w:p w:rsidR="00010777" w:rsidRDefault="002075F4" w:rsidP="00010777">
      <w:pPr>
        <w:widowControl/>
      </w:pPr>
      <w:r>
        <w:t xml:space="preserve">(l)  </w:t>
      </w:r>
      <w:r w:rsidR="00010777" w:rsidRPr="0047001B">
        <w:t xml:space="preserve">After 11:59 pm local time on </w:t>
      </w:r>
      <w:r w:rsidR="00010777">
        <w:t>September 1, 2015</w:t>
      </w:r>
      <w:r w:rsidR="00010777" w:rsidRPr="0047001B">
        <w:t>, Class A television stations may no longer operate any facility in analog (NTSC) mode.</w:t>
      </w:r>
      <w:r w:rsidR="00010777">
        <w:t xml:space="preserve">  After 11:59 pm local time on </w:t>
      </w:r>
      <w:r w:rsidR="00010777" w:rsidRPr="002075F4">
        <w:rPr>
          <w:b/>
        </w:rPr>
        <w:t>(insert new transition date)</w:t>
      </w:r>
      <w:r w:rsidR="00010777">
        <w:t>, low power television and TV translator stations may no longer operate any facility in analog (NTSC) mode.</w:t>
      </w:r>
    </w:p>
    <w:p w:rsidR="00010777" w:rsidRDefault="00010777" w:rsidP="002075F4">
      <w:pPr>
        <w:widowControl/>
      </w:pPr>
    </w:p>
    <w:p w:rsidR="00A36EFB" w:rsidRDefault="007C4D14" w:rsidP="00A36EFB">
      <w:pPr>
        <w:pStyle w:val="ParaNum"/>
        <w:numPr>
          <w:ilvl w:val="0"/>
          <w:numId w:val="0"/>
        </w:numPr>
      </w:pPr>
      <w:r>
        <w:t>4</w:t>
      </w:r>
      <w:r w:rsidR="002075F4">
        <w:t xml:space="preserve">.  </w:t>
      </w:r>
      <w:r w:rsidR="00A36EFB">
        <w:t>Amend Section 74.787 to read as follows:</w:t>
      </w:r>
    </w:p>
    <w:p w:rsidR="00A36EFB" w:rsidRDefault="00A36EFB" w:rsidP="00A36EFB">
      <w:pPr>
        <w:widowControl/>
        <w:rPr>
          <w:szCs w:val="22"/>
        </w:rPr>
      </w:pPr>
      <w:r>
        <w:rPr>
          <w:szCs w:val="22"/>
        </w:rPr>
        <w:t>Section 74.787   Digital Licensing</w:t>
      </w:r>
    </w:p>
    <w:p w:rsidR="00A36EFB" w:rsidRDefault="00A36EFB" w:rsidP="00A36EFB">
      <w:pPr>
        <w:widowControl/>
        <w:rPr>
          <w:szCs w:val="22"/>
        </w:rPr>
      </w:pPr>
    </w:p>
    <w:p w:rsidR="00A36EFB" w:rsidRDefault="00A36EFB" w:rsidP="00A36EFB">
      <w:pPr>
        <w:widowControl/>
        <w:rPr>
          <w:szCs w:val="22"/>
        </w:rPr>
      </w:pPr>
      <w:r>
        <w:rPr>
          <w:szCs w:val="22"/>
        </w:rPr>
        <w:t>* * * * *</w:t>
      </w:r>
    </w:p>
    <w:p w:rsidR="00A36EFB" w:rsidRDefault="00A36EFB" w:rsidP="00A36EFB">
      <w:pPr>
        <w:widowControl/>
        <w:rPr>
          <w:szCs w:val="22"/>
        </w:rPr>
      </w:pPr>
      <w:r>
        <w:rPr>
          <w:szCs w:val="22"/>
        </w:rPr>
        <w:t>(a)   Applications for digital low power television and television translator stations.</w:t>
      </w:r>
    </w:p>
    <w:p w:rsidR="00A36EFB" w:rsidRDefault="00A36EFB" w:rsidP="00A36EFB">
      <w:pPr>
        <w:widowControl/>
        <w:rPr>
          <w:szCs w:val="22"/>
        </w:rPr>
      </w:pPr>
    </w:p>
    <w:p w:rsidR="00A36EFB" w:rsidRDefault="00A36EFB" w:rsidP="00A36EFB">
      <w:pPr>
        <w:widowControl/>
        <w:rPr>
          <w:szCs w:val="22"/>
        </w:rPr>
      </w:pPr>
      <w:r>
        <w:rPr>
          <w:szCs w:val="22"/>
        </w:rPr>
        <w:t>* * * * *</w:t>
      </w:r>
    </w:p>
    <w:p w:rsidR="00A36EFB" w:rsidRDefault="00A36EFB" w:rsidP="00A36EFB">
      <w:pPr>
        <w:widowControl/>
        <w:rPr>
          <w:i/>
          <w:szCs w:val="22"/>
        </w:rPr>
      </w:pPr>
      <w:r>
        <w:rPr>
          <w:szCs w:val="22"/>
        </w:rPr>
        <w:t xml:space="preserve">(5)  </w:t>
      </w:r>
      <w:r>
        <w:rPr>
          <w:i/>
          <w:szCs w:val="22"/>
        </w:rPr>
        <w:t>Application</w:t>
      </w:r>
      <w:r w:rsidR="0086424F">
        <w:rPr>
          <w:i/>
          <w:szCs w:val="22"/>
        </w:rPr>
        <w:t>s</w:t>
      </w:r>
      <w:r>
        <w:rPr>
          <w:i/>
          <w:szCs w:val="22"/>
        </w:rPr>
        <w:t xml:space="preserve"> for</w:t>
      </w:r>
      <w:r w:rsidR="0086424F">
        <w:rPr>
          <w:i/>
          <w:szCs w:val="22"/>
        </w:rPr>
        <w:t xml:space="preserve"> analog-to-digital and </w:t>
      </w:r>
      <w:r>
        <w:rPr>
          <w:i/>
          <w:szCs w:val="22"/>
        </w:rPr>
        <w:t>digital-to-digital replacement television translators.</w:t>
      </w:r>
    </w:p>
    <w:p w:rsidR="00A36EFB" w:rsidRDefault="00A36EFB" w:rsidP="00A36EFB">
      <w:pPr>
        <w:widowControl/>
        <w:rPr>
          <w:i/>
          <w:szCs w:val="22"/>
        </w:rPr>
      </w:pPr>
    </w:p>
    <w:p w:rsidR="0086424F" w:rsidRDefault="0086424F" w:rsidP="0086424F">
      <w:pPr>
        <w:widowControl/>
        <w:rPr>
          <w:szCs w:val="22"/>
        </w:rPr>
      </w:pPr>
      <w:r>
        <w:rPr>
          <w:szCs w:val="22"/>
        </w:rPr>
        <w:t xml:space="preserve">(i)  </w:t>
      </w:r>
      <w:r w:rsidR="00964C04">
        <w:rPr>
          <w:szCs w:val="22"/>
        </w:rPr>
        <w:t>A</w:t>
      </w:r>
      <w:r>
        <w:rPr>
          <w:szCs w:val="22"/>
        </w:rPr>
        <w:t>pplication</w:t>
      </w:r>
      <w:r w:rsidR="00964C04">
        <w:rPr>
          <w:szCs w:val="22"/>
        </w:rPr>
        <w:t>s</w:t>
      </w:r>
      <w:r>
        <w:rPr>
          <w:szCs w:val="22"/>
        </w:rPr>
        <w:t xml:space="preserve"> for </w:t>
      </w:r>
      <w:r w:rsidR="00964C04">
        <w:rPr>
          <w:szCs w:val="22"/>
        </w:rPr>
        <w:t xml:space="preserve">new </w:t>
      </w:r>
      <w:r>
        <w:rPr>
          <w:szCs w:val="22"/>
        </w:rPr>
        <w:t>analog-to-digital replacement translator</w:t>
      </w:r>
      <w:r w:rsidR="00964C04">
        <w:rPr>
          <w:szCs w:val="22"/>
        </w:rPr>
        <w:t>s will not be accepted</w:t>
      </w:r>
      <w:r>
        <w:rPr>
          <w:szCs w:val="22"/>
        </w:rPr>
        <w:t>.</w:t>
      </w:r>
      <w:r w:rsidR="00964C04">
        <w:rPr>
          <w:szCs w:val="22"/>
        </w:rPr>
        <w:t xml:space="preserve">  Displacement applications for analog-to-digital replacement translators will continue to be accepted.  </w:t>
      </w:r>
      <w:r w:rsidR="00964C04" w:rsidRPr="00964C04">
        <w:rPr>
          <w:szCs w:val="22"/>
        </w:rPr>
        <w:t xml:space="preserve">An application for a digital-to-digital replacement translator may be filed beginning the first day of the low power television and TV translator displacement window set forth in section 73.3700(g)(1) of this part to one year after the completion of the 39 month transition period set forth in section 73.3700(b)(4) of this part.  Applications </w:t>
      </w:r>
      <w:r w:rsidR="00964C04">
        <w:rPr>
          <w:szCs w:val="22"/>
        </w:rPr>
        <w:t xml:space="preserve">for digital-to-digital replacement translators </w:t>
      </w:r>
      <w:r w:rsidR="00964C04" w:rsidRPr="00964C04">
        <w:rPr>
          <w:szCs w:val="22"/>
        </w:rPr>
        <w:t xml:space="preserve">filed during the displacement window will be considered filed on the last day of the window.  Following the completion of the displacement window, applications </w:t>
      </w:r>
      <w:r w:rsidR="00964C04">
        <w:rPr>
          <w:szCs w:val="22"/>
        </w:rPr>
        <w:t xml:space="preserve">for digital-to-digital replacement translators </w:t>
      </w:r>
      <w:r w:rsidR="00964C04" w:rsidRPr="00964C04">
        <w:rPr>
          <w:szCs w:val="22"/>
        </w:rPr>
        <w:t>will be accepted on a first-come, first-serve basis.</w:t>
      </w:r>
    </w:p>
    <w:p w:rsidR="0086424F" w:rsidRDefault="0086424F" w:rsidP="0086424F">
      <w:pPr>
        <w:widowControl/>
        <w:rPr>
          <w:szCs w:val="22"/>
        </w:rPr>
      </w:pPr>
    </w:p>
    <w:p w:rsidR="002D57FF" w:rsidRDefault="002D57FF" w:rsidP="002D57FF">
      <w:r>
        <w:t xml:space="preserve">* * * </w:t>
      </w:r>
    </w:p>
    <w:p w:rsidR="0086424F" w:rsidRDefault="0086424F" w:rsidP="0086424F">
      <w:pPr>
        <w:widowControl/>
        <w:rPr>
          <w:szCs w:val="22"/>
        </w:rPr>
      </w:pPr>
    </w:p>
    <w:p w:rsidR="0086424F" w:rsidRDefault="0086424F" w:rsidP="0086424F">
      <w:pPr>
        <w:widowControl/>
        <w:rPr>
          <w:szCs w:val="22"/>
        </w:rPr>
      </w:pPr>
      <w:r>
        <w:rPr>
          <w:szCs w:val="22"/>
        </w:rPr>
        <w:t xml:space="preserve">(iii)  Applications for analog-to-digital replacement television translator shall be </w:t>
      </w:r>
      <w:r>
        <w:t xml:space="preserve">given processing priority over all other low power television and TV translator applications except displacement applications (with which they shall have co-equal priority) as set forth </w:t>
      </w:r>
      <w:r>
        <w:rPr>
          <w:szCs w:val="22"/>
        </w:rPr>
        <w:t xml:space="preserve">in 47 C.F.R. 73.3572(a)(4)(ii).  </w:t>
      </w:r>
      <w:r w:rsidRPr="00C64D4F">
        <w:rPr>
          <w:szCs w:val="22"/>
        </w:rPr>
        <w:t xml:space="preserve">Applications for </w:t>
      </w:r>
      <w:r>
        <w:rPr>
          <w:szCs w:val="22"/>
        </w:rPr>
        <w:t>digital</w:t>
      </w:r>
      <w:r w:rsidRPr="00C64D4F">
        <w:rPr>
          <w:szCs w:val="22"/>
        </w:rPr>
        <w:t>-to-digital replacement television translator shall be given processing priority over all other low power television and TV translator applications</w:t>
      </w:r>
      <w:r>
        <w:rPr>
          <w:szCs w:val="22"/>
        </w:rPr>
        <w:t xml:space="preserve"> and shall have co-equal priority with displacement applications filed for analog-to-digital replacement translators</w:t>
      </w:r>
      <w:r w:rsidRPr="00C64D4F">
        <w:rPr>
          <w:szCs w:val="22"/>
        </w:rPr>
        <w:t>.</w:t>
      </w:r>
    </w:p>
    <w:p w:rsidR="0086424F" w:rsidRDefault="0086424F" w:rsidP="0086424F">
      <w:pPr>
        <w:widowControl/>
      </w:pPr>
    </w:p>
    <w:p w:rsidR="0086424F" w:rsidRDefault="002D57FF" w:rsidP="002D57FF">
      <w:r>
        <w:t xml:space="preserve">* * * </w:t>
      </w:r>
    </w:p>
    <w:p w:rsidR="002D57FF" w:rsidRDefault="002D57FF" w:rsidP="0086424F">
      <w:pPr>
        <w:widowControl/>
      </w:pPr>
    </w:p>
    <w:p w:rsidR="0086424F" w:rsidRDefault="0086424F" w:rsidP="0086424F">
      <w:pPr>
        <w:widowControl/>
      </w:pPr>
      <w:r w:rsidRPr="0001390A">
        <w:t xml:space="preserve">(v)  </w:t>
      </w:r>
      <w:r w:rsidR="00964C04" w:rsidRPr="00964C04">
        <w:t xml:space="preserve">The service area of the digital-to-digital replacement translator shall be limited to only a demonstrated loss area within the full-service station’s pre-auction digital service area.  “Pre-auction digital service area” is defined as the geographic area within the full power station’s noise-limited contour (of its facility licensed by the pre-auction licensing deadline prior to the incentive auction conducted under Title VI of the Middle Class Tax Relief and Job Creation Act of 2012 (Pub. L. No. 112-96)).  An applicant for a digital-to-digital replacement television translator may propose a </w:t>
      </w:r>
      <w:r w:rsidR="00964C04" w:rsidRPr="00B53A97">
        <w:rPr>
          <w:i/>
        </w:rPr>
        <w:t>de minimis</w:t>
      </w:r>
      <w:r w:rsidR="00964C04" w:rsidRPr="00964C04">
        <w:t xml:space="preserve"> expansion of its full power pre-auction digital service area upon demonstrating that the expansion is necessary to replace its digital loss area.</w:t>
      </w:r>
    </w:p>
    <w:p w:rsidR="0086424F" w:rsidRDefault="0086424F" w:rsidP="0086424F">
      <w:pPr>
        <w:widowControl/>
      </w:pPr>
    </w:p>
    <w:p w:rsidR="0086424F" w:rsidRDefault="0086424F" w:rsidP="0086424F">
      <w:pPr>
        <w:widowControl/>
      </w:pPr>
      <w:r>
        <w:t>(vi) The license for the analog-to-digital and digital-to-digital replacement television translator will be associated with the full power station’s main license, will be assigned the same call sign, may not be separately assigned or transferred, and will be renewed with the full power station’s main license.</w:t>
      </w:r>
    </w:p>
    <w:p w:rsidR="0086424F" w:rsidRDefault="0086424F" w:rsidP="0086424F">
      <w:pPr>
        <w:widowControl/>
      </w:pPr>
    </w:p>
    <w:p w:rsidR="0086424F" w:rsidRDefault="0086424F" w:rsidP="0086424F">
      <w:pPr>
        <w:widowControl/>
      </w:pPr>
      <w:r>
        <w:t xml:space="preserve">(vii)  Analog-to-digital and digital-to-digital replacement television translators may only operate on those television channels designated for broadcast television use following completion of the auctions </w:t>
      </w:r>
      <w:r w:rsidRPr="0001390A">
        <w:t>conducted under Title VI of the Middle Class Tax Relief and Job Creation Act of 2012 (Pub. L. No. 112-96)</w:t>
      </w:r>
      <w:r>
        <w:t>.</w:t>
      </w:r>
    </w:p>
    <w:p w:rsidR="0086424F" w:rsidRDefault="0086424F" w:rsidP="0086424F">
      <w:pPr>
        <w:widowControl/>
        <w:rPr>
          <w:szCs w:val="22"/>
        </w:rPr>
      </w:pPr>
    </w:p>
    <w:p w:rsidR="0086424F" w:rsidRDefault="0086424F" w:rsidP="0086424F">
      <w:pPr>
        <w:widowControl/>
        <w:rPr>
          <w:szCs w:val="22"/>
        </w:rPr>
      </w:pPr>
      <w:r>
        <w:rPr>
          <w:szCs w:val="22"/>
        </w:rPr>
        <w:t>(viii)    Each original construction permit for the construction of an analog-to-digital or digital-to-digital replacement television translator station shall specify a period of three years from the date of issuance of the original construction permit within which construction shall be completed and application for license filed.  The provisions of Section 74.788(c) of this chapter shall apply for stations seeking additional time to complete construction of their replacement television translator station.</w:t>
      </w:r>
    </w:p>
    <w:p w:rsidR="0086424F" w:rsidRDefault="0086424F" w:rsidP="0086424F">
      <w:pPr>
        <w:widowControl/>
        <w:rPr>
          <w:szCs w:val="22"/>
        </w:rPr>
      </w:pPr>
    </w:p>
    <w:p w:rsidR="0086424F" w:rsidRDefault="0086424F" w:rsidP="0086424F">
      <w:pPr>
        <w:widowControl/>
        <w:rPr>
          <w:szCs w:val="22"/>
        </w:rPr>
      </w:pPr>
      <w:r>
        <w:rPr>
          <w:szCs w:val="22"/>
        </w:rPr>
        <w:t>(ix)  Applications for analog-to-digital and digital-to-digital replacement television translators shall be filed on FCC Form 346</w:t>
      </w:r>
      <w:r w:rsidR="00122D05">
        <w:rPr>
          <w:szCs w:val="22"/>
        </w:rPr>
        <w:t xml:space="preserve"> and</w:t>
      </w:r>
      <w:r>
        <w:rPr>
          <w:szCs w:val="22"/>
        </w:rPr>
        <w:t xml:space="preserve"> shall be treated as an application for minor change.  Mutually exclusive applications shall be resolved via the Commission’s Part 1 and broadcast competitive bidding rules, §1.2100 </w:t>
      </w:r>
      <w:r>
        <w:rPr>
          <w:i/>
          <w:szCs w:val="22"/>
        </w:rPr>
        <w:t xml:space="preserve">et seq. </w:t>
      </w:r>
      <w:r>
        <w:rPr>
          <w:szCs w:val="22"/>
        </w:rPr>
        <w:t xml:space="preserve">and §73.5000 </w:t>
      </w:r>
      <w:r>
        <w:rPr>
          <w:i/>
          <w:szCs w:val="22"/>
        </w:rPr>
        <w:t>et seq.</w:t>
      </w:r>
      <w:r>
        <w:rPr>
          <w:szCs w:val="22"/>
        </w:rPr>
        <w:t xml:space="preserve"> of this chapter.  </w:t>
      </w:r>
    </w:p>
    <w:p w:rsidR="00A36EFB" w:rsidRDefault="00A36EFB" w:rsidP="00A36EFB">
      <w:pPr>
        <w:widowControl/>
        <w:rPr>
          <w:szCs w:val="22"/>
        </w:rPr>
      </w:pPr>
    </w:p>
    <w:p w:rsidR="00A36EFB" w:rsidRDefault="005C265F" w:rsidP="00A36EFB">
      <w:pPr>
        <w:widowControl/>
        <w:rPr>
          <w:szCs w:val="22"/>
        </w:rPr>
      </w:pPr>
      <w:r>
        <w:rPr>
          <w:szCs w:val="22"/>
        </w:rPr>
        <w:t>(x</w:t>
      </w:r>
      <w:r w:rsidR="00A36EFB">
        <w:rPr>
          <w:szCs w:val="22"/>
        </w:rPr>
        <w:t xml:space="preserve">)  The following sections are applicable to </w:t>
      </w:r>
      <w:r w:rsidR="0086424F">
        <w:rPr>
          <w:szCs w:val="22"/>
        </w:rPr>
        <w:t xml:space="preserve">analog-to-digital and </w:t>
      </w:r>
      <w:r>
        <w:rPr>
          <w:szCs w:val="22"/>
        </w:rPr>
        <w:t xml:space="preserve">digital-to-digital </w:t>
      </w:r>
      <w:r w:rsidR="00A36EFB">
        <w:rPr>
          <w:szCs w:val="22"/>
        </w:rPr>
        <w:t>replacement television translator stations:</w:t>
      </w:r>
    </w:p>
    <w:p w:rsidR="00A36EFB" w:rsidRDefault="00A36EFB" w:rsidP="00A36EFB">
      <w:pPr>
        <w:widowControl/>
        <w:rPr>
          <w:szCs w:val="22"/>
        </w:rPr>
      </w:pPr>
    </w:p>
    <w:p w:rsidR="00A36EFB" w:rsidRDefault="00A36EFB" w:rsidP="00A36EFB">
      <w:pPr>
        <w:widowControl/>
        <w:ind w:left="1710" w:hanging="990"/>
        <w:rPr>
          <w:szCs w:val="22"/>
        </w:rPr>
      </w:pPr>
      <w:r>
        <w:rPr>
          <w:szCs w:val="22"/>
        </w:rPr>
        <w:t>§ 73.1030   Notifications concerning interference to radio astronomy, research and receiving installations.</w:t>
      </w:r>
    </w:p>
    <w:p w:rsidR="00A36EFB" w:rsidRDefault="00A36EFB" w:rsidP="00A36EFB">
      <w:pPr>
        <w:widowControl/>
        <w:rPr>
          <w:szCs w:val="22"/>
        </w:rPr>
      </w:pPr>
      <w:r>
        <w:rPr>
          <w:szCs w:val="22"/>
        </w:rPr>
        <w:tab/>
        <w:t>§  74.703  Interference</w:t>
      </w:r>
    </w:p>
    <w:p w:rsidR="00A36EFB" w:rsidRDefault="00A36EFB" w:rsidP="00A36EFB">
      <w:pPr>
        <w:widowControl/>
        <w:rPr>
          <w:szCs w:val="22"/>
        </w:rPr>
      </w:pPr>
      <w:r>
        <w:rPr>
          <w:szCs w:val="22"/>
        </w:rPr>
        <w:tab/>
        <w:t>§  74.709  Land mobile station protection.</w:t>
      </w:r>
    </w:p>
    <w:p w:rsidR="00A36EFB" w:rsidRDefault="00A36EFB" w:rsidP="00A36EFB">
      <w:pPr>
        <w:widowControl/>
        <w:rPr>
          <w:szCs w:val="22"/>
        </w:rPr>
      </w:pPr>
      <w:r>
        <w:rPr>
          <w:szCs w:val="22"/>
        </w:rPr>
        <w:tab/>
        <w:t>§  74.734  Attended and unattended operation</w:t>
      </w:r>
    </w:p>
    <w:p w:rsidR="00A36EFB" w:rsidRDefault="00A36EFB" w:rsidP="00A36EFB">
      <w:pPr>
        <w:widowControl/>
        <w:rPr>
          <w:szCs w:val="22"/>
        </w:rPr>
      </w:pPr>
      <w:r>
        <w:rPr>
          <w:szCs w:val="22"/>
        </w:rPr>
        <w:tab/>
        <w:t>§  74.735  Power Limitations</w:t>
      </w:r>
    </w:p>
    <w:p w:rsidR="00A36EFB" w:rsidRDefault="00A36EFB" w:rsidP="00A36EFB">
      <w:pPr>
        <w:widowControl/>
        <w:rPr>
          <w:szCs w:val="22"/>
        </w:rPr>
      </w:pPr>
      <w:r>
        <w:rPr>
          <w:szCs w:val="22"/>
        </w:rPr>
        <w:tab/>
        <w:t>§  74. 751  Modification of transmission systems.</w:t>
      </w:r>
    </w:p>
    <w:p w:rsidR="00A36EFB" w:rsidRDefault="00A36EFB" w:rsidP="00A36EFB">
      <w:pPr>
        <w:widowControl/>
        <w:rPr>
          <w:szCs w:val="22"/>
        </w:rPr>
      </w:pPr>
      <w:r>
        <w:rPr>
          <w:szCs w:val="22"/>
        </w:rPr>
        <w:tab/>
        <w:t>§  74.763  Time of Operation</w:t>
      </w:r>
    </w:p>
    <w:p w:rsidR="00A36EFB" w:rsidRDefault="00A36EFB" w:rsidP="00A36EFB">
      <w:pPr>
        <w:widowControl/>
        <w:rPr>
          <w:szCs w:val="22"/>
        </w:rPr>
      </w:pPr>
      <w:r>
        <w:rPr>
          <w:szCs w:val="22"/>
        </w:rPr>
        <w:tab/>
        <w:t>§  74.765  Posting of station and operator licenses.</w:t>
      </w:r>
    </w:p>
    <w:p w:rsidR="00A36EFB" w:rsidRDefault="00A36EFB" w:rsidP="00A36EFB">
      <w:pPr>
        <w:widowControl/>
        <w:rPr>
          <w:szCs w:val="22"/>
        </w:rPr>
      </w:pPr>
      <w:r>
        <w:rPr>
          <w:szCs w:val="22"/>
        </w:rPr>
        <w:tab/>
        <w:t>§  74.769  Copies of rules.</w:t>
      </w:r>
    </w:p>
    <w:p w:rsidR="00A36EFB" w:rsidRDefault="00A36EFB" w:rsidP="00A36EFB">
      <w:pPr>
        <w:widowControl/>
        <w:tabs>
          <w:tab w:val="left" w:pos="1620"/>
          <w:tab w:val="left" w:pos="1800"/>
          <w:tab w:val="left" w:pos="2160"/>
        </w:tabs>
        <w:ind w:left="1620" w:hanging="900"/>
        <w:rPr>
          <w:szCs w:val="22"/>
        </w:rPr>
      </w:pPr>
      <w:r>
        <w:rPr>
          <w:szCs w:val="22"/>
        </w:rPr>
        <w:t>§  74.780  Broadcast regulations applicable to translators, low power, and booster stations (except §73.653 – Operation of TV aural and visual transmitters and §73.1201 – Station identification).</w:t>
      </w:r>
    </w:p>
    <w:p w:rsidR="00A36EFB" w:rsidRDefault="00A36EFB" w:rsidP="00A36EFB">
      <w:pPr>
        <w:widowControl/>
        <w:tabs>
          <w:tab w:val="left" w:pos="720"/>
          <w:tab w:val="left" w:pos="1620"/>
          <w:tab w:val="left" w:pos="1800"/>
        </w:tabs>
        <w:rPr>
          <w:szCs w:val="22"/>
        </w:rPr>
      </w:pPr>
      <w:r>
        <w:rPr>
          <w:szCs w:val="22"/>
        </w:rPr>
        <w:tab/>
        <w:t>§74.781</w:t>
      </w:r>
      <w:r>
        <w:rPr>
          <w:szCs w:val="22"/>
        </w:rPr>
        <w:tab/>
        <w:t>Station records.</w:t>
      </w:r>
    </w:p>
    <w:p w:rsidR="00A36EFB" w:rsidRDefault="00A36EFB" w:rsidP="00A36EFB">
      <w:pPr>
        <w:widowControl/>
        <w:tabs>
          <w:tab w:val="left" w:pos="720"/>
          <w:tab w:val="left" w:pos="1620"/>
          <w:tab w:val="left" w:pos="1800"/>
        </w:tabs>
        <w:rPr>
          <w:szCs w:val="22"/>
        </w:rPr>
      </w:pPr>
      <w:r>
        <w:rPr>
          <w:szCs w:val="22"/>
        </w:rPr>
        <w:tab/>
        <w:t>§74.784   Rebroadcasts.</w:t>
      </w:r>
    </w:p>
    <w:p w:rsidR="002E6BB7" w:rsidRDefault="002E6BB7" w:rsidP="00A36EFB">
      <w:pPr>
        <w:widowControl/>
        <w:tabs>
          <w:tab w:val="left" w:pos="720"/>
          <w:tab w:val="left" w:pos="1620"/>
          <w:tab w:val="left" w:pos="1800"/>
        </w:tabs>
        <w:rPr>
          <w:szCs w:val="22"/>
        </w:rPr>
      </w:pPr>
    </w:p>
    <w:p w:rsidR="002E6BB7" w:rsidRPr="002E6BB7" w:rsidRDefault="002E6BB7" w:rsidP="002E6BB7">
      <w:pPr>
        <w:widowControl/>
        <w:tabs>
          <w:tab w:val="left" w:pos="720"/>
          <w:tab w:val="left" w:pos="1620"/>
          <w:tab w:val="left" w:pos="1800"/>
        </w:tabs>
        <w:rPr>
          <w:szCs w:val="22"/>
        </w:rPr>
      </w:pPr>
      <w:r>
        <w:rPr>
          <w:szCs w:val="22"/>
        </w:rPr>
        <w:t xml:space="preserve">5.  </w:t>
      </w:r>
      <w:r w:rsidRPr="002E6BB7">
        <w:rPr>
          <w:szCs w:val="22"/>
        </w:rPr>
        <w:t>Amend Section 74.788 to read as follows:</w:t>
      </w:r>
    </w:p>
    <w:p w:rsidR="002E6BB7" w:rsidRPr="002E6BB7" w:rsidRDefault="002E6BB7" w:rsidP="002E6BB7">
      <w:pPr>
        <w:widowControl/>
        <w:tabs>
          <w:tab w:val="left" w:pos="720"/>
          <w:tab w:val="left" w:pos="1620"/>
          <w:tab w:val="left" w:pos="1800"/>
        </w:tabs>
        <w:rPr>
          <w:szCs w:val="22"/>
        </w:rPr>
      </w:pPr>
    </w:p>
    <w:p w:rsidR="002E6BB7" w:rsidRPr="002E6BB7" w:rsidRDefault="002E6BB7" w:rsidP="002E6BB7">
      <w:pPr>
        <w:widowControl/>
        <w:tabs>
          <w:tab w:val="left" w:pos="720"/>
          <w:tab w:val="left" w:pos="1620"/>
          <w:tab w:val="left" w:pos="1800"/>
        </w:tabs>
        <w:rPr>
          <w:szCs w:val="22"/>
        </w:rPr>
      </w:pPr>
      <w:r w:rsidRPr="002E6BB7">
        <w:rPr>
          <w:szCs w:val="22"/>
        </w:rPr>
        <w:t>Section 74.788 - Digital construction period.</w:t>
      </w:r>
    </w:p>
    <w:p w:rsidR="002E6BB7" w:rsidRPr="002E6BB7" w:rsidRDefault="002E6BB7" w:rsidP="002E6BB7">
      <w:pPr>
        <w:widowControl/>
        <w:tabs>
          <w:tab w:val="left" w:pos="720"/>
          <w:tab w:val="left" w:pos="1620"/>
          <w:tab w:val="left" w:pos="1800"/>
        </w:tabs>
        <w:rPr>
          <w:szCs w:val="22"/>
        </w:rPr>
      </w:pPr>
    </w:p>
    <w:p w:rsidR="002E6BB7" w:rsidRPr="002E6BB7" w:rsidRDefault="002E6BB7" w:rsidP="002E6BB7">
      <w:pPr>
        <w:widowControl/>
        <w:tabs>
          <w:tab w:val="left" w:pos="720"/>
          <w:tab w:val="left" w:pos="1620"/>
          <w:tab w:val="left" w:pos="1800"/>
        </w:tabs>
        <w:rPr>
          <w:szCs w:val="22"/>
        </w:rPr>
      </w:pPr>
      <w:r w:rsidRPr="002E6BB7">
        <w:rPr>
          <w:szCs w:val="22"/>
        </w:rPr>
        <w:t>* * * * *</w:t>
      </w:r>
    </w:p>
    <w:p w:rsidR="002E6BB7" w:rsidRPr="002E6BB7" w:rsidRDefault="002E6BB7" w:rsidP="002E6BB7">
      <w:pPr>
        <w:widowControl/>
        <w:tabs>
          <w:tab w:val="left" w:pos="720"/>
          <w:tab w:val="left" w:pos="1620"/>
          <w:tab w:val="left" w:pos="1800"/>
        </w:tabs>
        <w:rPr>
          <w:szCs w:val="22"/>
        </w:rPr>
      </w:pPr>
    </w:p>
    <w:p w:rsidR="002E6BB7" w:rsidRPr="002E6BB7" w:rsidRDefault="002E6BB7" w:rsidP="002E6BB7">
      <w:pPr>
        <w:widowControl/>
        <w:tabs>
          <w:tab w:val="left" w:pos="720"/>
          <w:tab w:val="left" w:pos="1620"/>
          <w:tab w:val="left" w:pos="1800"/>
        </w:tabs>
        <w:rPr>
          <w:szCs w:val="22"/>
        </w:rPr>
      </w:pPr>
      <w:r w:rsidRPr="002E6BB7">
        <w:rPr>
          <w:szCs w:val="22"/>
        </w:rPr>
        <w:t>(c) Authority delegated. (1) For the September 1, 2015 Class A television digital construction deadline, authority is delegated to the Chief, Media Bureau to grant an extension of time of up to six months beyond September 1, 2015 upon demonstration by the digital licensee or permittee that failure to meet the construction deadline is due to circumstances that are either unforeseeable or beyond the licensee's control where the licensee has taken all reasonable steps to resolve the problem expeditiously.  For the (insert new transition date) low power television and TV translator station digital construction deadline, authority is delegated to the Chief, Media Bureau to grant an extension of time of up to six months beyond (insert new transition date) upon demonstration by the digital licensee or permittee that failure to meet the construction deadline is due to circumstances that are either unforeseeable or beyond the licensee's control where the licensee has taken all reasonable steps to resolve the problem expeditiously.</w:t>
      </w:r>
    </w:p>
    <w:p w:rsidR="002E6BB7" w:rsidRPr="002E6BB7" w:rsidRDefault="002E6BB7" w:rsidP="002E6BB7">
      <w:pPr>
        <w:widowControl/>
        <w:tabs>
          <w:tab w:val="left" w:pos="720"/>
          <w:tab w:val="left" w:pos="1620"/>
          <w:tab w:val="left" w:pos="1800"/>
        </w:tabs>
        <w:rPr>
          <w:szCs w:val="22"/>
        </w:rPr>
      </w:pPr>
    </w:p>
    <w:p w:rsidR="002E6BB7" w:rsidRPr="002E6BB7" w:rsidRDefault="002E6BB7" w:rsidP="002E6BB7">
      <w:pPr>
        <w:widowControl/>
        <w:tabs>
          <w:tab w:val="left" w:pos="720"/>
          <w:tab w:val="left" w:pos="1620"/>
          <w:tab w:val="left" w:pos="1800"/>
        </w:tabs>
        <w:rPr>
          <w:szCs w:val="22"/>
        </w:rPr>
      </w:pPr>
      <w:r w:rsidRPr="002E6BB7">
        <w:rPr>
          <w:szCs w:val="22"/>
        </w:rPr>
        <w:t xml:space="preserve">* * * * * </w:t>
      </w:r>
    </w:p>
    <w:p w:rsidR="002E6BB7" w:rsidRPr="002E6BB7" w:rsidRDefault="002E6BB7" w:rsidP="002E6BB7">
      <w:pPr>
        <w:widowControl/>
        <w:tabs>
          <w:tab w:val="left" w:pos="720"/>
          <w:tab w:val="left" w:pos="1620"/>
          <w:tab w:val="left" w:pos="1800"/>
        </w:tabs>
        <w:rPr>
          <w:szCs w:val="22"/>
        </w:rPr>
      </w:pPr>
    </w:p>
    <w:p w:rsidR="002E6BB7" w:rsidRPr="002E6BB7" w:rsidRDefault="002E6BB7" w:rsidP="002E6BB7">
      <w:pPr>
        <w:widowControl/>
        <w:tabs>
          <w:tab w:val="left" w:pos="720"/>
          <w:tab w:val="left" w:pos="1620"/>
          <w:tab w:val="left" w:pos="1800"/>
        </w:tabs>
        <w:rPr>
          <w:szCs w:val="22"/>
        </w:rPr>
      </w:pPr>
      <w:r w:rsidRPr="002E6BB7">
        <w:rPr>
          <w:szCs w:val="22"/>
        </w:rPr>
        <w:t>(3) Applications for extension of time filed by Class A television stations shall be filed not later than May 1, 2015 absent a showing of sufficient reasons for late filing.  Applications for extension of time filed by low power television and TV translator stations shall be filed not later than (insert new filing deadline) absent a showing of sufficient reasons for late filing.</w:t>
      </w:r>
    </w:p>
    <w:p w:rsidR="002E6BB7" w:rsidRDefault="002E6BB7" w:rsidP="002E6BB7">
      <w:pPr>
        <w:widowControl/>
        <w:tabs>
          <w:tab w:val="left" w:pos="720"/>
          <w:tab w:val="left" w:pos="1620"/>
          <w:tab w:val="left" w:pos="1800"/>
        </w:tabs>
        <w:rPr>
          <w:szCs w:val="22"/>
        </w:rPr>
      </w:pPr>
      <w:r w:rsidRPr="002E6BB7">
        <w:rPr>
          <w:szCs w:val="22"/>
        </w:rPr>
        <w:t>(d)    For Class A television digital construction deadlines occurring after May 1, 2015, the tolling provisions of Section 73.3598 shall apply. For low power television and TV translator digital construction deadlines occurring after (insert new transition date), the tolling provisions of Section 73.3598 shall apply.</w:t>
      </w:r>
    </w:p>
    <w:p w:rsidR="00C805B7" w:rsidRDefault="00C805B7" w:rsidP="00A36EFB">
      <w:pPr>
        <w:widowControl/>
        <w:tabs>
          <w:tab w:val="left" w:pos="720"/>
          <w:tab w:val="left" w:pos="1620"/>
          <w:tab w:val="left" w:pos="1800"/>
        </w:tabs>
        <w:rPr>
          <w:szCs w:val="22"/>
        </w:rPr>
      </w:pPr>
    </w:p>
    <w:p w:rsidR="00C805B7" w:rsidRPr="00C805B7" w:rsidRDefault="00C805B7" w:rsidP="00C805B7">
      <w:pPr>
        <w:tabs>
          <w:tab w:val="left" w:pos="720"/>
          <w:tab w:val="left" w:pos="1620"/>
          <w:tab w:val="left" w:pos="1800"/>
        </w:tabs>
      </w:pPr>
      <w:r>
        <w:t xml:space="preserve">* * * * * </w:t>
      </w:r>
      <w:r w:rsidRPr="00C805B7">
        <w:t xml:space="preserve">  </w:t>
      </w:r>
    </w:p>
    <w:p w:rsidR="0082641B" w:rsidRDefault="0082641B" w:rsidP="002075F4">
      <w:pPr>
        <w:widowControl/>
        <w:rPr>
          <w:b/>
        </w:rPr>
      </w:pPr>
    </w:p>
    <w:p w:rsidR="0082641B" w:rsidRDefault="00B309A1" w:rsidP="002075F4">
      <w:pPr>
        <w:widowControl/>
      </w:pPr>
      <w:r>
        <w:t>6</w:t>
      </w:r>
      <w:r w:rsidR="0082641B">
        <w:t>.  Add new Section 74.800 – Low Power Television Channel Sharing</w:t>
      </w:r>
    </w:p>
    <w:p w:rsidR="0082641B" w:rsidRDefault="0082641B" w:rsidP="002075F4">
      <w:pPr>
        <w:widowControl/>
      </w:pPr>
    </w:p>
    <w:p w:rsidR="00B4582E" w:rsidRDefault="00FC466F" w:rsidP="00FC466F">
      <w:pPr>
        <w:widowControl/>
      </w:pPr>
      <w:r w:rsidRPr="00FC466F">
        <w:t xml:space="preserve">(a)  Channel sharing generally.  </w:t>
      </w:r>
    </w:p>
    <w:p w:rsidR="00B4582E" w:rsidRDefault="00B4582E" w:rsidP="00FC466F">
      <w:pPr>
        <w:widowControl/>
      </w:pPr>
    </w:p>
    <w:p w:rsidR="00B4582E" w:rsidRDefault="00B4582E" w:rsidP="00B4582E">
      <w:pPr>
        <w:widowControl/>
        <w:ind w:firstLine="720"/>
      </w:pPr>
      <w:r>
        <w:t xml:space="preserve">(1) </w:t>
      </w:r>
      <w:r w:rsidR="00FC466F" w:rsidRPr="00FC466F">
        <w:t xml:space="preserve">Subject to the provisions of this section, </w:t>
      </w:r>
      <w:r w:rsidR="00FC466F">
        <w:t xml:space="preserve">low power television and </w:t>
      </w:r>
      <w:r w:rsidR="00010777">
        <w:t>TV</w:t>
      </w:r>
      <w:r w:rsidR="00FC466F">
        <w:t xml:space="preserve"> translator stations </w:t>
      </w:r>
      <w:r w:rsidR="00FC466F" w:rsidRPr="00FC466F">
        <w:t>may voluntarily seek Commission approval to share a single six megahertz channel</w:t>
      </w:r>
      <w:r w:rsidR="00194D0F">
        <w:t xml:space="preserve"> with other low power television, TV translator, full power television and Class A television station</w:t>
      </w:r>
      <w:r w:rsidR="00FC466F" w:rsidRPr="00FC466F">
        <w:t>.</w:t>
      </w:r>
    </w:p>
    <w:p w:rsidR="00B4582E" w:rsidRDefault="00B4582E" w:rsidP="00B4582E">
      <w:pPr>
        <w:widowControl/>
        <w:ind w:firstLine="720"/>
      </w:pPr>
    </w:p>
    <w:p w:rsidR="00FC466F" w:rsidRDefault="00B4582E" w:rsidP="00B4582E">
      <w:pPr>
        <w:widowControl/>
        <w:ind w:firstLine="720"/>
      </w:pPr>
      <w:r>
        <w:t xml:space="preserve">(2) </w:t>
      </w:r>
      <w:r w:rsidR="00FC466F" w:rsidRPr="00FC466F">
        <w:t xml:space="preserve">Each station sharing a single channel </w:t>
      </w:r>
      <w:r w:rsidR="00194D0F">
        <w:t xml:space="preserve">pursuant to this section </w:t>
      </w:r>
      <w:r w:rsidR="00FC466F" w:rsidRPr="00FC466F">
        <w:t>shall continue to be licensed and operated separately, have its own call sign and be separately subject to all of the Commission’s obligations, rules, and policies.</w:t>
      </w:r>
    </w:p>
    <w:p w:rsidR="00FC466F" w:rsidRDefault="00FC466F" w:rsidP="00FC466F">
      <w:pPr>
        <w:widowControl/>
      </w:pPr>
    </w:p>
    <w:p w:rsidR="00FC466F" w:rsidRDefault="00FC466F" w:rsidP="00FC466F">
      <w:pPr>
        <w:widowControl/>
      </w:pPr>
      <w:r>
        <w:t xml:space="preserve">(b) </w:t>
      </w:r>
      <w:r w:rsidRPr="00FC466F">
        <w:t>Licens</w:t>
      </w:r>
      <w:r w:rsidR="00B4582E">
        <w:t>ing of Channel</w:t>
      </w:r>
      <w:r w:rsidRPr="00FC466F">
        <w:t xml:space="preserve"> Sharing Stations. </w:t>
      </w:r>
      <w:r w:rsidR="00B4582E">
        <w:t xml:space="preserve"> </w:t>
      </w:r>
      <w:r w:rsidR="007E208E">
        <w:t>The LPTV or TV translator c</w:t>
      </w:r>
      <w:r w:rsidR="007E208E" w:rsidRPr="007E208E">
        <w:t xml:space="preserve">hannel sharing station relinquishing its channel </w:t>
      </w:r>
      <w:r w:rsidR="007E208E">
        <w:t xml:space="preserve">must </w:t>
      </w:r>
      <w:r w:rsidR="007E208E" w:rsidRPr="007E208E">
        <w:t xml:space="preserve">file an application for </w:t>
      </w:r>
      <w:r w:rsidR="004E510B">
        <w:t xml:space="preserve">the initial channel sharing </w:t>
      </w:r>
      <w:r w:rsidR="007E208E" w:rsidRPr="007E208E">
        <w:t xml:space="preserve">construction permit (FCC Form 346), include a copy of the channel sharing agreement as an exhibit, and cross reference the other sharing station(s).   Any engineering changes necessitated by the channel sharing arrangement </w:t>
      </w:r>
      <w:r w:rsidR="007E208E">
        <w:t>may</w:t>
      </w:r>
      <w:r w:rsidR="007E208E" w:rsidRPr="007E208E">
        <w:t xml:space="preserve"> be included in the station’s application.  </w:t>
      </w:r>
      <w:r w:rsidR="007E208E">
        <w:t xml:space="preserve">Upon initiation of shared operations, </w:t>
      </w:r>
      <w:r w:rsidR="007E208E" w:rsidRPr="007E208E">
        <w:t xml:space="preserve">the station relinquishing its channel </w:t>
      </w:r>
      <w:r w:rsidR="007E208E">
        <w:t>must</w:t>
      </w:r>
      <w:r w:rsidR="007E208E" w:rsidRPr="007E208E">
        <w:t xml:space="preserve"> notify the Commission that it has terminated operation </w:t>
      </w:r>
      <w:r w:rsidR="007E208E">
        <w:t>pursuant to section 73.1750 of this part</w:t>
      </w:r>
      <w:r w:rsidR="004E510B">
        <w:t xml:space="preserve"> and </w:t>
      </w:r>
      <w:r w:rsidR="002C3D39">
        <w:t xml:space="preserve">each </w:t>
      </w:r>
      <w:r w:rsidR="007E208E" w:rsidRPr="007E208E">
        <w:t xml:space="preserve">sharing station </w:t>
      </w:r>
      <w:r w:rsidR="004E510B">
        <w:t>must</w:t>
      </w:r>
      <w:r w:rsidR="007E208E" w:rsidRPr="007E208E">
        <w:t xml:space="preserve"> file a</w:t>
      </w:r>
      <w:r w:rsidR="002C3D39">
        <w:t>n</w:t>
      </w:r>
      <w:r w:rsidR="007E208E" w:rsidRPr="007E208E">
        <w:t xml:space="preserve"> application for license (</w:t>
      </w:r>
      <w:r w:rsidR="004E510B">
        <w:t xml:space="preserve">FCC </w:t>
      </w:r>
      <w:r w:rsidR="007E208E" w:rsidRPr="007E208E">
        <w:t>Form 347).</w:t>
      </w:r>
    </w:p>
    <w:p w:rsidR="00B4582E" w:rsidRDefault="00B4582E" w:rsidP="00FC466F">
      <w:pPr>
        <w:widowControl/>
      </w:pPr>
    </w:p>
    <w:p w:rsidR="00B4582E" w:rsidRDefault="00B4582E" w:rsidP="00FC466F">
      <w:pPr>
        <w:widowControl/>
      </w:pPr>
      <w:r>
        <w:t xml:space="preserve">(c) Deadline For Implementing Channel Sharing Arrangements.  Channel sharing arrangements </w:t>
      </w:r>
      <w:r w:rsidR="00194D0F">
        <w:t xml:space="preserve">submitted pursuant to this section </w:t>
      </w:r>
      <w:r>
        <w:t xml:space="preserve">must be implemented within </w:t>
      </w:r>
      <w:r w:rsidR="007E208E">
        <w:t>three years</w:t>
      </w:r>
      <w:r>
        <w:t xml:space="preserve"> of the grant of the </w:t>
      </w:r>
      <w:r w:rsidR="004E510B">
        <w:t>initial channel sharing construction permit</w:t>
      </w:r>
      <w:r>
        <w:t>.</w:t>
      </w:r>
    </w:p>
    <w:p w:rsidR="00FC466F" w:rsidRDefault="00FC466F" w:rsidP="00FC466F">
      <w:pPr>
        <w:widowControl/>
      </w:pPr>
    </w:p>
    <w:p w:rsidR="00B4582E" w:rsidRDefault="00FC466F" w:rsidP="00FC466F">
      <w:pPr>
        <w:widowControl/>
      </w:pPr>
      <w:r>
        <w:t>(</w:t>
      </w:r>
      <w:r w:rsidR="00B4582E">
        <w:t>d</w:t>
      </w:r>
      <w:r>
        <w:t xml:space="preserve">) </w:t>
      </w:r>
      <w:r w:rsidR="00B4582E">
        <w:t>Channel Sharing Agreements.</w:t>
      </w:r>
    </w:p>
    <w:p w:rsidR="00B4582E" w:rsidRDefault="00B4582E" w:rsidP="00FC466F">
      <w:pPr>
        <w:widowControl/>
      </w:pPr>
    </w:p>
    <w:p w:rsidR="00B4582E" w:rsidRDefault="00B4582E" w:rsidP="00B4582E">
      <w:pPr>
        <w:widowControl/>
      </w:pPr>
      <w:r>
        <w:tab/>
      </w:r>
      <w:r w:rsidRPr="00B4582E">
        <w:t xml:space="preserve">(i) </w:t>
      </w:r>
      <w:r w:rsidR="00AF79D1">
        <w:t xml:space="preserve">Channel sharing agreements submitted under this section </w:t>
      </w:r>
      <w:r w:rsidRPr="00B4582E">
        <w:t xml:space="preserve">must contain provisions outlining each licensee’s rights and responsibilities regarding: </w:t>
      </w:r>
    </w:p>
    <w:p w:rsidR="00B4582E" w:rsidRPr="00B4582E" w:rsidRDefault="00B4582E" w:rsidP="00B4582E">
      <w:pPr>
        <w:widowControl/>
      </w:pPr>
    </w:p>
    <w:p w:rsidR="00B4582E" w:rsidRDefault="00B4582E" w:rsidP="00B4582E">
      <w:pPr>
        <w:widowControl/>
        <w:ind w:firstLine="1080"/>
      </w:pPr>
      <w:r w:rsidRPr="00B4582E">
        <w:t xml:space="preserve">(A) Access to facilities, including whether each licensee will have unrestrained access to the shared transmission facilities; </w:t>
      </w:r>
    </w:p>
    <w:p w:rsidR="00B4582E" w:rsidRDefault="00B4582E" w:rsidP="00B4582E">
      <w:pPr>
        <w:widowControl/>
        <w:ind w:firstLine="1080"/>
      </w:pPr>
    </w:p>
    <w:p w:rsidR="00B4582E" w:rsidRDefault="00B4582E" w:rsidP="00B4582E">
      <w:pPr>
        <w:widowControl/>
        <w:ind w:firstLine="1080"/>
      </w:pPr>
      <w:r w:rsidRPr="00B4582E">
        <w:t xml:space="preserve">(B) Operation, maintenance, repair, and modification of facilities, including a list of all relevant equipment, a description of each party’s financial obligations, and any relevant notice provisions; and </w:t>
      </w:r>
    </w:p>
    <w:p w:rsidR="00B4582E" w:rsidRDefault="00B4582E" w:rsidP="00B4582E">
      <w:pPr>
        <w:widowControl/>
      </w:pPr>
    </w:p>
    <w:p w:rsidR="00B4582E" w:rsidRDefault="00B4582E" w:rsidP="00AF79D1">
      <w:pPr>
        <w:widowControl/>
        <w:ind w:firstLine="1080"/>
      </w:pPr>
      <w:r w:rsidRPr="00B4582E">
        <w:t>(C) Termination or transfer/assignment of rights to the shared licenses, including the ability of a new licensee to assume the existing CSA.</w:t>
      </w:r>
    </w:p>
    <w:p w:rsidR="00AF79D1" w:rsidRPr="00B4582E" w:rsidRDefault="00AF79D1" w:rsidP="00AF79D1">
      <w:pPr>
        <w:widowControl/>
        <w:ind w:firstLine="1080"/>
      </w:pPr>
    </w:p>
    <w:p w:rsidR="00AF79D1" w:rsidRDefault="00B4582E" w:rsidP="00AF79D1">
      <w:pPr>
        <w:widowControl/>
        <w:ind w:firstLine="720"/>
      </w:pPr>
      <w:r w:rsidRPr="00B4582E">
        <w:t xml:space="preserve">(ii) </w:t>
      </w:r>
      <w:r w:rsidR="00AF79D1">
        <w:t xml:space="preserve">Channel sharing agreements submitted under this section </w:t>
      </w:r>
      <w:r w:rsidRPr="00B4582E">
        <w:t xml:space="preserve">must include a provision affirming compliance with the channel sharing requirements in </w:t>
      </w:r>
      <w:r w:rsidR="00AF79D1">
        <w:t xml:space="preserve">this </w:t>
      </w:r>
      <w:r w:rsidRPr="00B4582E">
        <w:t>section including a provision requiring that each channel sharing licensee shall retain spectrum usage rights adequate to ensure a sufficient amount of the shared channel capacity to allow it to provide at least one Standard Definition (SD) program stream at all times.</w:t>
      </w:r>
    </w:p>
    <w:p w:rsidR="00AF79D1" w:rsidRDefault="00AF79D1" w:rsidP="00AF79D1">
      <w:pPr>
        <w:widowControl/>
      </w:pPr>
    </w:p>
    <w:p w:rsidR="00DD68F7" w:rsidRDefault="00AF79D1" w:rsidP="00B4582E">
      <w:pPr>
        <w:widowControl/>
      </w:pPr>
      <w:r>
        <w:t xml:space="preserve">(e)  Termination and Assignment/Transfer of Shared Channel.  </w:t>
      </w:r>
      <w:r w:rsidR="00B4582E" w:rsidRPr="00B4582E">
        <w:t xml:space="preserve">If a </w:t>
      </w:r>
      <w:r>
        <w:t xml:space="preserve">channel sharing station’s </w:t>
      </w:r>
      <w:r w:rsidR="00B4582E" w:rsidRPr="00B4582E">
        <w:t xml:space="preserve">license </w:t>
      </w:r>
      <w:r w:rsidR="00194D0F">
        <w:t xml:space="preserve">authorized under this section </w:t>
      </w:r>
      <w:r w:rsidR="00B4582E" w:rsidRPr="00B4582E">
        <w:t xml:space="preserve">is terminated, the remaining channel sharing station or stations will continue to have rights to their portion(s) of the shared channel.  </w:t>
      </w:r>
      <w:r w:rsidR="002C7EAD">
        <w:t>T</w:t>
      </w:r>
      <w:r w:rsidR="002C7EAD" w:rsidRPr="002C7EAD">
        <w:t xml:space="preserve">he license(s) of the remaining channel sharing station(s) </w:t>
      </w:r>
      <w:r w:rsidR="002C7EAD">
        <w:t xml:space="preserve">shall be modified </w:t>
      </w:r>
      <w:r w:rsidR="002C7EAD" w:rsidRPr="002C7EAD">
        <w:t>to reflect that its channel is no longer shared with the terminated licensee.  In the event that only one station remains on the sha</w:t>
      </w:r>
      <w:r w:rsidR="002C7EAD">
        <w:t xml:space="preserve">red channel, that station may </w:t>
      </w:r>
      <w:r w:rsidR="002C7EAD" w:rsidRPr="002C7EAD">
        <w:t>request that the shared channel be re-designated as a non-shared channel or could enter into a CSA with another station and resume shared operations, subject to Commission approval.</w:t>
      </w:r>
      <w:r w:rsidR="00B4582E" w:rsidRPr="00B4582E">
        <w:t xml:space="preserve">  </w:t>
      </w:r>
    </w:p>
    <w:p w:rsidR="00EE4B77" w:rsidRDefault="00EE4B77" w:rsidP="00B4582E">
      <w:pPr>
        <w:widowControl/>
        <w:rPr>
          <w:b/>
        </w:rPr>
      </w:pPr>
    </w:p>
    <w:p w:rsidR="00EE4B77" w:rsidRDefault="00EE4B77" w:rsidP="00B4582E">
      <w:pPr>
        <w:widowControl/>
        <w:rPr>
          <w:b/>
        </w:rPr>
        <w:sectPr w:rsidR="00EE4B77" w:rsidSect="002F646E">
          <w:footnotePr>
            <w:numRestart w:val="eachSect"/>
          </w:footnotePr>
          <w:endnotePr>
            <w:numFmt w:val="decimal"/>
          </w:endnotePr>
          <w:pgSz w:w="12240" w:h="15840" w:code="1"/>
          <w:pgMar w:top="1440" w:right="1440" w:bottom="720" w:left="1440" w:header="720" w:footer="720" w:gutter="0"/>
          <w:cols w:space="720"/>
          <w:noEndnote/>
          <w:docGrid w:linePitch="299"/>
        </w:sectPr>
      </w:pPr>
    </w:p>
    <w:p w:rsidR="009B0E5C" w:rsidRDefault="009B0E5C" w:rsidP="009B0E5C">
      <w:pPr>
        <w:jc w:val="center"/>
        <w:rPr>
          <w:b/>
        </w:rPr>
      </w:pPr>
      <w:r>
        <w:rPr>
          <w:b/>
        </w:rPr>
        <w:t>APPENDIX B</w:t>
      </w:r>
    </w:p>
    <w:p w:rsidR="00D00FF0" w:rsidRDefault="00D00FF0" w:rsidP="009B0E5C">
      <w:pPr>
        <w:jc w:val="center"/>
        <w:rPr>
          <w:b/>
        </w:rPr>
      </w:pPr>
    </w:p>
    <w:p w:rsidR="009B0E5C" w:rsidRDefault="009B0E5C" w:rsidP="009B0E5C">
      <w:pPr>
        <w:jc w:val="center"/>
        <w:rPr>
          <w:b/>
        </w:rPr>
      </w:pPr>
      <w:r>
        <w:rPr>
          <w:b/>
        </w:rPr>
        <w:t>I</w:t>
      </w:r>
      <w:r w:rsidR="00D00FF0">
        <w:rPr>
          <w:b/>
        </w:rPr>
        <w:t>nitial Regulatory Flexibility Analysis</w:t>
      </w:r>
    </w:p>
    <w:p w:rsidR="009B0E5C" w:rsidRDefault="009B0E5C" w:rsidP="009B0E5C">
      <w:pPr>
        <w:jc w:val="center"/>
        <w:rPr>
          <w:b/>
        </w:rPr>
      </w:pPr>
    </w:p>
    <w:p w:rsidR="003878DA" w:rsidRDefault="009B0E5C" w:rsidP="002F646E">
      <w:pPr>
        <w:pStyle w:val="ParaNum"/>
        <w:numPr>
          <w:ilvl w:val="0"/>
          <w:numId w:val="18"/>
        </w:numPr>
        <w:tabs>
          <w:tab w:val="clear" w:pos="1080"/>
          <w:tab w:val="num" w:pos="1440"/>
        </w:tabs>
      </w:pPr>
      <w:r w:rsidRPr="007752DA">
        <w:t>As required by the Regulatory Flexibility Act of 1980, as amended (“RFA”)</w:t>
      </w:r>
      <w:r w:rsidRPr="007752DA">
        <w:rPr>
          <w:sz w:val="20"/>
          <w:vertAlign w:val="superscript"/>
        </w:rPr>
        <w:footnoteReference w:id="146"/>
      </w:r>
      <w:r w:rsidRPr="007752DA">
        <w:t xml:space="preserve"> the Commission has prepared this present Initial Regulatory Flexibility Analysis (“IRFA”) concerning the possible significant economic impact on small entities by the policies and rules proposed in this </w:t>
      </w:r>
      <w:r w:rsidRPr="003878DA">
        <w:rPr>
          <w:i/>
        </w:rPr>
        <w:t>Third Notice of Proposed Rulemaking</w:t>
      </w:r>
      <w:r w:rsidRPr="007752DA">
        <w:t xml:space="preserve"> (</w:t>
      </w:r>
      <w:r w:rsidRPr="003878DA">
        <w:rPr>
          <w:i/>
        </w:rPr>
        <w:t>Notice</w:t>
      </w:r>
      <w:r w:rsidRPr="007752DA">
        <w:t xml:space="preserve">).  Written public comments are requested on this IRFA.  Comments must be identified as responses to the IRFA and must be filed by the deadlines for comments indicated on the first page of the </w:t>
      </w:r>
      <w:r w:rsidRPr="003878DA">
        <w:rPr>
          <w:i/>
        </w:rPr>
        <w:t>Notice</w:t>
      </w:r>
      <w:r w:rsidRPr="007752DA">
        <w:t xml:space="preserve">.  The Commission will send a copy of the </w:t>
      </w:r>
      <w:r w:rsidRPr="003878DA">
        <w:rPr>
          <w:i/>
        </w:rPr>
        <w:t>Notice,</w:t>
      </w:r>
      <w:r w:rsidRPr="007752DA">
        <w:t xml:space="preserve"> including this IRFA, to the Chief Counsel for Advocacy of the Small Business Administration (SBA).</w:t>
      </w:r>
      <w:r w:rsidRPr="007752DA">
        <w:rPr>
          <w:sz w:val="20"/>
          <w:vertAlign w:val="superscript"/>
        </w:rPr>
        <w:footnoteReference w:id="147"/>
      </w:r>
      <w:r w:rsidRPr="007752DA">
        <w:t xml:space="preserve">  In addition, the </w:t>
      </w:r>
      <w:r w:rsidRPr="003878DA">
        <w:rPr>
          <w:i/>
        </w:rPr>
        <w:t xml:space="preserve">Notice </w:t>
      </w:r>
      <w:r w:rsidRPr="007752DA">
        <w:t>and IRFA (or summaries thereof) will be published in the Federal Register.</w:t>
      </w:r>
      <w:r w:rsidRPr="007752DA">
        <w:rPr>
          <w:sz w:val="20"/>
          <w:vertAlign w:val="superscript"/>
        </w:rPr>
        <w:footnoteReference w:id="148"/>
      </w:r>
    </w:p>
    <w:p w:rsidR="003878DA" w:rsidRPr="00AC4AE9" w:rsidRDefault="003878DA" w:rsidP="00AC4AE9">
      <w:pPr>
        <w:pStyle w:val="ParaNum"/>
        <w:numPr>
          <w:ilvl w:val="0"/>
          <w:numId w:val="0"/>
        </w:numPr>
        <w:ind w:firstLine="720"/>
        <w:rPr>
          <w:b/>
        </w:rPr>
      </w:pPr>
      <w:r w:rsidRPr="00AC4AE9">
        <w:rPr>
          <w:b/>
        </w:rPr>
        <w:t>A.</w:t>
      </w:r>
      <w:r w:rsidRPr="00AC4AE9">
        <w:rPr>
          <w:b/>
        </w:rPr>
        <w:tab/>
        <w:t>Need for and Objectives of the Proposed Rules</w:t>
      </w:r>
    </w:p>
    <w:p w:rsidR="00E862FE" w:rsidRDefault="00E862FE" w:rsidP="00E862FE">
      <w:pPr>
        <w:pStyle w:val="ParaNum"/>
      </w:pPr>
      <w:r>
        <w:t xml:space="preserve">On June 2, 2014, the Federal Communications Commission (Commission) released its Incentive Auction Report and Order, </w:t>
      </w:r>
      <w:r w:rsidR="00122D05">
        <w:t>29 FCC Rcd 657 (2014)</w:t>
      </w:r>
      <w:r>
        <w:t xml:space="preserve">, adopting rules to implement the broadcast television spectrum incentive auction authorized by the Middle Class Tax Relief and Job Creation Act (Spectrum Act).   The Commission recognized in the Incentive Auction Report and Order that the incentive auction will have a significant impact on low power television stations and TV translator stations.   As part of the incentive auction, the Commission will (1) conduct a “reverse auction,” whereby full power and Class A television stations may opt to relinquish some or all of their spectrum usage rights in exchange for incentive payments, and (2) reorganize or “repack” the broadcast television bands in order to free up a portion of the ultra high frequency (UHF) band for new flexible uses.  The Commission concluded in the Incentive Auction Report and Order that the Spectrum Act does not mandate the protection of LPTV and TV translator stations because the scope of mandatory protection under section 6403(b)(2) is limited to full power and Class A television stations.  The Commission also declined to extend discretionary protection to these stations because of the detrimental impact such protection would have on the repacking process and the success of the incentive auction.    Accordingly, some LPTV and TV translator stations will be displaced as a result of the repacking process and required to either find a new channel or discontinue operations.       </w:t>
      </w:r>
    </w:p>
    <w:p w:rsidR="00E862FE" w:rsidRDefault="00E862FE" w:rsidP="00E862FE">
      <w:pPr>
        <w:pStyle w:val="ParaNum"/>
      </w:pPr>
      <w:r>
        <w:t xml:space="preserve">In order to mitigate the impact of the auction and repacking process on LPTV and TV translator stations, the Commission stated that it intended to initiate an LPTV/TV Translator rulemaking proceeding “to consider additional measures that may help alleviate the consequences of LPTV and TV translator station displacements resulting from the auction and repacking process.  In this </w:t>
      </w:r>
      <w:r>
        <w:rPr>
          <w:i/>
        </w:rPr>
        <w:t>Notice</w:t>
      </w:r>
      <w:r>
        <w:t xml:space="preserve">, the Commission </w:t>
      </w:r>
      <w:r w:rsidR="00122D05">
        <w:t xml:space="preserve">considers </w:t>
      </w:r>
      <w:r>
        <w:t>the measures discussed in the Incentive Auction Report and Order as well as other measures to ensure the successful completion of the LPTV and TV translator digital transition and the continued viability of these services.</w:t>
      </w:r>
    </w:p>
    <w:p w:rsidR="00E34422" w:rsidRDefault="009B0E5C" w:rsidP="00E862FE">
      <w:pPr>
        <w:pStyle w:val="ParaNum"/>
      </w:pPr>
      <w:r w:rsidRPr="007752DA">
        <w:t xml:space="preserve">In the </w:t>
      </w:r>
      <w:r w:rsidRPr="006F5756">
        <w:rPr>
          <w:i/>
        </w:rPr>
        <w:t>Notice</w:t>
      </w:r>
      <w:r w:rsidRPr="007752DA">
        <w:t xml:space="preserve">, the Commission </w:t>
      </w:r>
      <w:r w:rsidR="00E34422">
        <w:t>seeks comment on whether to extend the September 1, 2015 digital transition deadline for LPTV and TV translator stations</w:t>
      </w:r>
      <w:r w:rsidR="00E862FE">
        <w:t xml:space="preserve">.  </w:t>
      </w:r>
      <w:r w:rsidR="00E862FE" w:rsidRPr="00E862FE">
        <w:t xml:space="preserve">Because a significant number of stations have yet to complete their transition to digital service, and with less than a year before the digital transition deadline, </w:t>
      </w:r>
      <w:r w:rsidR="00E862FE">
        <w:t>the Commission</w:t>
      </w:r>
      <w:r w:rsidR="00E862FE" w:rsidRPr="00E862FE">
        <w:t xml:space="preserve"> believe</w:t>
      </w:r>
      <w:r w:rsidR="00E862FE">
        <w:t>s</w:t>
      </w:r>
      <w:r w:rsidR="00E862FE" w:rsidRPr="00E862FE">
        <w:t xml:space="preserve"> that it is appropriate to reconsider whether the deadline should be postponed in light of the projected timing of </w:t>
      </w:r>
      <w:r w:rsidR="00E862FE">
        <w:t xml:space="preserve">its </w:t>
      </w:r>
      <w:r w:rsidR="00E862FE" w:rsidRPr="00E862FE">
        <w:t>incentive auction.</w:t>
      </w:r>
      <w:r w:rsidR="00E862FE">
        <w:t xml:space="preserve">  The Commission seeks comment on an appropriate new transition date and whether to revise its related rules to accommodate the change.</w:t>
      </w:r>
      <w:r w:rsidR="00E862FE" w:rsidRPr="00E862FE">
        <w:t xml:space="preserve">  </w:t>
      </w:r>
    </w:p>
    <w:p w:rsidR="00E34422" w:rsidRDefault="00E34422" w:rsidP="00E34422">
      <w:pPr>
        <w:pStyle w:val="ParaNum"/>
      </w:pPr>
      <w:r>
        <w:t xml:space="preserve">The Commission also tentatively concludes to </w:t>
      </w:r>
      <w:r w:rsidR="000026DC" w:rsidRPr="000026DC">
        <w:t>adopt rules to permit channel sharing by and between LPTV and TV translator stations, and seek</w:t>
      </w:r>
      <w:r w:rsidR="000026DC">
        <w:t>s</w:t>
      </w:r>
      <w:r w:rsidR="000026DC" w:rsidRPr="000026DC">
        <w:t xml:space="preserve"> comment on a variety of rules to implement channel sharing for these stations.   </w:t>
      </w:r>
      <w:r w:rsidR="000026DC">
        <w:t>The Commission’s</w:t>
      </w:r>
      <w:r w:rsidR="000026DC" w:rsidRPr="000026DC">
        <w:t xml:space="preserve"> existing channel sharing rules apply only to full power and Class A stations bidding in the incentive auction.   </w:t>
      </w:r>
      <w:r w:rsidR="000026DC">
        <w:t xml:space="preserve">The Commission </w:t>
      </w:r>
      <w:r w:rsidR="000026DC" w:rsidRPr="000026DC">
        <w:t>now consider</w:t>
      </w:r>
      <w:r w:rsidR="000026DC">
        <w:t>s</w:t>
      </w:r>
      <w:r w:rsidR="000026DC" w:rsidRPr="000026DC">
        <w:t xml:space="preserve"> creating channel sharing rules for LPTV and TV translator stations outside of the auction context.  </w:t>
      </w:r>
    </w:p>
    <w:p w:rsidR="00E34422" w:rsidRDefault="00E34422" w:rsidP="00E34422">
      <w:pPr>
        <w:pStyle w:val="ParaNum"/>
      </w:pPr>
      <w:r>
        <w:t xml:space="preserve">The Commission also tentatively concludes to create a “digital-to-digital replacement translator” service for full power stations </w:t>
      </w:r>
      <w:r w:rsidR="00E862FE" w:rsidRPr="00E862FE">
        <w:t>that are reassigned to new channels</w:t>
      </w:r>
      <w:r w:rsidR="00E862FE">
        <w:t xml:space="preserve"> in the incentive auction</w:t>
      </w:r>
      <w:r w:rsidR="00E862FE" w:rsidRPr="00E862FE">
        <w:t xml:space="preserve">, either in the repacking process and or through a winning UHF-to-VHF or high-VHF-to-low-VHF bid, if those full power stations discover that a portion of their existing pre-auction service area will no longer be able to receive service after the station transitions to its new channel.  </w:t>
      </w:r>
      <w:r w:rsidR="006F5756">
        <w:t xml:space="preserve">The Commission seeks comment on various rules and policies to implement the new digital-to-digital replacement translator service.  </w:t>
      </w:r>
    </w:p>
    <w:p w:rsidR="00E34422" w:rsidRDefault="00E34422" w:rsidP="00E34422">
      <w:pPr>
        <w:pStyle w:val="ParaNum"/>
      </w:pPr>
      <w:r>
        <w:t xml:space="preserve">In the </w:t>
      </w:r>
      <w:r>
        <w:rPr>
          <w:i/>
        </w:rPr>
        <w:t>Notice</w:t>
      </w:r>
      <w:r>
        <w:t>, the Commission seeks comment on a proposed use of the incentive auction optimization model to assist LPTV and TV translator stations displaced by the incentive auction repacking process to identify new channels.</w:t>
      </w:r>
    </w:p>
    <w:p w:rsidR="00E34422" w:rsidRDefault="00E34422" w:rsidP="000026DC">
      <w:pPr>
        <w:pStyle w:val="ParaNum"/>
      </w:pPr>
      <w:r>
        <w:t>The Commission also seeks comment on whether to permit digital LPTV stations to operate analog FM radio-type services on an ancillary or supplementary basis.</w:t>
      </w:r>
      <w:r w:rsidR="000026DC">
        <w:t xml:space="preserve">  Currently, some analog LPTV stations licensed on channel 6 are operating with very limited visual programming and an audio signal that is programmed like a radio station.  FM radio listeners are able to receive the audio portion of these LPTV stations at 87.76 MHz, which is adjacent to noncommercial educational (NCE) FM channel 201 (88.1 MHz).  When these LPTV stations convert to digital, however, they are unable to continue providing such radio service because the digital audio portion of their signal can no longer be received by standard FM receivers.  Anticipating the end of their FM radio-type operations, LPTV stations have been proposing engineering solutions to allow their continued operation following their conversion to digital.  The Commission seeks comment on whether to permit LPTV stations to operate dual digital and analog transmission systems in this manner and whether the provision of an analog FM radio-type service is what Congress intended when it passed the 1996 Telecom Act to allow digital television stations, including LPTV stations, to offer ancillary or supplementary services.  </w:t>
      </w:r>
    </w:p>
    <w:p w:rsidR="00E34422" w:rsidRDefault="000026DC" w:rsidP="000026DC">
      <w:pPr>
        <w:pStyle w:val="ParaNum"/>
      </w:pPr>
      <w:r>
        <w:t>In t</w:t>
      </w:r>
      <w:r w:rsidR="00E34422">
        <w:t xml:space="preserve">he </w:t>
      </w:r>
      <w:r w:rsidR="00E34422">
        <w:rPr>
          <w:i/>
        </w:rPr>
        <w:t>Notice</w:t>
      </w:r>
      <w:r w:rsidR="00122D05">
        <w:t>, the Commission</w:t>
      </w:r>
      <w:r w:rsidR="00E34422">
        <w:t xml:space="preserve"> seeks comment on whether to eliminate the requirement in section 15.117(b) of our rules that TV receivers include analog tuners.</w:t>
      </w:r>
      <w:r>
        <w:t xml:space="preserve">  </w:t>
      </w:r>
      <w:r w:rsidRPr="000026DC">
        <w:t xml:space="preserve">This proposed modification would allow TV broadcast receiver manufacturers and importers to build and import devices without analog tuners before all LPTV and TV translator stations cease analog broadcasting, but would continue to require those devices to be able to receive all digital broadcast TV channels.   </w:t>
      </w:r>
    </w:p>
    <w:p w:rsidR="003878DA" w:rsidRDefault="00E34422" w:rsidP="00E34422">
      <w:pPr>
        <w:pStyle w:val="ParaNum"/>
      </w:pPr>
      <w:r>
        <w:t>Finally, the Commission invites input on any other measures it should consider to further mitigate the impact of the auction and repacking process on LPTV and TV translator stations.</w:t>
      </w:r>
    </w:p>
    <w:p w:rsidR="003878DA" w:rsidRPr="00AC4AE9" w:rsidRDefault="003878DA" w:rsidP="00AC4AE9">
      <w:pPr>
        <w:pStyle w:val="ParaNum"/>
        <w:numPr>
          <w:ilvl w:val="0"/>
          <w:numId w:val="0"/>
        </w:numPr>
        <w:ind w:firstLine="720"/>
        <w:rPr>
          <w:b/>
        </w:rPr>
      </w:pPr>
      <w:r w:rsidRPr="00AC4AE9">
        <w:rPr>
          <w:b/>
        </w:rPr>
        <w:t>B.</w:t>
      </w:r>
      <w:r w:rsidRPr="00AC4AE9">
        <w:rPr>
          <w:b/>
        </w:rPr>
        <w:tab/>
        <w:t>Legal Basis</w:t>
      </w:r>
    </w:p>
    <w:p w:rsidR="009B0E5C" w:rsidRPr="003878DA" w:rsidRDefault="009B0E5C" w:rsidP="00AC4AE9">
      <w:pPr>
        <w:pStyle w:val="ParaNum"/>
      </w:pPr>
      <w:r w:rsidRPr="007752DA">
        <w:t xml:space="preserve">  The authority for the action proposed in this rulemaking is contained in </w:t>
      </w:r>
      <w:r w:rsidRPr="003878DA">
        <w:rPr>
          <w:sz w:val="20"/>
          <w:vertAlign w:val="superscript"/>
        </w:rPr>
        <w:t xml:space="preserve"> </w:t>
      </w:r>
      <w:r w:rsidRPr="007752DA">
        <w:t>Sections 1, 4(i) and (j), 5(c)(1), 7, 301, 302, 303, 307, 308, 309, 312, 316, 319, 324, 332, 336, and 337 of the Communications Act of 1934, 47 U.S.C §§ 151, 154(i) and (j), 155(c)(1), 157, 301, 302, 303, 307, 308, 309, 312, 316, 319, 324, 332, 336, and 337</w:t>
      </w:r>
      <w:r w:rsidRPr="003878DA">
        <w:rPr>
          <w:szCs w:val="22"/>
        </w:rPr>
        <w:t>.</w:t>
      </w:r>
    </w:p>
    <w:p w:rsidR="003878DA" w:rsidRPr="00AC4AE9" w:rsidRDefault="003878DA" w:rsidP="00AC4AE9">
      <w:pPr>
        <w:pStyle w:val="ParaNum"/>
        <w:numPr>
          <w:ilvl w:val="0"/>
          <w:numId w:val="0"/>
        </w:numPr>
        <w:ind w:left="1440" w:hanging="720"/>
        <w:rPr>
          <w:b/>
        </w:rPr>
      </w:pPr>
      <w:r w:rsidRPr="00AC4AE9">
        <w:rPr>
          <w:b/>
        </w:rPr>
        <w:t>C.</w:t>
      </w:r>
      <w:r w:rsidRPr="00AC4AE9">
        <w:rPr>
          <w:b/>
        </w:rPr>
        <w:tab/>
        <w:t>Description and Estimate of the Number of Small Entities to Which the Proposed Rules Will Apply</w:t>
      </w:r>
    </w:p>
    <w:p w:rsidR="009B0E5C" w:rsidRDefault="009B0E5C" w:rsidP="00AC4AE9">
      <w:pPr>
        <w:pStyle w:val="ParaNum"/>
      </w:pPr>
      <w:r w:rsidRPr="007752DA">
        <w:t>The RFA directs the Commission to provide a description of and, where feasible, an estimate of the number of small entities that will be affected by the proposed rules, if adopted.</w:t>
      </w:r>
      <w:r w:rsidRPr="007752DA">
        <w:rPr>
          <w:sz w:val="20"/>
          <w:vertAlign w:val="superscript"/>
        </w:rPr>
        <w:footnoteReference w:id="149"/>
      </w:r>
      <w:r w:rsidRPr="007752DA">
        <w:t xml:space="preserve">  The RFA generally defines the term “small entity” as having the same meaning as the terms “small business,” small organization,” and “small government jurisdiction.”</w:t>
      </w:r>
      <w:r w:rsidRPr="007752DA">
        <w:rPr>
          <w:sz w:val="20"/>
          <w:vertAlign w:val="superscript"/>
        </w:rPr>
        <w:footnoteReference w:id="150"/>
      </w:r>
      <w:r w:rsidRPr="007752DA">
        <w:t xml:space="preserve">  In addition, the term “small business” has the same meaning as the term “small business concern” under the Small Business Act.</w:t>
      </w:r>
      <w:r w:rsidRPr="007752DA">
        <w:rPr>
          <w:sz w:val="20"/>
          <w:vertAlign w:val="superscript"/>
        </w:rPr>
        <w:footnoteReference w:id="151"/>
      </w:r>
      <w:r w:rsidRPr="007752DA">
        <w:t xml:space="preserve">  A small business concern is one which: (1) is independently owned and operated; (2) is not dominant in its field of operation; and (3) satisfies any additional criteria established by the SBA.</w:t>
      </w:r>
      <w:r w:rsidRPr="007752DA">
        <w:rPr>
          <w:sz w:val="20"/>
          <w:vertAlign w:val="superscript"/>
        </w:rPr>
        <w:footnoteReference w:id="152"/>
      </w:r>
    </w:p>
    <w:p w:rsidR="00952D63" w:rsidRDefault="00952D63" w:rsidP="00AC4AE9">
      <w:pPr>
        <w:pStyle w:val="ParaNum"/>
      </w:pPr>
      <w:r w:rsidRPr="00AC4AE9">
        <w:rPr>
          <w:i/>
        </w:rPr>
        <w:t>Television Broadcasting</w:t>
      </w:r>
      <w:r w:rsidRPr="00952D63">
        <w:t>.  This economic census category “comprises establishments primarily engaged in broadcasting images together with sound.  These establishments operate television broadcasting studios and facilities for the programming and transmission of programs to the public.”</w:t>
      </w:r>
      <w:r w:rsidRPr="00952D63">
        <w:rPr>
          <w:sz w:val="20"/>
          <w:vertAlign w:val="superscript"/>
        </w:rPr>
        <w:footnoteReference w:id="153"/>
      </w:r>
      <w:r w:rsidRPr="00952D63">
        <w:t xml:space="preserve">  The SBA has created the following small business size standard for Television Broadcasting firms: those having $14 million or less in annual receipts.</w:t>
      </w:r>
      <w:r w:rsidRPr="00952D63">
        <w:rPr>
          <w:sz w:val="20"/>
          <w:szCs w:val="22"/>
          <w:vertAlign w:val="superscript"/>
        </w:rPr>
        <w:footnoteReference w:id="154"/>
      </w:r>
      <w:r w:rsidRPr="00952D63">
        <w:t xml:space="preserve">  The Commission has estimated the number of licensed commercial television stations to be 1,38</w:t>
      </w:r>
      <w:r w:rsidR="00122D05">
        <w:t>7</w:t>
      </w:r>
      <w:r w:rsidRPr="00952D63">
        <w:t>.</w:t>
      </w:r>
      <w:r w:rsidRPr="00952D63">
        <w:rPr>
          <w:sz w:val="20"/>
          <w:szCs w:val="22"/>
          <w:vertAlign w:val="superscript"/>
        </w:rPr>
        <w:footnoteReference w:id="155"/>
      </w:r>
      <w:r w:rsidRPr="00952D63">
        <w:t xml:space="preserve">  In addition, according to Commission staff review of the BIA Advisory Services, LLC’s </w:t>
      </w:r>
      <w:r w:rsidRPr="00AC4AE9">
        <w:rPr>
          <w:i/>
        </w:rPr>
        <w:t>Media Access Pro Television Database</w:t>
      </w:r>
      <w:r w:rsidRPr="00952D63">
        <w:t xml:space="preserve"> on March 28, 2012, about 950 of an estimated 1,300 commercial television stations (or approximately 73 percent) had revenues of $14 million or less.</w:t>
      </w:r>
      <w:r w:rsidRPr="00952D63">
        <w:rPr>
          <w:sz w:val="20"/>
          <w:szCs w:val="22"/>
          <w:vertAlign w:val="superscript"/>
        </w:rPr>
        <w:footnoteReference w:id="156"/>
      </w:r>
      <w:r w:rsidRPr="00952D63">
        <w:t xml:space="preserve">  We therefore estimate that the majority of commercial television broadcasters are small entities.</w:t>
      </w:r>
    </w:p>
    <w:p w:rsidR="00952D63" w:rsidRDefault="00952D63" w:rsidP="00AC4AE9">
      <w:pPr>
        <w:pStyle w:val="ParaNum"/>
      </w:pPr>
      <w:r w:rsidRPr="00952D63">
        <w:t>We note, however, that in assessing whether a business concern qualifies as small under the above definition, business (control) affiliations must be included.</w:t>
      </w:r>
      <w:r w:rsidRPr="00952D63">
        <w:rPr>
          <w:vertAlign w:val="superscript"/>
        </w:rPr>
        <w:footnoteReference w:id="157"/>
      </w:r>
      <w:r w:rsidRPr="00952D63">
        <w:t xml:space="preserve">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952D63" w:rsidRDefault="00952D63" w:rsidP="00AC4AE9">
      <w:pPr>
        <w:pStyle w:val="ParaNum"/>
      </w:pPr>
      <w:r w:rsidRPr="00952D63">
        <w:t>In addition, the Commission has estimated the number of licensed noncommercial educational (“NCE”) television stations to be 39</w:t>
      </w:r>
      <w:r w:rsidR="00122D05">
        <w:t>5</w:t>
      </w:r>
      <w:r w:rsidRPr="00952D63">
        <w:t>.</w:t>
      </w:r>
      <w:r w:rsidRPr="00952D63">
        <w:rPr>
          <w:sz w:val="20"/>
          <w:szCs w:val="22"/>
          <w:vertAlign w:val="superscript"/>
        </w:rPr>
        <w:footnoteReference w:id="158"/>
      </w:r>
      <w:r w:rsidRPr="00952D63">
        <w:t xml:space="preserve">  These stations are non-profit, and therefore considered to be small entities.</w:t>
      </w:r>
      <w:r w:rsidRPr="00952D63">
        <w:rPr>
          <w:sz w:val="20"/>
          <w:szCs w:val="22"/>
          <w:vertAlign w:val="superscript"/>
        </w:rPr>
        <w:footnoteReference w:id="159"/>
      </w:r>
    </w:p>
    <w:p w:rsidR="00952D63" w:rsidRDefault="00952D63" w:rsidP="002F646E">
      <w:pPr>
        <w:pStyle w:val="ParaNum"/>
        <w:widowControl/>
      </w:pPr>
      <w:r w:rsidRPr="00952D63">
        <w:t>There are also 2,4</w:t>
      </w:r>
      <w:r w:rsidR="00122D05">
        <w:t>60</w:t>
      </w:r>
      <w:r w:rsidRPr="00952D63">
        <w:t xml:space="preserve"> LPTV stations, including Class A stations, and </w:t>
      </w:r>
      <w:r w:rsidR="00122D05">
        <w:t>3838</w:t>
      </w:r>
      <w:r w:rsidRPr="00952D63">
        <w:t xml:space="preserve"> TV translator stations.</w:t>
      </w:r>
      <w:r w:rsidRPr="00952D63">
        <w:rPr>
          <w:sz w:val="20"/>
          <w:vertAlign w:val="superscript"/>
        </w:rPr>
        <w:footnoteReference w:id="160"/>
      </w:r>
      <w:r w:rsidRPr="00952D63">
        <w:t xml:space="preserve">  Given the nature of these services, we will presume that all of these entities qualify as small entities under the above SBA small business size standard.</w:t>
      </w:r>
    </w:p>
    <w:p w:rsidR="00DD68F7" w:rsidRPr="00AC4AE9" w:rsidRDefault="009B0E5C" w:rsidP="00A32FF9">
      <w:pPr>
        <w:pStyle w:val="ParaNum"/>
      </w:pPr>
      <w:bookmarkStart w:id="254" w:name="FN[FN211]"/>
      <w:bookmarkEnd w:id="254"/>
      <w:r w:rsidRPr="00A32FF9">
        <w:rPr>
          <w:bCs/>
          <w:i/>
          <w:szCs w:val="22"/>
        </w:rPr>
        <w:t>Electronics Equipment Manufacturers</w:t>
      </w:r>
      <w:r w:rsidRPr="00A32FF9">
        <w:rPr>
          <w:bCs/>
          <w:szCs w:val="22"/>
        </w:rPr>
        <w:t>.</w:t>
      </w:r>
      <w:r w:rsidRPr="00A32FF9">
        <w:rPr>
          <w:rFonts w:ascii="Verdana" w:hAnsi="Verdana"/>
          <w:sz w:val="19"/>
          <w:szCs w:val="22"/>
        </w:rPr>
        <w:t xml:space="preserve">  </w:t>
      </w:r>
      <w:r w:rsidRPr="007752DA">
        <w:t>Rules adopted in this proceeding could apply to manufacturers of television receiving equipment and other types of consumer electronics equipment. The SBA has developed definitions of small entity for manufacturers of audio and video equipment</w:t>
      </w:r>
      <w:bookmarkStart w:id="255" w:name="FN[FN241]"/>
      <w:bookmarkEnd w:id="255"/>
      <w:r w:rsidRPr="007752DA">
        <w:rPr>
          <w:sz w:val="20"/>
          <w:vertAlign w:val="superscript"/>
        </w:rPr>
        <w:footnoteReference w:id="161"/>
      </w:r>
      <w:r w:rsidRPr="00A32FF9">
        <w:rPr>
          <w:rFonts w:ascii="Verdana" w:hAnsi="Verdana"/>
          <w:sz w:val="19"/>
          <w:szCs w:val="22"/>
        </w:rPr>
        <w:t xml:space="preserve"> </w:t>
      </w:r>
      <w:r w:rsidRPr="007752DA">
        <w:t>as well as radio and television broadcasting and wireless communications equipment.</w:t>
      </w:r>
      <w:bookmarkStart w:id="256" w:name="FN[FN242]"/>
      <w:bookmarkEnd w:id="256"/>
      <w:r w:rsidRPr="007752DA">
        <w:rPr>
          <w:sz w:val="20"/>
          <w:vertAlign w:val="superscript"/>
        </w:rPr>
        <w:footnoteReference w:id="162"/>
      </w:r>
      <w:r w:rsidRPr="00A32FF9">
        <w:rPr>
          <w:rFonts w:ascii="Verdana" w:hAnsi="Verdana"/>
          <w:sz w:val="19"/>
          <w:szCs w:val="22"/>
        </w:rPr>
        <w:t xml:space="preserve">  </w:t>
      </w:r>
      <w:r w:rsidRPr="007752DA">
        <w:t xml:space="preserve">These categories both include all such companies employing 750 or fewer employees. The Commission has not developed a definition of small entities applicable to manufacturers of electronic equipment used by consumers, as compared to industrial use by television licensees and related businesses. Therefore, we will utilize the SBA definitions applicable to manufacturers of audio and visual equipment and radio and television broadcasting and wireless communications equipment, since these are the two closest NAICS Codes </w:t>
      </w:r>
      <w:bookmarkStart w:id="257" w:name="sp_1511_1336"/>
      <w:bookmarkStart w:id="258" w:name="SDU_1336"/>
      <w:bookmarkStart w:id="259" w:name="citeas((Cite_as:_18_F.C.C.R._1279,_*1336"/>
      <w:bookmarkEnd w:id="257"/>
      <w:bookmarkEnd w:id="258"/>
      <w:bookmarkEnd w:id="259"/>
      <w:r w:rsidRPr="007752DA">
        <w:t>applicable to the consumer electronics equipment manufacturing industry. However, these NAICS categories are broad and specific figures are not available as to how many of these establishments manufacture consumer equipment.  According to the SBA's regulations, an audio and visual equipment manufacturer must have 750 or fewer employees in order to qualify as a small business concern.</w:t>
      </w:r>
      <w:bookmarkStart w:id="260" w:name="FN[FN243]"/>
      <w:bookmarkEnd w:id="260"/>
      <w:r w:rsidRPr="007752DA">
        <w:rPr>
          <w:sz w:val="20"/>
          <w:vertAlign w:val="superscript"/>
        </w:rPr>
        <w:footnoteReference w:id="163"/>
      </w:r>
      <w:r w:rsidRPr="00A32FF9">
        <w:rPr>
          <w:rFonts w:ascii="Verdana" w:hAnsi="Verdana"/>
          <w:sz w:val="19"/>
          <w:szCs w:val="22"/>
        </w:rPr>
        <w:t xml:space="preserve">  </w:t>
      </w:r>
      <w:r w:rsidRPr="007752DA">
        <w:t>Census Bureau data indicates that there are 554 U.S. establishments that manufacture audio and visual equipment, and that 542 of these establishments have fewer than 500 employees and would be classified as small entities</w:t>
      </w:r>
      <w:r w:rsidRPr="00A32FF9">
        <w:rPr>
          <w:rFonts w:ascii="Verdana" w:hAnsi="Verdana"/>
          <w:sz w:val="19"/>
          <w:szCs w:val="22"/>
        </w:rPr>
        <w:t>.</w:t>
      </w:r>
      <w:bookmarkStart w:id="261" w:name="FN[FN244]"/>
      <w:bookmarkEnd w:id="261"/>
      <w:r w:rsidRPr="007752DA">
        <w:rPr>
          <w:sz w:val="20"/>
          <w:vertAlign w:val="superscript"/>
        </w:rPr>
        <w:footnoteReference w:id="164"/>
      </w:r>
      <w:r w:rsidRPr="00A32FF9">
        <w:rPr>
          <w:rFonts w:ascii="Verdana" w:hAnsi="Verdana"/>
          <w:sz w:val="19"/>
          <w:szCs w:val="22"/>
        </w:rPr>
        <w:t xml:space="preserve">  </w:t>
      </w:r>
      <w:r w:rsidRPr="007752DA">
        <w:t>The remaining 12 establishments have 500 or more employees; however, we are unable to determine how many of those have fewer than 750 employees and therefore, also qualify as small entities under the SBA definition. Under the SBA's regulations, a radio and television broadcasting and wireless communications equipment manufacturer must also have 750 or fewer employees in order to qualify as a small business concern</w:t>
      </w:r>
      <w:r w:rsidRPr="00A32FF9">
        <w:rPr>
          <w:rFonts w:ascii="Verdana" w:hAnsi="Verdana"/>
          <w:sz w:val="19"/>
          <w:szCs w:val="22"/>
        </w:rPr>
        <w:t>.</w:t>
      </w:r>
      <w:bookmarkStart w:id="262" w:name="FN[FN245]"/>
      <w:bookmarkEnd w:id="262"/>
      <w:r w:rsidRPr="007752DA">
        <w:rPr>
          <w:sz w:val="20"/>
          <w:vertAlign w:val="superscript"/>
        </w:rPr>
        <w:footnoteReference w:id="165"/>
      </w:r>
      <w:r w:rsidRPr="00A32FF9">
        <w:rPr>
          <w:rFonts w:ascii="Verdana" w:hAnsi="Verdana"/>
          <w:sz w:val="19"/>
          <w:szCs w:val="22"/>
        </w:rPr>
        <w:t xml:space="preserve">  </w:t>
      </w:r>
      <w:r w:rsidRPr="007752DA">
        <w:t>Census Bureau data indicates that there 1,215 U.S. establishments that manufacture radio and television broadcasting and wireless communications equipment, and that 1,150 of these establishments have fewer than 500 employees and would be classified as small entities</w:t>
      </w:r>
      <w:r w:rsidRPr="00A32FF9">
        <w:rPr>
          <w:rFonts w:ascii="Verdana" w:hAnsi="Verdana"/>
          <w:sz w:val="19"/>
          <w:szCs w:val="22"/>
        </w:rPr>
        <w:t>.</w:t>
      </w:r>
      <w:bookmarkStart w:id="263" w:name="FN[FN246]"/>
      <w:bookmarkEnd w:id="263"/>
      <w:r w:rsidRPr="007752DA">
        <w:rPr>
          <w:sz w:val="20"/>
          <w:vertAlign w:val="superscript"/>
        </w:rPr>
        <w:footnoteReference w:id="166"/>
      </w:r>
      <w:r w:rsidRPr="00A32FF9">
        <w:rPr>
          <w:rFonts w:ascii="Verdana" w:hAnsi="Verdana"/>
          <w:sz w:val="19"/>
          <w:szCs w:val="22"/>
        </w:rPr>
        <w:t xml:space="preserve">  </w:t>
      </w:r>
      <w:r w:rsidRPr="007752DA">
        <w:t>The remaining 65 establishments have 500 or more employees; however, we are unable to determine how many of those have fewer than 750 employees and therefore, also qualify as small entities under the SBA definition. We therefore conclude that there are no more than 542 small manufacturers of audio and visual electronics equipment and no more than 1,150 small manufacturers of radio and television broadcasting and wireless communications equipment for consumer/household use</w:t>
      </w:r>
      <w:r w:rsidRPr="00A32FF9">
        <w:rPr>
          <w:rFonts w:ascii="Verdana" w:hAnsi="Verdana"/>
          <w:sz w:val="19"/>
          <w:szCs w:val="22"/>
        </w:rPr>
        <w:t>.</w:t>
      </w:r>
    </w:p>
    <w:p w:rsidR="003878DA" w:rsidRPr="00AC4AE9" w:rsidRDefault="003878DA" w:rsidP="002F646E">
      <w:pPr>
        <w:pStyle w:val="ParaNum"/>
        <w:keepNext/>
        <w:numPr>
          <w:ilvl w:val="0"/>
          <w:numId w:val="0"/>
        </w:numPr>
        <w:ind w:left="1440" w:hanging="720"/>
        <w:rPr>
          <w:b/>
        </w:rPr>
      </w:pPr>
      <w:r w:rsidRPr="00AC4AE9">
        <w:rPr>
          <w:b/>
        </w:rPr>
        <w:t>D.</w:t>
      </w:r>
      <w:r w:rsidRPr="00AC4AE9">
        <w:rPr>
          <w:b/>
        </w:rPr>
        <w:tab/>
        <w:t>Description of Projected Reporting, Recordkeeping and other Compliance Requirements</w:t>
      </w:r>
    </w:p>
    <w:p w:rsidR="00F82ED7" w:rsidRDefault="009B0E5C" w:rsidP="00AC4AE9">
      <w:pPr>
        <w:pStyle w:val="ParaNum"/>
      </w:pPr>
      <w:bookmarkStart w:id="264" w:name="_Toc118611146"/>
      <w:r w:rsidRPr="007752DA">
        <w:t xml:space="preserve">The </w:t>
      </w:r>
      <w:r w:rsidRPr="003878DA">
        <w:rPr>
          <w:i/>
        </w:rPr>
        <w:t>Notice</w:t>
      </w:r>
      <w:r w:rsidRPr="007752DA">
        <w:t xml:space="preserve"> proposes </w:t>
      </w:r>
      <w:r w:rsidR="00CA3CD9">
        <w:t xml:space="preserve">the following </w:t>
      </w:r>
      <w:r w:rsidRPr="007752DA">
        <w:t xml:space="preserve">new </w:t>
      </w:r>
      <w:r w:rsidR="00CA3CD9">
        <w:t xml:space="preserve">or revised </w:t>
      </w:r>
      <w:r w:rsidRPr="007752DA">
        <w:t>reporting or recordkeeping requirement</w:t>
      </w:r>
      <w:r w:rsidR="00CA3CD9">
        <w:t>s</w:t>
      </w:r>
      <w:r w:rsidRPr="007752DA">
        <w:t xml:space="preserve">.  </w:t>
      </w:r>
    </w:p>
    <w:p w:rsidR="00224231" w:rsidRPr="00224231" w:rsidRDefault="00F82ED7" w:rsidP="00224231">
      <w:pPr>
        <w:pStyle w:val="ParaNum"/>
      </w:pPr>
      <w:r>
        <w:t>To implement channel sharing between LPTV and TV translator stations, stations will follow a two-step process proposed by the Commission – first filing an application for construction permit (Form 346) and then application for license (Form 347).  S</w:t>
      </w:r>
      <w:r w:rsidRPr="00F82ED7">
        <w:t xml:space="preserve">tations terminating operations to share a channel </w:t>
      </w:r>
      <w:r>
        <w:t xml:space="preserve">would be required to </w:t>
      </w:r>
      <w:r w:rsidRPr="00F82ED7">
        <w:t>submit a termination notice</w:t>
      </w:r>
      <w:r>
        <w:t xml:space="preserve"> pursuant to the existing Commission rule</w:t>
      </w:r>
      <w:r w:rsidRPr="00F82ED7">
        <w:t xml:space="preserve">.  </w:t>
      </w:r>
      <w:r>
        <w:t>These existing forms and collections will need to be revised to accommodate these new channel-sharing related filings and to expand the burden estimates.  In addition</w:t>
      </w:r>
      <w:r w:rsidR="00224231">
        <w:t>, the Commission</w:t>
      </w:r>
      <w:r w:rsidR="00224231" w:rsidRPr="00224231">
        <w:t xml:space="preserve"> proposes that channel sharing </w:t>
      </w:r>
      <w:r w:rsidR="00224231">
        <w:t xml:space="preserve">stations </w:t>
      </w:r>
      <w:r w:rsidR="00224231" w:rsidRPr="00224231">
        <w:t>submit their channel sharing agreements (CSAs) with the Commission and be required to include certain provisions in their CSAs.</w:t>
      </w:r>
      <w:r w:rsidR="00224231">
        <w:t xml:space="preserve">  The existing collection concerning the execution and filing of CSAs will need to be revised.</w:t>
      </w:r>
    </w:p>
    <w:p w:rsidR="00F82ED7" w:rsidRDefault="008C5AF7" w:rsidP="00F82ED7">
      <w:pPr>
        <w:pStyle w:val="ParaNum"/>
      </w:pPr>
      <w:r>
        <w:t xml:space="preserve">To implement its proposed new digital-to-digital replacement translator service, the Commission will need to revise its existing replacement translator forms (346 and 347), rules and collections and to expand the burden estimates.   </w:t>
      </w:r>
    </w:p>
    <w:p w:rsidR="009B0E5C" w:rsidRDefault="00466A2A" w:rsidP="00F82ED7">
      <w:pPr>
        <w:pStyle w:val="ParaNum"/>
      </w:pPr>
      <w:r>
        <w:t xml:space="preserve">Should the Commission </w:t>
      </w:r>
      <w:r w:rsidRPr="00466A2A">
        <w:t xml:space="preserve">eliminate </w:t>
      </w:r>
      <w:r>
        <w:t xml:space="preserve">its rule requiring that television receivers include an analog tuner, </w:t>
      </w:r>
      <w:r w:rsidRPr="00466A2A">
        <w:t xml:space="preserve">prior to the time that all broadcasters are operating digital-only, </w:t>
      </w:r>
      <w:r>
        <w:t xml:space="preserve">it is considering requiring that all </w:t>
      </w:r>
      <w:r w:rsidRPr="00466A2A">
        <w:t>broadcast receiver manufacturers and importers who market digital-only equipment prior to the LPTV and TV translator digital transition deadline</w:t>
      </w:r>
      <w:r>
        <w:t xml:space="preserve"> </w:t>
      </w:r>
      <w:r w:rsidRPr="00466A2A">
        <w:t>educate consumers and retailers about the devices’ limits and capabilities to prevent consumer confusion.</w:t>
      </w:r>
      <w:r>
        <w:t xml:space="preserve">  </w:t>
      </w:r>
      <w:r w:rsidR="00F82ED7">
        <w:t xml:space="preserve"> </w:t>
      </w:r>
      <w:bookmarkStart w:id="265" w:name="_Toc138576128"/>
      <w:bookmarkStart w:id="266" w:name="_Toc138822584"/>
      <w:bookmarkStart w:id="267" w:name="_Toc138843560"/>
      <w:bookmarkStart w:id="268" w:name="_Toc138845548"/>
      <w:bookmarkStart w:id="269" w:name="_Toc139373792"/>
      <w:bookmarkStart w:id="270" w:name="_Toc139687238"/>
      <w:bookmarkStart w:id="271" w:name="_Toc139884898"/>
      <w:bookmarkStart w:id="272" w:name="_Toc139945643"/>
      <w:bookmarkStart w:id="273" w:name="_Toc139945871"/>
      <w:bookmarkStart w:id="274" w:name="_Toc139946206"/>
      <w:bookmarkStart w:id="275" w:name="_Toc140574627"/>
      <w:bookmarkStart w:id="276" w:name="_Toc142215199"/>
      <w:bookmarkStart w:id="277" w:name="_Toc142369993"/>
      <w:bookmarkStart w:id="278" w:name="_Toc142370137"/>
      <w:bookmarkStart w:id="279" w:name="_Toc142384571"/>
      <w:bookmarkStart w:id="280" w:name="_Toc144024784"/>
      <w:bookmarkStart w:id="281" w:name="_Toc148337503"/>
      <w:bookmarkStart w:id="282" w:name="_Toc159846913"/>
      <w:bookmarkStart w:id="283" w:name="_Toc159847037"/>
      <w:bookmarkStart w:id="284" w:name="_Toc164830326"/>
      <w:bookmarkStart w:id="285" w:name="_Toc164837676"/>
    </w:p>
    <w:p w:rsidR="003878DA" w:rsidRPr="00AC4AE9" w:rsidRDefault="003878DA" w:rsidP="00AC4AE9">
      <w:pPr>
        <w:pStyle w:val="ParaNum"/>
        <w:numPr>
          <w:ilvl w:val="0"/>
          <w:numId w:val="0"/>
        </w:numPr>
        <w:ind w:left="1440" w:hanging="720"/>
        <w:rPr>
          <w:b/>
        </w:rPr>
      </w:pPr>
      <w:r w:rsidRPr="00AC4AE9">
        <w:rPr>
          <w:b/>
        </w:rPr>
        <w:t>E.</w:t>
      </w:r>
      <w:r w:rsidRPr="00AC4AE9">
        <w:rPr>
          <w:b/>
        </w:rPr>
        <w:tab/>
        <w:t>Steps Taken to Minimize Significant Impact on Small Entities, and Significant Alternatives Considered</w:t>
      </w:r>
    </w:p>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rsidR="009B0E5C" w:rsidRDefault="009B0E5C" w:rsidP="00AC4AE9">
      <w:pPr>
        <w:pStyle w:val="ParaNum"/>
      </w:pPr>
      <w:r w:rsidRPr="007752DA">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7752DA">
        <w:rPr>
          <w:sz w:val="20"/>
          <w:vertAlign w:val="superscript"/>
        </w:rPr>
        <w:footnoteReference w:id="167"/>
      </w:r>
      <w:r w:rsidRPr="007752DA">
        <w:t xml:space="preserve"> </w:t>
      </w:r>
    </w:p>
    <w:p w:rsidR="006B1989" w:rsidRDefault="006B1989" w:rsidP="006B1989">
      <w:pPr>
        <w:pStyle w:val="ParaNum"/>
      </w:pPr>
      <w:r>
        <w:t>The Commission’s proposal to extend the September 1, 2015 LPTV and TV Translator digital transition date will greatly minimize the impact on small entities having to complete their transition to digital.  Instead of having to possibly endure the expense of having to construct a digital facility only to be displaced by the incentive auction reorganization of spectrum and having to finance the construction of a second digital facility, the Commission’s proposal will allow small entities to wait until the incentive auction is complete and to determine the impact on their digital transition plan.</w:t>
      </w:r>
    </w:p>
    <w:p w:rsidR="006B1989" w:rsidRDefault="006B1989" w:rsidP="006B1989">
      <w:pPr>
        <w:pStyle w:val="ParaNum"/>
      </w:pPr>
      <w:r>
        <w:t xml:space="preserve">The Commission’s proposal to allow LPTV and TV Translator to share channels </w:t>
      </w:r>
      <w:r w:rsidR="0008448C">
        <w:t xml:space="preserve">between themselves and with other television services </w:t>
      </w:r>
      <w:r>
        <w:t>would greatly minimize the impact on small entities.  Many stations will be displaced by the incentive auction reorganization of spectrum and allowing these stations to channel share will reduce the cost of having to build a new facility to replace the one that was displaced.  Stations can share in the cost of building a shared channel facility and will experience cost savings by operating a shared transmission facility.  I</w:t>
      </w:r>
      <w:r w:rsidR="005674BB">
        <w:t>n</w:t>
      </w:r>
      <w:r>
        <w:t xml:space="preserve"> addition, channel sharing is voluntary and only those stations that determine that channel sharing will be advantageous will enter into this arrangement.</w:t>
      </w:r>
    </w:p>
    <w:p w:rsidR="006B1989" w:rsidRDefault="006B1989" w:rsidP="006B1989">
      <w:pPr>
        <w:pStyle w:val="ParaNum"/>
      </w:pPr>
      <w:r>
        <w:t xml:space="preserve">The Commission’s proposed licensing and operating rules for channel sharing between LPTV and TV translator stations </w:t>
      </w:r>
      <w:r w:rsidR="0008448C">
        <w:t xml:space="preserve">and other television services </w:t>
      </w:r>
      <w:r>
        <w:t>were designed to minimize impact on small entities.  The rules provide a streamlined method for reviewing and licensing channel sharing for these stations as well as a streamlined method for resolving cases where a channel sharing station loses its license on the shared channel.  These rules were designed to reduce the burden and cost on small entities.</w:t>
      </w:r>
    </w:p>
    <w:p w:rsidR="006B1989" w:rsidRDefault="006B1989" w:rsidP="006B1989">
      <w:pPr>
        <w:pStyle w:val="ParaNum"/>
      </w:pPr>
      <w:r>
        <w:t xml:space="preserve">The Commission is aware that some full service television stations operate with limited budgets.  Accordingly, every effort was taken to propose rules for the new digital-to-digital replacement translator that impose the least possible burden on all licensees, including small entities.  Existing forms will be used to implement this new service thereby reducing the burden on small entities. </w:t>
      </w:r>
    </w:p>
    <w:p w:rsidR="006B1989" w:rsidRDefault="006B1989" w:rsidP="006B1989">
      <w:pPr>
        <w:pStyle w:val="ParaNum"/>
      </w:pPr>
      <w:r>
        <w:t xml:space="preserve">The Commission proposes that applications for digital-to-digital replacement translators should be given licensing priority over all other low power television and TV translator applications except displacement applications </w:t>
      </w:r>
      <w:r w:rsidR="0008448C">
        <w:t xml:space="preserve">for analog-to-digital replacement translators </w:t>
      </w:r>
      <w:r>
        <w:t>(for which they would have co-equal priority).  The Commission could have proposed allowing no such priority, but this alternative was not considered because it would result in many more mutually exclusive filings and delay the implementation of this valuable service.</w:t>
      </w:r>
    </w:p>
    <w:p w:rsidR="006B1989" w:rsidRDefault="006B1989" w:rsidP="006B1989">
      <w:pPr>
        <w:pStyle w:val="ParaNum"/>
      </w:pPr>
      <w:r>
        <w:t>The Commission also proposes to limit the eligibility for such service to only those full-service television stations that can demonstrate that a portion of their digital service area will not be served by their post-incentive auction facilities and for translators to be used for that purpose.  Alternatively, the Commission could have allowed all interested parties to file for new translators, however such approach was not considered because it would also result in numerous mutually exclusive filings and would greatly delay implementation of this needed service.</w:t>
      </w:r>
    </w:p>
    <w:p w:rsidR="006B1989" w:rsidRDefault="006B1989" w:rsidP="006B1989">
      <w:pPr>
        <w:pStyle w:val="ParaNum"/>
      </w:pPr>
      <w:r>
        <w:t>The Commission further proposes that the service area of the replacement translator should be limited to only a demonstrated loss area and seeks comment on whether a replacement translator should be permitted to expand slightly a full-service station’s post-incentive auction service area.  Once again, the Commission could have allowed stations to file for expansion of their existing service areas but such an alternative was not seriously considered because it could result in the use of valuable spectrum that the Commission seeks to preserve for other uses.</w:t>
      </w:r>
    </w:p>
    <w:p w:rsidR="006B1989" w:rsidRDefault="006B1989" w:rsidP="006B1989">
      <w:pPr>
        <w:pStyle w:val="ParaNum"/>
      </w:pPr>
      <w:r>
        <w:t>The Commission proposes that replacement digital television translator stations should be licensed with “secondary” frequency use status.  The Commission could have proposed that replacement translators be licensed on a primary frequency use basis, but this alternative was not proposed because it would result in numerous interference and licensing problems.</w:t>
      </w:r>
    </w:p>
    <w:p w:rsidR="006B1989" w:rsidRDefault="006B1989" w:rsidP="006B1989">
      <w:pPr>
        <w:pStyle w:val="ParaNum"/>
      </w:pPr>
      <w:r>
        <w:t xml:space="preserve">The Commission proposes that, unlike other television translator licenses, the license for the replacement translator should be associated with the full power station’s main license.    Therefore, the replacement translator license could not be separately assigned or transferred and would be renewed or assigned along with the full-service station’s main license. Alternatively, the Commission could have proposed that the replacement translator license be separate from the main station’s license however this approach was not seriously considered because it could result in licenses being sold or modified to serve areas outside of the loss area, </w:t>
      </w:r>
      <w:r w:rsidR="005674BB">
        <w:t xml:space="preserve">and thus </w:t>
      </w:r>
      <w:r>
        <w:t>would undermine the purpose of this new service.</w:t>
      </w:r>
    </w:p>
    <w:p w:rsidR="006B1989" w:rsidRDefault="006B1989" w:rsidP="006B1989">
      <w:pPr>
        <w:pStyle w:val="ParaNum"/>
      </w:pPr>
      <w:r>
        <w:t xml:space="preserve">The Commission also tentatively concludes that the other rules associated with television translator stations </w:t>
      </w:r>
      <w:r w:rsidR="005674BB">
        <w:t>sh</w:t>
      </w:r>
      <w:r>
        <w:t>ould apply to the new replacement translator service including those rules concerning the filing of applications, payment of filing fees, processing of applications, power limits, out-of-channel emission limits, call signs, unattended operation, and time of operation.  The alternative could have been to design all new rules for this service, but that alternative was not considered as it would adversely impact stations ability to quickly implement these new translators.</w:t>
      </w:r>
    </w:p>
    <w:p w:rsidR="006B1989" w:rsidRDefault="006B1989" w:rsidP="006B1989">
      <w:pPr>
        <w:pStyle w:val="ParaNum"/>
      </w:pPr>
      <w:r>
        <w:t>The Commission’s proposal to discontinue accepting applications for analog-to-digital replacement translators may impact small entities.  However, the Commission determined that the need to prevent a negative impact on the post-incentive auction displacement window that could occur if the precious few channels were used for this service rather than for use by displaced LPTV and TV translator stations outweighed the limited impact on full power stations seeking a replacement translator given that the DTV transition was completed over five years ago.</w:t>
      </w:r>
    </w:p>
    <w:p w:rsidR="006B1989" w:rsidRDefault="006B1989" w:rsidP="006B1989">
      <w:pPr>
        <w:pStyle w:val="ParaNum"/>
      </w:pPr>
      <w:r>
        <w:t>The Commission’s</w:t>
      </w:r>
      <w:r w:rsidR="005674BB">
        <w:t xml:space="preserve"> efforts to </w:t>
      </w:r>
      <w:r>
        <w:t>assist LPTV and TV translator stations in finding displacement channels after the incentive auction will greatly benefit small entities.  By helping stations find new channels from an ever shrinking universe of channels that will remain after the incentive auction reorganization of channels, the Commission will save small entities time and money by not having to consult with an engineer to make such determinations.  Such savings can then be used to construct and operate the displacement facility.</w:t>
      </w:r>
    </w:p>
    <w:p w:rsidR="006B1989" w:rsidRDefault="006B1989" w:rsidP="006B1989">
      <w:pPr>
        <w:pStyle w:val="ParaNum"/>
      </w:pPr>
      <w:r>
        <w:t>The Commission</w:t>
      </w:r>
      <w:r w:rsidR="005674BB">
        <w:t xml:space="preserve"> seeking comment on whether to </w:t>
      </w:r>
      <w:r>
        <w:t>permit operation of analog radio services by digital LPTV stations as ancillary or supplementary services could greatly benefit small entity LPTV stations by allowing them to find new business operations and sources of income.  LPTV stations could establish a separate radio operation on an ancillary basis in addition to their primary digital television service.  Such ancillary operation could provide a separate source of income to supplement their television operation and provide a separate audience for their programming and advertising.</w:t>
      </w:r>
    </w:p>
    <w:p w:rsidR="009B0E5C" w:rsidRDefault="006B1989">
      <w:pPr>
        <w:pStyle w:val="ParaNum"/>
      </w:pPr>
      <w:r>
        <w:t>The Commission</w:t>
      </w:r>
      <w:r w:rsidR="005674BB">
        <w:t xml:space="preserve"> seeking comment on whether to </w:t>
      </w:r>
      <w:r>
        <w:t xml:space="preserve">permit equipment manufacturers to forego having to include an analog tuner in their television sets could benefit small entity equipment manufacturers.  Having to include an analog tuner increases the cost of a television sets and equipment manufacturers, some of whom may be small entities, would enjoy a cost savings as a result of the Commission’s proposal.  Any impact that not including an analog tuner in new television sets may have upon consumers should be minimal now that the digital transition has been complete for over five years and would be outweighed by the benefit of less expensive digital television sets.  </w:t>
      </w:r>
    </w:p>
    <w:p w:rsidR="003878DA" w:rsidRPr="00AC4AE9" w:rsidRDefault="003878DA" w:rsidP="00AC4AE9">
      <w:pPr>
        <w:pStyle w:val="ParaNum"/>
        <w:numPr>
          <w:ilvl w:val="0"/>
          <w:numId w:val="0"/>
        </w:numPr>
        <w:ind w:left="1440" w:hanging="720"/>
        <w:rPr>
          <w:b/>
        </w:rPr>
      </w:pPr>
      <w:r w:rsidRPr="00AC4AE9">
        <w:rPr>
          <w:b/>
        </w:rPr>
        <w:t>F.</w:t>
      </w:r>
      <w:r w:rsidRPr="00AC4AE9">
        <w:rPr>
          <w:b/>
        </w:rPr>
        <w:tab/>
        <w:t>Federal Rules Which Duplicate, Overlap, or Conflict with the Commission’s Proposals</w:t>
      </w:r>
    </w:p>
    <w:p w:rsidR="009B0E5C" w:rsidRPr="00BA7ED3" w:rsidRDefault="009B0E5C" w:rsidP="00AC4AE9">
      <w:pPr>
        <w:pStyle w:val="ParaNum"/>
      </w:pPr>
      <w:bookmarkStart w:id="286" w:name="_Toc140574629"/>
      <w:bookmarkStart w:id="287" w:name="_Toc140574630"/>
      <w:bookmarkEnd w:id="286"/>
      <w:bookmarkEnd w:id="287"/>
      <w:r w:rsidRPr="007752DA">
        <w:t>None.</w:t>
      </w:r>
      <w:bookmarkStart w:id="288" w:name="_Toc139884900"/>
      <w:bookmarkStart w:id="289" w:name="_Toc139945645"/>
      <w:bookmarkEnd w:id="288"/>
      <w:bookmarkEnd w:id="289"/>
      <w:r w:rsidRPr="003878DA">
        <w:rPr>
          <w:szCs w:val="22"/>
        </w:rPr>
        <w:t xml:space="preserve"> </w:t>
      </w:r>
    </w:p>
    <w:p w:rsidR="009B0E5C" w:rsidRDefault="009B0E5C" w:rsidP="009B0E5C">
      <w:pPr>
        <w:rPr>
          <w:b/>
        </w:rPr>
      </w:pPr>
    </w:p>
    <w:p w:rsidR="009B0E5C" w:rsidRDefault="009B0E5C">
      <w:pPr>
        <w:jc w:val="center"/>
        <w:rPr>
          <w:b/>
        </w:rPr>
      </w:pPr>
    </w:p>
    <w:sectPr w:rsidR="009B0E5C" w:rsidSect="00EE4B77">
      <w:footnotePr>
        <w:numRestart w:val="eachSect"/>
      </w:footnotePr>
      <w:endnotePr>
        <w:numFmt w:val="decimal"/>
      </w:endnotePr>
      <w:pgSz w:w="12240" w:h="15840" w:code="1"/>
      <w:pgMar w:top="1440" w:right="1440" w:bottom="720" w:left="1440" w:header="720" w:footer="720" w:gutter="0"/>
      <w:cols w:space="720"/>
      <w:noEndnote/>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6B6C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52" w:rsidRDefault="005F2452">
      <w:pPr>
        <w:spacing w:line="20" w:lineRule="exact"/>
      </w:pPr>
    </w:p>
  </w:endnote>
  <w:endnote w:type="continuationSeparator" w:id="0">
    <w:p w:rsidR="005F2452" w:rsidRDefault="005F2452">
      <w:r>
        <w:t xml:space="preserve"> </w:t>
      </w:r>
    </w:p>
  </w:endnote>
  <w:endnote w:type="continuationNotice" w:id="1">
    <w:p w:rsidR="005F2452" w:rsidRDefault="005F245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38" w:rsidRDefault="00A80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58D" w:rsidRDefault="00E0558D">
    <w:pPr>
      <w:pStyle w:val="Footer"/>
      <w:framePr w:wrap="around" w:vAnchor="text" w:hAnchor="page" w:x="6076" w:y="130"/>
      <w:rPr>
        <w:rStyle w:val="PageNumber"/>
      </w:rPr>
    </w:pPr>
    <w:r>
      <w:rPr>
        <w:rStyle w:val="PageNumber"/>
      </w:rPr>
      <w:fldChar w:fldCharType="begin"/>
    </w:r>
    <w:r>
      <w:rPr>
        <w:rStyle w:val="PageNumber"/>
      </w:rPr>
      <w:instrText xml:space="preserve">PAGE  </w:instrText>
    </w:r>
    <w:r>
      <w:rPr>
        <w:rStyle w:val="PageNumber"/>
      </w:rPr>
      <w:fldChar w:fldCharType="separate"/>
    </w:r>
    <w:r w:rsidR="00847235">
      <w:rPr>
        <w:rStyle w:val="PageNumber"/>
        <w:noProof/>
      </w:rPr>
      <w:t>2</w:t>
    </w:r>
    <w:r>
      <w:rPr>
        <w:rStyle w:val="PageNumber"/>
      </w:rPr>
      <w:fldChar w:fldCharType="end"/>
    </w:r>
  </w:p>
  <w:p w:rsidR="00E0558D" w:rsidRDefault="00E0558D" w:rsidP="00F850F9">
    <w:pPr>
      <w:pStyle w:val="Footer"/>
      <w:rPr>
        <w:b/>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38" w:rsidRDefault="00A80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52" w:rsidRDefault="005F2452">
      <w:r>
        <w:separator/>
      </w:r>
    </w:p>
  </w:footnote>
  <w:footnote w:type="continuationSeparator" w:id="0">
    <w:p w:rsidR="005F2452" w:rsidRDefault="005F2452">
      <w:pPr>
        <w:rPr>
          <w:sz w:val="20"/>
        </w:rPr>
      </w:pPr>
      <w:r>
        <w:rPr>
          <w:sz w:val="20"/>
        </w:rPr>
        <w:t>(Continued from previous page)</w:t>
      </w:r>
      <w:r>
        <w:rPr>
          <w:sz w:val="20"/>
        </w:rPr>
        <w:separator/>
      </w:r>
    </w:p>
  </w:footnote>
  <w:footnote w:type="continuationNotice" w:id="1">
    <w:p w:rsidR="005F2452" w:rsidRDefault="005F2452">
      <w:pPr>
        <w:ind w:left="720"/>
        <w:jc w:val="right"/>
        <w:rPr>
          <w:sz w:val="20"/>
        </w:rPr>
      </w:pPr>
      <w:r>
        <w:rPr>
          <w:sz w:val="20"/>
        </w:rPr>
        <w:t>(continued….)</w:t>
      </w:r>
    </w:p>
  </w:footnote>
  <w:footnote w:id="2">
    <w:p w:rsidR="00E0558D" w:rsidRDefault="00E0558D" w:rsidP="004C1CDC">
      <w:pPr>
        <w:pStyle w:val="FootnoteText"/>
      </w:pPr>
      <w:r>
        <w:rPr>
          <w:rStyle w:val="FootnoteReference"/>
        </w:rPr>
        <w:footnoteRef/>
      </w:r>
      <w:r>
        <w:t xml:space="preserve"> </w:t>
      </w:r>
      <w:r>
        <w:rPr>
          <w:i/>
        </w:rPr>
        <w:t xml:space="preserve">See </w:t>
      </w:r>
      <w:r w:rsidRPr="00AF5313">
        <w:rPr>
          <w:i/>
        </w:rPr>
        <w:t>Amendment of Parts 73 and 74 of the Commission’s Rules to Establish Rules for Digital Low Power Television, Television Translator, and Television Booster Stations and to Amend Rules for Digital Class A Television Stations</w:t>
      </w:r>
      <w:r w:rsidRPr="00E27699">
        <w:t xml:space="preserve">, </w:t>
      </w:r>
      <w:r>
        <w:t xml:space="preserve">MB Docket No. 03-185, </w:t>
      </w:r>
      <w:r w:rsidRPr="00AF5313">
        <w:t>Report and Order</w:t>
      </w:r>
      <w:r w:rsidRPr="00E27699">
        <w:t xml:space="preserve">, </w:t>
      </w:r>
      <w:r>
        <w:t>19</w:t>
      </w:r>
      <w:r w:rsidRPr="00E27699">
        <w:t xml:space="preserve"> FCC Rcd 1</w:t>
      </w:r>
      <w:r>
        <w:t>9331, 19332, para. 1</w:t>
      </w:r>
      <w:r w:rsidRPr="00E27699">
        <w:t xml:space="preserve"> (20</w:t>
      </w:r>
      <w:r>
        <w:t>04</w:t>
      </w:r>
      <w:r w:rsidRPr="00E27699">
        <w:t>)(</w:t>
      </w:r>
      <w:r w:rsidRPr="00AF5313">
        <w:rPr>
          <w:i/>
        </w:rPr>
        <w:t>LPTV DTV</w:t>
      </w:r>
      <w:r>
        <w:t xml:space="preserve"> </w:t>
      </w:r>
      <w:r w:rsidRPr="00E27699">
        <w:rPr>
          <w:i/>
        </w:rPr>
        <w:t>Report and Order</w:t>
      </w:r>
      <w:r w:rsidRPr="00AF5313">
        <w:rPr>
          <w:i/>
        </w:rPr>
        <w:t>); Expanding the Economic and Innovation Opportunities of Spectrum Through Incentive Auctions</w:t>
      </w:r>
      <w:r w:rsidRPr="00103B0E">
        <w:t xml:space="preserve">, </w:t>
      </w:r>
      <w:r>
        <w:t xml:space="preserve">GN Docket No. 12-268, </w:t>
      </w:r>
      <w:r w:rsidRPr="00AF5313">
        <w:t>Notice of Proposed Rulemaking</w:t>
      </w:r>
      <w:r w:rsidRPr="00103B0E">
        <w:t>, 27 FCC Rcd 12357</w:t>
      </w:r>
      <w:r>
        <w:t>, 12476, para. 358</w:t>
      </w:r>
      <w:r w:rsidRPr="00103B0E">
        <w:t xml:space="preserve"> (2012) (</w:t>
      </w:r>
      <w:r w:rsidRPr="004C6674">
        <w:rPr>
          <w:i/>
        </w:rPr>
        <w:t>Incentive Auction NPRM</w:t>
      </w:r>
      <w:r>
        <w:t>).</w:t>
      </w:r>
    </w:p>
  </w:footnote>
  <w:footnote w:id="3">
    <w:p w:rsidR="00E0558D" w:rsidRDefault="00E0558D" w:rsidP="002C2ED8">
      <w:pPr>
        <w:pStyle w:val="FootnoteText"/>
        <w:spacing w:after="0"/>
      </w:pPr>
      <w:r>
        <w:rPr>
          <w:rStyle w:val="FootnoteReference"/>
        </w:rPr>
        <w:footnoteRef/>
      </w:r>
      <w:r>
        <w:t xml:space="preserve"> </w:t>
      </w:r>
      <w:r>
        <w:rPr>
          <w:i/>
        </w:rPr>
        <w:t xml:space="preserve">In the Matter of Expanding the Economic and Innovation  </w:t>
      </w:r>
      <w:r w:rsidRPr="00FF72F5">
        <w:rPr>
          <w:i/>
        </w:rPr>
        <w:t>Opportunities of</w:t>
      </w:r>
      <w:r>
        <w:t xml:space="preserve"> </w:t>
      </w:r>
      <w:r w:rsidRPr="000277DB">
        <w:rPr>
          <w:i/>
        </w:rPr>
        <w:t>Spectrum Through Incentive Auctions</w:t>
      </w:r>
      <w:r>
        <w:t>,  GN Docket No. 12-268, Report and Order, 29 FCC Rcd 6567 (2014) (</w:t>
      </w:r>
      <w:r w:rsidRPr="000277DB">
        <w:rPr>
          <w:i/>
        </w:rPr>
        <w:t>Incentive Auction</w:t>
      </w:r>
      <w:r>
        <w:t xml:space="preserve"> </w:t>
      </w:r>
      <w:r w:rsidRPr="004A0A24">
        <w:rPr>
          <w:i/>
        </w:rPr>
        <w:t>Report and Order</w:t>
      </w:r>
      <w:r>
        <w:t xml:space="preserve">); </w:t>
      </w:r>
      <w:r>
        <w:rPr>
          <w:i/>
        </w:rPr>
        <w:t>see also</w:t>
      </w:r>
      <w:r>
        <w:t xml:space="preserve"> Middle Class Tax Relief and Job Creation Act of 2012, Pub. L. No. 112-96, §§ 6402 (codified at 47 U.S.C. § 309(j)(8)(G)), 6403 (codified at 47 U.S.C. § 1452), 126 Stat. 156 (2012)(Spectrum Act).</w:t>
      </w:r>
    </w:p>
    <w:p w:rsidR="00E0558D" w:rsidRDefault="00E0558D" w:rsidP="002C2ED8">
      <w:pPr>
        <w:pStyle w:val="FootnoteText"/>
        <w:spacing w:after="0"/>
      </w:pPr>
    </w:p>
  </w:footnote>
  <w:footnote w:id="4">
    <w:p w:rsidR="00E0558D" w:rsidRDefault="00E0558D">
      <w:pPr>
        <w:pStyle w:val="FootnoteText"/>
      </w:pPr>
      <w:r>
        <w:rPr>
          <w:rStyle w:val="FootnoteReference"/>
        </w:rPr>
        <w:footnoteRef/>
      </w:r>
      <w:r>
        <w:t xml:space="preserve"> </w:t>
      </w:r>
      <w:r>
        <w:rPr>
          <w:i/>
        </w:rPr>
        <w:t>Incentive Auction Report and Order</w:t>
      </w:r>
      <w:r>
        <w:t>, 29 FCC Rcd at 6834-35, paras. 656-57.</w:t>
      </w:r>
    </w:p>
  </w:footnote>
  <w:footnote w:id="5">
    <w:p w:rsidR="00E0558D" w:rsidRPr="00860446" w:rsidRDefault="00E0558D" w:rsidP="004C1CDC">
      <w:pPr>
        <w:pStyle w:val="FootnoteText"/>
      </w:pPr>
      <w:r>
        <w:rPr>
          <w:rStyle w:val="FootnoteReference"/>
        </w:rPr>
        <w:footnoteRef/>
      </w:r>
      <w:r>
        <w:t xml:space="preserve"> </w:t>
      </w:r>
      <w:r>
        <w:rPr>
          <w:i/>
        </w:rPr>
        <w:t>Id.</w:t>
      </w:r>
      <w:r>
        <w:t xml:space="preserve"> at §§ IV.B (Reverse Auction) and III.B (Repacking the Broadcast Television Bands).</w:t>
      </w:r>
    </w:p>
  </w:footnote>
  <w:footnote w:id="6">
    <w:p w:rsidR="00E0558D" w:rsidRDefault="00E0558D">
      <w:pPr>
        <w:pStyle w:val="FootnoteText"/>
      </w:pPr>
      <w:r>
        <w:rPr>
          <w:rStyle w:val="FootnoteReference"/>
        </w:rPr>
        <w:footnoteRef/>
      </w:r>
      <w:r>
        <w:t xml:space="preserve"> </w:t>
      </w:r>
      <w:r w:rsidRPr="001D7DB1">
        <w:rPr>
          <w:i/>
        </w:rPr>
        <w:t>Id.</w:t>
      </w:r>
      <w:r>
        <w:t xml:space="preserve"> at </w:t>
      </w:r>
      <w:r w:rsidRPr="00E0558D">
        <w:t>6652, para. 185</w:t>
      </w:r>
      <w:r>
        <w:t xml:space="preserve"> and § III.B.3.d.iii (Facilities That Will Not Receive Discretionary Protection:  LPTV and TV Translator Stations).  The Commission also concluded that LPTV and TV translator stations are not eligible to participate in the reverse auction.  </w:t>
      </w:r>
      <w:r w:rsidRPr="00DC1326">
        <w:rPr>
          <w:i/>
        </w:rPr>
        <w:t>Id</w:t>
      </w:r>
      <w:r>
        <w:t>. at 6716-17, para. 352.</w:t>
      </w:r>
    </w:p>
  </w:footnote>
  <w:footnote w:id="7">
    <w:p w:rsidR="00E0558D" w:rsidRDefault="00E0558D" w:rsidP="0008532D">
      <w:pPr>
        <w:pStyle w:val="FootnoteText"/>
      </w:pPr>
      <w:r>
        <w:rPr>
          <w:rStyle w:val="FootnoteReference"/>
        </w:rPr>
        <w:footnoteRef/>
      </w:r>
      <w:r>
        <w:t xml:space="preserve"> We note that this proceeding concerns matters related only to LPTV and TV translator stations and not Class A television stations.  In the </w:t>
      </w:r>
      <w:r>
        <w:rPr>
          <w:i/>
        </w:rPr>
        <w:t xml:space="preserve">Incentive Auction Report and </w:t>
      </w:r>
      <w:r w:rsidRPr="00EE2649">
        <w:rPr>
          <w:i/>
        </w:rPr>
        <w:t>Order</w:t>
      </w:r>
      <w:r>
        <w:t xml:space="preserve">, we explained that the Spectrum Act mandates that we make all reasonable efforts to preserve the coverage area and population served of Class A stations during the repacking process, and Class A stations that are reassigned to new channels in that process will be eligible for reimbursement of costs reasonably incurred in relocating to their new channels.  </w:t>
      </w:r>
      <w:r w:rsidRPr="00A71128">
        <w:rPr>
          <w:i/>
        </w:rPr>
        <w:t>Incentive Auction Report and Order</w:t>
      </w:r>
      <w:r>
        <w:t>, 29 FCC Rcd at 6652 and 6812, paras. 184-85 and 601.  Because Class A stations are not similarly impacted by the auction and repacking process, the measures discussed herein to mitigate the impact on LPTV and TV translator stations, including extending the digital transition deadline, do not extend to Class A stations.</w:t>
      </w:r>
    </w:p>
  </w:footnote>
  <w:footnote w:id="8">
    <w:p w:rsidR="00E0558D" w:rsidRPr="00181743" w:rsidRDefault="00E0558D" w:rsidP="00D30451">
      <w:pPr>
        <w:pStyle w:val="FootnoteText"/>
      </w:pPr>
      <w:r>
        <w:rPr>
          <w:rStyle w:val="FootnoteReference"/>
        </w:rPr>
        <w:footnoteRef/>
      </w:r>
      <w:r>
        <w:t xml:space="preserve"> </w:t>
      </w:r>
      <w:r>
        <w:rPr>
          <w:i/>
        </w:rPr>
        <w:t>Id.</w:t>
      </w:r>
      <w:r>
        <w:t xml:space="preserve"> at 6635-36, para. 659.  This window will be opened after full power and Class A television stations relocating to new channels as a result of the reverse auction or repacking process have submitted their construction permit applications and had an opportunity to request alternate channels or expanded facilities.  </w:t>
      </w:r>
      <w:r>
        <w:rPr>
          <w:i/>
        </w:rPr>
        <w:t xml:space="preserve">Id.  </w:t>
      </w:r>
      <w:r>
        <w:t>We also modified our</w:t>
      </w:r>
      <w:r w:rsidRPr="005842F0">
        <w:t xml:space="preserve"> rules to a</w:t>
      </w:r>
      <w:r>
        <w:t>fford</w:t>
      </w:r>
      <w:r w:rsidRPr="005842F0">
        <w:t xml:space="preserve"> stations with mutually exclusive displacement applications</w:t>
      </w:r>
      <w:r>
        <w:t xml:space="preserve"> in the window an opportunity</w:t>
      </w:r>
      <w:r w:rsidRPr="005842F0">
        <w:t xml:space="preserve"> to reach a settle</w:t>
      </w:r>
      <w:r>
        <w:t xml:space="preserve">ment or an engineering solution.  </w:t>
      </w:r>
      <w:r>
        <w:rPr>
          <w:i/>
        </w:rPr>
        <w:t>Id.</w:t>
      </w:r>
      <w:r>
        <w:t xml:space="preserve"> at para. 661.</w:t>
      </w:r>
    </w:p>
  </w:footnote>
  <w:footnote w:id="9">
    <w:p w:rsidR="00E0558D" w:rsidRPr="00AA3457" w:rsidRDefault="00E0558D">
      <w:pPr>
        <w:pStyle w:val="FootnoteText"/>
      </w:pPr>
      <w:r>
        <w:rPr>
          <w:rStyle w:val="FootnoteReference"/>
        </w:rPr>
        <w:footnoteRef/>
      </w:r>
      <w:r>
        <w:t xml:space="preserve"> </w:t>
      </w:r>
      <w:r>
        <w:rPr>
          <w:i/>
        </w:rPr>
        <w:t>Id.</w:t>
      </w:r>
      <w:r>
        <w:t xml:space="preserve"> at 6838, para. 664.  </w:t>
      </w:r>
    </w:p>
  </w:footnote>
  <w:footnote w:id="10">
    <w:p w:rsidR="00E0558D" w:rsidRPr="00AA3457" w:rsidRDefault="00E0558D">
      <w:pPr>
        <w:pStyle w:val="FootnoteText"/>
        <w:rPr>
          <w:i/>
        </w:rPr>
      </w:pPr>
      <w:r>
        <w:rPr>
          <w:rStyle w:val="FootnoteReference"/>
        </w:rPr>
        <w:footnoteRef/>
      </w:r>
      <w:r>
        <w:t xml:space="preserve"> </w:t>
      </w:r>
      <w:r>
        <w:rPr>
          <w:i/>
        </w:rPr>
        <w:t>Id.</w:t>
      </w:r>
    </w:p>
  </w:footnote>
  <w:footnote w:id="11">
    <w:p w:rsidR="00E0558D" w:rsidRPr="002A002B" w:rsidRDefault="00E0558D">
      <w:pPr>
        <w:pStyle w:val="FootnoteText"/>
      </w:pPr>
      <w:r>
        <w:rPr>
          <w:rStyle w:val="FootnoteReference"/>
        </w:rPr>
        <w:footnoteRef/>
      </w:r>
      <w:r>
        <w:t xml:space="preserve"> </w:t>
      </w:r>
      <w:r>
        <w:rPr>
          <w:i/>
        </w:rPr>
        <w:t>Id.</w:t>
      </w:r>
      <w:r>
        <w:t xml:space="preserve"> at 6838-39, para. 665.</w:t>
      </w:r>
    </w:p>
  </w:footnote>
  <w:footnote w:id="12">
    <w:p w:rsidR="00E0558D" w:rsidRDefault="00E0558D">
      <w:pPr>
        <w:pStyle w:val="FootnoteText"/>
      </w:pPr>
      <w:r>
        <w:rPr>
          <w:rStyle w:val="FootnoteReference"/>
        </w:rPr>
        <w:footnoteRef/>
      </w:r>
      <w:r>
        <w:t xml:space="preserve"> </w:t>
      </w:r>
      <w:r w:rsidRPr="00A07B50">
        <w:rPr>
          <w:i/>
        </w:rPr>
        <w:t>Id</w:t>
      </w:r>
      <w:r>
        <w:t>. at 6839, para. 666.</w:t>
      </w:r>
    </w:p>
  </w:footnote>
  <w:footnote w:id="13">
    <w:p w:rsidR="00E0558D" w:rsidRPr="002A002B" w:rsidRDefault="00E0558D">
      <w:pPr>
        <w:pStyle w:val="FootnoteText"/>
      </w:pPr>
      <w:r>
        <w:rPr>
          <w:rStyle w:val="FootnoteReference"/>
        </w:rPr>
        <w:footnoteRef/>
      </w:r>
      <w:r>
        <w:t xml:space="preserve"> </w:t>
      </w:r>
      <w:r>
        <w:rPr>
          <w:i/>
        </w:rPr>
        <w:t>Id.</w:t>
      </w:r>
      <w:r>
        <w:t xml:space="preserve"> </w:t>
      </w:r>
    </w:p>
  </w:footnote>
  <w:footnote w:id="14">
    <w:p w:rsidR="00E0558D" w:rsidRPr="008849B5" w:rsidRDefault="00E0558D">
      <w:pPr>
        <w:pStyle w:val="FootnoteText"/>
        <w:rPr>
          <w:i/>
        </w:rPr>
      </w:pPr>
      <w:r>
        <w:rPr>
          <w:rStyle w:val="FootnoteReference"/>
        </w:rPr>
        <w:footnoteRef/>
      </w:r>
      <w:r>
        <w:t xml:space="preserve"> </w:t>
      </w:r>
      <w:r>
        <w:rPr>
          <w:i/>
        </w:rPr>
        <w:t>Id.</w:t>
      </w:r>
    </w:p>
  </w:footnote>
  <w:footnote w:id="15">
    <w:p w:rsidR="00E0558D" w:rsidRDefault="00E0558D" w:rsidP="00F56F5F">
      <w:pPr>
        <w:pStyle w:val="FootnoteText"/>
      </w:pPr>
      <w:r>
        <w:rPr>
          <w:rStyle w:val="FootnoteReference"/>
        </w:rPr>
        <w:footnoteRef/>
      </w:r>
      <w:r>
        <w:t xml:space="preserve"> 47 C.F.R. § 15.117(b).</w:t>
      </w:r>
    </w:p>
  </w:footnote>
  <w:footnote w:id="16">
    <w:p w:rsidR="00E0558D" w:rsidRDefault="00E0558D">
      <w:pPr>
        <w:pStyle w:val="FootnoteText"/>
      </w:pPr>
      <w:r>
        <w:rPr>
          <w:rStyle w:val="FootnoteReference"/>
        </w:rPr>
        <w:footnoteRef/>
      </w:r>
      <w:r>
        <w:t xml:space="preserve"> </w:t>
      </w:r>
      <w:r>
        <w:rPr>
          <w:i/>
        </w:rPr>
        <w:t xml:space="preserve">See </w:t>
      </w:r>
      <w:r w:rsidRPr="00AF5313">
        <w:rPr>
          <w:i/>
        </w:rPr>
        <w:t>Amendment of Parts 73 and 74 of the Commission’s Rules to Establish Rules for Digital Low Power Television, Television Translator, and Television Booster Stations and to Amend Rules for Digital Class A Television Stations</w:t>
      </w:r>
      <w:r w:rsidRPr="00E27699">
        <w:t xml:space="preserve">, </w:t>
      </w:r>
      <w:r>
        <w:t xml:space="preserve">MB Docket No. 03-185, Second </w:t>
      </w:r>
      <w:r w:rsidRPr="00AF5313">
        <w:t>Report and Order</w:t>
      </w:r>
      <w:r>
        <w:t>, 26 FCC Rcd 10732, 10733 n.1 (2011)(</w:t>
      </w:r>
      <w:r w:rsidRPr="007727CE">
        <w:rPr>
          <w:i/>
        </w:rPr>
        <w:t>LPTV DTV Second Report and Order</w:t>
      </w:r>
      <w:r>
        <w:t xml:space="preserve">).  We note that </w:t>
      </w:r>
      <w:r w:rsidRPr="004D48FB">
        <w:t>this proceeding concerns matters related only to LPTV and TV translator stations and not Class A television stations</w:t>
      </w:r>
      <w:r>
        <w:t>.  We are not proposing to extend the digital transition date for Class A stations</w:t>
      </w:r>
      <w:r w:rsidRPr="004D48FB">
        <w:t>.</w:t>
      </w:r>
      <w:r>
        <w:t xml:space="preserve">  </w:t>
      </w:r>
      <w:r>
        <w:rPr>
          <w:i/>
        </w:rPr>
        <w:t>See supra</w:t>
      </w:r>
      <w:r>
        <w:t xml:space="preserve"> n. 6.</w:t>
      </w:r>
    </w:p>
  </w:footnote>
  <w:footnote w:id="17">
    <w:p w:rsidR="00E0558D" w:rsidRDefault="00E0558D">
      <w:pPr>
        <w:pStyle w:val="FootnoteText"/>
      </w:pPr>
      <w:r>
        <w:rPr>
          <w:rStyle w:val="FootnoteReference"/>
        </w:rPr>
        <w:footnoteRef/>
      </w:r>
      <w:r>
        <w:t xml:space="preserve"> </w:t>
      </w:r>
      <w:r>
        <w:rPr>
          <w:i/>
        </w:rPr>
        <w:t>See</w:t>
      </w:r>
      <w:r w:rsidRPr="007727CE">
        <w:rPr>
          <w:i/>
        </w:rPr>
        <w:t xml:space="preserve"> </w:t>
      </w:r>
      <w:r>
        <w:rPr>
          <w:i/>
        </w:rPr>
        <w:t>LPTV DTV Second Report and Order</w:t>
      </w:r>
      <w:r w:rsidRPr="00E27699">
        <w:t xml:space="preserve">, </w:t>
      </w:r>
      <w:r w:rsidRPr="001C2C96">
        <w:t>26 FCC</w:t>
      </w:r>
      <w:r>
        <w:t xml:space="preserve"> Rcd at 10736-39, paras. 6-12. </w:t>
      </w:r>
      <w:r w:rsidRPr="00B15ABC">
        <w:t xml:space="preserve">The Commission rejected its original proposal to adopt a transition date in 2012, finding that it would not be appropriate given that the Commission was considering the reallocation of </w:t>
      </w:r>
      <w:r>
        <w:t xml:space="preserve">some </w:t>
      </w:r>
      <w:r w:rsidRPr="00B15ABC">
        <w:t>spectrum for wireless broadband services.</w:t>
      </w:r>
      <w:r>
        <w:t xml:space="preserve">  </w:t>
      </w:r>
      <w:r>
        <w:rPr>
          <w:i/>
        </w:rPr>
        <w:t>Id.</w:t>
      </w:r>
      <w:r>
        <w:t xml:space="preserve"> at 10736-37, para. 8.  The Commission pointed out that a 2012 digital transition deadline likely would result in some stations having to construct digital facilities twice - once to meet the 2012 digital conversion deadline and then later in accordance with any reallocation scheme – and that </w:t>
      </w:r>
      <w:r>
        <w:rPr>
          <w:bCs/>
        </w:rPr>
        <w:t>“i</w:t>
      </w:r>
      <w:r>
        <w:t xml:space="preserve">t would be preferable for these stations not to have to make the significant investment required for conversion to digital facilities, when such facilities may have to be substantially modified due to channel displacement or taken off the air altogether in connection with the implementation of a spectrum repacking scheme.”  </w:t>
      </w:r>
      <w:r>
        <w:rPr>
          <w:i/>
        </w:rPr>
        <w:t>Id.</w:t>
      </w:r>
      <w:r>
        <w:t xml:space="preserve">    The Commission also noted that </w:t>
      </w:r>
      <w:r w:rsidRPr="002B25C4">
        <w:t xml:space="preserve">a 2015 deadline would be consistent with the </w:t>
      </w:r>
      <w:r>
        <w:t xml:space="preserve">National </w:t>
      </w:r>
      <w:r w:rsidRPr="002B25C4">
        <w:t>Broadband Plan’s recommendation to conclude the digital transition by the end of 2015</w:t>
      </w:r>
      <w:r>
        <w:t xml:space="preserve">.  </w:t>
      </w:r>
      <w:r>
        <w:rPr>
          <w:i/>
        </w:rPr>
        <w:t>Id.</w:t>
      </w:r>
      <w:r>
        <w:t xml:space="preserve"> at 10737 n.23, </w:t>
      </w:r>
      <w:r w:rsidRPr="00C75CC3">
        <w:t>citing</w:t>
      </w:r>
      <w:r>
        <w:rPr>
          <w:i/>
        </w:rPr>
        <w:t xml:space="preserve"> </w:t>
      </w:r>
      <w:r>
        <w:t xml:space="preserve">Federal Communications Commission, Connecting America:  The National </w:t>
      </w:r>
      <w:r w:rsidRPr="002B25C4">
        <w:t>Broadband Plan at 92</w:t>
      </w:r>
      <w:r>
        <w:t xml:space="preserve"> (2010) (Broadband Plan).</w:t>
      </w:r>
    </w:p>
  </w:footnote>
  <w:footnote w:id="18">
    <w:p w:rsidR="00E0558D" w:rsidRPr="00175DD6" w:rsidRDefault="00E0558D" w:rsidP="0014366A">
      <w:pPr>
        <w:pStyle w:val="FootnoteText"/>
      </w:pPr>
      <w:r>
        <w:rPr>
          <w:rStyle w:val="FootnoteReference"/>
        </w:rPr>
        <w:footnoteRef/>
      </w:r>
      <w:r>
        <w:t xml:space="preserve"> </w:t>
      </w:r>
      <w:r>
        <w:rPr>
          <w:i/>
        </w:rPr>
        <w:t>See</w:t>
      </w:r>
      <w:r>
        <w:t xml:space="preserve"> </w:t>
      </w:r>
      <w:r w:rsidRPr="00720071">
        <w:rPr>
          <w:i/>
        </w:rPr>
        <w:t>Amendment of Parts 73 and 74 of the Commission’s Rules to Establish Rules for Digital Low Power Television, Television Translator, and Television Booster Stations and to Amend Rules for Digital Class A Television Stations</w:t>
      </w:r>
      <w:r w:rsidRPr="00AE40EE">
        <w:t xml:space="preserve">, MB Docket No. 03-183, </w:t>
      </w:r>
      <w:r w:rsidRPr="00A118AC">
        <w:t>Second Memorandum Opinion and Order</w:t>
      </w:r>
      <w:r>
        <w:t>, 28 FCC Rcd 14412, 14412-15, paras. 2-4 (2013) (</w:t>
      </w:r>
      <w:r>
        <w:rPr>
          <w:i/>
        </w:rPr>
        <w:t>LPTV DTV Second MO&amp;O</w:t>
      </w:r>
      <w:r>
        <w:t xml:space="preserve">).  </w:t>
      </w:r>
      <w:r w:rsidRPr="00461986">
        <w:t xml:space="preserve">However, the Commission did state that its decision was “without prejudice to the Commission’s ability to consider making adjustments to the timing of the low power television transition in [the incentive auction] proceeding as the Commission develops the schedule for holding the incentive auction and implementation of the subsequent repacking.”  </w:t>
      </w:r>
      <w:r w:rsidRPr="00461986">
        <w:rPr>
          <w:i/>
        </w:rPr>
        <w:t>Id.</w:t>
      </w:r>
      <w:r w:rsidRPr="00461986">
        <w:t xml:space="preserve"> at 14415, para. 4.</w:t>
      </w:r>
      <w:r>
        <w:t xml:space="preserve">   Signal Above, LLC has filed a Petition for Review of the Commission’s decision with the United States Court of Appeals for the District of Columbia Circuit, which the court has held in abeyance.  </w:t>
      </w:r>
      <w:r>
        <w:rPr>
          <w:i/>
        </w:rPr>
        <w:t>See</w:t>
      </w:r>
      <w:r>
        <w:t xml:space="preserve"> </w:t>
      </w:r>
      <w:r>
        <w:rPr>
          <w:i/>
        </w:rPr>
        <w:t>Signal Above, LLC v. FCC</w:t>
      </w:r>
      <w:r>
        <w:t>, No. 14-1069 (D.C. Cir. 2014)</w:t>
      </w:r>
      <w:r w:rsidRPr="006F0CF3">
        <w:t>.</w:t>
      </w:r>
    </w:p>
  </w:footnote>
  <w:footnote w:id="19">
    <w:p w:rsidR="00E0558D" w:rsidRPr="004759FE" w:rsidRDefault="00E0558D">
      <w:pPr>
        <w:pStyle w:val="FootnoteText"/>
      </w:pPr>
      <w:r>
        <w:rPr>
          <w:rStyle w:val="FootnoteReference"/>
        </w:rPr>
        <w:footnoteRef/>
      </w:r>
      <w:r>
        <w:t xml:space="preserve"> </w:t>
      </w:r>
      <w:r>
        <w:rPr>
          <w:i/>
        </w:rPr>
        <w:t>See</w:t>
      </w:r>
      <w:r>
        <w:t xml:space="preserve">, </w:t>
      </w:r>
      <w:r>
        <w:rPr>
          <w:i/>
        </w:rPr>
        <w:t>e.g.</w:t>
      </w:r>
      <w:r>
        <w:t>, Letter from Mike Gravino, Director, LPTV S</w:t>
      </w:r>
      <w:r w:rsidRPr="00992D65">
        <w:t>pectrum</w:t>
      </w:r>
      <w:r>
        <w:t xml:space="preserve"> Rights Coalition, to Marlene H. Dortch, Secretary, FCC, Gen. Docket No. 12-268 at 5 (filed Aug. 27, 2013)(LPTV Spectrum Aug. 27, 2013 </w:t>
      </w:r>
      <w:r>
        <w:rPr>
          <w:i/>
        </w:rPr>
        <w:t>Ex Parte</w:t>
      </w:r>
      <w:r>
        <w:t xml:space="preserve"> ).</w:t>
      </w:r>
      <w:r w:rsidRPr="00650869">
        <w:t xml:space="preserve"> </w:t>
      </w:r>
      <w:r>
        <w:rPr>
          <w:i/>
        </w:rPr>
        <w:t>See also</w:t>
      </w:r>
      <w:r>
        <w:t xml:space="preserve"> Univision Comments at 13-14 (</w:t>
      </w:r>
      <w:r w:rsidRPr="004759FE">
        <w:t>“</w:t>
      </w:r>
      <w:r>
        <w:t xml:space="preserve">. . . </w:t>
      </w:r>
      <w:r w:rsidRPr="004759FE">
        <w:t>because all low power television stations have moved or soon will move to digital channels in order to meet the September 2015 cutoff for analog low power television station operations, it would be unfair to require these stations to incur unnecessary costs by moving yet again to replacement digital channels</w:t>
      </w:r>
      <w:r>
        <w:t xml:space="preserve"> in connection with a repacking</w:t>
      </w:r>
      <w:r w:rsidRPr="004759FE">
        <w:t>”</w:t>
      </w:r>
      <w:r>
        <w:t>) and NRB Comments at 9 (“</w:t>
      </w:r>
      <w:r w:rsidRPr="004759FE">
        <w:t>LPTV stations that have not yet transitioned to digital face a dilemma of potentially spending thousands of dollars on digital conversion, and then being displaced or put off-the-air by the repacking process</w:t>
      </w:r>
      <w:r>
        <w:t xml:space="preserve">”).  The short names and corresponding full names of commenters in GN Docket No. 12-268 are listed in Appendix D to the </w:t>
      </w:r>
      <w:r w:rsidRPr="001B2796">
        <w:rPr>
          <w:i/>
        </w:rPr>
        <w:t>Incentive Auction Report and Order</w:t>
      </w:r>
      <w:r>
        <w:t xml:space="preserve">, 29 FCC Rcd at 7026-30.  In addition, all comments referred to in this Third Notice were filed in GN Docket No. 12-268. </w:t>
      </w:r>
    </w:p>
  </w:footnote>
  <w:footnote w:id="20">
    <w:p w:rsidR="00E0558D" w:rsidRDefault="00E0558D">
      <w:pPr>
        <w:pStyle w:val="FootnoteText"/>
      </w:pPr>
      <w:r>
        <w:rPr>
          <w:rStyle w:val="FootnoteReference"/>
        </w:rPr>
        <w:footnoteRef/>
      </w:r>
      <w:r>
        <w:t xml:space="preserve"> Univision Comments at 13-14; NRB Comments at 17; </w:t>
      </w:r>
      <w:r w:rsidRPr="00624506">
        <w:t>UVM Commen</w:t>
      </w:r>
      <w:r>
        <w:t>ts at 7; LPTV Spectrum Aug. 27, 2013</w:t>
      </w:r>
      <w:r w:rsidRPr="00AA3968">
        <w:t xml:space="preserve"> </w:t>
      </w:r>
      <w:r w:rsidRPr="00AA3968">
        <w:rPr>
          <w:i/>
        </w:rPr>
        <w:t>Ex Parte</w:t>
      </w:r>
      <w:r>
        <w:t xml:space="preserve"> at 7</w:t>
      </w:r>
      <w:r w:rsidRPr="00AA3968">
        <w:t>.</w:t>
      </w:r>
    </w:p>
  </w:footnote>
  <w:footnote w:id="21">
    <w:p w:rsidR="00E0558D" w:rsidRPr="00F31F52" w:rsidRDefault="00E0558D" w:rsidP="00B309A1">
      <w:pPr>
        <w:pStyle w:val="FootnoteText"/>
      </w:pPr>
      <w:r>
        <w:rPr>
          <w:rStyle w:val="FootnoteReference"/>
        </w:rPr>
        <w:footnoteRef/>
      </w:r>
      <w:r>
        <w:t xml:space="preserve"> </w:t>
      </w:r>
      <w:r>
        <w:rPr>
          <w:i/>
        </w:rPr>
        <w:t>See LPTV DTV Second Report and Order</w:t>
      </w:r>
      <w:r>
        <w:t>, 26 FCC Rcd at 10736, para. 10.</w:t>
      </w:r>
    </w:p>
  </w:footnote>
  <w:footnote w:id="22">
    <w:p w:rsidR="00E0558D" w:rsidRPr="005F75FF" w:rsidRDefault="00E0558D" w:rsidP="00B309A1">
      <w:pPr>
        <w:pStyle w:val="FootnoteText"/>
      </w:pPr>
      <w:r>
        <w:rPr>
          <w:rStyle w:val="FootnoteReference"/>
        </w:rPr>
        <w:footnoteRef/>
      </w:r>
      <w:r>
        <w:t xml:space="preserve"> </w:t>
      </w:r>
      <w:r>
        <w:rPr>
          <w:i/>
        </w:rPr>
        <w:t>See</w:t>
      </w:r>
      <w:r>
        <w:t xml:space="preserve">, </w:t>
      </w:r>
      <w:r>
        <w:rPr>
          <w:i/>
        </w:rPr>
        <w:t>e.g.</w:t>
      </w:r>
      <w:r>
        <w:t xml:space="preserve">, </w:t>
      </w:r>
      <w:r w:rsidRPr="005F75FF">
        <w:t>Letter from Mike Gravino, Director, LPTV Spectrum Rights Coalition, to Marlene H. Dortch, Secretary, FCC, Gen. Docket No. 12-268</w:t>
      </w:r>
      <w:r>
        <w:t xml:space="preserve"> at 3 (filed Aug. 15, 2014)(LPTV Spectrum Aug. 15, 2014 </w:t>
      </w:r>
      <w:r>
        <w:rPr>
          <w:i/>
        </w:rPr>
        <w:t>Ex Parte</w:t>
      </w:r>
      <w:r>
        <w:t>) (noting that “t</w:t>
      </w:r>
      <w:r w:rsidRPr="005F75FF">
        <w:t>he DTV transition has enabled multiple digital channels instead of the single analog channel, and a fast growing minority of translator systems and licensees are now operating as LPTV digital stations</w:t>
      </w:r>
      <w:r>
        <w:t>”)</w:t>
      </w:r>
      <w:r w:rsidRPr="005F75FF">
        <w:t>.</w:t>
      </w:r>
    </w:p>
  </w:footnote>
  <w:footnote w:id="23">
    <w:p w:rsidR="00E0558D" w:rsidRPr="00B45272" w:rsidRDefault="00E0558D">
      <w:pPr>
        <w:pStyle w:val="FootnoteText"/>
      </w:pPr>
      <w:r>
        <w:rPr>
          <w:rStyle w:val="FootnoteReference"/>
        </w:rPr>
        <w:footnoteRef/>
      </w:r>
      <w:r>
        <w:t xml:space="preserve"> </w:t>
      </w:r>
      <w:r>
        <w:rPr>
          <w:i/>
        </w:rPr>
        <w:t>See Incentive Auction Report and Order</w:t>
      </w:r>
      <w:r>
        <w:t>, 29 FCC Rcd at 6790-91, para. 546.</w:t>
      </w:r>
    </w:p>
  </w:footnote>
  <w:footnote w:id="24">
    <w:p w:rsidR="00E0558D" w:rsidRPr="00B45272" w:rsidRDefault="00E0558D">
      <w:pPr>
        <w:pStyle w:val="FootnoteText"/>
      </w:pPr>
      <w:r>
        <w:rPr>
          <w:rStyle w:val="FootnoteReference"/>
        </w:rPr>
        <w:footnoteRef/>
      </w:r>
      <w:r>
        <w:t xml:space="preserve"> </w:t>
      </w:r>
      <w:r>
        <w:rPr>
          <w:i/>
        </w:rPr>
        <w:t>Id.</w:t>
      </w:r>
      <w:r>
        <w:t xml:space="preserve"> at 6793-94, paras. 553-54.</w:t>
      </w:r>
    </w:p>
  </w:footnote>
  <w:footnote w:id="25">
    <w:p w:rsidR="00E0558D" w:rsidRDefault="00E0558D">
      <w:pPr>
        <w:pStyle w:val="FootnoteText"/>
      </w:pPr>
      <w:r>
        <w:rPr>
          <w:rStyle w:val="FootnoteReference"/>
        </w:rPr>
        <w:footnoteRef/>
      </w:r>
      <w:r>
        <w:t xml:space="preserve"> We again remind stations that section</w:t>
      </w:r>
      <w:r w:rsidRPr="007C36DA">
        <w:t xml:space="preserve"> 312(g) of the Communications Act, 47 U.S.C. § 312(g), provides that:  “If a broadcasting station fails to transmit broadcast signals for any consecutive 12-month period, then the station license granted for the operation of that broadcast station expires at the end of that period, notwithstanding any provision, term, or condition of the license to the contrary, except that the Commission may extend or reinstate such station license if the holder of the station license prevails in an administrative or judicial appeal, the applicable law changes, or for any other reason to promote equity and fairness.</w:t>
      </w:r>
      <w:r>
        <w:t>”</w:t>
      </w:r>
      <w:r w:rsidRPr="007C36DA">
        <w:t xml:space="preserve">  </w:t>
      </w:r>
      <w:r>
        <w:t>Stations that go silent on the “hard deadline” will be subject to automatic cancellation if they do not return on-air with digital facilities within 12 months from ceasing analog operations.</w:t>
      </w:r>
    </w:p>
  </w:footnote>
  <w:footnote w:id="26">
    <w:p w:rsidR="00E0558D" w:rsidRDefault="00E0558D">
      <w:pPr>
        <w:pStyle w:val="FootnoteText"/>
      </w:pPr>
      <w:r>
        <w:rPr>
          <w:rStyle w:val="FootnoteReference"/>
        </w:rPr>
        <w:footnoteRef/>
      </w:r>
      <w:r>
        <w:t xml:space="preserve"> </w:t>
      </w:r>
      <w:r w:rsidRPr="008C02E9">
        <w:t xml:space="preserve">For example, </w:t>
      </w:r>
      <w:r>
        <w:t>s</w:t>
      </w:r>
      <w:r w:rsidRPr="008C02E9">
        <w:t>ection 74.731(k)(1) of the rules provides, “[a]fter 11:59 pm local time on September 1, 2015, low power television, TV translators, and Class A television stations may no longer operate any facility in analog (NTSC) mode.”</w:t>
      </w:r>
      <w:r>
        <w:t xml:space="preserve">  </w:t>
      </w:r>
      <w:r>
        <w:rPr>
          <w:i/>
        </w:rPr>
        <w:t xml:space="preserve">See </w:t>
      </w:r>
      <w:r>
        <w:t>47 C.F.R.</w:t>
      </w:r>
      <w:r w:rsidRPr="0005398B">
        <w:t xml:space="preserve"> §</w:t>
      </w:r>
      <w:r>
        <w:t xml:space="preserve"> 74.731(k)(1).  </w:t>
      </w:r>
      <w:r w:rsidRPr="008C02E9">
        <w:t>In addition, all transition-related digital construction permits (for flash cut or digital companion channels) have a September 1, 2015 expiration date – set to coincide with the current digital transition deadline.</w:t>
      </w:r>
      <w:r>
        <w:t xml:space="preserve">  </w:t>
      </w:r>
      <w:r>
        <w:rPr>
          <w:i/>
        </w:rPr>
        <w:t>See</w:t>
      </w:r>
      <w:r>
        <w:t xml:space="preserve"> </w:t>
      </w:r>
      <w:r w:rsidRPr="001B2796">
        <w:rPr>
          <w:i/>
        </w:rPr>
        <w:t>LPTV DTV</w:t>
      </w:r>
      <w:r>
        <w:t xml:space="preserve"> </w:t>
      </w:r>
      <w:r>
        <w:rPr>
          <w:i/>
        </w:rPr>
        <w:t>Second Report and Order</w:t>
      </w:r>
      <w:r>
        <w:t>, 26 FCC Rcd at 10740, para. 14 (“fairness dictates that stations with outstanding digital construction permits . . .  be given until September 1, 2015 to complete their digital facilities”).</w:t>
      </w:r>
    </w:p>
  </w:footnote>
  <w:footnote w:id="27">
    <w:p w:rsidR="00E0558D" w:rsidRPr="007C36DA" w:rsidRDefault="00E0558D" w:rsidP="008C02E9">
      <w:pPr>
        <w:pStyle w:val="FootnoteText"/>
      </w:pPr>
      <w:r>
        <w:rPr>
          <w:rStyle w:val="FootnoteReference"/>
        </w:rPr>
        <w:footnoteRef/>
      </w:r>
      <w:r>
        <w:t xml:space="preserve"> Currently, transitioning stations may </w:t>
      </w:r>
      <w:r w:rsidRPr="008C02E9">
        <w:t xml:space="preserve">file an application for extension no later than May 1, 2015 and demonstrate that the failure to meet the </w:t>
      </w:r>
      <w:r>
        <w:t xml:space="preserve">September 1, 2015 </w:t>
      </w:r>
      <w:r w:rsidRPr="008C02E9">
        <w:t>deadline is due to circumstances that either were unforeseeable or beyond the licensee’s control, and that the licensee has taken all reasonable steps to resolve the problem expeditiously.</w:t>
      </w:r>
      <w:r>
        <w:t xml:space="preserve">  </w:t>
      </w:r>
      <w:r>
        <w:rPr>
          <w:i/>
        </w:rPr>
        <w:t>See</w:t>
      </w:r>
      <w:r>
        <w:t xml:space="preserve"> 47 C.F.R. </w:t>
      </w:r>
      <w:r w:rsidRPr="007C36DA">
        <w:t>§</w:t>
      </w:r>
      <w:r>
        <w:t xml:space="preserve"> 74.788(c)(3).  Such applications will be acted on by the Media Bureau staff on delegated authority.  After May 1, 2015, extensions of construction permit expiration dates will no longer be permitted under our current rules, and LPTV and TV translator stations will be able to obtain additional time to complete construction only by qualifying under the stricter “tolling” rule.  </w:t>
      </w:r>
      <w:r w:rsidRPr="007C36DA">
        <w:rPr>
          <w:i/>
        </w:rPr>
        <w:t>See</w:t>
      </w:r>
      <w:r>
        <w:t xml:space="preserve"> 47 C.F.R. </w:t>
      </w:r>
      <w:r w:rsidRPr="007C36DA">
        <w:t>§</w:t>
      </w:r>
      <w:r w:rsidRPr="00F31F52">
        <w:t>§</w:t>
      </w:r>
      <w:r>
        <w:t xml:space="preserve"> 73.3598 and </w:t>
      </w:r>
      <w:r w:rsidRPr="00F31F52">
        <w:t>74.788(d)</w:t>
      </w:r>
      <w:r>
        <w:t xml:space="preserve">.  </w:t>
      </w:r>
      <w:r w:rsidRPr="008C02E9">
        <w:t>The May 1, 2015 date was set four months before the September 1, 2015 transition date in order to give transitioning stations an opportunity to seek one “last minute” extension.</w:t>
      </w:r>
      <w:r>
        <w:t xml:space="preserve">  </w:t>
      </w:r>
      <w:r>
        <w:rPr>
          <w:i/>
        </w:rPr>
        <w:t>See LPTV DTV Second Report and Order</w:t>
      </w:r>
      <w:r>
        <w:t>, 26 FCC Rcd at 10740-42, paras. 13-16.</w:t>
      </w:r>
    </w:p>
  </w:footnote>
  <w:footnote w:id="28">
    <w:p w:rsidR="00E0558D" w:rsidRDefault="00E0558D">
      <w:pPr>
        <w:pStyle w:val="FootnoteText"/>
      </w:pPr>
      <w:r>
        <w:rPr>
          <w:rStyle w:val="FootnoteReference"/>
        </w:rPr>
        <w:footnoteRef/>
      </w:r>
      <w:r>
        <w:t xml:space="preserve"> </w:t>
      </w:r>
      <w:r>
        <w:rPr>
          <w:i/>
        </w:rPr>
        <w:t xml:space="preserve">Id. </w:t>
      </w:r>
      <w:r>
        <w:t xml:space="preserve">at </w:t>
      </w:r>
      <w:r w:rsidRPr="000C3E32">
        <w:t xml:space="preserve">10732, 10740, </w:t>
      </w:r>
      <w:r>
        <w:t xml:space="preserve">para. 13, </w:t>
      </w:r>
      <w:r w:rsidRPr="000C3E32">
        <w:t>n. 37</w:t>
      </w:r>
      <w:r>
        <w:t>.</w:t>
      </w:r>
    </w:p>
  </w:footnote>
  <w:footnote w:id="29">
    <w:p w:rsidR="00E0558D" w:rsidRPr="00292FD1" w:rsidRDefault="00E0558D">
      <w:pPr>
        <w:pStyle w:val="FootnoteText"/>
      </w:pPr>
      <w:r>
        <w:rPr>
          <w:rStyle w:val="FootnoteReference"/>
        </w:rPr>
        <w:footnoteRef/>
      </w:r>
      <w:r>
        <w:t xml:space="preserve"> </w:t>
      </w:r>
      <w:r>
        <w:rPr>
          <w:i/>
        </w:rPr>
        <w:t>See</w:t>
      </w:r>
      <w:r>
        <w:t xml:space="preserve"> 47 C.F.R.</w:t>
      </w:r>
      <w:r w:rsidRPr="00292FD1">
        <w:t xml:space="preserve"> </w:t>
      </w:r>
      <w:r w:rsidRPr="00056613">
        <w:t>§</w:t>
      </w:r>
      <w:r>
        <w:t xml:space="preserve"> 74.788(a). </w:t>
      </w:r>
    </w:p>
  </w:footnote>
  <w:footnote w:id="30">
    <w:p w:rsidR="00E0558D" w:rsidRPr="00112155" w:rsidRDefault="00E0558D" w:rsidP="00CB1407">
      <w:pPr>
        <w:pStyle w:val="FootnoteText"/>
      </w:pPr>
      <w:r>
        <w:rPr>
          <w:rStyle w:val="FootnoteReference"/>
        </w:rPr>
        <w:footnoteRef/>
      </w:r>
      <w:r>
        <w:t xml:space="preserve"> The third extensions </w:t>
      </w:r>
      <w:r w:rsidRPr="0081506C">
        <w:t>remain pending because they cannot be granted by the Media Bureau under delegated authority and must be granted by the full Commission</w:t>
      </w:r>
      <w:r>
        <w:t xml:space="preserve">.  </w:t>
      </w:r>
      <w:r>
        <w:rPr>
          <w:i/>
        </w:rPr>
        <w:t xml:space="preserve">See </w:t>
      </w:r>
      <w:r w:rsidRPr="00AF5313">
        <w:rPr>
          <w:i/>
        </w:rPr>
        <w:t>Amendment of Parts 73 and 74 of the Commission’s Rules to Establish Rules for Digital Low Power Television, Television Translator, and Television Booster Stations and to Amend Rules for Digital Class A Television Stations</w:t>
      </w:r>
      <w:r w:rsidRPr="00E27699">
        <w:t xml:space="preserve">, </w:t>
      </w:r>
      <w:r>
        <w:t>MB Docket No. 03-185, Report and Order, 19 FCC Rcd 19331, 19388, para. 172 (2004); 47 C.F.R. § 74.788(c).</w:t>
      </w:r>
    </w:p>
  </w:footnote>
  <w:footnote w:id="31">
    <w:p w:rsidR="00E0558D" w:rsidRPr="005B21B4" w:rsidRDefault="00E0558D" w:rsidP="00CB1407">
      <w:pPr>
        <w:pStyle w:val="FootnoteText"/>
      </w:pPr>
      <w:r>
        <w:rPr>
          <w:rStyle w:val="FootnoteReference"/>
        </w:rPr>
        <w:footnoteRef/>
      </w:r>
      <w:r>
        <w:t xml:space="preserve"> </w:t>
      </w:r>
      <w:r>
        <w:rPr>
          <w:i/>
        </w:rPr>
        <w:t>See Commission Suspends Expiration Dates and Construction Deadlines For New Digital Low Power and TV Translator Stations</w:t>
      </w:r>
      <w:r>
        <w:t xml:space="preserve">, Public Notice, FCC 14-150 (rel. October 10, 2014).  </w:t>
      </w:r>
    </w:p>
  </w:footnote>
  <w:footnote w:id="32">
    <w:p w:rsidR="00E0558D" w:rsidRPr="00292FD1" w:rsidRDefault="00E0558D">
      <w:pPr>
        <w:pStyle w:val="FootnoteText"/>
      </w:pPr>
      <w:r>
        <w:rPr>
          <w:rStyle w:val="FootnoteReference"/>
        </w:rPr>
        <w:footnoteRef/>
      </w:r>
      <w:r>
        <w:t xml:space="preserve"> </w:t>
      </w:r>
      <w:r w:rsidRPr="00292FD1">
        <w:t>In a Petition for Blanket Extension or Waiver filed in this proce</w:t>
      </w:r>
      <w:r>
        <w:t>e</w:t>
      </w:r>
      <w:r w:rsidRPr="00292FD1">
        <w:t xml:space="preserve">ding, the Advanced Television Broadcasting Alliance (ATBA) requests that the holders of unbuilt construction permits for new digital LPTV and TV translator stations be granted </w:t>
      </w:r>
      <w:r>
        <w:t xml:space="preserve">an extension to September 1, 2015.  </w:t>
      </w:r>
      <w:r>
        <w:rPr>
          <w:i/>
        </w:rPr>
        <w:t xml:space="preserve">See </w:t>
      </w:r>
      <w:r w:rsidRPr="00612742">
        <w:t>ATBA’s Petition for Blanket Extension or Waiver filed February 20, 2014 in MB Docket No. 03-185 (</w:t>
      </w:r>
      <w:r>
        <w:t>P</w:t>
      </w:r>
      <w:r w:rsidRPr="00612742">
        <w:t>etition)</w:t>
      </w:r>
      <w:r>
        <w:t xml:space="preserve">; </w:t>
      </w:r>
      <w:r>
        <w:rPr>
          <w:i/>
        </w:rPr>
        <w:t>see also</w:t>
      </w:r>
      <w:r>
        <w:t xml:space="preserve"> </w:t>
      </w:r>
      <w:r w:rsidRPr="00B53A97">
        <w:rPr>
          <w:i/>
        </w:rPr>
        <w:t>Media Bureau Seeks Comment on Petition for Blanket Extension or Waiver</w:t>
      </w:r>
      <w:r>
        <w:t>, Public Notice, DA 14-996 (rel. Jul. 14, 2014)</w:t>
      </w:r>
      <w:r w:rsidRPr="00B53A97">
        <w:t>.</w:t>
      </w:r>
      <w:r>
        <w:t xml:space="preserve">  In its comments on the Petition, ATBA asks that the permits be extended indefinitely pending the outcome of this proceeding.  </w:t>
      </w:r>
      <w:r>
        <w:rPr>
          <w:i/>
        </w:rPr>
        <w:t>See</w:t>
      </w:r>
      <w:r>
        <w:t xml:space="preserve"> ATBA’s Comments filed August 14, 2014 in this proceeding.  </w:t>
      </w:r>
      <w:r w:rsidRPr="00B169BA">
        <w:t>ATBA’s Petition and the comments and reply comments filed in response</w:t>
      </w:r>
      <w:r>
        <w:t xml:space="preserve"> are hereby incorporated into this Docket and will </w:t>
      </w:r>
      <w:r w:rsidRPr="00B169BA">
        <w:t xml:space="preserve">be addressed in </w:t>
      </w:r>
      <w:r>
        <w:t>this proceeding.</w:t>
      </w:r>
    </w:p>
  </w:footnote>
  <w:footnote w:id="33">
    <w:p w:rsidR="00E0558D" w:rsidRPr="00056613" w:rsidRDefault="00E0558D">
      <w:pPr>
        <w:pStyle w:val="FootnoteText"/>
      </w:pPr>
      <w:r>
        <w:rPr>
          <w:rStyle w:val="FootnoteReference"/>
        </w:rPr>
        <w:footnoteRef/>
      </w:r>
      <w:r>
        <w:t xml:space="preserve"> </w:t>
      </w:r>
      <w:r>
        <w:rPr>
          <w:i/>
        </w:rPr>
        <w:t>See</w:t>
      </w:r>
      <w:r>
        <w:t xml:space="preserve"> 47 C.F.R. </w:t>
      </w:r>
      <w:r w:rsidRPr="00056613">
        <w:t>§</w:t>
      </w:r>
      <w:r>
        <w:t xml:space="preserve"> 73.3700(b)(1).</w:t>
      </w:r>
    </w:p>
  </w:footnote>
  <w:footnote w:id="34">
    <w:p w:rsidR="00E0558D" w:rsidRDefault="00E0558D">
      <w:pPr>
        <w:pStyle w:val="FootnoteText"/>
      </w:pPr>
      <w:r>
        <w:rPr>
          <w:rStyle w:val="FootnoteReference"/>
        </w:rPr>
        <w:footnoteRef/>
      </w:r>
      <w:r>
        <w:t xml:space="preserve"> </w:t>
      </w:r>
      <w:r w:rsidRPr="008849B5">
        <w:rPr>
          <w:i/>
        </w:rPr>
        <w:t>See</w:t>
      </w:r>
      <w:r>
        <w:t xml:space="preserve"> 47 U.S.C. </w:t>
      </w:r>
      <w:r w:rsidRPr="00EB07F4">
        <w:t>§§</w:t>
      </w:r>
      <w:r>
        <w:t xml:space="preserve"> 303(g), 303(r), 307(b);</w:t>
      </w:r>
      <w:r w:rsidRPr="00EB07F4">
        <w:t xml:space="preserve"> 309(a)</w:t>
      </w:r>
      <w:r>
        <w:t xml:space="preserve">; </w:t>
      </w:r>
      <w:r>
        <w:rPr>
          <w:i/>
        </w:rPr>
        <w:t>cf.</w:t>
      </w:r>
      <w:r>
        <w:t xml:space="preserve">, Spectrum Act at § </w:t>
      </w:r>
      <w:r w:rsidRPr="00EB07F4">
        <w:t xml:space="preserve">6403(a)(2)(C) (identifying channel sharing as an eligible relinquishment in broadcast incentive auction).  </w:t>
      </w:r>
    </w:p>
  </w:footnote>
  <w:footnote w:id="35">
    <w:p w:rsidR="00E0558D" w:rsidRPr="009D150A" w:rsidRDefault="00E0558D" w:rsidP="00DD675B">
      <w:pPr>
        <w:pStyle w:val="FootnoteText"/>
      </w:pPr>
      <w:r>
        <w:rPr>
          <w:rStyle w:val="FootnoteReference"/>
        </w:rPr>
        <w:footnoteRef/>
      </w:r>
      <w:r>
        <w:t xml:space="preserve"> </w:t>
      </w:r>
      <w:r>
        <w:rPr>
          <w:i/>
        </w:rPr>
        <w:t>Incentive Auction Report and Order</w:t>
      </w:r>
      <w:r>
        <w:t>, 29 FCC Rcd at 6839, para. 665.</w:t>
      </w:r>
      <w:r>
        <w:rPr>
          <w:szCs w:val="22"/>
        </w:rPr>
        <w:t xml:space="preserve">  When it adopted a general framework for channel sharing by full power and Class A stations in the incentive auction, t</w:t>
      </w:r>
      <w:r w:rsidRPr="00A846ED">
        <w:rPr>
          <w:szCs w:val="22"/>
        </w:rPr>
        <w:t xml:space="preserve">he Commission </w:t>
      </w:r>
      <w:r>
        <w:rPr>
          <w:szCs w:val="22"/>
        </w:rPr>
        <w:t>concluded</w:t>
      </w:r>
      <w:r w:rsidRPr="00A846ED">
        <w:rPr>
          <w:szCs w:val="22"/>
        </w:rPr>
        <w:t xml:space="preserve"> that channel sharing</w:t>
      </w:r>
      <w:r>
        <w:rPr>
          <w:szCs w:val="22"/>
        </w:rPr>
        <w:t xml:space="preserve"> will help broadcasters, including existing small, minority-owned, and niche stations, to </w:t>
      </w:r>
      <w:r>
        <w:t xml:space="preserve">reduce operating costs and provide broadcasters with a capital infusion to strengthen operations and improve programming services.  </w:t>
      </w:r>
      <w:r>
        <w:rPr>
          <w:i/>
        </w:rPr>
        <w:t xml:space="preserve">See </w:t>
      </w:r>
      <w:r w:rsidRPr="00DC1326">
        <w:rPr>
          <w:i/>
        </w:rPr>
        <w:t>Innovation in the Broadcast Television Bands: Allocations, Channel Sharing and Improvements to VHF</w:t>
      </w:r>
      <w:r>
        <w:t xml:space="preserve">, ET Docket No. 10-235, </w:t>
      </w:r>
      <w:r w:rsidRPr="00DC1326">
        <w:t>Report and Order</w:t>
      </w:r>
      <w:r>
        <w:t xml:space="preserve">, </w:t>
      </w:r>
      <w:r w:rsidRPr="005F1F46">
        <w:t>27</w:t>
      </w:r>
      <w:r>
        <w:t xml:space="preserve"> FCC Rcd 4616, 4622, para. 12 (2012) (</w:t>
      </w:r>
      <w:r>
        <w:rPr>
          <w:i/>
        </w:rPr>
        <w:t>Channel Sharing Report and Order</w:t>
      </w:r>
      <w:r>
        <w:t xml:space="preserve">).  In these ways, the Commission recognized that channel sharing “will help to preserve over-the-air television as a ‘healthy, viable medium going forward, in a way that would not harm consumers overall, while establishing mechanisms to make available additional spectrum for flexible broadband uses.’”  </w:t>
      </w:r>
      <w:r>
        <w:rPr>
          <w:i/>
        </w:rPr>
        <w:t>Id.</w:t>
      </w:r>
      <w:r>
        <w:t>,</w:t>
      </w:r>
      <w:r>
        <w:rPr>
          <w:i/>
        </w:rPr>
        <w:t xml:space="preserve"> </w:t>
      </w:r>
      <w:r w:rsidRPr="004F5D7A">
        <w:t xml:space="preserve">citing </w:t>
      </w:r>
      <w:r w:rsidRPr="00A147E3">
        <w:t>Broadband Plan</w:t>
      </w:r>
      <w:r>
        <w:t xml:space="preserve"> at 89.</w:t>
      </w:r>
    </w:p>
  </w:footnote>
  <w:footnote w:id="36">
    <w:p w:rsidR="00E0558D" w:rsidRPr="00812F02" w:rsidRDefault="00E0558D" w:rsidP="009739F4">
      <w:pPr>
        <w:pStyle w:val="FootnoteText"/>
      </w:pPr>
      <w:r>
        <w:rPr>
          <w:rStyle w:val="FootnoteReference"/>
        </w:rPr>
        <w:footnoteRef/>
      </w:r>
      <w:r>
        <w:t xml:space="preserve"> </w:t>
      </w:r>
      <w:r>
        <w:rPr>
          <w:i/>
        </w:rPr>
        <w:t>See</w:t>
      </w:r>
      <w:r>
        <w:t xml:space="preserve"> WISPA</w:t>
      </w:r>
      <w:r w:rsidRPr="00812F02">
        <w:t xml:space="preserve"> Comments at 22.  </w:t>
      </w:r>
      <w:r>
        <w:t>We note that two Los Angeles market full power television stations, KLCS, Los Angeles, California, and KJLA, Ventura, California, in conjunction with CTIA – The Wireless Association, conducted a successful channel sharing pilot in the spring of 2014.  In their Channel Sharing Pilot Report, the stations reported that “</w:t>
      </w:r>
      <w:r w:rsidRPr="00881C37">
        <w:t>channel sharing is feasible, and is a technically viable option for broadcasters with minimal impact for viewers.</w:t>
      </w:r>
      <w:r>
        <w:t xml:space="preserve">”  </w:t>
      </w:r>
      <w:r>
        <w:rPr>
          <w:i/>
        </w:rPr>
        <w:t xml:space="preserve">See </w:t>
      </w:r>
      <w:r>
        <w:t>“Overview of the KLCS/KJLA Channel Sharing Pilot, a Technical Report,” Mar. 28, 2014,</w:t>
      </w:r>
      <w:r>
        <w:rPr>
          <w:i/>
        </w:rPr>
        <w:t xml:space="preserve"> </w:t>
      </w:r>
      <w:r>
        <w:t xml:space="preserve">available at:   </w:t>
      </w:r>
      <w:hyperlink r:id="rId1" w:history="1">
        <w:r w:rsidRPr="00040ECB">
          <w:rPr>
            <w:rStyle w:val="Hyperlink"/>
          </w:rPr>
          <w:t>http://www.ctia.org/docs/default-source/fcc-filings/technical-report-of-the-klcs-kjla-channel-sharing-pilot.pdf</w:t>
        </w:r>
      </w:hyperlink>
      <w:r>
        <w:t>.</w:t>
      </w:r>
    </w:p>
  </w:footnote>
  <w:footnote w:id="37">
    <w:p w:rsidR="00E0558D" w:rsidRPr="00744576" w:rsidRDefault="00E0558D" w:rsidP="00DD675B">
      <w:pPr>
        <w:pStyle w:val="FootnoteText"/>
      </w:pPr>
      <w:r>
        <w:rPr>
          <w:rStyle w:val="FootnoteReference"/>
        </w:rPr>
        <w:footnoteRef/>
      </w:r>
      <w:r>
        <w:t xml:space="preserve"> </w:t>
      </w:r>
      <w:r>
        <w:rPr>
          <w:i/>
        </w:rPr>
        <w:t xml:space="preserve">See </w:t>
      </w:r>
      <w:r>
        <w:t>WISPA Comments at 22.</w:t>
      </w:r>
    </w:p>
  </w:footnote>
  <w:footnote w:id="38">
    <w:p w:rsidR="00E0558D" w:rsidRDefault="00E0558D" w:rsidP="00DD675B">
      <w:pPr>
        <w:rPr>
          <w:sz w:val="20"/>
        </w:rPr>
      </w:pPr>
      <w:r>
        <w:rPr>
          <w:rStyle w:val="FootnoteReference"/>
        </w:rPr>
        <w:footnoteRef/>
      </w:r>
      <w:r>
        <w:t xml:space="preserve"> </w:t>
      </w:r>
      <w:r w:rsidRPr="00276AB3">
        <w:rPr>
          <w:sz w:val="20"/>
        </w:rPr>
        <w:t xml:space="preserve">Several commenters in the </w:t>
      </w:r>
      <w:r>
        <w:rPr>
          <w:sz w:val="20"/>
        </w:rPr>
        <w:t>i</w:t>
      </w:r>
      <w:r w:rsidRPr="00276AB3">
        <w:rPr>
          <w:sz w:val="20"/>
        </w:rPr>
        <w:t xml:space="preserve">ncentive </w:t>
      </w:r>
      <w:r>
        <w:rPr>
          <w:sz w:val="20"/>
        </w:rPr>
        <w:t>a</w:t>
      </w:r>
      <w:r w:rsidRPr="00276AB3">
        <w:rPr>
          <w:sz w:val="20"/>
        </w:rPr>
        <w:t xml:space="preserve">uction proceeding supported allowing channel sharing between LPTV and TV translator stations.  </w:t>
      </w:r>
      <w:r w:rsidRPr="00276AB3">
        <w:rPr>
          <w:i/>
          <w:sz w:val="20"/>
        </w:rPr>
        <w:t>See</w:t>
      </w:r>
      <w:r w:rsidRPr="00276AB3">
        <w:rPr>
          <w:sz w:val="20"/>
        </w:rPr>
        <w:t xml:space="preserve"> Spectrum Bridge</w:t>
      </w:r>
      <w:r>
        <w:rPr>
          <w:sz w:val="20"/>
        </w:rPr>
        <w:t xml:space="preserve"> Comments</w:t>
      </w:r>
      <w:r w:rsidRPr="00276AB3">
        <w:rPr>
          <w:sz w:val="20"/>
        </w:rPr>
        <w:t xml:space="preserve"> at 7</w:t>
      </w:r>
      <w:r>
        <w:rPr>
          <w:sz w:val="20"/>
        </w:rPr>
        <w:t>;</w:t>
      </w:r>
      <w:r w:rsidRPr="00276AB3">
        <w:rPr>
          <w:sz w:val="20"/>
        </w:rPr>
        <w:t xml:space="preserve"> WISPA</w:t>
      </w:r>
      <w:r>
        <w:rPr>
          <w:sz w:val="20"/>
        </w:rPr>
        <w:t xml:space="preserve"> Comments</w:t>
      </w:r>
      <w:r w:rsidRPr="00276AB3">
        <w:rPr>
          <w:sz w:val="20"/>
        </w:rPr>
        <w:t xml:space="preserve"> at 21-22</w:t>
      </w:r>
      <w:r>
        <w:rPr>
          <w:sz w:val="20"/>
        </w:rPr>
        <w:t>;</w:t>
      </w:r>
      <w:r w:rsidRPr="00276AB3">
        <w:rPr>
          <w:sz w:val="20"/>
        </w:rPr>
        <w:t xml:space="preserve"> SEI </w:t>
      </w:r>
      <w:r>
        <w:rPr>
          <w:sz w:val="20"/>
        </w:rPr>
        <w:t xml:space="preserve">Comments </w:t>
      </w:r>
      <w:r w:rsidRPr="00276AB3">
        <w:rPr>
          <w:sz w:val="20"/>
        </w:rPr>
        <w:t>at 12</w:t>
      </w:r>
      <w:r>
        <w:rPr>
          <w:sz w:val="20"/>
        </w:rPr>
        <w:t>;</w:t>
      </w:r>
      <w:r w:rsidRPr="00276AB3">
        <w:rPr>
          <w:sz w:val="20"/>
        </w:rPr>
        <w:t xml:space="preserve"> Entravision </w:t>
      </w:r>
      <w:r>
        <w:rPr>
          <w:sz w:val="20"/>
        </w:rPr>
        <w:t xml:space="preserve">Comments </w:t>
      </w:r>
      <w:r w:rsidRPr="00276AB3">
        <w:rPr>
          <w:sz w:val="20"/>
        </w:rPr>
        <w:t>at 15-16</w:t>
      </w:r>
      <w:r>
        <w:rPr>
          <w:sz w:val="20"/>
        </w:rPr>
        <w:t>;</w:t>
      </w:r>
      <w:r w:rsidRPr="00276AB3">
        <w:rPr>
          <w:sz w:val="20"/>
        </w:rPr>
        <w:t xml:space="preserve"> </w:t>
      </w:r>
      <w:r>
        <w:rPr>
          <w:sz w:val="20"/>
        </w:rPr>
        <w:t xml:space="preserve">Mako </w:t>
      </w:r>
      <w:r w:rsidRPr="00276AB3">
        <w:rPr>
          <w:sz w:val="20"/>
        </w:rPr>
        <w:t xml:space="preserve">Reply at 8-9.  WISPA also notes that there was no opposition to channel sharing among LPTV and TV translator stations in the </w:t>
      </w:r>
      <w:r>
        <w:rPr>
          <w:sz w:val="20"/>
        </w:rPr>
        <w:t>i</w:t>
      </w:r>
      <w:r w:rsidRPr="00276AB3">
        <w:rPr>
          <w:sz w:val="20"/>
        </w:rPr>
        <w:t xml:space="preserve">ncentive </w:t>
      </w:r>
      <w:r>
        <w:rPr>
          <w:sz w:val="20"/>
        </w:rPr>
        <w:t>a</w:t>
      </w:r>
      <w:r w:rsidRPr="00276AB3">
        <w:rPr>
          <w:sz w:val="20"/>
        </w:rPr>
        <w:t>uction proceeding.  WISPA Reply at 14.</w:t>
      </w:r>
      <w:r>
        <w:rPr>
          <w:sz w:val="20"/>
        </w:rPr>
        <w:t xml:space="preserve">  SEI </w:t>
      </w:r>
      <w:r w:rsidRPr="00DD675B">
        <w:rPr>
          <w:sz w:val="20"/>
        </w:rPr>
        <w:t xml:space="preserve">noted that the Commission has allowed full power and Class A </w:t>
      </w:r>
      <w:r>
        <w:rPr>
          <w:sz w:val="20"/>
        </w:rPr>
        <w:t>television</w:t>
      </w:r>
      <w:r w:rsidRPr="00DD675B">
        <w:rPr>
          <w:sz w:val="20"/>
        </w:rPr>
        <w:t xml:space="preserve"> stations to share channels and “[t]here is no reason not to allow LPTV operators to do the same thing, especially if it will avoid forcing some stations out of business.”</w:t>
      </w:r>
      <w:r>
        <w:rPr>
          <w:sz w:val="20"/>
        </w:rPr>
        <w:t xml:space="preserve">  SEI Comments at 12.  </w:t>
      </w:r>
      <w:r w:rsidRPr="00DD675B">
        <w:rPr>
          <w:sz w:val="20"/>
        </w:rPr>
        <w:t xml:space="preserve">SEI points out that, </w:t>
      </w:r>
      <w:r>
        <w:rPr>
          <w:sz w:val="20"/>
        </w:rPr>
        <w:t>while some</w:t>
      </w:r>
      <w:r w:rsidRPr="00DD675B">
        <w:rPr>
          <w:sz w:val="20"/>
        </w:rPr>
        <w:t xml:space="preserve"> LPTV and TV translators</w:t>
      </w:r>
      <w:r>
        <w:rPr>
          <w:sz w:val="20"/>
        </w:rPr>
        <w:t xml:space="preserve"> already</w:t>
      </w:r>
      <w:r w:rsidRPr="00DD675B">
        <w:rPr>
          <w:sz w:val="20"/>
        </w:rPr>
        <w:t xml:space="preserve"> “share” a channel through programming or time brokerage agreements</w:t>
      </w:r>
      <w:r>
        <w:rPr>
          <w:sz w:val="20"/>
        </w:rPr>
        <w:t xml:space="preserve">, </w:t>
      </w:r>
      <w:r w:rsidRPr="00DD675B">
        <w:rPr>
          <w:sz w:val="20"/>
        </w:rPr>
        <w:t xml:space="preserve">“[t]here is an important difference between a time brokerage agreement and channel-sharing in terms of each party being free from legal responsibility for the activities of the other when each entity holds its own license. </w:t>
      </w:r>
      <w:r>
        <w:rPr>
          <w:sz w:val="20"/>
        </w:rPr>
        <w:t xml:space="preserve"> </w:t>
      </w:r>
      <w:r w:rsidRPr="00DD675B">
        <w:rPr>
          <w:sz w:val="20"/>
        </w:rPr>
        <w:t>Thus channel-sharing is likely to lead to more joint operation on a channel than the currently available time brokerage arrangement.”</w:t>
      </w:r>
      <w:r>
        <w:rPr>
          <w:sz w:val="20"/>
        </w:rPr>
        <w:t xml:space="preserve">  </w:t>
      </w:r>
      <w:r>
        <w:rPr>
          <w:i/>
          <w:sz w:val="20"/>
        </w:rPr>
        <w:t>Id.</w:t>
      </w:r>
      <w:r w:rsidRPr="00DD675B">
        <w:rPr>
          <w:sz w:val="20"/>
        </w:rPr>
        <w:t xml:space="preserve">   </w:t>
      </w:r>
    </w:p>
    <w:p w:rsidR="00E0558D" w:rsidRPr="003C2021" w:rsidRDefault="00E0558D" w:rsidP="00DD675B"/>
  </w:footnote>
  <w:footnote w:id="39">
    <w:p w:rsidR="00E0558D" w:rsidRDefault="00E0558D" w:rsidP="00DD675B">
      <w:pPr>
        <w:pStyle w:val="FootnoteText"/>
      </w:pPr>
      <w:r>
        <w:rPr>
          <w:rStyle w:val="FootnoteReference"/>
        </w:rPr>
        <w:footnoteRef/>
      </w:r>
      <w:r>
        <w:t xml:space="preserve"> </w:t>
      </w:r>
      <w:r>
        <w:rPr>
          <w:i/>
        </w:rPr>
        <w:t>See Channel Sharing Report and Order</w:t>
      </w:r>
      <w:r>
        <w:t xml:space="preserve">, 27 FCC Rcd at 4621-23, paras. 11-14 (explaining voluntary nature of channel sharing for full power and Class A stations). </w:t>
      </w:r>
    </w:p>
  </w:footnote>
  <w:footnote w:id="40">
    <w:p w:rsidR="00E0558D" w:rsidRDefault="00E0558D" w:rsidP="00DD675B">
      <w:pPr>
        <w:pStyle w:val="FootnoteText"/>
      </w:pPr>
      <w:r>
        <w:rPr>
          <w:rStyle w:val="FootnoteReference"/>
        </w:rPr>
        <w:footnoteRef/>
      </w:r>
      <w:r>
        <w:t xml:space="preserve"> </w:t>
      </w:r>
      <w:r>
        <w:rPr>
          <w:i/>
        </w:rPr>
        <w:t>Id.</w:t>
      </w:r>
      <w:r>
        <w:t xml:space="preserve"> at 4621-22, para. 11.</w:t>
      </w:r>
    </w:p>
  </w:footnote>
  <w:footnote w:id="41">
    <w:p w:rsidR="00E0558D" w:rsidRPr="00A97076" w:rsidRDefault="00E0558D">
      <w:pPr>
        <w:pStyle w:val="FootnoteText"/>
      </w:pPr>
      <w:r>
        <w:rPr>
          <w:rStyle w:val="FootnoteReference"/>
        </w:rPr>
        <w:footnoteRef/>
      </w:r>
      <w:r>
        <w:t xml:space="preserve"> </w:t>
      </w:r>
      <w:r>
        <w:rPr>
          <w:i/>
        </w:rPr>
        <w:t>Id.</w:t>
      </w:r>
      <w:r>
        <w:t xml:space="preserve"> at 4624, para. 15.</w:t>
      </w:r>
    </w:p>
  </w:footnote>
  <w:footnote w:id="42">
    <w:p w:rsidR="00E0558D" w:rsidRDefault="00E0558D">
      <w:pPr>
        <w:pStyle w:val="FootnoteText"/>
      </w:pPr>
      <w:r>
        <w:rPr>
          <w:rStyle w:val="FootnoteReference"/>
        </w:rPr>
        <w:footnoteRef/>
      </w:r>
      <w:r>
        <w:t xml:space="preserve"> </w:t>
      </w:r>
      <w:r>
        <w:rPr>
          <w:i/>
        </w:rPr>
        <w:t xml:space="preserve">See </w:t>
      </w:r>
      <w:r>
        <w:t xml:space="preserve">47 C.F.R. § 74.790(g)(3).  </w:t>
      </w:r>
    </w:p>
  </w:footnote>
  <w:footnote w:id="43">
    <w:p w:rsidR="00E0558D" w:rsidRPr="00306991" w:rsidRDefault="00E0558D">
      <w:pPr>
        <w:pStyle w:val="FootnoteText"/>
      </w:pPr>
      <w:r>
        <w:rPr>
          <w:rStyle w:val="FootnoteReference"/>
        </w:rPr>
        <w:footnoteRef/>
      </w:r>
      <w:r>
        <w:t xml:space="preserve"> </w:t>
      </w:r>
      <w:r>
        <w:rPr>
          <w:i/>
        </w:rPr>
        <w:t>See Channel Sharing Report and Order</w:t>
      </w:r>
      <w:r>
        <w:t>, 27 FCC Rcd at 4624, para. 15.</w:t>
      </w:r>
    </w:p>
  </w:footnote>
  <w:footnote w:id="44">
    <w:p w:rsidR="00E0558D" w:rsidRPr="00306991" w:rsidRDefault="00E0558D">
      <w:pPr>
        <w:pStyle w:val="FootnoteText"/>
      </w:pPr>
      <w:r>
        <w:rPr>
          <w:rStyle w:val="FootnoteReference"/>
        </w:rPr>
        <w:footnoteRef/>
      </w:r>
      <w:r>
        <w:t xml:space="preserve"> </w:t>
      </w:r>
      <w:r>
        <w:rPr>
          <w:i/>
        </w:rPr>
        <w:t>Id.</w:t>
      </w:r>
    </w:p>
  </w:footnote>
  <w:footnote w:id="45">
    <w:p w:rsidR="00E0558D" w:rsidRPr="001523CB" w:rsidRDefault="00E0558D">
      <w:pPr>
        <w:pStyle w:val="FootnoteText"/>
        <w:rPr>
          <w:b/>
        </w:rPr>
      </w:pPr>
      <w:r>
        <w:rPr>
          <w:rStyle w:val="FootnoteReference"/>
        </w:rPr>
        <w:footnoteRef/>
      </w:r>
      <w:r>
        <w:t xml:space="preserve"> </w:t>
      </w:r>
      <w:r w:rsidRPr="00306991">
        <w:rPr>
          <w:i/>
        </w:rPr>
        <w:t>Id.</w:t>
      </w:r>
      <w:r>
        <w:t xml:space="preserve"> at 4625, para. 16.</w:t>
      </w:r>
    </w:p>
  </w:footnote>
  <w:footnote w:id="46">
    <w:p w:rsidR="00E0558D" w:rsidRPr="00803AA1" w:rsidRDefault="00E0558D">
      <w:pPr>
        <w:pStyle w:val="FootnoteText"/>
      </w:pPr>
      <w:r>
        <w:rPr>
          <w:rStyle w:val="FootnoteReference"/>
        </w:rPr>
        <w:footnoteRef/>
      </w:r>
      <w:r>
        <w:t xml:space="preserve"> </w:t>
      </w:r>
      <w:r>
        <w:rPr>
          <w:i/>
        </w:rPr>
        <w:t>Id.</w:t>
      </w:r>
      <w:r>
        <w:t xml:space="preserve">; </w:t>
      </w:r>
      <w:r>
        <w:rPr>
          <w:i/>
        </w:rPr>
        <w:t>see also Incentive Auction Report and Order</w:t>
      </w:r>
      <w:r>
        <w:t>, 29 FCC Rcd at 6854, para. 702.</w:t>
      </w:r>
    </w:p>
  </w:footnote>
  <w:footnote w:id="47">
    <w:p w:rsidR="00E0558D" w:rsidRPr="00F25D3E" w:rsidRDefault="00E0558D">
      <w:pPr>
        <w:pStyle w:val="FootnoteText"/>
      </w:pPr>
      <w:r>
        <w:rPr>
          <w:rStyle w:val="FootnoteReference"/>
        </w:rPr>
        <w:footnoteRef/>
      </w:r>
      <w:r>
        <w:t xml:space="preserve"> </w:t>
      </w:r>
      <w:r>
        <w:rPr>
          <w:i/>
        </w:rPr>
        <w:t>See Incentive Auction Report and Order</w:t>
      </w:r>
      <w:r>
        <w:t>, 29 FCC Rcd at 6795-96, para. 558.</w:t>
      </w:r>
    </w:p>
  </w:footnote>
  <w:footnote w:id="48">
    <w:p w:rsidR="00E0558D" w:rsidRPr="004C51D3" w:rsidRDefault="00E0558D">
      <w:pPr>
        <w:pStyle w:val="FootnoteText"/>
      </w:pPr>
      <w:r>
        <w:rPr>
          <w:rStyle w:val="FootnoteReference"/>
        </w:rPr>
        <w:footnoteRef/>
      </w:r>
      <w:r>
        <w:t xml:space="preserve"> </w:t>
      </w:r>
      <w:r>
        <w:rPr>
          <w:i/>
        </w:rPr>
        <w:t>Id.</w:t>
      </w:r>
      <w:r>
        <w:t xml:space="preserve">  </w:t>
      </w:r>
      <w:r w:rsidRPr="000D33DD">
        <w:rPr>
          <w:szCs w:val="22"/>
        </w:rPr>
        <w:t xml:space="preserve">Instead, </w:t>
      </w:r>
      <w:r>
        <w:rPr>
          <w:szCs w:val="22"/>
        </w:rPr>
        <w:t>we</w:t>
      </w:r>
      <w:r w:rsidRPr="000D33DD">
        <w:rPr>
          <w:szCs w:val="22"/>
        </w:rPr>
        <w:t xml:space="preserve"> required that each channel sharing station simply file a Form 302 application for a license on commencement of shared operations.</w:t>
      </w:r>
      <w:r>
        <w:rPr>
          <w:szCs w:val="22"/>
        </w:rPr>
        <w:t xml:space="preserve">  </w:t>
      </w:r>
      <w:r>
        <w:rPr>
          <w:i/>
        </w:rPr>
        <w:t>Id.</w:t>
      </w:r>
    </w:p>
  </w:footnote>
  <w:footnote w:id="49">
    <w:p w:rsidR="00E0558D" w:rsidRDefault="00E0558D">
      <w:pPr>
        <w:pStyle w:val="FootnoteText"/>
      </w:pPr>
      <w:r>
        <w:rPr>
          <w:rStyle w:val="FootnoteReference"/>
        </w:rPr>
        <w:footnoteRef/>
      </w:r>
      <w:r>
        <w:t xml:space="preserve"> For example, if each sharing station is an LPTV or TV translator station displaced in repacking, the stations will need to specify a new channel.</w:t>
      </w:r>
    </w:p>
  </w:footnote>
  <w:footnote w:id="50">
    <w:p w:rsidR="00E0558D" w:rsidRDefault="00E0558D">
      <w:pPr>
        <w:pStyle w:val="FootnoteText"/>
      </w:pPr>
      <w:r>
        <w:rPr>
          <w:rStyle w:val="FootnoteReference"/>
        </w:rPr>
        <w:footnoteRef/>
      </w:r>
      <w:r>
        <w:t xml:space="preserve"> The relinquishing station would file the appropriate application for its service, i.e., an LPTV station would file an FCC Form 346 even if it is proposing to share a full power television station’s channel. </w:t>
      </w:r>
    </w:p>
  </w:footnote>
  <w:footnote w:id="51">
    <w:p w:rsidR="00E0558D" w:rsidRDefault="00E0558D">
      <w:pPr>
        <w:pStyle w:val="FootnoteText"/>
      </w:pPr>
      <w:r>
        <w:rPr>
          <w:rStyle w:val="FootnoteReference"/>
        </w:rPr>
        <w:footnoteRef/>
      </w:r>
      <w:r>
        <w:t xml:space="preserve"> </w:t>
      </w:r>
      <w:r w:rsidRPr="00AC1F42">
        <w:t xml:space="preserve">In the event the sharing stations were all displaced </w:t>
      </w:r>
      <w:r w:rsidRPr="007523AA">
        <w:t>as a result of the auction or repacking process</w:t>
      </w:r>
      <w:r w:rsidRPr="00AC1F42">
        <w:t>, each station would file an application for construction permit for identical technical facilities during the post-incentive auction displacement window proposing to share the channel, including a copy of the CSA as an exhibit.</w:t>
      </w:r>
      <w:r>
        <w:t xml:space="preserve">  If the sharer station’s channel was not displaced as a result of the incentive auction or repacking, the displaced sharing station would not have to wait for the post-incentive auction displacement window to file its displacement application to propose sharing the sharer station’s facilities and could file its displacement application at any time after the incentive auction.  </w:t>
      </w:r>
    </w:p>
  </w:footnote>
  <w:footnote w:id="52">
    <w:p w:rsidR="00E0558D" w:rsidRDefault="00E0558D">
      <w:pPr>
        <w:pStyle w:val="FootnoteText"/>
      </w:pPr>
      <w:r>
        <w:rPr>
          <w:rStyle w:val="FootnoteReference"/>
        </w:rPr>
        <w:footnoteRef/>
      </w:r>
      <w:r>
        <w:t xml:space="preserve"> </w:t>
      </w:r>
      <w:r w:rsidRPr="0005398B">
        <w:rPr>
          <w:i/>
        </w:rPr>
        <w:t>See</w:t>
      </w:r>
      <w:r>
        <w:t xml:space="preserve"> 47 C.F.R.</w:t>
      </w:r>
      <w:r w:rsidRPr="0005398B">
        <w:t xml:space="preserve"> §</w:t>
      </w:r>
      <w:r>
        <w:t xml:space="preserve"> 73.1750.</w:t>
      </w:r>
    </w:p>
  </w:footnote>
  <w:footnote w:id="53">
    <w:p w:rsidR="00E0558D" w:rsidRDefault="00E0558D" w:rsidP="00D67E7E">
      <w:pPr>
        <w:pStyle w:val="FootnoteText"/>
      </w:pPr>
      <w:r>
        <w:rPr>
          <w:rStyle w:val="FootnoteReference"/>
        </w:rPr>
        <w:footnoteRef/>
      </w:r>
      <w:r>
        <w:t xml:space="preserve"> </w:t>
      </w:r>
      <w:r w:rsidRPr="002005AD">
        <w:rPr>
          <w:i/>
        </w:rPr>
        <w:t>See Incentive Auction Report and Order</w:t>
      </w:r>
      <w:r>
        <w:t xml:space="preserve">, 29 FCC Rcd at 6803, </w:t>
      </w:r>
      <w:r w:rsidRPr="009D25E2">
        <w:t xml:space="preserve">para. 577.  </w:t>
      </w:r>
    </w:p>
  </w:footnote>
  <w:footnote w:id="54">
    <w:p w:rsidR="00E0558D" w:rsidRDefault="00E0558D">
      <w:pPr>
        <w:pStyle w:val="FootnoteText"/>
      </w:pPr>
      <w:r>
        <w:rPr>
          <w:rStyle w:val="FootnoteReference"/>
        </w:rPr>
        <w:footnoteRef/>
      </w:r>
      <w:r>
        <w:t xml:space="preserve"> </w:t>
      </w:r>
      <w:r w:rsidRPr="00011FF2">
        <w:rPr>
          <w:i/>
        </w:rPr>
        <w:t>See id</w:t>
      </w:r>
      <w:r>
        <w:t>. at 6573 and 6802, paras. 11 and 575.</w:t>
      </w:r>
    </w:p>
  </w:footnote>
  <w:footnote w:id="55">
    <w:p w:rsidR="00E0558D" w:rsidRPr="00575E93" w:rsidRDefault="00E0558D" w:rsidP="00D67E7E">
      <w:pPr>
        <w:pStyle w:val="FootnoteText"/>
      </w:pPr>
      <w:r>
        <w:rPr>
          <w:rStyle w:val="FootnoteReference"/>
        </w:rPr>
        <w:footnoteRef/>
      </w:r>
      <w:r>
        <w:t xml:space="preserve"> </w:t>
      </w:r>
      <w:r>
        <w:rPr>
          <w:i/>
        </w:rPr>
        <w:t>See</w:t>
      </w:r>
      <w:r>
        <w:t xml:space="preserve"> 47 C.F.R. § 73.3598(a). </w:t>
      </w:r>
    </w:p>
  </w:footnote>
  <w:footnote w:id="56">
    <w:p w:rsidR="00E0558D" w:rsidRDefault="00E0558D">
      <w:pPr>
        <w:pStyle w:val="FootnoteText"/>
      </w:pPr>
      <w:r>
        <w:rPr>
          <w:rStyle w:val="FootnoteReference"/>
        </w:rPr>
        <w:footnoteRef/>
      </w:r>
      <w:r>
        <w:t xml:space="preserve"> 47 U.S.C.</w:t>
      </w:r>
      <w:r w:rsidRPr="0005398B">
        <w:t xml:space="preserve"> §</w:t>
      </w:r>
      <w:r>
        <w:t xml:space="preserve"> 312(g).</w:t>
      </w:r>
    </w:p>
  </w:footnote>
  <w:footnote w:id="57">
    <w:p w:rsidR="00E0558D" w:rsidRDefault="00E0558D">
      <w:pPr>
        <w:pStyle w:val="FootnoteText"/>
      </w:pPr>
      <w:r>
        <w:rPr>
          <w:rStyle w:val="FootnoteReference"/>
        </w:rPr>
        <w:footnoteRef/>
      </w:r>
      <w:r>
        <w:t xml:space="preserve"> </w:t>
      </w:r>
      <w:r w:rsidRPr="00730525">
        <w:t xml:space="preserve">In the </w:t>
      </w:r>
      <w:r w:rsidRPr="00730525">
        <w:rPr>
          <w:i/>
        </w:rPr>
        <w:t>Incentive Auction Report and Order</w:t>
      </w:r>
      <w:r w:rsidRPr="00730525">
        <w:t xml:space="preserve">, </w:t>
      </w:r>
      <w:r>
        <w:t>we</w:t>
      </w:r>
      <w:r w:rsidRPr="00730525">
        <w:t xml:space="preserve"> allowed </w:t>
      </w:r>
      <w:r>
        <w:t xml:space="preserve">full power </w:t>
      </w:r>
      <w:r w:rsidRPr="00730525">
        <w:t xml:space="preserve">stations </w:t>
      </w:r>
      <w:r>
        <w:t xml:space="preserve">flexibility </w:t>
      </w:r>
      <w:r w:rsidRPr="00730525">
        <w:t>to propose changes in their community of license in conjunction with a channel sharing bid in order to “help facilitate channel sharing arrangements, thus facilitating broadcaster auction participation.”</w:t>
      </w:r>
      <w:r>
        <w:t xml:space="preserve">  </w:t>
      </w:r>
      <w:r>
        <w:rPr>
          <w:i/>
        </w:rPr>
        <w:t>Incentive Auction Report and Order</w:t>
      </w:r>
      <w:r>
        <w:t>, 29 FCC Rcd at 6727, para. 375.  We</w:t>
      </w:r>
      <w:r w:rsidRPr="00730525">
        <w:t xml:space="preserve"> recognized the fact that some changes to stations’ communities of license may be necessary for channel sharing stations to engineer their shared transmission facilities.</w:t>
      </w:r>
      <w:r>
        <w:t xml:space="preserve">  </w:t>
      </w:r>
      <w:r>
        <w:rPr>
          <w:i/>
        </w:rPr>
        <w:t>Id.</w:t>
      </w:r>
      <w:r>
        <w:t xml:space="preserve">  </w:t>
      </w:r>
    </w:p>
  </w:footnote>
  <w:footnote w:id="58">
    <w:p w:rsidR="00E0558D" w:rsidRPr="00173209" w:rsidRDefault="00E0558D" w:rsidP="00AC7918">
      <w:pPr>
        <w:pStyle w:val="FootnoteText"/>
      </w:pPr>
      <w:r>
        <w:rPr>
          <w:rStyle w:val="FootnoteReference"/>
        </w:rPr>
        <w:footnoteRef/>
      </w:r>
      <w:r>
        <w:t xml:space="preserve"> </w:t>
      </w:r>
      <w:r>
        <w:rPr>
          <w:i/>
        </w:rPr>
        <w:t>See</w:t>
      </w:r>
      <w:r>
        <w:t xml:space="preserve"> 47 C.F.R. </w:t>
      </w:r>
      <w:r w:rsidRPr="0090388F">
        <w:t>§</w:t>
      </w:r>
      <w:r>
        <w:t xml:space="preserve"> 74.787(b)(1).  If filed in conjunction with a digital displacement application, then the move may not be greater than 30 miles from the reference coordinates of the existing station’s community of license.  </w:t>
      </w:r>
      <w:r>
        <w:rPr>
          <w:i/>
        </w:rPr>
        <w:t xml:space="preserve">See </w:t>
      </w:r>
      <w:r>
        <w:t xml:space="preserve">47 C.F.R. </w:t>
      </w:r>
      <w:r w:rsidRPr="008849B5">
        <w:t>§ 74.787</w:t>
      </w:r>
      <w:r>
        <w:t>(a)(4).</w:t>
      </w:r>
    </w:p>
  </w:footnote>
  <w:footnote w:id="59">
    <w:p w:rsidR="00E0558D" w:rsidRDefault="00E0558D" w:rsidP="00AC7918">
      <w:pPr>
        <w:pStyle w:val="FootnoteText"/>
      </w:pPr>
      <w:r>
        <w:rPr>
          <w:rStyle w:val="FootnoteReference"/>
        </w:rPr>
        <w:footnoteRef/>
      </w:r>
      <w:r>
        <w:t xml:space="preserve"> </w:t>
      </w:r>
      <w:r>
        <w:rPr>
          <w:i/>
        </w:rPr>
        <w:t>Id</w:t>
      </w:r>
      <w:r>
        <w:t>.</w:t>
      </w:r>
    </w:p>
  </w:footnote>
  <w:footnote w:id="60">
    <w:p w:rsidR="00E0558D" w:rsidRPr="007F0FD8" w:rsidRDefault="00E0558D" w:rsidP="00AC7918">
      <w:pPr>
        <w:pStyle w:val="FootnoteText"/>
      </w:pPr>
      <w:r>
        <w:rPr>
          <w:rStyle w:val="FootnoteReference"/>
        </w:rPr>
        <w:footnoteRef/>
      </w:r>
      <w:r>
        <w:t xml:space="preserve"> </w:t>
      </w:r>
      <w:r>
        <w:rPr>
          <w:i/>
        </w:rPr>
        <w:t>See LPTV DTV Second Report and Order</w:t>
      </w:r>
      <w:r>
        <w:t>, 26 FCC Rcd at 10760-62, paras. 58-62.</w:t>
      </w:r>
    </w:p>
  </w:footnote>
  <w:footnote w:id="61">
    <w:p w:rsidR="00E0558D" w:rsidRPr="0039528A" w:rsidRDefault="00E0558D">
      <w:pPr>
        <w:pStyle w:val="FootnoteText"/>
      </w:pPr>
      <w:r>
        <w:rPr>
          <w:rStyle w:val="FootnoteReference"/>
        </w:rPr>
        <w:footnoteRef/>
      </w:r>
      <w:r>
        <w:t xml:space="preserve"> </w:t>
      </w:r>
      <w:r>
        <w:rPr>
          <w:i/>
        </w:rPr>
        <w:t>See Incentive Auction Report and Order</w:t>
      </w:r>
      <w:r>
        <w:t xml:space="preserve"> at § VI.A.2 (Channel Sharing Operating Rules).</w:t>
      </w:r>
    </w:p>
  </w:footnote>
  <w:footnote w:id="62">
    <w:p w:rsidR="00E0558D" w:rsidRPr="004F4085" w:rsidRDefault="00E0558D" w:rsidP="00DF132D">
      <w:pPr>
        <w:pStyle w:val="FootnoteText"/>
      </w:pPr>
      <w:r w:rsidRPr="004F4085">
        <w:rPr>
          <w:rStyle w:val="FootnoteReference"/>
        </w:rPr>
        <w:footnoteRef/>
      </w:r>
      <w:r>
        <w:t xml:space="preserve"> </w:t>
      </w:r>
      <w:r>
        <w:rPr>
          <w:i/>
        </w:rPr>
        <w:t>Id.</w:t>
      </w:r>
    </w:p>
  </w:footnote>
  <w:footnote w:id="63">
    <w:p w:rsidR="00E0558D" w:rsidRPr="00FA1D0A" w:rsidRDefault="00E0558D">
      <w:pPr>
        <w:pStyle w:val="FootnoteText"/>
      </w:pPr>
      <w:r>
        <w:rPr>
          <w:rStyle w:val="FootnoteReference"/>
        </w:rPr>
        <w:footnoteRef/>
      </w:r>
      <w:r>
        <w:t xml:space="preserve"> </w:t>
      </w:r>
      <w:r>
        <w:rPr>
          <w:i/>
        </w:rPr>
        <w:t>See id.</w:t>
      </w:r>
      <w:r>
        <w:t xml:space="preserve"> at 6852-53, para. 700.</w:t>
      </w:r>
    </w:p>
  </w:footnote>
  <w:footnote w:id="64">
    <w:p w:rsidR="00E0558D" w:rsidRPr="004F4085" w:rsidRDefault="00E0558D" w:rsidP="0039528A">
      <w:pPr>
        <w:pStyle w:val="FootnoteText"/>
      </w:pPr>
      <w:r w:rsidRPr="004F4085">
        <w:rPr>
          <w:rStyle w:val="FootnoteReference"/>
        </w:rPr>
        <w:footnoteRef/>
      </w:r>
      <w:r w:rsidRPr="004F4085">
        <w:t xml:space="preserve"> </w:t>
      </w:r>
      <w:r>
        <w:t xml:space="preserve">As we did in the </w:t>
      </w:r>
      <w:r>
        <w:rPr>
          <w:i/>
        </w:rPr>
        <w:t xml:space="preserve">Incentive Auction Report and </w:t>
      </w:r>
      <w:r w:rsidRPr="0039528A">
        <w:t>Order</w:t>
      </w:r>
      <w:r>
        <w:t xml:space="preserve">, we propose that </w:t>
      </w:r>
      <w:r w:rsidRPr="004F4085">
        <w:t xml:space="preserve">any rights of first refusal included in a CSA would have to be consistent with Commission rules and policies.  </w:t>
      </w:r>
      <w:r w:rsidRPr="004F4085">
        <w:rPr>
          <w:i/>
        </w:rPr>
        <w:t>See</w:t>
      </w:r>
      <w:r w:rsidRPr="004F4085">
        <w:t xml:space="preserve"> </w:t>
      </w:r>
      <w:r w:rsidRPr="007C46BA">
        <w:rPr>
          <w:i/>
        </w:rPr>
        <w:t>id</w:t>
      </w:r>
      <w:r>
        <w:t>. at 6854, n.1942.</w:t>
      </w:r>
    </w:p>
  </w:footnote>
  <w:footnote w:id="65">
    <w:p w:rsidR="00E0558D" w:rsidRDefault="00E0558D">
      <w:pPr>
        <w:pStyle w:val="FootnoteText"/>
      </w:pPr>
      <w:r>
        <w:rPr>
          <w:rStyle w:val="FootnoteReference"/>
        </w:rPr>
        <w:footnoteRef/>
      </w:r>
      <w:r>
        <w:t xml:space="preserve"> 47 U.S.C. § 316.</w:t>
      </w:r>
    </w:p>
  </w:footnote>
  <w:footnote w:id="66">
    <w:p w:rsidR="00E0558D" w:rsidRPr="00872A12" w:rsidRDefault="00E0558D" w:rsidP="00A54E08">
      <w:pPr>
        <w:pStyle w:val="FootnoteText"/>
      </w:pPr>
      <w:r>
        <w:rPr>
          <w:rStyle w:val="FootnoteReference"/>
        </w:rPr>
        <w:footnoteRef/>
      </w:r>
      <w:r>
        <w:t xml:space="preserve"> </w:t>
      </w:r>
      <w:r w:rsidRPr="00FF0C21">
        <w:rPr>
          <w:i/>
        </w:rPr>
        <w:t>See Incentive Auction Report and Order</w:t>
      </w:r>
      <w:r>
        <w:t>, 29 FCC Rcd at 6853-54,</w:t>
      </w:r>
      <w:r w:rsidRPr="00803B89">
        <w:t xml:space="preserve"> para. 701.</w:t>
      </w:r>
      <w:r>
        <w:t xml:space="preserve">  In that case, we adopted a policy whereby the terminated portion of the shared channel would be offered at auction and the winning bidder would be required to agree to the terms of the existing CSA as a condition of agreeing to be the new sharing partner.  </w:t>
      </w:r>
      <w:r>
        <w:rPr>
          <w:i/>
        </w:rPr>
        <w:t>Id.</w:t>
      </w:r>
      <w:r>
        <w:t xml:space="preserve"> We note that, in an </w:t>
      </w:r>
      <w:r>
        <w:rPr>
          <w:i/>
        </w:rPr>
        <w:t>ex parte</w:t>
      </w:r>
      <w:r>
        <w:t xml:space="preserve"> filing in the incentive auction proceeding</w:t>
      </w:r>
      <w:r w:rsidRPr="007523AA">
        <w:t xml:space="preserve"> after the </w:t>
      </w:r>
      <w:r w:rsidRPr="00B53A97">
        <w:rPr>
          <w:i/>
        </w:rPr>
        <w:t>Incentive Auction Report and Order</w:t>
      </w:r>
      <w:r w:rsidRPr="007523AA">
        <w:t xml:space="preserve"> was released</w:t>
      </w:r>
      <w:r>
        <w:t xml:space="preserve">, the EOBC questioned this policy, argued that the Commission’s reversionary interest rule (section 73.1150) should not apply to full power and Class A television station channel sharing arrangements and proposed that these stations should “maintain the flexibility to terminate their sharing agreements at any time and to utilize their spectrum as they see fit.”  </w:t>
      </w:r>
      <w:r>
        <w:rPr>
          <w:i/>
        </w:rPr>
        <w:t xml:space="preserve">See </w:t>
      </w:r>
      <w:r w:rsidRPr="00E0558D">
        <w:t xml:space="preserve">Letter from </w:t>
      </w:r>
      <w:r>
        <w:t>Preston Padden, Executive Director, Expanding Opportunities for Broadcasters Coalition</w:t>
      </w:r>
      <w:r w:rsidRPr="00E0558D">
        <w:t>, to Marlene H. Dortch, Secretary, F</w:t>
      </w:r>
      <w:r>
        <w:t xml:space="preserve">CC, filed July 28, 2014 in GN Docket No. 12-268 at 2. </w:t>
      </w:r>
    </w:p>
  </w:footnote>
  <w:footnote w:id="67">
    <w:p w:rsidR="00E0558D" w:rsidRPr="004F4085" w:rsidRDefault="00E0558D" w:rsidP="00B31C7C">
      <w:pPr>
        <w:pStyle w:val="FootnoteText"/>
      </w:pPr>
      <w:r w:rsidRPr="004F4085">
        <w:rPr>
          <w:rStyle w:val="FootnoteReference"/>
        </w:rPr>
        <w:footnoteRef/>
      </w:r>
      <w:r w:rsidRPr="004F4085">
        <w:t xml:space="preserve"> 47 U.S.C. § 310.</w:t>
      </w:r>
    </w:p>
  </w:footnote>
  <w:footnote w:id="68">
    <w:p w:rsidR="00E0558D" w:rsidRPr="00B861CA" w:rsidRDefault="00E0558D" w:rsidP="00B31C7C">
      <w:pPr>
        <w:pStyle w:val="FootnoteText"/>
      </w:pPr>
      <w:r w:rsidRPr="004F4085">
        <w:rPr>
          <w:rStyle w:val="FootnoteReference"/>
        </w:rPr>
        <w:footnoteRef/>
      </w:r>
      <w:r w:rsidRPr="004F4085">
        <w:t xml:space="preserve"> The assignee or transferee </w:t>
      </w:r>
      <w:r>
        <w:t xml:space="preserve">would have to </w:t>
      </w:r>
      <w:r w:rsidRPr="004F4085">
        <w:t xml:space="preserve">agree to the terms of the CSA in existence at the time of the transfer or assignment, unless the assignee/transferee and the remaining sharing station(s) agree to amend the CSA and the amendment </w:t>
      </w:r>
      <w:r>
        <w:t xml:space="preserve">is approved by the Commission.  </w:t>
      </w:r>
      <w:r>
        <w:rPr>
          <w:i/>
        </w:rPr>
        <w:t>See Incentive Auction Report and Order</w:t>
      </w:r>
      <w:r>
        <w:t>, 29 FCC Rcd at 6853-54, para. 701 n.1952.</w:t>
      </w:r>
    </w:p>
  </w:footnote>
  <w:footnote w:id="69">
    <w:p w:rsidR="00E0558D" w:rsidRPr="00A621D0" w:rsidRDefault="00E0558D" w:rsidP="00A77A94">
      <w:pPr>
        <w:pStyle w:val="FootnoteText"/>
      </w:pPr>
      <w:r>
        <w:rPr>
          <w:rStyle w:val="FootnoteReference"/>
        </w:rPr>
        <w:footnoteRef/>
      </w:r>
      <w:r>
        <w:t xml:space="preserve"> </w:t>
      </w:r>
      <w:r>
        <w:rPr>
          <w:i/>
        </w:rPr>
        <w:t>Compare</w:t>
      </w:r>
      <w:r>
        <w:t xml:space="preserve"> 47 C.F.R </w:t>
      </w:r>
      <w:r w:rsidRPr="000E385D">
        <w:t>§</w:t>
      </w:r>
      <w:r>
        <w:t xml:space="preserve"> 73.622(h) with 47 C.F.R.</w:t>
      </w:r>
      <w:r w:rsidRPr="000E385D">
        <w:t xml:space="preserve"> §</w:t>
      </w:r>
      <w:r>
        <w:t xml:space="preserve"> 74.735(b).</w:t>
      </w:r>
    </w:p>
  </w:footnote>
  <w:footnote w:id="70">
    <w:p w:rsidR="00E0558D" w:rsidRPr="00366AE3" w:rsidRDefault="00E0558D" w:rsidP="00A77A94">
      <w:pPr>
        <w:pStyle w:val="FootnoteText"/>
      </w:pPr>
      <w:r>
        <w:rPr>
          <w:rStyle w:val="FootnoteReference"/>
        </w:rPr>
        <w:footnoteRef/>
      </w:r>
      <w:r>
        <w:t xml:space="preserve"> </w:t>
      </w:r>
      <w:r>
        <w:rPr>
          <w:i/>
        </w:rPr>
        <w:t>See Incentive Auction Report and Order</w:t>
      </w:r>
      <w:r>
        <w:t>, 29 FCC Rcd at 6855-56, para. 705.</w:t>
      </w:r>
    </w:p>
  </w:footnote>
  <w:footnote w:id="71">
    <w:p w:rsidR="00E0558D" w:rsidRPr="00795AD6" w:rsidRDefault="00E0558D" w:rsidP="00A77A94">
      <w:pPr>
        <w:pStyle w:val="FootnoteText"/>
      </w:pPr>
      <w:r>
        <w:rPr>
          <w:rStyle w:val="FootnoteReference"/>
        </w:rPr>
        <w:footnoteRef/>
      </w:r>
      <w:r>
        <w:t xml:space="preserve"> </w:t>
      </w:r>
      <w:r>
        <w:rPr>
          <w:i/>
        </w:rPr>
        <w:t>Id.</w:t>
      </w:r>
      <w:r>
        <w:t xml:space="preserve"> </w:t>
      </w:r>
    </w:p>
  </w:footnote>
  <w:footnote w:id="72">
    <w:p w:rsidR="00E0558D" w:rsidRDefault="00E0558D">
      <w:pPr>
        <w:pStyle w:val="FootnoteText"/>
      </w:pPr>
      <w:r>
        <w:rPr>
          <w:rStyle w:val="FootnoteReference"/>
        </w:rPr>
        <w:footnoteRef/>
      </w:r>
      <w:r>
        <w:t xml:space="preserve"> We do not propose extending the eligibility for the new digital-to-digital replacement translator service to Class A television stations.  Because of the limited size of their coverage area, it is not likely that Class A television stations would be able to engineer a replacement translator to replace a loss area that might occur as a result of the incentive auction. </w:t>
      </w:r>
    </w:p>
  </w:footnote>
  <w:footnote w:id="73">
    <w:p w:rsidR="00E0558D" w:rsidRPr="00C37052" w:rsidRDefault="00E0558D" w:rsidP="00575E93">
      <w:pPr>
        <w:pStyle w:val="FootnoteText"/>
      </w:pPr>
      <w:r>
        <w:rPr>
          <w:rStyle w:val="FootnoteReference"/>
        </w:rPr>
        <w:footnoteRef/>
      </w:r>
      <w:r>
        <w:t xml:space="preserve"> </w:t>
      </w:r>
      <w:r w:rsidRPr="00C92E96">
        <w:rPr>
          <w:i/>
        </w:rPr>
        <w:t>See</w:t>
      </w:r>
      <w:r w:rsidRPr="00C92E96">
        <w:t xml:space="preserve"> </w:t>
      </w:r>
      <w:r w:rsidRPr="000952DE">
        <w:rPr>
          <w:i/>
        </w:rPr>
        <w:t>Amendment of Parts 73 and 74 of the Commission’s Rules to Establish Rules for Replacement Digital Low Power Television Translator Stations</w:t>
      </w:r>
      <w:r w:rsidRPr="00C92E96">
        <w:t>,</w:t>
      </w:r>
      <w:r>
        <w:t xml:space="preserve"> MB Docket No. 08-253,</w:t>
      </w:r>
      <w:r w:rsidRPr="00C92E96">
        <w:t xml:space="preserve"> </w:t>
      </w:r>
      <w:r w:rsidRPr="000952DE">
        <w:t>Report and Order</w:t>
      </w:r>
      <w:r w:rsidRPr="00C92E96">
        <w:t>, 24 FCC Rcd 5931, 5932</w:t>
      </w:r>
      <w:r>
        <w:t xml:space="preserve">, para. 3 </w:t>
      </w:r>
      <w:r w:rsidRPr="00C92E96">
        <w:t>(2009) (</w:t>
      </w:r>
      <w:r w:rsidRPr="00200A7D">
        <w:rPr>
          <w:i/>
        </w:rPr>
        <w:t>DRT R&amp;O</w:t>
      </w:r>
      <w:r>
        <w:t>)</w:t>
      </w:r>
      <w:r w:rsidRPr="00C92E96">
        <w:t>.</w:t>
      </w:r>
      <w:r>
        <w:t xml:space="preserve">  S</w:t>
      </w:r>
      <w:r w:rsidRPr="00907992">
        <w:t xml:space="preserve">ome of these “loss” areas </w:t>
      </w:r>
      <w:r>
        <w:t>we</w:t>
      </w:r>
      <w:r w:rsidRPr="00907992">
        <w:t xml:space="preserve">re a result of </w:t>
      </w:r>
      <w:r>
        <w:t>“</w:t>
      </w:r>
      <w:r w:rsidRPr="00907992">
        <w:t>unavoidable engineering changes that stations were required to implement in order to avoid interference or other problems on their post-transition digital channel.</w:t>
      </w:r>
      <w:r>
        <w:t>”</w:t>
      </w:r>
      <w:r w:rsidRPr="00D71551">
        <w:t xml:space="preserve"> </w:t>
      </w:r>
      <w:r>
        <w:t xml:space="preserve"> </w:t>
      </w:r>
      <w:r w:rsidRPr="00D71551">
        <w:rPr>
          <w:i/>
        </w:rPr>
        <w:t>Id</w:t>
      </w:r>
      <w:r>
        <w:t>.  In other cases, “</w:t>
      </w:r>
      <w:r w:rsidRPr="00907992">
        <w:rPr>
          <w:szCs w:val="22"/>
        </w:rPr>
        <w:t>the analog service area of certain full-service stations could not be fully replicated because of technical complexities, and, in some cases, relocation of the facility was mandated by environmental and zoning issues.”</w:t>
      </w:r>
      <w:r>
        <w:rPr>
          <w:szCs w:val="22"/>
        </w:rPr>
        <w:t xml:space="preserve">  </w:t>
      </w:r>
      <w:r w:rsidRPr="00D71551">
        <w:rPr>
          <w:i/>
          <w:szCs w:val="22"/>
        </w:rPr>
        <w:t>Id</w:t>
      </w:r>
      <w:r>
        <w:rPr>
          <w:szCs w:val="22"/>
        </w:rPr>
        <w:t>.</w:t>
      </w:r>
    </w:p>
  </w:footnote>
  <w:footnote w:id="74">
    <w:p w:rsidR="00E0558D" w:rsidRPr="00A84DCE" w:rsidRDefault="00E0558D" w:rsidP="00575E93">
      <w:pPr>
        <w:pStyle w:val="FootnoteText"/>
        <w:rPr>
          <w:i/>
        </w:rPr>
      </w:pPr>
      <w:r>
        <w:rPr>
          <w:rStyle w:val="FootnoteReference"/>
        </w:rPr>
        <w:footnoteRef/>
      </w:r>
      <w:r>
        <w:t xml:space="preserve"> </w:t>
      </w:r>
      <w:r>
        <w:rPr>
          <w:i/>
        </w:rPr>
        <w:t xml:space="preserve">Id.  </w:t>
      </w:r>
      <w:r w:rsidRPr="006563F1">
        <w:rPr>
          <w:szCs w:val="22"/>
        </w:rPr>
        <w:t xml:space="preserve">In the </w:t>
      </w:r>
      <w:r w:rsidRPr="006563F1">
        <w:rPr>
          <w:i/>
          <w:szCs w:val="22"/>
        </w:rPr>
        <w:t>Incentive Auction Report and Order</w:t>
      </w:r>
      <w:r w:rsidRPr="006563F1">
        <w:rPr>
          <w:szCs w:val="22"/>
        </w:rPr>
        <w:t xml:space="preserve">, </w:t>
      </w:r>
      <w:r>
        <w:rPr>
          <w:szCs w:val="22"/>
        </w:rPr>
        <w:t xml:space="preserve">we declined to extend discretionary protection to DRTs because, </w:t>
      </w:r>
      <w:r>
        <w:rPr>
          <w:i/>
          <w:szCs w:val="22"/>
        </w:rPr>
        <w:t>inter alia</w:t>
      </w:r>
      <w:r>
        <w:rPr>
          <w:szCs w:val="22"/>
        </w:rPr>
        <w:t xml:space="preserve">, protecting existing DRT facilities would significantly affect repacking flexibility in markets where they are licensed.  </w:t>
      </w:r>
      <w:r w:rsidRPr="00992A92">
        <w:rPr>
          <w:i/>
        </w:rPr>
        <w:t>Incentive Auction Report and Order</w:t>
      </w:r>
      <w:r>
        <w:t xml:space="preserve">, 29 FCC Rcd at 6675, paras. 242-43.  We also noted that, if a station is reassigned to a new channel in the repacking process, its need for a DRT may no longer exist or may be significantly different based on the signal propagation characteristics of its new channel assignment.  </w:t>
      </w:r>
      <w:r>
        <w:rPr>
          <w:i/>
        </w:rPr>
        <w:t xml:space="preserve">Id. </w:t>
      </w:r>
      <w:r>
        <w:t xml:space="preserve">at n. 748.  </w:t>
      </w:r>
      <w:r>
        <w:rPr>
          <w:szCs w:val="22"/>
        </w:rPr>
        <w:t xml:space="preserve">However, in order to mitigate the potential impact of the repacking process, we stated that we would afford DRT displacement applications priority over other displacement applications in cases of mutual exclusivity.  </w:t>
      </w:r>
      <w:r w:rsidRPr="007C701F">
        <w:rPr>
          <w:i/>
        </w:rPr>
        <w:t>Id.</w:t>
      </w:r>
      <w:r>
        <w:t xml:space="preserve"> at para. 242.</w:t>
      </w:r>
    </w:p>
  </w:footnote>
  <w:footnote w:id="75">
    <w:p w:rsidR="00E0558D" w:rsidRDefault="00E0558D">
      <w:pPr>
        <w:pStyle w:val="FootnoteText"/>
      </w:pPr>
      <w:r>
        <w:rPr>
          <w:rStyle w:val="FootnoteReference"/>
        </w:rPr>
        <w:footnoteRef/>
      </w:r>
      <w:r>
        <w:t xml:space="preserve"> </w:t>
      </w:r>
      <w:r>
        <w:rPr>
          <w:i/>
        </w:rPr>
        <w:t xml:space="preserve">Id. </w:t>
      </w:r>
      <w:r>
        <w:t>a</w:t>
      </w:r>
      <w:r w:rsidRPr="007C701F">
        <w:t>t</w:t>
      </w:r>
      <w:r>
        <w:t xml:space="preserve"> 6794, para. 554 n.1571.</w:t>
      </w:r>
    </w:p>
  </w:footnote>
  <w:footnote w:id="76">
    <w:p w:rsidR="00E0558D" w:rsidRDefault="00E0558D" w:rsidP="00575E93">
      <w:pPr>
        <w:pStyle w:val="FootnoteText"/>
      </w:pPr>
      <w:r>
        <w:rPr>
          <w:rStyle w:val="FootnoteReference"/>
        </w:rPr>
        <w:footnoteRef/>
      </w:r>
      <w:r>
        <w:t xml:space="preserve"> </w:t>
      </w:r>
      <w:r w:rsidRPr="007C701F">
        <w:rPr>
          <w:i/>
        </w:rPr>
        <w:t>Id</w:t>
      </w:r>
      <w:r>
        <w:t>. at 6645, para. 168.</w:t>
      </w:r>
    </w:p>
  </w:footnote>
  <w:footnote w:id="77">
    <w:p w:rsidR="00E0558D" w:rsidRDefault="00E0558D" w:rsidP="00575E93">
      <w:pPr>
        <w:pStyle w:val="FootnoteText"/>
      </w:pPr>
      <w:r>
        <w:rPr>
          <w:rStyle w:val="FootnoteReference"/>
        </w:rPr>
        <w:footnoteRef/>
      </w:r>
      <w:r>
        <w:t xml:space="preserve"> </w:t>
      </w:r>
      <w:r w:rsidRPr="00622FC8">
        <w:rPr>
          <w:i/>
        </w:rPr>
        <w:t>Id</w:t>
      </w:r>
      <w:r>
        <w:t>. at 6725-26, paras. 369-71 (affording favorable consideration to post-auction requests by these winning bidders for waiver of VHF power and height restrictions).</w:t>
      </w:r>
    </w:p>
  </w:footnote>
  <w:footnote w:id="78">
    <w:p w:rsidR="00E0558D" w:rsidRDefault="00E0558D" w:rsidP="00575E93">
      <w:pPr>
        <w:pStyle w:val="FootnoteText"/>
      </w:pPr>
      <w:r>
        <w:rPr>
          <w:rStyle w:val="FootnoteReference"/>
        </w:rPr>
        <w:footnoteRef/>
      </w:r>
      <w:r>
        <w:t xml:space="preserve"> We note that, assuming we create a new digital-to-digital replacement translator, we will limit stations to channels that remain available for broadcast service following the conclusion of the incentive auction.</w:t>
      </w:r>
    </w:p>
  </w:footnote>
  <w:footnote w:id="79">
    <w:p w:rsidR="00E0558D" w:rsidRPr="009C6926" w:rsidRDefault="00E0558D" w:rsidP="00DA5D9E">
      <w:pPr>
        <w:pStyle w:val="FootnoteText"/>
      </w:pPr>
      <w:r>
        <w:rPr>
          <w:rStyle w:val="FootnoteReference"/>
        </w:rPr>
        <w:footnoteRef/>
      </w:r>
      <w:r>
        <w:t xml:space="preserve"> </w:t>
      </w:r>
      <w:r>
        <w:rPr>
          <w:szCs w:val="22"/>
        </w:rPr>
        <w:t>F</w:t>
      </w:r>
      <w:r w:rsidRPr="00575E93">
        <w:rPr>
          <w:szCs w:val="22"/>
        </w:rPr>
        <w:t xml:space="preserve">ollowing the release of the </w:t>
      </w:r>
      <w:r w:rsidRPr="00575E93">
        <w:rPr>
          <w:i/>
          <w:szCs w:val="22"/>
        </w:rPr>
        <w:t>Incentive Auction Report and Order</w:t>
      </w:r>
      <w:r w:rsidRPr="00575E93">
        <w:rPr>
          <w:szCs w:val="22"/>
        </w:rPr>
        <w:t xml:space="preserve">, the Media Bureau announced a freeze on the filing of applications for new </w:t>
      </w:r>
      <w:r>
        <w:rPr>
          <w:szCs w:val="22"/>
        </w:rPr>
        <w:t>analog-to-digital replacement translators</w:t>
      </w:r>
      <w:r w:rsidRPr="00575E93">
        <w:rPr>
          <w:szCs w:val="22"/>
        </w:rPr>
        <w:t>.</w:t>
      </w:r>
      <w:r>
        <w:rPr>
          <w:szCs w:val="22"/>
        </w:rPr>
        <w:t xml:space="preserve">  </w:t>
      </w:r>
      <w:r>
        <w:rPr>
          <w:i/>
        </w:rPr>
        <w:t>See Freeze on the Filing of Applications for Digital Replacement Translator Stations and Displacement Applications</w:t>
      </w:r>
      <w:r>
        <w:t>, Public Notice, 29 FCC Rcd 6063 (MB 2014) (</w:t>
      </w:r>
      <w:r>
        <w:rPr>
          <w:i/>
        </w:rPr>
        <w:t>Low Power Freeze PN</w:t>
      </w:r>
      <w:r>
        <w:t>).</w:t>
      </w:r>
    </w:p>
  </w:footnote>
  <w:footnote w:id="80">
    <w:p w:rsidR="00E0558D" w:rsidRDefault="00E0558D" w:rsidP="00EF0292">
      <w:pPr>
        <w:pStyle w:val="FootnoteText"/>
      </w:pPr>
      <w:r>
        <w:rPr>
          <w:rStyle w:val="FootnoteReference"/>
        </w:rPr>
        <w:footnoteRef/>
      </w:r>
      <w:r>
        <w:t xml:space="preserve"> </w:t>
      </w:r>
      <w:r w:rsidRPr="0089302F">
        <w:t xml:space="preserve">This would include winning </w:t>
      </w:r>
      <w:r w:rsidRPr="00C345C9">
        <w:t xml:space="preserve">UHF-to-VHF and high-VHF-to-low-VHF </w:t>
      </w:r>
      <w:r w:rsidRPr="0089302F">
        <w:t>bidders in the reverse auction a</w:t>
      </w:r>
      <w:r>
        <w:t xml:space="preserve">s well as non-participating </w:t>
      </w:r>
      <w:r w:rsidRPr="0089302F">
        <w:t xml:space="preserve">stations that are </w:t>
      </w:r>
      <w:r>
        <w:t>reassigned to new channels in the repacking process.</w:t>
      </w:r>
    </w:p>
  </w:footnote>
  <w:footnote w:id="81">
    <w:p w:rsidR="00E0558D" w:rsidRDefault="00E0558D" w:rsidP="00EF0292">
      <w:pPr>
        <w:pStyle w:val="FootnoteText"/>
      </w:pPr>
      <w:r>
        <w:rPr>
          <w:rStyle w:val="FootnoteReference"/>
        </w:rPr>
        <w:footnoteRef/>
      </w:r>
      <w:r>
        <w:t xml:space="preserve"> The Commission adopted a similar restriction for the analog-to-digital replacement translators.  </w:t>
      </w:r>
      <w:r>
        <w:rPr>
          <w:i/>
        </w:rPr>
        <w:t>See</w:t>
      </w:r>
      <w:r>
        <w:t xml:space="preserve"> </w:t>
      </w:r>
      <w:r w:rsidRPr="00552362">
        <w:rPr>
          <w:i/>
        </w:rPr>
        <w:t>DRT R&amp;O</w:t>
      </w:r>
      <w:r>
        <w:t>, 24 FCC Rcd at 5938-39, paras. 14-17.</w:t>
      </w:r>
    </w:p>
  </w:footnote>
  <w:footnote w:id="82">
    <w:p w:rsidR="00E0558D" w:rsidRPr="007F4D8F" w:rsidRDefault="00E0558D" w:rsidP="00EF0292">
      <w:pPr>
        <w:pStyle w:val="FootnoteText"/>
        <w:rPr>
          <w:i/>
        </w:rPr>
      </w:pPr>
      <w:r>
        <w:rPr>
          <w:rStyle w:val="FootnoteReference"/>
        </w:rPr>
        <w:footnoteRef/>
      </w:r>
      <w:r>
        <w:t xml:space="preserve"> </w:t>
      </w:r>
      <w:r>
        <w:rPr>
          <w:i/>
        </w:rPr>
        <w:t>Incentive Auction Report and Order</w:t>
      </w:r>
      <w:r>
        <w:t>, 29 FCC Rcd at 6839, para. 666.</w:t>
      </w:r>
    </w:p>
  </w:footnote>
  <w:footnote w:id="83">
    <w:p w:rsidR="00E0558D" w:rsidRDefault="00E0558D" w:rsidP="00D01DA5">
      <w:pPr>
        <w:pStyle w:val="FootnoteText"/>
      </w:pPr>
      <w:r>
        <w:rPr>
          <w:rStyle w:val="FootnoteReference"/>
        </w:rPr>
        <w:footnoteRef/>
      </w:r>
      <w:r>
        <w:t xml:space="preserve">  The Commission adopted a similar requirement for the analog-to-digital replacement translator service.  </w:t>
      </w:r>
      <w:r>
        <w:rPr>
          <w:i/>
        </w:rPr>
        <w:t>See</w:t>
      </w:r>
      <w:r>
        <w:t xml:space="preserve"> </w:t>
      </w:r>
      <w:r w:rsidRPr="00552362">
        <w:rPr>
          <w:i/>
        </w:rPr>
        <w:t>DRT R&amp;O</w:t>
      </w:r>
      <w:r>
        <w:t xml:space="preserve">, 24 FCC Rcd at 5937-39, paras. 11-13.  </w:t>
      </w:r>
    </w:p>
  </w:footnote>
  <w:footnote w:id="84">
    <w:p w:rsidR="00E0558D" w:rsidRDefault="00E0558D">
      <w:pPr>
        <w:pStyle w:val="FootnoteText"/>
      </w:pPr>
      <w:r>
        <w:rPr>
          <w:rStyle w:val="FootnoteReference"/>
        </w:rPr>
        <w:footnoteRef/>
      </w:r>
      <w:r>
        <w:t xml:space="preserve"> In some cases, a station may be able to design and purchase a vastly more expensive directional antenna system specifically designed to avoid such overlap or build a new tower structure</w:t>
      </w:r>
      <w:r w:rsidRPr="00287271">
        <w:t>.</w:t>
      </w:r>
      <w:r>
        <w:t xml:space="preserve">  </w:t>
      </w:r>
    </w:p>
  </w:footnote>
  <w:footnote w:id="85">
    <w:p w:rsidR="00E0558D" w:rsidRPr="006506C8" w:rsidRDefault="00E0558D" w:rsidP="00D01DA5">
      <w:pPr>
        <w:pStyle w:val="FootnoteText"/>
      </w:pPr>
      <w:r>
        <w:rPr>
          <w:rStyle w:val="FootnoteReference"/>
        </w:rPr>
        <w:footnoteRef/>
      </w:r>
      <w:r>
        <w:t xml:space="preserve"> The Commission allowed similar </w:t>
      </w:r>
      <w:r>
        <w:rPr>
          <w:i/>
        </w:rPr>
        <w:t xml:space="preserve">de minimis </w:t>
      </w:r>
      <w:r>
        <w:t xml:space="preserve">expansions for the analog-to-digital replacement translator service.  </w:t>
      </w:r>
      <w:r>
        <w:rPr>
          <w:i/>
        </w:rPr>
        <w:t>Id.</w:t>
      </w:r>
      <w:r>
        <w:t xml:space="preserve"> at 5941, para. 20.</w:t>
      </w:r>
    </w:p>
  </w:footnote>
  <w:footnote w:id="86">
    <w:p w:rsidR="00E0558D" w:rsidRPr="004C58CF" w:rsidRDefault="00E0558D" w:rsidP="00D01DA5">
      <w:pPr>
        <w:pStyle w:val="FootnoteText"/>
        <w:rPr>
          <w:i/>
        </w:rPr>
      </w:pPr>
      <w:r>
        <w:rPr>
          <w:rStyle w:val="FootnoteReference"/>
        </w:rPr>
        <w:footnoteRef/>
      </w:r>
      <w:r>
        <w:t xml:space="preserve"> </w:t>
      </w:r>
      <w:r>
        <w:rPr>
          <w:i/>
        </w:rPr>
        <w:t>Id.</w:t>
      </w:r>
    </w:p>
  </w:footnote>
  <w:footnote w:id="87">
    <w:p w:rsidR="00E0558D" w:rsidRPr="00F649E9" w:rsidRDefault="00E0558D" w:rsidP="00C345C9">
      <w:pPr>
        <w:pStyle w:val="FootnoteText"/>
      </w:pPr>
      <w:r>
        <w:rPr>
          <w:rStyle w:val="FootnoteReference"/>
        </w:rPr>
        <w:footnoteRef/>
      </w:r>
      <w:r>
        <w:t xml:space="preserve"> In the </w:t>
      </w:r>
      <w:r w:rsidRPr="00DE6695">
        <w:rPr>
          <w:i/>
        </w:rPr>
        <w:t>Incentive Auction Report and Order</w:t>
      </w:r>
      <w:r>
        <w:t xml:space="preserve">, the Commission announced a 39-month post-incentive auction transition period.  </w:t>
      </w:r>
      <w:r>
        <w:rPr>
          <w:i/>
        </w:rPr>
        <w:t xml:space="preserve">See Incentive Auction Report </w:t>
      </w:r>
      <w:r w:rsidRPr="00F649E9">
        <w:rPr>
          <w:i/>
        </w:rPr>
        <w:t>and Order</w:t>
      </w:r>
      <w:r>
        <w:t xml:space="preserve">, 29 FCC Rcd at 6796, para. 559.  At the close of the incentive auction, stations that are assigned new channels in the repacking process as well as winning reverse auction bidders changing channels will be announced in the </w:t>
      </w:r>
      <w:r>
        <w:rPr>
          <w:i/>
        </w:rPr>
        <w:t>Channel Reassignment Public Notice</w:t>
      </w:r>
      <w:r>
        <w:t>.  Those stations will then have a three-month period to examine their new channel assignment and submit an application for construction permit.  This period will be followed by a construction period that may be up to 36 months, during which stations must complete their construction on a phased schedule.</w:t>
      </w:r>
    </w:p>
  </w:footnote>
  <w:footnote w:id="88">
    <w:p w:rsidR="00E0558D" w:rsidRPr="009416DA" w:rsidRDefault="00E0558D">
      <w:pPr>
        <w:pStyle w:val="FootnoteText"/>
      </w:pPr>
      <w:r>
        <w:rPr>
          <w:rStyle w:val="FootnoteReference"/>
        </w:rPr>
        <w:footnoteRef/>
      </w:r>
      <w:r>
        <w:t xml:space="preserve"> </w:t>
      </w:r>
      <w:r>
        <w:rPr>
          <w:i/>
        </w:rPr>
        <w:t xml:space="preserve">Id. </w:t>
      </w:r>
      <w:r>
        <w:t>at 6836-37, para.661.</w:t>
      </w:r>
    </w:p>
  </w:footnote>
  <w:footnote w:id="89">
    <w:p w:rsidR="00E0558D" w:rsidRPr="00EF1C7D" w:rsidRDefault="00E0558D">
      <w:pPr>
        <w:pStyle w:val="FootnoteText"/>
      </w:pPr>
      <w:r>
        <w:rPr>
          <w:rStyle w:val="FootnoteReference"/>
        </w:rPr>
        <w:footnoteRef/>
      </w:r>
      <w:r>
        <w:t xml:space="preserve"> </w:t>
      </w:r>
      <w:r>
        <w:rPr>
          <w:i/>
        </w:rPr>
        <w:t>Id</w:t>
      </w:r>
      <w:r>
        <w:t>.</w:t>
      </w:r>
    </w:p>
  </w:footnote>
  <w:footnote w:id="90">
    <w:p w:rsidR="00E0558D" w:rsidRDefault="00E0558D" w:rsidP="00AF2E19">
      <w:pPr>
        <w:pStyle w:val="FootnoteText"/>
      </w:pPr>
      <w:r>
        <w:rPr>
          <w:rStyle w:val="FootnoteReference"/>
        </w:rPr>
        <w:footnoteRef/>
      </w:r>
      <w:r>
        <w:t xml:space="preserve">  </w:t>
      </w:r>
      <w:r w:rsidRPr="002B0518">
        <w:rPr>
          <w:i/>
        </w:rPr>
        <w:t>DRT R&amp;</w:t>
      </w:r>
      <w:r>
        <w:rPr>
          <w:i/>
        </w:rPr>
        <w:t xml:space="preserve">O, </w:t>
      </w:r>
      <w:r w:rsidRPr="002B0518">
        <w:t>24 FCC Rcd</w:t>
      </w:r>
      <w:r>
        <w:t xml:space="preserve"> at 5942-43, paras. 23-24.</w:t>
      </w:r>
    </w:p>
  </w:footnote>
  <w:footnote w:id="91">
    <w:p w:rsidR="00E0558D" w:rsidRPr="00720071" w:rsidRDefault="00E0558D">
      <w:pPr>
        <w:pStyle w:val="FootnoteText"/>
        <w:rPr>
          <w:i/>
        </w:rPr>
      </w:pPr>
      <w:r>
        <w:rPr>
          <w:rStyle w:val="FootnoteReference"/>
        </w:rPr>
        <w:footnoteRef/>
      </w:r>
      <w:r>
        <w:t xml:space="preserve"> </w:t>
      </w:r>
      <w:r>
        <w:rPr>
          <w:i/>
        </w:rPr>
        <w:t>Id.</w:t>
      </w:r>
    </w:p>
  </w:footnote>
  <w:footnote w:id="92">
    <w:p w:rsidR="00E0558D" w:rsidRPr="002A0272" w:rsidRDefault="00E0558D">
      <w:pPr>
        <w:pStyle w:val="FootnoteText"/>
      </w:pPr>
      <w:r>
        <w:rPr>
          <w:rStyle w:val="FootnoteReference"/>
        </w:rPr>
        <w:footnoteRef/>
      </w:r>
      <w:r>
        <w:t xml:space="preserve"> </w:t>
      </w:r>
      <w:r>
        <w:rPr>
          <w:i/>
        </w:rPr>
        <w:t xml:space="preserve">Id. </w:t>
      </w:r>
      <w:r>
        <w:t>at 5943, para. 25.</w:t>
      </w:r>
    </w:p>
  </w:footnote>
  <w:footnote w:id="93">
    <w:p w:rsidR="00E0558D" w:rsidRDefault="00E0558D" w:rsidP="003E4148">
      <w:pPr>
        <w:pStyle w:val="FootnoteText"/>
      </w:pPr>
      <w:r>
        <w:rPr>
          <w:rStyle w:val="FootnoteReference"/>
        </w:rPr>
        <w:footnoteRef/>
      </w:r>
      <w:r>
        <w:t xml:space="preserve">  </w:t>
      </w:r>
      <w:r>
        <w:rPr>
          <w:i/>
        </w:rPr>
        <w:t>See</w:t>
      </w:r>
      <w:r>
        <w:t xml:space="preserve"> 47 C.F.R. § 74.709. </w:t>
      </w:r>
    </w:p>
  </w:footnote>
  <w:footnote w:id="94">
    <w:p w:rsidR="00E0558D" w:rsidRDefault="00E0558D" w:rsidP="003E4148">
      <w:pPr>
        <w:pStyle w:val="FootnoteText"/>
      </w:pPr>
      <w:r>
        <w:rPr>
          <w:rStyle w:val="FootnoteReference"/>
        </w:rPr>
        <w:footnoteRef/>
      </w:r>
      <w:r>
        <w:t xml:space="preserve"> </w:t>
      </w:r>
      <w:r>
        <w:rPr>
          <w:i/>
        </w:rPr>
        <w:t>See supra</w:t>
      </w:r>
      <w:r>
        <w:t xml:space="preserve"> paras. 32-36.</w:t>
      </w:r>
    </w:p>
  </w:footnote>
  <w:footnote w:id="95">
    <w:p w:rsidR="00E0558D" w:rsidRDefault="00E0558D" w:rsidP="003E4148">
      <w:pPr>
        <w:pStyle w:val="FootnoteText"/>
      </w:pPr>
      <w:r>
        <w:rPr>
          <w:rStyle w:val="FootnoteReference"/>
        </w:rPr>
        <w:footnoteRef/>
      </w:r>
      <w:r>
        <w:t xml:space="preserve">  </w:t>
      </w:r>
      <w:r>
        <w:rPr>
          <w:i/>
        </w:rPr>
        <w:t xml:space="preserve">See </w:t>
      </w:r>
      <w:r>
        <w:t xml:space="preserve">47 C.F.R. § 74.735. </w:t>
      </w:r>
    </w:p>
  </w:footnote>
  <w:footnote w:id="96">
    <w:p w:rsidR="00E0558D" w:rsidRDefault="00E0558D" w:rsidP="003E4148">
      <w:pPr>
        <w:pStyle w:val="FootnoteText"/>
      </w:pPr>
      <w:r>
        <w:rPr>
          <w:rStyle w:val="FootnoteReference"/>
        </w:rPr>
        <w:footnoteRef/>
      </w:r>
      <w:r>
        <w:t xml:space="preserve">  </w:t>
      </w:r>
      <w:r>
        <w:rPr>
          <w:i/>
        </w:rPr>
        <w:t xml:space="preserve">See </w:t>
      </w:r>
      <w:r>
        <w:t xml:space="preserve">47 C.F.R. § 74.736. </w:t>
      </w:r>
    </w:p>
  </w:footnote>
  <w:footnote w:id="97">
    <w:p w:rsidR="00E0558D" w:rsidRDefault="00E0558D" w:rsidP="003E4148">
      <w:pPr>
        <w:pStyle w:val="FootnoteText"/>
      </w:pPr>
      <w:r>
        <w:rPr>
          <w:rStyle w:val="FootnoteReference"/>
        </w:rPr>
        <w:footnoteRef/>
      </w:r>
      <w:r>
        <w:t xml:space="preserve">  </w:t>
      </w:r>
      <w:r>
        <w:rPr>
          <w:i/>
        </w:rPr>
        <w:t xml:space="preserve">See </w:t>
      </w:r>
      <w:r>
        <w:t>47 C.F.R. § 74.734.</w:t>
      </w:r>
    </w:p>
  </w:footnote>
  <w:footnote w:id="98">
    <w:p w:rsidR="00E0558D" w:rsidRDefault="00E0558D" w:rsidP="00872A12">
      <w:pPr>
        <w:pStyle w:val="FootnoteText"/>
      </w:pPr>
      <w:r>
        <w:rPr>
          <w:rStyle w:val="FootnoteReference"/>
        </w:rPr>
        <w:footnoteRef/>
      </w:r>
      <w:r>
        <w:t xml:space="preserve">  </w:t>
      </w:r>
      <w:r>
        <w:rPr>
          <w:i/>
        </w:rPr>
        <w:t xml:space="preserve">See </w:t>
      </w:r>
      <w:r>
        <w:t xml:space="preserve">47 C.F.R. § 74.763. </w:t>
      </w:r>
    </w:p>
  </w:footnote>
  <w:footnote w:id="99">
    <w:p w:rsidR="00E0558D" w:rsidRDefault="00E0558D" w:rsidP="003E4148">
      <w:pPr>
        <w:pStyle w:val="FootnoteText"/>
      </w:pPr>
      <w:r>
        <w:rPr>
          <w:rStyle w:val="FootnoteReference"/>
        </w:rPr>
        <w:footnoteRef/>
      </w:r>
      <w:r>
        <w:t xml:space="preserve">  </w:t>
      </w:r>
      <w:r>
        <w:rPr>
          <w:i/>
        </w:rPr>
        <w:t>See</w:t>
      </w:r>
      <w:r>
        <w:t xml:space="preserve"> 47 C.F.R. §§ 1.2100 </w:t>
      </w:r>
      <w:r>
        <w:rPr>
          <w:i/>
        </w:rPr>
        <w:t>et seq.</w:t>
      </w:r>
      <w:r>
        <w:t xml:space="preserve"> &amp; 73.5000 </w:t>
      </w:r>
      <w:r>
        <w:rPr>
          <w:i/>
        </w:rPr>
        <w:t>et seq.</w:t>
      </w:r>
      <w:r>
        <w:t xml:space="preserve"> </w:t>
      </w:r>
    </w:p>
  </w:footnote>
  <w:footnote w:id="100">
    <w:p w:rsidR="00E0558D" w:rsidRDefault="00E0558D" w:rsidP="005318F2">
      <w:pPr>
        <w:pStyle w:val="FootnoteText"/>
      </w:pPr>
      <w:r>
        <w:rPr>
          <w:rStyle w:val="FootnoteReference"/>
        </w:rPr>
        <w:footnoteRef/>
      </w:r>
      <w:r>
        <w:t xml:space="preserve">  </w:t>
      </w:r>
      <w:r>
        <w:rPr>
          <w:i/>
        </w:rPr>
        <w:t>See</w:t>
      </w:r>
      <w:r>
        <w:t xml:space="preserve"> </w:t>
      </w:r>
      <w:r w:rsidRPr="00E26859">
        <w:rPr>
          <w:i/>
        </w:rPr>
        <w:t>DRT R&amp;O</w:t>
      </w:r>
      <w:r>
        <w:t xml:space="preserve">, 24 FCC Rcd at 5944, paras. 27-29 (internal quotation marks omitted). </w:t>
      </w:r>
    </w:p>
  </w:footnote>
  <w:footnote w:id="101">
    <w:p w:rsidR="00E0558D" w:rsidRDefault="00E0558D" w:rsidP="004D6FAA">
      <w:pPr>
        <w:pStyle w:val="FootnoteText"/>
      </w:pPr>
      <w:r>
        <w:rPr>
          <w:rStyle w:val="FootnoteReference"/>
        </w:rPr>
        <w:footnoteRef/>
      </w:r>
      <w:r>
        <w:t xml:space="preserve"> </w:t>
      </w:r>
      <w:r>
        <w:rPr>
          <w:i/>
        </w:rPr>
        <w:t>See</w:t>
      </w:r>
      <w:r>
        <w:t xml:space="preserve"> </w:t>
      </w:r>
      <w:r w:rsidRPr="00E26859">
        <w:rPr>
          <w:i/>
        </w:rPr>
        <w:t>id</w:t>
      </w:r>
      <w:r>
        <w:t>. at 5945, paras. 30-31.</w:t>
      </w:r>
    </w:p>
  </w:footnote>
  <w:footnote w:id="102">
    <w:p w:rsidR="00E0558D" w:rsidRDefault="00E0558D">
      <w:pPr>
        <w:pStyle w:val="FootnoteText"/>
      </w:pPr>
      <w:r>
        <w:rPr>
          <w:rStyle w:val="FootnoteReference"/>
        </w:rPr>
        <w:footnoteRef/>
      </w:r>
      <w:r>
        <w:t xml:space="preserve"> </w:t>
      </w:r>
      <w:r>
        <w:rPr>
          <w:i/>
        </w:rPr>
        <w:t>See</w:t>
      </w:r>
      <w:r>
        <w:t xml:space="preserve"> </w:t>
      </w:r>
      <w:r w:rsidRPr="00A36A05">
        <w:rPr>
          <w:i/>
        </w:rPr>
        <w:t>Low Power</w:t>
      </w:r>
      <w:r>
        <w:t xml:space="preserve"> </w:t>
      </w:r>
      <w:r>
        <w:rPr>
          <w:i/>
        </w:rPr>
        <w:t>Freeze PN</w:t>
      </w:r>
      <w:r>
        <w:t>, 29 FCC Rcd 6063</w:t>
      </w:r>
      <w:r>
        <w:rPr>
          <w:i/>
        </w:rPr>
        <w:t>.</w:t>
      </w:r>
    </w:p>
  </w:footnote>
  <w:footnote w:id="103">
    <w:p w:rsidR="00E0558D" w:rsidRDefault="00E0558D">
      <w:pPr>
        <w:pStyle w:val="FootnoteText"/>
      </w:pPr>
      <w:r>
        <w:rPr>
          <w:rStyle w:val="FootnoteReference"/>
        </w:rPr>
        <w:footnoteRef/>
      </w:r>
      <w:r>
        <w:t xml:space="preserve"> </w:t>
      </w:r>
      <w:r w:rsidRPr="00B309A1">
        <w:t>In 2014, prior to initiation of the freeze, five applications for analog-to-digital replacement translators were filed.  All of these have been granted.</w:t>
      </w:r>
    </w:p>
  </w:footnote>
  <w:footnote w:id="104">
    <w:p w:rsidR="00E0558D" w:rsidRPr="001B7FE5" w:rsidRDefault="00E0558D" w:rsidP="00E65C27">
      <w:pPr>
        <w:pStyle w:val="FootnoteText"/>
        <w:rPr>
          <w:i/>
        </w:rPr>
      </w:pPr>
      <w:r>
        <w:rPr>
          <w:rStyle w:val="FootnoteReference"/>
        </w:rPr>
        <w:footnoteRef/>
      </w:r>
      <w:r>
        <w:t xml:space="preserve"> As the Media Bureau noted in the </w:t>
      </w:r>
      <w:r>
        <w:rPr>
          <w:i/>
        </w:rPr>
        <w:t>Freeze PN</w:t>
      </w:r>
      <w:r>
        <w:t>, applications for DRTs pending at the time of the freeze w</w:t>
      </w:r>
      <w:r w:rsidR="00706DAC">
        <w:t>ould</w:t>
      </w:r>
      <w:r>
        <w:t xml:space="preserve"> be processed.  </w:t>
      </w:r>
      <w:r>
        <w:rPr>
          <w:i/>
        </w:rPr>
        <w:t>Id.</w:t>
      </w:r>
      <w:r>
        <w:t xml:space="preserve"> at 6064.  We also note that w</w:t>
      </w:r>
      <w:r w:rsidRPr="00BA68F5">
        <w:t xml:space="preserve">e do not intend to discontinue allowing stations to file a displacement application if their </w:t>
      </w:r>
      <w:r>
        <w:t>DRT</w:t>
      </w:r>
      <w:r w:rsidRPr="00BA68F5">
        <w:t xml:space="preserve"> is displaced as a result of the incentive auction </w:t>
      </w:r>
      <w:r>
        <w:t xml:space="preserve">and </w:t>
      </w:r>
      <w:r w:rsidRPr="00BA68F5">
        <w:t xml:space="preserve">repacking </w:t>
      </w:r>
      <w:r>
        <w:t xml:space="preserve">process </w:t>
      </w:r>
      <w:r w:rsidRPr="00BA68F5">
        <w:t xml:space="preserve">or later by a full power television station modification.  Our proposal is only to discontinue acceptance of applications for new </w:t>
      </w:r>
      <w:r>
        <w:t>DRTs</w:t>
      </w:r>
      <w:r w:rsidRPr="00BA68F5">
        <w:t>.</w:t>
      </w:r>
    </w:p>
  </w:footnote>
  <w:footnote w:id="105">
    <w:p w:rsidR="00E0558D" w:rsidRDefault="00E0558D" w:rsidP="003A697C">
      <w:pPr>
        <w:pStyle w:val="FootnoteText"/>
      </w:pPr>
      <w:r>
        <w:rPr>
          <w:rStyle w:val="FootnoteReference"/>
        </w:rPr>
        <w:footnoteRef/>
      </w:r>
      <w:r>
        <w:t xml:space="preserve"> </w:t>
      </w:r>
      <w:r w:rsidRPr="008328E4">
        <w:rPr>
          <w:i/>
        </w:rPr>
        <w:t>See</w:t>
      </w:r>
      <w:r>
        <w:t xml:space="preserve">, </w:t>
      </w:r>
      <w:r w:rsidRPr="008328E4">
        <w:rPr>
          <w:i/>
        </w:rPr>
        <w:t>e.g</w:t>
      </w:r>
      <w:r>
        <w:t>., Affiliates Association Comments at 56-57; APTS Comments at 9-10, 12; Leadership Conference Comments at 5; LIN Comments at 9; LPTV Spectrum Comments at 5</w:t>
      </w:r>
      <w:r w:rsidRPr="004C3A36">
        <w:t xml:space="preserve"> </w:t>
      </w:r>
      <w:r>
        <w:t>(“</w:t>
      </w:r>
      <w:r w:rsidRPr="004C3A36">
        <w:t>in the post-auction environment there will be a lot less stations, channels, and opportunities for new players”</w:t>
      </w:r>
      <w:r>
        <w:t>); NRB Comments at 3 (“</w:t>
      </w:r>
      <w:r w:rsidRPr="004C3A36">
        <w:t>[o]nly a limited number of available channels may exist following the repacking process, limiting the relocation options available to displac</w:t>
      </w:r>
      <w:r>
        <w:t>ed LPTV and translator stations</w:t>
      </w:r>
      <w:r w:rsidRPr="004C3A36">
        <w:t>”</w:t>
      </w:r>
      <w:r>
        <w:t>); NTA Comments at 5-6.</w:t>
      </w:r>
    </w:p>
  </w:footnote>
  <w:footnote w:id="106">
    <w:p w:rsidR="00E0558D" w:rsidRDefault="00E0558D">
      <w:pPr>
        <w:pStyle w:val="FootnoteText"/>
      </w:pPr>
      <w:r>
        <w:rPr>
          <w:rStyle w:val="FootnoteReference"/>
        </w:rPr>
        <w:footnoteRef/>
      </w:r>
      <w:r>
        <w:t xml:space="preserve"> </w:t>
      </w:r>
      <w:r>
        <w:rPr>
          <w:i/>
        </w:rPr>
        <w:t xml:space="preserve">Incentive Auction </w:t>
      </w:r>
      <w:r w:rsidRPr="00795AD6">
        <w:rPr>
          <w:i/>
        </w:rPr>
        <w:t>Report and Order</w:t>
      </w:r>
      <w:r>
        <w:t>, 29 FCC Rcd at 6839, para. 666</w:t>
      </w:r>
    </w:p>
  </w:footnote>
  <w:footnote w:id="107">
    <w:p w:rsidR="00E0558D" w:rsidRPr="004410EC" w:rsidRDefault="00E0558D" w:rsidP="003A697C">
      <w:pPr>
        <w:pStyle w:val="FootnoteText"/>
        <w:rPr>
          <w:i/>
        </w:rPr>
      </w:pPr>
      <w:r>
        <w:rPr>
          <w:rStyle w:val="FootnoteReference"/>
        </w:rPr>
        <w:footnoteRef/>
      </w:r>
      <w:r>
        <w:t xml:space="preserve"> </w:t>
      </w:r>
      <w:r>
        <w:rPr>
          <w:i/>
        </w:rPr>
        <w:t xml:space="preserve">Id. </w:t>
      </w:r>
      <w:r w:rsidRPr="00B53A97">
        <w:t xml:space="preserve">Along similar lines, LPTV Spectrum suggests that the Commission conduct a “mock LPTV repacking.”  LPTV Spectrum Aug. 27, 2013 </w:t>
      </w:r>
      <w:r w:rsidRPr="000379BA">
        <w:rPr>
          <w:i/>
        </w:rPr>
        <w:t>Ex Parte</w:t>
      </w:r>
      <w:r w:rsidRPr="00B53A97">
        <w:t xml:space="preserve"> at 7</w:t>
      </w:r>
      <w:r>
        <w:t>.</w:t>
      </w:r>
    </w:p>
  </w:footnote>
  <w:footnote w:id="108">
    <w:p w:rsidR="00E0558D" w:rsidRPr="005F75FF" w:rsidRDefault="00E0558D">
      <w:pPr>
        <w:pStyle w:val="FootnoteText"/>
      </w:pPr>
      <w:r>
        <w:rPr>
          <w:rStyle w:val="FootnoteReference"/>
        </w:rPr>
        <w:footnoteRef/>
      </w:r>
      <w:r>
        <w:t xml:space="preserve"> </w:t>
      </w:r>
      <w:r>
        <w:rPr>
          <w:i/>
        </w:rPr>
        <w:t>See</w:t>
      </w:r>
      <w:r>
        <w:t xml:space="preserve"> LPTV Spectrum Aug. 15, 2014 </w:t>
      </w:r>
      <w:r>
        <w:rPr>
          <w:i/>
        </w:rPr>
        <w:t>Ex Parte</w:t>
      </w:r>
      <w:r>
        <w:t xml:space="preserve"> at 7 (asking w</w:t>
      </w:r>
      <w:r w:rsidRPr="005F75FF">
        <w:t xml:space="preserve">hich Bureau </w:t>
      </w:r>
      <w:r>
        <w:t>w</w:t>
      </w:r>
      <w:r w:rsidRPr="005F75FF">
        <w:t xml:space="preserve">ill </w:t>
      </w:r>
      <w:r>
        <w:t>c</w:t>
      </w:r>
      <w:r w:rsidRPr="005F75FF">
        <w:t xml:space="preserve">onduct </w:t>
      </w:r>
      <w:r>
        <w:t>t</w:t>
      </w:r>
      <w:r w:rsidRPr="005F75FF">
        <w:t xml:space="preserve">he LPTV </w:t>
      </w:r>
      <w:r>
        <w:t>d</w:t>
      </w:r>
      <w:r w:rsidRPr="005F75FF">
        <w:t xml:space="preserve">isplacement </w:t>
      </w:r>
      <w:r>
        <w:t>process).</w:t>
      </w:r>
    </w:p>
  </w:footnote>
  <w:footnote w:id="109">
    <w:p w:rsidR="00E0558D" w:rsidRDefault="00E0558D" w:rsidP="003A697C">
      <w:pPr>
        <w:pStyle w:val="FootnoteText"/>
      </w:pPr>
      <w:r>
        <w:rPr>
          <w:rStyle w:val="FootnoteReference"/>
        </w:rPr>
        <w:footnoteRef/>
      </w:r>
      <w:r>
        <w:t xml:space="preserve"> </w:t>
      </w:r>
      <w:r>
        <w:rPr>
          <w:i/>
        </w:rPr>
        <w:t xml:space="preserve">See </w:t>
      </w:r>
      <w:r w:rsidRPr="007B6DB6">
        <w:rPr>
          <w:i/>
        </w:rPr>
        <w:t>Inquiry into the Future Role of Low-Power Television Broadcasting and TV Translators</w:t>
      </w:r>
      <w:r>
        <w:t xml:space="preserve">, BC Docket No. 78-253, </w:t>
      </w:r>
      <w:r w:rsidRPr="007B6DB6">
        <w:t>Report and Order</w:t>
      </w:r>
      <w:r>
        <w:t xml:space="preserve">, </w:t>
      </w:r>
      <w:r w:rsidRPr="00294CE8">
        <w:t>51 R</w:t>
      </w:r>
      <w:r>
        <w:t xml:space="preserve">ad. </w:t>
      </w:r>
      <w:r w:rsidRPr="00294CE8">
        <w:t>R</w:t>
      </w:r>
      <w:r>
        <w:t>eg.</w:t>
      </w:r>
      <w:r w:rsidRPr="00294CE8">
        <w:t xml:space="preserve"> 2d </w:t>
      </w:r>
      <w:r>
        <w:t xml:space="preserve">(P &amp; F) </w:t>
      </w:r>
      <w:r w:rsidRPr="00294CE8">
        <w:t>476, 4</w:t>
      </w:r>
      <w:r>
        <w:t>90-91 (1982) (concluding that, given their lower power and secondary status, LPTV applicants should be free to choose their proposed channels subject to the technical rules) (subsequent citations omitted).</w:t>
      </w:r>
    </w:p>
  </w:footnote>
  <w:footnote w:id="110">
    <w:p w:rsidR="00E0558D" w:rsidRDefault="00E0558D">
      <w:pPr>
        <w:pStyle w:val="FootnoteText"/>
      </w:pPr>
      <w:r>
        <w:rPr>
          <w:rStyle w:val="FootnoteReference"/>
        </w:rPr>
        <w:footnoteRef/>
      </w:r>
      <w:r>
        <w:t xml:space="preserve"> 47 C.F.R. § 73.624(c).</w:t>
      </w:r>
    </w:p>
  </w:footnote>
  <w:footnote w:id="111">
    <w:p w:rsidR="00E0558D" w:rsidRPr="005F75FF" w:rsidRDefault="00E0558D">
      <w:pPr>
        <w:pStyle w:val="FootnoteText"/>
      </w:pPr>
      <w:r>
        <w:rPr>
          <w:rStyle w:val="FootnoteReference"/>
        </w:rPr>
        <w:footnoteRef/>
      </w:r>
      <w:r>
        <w:t xml:space="preserve"> </w:t>
      </w:r>
      <w:r>
        <w:rPr>
          <w:i/>
        </w:rPr>
        <w:t>See</w:t>
      </w:r>
      <w:r>
        <w:t xml:space="preserve">, </w:t>
      </w:r>
      <w:r>
        <w:rPr>
          <w:i/>
        </w:rPr>
        <w:t>e.g.</w:t>
      </w:r>
      <w:r>
        <w:t xml:space="preserve">, LPTV Spectrum Aug. 15, 2014 </w:t>
      </w:r>
      <w:r>
        <w:rPr>
          <w:i/>
        </w:rPr>
        <w:t>Ex Parte</w:t>
      </w:r>
      <w:r>
        <w:t xml:space="preserve"> at 6 (noting that it is preparing </w:t>
      </w:r>
      <w:r w:rsidRPr="006B3206">
        <w:t>an LPTV experimenta</w:t>
      </w:r>
      <w:r>
        <w:t>l license program including “a</w:t>
      </w:r>
      <w:r w:rsidRPr="006B3206">
        <w:t xml:space="preserve"> digital channel-6 transmission system with an 87.7 FM signal</w:t>
      </w:r>
      <w:r>
        <w:t>”).</w:t>
      </w:r>
    </w:p>
  </w:footnote>
  <w:footnote w:id="112">
    <w:p w:rsidR="00E0558D" w:rsidRDefault="00E0558D" w:rsidP="008F17E1">
      <w:pPr>
        <w:pStyle w:val="FootnoteText"/>
      </w:pPr>
      <w:r>
        <w:rPr>
          <w:rStyle w:val="FootnoteReference"/>
        </w:rPr>
        <w:footnoteRef/>
      </w:r>
      <w:r>
        <w:t xml:space="preserve"> </w:t>
      </w:r>
      <w:r w:rsidRPr="000F5874">
        <w:rPr>
          <w:i/>
        </w:rPr>
        <w:t>See</w:t>
      </w:r>
      <w:r>
        <w:t xml:space="preserve"> pending application of</w:t>
      </w:r>
      <w:r w:rsidRPr="000F5874">
        <w:rPr>
          <w:i/>
        </w:rPr>
        <w:t xml:space="preserve"> </w:t>
      </w:r>
      <w:r>
        <w:t xml:space="preserve">Venture Technologies Group, LLC (Venture), licensee of KFMP-LP, channel 6, Lubbock, Texas, </w:t>
      </w:r>
      <w:r w:rsidRPr="00384119">
        <w:t>File</w:t>
      </w:r>
      <w:r>
        <w:t xml:space="preserve"> No. BMPDVL-20140226AFU.  Ve</w:t>
      </w:r>
      <w:r w:rsidRPr="00384119">
        <w:t xml:space="preserve">nture </w:t>
      </w:r>
      <w:r>
        <w:t xml:space="preserve">previously </w:t>
      </w:r>
      <w:r w:rsidRPr="00384119">
        <w:t>filed a modification application</w:t>
      </w:r>
      <w:r>
        <w:t xml:space="preserve"> in 2012</w:t>
      </w:r>
      <w:r w:rsidRPr="00384119">
        <w:t xml:space="preserve"> seeking to use a “hybrid” transmission method different than the one that has been adopted for digital LPTV and TV translator stations in order to continue providing its FM radio-type service after it converted to digital</w:t>
      </w:r>
      <w:r>
        <w:t xml:space="preserve">.  </w:t>
      </w:r>
      <w:r w:rsidRPr="00F52192">
        <w:rPr>
          <w:i/>
        </w:rPr>
        <w:t>See</w:t>
      </w:r>
      <w:r w:rsidRPr="00384119">
        <w:t xml:space="preserve"> File No. BMPDVL-201201131AAE, Exh. 13</w:t>
      </w:r>
      <w:r>
        <w:t xml:space="preserve">.  </w:t>
      </w:r>
      <w:r w:rsidRPr="00384119">
        <w:t>The Video Division dismissed th</w:t>
      </w:r>
      <w:r>
        <w:t>at</w:t>
      </w:r>
      <w:r w:rsidRPr="00384119">
        <w:t xml:space="preserve"> application because it failed to comply with various Commission rules.</w:t>
      </w:r>
      <w:r>
        <w:t xml:space="preserve">  </w:t>
      </w:r>
      <w:r>
        <w:rPr>
          <w:i/>
        </w:rPr>
        <w:t>See</w:t>
      </w:r>
      <w:r>
        <w:t xml:space="preserve"> Letter to Venture Technologies Group, LLC from Hossein Hashemzadeh, Deputy Chief of Video Division, File No. </w:t>
      </w:r>
      <w:r w:rsidRPr="00045E05">
        <w:t>BMPDVL-20120113AEE</w:t>
      </w:r>
      <w:r>
        <w:t xml:space="preserve">, Aug. 2, 2012, available at:  </w:t>
      </w:r>
      <w:hyperlink r:id="rId2" w:history="1">
        <w:r w:rsidRPr="00040ECB">
          <w:rPr>
            <w:rStyle w:val="Hyperlink"/>
          </w:rPr>
          <w:t>http://licensing.fcc.gov/cgi-bin/prod/cdbs/forms/prod/getimportletter_exh.cgi?import_letter_id=35147</w:t>
        </w:r>
      </w:hyperlink>
    </w:p>
  </w:footnote>
  <w:footnote w:id="113">
    <w:p w:rsidR="00E0558D" w:rsidRDefault="00E0558D">
      <w:pPr>
        <w:pStyle w:val="FootnoteText"/>
      </w:pPr>
      <w:r>
        <w:rPr>
          <w:rStyle w:val="FootnoteReference"/>
        </w:rPr>
        <w:footnoteRef/>
      </w:r>
      <w:r>
        <w:t xml:space="preserve"> 47 C.F.R. § 74.790(i), </w:t>
      </w:r>
      <w:r w:rsidRPr="007B6DB6">
        <w:t>citing</w:t>
      </w:r>
      <w:r>
        <w:t xml:space="preserve"> § 73.624(c)</w:t>
      </w:r>
      <w:r w:rsidRPr="00F216E5">
        <w:t>.</w:t>
      </w:r>
    </w:p>
  </w:footnote>
  <w:footnote w:id="114">
    <w:p w:rsidR="00E0558D" w:rsidRDefault="00E0558D">
      <w:pPr>
        <w:pStyle w:val="FootnoteText"/>
      </w:pPr>
      <w:r>
        <w:rPr>
          <w:rStyle w:val="FootnoteReference"/>
        </w:rPr>
        <w:footnoteRef/>
      </w:r>
      <w:r>
        <w:t xml:space="preserve"> </w:t>
      </w:r>
      <w:r w:rsidRPr="00045E05">
        <w:t>47 C.F.R. § 73.624(c).</w:t>
      </w:r>
    </w:p>
  </w:footnote>
  <w:footnote w:id="115">
    <w:p w:rsidR="00E0558D" w:rsidRPr="006378F2" w:rsidRDefault="00E0558D" w:rsidP="006378F2">
      <w:pPr>
        <w:pStyle w:val="FootnoteText"/>
      </w:pPr>
      <w:r>
        <w:rPr>
          <w:rStyle w:val="FootnoteReference"/>
        </w:rPr>
        <w:footnoteRef/>
      </w:r>
      <w:r>
        <w:t xml:space="preserve"> Because TV translators are licensed only for the </w:t>
      </w:r>
      <w:r w:rsidRPr="0062426A">
        <w:t>simultaneous retransmission of the programs and signals of</w:t>
      </w:r>
      <w:r>
        <w:t xml:space="preserve"> a television broadcast station, and, with the exception of airing not more than 30 seconds an hour of local announcements, do not originate programming, we do not propose that TV translators be eligible to operate this type of service.  </w:t>
      </w:r>
      <w:r>
        <w:rPr>
          <w:i/>
        </w:rPr>
        <w:t xml:space="preserve">See </w:t>
      </w:r>
      <w:r>
        <w:t xml:space="preserve">47 C.F.R. </w:t>
      </w:r>
      <w:r w:rsidRPr="006378F2">
        <w:t>§</w:t>
      </w:r>
      <w:r>
        <w:t xml:space="preserve"> 74.731(b) and (f).</w:t>
      </w:r>
    </w:p>
  </w:footnote>
  <w:footnote w:id="116">
    <w:p w:rsidR="00E0558D" w:rsidRPr="00F36889" w:rsidRDefault="00E0558D" w:rsidP="00F36889">
      <w:pPr>
        <w:spacing w:after="120"/>
        <w:rPr>
          <w:i/>
          <w:sz w:val="20"/>
        </w:rPr>
      </w:pPr>
      <w:r>
        <w:rPr>
          <w:rStyle w:val="FootnoteReference"/>
        </w:rPr>
        <w:footnoteRef/>
      </w:r>
      <w:r>
        <w:t xml:space="preserve"> </w:t>
      </w:r>
      <w:r w:rsidRPr="00B90A1A">
        <w:rPr>
          <w:i/>
          <w:sz w:val="20"/>
        </w:rPr>
        <w:t>See</w:t>
      </w:r>
      <w:r w:rsidRPr="00990A35">
        <w:rPr>
          <w:sz w:val="20"/>
        </w:rPr>
        <w:t xml:space="preserve"> </w:t>
      </w:r>
      <w:r w:rsidRPr="00734404">
        <w:rPr>
          <w:sz w:val="20"/>
        </w:rPr>
        <w:t xml:space="preserve">47 U.S.C. § 336(a)-(b); 47 C.F.R. § 74.790(i); </w:t>
      </w:r>
      <w:r w:rsidRPr="00990A35">
        <w:rPr>
          <w:i/>
          <w:sz w:val="20"/>
        </w:rPr>
        <w:t xml:space="preserve">LPTV DTV Second Report and Order, </w:t>
      </w:r>
      <w:r w:rsidRPr="00990A35">
        <w:rPr>
          <w:sz w:val="20"/>
        </w:rPr>
        <w:t>2</w:t>
      </w:r>
      <w:r w:rsidRPr="00990A35">
        <w:rPr>
          <w:color w:val="000000"/>
          <w:sz w:val="20"/>
        </w:rPr>
        <w:t xml:space="preserve">6 FCC Rcd at </w:t>
      </w:r>
      <w:r w:rsidRPr="00990A35">
        <w:rPr>
          <w:sz w:val="20"/>
        </w:rPr>
        <w:t xml:space="preserve">10757-58, </w:t>
      </w:r>
      <w:r>
        <w:rPr>
          <w:sz w:val="20"/>
        </w:rPr>
        <w:t>para.</w:t>
      </w:r>
      <w:r w:rsidRPr="00990A35">
        <w:rPr>
          <w:sz w:val="20"/>
        </w:rPr>
        <w:t xml:space="preserve"> 55</w:t>
      </w:r>
      <w:r>
        <w:rPr>
          <w:sz w:val="20"/>
        </w:rPr>
        <w:t xml:space="preserve"> (discussing section 336(e) as applied to LPTV); </w:t>
      </w:r>
      <w:r>
        <w:rPr>
          <w:i/>
          <w:sz w:val="20"/>
        </w:rPr>
        <w:t>s</w:t>
      </w:r>
      <w:r w:rsidRPr="00F36889">
        <w:rPr>
          <w:i/>
          <w:sz w:val="20"/>
        </w:rPr>
        <w:t>ee</w:t>
      </w:r>
      <w:r>
        <w:rPr>
          <w:i/>
          <w:sz w:val="20"/>
        </w:rPr>
        <w:t xml:space="preserve"> also</w:t>
      </w:r>
      <w:r w:rsidRPr="00F36889">
        <w:rPr>
          <w:i/>
          <w:sz w:val="20"/>
        </w:rPr>
        <w:t xml:space="preserve"> </w:t>
      </w:r>
      <w:r w:rsidRPr="00F36889">
        <w:rPr>
          <w:sz w:val="20"/>
        </w:rPr>
        <w:t>§ 201 of the Telecommunications Act of 1996, Pub. L. No. 104-104, 110 Stat. 56, 108-109 (1996), codified at</w:t>
      </w:r>
      <w:r w:rsidRPr="00F36889">
        <w:rPr>
          <w:i/>
          <w:sz w:val="20"/>
        </w:rPr>
        <w:t xml:space="preserve"> </w:t>
      </w:r>
      <w:r w:rsidRPr="00F36889">
        <w:rPr>
          <w:sz w:val="20"/>
        </w:rPr>
        <w:t xml:space="preserve">47 U.S.C. § 336 (Telecom Act); </w:t>
      </w:r>
      <w:r w:rsidRPr="00F36889">
        <w:rPr>
          <w:i/>
          <w:color w:val="000000" w:themeColor="text1"/>
          <w:sz w:val="20"/>
        </w:rPr>
        <w:t>Advanced Television Systems and Their Impact upon the Existing Television Broadcast Service</w:t>
      </w:r>
      <w:r w:rsidRPr="00F36889">
        <w:rPr>
          <w:color w:val="000000" w:themeColor="text1"/>
          <w:sz w:val="20"/>
        </w:rPr>
        <w:t xml:space="preserve">, </w:t>
      </w:r>
      <w:r w:rsidRPr="00F36889">
        <w:rPr>
          <w:color w:val="000000"/>
          <w:sz w:val="20"/>
        </w:rPr>
        <w:t>MM Docket No. 87-268</w:t>
      </w:r>
      <w:r>
        <w:rPr>
          <w:color w:val="000000"/>
          <w:sz w:val="20"/>
        </w:rPr>
        <w:t xml:space="preserve">, </w:t>
      </w:r>
      <w:r w:rsidRPr="00F36889">
        <w:rPr>
          <w:iCs/>
          <w:color w:val="000000" w:themeColor="text1"/>
          <w:sz w:val="20"/>
        </w:rPr>
        <w:t>Fifth Report and Order</w:t>
      </w:r>
      <w:r w:rsidRPr="00F36889">
        <w:rPr>
          <w:color w:val="000000" w:themeColor="text1"/>
          <w:sz w:val="20"/>
        </w:rPr>
        <w:t xml:space="preserve">, 12 FCC Rcd 12809, 12820-23, </w:t>
      </w:r>
      <w:r>
        <w:rPr>
          <w:color w:val="000000" w:themeColor="text1"/>
          <w:sz w:val="20"/>
        </w:rPr>
        <w:t>paras.</w:t>
      </w:r>
      <w:r w:rsidRPr="00F36889">
        <w:rPr>
          <w:color w:val="000000" w:themeColor="text1"/>
          <w:sz w:val="20"/>
        </w:rPr>
        <w:t xml:space="preserve"> 27-36 (1997);</w:t>
      </w:r>
      <w:r>
        <w:rPr>
          <w:color w:val="000000" w:themeColor="text1"/>
          <w:sz w:val="20"/>
        </w:rPr>
        <w:t xml:space="preserve"> </w:t>
      </w:r>
      <w:r w:rsidRPr="00F36889">
        <w:rPr>
          <w:color w:val="000000"/>
          <w:sz w:val="20"/>
        </w:rPr>
        <w:t xml:space="preserve">Memorandum Opinion and Order on Reconsideration of the Fifth Report and Order, 13 FCC Rcd 6860, </w:t>
      </w:r>
      <w:r>
        <w:rPr>
          <w:color w:val="000000"/>
          <w:sz w:val="20"/>
        </w:rPr>
        <w:t>6868-71, paras.</w:t>
      </w:r>
      <w:r w:rsidRPr="00F36889">
        <w:rPr>
          <w:color w:val="000000"/>
          <w:sz w:val="20"/>
        </w:rPr>
        <w:t xml:space="preserve"> 25-30 (1998); </w:t>
      </w:r>
      <w:r w:rsidRPr="00F36889">
        <w:rPr>
          <w:i/>
          <w:sz w:val="20"/>
        </w:rPr>
        <w:t>In the Matter of Fees for Ancillary or Supplementary Use of Digital Television Spectrum Pursuant to Section 336(e)(1) of the Telecommunications Act of 1996</w:t>
      </w:r>
      <w:r w:rsidRPr="00F36889">
        <w:rPr>
          <w:sz w:val="20"/>
        </w:rPr>
        <w:t>, MM Docket No. 97-247, Report and Order, 14 FCC Rcd 3259 (1998); Memorandum Opinion and Order on Reconsideration</w:t>
      </w:r>
      <w:r w:rsidRPr="00F36889">
        <w:rPr>
          <w:i/>
          <w:sz w:val="20"/>
        </w:rPr>
        <w:t xml:space="preserve">, </w:t>
      </w:r>
      <w:r w:rsidRPr="00F36889">
        <w:rPr>
          <w:sz w:val="20"/>
        </w:rPr>
        <w:t xml:space="preserve">14 FCC Rcd 19931 (1999); </w:t>
      </w:r>
      <w:r w:rsidRPr="00F36889">
        <w:rPr>
          <w:i/>
          <w:sz w:val="20"/>
        </w:rPr>
        <w:t>In the Matter of Ancillary or Supplementary Use of Digital Television Capacity by Noncommercial Licensees</w:t>
      </w:r>
      <w:r w:rsidRPr="00F36889">
        <w:rPr>
          <w:sz w:val="20"/>
        </w:rPr>
        <w:t>, MM Docket No. 98-203, Report and Order, 16 FCC Rcd 19042 (2001).</w:t>
      </w:r>
      <w:r>
        <w:rPr>
          <w:sz w:val="20"/>
        </w:rPr>
        <w:t xml:space="preserve">  </w:t>
      </w:r>
    </w:p>
  </w:footnote>
  <w:footnote w:id="117">
    <w:p w:rsidR="00E0558D" w:rsidRDefault="00E0558D">
      <w:pPr>
        <w:pStyle w:val="FootnoteText"/>
      </w:pPr>
      <w:r>
        <w:rPr>
          <w:rStyle w:val="FootnoteReference"/>
        </w:rPr>
        <w:footnoteRef/>
      </w:r>
      <w:r>
        <w:t xml:space="preserve"> </w:t>
      </w:r>
      <w:r w:rsidRPr="00E76073">
        <w:rPr>
          <w:i/>
        </w:rPr>
        <w:t>See</w:t>
      </w:r>
      <w:r>
        <w:t xml:space="preserve"> 47 C.F.R. § 74.790(g)(3)</w:t>
      </w:r>
      <w:r w:rsidRPr="00B85D80">
        <w:t>.</w:t>
      </w:r>
    </w:p>
  </w:footnote>
  <w:footnote w:id="118">
    <w:p w:rsidR="00E0558D" w:rsidRDefault="00E0558D">
      <w:pPr>
        <w:pStyle w:val="FootnoteText"/>
      </w:pPr>
      <w:r>
        <w:rPr>
          <w:rStyle w:val="FootnoteReference"/>
        </w:rPr>
        <w:footnoteRef/>
      </w:r>
      <w:r>
        <w:t xml:space="preserve"> 47 U.S.C. § 336(b)(1).</w:t>
      </w:r>
    </w:p>
  </w:footnote>
  <w:footnote w:id="119">
    <w:p w:rsidR="00E0558D" w:rsidRDefault="00E0558D">
      <w:pPr>
        <w:pStyle w:val="FootnoteText"/>
      </w:pPr>
      <w:r>
        <w:rPr>
          <w:rStyle w:val="FootnoteReference"/>
        </w:rPr>
        <w:footnoteRef/>
      </w:r>
      <w:r>
        <w:t xml:space="preserve"> 47 U.S.C. § 336(b)(2).</w:t>
      </w:r>
    </w:p>
  </w:footnote>
  <w:footnote w:id="120">
    <w:p w:rsidR="00E0558D" w:rsidRDefault="00E0558D" w:rsidP="006B1989">
      <w:pPr>
        <w:pStyle w:val="FootnoteText"/>
      </w:pPr>
      <w:r>
        <w:rPr>
          <w:rStyle w:val="FootnoteReference"/>
        </w:rPr>
        <w:footnoteRef/>
      </w:r>
      <w:r>
        <w:t xml:space="preserve"> </w:t>
      </w:r>
      <w:r w:rsidRPr="008D467C">
        <w:rPr>
          <w:i/>
        </w:rPr>
        <w:t>See</w:t>
      </w:r>
      <w:r>
        <w:t xml:space="preserve"> 47 C.F.R. § 73.509.</w:t>
      </w:r>
    </w:p>
  </w:footnote>
  <w:footnote w:id="121">
    <w:p w:rsidR="00E0558D" w:rsidRDefault="00E0558D">
      <w:pPr>
        <w:pStyle w:val="FootnoteText"/>
      </w:pPr>
      <w:r>
        <w:rPr>
          <w:rStyle w:val="FootnoteReference"/>
        </w:rPr>
        <w:footnoteRef/>
      </w:r>
      <w:r>
        <w:t xml:space="preserve"> B</w:t>
      </w:r>
      <w:r w:rsidRPr="001F1F56">
        <w:t xml:space="preserve">ecause </w:t>
      </w:r>
      <w:r>
        <w:t>a</w:t>
      </w:r>
      <w:r w:rsidRPr="001F1F56">
        <w:t xml:space="preserve"> digital transmission is more specifically “channelized</w:t>
      </w:r>
      <w:r>
        <w:t>,</w:t>
      </w:r>
      <w:r w:rsidRPr="001F1F56">
        <w:t xml:space="preserve">” </w:t>
      </w:r>
      <w:r>
        <w:t>it does not appear that LPTV stations operating on channel 6 could propose using an HD radio transmitter to provide the same type of ancillary or supplementary radio service and must propose an analog radio operation so that listeners can receive their service.</w:t>
      </w:r>
    </w:p>
  </w:footnote>
  <w:footnote w:id="122">
    <w:p w:rsidR="00E0558D" w:rsidRDefault="00E0558D">
      <w:pPr>
        <w:pStyle w:val="FootnoteText"/>
      </w:pPr>
      <w:r>
        <w:rPr>
          <w:rStyle w:val="FootnoteReference"/>
        </w:rPr>
        <w:footnoteRef/>
      </w:r>
      <w:r>
        <w:t xml:space="preserve"> 47 U.S.C. § 336(b)(3).  Section 73.624(c)(1) of the Commission’s rules contains a similar provision.  </w:t>
      </w:r>
      <w:r w:rsidRPr="00E11049">
        <w:rPr>
          <w:i/>
        </w:rPr>
        <w:t>See</w:t>
      </w:r>
      <w:r w:rsidRPr="00E11049">
        <w:t xml:space="preserve"> 47 C.F.R. § 73.624(c)</w:t>
      </w:r>
      <w:r>
        <w:t>(1) (digital television stations may offer “audio signals” on a “broadcast basis,” but “</w:t>
      </w:r>
      <w:r w:rsidRPr="00406849">
        <w:rPr>
          <w:szCs w:val="22"/>
        </w:rPr>
        <w:t>DTV licensees that provide ancillary or supplementary services that are analogous to other services subject to regulation by the Commission must comply with the Commission regulations that apply to those services. . . .”</w:t>
      </w:r>
      <w:r>
        <w:t>).</w:t>
      </w:r>
    </w:p>
  </w:footnote>
  <w:footnote w:id="123">
    <w:p w:rsidR="00E0558D" w:rsidRDefault="00E0558D">
      <w:pPr>
        <w:pStyle w:val="FootnoteText"/>
      </w:pPr>
      <w:r>
        <w:rPr>
          <w:rStyle w:val="FootnoteReference"/>
        </w:rPr>
        <w:footnoteRef/>
      </w:r>
      <w:r>
        <w:t xml:space="preserve"> </w:t>
      </w:r>
      <w:r w:rsidRPr="00E11049">
        <w:rPr>
          <w:i/>
        </w:rPr>
        <w:t>See</w:t>
      </w:r>
      <w:r w:rsidRPr="00E11049">
        <w:t xml:space="preserve"> 47 C.F.R. §</w:t>
      </w:r>
      <w:r>
        <w:t xml:space="preserve"> 73.201.</w:t>
      </w:r>
    </w:p>
  </w:footnote>
  <w:footnote w:id="124">
    <w:p w:rsidR="00E0558D" w:rsidRDefault="00E0558D">
      <w:pPr>
        <w:pStyle w:val="FootnoteText"/>
      </w:pPr>
      <w:r>
        <w:rPr>
          <w:rStyle w:val="FootnoteReference"/>
        </w:rPr>
        <w:footnoteRef/>
      </w:r>
      <w:r>
        <w:t xml:space="preserve"> </w:t>
      </w:r>
      <w:r w:rsidRPr="009B5A8D">
        <w:t>We note that the KFMP-LP application proposes use of channel 87.76 MHz</w:t>
      </w:r>
      <w:r>
        <w:t xml:space="preserve">.  </w:t>
      </w:r>
      <w:r w:rsidRPr="004E6BCC">
        <w:rPr>
          <w:i/>
        </w:rPr>
        <w:t>See supra</w:t>
      </w:r>
      <w:r>
        <w:t xml:space="preserve"> n. 11</w:t>
      </w:r>
      <w:r w:rsidR="004C115D">
        <w:t>1</w:t>
      </w:r>
      <w:r>
        <w:t>.</w:t>
      </w:r>
    </w:p>
  </w:footnote>
  <w:footnote w:id="125">
    <w:p w:rsidR="00E0558D" w:rsidRDefault="00E0558D">
      <w:pPr>
        <w:pStyle w:val="FootnoteText"/>
      </w:pPr>
      <w:r>
        <w:rPr>
          <w:rStyle w:val="FootnoteReference"/>
        </w:rPr>
        <w:footnoteRef/>
      </w:r>
      <w:r>
        <w:t xml:space="preserve"> </w:t>
      </w:r>
      <w:r w:rsidRPr="00E11049">
        <w:rPr>
          <w:i/>
        </w:rPr>
        <w:t>See</w:t>
      </w:r>
      <w:r w:rsidRPr="00E11049">
        <w:t xml:space="preserve"> 47 C.F.R. §</w:t>
      </w:r>
      <w:r>
        <w:t xml:space="preserve"> 73.202.</w:t>
      </w:r>
    </w:p>
  </w:footnote>
  <w:footnote w:id="126">
    <w:p w:rsidR="00E0558D" w:rsidRDefault="00E0558D">
      <w:pPr>
        <w:pStyle w:val="FootnoteText"/>
      </w:pPr>
      <w:r>
        <w:rPr>
          <w:rStyle w:val="FootnoteReference"/>
        </w:rPr>
        <w:footnoteRef/>
      </w:r>
      <w:r>
        <w:t xml:space="preserve"> </w:t>
      </w:r>
      <w:r w:rsidRPr="00E11049">
        <w:rPr>
          <w:i/>
        </w:rPr>
        <w:t>See</w:t>
      </w:r>
      <w:r w:rsidRPr="00E11049">
        <w:t xml:space="preserve"> 47 C.F.R. §</w:t>
      </w:r>
      <w:r w:rsidRPr="00A36A05">
        <w:t>§</w:t>
      </w:r>
      <w:r>
        <w:t xml:space="preserve"> 73.1125 and 73.3526.</w:t>
      </w:r>
    </w:p>
  </w:footnote>
  <w:footnote w:id="127">
    <w:p w:rsidR="00E0558D" w:rsidRDefault="00E0558D">
      <w:pPr>
        <w:pStyle w:val="FootnoteText"/>
      </w:pPr>
      <w:r>
        <w:rPr>
          <w:rStyle w:val="FootnoteReference"/>
        </w:rPr>
        <w:footnoteRef/>
      </w:r>
      <w:r>
        <w:t xml:space="preserve"> </w:t>
      </w:r>
      <w:r w:rsidRPr="00E11049">
        <w:rPr>
          <w:i/>
        </w:rPr>
        <w:t>See</w:t>
      </w:r>
      <w:r w:rsidRPr="00E11049">
        <w:t xml:space="preserve"> 47 C.F.R. §§</w:t>
      </w:r>
      <w:r>
        <w:t xml:space="preserve"> 73.204 and 73.504.</w:t>
      </w:r>
    </w:p>
  </w:footnote>
  <w:footnote w:id="128">
    <w:p w:rsidR="00E0558D" w:rsidRDefault="00E0558D">
      <w:pPr>
        <w:pStyle w:val="FootnoteText"/>
      </w:pPr>
      <w:r>
        <w:rPr>
          <w:rStyle w:val="FootnoteReference"/>
        </w:rPr>
        <w:footnoteRef/>
      </w:r>
      <w:r>
        <w:t xml:space="preserve"> </w:t>
      </w:r>
      <w:r w:rsidRPr="00E11049">
        <w:rPr>
          <w:i/>
        </w:rPr>
        <w:t>See</w:t>
      </w:r>
      <w:r w:rsidRPr="00E11049">
        <w:t xml:space="preserve"> 47 C.F.R. § 73.624(</w:t>
      </w:r>
      <w:r>
        <w:t>g).</w:t>
      </w:r>
    </w:p>
  </w:footnote>
  <w:footnote w:id="129">
    <w:p w:rsidR="00E0558D" w:rsidRPr="003857B5" w:rsidRDefault="00E0558D">
      <w:pPr>
        <w:pStyle w:val="FootnoteText"/>
      </w:pPr>
      <w:r>
        <w:rPr>
          <w:rStyle w:val="FootnoteReference"/>
        </w:rPr>
        <w:footnoteRef/>
      </w:r>
      <w:r>
        <w:t xml:space="preserve"> </w:t>
      </w:r>
      <w:r>
        <w:rPr>
          <w:i/>
        </w:rPr>
        <w:t>Id.</w:t>
      </w:r>
      <w:r>
        <w:t xml:space="preserve">; </w:t>
      </w:r>
      <w:r w:rsidRPr="003857B5">
        <w:rPr>
          <w:i/>
        </w:rPr>
        <w:t>see also</w:t>
      </w:r>
      <w:r>
        <w:t xml:space="preserve"> 47 U.S.C. § 336(e).</w:t>
      </w:r>
    </w:p>
  </w:footnote>
  <w:footnote w:id="130">
    <w:p w:rsidR="00E0558D" w:rsidRDefault="00E0558D">
      <w:pPr>
        <w:pStyle w:val="FootnoteText"/>
      </w:pPr>
      <w:r>
        <w:rPr>
          <w:rStyle w:val="FootnoteReference"/>
        </w:rPr>
        <w:footnoteRef/>
      </w:r>
      <w:r>
        <w:t xml:space="preserve"> </w:t>
      </w:r>
      <w:r w:rsidRPr="00E11049">
        <w:rPr>
          <w:i/>
        </w:rPr>
        <w:t>See</w:t>
      </w:r>
      <w:r w:rsidRPr="00E11049">
        <w:t xml:space="preserve"> 47 C.F.R. § 73.624(</w:t>
      </w:r>
      <w:r>
        <w:t xml:space="preserve">g)(1)(i); </w:t>
      </w:r>
      <w:r w:rsidRPr="004E6BCC">
        <w:rPr>
          <w:i/>
        </w:rPr>
        <w:t>see also</w:t>
      </w:r>
      <w:r>
        <w:t xml:space="preserve"> 47 U.S.C. § 336(e)(1)(A).  </w:t>
      </w:r>
      <w:r>
        <w:rPr>
          <w:szCs w:val="22"/>
        </w:rPr>
        <w:t>Moreover,</w:t>
      </w:r>
      <w:r w:rsidRPr="005E5F1F">
        <w:rPr>
          <w:szCs w:val="22"/>
        </w:rPr>
        <w:t xml:space="preserve"> </w:t>
      </w:r>
      <w:r>
        <w:rPr>
          <w:szCs w:val="22"/>
        </w:rPr>
        <w:t xml:space="preserve">the rules provide that </w:t>
      </w:r>
      <w:r w:rsidRPr="007573BE">
        <w:rPr>
          <w:color w:val="000000"/>
        </w:rPr>
        <w:t>“[t]he fee required by this provision shall be imposed on any and all revenues from such services, including revenues derived from subscription fees and from any commercial advertisements transmitted on the service.”</w:t>
      </w:r>
      <w:r>
        <w:rPr>
          <w:color w:val="000000"/>
        </w:rPr>
        <w:t xml:space="preserve">  </w:t>
      </w:r>
      <w:r w:rsidRPr="00E11049">
        <w:rPr>
          <w:i/>
        </w:rPr>
        <w:t>See</w:t>
      </w:r>
      <w:r w:rsidRPr="00E11049">
        <w:t xml:space="preserve"> 47 C.F.R. § 73.624(</w:t>
      </w:r>
      <w:r>
        <w:t>g)(1)(i).</w:t>
      </w:r>
    </w:p>
  </w:footnote>
  <w:footnote w:id="131">
    <w:p w:rsidR="00E0558D" w:rsidRDefault="00E0558D">
      <w:pPr>
        <w:pStyle w:val="FootnoteText"/>
      </w:pPr>
      <w:r>
        <w:rPr>
          <w:rStyle w:val="FootnoteReference"/>
        </w:rPr>
        <w:footnoteRef/>
      </w:r>
      <w:r>
        <w:t xml:space="preserve"> </w:t>
      </w:r>
      <w:r w:rsidRPr="00E11049">
        <w:rPr>
          <w:i/>
        </w:rPr>
        <w:t>See</w:t>
      </w:r>
      <w:r w:rsidRPr="00E11049">
        <w:t xml:space="preserve"> 47 C.F.R. § 73.624(</w:t>
      </w:r>
      <w:r>
        <w:t>g)(1)(ii);</w:t>
      </w:r>
      <w:r w:rsidRPr="004E6BCC">
        <w:rPr>
          <w:i/>
        </w:rPr>
        <w:t xml:space="preserve"> see also</w:t>
      </w:r>
      <w:r>
        <w:t xml:space="preserve"> 47 U.S.C. § 336(e)(1)(B).  </w:t>
      </w:r>
      <w:r>
        <w:rPr>
          <w:szCs w:val="22"/>
        </w:rPr>
        <w:t>Moreover,</w:t>
      </w:r>
      <w:r w:rsidRPr="005E5F1F">
        <w:rPr>
          <w:szCs w:val="22"/>
        </w:rPr>
        <w:t xml:space="preserve"> </w:t>
      </w:r>
      <w:r>
        <w:rPr>
          <w:szCs w:val="22"/>
        </w:rPr>
        <w:t xml:space="preserve">the rules provide that </w:t>
      </w:r>
      <w:r w:rsidRPr="005E5F1F">
        <w:rPr>
          <w:szCs w:val="22"/>
        </w:rPr>
        <w:t>“[t]he fee required by this provision shall be imposed on any and all revenues from such services, other than revenues received from a third party in return for the transmission of commercial advertisements used to support broadcasting for which a subscription fee is not required.”</w:t>
      </w:r>
      <w:r>
        <w:rPr>
          <w:szCs w:val="22"/>
        </w:rPr>
        <w:t xml:space="preserve">  </w:t>
      </w:r>
      <w:r w:rsidRPr="00E11049">
        <w:rPr>
          <w:i/>
        </w:rPr>
        <w:t>See</w:t>
      </w:r>
      <w:r w:rsidRPr="00E11049">
        <w:t xml:space="preserve"> 47 C.F.R. § 73.624(</w:t>
      </w:r>
      <w:r>
        <w:t>g)(1)(ii).</w:t>
      </w:r>
    </w:p>
  </w:footnote>
  <w:footnote w:id="132">
    <w:p w:rsidR="00E0558D" w:rsidRDefault="00E0558D">
      <w:pPr>
        <w:pStyle w:val="FootnoteText"/>
      </w:pPr>
      <w:r>
        <w:rPr>
          <w:rStyle w:val="FootnoteReference"/>
        </w:rPr>
        <w:footnoteRef/>
      </w:r>
      <w:r>
        <w:t xml:space="preserve"> 47 C.F.R. </w:t>
      </w:r>
      <w:r w:rsidRPr="00E11049">
        <w:t>§</w:t>
      </w:r>
      <w:r>
        <w:t xml:space="preserve"> 15.117(b).  Section 15.117(b) is a successor to former section 15.70(a) of the Commission’s rules, which implemented the Commission’s authority under the All Channel Receiver Act of 1962  </w:t>
      </w:r>
      <w:r w:rsidRPr="00BE15F8">
        <w:t xml:space="preserve">“to require that apparatus designed to receive television pictures broadcast simultaneously with sound be capable of adequately receiving all frequencies allocated by the Commission to television broadcasting when such apparatus is shipped in interstate commerce, or is imported from any foreign country into the United </w:t>
      </w:r>
      <w:r w:rsidRPr="00B15ABC">
        <w:rPr>
          <w:szCs w:val="22"/>
        </w:rPr>
        <w:t>States, for sale or resale to the public.”</w:t>
      </w:r>
      <w:r>
        <w:rPr>
          <w:szCs w:val="22"/>
        </w:rPr>
        <w:t xml:space="preserve">  </w:t>
      </w:r>
      <w:r w:rsidRPr="00E739D7">
        <w:t>47 U.S.C. § 303(s)</w:t>
      </w:r>
      <w:r>
        <w:t>; All Channel Receiver Act of 1962</w:t>
      </w:r>
      <w:r w:rsidRPr="002B58D7">
        <w:t>, Pub. L. No. 87-529, 76 Stat. 150</w:t>
      </w:r>
      <w:r>
        <w:t xml:space="preserve">.  </w:t>
      </w:r>
      <w:r>
        <w:rPr>
          <w:i/>
        </w:rPr>
        <w:t xml:space="preserve">See also </w:t>
      </w:r>
      <w:r>
        <w:t>S. Rep. 1526, 87</w:t>
      </w:r>
      <w:r w:rsidRPr="00316381">
        <w:rPr>
          <w:vertAlign w:val="superscript"/>
        </w:rPr>
        <w:t>th</w:t>
      </w:r>
      <w:r>
        <w:t xml:space="preserve"> Cong., 2</w:t>
      </w:r>
      <w:r w:rsidRPr="00316381">
        <w:rPr>
          <w:vertAlign w:val="superscript"/>
        </w:rPr>
        <w:t>nd</w:t>
      </w:r>
      <w:r>
        <w:t xml:space="preserve"> Sess. 1962 </w:t>
      </w:r>
      <w:r>
        <w:rPr>
          <w:i/>
        </w:rPr>
        <w:t xml:space="preserve">reprinted at </w:t>
      </w:r>
      <w:r>
        <w:t xml:space="preserve">1962 U.S.C.C.A.N. 1873, 1875 (discussing “the relative scarcity of television receivers in the United States which are capable of receiving the signals of UHF stations” (only about 16 percent), which “prevents effective competition between UHF and VHF stations which operate in the same market”).  </w:t>
      </w:r>
      <w:r w:rsidRPr="00F52192">
        <w:rPr>
          <w:color w:val="000000"/>
          <w:szCs w:val="22"/>
          <w:shd w:val="clear" w:color="auto" w:fill="FFFFFF"/>
        </w:rPr>
        <w:t xml:space="preserve">We note that the </w:t>
      </w:r>
      <w:r w:rsidRPr="00BE15F8">
        <w:t>A</w:t>
      </w:r>
      <w:r>
        <w:t xml:space="preserve">ll Channel Receiver Act grants authority to require that </w:t>
      </w:r>
      <w:r w:rsidRPr="00BE15F8">
        <w:t xml:space="preserve">broadcast </w:t>
      </w:r>
      <w:r>
        <w:t xml:space="preserve">TV </w:t>
      </w:r>
      <w:r w:rsidRPr="00BE15F8">
        <w:t>receivers receive all broadcast c</w:t>
      </w:r>
      <w:r>
        <w:t>hannels, but does not require the Commission</w:t>
      </w:r>
      <w:r w:rsidRPr="00BE15F8">
        <w:t xml:space="preserve"> to impose such a rule.</w:t>
      </w:r>
      <w:r>
        <w:t xml:space="preserve">  </w:t>
      </w:r>
      <w:r w:rsidRPr="00E739D7">
        <w:t>47 U.S.C. § 303(s)</w:t>
      </w:r>
      <w:r>
        <w:t>; All Channel Receiver Act of 1962</w:t>
      </w:r>
      <w:r w:rsidRPr="002B58D7">
        <w:t>, Pub. L. No. 87-529, 76 Stat. 150</w:t>
      </w:r>
      <w:r>
        <w:t xml:space="preserve">. </w:t>
      </w:r>
    </w:p>
  </w:footnote>
  <w:footnote w:id="133">
    <w:p w:rsidR="00E0558D" w:rsidRDefault="00E0558D" w:rsidP="00BE15F8">
      <w:pPr>
        <w:pStyle w:val="FootnoteText"/>
      </w:pPr>
      <w:r>
        <w:rPr>
          <w:rStyle w:val="FootnoteReference"/>
        </w:rPr>
        <w:footnoteRef/>
      </w:r>
      <w:r>
        <w:t xml:space="preserve"> W</w:t>
      </w:r>
      <w:r w:rsidRPr="00D31CD7">
        <w:t xml:space="preserve">e refer to this approach </w:t>
      </w:r>
      <w:r>
        <w:t xml:space="preserve">below </w:t>
      </w:r>
      <w:r w:rsidRPr="00D31CD7">
        <w:t>as “eliminating the analog tuner requirement” as a shorthand for this rule modification</w:t>
      </w:r>
      <w:r>
        <w:t>.</w:t>
      </w:r>
    </w:p>
  </w:footnote>
  <w:footnote w:id="134">
    <w:p w:rsidR="00E0558D" w:rsidRPr="00D021D0" w:rsidRDefault="00E0558D" w:rsidP="00BE15F8">
      <w:pPr>
        <w:pStyle w:val="FootnoteText"/>
      </w:pPr>
      <w:r w:rsidRPr="00E739D7">
        <w:rPr>
          <w:rStyle w:val="FootnoteReference"/>
        </w:rPr>
        <w:footnoteRef/>
      </w:r>
      <w:r w:rsidRPr="00E739D7">
        <w:t xml:space="preserve"> </w:t>
      </w:r>
      <w:r w:rsidRPr="00E739D7">
        <w:rPr>
          <w:i/>
        </w:rPr>
        <w:t xml:space="preserve">See Revision of Part 15 of the Rules </w:t>
      </w:r>
      <w:r>
        <w:rPr>
          <w:i/>
        </w:rPr>
        <w:t>R</w:t>
      </w:r>
      <w:r w:rsidRPr="00E739D7">
        <w:rPr>
          <w:i/>
        </w:rPr>
        <w:t xml:space="preserve">egarding the </w:t>
      </w:r>
      <w:r>
        <w:rPr>
          <w:i/>
        </w:rPr>
        <w:t>O</w:t>
      </w:r>
      <w:r w:rsidRPr="00E739D7">
        <w:rPr>
          <w:i/>
        </w:rPr>
        <w:t xml:space="preserve">peration of </w:t>
      </w:r>
      <w:r>
        <w:rPr>
          <w:i/>
        </w:rPr>
        <w:t>R</w:t>
      </w:r>
      <w:r w:rsidRPr="00E739D7">
        <w:rPr>
          <w:i/>
        </w:rPr>
        <w:t xml:space="preserve">adio </w:t>
      </w:r>
      <w:r>
        <w:rPr>
          <w:i/>
        </w:rPr>
        <w:t>F</w:t>
      </w:r>
      <w:r w:rsidRPr="00E739D7">
        <w:rPr>
          <w:i/>
        </w:rPr>
        <w:t xml:space="preserve">requency </w:t>
      </w:r>
      <w:r>
        <w:rPr>
          <w:i/>
        </w:rPr>
        <w:t>D</w:t>
      </w:r>
      <w:r w:rsidRPr="00E739D7">
        <w:rPr>
          <w:i/>
        </w:rPr>
        <w:t xml:space="preserve">evices </w:t>
      </w:r>
      <w:r>
        <w:rPr>
          <w:i/>
        </w:rPr>
        <w:t>W</w:t>
      </w:r>
      <w:r w:rsidRPr="00E739D7">
        <w:rPr>
          <w:i/>
        </w:rPr>
        <w:t xml:space="preserve">ithout an </w:t>
      </w:r>
      <w:r>
        <w:rPr>
          <w:i/>
        </w:rPr>
        <w:t>I</w:t>
      </w:r>
      <w:r w:rsidRPr="00E739D7">
        <w:rPr>
          <w:i/>
        </w:rPr>
        <w:t xml:space="preserve">ndividual </w:t>
      </w:r>
      <w:r>
        <w:rPr>
          <w:i/>
        </w:rPr>
        <w:t>L</w:t>
      </w:r>
      <w:r w:rsidRPr="00E739D7">
        <w:rPr>
          <w:i/>
        </w:rPr>
        <w:t>icense</w:t>
      </w:r>
      <w:r w:rsidRPr="00E739D7">
        <w:t xml:space="preserve">, </w:t>
      </w:r>
      <w:r>
        <w:t xml:space="preserve">GEN Docket No. 87-389, First Report and Order, </w:t>
      </w:r>
      <w:r w:rsidRPr="00E739D7">
        <w:t xml:space="preserve">4 FCC Rcd 3493, 3517, </w:t>
      </w:r>
      <w:r>
        <w:t>para.</w:t>
      </w:r>
      <w:r w:rsidRPr="00E739D7">
        <w:t xml:space="preserve"> 139 (1989) (adopting 47 C.F.R. § 15.117(b)).</w:t>
      </w:r>
      <w:r>
        <w:t xml:space="preserve">  </w:t>
      </w:r>
      <w:r w:rsidRPr="00B15ABC">
        <w:rPr>
          <w:szCs w:val="22"/>
        </w:rPr>
        <w:t>A “TV broadcast receiver” is defined as a “device designed to receive television pictures that are broadcast simultaneously with sound on the television channels authorized under part 73 of this chapter.”</w:t>
      </w:r>
      <w:r>
        <w:rPr>
          <w:szCs w:val="22"/>
        </w:rPr>
        <w:t xml:space="preserve">  </w:t>
      </w:r>
      <w:r w:rsidRPr="00E739D7">
        <w:t>47 C.F.R. § 15.</w:t>
      </w:r>
      <w:r>
        <w:t xml:space="preserve">3(w).  </w:t>
      </w:r>
      <w:r w:rsidRPr="00B15ABC">
        <w:rPr>
          <w:szCs w:val="22"/>
        </w:rPr>
        <w:t xml:space="preserve">For purposes of </w:t>
      </w:r>
      <w:r>
        <w:rPr>
          <w:szCs w:val="22"/>
        </w:rPr>
        <w:t>47 C.F.R. § 15.117</w:t>
      </w:r>
      <w:r w:rsidRPr="00B15ABC">
        <w:rPr>
          <w:szCs w:val="22"/>
        </w:rPr>
        <w:t>, the term “TV broadcast receiver” includes “devices, such as TV interface devices and set-top devices that are intended to provide audio-video signals to a video monitor, that incorporate the tuner portion of a TV broadcast receiver and that are equipped with an antenna or antenna terminals that can be used for off-the-air reception of TV broadcast signals, as authorized under part 73 of this chapter.”</w:t>
      </w:r>
      <w:r>
        <w:rPr>
          <w:szCs w:val="22"/>
        </w:rPr>
        <w:t xml:space="preserve">  </w:t>
      </w:r>
      <w:r w:rsidRPr="00E739D7">
        <w:t>47 C.F.R. § 15.117(</w:t>
      </w:r>
      <w:r>
        <w:t xml:space="preserve">a). </w:t>
      </w:r>
    </w:p>
  </w:footnote>
  <w:footnote w:id="135">
    <w:p w:rsidR="00E0558D" w:rsidRPr="00604E8E" w:rsidRDefault="00E0558D" w:rsidP="00BE15F8">
      <w:pPr>
        <w:pStyle w:val="FootnoteText"/>
      </w:pPr>
      <w:r w:rsidRPr="00E739D7">
        <w:rPr>
          <w:rStyle w:val="FootnoteReference"/>
        </w:rPr>
        <w:footnoteRef/>
      </w:r>
      <w:r w:rsidRPr="00E739D7">
        <w:t xml:space="preserve"> All-Channel Television Broadcast Receivers, 27 Fed. Reg. 11,698.</w:t>
      </w:r>
      <w:r>
        <w:t xml:space="preserve">  When the Commission defined a TV broadcast receiver to include “</w:t>
      </w:r>
      <w:r>
        <w:rPr>
          <w:szCs w:val="22"/>
        </w:rPr>
        <w:t xml:space="preserve">TV interface devices and set-top devices that are intended to provide audio-video signals to a video monitor,” it was focused on whether those devices should include digital broadcast tuners because of the impending DTV transition, rather than whether devices should include analog broadcast tuners.  </w:t>
      </w:r>
      <w:r w:rsidRPr="000C732C">
        <w:rPr>
          <w:i/>
          <w:szCs w:val="22"/>
        </w:rPr>
        <w:t>See</w:t>
      </w:r>
      <w:r>
        <w:rPr>
          <w:szCs w:val="22"/>
        </w:rPr>
        <w:t xml:space="preserve"> </w:t>
      </w:r>
      <w:r w:rsidRPr="000C732C">
        <w:rPr>
          <w:i/>
          <w:szCs w:val="22"/>
        </w:rPr>
        <w:t>Review of the Commission's Rules and Policies Affecting the Conversion to Digital Television</w:t>
      </w:r>
      <w:r>
        <w:rPr>
          <w:szCs w:val="22"/>
        </w:rPr>
        <w:t>,  MM Docket No. 00-39, Second Report and Order and Second Memorandum Opinion and Order, 17 FCC Rcd 15978, 15995-99,  paras. 39-46 (2002) (“</w:t>
      </w:r>
      <w:r w:rsidRPr="00C34929">
        <w:rPr>
          <w:szCs w:val="22"/>
        </w:rPr>
        <w:t>Consistent with the intent of Congress that we not use our authority under the ACRA to set broad standards for television receivers, we believe that the rules implementing the DTV tuner requirements should avoid imposing new performance standards on DTV except as necessary to ensure that receivers can adequately tune DTV signals on all of the television channels</w:t>
      </w:r>
      <w:r w:rsidRPr="00214DC3">
        <w:rPr>
          <w:szCs w:val="22"/>
        </w:rPr>
        <w:t>.”),</w:t>
      </w:r>
      <w:r w:rsidRPr="00214DC3">
        <w:rPr>
          <w:i/>
          <w:color w:val="000000"/>
          <w:shd w:val="clear" w:color="auto" w:fill="FFFFFF"/>
        </w:rPr>
        <w:t xml:space="preserve"> aff’d</w:t>
      </w:r>
      <w:r>
        <w:rPr>
          <w:i/>
          <w:color w:val="000000"/>
          <w:shd w:val="clear" w:color="auto" w:fill="FFFFFF"/>
        </w:rPr>
        <w:t>,</w:t>
      </w:r>
      <w:r w:rsidRPr="00214DC3">
        <w:rPr>
          <w:i/>
          <w:color w:val="000000"/>
          <w:shd w:val="clear" w:color="auto" w:fill="FFFFFF"/>
        </w:rPr>
        <w:t xml:space="preserve"> Consumer Electronics As</w:t>
      </w:r>
      <w:r>
        <w:rPr>
          <w:i/>
          <w:color w:val="000000"/>
          <w:shd w:val="clear" w:color="auto" w:fill="FFFFFF"/>
        </w:rPr>
        <w:t>s’</w:t>
      </w:r>
      <w:r w:rsidRPr="00214DC3">
        <w:rPr>
          <w:i/>
          <w:color w:val="000000"/>
          <w:shd w:val="clear" w:color="auto" w:fill="FFFFFF"/>
        </w:rPr>
        <w:t>n v. FCC</w:t>
      </w:r>
      <w:r w:rsidRPr="00214DC3">
        <w:rPr>
          <w:color w:val="000000"/>
          <w:shd w:val="clear" w:color="auto" w:fill="FFFFFF"/>
        </w:rPr>
        <w:t>, 347 F.3d 291</w:t>
      </w:r>
      <w:r>
        <w:rPr>
          <w:color w:val="000000"/>
          <w:shd w:val="clear" w:color="auto" w:fill="FFFFFF"/>
        </w:rPr>
        <w:t xml:space="preserve"> </w:t>
      </w:r>
      <w:r w:rsidRPr="00214DC3">
        <w:rPr>
          <w:color w:val="000000"/>
          <w:shd w:val="clear" w:color="auto" w:fill="FFFFFF"/>
        </w:rPr>
        <w:t>(D.C.</w:t>
      </w:r>
      <w:r>
        <w:rPr>
          <w:color w:val="000000"/>
          <w:shd w:val="clear" w:color="auto" w:fill="FFFFFF"/>
        </w:rPr>
        <w:t xml:space="preserve"> </w:t>
      </w:r>
      <w:r w:rsidRPr="00214DC3">
        <w:rPr>
          <w:color w:val="000000"/>
          <w:shd w:val="clear" w:color="auto" w:fill="FFFFFF"/>
        </w:rPr>
        <w:t>Cir. 2003)</w:t>
      </w:r>
      <w:r w:rsidRPr="00214DC3">
        <w:rPr>
          <w:szCs w:val="22"/>
        </w:rPr>
        <w:t>.  T</w:t>
      </w:r>
      <w:r>
        <w:rPr>
          <w:szCs w:val="22"/>
        </w:rPr>
        <w:t>his context informs our analysis of the public interest benefits below.</w:t>
      </w:r>
    </w:p>
  </w:footnote>
  <w:footnote w:id="136">
    <w:p w:rsidR="00E0558D" w:rsidRDefault="00E0558D" w:rsidP="00F77262">
      <w:pPr>
        <w:pStyle w:val="FootnoteText"/>
      </w:pPr>
      <w:r>
        <w:rPr>
          <w:rStyle w:val="FootnoteReference"/>
        </w:rPr>
        <w:footnoteRef/>
      </w:r>
      <w:r>
        <w:t xml:space="preserve"> For example, </w:t>
      </w:r>
      <w:r w:rsidRPr="00457DA0">
        <w:t>§</w:t>
      </w:r>
      <w:r>
        <w:t xml:space="preserve"> 15.117(a) states that “paragraphs (f) and (g) of this section shall not apply to the features of such sets that provide for reception of digital television signals.”  47 C.F.R. § 15.117(a).  </w:t>
      </w:r>
    </w:p>
  </w:footnote>
  <w:footnote w:id="137">
    <w:p w:rsidR="00E0558D" w:rsidRPr="00A0556B" w:rsidRDefault="00E0558D" w:rsidP="00BE15F8">
      <w:pPr>
        <w:pStyle w:val="FootnoteText"/>
      </w:pPr>
      <w:r w:rsidRPr="00A0556B">
        <w:rPr>
          <w:rStyle w:val="FootnoteReference"/>
        </w:rPr>
        <w:footnoteRef/>
      </w:r>
      <w:r w:rsidRPr="00A0556B">
        <w:t xml:space="preserve"> </w:t>
      </w:r>
      <w:r w:rsidRPr="00A0556B">
        <w:rPr>
          <w:i/>
        </w:rPr>
        <w:t xml:space="preserve">See </w:t>
      </w:r>
      <w:r w:rsidRPr="00564694">
        <w:rPr>
          <w:i/>
        </w:rPr>
        <w:t>EchoStar Technologies L.L.C</w:t>
      </w:r>
      <w:r w:rsidRPr="00A0556B">
        <w:t>,</w:t>
      </w:r>
      <w:r>
        <w:t xml:space="preserve"> MB Docket No. 13-177, Memorandum Opinion and Order, </w:t>
      </w:r>
      <w:r w:rsidRPr="00A0556B">
        <w:t>2</w:t>
      </w:r>
      <w:r>
        <w:t>8 FCC Rcd 14000</w:t>
      </w:r>
      <w:r w:rsidRPr="00A0556B">
        <w:t xml:space="preserve"> (MB 2013)</w:t>
      </w:r>
      <w:r>
        <w:t xml:space="preserve"> (</w:t>
      </w:r>
      <w:r w:rsidRPr="00B3672E">
        <w:rPr>
          <w:i/>
        </w:rPr>
        <w:t>Echostar Waiver Order</w:t>
      </w:r>
      <w:r>
        <w:t>)</w:t>
      </w:r>
      <w:r w:rsidRPr="00A0556B">
        <w:t xml:space="preserve">; </w:t>
      </w:r>
      <w:r w:rsidRPr="00A0556B">
        <w:rPr>
          <w:i/>
        </w:rPr>
        <w:t>TiVo, Inc.</w:t>
      </w:r>
      <w:r>
        <w:t>, MB Docket No. 11-105, Memorandum Opinion and Order, 28 FCC Rcd 12181 (MB 2013)</w:t>
      </w:r>
      <w:r w:rsidRPr="00A0556B">
        <w:t>.</w:t>
      </w:r>
    </w:p>
  </w:footnote>
  <w:footnote w:id="138">
    <w:p w:rsidR="00E0558D" w:rsidRPr="00A0556B" w:rsidRDefault="00E0558D" w:rsidP="00BE15F8">
      <w:pPr>
        <w:pStyle w:val="FootnoteText"/>
      </w:pPr>
      <w:r w:rsidRPr="00A0556B">
        <w:rPr>
          <w:rStyle w:val="FootnoteReference"/>
        </w:rPr>
        <w:footnoteRef/>
      </w:r>
      <w:r w:rsidRPr="00A0556B">
        <w:t xml:space="preserve"> </w:t>
      </w:r>
      <w:r w:rsidRPr="00A0556B">
        <w:rPr>
          <w:i/>
        </w:rPr>
        <w:t>See</w:t>
      </w:r>
      <w:r w:rsidRPr="00A0556B">
        <w:t xml:space="preserve"> </w:t>
      </w:r>
      <w:r w:rsidRPr="00564694">
        <w:rPr>
          <w:i/>
        </w:rPr>
        <w:t xml:space="preserve">EchoStar </w:t>
      </w:r>
      <w:r>
        <w:rPr>
          <w:i/>
        </w:rPr>
        <w:t>Waiver Order,</w:t>
      </w:r>
      <w:r w:rsidRPr="00A0556B">
        <w:rPr>
          <w:i/>
        </w:rPr>
        <w:t xml:space="preserve"> </w:t>
      </w:r>
      <w:r w:rsidRPr="00A0556B">
        <w:t xml:space="preserve">28 FCC Rcd </w:t>
      </w:r>
      <w:r>
        <w:t>at 14003-4</w:t>
      </w:r>
      <w:r w:rsidRPr="00A0556B">
        <w:t xml:space="preserve">, </w:t>
      </w:r>
      <w:r>
        <w:t>paras.</w:t>
      </w:r>
      <w:r w:rsidRPr="00A0556B">
        <w:t xml:space="preserve"> 5</w:t>
      </w:r>
      <w:r>
        <w:t>-6</w:t>
      </w:r>
      <w:r w:rsidRPr="00A0556B">
        <w:t>.</w:t>
      </w:r>
    </w:p>
  </w:footnote>
  <w:footnote w:id="139">
    <w:p w:rsidR="00E0558D" w:rsidRPr="00A0556B" w:rsidRDefault="00E0558D" w:rsidP="00BE15F8">
      <w:pPr>
        <w:pStyle w:val="FootnoteText"/>
      </w:pPr>
      <w:r w:rsidRPr="00A0556B">
        <w:rPr>
          <w:rStyle w:val="FootnoteReference"/>
        </w:rPr>
        <w:footnoteRef/>
      </w:r>
      <w:r w:rsidRPr="00A0556B">
        <w:t xml:space="preserve"> </w:t>
      </w:r>
      <w:r w:rsidRPr="00B3672E">
        <w:rPr>
          <w:i/>
        </w:rPr>
        <w:t>Id</w:t>
      </w:r>
      <w:r>
        <w:t>. at para. 7.</w:t>
      </w:r>
    </w:p>
  </w:footnote>
  <w:footnote w:id="140">
    <w:p w:rsidR="00E0558D" w:rsidRPr="00A0556B" w:rsidRDefault="00E0558D" w:rsidP="00BE15F8">
      <w:pPr>
        <w:pStyle w:val="FootnoteText"/>
      </w:pPr>
      <w:r w:rsidRPr="00A0556B">
        <w:rPr>
          <w:rStyle w:val="FootnoteReference"/>
        </w:rPr>
        <w:footnoteRef/>
      </w:r>
      <w:r w:rsidRPr="00A0556B">
        <w:t xml:space="preserve"> </w:t>
      </w:r>
      <w:r w:rsidRPr="00B3672E">
        <w:rPr>
          <w:i/>
        </w:rPr>
        <w:t>Id</w:t>
      </w:r>
      <w:r>
        <w:t>. at paras. 7-8.</w:t>
      </w:r>
    </w:p>
  </w:footnote>
  <w:footnote w:id="141">
    <w:p w:rsidR="00E0558D" w:rsidRDefault="00E0558D" w:rsidP="004F5D7A">
      <w:r>
        <w:rPr>
          <w:rStyle w:val="FootnoteReference"/>
        </w:rPr>
        <w:footnoteRef/>
      </w:r>
      <w:r>
        <w:t xml:space="preserve"> </w:t>
      </w:r>
      <w:r w:rsidRPr="00363A29">
        <w:rPr>
          <w:sz w:val="20"/>
        </w:rPr>
        <w:t>We note that the Commission previously adopted labeling and disclosure requirements relating to the transition from analog to digital</w:t>
      </w:r>
      <w:r>
        <w:rPr>
          <w:sz w:val="20"/>
        </w:rPr>
        <w:t xml:space="preserve"> television</w:t>
      </w:r>
      <w:r w:rsidRPr="00363A29">
        <w:rPr>
          <w:sz w:val="20"/>
        </w:rPr>
        <w:t xml:space="preserve">, including for analog-only television equipment.  </w:t>
      </w:r>
      <w:r w:rsidRPr="00363A29">
        <w:rPr>
          <w:i/>
          <w:sz w:val="20"/>
        </w:rPr>
        <w:t>See</w:t>
      </w:r>
      <w:r w:rsidRPr="00363A29">
        <w:rPr>
          <w:sz w:val="20"/>
        </w:rPr>
        <w:t xml:space="preserve"> </w:t>
      </w:r>
      <w:r w:rsidRPr="006D4CE3">
        <w:rPr>
          <w:i/>
          <w:iCs/>
          <w:color w:val="000000" w:themeColor="text1"/>
          <w:sz w:val="20"/>
        </w:rPr>
        <w:t>Second Periodic Review of the Commission</w:t>
      </w:r>
      <w:r>
        <w:rPr>
          <w:i/>
          <w:iCs/>
          <w:color w:val="000000" w:themeColor="text1"/>
          <w:sz w:val="20"/>
        </w:rPr>
        <w:t>’</w:t>
      </w:r>
      <w:r w:rsidRPr="006D4CE3">
        <w:rPr>
          <w:i/>
          <w:iCs/>
          <w:color w:val="000000" w:themeColor="text1"/>
          <w:sz w:val="20"/>
        </w:rPr>
        <w:t>s Rules and Policies Affecting the Conversion to Digital Television</w:t>
      </w:r>
      <w:r w:rsidRPr="00363A29">
        <w:rPr>
          <w:iCs/>
          <w:color w:val="000000" w:themeColor="text1"/>
          <w:sz w:val="20"/>
        </w:rPr>
        <w:t xml:space="preserve">, </w:t>
      </w:r>
      <w:r w:rsidRPr="00363A29">
        <w:rPr>
          <w:color w:val="000000"/>
          <w:sz w:val="20"/>
        </w:rPr>
        <w:t xml:space="preserve">MB Docket No. 03-15, </w:t>
      </w:r>
      <w:r w:rsidRPr="006D4CE3">
        <w:rPr>
          <w:color w:val="000000" w:themeColor="text1"/>
          <w:sz w:val="20"/>
        </w:rPr>
        <w:t>Second Report and Order, 22 FCC Rcd 8776</w:t>
      </w:r>
      <w:r w:rsidRPr="00363A29">
        <w:rPr>
          <w:color w:val="000000" w:themeColor="text1"/>
          <w:sz w:val="20"/>
        </w:rPr>
        <w:t xml:space="preserve">, 8784-86, </w:t>
      </w:r>
      <w:r w:rsidRPr="006D4CE3">
        <w:rPr>
          <w:color w:val="000000" w:themeColor="text1"/>
          <w:sz w:val="20"/>
        </w:rPr>
        <w:t xml:space="preserve"> </w:t>
      </w:r>
      <w:r>
        <w:rPr>
          <w:color w:val="000000" w:themeColor="text1"/>
          <w:sz w:val="20"/>
        </w:rPr>
        <w:t>paras.</w:t>
      </w:r>
      <w:r w:rsidRPr="00363A29">
        <w:rPr>
          <w:color w:val="000000" w:themeColor="text1"/>
          <w:sz w:val="20"/>
        </w:rPr>
        <w:t xml:space="preserve"> 15-20 </w:t>
      </w:r>
      <w:r w:rsidRPr="006D4CE3">
        <w:rPr>
          <w:color w:val="000000" w:themeColor="text1"/>
          <w:sz w:val="20"/>
        </w:rPr>
        <w:t>(2007)</w:t>
      </w:r>
      <w:r w:rsidRPr="00363A29">
        <w:rPr>
          <w:color w:val="000000" w:themeColor="text1"/>
          <w:sz w:val="20"/>
        </w:rPr>
        <w:t xml:space="preserve">; </w:t>
      </w:r>
      <w:r w:rsidRPr="00363A29">
        <w:rPr>
          <w:i/>
          <w:color w:val="000000"/>
          <w:sz w:val="20"/>
        </w:rPr>
        <w:t>see also DTV Consumer Education Initiative</w:t>
      </w:r>
      <w:r w:rsidRPr="00363A29">
        <w:rPr>
          <w:color w:val="000000"/>
          <w:sz w:val="20"/>
        </w:rPr>
        <w:t xml:space="preserve">, MB Docket No. 07-148, Report and Order, 23 FCC Rcd </w:t>
      </w:r>
      <w:r w:rsidRPr="00175DE9">
        <w:rPr>
          <w:color w:val="000000"/>
          <w:sz w:val="20"/>
        </w:rPr>
        <w:t>4134</w:t>
      </w:r>
      <w:r w:rsidRPr="00363A29">
        <w:rPr>
          <w:color w:val="000000"/>
          <w:sz w:val="20"/>
        </w:rPr>
        <w:t xml:space="preserve">, 4137-38, </w:t>
      </w:r>
      <w:r>
        <w:rPr>
          <w:color w:val="000000"/>
          <w:sz w:val="20"/>
        </w:rPr>
        <w:t>para.</w:t>
      </w:r>
      <w:r w:rsidRPr="00363A29">
        <w:rPr>
          <w:color w:val="000000"/>
          <w:sz w:val="20"/>
        </w:rPr>
        <w:t xml:space="preserve"> 5 (2008)</w:t>
      </w:r>
      <w:r>
        <w:rPr>
          <w:color w:val="000000"/>
          <w:sz w:val="20"/>
        </w:rPr>
        <w:t xml:space="preserve"> (citing 47 U.S.C. § 336(b)(5))</w:t>
      </w:r>
      <w:r w:rsidRPr="00363A29">
        <w:rPr>
          <w:color w:val="000000"/>
          <w:sz w:val="20"/>
        </w:rPr>
        <w:t>.</w:t>
      </w:r>
    </w:p>
  </w:footnote>
  <w:footnote w:id="142">
    <w:p w:rsidR="00E0558D" w:rsidRDefault="00E0558D" w:rsidP="00DD6CA4">
      <w:pPr>
        <w:pStyle w:val="FootnoteText"/>
        <w:spacing w:before="120"/>
        <w:rPr>
          <w:i/>
          <w:iCs/>
        </w:rPr>
      </w:pPr>
      <w:r>
        <w:rPr>
          <w:rStyle w:val="FootnoteReference"/>
        </w:rPr>
        <w:footnoteRef/>
      </w:r>
      <w:r>
        <w:t xml:space="preserve"> 47 C.F.R. §§ 1.1200 </w:t>
      </w:r>
      <w:r>
        <w:rPr>
          <w:i/>
          <w:iCs/>
        </w:rPr>
        <w:t>et seq.</w:t>
      </w:r>
    </w:p>
  </w:footnote>
  <w:footnote w:id="143">
    <w:p w:rsidR="00E0558D" w:rsidRDefault="00E0558D">
      <w:pPr>
        <w:pStyle w:val="FootnoteText"/>
      </w:pPr>
      <w:r>
        <w:rPr>
          <w:rStyle w:val="FootnoteReference"/>
        </w:rPr>
        <w:footnoteRef/>
      </w:r>
      <w:r>
        <w:t xml:space="preserve"> </w:t>
      </w:r>
      <w:r>
        <w:rPr>
          <w:i/>
        </w:rPr>
        <w:t xml:space="preserve">See </w:t>
      </w:r>
      <w:r>
        <w:t>47 C.F.R. § 1.1203.</w:t>
      </w:r>
    </w:p>
  </w:footnote>
  <w:footnote w:id="144">
    <w:p w:rsidR="00E0558D" w:rsidRDefault="00E0558D">
      <w:pPr>
        <w:pStyle w:val="FootnoteText"/>
      </w:pPr>
      <w:r>
        <w:rPr>
          <w:rStyle w:val="FootnoteReference"/>
        </w:rPr>
        <w:footnoteRef/>
      </w:r>
      <w:r>
        <w:t xml:space="preserve"> 47 C.F.R. § 1.206(b).</w:t>
      </w:r>
    </w:p>
  </w:footnote>
  <w:footnote w:id="145">
    <w:p w:rsidR="00E0558D" w:rsidRDefault="00E0558D">
      <w:pPr>
        <w:pStyle w:val="FootnoteText"/>
      </w:pPr>
      <w:r>
        <w:rPr>
          <w:rStyle w:val="FootnoteReference"/>
        </w:rPr>
        <w:footnoteRef/>
      </w:r>
      <w:r>
        <w:t xml:space="preserve"> </w:t>
      </w:r>
      <w:r w:rsidRPr="00B76C5B">
        <w:t>47 C.F.R. § 1.</w:t>
      </w:r>
      <w:r>
        <w:t>49(f).</w:t>
      </w:r>
    </w:p>
  </w:footnote>
  <w:footnote w:id="146">
    <w:p w:rsidR="00E0558D" w:rsidRDefault="00E0558D" w:rsidP="009B0E5C">
      <w:pPr>
        <w:pStyle w:val="FootnoteText"/>
      </w:pPr>
      <w:r>
        <w:rPr>
          <w:rStyle w:val="FootnoteReference"/>
        </w:rPr>
        <w:footnoteRef/>
      </w:r>
      <w:r>
        <w:t xml:space="preserve"> </w:t>
      </w:r>
      <w:r>
        <w:rPr>
          <w:i/>
        </w:rPr>
        <w:t>See</w:t>
      </w:r>
      <w:r>
        <w:t xml:space="preserve"> 5 U.S.C. § 603.  The RFA, </w:t>
      </w:r>
      <w:r>
        <w:rPr>
          <w:i/>
        </w:rPr>
        <w:t>see</w:t>
      </w:r>
      <w:r>
        <w:t xml:space="preserve"> 5 U.S.C. § 601 et. seq., has been amended by the Small Business Regulatory Enforcement Fairness Act of 1996 (“SBREFA”), Pub. L. No. 104-121, Title II, 110 Stat. 847 (1996).  The SBREFA was enacted as Title II of the Contract With America Advancement Act of 1996 (“CWAAA”). </w:t>
      </w:r>
    </w:p>
  </w:footnote>
  <w:footnote w:id="147">
    <w:p w:rsidR="00E0558D" w:rsidRDefault="00E0558D" w:rsidP="009B0E5C">
      <w:pPr>
        <w:pStyle w:val="FootnoteText"/>
      </w:pPr>
      <w:r>
        <w:rPr>
          <w:rStyle w:val="FootnoteReference"/>
        </w:rPr>
        <w:footnoteRef/>
      </w:r>
      <w:r>
        <w:t xml:space="preserve"> </w:t>
      </w:r>
      <w:r>
        <w:rPr>
          <w:i/>
        </w:rPr>
        <w:t>See</w:t>
      </w:r>
      <w:r>
        <w:t xml:space="preserve"> 5 U.S.C. § 603(a).</w:t>
      </w:r>
    </w:p>
  </w:footnote>
  <w:footnote w:id="148">
    <w:p w:rsidR="00E0558D" w:rsidRDefault="00E0558D" w:rsidP="009B0E5C">
      <w:pPr>
        <w:pStyle w:val="FootnoteText"/>
      </w:pPr>
      <w:r>
        <w:rPr>
          <w:rStyle w:val="FootnoteReference"/>
        </w:rPr>
        <w:footnoteRef/>
      </w:r>
      <w:r>
        <w:t xml:space="preserve"> </w:t>
      </w:r>
      <w:r>
        <w:rPr>
          <w:i/>
        </w:rPr>
        <w:t>Id.</w:t>
      </w:r>
    </w:p>
  </w:footnote>
  <w:footnote w:id="149">
    <w:p w:rsidR="00E0558D" w:rsidRDefault="00E0558D" w:rsidP="009B0E5C">
      <w:pPr>
        <w:pStyle w:val="FootnoteText"/>
      </w:pPr>
      <w:r>
        <w:rPr>
          <w:rStyle w:val="FootnoteReference"/>
        </w:rPr>
        <w:footnoteRef/>
      </w:r>
      <w:r>
        <w:t xml:space="preserve"> </w:t>
      </w:r>
      <w:smartTag w:uri="urn:schemas-microsoft-com:office:smarttags" w:element="place">
        <w:smartTag w:uri="urn:schemas-microsoft-com:office:smarttags" w:element="State">
          <w:r>
            <w:rPr>
              <w:i/>
            </w:rPr>
            <w:t>Id</w:t>
          </w:r>
          <w:r>
            <w:t>.</w:t>
          </w:r>
        </w:smartTag>
      </w:smartTag>
      <w:r>
        <w:t xml:space="preserve"> at § 603(b)(3).</w:t>
      </w:r>
    </w:p>
  </w:footnote>
  <w:footnote w:id="150">
    <w:p w:rsidR="00E0558D" w:rsidRDefault="00E0558D" w:rsidP="009B0E5C">
      <w:pPr>
        <w:pStyle w:val="FootnoteText"/>
      </w:pPr>
      <w:r>
        <w:rPr>
          <w:rStyle w:val="FootnoteReference"/>
        </w:rPr>
        <w:footnoteRef/>
      </w:r>
      <w:r>
        <w:t xml:space="preserve"> 5 U.S.C. § 601(6).</w:t>
      </w:r>
    </w:p>
  </w:footnote>
  <w:footnote w:id="151">
    <w:p w:rsidR="00E0558D" w:rsidRPr="00F850F9" w:rsidRDefault="00E0558D" w:rsidP="009B0E5C">
      <w:pPr>
        <w:pStyle w:val="FootnoteText"/>
      </w:pPr>
      <w:r w:rsidRPr="00F850F9">
        <w:rPr>
          <w:rStyle w:val="FootnoteReference"/>
        </w:rPr>
        <w:footnoteRef/>
      </w:r>
      <w:r w:rsidRPr="00F850F9">
        <w:t xml:space="preserve"> Id. at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52">
    <w:p w:rsidR="00E0558D" w:rsidRDefault="00E0558D" w:rsidP="009B0E5C">
      <w:pPr>
        <w:pStyle w:val="FootnoteText"/>
      </w:pPr>
      <w:r>
        <w:rPr>
          <w:rStyle w:val="FootnoteReference"/>
        </w:rPr>
        <w:footnoteRef/>
      </w:r>
      <w:r>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53">
    <w:p w:rsidR="00E0558D" w:rsidRDefault="00E0558D" w:rsidP="00952D63">
      <w:pPr>
        <w:pStyle w:val="FootnoteText"/>
      </w:pPr>
      <w:r>
        <w:rPr>
          <w:rStyle w:val="FootnoteReference"/>
        </w:rPr>
        <w:footnoteRef/>
      </w:r>
      <w:r>
        <w:t xml:space="preserve"> U.S. Census Bureau, </w:t>
      </w:r>
      <w:r w:rsidRPr="00A70DD8">
        <w:rPr>
          <w:i/>
        </w:rPr>
        <w:t>2012 NAICS Definitions</w:t>
      </w:r>
      <w:r>
        <w:rPr>
          <w:i/>
        </w:rPr>
        <w:t>:</w:t>
      </w:r>
      <w:r w:rsidRPr="00A70DD8">
        <w:rPr>
          <w:i/>
        </w:rPr>
        <w:t xml:space="preserve"> </w:t>
      </w:r>
      <w:r w:rsidRPr="00A70DD8">
        <w:rPr>
          <w:bCs/>
          <w:i/>
        </w:rPr>
        <w:t>515120 Television Broadcasting</w:t>
      </w:r>
      <w:r>
        <w:rPr>
          <w:bCs/>
        </w:rPr>
        <w:t xml:space="preserve">, </w:t>
      </w:r>
      <w:hyperlink r:id="rId3" w:history="1">
        <w:r w:rsidRPr="00953257">
          <w:rPr>
            <w:rStyle w:val="Hyperlink"/>
            <w:bCs/>
          </w:rPr>
          <w:t>http://www.census.gov/cgi-bin/sssd/naics/naicsrch?code=515120&amp;search=2012</w:t>
        </w:r>
      </w:hyperlink>
      <w:r>
        <w:rPr>
          <w:bCs/>
        </w:rPr>
        <w:t xml:space="preserve"> (last visited Mar. 6, 2014).</w:t>
      </w:r>
    </w:p>
  </w:footnote>
  <w:footnote w:id="154">
    <w:p w:rsidR="00E0558D" w:rsidRDefault="00E0558D" w:rsidP="00952D63">
      <w:pPr>
        <w:pStyle w:val="FootnoteText"/>
      </w:pPr>
      <w:r>
        <w:rPr>
          <w:rStyle w:val="FootnoteReference"/>
        </w:rPr>
        <w:footnoteRef/>
      </w:r>
      <w:r>
        <w:t xml:space="preserve"> 13 C.F.R. § 121.201 (NAICS code 515120) (updated for inflation in 2010).</w:t>
      </w:r>
    </w:p>
  </w:footnote>
  <w:footnote w:id="155">
    <w:p w:rsidR="00E0558D" w:rsidRDefault="00E0558D" w:rsidP="00952D63">
      <w:pPr>
        <w:pStyle w:val="FootnoteText"/>
      </w:pPr>
      <w:r>
        <w:rPr>
          <w:rStyle w:val="FootnoteReference"/>
        </w:rPr>
        <w:footnoteRef/>
      </w:r>
      <w:r>
        <w:t xml:space="preserve"> </w:t>
      </w:r>
      <w:r>
        <w:rPr>
          <w:i/>
        </w:rPr>
        <w:t>See</w:t>
      </w:r>
      <w:r>
        <w:t xml:space="preserve"> FCC News Release, Broadcast Station Totals as of June 30, 2014 (rel. July 9, 2014).</w:t>
      </w:r>
    </w:p>
  </w:footnote>
  <w:footnote w:id="156">
    <w:p w:rsidR="00E0558D" w:rsidRDefault="00E0558D" w:rsidP="00952D63">
      <w:pPr>
        <w:pStyle w:val="FootnoteText"/>
      </w:pPr>
      <w:r>
        <w:rPr>
          <w:rStyle w:val="FootnoteReference"/>
        </w:rPr>
        <w:footnoteRef/>
      </w:r>
      <w:r>
        <w:t xml:space="preserve"> We recognize that BIA’s estimate differs slightly from the FCC total given the information provided above.</w:t>
      </w:r>
    </w:p>
  </w:footnote>
  <w:footnote w:id="157">
    <w:p w:rsidR="00E0558D" w:rsidRDefault="00E0558D" w:rsidP="00952D63">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121.103(a)(1).</w:t>
      </w:r>
    </w:p>
  </w:footnote>
  <w:footnote w:id="158">
    <w:p w:rsidR="00E0558D" w:rsidRDefault="00E0558D" w:rsidP="00952D63">
      <w:pPr>
        <w:pStyle w:val="FootnoteText"/>
      </w:pPr>
      <w:r>
        <w:rPr>
          <w:rStyle w:val="FootnoteReference"/>
        </w:rPr>
        <w:footnoteRef/>
      </w:r>
      <w:r>
        <w:t xml:space="preserve"> </w:t>
      </w:r>
      <w:r>
        <w:rPr>
          <w:i/>
        </w:rPr>
        <w:t>See</w:t>
      </w:r>
      <w:r>
        <w:t xml:space="preserve"> FCC News Release, Broadcast Station Totals as of June 30, 2014 (rel. July 9, 2014). </w:t>
      </w:r>
    </w:p>
  </w:footnote>
  <w:footnote w:id="159">
    <w:p w:rsidR="00E0558D" w:rsidRDefault="00E0558D" w:rsidP="00952D63">
      <w:pPr>
        <w:pStyle w:val="FootnoteText"/>
      </w:pPr>
      <w:r>
        <w:rPr>
          <w:rStyle w:val="FootnoteReference"/>
        </w:rPr>
        <w:footnoteRef/>
      </w:r>
      <w:r>
        <w:t xml:space="preserve"> </w:t>
      </w:r>
      <w:r>
        <w:rPr>
          <w:i/>
        </w:rPr>
        <w:t>See generally</w:t>
      </w:r>
      <w:r>
        <w:t xml:space="preserve"> 5 U.S.C. §§ 601(4), (6).</w:t>
      </w:r>
    </w:p>
  </w:footnote>
  <w:footnote w:id="160">
    <w:p w:rsidR="00E0558D" w:rsidRDefault="00E0558D" w:rsidP="00952D63">
      <w:pPr>
        <w:pStyle w:val="FootnoteText"/>
      </w:pPr>
      <w:r>
        <w:rPr>
          <w:rStyle w:val="FootnoteReference"/>
        </w:rPr>
        <w:footnoteRef/>
      </w:r>
      <w:r>
        <w:t xml:space="preserve"> </w:t>
      </w:r>
      <w:r>
        <w:rPr>
          <w:i/>
        </w:rPr>
        <w:t>See</w:t>
      </w:r>
      <w:r>
        <w:t xml:space="preserve"> FCC News Release, Broadcast Station Totals as of June 30, 2014 (rel. July 9, 2014)</w:t>
      </w:r>
    </w:p>
  </w:footnote>
  <w:footnote w:id="161">
    <w:p w:rsidR="00E0558D" w:rsidRDefault="00E0558D" w:rsidP="009B0E5C">
      <w:pPr>
        <w:pStyle w:val="FootnoteText"/>
      </w:pPr>
      <w:r>
        <w:rPr>
          <w:rStyle w:val="FootnoteReference"/>
        </w:rPr>
        <w:footnoteRef/>
      </w:r>
      <w:r>
        <w:t xml:space="preserve"> </w:t>
      </w:r>
      <w:r>
        <w:rPr>
          <w:color w:val="000000"/>
        </w:rPr>
        <w:t>13 C.F.R. § 121.201, NAICS Code 334310.</w:t>
      </w:r>
    </w:p>
  </w:footnote>
  <w:footnote w:id="162">
    <w:p w:rsidR="00E0558D" w:rsidRDefault="00E0558D" w:rsidP="009B0E5C">
      <w:pPr>
        <w:pStyle w:val="FootnoteText"/>
      </w:pPr>
      <w:r>
        <w:rPr>
          <w:rStyle w:val="FootnoteReference"/>
        </w:rPr>
        <w:footnoteRef/>
      </w:r>
      <w:r>
        <w:t xml:space="preserve"> </w:t>
      </w:r>
      <w:r>
        <w:rPr>
          <w:color w:val="000000"/>
        </w:rPr>
        <w:t>13 C.F.R. § 121.201, NAICS Code 334220.</w:t>
      </w:r>
    </w:p>
  </w:footnote>
  <w:footnote w:id="163">
    <w:p w:rsidR="00E0558D" w:rsidRDefault="00E0558D" w:rsidP="009B0E5C">
      <w:pPr>
        <w:pStyle w:val="FootnoteText"/>
      </w:pPr>
      <w:r>
        <w:rPr>
          <w:rStyle w:val="FootnoteReference"/>
        </w:rPr>
        <w:footnoteRef/>
      </w:r>
      <w:r>
        <w:t xml:space="preserve"> </w:t>
      </w:r>
      <w:r>
        <w:rPr>
          <w:color w:val="000000"/>
        </w:rPr>
        <w:t>13 C.F.R. § 121.201, NAICS Code 334310.</w:t>
      </w:r>
    </w:p>
  </w:footnote>
  <w:footnote w:id="164">
    <w:p w:rsidR="00E0558D" w:rsidRDefault="00E0558D" w:rsidP="009B0E5C">
      <w:pPr>
        <w:pStyle w:val="FootnoteText"/>
      </w:pPr>
      <w:r>
        <w:rPr>
          <w:rStyle w:val="FootnoteReference"/>
        </w:rPr>
        <w:footnoteRef/>
      </w:r>
      <w:r>
        <w:t xml:space="preserve"> </w:t>
      </w:r>
      <w:r>
        <w:rPr>
          <w:color w:val="000000"/>
        </w:rPr>
        <w:t>Economics and Statistics Administration, Bureau of Census, U.S. Department of Commerce, 1997 Economic Census, Industry Series - Manufacturing, Audio and Video Equipment Manufacturing, Table 4 at 9 (1999). The amount of 500 employees was used to estimate the number of small business firms because the relevant Census categories stopped at 499 employees and began at 500 employees. No category for 750 employees existed. Thus, the number is as accurate as it is possible to calculate with the available information.</w:t>
      </w:r>
    </w:p>
  </w:footnote>
  <w:footnote w:id="165">
    <w:p w:rsidR="00E0558D" w:rsidRDefault="00E0558D" w:rsidP="009B0E5C">
      <w:pPr>
        <w:pStyle w:val="FootnoteText"/>
      </w:pPr>
      <w:r>
        <w:rPr>
          <w:rStyle w:val="FootnoteReference"/>
        </w:rPr>
        <w:footnoteRef/>
      </w:r>
      <w:r>
        <w:t xml:space="preserve"> </w:t>
      </w:r>
      <w:r>
        <w:rPr>
          <w:color w:val="000000"/>
        </w:rPr>
        <w:t>13 C.F.R § 121.201, NAICS Code 334220.</w:t>
      </w:r>
    </w:p>
  </w:footnote>
  <w:footnote w:id="166">
    <w:p w:rsidR="00E0558D" w:rsidRDefault="00E0558D" w:rsidP="009B0E5C">
      <w:pPr>
        <w:pStyle w:val="FootnoteText"/>
      </w:pPr>
      <w:r>
        <w:rPr>
          <w:rStyle w:val="FootnoteReference"/>
        </w:rPr>
        <w:footnoteRef/>
      </w:r>
      <w:r>
        <w:t xml:space="preserve"> </w:t>
      </w:r>
      <w:r>
        <w:rPr>
          <w:color w:val="000000"/>
        </w:rPr>
        <w:t>Economics and Statistics Administration, Bureau of Census, U.S. Department of Commerce, 1997 Economic Census, Industry Series - Manufacturing, Radio and Television Broadcasting and Wireless Communications Equipment Manufacturing, Table 4 at 9 (1999). The amount of 500 employees was used to estimate the number of small business firms because the relevant Census categories stopped at 499 employees and began at 500 employees. No category for 750 employees existed. Thus, the number is as accurate as it is possible to calculate with the available information.</w:t>
      </w:r>
    </w:p>
  </w:footnote>
  <w:footnote w:id="167">
    <w:p w:rsidR="00E0558D" w:rsidRDefault="00E0558D" w:rsidP="009B0E5C">
      <w:pPr>
        <w:pStyle w:val="FootnoteText"/>
      </w:pPr>
      <w:r>
        <w:rPr>
          <w:rStyle w:val="FootnoteReference"/>
        </w:rPr>
        <w:footnoteRef/>
      </w:r>
      <w:r>
        <w:t xml:space="preserve"> 5 U.S.C. § 603(c)(1)-(c)(4)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E38" w:rsidRDefault="00A80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6E" w:rsidRDefault="002F646E" w:rsidP="002F646E">
    <w:pPr>
      <w:pStyle w:val="Header"/>
      <w:rPr>
        <w:b w:val="0"/>
      </w:rPr>
    </w:pPr>
    <w:r w:rsidRPr="008F2C9E">
      <w:rPr>
        <w:noProof/>
        <w:snapToGrid/>
      </w:rPr>
      <mc:AlternateContent>
        <mc:Choice Requires="wps">
          <w:drawing>
            <wp:anchor distT="0" distB="0" distL="114300" distR="114300" simplePos="0" relativeHeight="251661312" behindDoc="1" locked="0" layoutInCell="0" allowOverlap="1" wp14:anchorId="7E2876D1" wp14:editId="71632842">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tab/>
      <w:t>Federal Communications Commission</w:t>
    </w:r>
    <w:r>
      <w:tab/>
    </w:r>
    <w:r>
      <w:rPr>
        <w:spacing w:val="-2"/>
      </w:rPr>
      <w:t>FCC 14-151</w:t>
    </w:r>
  </w:p>
  <w:p w:rsidR="00E0558D" w:rsidRDefault="00E0558D" w:rsidP="008F2C9E">
    <w:pP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46E" w:rsidRDefault="002F646E" w:rsidP="002F646E">
    <w:pPr>
      <w:pStyle w:val="Header"/>
      <w:rPr>
        <w:b w:val="0"/>
      </w:rPr>
    </w:pPr>
    <w:r w:rsidRPr="008F2C9E">
      <w:rPr>
        <w:noProof/>
        <w:snapToGrid/>
      </w:rPr>
      <mc:AlternateContent>
        <mc:Choice Requires="wps">
          <w:drawing>
            <wp:anchor distT="0" distB="0" distL="114300" distR="114300" simplePos="0" relativeHeight="251659264" behindDoc="1" locked="0" layoutInCell="0" allowOverlap="1" wp14:anchorId="3EAD186F" wp14:editId="118F2568">
              <wp:simplePos x="0" y="0"/>
              <wp:positionH relativeFrom="margin">
                <wp:posOffset>7620</wp:posOffset>
              </wp:positionH>
              <wp:positionV relativeFrom="paragraph">
                <wp:posOffset>160655</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cG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GCxwa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14-151</w:t>
    </w:r>
  </w:p>
  <w:p w:rsidR="00E0558D" w:rsidRDefault="00E0558D" w:rsidP="008F2C9E">
    <w:pPr>
      <w:rPr>
        <w:spacing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12C7455"/>
    <w:multiLevelType w:val="hybridMultilevel"/>
    <w:tmpl w:val="6C52F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5CE3DBF"/>
    <w:multiLevelType w:val="hybridMultilevel"/>
    <w:tmpl w:val="1688ABA8"/>
    <w:lvl w:ilvl="0" w:tplc="518E2A8A">
      <w:start w:val="1"/>
      <w:numFmt w:val="bullet"/>
      <w:pStyle w:val="ParaNumCharChar"/>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B9309B"/>
    <w:multiLevelType w:val="hybridMultilevel"/>
    <w:tmpl w:val="A37E8FE0"/>
    <w:lvl w:ilvl="0" w:tplc="1C566286">
      <w:start w:val="1"/>
      <w:numFmt w:val="decimal"/>
      <w:pStyle w:val="Appendixnumber"/>
      <w:lvlText w:val="%1."/>
      <w:lvlJc w:val="left"/>
      <w:pPr>
        <w:tabs>
          <w:tab w:val="num" w:pos="1080"/>
        </w:tabs>
        <w:ind w:left="108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80A3A13"/>
    <w:multiLevelType w:val="hybridMultilevel"/>
    <w:tmpl w:val="78746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126A5D"/>
    <w:multiLevelType w:val="hybridMultilevel"/>
    <w:tmpl w:val="895AB372"/>
    <w:lvl w:ilvl="0" w:tplc="F92246F6">
      <w:start w:val="1"/>
      <w:numFmt w:val="bullet"/>
      <w:pStyle w:val="ListBullet2"/>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F723CB0"/>
    <w:multiLevelType w:val="hybridMultilevel"/>
    <w:tmpl w:val="B4C2E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3"/>
  </w:num>
  <w:num w:numId="2">
    <w:abstractNumId w:val="7"/>
  </w:num>
  <w:num w:numId="3">
    <w:abstractNumId w:val="9"/>
  </w:num>
  <w:num w:numId="4">
    <w:abstractNumId w:val="3"/>
  </w:num>
  <w:num w:numId="5">
    <w:abstractNumId w:val="6"/>
  </w:num>
  <w:num w:numId="6">
    <w:abstractNumId w:val="4"/>
  </w:num>
  <w:num w:numId="7">
    <w:abstractNumId w:val="12"/>
  </w:num>
  <w:num w:numId="8">
    <w:abstractNumId w:val="5"/>
  </w:num>
  <w:num w:numId="9">
    <w:abstractNumId w:val="1"/>
  </w:num>
  <w:num w:numId="10">
    <w:abstractNumId w:val="11"/>
  </w:num>
  <w:num w:numId="11">
    <w:abstractNumId w:val="0"/>
  </w:num>
  <w:num w:numId="12">
    <w:abstractNumId w:val="15"/>
  </w:num>
  <w:num w:numId="13">
    <w:abstractNumId w:val="10"/>
  </w:num>
  <w:num w:numId="14">
    <w:abstractNumId w:val="8"/>
  </w:num>
  <w:num w:numId="15">
    <w:abstractNumId w:val="14"/>
  </w:num>
  <w:num w:numId="16">
    <w:abstractNumId w:val="2"/>
  </w:num>
  <w:num w:numId="17">
    <w:abstractNumId w:val="13"/>
    <w:lvlOverride w:ilvl="0">
      <w:startOverride w:val="1"/>
    </w:lvlOverride>
  </w:num>
  <w:num w:numId="18">
    <w:abstractNumId w:val="13"/>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bordersDoNotSurroundHeader/>
  <w:bordersDoNotSurroundFooter/>
  <w:attachedTemplate r:id="rId1"/>
  <w:linkStyl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1A6"/>
    <w:rsid w:val="00002519"/>
    <w:rsid w:val="000026DC"/>
    <w:rsid w:val="00004829"/>
    <w:rsid w:val="00004C66"/>
    <w:rsid w:val="00006169"/>
    <w:rsid w:val="00007582"/>
    <w:rsid w:val="00010463"/>
    <w:rsid w:val="0001066D"/>
    <w:rsid w:val="00010753"/>
    <w:rsid w:val="00010777"/>
    <w:rsid w:val="00011FF2"/>
    <w:rsid w:val="00013378"/>
    <w:rsid w:val="0001345B"/>
    <w:rsid w:val="0001375F"/>
    <w:rsid w:val="0001390A"/>
    <w:rsid w:val="00016A24"/>
    <w:rsid w:val="00016B69"/>
    <w:rsid w:val="00017EB5"/>
    <w:rsid w:val="00020A0E"/>
    <w:rsid w:val="00021CE8"/>
    <w:rsid w:val="000226D9"/>
    <w:rsid w:val="00023AFD"/>
    <w:rsid w:val="00024158"/>
    <w:rsid w:val="00024547"/>
    <w:rsid w:val="000271DE"/>
    <w:rsid w:val="00030878"/>
    <w:rsid w:val="00032DA6"/>
    <w:rsid w:val="000331CB"/>
    <w:rsid w:val="00036D39"/>
    <w:rsid w:val="00037354"/>
    <w:rsid w:val="000379BA"/>
    <w:rsid w:val="00041A2D"/>
    <w:rsid w:val="0004283B"/>
    <w:rsid w:val="00044C5A"/>
    <w:rsid w:val="00045033"/>
    <w:rsid w:val="00045E05"/>
    <w:rsid w:val="000463FA"/>
    <w:rsid w:val="00050945"/>
    <w:rsid w:val="0005398B"/>
    <w:rsid w:val="00054975"/>
    <w:rsid w:val="00056613"/>
    <w:rsid w:val="00056A80"/>
    <w:rsid w:val="00057BB2"/>
    <w:rsid w:val="000603B2"/>
    <w:rsid w:val="00061863"/>
    <w:rsid w:val="000633CD"/>
    <w:rsid w:val="000637F5"/>
    <w:rsid w:val="000645E6"/>
    <w:rsid w:val="00064F78"/>
    <w:rsid w:val="00065AC8"/>
    <w:rsid w:val="00066A59"/>
    <w:rsid w:val="00070E19"/>
    <w:rsid w:val="00072F79"/>
    <w:rsid w:val="0007325A"/>
    <w:rsid w:val="00073DBF"/>
    <w:rsid w:val="00073F00"/>
    <w:rsid w:val="00075739"/>
    <w:rsid w:val="00076E2F"/>
    <w:rsid w:val="00077630"/>
    <w:rsid w:val="0008126B"/>
    <w:rsid w:val="00083FD1"/>
    <w:rsid w:val="0008448C"/>
    <w:rsid w:val="0008532D"/>
    <w:rsid w:val="000854F5"/>
    <w:rsid w:val="00086AC8"/>
    <w:rsid w:val="0009118C"/>
    <w:rsid w:val="00092CFA"/>
    <w:rsid w:val="000933C9"/>
    <w:rsid w:val="00094241"/>
    <w:rsid w:val="000952DE"/>
    <w:rsid w:val="00095A02"/>
    <w:rsid w:val="00096122"/>
    <w:rsid w:val="00096288"/>
    <w:rsid w:val="00096DB6"/>
    <w:rsid w:val="000A162E"/>
    <w:rsid w:val="000A2526"/>
    <w:rsid w:val="000A2DE6"/>
    <w:rsid w:val="000A519A"/>
    <w:rsid w:val="000A52D1"/>
    <w:rsid w:val="000A5C81"/>
    <w:rsid w:val="000A5FEA"/>
    <w:rsid w:val="000A61AA"/>
    <w:rsid w:val="000B3166"/>
    <w:rsid w:val="000B7915"/>
    <w:rsid w:val="000C12EC"/>
    <w:rsid w:val="000C3E32"/>
    <w:rsid w:val="000C76C7"/>
    <w:rsid w:val="000C790E"/>
    <w:rsid w:val="000D14E2"/>
    <w:rsid w:val="000D33DD"/>
    <w:rsid w:val="000D44A7"/>
    <w:rsid w:val="000D680C"/>
    <w:rsid w:val="000D6D07"/>
    <w:rsid w:val="000D6DD4"/>
    <w:rsid w:val="000E0741"/>
    <w:rsid w:val="000E0A88"/>
    <w:rsid w:val="000E385D"/>
    <w:rsid w:val="000F2C0E"/>
    <w:rsid w:val="000F3CF6"/>
    <w:rsid w:val="000F3F81"/>
    <w:rsid w:val="000F5874"/>
    <w:rsid w:val="000F61B9"/>
    <w:rsid w:val="000F68A3"/>
    <w:rsid w:val="000F6A3D"/>
    <w:rsid w:val="000F7F23"/>
    <w:rsid w:val="001013EB"/>
    <w:rsid w:val="00103C40"/>
    <w:rsid w:val="00104F1C"/>
    <w:rsid w:val="00104F60"/>
    <w:rsid w:val="00110284"/>
    <w:rsid w:val="0011117D"/>
    <w:rsid w:val="0011316E"/>
    <w:rsid w:val="00113F44"/>
    <w:rsid w:val="0011572A"/>
    <w:rsid w:val="00115BF3"/>
    <w:rsid w:val="001203F7"/>
    <w:rsid w:val="00121DC4"/>
    <w:rsid w:val="00121E95"/>
    <w:rsid w:val="00122C03"/>
    <w:rsid w:val="00122D05"/>
    <w:rsid w:val="00123124"/>
    <w:rsid w:val="00123C6F"/>
    <w:rsid w:val="0012728E"/>
    <w:rsid w:val="00127589"/>
    <w:rsid w:val="00130965"/>
    <w:rsid w:val="00131C2F"/>
    <w:rsid w:val="00131E75"/>
    <w:rsid w:val="00132213"/>
    <w:rsid w:val="00135032"/>
    <w:rsid w:val="0013785D"/>
    <w:rsid w:val="00140040"/>
    <w:rsid w:val="0014366A"/>
    <w:rsid w:val="00143883"/>
    <w:rsid w:val="001443F4"/>
    <w:rsid w:val="001466AF"/>
    <w:rsid w:val="00151484"/>
    <w:rsid w:val="001523CB"/>
    <w:rsid w:val="00153481"/>
    <w:rsid w:val="001541F5"/>
    <w:rsid w:val="00154567"/>
    <w:rsid w:val="00156AD3"/>
    <w:rsid w:val="00157046"/>
    <w:rsid w:val="00161856"/>
    <w:rsid w:val="00163906"/>
    <w:rsid w:val="0016484C"/>
    <w:rsid w:val="00166E42"/>
    <w:rsid w:val="00166FB7"/>
    <w:rsid w:val="001674F8"/>
    <w:rsid w:val="00167D08"/>
    <w:rsid w:val="00170168"/>
    <w:rsid w:val="001704C2"/>
    <w:rsid w:val="00171882"/>
    <w:rsid w:val="00171E33"/>
    <w:rsid w:val="0017319F"/>
    <w:rsid w:val="00173209"/>
    <w:rsid w:val="001736B7"/>
    <w:rsid w:val="001739DA"/>
    <w:rsid w:val="0017413A"/>
    <w:rsid w:val="001742BD"/>
    <w:rsid w:val="00175CC7"/>
    <w:rsid w:val="00175DD6"/>
    <w:rsid w:val="00176C94"/>
    <w:rsid w:val="00181743"/>
    <w:rsid w:val="001831B9"/>
    <w:rsid w:val="00184B0A"/>
    <w:rsid w:val="00184D46"/>
    <w:rsid w:val="001862F7"/>
    <w:rsid w:val="001869C8"/>
    <w:rsid w:val="00190051"/>
    <w:rsid w:val="00191FD3"/>
    <w:rsid w:val="00192A3C"/>
    <w:rsid w:val="0019498A"/>
    <w:rsid w:val="00194D0F"/>
    <w:rsid w:val="00195086"/>
    <w:rsid w:val="00195240"/>
    <w:rsid w:val="001953EB"/>
    <w:rsid w:val="00197BCD"/>
    <w:rsid w:val="00197C2A"/>
    <w:rsid w:val="001A2317"/>
    <w:rsid w:val="001A4B4F"/>
    <w:rsid w:val="001A6A98"/>
    <w:rsid w:val="001A6B2A"/>
    <w:rsid w:val="001A6C5A"/>
    <w:rsid w:val="001A7358"/>
    <w:rsid w:val="001B2796"/>
    <w:rsid w:val="001B6384"/>
    <w:rsid w:val="001B6963"/>
    <w:rsid w:val="001B7FE5"/>
    <w:rsid w:val="001C0642"/>
    <w:rsid w:val="001C076D"/>
    <w:rsid w:val="001C2C96"/>
    <w:rsid w:val="001C2D9E"/>
    <w:rsid w:val="001C5400"/>
    <w:rsid w:val="001C5954"/>
    <w:rsid w:val="001C5D86"/>
    <w:rsid w:val="001C77DC"/>
    <w:rsid w:val="001C7F48"/>
    <w:rsid w:val="001D0D1A"/>
    <w:rsid w:val="001D17EB"/>
    <w:rsid w:val="001D3581"/>
    <w:rsid w:val="001D471F"/>
    <w:rsid w:val="001D69D6"/>
    <w:rsid w:val="001D7DB1"/>
    <w:rsid w:val="001E2B31"/>
    <w:rsid w:val="001E3704"/>
    <w:rsid w:val="001F0484"/>
    <w:rsid w:val="001F1F56"/>
    <w:rsid w:val="001F3277"/>
    <w:rsid w:val="001F4359"/>
    <w:rsid w:val="001F670F"/>
    <w:rsid w:val="00200A7D"/>
    <w:rsid w:val="00202650"/>
    <w:rsid w:val="00203E1C"/>
    <w:rsid w:val="002050C3"/>
    <w:rsid w:val="002075F4"/>
    <w:rsid w:val="00210236"/>
    <w:rsid w:val="00210342"/>
    <w:rsid w:val="00213C35"/>
    <w:rsid w:val="00213F78"/>
    <w:rsid w:val="00214DC3"/>
    <w:rsid w:val="00215DBA"/>
    <w:rsid w:val="002163DA"/>
    <w:rsid w:val="0021775F"/>
    <w:rsid w:val="00220AE3"/>
    <w:rsid w:val="002214B4"/>
    <w:rsid w:val="00223F49"/>
    <w:rsid w:val="00224231"/>
    <w:rsid w:val="00224ED8"/>
    <w:rsid w:val="00231563"/>
    <w:rsid w:val="00231778"/>
    <w:rsid w:val="002370B6"/>
    <w:rsid w:val="002371E0"/>
    <w:rsid w:val="00237323"/>
    <w:rsid w:val="002402DB"/>
    <w:rsid w:val="00241956"/>
    <w:rsid w:val="00241CDD"/>
    <w:rsid w:val="00242C4A"/>
    <w:rsid w:val="00242F48"/>
    <w:rsid w:val="00243D22"/>
    <w:rsid w:val="0024536A"/>
    <w:rsid w:val="00245D0C"/>
    <w:rsid w:val="00246545"/>
    <w:rsid w:val="00246C33"/>
    <w:rsid w:val="00247CA9"/>
    <w:rsid w:val="00247D31"/>
    <w:rsid w:val="00252223"/>
    <w:rsid w:val="002567C4"/>
    <w:rsid w:val="00260D47"/>
    <w:rsid w:val="00262113"/>
    <w:rsid w:val="0026346B"/>
    <w:rsid w:val="002634F3"/>
    <w:rsid w:val="00264606"/>
    <w:rsid w:val="002668A6"/>
    <w:rsid w:val="00266D54"/>
    <w:rsid w:val="00270EC3"/>
    <w:rsid w:val="0027210E"/>
    <w:rsid w:val="00273E9C"/>
    <w:rsid w:val="00276AB3"/>
    <w:rsid w:val="002802A6"/>
    <w:rsid w:val="00282EC1"/>
    <w:rsid w:val="0028339F"/>
    <w:rsid w:val="0028564A"/>
    <w:rsid w:val="002862E0"/>
    <w:rsid w:val="0028696B"/>
    <w:rsid w:val="00287271"/>
    <w:rsid w:val="002878D4"/>
    <w:rsid w:val="0029171E"/>
    <w:rsid w:val="00292FD1"/>
    <w:rsid w:val="00293CAE"/>
    <w:rsid w:val="00293EF1"/>
    <w:rsid w:val="00294CE8"/>
    <w:rsid w:val="00295D72"/>
    <w:rsid w:val="00296080"/>
    <w:rsid w:val="002A002B"/>
    <w:rsid w:val="002A0272"/>
    <w:rsid w:val="002A0FB8"/>
    <w:rsid w:val="002A106F"/>
    <w:rsid w:val="002A611C"/>
    <w:rsid w:val="002A76EB"/>
    <w:rsid w:val="002A7ECC"/>
    <w:rsid w:val="002B0518"/>
    <w:rsid w:val="002B072D"/>
    <w:rsid w:val="002B1317"/>
    <w:rsid w:val="002B1788"/>
    <w:rsid w:val="002B2435"/>
    <w:rsid w:val="002B25C4"/>
    <w:rsid w:val="002B2796"/>
    <w:rsid w:val="002B596D"/>
    <w:rsid w:val="002B5B54"/>
    <w:rsid w:val="002B6550"/>
    <w:rsid w:val="002B6DA1"/>
    <w:rsid w:val="002C0F21"/>
    <w:rsid w:val="002C2ED8"/>
    <w:rsid w:val="002C3D39"/>
    <w:rsid w:val="002C7EAD"/>
    <w:rsid w:val="002D2C3B"/>
    <w:rsid w:val="002D36DF"/>
    <w:rsid w:val="002D43BA"/>
    <w:rsid w:val="002D5130"/>
    <w:rsid w:val="002D57FF"/>
    <w:rsid w:val="002D7A7C"/>
    <w:rsid w:val="002E0D00"/>
    <w:rsid w:val="002E13D3"/>
    <w:rsid w:val="002E1407"/>
    <w:rsid w:val="002E14D0"/>
    <w:rsid w:val="002E1A36"/>
    <w:rsid w:val="002E3BF8"/>
    <w:rsid w:val="002E3D77"/>
    <w:rsid w:val="002E46AB"/>
    <w:rsid w:val="002E5C57"/>
    <w:rsid w:val="002E6BB7"/>
    <w:rsid w:val="002E758C"/>
    <w:rsid w:val="002E77C5"/>
    <w:rsid w:val="002F0722"/>
    <w:rsid w:val="002F1E87"/>
    <w:rsid w:val="002F4705"/>
    <w:rsid w:val="002F5CA7"/>
    <w:rsid w:val="002F646E"/>
    <w:rsid w:val="00300D84"/>
    <w:rsid w:val="00301803"/>
    <w:rsid w:val="00301E71"/>
    <w:rsid w:val="003025C3"/>
    <w:rsid w:val="003036DE"/>
    <w:rsid w:val="0030445B"/>
    <w:rsid w:val="00304D17"/>
    <w:rsid w:val="00306991"/>
    <w:rsid w:val="00306A03"/>
    <w:rsid w:val="00310370"/>
    <w:rsid w:val="003106B9"/>
    <w:rsid w:val="003116A3"/>
    <w:rsid w:val="00312176"/>
    <w:rsid w:val="00312727"/>
    <w:rsid w:val="003152BC"/>
    <w:rsid w:val="0031687A"/>
    <w:rsid w:val="0031697B"/>
    <w:rsid w:val="003171A1"/>
    <w:rsid w:val="003175D7"/>
    <w:rsid w:val="0032024B"/>
    <w:rsid w:val="00323B46"/>
    <w:rsid w:val="00325BC9"/>
    <w:rsid w:val="00325DD3"/>
    <w:rsid w:val="00327E45"/>
    <w:rsid w:val="00332CEE"/>
    <w:rsid w:val="00340A93"/>
    <w:rsid w:val="00340FD3"/>
    <w:rsid w:val="00343FE8"/>
    <w:rsid w:val="00344FEE"/>
    <w:rsid w:val="00346338"/>
    <w:rsid w:val="00350259"/>
    <w:rsid w:val="00350794"/>
    <w:rsid w:val="00352104"/>
    <w:rsid w:val="00353499"/>
    <w:rsid w:val="003542FD"/>
    <w:rsid w:val="0035738A"/>
    <w:rsid w:val="00357799"/>
    <w:rsid w:val="00357F4C"/>
    <w:rsid w:val="00360078"/>
    <w:rsid w:val="003608A4"/>
    <w:rsid w:val="00363C02"/>
    <w:rsid w:val="00363D10"/>
    <w:rsid w:val="00364342"/>
    <w:rsid w:val="003656BF"/>
    <w:rsid w:val="00366AE3"/>
    <w:rsid w:val="00366F41"/>
    <w:rsid w:val="003678AC"/>
    <w:rsid w:val="00367C1F"/>
    <w:rsid w:val="00372270"/>
    <w:rsid w:val="00373628"/>
    <w:rsid w:val="003738D7"/>
    <w:rsid w:val="0037406E"/>
    <w:rsid w:val="00376B68"/>
    <w:rsid w:val="00377003"/>
    <w:rsid w:val="00377947"/>
    <w:rsid w:val="00380AD4"/>
    <w:rsid w:val="00381533"/>
    <w:rsid w:val="0038203C"/>
    <w:rsid w:val="00382D9F"/>
    <w:rsid w:val="00383691"/>
    <w:rsid w:val="0038380C"/>
    <w:rsid w:val="00384119"/>
    <w:rsid w:val="003851A6"/>
    <w:rsid w:val="003857B5"/>
    <w:rsid w:val="003864E8"/>
    <w:rsid w:val="00386D4B"/>
    <w:rsid w:val="00387729"/>
    <w:rsid w:val="003878DA"/>
    <w:rsid w:val="00390483"/>
    <w:rsid w:val="00391070"/>
    <w:rsid w:val="003944CC"/>
    <w:rsid w:val="0039476F"/>
    <w:rsid w:val="0039528A"/>
    <w:rsid w:val="00396796"/>
    <w:rsid w:val="00397058"/>
    <w:rsid w:val="003A0275"/>
    <w:rsid w:val="003A06BD"/>
    <w:rsid w:val="003A146A"/>
    <w:rsid w:val="003A2AE3"/>
    <w:rsid w:val="003A43F2"/>
    <w:rsid w:val="003A5082"/>
    <w:rsid w:val="003A53C3"/>
    <w:rsid w:val="003A6492"/>
    <w:rsid w:val="003A6929"/>
    <w:rsid w:val="003A697C"/>
    <w:rsid w:val="003A7C79"/>
    <w:rsid w:val="003A7CD9"/>
    <w:rsid w:val="003B0BFF"/>
    <w:rsid w:val="003B1608"/>
    <w:rsid w:val="003B1E59"/>
    <w:rsid w:val="003B2AC0"/>
    <w:rsid w:val="003B5803"/>
    <w:rsid w:val="003B6326"/>
    <w:rsid w:val="003B7E18"/>
    <w:rsid w:val="003C12EB"/>
    <w:rsid w:val="003C1515"/>
    <w:rsid w:val="003C25A3"/>
    <w:rsid w:val="003C4971"/>
    <w:rsid w:val="003C5AE5"/>
    <w:rsid w:val="003C76EE"/>
    <w:rsid w:val="003D203A"/>
    <w:rsid w:val="003D20BD"/>
    <w:rsid w:val="003D2991"/>
    <w:rsid w:val="003D4A30"/>
    <w:rsid w:val="003D5309"/>
    <w:rsid w:val="003D662F"/>
    <w:rsid w:val="003D6919"/>
    <w:rsid w:val="003D7549"/>
    <w:rsid w:val="003D788C"/>
    <w:rsid w:val="003D7DB6"/>
    <w:rsid w:val="003E02C4"/>
    <w:rsid w:val="003E3984"/>
    <w:rsid w:val="003E4148"/>
    <w:rsid w:val="003E52EB"/>
    <w:rsid w:val="003E5549"/>
    <w:rsid w:val="003E5AE5"/>
    <w:rsid w:val="003E5EE7"/>
    <w:rsid w:val="003E664C"/>
    <w:rsid w:val="003E6ED3"/>
    <w:rsid w:val="003E7C94"/>
    <w:rsid w:val="003F0432"/>
    <w:rsid w:val="003F2B3C"/>
    <w:rsid w:val="003F5D0B"/>
    <w:rsid w:val="003F707B"/>
    <w:rsid w:val="003F7ECE"/>
    <w:rsid w:val="00400A11"/>
    <w:rsid w:val="00401FD4"/>
    <w:rsid w:val="004022F5"/>
    <w:rsid w:val="00403AB6"/>
    <w:rsid w:val="00404131"/>
    <w:rsid w:val="004051E5"/>
    <w:rsid w:val="00405BB8"/>
    <w:rsid w:val="00406849"/>
    <w:rsid w:val="004113FD"/>
    <w:rsid w:val="0041324C"/>
    <w:rsid w:val="00413F60"/>
    <w:rsid w:val="00415A30"/>
    <w:rsid w:val="00416FBC"/>
    <w:rsid w:val="004173CE"/>
    <w:rsid w:val="004178B7"/>
    <w:rsid w:val="00420D46"/>
    <w:rsid w:val="00421D9E"/>
    <w:rsid w:val="004221E2"/>
    <w:rsid w:val="00422589"/>
    <w:rsid w:val="00424D36"/>
    <w:rsid w:val="004276C3"/>
    <w:rsid w:val="00427E94"/>
    <w:rsid w:val="0043021F"/>
    <w:rsid w:val="004303A3"/>
    <w:rsid w:val="00430EF6"/>
    <w:rsid w:val="0043194A"/>
    <w:rsid w:val="00437310"/>
    <w:rsid w:val="00437372"/>
    <w:rsid w:val="004378D6"/>
    <w:rsid w:val="00437B0F"/>
    <w:rsid w:val="004410EC"/>
    <w:rsid w:val="0044225E"/>
    <w:rsid w:val="004440FA"/>
    <w:rsid w:val="00444472"/>
    <w:rsid w:val="004446CE"/>
    <w:rsid w:val="00444C09"/>
    <w:rsid w:val="00445992"/>
    <w:rsid w:val="00446A6F"/>
    <w:rsid w:val="0045201D"/>
    <w:rsid w:val="004526DA"/>
    <w:rsid w:val="004528E5"/>
    <w:rsid w:val="00453346"/>
    <w:rsid w:val="00454DF2"/>
    <w:rsid w:val="00455082"/>
    <w:rsid w:val="0045765C"/>
    <w:rsid w:val="00457DA0"/>
    <w:rsid w:val="00460510"/>
    <w:rsid w:val="00461986"/>
    <w:rsid w:val="00461ADF"/>
    <w:rsid w:val="00462A69"/>
    <w:rsid w:val="00463CD9"/>
    <w:rsid w:val="004665C5"/>
    <w:rsid w:val="00466A2A"/>
    <w:rsid w:val="004670E6"/>
    <w:rsid w:val="004725E2"/>
    <w:rsid w:val="00472B3A"/>
    <w:rsid w:val="00473CF1"/>
    <w:rsid w:val="0047468E"/>
    <w:rsid w:val="004759FE"/>
    <w:rsid w:val="00476AFB"/>
    <w:rsid w:val="004779F2"/>
    <w:rsid w:val="00480536"/>
    <w:rsid w:val="004817C9"/>
    <w:rsid w:val="00481D07"/>
    <w:rsid w:val="004824A3"/>
    <w:rsid w:val="0048445E"/>
    <w:rsid w:val="0048702D"/>
    <w:rsid w:val="00490B98"/>
    <w:rsid w:val="00493B80"/>
    <w:rsid w:val="00494E3B"/>
    <w:rsid w:val="00495CC0"/>
    <w:rsid w:val="004A2949"/>
    <w:rsid w:val="004A2F03"/>
    <w:rsid w:val="004A3559"/>
    <w:rsid w:val="004A3B6B"/>
    <w:rsid w:val="004A3C58"/>
    <w:rsid w:val="004A5B29"/>
    <w:rsid w:val="004A6665"/>
    <w:rsid w:val="004A6D2D"/>
    <w:rsid w:val="004B0884"/>
    <w:rsid w:val="004B20CE"/>
    <w:rsid w:val="004B362F"/>
    <w:rsid w:val="004B68C8"/>
    <w:rsid w:val="004B73C7"/>
    <w:rsid w:val="004C02F4"/>
    <w:rsid w:val="004C0B4A"/>
    <w:rsid w:val="004C115D"/>
    <w:rsid w:val="004C146C"/>
    <w:rsid w:val="004C1CDC"/>
    <w:rsid w:val="004C3A36"/>
    <w:rsid w:val="004C42BA"/>
    <w:rsid w:val="004C4FD3"/>
    <w:rsid w:val="004C51D3"/>
    <w:rsid w:val="004C5637"/>
    <w:rsid w:val="004C56E1"/>
    <w:rsid w:val="004C58CF"/>
    <w:rsid w:val="004C6674"/>
    <w:rsid w:val="004C6C67"/>
    <w:rsid w:val="004D027D"/>
    <w:rsid w:val="004D1C2F"/>
    <w:rsid w:val="004D2779"/>
    <w:rsid w:val="004D48FB"/>
    <w:rsid w:val="004D61A1"/>
    <w:rsid w:val="004D6CF5"/>
    <w:rsid w:val="004D6FAA"/>
    <w:rsid w:val="004D7DC2"/>
    <w:rsid w:val="004E510B"/>
    <w:rsid w:val="004E5E75"/>
    <w:rsid w:val="004E6BCC"/>
    <w:rsid w:val="004E6D0E"/>
    <w:rsid w:val="004F2DA5"/>
    <w:rsid w:val="004F3888"/>
    <w:rsid w:val="004F3C31"/>
    <w:rsid w:val="004F3E4D"/>
    <w:rsid w:val="004F4B3B"/>
    <w:rsid w:val="004F5542"/>
    <w:rsid w:val="004F55BB"/>
    <w:rsid w:val="004F5D7A"/>
    <w:rsid w:val="004F6065"/>
    <w:rsid w:val="00500A31"/>
    <w:rsid w:val="00500A59"/>
    <w:rsid w:val="005011A1"/>
    <w:rsid w:val="0050423E"/>
    <w:rsid w:val="00504D21"/>
    <w:rsid w:val="00507056"/>
    <w:rsid w:val="00507CBC"/>
    <w:rsid w:val="00510EFF"/>
    <w:rsid w:val="00514793"/>
    <w:rsid w:val="00514BD0"/>
    <w:rsid w:val="00517457"/>
    <w:rsid w:val="00522167"/>
    <w:rsid w:val="00522CE1"/>
    <w:rsid w:val="005238E7"/>
    <w:rsid w:val="005253F6"/>
    <w:rsid w:val="005260E9"/>
    <w:rsid w:val="0053046A"/>
    <w:rsid w:val="005318F2"/>
    <w:rsid w:val="0053435B"/>
    <w:rsid w:val="0053669F"/>
    <w:rsid w:val="00540CED"/>
    <w:rsid w:val="00546571"/>
    <w:rsid w:val="005471F2"/>
    <w:rsid w:val="00552362"/>
    <w:rsid w:val="00552477"/>
    <w:rsid w:val="00553F4F"/>
    <w:rsid w:val="005550E8"/>
    <w:rsid w:val="00557505"/>
    <w:rsid w:val="0056017A"/>
    <w:rsid w:val="00560333"/>
    <w:rsid w:val="00560720"/>
    <w:rsid w:val="00563079"/>
    <w:rsid w:val="00566F88"/>
    <w:rsid w:val="005674BB"/>
    <w:rsid w:val="00571D45"/>
    <w:rsid w:val="005739A7"/>
    <w:rsid w:val="00573B49"/>
    <w:rsid w:val="00575E93"/>
    <w:rsid w:val="0057724E"/>
    <w:rsid w:val="005772DB"/>
    <w:rsid w:val="00577B6C"/>
    <w:rsid w:val="0058126D"/>
    <w:rsid w:val="00582B09"/>
    <w:rsid w:val="005844A2"/>
    <w:rsid w:val="00584F8A"/>
    <w:rsid w:val="00592E51"/>
    <w:rsid w:val="005950A0"/>
    <w:rsid w:val="00595A13"/>
    <w:rsid w:val="005A1BF0"/>
    <w:rsid w:val="005A1BFF"/>
    <w:rsid w:val="005A47E8"/>
    <w:rsid w:val="005A4F79"/>
    <w:rsid w:val="005A51C9"/>
    <w:rsid w:val="005A594B"/>
    <w:rsid w:val="005A5D81"/>
    <w:rsid w:val="005A77B7"/>
    <w:rsid w:val="005B1DC5"/>
    <w:rsid w:val="005B1E9B"/>
    <w:rsid w:val="005B2244"/>
    <w:rsid w:val="005B5ECE"/>
    <w:rsid w:val="005B6303"/>
    <w:rsid w:val="005B6788"/>
    <w:rsid w:val="005B79AF"/>
    <w:rsid w:val="005C0794"/>
    <w:rsid w:val="005C265F"/>
    <w:rsid w:val="005C4589"/>
    <w:rsid w:val="005C497A"/>
    <w:rsid w:val="005C4993"/>
    <w:rsid w:val="005C4FB0"/>
    <w:rsid w:val="005C51F3"/>
    <w:rsid w:val="005D0CDA"/>
    <w:rsid w:val="005D2FA3"/>
    <w:rsid w:val="005D682F"/>
    <w:rsid w:val="005D683C"/>
    <w:rsid w:val="005E1A49"/>
    <w:rsid w:val="005E43BD"/>
    <w:rsid w:val="005E5F1F"/>
    <w:rsid w:val="005E661F"/>
    <w:rsid w:val="005E7673"/>
    <w:rsid w:val="005F1396"/>
    <w:rsid w:val="005F1F46"/>
    <w:rsid w:val="005F2452"/>
    <w:rsid w:val="005F2630"/>
    <w:rsid w:val="005F679D"/>
    <w:rsid w:val="005F759D"/>
    <w:rsid w:val="005F75FF"/>
    <w:rsid w:val="0060596F"/>
    <w:rsid w:val="00605B1F"/>
    <w:rsid w:val="006073ED"/>
    <w:rsid w:val="00612334"/>
    <w:rsid w:val="00612742"/>
    <w:rsid w:val="00612F4F"/>
    <w:rsid w:val="00617483"/>
    <w:rsid w:val="00617FF2"/>
    <w:rsid w:val="00622283"/>
    <w:rsid w:val="006224AF"/>
    <w:rsid w:val="0062293D"/>
    <w:rsid w:val="006236F6"/>
    <w:rsid w:val="0062426A"/>
    <w:rsid w:val="00624506"/>
    <w:rsid w:val="00626760"/>
    <w:rsid w:val="00626D72"/>
    <w:rsid w:val="00631905"/>
    <w:rsid w:val="00632365"/>
    <w:rsid w:val="006334E6"/>
    <w:rsid w:val="006339A7"/>
    <w:rsid w:val="00636A56"/>
    <w:rsid w:val="006378F2"/>
    <w:rsid w:val="0064030D"/>
    <w:rsid w:val="0065032D"/>
    <w:rsid w:val="006506C8"/>
    <w:rsid w:val="00650869"/>
    <w:rsid w:val="00651734"/>
    <w:rsid w:val="00652811"/>
    <w:rsid w:val="00652B8A"/>
    <w:rsid w:val="00653830"/>
    <w:rsid w:val="00654781"/>
    <w:rsid w:val="006555A6"/>
    <w:rsid w:val="006563F1"/>
    <w:rsid w:val="00664A98"/>
    <w:rsid w:val="00665F2B"/>
    <w:rsid w:val="00666CCF"/>
    <w:rsid w:val="00667C75"/>
    <w:rsid w:val="0067168C"/>
    <w:rsid w:val="00672A29"/>
    <w:rsid w:val="00676E5B"/>
    <w:rsid w:val="006771E6"/>
    <w:rsid w:val="00677888"/>
    <w:rsid w:val="0068073F"/>
    <w:rsid w:val="006821A3"/>
    <w:rsid w:val="00683383"/>
    <w:rsid w:val="00684EDA"/>
    <w:rsid w:val="006856AC"/>
    <w:rsid w:val="00686E82"/>
    <w:rsid w:val="006902E3"/>
    <w:rsid w:val="006928AD"/>
    <w:rsid w:val="00693328"/>
    <w:rsid w:val="00693BCA"/>
    <w:rsid w:val="00694E1E"/>
    <w:rsid w:val="006954D1"/>
    <w:rsid w:val="006970F8"/>
    <w:rsid w:val="0069722F"/>
    <w:rsid w:val="00697638"/>
    <w:rsid w:val="006A1AD9"/>
    <w:rsid w:val="006A1BF0"/>
    <w:rsid w:val="006A2BD5"/>
    <w:rsid w:val="006A4532"/>
    <w:rsid w:val="006A477F"/>
    <w:rsid w:val="006A4EB4"/>
    <w:rsid w:val="006A6E5A"/>
    <w:rsid w:val="006A70C2"/>
    <w:rsid w:val="006A7A71"/>
    <w:rsid w:val="006B1989"/>
    <w:rsid w:val="006B1E66"/>
    <w:rsid w:val="006B2485"/>
    <w:rsid w:val="006B2D13"/>
    <w:rsid w:val="006B3206"/>
    <w:rsid w:val="006B3A54"/>
    <w:rsid w:val="006B44B6"/>
    <w:rsid w:val="006C16EC"/>
    <w:rsid w:val="006C1782"/>
    <w:rsid w:val="006C227E"/>
    <w:rsid w:val="006C3955"/>
    <w:rsid w:val="006C4E14"/>
    <w:rsid w:val="006D20F5"/>
    <w:rsid w:val="006D328C"/>
    <w:rsid w:val="006D4795"/>
    <w:rsid w:val="006D47F0"/>
    <w:rsid w:val="006D5935"/>
    <w:rsid w:val="006D74D5"/>
    <w:rsid w:val="006E28DA"/>
    <w:rsid w:val="006E352C"/>
    <w:rsid w:val="006E43EF"/>
    <w:rsid w:val="006E63D6"/>
    <w:rsid w:val="006F0CF3"/>
    <w:rsid w:val="006F0D57"/>
    <w:rsid w:val="006F2B80"/>
    <w:rsid w:val="006F5756"/>
    <w:rsid w:val="006F5995"/>
    <w:rsid w:val="00700853"/>
    <w:rsid w:val="00700CC6"/>
    <w:rsid w:val="00704CFB"/>
    <w:rsid w:val="00705CC5"/>
    <w:rsid w:val="007061E7"/>
    <w:rsid w:val="00706692"/>
    <w:rsid w:val="00706DAC"/>
    <w:rsid w:val="00707085"/>
    <w:rsid w:val="00712A30"/>
    <w:rsid w:val="00712C65"/>
    <w:rsid w:val="00713733"/>
    <w:rsid w:val="007138D9"/>
    <w:rsid w:val="00713D76"/>
    <w:rsid w:val="007167B1"/>
    <w:rsid w:val="007171B7"/>
    <w:rsid w:val="00717D30"/>
    <w:rsid w:val="00720071"/>
    <w:rsid w:val="00721654"/>
    <w:rsid w:val="00722334"/>
    <w:rsid w:val="007236B3"/>
    <w:rsid w:val="00726393"/>
    <w:rsid w:val="0072702B"/>
    <w:rsid w:val="00730154"/>
    <w:rsid w:val="00730281"/>
    <w:rsid w:val="00730525"/>
    <w:rsid w:val="00730936"/>
    <w:rsid w:val="00731C9F"/>
    <w:rsid w:val="00732C47"/>
    <w:rsid w:val="00734404"/>
    <w:rsid w:val="00734EC2"/>
    <w:rsid w:val="00735123"/>
    <w:rsid w:val="00735CBF"/>
    <w:rsid w:val="00737654"/>
    <w:rsid w:val="00740448"/>
    <w:rsid w:val="00740681"/>
    <w:rsid w:val="00741171"/>
    <w:rsid w:val="0074273E"/>
    <w:rsid w:val="00742C58"/>
    <w:rsid w:val="00744576"/>
    <w:rsid w:val="0074542A"/>
    <w:rsid w:val="0074608C"/>
    <w:rsid w:val="00746AE6"/>
    <w:rsid w:val="00750827"/>
    <w:rsid w:val="00750A51"/>
    <w:rsid w:val="00751078"/>
    <w:rsid w:val="007523AA"/>
    <w:rsid w:val="00753E2D"/>
    <w:rsid w:val="00755991"/>
    <w:rsid w:val="00757B3C"/>
    <w:rsid w:val="00760B01"/>
    <w:rsid w:val="00761232"/>
    <w:rsid w:val="00761421"/>
    <w:rsid w:val="00761FB4"/>
    <w:rsid w:val="0076445A"/>
    <w:rsid w:val="00764842"/>
    <w:rsid w:val="00765BDC"/>
    <w:rsid w:val="007673B6"/>
    <w:rsid w:val="007677A8"/>
    <w:rsid w:val="00767E58"/>
    <w:rsid w:val="007711F6"/>
    <w:rsid w:val="00771B8A"/>
    <w:rsid w:val="0077278C"/>
    <w:rsid w:val="007727CE"/>
    <w:rsid w:val="007729FB"/>
    <w:rsid w:val="0078200B"/>
    <w:rsid w:val="00784F42"/>
    <w:rsid w:val="00786EC3"/>
    <w:rsid w:val="007924B0"/>
    <w:rsid w:val="007933EA"/>
    <w:rsid w:val="0079534F"/>
    <w:rsid w:val="00795AD6"/>
    <w:rsid w:val="00795BA7"/>
    <w:rsid w:val="00795D2B"/>
    <w:rsid w:val="00795DE4"/>
    <w:rsid w:val="0079619A"/>
    <w:rsid w:val="007979CA"/>
    <w:rsid w:val="00797B48"/>
    <w:rsid w:val="007A085F"/>
    <w:rsid w:val="007A100C"/>
    <w:rsid w:val="007A2DFA"/>
    <w:rsid w:val="007A3258"/>
    <w:rsid w:val="007A3703"/>
    <w:rsid w:val="007A4635"/>
    <w:rsid w:val="007A4EF5"/>
    <w:rsid w:val="007A698B"/>
    <w:rsid w:val="007A7052"/>
    <w:rsid w:val="007A77E5"/>
    <w:rsid w:val="007B00C1"/>
    <w:rsid w:val="007B1261"/>
    <w:rsid w:val="007B3199"/>
    <w:rsid w:val="007B37B8"/>
    <w:rsid w:val="007B6DB6"/>
    <w:rsid w:val="007B7AB9"/>
    <w:rsid w:val="007C1CA1"/>
    <w:rsid w:val="007C23F7"/>
    <w:rsid w:val="007C2A78"/>
    <w:rsid w:val="007C36DA"/>
    <w:rsid w:val="007C46BA"/>
    <w:rsid w:val="007C4D14"/>
    <w:rsid w:val="007C525B"/>
    <w:rsid w:val="007C5BD9"/>
    <w:rsid w:val="007C701F"/>
    <w:rsid w:val="007C7AA8"/>
    <w:rsid w:val="007D015C"/>
    <w:rsid w:val="007D0B32"/>
    <w:rsid w:val="007D0F83"/>
    <w:rsid w:val="007D2A59"/>
    <w:rsid w:val="007D4048"/>
    <w:rsid w:val="007D4CD9"/>
    <w:rsid w:val="007D5407"/>
    <w:rsid w:val="007E208E"/>
    <w:rsid w:val="007E2CF3"/>
    <w:rsid w:val="007E3468"/>
    <w:rsid w:val="007E7C11"/>
    <w:rsid w:val="007F0FD8"/>
    <w:rsid w:val="007F3163"/>
    <w:rsid w:val="007F33C6"/>
    <w:rsid w:val="007F4923"/>
    <w:rsid w:val="007F4AD7"/>
    <w:rsid w:val="007F4D22"/>
    <w:rsid w:val="007F4D8F"/>
    <w:rsid w:val="007F6404"/>
    <w:rsid w:val="007F6587"/>
    <w:rsid w:val="007F7539"/>
    <w:rsid w:val="007F7872"/>
    <w:rsid w:val="00803AA1"/>
    <w:rsid w:val="00803B89"/>
    <w:rsid w:val="00803F08"/>
    <w:rsid w:val="0080708C"/>
    <w:rsid w:val="00807D86"/>
    <w:rsid w:val="00810598"/>
    <w:rsid w:val="00812F02"/>
    <w:rsid w:val="008134CE"/>
    <w:rsid w:val="00814563"/>
    <w:rsid w:val="0081506C"/>
    <w:rsid w:val="00815613"/>
    <w:rsid w:val="0081568E"/>
    <w:rsid w:val="0081791C"/>
    <w:rsid w:val="0082047E"/>
    <w:rsid w:val="008212D8"/>
    <w:rsid w:val="00821BBC"/>
    <w:rsid w:val="00822B16"/>
    <w:rsid w:val="00823E37"/>
    <w:rsid w:val="00824291"/>
    <w:rsid w:val="0082591E"/>
    <w:rsid w:val="00825F74"/>
    <w:rsid w:val="0082641B"/>
    <w:rsid w:val="008328E4"/>
    <w:rsid w:val="00832C81"/>
    <w:rsid w:val="00833F05"/>
    <w:rsid w:val="0083426D"/>
    <w:rsid w:val="00836F6C"/>
    <w:rsid w:val="008406F9"/>
    <w:rsid w:val="00842C0F"/>
    <w:rsid w:val="008437DB"/>
    <w:rsid w:val="008442C0"/>
    <w:rsid w:val="00844CA6"/>
    <w:rsid w:val="00847235"/>
    <w:rsid w:val="008623E0"/>
    <w:rsid w:val="00862D14"/>
    <w:rsid w:val="008637E1"/>
    <w:rsid w:val="00863AB1"/>
    <w:rsid w:val="0086424F"/>
    <w:rsid w:val="00865664"/>
    <w:rsid w:val="008704B9"/>
    <w:rsid w:val="00870F78"/>
    <w:rsid w:val="00872A12"/>
    <w:rsid w:val="0087573B"/>
    <w:rsid w:val="00876F4E"/>
    <w:rsid w:val="0087756F"/>
    <w:rsid w:val="008778C1"/>
    <w:rsid w:val="00881400"/>
    <w:rsid w:val="0088182C"/>
    <w:rsid w:val="00881C37"/>
    <w:rsid w:val="008849B5"/>
    <w:rsid w:val="0088739A"/>
    <w:rsid w:val="00890357"/>
    <w:rsid w:val="00891494"/>
    <w:rsid w:val="00891A49"/>
    <w:rsid w:val="00891E42"/>
    <w:rsid w:val="0089207D"/>
    <w:rsid w:val="0089302F"/>
    <w:rsid w:val="008941AC"/>
    <w:rsid w:val="008964DB"/>
    <w:rsid w:val="00896DB0"/>
    <w:rsid w:val="008A06F9"/>
    <w:rsid w:val="008A1725"/>
    <w:rsid w:val="008A23CB"/>
    <w:rsid w:val="008A4944"/>
    <w:rsid w:val="008A686D"/>
    <w:rsid w:val="008A6DE7"/>
    <w:rsid w:val="008A7122"/>
    <w:rsid w:val="008A7370"/>
    <w:rsid w:val="008B01BD"/>
    <w:rsid w:val="008B2176"/>
    <w:rsid w:val="008B3CD1"/>
    <w:rsid w:val="008B5CBB"/>
    <w:rsid w:val="008B642B"/>
    <w:rsid w:val="008B7B1A"/>
    <w:rsid w:val="008C02E9"/>
    <w:rsid w:val="008C1AEB"/>
    <w:rsid w:val="008C29E4"/>
    <w:rsid w:val="008C3580"/>
    <w:rsid w:val="008C4842"/>
    <w:rsid w:val="008C5AF7"/>
    <w:rsid w:val="008C768D"/>
    <w:rsid w:val="008D0F8D"/>
    <w:rsid w:val="008D2ED3"/>
    <w:rsid w:val="008D3E10"/>
    <w:rsid w:val="008D467C"/>
    <w:rsid w:val="008D514C"/>
    <w:rsid w:val="008D540E"/>
    <w:rsid w:val="008D59A7"/>
    <w:rsid w:val="008D7A78"/>
    <w:rsid w:val="008E0972"/>
    <w:rsid w:val="008E159B"/>
    <w:rsid w:val="008E1867"/>
    <w:rsid w:val="008E428A"/>
    <w:rsid w:val="008E4D99"/>
    <w:rsid w:val="008E5E3D"/>
    <w:rsid w:val="008E7420"/>
    <w:rsid w:val="008F0411"/>
    <w:rsid w:val="008F17E1"/>
    <w:rsid w:val="008F2B96"/>
    <w:rsid w:val="008F2C9E"/>
    <w:rsid w:val="008F397B"/>
    <w:rsid w:val="008F56B3"/>
    <w:rsid w:val="008F573D"/>
    <w:rsid w:val="008F5D2D"/>
    <w:rsid w:val="008F6157"/>
    <w:rsid w:val="008F728C"/>
    <w:rsid w:val="008F7A46"/>
    <w:rsid w:val="009014F1"/>
    <w:rsid w:val="009019C6"/>
    <w:rsid w:val="00901C8F"/>
    <w:rsid w:val="00902B70"/>
    <w:rsid w:val="0090388F"/>
    <w:rsid w:val="009040B1"/>
    <w:rsid w:val="00904EAA"/>
    <w:rsid w:val="00904F40"/>
    <w:rsid w:val="00907992"/>
    <w:rsid w:val="00907D4B"/>
    <w:rsid w:val="009103BF"/>
    <w:rsid w:val="0091300C"/>
    <w:rsid w:val="00913F0B"/>
    <w:rsid w:val="00913F0D"/>
    <w:rsid w:val="00916831"/>
    <w:rsid w:val="00921F5C"/>
    <w:rsid w:val="0092208D"/>
    <w:rsid w:val="00923AD5"/>
    <w:rsid w:val="009251DF"/>
    <w:rsid w:val="0092636F"/>
    <w:rsid w:val="0093156A"/>
    <w:rsid w:val="00932331"/>
    <w:rsid w:val="009324A1"/>
    <w:rsid w:val="00935AAD"/>
    <w:rsid w:val="009370F5"/>
    <w:rsid w:val="0093761B"/>
    <w:rsid w:val="00937D5A"/>
    <w:rsid w:val="009416DA"/>
    <w:rsid w:val="00941C6D"/>
    <w:rsid w:val="00945681"/>
    <w:rsid w:val="00945FCE"/>
    <w:rsid w:val="009501E8"/>
    <w:rsid w:val="0095141F"/>
    <w:rsid w:val="00951A15"/>
    <w:rsid w:val="00951DA4"/>
    <w:rsid w:val="00952D63"/>
    <w:rsid w:val="00960372"/>
    <w:rsid w:val="00962B06"/>
    <w:rsid w:val="009632D9"/>
    <w:rsid w:val="00963681"/>
    <w:rsid w:val="009641BE"/>
    <w:rsid w:val="00964C04"/>
    <w:rsid w:val="00965C3B"/>
    <w:rsid w:val="00966F26"/>
    <w:rsid w:val="0097046F"/>
    <w:rsid w:val="00970C41"/>
    <w:rsid w:val="00971E0A"/>
    <w:rsid w:val="009739F4"/>
    <w:rsid w:val="00973D8C"/>
    <w:rsid w:val="009743C9"/>
    <w:rsid w:val="0097621C"/>
    <w:rsid w:val="009763E5"/>
    <w:rsid w:val="00980BA9"/>
    <w:rsid w:val="00981130"/>
    <w:rsid w:val="0098408D"/>
    <w:rsid w:val="0098588E"/>
    <w:rsid w:val="0098643C"/>
    <w:rsid w:val="00991453"/>
    <w:rsid w:val="0099180D"/>
    <w:rsid w:val="00992D65"/>
    <w:rsid w:val="00993DF9"/>
    <w:rsid w:val="0099625D"/>
    <w:rsid w:val="009A22D8"/>
    <w:rsid w:val="009A4916"/>
    <w:rsid w:val="009A76C4"/>
    <w:rsid w:val="009A79A9"/>
    <w:rsid w:val="009B0AB4"/>
    <w:rsid w:val="009B0E5C"/>
    <w:rsid w:val="009B1E03"/>
    <w:rsid w:val="009B22FE"/>
    <w:rsid w:val="009B3102"/>
    <w:rsid w:val="009B4031"/>
    <w:rsid w:val="009B5A2E"/>
    <w:rsid w:val="009B5A8D"/>
    <w:rsid w:val="009B6587"/>
    <w:rsid w:val="009B6C70"/>
    <w:rsid w:val="009C0782"/>
    <w:rsid w:val="009C38F5"/>
    <w:rsid w:val="009C5005"/>
    <w:rsid w:val="009C5385"/>
    <w:rsid w:val="009C58A2"/>
    <w:rsid w:val="009C5C40"/>
    <w:rsid w:val="009C5D39"/>
    <w:rsid w:val="009C6926"/>
    <w:rsid w:val="009C6D3E"/>
    <w:rsid w:val="009C71EC"/>
    <w:rsid w:val="009C78D7"/>
    <w:rsid w:val="009D063E"/>
    <w:rsid w:val="009D0719"/>
    <w:rsid w:val="009D150A"/>
    <w:rsid w:val="009D25E2"/>
    <w:rsid w:val="009D357E"/>
    <w:rsid w:val="009D3803"/>
    <w:rsid w:val="009D5275"/>
    <w:rsid w:val="009D7488"/>
    <w:rsid w:val="009E1396"/>
    <w:rsid w:val="009E1725"/>
    <w:rsid w:val="009E24AF"/>
    <w:rsid w:val="009E3340"/>
    <w:rsid w:val="009E354F"/>
    <w:rsid w:val="009E3BA5"/>
    <w:rsid w:val="009E415B"/>
    <w:rsid w:val="009E4EEF"/>
    <w:rsid w:val="009E6986"/>
    <w:rsid w:val="009E7AD2"/>
    <w:rsid w:val="009E7D43"/>
    <w:rsid w:val="009F1C5D"/>
    <w:rsid w:val="009F6FDA"/>
    <w:rsid w:val="00A009BD"/>
    <w:rsid w:val="00A00F8A"/>
    <w:rsid w:val="00A02FEB"/>
    <w:rsid w:val="00A033F4"/>
    <w:rsid w:val="00A07B50"/>
    <w:rsid w:val="00A102DC"/>
    <w:rsid w:val="00A10C9E"/>
    <w:rsid w:val="00A11195"/>
    <w:rsid w:val="00A118AC"/>
    <w:rsid w:val="00A147E3"/>
    <w:rsid w:val="00A158F3"/>
    <w:rsid w:val="00A17CF4"/>
    <w:rsid w:val="00A17D29"/>
    <w:rsid w:val="00A22340"/>
    <w:rsid w:val="00A23FE6"/>
    <w:rsid w:val="00A24263"/>
    <w:rsid w:val="00A247EC"/>
    <w:rsid w:val="00A24A40"/>
    <w:rsid w:val="00A27E7D"/>
    <w:rsid w:val="00A302F1"/>
    <w:rsid w:val="00A31F4F"/>
    <w:rsid w:val="00A32FF9"/>
    <w:rsid w:val="00A334D8"/>
    <w:rsid w:val="00A367EA"/>
    <w:rsid w:val="00A369DE"/>
    <w:rsid w:val="00A36A05"/>
    <w:rsid w:val="00A36EFB"/>
    <w:rsid w:val="00A42A6D"/>
    <w:rsid w:val="00A43092"/>
    <w:rsid w:val="00A431AE"/>
    <w:rsid w:val="00A4372C"/>
    <w:rsid w:val="00A44273"/>
    <w:rsid w:val="00A4622E"/>
    <w:rsid w:val="00A46CA9"/>
    <w:rsid w:val="00A51845"/>
    <w:rsid w:val="00A5390C"/>
    <w:rsid w:val="00A53D48"/>
    <w:rsid w:val="00A54E08"/>
    <w:rsid w:val="00A60310"/>
    <w:rsid w:val="00A60ACA"/>
    <w:rsid w:val="00A620C2"/>
    <w:rsid w:val="00A660D0"/>
    <w:rsid w:val="00A674AD"/>
    <w:rsid w:val="00A71128"/>
    <w:rsid w:val="00A72292"/>
    <w:rsid w:val="00A72CE8"/>
    <w:rsid w:val="00A72EA1"/>
    <w:rsid w:val="00A73617"/>
    <w:rsid w:val="00A73723"/>
    <w:rsid w:val="00A765CD"/>
    <w:rsid w:val="00A766EA"/>
    <w:rsid w:val="00A77A94"/>
    <w:rsid w:val="00A80E38"/>
    <w:rsid w:val="00A820AB"/>
    <w:rsid w:val="00A846ED"/>
    <w:rsid w:val="00A84DCE"/>
    <w:rsid w:val="00A85FCD"/>
    <w:rsid w:val="00A9027D"/>
    <w:rsid w:val="00A90B71"/>
    <w:rsid w:val="00A91BC0"/>
    <w:rsid w:val="00A92302"/>
    <w:rsid w:val="00A956BE"/>
    <w:rsid w:val="00A964A5"/>
    <w:rsid w:val="00A96572"/>
    <w:rsid w:val="00A97076"/>
    <w:rsid w:val="00A9768B"/>
    <w:rsid w:val="00AA216F"/>
    <w:rsid w:val="00AA27AD"/>
    <w:rsid w:val="00AA3457"/>
    <w:rsid w:val="00AA3968"/>
    <w:rsid w:val="00AA4D61"/>
    <w:rsid w:val="00AA670B"/>
    <w:rsid w:val="00AB0209"/>
    <w:rsid w:val="00AB31E1"/>
    <w:rsid w:val="00AB4340"/>
    <w:rsid w:val="00AB46C1"/>
    <w:rsid w:val="00AB526D"/>
    <w:rsid w:val="00AB5BEB"/>
    <w:rsid w:val="00AB5D49"/>
    <w:rsid w:val="00AB6CD7"/>
    <w:rsid w:val="00AB74D7"/>
    <w:rsid w:val="00AC1F42"/>
    <w:rsid w:val="00AC21F5"/>
    <w:rsid w:val="00AC38B3"/>
    <w:rsid w:val="00AC3E6C"/>
    <w:rsid w:val="00AC4AE9"/>
    <w:rsid w:val="00AC5499"/>
    <w:rsid w:val="00AC5843"/>
    <w:rsid w:val="00AC6C6F"/>
    <w:rsid w:val="00AC7542"/>
    <w:rsid w:val="00AC7918"/>
    <w:rsid w:val="00AD014E"/>
    <w:rsid w:val="00AD08CA"/>
    <w:rsid w:val="00AD32AA"/>
    <w:rsid w:val="00AD53C1"/>
    <w:rsid w:val="00AD71F8"/>
    <w:rsid w:val="00AD7DD6"/>
    <w:rsid w:val="00AE40EE"/>
    <w:rsid w:val="00AE43FB"/>
    <w:rsid w:val="00AE456E"/>
    <w:rsid w:val="00AE5038"/>
    <w:rsid w:val="00AE6763"/>
    <w:rsid w:val="00AE6CF4"/>
    <w:rsid w:val="00AE746F"/>
    <w:rsid w:val="00AF003A"/>
    <w:rsid w:val="00AF105E"/>
    <w:rsid w:val="00AF1362"/>
    <w:rsid w:val="00AF2E19"/>
    <w:rsid w:val="00AF4A7F"/>
    <w:rsid w:val="00AF521E"/>
    <w:rsid w:val="00AF5313"/>
    <w:rsid w:val="00AF67D7"/>
    <w:rsid w:val="00AF71EC"/>
    <w:rsid w:val="00AF79D1"/>
    <w:rsid w:val="00B00B3F"/>
    <w:rsid w:val="00B02312"/>
    <w:rsid w:val="00B06D63"/>
    <w:rsid w:val="00B0745C"/>
    <w:rsid w:val="00B07BC1"/>
    <w:rsid w:val="00B116AC"/>
    <w:rsid w:val="00B117D4"/>
    <w:rsid w:val="00B11A03"/>
    <w:rsid w:val="00B15285"/>
    <w:rsid w:val="00B15A62"/>
    <w:rsid w:val="00B15ABC"/>
    <w:rsid w:val="00B16785"/>
    <w:rsid w:val="00B169BA"/>
    <w:rsid w:val="00B2046A"/>
    <w:rsid w:val="00B213B5"/>
    <w:rsid w:val="00B21E3F"/>
    <w:rsid w:val="00B23FA1"/>
    <w:rsid w:val="00B24FAD"/>
    <w:rsid w:val="00B25935"/>
    <w:rsid w:val="00B2646C"/>
    <w:rsid w:val="00B27AC2"/>
    <w:rsid w:val="00B309A1"/>
    <w:rsid w:val="00B31265"/>
    <w:rsid w:val="00B319A8"/>
    <w:rsid w:val="00B31C7C"/>
    <w:rsid w:val="00B350E0"/>
    <w:rsid w:val="00B352AF"/>
    <w:rsid w:val="00B368BD"/>
    <w:rsid w:val="00B40412"/>
    <w:rsid w:val="00B4343C"/>
    <w:rsid w:val="00B43B2A"/>
    <w:rsid w:val="00B45272"/>
    <w:rsid w:val="00B45411"/>
    <w:rsid w:val="00B4582E"/>
    <w:rsid w:val="00B46709"/>
    <w:rsid w:val="00B47BC2"/>
    <w:rsid w:val="00B47BDB"/>
    <w:rsid w:val="00B50394"/>
    <w:rsid w:val="00B51DF1"/>
    <w:rsid w:val="00B52658"/>
    <w:rsid w:val="00B5329D"/>
    <w:rsid w:val="00B53A97"/>
    <w:rsid w:val="00B601D4"/>
    <w:rsid w:val="00B62318"/>
    <w:rsid w:val="00B6313E"/>
    <w:rsid w:val="00B635BF"/>
    <w:rsid w:val="00B639F7"/>
    <w:rsid w:val="00B650CA"/>
    <w:rsid w:val="00B66404"/>
    <w:rsid w:val="00B66B54"/>
    <w:rsid w:val="00B70FE9"/>
    <w:rsid w:val="00B73368"/>
    <w:rsid w:val="00B7453E"/>
    <w:rsid w:val="00B75113"/>
    <w:rsid w:val="00B763D4"/>
    <w:rsid w:val="00B76C5B"/>
    <w:rsid w:val="00B772C5"/>
    <w:rsid w:val="00B81533"/>
    <w:rsid w:val="00B83958"/>
    <w:rsid w:val="00B83CF6"/>
    <w:rsid w:val="00B84886"/>
    <w:rsid w:val="00B85D80"/>
    <w:rsid w:val="00B861CA"/>
    <w:rsid w:val="00B864B4"/>
    <w:rsid w:val="00B866BC"/>
    <w:rsid w:val="00B86DD4"/>
    <w:rsid w:val="00B90A1A"/>
    <w:rsid w:val="00B90E87"/>
    <w:rsid w:val="00B9293B"/>
    <w:rsid w:val="00B94176"/>
    <w:rsid w:val="00B95F01"/>
    <w:rsid w:val="00BA16AC"/>
    <w:rsid w:val="00BA2075"/>
    <w:rsid w:val="00BA3249"/>
    <w:rsid w:val="00BA388F"/>
    <w:rsid w:val="00BA68F5"/>
    <w:rsid w:val="00BA6A39"/>
    <w:rsid w:val="00BA6E88"/>
    <w:rsid w:val="00BA7ED3"/>
    <w:rsid w:val="00BB0476"/>
    <w:rsid w:val="00BB2B4F"/>
    <w:rsid w:val="00BB468F"/>
    <w:rsid w:val="00BB476B"/>
    <w:rsid w:val="00BB4CDD"/>
    <w:rsid w:val="00BB5271"/>
    <w:rsid w:val="00BB561E"/>
    <w:rsid w:val="00BC1B65"/>
    <w:rsid w:val="00BC230A"/>
    <w:rsid w:val="00BC50DA"/>
    <w:rsid w:val="00BC5B56"/>
    <w:rsid w:val="00BC5DB6"/>
    <w:rsid w:val="00BD03E6"/>
    <w:rsid w:val="00BD0D97"/>
    <w:rsid w:val="00BD1C81"/>
    <w:rsid w:val="00BD230A"/>
    <w:rsid w:val="00BD493B"/>
    <w:rsid w:val="00BD6B6C"/>
    <w:rsid w:val="00BD7693"/>
    <w:rsid w:val="00BE0403"/>
    <w:rsid w:val="00BE15F8"/>
    <w:rsid w:val="00BE197E"/>
    <w:rsid w:val="00BE44F7"/>
    <w:rsid w:val="00BE5969"/>
    <w:rsid w:val="00BF01A4"/>
    <w:rsid w:val="00BF0604"/>
    <w:rsid w:val="00BF0EB7"/>
    <w:rsid w:val="00BF1439"/>
    <w:rsid w:val="00BF3CC7"/>
    <w:rsid w:val="00BF4F08"/>
    <w:rsid w:val="00BF59A3"/>
    <w:rsid w:val="00BF711F"/>
    <w:rsid w:val="00BF7424"/>
    <w:rsid w:val="00C000DB"/>
    <w:rsid w:val="00C0036A"/>
    <w:rsid w:val="00C0046C"/>
    <w:rsid w:val="00C05F18"/>
    <w:rsid w:val="00C07513"/>
    <w:rsid w:val="00C07B18"/>
    <w:rsid w:val="00C1057A"/>
    <w:rsid w:val="00C1068C"/>
    <w:rsid w:val="00C10C84"/>
    <w:rsid w:val="00C1350C"/>
    <w:rsid w:val="00C14A63"/>
    <w:rsid w:val="00C15818"/>
    <w:rsid w:val="00C16456"/>
    <w:rsid w:val="00C20A1F"/>
    <w:rsid w:val="00C228B0"/>
    <w:rsid w:val="00C23081"/>
    <w:rsid w:val="00C238FF"/>
    <w:rsid w:val="00C248F8"/>
    <w:rsid w:val="00C255E9"/>
    <w:rsid w:val="00C2622B"/>
    <w:rsid w:val="00C275B9"/>
    <w:rsid w:val="00C27859"/>
    <w:rsid w:val="00C27C63"/>
    <w:rsid w:val="00C328CA"/>
    <w:rsid w:val="00C32E94"/>
    <w:rsid w:val="00C33219"/>
    <w:rsid w:val="00C341E5"/>
    <w:rsid w:val="00C343F2"/>
    <w:rsid w:val="00C345C9"/>
    <w:rsid w:val="00C3575B"/>
    <w:rsid w:val="00C37052"/>
    <w:rsid w:val="00C37A88"/>
    <w:rsid w:val="00C37E65"/>
    <w:rsid w:val="00C40913"/>
    <w:rsid w:val="00C40A22"/>
    <w:rsid w:val="00C40B18"/>
    <w:rsid w:val="00C432AD"/>
    <w:rsid w:val="00C43848"/>
    <w:rsid w:val="00C442BC"/>
    <w:rsid w:val="00C45BDF"/>
    <w:rsid w:val="00C55BC2"/>
    <w:rsid w:val="00C55C2E"/>
    <w:rsid w:val="00C55D5E"/>
    <w:rsid w:val="00C60EB5"/>
    <w:rsid w:val="00C61C85"/>
    <w:rsid w:val="00C6293B"/>
    <w:rsid w:val="00C63344"/>
    <w:rsid w:val="00C63B06"/>
    <w:rsid w:val="00C64D4F"/>
    <w:rsid w:val="00C65696"/>
    <w:rsid w:val="00C65B15"/>
    <w:rsid w:val="00C664F4"/>
    <w:rsid w:val="00C7143E"/>
    <w:rsid w:val="00C75CC3"/>
    <w:rsid w:val="00C805B7"/>
    <w:rsid w:val="00C8117E"/>
    <w:rsid w:val="00C8417B"/>
    <w:rsid w:val="00C846EA"/>
    <w:rsid w:val="00C84BBF"/>
    <w:rsid w:val="00C85AD2"/>
    <w:rsid w:val="00C85B0D"/>
    <w:rsid w:val="00C86C1E"/>
    <w:rsid w:val="00C875ED"/>
    <w:rsid w:val="00C92A6E"/>
    <w:rsid w:val="00C92E96"/>
    <w:rsid w:val="00C92FE4"/>
    <w:rsid w:val="00C94588"/>
    <w:rsid w:val="00C9679B"/>
    <w:rsid w:val="00CA0260"/>
    <w:rsid w:val="00CA068C"/>
    <w:rsid w:val="00CA1939"/>
    <w:rsid w:val="00CA1AE2"/>
    <w:rsid w:val="00CA1D75"/>
    <w:rsid w:val="00CA214E"/>
    <w:rsid w:val="00CA3CD9"/>
    <w:rsid w:val="00CA4038"/>
    <w:rsid w:val="00CA496D"/>
    <w:rsid w:val="00CA5B4F"/>
    <w:rsid w:val="00CA6342"/>
    <w:rsid w:val="00CB1407"/>
    <w:rsid w:val="00CB5667"/>
    <w:rsid w:val="00CB692D"/>
    <w:rsid w:val="00CB7342"/>
    <w:rsid w:val="00CB7E9B"/>
    <w:rsid w:val="00CB7FE1"/>
    <w:rsid w:val="00CC2378"/>
    <w:rsid w:val="00CC7D41"/>
    <w:rsid w:val="00CD3AFB"/>
    <w:rsid w:val="00CD4A78"/>
    <w:rsid w:val="00CD5CF7"/>
    <w:rsid w:val="00CD683D"/>
    <w:rsid w:val="00CD7D42"/>
    <w:rsid w:val="00CE15EB"/>
    <w:rsid w:val="00CE220D"/>
    <w:rsid w:val="00CE23CC"/>
    <w:rsid w:val="00CE274A"/>
    <w:rsid w:val="00CF13AF"/>
    <w:rsid w:val="00CF34EE"/>
    <w:rsid w:val="00CF4960"/>
    <w:rsid w:val="00CF790A"/>
    <w:rsid w:val="00D00356"/>
    <w:rsid w:val="00D00FF0"/>
    <w:rsid w:val="00D01DA5"/>
    <w:rsid w:val="00D03274"/>
    <w:rsid w:val="00D03D6A"/>
    <w:rsid w:val="00D055E0"/>
    <w:rsid w:val="00D05F8A"/>
    <w:rsid w:val="00D07B30"/>
    <w:rsid w:val="00D11549"/>
    <w:rsid w:val="00D14AE6"/>
    <w:rsid w:val="00D168C3"/>
    <w:rsid w:val="00D2069A"/>
    <w:rsid w:val="00D20E4A"/>
    <w:rsid w:val="00D223D7"/>
    <w:rsid w:val="00D22E31"/>
    <w:rsid w:val="00D259E7"/>
    <w:rsid w:val="00D26EB8"/>
    <w:rsid w:val="00D30451"/>
    <w:rsid w:val="00D322EA"/>
    <w:rsid w:val="00D32B58"/>
    <w:rsid w:val="00D33B7B"/>
    <w:rsid w:val="00D3575D"/>
    <w:rsid w:val="00D42345"/>
    <w:rsid w:val="00D53C80"/>
    <w:rsid w:val="00D54858"/>
    <w:rsid w:val="00D5565B"/>
    <w:rsid w:val="00D628CB"/>
    <w:rsid w:val="00D6496D"/>
    <w:rsid w:val="00D67E7E"/>
    <w:rsid w:val="00D7273E"/>
    <w:rsid w:val="00D72B4B"/>
    <w:rsid w:val="00D74DAE"/>
    <w:rsid w:val="00D8089D"/>
    <w:rsid w:val="00D81C9E"/>
    <w:rsid w:val="00D829C0"/>
    <w:rsid w:val="00D8403E"/>
    <w:rsid w:val="00D84C2A"/>
    <w:rsid w:val="00D85891"/>
    <w:rsid w:val="00D85D46"/>
    <w:rsid w:val="00D87AF2"/>
    <w:rsid w:val="00D921B8"/>
    <w:rsid w:val="00D94EF6"/>
    <w:rsid w:val="00D953DC"/>
    <w:rsid w:val="00D97403"/>
    <w:rsid w:val="00DA02CF"/>
    <w:rsid w:val="00DA0E16"/>
    <w:rsid w:val="00DA2D3E"/>
    <w:rsid w:val="00DA2EF6"/>
    <w:rsid w:val="00DA2F6C"/>
    <w:rsid w:val="00DA5D9E"/>
    <w:rsid w:val="00DA7CB5"/>
    <w:rsid w:val="00DB401C"/>
    <w:rsid w:val="00DB534D"/>
    <w:rsid w:val="00DB739A"/>
    <w:rsid w:val="00DB7507"/>
    <w:rsid w:val="00DB7839"/>
    <w:rsid w:val="00DC03C9"/>
    <w:rsid w:val="00DC1326"/>
    <w:rsid w:val="00DC18FE"/>
    <w:rsid w:val="00DC19FE"/>
    <w:rsid w:val="00DC2099"/>
    <w:rsid w:val="00DC23B8"/>
    <w:rsid w:val="00DC34F1"/>
    <w:rsid w:val="00DC4D4D"/>
    <w:rsid w:val="00DC6D9A"/>
    <w:rsid w:val="00DD2946"/>
    <w:rsid w:val="00DD675B"/>
    <w:rsid w:val="00DD68F7"/>
    <w:rsid w:val="00DD6CA4"/>
    <w:rsid w:val="00DE2F95"/>
    <w:rsid w:val="00DE3C43"/>
    <w:rsid w:val="00DE478B"/>
    <w:rsid w:val="00DE4C83"/>
    <w:rsid w:val="00DE5279"/>
    <w:rsid w:val="00DE6187"/>
    <w:rsid w:val="00DE7DB9"/>
    <w:rsid w:val="00DF132D"/>
    <w:rsid w:val="00DF325D"/>
    <w:rsid w:val="00DF48F8"/>
    <w:rsid w:val="00DF60C4"/>
    <w:rsid w:val="00E01E0A"/>
    <w:rsid w:val="00E02C94"/>
    <w:rsid w:val="00E03FEA"/>
    <w:rsid w:val="00E04D2E"/>
    <w:rsid w:val="00E04DDA"/>
    <w:rsid w:val="00E0558D"/>
    <w:rsid w:val="00E10BEC"/>
    <w:rsid w:val="00E11049"/>
    <w:rsid w:val="00E12C72"/>
    <w:rsid w:val="00E13E61"/>
    <w:rsid w:val="00E15C00"/>
    <w:rsid w:val="00E16EA9"/>
    <w:rsid w:val="00E17456"/>
    <w:rsid w:val="00E23569"/>
    <w:rsid w:val="00E245DD"/>
    <w:rsid w:val="00E25198"/>
    <w:rsid w:val="00E26508"/>
    <w:rsid w:val="00E26859"/>
    <w:rsid w:val="00E27699"/>
    <w:rsid w:val="00E32290"/>
    <w:rsid w:val="00E328DB"/>
    <w:rsid w:val="00E33693"/>
    <w:rsid w:val="00E34422"/>
    <w:rsid w:val="00E3661D"/>
    <w:rsid w:val="00E368ED"/>
    <w:rsid w:val="00E37DF7"/>
    <w:rsid w:val="00E40FA8"/>
    <w:rsid w:val="00E4280A"/>
    <w:rsid w:val="00E44AE4"/>
    <w:rsid w:val="00E45FFD"/>
    <w:rsid w:val="00E50942"/>
    <w:rsid w:val="00E515B7"/>
    <w:rsid w:val="00E60116"/>
    <w:rsid w:val="00E63415"/>
    <w:rsid w:val="00E634AF"/>
    <w:rsid w:val="00E63676"/>
    <w:rsid w:val="00E64CD8"/>
    <w:rsid w:val="00E650D9"/>
    <w:rsid w:val="00E65C27"/>
    <w:rsid w:val="00E65E85"/>
    <w:rsid w:val="00E670F6"/>
    <w:rsid w:val="00E737F0"/>
    <w:rsid w:val="00E761BF"/>
    <w:rsid w:val="00E80EF7"/>
    <w:rsid w:val="00E82ED1"/>
    <w:rsid w:val="00E862FE"/>
    <w:rsid w:val="00E867CD"/>
    <w:rsid w:val="00E92025"/>
    <w:rsid w:val="00E948D9"/>
    <w:rsid w:val="00E95AA6"/>
    <w:rsid w:val="00E96FEF"/>
    <w:rsid w:val="00E97EE2"/>
    <w:rsid w:val="00EA05EC"/>
    <w:rsid w:val="00EA293B"/>
    <w:rsid w:val="00EA3DA4"/>
    <w:rsid w:val="00EA64BC"/>
    <w:rsid w:val="00EB0775"/>
    <w:rsid w:val="00EB07F4"/>
    <w:rsid w:val="00EB0A65"/>
    <w:rsid w:val="00EB2DD7"/>
    <w:rsid w:val="00EB3C87"/>
    <w:rsid w:val="00EB4BA4"/>
    <w:rsid w:val="00EB4CCE"/>
    <w:rsid w:val="00EB660F"/>
    <w:rsid w:val="00EC009C"/>
    <w:rsid w:val="00EC3F06"/>
    <w:rsid w:val="00EC4B93"/>
    <w:rsid w:val="00EC5152"/>
    <w:rsid w:val="00ED0495"/>
    <w:rsid w:val="00ED0DEF"/>
    <w:rsid w:val="00ED3133"/>
    <w:rsid w:val="00ED493A"/>
    <w:rsid w:val="00ED6113"/>
    <w:rsid w:val="00EE2649"/>
    <w:rsid w:val="00EE49A7"/>
    <w:rsid w:val="00EE4B77"/>
    <w:rsid w:val="00EE58F3"/>
    <w:rsid w:val="00EF0292"/>
    <w:rsid w:val="00EF0304"/>
    <w:rsid w:val="00EF1C7D"/>
    <w:rsid w:val="00EF1DA9"/>
    <w:rsid w:val="00EF4918"/>
    <w:rsid w:val="00EF5B8F"/>
    <w:rsid w:val="00EF5F21"/>
    <w:rsid w:val="00EF648A"/>
    <w:rsid w:val="00F0282D"/>
    <w:rsid w:val="00F02ED3"/>
    <w:rsid w:val="00F0450D"/>
    <w:rsid w:val="00F06BF6"/>
    <w:rsid w:val="00F07A58"/>
    <w:rsid w:val="00F100DC"/>
    <w:rsid w:val="00F10608"/>
    <w:rsid w:val="00F10976"/>
    <w:rsid w:val="00F109E9"/>
    <w:rsid w:val="00F1101C"/>
    <w:rsid w:val="00F11A12"/>
    <w:rsid w:val="00F12CA9"/>
    <w:rsid w:val="00F12EE5"/>
    <w:rsid w:val="00F155A2"/>
    <w:rsid w:val="00F17962"/>
    <w:rsid w:val="00F17AA2"/>
    <w:rsid w:val="00F216E5"/>
    <w:rsid w:val="00F21D48"/>
    <w:rsid w:val="00F22ACA"/>
    <w:rsid w:val="00F23B0C"/>
    <w:rsid w:val="00F23BF7"/>
    <w:rsid w:val="00F24DE4"/>
    <w:rsid w:val="00F25D3E"/>
    <w:rsid w:val="00F27722"/>
    <w:rsid w:val="00F277F8"/>
    <w:rsid w:val="00F278ED"/>
    <w:rsid w:val="00F30D39"/>
    <w:rsid w:val="00F3145B"/>
    <w:rsid w:val="00F31F52"/>
    <w:rsid w:val="00F36889"/>
    <w:rsid w:val="00F37B84"/>
    <w:rsid w:val="00F41003"/>
    <w:rsid w:val="00F41A13"/>
    <w:rsid w:val="00F435DD"/>
    <w:rsid w:val="00F44EC7"/>
    <w:rsid w:val="00F459E8"/>
    <w:rsid w:val="00F4684A"/>
    <w:rsid w:val="00F52192"/>
    <w:rsid w:val="00F53368"/>
    <w:rsid w:val="00F545BB"/>
    <w:rsid w:val="00F56F5F"/>
    <w:rsid w:val="00F63F81"/>
    <w:rsid w:val="00F649E9"/>
    <w:rsid w:val="00F655B4"/>
    <w:rsid w:val="00F661C4"/>
    <w:rsid w:val="00F70AF8"/>
    <w:rsid w:val="00F72640"/>
    <w:rsid w:val="00F77262"/>
    <w:rsid w:val="00F809EB"/>
    <w:rsid w:val="00F80A18"/>
    <w:rsid w:val="00F8142C"/>
    <w:rsid w:val="00F82ED7"/>
    <w:rsid w:val="00F850F9"/>
    <w:rsid w:val="00F8676E"/>
    <w:rsid w:val="00F8698F"/>
    <w:rsid w:val="00F873DD"/>
    <w:rsid w:val="00F90A3D"/>
    <w:rsid w:val="00F94163"/>
    <w:rsid w:val="00F94CF1"/>
    <w:rsid w:val="00F94D2E"/>
    <w:rsid w:val="00F95C17"/>
    <w:rsid w:val="00F97D4D"/>
    <w:rsid w:val="00FA1B13"/>
    <w:rsid w:val="00FA1D0A"/>
    <w:rsid w:val="00FA2662"/>
    <w:rsid w:val="00FA295D"/>
    <w:rsid w:val="00FA3479"/>
    <w:rsid w:val="00FA70B5"/>
    <w:rsid w:val="00FB025E"/>
    <w:rsid w:val="00FB4A24"/>
    <w:rsid w:val="00FB4DC3"/>
    <w:rsid w:val="00FB66F7"/>
    <w:rsid w:val="00FC0815"/>
    <w:rsid w:val="00FC2F2D"/>
    <w:rsid w:val="00FC466F"/>
    <w:rsid w:val="00FC4D7A"/>
    <w:rsid w:val="00FC4E46"/>
    <w:rsid w:val="00FC5E65"/>
    <w:rsid w:val="00FC5F4D"/>
    <w:rsid w:val="00FC6316"/>
    <w:rsid w:val="00FC70D0"/>
    <w:rsid w:val="00FC7D84"/>
    <w:rsid w:val="00FD0389"/>
    <w:rsid w:val="00FD076A"/>
    <w:rsid w:val="00FD0E88"/>
    <w:rsid w:val="00FD12C5"/>
    <w:rsid w:val="00FD178D"/>
    <w:rsid w:val="00FD241B"/>
    <w:rsid w:val="00FD3FDC"/>
    <w:rsid w:val="00FD580D"/>
    <w:rsid w:val="00FE016A"/>
    <w:rsid w:val="00FE08C2"/>
    <w:rsid w:val="00FE1164"/>
    <w:rsid w:val="00FE1707"/>
    <w:rsid w:val="00FE1EBE"/>
    <w:rsid w:val="00FE5722"/>
    <w:rsid w:val="00FE6C05"/>
    <w:rsid w:val="00FF0C21"/>
    <w:rsid w:val="00FF2490"/>
    <w:rsid w:val="00FF361C"/>
    <w:rsid w:val="00FF3AF2"/>
    <w:rsid w:val="00FF3FC2"/>
    <w:rsid w:val="00FF5891"/>
    <w:rsid w:val="00FF7183"/>
    <w:rsid w:val="00FF7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35"/>
    <w:pPr>
      <w:widowControl w:val="0"/>
    </w:pPr>
    <w:rPr>
      <w:snapToGrid w:val="0"/>
      <w:kern w:val="28"/>
      <w:sz w:val="22"/>
    </w:rPr>
  </w:style>
  <w:style w:type="paragraph" w:styleId="Heading1">
    <w:name w:val="heading 1"/>
    <w:basedOn w:val="Normal"/>
    <w:next w:val="ParaNum"/>
    <w:link w:val="Heading1Char"/>
    <w:qFormat/>
    <w:rsid w:val="0084723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47235"/>
    <w:pPr>
      <w:keepNext/>
      <w:numPr>
        <w:ilvl w:val="1"/>
        <w:numId w:val="2"/>
      </w:numPr>
      <w:spacing w:after="120"/>
      <w:outlineLvl w:val="1"/>
    </w:pPr>
    <w:rPr>
      <w:b/>
    </w:rPr>
  </w:style>
  <w:style w:type="paragraph" w:styleId="Heading3">
    <w:name w:val="heading 3"/>
    <w:basedOn w:val="Normal"/>
    <w:next w:val="ParaNum"/>
    <w:link w:val="Heading3Char"/>
    <w:qFormat/>
    <w:rsid w:val="00847235"/>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47235"/>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47235"/>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84723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4723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4723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4723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472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7235"/>
  </w:style>
  <w:style w:type="paragraph" w:customStyle="1" w:styleId="ParaNum">
    <w:name w:val="ParaNum"/>
    <w:basedOn w:val="Normal"/>
    <w:rsid w:val="00847235"/>
    <w:pPr>
      <w:numPr>
        <w:numId w:val="1"/>
      </w:numPr>
      <w:tabs>
        <w:tab w:val="clear" w:pos="1080"/>
        <w:tab w:val="num" w:pos="1440"/>
      </w:tabs>
      <w:spacing w:after="120"/>
    </w:pPr>
  </w:style>
  <w:style w:type="paragraph" w:styleId="EndnoteText">
    <w:name w:val="endnote text"/>
    <w:basedOn w:val="Normal"/>
    <w:semiHidden/>
    <w:rsid w:val="00847235"/>
    <w:rPr>
      <w:sz w:val="20"/>
    </w:rPr>
  </w:style>
  <w:style w:type="character" w:styleId="EndnoteReference">
    <w:name w:val="endnote reference"/>
    <w:semiHidden/>
    <w:rsid w:val="00847235"/>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link w:val="FootnoteTextChar2"/>
    <w:rsid w:val="00847235"/>
    <w:pPr>
      <w:spacing w:after="120"/>
    </w:pPr>
  </w:style>
  <w:style w:type="character" w:styleId="FootnoteReference">
    <w:name w:val="footnote reference"/>
    <w:aliases w:val="Style 12,(NECG) Footnote Reference,Appel note de bas de p,Style 124,o,fr,Style 3,Style 13,FR,Style 17,Style 6,Footnote Reference/,Style 4,Style 7"/>
    <w:rsid w:val="00847235"/>
    <w:rPr>
      <w:rFonts w:ascii="Times New Roman" w:hAnsi="Times New Roman"/>
      <w:dstrike w:val="0"/>
      <w:color w:val="auto"/>
      <w:sz w:val="20"/>
      <w:vertAlign w:val="superscript"/>
    </w:rPr>
  </w:style>
  <w:style w:type="paragraph" w:styleId="TOC1">
    <w:name w:val="toc 1"/>
    <w:basedOn w:val="Normal"/>
    <w:next w:val="Normal"/>
    <w:rsid w:val="00847235"/>
    <w:pPr>
      <w:tabs>
        <w:tab w:val="left" w:pos="360"/>
        <w:tab w:val="right" w:leader="dot" w:pos="9360"/>
      </w:tabs>
      <w:suppressAutoHyphens/>
      <w:ind w:left="360" w:right="720" w:hanging="360"/>
    </w:pPr>
    <w:rPr>
      <w:caps/>
      <w:noProof/>
    </w:rPr>
  </w:style>
  <w:style w:type="paragraph" w:styleId="TOC2">
    <w:name w:val="toc 2"/>
    <w:basedOn w:val="Normal"/>
    <w:next w:val="Normal"/>
    <w:rsid w:val="00847235"/>
    <w:pPr>
      <w:tabs>
        <w:tab w:val="left" w:pos="720"/>
        <w:tab w:val="right" w:leader="dot" w:pos="9360"/>
      </w:tabs>
      <w:suppressAutoHyphens/>
      <w:ind w:left="720" w:right="720" w:hanging="360"/>
    </w:pPr>
    <w:rPr>
      <w:noProof/>
    </w:rPr>
  </w:style>
  <w:style w:type="paragraph" w:styleId="TOC3">
    <w:name w:val="toc 3"/>
    <w:basedOn w:val="Normal"/>
    <w:next w:val="Normal"/>
    <w:rsid w:val="0084723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4723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723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723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723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723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723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7235"/>
    <w:pPr>
      <w:tabs>
        <w:tab w:val="right" w:pos="9360"/>
      </w:tabs>
      <w:suppressAutoHyphens/>
    </w:pPr>
  </w:style>
  <w:style w:type="character" w:customStyle="1" w:styleId="EquationCaption">
    <w:name w:val="_Equation Caption"/>
    <w:rsid w:val="00847235"/>
  </w:style>
  <w:style w:type="paragraph" w:styleId="Header">
    <w:name w:val="header"/>
    <w:basedOn w:val="Normal"/>
    <w:autoRedefine/>
    <w:rsid w:val="00847235"/>
    <w:pPr>
      <w:tabs>
        <w:tab w:val="center" w:pos="4680"/>
        <w:tab w:val="right" w:pos="9360"/>
      </w:tabs>
    </w:pPr>
    <w:rPr>
      <w:b/>
    </w:rPr>
  </w:style>
  <w:style w:type="paragraph" w:styleId="Footer">
    <w:name w:val="footer"/>
    <w:basedOn w:val="Normal"/>
    <w:rsid w:val="00847235"/>
    <w:pPr>
      <w:tabs>
        <w:tab w:val="center" w:pos="4320"/>
        <w:tab w:val="right" w:pos="8640"/>
      </w:tabs>
    </w:pPr>
  </w:style>
  <w:style w:type="character" w:styleId="PageNumber">
    <w:name w:val="page number"/>
    <w:basedOn w:val="DefaultParagraphFont"/>
    <w:rsid w:val="00847235"/>
  </w:style>
  <w:style w:type="paragraph" w:styleId="BlockText">
    <w:name w:val="Block Text"/>
    <w:basedOn w:val="Normal"/>
    <w:rsid w:val="00847235"/>
    <w:pPr>
      <w:spacing w:after="240"/>
      <w:ind w:left="1440" w:right="1440"/>
    </w:pPr>
  </w:style>
  <w:style w:type="paragraph" w:customStyle="1" w:styleId="Paratitle">
    <w:name w:val="Para title"/>
    <w:basedOn w:val="Normal"/>
    <w:rsid w:val="00847235"/>
    <w:pPr>
      <w:tabs>
        <w:tab w:val="center" w:pos="9270"/>
      </w:tabs>
      <w:spacing w:after="240"/>
    </w:pPr>
    <w:rPr>
      <w:spacing w:val="-2"/>
    </w:rPr>
  </w:style>
  <w:style w:type="paragraph" w:customStyle="1" w:styleId="Bullet">
    <w:name w:val="Bullet"/>
    <w:basedOn w:val="Normal"/>
    <w:rsid w:val="00847235"/>
    <w:pPr>
      <w:tabs>
        <w:tab w:val="left" w:pos="2160"/>
      </w:tabs>
      <w:spacing w:after="220"/>
      <w:ind w:left="2160" w:hanging="720"/>
    </w:pPr>
  </w:style>
  <w:style w:type="paragraph" w:customStyle="1" w:styleId="TableFormat">
    <w:name w:val="TableFormat"/>
    <w:basedOn w:val="Bullet"/>
    <w:rsid w:val="00847235"/>
    <w:pPr>
      <w:tabs>
        <w:tab w:val="clear" w:pos="2160"/>
        <w:tab w:val="left" w:pos="5040"/>
      </w:tabs>
      <w:ind w:left="5040" w:hanging="3600"/>
    </w:pPr>
  </w:style>
  <w:style w:type="paragraph" w:customStyle="1" w:styleId="TOCTitle">
    <w:name w:val="TOC Title"/>
    <w:basedOn w:val="Normal"/>
    <w:rsid w:val="0084723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7235"/>
    <w:pPr>
      <w:jc w:val="center"/>
    </w:pPr>
    <w:rPr>
      <w:rFonts w:ascii="Times New Roman Bold" w:hAnsi="Times New Roman Bold"/>
      <w:b/>
      <w:bCs/>
      <w:caps/>
      <w:szCs w:val="22"/>
    </w:rPr>
  </w:style>
  <w:style w:type="character" w:styleId="Hyperlink">
    <w:name w:val="Hyperlink"/>
    <w:rsid w:val="00847235"/>
    <w:rPr>
      <w:color w:val="0000FF"/>
      <w:u w:val="single"/>
    </w:rPr>
  </w:style>
  <w:style w:type="character" w:styleId="FollowedHyperlink">
    <w:name w:val="FollowedHyperlink"/>
    <w:semiHidden/>
    <w:rsid w:val="008B3CD1"/>
    <w:rPr>
      <w:color w:val="800080"/>
      <w:u w:val="single"/>
    </w:rPr>
  </w:style>
  <w:style w:type="paragraph" w:styleId="BalloonText">
    <w:name w:val="Balloon Text"/>
    <w:basedOn w:val="Normal"/>
    <w:semiHidden/>
    <w:rsid w:val="008B3CD1"/>
    <w:rPr>
      <w:rFonts w:ascii="Tahoma" w:hAnsi="Tahoma" w:cs="Tahoma"/>
      <w:sz w:val="16"/>
      <w:szCs w:val="16"/>
    </w:rPr>
  </w:style>
  <w:style w:type="character" w:customStyle="1" w:styleId="documentbody1">
    <w:name w:val="documentbody1"/>
    <w:rsid w:val="008B3CD1"/>
    <w:rPr>
      <w:rFonts w:ascii="Verdana" w:hAnsi="Verdana" w:hint="default"/>
      <w:sz w:val="19"/>
      <w:szCs w:val="19"/>
    </w:rPr>
  </w:style>
  <w:style w:type="paragraph" w:styleId="PlainText">
    <w:name w:val="Plain Text"/>
    <w:basedOn w:val="Normal"/>
    <w:semiHidden/>
    <w:rsid w:val="008B3CD1"/>
    <w:pPr>
      <w:widowControl/>
    </w:pPr>
    <w:rPr>
      <w:rFonts w:ascii="Courier New" w:hAnsi="Courier New" w:cs="Courier New"/>
      <w:snapToGrid/>
      <w:kern w:val="0"/>
      <w:sz w:val="20"/>
    </w:rPr>
  </w:style>
  <w:style w:type="paragraph" w:customStyle="1" w:styleId="ParaNumCharCharChar">
    <w:name w:val="ParaNum Char Char Char"/>
    <w:basedOn w:val="Normal"/>
    <w:rsid w:val="008B3CD1"/>
    <w:pPr>
      <w:tabs>
        <w:tab w:val="num" w:pos="360"/>
      </w:tabs>
      <w:spacing w:after="220"/>
      <w:ind w:left="360" w:hanging="360"/>
      <w:jc w:val="both"/>
    </w:pPr>
    <w:rPr>
      <w:rFonts w:eastAsia="SimSun"/>
    </w:rPr>
  </w:style>
  <w:style w:type="paragraph" w:styleId="ListBullet2">
    <w:name w:val="List Bullet 2"/>
    <w:basedOn w:val="Normal"/>
    <w:semiHidden/>
    <w:rsid w:val="008B3CD1"/>
    <w:pPr>
      <w:numPr>
        <w:numId w:val="3"/>
      </w:numPr>
    </w:pPr>
  </w:style>
  <w:style w:type="paragraph" w:styleId="BodyTextIndent">
    <w:name w:val="Body Text Indent"/>
    <w:basedOn w:val="Normal"/>
    <w:semiHidden/>
    <w:rsid w:val="008B3CD1"/>
    <w:pPr>
      <w:ind w:left="720"/>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1 Char Cha"/>
    <w:rsid w:val="008B3CD1"/>
    <w:rPr>
      <w:lang w:val="en-US" w:eastAsia="en-US" w:bidi="ar-SA"/>
    </w:rPr>
  </w:style>
  <w:style w:type="paragraph" w:customStyle="1" w:styleId="ParaNumCharChar">
    <w:name w:val="ParaNum Char Char"/>
    <w:basedOn w:val="Normal"/>
    <w:rsid w:val="008B3CD1"/>
    <w:pPr>
      <w:numPr>
        <w:numId w:val="4"/>
      </w:numPr>
      <w:tabs>
        <w:tab w:val="left" w:pos="1440"/>
      </w:tabs>
      <w:spacing w:after="220"/>
      <w:jc w:val="both"/>
    </w:pPr>
    <w:rPr>
      <w:snapToGrid/>
      <w:kern w:val="0"/>
    </w:rPr>
  </w:style>
  <w:style w:type="character" w:customStyle="1" w:styleId="Heading1Char">
    <w:name w:val="Heading 1 Char"/>
    <w:link w:val="Heading1"/>
    <w:rsid w:val="0074273E"/>
    <w:rPr>
      <w:rFonts w:ascii="Times New Roman Bold" w:hAnsi="Times New Roman Bold"/>
      <w:b/>
      <w:caps/>
      <w:snapToGrid w:val="0"/>
      <w:kern w:val="28"/>
      <w:sz w:val="22"/>
    </w:rPr>
  </w:style>
  <w:style w:type="paragraph" w:styleId="DocumentMap">
    <w:name w:val="Document Map"/>
    <w:basedOn w:val="Normal"/>
    <w:semiHidden/>
    <w:rsid w:val="008B3CD1"/>
    <w:pPr>
      <w:shd w:val="clear" w:color="auto" w:fill="000080"/>
    </w:pPr>
    <w:rPr>
      <w:rFonts w:ascii="Tahoma" w:hAnsi="Tahoma" w:cs="Tahoma"/>
      <w:sz w:val="20"/>
    </w:rPr>
  </w:style>
  <w:style w:type="paragraph" w:customStyle="1" w:styleId="Appendixformat">
    <w:name w:val="Appendix format"/>
    <w:basedOn w:val="Normal"/>
    <w:rsid w:val="008B3CD1"/>
    <w:pPr>
      <w:tabs>
        <w:tab w:val="left" w:pos="1440"/>
      </w:tabs>
      <w:spacing w:after="120"/>
      <w:ind w:left="1440" w:hanging="720"/>
    </w:pPr>
    <w:rPr>
      <w:b/>
    </w:rPr>
  </w:style>
  <w:style w:type="paragraph" w:customStyle="1" w:styleId="Appendixnumber">
    <w:name w:val="Appendix number"/>
    <w:basedOn w:val="Normal"/>
    <w:rsid w:val="008B3CD1"/>
    <w:pPr>
      <w:numPr>
        <w:numId w:val="5"/>
      </w:numPr>
      <w:tabs>
        <w:tab w:val="num" w:pos="1440"/>
      </w:tabs>
      <w:spacing w:after="120"/>
      <w:ind w:left="0" w:firstLine="720"/>
    </w:pPr>
  </w:style>
  <w:style w:type="character" w:customStyle="1" w:styleId="TOC1Char">
    <w:name w:val="TOC 1 Char"/>
    <w:rsid w:val="008B3CD1"/>
    <w:rPr>
      <w:caps/>
      <w:noProof/>
      <w:snapToGrid w:val="0"/>
      <w:kern w:val="28"/>
      <w:sz w:val="22"/>
      <w:lang w:val="en-US" w:eastAsia="en-US" w:bidi="ar-SA"/>
    </w:rPr>
  </w:style>
  <w:style w:type="character" w:styleId="Strong">
    <w:name w:val="Strong"/>
    <w:qFormat/>
    <w:rsid w:val="008B3CD1"/>
    <w:rPr>
      <w:b/>
      <w:bCs/>
    </w:rPr>
  </w:style>
  <w:style w:type="character" w:customStyle="1" w:styleId="FooterChar">
    <w:name w:val="Footer Char"/>
    <w:rsid w:val="008B3CD1"/>
    <w:rPr>
      <w:snapToGrid w:val="0"/>
      <w:kern w:val="28"/>
      <w:sz w:val="22"/>
      <w:lang w:val="en-US" w:eastAsia="en-US" w:bidi="ar-SA"/>
    </w:rPr>
  </w:style>
  <w:style w:type="character" w:customStyle="1" w:styleId="ParaNumChar1">
    <w:name w:val="ParaNum Char1"/>
    <w:rsid w:val="008B3CD1"/>
    <w:rPr>
      <w:snapToGrid w:val="0"/>
      <w:kern w:val="28"/>
      <w:sz w:val="22"/>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ootnote Text Char1 Char1"/>
    <w:rsid w:val="008B3CD1"/>
    <w:rPr>
      <w:lang w:val="en-US" w:eastAsia="en-US" w:bidi="ar-SA"/>
    </w:rPr>
  </w:style>
  <w:style w:type="character" w:customStyle="1" w:styleId="ParaNumChar">
    <w:name w:val="ParaNum Char"/>
    <w:rsid w:val="008B3CD1"/>
    <w:rPr>
      <w:snapToGrid w:val="0"/>
      <w:kern w:val="28"/>
      <w:sz w:val="22"/>
      <w:lang w:val="en-US" w:eastAsia="en-US" w:bidi="ar-SA"/>
    </w:rPr>
  </w:style>
  <w:style w:type="character" w:styleId="CommentReference">
    <w:name w:val="annotation reference"/>
    <w:semiHidden/>
    <w:rsid w:val="008B3CD1"/>
    <w:rPr>
      <w:sz w:val="16"/>
      <w:szCs w:val="16"/>
    </w:rPr>
  </w:style>
  <w:style w:type="paragraph" w:styleId="CommentText">
    <w:name w:val="annotation text"/>
    <w:basedOn w:val="Normal"/>
    <w:semiHidden/>
    <w:rsid w:val="008B3CD1"/>
    <w:rPr>
      <w:sz w:val="20"/>
    </w:rPr>
  </w:style>
  <w:style w:type="paragraph" w:styleId="CommentSubject">
    <w:name w:val="annotation subject"/>
    <w:basedOn w:val="CommentText"/>
    <w:next w:val="CommentText"/>
    <w:semiHidden/>
    <w:rsid w:val="008B3CD1"/>
    <w:rPr>
      <w:b/>
      <w:bCs/>
    </w:rPr>
  </w:style>
  <w:style w:type="paragraph" w:styleId="Caption">
    <w:name w:val="caption"/>
    <w:basedOn w:val="Normal"/>
    <w:next w:val="Normal"/>
    <w:qFormat/>
    <w:rsid w:val="008B3CD1"/>
    <w:pPr>
      <w:widowControl/>
      <w:spacing w:before="120" w:after="120"/>
    </w:pPr>
    <w:rPr>
      <w:b/>
      <w:snapToGrid/>
      <w:kern w:val="0"/>
    </w:rPr>
  </w:style>
  <w:style w:type="paragraph" w:styleId="NormalWeb">
    <w:name w:val="Normal (Web)"/>
    <w:basedOn w:val="Normal"/>
    <w:semiHidden/>
    <w:rsid w:val="008B3CD1"/>
    <w:pPr>
      <w:widowControl/>
      <w:spacing w:before="100" w:beforeAutospacing="1" w:after="100" w:afterAutospacing="1"/>
    </w:pPr>
    <w:rPr>
      <w:snapToGrid/>
      <w:kern w:val="0"/>
      <w:sz w:val="24"/>
      <w:szCs w:val="24"/>
    </w:rPr>
  </w:style>
  <w:style w:type="paragraph" w:styleId="HTMLPreformatted">
    <w:name w:val="HTML Preformatted"/>
    <w:basedOn w:val="Normal"/>
    <w:semiHidden/>
    <w:rsid w:val="008B3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searchterm2">
    <w:name w:val="searchterm2"/>
    <w:rsid w:val="008B3CD1"/>
    <w:rPr>
      <w:b/>
      <w:bCs/>
      <w:shd w:val="clear" w:color="auto" w:fill="FFFF00"/>
    </w:rPr>
  </w:style>
  <w:style w:type="character" w:customStyle="1" w:styleId="deltaviewinsertion">
    <w:name w:val="deltaviewinsertion"/>
    <w:rsid w:val="008B3CD1"/>
    <w:rPr>
      <w:color w:val="0000FF"/>
      <w:spacing w:val="0"/>
      <w:u w:val="single"/>
    </w:rPr>
  </w:style>
  <w:style w:type="paragraph" w:customStyle="1" w:styleId="paranumcharchar0">
    <w:name w:val="paranumcharchar"/>
    <w:basedOn w:val="Normal"/>
    <w:rsid w:val="008B3CD1"/>
    <w:pPr>
      <w:widowControl/>
      <w:snapToGrid w:val="0"/>
      <w:spacing w:after="220"/>
      <w:ind w:left="252" w:firstLine="288"/>
    </w:pPr>
    <w:rPr>
      <w:snapToGrid/>
      <w:kern w:val="0"/>
      <w:szCs w:val="22"/>
    </w:rPr>
  </w:style>
  <w:style w:type="paragraph" w:customStyle="1" w:styleId="ColorfulList-Accent11">
    <w:name w:val="Colorful List - Accent 11"/>
    <w:basedOn w:val="Normal"/>
    <w:qFormat/>
    <w:rsid w:val="008B3CD1"/>
    <w:pPr>
      <w:widowControl/>
      <w:spacing w:after="200" w:line="276" w:lineRule="auto"/>
      <w:ind w:left="720"/>
      <w:contextualSpacing/>
    </w:pPr>
    <w:rPr>
      <w:rFonts w:ascii="Calibri" w:hAnsi="Calibri"/>
      <w:snapToGrid/>
      <w:kern w:val="0"/>
      <w:szCs w:val="22"/>
    </w:rPr>
  </w:style>
  <w:style w:type="paragraph" w:styleId="BodyTextIndent2">
    <w:name w:val="Body Text Indent 2"/>
    <w:basedOn w:val="Normal"/>
    <w:semiHidden/>
    <w:rsid w:val="008B3CD1"/>
    <w:pPr>
      <w:spacing w:after="120" w:line="480" w:lineRule="auto"/>
      <w:ind w:left="360"/>
    </w:pPr>
  </w:style>
  <w:style w:type="character" w:styleId="Emphasis">
    <w:name w:val="Emphasis"/>
    <w:uiPriority w:val="99"/>
    <w:qFormat/>
    <w:rsid w:val="008B3CD1"/>
    <w:rPr>
      <w:i/>
      <w:iCs/>
    </w:rPr>
  </w:style>
  <w:style w:type="paragraph" w:customStyle="1" w:styleId="Default">
    <w:name w:val="Default"/>
    <w:rsid w:val="00494E3B"/>
    <w:pPr>
      <w:autoSpaceDE w:val="0"/>
      <w:autoSpaceDN w:val="0"/>
      <w:adjustRightInd w:val="0"/>
    </w:pPr>
    <w:rPr>
      <w:color w:val="000000"/>
      <w:sz w:val="24"/>
      <w:szCs w:val="24"/>
    </w:rPr>
  </w:style>
  <w:style w:type="character" w:customStyle="1" w:styleId="Heading2Char1">
    <w:name w:val="Heading 2 Char1"/>
    <w:rsid w:val="00E04DDA"/>
    <w:rPr>
      <w:b/>
      <w:snapToGrid w:val="0"/>
      <w:kern w:val="28"/>
      <w:sz w:val="22"/>
    </w:rPr>
  </w:style>
  <w:style w:type="character" w:customStyle="1" w:styleId="Heading2Char">
    <w:name w:val="Heading 2 Char"/>
    <w:link w:val="Heading2"/>
    <w:rsid w:val="0074273E"/>
    <w:rPr>
      <w:b/>
      <w:snapToGrid w:val="0"/>
      <w:kern w:val="28"/>
      <w:sz w:val="22"/>
    </w:rPr>
  </w:style>
  <w:style w:type="paragraph" w:customStyle="1" w:styleId="ColorfulShading-Accent11">
    <w:name w:val="Colorful Shading - Accent 11"/>
    <w:hidden/>
    <w:uiPriority w:val="99"/>
    <w:semiHidden/>
    <w:rsid w:val="00446A6F"/>
    <w:rPr>
      <w:snapToGrid w:val="0"/>
      <w:kern w:val="28"/>
      <w:sz w:val="22"/>
    </w:rPr>
  </w:style>
  <w:style w:type="paragraph" w:styleId="ListParagraph">
    <w:name w:val="List Paragraph"/>
    <w:basedOn w:val="Normal"/>
    <w:qFormat/>
    <w:rsid w:val="00E10BEC"/>
    <w:pPr>
      <w:widowControl/>
      <w:spacing w:after="200" w:line="276" w:lineRule="auto"/>
      <w:ind w:left="720"/>
      <w:contextualSpacing/>
    </w:pPr>
    <w:rPr>
      <w:rFonts w:ascii="Calibri" w:hAnsi="Calibri"/>
      <w:snapToGrid/>
      <w:kern w:val="0"/>
      <w:szCs w:val="22"/>
    </w:rPr>
  </w:style>
  <w:style w:type="paragraph" w:styleId="Revision">
    <w:name w:val="Revision"/>
    <w:hidden/>
    <w:uiPriority w:val="99"/>
    <w:semiHidden/>
    <w:rsid w:val="00E10BEC"/>
    <w:rPr>
      <w:snapToGrid w:val="0"/>
      <w:kern w:val="28"/>
      <w:sz w:val="22"/>
    </w:rPr>
  </w:style>
  <w:style w:type="character" w:customStyle="1" w:styleId="Heading3Char">
    <w:name w:val="Heading 3 Char"/>
    <w:link w:val="Heading3"/>
    <w:rsid w:val="0074273E"/>
    <w:rPr>
      <w:b/>
      <w:snapToGrid w:val="0"/>
      <w:kern w:val="28"/>
      <w:sz w:val="22"/>
    </w:rPr>
  </w:style>
  <w:style w:type="character" w:customStyle="1" w:styleId="Heading4Char">
    <w:name w:val="Heading 4 Char"/>
    <w:link w:val="Heading4"/>
    <w:rsid w:val="0074273E"/>
    <w:rPr>
      <w:b/>
      <w:snapToGrid w:val="0"/>
      <w:kern w:val="28"/>
      <w:sz w:val="22"/>
    </w:rPr>
  </w:style>
  <w:style w:type="character" w:customStyle="1" w:styleId="Heading5Char">
    <w:name w:val="Heading 5 Char"/>
    <w:link w:val="Heading5"/>
    <w:rsid w:val="0074273E"/>
    <w:rPr>
      <w:b/>
      <w:snapToGrid w:val="0"/>
      <w:kern w:val="28"/>
      <w:sz w:val="22"/>
    </w:rPr>
  </w:style>
  <w:style w:type="character" w:customStyle="1" w:styleId="Heading6Char">
    <w:name w:val="Heading 6 Char"/>
    <w:aliases w:val="h6 Char"/>
    <w:link w:val="Heading6"/>
    <w:rsid w:val="0074273E"/>
    <w:rPr>
      <w:b/>
      <w:snapToGrid w:val="0"/>
      <w:kern w:val="28"/>
      <w:sz w:val="22"/>
    </w:rPr>
  </w:style>
  <w:style w:type="character" w:customStyle="1" w:styleId="Heading7Char">
    <w:name w:val="Heading 7 Char"/>
    <w:link w:val="Heading7"/>
    <w:rsid w:val="0074273E"/>
    <w:rPr>
      <w:b/>
      <w:snapToGrid w:val="0"/>
      <w:kern w:val="28"/>
      <w:sz w:val="22"/>
    </w:rPr>
  </w:style>
  <w:style w:type="character" w:customStyle="1" w:styleId="Heading8Char">
    <w:name w:val="Heading 8 Char"/>
    <w:link w:val="Heading8"/>
    <w:rsid w:val="0074273E"/>
    <w:rPr>
      <w:b/>
      <w:snapToGrid w:val="0"/>
      <w:kern w:val="28"/>
      <w:sz w:val="22"/>
    </w:rPr>
  </w:style>
  <w:style w:type="character" w:customStyle="1" w:styleId="Heading9Char">
    <w:name w:val="Heading 9 Char"/>
    <w:link w:val="Heading9"/>
    <w:rsid w:val="0074273E"/>
    <w:rPr>
      <w:b/>
      <w:snapToGrid w:val="0"/>
      <w:kern w:val="28"/>
      <w:sz w:val="22"/>
    </w:rPr>
  </w:style>
  <w:style w:type="character" w:customStyle="1" w:styleId="FootnoteTextChar2">
    <w:name w:val="Footnote Text Char2"/>
    <w:aliases w:val="Footnote Text Char Char2,Footnote Text Char1 Char Char1,Footnote Text Char Char1 Char Char1,Footnote Text Char2 Char1 Char Char Char,Footnote Text Char Char1 Char Char Char1 Char,Footnote Text Char1 Char Char Char1 Char Char Char"/>
    <w:link w:val="FootnoteText"/>
    <w:locked/>
    <w:rsid w:val="0057724E"/>
  </w:style>
  <w:style w:type="character" w:customStyle="1" w:styleId="FootnoteTextChar2Char1">
    <w:name w:val="Footnote Text Char2 Char1"/>
    <w:aliases w:val="Footnote Text Char Char2 Char1,Footnote Text Char2 Char Char Char1,Footnote Text Char1 Char Char Char1 Char1,Footnote Text Char Char Char Char Char1 Char1,Footnote Text Char1 Char Char Char1 Char Char Char1"/>
    <w:basedOn w:val="DefaultParagraphFont"/>
    <w:semiHidden/>
    <w:locked/>
    <w:rsid w:val="0089207D"/>
    <w:rPr>
      <w:lang w:eastAsia="ja-JP"/>
    </w:rPr>
  </w:style>
  <w:style w:type="paragraph" w:customStyle="1" w:styleId="Style1">
    <w:name w:val="Style1"/>
    <w:basedOn w:val="ParaNum"/>
    <w:uiPriority w:val="99"/>
    <w:qFormat/>
    <w:rsid w:val="0039528A"/>
    <w:pPr>
      <w:numPr>
        <w:numId w:val="0"/>
      </w:numPr>
      <w:tabs>
        <w:tab w:val="num" w:pos="360"/>
      </w:tabs>
      <w:ind w:hanging="360"/>
    </w:pPr>
    <w:rPr>
      <w:lang w:val="x-none" w:eastAsia="x-none"/>
    </w:rPr>
  </w:style>
  <w:style w:type="character" w:customStyle="1" w:styleId="apple-style-span">
    <w:name w:val="apple-style-span"/>
    <w:rsid w:val="00D53C80"/>
  </w:style>
  <w:style w:type="character" w:customStyle="1" w:styleId="ptext-25">
    <w:name w:val="ptext-25"/>
    <w:rsid w:val="002050C3"/>
    <w:rPr>
      <w:rFonts w:cs="Times New Roman"/>
    </w:rPr>
  </w:style>
  <w:style w:type="character" w:customStyle="1" w:styleId="oneclick-link">
    <w:name w:val="oneclick-link"/>
    <w:basedOn w:val="DefaultParagraphFont"/>
    <w:rsid w:val="00F44EC7"/>
  </w:style>
  <w:style w:type="paragraph" w:customStyle="1" w:styleId="Paranum0">
    <w:name w:val="Paranum"/>
    <w:basedOn w:val="Normal"/>
    <w:uiPriority w:val="99"/>
    <w:rsid w:val="00CB1407"/>
    <w:pPr>
      <w:spacing w:after="220"/>
      <w:ind w:firstLine="720"/>
      <w:jc w:val="both"/>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35"/>
    <w:pPr>
      <w:widowControl w:val="0"/>
    </w:pPr>
    <w:rPr>
      <w:snapToGrid w:val="0"/>
      <w:kern w:val="28"/>
      <w:sz w:val="22"/>
    </w:rPr>
  </w:style>
  <w:style w:type="paragraph" w:styleId="Heading1">
    <w:name w:val="heading 1"/>
    <w:basedOn w:val="Normal"/>
    <w:next w:val="ParaNum"/>
    <w:link w:val="Heading1Char"/>
    <w:qFormat/>
    <w:rsid w:val="0084723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47235"/>
    <w:pPr>
      <w:keepNext/>
      <w:numPr>
        <w:ilvl w:val="1"/>
        <w:numId w:val="2"/>
      </w:numPr>
      <w:spacing w:after="120"/>
      <w:outlineLvl w:val="1"/>
    </w:pPr>
    <w:rPr>
      <w:b/>
    </w:rPr>
  </w:style>
  <w:style w:type="paragraph" w:styleId="Heading3">
    <w:name w:val="heading 3"/>
    <w:basedOn w:val="Normal"/>
    <w:next w:val="ParaNum"/>
    <w:link w:val="Heading3Char"/>
    <w:qFormat/>
    <w:rsid w:val="00847235"/>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847235"/>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47235"/>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847235"/>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847235"/>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847235"/>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4723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4723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7235"/>
  </w:style>
  <w:style w:type="paragraph" w:customStyle="1" w:styleId="ParaNum">
    <w:name w:val="ParaNum"/>
    <w:basedOn w:val="Normal"/>
    <w:rsid w:val="00847235"/>
    <w:pPr>
      <w:numPr>
        <w:numId w:val="1"/>
      </w:numPr>
      <w:tabs>
        <w:tab w:val="clear" w:pos="1080"/>
        <w:tab w:val="num" w:pos="1440"/>
      </w:tabs>
      <w:spacing w:after="120"/>
    </w:pPr>
  </w:style>
  <w:style w:type="paragraph" w:styleId="EndnoteText">
    <w:name w:val="endnote text"/>
    <w:basedOn w:val="Normal"/>
    <w:semiHidden/>
    <w:rsid w:val="00847235"/>
    <w:rPr>
      <w:sz w:val="20"/>
    </w:rPr>
  </w:style>
  <w:style w:type="character" w:styleId="EndnoteReference">
    <w:name w:val="endnote reference"/>
    <w:semiHidden/>
    <w:rsid w:val="00847235"/>
    <w:rPr>
      <w:vertAlign w:val="superscript"/>
    </w:rPr>
  </w:style>
  <w:style w:type="paragraph" w:styleId="FootnoteText">
    <w:name w:val="footnote text"/>
    <w:aliases w:val="Footnote Text Char,Footnote Text Char1 Char,Footnote Text Char Char1 Char,Footnote Text Char2 Char1 Char Char,Footnote Text Char Char1 Char Char Char1,Footnote Text Char1 Char Char Char1 Char Char,Footnote Text Char1,fn Char Char,fn Char,f"/>
    <w:link w:val="FootnoteTextChar2"/>
    <w:rsid w:val="00847235"/>
    <w:pPr>
      <w:spacing w:after="120"/>
    </w:pPr>
  </w:style>
  <w:style w:type="character" w:styleId="FootnoteReference">
    <w:name w:val="footnote reference"/>
    <w:aliases w:val="Style 12,(NECG) Footnote Reference,Appel note de bas de p,Style 124,o,fr,Style 3,Style 13,FR,Style 17,Style 6,Footnote Reference/,Style 4,Style 7"/>
    <w:rsid w:val="00847235"/>
    <w:rPr>
      <w:rFonts w:ascii="Times New Roman" w:hAnsi="Times New Roman"/>
      <w:dstrike w:val="0"/>
      <w:color w:val="auto"/>
      <w:sz w:val="20"/>
      <w:vertAlign w:val="superscript"/>
    </w:rPr>
  </w:style>
  <w:style w:type="paragraph" w:styleId="TOC1">
    <w:name w:val="toc 1"/>
    <w:basedOn w:val="Normal"/>
    <w:next w:val="Normal"/>
    <w:rsid w:val="00847235"/>
    <w:pPr>
      <w:tabs>
        <w:tab w:val="left" w:pos="360"/>
        <w:tab w:val="right" w:leader="dot" w:pos="9360"/>
      </w:tabs>
      <w:suppressAutoHyphens/>
      <w:ind w:left="360" w:right="720" w:hanging="360"/>
    </w:pPr>
    <w:rPr>
      <w:caps/>
      <w:noProof/>
    </w:rPr>
  </w:style>
  <w:style w:type="paragraph" w:styleId="TOC2">
    <w:name w:val="toc 2"/>
    <w:basedOn w:val="Normal"/>
    <w:next w:val="Normal"/>
    <w:rsid w:val="00847235"/>
    <w:pPr>
      <w:tabs>
        <w:tab w:val="left" w:pos="720"/>
        <w:tab w:val="right" w:leader="dot" w:pos="9360"/>
      </w:tabs>
      <w:suppressAutoHyphens/>
      <w:ind w:left="720" w:right="720" w:hanging="360"/>
    </w:pPr>
    <w:rPr>
      <w:noProof/>
    </w:rPr>
  </w:style>
  <w:style w:type="paragraph" w:styleId="TOC3">
    <w:name w:val="toc 3"/>
    <w:basedOn w:val="Normal"/>
    <w:next w:val="Normal"/>
    <w:rsid w:val="00847235"/>
    <w:pPr>
      <w:tabs>
        <w:tab w:val="left" w:pos="1080"/>
        <w:tab w:val="right" w:leader="dot" w:pos="9360"/>
      </w:tabs>
      <w:suppressAutoHyphens/>
      <w:ind w:left="1080" w:right="720" w:hanging="360"/>
    </w:pPr>
    <w:rPr>
      <w:noProof/>
    </w:rPr>
  </w:style>
  <w:style w:type="paragraph" w:styleId="TOC4">
    <w:name w:val="toc 4"/>
    <w:basedOn w:val="Normal"/>
    <w:next w:val="Normal"/>
    <w:autoRedefine/>
    <w:rsid w:val="0084723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723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723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723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723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723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7235"/>
    <w:pPr>
      <w:tabs>
        <w:tab w:val="right" w:pos="9360"/>
      </w:tabs>
      <w:suppressAutoHyphens/>
    </w:pPr>
  </w:style>
  <w:style w:type="character" w:customStyle="1" w:styleId="EquationCaption">
    <w:name w:val="_Equation Caption"/>
    <w:rsid w:val="00847235"/>
  </w:style>
  <w:style w:type="paragraph" w:styleId="Header">
    <w:name w:val="header"/>
    <w:basedOn w:val="Normal"/>
    <w:autoRedefine/>
    <w:rsid w:val="00847235"/>
    <w:pPr>
      <w:tabs>
        <w:tab w:val="center" w:pos="4680"/>
        <w:tab w:val="right" w:pos="9360"/>
      </w:tabs>
    </w:pPr>
    <w:rPr>
      <w:b/>
    </w:rPr>
  </w:style>
  <w:style w:type="paragraph" w:styleId="Footer">
    <w:name w:val="footer"/>
    <w:basedOn w:val="Normal"/>
    <w:rsid w:val="00847235"/>
    <w:pPr>
      <w:tabs>
        <w:tab w:val="center" w:pos="4320"/>
        <w:tab w:val="right" w:pos="8640"/>
      </w:tabs>
    </w:pPr>
  </w:style>
  <w:style w:type="character" w:styleId="PageNumber">
    <w:name w:val="page number"/>
    <w:basedOn w:val="DefaultParagraphFont"/>
    <w:rsid w:val="00847235"/>
  </w:style>
  <w:style w:type="paragraph" w:styleId="BlockText">
    <w:name w:val="Block Text"/>
    <w:basedOn w:val="Normal"/>
    <w:rsid w:val="00847235"/>
    <w:pPr>
      <w:spacing w:after="240"/>
      <w:ind w:left="1440" w:right="1440"/>
    </w:pPr>
  </w:style>
  <w:style w:type="paragraph" w:customStyle="1" w:styleId="Paratitle">
    <w:name w:val="Para title"/>
    <w:basedOn w:val="Normal"/>
    <w:rsid w:val="00847235"/>
    <w:pPr>
      <w:tabs>
        <w:tab w:val="center" w:pos="9270"/>
      </w:tabs>
      <w:spacing w:after="240"/>
    </w:pPr>
    <w:rPr>
      <w:spacing w:val="-2"/>
    </w:rPr>
  </w:style>
  <w:style w:type="paragraph" w:customStyle="1" w:styleId="Bullet">
    <w:name w:val="Bullet"/>
    <w:basedOn w:val="Normal"/>
    <w:rsid w:val="00847235"/>
    <w:pPr>
      <w:tabs>
        <w:tab w:val="left" w:pos="2160"/>
      </w:tabs>
      <w:spacing w:after="220"/>
      <w:ind w:left="2160" w:hanging="720"/>
    </w:pPr>
  </w:style>
  <w:style w:type="paragraph" w:customStyle="1" w:styleId="TableFormat">
    <w:name w:val="TableFormat"/>
    <w:basedOn w:val="Bullet"/>
    <w:rsid w:val="00847235"/>
    <w:pPr>
      <w:tabs>
        <w:tab w:val="clear" w:pos="2160"/>
        <w:tab w:val="left" w:pos="5040"/>
      </w:tabs>
      <w:ind w:left="5040" w:hanging="3600"/>
    </w:pPr>
  </w:style>
  <w:style w:type="paragraph" w:customStyle="1" w:styleId="TOCTitle">
    <w:name w:val="TOC Title"/>
    <w:basedOn w:val="Normal"/>
    <w:rsid w:val="0084723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7235"/>
    <w:pPr>
      <w:jc w:val="center"/>
    </w:pPr>
    <w:rPr>
      <w:rFonts w:ascii="Times New Roman Bold" w:hAnsi="Times New Roman Bold"/>
      <w:b/>
      <w:bCs/>
      <w:caps/>
      <w:szCs w:val="22"/>
    </w:rPr>
  </w:style>
  <w:style w:type="character" w:styleId="Hyperlink">
    <w:name w:val="Hyperlink"/>
    <w:rsid w:val="00847235"/>
    <w:rPr>
      <w:color w:val="0000FF"/>
      <w:u w:val="single"/>
    </w:rPr>
  </w:style>
  <w:style w:type="character" w:styleId="FollowedHyperlink">
    <w:name w:val="FollowedHyperlink"/>
    <w:semiHidden/>
    <w:rsid w:val="008B3CD1"/>
    <w:rPr>
      <w:color w:val="800080"/>
      <w:u w:val="single"/>
    </w:rPr>
  </w:style>
  <w:style w:type="paragraph" w:styleId="BalloonText">
    <w:name w:val="Balloon Text"/>
    <w:basedOn w:val="Normal"/>
    <w:semiHidden/>
    <w:rsid w:val="008B3CD1"/>
    <w:rPr>
      <w:rFonts w:ascii="Tahoma" w:hAnsi="Tahoma" w:cs="Tahoma"/>
      <w:sz w:val="16"/>
      <w:szCs w:val="16"/>
    </w:rPr>
  </w:style>
  <w:style w:type="character" w:customStyle="1" w:styleId="documentbody1">
    <w:name w:val="documentbody1"/>
    <w:rsid w:val="008B3CD1"/>
    <w:rPr>
      <w:rFonts w:ascii="Verdana" w:hAnsi="Verdana" w:hint="default"/>
      <w:sz w:val="19"/>
      <w:szCs w:val="19"/>
    </w:rPr>
  </w:style>
  <w:style w:type="paragraph" w:styleId="PlainText">
    <w:name w:val="Plain Text"/>
    <w:basedOn w:val="Normal"/>
    <w:semiHidden/>
    <w:rsid w:val="008B3CD1"/>
    <w:pPr>
      <w:widowControl/>
    </w:pPr>
    <w:rPr>
      <w:rFonts w:ascii="Courier New" w:hAnsi="Courier New" w:cs="Courier New"/>
      <w:snapToGrid/>
      <w:kern w:val="0"/>
      <w:sz w:val="20"/>
    </w:rPr>
  </w:style>
  <w:style w:type="paragraph" w:customStyle="1" w:styleId="ParaNumCharCharChar">
    <w:name w:val="ParaNum Char Char Char"/>
    <w:basedOn w:val="Normal"/>
    <w:rsid w:val="008B3CD1"/>
    <w:pPr>
      <w:tabs>
        <w:tab w:val="num" w:pos="360"/>
      </w:tabs>
      <w:spacing w:after="220"/>
      <w:ind w:left="360" w:hanging="360"/>
      <w:jc w:val="both"/>
    </w:pPr>
    <w:rPr>
      <w:rFonts w:eastAsia="SimSun"/>
    </w:rPr>
  </w:style>
  <w:style w:type="paragraph" w:styleId="ListBullet2">
    <w:name w:val="List Bullet 2"/>
    <w:basedOn w:val="Normal"/>
    <w:semiHidden/>
    <w:rsid w:val="008B3CD1"/>
    <w:pPr>
      <w:numPr>
        <w:numId w:val="3"/>
      </w:numPr>
    </w:pPr>
  </w:style>
  <w:style w:type="paragraph" w:styleId="BodyTextIndent">
    <w:name w:val="Body Text Indent"/>
    <w:basedOn w:val="Normal"/>
    <w:semiHidden/>
    <w:rsid w:val="008B3CD1"/>
    <w:pPr>
      <w:ind w:left="720"/>
    </w:pPr>
  </w:style>
  <w:style w:type="character" w:customStyle="1" w:styleId="FootnoteTextCharChar">
    <w:name w:val="Footnote Text Char Char"/>
    <w:aliases w:val="Footnote Text Char1 Char Char,Footnote Text Char Char Char Char,Footnote Text Char1 Char Char Char1 Char,Footnote Text Char Char Char Char Char1 Char,Footnote Text Char2 Char Char Char Char Char1 Char,Footnote Text Char1 Char Cha"/>
    <w:rsid w:val="008B3CD1"/>
    <w:rPr>
      <w:lang w:val="en-US" w:eastAsia="en-US" w:bidi="ar-SA"/>
    </w:rPr>
  </w:style>
  <w:style w:type="paragraph" w:customStyle="1" w:styleId="ParaNumCharChar">
    <w:name w:val="ParaNum Char Char"/>
    <w:basedOn w:val="Normal"/>
    <w:rsid w:val="008B3CD1"/>
    <w:pPr>
      <w:numPr>
        <w:numId w:val="4"/>
      </w:numPr>
      <w:tabs>
        <w:tab w:val="left" w:pos="1440"/>
      </w:tabs>
      <w:spacing w:after="220"/>
      <w:jc w:val="both"/>
    </w:pPr>
    <w:rPr>
      <w:snapToGrid/>
      <w:kern w:val="0"/>
    </w:rPr>
  </w:style>
  <w:style w:type="character" w:customStyle="1" w:styleId="Heading1Char">
    <w:name w:val="Heading 1 Char"/>
    <w:link w:val="Heading1"/>
    <w:rsid w:val="0074273E"/>
    <w:rPr>
      <w:rFonts w:ascii="Times New Roman Bold" w:hAnsi="Times New Roman Bold"/>
      <w:b/>
      <w:caps/>
      <w:snapToGrid w:val="0"/>
      <w:kern w:val="28"/>
      <w:sz w:val="22"/>
    </w:rPr>
  </w:style>
  <w:style w:type="paragraph" w:styleId="DocumentMap">
    <w:name w:val="Document Map"/>
    <w:basedOn w:val="Normal"/>
    <w:semiHidden/>
    <w:rsid w:val="008B3CD1"/>
    <w:pPr>
      <w:shd w:val="clear" w:color="auto" w:fill="000080"/>
    </w:pPr>
    <w:rPr>
      <w:rFonts w:ascii="Tahoma" w:hAnsi="Tahoma" w:cs="Tahoma"/>
      <w:sz w:val="20"/>
    </w:rPr>
  </w:style>
  <w:style w:type="paragraph" w:customStyle="1" w:styleId="Appendixformat">
    <w:name w:val="Appendix format"/>
    <w:basedOn w:val="Normal"/>
    <w:rsid w:val="008B3CD1"/>
    <w:pPr>
      <w:tabs>
        <w:tab w:val="left" w:pos="1440"/>
      </w:tabs>
      <w:spacing w:after="120"/>
      <w:ind w:left="1440" w:hanging="720"/>
    </w:pPr>
    <w:rPr>
      <w:b/>
    </w:rPr>
  </w:style>
  <w:style w:type="paragraph" w:customStyle="1" w:styleId="Appendixnumber">
    <w:name w:val="Appendix number"/>
    <w:basedOn w:val="Normal"/>
    <w:rsid w:val="008B3CD1"/>
    <w:pPr>
      <w:numPr>
        <w:numId w:val="5"/>
      </w:numPr>
      <w:tabs>
        <w:tab w:val="num" w:pos="1440"/>
      </w:tabs>
      <w:spacing w:after="120"/>
      <w:ind w:left="0" w:firstLine="720"/>
    </w:pPr>
  </w:style>
  <w:style w:type="character" w:customStyle="1" w:styleId="TOC1Char">
    <w:name w:val="TOC 1 Char"/>
    <w:rsid w:val="008B3CD1"/>
    <w:rPr>
      <w:caps/>
      <w:noProof/>
      <w:snapToGrid w:val="0"/>
      <w:kern w:val="28"/>
      <w:sz w:val="22"/>
      <w:lang w:val="en-US" w:eastAsia="en-US" w:bidi="ar-SA"/>
    </w:rPr>
  </w:style>
  <w:style w:type="character" w:styleId="Strong">
    <w:name w:val="Strong"/>
    <w:qFormat/>
    <w:rsid w:val="008B3CD1"/>
    <w:rPr>
      <w:b/>
      <w:bCs/>
    </w:rPr>
  </w:style>
  <w:style w:type="character" w:customStyle="1" w:styleId="FooterChar">
    <w:name w:val="Footer Char"/>
    <w:rsid w:val="008B3CD1"/>
    <w:rPr>
      <w:snapToGrid w:val="0"/>
      <w:kern w:val="28"/>
      <w:sz w:val="22"/>
      <w:lang w:val="en-US" w:eastAsia="en-US" w:bidi="ar-SA"/>
    </w:rPr>
  </w:style>
  <w:style w:type="character" w:customStyle="1" w:styleId="ParaNumChar1">
    <w:name w:val="ParaNum Char1"/>
    <w:rsid w:val="008B3CD1"/>
    <w:rPr>
      <w:snapToGrid w:val="0"/>
      <w:kern w:val="28"/>
      <w:sz w:val="22"/>
      <w:lang w:val="en-US" w:eastAsia="en-US" w:bidi="ar-SA"/>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ootnote Text Char1 Char1"/>
    <w:rsid w:val="008B3CD1"/>
    <w:rPr>
      <w:lang w:val="en-US" w:eastAsia="en-US" w:bidi="ar-SA"/>
    </w:rPr>
  </w:style>
  <w:style w:type="character" w:customStyle="1" w:styleId="ParaNumChar">
    <w:name w:val="ParaNum Char"/>
    <w:rsid w:val="008B3CD1"/>
    <w:rPr>
      <w:snapToGrid w:val="0"/>
      <w:kern w:val="28"/>
      <w:sz w:val="22"/>
      <w:lang w:val="en-US" w:eastAsia="en-US" w:bidi="ar-SA"/>
    </w:rPr>
  </w:style>
  <w:style w:type="character" w:styleId="CommentReference">
    <w:name w:val="annotation reference"/>
    <w:semiHidden/>
    <w:rsid w:val="008B3CD1"/>
    <w:rPr>
      <w:sz w:val="16"/>
      <w:szCs w:val="16"/>
    </w:rPr>
  </w:style>
  <w:style w:type="paragraph" w:styleId="CommentText">
    <w:name w:val="annotation text"/>
    <w:basedOn w:val="Normal"/>
    <w:semiHidden/>
    <w:rsid w:val="008B3CD1"/>
    <w:rPr>
      <w:sz w:val="20"/>
    </w:rPr>
  </w:style>
  <w:style w:type="paragraph" w:styleId="CommentSubject">
    <w:name w:val="annotation subject"/>
    <w:basedOn w:val="CommentText"/>
    <w:next w:val="CommentText"/>
    <w:semiHidden/>
    <w:rsid w:val="008B3CD1"/>
    <w:rPr>
      <w:b/>
      <w:bCs/>
    </w:rPr>
  </w:style>
  <w:style w:type="paragraph" w:styleId="Caption">
    <w:name w:val="caption"/>
    <w:basedOn w:val="Normal"/>
    <w:next w:val="Normal"/>
    <w:qFormat/>
    <w:rsid w:val="008B3CD1"/>
    <w:pPr>
      <w:widowControl/>
      <w:spacing w:before="120" w:after="120"/>
    </w:pPr>
    <w:rPr>
      <w:b/>
      <w:snapToGrid/>
      <w:kern w:val="0"/>
    </w:rPr>
  </w:style>
  <w:style w:type="paragraph" w:styleId="NormalWeb">
    <w:name w:val="Normal (Web)"/>
    <w:basedOn w:val="Normal"/>
    <w:semiHidden/>
    <w:rsid w:val="008B3CD1"/>
    <w:pPr>
      <w:widowControl/>
      <w:spacing w:before="100" w:beforeAutospacing="1" w:after="100" w:afterAutospacing="1"/>
    </w:pPr>
    <w:rPr>
      <w:snapToGrid/>
      <w:kern w:val="0"/>
      <w:sz w:val="24"/>
      <w:szCs w:val="24"/>
    </w:rPr>
  </w:style>
  <w:style w:type="paragraph" w:styleId="HTMLPreformatted">
    <w:name w:val="HTML Preformatted"/>
    <w:basedOn w:val="Normal"/>
    <w:semiHidden/>
    <w:rsid w:val="008B3C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searchterm2">
    <w:name w:val="searchterm2"/>
    <w:rsid w:val="008B3CD1"/>
    <w:rPr>
      <w:b/>
      <w:bCs/>
      <w:shd w:val="clear" w:color="auto" w:fill="FFFF00"/>
    </w:rPr>
  </w:style>
  <w:style w:type="character" w:customStyle="1" w:styleId="deltaviewinsertion">
    <w:name w:val="deltaviewinsertion"/>
    <w:rsid w:val="008B3CD1"/>
    <w:rPr>
      <w:color w:val="0000FF"/>
      <w:spacing w:val="0"/>
      <w:u w:val="single"/>
    </w:rPr>
  </w:style>
  <w:style w:type="paragraph" w:customStyle="1" w:styleId="paranumcharchar0">
    <w:name w:val="paranumcharchar"/>
    <w:basedOn w:val="Normal"/>
    <w:rsid w:val="008B3CD1"/>
    <w:pPr>
      <w:widowControl/>
      <w:snapToGrid w:val="0"/>
      <w:spacing w:after="220"/>
      <w:ind w:left="252" w:firstLine="288"/>
    </w:pPr>
    <w:rPr>
      <w:snapToGrid/>
      <w:kern w:val="0"/>
      <w:szCs w:val="22"/>
    </w:rPr>
  </w:style>
  <w:style w:type="paragraph" w:customStyle="1" w:styleId="ColorfulList-Accent11">
    <w:name w:val="Colorful List - Accent 11"/>
    <w:basedOn w:val="Normal"/>
    <w:qFormat/>
    <w:rsid w:val="008B3CD1"/>
    <w:pPr>
      <w:widowControl/>
      <w:spacing w:after="200" w:line="276" w:lineRule="auto"/>
      <w:ind w:left="720"/>
      <w:contextualSpacing/>
    </w:pPr>
    <w:rPr>
      <w:rFonts w:ascii="Calibri" w:hAnsi="Calibri"/>
      <w:snapToGrid/>
      <w:kern w:val="0"/>
      <w:szCs w:val="22"/>
    </w:rPr>
  </w:style>
  <w:style w:type="paragraph" w:styleId="BodyTextIndent2">
    <w:name w:val="Body Text Indent 2"/>
    <w:basedOn w:val="Normal"/>
    <w:semiHidden/>
    <w:rsid w:val="008B3CD1"/>
    <w:pPr>
      <w:spacing w:after="120" w:line="480" w:lineRule="auto"/>
      <w:ind w:left="360"/>
    </w:pPr>
  </w:style>
  <w:style w:type="character" w:styleId="Emphasis">
    <w:name w:val="Emphasis"/>
    <w:uiPriority w:val="99"/>
    <w:qFormat/>
    <w:rsid w:val="008B3CD1"/>
    <w:rPr>
      <w:i/>
      <w:iCs/>
    </w:rPr>
  </w:style>
  <w:style w:type="paragraph" w:customStyle="1" w:styleId="Default">
    <w:name w:val="Default"/>
    <w:rsid w:val="00494E3B"/>
    <w:pPr>
      <w:autoSpaceDE w:val="0"/>
      <w:autoSpaceDN w:val="0"/>
      <w:adjustRightInd w:val="0"/>
    </w:pPr>
    <w:rPr>
      <w:color w:val="000000"/>
      <w:sz w:val="24"/>
      <w:szCs w:val="24"/>
    </w:rPr>
  </w:style>
  <w:style w:type="character" w:customStyle="1" w:styleId="Heading2Char1">
    <w:name w:val="Heading 2 Char1"/>
    <w:rsid w:val="00E04DDA"/>
    <w:rPr>
      <w:b/>
      <w:snapToGrid w:val="0"/>
      <w:kern w:val="28"/>
      <w:sz w:val="22"/>
    </w:rPr>
  </w:style>
  <w:style w:type="character" w:customStyle="1" w:styleId="Heading2Char">
    <w:name w:val="Heading 2 Char"/>
    <w:link w:val="Heading2"/>
    <w:rsid w:val="0074273E"/>
    <w:rPr>
      <w:b/>
      <w:snapToGrid w:val="0"/>
      <w:kern w:val="28"/>
      <w:sz w:val="22"/>
    </w:rPr>
  </w:style>
  <w:style w:type="paragraph" w:customStyle="1" w:styleId="ColorfulShading-Accent11">
    <w:name w:val="Colorful Shading - Accent 11"/>
    <w:hidden/>
    <w:uiPriority w:val="99"/>
    <w:semiHidden/>
    <w:rsid w:val="00446A6F"/>
    <w:rPr>
      <w:snapToGrid w:val="0"/>
      <w:kern w:val="28"/>
      <w:sz w:val="22"/>
    </w:rPr>
  </w:style>
  <w:style w:type="paragraph" w:styleId="ListParagraph">
    <w:name w:val="List Paragraph"/>
    <w:basedOn w:val="Normal"/>
    <w:qFormat/>
    <w:rsid w:val="00E10BEC"/>
    <w:pPr>
      <w:widowControl/>
      <w:spacing w:after="200" w:line="276" w:lineRule="auto"/>
      <w:ind w:left="720"/>
      <w:contextualSpacing/>
    </w:pPr>
    <w:rPr>
      <w:rFonts w:ascii="Calibri" w:hAnsi="Calibri"/>
      <w:snapToGrid/>
      <w:kern w:val="0"/>
      <w:szCs w:val="22"/>
    </w:rPr>
  </w:style>
  <w:style w:type="paragraph" w:styleId="Revision">
    <w:name w:val="Revision"/>
    <w:hidden/>
    <w:uiPriority w:val="99"/>
    <w:semiHidden/>
    <w:rsid w:val="00E10BEC"/>
    <w:rPr>
      <w:snapToGrid w:val="0"/>
      <w:kern w:val="28"/>
      <w:sz w:val="22"/>
    </w:rPr>
  </w:style>
  <w:style w:type="character" w:customStyle="1" w:styleId="Heading3Char">
    <w:name w:val="Heading 3 Char"/>
    <w:link w:val="Heading3"/>
    <w:rsid w:val="0074273E"/>
    <w:rPr>
      <w:b/>
      <w:snapToGrid w:val="0"/>
      <w:kern w:val="28"/>
      <w:sz w:val="22"/>
    </w:rPr>
  </w:style>
  <w:style w:type="character" w:customStyle="1" w:styleId="Heading4Char">
    <w:name w:val="Heading 4 Char"/>
    <w:link w:val="Heading4"/>
    <w:rsid w:val="0074273E"/>
    <w:rPr>
      <w:b/>
      <w:snapToGrid w:val="0"/>
      <w:kern w:val="28"/>
      <w:sz w:val="22"/>
    </w:rPr>
  </w:style>
  <w:style w:type="character" w:customStyle="1" w:styleId="Heading5Char">
    <w:name w:val="Heading 5 Char"/>
    <w:link w:val="Heading5"/>
    <w:rsid w:val="0074273E"/>
    <w:rPr>
      <w:b/>
      <w:snapToGrid w:val="0"/>
      <w:kern w:val="28"/>
      <w:sz w:val="22"/>
    </w:rPr>
  </w:style>
  <w:style w:type="character" w:customStyle="1" w:styleId="Heading6Char">
    <w:name w:val="Heading 6 Char"/>
    <w:aliases w:val="h6 Char"/>
    <w:link w:val="Heading6"/>
    <w:rsid w:val="0074273E"/>
    <w:rPr>
      <w:b/>
      <w:snapToGrid w:val="0"/>
      <w:kern w:val="28"/>
      <w:sz w:val="22"/>
    </w:rPr>
  </w:style>
  <w:style w:type="character" w:customStyle="1" w:styleId="Heading7Char">
    <w:name w:val="Heading 7 Char"/>
    <w:link w:val="Heading7"/>
    <w:rsid w:val="0074273E"/>
    <w:rPr>
      <w:b/>
      <w:snapToGrid w:val="0"/>
      <w:kern w:val="28"/>
      <w:sz w:val="22"/>
    </w:rPr>
  </w:style>
  <w:style w:type="character" w:customStyle="1" w:styleId="Heading8Char">
    <w:name w:val="Heading 8 Char"/>
    <w:link w:val="Heading8"/>
    <w:rsid w:val="0074273E"/>
    <w:rPr>
      <w:b/>
      <w:snapToGrid w:val="0"/>
      <w:kern w:val="28"/>
      <w:sz w:val="22"/>
    </w:rPr>
  </w:style>
  <w:style w:type="character" w:customStyle="1" w:styleId="Heading9Char">
    <w:name w:val="Heading 9 Char"/>
    <w:link w:val="Heading9"/>
    <w:rsid w:val="0074273E"/>
    <w:rPr>
      <w:b/>
      <w:snapToGrid w:val="0"/>
      <w:kern w:val="28"/>
      <w:sz w:val="22"/>
    </w:rPr>
  </w:style>
  <w:style w:type="character" w:customStyle="1" w:styleId="FootnoteTextChar2">
    <w:name w:val="Footnote Text Char2"/>
    <w:aliases w:val="Footnote Text Char Char2,Footnote Text Char1 Char Char1,Footnote Text Char Char1 Char Char1,Footnote Text Char2 Char1 Char Char Char,Footnote Text Char Char1 Char Char Char1 Char,Footnote Text Char1 Char Char Char1 Char Char Char"/>
    <w:link w:val="FootnoteText"/>
    <w:locked/>
    <w:rsid w:val="0057724E"/>
  </w:style>
  <w:style w:type="character" w:customStyle="1" w:styleId="FootnoteTextChar2Char1">
    <w:name w:val="Footnote Text Char2 Char1"/>
    <w:aliases w:val="Footnote Text Char Char2 Char1,Footnote Text Char2 Char Char Char1,Footnote Text Char1 Char Char Char1 Char1,Footnote Text Char Char Char Char Char1 Char1,Footnote Text Char1 Char Char Char1 Char Char Char1"/>
    <w:basedOn w:val="DefaultParagraphFont"/>
    <w:semiHidden/>
    <w:locked/>
    <w:rsid w:val="0089207D"/>
    <w:rPr>
      <w:lang w:eastAsia="ja-JP"/>
    </w:rPr>
  </w:style>
  <w:style w:type="paragraph" w:customStyle="1" w:styleId="Style1">
    <w:name w:val="Style1"/>
    <w:basedOn w:val="ParaNum"/>
    <w:uiPriority w:val="99"/>
    <w:qFormat/>
    <w:rsid w:val="0039528A"/>
    <w:pPr>
      <w:numPr>
        <w:numId w:val="0"/>
      </w:numPr>
      <w:tabs>
        <w:tab w:val="num" w:pos="360"/>
      </w:tabs>
      <w:ind w:hanging="360"/>
    </w:pPr>
    <w:rPr>
      <w:lang w:val="x-none" w:eastAsia="x-none"/>
    </w:rPr>
  </w:style>
  <w:style w:type="character" w:customStyle="1" w:styleId="apple-style-span">
    <w:name w:val="apple-style-span"/>
    <w:rsid w:val="00D53C80"/>
  </w:style>
  <w:style w:type="character" w:customStyle="1" w:styleId="ptext-25">
    <w:name w:val="ptext-25"/>
    <w:rsid w:val="002050C3"/>
    <w:rPr>
      <w:rFonts w:cs="Times New Roman"/>
    </w:rPr>
  </w:style>
  <w:style w:type="character" w:customStyle="1" w:styleId="oneclick-link">
    <w:name w:val="oneclick-link"/>
    <w:basedOn w:val="DefaultParagraphFont"/>
    <w:rsid w:val="00F44EC7"/>
  </w:style>
  <w:style w:type="paragraph" w:customStyle="1" w:styleId="Paranum0">
    <w:name w:val="Paranum"/>
    <w:basedOn w:val="Normal"/>
    <w:uiPriority w:val="99"/>
    <w:rsid w:val="00CB1407"/>
    <w:pPr>
      <w:spacing w:after="220"/>
      <w:ind w:firstLine="720"/>
      <w:jc w:val="both"/>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0916">
      <w:bodyDiv w:val="1"/>
      <w:marLeft w:val="0"/>
      <w:marRight w:val="0"/>
      <w:marTop w:val="0"/>
      <w:marBottom w:val="0"/>
      <w:divBdr>
        <w:top w:val="none" w:sz="0" w:space="0" w:color="auto"/>
        <w:left w:val="none" w:sz="0" w:space="0" w:color="auto"/>
        <w:bottom w:val="none" w:sz="0" w:space="0" w:color="auto"/>
        <w:right w:val="none" w:sz="0" w:space="0" w:color="auto"/>
      </w:divBdr>
      <w:divsChild>
        <w:div w:id="683819633">
          <w:marLeft w:val="0"/>
          <w:marRight w:val="0"/>
          <w:marTop w:val="0"/>
          <w:marBottom w:val="0"/>
          <w:divBdr>
            <w:top w:val="none" w:sz="0" w:space="0" w:color="auto"/>
            <w:left w:val="none" w:sz="0" w:space="0" w:color="auto"/>
            <w:bottom w:val="none" w:sz="0" w:space="0" w:color="auto"/>
            <w:right w:val="none" w:sz="0" w:space="0" w:color="auto"/>
          </w:divBdr>
          <w:divsChild>
            <w:div w:id="7014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768">
      <w:bodyDiv w:val="1"/>
      <w:marLeft w:val="0"/>
      <w:marRight w:val="0"/>
      <w:marTop w:val="0"/>
      <w:marBottom w:val="0"/>
      <w:divBdr>
        <w:top w:val="none" w:sz="0" w:space="0" w:color="auto"/>
        <w:left w:val="none" w:sz="0" w:space="0" w:color="auto"/>
        <w:bottom w:val="none" w:sz="0" w:space="0" w:color="auto"/>
        <w:right w:val="none" w:sz="0" w:space="0" w:color="auto"/>
      </w:divBdr>
    </w:div>
    <w:div w:id="658773416">
      <w:bodyDiv w:val="1"/>
      <w:marLeft w:val="0"/>
      <w:marRight w:val="0"/>
      <w:marTop w:val="0"/>
      <w:marBottom w:val="0"/>
      <w:divBdr>
        <w:top w:val="none" w:sz="0" w:space="0" w:color="auto"/>
        <w:left w:val="none" w:sz="0" w:space="0" w:color="auto"/>
        <w:bottom w:val="none" w:sz="0" w:space="0" w:color="auto"/>
        <w:right w:val="none" w:sz="0" w:space="0" w:color="auto"/>
      </w:divBdr>
    </w:div>
    <w:div w:id="986593690">
      <w:bodyDiv w:val="1"/>
      <w:marLeft w:val="0"/>
      <w:marRight w:val="0"/>
      <w:marTop w:val="0"/>
      <w:marBottom w:val="0"/>
      <w:divBdr>
        <w:top w:val="none" w:sz="0" w:space="0" w:color="auto"/>
        <w:left w:val="none" w:sz="0" w:space="0" w:color="auto"/>
        <w:bottom w:val="none" w:sz="0" w:space="0" w:color="auto"/>
        <w:right w:val="none" w:sz="0" w:space="0" w:color="auto"/>
      </w:divBdr>
    </w:div>
    <w:div w:id="1395930922">
      <w:bodyDiv w:val="1"/>
      <w:marLeft w:val="0"/>
      <w:marRight w:val="0"/>
      <w:marTop w:val="0"/>
      <w:marBottom w:val="0"/>
      <w:divBdr>
        <w:top w:val="none" w:sz="0" w:space="0" w:color="auto"/>
        <w:left w:val="none" w:sz="0" w:space="0" w:color="auto"/>
        <w:bottom w:val="none" w:sz="0" w:space="0" w:color="auto"/>
        <w:right w:val="none" w:sz="0" w:space="0" w:color="auto"/>
      </w:divBdr>
      <w:divsChild>
        <w:div w:id="1785999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haun.Maher@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 Id="rId27" Type="http://schemas.microsoft.com/office/2011/relationships/commentsExtended" Target="commentsExtended.xm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cgi-bin/sssd/naics/naicsrch?code=515120&amp;search=2012" TargetMode="External"/><Relationship Id="rId2" Type="http://schemas.openxmlformats.org/officeDocument/2006/relationships/hyperlink" Target="http://licensing.fcc.gov/cgi-bin/prod/cdbs/forms/prod/getimportletter_exh.cgi?import_letter_id=35147" TargetMode="External"/><Relationship Id="rId1" Type="http://schemas.openxmlformats.org/officeDocument/2006/relationships/hyperlink" Target="http://www.ctia.org/docs/default-source/fcc-filings/technical-report-of-the-klcs-kjla-channel-sharing-pilo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15484</Words>
  <Characters>86197</Characters>
  <Application>Microsoft Office Word</Application>
  <DocSecurity>0</DocSecurity>
  <Lines>1237</Lines>
  <Paragraphs>269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101980</CharactersWithSpaces>
  <SharedDoc>false</SharedDoc>
  <HyperlinkBase> </HyperlinkBase>
  <HLinks>
    <vt:vector size="6" baseType="variant">
      <vt:variant>
        <vt:i4>7798909</vt:i4>
      </vt:variant>
      <vt:variant>
        <vt:i4>0</vt:i4>
      </vt:variant>
      <vt:variant>
        <vt:i4>0</vt:i4>
      </vt:variant>
      <vt:variant>
        <vt:i4>5</vt:i4>
      </vt:variant>
      <vt:variant>
        <vt:lpwstr>http://download.broadband.gov/plan/national-broadband-plan.pdf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2012-01-31T15:08:00Z</cp:lastPrinted>
  <dcterms:created xsi:type="dcterms:W3CDTF">2014-10-10T20:46:00Z</dcterms:created>
  <dcterms:modified xsi:type="dcterms:W3CDTF">2014-10-10T20:46:00Z</dcterms:modified>
  <cp:category> </cp:category>
  <cp:contentStatus> </cp:contentStatus>
</cp:coreProperties>
</file>