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FF" w:rsidRDefault="006C0DFF">
      <w:pPr>
        <w:jc w:val="center"/>
        <w:rPr>
          <w:b/>
        </w:rPr>
      </w:pPr>
      <w:bookmarkStart w:id="0" w:name="_GoBack"/>
      <w:bookmarkEnd w:id="0"/>
      <w:r>
        <w:rPr>
          <w:b/>
        </w:rPr>
        <w:t>Before the</w:t>
      </w:r>
    </w:p>
    <w:p w:rsidR="006C0DFF" w:rsidRDefault="006C0DFF">
      <w:pPr>
        <w:jc w:val="center"/>
        <w:rPr>
          <w:b/>
        </w:rPr>
      </w:pPr>
      <w:r>
        <w:rPr>
          <w:b/>
        </w:rPr>
        <w:t>Federal Communications Commission</w:t>
      </w:r>
    </w:p>
    <w:p w:rsidR="006C0DFF" w:rsidRDefault="006C0DFF" w:rsidP="00CF5A75">
      <w:pPr>
        <w:jc w:val="center"/>
      </w:pPr>
      <w:r>
        <w:rPr>
          <w:b/>
        </w:rPr>
        <w:t>Washington, D.C. 20554</w:t>
      </w:r>
    </w:p>
    <w:p w:rsidR="006C0DFF" w:rsidRDefault="006C0DFF"/>
    <w:tbl>
      <w:tblPr>
        <w:tblW w:w="9685" w:type="dxa"/>
        <w:tblLayout w:type="fixed"/>
        <w:tblLook w:val="0000" w:firstRow="0" w:lastRow="0" w:firstColumn="0" w:lastColumn="0" w:noHBand="0" w:noVBand="0"/>
      </w:tblPr>
      <w:tblGrid>
        <w:gridCol w:w="4716"/>
        <w:gridCol w:w="723"/>
        <w:gridCol w:w="4246"/>
      </w:tblGrid>
      <w:tr w:rsidR="006C0DFF" w:rsidTr="00B90CBD">
        <w:trPr>
          <w:trHeight w:val="1353"/>
        </w:trPr>
        <w:tc>
          <w:tcPr>
            <w:tcW w:w="4716" w:type="dxa"/>
          </w:tcPr>
          <w:p w:rsidR="006C0DFF" w:rsidRDefault="006C0DFF">
            <w:pPr>
              <w:ind w:right="-18"/>
            </w:pPr>
            <w:r>
              <w:t xml:space="preserve">In the </w:t>
            </w:r>
            <w:r w:rsidR="00A077F8">
              <w:t>M</w:t>
            </w:r>
            <w:r>
              <w:t>atter of</w:t>
            </w:r>
          </w:p>
          <w:p w:rsidR="006C0DFF" w:rsidRDefault="006C0DFF">
            <w:pPr>
              <w:ind w:right="-18"/>
            </w:pPr>
          </w:p>
          <w:p w:rsidR="00830216" w:rsidRDefault="00830216">
            <w:pPr>
              <w:ind w:right="-18"/>
            </w:pPr>
            <w:r>
              <w:t>Ernesto Bustos</w:t>
            </w:r>
          </w:p>
          <w:p w:rsidR="006C0DFF" w:rsidRDefault="00830216">
            <w:pPr>
              <w:ind w:right="-18"/>
            </w:pPr>
            <w:r>
              <w:t>Licensee of Station WTBL</w:t>
            </w:r>
            <w:r w:rsidR="00FE4A07">
              <w:t>-CD</w:t>
            </w:r>
          </w:p>
          <w:p w:rsidR="00B074C8" w:rsidRDefault="00830216" w:rsidP="00086A7F">
            <w:pPr>
              <w:ind w:right="-18"/>
            </w:pPr>
            <w:r>
              <w:t>Lenoir, North Carolina</w:t>
            </w:r>
          </w:p>
        </w:tc>
        <w:tc>
          <w:tcPr>
            <w:tcW w:w="723" w:type="dxa"/>
          </w:tcPr>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FB798C" w:rsidRDefault="006C0DFF">
            <w:pPr>
              <w:rPr>
                <w:b/>
              </w:rPr>
            </w:pPr>
            <w:r>
              <w:rPr>
                <w:b/>
              </w:rPr>
              <w:t>)</w:t>
            </w:r>
          </w:p>
        </w:tc>
        <w:tc>
          <w:tcPr>
            <w:tcW w:w="4246" w:type="dxa"/>
          </w:tcPr>
          <w:p w:rsidR="006C0DFF" w:rsidRDefault="006C0DFF"/>
          <w:p w:rsidR="00086A7F" w:rsidRDefault="00086A7F"/>
          <w:p w:rsidR="00EF7D54" w:rsidRDefault="00EF7D54">
            <w:r>
              <w:t>Facility ID No</w:t>
            </w:r>
            <w:r w:rsidR="00830216">
              <w:t>. 54983</w:t>
            </w:r>
          </w:p>
          <w:p w:rsidR="00BE1A17" w:rsidRDefault="00830216">
            <w:r>
              <w:t>NAL/Acct. No.: 201341420009</w:t>
            </w:r>
          </w:p>
          <w:p w:rsidR="00BE1A17" w:rsidRDefault="009D06B1">
            <w:r>
              <w:t>FRN: 00</w:t>
            </w:r>
            <w:r w:rsidR="00830216">
              <w:t>21349188</w:t>
            </w:r>
          </w:p>
        </w:tc>
      </w:tr>
    </w:tbl>
    <w:p w:rsidR="00CF5A75" w:rsidRDefault="00BE1A17" w:rsidP="0017139F">
      <w:pPr>
        <w:spacing w:before="240"/>
        <w:jc w:val="center"/>
        <w:rPr>
          <w:b/>
        </w:rPr>
      </w:pPr>
      <w:r>
        <w:rPr>
          <w:b/>
          <w:spacing w:val="-2"/>
        </w:rPr>
        <w:t xml:space="preserve">MEMORANDUM OPINION AND ORDER </w:t>
      </w:r>
    </w:p>
    <w:p w:rsidR="006C0DFF" w:rsidRDefault="006C0DFF"/>
    <w:p w:rsidR="00323236" w:rsidRDefault="00323236" w:rsidP="00323236">
      <w:pPr>
        <w:tabs>
          <w:tab w:val="left" w:pos="720"/>
          <w:tab w:val="right" w:pos="9360"/>
        </w:tabs>
        <w:suppressAutoHyphens/>
        <w:spacing w:line="227" w:lineRule="auto"/>
        <w:rPr>
          <w:spacing w:val="-2"/>
        </w:rPr>
      </w:pPr>
      <w:r>
        <w:rPr>
          <w:b/>
          <w:spacing w:val="-2"/>
        </w:rPr>
        <w:t>Adopted:</w:t>
      </w:r>
      <w:r w:rsidR="007E3DEF">
        <w:rPr>
          <w:b/>
          <w:spacing w:val="-2"/>
        </w:rPr>
        <w:t xml:space="preserve">  October 14, 2014</w:t>
      </w:r>
      <w:r>
        <w:rPr>
          <w:b/>
          <w:spacing w:val="-2"/>
        </w:rPr>
        <w:t xml:space="preserve">  </w:t>
      </w:r>
      <w:r>
        <w:rPr>
          <w:b/>
          <w:spacing w:val="-2"/>
        </w:rPr>
        <w:tab/>
        <w:t xml:space="preserve">Released: </w:t>
      </w:r>
      <w:r w:rsidR="00F927EC">
        <w:rPr>
          <w:b/>
          <w:spacing w:val="-2"/>
        </w:rPr>
        <w:t xml:space="preserve"> </w:t>
      </w:r>
      <w:r w:rsidR="00ED5E0B">
        <w:rPr>
          <w:b/>
          <w:spacing w:val="-2"/>
        </w:rPr>
        <w:t>October 15</w:t>
      </w:r>
      <w:r w:rsidR="007E3DEF">
        <w:rPr>
          <w:b/>
          <w:spacing w:val="-2"/>
        </w:rPr>
        <w:t>, 2014</w:t>
      </w:r>
      <w:r>
        <w:rPr>
          <w:b/>
          <w:spacing w:val="-2"/>
        </w:rPr>
        <w:t xml:space="preserve"> </w:t>
      </w:r>
    </w:p>
    <w:p w:rsidR="006C0DFF" w:rsidRDefault="006C0DFF">
      <w:pPr>
        <w:tabs>
          <w:tab w:val="left" w:pos="5760"/>
        </w:tabs>
        <w:rPr>
          <w:b/>
        </w:rPr>
      </w:pPr>
    </w:p>
    <w:p w:rsidR="006C0DFF" w:rsidRDefault="006C0DFF">
      <w:pPr>
        <w:tabs>
          <w:tab w:val="left" w:pos="5760"/>
        </w:tabs>
        <w:rPr>
          <w:spacing w:val="-2"/>
        </w:rPr>
      </w:pPr>
      <w:r>
        <w:t>By the</w:t>
      </w:r>
      <w:r w:rsidR="00E80339">
        <w:t xml:space="preserve"> Commission</w:t>
      </w:r>
      <w:r>
        <w:rPr>
          <w:spacing w:val="-2"/>
        </w:rPr>
        <w:t>:</w:t>
      </w:r>
    </w:p>
    <w:p w:rsidR="00DE7381" w:rsidRDefault="00DE7381">
      <w:pPr>
        <w:tabs>
          <w:tab w:val="left" w:pos="5760"/>
        </w:tabs>
        <w:rPr>
          <w:spacing w:val="-2"/>
        </w:rPr>
      </w:pPr>
    </w:p>
    <w:p w:rsidR="00DA7212" w:rsidRPr="00EE76EE" w:rsidRDefault="00DA7212" w:rsidP="00DA7212">
      <w:pPr>
        <w:pStyle w:val="ParaNum"/>
        <w:widowControl/>
        <w:numPr>
          <w:ilvl w:val="0"/>
          <w:numId w:val="33"/>
        </w:numPr>
        <w:tabs>
          <w:tab w:val="num" w:pos="1440"/>
        </w:tabs>
        <w:rPr>
          <w:b/>
          <w:szCs w:val="22"/>
        </w:rPr>
      </w:pPr>
      <w:r w:rsidRPr="00EE76EE">
        <w:rPr>
          <w:b/>
          <w:szCs w:val="22"/>
        </w:rPr>
        <w:t>INTRODUCTION</w:t>
      </w:r>
    </w:p>
    <w:p w:rsidR="0042224F" w:rsidRDefault="00DE7381" w:rsidP="00800673">
      <w:pPr>
        <w:pStyle w:val="ParaNum"/>
      </w:pPr>
      <w:r w:rsidRPr="0042224F">
        <w:t xml:space="preserve">In this Memorandum Opinion and Order, we </w:t>
      </w:r>
      <w:r w:rsidR="000235C2" w:rsidRPr="0042224F">
        <w:t xml:space="preserve">dismiss in part and otherwise deny </w:t>
      </w:r>
      <w:r w:rsidRPr="0042224F">
        <w:t xml:space="preserve">the </w:t>
      </w:r>
      <w:r w:rsidR="006542D8" w:rsidRPr="0042224F">
        <w:t xml:space="preserve">July 18, 2014 </w:t>
      </w:r>
      <w:r w:rsidRPr="0042224F">
        <w:t xml:space="preserve">Application for Review filed by </w:t>
      </w:r>
      <w:r w:rsidR="00086A7F" w:rsidRPr="0042224F">
        <w:t>Ernesto Bustos (</w:t>
      </w:r>
      <w:r w:rsidR="008470A9">
        <w:t xml:space="preserve">the </w:t>
      </w:r>
      <w:r w:rsidR="00086A7F" w:rsidRPr="0042224F">
        <w:t>“Licensee</w:t>
      </w:r>
      <w:r w:rsidRPr="0042224F">
        <w:t>”), licensee of Station</w:t>
      </w:r>
      <w:r w:rsidR="00086A7F" w:rsidRPr="0042224F">
        <w:t xml:space="preserve"> WTBL-CD</w:t>
      </w:r>
      <w:r w:rsidR="00C260E8" w:rsidRPr="0042224F">
        <w:t>, Lenoir, North Carolina</w:t>
      </w:r>
      <w:r w:rsidR="006542D8" w:rsidRPr="0042224F">
        <w:t xml:space="preserve"> (the “Station”)</w:t>
      </w:r>
      <w:r w:rsidR="00FE4A07" w:rsidRPr="0042224F">
        <w:t xml:space="preserve">.  </w:t>
      </w:r>
      <w:r w:rsidR="00C260E8" w:rsidRPr="0042224F">
        <w:t xml:space="preserve">The </w:t>
      </w:r>
      <w:r w:rsidR="00086A7F" w:rsidRPr="0042224F">
        <w:t xml:space="preserve">Licensee </w:t>
      </w:r>
      <w:r w:rsidRPr="0042224F">
        <w:t xml:space="preserve">seeks review of a </w:t>
      </w:r>
      <w:r w:rsidR="000862E8" w:rsidRPr="0042224F">
        <w:t>Memorandum Opinion and Order</w:t>
      </w:r>
      <w:r w:rsidR="000862E8">
        <w:rPr>
          <w:rStyle w:val="FootnoteReference"/>
          <w:szCs w:val="22"/>
        </w:rPr>
        <w:footnoteReference w:id="2"/>
      </w:r>
      <w:r w:rsidR="000862E8" w:rsidRPr="0042224F">
        <w:t xml:space="preserve"> issued by the Video Division, Media Bureau (the “Bureau”) denying reconsideration of a </w:t>
      </w:r>
      <w:r w:rsidRPr="0042224F">
        <w:t>Forfeiture Order</w:t>
      </w:r>
      <w:r>
        <w:rPr>
          <w:rStyle w:val="FootnoteReference"/>
          <w:szCs w:val="22"/>
        </w:rPr>
        <w:footnoteReference w:id="3"/>
      </w:r>
      <w:r w:rsidRPr="0042224F">
        <w:t xml:space="preserve"> which found that </w:t>
      </w:r>
      <w:r w:rsidR="00C260E8" w:rsidRPr="0042224F">
        <w:t xml:space="preserve">the </w:t>
      </w:r>
      <w:r w:rsidR="00086A7F" w:rsidRPr="0042224F">
        <w:t xml:space="preserve">Licensee </w:t>
      </w:r>
      <w:r w:rsidRPr="0042224F">
        <w:t xml:space="preserve">was liable for a </w:t>
      </w:r>
      <w:r w:rsidR="00086A7F" w:rsidRPr="0042224F">
        <w:t xml:space="preserve">$13,000 </w:t>
      </w:r>
      <w:r w:rsidRPr="0042224F">
        <w:t xml:space="preserve">forfeiture for </w:t>
      </w:r>
      <w:r w:rsidR="00C260E8" w:rsidRPr="0042224F">
        <w:t xml:space="preserve">his </w:t>
      </w:r>
      <w:r w:rsidRPr="0042224F">
        <w:t>apparent willful and repeated violations of Section 73.3526(e)(11)(i</w:t>
      </w:r>
      <w:r w:rsidR="00E5212C" w:rsidRPr="0042224F">
        <w:t xml:space="preserve">ii) </w:t>
      </w:r>
      <w:r w:rsidR="0042224F">
        <w:t>of the Commission’s rules</w:t>
      </w:r>
      <w:r w:rsidR="000265C4">
        <w:rPr>
          <w:rStyle w:val="FootnoteReference"/>
          <w:szCs w:val="22"/>
        </w:rPr>
        <w:footnoteReference w:id="4"/>
      </w:r>
      <w:r w:rsidR="0042224F">
        <w:t xml:space="preserve"> </w:t>
      </w:r>
      <w:r w:rsidRPr="0042224F">
        <w:t xml:space="preserve">for </w:t>
      </w:r>
      <w:r w:rsidR="008470A9">
        <w:t>his</w:t>
      </w:r>
      <w:r w:rsidR="006542D8" w:rsidRPr="0042224F">
        <w:t xml:space="preserve"> </w:t>
      </w:r>
      <w:r w:rsidRPr="0042224F">
        <w:t xml:space="preserve">failure to </w:t>
      </w:r>
      <w:r w:rsidR="00E5212C" w:rsidRPr="0042224F">
        <w:t xml:space="preserve">prepare, place in </w:t>
      </w:r>
      <w:r w:rsidR="00C260E8" w:rsidRPr="0042224F">
        <w:t xml:space="preserve">the Station’s </w:t>
      </w:r>
      <w:r w:rsidR="00E5212C" w:rsidRPr="0042224F">
        <w:t xml:space="preserve">public file, and file electronically with the Commission the Station’s </w:t>
      </w:r>
      <w:r w:rsidRPr="0042224F">
        <w:t>Children’s Television Programming Reports</w:t>
      </w:r>
      <w:r w:rsidR="00E5212C" w:rsidRPr="0042224F">
        <w:t xml:space="preserve"> in a timely manner</w:t>
      </w:r>
      <w:r w:rsidRPr="0042224F">
        <w:t xml:space="preserve">. </w:t>
      </w:r>
      <w:r w:rsidR="006542D8" w:rsidRPr="0042224F">
        <w:t>The Licensee admits to having committed the violations, but takes issue with the amount of the forfeiture imposed against him by the Bureau.</w:t>
      </w:r>
      <w:r w:rsidR="006542D8" w:rsidRPr="0042224F">
        <w:rPr>
          <w:rStyle w:val="FootnoteReference"/>
          <w:szCs w:val="22"/>
        </w:rPr>
        <w:t xml:space="preserve"> </w:t>
      </w:r>
      <w:r w:rsidR="006542D8">
        <w:rPr>
          <w:rStyle w:val="FootnoteReference"/>
          <w:szCs w:val="22"/>
        </w:rPr>
        <w:footnoteReference w:id="5"/>
      </w:r>
    </w:p>
    <w:p w:rsidR="00A33AC8" w:rsidRPr="0042224F" w:rsidRDefault="006542D8" w:rsidP="00800673">
      <w:pPr>
        <w:pStyle w:val="ParaNum"/>
      </w:pPr>
      <w:r w:rsidRPr="0042224F">
        <w:t xml:space="preserve">In the AFR, the Licensee maintains that the Bureau’s imposition </w:t>
      </w:r>
      <w:r w:rsidR="000235C2" w:rsidRPr="0042224F">
        <w:t>of</w:t>
      </w:r>
      <w:r w:rsidRPr="0042224F">
        <w:t xml:space="preserve"> the forfeiture</w:t>
      </w:r>
      <w:r w:rsidR="008470A9">
        <w:t xml:space="preserve"> was</w:t>
      </w:r>
      <w:r w:rsidRPr="0042224F">
        <w:t>: (</w:t>
      </w:r>
      <w:r w:rsidR="009B1F2B" w:rsidRPr="0042224F">
        <w:t>a</w:t>
      </w:r>
      <w:r w:rsidRPr="0042224F">
        <w:t xml:space="preserve">) inconsistent with prior </w:t>
      </w:r>
      <w:r w:rsidR="00C260E8" w:rsidRPr="0042224F">
        <w:t xml:space="preserve">Commission </w:t>
      </w:r>
      <w:r w:rsidRPr="0042224F">
        <w:t xml:space="preserve">precedent, in violation of </w:t>
      </w:r>
      <w:r w:rsidRPr="0042224F">
        <w:rPr>
          <w:i/>
        </w:rPr>
        <w:t>Melody Music</w:t>
      </w:r>
      <w:r w:rsidR="000265C4">
        <w:rPr>
          <w:rStyle w:val="FootnoteReference"/>
          <w:i/>
          <w:szCs w:val="22"/>
        </w:rPr>
        <w:footnoteReference w:id="6"/>
      </w:r>
      <w:r w:rsidR="008470A9">
        <w:t xml:space="preserve"> and the Equal Protection C</w:t>
      </w:r>
      <w:r w:rsidRPr="0042224F">
        <w:t xml:space="preserve">lause of the </w:t>
      </w:r>
      <w:r w:rsidR="003E5DAE">
        <w:t xml:space="preserve">Fifth </w:t>
      </w:r>
      <w:r w:rsidR="00CD0CCC">
        <w:t>a</w:t>
      </w:r>
      <w:r w:rsidR="00CD0CCC" w:rsidRPr="00800673">
        <w:t>n</w:t>
      </w:r>
      <w:r w:rsidR="00CD0CCC">
        <w:t xml:space="preserve">d Fourteenth </w:t>
      </w:r>
      <w:r w:rsidR="003E5DAE">
        <w:t>Amendment</w:t>
      </w:r>
      <w:r w:rsidR="00CD0CCC">
        <w:t>s</w:t>
      </w:r>
      <w:r w:rsidR="003E5DAE">
        <w:t xml:space="preserve"> to the </w:t>
      </w:r>
      <w:r w:rsidRPr="0042224F">
        <w:t xml:space="preserve">U.S. Constitution; and (b) arbitrary and capricious, </w:t>
      </w:r>
      <w:r w:rsidR="00C260E8" w:rsidRPr="0042224F">
        <w:t xml:space="preserve">and accordingly </w:t>
      </w:r>
      <w:r w:rsidRPr="0042224F">
        <w:t>in v</w:t>
      </w:r>
      <w:r w:rsidR="009B1F2B" w:rsidRPr="0042224F">
        <w:t>i</w:t>
      </w:r>
      <w:r w:rsidRPr="0042224F">
        <w:t>olation of Section 706(2)(A) of the Administrative Procedure Act</w:t>
      </w:r>
      <w:r w:rsidR="000265C4">
        <w:t>.</w:t>
      </w:r>
      <w:r w:rsidR="000265C4">
        <w:rPr>
          <w:rStyle w:val="FootnoteReference"/>
          <w:szCs w:val="22"/>
        </w:rPr>
        <w:footnoteReference w:id="7"/>
      </w:r>
      <w:r w:rsidR="0042224F">
        <w:t xml:space="preserve"> </w:t>
      </w:r>
      <w:r w:rsidR="005E3693">
        <w:t xml:space="preserve"> He</w:t>
      </w:r>
      <w:r w:rsidR="0042224F" w:rsidRPr="0042224F">
        <w:t xml:space="preserve"> also argues, for the first time, that the Bureau’s action violated the Due Process Clause of the </w:t>
      </w:r>
      <w:r w:rsidR="003E5DAE">
        <w:t xml:space="preserve">Fifth Amendment </w:t>
      </w:r>
      <w:r w:rsidR="0042224F" w:rsidRPr="0042224F">
        <w:t xml:space="preserve">in that the Commission did not provide him </w:t>
      </w:r>
      <w:r w:rsidR="008470A9">
        <w:t>“</w:t>
      </w:r>
      <w:r w:rsidR="0042224F" w:rsidRPr="0042224F">
        <w:t>fair notice</w:t>
      </w:r>
      <w:r w:rsidR="008470A9">
        <w:t>”</w:t>
      </w:r>
      <w:r w:rsidR="0042224F" w:rsidRPr="0042224F">
        <w:t xml:space="preserve"> of the </w:t>
      </w:r>
      <w:r w:rsidR="0042224F" w:rsidRPr="002F6187">
        <w:rPr>
          <w:i/>
        </w:rPr>
        <w:t>amount</w:t>
      </w:r>
      <w:r w:rsidR="0042224F" w:rsidRPr="0042224F">
        <w:t xml:space="preserve"> of </w:t>
      </w:r>
      <w:r w:rsidR="0042224F">
        <w:t>the</w:t>
      </w:r>
      <w:r w:rsidR="0042224F" w:rsidRPr="0042224F">
        <w:t xml:space="preserve"> forfeiture for the violations of the rules that he acknowledges to have committed.</w:t>
      </w:r>
      <w:r w:rsidR="0042224F">
        <w:rPr>
          <w:rStyle w:val="FootnoteReference"/>
          <w:szCs w:val="22"/>
        </w:rPr>
        <w:footnoteReference w:id="8"/>
      </w:r>
      <w:r w:rsidR="0042224F" w:rsidRPr="0042224F">
        <w:t xml:space="preserve"> </w:t>
      </w:r>
      <w:r w:rsidR="008470A9">
        <w:t xml:space="preserve"> </w:t>
      </w:r>
      <w:r w:rsidR="00C4542E">
        <w:t>B</w:t>
      </w:r>
      <w:r w:rsidR="0042224F" w:rsidRPr="0042224F">
        <w:t xml:space="preserve">ecause he failed to </w:t>
      </w:r>
      <w:r w:rsidR="005E3693">
        <w:t>make</w:t>
      </w:r>
      <w:r w:rsidR="0042224F" w:rsidRPr="0042224F">
        <w:t xml:space="preserve"> </w:t>
      </w:r>
      <w:r w:rsidR="00C4542E">
        <w:t>t</w:t>
      </w:r>
      <w:r w:rsidR="0042224F" w:rsidRPr="0042224F">
        <w:t xml:space="preserve">his </w:t>
      </w:r>
      <w:r w:rsidR="008470A9">
        <w:t xml:space="preserve">notice </w:t>
      </w:r>
      <w:r w:rsidR="0042224F">
        <w:t>argument</w:t>
      </w:r>
      <w:r w:rsidR="005E3693">
        <w:t xml:space="preserve"> to the Bureau</w:t>
      </w:r>
      <w:r w:rsidR="0042224F" w:rsidRPr="0042224F">
        <w:t>,</w:t>
      </w:r>
      <w:r w:rsidR="00C4542E">
        <w:rPr>
          <w:rStyle w:val="FootnoteReference"/>
          <w:szCs w:val="22"/>
        </w:rPr>
        <w:footnoteReference w:id="9"/>
      </w:r>
      <w:r w:rsidR="0042224F" w:rsidRPr="0042224F">
        <w:t xml:space="preserve"> </w:t>
      </w:r>
      <w:r w:rsidR="005E3693">
        <w:t>it</w:t>
      </w:r>
      <w:r w:rsidR="0042224F" w:rsidRPr="0042224F">
        <w:t xml:space="preserve"> never had the opportunity to pass on that </w:t>
      </w:r>
      <w:r w:rsidR="0042224F">
        <w:t>contention</w:t>
      </w:r>
      <w:r w:rsidR="0042224F" w:rsidRPr="0042224F">
        <w:t xml:space="preserve">.  Accordingly, the Licensee may not </w:t>
      </w:r>
      <w:r w:rsidR="0042224F" w:rsidRPr="0042224F">
        <w:lastRenderedPageBreak/>
        <w:t xml:space="preserve">introduce it here. To the extent that the AFR contains this argument, we dismiss the AFR. </w:t>
      </w:r>
      <w:r w:rsidR="008470A9">
        <w:t xml:space="preserve"> </w:t>
      </w:r>
      <w:r w:rsidR="0042224F" w:rsidRPr="008470A9">
        <w:rPr>
          <w:i/>
        </w:rPr>
        <w:t>See</w:t>
      </w:r>
      <w:r w:rsidR="008470A9">
        <w:t xml:space="preserve"> 47 C.F.R. § 1.115(c</w:t>
      </w:r>
      <w:r w:rsidR="0042224F" w:rsidRPr="0042224F">
        <w:t>).</w:t>
      </w:r>
      <w:r w:rsidR="0042224F">
        <w:rPr>
          <w:rStyle w:val="FootnoteReference"/>
          <w:szCs w:val="22"/>
        </w:rPr>
        <w:footnoteReference w:id="10"/>
      </w:r>
      <w:r w:rsidR="0042224F" w:rsidRPr="0042224F">
        <w:t xml:space="preserve"> </w:t>
      </w:r>
    </w:p>
    <w:p w:rsidR="008208C0" w:rsidRDefault="00DE7381" w:rsidP="00800673">
      <w:pPr>
        <w:pStyle w:val="ParaNum"/>
      </w:pPr>
      <w:r w:rsidRPr="008208C0">
        <w:t xml:space="preserve">Upon consideration of the Application for Review and the entire record, we conclude that </w:t>
      </w:r>
      <w:r w:rsidR="006542D8">
        <w:t>the Licensee</w:t>
      </w:r>
      <w:r w:rsidR="00EE4FE5">
        <w:t xml:space="preserve"> </w:t>
      </w:r>
      <w:r w:rsidR="008208C0">
        <w:t>h</w:t>
      </w:r>
      <w:r w:rsidRPr="008208C0">
        <w:t xml:space="preserve">as not demonstrated that the Bureau erred.  The Bureau, in the </w:t>
      </w:r>
      <w:r w:rsidR="006542D8">
        <w:rPr>
          <w:i/>
        </w:rPr>
        <w:t>Memorandum Opinion and Order</w:t>
      </w:r>
      <w:r w:rsidRPr="008208C0">
        <w:t>, properly decided the matters raised, and we uphold its decision for the reasons stated therein.</w:t>
      </w:r>
    </w:p>
    <w:p w:rsidR="00DE7381" w:rsidRPr="00F11425" w:rsidRDefault="00DE7381" w:rsidP="00800673">
      <w:pPr>
        <w:pStyle w:val="ParaNum"/>
      </w:pPr>
      <w:r w:rsidRPr="008208C0">
        <w:t>ACCORDINGLY, IT IS ORDERED that, pursuant to Section 5(c)(5) of the Communications Act of 1934, as amended, 47 U.S.C. § 155(c)(5), and Section</w:t>
      </w:r>
      <w:r w:rsidR="002F6187">
        <w:t>s</w:t>
      </w:r>
      <w:r w:rsidRPr="008208C0">
        <w:t xml:space="preserve"> 1.115</w:t>
      </w:r>
      <w:r w:rsidR="002F6187">
        <w:t xml:space="preserve">(b) and </w:t>
      </w:r>
      <w:r w:rsidRPr="008208C0">
        <w:t>(</w:t>
      </w:r>
      <w:r w:rsidR="00425AF2">
        <w:t>c</w:t>
      </w:r>
      <w:r w:rsidRPr="008208C0">
        <w:t>)</w:t>
      </w:r>
      <w:r w:rsidR="008470A9">
        <w:t xml:space="preserve"> </w:t>
      </w:r>
      <w:r w:rsidRPr="008208C0">
        <w:t>of the</w:t>
      </w:r>
      <w:r w:rsidR="002F6187">
        <w:t xml:space="preserve"> Commission’s rules, 47 C.F.R. </w:t>
      </w:r>
      <w:r w:rsidR="008470A9" w:rsidRPr="008208C0">
        <w:t>§</w:t>
      </w:r>
      <w:r w:rsidR="002F6187" w:rsidRPr="008208C0">
        <w:t>§</w:t>
      </w:r>
      <w:r w:rsidRPr="008208C0">
        <w:t xml:space="preserve"> 1.115</w:t>
      </w:r>
      <w:r w:rsidR="002F6187">
        <w:t>(b),</w:t>
      </w:r>
      <w:r w:rsidRPr="008208C0">
        <w:t>(</w:t>
      </w:r>
      <w:r w:rsidR="00425AF2">
        <w:t>c</w:t>
      </w:r>
      <w:r w:rsidR="002F6187">
        <w:t>)</w:t>
      </w:r>
      <w:r w:rsidR="008470A9">
        <w:t>,</w:t>
      </w:r>
      <w:r w:rsidRPr="008208C0">
        <w:t xml:space="preserve"> </w:t>
      </w:r>
      <w:r w:rsidR="00425AF2">
        <w:t xml:space="preserve">to the extent noted in </w:t>
      </w:r>
      <w:r w:rsidR="008470A9">
        <w:t xml:space="preserve">paragraph 2 and </w:t>
      </w:r>
      <w:r w:rsidR="00425AF2">
        <w:t xml:space="preserve">footnote </w:t>
      </w:r>
      <w:r w:rsidR="008470A9">
        <w:t>8</w:t>
      </w:r>
      <w:r w:rsidR="00425AF2">
        <w:t xml:space="preserve">, </w:t>
      </w:r>
      <w:r w:rsidRPr="008208C0">
        <w:t xml:space="preserve">the Application for Review </w:t>
      </w:r>
      <w:r w:rsidR="00425AF2">
        <w:t xml:space="preserve">of Ernesto Bustos IS DISMISSED IN PART and, in all other respects, </w:t>
      </w:r>
      <w:r w:rsidR="00425AF2" w:rsidRPr="008208C0">
        <w:t>pursuant to Section 5(c)(5) of the Communications Act of 1934, as amended, 47 U.S.C. § 155(c)(5), and Section 1.115(</w:t>
      </w:r>
      <w:r w:rsidR="00425AF2">
        <w:t>g</w:t>
      </w:r>
      <w:r w:rsidR="00425AF2" w:rsidRPr="008208C0">
        <w:t>) of the Commission’s rules, 47 C.F.R. § 1.115(</w:t>
      </w:r>
      <w:r w:rsidR="00425AF2">
        <w:t>g</w:t>
      </w:r>
      <w:r w:rsidR="00425AF2" w:rsidRPr="008208C0">
        <w:t>),</w:t>
      </w:r>
      <w:r w:rsidR="00425AF2">
        <w:t xml:space="preserve"> </w:t>
      </w:r>
      <w:r w:rsidRPr="008208C0">
        <w:t xml:space="preserve">IS DENIED.  </w:t>
      </w:r>
    </w:p>
    <w:p w:rsidR="00F11425" w:rsidRDefault="00F11425" w:rsidP="0017296B">
      <w:r>
        <w:tab/>
      </w:r>
      <w:r>
        <w:tab/>
      </w:r>
      <w:r>
        <w:tab/>
      </w:r>
      <w:r>
        <w:tab/>
      </w:r>
      <w:r>
        <w:tab/>
      </w:r>
      <w:r>
        <w:tab/>
        <w:t>FEDERAL COMMUNICATIONS COMMISSION</w:t>
      </w:r>
    </w:p>
    <w:p w:rsidR="00F11425" w:rsidRDefault="00F11425" w:rsidP="0017296B"/>
    <w:p w:rsidR="00F11425" w:rsidRDefault="00F11425" w:rsidP="0017296B"/>
    <w:p w:rsidR="00F11425" w:rsidRDefault="00F11425" w:rsidP="0017296B"/>
    <w:p w:rsidR="00F11425" w:rsidRDefault="00F11425" w:rsidP="0017296B"/>
    <w:p w:rsidR="00F11425" w:rsidRDefault="00F11425" w:rsidP="0017296B">
      <w:r>
        <w:tab/>
      </w:r>
      <w:r>
        <w:tab/>
      </w:r>
      <w:r>
        <w:tab/>
      </w:r>
      <w:r>
        <w:tab/>
      </w:r>
      <w:r>
        <w:tab/>
      </w:r>
      <w:r>
        <w:tab/>
        <w:t>Marlene H. Dortch</w:t>
      </w:r>
    </w:p>
    <w:p w:rsidR="00F11425" w:rsidRDefault="00F11425" w:rsidP="0017296B">
      <w:r>
        <w:tab/>
      </w:r>
      <w:r>
        <w:tab/>
      </w:r>
      <w:r>
        <w:tab/>
      </w:r>
      <w:r>
        <w:tab/>
      </w:r>
      <w:r>
        <w:tab/>
      </w:r>
      <w:r>
        <w:tab/>
        <w:t>Secretary</w:t>
      </w:r>
    </w:p>
    <w:p w:rsidR="00F11425" w:rsidRPr="008208C0" w:rsidRDefault="00F11425" w:rsidP="00F11425">
      <w:pPr>
        <w:pStyle w:val="ParaNum"/>
        <w:widowControl/>
        <w:numPr>
          <w:ilvl w:val="0"/>
          <w:numId w:val="0"/>
        </w:numPr>
        <w:tabs>
          <w:tab w:val="num" w:pos="1440"/>
        </w:tabs>
      </w:pPr>
    </w:p>
    <w:sectPr w:rsidR="00F11425" w:rsidRPr="008208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DD" w:rsidRDefault="00CE3CDD">
      <w:r>
        <w:separator/>
      </w:r>
    </w:p>
  </w:endnote>
  <w:endnote w:type="continuationSeparator" w:id="0">
    <w:p w:rsidR="00CE3CDD" w:rsidRDefault="00CE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8" w:rsidRDefault="00364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70" w:rsidRDefault="00A10570">
    <w:pPr>
      <w:pStyle w:val="Footer"/>
      <w:jc w:val="center"/>
    </w:pPr>
    <w:r>
      <w:rPr>
        <w:rStyle w:val="PageNumber"/>
      </w:rPr>
      <w:fldChar w:fldCharType="begin"/>
    </w:r>
    <w:r>
      <w:rPr>
        <w:rStyle w:val="PageNumber"/>
      </w:rPr>
      <w:instrText xml:space="preserve"> PAGE </w:instrText>
    </w:r>
    <w:r>
      <w:rPr>
        <w:rStyle w:val="PageNumber"/>
      </w:rPr>
      <w:fldChar w:fldCharType="separate"/>
    </w:r>
    <w:r w:rsidR="0079393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8" w:rsidRDefault="0036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DD" w:rsidRDefault="00CE3CDD">
      <w:pPr>
        <w:rPr>
          <w:sz w:val="20"/>
        </w:rPr>
      </w:pPr>
      <w:r>
        <w:rPr>
          <w:sz w:val="20"/>
        </w:rPr>
        <w:separator/>
      </w:r>
    </w:p>
  </w:footnote>
  <w:footnote w:type="continuationSeparator" w:id="0">
    <w:p w:rsidR="00CE3CDD" w:rsidRDefault="00CE3CDD">
      <w:pPr>
        <w:rPr>
          <w:sz w:val="20"/>
        </w:rPr>
      </w:pPr>
      <w:r>
        <w:rPr>
          <w:sz w:val="20"/>
        </w:rPr>
        <w:t>(Continued from previous page)</w:t>
      </w:r>
      <w:r>
        <w:rPr>
          <w:sz w:val="20"/>
        </w:rPr>
        <w:separator/>
      </w:r>
    </w:p>
  </w:footnote>
  <w:footnote w:type="continuationNotice" w:id="1">
    <w:p w:rsidR="00CE3CDD" w:rsidRDefault="00CE3CDD">
      <w:pPr>
        <w:jc w:val="right"/>
        <w:rPr>
          <w:sz w:val="20"/>
        </w:rPr>
      </w:pPr>
      <w:r>
        <w:rPr>
          <w:sz w:val="20"/>
        </w:rPr>
        <w:t>(continued....)</w:t>
      </w:r>
    </w:p>
  </w:footnote>
  <w:footnote w:id="2">
    <w:p w:rsidR="00A10570" w:rsidRPr="00E5212C" w:rsidRDefault="00A10570" w:rsidP="00F11425">
      <w:pPr>
        <w:pStyle w:val="FootnoteText"/>
      </w:pPr>
      <w:r w:rsidRPr="00E5212C">
        <w:rPr>
          <w:rStyle w:val="FootnoteReference"/>
        </w:rPr>
        <w:footnoteRef/>
      </w:r>
      <w:r w:rsidRPr="00E5212C">
        <w:rPr>
          <w:i/>
        </w:rPr>
        <w:t>Ernesto Bustos</w:t>
      </w:r>
      <w:r w:rsidRPr="00E5212C">
        <w:t>, Memorandum Opinion and Order, DA 14-716 (Vid. Div. Jun. 18, 2014)) (“</w:t>
      </w:r>
      <w:r w:rsidRPr="00E5212C">
        <w:rPr>
          <w:i/>
        </w:rPr>
        <w:t>Memorandum Opinion</w:t>
      </w:r>
      <w:r>
        <w:rPr>
          <w:i/>
        </w:rPr>
        <w:t xml:space="preserve"> </w:t>
      </w:r>
      <w:r w:rsidRPr="00E5212C">
        <w:rPr>
          <w:i/>
        </w:rPr>
        <w:t>and Order</w:t>
      </w:r>
      <w:r w:rsidRPr="00E5212C">
        <w:t>”).</w:t>
      </w:r>
    </w:p>
  </w:footnote>
  <w:footnote w:id="3">
    <w:p w:rsidR="00A10570" w:rsidRPr="00E5212C" w:rsidRDefault="00A10570" w:rsidP="00EE4FE5">
      <w:pPr>
        <w:pStyle w:val="FootnoteText"/>
      </w:pPr>
      <w:r w:rsidRPr="00E5212C">
        <w:rPr>
          <w:rStyle w:val="FootnoteReference"/>
        </w:rPr>
        <w:footnoteRef/>
      </w:r>
      <w:r w:rsidRPr="00E5212C">
        <w:rPr>
          <w:i/>
        </w:rPr>
        <w:t xml:space="preserve"> Ernesto Bustos</w:t>
      </w:r>
      <w:r w:rsidRPr="00E5212C">
        <w:t>, Forfeiture Order, 29 FCC Rcd 1898 (Feb. 24, 2014) (“</w:t>
      </w:r>
      <w:r w:rsidRPr="00E5212C">
        <w:rPr>
          <w:i/>
        </w:rPr>
        <w:t>Forfeiture Order</w:t>
      </w:r>
      <w:r w:rsidRPr="00E5212C">
        <w:t>”).</w:t>
      </w:r>
    </w:p>
  </w:footnote>
  <w:footnote w:id="4">
    <w:p w:rsidR="000265C4" w:rsidRDefault="000265C4">
      <w:pPr>
        <w:pStyle w:val="FootnoteText"/>
      </w:pPr>
      <w:r>
        <w:rPr>
          <w:rStyle w:val="FootnoteReference"/>
        </w:rPr>
        <w:footnoteRef/>
      </w:r>
      <w:r>
        <w:t xml:space="preserve"> 47 C.F.R. § 73.3526(e)(11)(iii).</w:t>
      </w:r>
    </w:p>
  </w:footnote>
  <w:footnote w:id="5">
    <w:p w:rsidR="006542D8" w:rsidRDefault="006542D8" w:rsidP="006542D8">
      <w:pPr>
        <w:pStyle w:val="FootnoteText"/>
      </w:pPr>
      <w:r>
        <w:rPr>
          <w:rStyle w:val="FootnoteReference"/>
        </w:rPr>
        <w:footnoteRef/>
      </w:r>
      <w:r>
        <w:t xml:space="preserve"> Licensee Response to Letter of Inquiry (Apr. 6, 2012) at 3.</w:t>
      </w:r>
    </w:p>
  </w:footnote>
  <w:footnote w:id="6">
    <w:p w:rsidR="000265C4" w:rsidRDefault="000265C4">
      <w:pPr>
        <w:pStyle w:val="FootnoteText"/>
      </w:pPr>
      <w:r>
        <w:rPr>
          <w:rStyle w:val="FootnoteReference"/>
        </w:rPr>
        <w:footnoteRef/>
      </w:r>
      <w:r>
        <w:t xml:space="preserve"> </w:t>
      </w:r>
      <w:r w:rsidRPr="000265C4">
        <w:rPr>
          <w:i/>
        </w:rPr>
        <w:t>Melody Music v. FCC</w:t>
      </w:r>
      <w:r>
        <w:t>, 345 F.2d 730 (D.C. Cir. 1965).</w:t>
      </w:r>
    </w:p>
  </w:footnote>
  <w:footnote w:id="7">
    <w:p w:rsidR="000265C4" w:rsidRDefault="000265C4">
      <w:pPr>
        <w:pStyle w:val="FootnoteText"/>
      </w:pPr>
      <w:r>
        <w:rPr>
          <w:rStyle w:val="FootnoteReference"/>
        </w:rPr>
        <w:footnoteRef/>
      </w:r>
      <w:r>
        <w:t xml:space="preserve"> 5 U.S.C. § 706(2)(A).</w:t>
      </w:r>
    </w:p>
  </w:footnote>
  <w:footnote w:id="8">
    <w:p w:rsidR="0042224F" w:rsidRDefault="0042224F">
      <w:pPr>
        <w:pStyle w:val="FootnoteText"/>
      </w:pPr>
      <w:r>
        <w:rPr>
          <w:rStyle w:val="FootnoteReference"/>
        </w:rPr>
        <w:footnoteRef/>
      </w:r>
      <w:r>
        <w:t xml:space="preserve"> AFR at 9-11.</w:t>
      </w:r>
    </w:p>
  </w:footnote>
  <w:footnote w:id="9">
    <w:p w:rsidR="00C4542E" w:rsidRDefault="00C4542E" w:rsidP="00F11425">
      <w:pPr>
        <w:pStyle w:val="FootnoteText"/>
      </w:pPr>
      <w:r>
        <w:rPr>
          <w:rStyle w:val="FootnoteReference"/>
        </w:rPr>
        <w:footnoteRef/>
      </w:r>
      <w:r>
        <w:t xml:space="preserve"> The </w:t>
      </w:r>
      <w:r w:rsidRPr="008470A9">
        <w:t xml:space="preserve">Licensee did argue to the Bureau that it had failed to receive </w:t>
      </w:r>
      <w:r w:rsidR="008470A9">
        <w:t xml:space="preserve">“fair </w:t>
      </w:r>
      <w:r w:rsidRPr="008470A9">
        <w:t>notice</w:t>
      </w:r>
      <w:r w:rsidR="008470A9">
        <w:t>”</w:t>
      </w:r>
      <w:r w:rsidRPr="008470A9">
        <w:t xml:space="preserve"> that his late filing of the reports </w:t>
      </w:r>
      <w:r w:rsidR="002F6187">
        <w:t xml:space="preserve">(as distinguished from the failure to file them at all) </w:t>
      </w:r>
      <w:r w:rsidRPr="008470A9">
        <w:t xml:space="preserve">in question could subject him to a forfeiture, a contention which the Bureau rejected in paragraphs 16-17 of the </w:t>
      </w:r>
      <w:r w:rsidRPr="008470A9">
        <w:rPr>
          <w:i/>
        </w:rPr>
        <w:t>Forfeiture Order</w:t>
      </w:r>
      <w:r w:rsidRPr="008470A9">
        <w:t xml:space="preserve">, </w:t>
      </w:r>
      <w:r w:rsidR="008470A9">
        <w:t xml:space="preserve">and on reconsideration, </w:t>
      </w:r>
      <w:r w:rsidRPr="008470A9">
        <w:t>as noted in paragraph 10 of the Memorandum Opinion and Order</w:t>
      </w:r>
      <w:r w:rsidR="008470A9">
        <w:t xml:space="preserve">.  The Licensee does not further argue this point </w:t>
      </w:r>
      <w:r w:rsidRPr="008470A9">
        <w:t>in his AFR.</w:t>
      </w:r>
      <w:r w:rsidR="00A735BA" w:rsidRPr="008470A9">
        <w:t xml:space="preserve">  However, in the AFR, </w:t>
      </w:r>
      <w:r w:rsidR="008470A9">
        <w:t xml:space="preserve">in addition to framing the two issues </w:t>
      </w:r>
      <w:r w:rsidR="002F6187">
        <w:t>discussed in the text</w:t>
      </w:r>
      <w:r w:rsidR="008470A9">
        <w:t xml:space="preserve">, </w:t>
      </w:r>
      <w:r w:rsidR="00A735BA" w:rsidRPr="008470A9">
        <w:t xml:space="preserve">the Licensee “incorporates by reference all of the legal arguments made in both of his May 17, 2013 ‘Response’ to the Notice of Apparent Liability in this proceeding and the March 26, 2014 ‘Petition for Reconsideration’ of the ‘Forfeiture Order’ in this proceeding.” AFR at 3.  Section 1.115(b) of the rules requires that an application for review “shall concisely and plainly state the questions presented for review” and that the party seeking review </w:t>
      </w:r>
      <w:r w:rsidR="00ED7B36">
        <w:t xml:space="preserve">must </w:t>
      </w:r>
      <w:r w:rsidR="00A735BA" w:rsidRPr="008470A9">
        <w:t xml:space="preserve">“specify, with particularity,” </w:t>
      </w:r>
      <w:r w:rsidR="00C25803">
        <w:t>the grounds on which Commission consideration is warranted</w:t>
      </w:r>
      <w:r w:rsidR="00A735BA" w:rsidRPr="008470A9">
        <w:t xml:space="preserve">. 47 C.F.R. §§ 1.115(b).  Because the Licensee’s attempted incorporation by </w:t>
      </w:r>
      <w:r w:rsidR="00C25803">
        <w:t xml:space="preserve">reference of his many evolving arguments presented during the course of this proceeding and </w:t>
      </w:r>
      <w:r w:rsidR="00A735BA" w:rsidRPr="008470A9">
        <w:t xml:space="preserve">rejected by the Bureau fails to comply with these requirements, we dismiss </w:t>
      </w:r>
      <w:r w:rsidR="007D70E6" w:rsidRPr="008470A9">
        <w:t>the</w:t>
      </w:r>
      <w:r w:rsidR="00A735BA" w:rsidRPr="008470A9">
        <w:t xml:space="preserve"> AFR to the extent that it seeks </w:t>
      </w:r>
      <w:r w:rsidR="002F6187">
        <w:t>to incorporate by reference his arguments mad</w:t>
      </w:r>
      <w:r w:rsidR="0020689E">
        <w:t>e in previously filed pleadings</w:t>
      </w:r>
      <w:r w:rsidR="00A735BA" w:rsidRPr="008470A9">
        <w:t xml:space="preserve">. </w:t>
      </w:r>
      <w:r w:rsidR="00C25803" w:rsidRPr="00C25803">
        <w:rPr>
          <w:i/>
        </w:rPr>
        <w:t>Tama Radio Licenses of Tampa, Florida, Inc</w:t>
      </w:r>
      <w:r w:rsidR="00CD0CCC">
        <w:t>., Memorandum Opinion and O</w:t>
      </w:r>
      <w:r w:rsidR="00C25803">
        <w:t>rder, 25 FCC Rcd 7588 (2010) (“The Commission is not required to sift through an applicant’s prior pleadings to supply the reasoning that our rules require be provided in an application for review.”)</w:t>
      </w:r>
      <w:r w:rsidR="00323236">
        <w:t>.</w:t>
      </w:r>
    </w:p>
  </w:footnote>
  <w:footnote w:id="10">
    <w:p w:rsidR="0042224F" w:rsidRDefault="0042224F" w:rsidP="00F11425">
      <w:pPr>
        <w:pStyle w:val="FootnoteText"/>
      </w:pPr>
      <w:r>
        <w:rPr>
          <w:rStyle w:val="FootnoteReference"/>
        </w:rPr>
        <w:footnoteRef/>
      </w:r>
      <w:r>
        <w:t xml:space="preserve"> </w:t>
      </w:r>
      <w:r w:rsidRPr="008470A9">
        <w:t xml:space="preserve">As a separate and independent response to this argument, </w:t>
      </w:r>
      <w:r w:rsidR="007D70E6" w:rsidRPr="008470A9">
        <w:t xml:space="preserve">the Licensee </w:t>
      </w:r>
      <w:r w:rsidR="008470A9" w:rsidRPr="008470A9">
        <w:t>did receive</w:t>
      </w:r>
      <w:r w:rsidR="007D70E6" w:rsidRPr="008470A9">
        <w:t xml:space="preserve"> such notice</w:t>
      </w:r>
      <w:r w:rsidR="00C25803">
        <w:t xml:space="preserve"> regarding the possible forfeiture amount</w:t>
      </w:r>
      <w:r w:rsidR="007D70E6" w:rsidRPr="008470A9">
        <w:t xml:space="preserve">. As discussed at paragraph 7 of the Notice of Apparent Liability for Forfeiture, DA 13-779 (MB 2013) and paragraph 12 of the </w:t>
      </w:r>
      <w:r w:rsidR="007D70E6" w:rsidRPr="00FF5851">
        <w:rPr>
          <w:i/>
        </w:rPr>
        <w:t>Forfeiture Order</w:t>
      </w:r>
      <w:r w:rsidR="007D70E6" w:rsidRPr="008470A9">
        <w:t>,</w:t>
      </w:r>
      <w:r w:rsidR="007D70E6">
        <w:t xml:space="preserve"> </w:t>
      </w:r>
      <w:r w:rsidRPr="008470A9">
        <w:t xml:space="preserve">the Commission’s </w:t>
      </w:r>
      <w:r w:rsidRPr="00FF5851">
        <w:rPr>
          <w:i/>
        </w:rPr>
        <w:t>Forfeiture Policy Statement</w:t>
      </w:r>
      <w:r w:rsidRPr="008470A9">
        <w:t xml:space="preserve"> provides the base forfeiture amounts fo</w:t>
      </w:r>
      <w:r w:rsidR="007D70E6" w:rsidRPr="008470A9">
        <w:t>r the violation</w:t>
      </w:r>
      <w:r w:rsidR="00C25803">
        <w:t>s</w:t>
      </w:r>
      <w:r w:rsidRPr="008470A9">
        <w:t xml:space="preserve"> in question, as adjusted upward or downward by considering the factors in Section 503(b)(2)(E) of the Communications Act of 1934, as amended, 47 U.S.C. § 503(b)(2)(E), depending on the specific nature of the violations and violator at issue.  </w:t>
      </w:r>
      <w:r w:rsidRPr="00FF5851">
        <w:rPr>
          <w:i/>
        </w:rPr>
        <w:t>See Forfeiture Policy St</w:t>
      </w:r>
      <w:r w:rsidR="00E81F1B" w:rsidRPr="00FF5851">
        <w:rPr>
          <w:i/>
        </w:rPr>
        <w:t>atement and Amendment of Sectio</w:t>
      </w:r>
      <w:r w:rsidRPr="00FF5851">
        <w:rPr>
          <w:i/>
        </w:rPr>
        <w:t>n 1.80 of the Rules to Incorporate the Forfeiture Guidelines,</w:t>
      </w:r>
      <w:r w:rsidRPr="008470A9">
        <w:t xml:space="preserve"> </w:t>
      </w:r>
      <w:r w:rsidR="00C4542E" w:rsidRPr="008470A9">
        <w:t>Report and O</w:t>
      </w:r>
      <w:r w:rsidRPr="008470A9">
        <w:t xml:space="preserve">rder, 12 FCC Rcd 17087, 17113-15 (1997), </w:t>
      </w:r>
      <w:r w:rsidRPr="00FF5851">
        <w:rPr>
          <w:i/>
        </w:rPr>
        <w:t>recon. denied,</w:t>
      </w:r>
      <w:r w:rsidRPr="008470A9">
        <w:t xml:space="preserve"> 15 FCC Rcd 303 (1999); 47 C.F.R. § 1.80(b)(8), note to paragraph (b)</w:t>
      </w:r>
      <w:r w:rsidR="007D70E6" w:rsidRPr="008470A9">
        <w:t>(8), Section I</w:t>
      </w:r>
      <w:r w:rsidRPr="008470A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8" w:rsidRDefault="00364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70" w:rsidRDefault="00A10570">
    <w:pPr>
      <w:pStyle w:val="Header"/>
      <w:rPr>
        <w:b w:val="0"/>
      </w:rPr>
    </w:pPr>
    <w:r>
      <w:tab/>
      <w:t>Federal Communications Commission</w:t>
    </w:r>
    <w:r>
      <w:tab/>
      <w:t>FCC 14-</w:t>
    </w:r>
    <w:r w:rsidR="007E3DEF">
      <w:t>152</w:t>
    </w:r>
    <w:r>
      <w:t xml:space="preserve"> </w:t>
    </w:r>
  </w:p>
  <w:p w:rsidR="00A10570" w:rsidRDefault="00630F2B">
    <w:pPr>
      <w:pStyle w:val="Header"/>
    </w:pPr>
    <w:r>
      <w:rPr>
        <w:noProof/>
      </w:rPr>
      <mc:AlternateContent>
        <mc:Choice Requires="wps">
          <w:drawing>
            <wp:anchor distT="0" distB="0" distL="114300" distR="114300" simplePos="0" relativeHeight="251658240" behindDoc="0" locked="0" layoutInCell="0" allowOverlap="1" wp14:anchorId="3BA7C7D2" wp14:editId="2EA9954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70" w:rsidRDefault="00A10570">
    <w:pPr>
      <w:pStyle w:val="Header"/>
      <w:rPr>
        <w:b w:val="0"/>
      </w:rPr>
    </w:pPr>
    <w:r>
      <w:tab/>
      <w:t>Federal Communications Commission</w:t>
    </w:r>
    <w:r>
      <w:tab/>
      <w:t>FC</w:t>
    </w:r>
    <w:r w:rsidR="007E3DEF">
      <w:t>C 14-152</w:t>
    </w:r>
    <w:r>
      <w:t xml:space="preserve"> </w:t>
    </w:r>
  </w:p>
  <w:p w:rsidR="00A10570" w:rsidRDefault="00630F2B">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B5DFB"/>
    <w:multiLevelType w:val="hybridMultilevel"/>
    <w:tmpl w:val="56E89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65077E"/>
    <w:multiLevelType w:val="hybridMultilevel"/>
    <w:tmpl w:val="218E9628"/>
    <w:lvl w:ilvl="0" w:tplc="58A06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5DE02589"/>
    <w:multiLevelType w:val="hybridMultilevel"/>
    <w:tmpl w:val="C56A2418"/>
    <w:lvl w:ilvl="0" w:tplc="A7CE26C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5"/>
  </w:num>
  <w:num w:numId="2">
    <w:abstractNumId w:val="38"/>
  </w:num>
  <w:num w:numId="3">
    <w:abstractNumId w:val="6"/>
  </w:num>
  <w:num w:numId="4">
    <w:abstractNumId w:val="29"/>
  </w:num>
  <w:num w:numId="5">
    <w:abstractNumId w:val="11"/>
  </w:num>
  <w:num w:numId="6">
    <w:abstractNumId w:val="32"/>
  </w:num>
  <w:num w:numId="7">
    <w:abstractNumId w:val="23"/>
  </w:num>
  <w:num w:numId="8">
    <w:abstractNumId w:val="12"/>
  </w:num>
  <w:num w:numId="9">
    <w:abstractNumId w:val="31"/>
  </w:num>
  <w:num w:numId="10">
    <w:abstractNumId w:val="19"/>
  </w:num>
  <w:num w:numId="11">
    <w:abstractNumId w:val="17"/>
  </w:num>
  <w:num w:numId="12">
    <w:abstractNumId w:val="13"/>
  </w:num>
  <w:num w:numId="13">
    <w:abstractNumId w:val="20"/>
  </w:num>
  <w:num w:numId="14">
    <w:abstractNumId w:val="30"/>
  </w:num>
  <w:num w:numId="15">
    <w:abstractNumId w:val="4"/>
  </w:num>
  <w:num w:numId="16">
    <w:abstractNumId w:val="5"/>
  </w:num>
  <w:num w:numId="17">
    <w:abstractNumId w:val="15"/>
  </w:num>
  <w:num w:numId="18">
    <w:abstractNumId w:val="1"/>
  </w:num>
  <w:num w:numId="19">
    <w:abstractNumId w:val="16"/>
  </w:num>
  <w:num w:numId="20">
    <w:abstractNumId w:val="24"/>
  </w:num>
  <w:num w:numId="21">
    <w:abstractNumId w:val="28"/>
  </w:num>
  <w:num w:numId="22">
    <w:abstractNumId w:val="21"/>
  </w:num>
  <w:num w:numId="23">
    <w:abstractNumId w:val="27"/>
  </w:num>
  <w:num w:numId="24">
    <w:abstractNumId w:val="36"/>
  </w:num>
  <w:num w:numId="25">
    <w:abstractNumId w:val="36"/>
  </w:num>
  <w:num w:numId="26">
    <w:abstractNumId w:val="26"/>
  </w:num>
  <w:num w:numId="27">
    <w:abstractNumId w:val="2"/>
  </w:num>
  <w:num w:numId="28">
    <w:abstractNumId w:val="14"/>
  </w:num>
  <w:num w:numId="29">
    <w:abstractNumId w:val="18"/>
  </w:num>
  <w:num w:numId="30">
    <w:abstractNumId w:val="37"/>
  </w:num>
  <w:num w:numId="31">
    <w:abstractNumId w:val="22"/>
  </w:num>
  <w:num w:numId="32">
    <w:abstractNumId w:val="34"/>
  </w:num>
  <w:num w:numId="33">
    <w:abstractNumId w:val="33"/>
  </w:num>
  <w:num w:numId="34">
    <w:abstractNumId w:val="3"/>
  </w:num>
  <w:num w:numId="35">
    <w:abstractNumId w:val="7"/>
  </w:num>
  <w:num w:numId="36">
    <w:abstractNumId w:val="34"/>
    <w:lvlOverride w:ilvl="0">
      <w:startOverride w:val="1"/>
    </w:lvlOverride>
  </w:num>
  <w:num w:numId="37">
    <w:abstractNumId w:val="8"/>
  </w:num>
  <w:num w:numId="38">
    <w:abstractNumId w:val="10"/>
  </w:num>
  <w:num w:numId="39">
    <w:abstractNumId w:val="25"/>
  </w:num>
  <w:num w:numId="40">
    <w:abstractNumId w:val="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012166"/>
    <w:rsid w:val="0001232C"/>
    <w:rsid w:val="000235C2"/>
    <w:rsid w:val="00023C31"/>
    <w:rsid w:val="000265C4"/>
    <w:rsid w:val="00032D30"/>
    <w:rsid w:val="00034D26"/>
    <w:rsid w:val="00042144"/>
    <w:rsid w:val="000722BB"/>
    <w:rsid w:val="00076858"/>
    <w:rsid w:val="00081114"/>
    <w:rsid w:val="000845B8"/>
    <w:rsid w:val="000862E8"/>
    <w:rsid w:val="00086A7F"/>
    <w:rsid w:val="00096BAD"/>
    <w:rsid w:val="000A05BC"/>
    <w:rsid w:val="000B2F80"/>
    <w:rsid w:val="000D7449"/>
    <w:rsid w:val="000F059E"/>
    <w:rsid w:val="00131F0A"/>
    <w:rsid w:val="0013704D"/>
    <w:rsid w:val="00142033"/>
    <w:rsid w:val="00142BE0"/>
    <w:rsid w:val="00143AC6"/>
    <w:rsid w:val="001443A2"/>
    <w:rsid w:val="00146D26"/>
    <w:rsid w:val="00150B06"/>
    <w:rsid w:val="00151B29"/>
    <w:rsid w:val="0017139F"/>
    <w:rsid w:val="00176626"/>
    <w:rsid w:val="00177996"/>
    <w:rsid w:val="00180706"/>
    <w:rsid w:val="00183E56"/>
    <w:rsid w:val="00190620"/>
    <w:rsid w:val="001952BC"/>
    <w:rsid w:val="001953E8"/>
    <w:rsid w:val="00197A74"/>
    <w:rsid w:val="001B0873"/>
    <w:rsid w:val="001B34F7"/>
    <w:rsid w:val="001B4EFF"/>
    <w:rsid w:val="001C234A"/>
    <w:rsid w:val="001C79AE"/>
    <w:rsid w:val="001D2F3C"/>
    <w:rsid w:val="001E1A56"/>
    <w:rsid w:val="001F4FBA"/>
    <w:rsid w:val="001F690F"/>
    <w:rsid w:val="00205780"/>
    <w:rsid w:val="0020689E"/>
    <w:rsid w:val="00210B23"/>
    <w:rsid w:val="00230E70"/>
    <w:rsid w:val="00235622"/>
    <w:rsid w:val="00244355"/>
    <w:rsid w:val="00250B39"/>
    <w:rsid w:val="00254D0D"/>
    <w:rsid w:val="00263CC5"/>
    <w:rsid w:val="00265F82"/>
    <w:rsid w:val="002679E1"/>
    <w:rsid w:val="00270ECF"/>
    <w:rsid w:val="00281BDE"/>
    <w:rsid w:val="0028497B"/>
    <w:rsid w:val="00286348"/>
    <w:rsid w:val="00286671"/>
    <w:rsid w:val="00292F10"/>
    <w:rsid w:val="002A089A"/>
    <w:rsid w:val="002A197B"/>
    <w:rsid w:val="002A35B4"/>
    <w:rsid w:val="002A668D"/>
    <w:rsid w:val="002E0053"/>
    <w:rsid w:val="002F6187"/>
    <w:rsid w:val="00303022"/>
    <w:rsid w:val="00323236"/>
    <w:rsid w:val="00340731"/>
    <w:rsid w:val="00350132"/>
    <w:rsid w:val="00363228"/>
    <w:rsid w:val="00364D48"/>
    <w:rsid w:val="00377543"/>
    <w:rsid w:val="00384A25"/>
    <w:rsid w:val="00385A77"/>
    <w:rsid w:val="00392799"/>
    <w:rsid w:val="003A15B3"/>
    <w:rsid w:val="003A57BB"/>
    <w:rsid w:val="003B2324"/>
    <w:rsid w:val="003C2E36"/>
    <w:rsid w:val="003D7F0E"/>
    <w:rsid w:val="003E01B8"/>
    <w:rsid w:val="003E5DAE"/>
    <w:rsid w:val="003F0B86"/>
    <w:rsid w:val="003F23F5"/>
    <w:rsid w:val="003F4E68"/>
    <w:rsid w:val="00416D9B"/>
    <w:rsid w:val="0042224F"/>
    <w:rsid w:val="00423679"/>
    <w:rsid w:val="00425AF2"/>
    <w:rsid w:val="00425D5A"/>
    <w:rsid w:val="004516FB"/>
    <w:rsid w:val="00452CE6"/>
    <w:rsid w:val="004620FA"/>
    <w:rsid w:val="00464000"/>
    <w:rsid w:val="00475CBF"/>
    <w:rsid w:val="00480739"/>
    <w:rsid w:val="004A78E5"/>
    <w:rsid w:val="004D3C1B"/>
    <w:rsid w:val="004D545B"/>
    <w:rsid w:val="004D5AB7"/>
    <w:rsid w:val="004E6FCC"/>
    <w:rsid w:val="004F3CCB"/>
    <w:rsid w:val="00501A5E"/>
    <w:rsid w:val="005068BB"/>
    <w:rsid w:val="00514F3F"/>
    <w:rsid w:val="0053717F"/>
    <w:rsid w:val="005419DF"/>
    <w:rsid w:val="005618F5"/>
    <w:rsid w:val="00564800"/>
    <w:rsid w:val="0057092C"/>
    <w:rsid w:val="005A1787"/>
    <w:rsid w:val="005A199D"/>
    <w:rsid w:val="005A4BCB"/>
    <w:rsid w:val="005B5730"/>
    <w:rsid w:val="005D4DA2"/>
    <w:rsid w:val="005E3693"/>
    <w:rsid w:val="005F750F"/>
    <w:rsid w:val="0060077B"/>
    <w:rsid w:val="00625E13"/>
    <w:rsid w:val="006261A2"/>
    <w:rsid w:val="00630DB6"/>
    <w:rsid w:val="00630F2B"/>
    <w:rsid w:val="006542D8"/>
    <w:rsid w:val="00675D03"/>
    <w:rsid w:val="00685C04"/>
    <w:rsid w:val="00694DE0"/>
    <w:rsid w:val="006B032C"/>
    <w:rsid w:val="006B27B5"/>
    <w:rsid w:val="006C0DFF"/>
    <w:rsid w:val="006D485D"/>
    <w:rsid w:val="00706F53"/>
    <w:rsid w:val="00715657"/>
    <w:rsid w:val="00722209"/>
    <w:rsid w:val="00734DD0"/>
    <w:rsid w:val="00744A50"/>
    <w:rsid w:val="0075618E"/>
    <w:rsid w:val="0078291D"/>
    <w:rsid w:val="00793934"/>
    <w:rsid w:val="007A6056"/>
    <w:rsid w:val="007A6B70"/>
    <w:rsid w:val="007B407C"/>
    <w:rsid w:val="007D70E6"/>
    <w:rsid w:val="007E3DEF"/>
    <w:rsid w:val="007E6F77"/>
    <w:rsid w:val="007F6E01"/>
    <w:rsid w:val="00800673"/>
    <w:rsid w:val="008030A6"/>
    <w:rsid w:val="00807C2C"/>
    <w:rsid w:val="00817A15"/>
    <w:rsid w:val="008208C0"/>
    <w:rsid w:val="008237E3"/>
    <w:rsid w:val="00830216"/>
    <w:rsid w:val="008313FE"/>
    <w:rsid w:val="008470A9"/>
    <w:rsid w:val="00847AF4"/>
    <w:rsid w:val="00851D8F"/>
    <w:rsid w:val="008568C3"/>
    <w:rsid w:val="00857094"/>
    <w:rsid w:val="00872C26"/>
    <w:rsid w:val="008869A7"/>
    <w:rsid w:val="00894DED"/>
    <w:rsid w:val="00895ACF"/>
    <w:rsid w:val="00895BC8"/>
    <w:rsid w:val="008B69B4"/>
    <w:rsid w:val="008B7B47"/>
    <w:rsid w:val="008D30D0"/>
    <w:rsid w:val="008D43B0"/>
    <w:rsid w:val="008D4B2E"/>
    <w:rsid w:val="008F37D8"/>
    <w:rsid w:val="00905BA5"/>
    <w:rsid w:val="00913EE4"/>
    <w:rsid w:val="00913F72"/>
    <w:rsid w:val="00932DDB"/>
    <w:rsid w:val="009354A1"/>
    <w:rsid w:val="00937F1D"/>
    <w:rsid w:val="009520E1"/>
    <w:rsid w:val="00954E3C"/>
    <w:rsid w:val="00961688"/>
    <w:rsid w:val="009702C1"/>
    <w:rsid w:val="00972704"/>
    <w:rsid w:val="00973AF4"/>
    <w:rsid w:val="00985AC2"/>
    <w:rsid w:val="0098632D"/>
    <w:rsid w:val="00991966"/>
    <w:rsid w:val="009A3F01"/>
    <w:rsid w:val="009B1F2B"/>
    <w:rsid w:val="009C3D4D"/>
    <w:rsid w:val="009D06B1"/>
    <w:rsid w:val="009D1E6C"/>
    <w:rsid w:val="009E3330"/>
    <w:rsid w:val="009F3ED1"/>
    <w:rsid w:val="009F5FE8"/>
    <w:rsid w:val="00A077F8"/>
    <w:rsid w:val="00A07D02"/>
    <w:rsid w:val="00A10570"/>
    <w:rsid w:val="00A33AC8"/>
    <w:rsid w:val="00A41F8F"/>
    <w:rsid w:val="00A433A6"/>
    <w:rsid w:val="00A735BA"/>
    <w:rsid w:val="00A742F9"/>
    <w:rsid w:val="00A75A3E"/>
    <w:rsid w:val="00A77537"/>
    <w:rsid w:val="00A80E1F"/>
    <w:rsid w:val="00A81CC7"/>
    <w:rsid w:val="00A97BB9"/>
    <w:rsid w:val="00AA1E4C"/>
    <w:rsid w:val="00AB0974"/>
    <w:rsid w:val="00AC20AB"/>
    <w:rsid w:val="00AC4FDF"/>
    <w:rsid w:val="00AD3620"/>
    <w:rsid w:val="00AF0992"/>
    <w:rsid w:val="00B074C8"/>
    <w:rsid w:val="00B1333A"/>
    <w:rsid w:val="00B13426"/>
    <w:rsid w:val="00B21E3A"/>
    <w:rsid w:val="00B26C88"/>
    <w:rsid w:val="00B35AA3"/>
    <w:rsid w:val="00B36521"/>
    <w:rsid w:val="00B604C9"/>
    <w:rsid w:val="00B65342"/>
    <w:rsid w:val="00B90CBD"/>
    <w:rsid w:val="00BB5D23"/>
    <w:rsid w:val="00BC22E5"/>
    <w:rsid w:val="00BD07F3"/>
    <w:rsid w:val="00BE1A17"/>
    <w:rsid w:val="00C22703"/>
    <w:rsid w:val="00C25803"/>
    <w:rsid w:val="00C260E8"/>
    <w:rsid w:val="00C27AE7"/>
    <w:rsid w:val="00C34327"/>
    <w:rsid w:val="00C443D2"/>
    <w:rsid w:val="00C4542E"/>
    <w:rsid w:val="00C456C9"/>
    <w:rsid w:val="00C637D4"/>
    <w:rsid w:val="00C675F3"/>
    <w:rsid w:val="00C75C57"/>
    <w:rsid w:val="00C920A3"/>
    <w:rsid w:val="00C92A2B"/>
    <w:rsid w:val="00C949CB"/>
    <w:rsid w:val="00CB547D"/>
    <w:rsid w:val="00CD0CCC"/>
    <w:rsid w:val="00CE29AF"/>
    <w:rsid w:val="00CE3CDD"/>
    <w:rsid w:val="00CF282B"/>
    <w:rsid w:val="00CF5A75"/>
    <w:rsid w:val="00D41B89"/>
    <w:rsid w:val="00D421C7"/>
    <w:rsid w:val="00D45417"/>
    <w:rsid w:val="00D50CE1"/>
    <w:rsid w:val="00D74056"/>
    <w:rsid w:val="00D76529"/>
    <w:rsid w:val="00D7693A"/>
    <w:rsid w:val="00DA7212"/>
    <w:rsid w:val="00DB2EBF"/>
    <w:rsid w:val="00DB51FF"/>
    <w:rsid w:val="00DC0A9E"/>
    <w:rsid w:val="00DC1A1B"/>
    <w:rsid w:val="00DC40B4"/>
    <w:rsid w:val="00DD377A"/>
    <w:rsid w:val="00DD434A"/>
    <w:rsid w:val="00DD7DEC"/>
    <w:rsid w:val="00DE7381"/>
    <w:rsid w:val="00E000D9"/>
    <w:rsid w:val="00E44A4B"/>
    <w:rsid w:val="00E46F5D"/>
    <w:rsid w:val="00E5212C"/>
    <w:rsid w:val="00E57DE6"/>
    <w:rsid w:val="00E67855"/>
    <w:rsid w:val="00E73BBA"/>
    <w:rsid w:val="00E80339"/>
    <w:rsid w:val="00E8096C"/>
    <w:rsid w:val="00E81F1B"/>
    <w:rsid w:val="00E85821"/>
    <w:rsid w:val="00E874EF"/>
    <w:rsid w:val="00EA2C49"/>
    <w:rsid w:val="00EA3325"/>
    <w:rsid w:val="00EA54F1"/>
    <w:rsid w:val="00EB3C27"/>
    <w:rsid w:val="00EC0E53"/>
    <w:rsid w:val="00EC12E4"/>
    <w:rsid w:val="00ED5430"/>
    <w:rsid w:val="00ED5E0B"/>
    <w:rsid w:val="00ED7B36"/>
    <w:rsid w:val="00EE0E69"/>
    <w:rsid w:val="00EE4FE5"/>
    <w:rsid w:val="00EE76EE"/>
    <w:rsid w:val="00EF7D54"/>
    <w:rsid w:val="00F10443"/>
    <w:rsid w:val="00F11425"/>
    <w:rsid w:val="00F12F7A"/>
    <w:rsid w:val="00F3424C"/>
    <w:rsid w:val="00F4001B"/>
    <w:rsid w:val="00F927EC"/>
    <w:rsid w:val="00FA73AF"/>
    <w:rsid w:val="00FB798C"/>
    <w:rsid w:val="00FD3D4F"/>
    <w:rsid w:val="00FE064B"/>
    <w:rsid w:val="00FE4A07"/>
    <w:rsid w:val="00FF1B8A"/>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34"/>
    <w:pPr>
      <w:widowControl w:val="0"/>
    </w:pPr>
    <w:rPr>
      <w:snapToGrid w:val="0"/>
      <w:kern w:val="28"/>
      <w:sz w:val="22"/>
    </w:rPr>
  </w:style>
  <w:style w:type="paragraph" w:styleId="Heading1">
    <w:name w:val="heading 1"/>
    <w:basedOn w:val="Normal"/>
    <w:next w:val="ParaNum"/>
    <w:qFormat/>
    <w:rsid w:val="00793934"/>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3934"/>
    <w:pPr>
      <w:keepNext/>
      <w:numPr>
        <w:ilvl w:val="1"/>
        <w:numId w:val="38"/>
      </w:numPr>
      <w:spacing w:after="120"/>
      <w:outlineLvl w:val="1"/>
    </w:pPr>
    <w:rPr>
      <w:b/>
    </w:rPr>
  </w:style>
  <w:style w:type="paragraph" w:styleId="Heading3">
    <w:name w:val="heading 3"/>
    <w:basedOn w:val="Normal"/>
    <w:next w:val="ParaNum"/>
    <w:qFormat/>
    <w:rsid w:val="00793934"/>
    <w:pPr>
      <w:keepNext/>
      <w:numPr>
        <w:ilvl w:val="2"/>
        <w:numId w:val="38"/>
      </w:numPr>
      <w:tabs>
        <w:tab w:val="left" w:pos="2160"/>
      </w:tabs>
      <w:spacing w:after="120"/>
      <w:outlineLvl w:val="2"/>
    </w:pPr>
    <w:rPr>
      <w:b/>
    </w:rPr>
  </w:style>
  <w:style w:type="paragraph" w:styleId="Heading4">
    <w:name w:val="heading 4"/>
    <w:basedOn w:val="Normal"/>
    <w:next w:val="ParaNum"/>
    <w:qFormat/>
    <w:rsid w:val="00793934"/>
    <w:pPr>
      <w:keepNext/>
      <w:numPr>
        <w:ilvl w:val="3"/>
        <w:numId w:val="38"/>
      </w:numPr>
      <w:tabs>
        <w:tab w:val="left" w:pos="2880"/>
      </w:tabs>
      <w:spacing w:after="120"/>
      <w:outlineLvl w:val="3"/>
    </w:pPr>
    <w:rPr>
      <w:b/>
    </w:rPr>
  </w:style>
  <w:style w:type="paragraph" w:styleId="Heading5">
    <w:name w:val="heading 5"/>
    <w:basedOn w:val="Normal"/>
    <w:next w:val="ParaNum"/>
    <w:qFormat/>
    <w:rsid w:val="00793934"/>
    <w:pPr>
      <w:keepNext/>
      <w:numPr>
        <w:ilvl w:val="4"/>
        <w:numId w:val="38"/>
      </w:numPr>
      <w:tabs>
        <w:tab w:val="left" w:pos="3600"/>
      </w:tabs>
      <w:suppressAutoHyphens/>
      <w:spacing w:after="120"/>
      <w:outlineLvl w:val="4"/>
    </w:pPr>
    <w:rPr>
      <w:b/>
    </w:rPr>
  </w:style>
  <w:style w:type="paragraph" w:styleId="Heading6">
    <w:name w:val="heading 6"/>
    <w:basedOn w:val="Normal"/>
    <w:next w:val="ParaNum"/>
    <w:qFormat/>
    <w:rsid w:val="00793934"/>
    <w:pPr>
      <w:numPr>
        <w:ilvl w:val="5"/>
        <w:numId w:val="38"/>
      </w:numPr>
      <w:tabs>
        <w:tab w:val="left" w:pos="4320"/>
      </w:tabs>
      <w:spacing w:after="120"/>
      <w:outlineLvl w:val="5"/>
    </w:pPr>
    <w:rPr>
      <w:b/>
    </w:rPr>
  </w:style>
  <w:style w:type="paragraph" w:styleId="Heading7">
    <w:name w:val="heading 7"/>
    <w:basedOn w:val="Normal"/>
    <w:next w:val="ParaNum"/>
    <w:qFormat/>
    <w:rsid w:val="00793934"/>
    <w:pPr>
      <w:numPr>
        <w:ilvl w:val="6"/>
        <w:numId w:val="38"/>
      </w:numPr>
      <w:tabs>
        <w:tab w:val="left" w:pos="5040"/>
      </w:tabs>
      <w:spacing w:after="120"/>
      <w:ind w:left="5040" w:hanging="720"/>
      <w:outlineLvl w:val="6"/>
    </w:pPr>
    <w:rPr>
      <w:b/>
    </w:rPr>
  </w:style>
  <w:style w:type="paragraph" w:styleId="Heading8">
    <w:name w:val="heading 8"/>
    <w:basedOn w:val="Normal"/>
    <w:next w:val="ParaNum"/>
    <w:qFormat/>
    <w:rsid w:val="00793934"/>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qFormat/>
    <w:rsid w:val="00793934"/>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3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93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793934"/>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793934"/>
    <w:pPr>
      <w:spacing w:after="120"/>
    </w:pPr>
  </w:style>
  <w:style w:type="paragraph" w:customStyle="1" w:styleId="Bullet">
    <w:name w:val="Bullet"/>
    <w:basedOn w:val="Normal"/>
    <w:rsid w:val="00793934"/>
    <w:pPr>
      <w:tabs>
        <w:tab w:val="left" w:pos="2160"/>
      </w:tabs>
      <w:spacing w:after="220"/>
      <w:ind w:left="2160" w:hanging="720"/>
    </w:pPr>
  </w:style>
  <w:style w:type="paragraph" w:styleId="BlockText">
    <w:name w:val="Block Text"/>
    <w:basedOn w:val="Normal"/>
    <w:rsid w:val="00793934"/>
    <w:pPr>
      <w:spacing w:after="240"/>
      <w:ind w:left="1440" w:right="1440"/>
    </w:pPr>
  </w:style>
  <w:style w:type="paragraph" w:customStyle="1" w:styleId="TableFormat">
    <w:name w:val="TableFormat"/>
    <w:basedOn w:val="Bullet"/>
    <w:rsid w:val="00793934"/>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793934"/>
    <w:rPr>
      <w:rFonts w:ascii="Times New Roman" w:hAnsi="Times New Roman"/>
      <w:dstrike w:val="0"/>
      <w:color w:val="auto"/>
      <w:sz w:val="20"/>
      <w:vertAlign w:val="superscript"/>
    </w:rPr>
  </w:style>
  <w:style w:type="paragraph" w:styleId="Header">
    <w:name w:val="header"/>
    <w:basedOn w:val="Normal"/>
    <w:autoRedefine/>
    <w:rsid w:val="00793934"/>
    <w:pPr>
      <w:tabs>
        <w:tab w:val="center" w:pos="4680"/>
        <w:tab w:val="right" w:pos="9360"/>
      </w:tabs>
    </w:pPr>
    <w:rPr>
      <w:b/>
    </w:rPr>
  </w:style>
  <w:style w:type="paragraph" w:styleId="Footer">
    <w:name w:val="footer"/>
    <w:basedOn w:val="Normal"/>
    <w:rsid w:val="00793934"/>
    <w:pPr>
      <w:tabs>
        <w:tab w:val="center" w:pos="4320"/>
        <w:tab w:val="right" w:pos="8640"/>
      </w:tabs>
    </w:pPr>
  </w:style>
  <w:style w:type="paragraph" w:styleId="TOC2">
    <w:name w:val="toc 2"/>
    <w:basedOn w:val="Normal"/>
    <w:next w:val="Normal"/>
    <w:semiHidden/>
    <w:rsid w:val="0079393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79393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939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9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9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9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9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9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934"/>
    <w:pPr>
      <w:tabs>
        <w:tab w:val="left" w:pos="3240"/>
        <w:tab w:val="right" w:leader="dot" w:pos="9360"/>
      </w:tabs>
      <w:suppressAutoHyphens/>
      <w:ind w:left="3240" w:hanging="360"/>
    </w:pPr>
    <w:rPr>
      <w:noProof/>
    </w:rPr>
  </w:style>
  <w:style w:type="character" w:styleId="PageNumber">
    <w:name w:val="page number"/>
    <w:basedOn w:val="DefaultParagraphFont"/>
    <w:rsid w:val="00793934"/>
  </w:style>
  <w:style w:type="paragraph" w:styleId="Title">
    <w:name w:val="Title"/>
    <w:basedOn w:val="Normal"/>
    <w:qFormat/>
    <w:pPr>
      <w:jc w:val="center"/>
    </w:pPr>
    <w:rPr>
      <w:b/>
    </w:rPr>
  </w:style>
  <w:style w:type="character" w:styleId="Hyperlink">
    <w:name w:val="Hyperlink"/>
    <w:rsid w:val="00793934"/>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793934"/>
    <w:rPr>
      <w:sz w:val="20"/>
    </w:rPr>
  </w:style>
  <w:style w:type="character" w:customStyle="1" w:styleId="EndnoteTextChar">
    <w:name w:val="Endnote Text Char"/>
    <w:basedOn w:val="DefaultParagraphFont"/>
    <w:link w:val="EndnoteText"/>
    <w:rsid w:val="007F6E01"/>
    <w:rPr>
      <w:snapToGrid w:val="0"/>
      <w:kern w:val="28"/>
    </w:rPr>
  </w:style>
  <w:style w:type="character" w:styleId="EndnoteReference">
    <w:name w:val="endnote reference"/>
    <w:rsid w:val="00793934"/>
    <w:rPr>
      <w:vertAlign w:val="superscript"/>
    </w:rPr>
  </w:style>
  <w:style w:type="paragraph" w:styleId="TOAHeading">
    <w:name w:val="toa heading"/>
    <w:basedOn w:val="Normal"/>
    <w:next w:val="Normal"/>
    <w:rsid w:val="00793934"/>
    <w:pPr>
      <w:tabs>
        <w:tab w:val="right" w:pos="9360"/>
      </w:tabs>
      <w:suppressAutoHyphens/>
    </w:pPr>
  </w:style>
  <w:style w:type="character" w:customStyle="1" w:styleId="EquationCaption">
    <w:name w:val="_Equation Caption"/>
    <w:rsid w:val="00793934"/>
  </w:style>
  <w:style w:type="paragraph" w:customStyle="1" w:styleId="Paratitle">
    <w:name w:val="Para title"/>
    <w:basedOn w:val="Normal"/>
    <w:rsid w:val="00793934"/>
    <w:pPr>
      <w:tabs>
        <w:tab w:val="center" w:pos="9270"/>
      </w:tabs>
      <w:spacing w:after="240"/>
    </w:pPr>
    <w:rPr>
      <w:spacing w:val="-2"/>
    </w:rPr>
  </w:style>
  <w:style w:type="paragraph" w:customStyle="1" w:styleId="TOCTitle">
    <w:name w:val="TOC Title"/>
    <w:basedOn w:val="Normal"/>
    <w:rsid w:val="007939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93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34"/>
    <w:pPr>
      <w:widowControl w:val="0"/>
    </w:pPr>
    <w:rPr>
      <w:snapToGrid w:val="0"/>
      <w:kern w:val="28"/>
      <w:sz w:val="22"/>
    </w:rPr>
  </w:style>
  <w:style w:type="paragraph" w:styleId="Heading1">
    <w:name w:val="heading 1"/>
    <w:basedOn w:val="Normal"/>
    <w:next w:val="ParaNum"/>
    <w:qFormat/>
    <w:rsid w:val="00793934"/>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3934"/>
    <w:pPr>
      <w:keepNext/>
      <w:numPr>
        <w:ilvl w:val="1"/>
        <w:numId w:val="38"/>
      </w:numPr>
      <w:spacing w:after="120"/>
      <w:outlineLvl w:val="1"/>
    </w:pPr>
    <w:rPr>
      <w:b/>
    </w:rPr>
  </w:style>
  <w:style w:type="paragraph" w:styleId="Heading3">
    <w:name w:val="heading 3"/>
    <w:basedOn w:val="Normal"/>
    <w:next w:val="ParaNum"/>
    <w:qFormat/>
    <w:rsid w:val="00793934"/>
    <w:pPr>
      <w:keepNext/>
      <w:numPr>
        <w:ilvl w:val="2"/>
        <w:numId w:val="38"/>
      </w:numPr>
      <w:tabs>
        <w:tab w:val="left" w:pos="2160"/>
      </w:tabs>
      <w:spacing w:after="120"/>
      <w:outlineLvl w:val="2"/>
    </w:pPr>
    <w:rPr>
      <w:b/>
    </w:rPr>
  </w:style>
  <w:style w:type="paragraph" w:styleId="Heading4">
    <w:name w:val="heading 4"/>
    <w:basedOn w:val="Normal"/>
    <w:next w:val="ParaNum"/>
    <w:qFormat/>
    <w:rsid w:val="00793934"/>
    <w:pPr>
      <w:keepNext/>
      <w:numPr>
        <w:ilvl w:val="3"/>
        <w:numId w:val="38"/>
      </w:numPr>
      <w:tabs>
        <w:tab w:val="left" w:pos="2880"/>
      </w:tabs>
      <w:spacing w:after="120"/>
      <w:outlineLvl w:val="3"/>
    </w:pPr>
    <w:rPr>
      <w:b/>
    </w:rPr>
  </w:style>
  <w:style w:type="paragraph" w:styleId="Heading5">
    <w:name w:val="heading 5"/>
    <w:basedOn w:val="Normal"/>
    <w:next w:val="ParaNum"/>
    <w:qFormat/>
    <w:rsid w:val="00793934"/>
    <w:pPr>
      <w:keepNext/>
      <w:numPr>
        <w:ilvl w:val="4"/>
        <w:numId w:val="38"/>
      </w:numPr>
      <w:tabs>
        <w:tab w:val="left" w:pos="3600"/>
      </w:tabs>
      <w:suppressAutoHyphens/>
      <w:spacing w:after="120"/>
      <w:outlineLvl w:val="4"/>
    </w:pPr>
    <w:rPr>
      <w:b/>
    </w:rPr>
  </w:style>
  <w:style w:type="paragraph" w:styleId="Heading6">
    <w:name w:val="heading 6"/>
    <w:basedOn w:val="Normal"/>
    <w:next w:val="ParaNum"/>
    <w:qFormat/>
    <w:rsid w:val="00793934"/>
    <w:pPr>
      <w:numPr>
        <w:ilvl w:val="5"/>
        <w:numId w:val="38"/>
      </w:numPr>
      <w:tabs>
        <w:tab w:val="left" w:pos="4320"/>
      </w:tabs>
      <w:spacing w:after="120"/>
      <w:outlineLvl w:val="5"/>
    </w:pPr>
    <w:rPr>
      <w:b/>
    </w:rPr>
  </w:style>
  <w:style w:type="paragraph" w:styleId="Heading7">
    <w:name w:val="heading 7"/>
    <w:basedOn w:val="Normal"/>
    <w:next w:val="ParaNum"/>
    <w:qFormat/>
    <w:rsid w:val="00793934"/>
    <w:pPr>
      <w:numPr>
        <w:ilvl w:val="6"/>
        <w:numId w:val="38"/>
      </w:numPr>
      <w:tabs>
        <w:tab w:val="left" w:pos="5040"/>
      </w:tabs>
      <w:spacing w:after="120"/>
      <w:ind w:left="5040" w:hanging="720"/>
      <w:outlineLvl w:val="6"/>
    </w:pPr>
    <w:rPr>
      <w:b/>
    </w:rPr>
  </w:style>
  <w:style w:type="paragraph" w:styleId="Heading8">
    <w:name w:val="heading 8"/>
    <w:basedOn w:val="Normal"/>
    <w:next w:val="ParaNum"/>
    <w:qFormat/>
    <w:rsid w:val="00793934"/>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qFormat/>
    <w:rsid w:val="00793934"/>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3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93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793934"/>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793934"/>
    <w:pPr>
      <w:spacing w:after="120"/>
    </w:pPr>
  </w:style>
  <w:style w:type="paragraph" w:customStyle="1" w:styleId="Bullet">
    <w:name w:val="Bullet"/>
    <w:basedOn w:val="Normal"/>
    <w:rsid w:val="00793934"/>
    <w:pPr>
      <w:tabs>
        <w:tab w:val="left" w:pos="2160"/>
      </w:tabs>
      <w:spacing w:after="220"/>
      <w:ind w:left="2160" w:hanging="720"/>
    </w:pPr>
  </w:style>
  <w:style w:type="paragraph" w:styleId="BlockText">
    <w:name w:val="Block Text"/>
    <w:basedOn w:val="Normal"/>
    <w:rsid w:val="00793934"/>
    <w:pPr>
      <w:spacing w:after="240"/>
      <w:ind w:left="1440" w:right="1440"/>
    </w:pPr>
  </w:style>
  <w:style w:type="paragraph" w:customStyle="1" w:styleId="TableFormat">
    <w:name w:val="TableFormat"/>
    <w:basedOn w:val="Bullet"/>
    <w:rsid w:val="00793934"/>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793934"/>
    <w:rPr>
      <w:rFonts w:ascii="Times New Roman" w:hAnsi="Times New Roman"/>
      <w:dstrike w:val="0"/>
      <w:color w:val="auto"/>
      <w:sz w:val="20"/>
      <w:vertAlign w:val="superscript"/>
    </w:rPr>
  </w:style>
  <w:style w:type="paragraph" w:styleId="Header">
    <w:name w:val="header"/>
    <w:basedOn w:val="Normal"/>
    <w:autoRedefine/>
    <w:rsid w:val="00793934"/>
    <w:pPr>
      <w:tabs>
        <w:tab w:val="center" w:pos="4680"/>
        <w:tab w:val="right" w:pos="9360"/>
      </w:tabs>
    </w:pPr>
    <w:rPr>
      <w:b/>
    </w:rPr>
  </w:style>
  <w:style w:type="paragraph" w:styleId="Footer">
    <w:name w:val="footer"/>
    <w:basedOn w:val="Normal"/>
    <w:rsid w:val="00793934"/>
    <w:pPr>
      <w:tabs>
        <w:tab w:val="center" w:pos="4320"/>
        <w:tab w:val="right" w:pos="8640"/>
      </w:tabs>
    </w:pPr>
  </w:style>
  <w:style w:type="paragraph" w:styleId="TOC2">
    <w:name w:val="toc 2"/>
    <w:basedOn w:val="Normal"/>
    <w:next w:val="Normal"/>
    <w:semiHidden/>
    <w:rsid w:val="0079393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79393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939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9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9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9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9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9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934"/>
    <w:pPr>
      <w:tabs>
        <w:tab w:val="left" w:pos="3240"/>
        <w:tab w:val="right" w:leader="dot" w:pos="9360"/>
      </w:tabs>
      <w:suppressAutoHyphens/>
      <w:ind w:left="3240" w:hanging="360"/>
    </w:pPr>
    <w:rPr>
      <w:noProof/>
    </w:rPr>
  </w:style>
  <w:style w:type="character" w:styleId="PageNumber">
    <w:name w:val="page number"/>
    <w:basedOn w:val="DefaultParagraphFont"/>
    <w:rsid w:val="00793934"/>
  </w:style>
  <w:style w:type="paragraph" w:styleId="Title">
    <w:name w:val="Title"/>
    <w:basedOn w:val="Normal"/>
    <w:qFormat/>
    <w:pPr>
      <w:jc w:val="center"/>
    </w:pPr>
    <w:rPr>
      <w:b/>
    </w:rPr>
  </w:style>
  <w:style w:type="character" w:styleId="Hyperlink">
    <w:name w:val="Hyperlink"/>
    <w:rsid w:val="00793934"/>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793934"/>
    <w:rPr>
      <w:sz w:val="20"/>
    </w:rPr>
  </w:style>
  <w:style w:type="character" w:customStyle="1" w:styleId="EndnoteTextChar">
    <w:name w:val="Endnote Text Char"/>
    <w:basedOn w:val="DefaultParagraphFont"/>
    <w:link w:val="EndnoteText"/>
    <w:rsid w:val="007F6E01"/>
    <w:rPr>
      <w:snapToGrid w:val="0"/>
      <w:kern w:val="28"/>
    </w:rPr>
  </w:style>
  <w:style w:type="character" w:styleId="EndnoteReference">
    <w:name w:val="endnote reference"/>
    <w:rsid w:val="00793934"/>
    <w:rPr>
      <w:vertAlign w:val="superscript"/>
    </w:rPr>
  </w:style>
  <w:style w:type="paragraph" w:styleId="TOAHeading">
    <w:name w:val="toa heading"/>
    <w:basedOn w:val="Normal"/>
    <w:next w:val="Normal"/>
    <w:rsid w:val="00793934"/>
    <w:pPr>
      <w:tabs>
        <w:tab w:val="right" w:pos="9360"/>
      </w:tabs>
      <w:suppressAutoHyphens/>
    </w:pPr>
  </w:style>
  <w:style w:type="character" w:customStyle="1" w:styleId="EquationCaption">
    <w:name w:val="_Equation Caption"/>
    <w:rsid w:val="00793934"/>
  </w:style>
  <w:style w:type="paragraph" w:customStyle="1" w:styleId="Paratitle">
    <w:name w:val="Para title"/>
    <w:basedOn w:val="Normal"/>
    <w:rsid w:val="00793934"/>
    <w:pPr>
      <w:tabs>
        <w:tab w:val="center" w:pos="9270"/>
      </w:tabs>
      <w:spacing w:after="240"/>
    </w:pPr>
    <w:rPr>
      <w:spacing w:val="-2"/>
    </w:rPr>
  </w:style>
  <w:style w:type="paragraph" w:customStyle="1" w:styleId="TOCTitle">
    <w:name w:val="TOC Title"/>
    <w:basedOn w:val="Normal"/>
    <w:rsid w:val="007939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93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485</Words>
  <Characters>2591</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2014-09-05T15:19:00Z</cp:lastPrinted>
  <dcterms:created xsi:type="dcterms:W3CDTF">2014-10-15T19:02:00Z</dcterms:created>
  <dcterms:modified xsi:type="dcterms:W3CDTF">2014-10-15T19:02:00Z</dcterms:modified>
  <cp:category> </cp:category>
  <cp:contentStatus> </cp:contentStatus>
</cp:coreProperties>
</file>