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A6" w:rsidRDefault="001C61A6">
      <w:pPr>
        <w:tabs>
          <w:tab w:val="center" w:pos="4680"/>
        </w:tabs>
        <w:suppressAutoHyphens/>
        <w:jc w:val="both"/>
        <w:rPr>
          <w:b/>
          <w:spacing w:val="-2"/>
        </w:rPr>
      </w:pPr>
      <w:bookmarkStart w:id="0" w:name="_GoBack"/>
      <w:bookmarkEnd w:id="0"/>
    </w:p>
    <w:p w:rsidR="001C61A6" w:rsidRPr="00BC12E7" w:rsidRDefault="001C61A6">
      <w:pPr>
        <w:tabs>
          <w:tab w:val="center" w:pos="4680"/>
        </w:tabs>
        <w:suppressAutoHyphens/>
        <w:jc w:val="both"/>
        <w:rPr>
          <w:b/>
          <w:spacing w:val="-2"/>
          <w:szCs w:val="22"/>
        </w:rPr>
      </w:pPr>
      <w:r>
        <w:rPr>
          <w:b/>
          <w:spacing w:val="-2"/>
        </w:rPr>
        <w:tab/>
      </w:r>
      <w:r w:rsidRPr="00BC12E7">
        <w:rPr>
          <w:b/>
          <w:spacing w:val="-2"/>
          <w:szCs w:val="22"/>
        </w:rPr>
        <w:t>Before the</w:t>
      </w:r>
    </w:p>
    <w:p w:rsidR="001C61A6" w:rsidRPr="00BC12E7" w:rsidRDefault="001C61A6">
      <w:pPr>
        <w:tabs>
          <w:tab w:val="center" w:pos="4680"/>
        </w:tabs>
        <w:suppressAutoHyphens/>
        <w:jc w:val="both"/>
        <w:rPr>
          <w:b/>
          <w:spacing w:val="-2"/>
          <w:szCs w:val="22"/>
        </w:rPr>
      </w:pPr>
      <w:r w:rsidRPr="00BC12E7">
        <w:rPr>
          <w:b/>
          <w:spacing w:val="-2"/>
          <w:szCs w:val="22"/>
        </w:rPr>
        <w:tab/>
        <w:t>Federal Communications Commission</w:t>
      </w:r>
    </w:p>
    <w:p w:rsidR="001C61A6" w:rsidRPr="008628AF" w:rsidRDefault="001C61A6">
      <w:pPr>
        <w:tabs>
          <w:tab w:val="center" w:pos="4680"/>
        </w:tabs>
        <w:suppressAutoHyphens/>
        <w:jc w:val="both"/>
        <w:rPr>
          <w:spacing w:val="-2"/>
          <w:sz w:val="24"/>
          <w:szCs w:val="24"/>
        </w:rPr>
      </w:pPr>
      <w:r w:rsidRPr="00BC12E7">
        <w:rPr>
          <w:b/>
          <w:spacing w:val="-2"/>
          <w:szCs w:val="22"/>
        </w:rPr>
        <w:tab/>
        <w:t>Washington, D.C. 20554</w:t>
      </w:r>
    </w:p>
    <w:p w:rsidR="001C61A6" w:rsidRDefault="001C61A6">
      <w:pPr>
        <w:tabs>
          <w:tab w:val="left" w:pos="-720"/>
        </w:tabs>
        <w:suppressAutoHyphens/>
        <w:jc w:val="both"/>
        <w:rPr>
          <w:spacing w:val="-2"/>
        </w:rPr>
      </w:pPr>
    </w:p>
    <w:p w:rsidR="001C61A6" w:rsidRDefault="00546FA6" w:rsidP="003E1F87">
      <w:pPr>
        <w:tabs>
          <w:tab w:val="left" w:pos="1267"/>
        </w:tabs>
      </w:pPr>
      <w:r>
        <w:tab/>
      </w:r>
    </w:p>
    <w:tbl>
      <w:tblPr>
        <w:tblW w:w="0" w:type="auto"/>
        <w:tblLayout w:type="fixed"/>
        <w:tblLook w:val="0000" w:firstRow="0" w:lastRow="0" w:firstColumn="0" w:lastColumn="0" w:noHBand="0" w:noVBand="0"/>
      </w:tblPr>
      <w:tblGrid>
        <w:gridCol w:w="4698"/>
        <w:gridCol w:w="630"/>
        <w:gridCol w:w="4248"/>
      </w:tblGrid>
      <w:tr w:rsidR="001C61A6">
        <w:tc>
          <w:tcPr>
            <w:tcW w:w="4698" w:type="dxa"/>
          </w:tcPr>
          <w:p w:rsidR="001C61A6" w:rsidRDefault="001C61A6" w:rsidP="001C61A6">
            <w:pPr>
              <w:tabs>
                <w:tab w:val="center" w:pos="4680"/>
              </w:tabs>
              <w:suppressAutoHyphens/>
              <w:rPr>
                <w:spacing w:val="-2"/>
              </w:rPr>
            </w:pPr>
            <w:r>
              <w:rPr>
                <w:spacing w:val="-2"/>
              </w:rPr>
              <w:t>In the Matter of</w:t>
            </w:r>
          </w:p>
          <w:p w:rsidR="001C61A6" w:rsidRDefault="001C61A6" w:rsidP="001C61A6">
            <w:pPr>
              <w:tabs>
                <w:tab w:val="center" w:pos="4680"/>
              </w:tabs>
              <w:suppressAutoHyphens/>
              <w:rPr>
                <w:spacing w:val="-2"/>
              </w:rPr>
            </w:pPr>
          </w:p>
          <w:p w:rsidR="001C61A6" w:rsidRDefault="001C61A6" w:rsidP="001C61A6">
            <w:pPr>
              <w:tabs>
                <w:tab w:val="center" w:pos="4680"/>
              </w:tabs>
              <w:suppressAutoHyphens/>
              <w:rPr>
                <w:spacing w:val="-2"/>
              </w:rPr>
            </w:pPr>
            <w:r>
              <w:rPr>
                <w:spacing w:val="-2"/>
              </w:rPr>
              <w:t>Amendment of Section 73.202(b),</w:t>
            </w:r>
          </w:p>
          <w:p w:rsidR="001C61A6" w:rsidRDefault="001C61A6" w:rsidP="001C61A6">
            <w:pPr>
              <w:tabs>
                <w:tab w:val="center" w:pos="4680"/>
              </w:tabs>
              <w:suppressAutoHyphens/>
              <w:rPr>
                <w:spacing w:val="-2"/>
              </w:rPr>
            </w:pPr>
            <w:r>
              <w:rPr>
                <w:spacing w:val="-2"/>
              </w:rPr>
              <w:t>Table of Allotments,</w:t>
            </w:r>
          </w:p>
          <w:p w:rsidR="001C61A6" w:rsidRDefault="001C61A6" w:rsidP="001C61A6">
            <w:pPr>
              <w:tabs>
                <w:tab w:val="center" w:pos="4680"/>
              </w:tabs>
              <w:suppressAutoHyphens/>
              <w:rPr>
                <w:spacing w:val="-2"/>
              </w:rPr>
            </w:pPr>
            <w:r>
              <w:rPr>
                <w:spacing w:val="-2"/>
              </w:rPr>
              <w:t>FM Broadcast Stations.</w:t>
            </w:r>
          </w:p>
          <w:p w:rsidR="001C61A6" w:rsidRDefault="001C61A6" w:rsidP="001C61A6">
            <w:pPr>
              <w:tabs>
                <w:tab w:val="center" w:pos="4680"/>
              </w:tabs>
              <w:suppressAutoHyphens/>
              <w:rPr>
                <w:spacing w:val="-2"/>
              </w:rPr>
            </w:pPr>
            <w:r>
              <w:rPr>
                <w:spacing w:val="-2"/>
              </w:rPr>
              <w:t xml:space="preserve">(Corona de Tucson, Sierra Vista, Tanque Verde, </w:t>
            </w:r>
          </w:p>
          <w:p w:rsidR="001C61A6" w:rsidRDefault="001C61A6" w:rsidP="001C61A6">
            <w:pPr>
              <w:tabs>
                <w:tab w:val="center" w:pos="4680"/>
              </w:tabs>
              <w:suppressAutoHyphens/>
              <w:rPr>
                <w:spacing w:val="-2"/>
              </w:rPr>
            </w:pPr>
            <w:r>
              <w:rPr>
                <w:spacing w:val="-2"/>
              </w:rPr>
              <w:t>and Vail, Arizona; Animas, Lorsdburg, and</w:t>
            </w:r>
          </w:p>
          <w:p w:rsidR="001C61A6" w:rsidRPr="007115F7" w:rsidRDefault="001C61A6" w:rsidP="001C61A6">
            <w:pPr>
              <w:tabs>
                <w:tab w:val="center" w:pos="4680"/>
              </w:tabs>
              <w:suppressAutoHyphens/>
              <w:rPr>
                <w:spacing w:val="-2"/>
              </w:rPr>
            </w:pPr>
            <w:r>
              <w:rPr>
                <w:spacing w:val="-2"/>
              </w:rPr>
              <w:t>Virden, New Mexico)</w:t>
            </w:r>
          </w:p>
        </w:tc>
        <w:tc>
          <w:tcPr>
            <w:tcW w:w="630" w:type="dxa"/>
          </w:tcPr>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r>
              <w:rPr>
                <w:b/>
                <w:spacing w:val="-2"/>
              </w:rPr>
              <w:t>)</w:t>
            </w:r>
          </w:p>
          <w:p w:rsidR="001C61A6" w:rsidRDefault="001C61A6" w:rsidP="001C61A6">
            <w:pPr>
              <w:tabs>
                <w:tab w:val="center" w:pos="4680"/>
              </w:tabs>
              <w:suppressAutoHyphens/>
              <w:rPr>
                <w:b/>
                <w:spacing w:val="-2"/>
              </w:rPr>
            </w:pPr>
          </w:p>
          <w:p w:rsidR="001C61A6" w:rsidRDefault="001C61A6" w:rsidP="001C61A6">
            <w:pPr>
              <w:tabs>
                <w:tab w:val="center" w:pos="4680"/>
              </w:tabs>
              <w:suppressAutoHyphens/>
              <w:rPr>
                <w:spacing w:val="-2"/>
              </w:rPr>
            </w:pPr>
          </w:p>
        </w:tc>
        <w:tc>
          <w:tcPr>
            <w:tcW w:w="4248" w:type="dxa"/>
          </w:tcPr>
          <w:p w:rsidR="001C61A6" w:rsidRDefault="001C61A6" w:rsidP="001C61A6">
            <w:pPr>
              <w:tabs>
                <w:tab w:val="center" w:pos="4680"/>
              </w:tabs>
              <w:suppressAutoHyphens/>
              <w:rPr>
                <w:spacing w:val="-2"/>
              </w:rPr>
            </w:pPr>
          </w:p>
          <w:p w:rsidR="001C61A6" w:rsidRDefault="001C61A6" w:rsidP="001C61A6">
            <w:pPr>
              <w:pStyle w:val="TOAHeading"/>
              <w:tabs>
                <w:tab w:val="clear" w:pos="9360"/>
                <w:tab w:val="center" w:pos="4680"/>
              </w:tabs>
              <w:rPr>
                <w:spacing w:val="-2"/>
              </w:rPr>
            </w:pPr>
          </w:p>
          <w:p w:rsidR="001C61A6" w:rsidRDefault="001C61A6" w:rsidP="001C61A6">
            <w:pPr>
              <w:tabs>
                <w:tab w:val="center" w:pos="4680"/>
              </w:tabs>
              <w:suppressAutoHyphens/>
              <w:rPr>
                <w:spacing w:val="-2"/>
              </w:rPr>
            </w:pPr>
            <w:r>
              <w:rPr>
                <w:spacing w:val="-2"/>
              </w:rPr>
              <w:t>MB Docket No. 05-245</w:t>
            </w:r>
          </w:p>
          <w:p w:rsidR="001C61A6" w:rsidRDefault="001C61A6" w:rsidP="001C61A6">
            <w:pPr>
              <w:tabs>
                <w:tab w:val="center" w:pos="4680"/>
              </w:tabs>
              <w:suppressAutoHyphens/>
              <w:rPr>
                <w:spacing w:val="-2"/>
              </w:rPr>
            </w:pPr>
            <w:r>
              <w:rPr>
                <w:spacing w:val="-2"/>
              </w:rPr>
              <w:t>RM-11264</w:t>
            </w:r>
          </w:p>
          <w:p w:rsidR="001C61A6" w:rsidRDefault="001C61A6" w:rsidP="001C61A6">
            <w:pPr>
              <w:tabs>
                <w:tab w:val="center" w:pos="4680"/>
              </w:tabs>
              <w:suppressAutoHyphens/>
              <w:rPr>
                <w:spacing w:val="-2"/>
              </w:rPr>
            </w:pPr>
            <w:r>
              <w:rPr>
                <w:spacing w:val="-2"/>
              </w:rPr>
              <w:t>RM-11357</w:t>
            </w:r>
          </w:p>
        </w:tc>
      </w:tr>
    </w:tbl>
    <w:p w:rsidR="002D33C1" w:rsidRDefault="002D33C1" w:rsidP="003D1D79">
      <w:pPr>
        <w:pStyle w:val="StyleBoldCentered"/>
      </w:pPr>
      <w:r>
        <w:rPr>
          <w:b w:val="0"/>
        </w:rPr>
        <w:t>MEMORANDUM OPINION AND ORDER</w:t>
      </w:r>
    </w:p>
    <w:p w:rsidR="002D33C1" w:rsidRDefault="002D33C1" w:rsidP="002D33C1">
      <w:pPr>
        <w:tabs>
          <w:tab w:val="left" w:pos="-720"/>
        </w:tabs>
        <w:suppressAutoHyphens/>
        <w:spacing w:line="227" w:lineRule="auto"/>
        <w:rPr>
          <w:spacing w:val="-2"/>
        </w:rPr>
      </w:pPr>
    </w:p>
    <w:p w:rsidR="002D33C1" w:rsidRDefault="002D33C1" w:rsidP="002D33C1">
      <w:pPr>
        <w:tabs>
          <w:tab w:val="left" w:pos="720"/>
          <w:tab w:val="right" w:pos="9360"/>
        </w:tabs>
        <w:suppressAutoHyphens/>
        <w:spacing w:line="227" w:lineRule="auto"/>
        <w:rPr>
          <w:spacing w:val="-2"/>
        </w:rPr>
      </w:pPr>
      <w:r>
        <w:rPr>
          <w:b/>
          <w:spacing w:val="-2"/>
        </w:rPr>
        <w:t xml:space="preserve">Adopted:  </w:t>
      </w:r>
      <w:r w:rsidR="00D669F3">
        <w:rPr>
          <w:b/>
          <w:spacing w:val="-2"/>
        </w:rPr>
        <w:t>October 14, 2014</w:t>
      </w:r>
      <w:r>
        <w:rPr>
          <w:b/>
          <w:spacing w:val="-2"/>
        </w:rPr>
        <w:tab/>
        <w:t xml:space="preserve">Released:  </w:t>
      </w:r>
      <w:r w:rsidR="00F268BE">
        <w:rPr>
          <w:b/>
          <w:spacing w:val="-2"/>
        </w:rPr>
        <w:t>October 15</w:t>
      </w:r>
      <w:r w:rsidR="00D669F3">
        <w:rPr>
          <w:b/>
          <w:spacing w:val="-2"/>
        </w:rPr>
        <w:t>, 2014</w:t>
      </w:r>
    </w:p>
    <w:p w:rsidR="002D33C1" w:rsidRDefault="002D33C1" w:rsidP="002D33C1"/>
    <w:p w:rsidR="001C61A6" w:rsidRDefault="002D33C1" w:rsidP="002D33C1">
      <w:pPr>
        <w:tabs>
          <w:tab w:val="left" w:pos="-1440"/>
          <w:tab w:val="left" w:pos="-720"/>
        </w:tabs>
        <w:suppressAutoHyphens/>
        <w:rPr>
          <w:spacing w:val="-2"/>
        </w:rPr>
      </w:pPr>
      <w:r>
        <w:t xml:space="preserve">By the </w:t>
      </w:r>
      <w:r>
        <w:rPr>
          <w:spacing w:val="-2"/>
        </w:rPr>
        <w:t>Commission:</w:t>
      </w:r>
    </w:p>
    <w:p w:rsidR="002D33C1" w:rsidRDefault="002D33C1" w:rsidP="002D33C1">
      <w:pPr>
        <w:tabs>
          <w:tab w:val="left" w:pos="-1440"/>
          <w:tab w:val="left" w:pos="-720"/>
        </w:tabs>
        <w:suppressAutoHyphens/>
        <w:rPr>
          <w:spacing w:val="-3"/>
          <w:sz w:val="24"/>
        </w:rPr>
      </w:pPr>
    </w:p>
    <w:p w:rsidR="001C61A6" w:rsidRPr="002C3CFB" w:rsidRDefault="001C61A6" w:rsidP="006611FC">
      <w:pPr>
        <w:pStyle w:val="ParaNum"/>
        <w:widowControl/>
        <w:rPr>
          <w:spacing w:val="-3"/>
        </w:rPr>
      </w:pPr>
      <w:r w:rsidRPr="000F698B">
        <w:t>The Commission has before it an Application for Review filed April 21, 2008, by CCR-Sierra Vista IV, LLC (“CCR-Sierra”), licensee of Station KZMK</w:t>
      </w:r>
      <w:r>
        <w:t>(FM)</w:t>
      </w:r>
      <w:r w:rsidRPr="000F698B">
        <w:t>, Sierra Vista, Arizona</w:t>
      </w:r>
      <w:r>
        <w:t>, operating on Channel 265A (100.9 MHz)</w:t>
      </w:r>
      <w:r w:rsidRPr="000F698B">
        <w:t xml:space="preserve">.  </w:t>
      </w:r>
      <w:r>
        <w:t>In this proceeding, the Media Bureau (“Bureau”) rejected CCR-Sierra’s proposal to reallot Channel 265A from Sierra Vista to Tanque Verde, Arizona, and to modify Station KZMK(FM)’s license to specify operation on Channel 265A pursuant to Section 1.420(i),</w:t>
      </w:r>
      <w:r>
        <w:rPr>
          <w:rStyle w:val="FootnoteReference"/>
        </w:rPr>
        <w:footnoteReference w:id="2"/>
      </w:r>
      <w:r>
        <w:t xml:space="preserve"> and granted a conflicting Counterproposal jointly filed by Cochise Broadcasting, LLC and Desert West Air Ranchers Corporation (“Joint Parties”) for a “daisy chain” of FM allotments.</w:t>
      </w:r>
      <w:r>
        <w:rPr>
          <w:rStyle w:val="FootnoteReference"/>
        </w:rPr>
        <w:footnoteReference w:id="3"/>
      </w:r>
      <w:r>
        <w:t xml:space="preserve">  CCR-Sierra seeks review of the Bureau’s March 21, 2008, decision (“</w:t>
      </w:r>
      <w:r w:rsidRPr="00C6068B">
        <w:rPr>
          <w:i/>
        </w:rPr>
        <w:t>Reconsideration Decision</w:t>
      </w:r>
      <w:r>
        <w:t>”) denying CCR-Sierra’s Petition for Reconsideration.</w:t>
      </w:r>
      <w:r>
        <w:rPr>
          <w:rStyle w:val="FootnoteReference"/>
        </w:rPr>
        <w:footnoteReference w:id="4"/>
      </w:r>
      <w:r>
        <w:t xml:space="preserve">  </w:t>
      </w:r>
      <w:r w:rsidRPr="00C6068B">
        <w:rPr>
          <w:szCs w:val="22"/>
        </w:rPr>
        <w:t xml:space="preserve">In its Application for Review, CCR-Sierra reiterates five arguments previously made </w:t>
      </w:r>
      <w:r w:rsidRPr="00A140E7">
        <w:rPr>
          <w:szCs w:val="22"/>
        </w:rPr>
        <w:t>on reconsideration.</w:t>
      </w:r>
      <w:r>
        <w:rPr>
          <w:rStyle w:val="FootnoteReference"/>
          <w:szCs w:val="22"/>
        </w:rPr>
        <w:footnoteReference w:id="5"/>
      </w:r>
      <w:r>
        <w:rPr>
          <w:szCs w:val="22"/>
        </w:rPr>
        <w:t xml:space="preserve">  CCR-Sierra also raises a new argument which it did not previously present to</w:t>
      </w:r>
      <w:r w:rsidR="00C6068B">
        <w:rPr>
          <w:szCs w:val="22"/>
        </w:rPr>
        <w:t xml:space="preserve"> </w:t>
      </w:r>
      <w:r>
        <w:rPr>
          <w:szCs w:val="22"/>
        </w:rPr>
        <w:t>the Bureau.</w:t>
      </w:r>
      <w:r w:rsidRPr="002C3CFB">
        <w:rPr>
          <w:szCs w:val="22"/>
        </w:rPr>
        <w:t xml:space="preserve">  </w:t>
      </w:r>
      <w:r>
        <w:t xml:space="preserve">         </w:t>
      </w:r>
    </w:p>
    <w:p w:rsidR="001C61A6" w:rsidRPr="000E5222" w:rsidRDefault="001C61A6" w:rsidP="001C61A6">
      <w:pPr>
        <w:pStyle w:val="ParaNum"/>
        <w:rPr>
          <w:spacing w:val="-3"/>
          <w:szCs w:val="22"/>
        </w:rPr>
      </w:pPr>
      <w:r>
        <w:lastRenderedPageBreak/>
        <w:t xml:space="preserve">Upon review of the Application for Review and the entire record, we find that the </w:t>
      </w:r>
      <w:r w:rsidRPr="000C769A">
        <w:rPr>
          <w:i/>
        </w:rPr>
        <w:t>Reconsideration Decision</w:t>
      </w:r>
      <w:r>
        <w:t xml:space="preserve"> fully considered the first five arguments raised by CCR-Sierra listed in footnote 4.  We conclude that the </w:t>
      </w:r>
      <w:r w:rsidRPr="000C769A">
        <w:rPr>
          <w:i/>
        </w:rPr>
        <w:t xml:space="preserve">Reconsideration Decision </w:t>
      </w:r>
      <w:r>
        <w:t>properly decided these issues, and we uphold the Bureau’s decision for the stated reasons.</w:t>
      </w:r>
      <w:r>
        <w:rPr>
          <w:rStyle w:val="FootnoteReference"/>
          <w:spacing w:val="-3"/>
        </w:rPr>
        <w:footnoteReference w:id="6"/>
      </w:r>
      <w:r>
        <w:t xml:space="preserve">   We also conclude that the final argument described in the footnote is procedurally defective and will be dismissed.</w:t>
      </w:r>
      <w:r>
        <w:rPr>
          <w:rStyle w:val="FootnoteReference"/>
        </w:rPr>
        <w:footnoteReference w:id="7"/>
      </w:r>
      <w:r w:rsidRPr="000E5222">
        <w:rPr>
          <w:spacing w:val="-3"/>
          <w:szCs w:val="22"/>
        </w:rPr>
        <w:tab/>
      </w:r>
      <w:r w:rsidRPr="000E5222">
        <w:rPr>
          <w:spacing w:val="-3"/>
          <w:szCs w:val="22"/>
        </w:rPr>
        <w:tab/>
      </w:r>
      <w:r w:rsidRPr="000E5222">
        <w:rPr>
          <w:spacing w:val="-3"/>
          <w:szCs w:val="22"/>
        </w:rPr>
        <w:tab/>
      </w:r>
    </w:p>
    <w:p w:rsidR="001C61A6" w:rsidRDefault="001C61A6" w:rsidP="001C61A6">
      <w:pPr>
        <w:pStyle w:val="ParaNum"/>
      </w:pPr>
      <w:r>
        <w:t xml:space="preserve"> Accordingly, IT IS ORDERED that, pursuant to Section 5(c)(5) of the Communications Act of 1934, as amended,</w:t>
      </w:r>
      <w:r>
        <w:rPr>
          <w:rStyle w:val="FootnoteReference"/>
        </w:rPr>
        <w:footnoteReference w:id="8"/>
      </w:r>
      <w:r>
        <w:t xml:space="preserve"> and Sections 1.115(c) and (g) of the Commission’s Rules,</w:t>
      </w:r>
      <w:r>
        <w:rPr>
          <w:rStyle w:val="FootnoteReference"/>
        </w:rPr>
        <w:footnoteReference w:id="9"/>
      </w:r>
      <w:r>
        <w:t xml:space="preserve"> the Application for Review filed by CCR Sierra Vista IV, LLC, IS DISMISSED IN PART for the reasons stated herein and IS otherwise DENIED.</w:t>
      </w:r>
    </w:p>
    <w:p w:rsidR="001C61A6" w:rsidRDefault="001C61A6" w:rsidP="001C61A6">
      <w:pPr>
        <w:tabs>
          <w:tab w:val="left" w:pos="-1440"/>
          <w:tab w:val="left" w:pos="-720"/>
        </w:tabs>
        <w:suppressAutoHyphens/>
        <w:rPr>
          <w:spacing w:val="-3"/>
        </w:rPr>
      </w:pPr>
    </w:p>
    <w:p w:rsidR="002D33C1" w:rsidRDefault="002D33C1" w:rsidP="001C61A6">
      <w:pPr>
        <w:tabs>
          <w:tab w:val="left" w:pos="-1440"/>
          <w:tab w:val="left" w:pos="-720"/>
        </w:tabs>
        <w:suppressAutoHyphens/>
        <w:rPr>
          <w:spacing w:val="-3"/>
        </w:rPr>
      </w:pPr>
    </w:p>
    <w:p w:rsidR="002D33C1" w:rsidRDefault="002D33C1" w:rsidP="0017296B">
      <w:r>
        <w:tab/>
      </w:r>
      <w:r>
        <w:tab/>
      </w:r>
      <w:r>
        <w:tab/>
      </w:r>
      <w:r>
        <w:tab/>
      </w:r>
      <w:r>
        <w:tab/>
      </w:r>
      <w:r>
        <w:tab/>
        <w:t>FEDERAL COMMUNICATIONS COMMISSION</w:t>
      </w:r>
    </w:p>
    <w:p w:rsidR="002D33C1" w:rsidRDefault="002D33C1" w:rsidP="0017296B"/>
    <w:p w:rsidR="002D33C1" w:rsidRDefault="002D33C1" w:rsidP="0017296B"/>
    <w:p w:rsidR="002D33C1" w:rsidRDefault="002D33C1" w:rsidP="0017296B"/>
    <w:p w:rsidR="002D33C1" w:rsidRDefault="002D33C1" w:rsidP="0017296B"/>
    <w:p w:rsidR="002D33C1" w:rsidRDefault="002D33C1" w:rsidP="0017296B">
      <w:r>
        <w:tab/>
      </w:r>
      <w:r>
        <w:tab/>
      </w:r>
      <w:r>
        <w:tab/>
      </w:r>
      <w:r>
        <w:tab/>
      </w:r>
      <w:r>
        <w:tab/>
      </w:r>
      <w:r>
        <w:tab/>
        <w:t>Marlene H. Dortch</w:t>
      </w:r>
    </w:p>
    <w:p w:rsidR="002D33C1" w:rsidRDefault="002D33C1" w:rsidP="0017296B">
      <w:r>
        <w:tab/>
      </w:r>
      <w:r>
        <w:tab/>
      </w:r>
      <w:r>
        <w:tab/>
      </w:r>
      <w:r>
        <w:tab/>
      </w:r>
      <w:r>
        <w:tab/>
      </w:r>
      <w:r>
        <w:tab/>
        <w:t>Secretary</w:t>
      </w:r>
    </w:p>
    <w:p w:rsidR="002D33C1" w:rsidRDefault="002D33C1" w:rsidP="001C61A6">
      <w:pPr>
        <w:tabs>
          <w:tab w:val="left" w:pos="-1440"/>
          <w:tab w:val="left" w:pos="-720"/>
        </w:tabs>
        <w:suppressAutoHyphens/>
        <w:rPr>
          <w:spacing w:val="-3"/>
        </w:rPr>
      </w:pPr>
    </w:p>
    <w:sectPr w:rsidR="002D33C1" w:rsidSect="001C61A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9E" w:rsidRDefault="0055279E">
      <w:pPr>
        <w:spacing w:line="20" w:lineRule="exact"/>
        <w:rPr>
          <w:sz w:val="24"/>
        </w:rPr>
      </w:pPr>
    </w:p>
  </w:endnote>
  <w:endnote w:type="continuationSeparator" w:id="0">
    <w:p w:rsidR="0055279E" w:rsidRDefault="0055279E">
      <w:r>
        <w:rPr>
          <w:sz w:val="24"/>
        </w:rPr>
        <w:t xml:space="preserve"> </w:t>
      </w:r>
    </w:p>
  </w:endnote>
  <w:endnote w:type="continuationNotice" w:id="1">
    <w:p w:rsidR="0055279E" w:rsidRDefault="0055279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D0" w:rsidRDefault="00311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7389"/>
      <w:docPartObj>
        <w:docPartGallery w:val="Page Numbers (Bottom of Page)"/>
        <w:docPartUnique/>
      </w:docPartObj>
    </w:sdtPr>
    <w:sdtEndPr>
      <w:rPr>
        <w:noProof/>
      </w:rPr>
    </w:sdtEndPr>
    <w:sdtContent>
      <w:p w:rsidR="002D33C1" w:rsidRDefault="002D33C1">
        <w:pPr>
          <w:pStyle w:val="Footer"/>
          <w:jc w:val="center"/>
        </w:pPr>
        <w:r>
          <w:fldChar w:fldCharType="begin"/>
        </w:r>
        <w:r>
          <w:instrText xml:space="preserve"> PAGE   \* MERGEFORMAT </w:instrText>
        </w:r>
        <w:r>
          <w:fldChar w:fldCharType="separate"/>
        </w:r>
        <w:r w:rsidR="00FA1C3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D0" w:rsidRDefault="00311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9E" w:rsidRDefault="0055279E">
      <w:r>
        <w:rPr>
          <w:sz w:val="24"/>
        </w:rPr>
        <w:separator/>
      </w:r>
    </w:p>
  </w:footnote>
  <w:footnote w:type="continuationSeparator" w:id="0">
    <w:p w:rsidR="0055279E" w:rsidRPr="00831E58" w:rsidRDefault="00831E58" w:rsidP="00831E58">
      <w:pPr>
        <w:rPr>
          <w:color w:val="000000"/>
          <w:sz w:val="20"/>
        </w:rPr>
      </w:pPr>
      <w:r w:rsidRPr="00687E42">
        <w:rPr>
          <w:color w:val="000000"/>
          <w:sz w:val="20"/>
        </w:rPr>
        <w:t xml:space="preserve">(Continued from previous page) </w:t>
      </w:r>
      <w:r>
        <w:separator/>
      </w:r>
    </w:p>
  </w:footnote>
  <w:footnote w:type="continuationNotice" w:id="1">
    <w:p w:rsidR="00F268BE" w:rsidRPr="00F268BE" w:rsidRDefault="00F268BE" w:rsidP="00F268BE">
      <w:pPr>
        <w:jc w:val="right"/>
        <w:rPr>
          <w:sz w:val="20"/>
        </w:rPr>
      </w:pPr>
      <w:r>
        <w:rPr>
          <w:sz w:val="20"/>
        </w:rPr>
        <w:t>(continued....)</w:t>
      </w:r>
    </w:p>
  </w:footnote>
  <w:footnote w:id="2">
    <w:p w:rsidR="001C61A6" w:rsidRPr="009D6D78" w:rsidRDefault="001C61A6">
      <w:pPr>
        <w:pStyle w:val="FootnoteText"/>
      </w:pPr>
      <w:r>
        <w:rPr>
          <w:rStyle w:val="FootnoteReference"/>
        </w:rPr>
        <w:footnoteRef/>
      </w:r>
      <w:r>
        <w:t xml:space="preserve"> </w:t>
      </w:r>
      <w:r>
        <w:rPr>
          <w:i/>
        </w:rPr>
        <w:t xml:space="preserve">See </w:t>
      </w:r>
      <w:r>
        <w:t>47 C.F.R. § 1.420(i) (permitting, in the course of a rule making proceeding, the modification of the license or permit of an FM station to specify a different community of license).</w:t>
      </w:r>
    </w:p>
  </w:footnote>
  <w:footnote w:id="3">
    <w:p w:rsidR="001C61A6" w:rsidRPr="008E1254" w:rsidRDefault="001C61A6">
      <w:pPr>
        <w:pStyle w:val="FootnoteText"/>
        <w:rPr>
          <w:i/>
        </w:rPr>
      </w:pPr>
      <w:r>
        <w:rPr>
          <w:rStyle w:val="FootnoteReference"/>
        </w:rPr>
        <w:footnoteRef/>
      </w:r>
      <w:r>
        <w:t xml:space="preserve"> </w:t>
      </w:r>
      <w:r>
        <w:rPr>
          <w:i/>
        </w:rPr>
        <w:t xml:space="preserve">See Corona de Tucson, Arizona, et al., </w:t>
      </w:r>
      <w:r>
        <w:t>Report and Order, 22 FCC Rcd 13933 (MB 2007) (“</w:t>
      </w:r>
      <w:r>
        <w:rPr>
          <w:i/>
        </w:rPr>
        <w:t>R&amp;O</w:t>
      </w:r>
      <w:r>
        <w:t xml:space="preserve">”).  In the </w:t>
      </w:r>
      <w:r>
        <w:rPr>
          <w:i/>
        </w:rPr>
        <w:t>R&amp;O</w:t>
      </w:r>
      <w:r>
        <w:t>, the Bureau: (1) realloted Channel 267C3 (103.1 MHz) from Corona de Tucson, Arizona, to Tanque Verde and modified the license of Cochise Broadcasting’s Station KKYZ(FM) to specify operation on the channel; (2) realloted Channel 253A (98.5 MHz) from Vail, Arizona, to Corona de Tucson as a “backfill” and modified the license of Desert West Air Ranchers’ Station KRDX(FM) to specify operation on the channel; (3) realloted and downgraded Channel 279C1 (103.7 MHz) from Lordsburg, New Mexico, to Channel 279A at Vail, Arizona, as a “backfill” and modified the license of Cochise Broadcasting’s construction permit to specify operation on the channel ; and (4) added new FM allotments on Channel 279C1 at Animas, New Mexico, and Channel 228C1 (93.5 MHz) at Virden, New Mexico.</w:t>
      </w:r>
    </w:p>
  </w:footnote>
  <w:footnote w:id="4">
    <w:p w:rsidR="001C61A6" w:rsidRPr="004355B7" w:rsidRDefault="001C61A6">
      <w:pPr>
        <w:pStyle w:val="FootnoteText"/>
      </w:pPr>
      <w:r>
        <w:rPr>
          <w:rStyle w:val="FootnoteReference"/>
        </w:rPr>
        <w:footnoteRef/>
      </w:r>
      <w:r>
        <w:t xml:space="preserve"> </w:t>
      </w:r>
      <w:r>
        <w:rPr>
          <w:i/>
        </w:rPr>
        <w:t xml:space="preserve">See Corona de Tucson, Arizona, et al., </w:t>
      </w:r>
      <w:r>
        <w:t>Memorandum Opinion and Order, 23 FCC Rcd 4792 (MB 2008)                          (“</w:t>
      </w:r>
      <w:r>
        <w:rPr>
          <w:i/>
        </w:rPr>
        <w:t>Reconsideration Decision</w:t>
      </w:r>
      <w:r>
        <w:t>”).  The Joint Parties filed an Opposition to Application for Review on May 6, 2008.  CCR-Sierra filed a Reply to Opposition to Application for Review on May 21, 2008.</w:t>
      </w:r>
    </w:p>
  </w:footnote>
  <w:footnote w:id="5">
    <w:p w:rsidR="001C61A6" w:rsidRDefault="001C61A6">
      <w:pPr>
        <w:pStyle w:val="FootnoteText"/>
      </w:pPr>
      <w:r>
        <w:rPr>
          <w:rStyle w:val="FootnoteReference"/>
        </w:rPr>
        <w:footnoteRef/>
      </w:r>
      <w:r>
        <w:t xml:space="preserve"> </w:t>
      </w:r>
      <w:r w:rsidRPr="00570BD5">
        <w:rPr>
          <w:szCs w:val="22"/>
        </w:rPr>
        <w:t xml:space="preserve">Specifically, CCR-Sierra contends that the Bureau erred in finding that: (1) Joint Parties’ proposal would provide 70 dBu coverage to Tanque Verde and Corona de Tucson; (2) the fact that the antenna structure for the Tanque Verde allotment, near an airport, may require </w:t>
      </w:r>
      <w:r>
        <w:rPr>
          <w:szCs w:val="22"/>
        </w:rPr>
        <w:t>Federal Aviation Administration (“</w:t>
      </w:r>
      <w:r w:rsidRPr="00570BD5">
        <w:rPr>
          <w:szCs w:val="22"/>
        </w:rPr>
        <w:t>FAA</w:t>
      </w:r>
      <w:r>
        <w:rPr>
          <w:szCs w:val="22"/>
        </w:rPr>
        <w:t>”)</w:t>
      </w:r>
      <w:r w:rsidRPr="00570BD5">
        <w:rPr>
          <w:szCs w:val="22"/>
        </w:rPr>
        <w:t xml:space="preserve"> approval is not a sufficient basis for presuming that it would be an air hazard absent any additional evidence; (3) Animas, New Mexico, is a community for allotment purposes; (4) the Joint Parties’ proposed allotment at Tanque Verde is mutually exclusive with CCR-Sierra’s proposal at Tanque Verde; and (5) the proposed allotment at Vail, Arizona, could be granted subject to Mexican concurrence.  Additionally, CCR-Sierra argues that the Commission has not previously explained how Section 73.313(e) defines terrain that “departs widely” to allow for a supplemental showing for determining city-grade coverage and should do so in this proceeding.</w:t>
      </w:r>
    </w:p>
  </w:footnote>
  <w:footnote w:id="6">
    <w:p w:rsidR="001C61A6" w:rsidRDefault="001C61A6">
      <w:pPr>
        <w:pStyle w:val="FootnoteText"/>
      </w:pPr>
      <w:r>
        <w:rPr>
          <w:rStyle w:val="FootnoteReference"/>
        </w:rPr>
        <w:footnoteRef/>
      </w:r>
      <w:r>
        <w:t xml:space="preserve"> We note that, after the Bureau allotted Channel 267C3 to Tanque Verde, Station KKYZ(FM) filed a “one-step” application to implement this allotment on Channel 266C3 at Tanque Verde at a different site.  </w:t>
      </w:r>
      <w:r>
        <w:rPr>
          <w:i/>
        </w:rPr>
        <w:t xml:space="preserve">See </w:t>
      </w:r>
      <w:r w:rsidRPr="00A92690">
        <w:t>File</w:t>
      </w:r>
      <w:r>
        <w:t xml:space="preserve"> No. BPH-20051003CCZ,</w:t>
      </w:r>
      <w:r w:rsidRPr="00A63B97">
        <w:t xml:space="preserve"> </w:t>
      </w:r>
      <w:r>
        <w:t xml:space="preserve">granted March 5, 2010; </w:t>
      </w:r>
      <w:r>
        <w:rPr>
          <w:i/>
        </w:rPr>
        <w:t xml:space="preserve">Broadcast Actions, </w:t>
      </w:r>
      <w:r>
        <w:t xml:space="preserve">Report No. 47189 (March 10, 2010).  Because the   licensee specified an existing tower that had been registered with the FCC and cleared by the FAA, no additional FAA approval was required.  </w:t>
      </w:r>
      <w:r>
        <w:rPr>
          <w:i/>
        </w:rPr>
        <w:t xml:space="preserve">See id. </w:t>
      </w:r>
      <w:r>
        <w:t xml:space="preserve">at Section III-B, Tech-Box, Question 5.  </w:t>
      </w:r>
      <w:r>
        <w:rPr>
          <w:i/>
        </w:rPr>
        <w:t xml:space="preserve"> </w:t>
      </w:r>
      <w:r>
        <w:t xml:space="preserve">    </w:t>
      </w:r>
    </w:p>
  </w:footnote>
  <w:footnote w:id="7">
    <w:p w:rsidR="001C61A6" w:rsidRPr="00D503C3" w:rsidRDefault="001C61A6">
      <w:pPr>
        <w:pStyle w:val="FootnoteText"/>
      </w:pPr>
      <w:r>
        <w:rPr>
          <w:rStyle w:val="FootnoteReference"/>
        </w:rPr>
        <w:footnoteRef/>
      </w:r>
      <w:r>
        <w:t xml:space="preserve"> Specifically, CCR-Sierra’s argument that the Commission should define terrain that “departs widely” to determine when a supplemental propagation showing is appropriate for determining city-grade coverage is raised for the first time on review, </w:t>
      </w:r>
      <w:r w:rsidR="00AC59A5">
        <w:t xml:space="preserve">so </w:t>
      </w:r>
      <w:r>
        <w:t>the Bureau</w:t>
      </w:r>
      <w:r w:rsidR="00DE7E73">
        <w:t xml:space="preserve">  had no</w:t>
      </w:r>
      <w:r>
        <w:t xml:space="preserve"> opportunity to pass on it, in violation of  Section 1.115(c).  </w:t>
      </w:r>
      <w:r>
        <w:rPr>
          <w:i/>
        </w:rPr>
        <w:t xml:space="preserve">See </w:t>
      </w:r>
      <w:r>
        <w:t xml:space="preserve">47 C.F.R. § 1.115(c) .  </w:t>
      </w:r>
    </w:p>
  </w:footnote>
  <w:footnote w:id="8">
    <w:p w:rsidR="001C61A6" w:rsidRDefault="001C61A6">
      <w:pPr>
        <w:pStyle w:val="FootnoteText"/>
      </w:pPr>
      <w:r>
        <w:rPr>
          <w:rStyle w:val="FootnoteReference"/>
        </w:rPr>
        <w:footnoteRef/>
      </w:r>
      <w:r>
        <w:t xml:space="preserve"> 47 U.S.C. § 155(c)(5).</w:t>
      </w:r>
    </w:p>
  </w:footnote>
  <w:footnote w:id="9">
    <w:p w:rsidR="001C61A6" w:rsidRDefault="001C61A6">
      <w:pPr>
        <w:pStyle w:val="FootnoteText"/>
      </w:pPr>
      <w:r>
        <w:rPr>
          <w:rStyle w:val="FootnoteReference"/>
        </w:rPr>
        <w:footnoteRef/>
      </w:r>
      <w:r>
        <w:t xml:space="preserve"> 47 C.F.R. </w:t>
      </w:r>
      <w:r>
        <w:rPr>
          <w:snapToGrid w:val="0"/>
        </w:rPr>
        <w:t>§</w:t>
      </w:r>
      <w:r>
        <w:t>§ 1.115(c),(g).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D0" w:rsidRDefault="00311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C1" w:rsidRDefault="002D33C1" w:rsidP="002D33C1">
    <w:pPr>
      <w:pStyle w:val="Header"/>
      <w:rPr>
        <w:b w:val="0"/>
      </w:rPr>
    </w:pPr>
    <w:r>
      <w:rPr>
        <w:noProof/>
        <w:snapToGrid/>
      </w:rPr>
      <mc:AlternateContent>
        <mc:Choice Requires="wps">
          <w:drawing>
            <wp:anchor distT="0" distB="0" distL="114300" distR="114300" simplePos="0" relativeHeight="251662848" behindDoc="1" locked="0" layoutInCell="0" allowOverlap="1" wp14:anchorId="4D0AB9E3" wp14:editId="2F8A236A">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w:t>
    </w:r>
    <w:r w:rsidR="00D669F3">
      <w:rPr>
        <w:spacing w:val="-2"/>
      </w:rPr>
      <w:t>-156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C1" w:rsidRDefault="002D33C1" w:rsidP="002D33C1">
    <w:pPr>
      <w:pStyle w:val="Header"/>
      <w:rPr>
        <w:b w:val="0"/>
      </w:rPr>
    </w:pPr>
    <w:r>
      <w:rPr>
        <w:noProof/>
        <w:snapToGrid/>
      </w:rPr>
      <mc:AlternateContent>
        <mc:Choice Requires="wps">
          <w:drawing>
            <wp:anchor distT="0" distB="0" distL="114300" distR="114300" simplePos="0" relativeHeight="251660800" behindDoc="1" locked="0" layoutInCell="0" allowOverlap="1" wp14:anchorId="5FF8FAF4" wp14:editId="6DC05C9F">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w:t>
    </w:r>
    <w:r w:rsidR="00D669F3">
      <w:rPr>
        <w:spacing w:val="-2"/>
      </w:rPr>
      <w:t>-156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D98"/>
    <w:multiLevelType w:val="singleLevel"/>
    <w:tmpl w:val="47760D0E"/>
    <w:lvl w:ilvl="0">
      <w:start w:val="2"/>
      <w:numFmt w:val="decimal"/>
      <w:lvlText w:val="%1."/>
      <w:lvlJc w:val="left"/>
      <w:pPr>
        <w:tabs>
          <w:tab w:val="num" w:pos="1080"/>
        </w:tabs>
        <w:ind w:left="108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4679D8"/>
    <w:multiLevelType w:val="hybridMultilevel"/>
    <w:tmpl w:val="54304042"/>
    <w:lvl w:ilvl="0" w:tplc="F144602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55C3"/>
    <w:multiLevelType w:val="hybridMultilevel"/>
    <w:tmpl w:val="1A1CE71C"/>
    <w:lvl w:ilvl="0" w:tplc="5CEACF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B395C"/>
    <w:multiLevelType w:val="hybridMultilevel"/>
    <w:tmpl w:val="422E354E"/>
    <w:lvl w:ilvl="0" w:tplc="05DC0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DF4A25"/>
    <w:multiLevelType w:val="hybridMultilevel"/>
    <w:tmpl w:val="B676773A"/>
    <w:lvl w:ilvl="0" w:tplc="CC66E3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A44B72"/>
    <w:multiLevelType w:val="hybridMultilevel"/>
    <w:tmpl w:val="576E6A16"/>
    <w:lvl w:ilvl="0" w:tplc="D6DE93A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02E6C"/>
    <w:multiLevelType w:val="hybridMultilevel"/>
    <w:tmpl w:val="37F62140"/>
    <w:lvl w:ilvl="0" w:tplc="5F18B16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701033"/>
    <w:multiLevelType w:val="hybridMultilevel"/>
    <w:tmpl w:val="AF5CE034"/>
    <w:lvl w:ilvl="0" w:tplc="58CE2DC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A1CDF"/>
    <w:multiLevelType w:val="hybridMultilevel"/>
    <w:tmpl w:val="CE5E989E"/>
    <w:lvl w:ilvl="0" w:tplc="391E909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EE7BB7"/>
    <w:multiLevelType w:val="hybridMultilevel"/>
    <w:tmpl w:val="46CA227A"/>
    <w:lvl w:ilvl="0" w:tplc="0122CB4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630204"/>
    <w:multiLevelType w:val="hybridMultilevel"/>
    <w:tmpl w:val="EB466D9C"/>
    <w:lvl w:ilvl="0" w:tplc="34D05EB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9C4E19"/>
    <w:multiLevelType w:val="hybridMultilevel"/>
    <w:tmpl w:val="696488FE"/>
    <w:lvl w:ilvl="0" w:tplc="D944A6B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7263A8"/>
    <w:multiLevelType w:val="hybridMultilevel"/>
    <w:tmpl w:val="0AC81E58"/>
    <w:lvl w:ilvl="0" w:tplc="1A14DCA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5D06EE"/>
    <w:multiLevelType w:val="hybridMultilevel"/>
    <w:tmpl w:val="7C5EAE2A"/>
    <w:lvl w:ilvl="0" w:tplc="0246B7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BC1AA7"/>
    <w:multiLevelType w:val="singleLevel"/>
    <w:tmpl w:val="378E8964"/>
    <w:lvl w:ilvl="0">
      <w:start w:val="1"/>
      <w:numFmt w:val="decimal"/>
      <w:lvlText w:val="%1."/>
      <w:lvlJc w:val="left"/>
      <w:pPr>
        <w:tabs>
          <w:tab w:val="num" w:pos="1140"/>
        </w:tabs>
        <w:ind w:left="1140" w:hanging="420"/>
      </w:pPr>
      <w:rPr>
        <w:rFonts w:hint="default"/>
      </w:rPr>
    </w:lvl>
  </w:abstractNum>
  <w:num w:numId="1">
    <w:abstractNumId w:val="20"/>
  </w:num>
  <w:num w:numId="2">
    <w:abstractNumId w:val="0"/>
  </w:num>
  <w:num w:numId="3">
    <w:abstractNumId w:val="10"/>
  </w:num>
  <w:num w:numId="4">
    <w:abstractNumId w:val="15"/>
  </w:num>
  <w:num w:numId="5">
    <w:abstractNumId w:val="7"/>
  </w:num>
  <w:num w:numId="6">
    <w:abstractNumId w:val="13"/>
  </w:num>
  <w:num w:numId="7">
    <w:abstractNumId w:val="19"/>
  </w:num>
  <w:num w:numId="8">
    <w:abstractNumId w:val="4"/>
  </w:num>
  <w:num w:numId="9">
    <w:abstractNumId w:val="11"/>
  </w:num>
  <w:num w:numId="10">
    <w:abstractNumId w:val="17"/>
  </w:num>
  <w:num w:numId="11">
    <w:abstractNumId w:val="18"/>
  </w:num>
  <w:num w:numId="12">
    <w:abstractNumId w:val="2"/>
  </w:num>
  <w:num w:numId="13">
    <w:abstractNumId w:val="9"/>
  </w:num>
  <w:num w:numId="14">
    <w:abstractNumId w:val="3"/>
  </w:num>
  <w:num w:numId="15">
    <w:abstractNumId w:val="12"/>
  </w:num>
  <w:num w:numId="16">
    <w:abstractNumId w:val="5"/>
  </w:num>
  <w:num w:numId="17">
    <w:abstractNumId w:val="16"/>
  </w:num>
  <w:num w:numId="18">
    <w:abstractNumId w:val="8"/>
  </w:num>
  <w:num w:numId="19">
    <w:abstractNumId w:val="1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7A"/>
    <w:rsid w:val="00174A7A"/>
    <w:rsid w:val="001C61A6"/>
    <w:rsid w:val="001E577F"/>
    <w:rsid w:val="002D33C1"/>
    <w:rsid w:val="00311ED0"/>
    <w:rsid w:val="003455E8"/>
    <w:rsid w:val="003D1D79"/>
    <w:rsid w:val="003E1F87"/>
    <w:rsid w:val="004A6055"/>
    <w:rsid w:val="004F0D74"/>
    <w:rsid w:val="00546FA6"/>
    <w:rsid w:val="0055279E"/>
    <w:rsid w:val="005B3EE6"/>
    <w:rsid w:val="006611FC"/>
    <w:rsid w:val="007A7D64"/>
    <w:rsid w:val="00815770"/>
    <w:rsid w:val="00831E58"/>
    <w:rsid w:val="009071AD"/>
    <w:rsid w:val="00A07B9F"/>
    <w:rsid w:val="00A17090"/>
    <w:rsid w:val="00A95040"/>
    <w:rsid w:val="00A969AB"/>
    <w:rsid w:val="00AC59A5"/>
    <w:rsid w:val="00AF6025"/>
    <w:rsid w:val="00C103E8"/>
    <w:rsid w:val="00C6068B"/>
    <w:rsid w:val="00C941E7"/>
    <w:rsid w:val="00D669F3"/>
    <w:rsid w:val="00DE5126"/>
    <w:rsid w:val="00DE7E73"/>
    <w:rsid w:val="00E07DA3"/>
    <w:rsid w:val="00F268BE"/>
    <w:rsid w:val="00F46235"/>
    <w:rsid w:val="00FA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3D"/>
    <w:pPr>
      <w:widowControl w:val="0"/>
    </w:pPr>
    <w:rPr>
      <w:snapToGrid w:val="0"/>
      <w:kern w:val="28"/>
      <w:sz w:val="22"/>
    </w:rPr>
  </w:style>
  <w:style w:type="paragraph" w:styleId="Heading1">
    <w:name w:val="heading 1"/>
    <w:basedOn w:val="Normal"/>
    <w:next w:val="ParaNum"/>
    <w:qFormat/>
    <w:rsid w:val="00FA1C3D"/>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1C3D"/>
    <w:pPr>
      <w:keepNext/>
      <w:numPr>
        <w:ilvl w:val="1"/>
        <w:numId w:val="18"/>
      </w:numPr>
      <w:spacing w:after="120"/>
      <w:outlineLvl w:val="1"/>
    </w:pPr>
    <w:rPr>
      <w:b/>
    </w:rPr>
  </w:style>
  <w:style w:type="paragraph" w:styleId="Heading3">
    <w:name w:val="heading 3"/>
    <w:basedOn w:val="Normal"/>
    <w:next w:val="ParaNum"/>
    <w:link w:val="Heading3Char"/>
    <w:qFormat/>
    <w:rsid w:val="00FA1C3D"/>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FA1C3D"/>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FA1C3D"/>
    <w:pPr>
      <w:keepNext/>
      <w:numPr>
        <w:ilvl w:val="4"/>
        <w:numId w:val="18"/>
      </w:numPr>
      <w:tabs>
        <w:tab w:val="left" w:pos="3600"/>
      </w:tabs>
      <w:suppressAutoHyphens/>
      <w:spacing w:after="120"/>
      <w:outlineLvl w:val="4"/>
    </w:pPr>
    <w:rPr>
      <w:b/>
    </w:rPr>
  </w:style>
  <w:style w:type="paragraph" w:styleId="Heading6">
    <w:name w:val="heading 6"/>
    <w:basedOn w:val="Normal"/>
    <w:next w:val="ParaNum"/>
    <w:link w:val="Heading6Char"/>
    <w:qFormat/>
    <w:rsid w:val="00FA1C3D"/>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FA1C3D"/>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FA1C3D"/>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1C3D"/>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1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C3D"/>
  </w:style>
  <w:style w:type="paragraph" w:styleId="EndnoteText">
    <w:name w:val="endnote text"/>
    <w:basedOn w:val="Normal"/>
    <w:semiHidden/>
    <w:rsid w:val="00FA1C3D"/>
    <w:rPr>
      <w:sz w:val="20"/>
    </w:rPr>
  </w:style>
  <w:style w:type="character" w:styleId="EndnoteReference">
    <w:name w:val="endnote reference"/>
    <w:semiHidden/>
    <w:rsid w:val="00FA1C3D"/>
    <w:rPr>
      <w:vertAlign w:val="superscript"/>
    </w:rPr>
  </w:style>
  <w:style w:type="paragraph" w:styleId="FootnoteText">
    <w:name w:val="footnote text"/>
    <w:rsid w:val="00FA1C3D"/>
    <w:pPr>
      <w:spacing w:after="120"/>
    </w:pPr>
  </w:style>
  <w:style w:type="character" w:styleId="FootnoteReference">
    <w:name w:val="footnote reference"/>
    <w:rsid w:val="00FA1C3D"/>
    <w:rPr>
      <w:rFonts w:ascii="Times New Roman" w:hAnsi="Times New Roman"/>
      <w:dstrike w:val="0"/>
      <w:color w:val="auto"/>
      <w:sz w:val="20"/>
      <w:vertAlign w:val="superscript"/>
    </w:rPr>
  </w:style>
  <w:style w:type="paragraph" w:styleId="TOC1">
    <w:name w:val="toc 1"/>
    <w:basedOn w:val="Normal"/>
    <w:next w:val="Normal"/>
    <w:semiHidden/>
    <w:rsid w:val="00FA1C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1C3D"/>
    <w:pPr>
      <w:tabs>
        <w:tab w:val="left" w:pos="720"/>
        <w:tab w:val="right" w:leader="dot" w:pos="9360"/>
      </w:tabs>
      <w:suppressAutoHyphens/>
      <w:ind w:left="720" w:right="720" w:hanging="360"/>
    </w:pPr>
    <w:rPr>
      <w:noProof/>
    </w:rPr>
  </w:style>
  <w:style w:type="paragraph" w:styleId="TOC3">
    <w:name w:val="toc 3"/>
    <w:basedOn w:val="Normal"/>
    <w:next w:val="Normal"/>
    <w:semiHidden/>
    <w:rsid w:val="00FA1C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1C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1C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1C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1C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1C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1C3D"/>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FA1C3D"/>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rsid w:val="00FA1C3D"/>
  </w:style>
  <w:style w:type="paragraph" w:styleId="Header">
    <w:name w:val="header"/>
    <w:basedOn w:val="Normal"/>
    <w:autoRedefine/>
    <w:rsid w:val="00FA1C3D"/>
    <w:pPr>
      <w:tabs>
        <w:tab w:val="center" w:pos="4680"/>
        <w:tab w:val="right" w:pos="9360"/>
      </w:tabs>
    </w:pPr>
    <w:rPr>
      <w:b/>
    </w:rPr>
  </w:style>
  <w:style w:type="paragraph" w:styleId="Footer">
    <w:name w:val="footer"/>
    <w:basedOn w:val="Normal"/>
    <w:link w:val="FooterChar"/>
    <w:rsid w:val="00FA1C3D"/>
    <w:pPr>
      <w:tabs>
        <w:tab w:val="center" w:pos="4320"/>
        <w:tab w:val="right" w:pos="8640"/>
      </w:tabs>
    </w:pPr>
  </w:style>
  <w:style w:type="paragraph" w:styleId="BodyText">
    <w:name w:val="Body Text"/>
    <w:basedOn w:val="Normal"/>
    <w:pPr>
      <w:tabs>
        <w:tab w:val="left" w:pos="-1440"/>
        <w:tab w:val="left" w:pos="-720"/>
      </w:tabs>
      <w:suppressAutoHyphens/>
      <w:jc w:val="both"/>
    </w:pPr>
    <w:rPr>
      <w:spacing w:val="-3"/>
      <w:sz w:val="24"/>
    </w:rPr>
  </w:style>
  <w:style w:type="paragraph" w:styleId="BalloonText">
    <w:name w:val="Balloon Text"/>
    <w:basedOn w:val="Normal"/>
    <w:semiHidden/>
    <w:rsid w:val="00D71E2B"/>
    <w:rPr>
      <w:rFonts w:ascii="Tahoma" w:hAnsi="Tahoma" w:cs="Tahoma"/>
      <w:sz w:val="16"/>
      <w:szCs w:val="16"/>
    </w:rPr>
  </w:style>
  <w:style w:type="character" w:customStyle="1" w:styleId="Heading2Char">
    <w:name w:val="Heading 2 Char"/>
    <w:link w:val="Heading2"/>
    <w:rsid w:val="00882AE3"/>
    <w:rPr>
      <w:b/>
      <w:snapToGrid w:val="0"/>
      <w:kern w:val="28"/>
      <w:sz w:val="22"/>
    </w:rPr>
  </w:style>
  <w:style w:type="character" w:customStyle="1" w:styleId="Heading3Char">
    <w:name w:val="Heading 3 Char"/>
    <w:link w:val="Heading3"/>
    <w:rsid w:val="00882AE3"/>
    <w:rPr>
      <w:b/>
      <w:snapToGrid w:val="0"/>
      <w:kern w:val="28"/>
      <w:sz w:val="22"/>
    </w:rPr>
  </w:style>
  <w:style w:type="character" w:customStyle="1" w:styleId="Heading4Char">
    <w:name w:val="Heading 4 Char"/>
    <w:link w:val="Heading4"/>
    <w:rsid w:val="00882AE3"/>
    <w:rPr>
      <w:b/>
      <w:snapToGrid w:val="0"/>
      <w:kern w:val="28"/>
      <w:sz w:val="22"/>
    </w:rPr>
  </w:style>
  <w:style w:type="character" w:customStyle="1" w:styleId="Heading5Char">
    <w:name w:val="Heading 5 Char"/>
    <w:link w:val="Heading5"/>
    <w:rsid w:val="00882AE3"/>
    <w:rPr>
      <w:b/>
      <w:snapToGrid w:val="0"/>
      <w:kern w:val="28"/>
      <w:sz w:val="22"/>
    </w:rPr>
  </w:style>
  <w:style w:type="character" w:customStyle="1" w:styleId="Heading6Char">
    <w:name w:val="Heading 6 Char"/>
    <w:link w:val="Heading6"/>
    <w:rsid w:val="00882AE3"/>
    <w:rPr>
      <w:b/>
      <w:snapToGrid w:val="0"/>
      <w:kern w:val="28"/>
      <w:sz w:val="22"/>
    </w:rPr>
  </w:style>
  <w:style w:type="character" w:customStyle="1" w:styleId="Heading7Char">
    <w:name w:val="Heading 7 Char"/>
    <w:link w:val="Heading7"/>
    <w:rsid w:val="00882AE3"/>
    <w:rPr>
      <w:b/>
      <w:snapToGrid w:val="0"/>
      <w:kern w:val="28"/>
      <w:sz w:val="22"/>
    </w:rPr>
  </w:style>
  <w:style w:type="character" w:customStyle="1" w:styleId="Heading8Char">
    <w:name w:val="Heading 8 Char"/>
    <w:link w:val="Heading8"/>
    <w:rsid w:val="00882AE3"/>
    <w:rPr>
      <w:b/>
      <w:snapToGrid w:val="0"/>
      <w:kern w:val="28"/>
      <w:sz w:val="22"/>
    </w:rPr>
  </w:style>
  <w:style w:type="character" w:customStyle="1" w:styleId="Heading9Char">
    <w:name w:val="Heading 9 Char"/>
    <w:link w:val="Heading9"/>
    <w:rsid w:val="00882AE3"/>
    <w:rPr>
      <w:b/>
      <w:snapToGrid w:val="0"/>
      <w:kern w:val="28"/>
      <w:sz w:val="22"/>
    </w:rPr>
  </w:style>
  <w:style w:type="paragraph" w:customStyle="1" w:styleId="ParaNum">
    <w:name w:val="ParaNum"/>
    <w:basedOn w:val="Normal"/>
    <w:rsid w:val="00FA1C3D"/>
    <w:pPr>
      <w:numPr>
        <w:numId w:val="17"/>
      </w:numPr>
      <w:tabs>
        <w:tab w:val="clear" w:pos="1080"/>
        <w:tab w:val="num" w:pos="1440"/>
      </w:tabs>
      <w:spacing w:after="120"/>
    </w:pPr>
  </w:style>
  <w:style w:type="character" w:styleId="PageNumber">
    <w:name w:val="page number"/>
    <w:basedOn w:val="DefaultParagraphFont"/>
    <w:rsid w:val="00FA1C3D"/>
  </w:style>
  <w:style w:type="paragraph" w:styleId="BlockText">
    <w:name w:val="Block Text"/>
    <w:basedOn w:val="Normal"/>
    <w:rsid w:val="00FA1C3D"/>
    <w:pPr>
      <w:spacing w:after="240"/>
      <w:ind w:left="1440" w:right="1440"/>
    </w:pPr>
  </w:style>
  <w:style w:type="paragraph" w:customStyle="1" w:styleId="Paratitle">
    <w:name w:val="Para title"/>
    <w:basedOn w:val="Normal"/>
    <w:rsid w:val="00FA1C3D"/>
    <w:pPr>
      <w:tabs>
        <w:tab w:val="center" w:pos="9270"/>
      </w:tabs>
      <w:spacing w:after="240"/>
    </w:pPr>
    <w:rPr>
      <w:spacing w:val="-2"/>
    </w:rPr>
  </w:style>
  <w:style w:type="paragraph" w:customStyle="1" w:styleId="Bullet">
    <w:name w:val="Bullet"/>
    <w:basedOn w:val="Normal"/>
    <w:rsid w:val="00FA1C3D"/>
    <w:pPr>
      <w:tabs>
        <w:tab w:val="left" w:pos="2160"/>
      </w:tabs>
      <w:spacing w:after="220"/>
      <w:ind w:left="2160" w:hanging="720"/>
    </w:pPr>
  </w:style>
  <w:style w:type="paragraph" w:customStyle="1" w:styleId="TableFormat">
    <w:name w:val="TableFormat"/>
    <w:basedOn w:val="Bullet"/>
    <w:rsid w:val="00FA1C3D"/>
    <w:pPr>
      <w:tabs>
        <w:tab w:val="clear" w:pos="2160"/>
        <w:tab w:val="left" w:pos="5040"/>
      </w:tabs>
      <w:ind w:left="5040" w:hanging="3600"/>
    </w:pPr>
  </w:style>
  <w:style w:type="paragraph" w:customStyle="1" w:styleId="TOCTitle">
    <w:name w:val="TOC Title"/>
    <w:basedOn w:val="Normal"/>
    <w:rsid w:val="00FA1C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1C3D"/>
    <w:pPr>
      <w:jc w:val="center"/>
    </w:pPr>
    <w:rPr>
      <w:rFonts w:ascii="Times New Roman Bold" w:hAnsi="Times New Roman Bold"/>
      <w:b/>
      <w:bCs/>
      <w:caps/>
      <w:szCs w:val="22"/>
    </w:rPr>
  </w:style>
  <w:style w:type="character" w:styleId="Hyperlink">
    <w:name w:val="Hyperlink"/>
    <w:rsid w:val="00FA1C3D"/>
    <w:rPr>
      <w:color w:val="0000FF"/>
      <w:u w:val="single"/>
    </w:rPr>
  </w:style>
  <w:style w:type="character" w:styleId="CommentReference">
    <w:name w:val="annotation reference"/>
    <w:rsid w:val="006F61F9"/>
    <w:rPr>
      <w:sz w:val="16"/>
      <w:szCs w:val="16"/>
    </w:rPr>
  </w:style>
  <w:style w:type="paragraph" w:styleId="CommentText">
    <w:name w:val="annotation text"/>
    <w:basedOn w:val="Normal"/>
    <w:link w:val="CommentTextChar"/>
    <w:rsid w:val="006F61F9"/>
    <w:rPr>
      <w:sz w:val="20"/>
      <w:lang w:val="x-none" w:eastAsia="x-none"/>
    </w:rPr>
  </w:style>
  <w:style w:type="character" w:customStyle="1" w:styleId="CommentTextChar">
    <w:name w:val="Comment Text Char"/>
    <w:link w:val="CommentText"/>
    <w:rsid w:val="006F61F9"/>
    <w:rPr>
      <w:snapToGrid w:val="0"/>
      <w:kern w:val="28"/>
    </w:rPr>
  </w:style>
  <w:style w:type="paragraph" w:styleId="CommentSubject">
    <w:name w:val="annotation subject"/>
    <w:basedOn w:val="CommentText"/>
    <w:next w:val="CommentText"/>
    <w:link w:val="CommentSubjectChar"/>
    <w:rsid w:val="006F61F9"/>
    <w:rPr>
      <w:b/>
      <w:bCs/>
    </w:rPr>
  </w:style>
  <w:style w:type="character" w:customStyle="1" w:styleId="CommentSubjectChar">
    <w:name w:val="Comment Subject Char"/>
    <w:link w:val="CommentSubject"/>
    <w:rsid w:val="006F61F9"/>
    <w:rPr>
      <w:b/>
      <w:bCs/>
      <w:snapToGrid w:val="0"/>
      <w:kern w:val="28"/>
    </w:rPr>
  </w:style>
  <w:style w:type="character" w:customStyle="1" w:styleId="FooterChar">
    <w:name w:val="Footer Char"/>
    <w:basedOn w:val="DefaultParagraphFont"/>
    <w:link w:val="Footer"/>
    <w:rsid w:val="002D33C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3D"/>
    <w:pPr>
      <w:widowControl w:val="0"/>
    </w:pPr>
    <w:rPr>
      <w:snapToGrid w:val="0"/>
      <w:kern w:val="28"/>
      <w:sz w:val="22"/>
    </w:rPr>
  </w:style>
  <w:style w:type="paragraph" w:styleId="Heading1">
    <w:name w:val="heading 1"/>
    <w:basedOn w:val="Normal"/>
    <w:next w:val="ParaNum"/>
    <w:qFormat/>
    <w:rsid w:val="00FA1C3D"/>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1C3D"/>
    <w:pPr>
      <w:keepNext/>
      <w:numPr>
        <w:ilvl w:val="1"/>
        <w:numId w:val="18"/>
      </w:numPr>
      <w:spacing w:after="120"/>
      <w:outlineLvl w:val="1"/>
    </w:pPr>
    <w:rPr>
      <w:b/>
    </w:rPr>
  </w:style>
  <w:style w:type="paragraph" w:styleId="Heading3">
    <w:name w:val="heading 3"/>
    <w:basedOn w:val="Normal"/>
    <w:next w:val="ParaNum"/>
    <w:link w:val="Heading3Char"/>
    <w:qFormat/>
    <w:rsid w:val="00FA1C3D"/>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FA1C3D"/>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FA1C3D"/>
    <w:pPr>
      <w:keepNext/>
      <w:numPr>
        <w:ilvl w:val="4"/>
        <w:numId w:val="18"/>
      </w:numPr>
      <w:tabs>
        <w:tab w:val="left" w:pos="3600"/>
      </w:tabs>
      <w:suppressAutoHyphens/>
      <w:spacing w:after="120"/>
      <w:outlineLvl w:val="4"/>
    </w:pPr>
    <w:rPr>
      <w:b/>
    </w:rPr>
  </w:style>
  <w:style w:type="paragraph" w:styleId="Heading6">
    <w:name w:val="heading 6"/>
    <w:basedOn w:val="Normal"/>
    <w:next w:val="ParaNum"/>
    <w:link w:val="Heading6Char"/>
    <w:qFormat/>
    <w:rsid w:val="00FA1C3D"/>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FA1C3D"/>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FA1C3D"/>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1C3D"/>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1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C3D"/>
  </w:style>
  <w:style w:type="paragraph" w:styleId="EndnoteText">
    <w:name w:val="endnote text"/>
    <w:basedOn w:val="Normal"/>
    <w:semiHidden/>
    <w:rsid w:val="00FA1C3D"/>
    <w:rPr>
      <w:sz w:val="20"/>
    </w:rPr>
  </w:style>
  <w:style w:type="character" w:styleId="EndnoteReference">
    <w:name w:val="endnote reference"/>
    <w:semiHidden/>
    <w:rsid w:val="00FA1C3D"/>
    <w:rPr>
      <w:vertAlign w:val="superscript"/>
    </w:rPr>
  </w:style>
  <w:style w:type="paragraph" w:styleId="FootnoteText">
    <w:name w:val="footnote text"/>
    <w:rsid w:val="00FA1C3D"/>
    <w:pPr>
      <w:spacing w:after="120"/>
    </w:pPr>
  </w:style>
  <w:style w:type="character" w:styleId="FootnoteReference">
    <w:name w:val="footnote reference"/>
    <w:rsid w:val="00FA1C3D"/>
    <w:rPr>
      <w:rFonts w:ascii="Times New Roman" w:hAnsi="Times New Roman"/>
      <w:dstrike w:val="0"/>
      <w:color w:val="auto"/>
      <w:sz w:val="20"/>
      <w:vertAlign w:val="superscript"/>
    </w:rPr>
  </w:style>
  <w:style w:type="paragraph" w:styleId="TOC1">
    <w:name w:val="toc 1"/>
    <w:basedOn w:val="Normal"/>
    <w:next w:val="Normal"/>
    <w:semiHidden/>
    <w:rsid w:val="00FA1C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1C3D"/>
    <w:pPr>
      <w:tabs>
        <w:tab w:val="left" w:pos="720"/>
        <w:tab w:val="right" w:leader="dot" w:pos="9360"/>
      </w:tabs>
      <w:suppressAutoHyphens/>
      <w:ind w:left="720" w:right="720" w:hanging="360"/>
    </w:pPr>
    <w:rPr>
      <w:noProof/>
    </w:rPr>
  </w:style>
  <w:style w:type="paragraph" w:styleId="TOC3">
    <w:name w:val="toc 3"/>
    <w:basedOn w:val="Normal"/>
    <w:next w:val="Normal"/>
    <w:semiHidden/>
    <w:rsid w:val="00FA1C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1C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1C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1C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1C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1C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1C3D"/>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FA1C3D"/>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rsid w:val="00FA1C3D"/>
  </w:style>
  <w:style w:type="paragraph" w:styleId="Header">
    <w:name w:val="header"/>
    <w:basedOn w:val="Normal"/>
    <w:autoRedefine/>
    <w:rsid w:val="00FA1C3D"/>
    <w:pPr>
      <w:tabs>
        <w:tab w:val="center" w:pos="4680"/>
        <w:tab w:val="right" w:pos="9360"/>
      </w:tabs>
    </w:pPr>
    <w:rPr>
      <w:b/>
    </w:rPr>
  </w:style>
  <w:style w:type="paragraph" w:styleId="Footer">
    <w:name w:val="footer"/>
    <w:basedOn w:val="Normal"/>
    <w:link w:val="FooterChar"/>
    <w:rsid w:val="00FA1C3D"/>
    <w:pPr>
      <w:tabs>
        <w:tab w:val="center" w:pos="4320"/>
        <w:tab w:val="right" w:pos="8640"/>
      </w:tabs>
    </w:pPr>
  </w:style>
  <w:style w:type="paragraph" w:styleId="BodyText">
    <w:name w:val="Body Text"/>
    <w:basedOn w:val="Normal"/>
    <w:pPr>
      <w:tabs>
        <w:tab w:val="left" w:pos="-1440"/>
        <w:tab w:val="left" w:pos="-720"/>
      </w:tabs>
      <w:suppressAutoHyphens/>
      <w:jc w:val="both"/>
    </w:pPr>
    <w:rPr>
      <w:spacing w:val="-3"/>
      <w:sz w:val="24"/>
    </w:rPr>
  </w:style>
  <w:style w:type="paragraph" w:styleId="BalloonText">
    <w:name w:val="Balloon Text"/>
    <w:basedOn w:val="Normal"/>
    <w:semiHidden/>
    <w:rsid w:val="00D71E2B"/>
    <w:rPr>
      <w:rFonts w:ascii="Tahoma" w:hAnsi="Tahoma" w:cs="Tahoma"/>
      <w:sz w:val="16"/>
      <w:szCs w:val="16"/>
    </w:rPr>
  </w:style>
  <w:style w:type="character" w:customStyle="1" w:styleId="Heading2Char">
    <w:name w:val="Heading 2 Char"/>
    <w:link w:val="Heading2"/>
    <w:rsid w:val="00882AE3"/>
    <w:rPr>
      <w:b/>
      <w:snapToGrid w:val="0"/>
      <w:kern w:val="28"/>
      <w:sz w:val="22"/>
    </w:rPr>
  </w:style>
  <w:style w:type="character" w:customStyle="1" w:styleId="Heading3Char">
    <w:name w:val="Heading 3 Char"/>
    <w:link w:val="Heading3"/>
    <w:rsid w:val="00882AE3"/>
    <w:rPr>
      <w:b/>
      <w:snapToGrid w:val="0"/>
      <w:kern w:val="28"/>
      <w:sz w:val="22"/>
    </w:rPr>
  </w:style>
  <w:style w:type="character" w:customStyle="1" w:styleId="Heading4Char">
    <w:name w:val="Heading 4 Char"/>
    <w:link w:val="Heading4"/>
    <w:rsid w:val="00882AE3"/>
    <w:rPr>
      <w:b/>
      <w:snapToGrid w:val="0"/>
      <w:kern w:val="28"/>
      <w:sz w:val="22"/>
    </w:rPr>
  </w:style>
  <w:style w:type="character" w:customStyle="1" w:styleId="Heading5Char">
    <w:name w:val="Heading 5 Char"/>
    <w:link w:val="Heading5"/>
    <w:rsid w:val="00882AE3"/>
    <w:rPr>
      <w:b/>
      <w:snapToGrid w:val="0"/>
      <w:kern w:val="28"/>
      <w:sz w:val="22"/>
    </w:rPr>
  </w:style>
  <w:style w:type="character" w:customStyle="1" w:styleId="Heading6Char">
    <w:name w:val="Heading 6 Char"/>
    <w:link w:val="Heading6"/>
    <w:rsid w:val="00882AE3"/>
    <w:rPr>
      <w:b/>
      <w:snapToGrid w:val="0"/>
      <w:kern w:val="28"/>
      <w:sz w:val="22"/>
    </w:rPr>
  </w:style>
  <w:style w:type="character" w:customStyle="1" w:styleId="Heading7Char">
    <w:name w:val="Heading 7 Char"/>
    <w:link w:val="Heading7"/>
    <w:rsid w:val="00882AE3"/>
    <w:rPr>
      <w:b/>
      <w:snapToGrid w:val="0"/>
      <w:kern w:val="28"/>
      <w:sz w:val="22"/>
    </w:rPr>
  </w:style>
  <w:style w:type="character" w:customStyle="1" w:styleId="Heading8Char">
    <w:name w:val="Heading 8 Char"/>
    <w:link w:val="Heading8"/>
    <w:rsid w:val="00882AE3"/>
    <w:rPr>
      <w:b/>
      <w:snapToGrid w:val="0"/>
      <w:kern w:val="28"/>
      <w:sz w:val="22"/>
    </w:rPr>
  </w:style>
  <w:style w:type="character" w:customStyle="1" w:styleId="Heading9Char">
    <w:name w:val="Heading 9 Char"/>
    <w:link w:val="Heading9"/>
    <w:rsid w:val="00882AE3"/>
    <w:rPr>
      <w:b/>
      <w:snapToGrid w:val="0"/>
      <w:kern w:val="28"/>
      <w:sz w:val="22"/>
    </w:rPr>
  </w:style>
  <w:style w:type="paragraph" w:customStyle="1" w:styleId="ParaNum">
    <w:name w:val="ParaNum"/>
    <w:basedOn w:val="Normal"/>
    <w:rsid w:val="00FA1C3D"/>
    <w:pPr>
      <w:numPr>
        <w:numId w:val="17"/>
      </w:numPr>
      <w:tabs>
        <w:tab w:val="clear" w:pos="1080"/>
        <w:tab w:val="num" w:pos="1440"/>
      </w:tabs>
      <w:spacing w:after="120"/>
    </w:pPr>
  </w:style>
  <w:style w:type="character" w:styleId="PageNumber">
    <w:name w:val="page number"/>
    <w:basedOn w:val="DefaultParagraphFont"/>
    <w:rsid w:val="00FA1C3D"/>
  </w:style>
  <w:style w:type="paragraph" w:styleId="BlockText">
    <w:name w:val="Block Text"/>
    <w:basedOn w:val="Normal"/>
    <w:rsid w:val="00FA1C3D"/>
    <w:pPr>
      <w:spacing w:after="240"/>
      <w:ind w:left="1440" w:right="1440"/>
    </w:pPr>
  </w:style>
  <w:style w:type="paragraph" w:customStyle="1" w:styleId="Paratitle">
    <w:name w:val="Para title"/>
    <w:basedOn w:val="Normal"/>
    <w:rsid w:val="00FA1C3D"/>
    <w:pPr>
      <w:tabs>
        <w:tab w:val="center" w:pos="9270"/>
      </w:tabs>
      <w:spacing w:after="240"/>
    </w:pPr>
    <w:rPr>
      <w:spacing w:val="-2"/>
    </w:rPr>
  </w:style>
  <w:style w:type="paragraph" w:customStyle="1" w:styleId="Bullet">
    <w:name w:val="Bullet"/>
    <w:basedOn w:val="Normal"/>
    <w:rsid w:val="00FA1C3D"/>
    <w:pPr>
      <w:tabs>
        <w:tab w:val="left" w:pos="2160"/>
      </w:tabs>
      <w:spacing w:after="220"/>
      <w:ind w:left="2160" w:hanging="720"/>
    </w:pPr>
  </w:style>
  <w:style w:type="paragraph" w:customStyle="1" w:styleId="TableFormat">
    <w:name w:val="TableFormat"/>
    <w:basedOn w:val="Bullet"/>
    <w:rsid w:val="00FA1C3D"/>
    <w:pPr>
      <w:tabs>
        <w:tab w:val="clear" w:pos="2160"/>
        <w:tab w:val="left" w:pos="5040"/>
      </w:tabs>
      <w:ind w:left="5040" w:hanging="3600"/>
    </w:pPr>
  </w:style>
  <w:style w:type="paragraph" w:customStyle="1" w:styleId="TOCTitle">
    <w:name w:val="TOC Title"/>
    <w:basedOn w:val="Normal"/>
    <w:rsid w:val="00FA1C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1C3D"/>
    <w:pPr>
      <w:jc w:val="center"/>
    </w:pPr>
    <w:rPr>
      <w:rFonts w:ascii="Times New Roman Bold" w:hAnsi="Times New Roman Bold"/>
      <w:b/>
      <w:bCs/>
      <w:caps/>
      <w:szCs w:val="22"/>
    </w:rPr>
  </w:style>
  <w:style w:type="character" w:styleId="Hyperlink">
    <w:name w:val="Hyperlink"/>
    <w:rsid w:val="00FA1C3D"/>
    <w:rPr>
      <w:color w:val="0000FF"/>
      <w:u w:val="single"/>
    </w:rPr>
  </w:style>
  <w:style w:type="character" w:styleId="CommentReference">
    <w:name w:val="annotation reference"/>
    <w:rsid w:val="006F61F9"/>
    <w:rPr>
      <w:sz w:val="16"/>
      <w:szCs w:val="16"/>
    </w:rPr>
  </w:style>
  <w:style w:type="paragraph" w:styleId="CommentText">
    <w:name w:val="annotation text"/>
    <w:basedOn w:val="Normal"/>
    <w:link w:val="CommentTextChar"/>
    <w:rsid w:val="006F61F9"/>
    <w:rPr>
      <w:sz w:val="20"/>
      <w:lang w:val="x-none" w:eastAsia="x-none"/>
    </w:rPr>
  </w:style>
  <w:style w:type="character" w:customStyle="1" w:styleId="CommentTextChar">
    <w:name w:val="Comment Text Char"/>
    <w:link w:val="CommentText"/>
    <w:rsid w:val="006F61F9"/>
    <w:rPr>
      <w:snapToGrid w:val="0"/>
      <w:kern w:val="28"/>
    </w:rPr>
  </w:style>
  <w:style w:type="paragraph" w:styleId="CommentSubject">
    <w:name w:val="annotation subject"/>
    <w:basedOn w:val="CommentText"/>
    <w:next w:val="CommentText"/>
    <w:link w:val="CommentSubjectChar"/>
    <w:rsid w:val="006F61F9"/>
    <w:rPr>
      <w:b/>
      <w:bCs/>
    </w:rPr>
  </w:style>
  <w:style w:type="character" w:customStyle="1" w:styleId="CommentSubjectChar">
    <w:name w:val="Comment Subject Char"/>
    <w:link w:val="CommentSubject"/>
    <w:rsid w:val="006F61F9"/>
    <w:rPr>
      <w:b/>
      <w:bCs/>
      <w:snapToGrid w:val="0"/>
      <w:kern w:val="28"/>
    </w:rPr>
  </w:style>
  <w:style w:type="character" w:customStyle="1" w:styleId="FooterChar">
    <w:name w:val="Footer Char"/>
    <w:basedOn w:val="DefaultParagraphFont"/>
    <w:link w:val="Footer"/>
    <w:rsid w:val="002D33C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1862">
      <w:bodyDiv w:val="1"/>
      <w:marLeft w:val="0"/>
      <w:marRight w:val="0"/>
      <w:marTop w:val="0"/>
      <w:marBottom w:val="0"/>
      <w:divBdr>
        <w:top w:val="none" w:sz="0" w:space="0" w:color="auto"/>
        <w:left w:val="none" w:sz="0" w:space="0" w:color="auto"/>
        <w:bottom w:val="none" w:sz="0" w:space="0" w:color="auto"/>
        <w:right w:val="none" w:sz="0" w:space="0" w:color="auto"/>
      </w:divBdr>
    </w:div>
    <w:div w:id="9828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336</Words>
  <Characters>1907</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2014-09-30T19:20:00Z</cp:lastPrinted>
  <dcterms:created xsi:type="dcterms:W3CDTF">2014-10-15T18:30:00Z</dcterms:created>
  <dcterms:modified xsi:type="dcterms:W3CDTF">2014-10-15T18:30:00Z</dcterms:modified>
  <cp:category> </cp:category>
  <cp:contentStatus> </cp:contentStatus>
</cp:coreProperties>
</file>