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8835E" w14:textId="77777777" w:rsidR="004C2EE3" w:rsidRPr="005B4C0E" w:rsidRDefault="004C2EE3">
      <w:pPr>
        <w:jc w:val="center"/>
        <w:rPr>
          <w:b/>
        </w:rPr>
      </w:pPr>
      <w:bookmarkStart w:id="0" w:name="_GoBack"/>
      <w:bookmarkEnd w:id="0"/>
      <w:r w:rsidRPr="004C1A55">
        <w:rPr>
          <w:b/>
          <w:szCs w:val="22"/>
        </w:rPr>
        <w:t>Before</w:t>
      </w:r>
      <w:r w:rsidRPr="005B4C0E">
        <w:rPr>
          <w:b/>
        </w:rPr>
        <w:t xml:space="preserve"> the</w:t>
      </w:r>
    </w:p>
    <w:p w14:paraId="0C7472C3" w14:textId="77777777" w:rsidR="00921803" w:rsidRPr="004C1A55" w:rsidRDefault="00921803" w:rsidP="00921803">
      <w:pPr>
        <w:pStyle w:val="StyleBoldCentered"/>
        <w:rPr>
          <w:rFonts w:ascii="Times New Roman" w:hAnsi="Times New Roman"/>
        </w:rPr>
      </w:pPr>
      <w:r w:rsidRPr="004C1A55">
        <w:rPr>
          <w:rFonts w:ascii="Times New Roman" w:hAnsi="Times New Roman"/>
        </w:rPr>
        <w:t>F</w:t>
      </w:r>
      <w:r w:rsidRPr="004C1A55">
        <w:rPr>
          <w:rFonts w:ascii="Times New Roman" w:hAnsi="Times New Roman"/>
          <w:caps w:val="0"/>
        </w:rPr>
        <w:t>ederal Communications Commission</w:t>
      </w:r>
    </w:p>
    <w:p w14:paraId="6A634C7F" w14:textId="77777777" w:rsidR="004C2EE3" w:rsidRPr="004C1A55" w:rsidRDefault="00810B6F" w:rsidP="00096D8C">
      <w:pPr>
        <w:pStyle w:val="StyleBoldCentered"/>
        <w:rPr>
          <w:rFonts w:ascii="Times New Roman" w:hAnsi="Times New Roman"/>
        </w:rPr>
      </w:pPr>
      <w:r w:rsidRPr="004C1A55">
        <w:rPr>
          <w:rFonts w:ascii="Times New Roman" w:hAnsi="Times New Roman"/>
          <w:caps w:val="0"/>
        </w:rPr>
        <w:t>Washington, D.C. 20554</w:t>
      </w:r>
    </w:p>
    <w:p w14:paraId="7E7AA409" w14:textId="77777777" w:rsidR="004C2EE3" w:rsidRDefault="004C2EE3" w:rsidP="0070224F"/>
    <w:tbl>
      <w:tblPr>
        <w:tblpPr w:leftFromText="180" w:rightFromText="180" w:vertAnchor="page" w:horzAnchor="margin" w:tblpY="2662"/>
        <w:tblOverlap w:val="never"/>
        <w:tblW w:w="9576" w:type="dxa"/>
        <w:tblLayout w:type="fixed"/>
        <w:tblLook w:val="0000" w:firstRow="0" w:lastRow="0" w:firstColumn="0" w:lastColumn="0" w:noHBand="0" w:noVBand="0"/>
      </w:tblPr>
      <w:tblGrid>
        <w:gridCol w:w="4698"/>
        <w:gridCol w:w="630"/>
        <w:gridCol w:w="4248"/>
      </w:tblGrid>
      <w:tr w:rsidR="004C1A55" w:rsidRPr="0015002E" w14:paraId="35808D1A" w14:textId="77777777" w:rsidTr="004C1A55">
        <w:tc>
          <w:tcPr>
            <w:tcW w:w="4698" w:type="dxa"/>
          </w:tcPr>
          <w:p w14:paraId="41F3EFCB" w14:textId="77777777" w:rsidR="004C1A55" w:rsidRPr="0015002E" w:rsidRDefault="004C1A55" w:rsidP="004C1A55">
            <w:r w:rsidRPr="0015002E">
              <w:t>In the Matter of</w:t>
            </w:r>
          </w:p>
          <w:p w14:paraId="464328C5" w14:textId="77777777" w:rsidR="004C1A55" w:rsidRPr="0015002E" w:rsidRDefault="004C1A55" w:rsidP="004C1A55">
            <w:pPr>
              <w:tabs>
                <w:tab w:val="center" w:pos="4680"/>
              </w:tabs>
              <w:suppressAutoHyphens/>
              <w:rPr>
                <w:spacing w:val="-2"/>
              </w:rPr>
            </w:pPr>
          </w:p>
          <w:p w14:paraId="197FE83B" w14:textId="77777777" w:rsidR="004C1A55" w:rsidRPr="0015002E" w:rsidRDefault="004C1A55" w:rsidP="004C1A55">
            <w:r w:rsidRPr="0015002E">
              <w:t>Expanding the Economic and Innovation Opportunities of Spectrum Through Incentive Auctions</w:t>
            </w:r>
          </w:p>
          <w:p w14:paraId="5AFCF107" w14:textId="77777777" w:rsidR="004C1A55" w:rsidRPr="0015002E" w:rsidRDefault="004C1A55" w:rsidP="004C1A55">
            <w:pPr>
              <w:tabs>
                <w:tab w:val="center" w:pos="4680"/>
              </w:tabs>
              <w:suppressAutoHyphens/>
              <w:rPr>
                <w:spacing w:val="-2"/>
              </w:rPr>
            </w:pPr>
          </w:p>
          <w:p w14:paraId="34B79254" w14:textId="77777777" w:rsidR="004C1A55" w:rsidRPr="0015002E" w:rsidRDefault="004C1A55" w:rsidP="004C1A55">
            <w:r w:rsidRPr="0015002E">
              <w:t>Office of Engineering and Technology Releases and Seeks Comment on Updated OET-69 Software</w:t>
            </w:r>
          </w:p>
          <w:p w14:paraId="017572DE" w14:textId="77777777" w:rsidR="004C1A55" w:rsidRPr="0015002E" w:rsidRDefault="004C1A55" w:rsidP="004C1A55">
            <w:pPr>
              <w:tabs>
                <w:tab w:val="center" w:pos="4680"/>
              </w:tabs>
              <w:suppressAutoHyphens/>
              <w:rPr>
                <w:spacing w:val="-2"/>
              </w:rPr>
            </w:pPr>
          </w:p>
          <w:p w14:paraId="11C453AB" w14:textId="77777777" w:rsidR="004C1A55" w:rsidRPr="0015002E" w:rsidRDefault="004C1A55" w:rsidP="004C1A55">
            <w:r w:rsidRPr="0015002E">
              <w:t>Office of Engineering and Technology Seeks to Supplement the Incentive Auction Proceeding Record Regarding Potential Interference Between Broadcast Television and Wireless Services</w:t>
            </w:r>
          </w:p>
        </w:tc>
        <w:tc>
          <w:tcPr>
            <w:tcW w:w="630" w:type="dxa"/>
          </w:tcPr>
          <w:p w14:paraId="33CA7042" w14:textId="77777777" w:rsidR="004C1A55" w:rsidRPr="0015002E" w:rsidRDefault="004C1A55" w:rsidP="004C1A55">
            <w:pPr>
              <w:tabs>
                <w:tab w:val="center" w:pos="4680"/>
              </w:tabs>
              <w:suppressAutoHyphens/>
              <w:rPr>
                <w:b/>
                <w:spacing w:val="-2"/>
              </w:rPr>
            </w:pPr>
            <w:r w:rsidRPr="0015002E">
              <w:rPr>
                <w:b/>
                <w:spacing w:val="-2"/>
              </w:rPr>
              <w:t>)</w:t>
            </w:r>
          </w:p>
          <w:p w14:paraId="78416E99" w14:textId="77777777" w:rsidR="004C1A55" w:rsidRPr="0015002E" w:rsidRDefault="004C1A55" w:rsidP="004C1A55">
            <w:pPr>
              <w:tabs>
                <w:tab w:val="center" w:pos="4680"/>
              </w:tabs>
              <w:suppressAutoHyphens/>
              <w:rPr>
                <w:b/>
                <w:spacing w:val="-2"/>
              </w:rPr>
            </w:pPr>
            <w:r w:rsidRPr="0015002E">
              <w:rPr>
                <w:b/>
                <w:spacing w:val="-2"/>
              </w:rPr>
              <w:t>)</w:t>
            </w:r>
          </w:p>
          <w:p w14:paraId="013CEB3E" w14:textId="77777777" w:rsidR="004C1A55" w:rsidRPr="0015002E" w:rsidRDefault="004C1A55" w:rsidP="004C1A55">
            <w:pPr>
              <w:tabs>
                <w:tab w:val="center" w:pos="4680"/>
              </w:tabs>
              <w:suppressAutoHyphens/>
              <w:rPr>
                <w:b/>
                <w:spacing w:val="-2"/>
              </w:rPr>
            </w:pPr>
            <w:r w:rsidRPr="0015002E">
              <w:rPr>
                <w:b/>
                <w:spacing w:val="-2"/>
              </w:rPr>
              <w:t>)</w:t>
            </w:r>
          </w:p>
          <w:p w14:paraId="19196AF0" w14:textId="77777777" w:rsidR="004C1A55" w:rsidRPr="0015002E" w:rsidRDefault="004C1A55" w:rsidP="004C1A55">
            <w:pPr>
              <w:tabs>
                <w:tab w:val="center" w:pos="4680"/>
              </w:tabs>
              <w:suppressAutoHyphens/>
              <w:rPr>
                <w:b/>
                <w:spacing w:val="-2"/>
              </w:rPr>
            </w:pPr>
            <w:r w:rsidRPr="0015002E">
              <w:rPr>
                <w:b/>
                <w:spacing w:val="-2"/>
              </w:rPr>
              <w:t>)</w:t>
            </w:r>
            <w:r w:rsidRPr="0015002E">
              <w:rPr>
                <w:b/>
                <w:spacing w:val="-2"/>
              </w:rPr>
              <w:br/>
              <w:t>)</w:t>
            </w:r>
          </w:p>
          <w:p w14:paraId="7F28429D" w14:textId="77777777" w:rsidR="004C1A55" w:rsidRPr="0015002E" w:rsidRDefault="004C1A55" w:rsidP="004C1A55">
            <w:pPr>
              <w:tabs>
                <w:tab w:val="center" w:pos="4680"/>
              </w:tabs>
              <w:suppressAutoHyphens/>
              <w:rPr>
                <w:b/>
                <w:spacing w:val="-2"/>
              </w:rPr>
            </w:pPr>
            <w:r w:rsidRPr="0015002E">
              <w:rPr>
                <w:b/>
                <w:spacing w:val="-2"/>
              </w:rPr>
              <w:t>)</w:t>
            </w:r>
          </w:p>
          <w:p w14:paraId="46908D0A" w14:textId="77777777" w:rsidR="004C1A55" w:rsidRPr="0015002E" w:rsidRDefault="004C1A55" w:rsidP="004C1A55">
            <w:pPr>
              <w:tabs>
                <w:tab w:val="center" w:pos="4680"/>
              </w:tabs>
              <w:suppressAutoHyphens/>
              <w:rPr>
                <w:b/>
                <w:spacing w:val="-2"/>
              </w:rPr>
            </w:pPr>
            <w:r w:rsidRPr="0015002E">
              <w:rPr>
                <w:b/>
                <w:spacing w:val="-2"/>
              </w:rPr>
              <w:t>)</w:t>
            </w:r>
          </w:p>
          <w:p w14:paraId="327F8E94" w14:textId="77777777" w:rsidR="004C1A55" w:rsidRPr="0015002E" w:rsidRDefault="004C1A55" w:rsidP="004C1A55">
            <w:pPr>
              <w:tabs>
                <w:tab w:val="center" w:pos="4680"/>
              </w:tabs>
              <w:suppressAutoHyphens/>
              <w:rPr>
                <w:b/>
                <w:spacing w:val="-2"/>
              </w:rPr>
            </w:pPr>
            <w:r w:rsidRPr="0015002E">
              <w:rPr>
                <w:b/>
                <w:spacing w:val="-2"/>
              </w:rPr>
              <w:t>)</w:t>
            </w:r>
          </w:p>
          <w:p w14:paraId="628D845A" w14:textId="77777777" w:rsidR="004C1A55" w:rsidRPr="0015002E" w:rsidRDefault="004C1A55" w:rsidP="004C1A55">
            <w:pPr>
              <w:tabs>
                <w:tab w:val="center" w:pos="4680"/>
              </w:tabs>
              <w:suppressAutoHyphens/>
              <w:rPr>
                <w:b/>
                <w:spacing w:val="-2"/>
              </w:rPr>
            </w:pPr>
            <w:r w:rsidRPr="0015002E">
              <w:rPr>
                <w:b/>
                <w:spacing w:val="-2"/>
              </w:rPr>
              <w:t>)</w:t>
            </w:r>
          </w:p>
          <w:p w14:paraId="6A1B6090" w14:textId="77777777" w:rsidR="004C1A55" w:rsidRPr="0015002E" w:rsidRDefault="004C1A55" w:rsidP="004C1A55">
            <w:pPr>
              <w:tabs>
                <w:tab w:val="center" w:pos="4680"/>
              </w:tabs>
              <w:suppressAutoHyphens/>
              <w:rPr>
                <w:b/>
                <w:spacing w:val="-2"/>
              </w:rPr>
            </w:pPr>
            <w:r w:rsidRPr="0015002E">
              <w:rPr>
                <w:b/>
                <w:spacing w:val="-2"/>
              </w:rPr>
              <w:t>)</w:t>
            </w:r>
          </w:p>
          <w:p w14:paraId="3754556C" w14:textId="77777777" w:rsidR="004C1A55" w:rsidRPr="0015002E" w:rsidRDefault="004C1A55" w:rsidP="004C1A55">
            <w:pPr>
              <w:tabs>
                <w:tab w:val="center" w:pos="4680"/>
              </w:tabs>
              <w:suppressAutoHyphens/>
              <w:rPr>
                <w:b/>
                <w:spacing w:val="-2"/>
              </w:rPr>
            </w:pPr>
            <w:r w:rsidRPr="0015002E">
              <w:rPr>
                <w:b/>
                <w:spacing w:val="-2"/>
              </w:rPr>
              <w:t>)</w:t>
            </w:r>
          </w:p>
          <w:p w14:paraId="395DD34C" w14:textId="77777777" w:rsidR="004C1A55" w:rsidRPr="0015002E" w:rsidRDefault="004C1A55" w:rsidP="004C1A55">
            <w:pPr>
              <w:tabs>
                <w:tab w:val="center" w:pos="4680"/>
              </w:tabs>
              <w:suppressAutoHyphens/>
              <w:rPr>
                <w:b/>
                <w:spacing w:val="-2"/>
              </w:rPr>
            </w:pPr>
            <w:r w:rsidRPr="0015002E">
              <w:rPr>
                <w:b/>
                <w:spacing w:val="-2"/>
              </w:rPr>
              <w:t>)</w:t>
            </w:r>
          </w:p>
          <w:p w14:paraId="5F7FD3E3" w14:textId="77777777" w:rsidR="004C1A55" w:rsidRPr="0015002E" w:rsidRDefault="004C1A55" w:rsidP="004C1A55">
            <w:pPr>
              <w:tabs>
                <w:tab w:val="center" w:pos="4680"/>
              </w:tabs>
              <w:suppressAutoHyphens/>
              <w:rPr>
                <w:b/>
                <w:spacing w:val="-2"/>
              </w:rPr>
            </w:pPr>
            <w:r w:rsidRPr="0015002E">
              <w:rPr>
                <w:b/>
                <w:spacing w:val="-2"/>
              </w:rPr>
              <w:t>)</w:t>
            </w:r>
          </w:p>
          <w:p w14:paraId="45F09E08" w14:textId="77777777" w:rsidR="004C1A55" w:rsidRPr="0015002E" w:rsidRDefault="004C1A55" w:rsidP="004C1A55">
            <w:pPr>
              <w:tabs>
                <w:tab w:val="center" w:pos="4680"/>
              </w:tabs>
              <w:suppressAutoHyphens/>
              <w:rPr>
                <w:b/>
                <w:spacing w:val="-2"/>
              </w:rPr>
            </w:pPr>
            <w:r w:rsidRPr="0015002E">
              <w:rPr>
                <w:b/>
                <w:spacing w:val="-2"/>
              </w:rPr>
              <w:t>)</w:t>
            </w:r>
          </w:p>
        </w:tc>
        <w:tc>
          <w:tcPr>
            <w:tcW w:w="4248" w:type="dxa"/>
          </w:tcPr>
          <w:p w14:paraId="3AEB6855" w14:textId="77777777" w:rsidR="004C1A55" w:rsidRPr="0015002E" w:rsidRDefault="004C1A55" w:rsidP="004C1A55">
            <w:pPr>
              <w:tabs>
                <w:tab w:val="center" w:pos="4680"/>
              </w:tabs>
              <w:suppressAutoHyphens/>
              <w:rPr>
                <w:spacing w:val="-2"/>
              </w:rPr>
            </w:pPr>
          </w:p>
          <w:p w14:paraId="740E4D08" w14:textId="77777777" w:rsidR="004C1A55" w:rsidRPr="0015002E" w:rsidRDefault="004C1A55" w:rsidP="004C1A55">
            <w:pPr>
              <w:rPr>
                <w:spacing w:val="-2"/>
              </w:rPr>
            </w:pPr>
          </w:p>
          <w:p w14:paraId="63AE2909" w14:textId="77777777" w:rsidR="004C1A55" w:rsidRPr="0015002E" w:rsidRDefault="004C1A55" w:rsidP="004C1A55">
            <w:pPr>
              <w:tabs>
                <w:tab w:val="center" w:pos="4680"/>
              </w:tabs>
              <w:suppressAutoHyphens/>
              <w:rPr>
                <w:spacing w:val="-2"/>
              </w:rPr>
            </w:pPr>
            <w:r w:rsidRPr="0015002E">
              <w:rPr>
                <w:spacing w:val="-2"/>
              </w:rPr>
              <w:t>GN Docket No. 12-268</w:t>
            </w:r>
          </w:p>
          <w:p w14:paraId="2B69254C" w14:textId="77777777" w:rsidR="004C1A55" w:rsidRPr="0015002E" w:rsidRDefault="004C1A55" w:rsidP="004C1A55">
            <w:pPr>
              <w:tabs>
                <w:tab w:val="center" w:pos="4680"/>
              </w:tabs>
              <w:suppressAutoHyphens/>
              <w:rPr>
                <w:spacing w:val="-2"/>
              </w:rPr>
            </w:pPr>
          </w:p>
          <w:p w14:paraId="7BC8A514" w14:textId="77777777" w:rsidR="004C1A55" w:rsidRPr="0015002E" w:rsidRDefault="004C1A55" w:rsidP="004C1A55">
            <w:pPr>
              <w:tabs>
                <w:tab w:val="center" w:pos="4680"/>
              </w:tabs>
              <w:suppressAutoHyphens/>
              <w:rPr>
                <w:spacing w:val="-2"/>
              </w:rPr>
            </w:pPr>
          </w:p>
          <w:p w14:paraId="5B71F39D" w14:textId="77777777" w:rsidR="004C1A55" w:rsidRPr="0015002E" w:rsidRDefault="004C1A55" w:rsidP="004C1A55">
            <w:pPr>
              <w:tabs>
                <w:tab w:val="center" w:pos="4680"/>
              </w:tabs>
              <w:suppressAutoHyphens/>
              <w:rPr>
                <w:spacing w:val="-2"/>
              </w:rPr>
            </w:pPr>
          </w:p>
          <w:p w14:paraId="3D9BB7E9" w14:textId="77777777" w:rsidR="004C1A55" w:rsidRPr="0015002E" w:rsidRDefault="004C1A55" w:rsidP="004C1A55">
            <w:pPr>
              <w:tabs>
                <w:tab w:val="center" w:pos="4680"/>
              </w:tabs>
              <w:suppressAutoHyphens/>
              <w:rPr>
                <w:spacing w:val="-2"/>
              </w:rPr>
            </w:pPr>
            <w:r w:rsidRPr="0015002E">
              <w:rPr>
                <w:spacing w:val="-2"/>
              </w:rPr>
              <w:t>ET Docket No. 13-26</w:t>
            </w:r>
          </w:p>
          <w:p w14:paraId="19EB3260" w14:textId="77777777" w:rsidR="004C1A55" w:rsidRPr="0015002E" w:rsidRDefault="004C1A55" w:rsidP="004C1A55">
            <w:pPr>
              <w:tabs>
                <w:tab w:val="center" w:pos="4680"/>
              </w:tabs>
              <w:suppressAutoHyphens/>
              <w:rPr>
                <w:spacing w:val="-2"/>
              </w:rPr>
            </w:pPr>
          </w:p>
          <w:p w14:paraId="6EF84059" w14:textId="77777777" w:rsidR="004C1A55" w:rsidRPr="0015002E" w:rsidRDefault="004C1A55" w:rsidP="004C1A55">
            <w:pPr>
              <w:tabs>
                <w:tab w:val="center" w:pos="4680"/>
              </w:tabs>
              <w:suppressAutoHyphens/>
              <w:rPr>
                <w:spacing w:val="-2"/>
              </w:rPr>
            </w:pPr>
          </w:p>
          <w:p w14:paraId="44C98E5E" w14:textId="77777777" w:rsidR="004C1A55" w:rsidRPr="0015002E" w:rsidRDefault="004C1A55" w:rsidP="004C1A55">
            <w:pPr>
              <w:tabs>
                <w:tab w:val="center" w:pos="4680"/>
              </w:tabs>
              <w:suppressAutoHyphens/>
              <w:rPr>
                <w:spacing w:val="-2"/>
              </w:rPr>
            </w:pPr>
          </w:p>
          <w:p w14:paraId="036785B1" w14:textId="77777777" w:rsidR="004C1A55" w:rsidRPr="0015002E" w:rsidRDefault="004C1A55" w:rsidP="004C1A55">
            <w:pPr>
              <w:tabs>
                <w:tab w:val="center" w:pos="4680"/>
              </w:tabs>
              <w:suppressAutoHyphens/>
              <w:rPr>
                <w:spacing w:val="-2"/>
              </w:rPr>
            </w:pPr>
            <w:r w:rsidRPr="0015002E">
              <w:rPr>
                <w:spacing w:val="-2"/>
              </w:rPr>
              <w:t>ET Docket No. 14-14</w:t>
            </w:r>
          </w:p>
        </w:tc>
      </w:tr>
    </w:tbl>
    <w:p w14:paraId="1FB1E1F5" w14:textId="77777777" w:rsidR="004C1A55" w:rsidRDefault="004C1A55" w:rsidP="0070224F"/>
    <w:p w14:paraId="063640BC" w14:textId="77777777" w:rsidR="001855C4" w:rsidRPr="0015002E" w:rsidRDefault="001855C4" w:rsidP="001855C4">
      <w:pPr>
        <w:jc w:val="center"/>
        <w:rPr>
          <w:b/>
          <w:bCs/>
          <w:caps/>
        </w:rPr>
      </w:pPr>
      <w:r w:rsidRPr="0015002E">
        <w:rPr>
          <w:b/>
          <w:bCs/>
          <w:caps/>
        </w:rPr>
        <w:t xml:space="preserve">SECOND REPORT AND ORDER and </w:t>
      </w:r>
    </w:p>
    <w:p w14:paraId="6A5E1FC5" w14:textId="77777777" w:rsidR="001855C4" w:rsidRDefault="001855C4" w:rsidP="001855C4">
      <w:pPr>
        <w:jc w:val="center"/>
        <w:rPr>
          <w:b/>
          <w:bCs/>
          <w:caps/>
        </w:rPr>
      </w:pPr>
      <w:r w:rsidRPr="0015002E">
        <w:rPr>
          <w:b/>
          <w:bCs/>
          <w:caps/>
        </w:rPr>
        <w:t>further notice of proposed rulemaking</w:t>
      </w:r>
      <w:r w:rsidR="005E371C">
        <w:rPr>
          <w:b/>
          <w:bCs/>
          <w:caps/>
        </w:rPr>
        <w:t xml:space="preserve"> </w:t>
      </w:r>
    </w:p>
    <w:p w14:paraId="6B088A77" w14:textId="77777777" w:rsidR="004C2EE3" w:rsidRDefault="004C2EE3">
      <w:pPr>
        <w:tabs>
          <w:tab w:val="left" w:pos="-720"/>
        </w:tabs>
        <w:suppressAutoHyphens/>
        <w:spacing w:line="227" w:lineRule="auto"/>
        <w:rPr>
          <w:spacing w:val="-2"/>
        </w:rPr>
      </w:pPr>
    </w:p>
    <w:p w14:paraId="41B4E959" w14:textId="0BDC23AE" w:rsidR="004C2EE3" w:rsidRDefault="004C2EE3" w:rsidP="00133F79">
      <w:pPr>
        <w:tabs>
          <w:tab w:val="left" w:pos="720"/>
          <w:tab w:val="right" w:pos="9360"/>
        </w:tabs>
        <w:suppressAutoHyphens/>
        <w:spacing w:line="227" w:lineRule="auto"/>
        <w:rPr>
          <w:b/>
          <w:spacing w:val="-2"/>
        </w:rPr>
      </w:pPr>
      <w:r>
        <w:rPr>
          <w:b/>
          <w:spacing w:val="-2"/>
        </w:rPr>
        <w:t xml:space="preserve">Adopted:  </w:t>
      </w:r>
      <w:r w:rsidR="009042B9">
        <w:rPr>
          <w:b/>
          <w:spacing w:val="-2"/>
        </w:rPr>
        <w:t>October 16,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E5F4F">
        <w:rPr>
          <w:b/>
          <w:spacing w:val="-2"/>
        </w:rPr>
        <w:t>October 17, 2014</w:t>
      </w:r>
    </w:p>
    <w:p w14:paraId="1103CBF9" w14:textId="77777777" w:rsidR="00EE5402" w:rsidRDefault="00EE5402" w:rsidP="00133F79">
      <w:pPr>
        <w:tabs>
          <w:tab w:val="left" w:pos="720"/>
          <w:tab w:val="right" w:pos="9360"/>
        </w:tabs>
        <w:suppressAutoHyphens/>
        <w:spacing w:line="227" w:lineRule="auto"/>
        <w:rPr>
          <w:b/>
          <w:spacing w:val="-2"/>
        </w:rPr>
      </w:pPr>
    </w:p>
    <w:p w14:paraId="60025511" w14:textId="36241F08" w:rsidR="00C552A8" w:rsidRPr="00AB6C6E" w:rsidRDefault="00C552A8" w:rsidP="00C552A8">
      <w:pPr>
        <w:tabs>
          <w:tab w:val="left" w:pos="5760"/>
        </w:tabs>
        <w:suppressAutoHyphens/>
        <w:rPr>
          <w:b/>
          <w:szCs w:val="22"/>
        </w:rPr>
      </w:pPr>
      <w:r w:rsidRPr="00AB6C6E">
        <w:rPr>
          <w:b/>
          <w:szCs w:val="22"/>
        </w:rPr>
        <w:t>Comment Date:  (</w:t>
      </w:r>
      <w:r>
        <w:rPr>
          <w:b/>
          <w:szCs w:val="22"/>
        </w:rPr>
        <w:t>30</w:t>
      </w:r>
      <w:r w:rsidRPr="00AB6C6E">
        <w:rPr>
          <w:b/>
          <w:szCs w:val="22"/>
        </w:rPr>
        <w:t xml:space="preserve"> days after the date of publication in the Federal Register) </w:t>
      </w:r>
    </w:p>
    <w:p w14:paraId="54865D91" w14:textId="53A5702E" w:rsidR="00C552A8" w:rsidRPr="00AB6C6E" w:rsidRDefault="00C552A8" w:rsidP="00C552A8">
      <w:pPr>
        <w:tabs>
          <w:tab w:val="left" w:pos="5760"/>
        </w:tabs>
        <w:suppressAutoHyphens/>
        <w:rPr>
          <w:szCs w:val="22"/>
        </w:rPr>
      </w:pPr>
      <w:r w:rsidRPr="00AB6C6E">
        <w:rPr>
          <w:b/>
          <w:szCs w:val="22"/>
        </w:rPr>
        <w:t xml:space="preserve">Reply </w:t>
      </w:r>
      <w:r w:rsidR="003707D4">
        <w:rPr>
          <w:b/>
          <w:szCs w:val="22"/>
        </w:rPr>
        <w:t xml:space="preserve">Comment </w:t>
      </w:r>
      <w:r w:rsidRPr="00AB6C6E">
        <w:rPr>
          <w:b/>
          <w:szCs w:val="22"/>
        </w:rPr>
        <w:t>Date:  (</w:t>
      </w:r>
      <w:r>
        <w:rPr>
          <w:b/>
          <w:szCs w:val="22"/>
        </w:rPr>
        <w:t>45</w:t>
      </w:r>
      <w:r w:rsidRPr="00AB6C6E">
        <w:rPr>
          <w:b/>
          <w:szCs w:val="22"/>
        </w:rPr>
        <w:t xml:space="preserve"> days after the date of publication in the Federal Register)</w:t>
      </w:r>
    </w:p>
    <w:p w14:paraId="5775DF3F" w14:textId="77777777" w:rsidR="00C552A8" w:rsidRDefault="00C552A8" w:rsidP="00133F79">
      <w:pPr>
        <w:tabs>
          <w:tab w:val="left" w:pos="720"/>
          <w:tab w:val="right" w:pos="9360"/>
        </w:tabs>
        <w:suppressAutoHyphens/>
        <w:spacing w:line="227" w:lineRule="auto"/>
        <w:rPr>
          <w:b/>
          <w:spacing w:val="-2"/>
        </w:rPr>
      </w:pPr>
    </w:p>
    <w:p w14:paraId="59B4CCE6" w14:textId="4158DA69" w:rsidR="00EE5402" w:rsidRDefault="00EE5402" w:rsidP="00133F79">
      <w:pPr>
        <w:tabs>
          <w:tab w:val="left" w:pos="720"/>
          <w:tab w:val="right" w:pos="9360"/>
        </w:tabs>
        <w:suppressAutoHyphens/>
        <w:spacing w:line="227" w:lineRule="auto"/>
        <w:rPr>
          <w:spacing w:val="-2"/>
        </w:rPr>
      </w:pPr>
      <w:r w:rsidRPr="00EE5402">
        <w:rPr>
          <w:spacing w:val="-2"/>
        </w:rPr>
        <w:t>By the Commission:</w:t>
      </w:r>
      <w:r>
        <w:rPr>
          <w:spacing w:val="-2"/>
        </w:rPr>
        <w:t xml:space="preserve">  Commissioner Pai issuing </w:t>
      </w:r>
      <w:r w:rsidR="003707D4">
        <w:rPr>
          <w:spacing w:val="-2"/>
        </w:rPr>
        <w:t>a</w:t>
      </w:r>
      <w:r>
        <w:rPr>
          <w:spacing w:val="-2"/>
        </w:rPr>
        <w:t xml:space="preserve"> statement.</w:t>
      </w:r>
    </w:p>
    <w:p w14:paraId="7B6FD18E" w14:textId="77777777" w:rsidR="00897EBD" w:rsidRPr="00EE5402" w:rsidRDefault="00897EBD" w:rsidP="00133F79">
      <w:pPr>
        <w:tabs>
          <w:tab w:val="left" w:pos="720"/>
          <w:tab w:val="right" w:pos="9360"/>
        </w:tabs>
        <w:suppressAutoHyphens/>
        <w:spacing w:line="227" w:lineRule="auto"/>
        <w:rPr>
          <w:spacing w:val="-2"/>
        </w:rPr>
      </w:pPr>
    </w:p>
    <w:p w14:paraId="2419B0CA" w14:textId="7CC00E8B" w:rsidR="006510FF" w:rsidRDefault="006510FF" w:rsidP="006510FF">
      <w:pPr>
        <w:pStyle w:val="TOCTitle"/>
      </w:pPr>
      <w:bookmarkStart w:id="1" w:name="TOChere"/>
      <w:r>
        <w:t>Table of Contents</w:t>
      </w:r>
    </w:p>
    <w:p w14:paraId="6EFAE5FA" w14:textId="2F55EB62" w:rsidR="006510FF" w:rsidRDefault="006510FF" w:rsidP="006510FF">
      <w:pPr>
        <w:pStyle w:val="Paratitle"/>
      </w:pPr>
      <w:r>
        <w:t>Heading</w:t>
      </w:r>
      <w:r>
        <w:tab/>
        <w:t>Paragraph #</w:t>
      </w:r>
      <w:bookmarkStart w:id="2" w:name="start_here"/>
      <w:bookmarkEnd w:id="2"/>
    </w:p>
    <w:p w14:paraId="3BCF3739" w14:textId="231B1205" w:rsidR="006510FF" w:rsidRDefault="006510FF" w:rsidP="006510FF">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17865296" w14:textId="75A9D063" w:rsidR="006510FF" w:rsidRDefault="006510FF" w:rsidP="006510FF">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Second Report and Order</w:t>
      </w:r>
      <w:r>
        <w:tab/>
        <w:t>2</w:t>
      </w:r>
    </w:p>
    <w:p w14:paraId="171B05E8" w14:textId="6144B5B5" w:rsidR="006510FF" w:rsidRDefault="006510FF" w:rsidP="006510FF">
      <w:pPr>
        <w:pStyle w:val="TOC2"/>
        <w:tabs>
          <w:tab w:val="left" w:pos="360"/>
        </w:tabs>
        <w:rPr>
          <w:rFonts w:asciiTheme="minorHAnsi" w:eastAsiaTheme="minorEastAsia" w:hAnsiTheme="minorHAnsi" w:cstheme="minorBidi"/>
          <w:snapToGrid/>
          <w:kern w:val="0"/>
          <w:szCs w:val="22"/>
        </w:rPr>
      </w:pPr>
      <w:r>
        <w:rPr>
          <w:lang w:eastAsia="ja-JP"/>
        </w:rPr>
        <w:t>A.</w:t>
      </w:r>
      <w:r>
        <w:rPr>
          <w:rFonts w:asciiTheme="minorHAnsi" w:eastAsiaTheme="minorEastAsia" w:hAnsiTheme="minorHAnsi" w:cstheme="minorBidi"/>
          <w:snapToGrid/>
          <w:kern w:val="0"/>
          <w:szCs w:val="22"/>
        </w:rPr>
        <w:tab/>
      </w:r>
      <w:r>
        <w:rPr>
          <w:lang w:eastAsia="ja-JP"/>
        </w:rPr>
        <w:t>Requested Additional Limits on New Interference in the Repacking Process</w:t>
      </w:r>
      <w:r>
        <w:tab/>
        <w:t>2</w:t>
      </w:r>
    </w:p>
    <w:p w14:paraId="02BE5EB7" w14:textId="577FB391" w:rsidR="006510FF" w:rsidRDefault="006510FF" w:rsidP="006510F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3</w:t>
      </w:r>
    </w:p>
    <w:p w14:paraId="5C444641" w14:textId="5B46592F" w:rsidR="006510FF" w:rsidRDefault="006510FF" w:rsidP="006510FF">
      <w:pPr>
        <w:pStyle w:val="TOC3"/>
        <w:tabs>
          <w:tab w:val="left" w:pos="360"/>
        </w:tabs>
        <w:rPr>
          <w:rFonts w:asciiTheme="minorHAnsi" w:eastAsiaTheme="minorEastAsia" w:hAnsiTheme="minorHAnsi" w:cstheme="minorBidi"/>
          <w:snapToGrid/>
          <w:kern w:val="0"/>
          <w:szCs w:val="22"/>
        </w:rPr>
      </w:pPr>
      <w:r w:rsidRPr="007103D3">
        <w:rPr>
          <w:rFonts w:eastAsia="Calibri"/>
        </w:rPr>
        <w:t>2.</w:t>
      </w:r>
      <w:r>
        <w:rPr>
          <w:rFonts w:asciiTheme="minorHAnsi" w:eastAsiaTheme="minorEastAsia" w:hAnsiTheme="minorHAnsi" w:cstheme="minorBidi"/>
          <w:snapToGrid/>
          <w:kern w:val="0"/>
          <w:szCs w:val="22"/>
        </w:rPr>
        <w:tab/>
      </w:r>
      <w:r w:rsidRPr="007103D3">
        <w:rPr>
          <w:rFonts w:eastAsia="Calibri"/>
        </w:rPr>
        <w:t>Discussion</w:t>
      </w:r>
      <w:r>
        <w:tab/>
        <w:t>6</w:t>
      </w:r>
    </w:p>
    <w:p w14:paraId="42481929" w14:textId="7C43A6EC" w:rsidR="006510FF" w:rsidRDefault="006510FF" w:rsidP="006510FF">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7103D3">
        <w:rPr>
          <w:rFonts w:eastAsia="Calibri"/>
        </w:rPr>
        <w:t>Stations are Highly Unlikely to Experience Aggregate Interference of More than One Percent</w:t>
      </w:r>
      <w:r>
        <w:tab/>
        <w:t>6</w:t>
      </w:r>
    </w:p>
    <w:p w14:paraId="62FA19CD" w14:textId="0FB6A3D6" w:rsidR="006510FF" w:rsidRDefault="006510FF" w:rsidP="006510FF">
      <w:pPr>
        <w:pStyle w:val="TOC4"/>
        <w:tabs>
          <w:tab w:val="left" w:pos="360"/>
        </w:tabs>
        <w:rPr>
          <w:rFonts w:asciiTheme="minorHAnsi" w:eastAsiaTheme="minorEastAsia" w:hAnsiTheme="minorHAnsi" w:cstheme="minorBidi"/>
          <w:snapToGrid/>
          <w:kern w:val="0"/>
          <w:szCs w:val="22"/>
        </w:rPr>
      </w:pPr>
      <w:r w:rsidRPr="007103D3">
        <w:rPr>
          <w:rFonts w:eastAsia="Calibri"/>
        </w:rPr>
        <w:t>b.</w:t>
      </w:r>
      <w:r>
        <w:rPr>
          <w:rFonts w:asciiTheme="minorHAnsi" w:eastAsiaTheme="minorEastAsia" w:hAnsiTheme="minorHAnsi" w:cstheme="minorBidi"/>
          <w:snapToGrid/>
          <w:kern w:val="0"/>
          <w:szCs w:val="22"/>
        </w:rPr>
        <w:tab/>
      </w:r>
      <w:r>
        <w:t>Measures to Address Aggregate Interference of More than One Percent in Exceptional Cases</w:t>
      </w:r>
      <w:r>
        <w:tab/>
        <w:t>14</w:t>
      </w:r>
    </w:p>
    <w:p w14:paraId="2FBCBA7F" w14:textId="7A3C8D61" w:rsidR="006510FF" w:rsidRDefault="006510FF" w:rsidP="006510FF">
      <w:pPr>
        <w:pStyle w:val="TOC4"/>
        <w:tabs>
          <w:tab w:val="left" w:pos="360"/>
        </w:tabs>
        <w:rPr>
          <w:rFonts w:asciiTheme="minorHAnsi" w:eastAsiaTheme="minorEastAsia" w:hAnsiTheme="minorHAnsi" w:cstheme="minorBidi"/>
          <w:snapToGrid/>
          <w:kern w:val="0"/>
          <w:szCs w:val="22"/>
        </w:rPr>
      </w:pPr>
      <w:r w:rsidRPr="007103D3">
        <w:rPr>
          <w:rFonts w:eastAsia="Calibri"/>
        </w:rPr>
        <w:t>c.</w:t>
      </w:r>
      <w:r>
        <w:rPr>
          <w:rFonts w:asciiTheme="minorHAnsi" w:eastAsiaTheme="minorEastAsia" w:hAnsiTheme="minorHAnsi" w:cstheme="minorBidi"/>
          <w:snapToGrid/>
          <w:kern w:val="0"/>
          <w:szCs w:val="22"/>
        </w:rPr>
        <w:tab/>
      </w:r>
      <w:r>
        <w:t>An</w:t>
      </w:r>
      <w:r w:rsidRPr="007103D3">
        <w:rPr>
          <w:rFonts w:eastAsia="Calibri"/>
        </w:rPr>
        <w:t xml:space="preserve"> Aggregate Cap W</w:t>
      </w:r>
      <w:r>
        <w:t>ould Deprive the Reverse Auction Bidding Process of Its Speed and Threaten the Success of the Auction</w:t>
      </w:r>
      <w:r>
        <w:tab/>
        <w:t>16</w:t>
      </w:r>
    </w:p>
    <w:p w14:paraId="764B58A0" w14:textId="0C5D63F6" w:rsidR="006510FF" w:rsidRDefault="006510FF" w:rsidP="006510FF">
      <w:pPr>
        <w:pStyle w:val="TOC4"/>
        <w:tabs>
          <w:tab w:val="left" w:pos="360"/>
        </w:tabs>
        <w:rPr>
          <w:rFonts w:asciiTheme="minorHAnsi" w:eastAsiaTheme="minorEastAsia" w:hAnsiTheme="minorHAnsi" w:cstheme="minorBidi"/>
          <w:snapToGrid/>
          <w:kern w:val="0"/>
          <w:szCs w:val="22"/>
        </w:rPr>
      </w:pPr>
      <w:r w:rsidRPr="007103D3">
        <w:rPr>
          <w:rFonts w:eastAsia="Calibri"/>
        </w:rPr>
        <w:t>d.</w:t>
      </w:r>
      <w:r>
        <w:rPr>
          <w:rFonts w:asciiTheme="minorHAnsi" w:eastAsiaTheme="minorEastAsia" w:hAnsiTheme="minorHAnsi" w:cstheme="minorBidi"/>
          <w:snapToGrid/>
          <w:kern w:val="0"/>
          <w:szCs w:val="22"/>
        </w:rPr>
        <w:tab/>
      </w:r>
      <w:r w:rsidRPr="007103D3">
        <w:rPr>
          <w:rFonts w:eastAsia="Calibri"/>
        </w:rPr>
        <w:t>Proposed Cap on Any New Interference to Certain Stations</w:t>
      </w:r>
      <w:r>
        <w:tab/>
        <w:t>20</w:t>
      </w:r>
    </w:p>
    <w:p w14:paraId="4393DEB2" w14:textId="27B5CE09" w:rsidR="006510FF" w:rsidRDefault="006510FF" w:rsidP="006510FF">
      <w:pPr>
        <w:pStyle w:val="TOC4"/>
        <w:tabs>
          <w:tab w:val="left" w:pos="360"/>
        </w:tabs>
        <w:rPr>
          <w:rFonts w:asciiTheme="minorHAnsi" w:eastAsiaTheme="minorEastAsia" w:hAnsiTheme="minorHAnsi" w:cstheme="minorBidi"/>
          <w:snapToGrid/>
          <w:kern w:val="0"/>
          <w:szCs w:val="22"/>
        </w:rPr>
      </w:pPr>
      <w:r w:rsidRPr="007103D3">
        <w:rPr>
          <w:rFonts w:eastAsia="Calibri"/>
        </w:rPr>
        <w:t>e.</w:t>
      </w:r>
      <w:r>
        <w:rPr>
          <w:rFonts w:asciiTheme="minorHAnsi" w:eastAsiaTheme="minorEastAsia" w:hAnsiTheme="minorHAnsi" w:cstheme="minorBidi"/>
          <w:snapToGrid/>
          <w:kern w:val="0"/>
          <w:szCs w:val="22"/>
        </w:rPr>
        <w:tab/>
      </w:r>
      <w:r w:rsidRPr="007103D3">
        <w:rPr>
          <w:rFonts w:eastAsia="Calibri"/>
        </w:rPr>
        <w:t>Requested Cap on Viewer Losses Due to Channel Reassignments</w:t>
      </w:r>
      <w:r>
        <w:tab/>
        <w:t>21</w:t>
      </w:r>
    </w:p>
    <w:p w14:paraId="1AD33426" w14:textId="7B261D9C" w:rsidR="006510FF" w:rsidRDefault="006510FF" w:rsidP="006510F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ISIX Methodology and Input Values To Determine 600 MHz Band Wireless License Area Impairments During the Incentive Auction</w:t>
      </w:r>
      <w:r>
        <w:tab/>
        <w:t>23</w:t>
      </w:r>
    </w:p>
    <w:p w14:paraId="33845558" w14:textId="53965D64" w:rsidR="006510FF" w:rsidRDefault="006510FF" w:rsidP="006510F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26</w:t>
      </w:r>
    </w:p>
    <w:p w14:paraId="76CAEC01" w14:textId="62B0D985" w:rsidR="006510FF" w:rsidRDefault="006510FF" w:rsidP="006510F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Discussion</w:t>
      </w:r>
      <w:r>
        <w:tab/>
        <w:t>36</w:t>
      </w:r>
    </w:p>
    <w:p w14:paraId="61CCD6CD" w14:textId="2CF2B49D" w:rsidR="006510FF" w:rsidRDefault="006510FF" w:rsidP="006510FF">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Digital Television to Wireless Interference (Cases 1 and 2)</w:t>
      </w:r>
      <w:r>
        <w:tab/>
        <w:t>36</w:t>
      </w:r>
    </w:p>
    <w:p w14:paraId="0A595AA8" w14:textId="11D5C455" w:rsidR="006510FF" w:rsidRDefault="006510FF" w:rsidP="006510FF">
      <w:pPr>
        <w:pStyle w:val="TOC4"/>
        <w:tabs>
          <w:tab w:val="left" w:pos="360"/>
        </w:tabs>
        <w:rPr>
          <w:rFonts w:asciiTheme="minorHAnsi" w:eastAsiaTheme="minorEastAsia" w:hAnsiTheme="minorHAnsi" w:cstheme="minorBidi"/>
          <w:snapToGrid/>
          <w:kern w:val="0"/>
          <w:szCs w:val="22"/>
        </w:rPr>
      </w:pPr>
      <w:r>
        <w:lastRenderedPageBreak/>
        <w:t>b.</w:t>
      </w:r>
      <w:r>
        <w:rPr>
          <w:rFonts w:asciiTheme="minorHAnsi" w:eastAsiaTheme="minorEastAsia" w:hAnsiTheme="minorHAnsi" w:cstheme="minorBidi"/>
          <w:snapToGrid/>
          <w:kern w:val="0"/>
          <w:szCs w:val="22"/>
        </w:rPr>
        <w:tab/>
      </w:r>
      <w:r>
        <w:t>Wireless to Digital Television Interference</w:t>
      </w:r>
      <w:r>
        <w:tab/>
        <w:t>42</w:t>
      </w:r>
    </w:p>
    <w:p w14:paraId="20F78CE4" w14:textId="26C71C40" w:rsidR="006510FF" w:rsidRDefault="006510FF" w:rsidP="006510FF">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Case 3:  Wireless Base Station to Digital Television Receiver</w:t>
      </w:r>
      <w:r>
        <w:tab/>
        <w:t>42</w:t>
      </w:r>
    </w:p>
    <w:p w14:paraId="53E4C099" w14:textId="558DA27C" w:rsidR="006510FF" w:rsidRDefault="006510FF" w:rsidP="006510FF">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Case 4:  Wireless User Equipment to Digital Television Receiver</w:t>
      </w:r>
      <w:r>
        <w:tab/>
        <w:t>56</w:t>
      </w:r>
    </w:p>
    <w:p w14:paraId="09BD8926" w14:textId="78596ADF" w:rsidR="006510FF" w:rsidRDefault="006510FF" w:rsidP="006510FF">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The Spectrum Act Does Not Preclude Use of the ISIX Methodology and Input Values to Predict or Prevent Inter-Service Interference</w:t>
      </w:r>
      <w:r>
        <w:tab/>
        <w:t>59</w:t>
      </w:r>
    </w:p>
    <w:p w14:paraId="474328EE" w14:textId="60FBA2B5" w:rsidR="006510FF" w:rsidRDefault="006510FF" w:rsidP="006510FF">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further notice of proposed rulemaking</w:t>
      </w:r>
      <w:r>
        <w:tab/>
        <w:t>61</w:t>
      </w:r>
    </w:p>
    <w:p w14:paraId="76862027" w14:textId="6B2B9817" w:rsidR="006510FF" w:rsidRDefault="006510FF" w:rsidP="006510F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Protecting Television Stations in the 600 MHz Band from Inter-Service Interference</w:t>
      </w:r>
      <w:r>
        <w:tab/>
        <w:t>65</w:t>
      </w:r>
    </w:p>
    <w:p w14:paraId="128C7560" w14:textId="6CFA6179" w:rsidR="006510FF" w:rsidRDefault="006510FF" w:rsidP="006510F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Proposed Threshold for Interference from Wireless Operations to Television Stations in the 600 MHz Band</w:t>
      </w:r>
      <w:r>
        <w:tab/>
        <w:t>65</w:t>
      </w:r>
    </w:p>
    <w:p w14:paraId="317FAB6F" w14:textId="1F36E512" w:rsidR="006510FF" w:rsidRDefault="006510FF" w:rsidP="006510F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Proposed Methodology and Inputs for Predicting Interference to Television Stations in the 600 MHz Band from Wireless Operations</w:t>
      </w:r>
      <w:r>
        <w:tab/>
        <w:t>68</w:t>
      </w:r>
    </w:p>
    <w:p w14:paraId="09E086B6" w14:textId="7B2AE20E" w:rsidR="006510FF" w:rsidRDefault="006510FF" w:rsidP="006510FF">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Case 3:  Interference from Wireless Base Stations to Television Stations Assigned to the 600 MHz Downlink Spectrum</w:t>
      </w:r>
      <w:r>
        <w:tab/>
        <w:t>68</w:t>
      </w:r>
    </w:p>
    <w:p w14:paraId="059CAF3D" w14:textId="4AB10A16" w:rsidR="006510FF" w:rsidRDefault="006510FF" w:rsidP="006510FF">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Case 4:  Interference from Wireless User Equipment to Broadcast Television Stations Assigned to the 600 MHz Uplink Spectrum</w:t>
      </w:r>
      <w:r>
        <w:tab/>
        <w:t>73</w:t>
      </w:r>
    </w:p>
    <w:p w14:paraId="66FB76B3" w14:textId="7B9E859A" w:rsidR="006510FF" w:rsidRDefault="006510FF" w:rsidP="006510F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Proposed Obligation of Wireless Licensees to Eliminate Actual Interference to Television Stations in the 600 MHz Band</w:t>
      </w:r>
      <w:r>
        <w:tab/>
        <w:t>74</w:t>
      </w:r>
    </w:p>
    <w:p w14:paraId="58058C10" w14:textId="285D902B" w:rsidR="006510FF" w:rsidRDefault="006510FF" w:rsidP="006510F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rsidRPr="007103D3">
        <w:rPr>
          <w:rFonts w:eastAsiaTheme="minorHAnsi"/>
        </w:rPr>
        <w:t>Proposed Procedures to Prevent Inter-Service Interference</w:t>
      </w:r>
      <w:r>
        <w:tab/>
        <w:t>76</w:t>
      </w:r>
    </w:p>
    <w:p w14:paraId="67DB3640" w14:textId="4F7D89BA" w:rsidR="006510FF" w:rsidRDefault="006510FF" w:rsidP="006510F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General Wireless Licensee Obligations</w:t>
      </w:r>
      <w:r>
        <w:tab/>
        <w:t>76</w:t>
      </w:r>
    </w:p>
    <w:p w14:paraId="5FBD196D" w14:textId="7DA0CB43" w:rsidR="006510FF" w:rsidRDefault="006510FF" w:rsidP="006510F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Broadcasters in the 600 MHz Band</w:t>
      </w:r>
      <w:r>
        <w:tab/>
        <w:t>79</w:t>
      </w:r>
    </w:p>
    <w:p w14:paraId="7485652D" w14:textId="599B51A4" w:rsidR="006510FF" w:rsidRDefault="006510FF" w:rsidP="006510F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Predicting Inter-Service Interference During the Post-Auction Transition Period</w:t>
      </w:r>
      <w:r>
        <w:tab/>
        <w:t>81</w:t>
      </w:r>
    </w:p>
    <w:p w14:paraId="3C8775D8" w14:textId="0F4BCB0C" w:rsidR="006510FF" w:rsidRDefault="006510FF" w:rsidP="006510F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Predicting Interference to New 600 MHz Band Licensees from LPTV Stations and TV Translators for Notification Purposes</w:t>
      </w:r>
      <w:r>
        <w:tab/>
        <w:t>81</w:t>
      </w:r>
    </w:p>
    <w:p w14:paraId="33C0BB1B" w14:textId="54BAF385" w:rsidR="006510FF" w:rsidRDefault="006510FF" w:rsidP="006510F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Wireless Operations Prior to Broadcast Television Station Relocation</w:t>
      </w:r>
      <w:r>
        <w:tab/>
        <w:t>85</w:t>
      </w:r>
    </w:p>
    <w:p w14:paraId="03D6DA45" w14:textId="0D507BAB" w:rsidR="006510FF" w:rsidRDefault="006510FF" w:rsidP="006510FF">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Using the ISIX Methodology to Assess Interference from and to International Broadcast Television Stations During the Auction</w:t>
      </w:r>
      <w:r>
        <w:tab/>
        <w:t>88</w:t>
      </w:r>
    </w:p>
    <w:p w14:paraId="64804C46" w14:textId="25229425" w:rsidR="006510FF" w:rsidRDefault="006510FF" w:rsidP="006510FF">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90</w:t>
      </w:r>
    </w:p>
    <w:p w14:paraId="28FB1703" w14:textId="36D02A0F" w:rsidR="006510FF" w:rsidRDefault="006510FF" w:rsidP="006510F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and Initial Regulatory Flexibility Analysis</w:t>
      </w:r>
      <w:r>
        <w:tab/>
        <w:t>90</w:t>
      </w:r>
    </w:p>
    <w:p w14:paraId="43AE920D" w14:textId="5F5EC149" w:rsidR="006510FF" w:rsidRDefault="006510FF" w:rsidP="006510F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and Initial Paperwork Reduction Act Analysis</w:t>
      </w:r>
      <w:r>
        <w:tab/>
        <w:t>92</w:t>
      </w:r>
    </w:p>
    <w:p w14:paraId="1B25CCE6" w14:textId="47C0F50F" w:rsidR="006510FF" w:rsidRDefault="006510FF" w:rsidP="006510F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Filing Requirements</w:t>
      </w:r>
      <w:r>
        <w:tab/>
        <w:t>95</w:t>
      </w:r>
    </w:p>
    <w:p w14:paraId="143254AC" w14:textId="40CDA6B4" w:rsidR="006510FF" w:rsidRDefault="006510FF" w:rsidP="006510FF">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Ex Parte Rules</w:t>
      </w:r>
      <w:r>
        <w:tab/>
        <w:t>96</w:t>
      </w:r>
    </w:p>
    <w:p w14:paraId="69E6F80A" w14:textId="55CAA8BE" w:rsidR="006510FF" w:rsidRDefault="006510FF" w:rsidP="006510FF">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Congressional Review Act</w:t>
      </w:r>
      <w:r>
        <w:tab/>
        <w:t>97</w:t>
      </w:r>
    </w:p>
    <w:p w14:paraId="5CC68241" w14:textId="72D90414" w:rsidR="006510FF" w:rsidRDefault="006510FF" w:rsidP="006510FF">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Further Information</w:t>
      </w:r>
      <w:r>
        <w:tab/>
        <w:t>98</w:t>
      </w:r>
    </w:p>
    <w:p w14:paraId="467FE3A9" w14:textId="6F0CCC3D" w:rsidR="006510FF" w:rsidRDefault="006510FF" w:rsidP="006510FF">
      <w:pPr>
        <w:pStyle w:val="TOC1"/>
      </w:pPr>
      <w:r>
        <w:t>V.</w:t>
      </w:r>
      <w:r>
        <w:rPr>
          <w:rFonts w:asciiTheme="minorHAnsi" w:eastAsiaTheme="minorEastAsia" w:hAnsiTheme="minorHAnsi" w:cstheme="minorBidi"/>
          <w:caps w:val="0"/>
          <w:snapToGrid/>
          <w:kern w:val="0"/>
          <w:szCs w:val="22"/>
        </w:rPr>
        <w:tab/>
      </w:r>
      <w:r>
        <w:t>ordering clauses</w:t>
      </w:r>
      <w:r>
        <w:tab/>
        <w:t>99</w:t>
      </w:r>
    </w:p>
    <w:bookmarkEnd w:id="1"/>
    <w:p w14:paraId="56A20927" w14:textId="54048936" w:rsidR="00986FD4" w:rsidRPr="00161990" w:rsidRDefault="00986FD4" w:rsidP="00986FD4">
      <w:r w:rsidRPr="00161990">
        <w:t>APPENDIX A – TECHNICAL APPENDIX</w:t>
      </w:r>
    </w:p>
    <w:p w14:paraId="2146126F" w14:textId="77777777" w:rsidR="00986FD4" w:rsidRPr="00161990" w:rsidRDefault="00986FD4" w:rsidP="00986FD4">
      <w:r w:rsidRPr="00161990">
        <w:t>APPENDIX B – FINAL RULES</w:t>
      </w:r>
    </w:p>
    <w:p w14:paraId="183DEA11" w14:textId="77777777" w:rsidR="00986FD4" w:rsidRPr="00161990" w:rsidRDefault="00986FD4" w:rsidP="00986FD4">
      <w:r w:rsidRPr="00161990">
        <w:t>APPENDIX C – LIST OF COMMENTERS</w:t>
      </w:r>
    </w:p>
    <w:p w14:paraId="1A495B6E" w14:textId="77777777" w:rsidR="00986FD4" w:rsidRPr="00161990" w:rsidRDefault="00986FD4" w:rsidP="00986FD4">
      <w:r w:rsidRPr="00161990">
        <w:t>APPENDIX D – PROPOSED RULES</w:t>
      </w:r>
    </w:p>
    <w:p w14:paraId="0B4548DB" w14:textId="77777777" w:rsidR="00986FD4" w:rsidRPr="00161990" w:rsidRDefault="00986FD4" w:rsidP="00986FD4">
      <w:r w:rsidRPr="00161990">
        <w:t>APPENDIX E – PROPOSED OET BULLETIN NO. 74</w:t>
      </w:r>
    </w:p>
    <w:p w14:paraId="7C08AE61" w14:textId="77777777" w:rsidR="00986FD4" w:rsidRPr="00161990" w:rsidRDefault="00986FD4" w:rsidP="00986FD4">
      <w:r w:rsidRPr="00161990">
        <w:t>APPENDIX F – FINAL REGULATORY FLEXIBILITY ANALYSIS</w:t>
      </w:r>
    </w:p>
    <w:p w14:paraId="7416C19C" w14:textId="77777777" w:rsidR="00986FD4" w:rsidRDefault="00986FD4" w:rsidP="00986FD4">
      <w:r w:rsidRPr="00161990">
        <w:t>APPENDIX G – INITIAL REGULATORY FLEXIBILITY ANALYSIS</w:t>
      </w:r>
    </w:p>
    <w:p w14:paraId="280E7FF9" w14:textId="77777777" w:rsidR="00D574CB" w:rsidRDefault="00D574CB" w:rsidP="00412FC5"/>
    <w:p w14:paraId="4F504880" w14:textId="77777777" w:rsidR="00D574CB" w:rsidRDefault="00D574CB" w:rsidP="00412FC5"/>
    <w:p w14:paraId="55FA368F" w14:textId="77777777" w:rsidR="002C00E8" w:rsidRPr="005B4C0E" w:rsidRDefault="003730FA" w:rsidP="005B4C0E">
      <w:pPr>
        <w:pStyle w:val="Heading1"/>
      </w:pPr>
      <w:bookmarkStart w:id="3" w:name="_Toc393784357"/>
      <w:bookmarkStart w:id="4" w:name="_Toc393784381"/>
      <w:bookmarkStart w:id="5" w:name="_Toc393895636"/>
      <w:bookmarkStart w:id="6" w:name="_Toc394059145"/>
      <w:bookmarkStart w:id="7" w:name="_Toc394068149"/>
      <w:bookmarkStart w:id="8" w:name="_Toc394672080"/>
      <w:bookmarkStart w:id="9" w:name="_Toc395701580"/>
      <w:bookmarkStart w:id="10" w:name="_Toc395883755"/>
      <w:bookmarkStart w:id="11" w:name="_Toc396393931"/>
      <w:bookmarkStart w:id="12" w:name="_Toc396393954"/>
      <w:bookmarkStart w:id="13" w:name="_Toc396492666"/>
      <w:bookmarkStart w:id="14" w:name="_Toc396492690"/>
      <w:bookmarkStart w:id="15" w:name="_Toc396915788"/>
      <w:bookmarkStart w:id="16" w:name="_Toc396995184"/>
      <w:bookmarkStart w:id="17" w:name="_Toc396995818"/>
      <w:bookmarkStart w:id="18" w:name="_Toc397609512"/>
      <w:bookmarkStart w:id="19" w:name="_Toc397610937"/>
      <w:bookmarkStart w:id="20" w:name="_Toc397962787"/>
      <w:bookmarkStart w:id="21" w:name="_Toc398023565"/>
      <w:bookmarkStart w:id="22" w:name="_Toc398902961"/>
      <w:bookmarkStart w:id="23" w:name="_Toc398903284"/>
      <w:bookmarkStart w:id="24" w:name="_Toc398903473"/>
      <w:bookmarkStart w:id="25" w:name="_Toc398904070"/>
      <w:bookmarkStart w:id="26" w:name="_Toc398904578"/>
      <w:bookmarkStart w:id="27" w:name="_Toc401305937"/>
      <w:bookmarkStart w:id="28" w:name="_Toc401306612"/>
      <w:bookmarkStart w:id="29" w:name="_Toc401306681"/>
      <w:r w:rsidRPr="005B4C0E">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B0BE08A" w14:textId="77777777" w:rsidR="00F07005" w:rsidRPr="00F07005" w:rsidRDefault="00F07005" w:rsidP="006A744E">
      <w:pPr>
        <w:pStyle w:val="ParaNum"/>
      </w:pPr>
      <w:r w:rsidRPr="00F07005">
        <w:t>We address several outstanding issues</w:t>
      </w:r>
      <w:r w:rsidR="005B10F9">
        <w:t xml:space="preserve"> related to the</w:t>
      </w:r>
      <w:r w:rsidRPr="00F07005">
        <w:t xml:space="preserve"> </w:t>
      </w:r>
      <w:r w:rsidR="005B10F9" w:rsidRPr="00F07005">
        <w:rPr>
          <w:i/>
        </w:rPr>
        <w:t>Incentive Auction R&amp;O</w:t>
      </w:r>
      <w:r w:rsidR="005B10F9" w:rsidRPr="00F07005">
        <w:t xml:space="preserve"> </w:t>
      </w:r>
      <w:r w:rsidRPr="00F07005">
        <w:t>in this item.</w:t>
      </w:r>
      <w:r w:rsidR="005B10F9" w:rsidRPr="00F07005">
        <w:rPr>
          <w:sz w:val="20"/>
          <w:vertAlign w:val="superscript"/>
        </w:rPr>
        <w:footnoteReference w:id="2"/>
      </w:r>
      <w:r w:rsidRPr="00F07005">
        <w:t xml:space="preserve">  </w:t>
      </w:r>
      <w:r w:rsidRPr="005B4C0E">
        <w:t>First, we address and reject proposals for additional limits on any new interference between television</w:t>
      </w:r>
      <w:r w:rsidRPr="00F07005">
        <w:t xml:space="preserve"> </w:t>
      </w:r>
      <w:r w:rsidRPr="00F07005">
        <w:lastRenderedPageBreak/>
        <w:t>stations as result of the repacking process.</w:t>
      </w:r>
      <w:r w:rsidRPr="00F07005">
        <w:rPr>
          <w:sz w:val="20"/>
          <w:vertAlign w:val="superscript"/>
        </w:rPr>
        <w:footnoteReference w:id="3"/>
      </w:r>
      <w:r w:rsidRPr="00F07005">
        <w:t xml:space="preserve">  Second, we establish a methodology and </w:t>
      </w:r>
      <w:r w:rsidR="000C42E0">
        <w:t xml:space="preserve">the associated </w:t>
      </w:r>
      <w:r w:rsidRPr="00F07005">
        <w:t>input values to predict inter-service interference between television and wireless services in certain areas for use during the incentive auction</w:t>
      </w:r>
      <w:r w:rsidR="009768D8">
        <w:t xml:space="preserve"> (ISIX Methodology)</w:t>
      </w:r>
      <w:r w:rsidRPr="00F07005">
        <w:t>.</w:t>
      </w:r>
      <w:r w:rsidRPr="00F07005">
        <w:rPr>
          <w:sz w:val="20"/>
          <w:vertAlign w:val="superscript"/>
        </w:rPr>
        <w:footnoteReference w:id="4"/>
      </w:r>
      <w:r w:rsidRPr="00F07005">
        <w:t xml:space="preserve">  Third, we propose a post-auction inter-service interference methodology and input values, as well as protection standards for any television stations and new 600 MHz Band wireless services on co- or adjacent-channel frequencies in nearby areas.</w:t>
      </w:r>
      <w:r w:rsidRPr="00F07005">
        <w:rPr>
          <w:sz w:val="20"/>
          <w:vertAlign w:val="superscript"/>
        </w:rPr>
        <w:footnoteReference w:id="5"/>
      </w:r>
      <w:r w:rsidRPr="00F07005">
        <w:t xml:space="preserve">  As explained below, the principal difference between the methodology we adopt for auction use and the one we propose for use after the auction is that the latter will be based on actual 600 MHz Band wireless network deployments, whereas the former requires assumptions because networks will not be deployed yet.  </w:t>
      </w:r>
    </w:p>
    <w:p w14:paraId="11B2111C" w14:textId="77777777" w:rsidR="003730FA" w:rsidRDefault="003730FA" w:rsidP="005B4C0E">
      <w:pPr>
        <w:pStyle w:val="Heading1"/>
      </w:pPr>
      <w:bookmarkStart w:id="30" w:name="_Toc393784358"/>
      <w:bookmarkStart w:id="31" w:name="_Toc393784382"/>
      <w:bookmarkStart w:id="32" w:name="_Toc393895637"/>
      <w:bookmarkStart w:id="33" w:name="_Toc394059146"/>
      <w:bookmarkStart w:id="34" w:name="_Toc394068150"/>
      <w:bookmarkStart w:id="35" w:name="_Toc394672081"/>
      <w:bookmarkStart w:id="36" w:name="_Toc395701581"/>
      <w:bookmarkStart w:id="37" w:name="_Toc395883756"/>
      <w:bookmarkStart w:id="38" w:name="_Toc396393932"/>
      <w:bookmarkStart w:id="39" w:name="_Toc396393955"/>
      <w:bookmarkStart w:id="40" w:name="_Toc396492667"/>
      <w:bookmarkStart w:id="41" w:name="_Toc396492691"/>
      <w:bookmarkStart w:id="42" w:name="_Toc396915789"/>
      <w:bookmarkStart w:id="43" w:name="_Toc396995185"/>
      <w:bookmarkStart w:id="44" w:name="_Toc396995819"/>
      <w:bookmarkStart w:id="45" w:name="_Toc397609513"/>
      <w:bookmarkStart w:id="46" w:name="_Toc397610938"/>
      <w:bookmarkStart w:id="47" w:name="_Toc397962788"/>
      <w:bookmarkStart w:id="48" w:name="_Toc398023566"/>
      <w:bookmarkStart w:id="49" w:name="_Toc398902962"/>
      <w:bookmarkStart w:id="50" w:name="_Toc398903285"/>
      <w:bookmarkStart w:id="51" w:name="_Toc398903474"/>
      <w:bookmarkStart w:id="52" w:name="_Toc398904071"/>
      <w:bookmarkStart w:id="53" w:name="_Toc398904579"/>
      <w:bookmarkStart w:id="54" w:name="_Toc401305938"/>
      <w:bookmarkStart w:id="55" w:name="_Toc401306613"/>
      <w:bookmarkStart w:id="56" w:name="_Toc401306682"/>
      <w:r>
        <w:t>Second Report and Order</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7472620" w14:textId="77777777" w:rsidR="00B5229B" w:rsidRPr="00B5229B" w:rsidRDefault="00A061F6" w:rsidP="00D50682">
      <w:pPr>
        <w:pStyle w:val="Heading2"/>
        <w:rPr>
          <w:lang w:eastAsia="ja-JP"/>
        </w:rPr>
      </w:pPr>
      <w:bookmarkStart w:id="57" w:name="_Toc267838074"/>
      <w:bookmarkStart w:id="58" w:name="_Toc396995821"/>
      <w:bookmarkStart w:id="59" w:name="_Toc397609514"/>
      <w:bookmarkStart w:id="60" w:name="_Toc397610939"/>
      <w:bookmarkStart w:id="61" w:name="_Ref271554746"/>
      <w:bookmarkStart w:id="62" w:name="_Toc397962789"/>
      <w:bookmarkStart w:id="63" w:name="_Toc398023567"/>
      <w:bookmarkStart w:id="64" w:name="_Toc398902963"/>
      <w:bookmarkStart w:id="65" w:name="_Toc398903286"/>
      <w:bookmarkStart w:id="66" w:name="_Toc398903475"/>
      <w:bookmarkStart w:id="67" w:name="_Toc398904072"/>
      <w:bookmarkStart w:id="68" w:name="_Toc398904580"/>
      <w:bookmarkStart w:id="69" w:name="_Toc401305939"/>
      <w:bookmarkStart w:id="70" w:name="_Toc401306614"/>
      <w:bookmarkStart w:id="71" w:name="_Toc401306683"/>
      <w:bookmarkStart w:id="72" w:name="_Toc393784360"/>
      <w:bookmarkStart w:id="73" w:name="_Toc393784384"/>
      <w:bookmarkStart w:id="74" w:name="_Toc393895639"/>
      <w:bookmarkStart w:id="75" w:name="_Toc394059148"/>
      <w:bookmarkStart w:id="76" w:name="_Toc394068152"/>
      <w:bookmarkStart w:id="77" w:name="_Toc394672083"/>
      <w:bookmarkStart w:id="78" w:name="_Toc395701583"/>
      <w:bookmarkStart w:id="79" w:name="_Toc395883758"/>
      <w:bookmarkStart w:id="80" w:name="_Toc396393934"/>
      <w:bookmarkStart w:id="81" w:name="_Toc396393957"/>
      <w:bookmarkStart w:id="82" w:name="_Toc396492669"/>
      <w:bookmarkStart w:id="83" w:name="_Toc396492693"/>
      <w:bookmarkStart w:id="84" w:name="_Toc396915791"/>
      <w:bookmarkStart w:id="85" w:name="_Toc396995187"/>
      <w:r>
        <w:rPr>
          <w:lang w:eastAsia="ja-JP"/>
        </w:rPr>
        <w:t>Requested</w:t>
      </w:r>
      <w:r w:rsidRPr="00B5229B">
        <w:rPr>
          <w:lang w:eastAsia="ja-JP"/>
        </w:rPr>
        <w:t xml:space="preserve"> </w:t>
      </w:r>
      <w:r w:rsidR="00B5229B" w:rsidRPr="00B5229B">
        <w:rPr>
          <w:lang w:eastAsia="ja-JP"/>
        </w:rPr>
        <w:t>Additional Limits on New Interference in the Repacking Process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7F8E9A59" w14:textId="56854D4E" w:rsidR="00B5229B" w:rsidRPr="00B5229B" w:rsidRDefault="00B5229B" w:rsidP="005B4C0E">
      <w:pPr>
        <w:pStyle w:val="ParaNum"/>
        <w:rPr>
          <w:lang w:eastAsia="ja-JP"/>
        </w:rPr>
      </w:pPr>
      <w:bookmarkStart w:id="86" w:name="_Ref271554468"/>
      <w:r w:rsidRPr="00B5229B">
        <w:t xml:space="preserve">We decline to establish </w:t>
      </w:r>
      <w:r w:rsidRPr="00B5229B">
        <w:rPr>
          <w:rFonts w:eastAsia="Calibri"/>
        </w:rPr>
        <w:t xml:space="preserve">a one-percent cap on the amount of total or aggregate new interference that a </w:t>
      </w:r>
      <w:r w:rsidR="005B10F9">
        <w:rPr>
          <w:rFonts w:eastAsia="Calibri"/>
        </w:rPr>
        <w:t xml:space="preserve">broadcast </w:t>
      </w:r>
      <w:r w:rsidRPr="00B5229B">
        <w:rPr>
          <w:rFonts w:eastAsia="Calibri"/>
        </w:rPr>
        <w:t xml:space="preserve">station will be allowed to receive from other stations, as requested by </w:t>
      </w:r>
      <w:r w:rsidR="00522149">
        <w:rPr>
          <w:rFonts w:eastAsia="Calibri"/>
        </w:rPr>
        <w:t xml:space="preserve">the </w:t>
      </w:r>
      <w:r w:rsidR="00522149" w:rsidRPr="00B5229B">
        <w:rPr>
          <w:rFonts w:eastAsia="Calibri"/>
        </w:rPr>
        <w:t>National Association of Broadcasters (NAB)</w:t>
      </w:r>
      <w:r w:rsidR="00522149">
        <w:rPr>
          <w:rFonts w:eastAsia="Calibri"/>
        </w:rPr>
        <w:t xml:space="preserve"> </w:t>
      </w:r>
      <w:r w:rsidRPr="00B5229B">
        <w:rPr>
          <w:rFonts w:eastAsia="Calibri"/>
        </w:rPr>
        <w:t>and others</w:t>
      </w:r>
      <w:r w:rsidRPr="00B5229B">
        <w:t xml:space="preserve">.  </w:t>
      </w:r>
      <w:r w:rsidRPr="00B5229B">
        <w:rPr>
          <w:rFonts w:eastAsia="Calibri"/>
        </w:rPr>
        <w:t xml:space="preserve">In the </w:t>
      </w:r>
      <w:r w:rsidR="005B4C0E">
        <w:rPr>
          <w:rFonts w:eastAsia="Calibri"/>
          <w:i/>
        </w:rPr>
        <w:t>Incentive Auction R&amp;O</w:t>
      </w:r>
      <w:r w:rsidRPr="00B5229B">
        <w:rPr>
          <w:rFonts w:eastAsia="Calibri"/>
        </w:rPr>
        <w:t>, the Commission</w:t>
      </w:r>
      <w:r w:rsidR="006511AA">
        <w:rPr>
          <w:rFonts w:eastAsia="Calibri"/>
        </w:rPr>
        <w:t xml:space="preserve"> adopted</w:t>
      </w:r>
      <w:r w:rsidRPr="00B5229B">
        <w:rPr>
          <w:rFonts w:eastAsia="Calibri"/>
        </w:rPr>
        <w:t xml:space="preserve"> a 0.5 percent limit on new interference that will be applied on a pairwise or station-to-station basis.</w:t>
      </w:r>
      <w:r w:rsidRPr="00B5229B">
        <w:rPr>
          <w:sz w:val="20"/>
          <w:vertAlign w:val="superscript"/>
        </w:rPr>
        <w:footnoteReference w:id="6"/>
      </w:r>
      <w:r w:rsidRPr="00B5229B">
        <w:t xml:space="preserve">  </w:t>
      </w:r>
      <w:r w:rsidRPr="00B5229B">
        <w:rPr>
          <w:rFonts w:eastAsia="Calibri"/>
        </w:rPr>
        <w:t xml:space="preserve">We </w:t>
      </w:r>
      <w:r w:rsidR="005B10F9">
        <w:rPr>
          <w:rFonts w:eastAsia="Calibri"/>
        </w:rPr>
        <w:t>conclude</w:t>
      </w:r>
      <w:r w:rsidR="005B10F9" w:rsidRPr="00B5229B">
        <w:rPr>
          <w:rFonts w:eastAsia="Calibri"/>
        </w:rPr>
        <w:t xml:space="preserve"> </w:t>
      </w:r>
      <w:r w:rsidRPr="00B5229B">
        <w:rPr>
          <w:rFonts w:eastAsia="Calibri"/>
        </w:rPr>
        <w:t>that broadcasters’ concerns regarding the potential for new interference in the absence of a</w:t>
      </w:r>
      <w:r w:rsidR="005B10F9">
        <w:rPr>
          <w:rFonts w:eastAsia="Calibri"/>
        </w:rPr>
        <w:t xml:space="preserve"> separate</w:t>
      </w:r>
      <w:r w:rsidRPr="00B5229B">
        <w:rPr>
          <w:rFonts w:eastAsia="Calibri"/>
        </w:rPr>
        <w:t xml:space="preserve"> one-percent cap on aggregate interference are exaggerated:  </w:t>
      </w:r>
      <w:r w:rsidR="005B10F9">
        <w:rPr>
          <w:rFonts w:eastAsia="Calibri"/>
        </w:rPr>
        <w:t>the vast majority of</w:t>
      </w:r>
      <w:r w:rsidR="005B10F9" w:rsidRPr="00B5229B">
        <w:rPr>
          <w:rFonts w:eastAsia="Calibri"/>
        </w:rPr>
        <w:t xml:space="preserve"> </w:t>
      </w:r>
      <w:r w:rsidRPr="00B5229B">
        <w:rPr>
          <w:rFonts w:eastAsia="Calibri"/>
        </w:rPr>
        <w:t>stations are unlikely to experience aggregate new interference of more than one percent.</w:t>
      </w:r>
      <w:r w:rsidRPr="00B5229B">
        <w:t xml:space="preserve">  </w:t>
      </w:r>
      <w:r w:rsidR="00181AFC">
        <w:t>W</w:t>
      </w:r>
      <w:r w:rsidRPr="00B5229B">
        <w:t xml:space="preserve">e are </w:t>
      </w:r>
      <w:r w:rsidR="00181AFC">
        <w:t xml:space="preserve">also </w:t>
      </w:r>
      <w:r w:rsidRPr="00B5229B">
        <w:t>adopting measures that will effectively address broadcasters’ concerns about such interference in exceptional cases</w:t>
      </w:r>
      <w:r w:rsidR="0044644D">
        <w:t xml:space="preserve"> where there may be aggregate new interference of more than one percent</w:t>
      </w:r>
      <w:r w:rsidRPr="00B5229B">
        <w:t xml:space="preserve">.  In addition to being unnecessary, </w:t>
      </w:r>
      <w:r w:rsidRPr="00B5229B">
        <w:rPr>
          <w:rFonts w:eastAsia="Calibri"/>
        </w:rPr>
        <w:t xml:space="preserve">the proposed cap is not practical or realistic, because even if the broadcasters had identified a means of implementing it (they have not), an aggregate interference cap </w:t>
      </w:r>
      <w:r w:rsidRPr="00B5229B">
        <w:t xml:space="preserve">would deprive the reverse auction bidding process of its speed and, therefore, compromise the </w:t>
      </w:r>
      <w:r w:rsidR="005B10F9">
        <w:t>success of the incentive</w:t>
      </w:r>
      <w:r w:rsidRPr="00B5229B">
        <w:t xml:space="preserve"> auction.  We conclude that we can fulfill Congress’s mandate to make “all reasonable efforts” to preserve the population served of stations that will remain on the air after the incentive auction without imposing an aggregate interference cap.</w:t>
      </w:r>
      <w:r w:rsidR="00420A99">
        <w:rPr>
          <w:rStyle w:val="FootnoteReference"/>
        </w:rPr>
        <w:footnoteReference w:id="7"/>
      </w:r>
      <w:r w:rsidRPr="00B5229B">
        <w:t xml:space="preserve">  Crucially, we can do so in a manner that ensures an efficient channel assignment scheme, minimizes repacking costs and disruption to broadcasters and viewers, and furthers our goal of a successful auction.  For the reasons discussed below, we </w:t>
      </w:r>
      <w:r w:rsidRPr="00B5229B">
        <w:rPr>
          <w:rFonts w:eastAsia="Calibri"/>
        </w:rPr>
        <w:t>also decline to adopt an additional limit on new interference to stations that are currently experiencing ten percent or more interference within their service areas.</w:t>
      </w:r>
      <w:bookmarkEnd w:id="86"/>
    </w:p>
    <w:p w14:paraId="1CC44AEF" w14:textId="77777777" w:rsidR="00B5229B" w:rsidRPr="00B5229B" w:rsidRDefault="00B5229B" w:rsidP="00F3761A">
      <w:pPr>
        <w:pStyle w:val="Heading3"/>
      </w:pPr>
      <w:bookmarkStart w:id="87" w:name="_Toc267838075"/>
      <w:bookmarkStart w:id="88" w:name="_Toc396995822"/>
      <w:bookmarkStart w:id="89" w:name="_Toc397609515"/>
      <w:bookmarkStart w:id="90" w:name="_Toc397610940"/>
      <w:bookmarkStart w:id="91" w:name="_Toc397962790"/>
      <w:bookmarkStart w:id="92" w:name="_Toc398023568"/>
      <w:bookmarkStart w:id="93" w:name="_Toc398902964"/>
      <w:bookmarkStart w:id="94" w:name="_Toc398903287"/>
      <w:bookmarkStart w:id="95" w:name="_Toc398903476"/>
      <w:bookmarkStart w:id="96" w:name="_Toc398904073"/>
      <w:bookmarkStart w:id="97" w:name="_Toc398904581"/>
      <w:bookmarkStart w:id="98" w:name="_Toc401305940"/>
      <w:bookmarkStart w:id="99" w:name="_Toc401306615"/>
      <w:bookmarkStart w:id="100" w:name="_Toc401306684"/>
      <w:r w:rsidRPr="00B5229B">
        <w:t>Background</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17B7D61" w14:textId="77777777" w:rsidR="00B5229B" w:rsidRPr="00B5229B" w:rsidRDefault="00B5229B" w:rsidP="006A744E">
      <w:pPr>
        <w:pStyle w:val="ParaNum"/>
        <w:rPr>
          <w:rFonts w:eastAsia="Calibri"/>
        </w:rPr>
      </w:pPr>
      <w:bookmarkStart w:id="101" w:name="_Ref270235667"/>
      <w:r w:rsidRPr="00B5229B">
        <w:rPr>
          <w:rFonts w:eastAsia="Calibri"/>
        </w:rPr>
        <w:t>Section 6403(b)(2) of the Spectrum Act requires the Commission, in reorganizing or “repacking” the broadcast television bands, to “make all reasonable efforts to preserve, as of [February 22, 2012], the coverage area and population served” of eligible television stations.</w:t>
      </w:r>
      <w:r w:rsidRPr="00B5229B">
        <w:rPr>
          <w:rFonts w:eastAsia="Calibri"/>
          <w:sz w:val="20"/>
          <w:vertAlign w:val="superscript"/>
        </w:rPr>
        <w:footnoteReference w:id="8"/>
      </w:r>
      <w:r w:rsidRPr="00B5229B">
        <w:rPr>
          <w:rFonts w:eastAsia="Calibri"/>
        </w:rPr>
        <w:t xml:space="preserve">  In the </w:t>
      </w:r>
      <w:r w:rsidR="005B4C0E" w:rsidRPr="005B4C0E">
        <w:rPr>
          <w:rFonts w:eastAsia="Calibri"/>
          <w:i/>
        </w:rPr>
        <w:t>Incentive Auction R&amp;O</w:t>
      </w:r>
      <w:r w:rsidRPr="00B5229B">
        <w:rPr>
          <w:rFonts w:eastAsia="Calibri"/>
        </w:rPr>
        <w:t>, the Commission interpreted this mandate to require “that we use all reasonable efforts to preserve each station’s coverage area and population served without sacrificing the goal of using market forces to repurpose spectrum for new, flexible uses.”</w:t>
      </w:r>
      <w:r w:rsidRPr="00B5229B">
        <w:rPr>
          <w:rFonts w:eastAsia="Calibri"/>
          <w:sz w:val="20"/>
          <w:vertAlign w:val="superscript"/>
        </w:rPr>
        <w:footnoteReference w:id="9"/>
      </w:r>
      <w:r w:rsidRPr="00B5229B">
        <w:rPr>
          <w:rFonts w:eastAsia="Calibri"/>
        </w:rPr>
        <w:t xml:space="preserve">  Consistent with that interpretation, the Commission adopted an approach to preserving population served under which </w:t>
      </w:r>
      <w:r w:rsidRPr="00B5229B">
        <w:t>no channel assignment, “considered alone, may reduce another station’s specific population served by more than 0.5 percent.”</w:t>
      </w:r>
      <w:r w:rsidRPr="00B5229B">
        <w:rPr>
          <w:sz w:val="20"/>
          <w:vertAlign w:val="superscript"/>
        </w:rPr>
        <w:footnoteReference w:id="10"/>
      </w:r>
      <w:r w:rsidRPr="00B5229B">
        <w:t xml:space="preserve">  The Commission’s rules treat 0.5 percent interference or less as </w:t>
      </w:r>
      <w:r w:rsidRPr="00B5229B">
        <w:rPr>
          <w:i/>
        </w:rPr>
        <w:t>de minimis</w:t>
      </w:r>
      <w:r w:rsidRPr="00B5229B">
        <w:t xml:space="preserve"> or no new interference, as this amount rounds to zero at integer precision.</w:t>
      </w:r>
      <w:r w:rsidRPr="00B5229B">
        <w:rPr>
          <w:sz w:val="20"/>
          <w:vertAlign w:val="superscript"/>
        </w:rPr>
        <w:footnoteReference w:id="11"/>
      </w:r>
      <w:r w:rsidRPr="00B5229B">
        <w:t xml:space="preserve">  Under this approach, the Commission will only consider station-to-station (or “pairwise”) interference when determining whether a particular channel assignment is permissible.</w:t>
      </w:r>
      <w:bookmarkEnd w:id="101"/>
    </w:p>
    <w:p w14:paraId="6985C1CF" w14:textId="2E2138B8" w:rsidR="00B5229B" w:rsidRPr="00B5229B" w:rsidRDefault="00B5229B" w:rsidP="006A744E">
      <w:pPr>
        <w:pStyle w:val="ParaNum"/>
      </w:pPr>
      <w:r w:rsidRPr="00B5229B">
        <w:rPr>
          <w:rFonts w:eastAsia="Calibri"/>
        </w:rPr>
        <w:t xml:space="preserve">While most commenters, including the broadcast industry, supported the Commission’s approach to </w:t>
      </w:r>
      <w:r w:rsidR="00C91699">
        <w:rPr>
          <w:rFonts w:eastAsia="Calibri"/>
        </w:rPr>
        <w:t>pairwise interference</w:t>
      </w:r>
      <w:r w:rsidRPr="00B5229B">
        <w:rPr>
          <w:rFonts w:eastAsia="Calibri"/>
        </w:rPr>
        <w:t>, NAB, supported by other broadcasters, urged the Commission to adopt two additional measures.</w:t>
      </w:r>
      <w:r w:rsidRPr="00B5229B">
        <w:rPr>
          <w:rFonts w:eastAsia="Calibri"/>
          <w:sz w:val="20"/>
          <w:vertAlign w:val="superscript"/>
        </w:rPr>
        <w:footnoteReference w:id="12"/>
      </w:r>
      <w:r w:rsidRPr="00B5229B">
        <w:rPr>
          <w:rFonts w:eastAsia="Calibri"/>
        </w:rPr>
        <w:t xml:space="preserve">  First, NAB asked that the Commission cap the amount of total new interference that a station may receive at one percent.</w:t>
      </w:r>
      <w:r w:rsidRPr="00B5229B">
        <w:rPr>
          <w:rFonts w:eastAsia="Calibri"/>
          <w:sz w:val="20"/>
          <w:vertAlign w:val="superscript"/>
        </w:rPr>
        <w:footnoteReference w:id="13"/>
      </w:r>
      <w:r w:rsidRPr="00B5229B">
        <w:rPr>
          <w:rFonts w:eastAsia="Calibri"/>
        </w:rPr>
        <w:t xml:space="preserve">  </w:t>
      </w:r>
      <w:r w:rsidRPr="00B5229B">
        <w:t>According to NAB, “while an individual station can only cause a maximum addition of 0.5 percent interference . . . , ‘stations repacked during the incentive auction process . . . would likely receive interference from multiple stations’ which, in the aggregate, could ‘lead to significant viewer losses.’”</w:t>
      </w:r>
      <w:r w:rsidRPr="00B5229B">
        <w:rPr>
          <w:sz w:val="20"/>
          <w:vertAlign w:val="superscript"/>
        </w:rPr>
        <w:footnoteReference w:id="14"/>
      </w:r>
      <w:r w:rsidRPr="00B5229B">
        <w:t xml:space="preserve">  Second, noting that some stations currently receive up to ten percent interference, NAB requested that the Commission prevent any new interference to these stations.</w:t>
      </w:r>
      <w:r w:rsidRPr="00B5229B">
        <w:rPr>
          <w:sz w:val="20"/>
          <w:vertAlign w:val="superscript"/>
        </w:rPr>
        <w:footnoteReference w:id="15"/>
      </w:r>
      <w:r w:rsidRPr="00B5229B">
        <w:t xml:space="preserve">  The Commission deferred a decision on these proposals, explaining that FCC staff would be “releasing a Public Notice inviting comment on a staff analysis of the potential impact of aggregate interference on television stations as a result of the repacking process,” and that the Commission would resolve the issue in a subsequent order.</w:t>
      </w:r>
      <w:r w:rsidRPr="00B5229B">
        <w:rPr>
          <w:sz w:val="20"/>
          <w:vertAlign w:val="superscript"/>
        </w:rPr>
        <w:footnoteReference w:id="16"/>
      </w:r>
    </w:p>
    <w:p w14:paraId="4B691EA8" w14:textId="77777777" w:rsidR="00B5229B" w:rsidRPr="00B5229B" w:rsidRDefault="00B5229B" w:rsidP="006A744E">
      <w:pPr>
        <w:pStyle w:val="ParaNum"/>
      </w:pPr>
      <w:bookmarkStart w:id="102" w:name="_Ref398031264"/>
      <w:r w:rsidRPr="00B5229B">
        <w:t>The staff released its analysis on June 2, 2014.</w:t>
      </w:r>
      <w:r w:rsidRPr="00B5229B">
        <w:rPr>
          <w:sz w:val="20"/>
          <w:vertAlign w:val="superscript"/>
        </w:rPr>
        <w:footnoteReference w:id="17"/>
      </w:r>
      <w:r w:rsidRPr="00B5229B">
        <w:t xml:space="preserve">  The </w:t>
      </w:r>
      <w:r w:rsidRPr="00B5229B">
        <w:rPr>
          <w:i/>
        </w:rPr>
        <w:t>Aggregate Interference PN</w:t>
      </w:r>
      <w:r w:rsidRPr="00B5229B">
        <w:t xml:space="preserve"> explained that the</w:t>
      </w:r>
      <w:r w:rsidRPr="00B5229B">
        <w:rPr>
          <w:rFonts w:eastAsia="Calibri"/>
        </w:rPr>
        <w:t xml:space="preserve"> staff analysis was based on updated “constraint files” for each station developed using the repacking approach adopted in the </w:t>
      </w:r>
      <w:r w:rsidR="005B4C0E" w:rsidRPr="005B4C0E">
        <w:rPr>
          <w:rFonts w:eastAsia="Calibri"/>
          <w:i/>
        </w:rPr>
        <w:t>Incentive Auction R&amp;O</w:t>
      </w:r>
      <w:r w:rsidRPr="00B5229B">
        <w:rPr>
          <w:rFonts w:eastAsia="Calibri"/>
        </w:rPr>
        <w:t>, including the pairwise approach to preserving population served</w:t>
      </w:r>
      <w:r w:rsidRPr="00B5229B">
        <w:rPr>
          <w:rFonts w:eastAsia="Calibri"/>
          <w:i/>
        </w:rPr>
        <w:t>.</w:t>
      </w:r>
      <w:r w:rsidRPr="00B5229B">
        <w:rPr>
          <w:rFonts w:eastAsia="Calibri"/>
          <w:sz w:val="20"/>
          <w:vertAlign w:val="superscript"/>
        </w:rPr>
        <w:footnoteReference w:id="18"/>
      </w:r>
      <w:r w:rsidRPr="00B5229B">
        <w:rPr>
          <w:rFonts w:eastAsia="Calibri"/>
          <w:i/>
        </w:rPr>
        <w:t xml:space="preserve">  </w:t>
      </w:r>
      <w:r w:rsidRPr="00B5229B">
        <w:rPr>
          <w:rFonts w:eastAsia="Calibri"/>
        </w:rPr>
        <w:t>Using these constraint files, the staff conducted 100 simulations of the repacking process, based on two different spectrum recovery scenarios (84 MHz and 126 MHz) and applying several different approaches to select which stations went off the air as a result of the reverse auction, producing a channel assignment plan for each simulation.</w:t>
      </w:r>
      <w:bookmarkStart w:id="103" w:name="_Ref270775020"/>
      <w:r w:rsidRPr="00B5229B">
        <w:rPr>
          <w:rFonts w:eastAsia="Calibri"/>
          <w:sz w:val="20"/>
          <w:vertAlign w:val="superscript"/>
        </w:rPr>
        <w:footnoteReference w:id="19"/>
      </w:r>
      <w:bookmarkEnd w:id="103"/>
      <w:r w:rsidRPr="00B5229B">
        <w:rPr>
          <w:rFonts w:eastAsia="Calibri"/>
        </w:rPr>
        <w:t xml:space="preserve">  The staff then calculated the aggregate or total predicted new interference from all stations to each station’s population served for every channel plan.</w:t>
      </w:r>
      <w:bookmarkStart w:id="104" w:name="_Ref269572056"/>
      <w:r w:rsidRPr="00B5229B">
        <w:rPr>
          <w:sz w:val="20"/>
          <w:vertAlign w:val="superscript"/>
        </w:rPr>
        <w:footnoteReference w:id="20"/>
      </w:r>
      <w:bookmarkEnd w:id="104"/>
      <w:r w:rsidRPr="00B5229B">
        <w:rPr>
          <w:rFonts w:eastAsia="Calibri"/>
        </w:rPr>
        <w:t xml:space="preserve">  Across all of the simulations, no station was predicted to receive aggregate new interference of two percent or more.</w:t>
      </w:r>
      <w:r w:rsidRPr="00B5229B">
        <w:rPr>
          <w:rFonts w:eastAsia="Calibri"/>
          <w:sz w:val="20"/>
          <w:vertAlign w:val="superscript"/>
        </w:rPr>
        <w:footnoteReference w:id="21"/>
      </w:r>
      <w:r w:rsidRPr="00B5229B">
        <w:rPr>
          <w:rFonts w:eastAsia="Calibri"/>
        </w:rPr>
        <w:t xml:space="preserve">  One percent of stations were predicted to receive aggregate new interference between one and two percent, while the vast majority of stations (approximately 88 percent) were predicted to receive aggregate new interference of well under the 0.5 percent </w:t>
      </w:r>
      <w:r w:rsidRPr="00B5229B">
        <w:rPr>
          <w:rFonts w:eastAsia="Calibri"/>
          <w:i/>
        </w:rPr>
        <w:t>de minimis</w:t>
      </w:r>
      <w:r w:rsidRPr="00B5229B">
        <w:rPr>
          <w:rFonts w:eastAsia="Calibri"/>
        </w:rPr>
        <w:t xml:space="preserve"> threshold.</w:t>
      </w:r>
      <w:r w:rsidRPr="00B5229B">
        <w:rPr>
          <w:rFonts w:eastAsia="Calibri"/>
          <w:sz w:val="20"/>
          <w:vertAlign w:val="superscript"/>
        </w:rPr>
        <w:footnoteReference w:id="22"/>
      </w:r>
      <w:bookmarkEnd w:id="102"/>
    </w:p>
    <w:p w14:paraId="1AC9E18F" w14:textId="77777777" w:rsidR="00B5229B" w:rsidRPr="00B5229B" w:rsidRDefault="00B5229B" w:rsidP="00F3761A">
      <w:pPr>
        <w:pStyle w:val="Heading3"/>
        <w:rPr>
          <w:rFonts w:eastAsia="Calibri"/>
        </w:rPr>
      </w:pPr>
      <w:bookmarkStart w:id="105" w:name="_Toc267838076"/>
      <w:bookmarkStart w:id="106" w:name="_Toc396995823"/>
      <w:bookmarkStart w:id="107" w:name="_Toc397609516"/>
      <w:bookmarkStart w:id="108" w:name="_Toc397610941"/>
      <w:bookmarkStart w:id="109" w:name="_Toc397962791"/>
      <w:bookmarkStart w:id="110" w:name="_Toc398023569"/>
      <w:bookmarkStart w:id="111" w:name="_Toc398902965"/>
      <w:bookmarkStart w:id="112" w:name="_Toc398903288"/>
      <w:bookmarkStart w:id="113" w:name="_Toc398903477"/>
      <w:bookmarkStart w:id="114" w:name="_Toc398904074"/>
      <w:bookmarkStart w:id="115" w:name="_Toc398904582"/>
      <w:bookmarkStart w:id="116" w:name="_Toc401305941"/>
      <w:bookmarkStart w:id="117" w:name="_Toc401306616"/>
      <w:bookmarkStart w:id="118" w:name="_Toc401306685"/>
      <w:r w:rsidRPr="00B5229B">
        <w:rPr>
          <w:rFonts w:eastAsia="Calibri"/>
        </w:rPr>
        <w:t>Discussion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4DDEEC36" w14:textId="77777777" w:rsidR="00B5229B" w:rsidRPr="00B5229B" w:rsidRDefault="00B5229B" w:rsidP="00F3761A">
      <w:pPr>
        <w:pStyle w:val="Heading4"/>
      </w:pPr>
      <w:bookmarkStart w:id="119" w:name="_Toc396995824"/>
      <w:bookmarkStart w:id="120" w:name="_Toc397609517"/>
      <w:bookmarkStart w:id="121" w:name="_Toc397610942"/>
      <w:bookmarkStart w:id="122" w:name="_Toc397962792"/>
      <w:bookmarkStart w:id="123" w:name="_Toc398023570"/>
      <w:bookmarkStart w:id="124" w:name="_Toc398902966"/>
      <w:bookmarkStart w:id="125" w:name="_Toc398903289"/>
      <w:bookmarkStart w:id="126" w:name="_Toc398903478"/>
      <w:bookmarkStart w:id="127" w:name="_Toc398904075"/>
      <w:bookmarkStart w:id="128" w:name="_Toc398904583"/>
      <w:bookmarkStart w:id="129" w:name="_Toc401305942"/>
      <w:bookmarkStart w:id="130" w:name="_Toc401306617"/>
      <w:bookmarkStart w:id="131" w:name="_Toc401306686"/>
      <w:bookmarkStart w:id="132" w:name="_Toc267838077"/>
      <w:r w:rsidRPr="00B5229B">
        <w:rPr>
          <w:rFonts w:eastAsia="Calibri"/>
        </w:rPr>
        <w:t xml:space="preserve">Stations are </w:t>
      </w:r>
      <w:r w:rsidR="00522149">
        <w:rPr>
          <w:rFonts w:eastAsia="Calibri"/>
        </w:rPr>
        <w:t xml:space="preserve">Highly </w:t>
      </w:r>
      <w:r w:rsidRPr="00B5229B">
        <w:rPr>
          <w:rFonts w:eastAsia="Calibri"/>
        </w:rPr>
        <w:t>Unlikely to Experience Aggregate Interference of More than One Percent</w:t>
      </w:r>
      <w:bookmarkEnd w:id="119"/>
      <w:bookmarkEnd w:id="120"/>
      <w:bookmarkEnd w:id="121"/>
      <w:bookmarkEnd w:id="122"/>
      <w:bookmarkEnd w:id="123"/>
      <w:bookmarkEnd w:id="124"/>
      <w:bookmarkEnd w:id="125"/>
      <w:bookmarkEnd w:id="126"/>
      <w:bookmarkEnd w:id="127"/>
      <w:bookmarkEnd w:id="128"/>
      <w:bookmarkEnd w:id="129"/>
      <w:bookmarkEnd w:id="130"/>
      <w:bookmarkEnd w:id="131"/>
      <w:r w:rsidRPr="00B5229B" w:rsidDel="000A3BD8">
        <w:t xml:space="preserve"> </w:t>
      </w:r>
      <w:bookmarkEnd w:id="132"/>
    </w:p>
    <w:p w14:paraId="7C18B578" w14:textId="77777777" w:rsidR="00B5229B" w:rsidRPr="00B5229B" w:rsidRDefault="00B5229B" w:rsidP="006A744E">
      <w:pPr>
        <w:pStyle w:val="ParaNum"/>
        <w:rPr>
          <w:rFonts w:eastAsia="Calibri"/>
        </w:rPr>
      </w:pPr>
      <w:bookmarkStart w:id="133" w:name="_Ref270235717"/>
      <w:r w:rsidRPr="00B5229B">
        <w:rPr>
          <w:rFonts w:eastAsia="Calibri"/>
        </w:rPr>
        <w:t xml:space="preserve">Broadcasters’ concerns regarding the potential for aggregate new interference to more than one percent of their viewers in the absence of a cap are overstated:  </w:t>
      </w:r>
      <w:r w:rsidR="00522149">
        <w:rPr>
          <w:rFonts w:eastAsia="Calibri"/>
        </w:rPr>
        <w:t>the vast majority of</w:t>
      </w:r>
      <w:r w:rsidR="00522149" w:rsidRPr="00B5229B">
        <w:rPr>
          <w:rFonts w:eastAsia="Calibri"/>
        </w:rPr>
        <w:t xml:space="preserve"> </w:t>
      </w:r>
      <w:r w:rsidRPr="00B5229B">
        <w:rPr>
          <w:rFonts w:eastAsia="Calibri"/>
        </w:rPr>
        <w:t xml:space="preserve">stations are unlikely to experience significant new interference as a result of the repacking process.  </w:t>
      </w:r>
      <w:r w:rsidRPr="00B5229B">
        <w:t>NAB points to a sample New York station which has seven stations causing some unique, non-overlapping interference, arguing that without a cap this station could receive new aggregate interference of two to three percent as a result of the repacking process.</w:t>
      </w:r>
      <w:r w:rsidRPr="00B5229B">
        <w:rPr>
          <w:sz w:val="20"/>
          <w:vertAlign w:val="superscript"/>
        </w:rPr>
        <w:footnoteReference w:id="23"/>
      </w:r>
      <w:r w:rsidRPr="00B5229B">
        <w:t xml:space="preserve">  However, NAB’s analysis includes existing patterns of interference—that is, areas in which viewers do not currently receive service from a station due to interference from other stations—which our repacking approach does not consider in seeking to preserve population served.</w:t>
      </w:r>
      <w:bookmarkStart w:id="134" w:name="_Ref270775302"/>
      <w:r w:rsidRPr="00B5229B">
        <w:rPr>
          <w:sz w:val="20"/>
          <w:vertAlign w:val="superscript"/>
        </w:rPr>
        <w:footnoteReference w:id="24"/>
      </w:r>
      <w:bookmarkEnd w:id="134"/>
      <w:r w:rsidRPr="00B5229B">
        <w:t xml:space="preserve">  </w:t>
      </w:r>
      <w:r w:rsidRPr="00B5229B">
        <w:rPr>
          <w:rFonts w:eastAsia="Calibri"/>
        </w:rPr>
        <w:t xml:space="preserve">Staff analysis applying the repacking approach adopted in the </w:t>
      </w:r>
      <w:r w:rsidR="005B4C0E" w:rsidRPr="005B4C0E">
        <w:rPr>
          <w:rFonts w:eastAsia="Calibri"/>
          <w:i/>
        </w:rPr>
        <w:t>Incentive Auction R&amp;O</w:t>
      </w:r>
      <w:r w:rsidRPr="00B5229B">
        <w:rPr>
          <w:rFonts w:eastAsia="Calibri"/>
          <w:i/>
        </w:rPr>
        <w:t xml:space="preserve"> </w:t>
      </w:r>
      <w:r w:rsidRPr="00B5229B">
        <w:rPr>
          <w:rFonts w:eastAsia="Calibri"/>
        </w:rPr>
        <w:t>predicts that the overwhelming majority of stations (approximately 99 percent) will not experience new interference above the proposed cap.</w:t>
      </w:r>
      <w:r w:rsidRPr="00B5229B">
        <w:rPr>
          <w:rFonts w:eastAsia="Calibri"/>
          <w:sz w:val="20"/>
          <w:vertAlign w:val="superscript"/>
        </w:rPr>
        <w:footnoteReference w:id="25"/>
      </w:r>
      <w:r w:rsidRPr="00B5229B">
        <w:rPr>
          <w:rFonts w:eastAsia="Calibri"/>
        </w:rPr>
        <w:t xml:space="preserve">  Only one percent of all stations were predicted to receive aggregate new interference between one and two percent, with no station predicted to receive two percent or greater.</w:t>
      </w:r>
      <w:r w:rsidRPr="00B5229B">
        <w:rPr>
          <w:rFonts w:eastAsia="Calibri"/>
          <w:sz w:val="20"/>
          <w:vertAlign w:val="superscript"/>
        </w:rPr>
        <w:footnoteReference w:id="26"/>
      </w:r>
      <w:r w:rsidRPr="00B5229B">
        <w:rPr>
          <w:rFonts w:eastAsia="Calibri"/>
        </w:rPr>
        <w:t xml:space="preserve">  In addition, the vast majority of stations (approximately 88 percent) across all 100 simulations conducted by the staff were predicted to receive new interference from all stations of well under the 0.5 percent </w:t>
      </w:r>
      <w:r w:rsidRPr="00B5229B">
        <w:rPr>
          <w:rFonts w:eastAsia="Calibri"/>
          <w:i/>
        </w:rPr>
        <w:t>de minimis</w:t>
      </w:r>
      <w:r w:rsidRPr="00B5229B">
        <w:rPr>
          <w:rFonts w:eastAsia="Calibri"/>
        </w:rPr>
        <w:t xml:space="preserve"> threshold.  These results indicate that the station-to-station or pairwise approach to preserving population served that the Commission adopted in the </w:t>
      </w:r>
      <w:r w:rsidR="005B4C0E" w:rsidRPr="005B4C0E">
        <w:rPr>
          <w:rFonts w:eastAsia="Calibri"/>
          <w:i/>
        </w:rPr>
        <w:t>Incentive Auction R&amp;O</w:t>
      </w:r>
      <w:r w:rsidRPr="00B5229B">
        <w:rPr>
          <w:rFonts w:eastAsia="Calibri"/>
          <w:i/>
        </w:rPr>
        <w:t xml:space="preserve"> </w:t>
      </w:r>
      <w:r w:rsidRPr="00B5229B">
        <w:rPr>
          <w:rFonts w:eastAsia="Calibri"/>
        </w:rPr>
        <w:t>is sufficiently conservative to prevent the crowded market scenario that concerns NAB.</w:t>
      </w:r>
      <w:bookmarkEnd w:id="133"/>
      <w:r w:rsidRPr="00B5229B">
        <w:rPr>
          <w:rFonts w:eastAsia="Calibri"/>
        </w:rPr>
        <w:t xml:space="preserve"> </w:t>
      </w:r>
    </w:p>
    <w:p w14:paraId="5AF6C556" w14:textId="77777777" w:rsidR="00B5229B" w:rsidRPr="00B5229B" w:rsidRDefault="00B5229B" w:rsidP="006A744E">
      <w:pPr>
        <w:pStyle w:val="ParaNum"/>
      </w:pPr>
      <w:r w:rsidRPr="00B5229B">
        <w:t>NAB argues that anomalies in the data underlying the staff analysis call its validity into question, and that the results are skewed because the staff failed to analyze scenarios in which less than 84 MHz</w:t>
      </w:r>
      <w:r w:rsidR="0020418A">
        <w:t xml:space="preserve"> of spectrum</w:t>
      </w:r>
      <w:r w:rsidRPr="00B5229B">
        <w:t xml:space="preserve"> is repurposed.</w:t>
      </w:r>
      <w:r w:rsidRPr="00B5229B">
        <w:rPr>
          <w:sz w:val="20"/>
          <w:vertAlign w:val="superscript"/>
        </w:rPr>
        <w:footnoteReference w:id="27"/>
      </w:r>
      <w:r w:rsidRPr="00B5229B">
        <w:t xml:space="preserve">  As discussed below, these arguments lack merit.  The alleged anomalies do not represent errors or inconsistencies in the data on which the staff relied.  Further, the argument that the results are skewed is based on a mistaken premise:  that the risk of higher levels of new aggregate interference would be higher if the incentive auction were to recover less spectrum.  In actuality, the constraints adopted in the </w:t>
      </w:r>
      <w:r w:rsidR="005B4C0E" w:rsidRPr="005B4C0E">
        <w:rPr>
          <w:i/>
        </w:rPr>
        <w:t>Incenti</w:t>
      </w:r>
      <w:r w:rsidR="005B4C0E" w:rsidRPr="00181AFC">
        <w:rPr>
          <w:i/>
        </w:rPr>
        <w:t>ve Auction R&amp;O</w:t>
      </w:r>
      <w:r w:rsidRPr="00B5229B">
        <w:t xml:space="preserve"> to preserve coverage area and population served limit how stations may be repacked and will not vary depending on the amount of spectrum recovered.  </w:t>
      </w:r>
    </w:p>
    <w:p w14:paraId="47FD611D" w14:textId="77777777" w:rsidR="00B5229B" w:rsidRPr="00B5229B" w:rsidRDefault="00B5229B" w:rsidP="006A744E">
      <w:pPr>
        <w:pStyle w:val="ParaNum"/>
      </w:pPr>
      <w:bookmarkStart w:id="135" w:name="_Ref269556992"/>
      <w:r w:rsidRPr="00B5229B">
        <w:rPr>
          <w:i/>
        </w:rPr>
        <w:t>Accuracy of the Underlying Data</w:t>
      </w:r>
      <w:r w:rsidRPr="00B5229B">
        <w:t>.  NAB questions the accuracy of the staff analysis based on purported anomalies in the underlying data.</w:t>
      </w:r>
      <w:r w:rsidRPr="00B5229B">
        <w:rPr>
          <w:sz w:val="20"/>
          <w:vertAlign w:val="superscript"/>
        </w:rPr>
        <w:footnoteReference w:id="28"/>
      </w:r>
      <w:r w:rsidRPr="00B5229B">
        <w:t xml:space="preserve">  The updated constraint files underlying the staff analysis</w:t>
      </w:r>
      <w:r w:rsidRPr="00B5229B">
        <w:rPr>
          <w:i/>
        </w:rPr>
        <w:t xml:space="preserve"> </w:t>
      </w:r>
      <w:r w:rsidRPr="00B5229B">
        <w:t xml:space="preserve">consist of two files for each television station:  a “domain” file that lists all of the channels to which the station could be assigned considering fixed constraints, and an “interference-paired” file that lists all of the other stations that could </w:t>
      </w:r>
      <w:r w:rsidRPr="00B5229B">
        <w:rPr>
          <w:i/>
        </w:rPr>
        <w:t xml:space="preserve">not </w:t>
      </w:r>
      <w:r w:rsidRPr="00B5229B">
        <w:t>be assigned to operate on the same or on an adjacent channel with that station (because the stations’ interference relationship would violate the 0.5 percent new pairwise interference threshold).</w:t>
      </w:r>
      <w:r w:rsidRPr="00B5229B">
        <w:rPr>
          <w:sz w:val="20"/>
          <w:vertAlign w:val="superscript"/>
        </w:rPr>
        <w:footnoteReference w:id="29"/>
      </w:r>
      <w:r w:rsidRPr="00B5229B">
        <w:t xml:space="preserve">  NAB points to two examples in which the files reflect that two or more stations cannot be assigned to the same channel on certain frequencies, but may be assigned to the same channel on nearby frequencies.</w:t>
      </w:r>
      <w:r w:rsidRPr="00B5229B">
        <w:rPr>
          <w:sz w:val="20"/>
          <w:vertAlign w:val="superscript"/>
        </w:rPr>
        <w:footnoteReference w:id="30"/>
      </w:r>
      <w:r w:rsidRPr="00B5229B">
        <w:t xml:space="preserve">  According to NAB, these “results appear highly unlikely given that . . . the change in the amount of interference caused between assigning closely spaced channels . . . is not significant.”</w:t>
      </w:r>
      <w:r w:rsidRPr="00B5229B">
        <w:rPr>
          <w:sz w:val="20"/>
          <w:vertAlign w:val="superscript"/>
        </w:rPr>
        <w:footnoteReference w:id="31"/>
      </w:r>
      <w:r w:rsidRPr="00B5229B">
        <w:t xml:space="preserve">  The examples NAB identifies represent neither an error nor an inconsistency in the underlying data.  These results simply demonstrate that predicted interference will change slightly as stations move from one channel to another because radio waves propagate differently on different frequencies.</w:t>
      </w:r>
      <w:r w:rsidRPr="00B5229B">
        <w:rPr>
          <w:sz w:val="20"/>
          <w:vertAlign w:val="superscript"/>
        </w:rPr>
        <w:footnoteReference w:id="32"/>
      </w:r>
      <w:r w:rsidRPr="00B5229B">
        <w:t xml:space="preserve">  The slight variations may result in situations where stations cannot operate on one channel under the applicable constraints, but may operate on a nearby channel, because such variations cause the interference relationship between two stations to go above or below the 0.5 percent interference threshold.</w:t>
      </w:r>
      <w:bookmarkEnd w:id="135"/>
    </w:p>
    <w:p w14:paraId="5E836C73" w14:textId="77777777" w:rsidR="00B5229B" w:rsidRPr="00B5229B" w:rsidRDefault="00B5229B" w:rsidP="006A744E">
      <w:pPr>
        <w:pStyle w:val="ParaNum"/>
      </w:pPr>
      <w:r w:rsidRPr="00B5229B">
        <w:t>In the first example identified by NAB, study station 35862 cannot operate co-channel with a number of other undesired stations if the pair of stations are assigned channels 39 through 44, but can operate co-channel with the same stations if the pair are assigned channels 38 or 45.</w:t>
      </w:r>
      <w:r w:rsidRPr="00B5229B">
        <w:rPr>
          <w:sz w:val="20"/>
          <w:vertAlign w:val="superscript"/>
        </w:rPr>
        <w:footnoteReference w:id="33"/>
      </w:r>
      <w:r w:rsidRPr="00B5229B">
        <w:t xml:space="preserve">  In this example, one of study station 35862’s two-by-two kilometer grid cells</w:t>
      </w:r>
      <w:r w:rsidRPr="00B5229B">
        <w:rPr>
          <w:sz w:val="20"/>
          <w:vertAlign w:val="superscript"/>
        </w:rPr>
        <w:footnoteReference w:id="34"/>
      </w:r>
      <w:r w:rsidRPr="00B5229B">
        <w:t xml:space="preserve"> changed from “no interference” to “interference” across different channels as a result of interference from undesired station 35380.  This particular grid cell is located near the edge of station 35862’s interference-free population area, where small changes in desired-to-undesired (D/U) signal strength ratios can affect whether or not interference is predicted.</w:t>
      </w:r>
      <w:r w:rsidRPr="00B5229B">
        <w:rPr>
          <w:sz w:val="20"/>
          <w:vertAlign w:val="superscript"/>
        </w:rPr>
        <w:footnoteReference w:id="35"/>
      </w:r>
      <w:r w:rsidRPr="00B5229B">
        <w:t xml:space="preserve">  Because this cell has a relatively large population,</w:t>
      </w:r>
      <w:r w:rsidRPr="00B5229B">
        <w:rPr>
          <w:sz w:val="20"/>
          <w:vertAlign w:val="superscript"/>
        </w:rPr>
        <w:footnoteReference w:id="36"/>
      </w:r>
      <w:r w:rsidRPr="00B5229B">
        <w:t xml:space="preserve"> it alone can raise study station 35862’s interfered-with population above the 0.5 percent interference threshold.  On channels 38 and 45, the predicted interference between these two stations was essentially zero percent, as this particular cell’s population was not counted as interfered-with.  On channels 39-44, however, this cell’s D/U ratio changed enough that its population was counted as interfered-with, thereby raising the predicted interference to just above the threshold (to 0.53 percent).</w:t>
      </w:r>
    </w:p>
    <w:p w14:paraId="72E46C96" w14:textId="77777777" w:rsidR="00B5229B" w:rsidRPr="00B5229B" w:rsidRDefault="00B5229B" w:rsidP="006A744E">
      <w:pPr>
        <w:pStyle w:val="ParaNum"/>
      </w:pPr>
      <w:r w:rsidRPr="00B5229B">
        <w:t>In the second example</w:t>
      </w:r>
      <w:r w:rsidR="007D58EF">
        <w:t xml:space="preserve"> cited by NAB</w:t>
      </w:r>
      <w:r w:rsidRPr="00B5229B">
        <w:t>, station 125 can operate on channels 2, 3, 7, 8, 9, or 10, but not on channels 5, 11, or 12, when station 63158 operates on the upper adjacent channel.</w:t>
      </w:r>
      <w:r w:rsidRPr="00B5229B">
        <w:rPr>
          <w:sz w:val="20"/>
          <w:vertAlign w:val="superscript"/>
        </w:rPr>
        <w:footnoteReference w:id="37"/>
      </w:r>
      <w:r w:rsidRPr="00B5229B">
        <w:t xml:space="preserve">  Moreover, station 63158 cannot operate on any lower adjacent channel to station 125.</w:t>
      </w:r>
      <w:r w:rsidRPr="00B5229B">
        <w:rPr>
          <w:sz w:val="20"/>
          <w:vertAlign w:val="superscript"/>
        </w:rPr>
        <w:footnoteReference w:id="38"/>
      </w:r>
      <w:r w:rsidRPr="00B5229B">
        <w:t xml:space="preserve">  A constraint is created if the 0.5 percent interference threshold is violated in either direction (</w:t>
      </w:r>
      <w:r w:rsidRPr="00B5229B">
        <w:rPr>
          <w:i/>
        </w:rPr>
        <w:t>i.e.</w:t>
      </w:r>
      <w:r w:rsidRPr="00B5229B">
        <w:t>, from station A to station B, or from station B to station A).</w:t>
      </w:r>
      <w:r w:rsidRPr="00B5229B">
        <w:rPr>
          <w:sz w:val="20"/>
          <w:vertAlign w:val="superscript"/>
        </w:rPr>
        <w:footnoteReference w:id="39"/>
      </w:r>
      <w:r w:rsidRPr="00B5229B">
        <w:t xml:space="preserve">  Similar to the first example, a slight increase in interference results from a very small number of study station 63518’s grid cells near the edge of its interference-free population changing from “no interference” to “interference” when station 63518 operates on channel 12 rather than channel 11 (and undesired station 125 operates on channel 11 rather than channel 10).  In this case, three cells had populations significant enough to cause the interfered-with population to rise above the interference threshold (from 0.45 to 0.59 percent).  Although station 125 on channel 11 is not predicted to </w:t>
      </w:r>
      <w:r w:rsidRPr="00B5229B">
        <w:rPr>
          <w:i/>
        </w:rPr>
        <w:t>receive</w:t>
      </w:r>
      <w:r w:rsidRPr="00B5229B">
        <w:t xml:space="preserve"> interference above the threshold from station 63158 on channel 12, it is predicted to </w:t>
      </w:r>
      <w:r w:rsidRPr="00B5229B">
        <w:rPr>
          <w:i/>
        </w:rPr>
        <w:t xml:space="preserve">cause </w:t>
      </w:r>
      <w:r w:rsidRPr="00B5229B">
        <w:t xml:space="preserve">interference above the threshold to station 63158.  Thus, NAB’s examples do not reflect inconsistencies or errors in the updated constraint files underlying the staff analysis. </w:t>
      </w:r>
    </w:p>
    <w:p w14:paraId="4026BD83" w14:textId="77777777" w:rsidR="00B5229B" w:rsidRPr="00B5229B" w:rsidRDefault="00B5229B" w:rsidP="006A744E">
      <w:pPr>
        <w:pStyle w:val="ParaNum"/>
        <w:rPr>
          <w:rFonts w:eastAsia="Calibri"/>
        </w:rPr>
      </w:pPr>
      <w:r w:rsidRPr="00B5229B">
        <w:rPr>
          <w:rFonts w:eastAsia="Calibri"/>
          <w:i/>
        </w:rPr>
        <w:t>Robustness of the Studies</w:t>
      </w:r>
      <w:r w:rsidRPr="00B5229B">
        <w:rPr>
          <w:rFonts w:eastAsia="Calibri"/>
        </w:rPr>
        <w:t>.  We also reject NAB’s claims that the staff analysis is skewed by the spectrum recovery scenarios studied and understates the potential for new aggregate interference.  Arguments that lower levels of broadcaster participation in the reverse auction (resulting in less spectrum recovered) increase the potential for new aggregate interference in crowded markets are based on a misunderstanding of the repacking process.  In the 84 and 12</w:t>
      </w:r>
      <w:r w:rsidR="004F07A6">
        <w:rPr>
          <w:rFonts w:eastAsia="Calibri"/>
        </w:rPr>
        <w:t>0</w:t>
      </w:r>
      <w:r w:rsidRPr="00B5229B">
        <w:rPr>
          <w:rFonts w:eastAsia="Calibri"/>
        </w:rPr>
        <w:t xml:space="preserve"> MHz scenarios studied by the staff, higher levels of </w:t>
      </w:r>
      <w:r w:rsidRPr="00F3761A">
        <w:t>participation</w:t>
      </w:r>
      <w:r w:rsidRPr="00B5229B">
        <w:rPr>
          <w:rFonts w:eastAsia="Calibri"/>
        </w:rPr>
        <w:t xml:space="preserve"> are required because more stations would have to voluntarily relinquish their spectrum usage rights in order for the Commission to be able to repack the remaining stations consistent with the constraints adopted in the </w:t>
      </w:r>
      <w:r w:rsidR="00544D32" w:rsidRPr="00EA7939">
        <w:rPr>
          <w:rFonts w:eastAsia="Calibri"/>
          <w:i/>
        </w:rPr>
        <w:t>Incentive Auction</w:t>
      </w:r>
      <w:r w:rsidR="00544D32">
        <w:rPr>
          <w:rFonts w:eastAsia="Calibri"/>
        </w:rPr>
        <w:t xml:space="preserve"> </w:t>
      </w:r>
      <w:r w:rsidRPr="00B5229B">
        <w:rPr>
          <w:rFonts w:eastAsia="Calibri"/>
          <w:i/>
        </w:rPr>
        <w:t>R&amp;O</w:t>
      </w:r>
      <w:r w:rsidRPr="00B5229B">
        <w:rPr>
          <w:rFonts w:eastAsia="Calibri"/>
        </w:rPr>
        <w:t>.  In other words, more stations would have to go off the air because fewer channels would be available in the TV spectrum to repack broadcasters.  If, on the other hand, fewer broadcasters choose to participate, as NAB contends is likely, the pairwise constraints would prevent the auction from repurposing as much spectrum, leaving more television channels available to assign to stations.</w:t>
      </w:r>
      <w:r w:rsidRPr="00B5229B">
        <w:rPr>
          <w:rFonts w:eastAsia="Calibri"/>
          <w:sz w:val="20"/>
          <w:vertAlign w:val="superscript"/>
        </w:rPr>
        <w:footnoteReference w:id="40"/>
      </w:r>
      <w:r w:rsidRPr="00B5229B">
        <w:rPr>
          <w:rFonts w:eastAsia="Calibri"/>
        </w:rPr>
        <w:t xml:space="preserve">  Regardless of how much spectrum is recovered, </w:t>
      </w:r>
      <w:r w:rsidRPr="00B5229B">
        <w:t>the constraints remain static throughout the auction, and provide limits to whether and how stations may be repacked.</w:t>
      </w:r>
      <w:r w:rsidRPr="00B5229B">
        <w:rPr>
          <w:sz w:val="20"/>
          <w:vertAlign w:val="superscript"/>
        </w:rPr>
        <w:footnoteReference w:id="41"/>
      </w:r>
    </w:p>
    <w:p w14:paraId="294130B8" w14:textId="77777777" w:rsidR="00B5229B" w:rsidRPr="00B5229B" w:rsidRDefault="00B5229B" w:rsidP="006A744E">
      <w:pPr>
        <w:pStyle w:val="ParaNum"/>
      </w:pPr>
      <w:r w:rsidRPr="00EA7939">
        <w:t>The results of the staff’s analysis were consistent across broadcaster participation rates, which ranged</w:t>
      </w:r>
      <w:r w:rsidRPr="00B5229B">
        <w:rPr>
          <w:rFonts w:eastAsia="Calibri"/>
        </w:rPr>
        <w:t xml:space="preserve"> from 80 to 100 percent, and across a large (</w:t>
      </w:r>
      <w:r w:rsidR="004F07A6">
        <w:rPr>
          <w:rFonts w:eastAsia="Calibri"/>
        </w:rPr>
        <w:t>36</w:t>
      </w:r>
      <w:r w:rsidRPr="00B5229B">
        <w:rPr>
          <w:rFonts w:eastAsia="Calibri"/>
        </w:rPr>
        <w:t xml:space="preserve"> MHz) difference in the two spectrum recovery scenarios studied.</w:t>
      </w:r>
      <w:r w:rsidRPr="00B5229B">
        <w:rPr>
          <w:rFonts w:eastAsia="Calibri"/>
          <w:sz w:val="20"/>
          <w:vertAlign w:val="superscript"/>
        </w:rPr>
        <w:footnoteReference w:id="42"/>
      </w:r>
      <w:r w:rsidRPr="00B5229B">
        <w:rPr>
          <w:rFonts w:eastAsia="Calibri"/>
        </w:rPr>
        <w:t xml:space="preserve">  This consistency confirms that lower levels of broadcaster participation—and scenarios in which less </w:t>
      </w:r>
      <w:r w:rsidRPr="00F3761A">
        <w:t>spectrum</w:t>
      </w:r>
      <w:r w:rsidRPr="00B5229B">
        <w:rPr>
          <w:rFonts w:eastAsia="Calibri"/>
        </w:rPr>
        <w:t xml:space="preserve"> is recovered—will not have a significant impact on new aggregate interference.  The staff’s approach to selecting the stations to voluntarily go off the air </w:t>
      </w:r>
      <w:r w:rsidR="000C42E0">
        <w:rPr>
          <w:rFonts w:eastAsia="Calibri"/>
        </w:rPr>
        <w:t xml:space="preserve">in the simulations </w:t>
      </w:r>
      <w:r w:rsidRPr="00B5229B">
        <w:rPr>
          <w:rFonts w:eastAsia="Calibri"/>
        </w:rPr>
        <w:t>also ensured that virtually every station was part of at least one simulation in which that station remained on the air.</w:t>
      </w:r>
      <w:r w:rsidRPr="00B5229B">
        <w:rPr>
          <w:rFonts w:eastAsia="Calibri"/>
          <w:sz w:val="20"/>
          <w:vertAlign w:val="superscript"/>
        </w:rPr>
        <w:footnoteReference w:id="43"/>
      </w:r>
      <w:r w:rsidRPr="00B5229B">
        <w:rPr>
          <w:rFonts w:eastAsia="Calibri"/>
        </w:rPr>
        <w:t xml:space="preserve">  Accordingly, we reject NAB’s contention that the results of the staff analysis are unreliable.</w:t>
      </w:r>
      <w:r w:rsidRPr="00B5229B">
        <w:rPr>
          <w:rFonts w:eastAsia="Calibri"/>
          <w:sz w:val="20"/>
          <w:vertAlign w:val="superscript"/>
        </w:rPr>
        <w:footnoteReference w:id="44"/>
      </w:r>
    </w:p>
    <w:p w14:paraId="44F6CC6C" w14:textId="77777777" w:rsidR="00B5229B" w:rsidRPr="00B5229B" w:rsidRDefault="00B5229B" w:rsidP="006A744E">
      <w:pPr>
        <w:pStyle w:val="ParaNum"/>
      </w:pPr>
      <w:r w:rsidRPr="00B5229B">
        <w:rPr>
          <w:rFonts w:eastAsia="Calibri"/>
          <w:i/>
        </w:rPr>
        <w:t>Release of Simulation Software</w:t>
      </w:r>
      <w:r w:rsidRPr="00B5229B">
        <w:rPr>
          <w:rFonts w:eastAsia="Calibri"/>
        </w:rPr>
        <w:t xml:space="preserve">.  We reject contentions that the </w:t>
      </w:r>
      <w:r w:rsidRPr="00B5229B">
        <w:rPr>
          <w:rFonts w:eastAsia="Calibri"/>
          <w:i/>
        </w:rPr>
        <w:t xml:space="preserve">Aggregate Interference PN </w:t>
      </w:r>
      <w:r w:rsidRPr="00B5229B">
        <w:rPr>
          <w:rFonts w:eastAsia="Calibri"/>
        </w:rPr>
        <w:t>comment period was too short and that meaningful comment on the staff analysis was impossible without access to the simulation software that the staff used to generate constraint files and perform feasibility checks.</w:t>
      </w:r>
      <w:r w:rsidRPr="00B5229B">
        <w:rPr>
          <w:rFonts w:eastAsia="Calibri"/>
          <w:sz w:val="20"/>
          <w:vertAlign w:val="superscript"/>
        </w:rPr>
        <w:footnoteReference w:id="45"/>
      </w:r>
      <w:r w:rsidRPr="00B5229B">
        <w:rPr>
          <w:rFonts w:eastAsia="Calibri"/>
        </w:rPr>
        <w:t xml:space="preserve">  </w:t>
      </w:r>
      <w:r w:rsidRPr="00B5229B">
        <w:t xml:space="preserve">The </w:t>
      </w:r>
      <w:r w:rsidRPr="00B5229B">
        <w:rPr>
          <w:rFonts w:eastAsia="Calibri"/>
          <w:i/>
        </w:rPr>
        <w:t>Aggregate Interference PN</w:t>
      </w:r>
      <w:r w:rsidRPr="00B5229B">
        <w:t xml:space="preserve"> provided 30 days for comments and an additional 20 days for reply comments, and parties have had additional time to analyze the study (and to submit </w:t>
      </w:r>
      <w:r w:rsidRPr="00B5229B">
        <w:rPr>
          <w:i/>
        </w:rPr>
        <w:t>ex parte</w:t>
      </w:r>
      <w:r w:rsidRPr="00B5229B">
        <w:t xml:space="preserve"> filings) since the comment period closed.  Ample information has been made publicly available to allow for meaningful input on the staff analysis and its results, </w:t>
      </w:r>
      <w:r w:rsidRPr="00B5229B">
        <w:rPr>
          <w:rFonts w:eastAsia="Calibri"/>
        </w:rPr>
        <w:t xml:space="preserve">including the </w:t>
      </w:r>
      <w:r w:rsidRPr="00B5229B">
        <w:t>methodology, data, and assumptions underlying the analysis.  Moreover, in the interest of transparency and encouraging meaningful input, the Commission and its staff have made extensive information about the repacking process publicly available over the course of this proceeding.</w:t>
      </w:r>
      <w:r w:rsidRPr="00B5229B">
        <w:rPr>
          <w:sz w:val="20"/>
          <w:vertAlign w:val="superscript"/>
        </w:rPr>
        <w:footnoteReference w:id="46"/>
      </w:r>
      <w:r w:rsidRPr="00B5229B">
        <w:t xml:space="preserve">  </w:t>
      </w:r>
      <w:r w:rsidRPr="00B5229B">
        <w:rPr>
          <w:rFonts w:eastAsia="Calibri"/>
        </w:rPr>
        <w:t xml:space="preserve">The data and methodology required to simulate repacking scenarios were first detailed </w:t>
      </w:r>
      <w:r w:rsidR="007D58EF">
        <w:rPr>
          <w:rFonts w:eastAsia="Calibri"/>
        </w:rPr>
        <w:t>more than a</w:t>
      </w:r>
      <w:r w:rsidRPr="00B5229B">
        <w:rPr>
          <w:rFonts w:eastAsia="Calibri"/>
        </w:rPr>
        <w:t xml:space="preserve"> year ago in the </w:t>
      </w:r>
      <w:r w:rsidRPr="00B5229B">
        <w:rPr>
          <w:rFonts w:eastAsia="Calibri"/>
          <w:i/>
        </w:rPr>
        <w:t>Repacking Data PN</w:t>
      </w:r>
      <w:r w:rsidRPr="00B5229B">
        <w:rPr>
          <w:rFonts w:eastAsia="Calibri"/>
        </w:rPr>
        <w:t>.</w:t>
      </w:r>
      <w:r w:rsidRPr="00B5229B">
        <w:rPr>
          <w:rFonts w:eastAsia="Calibri"/>
          <w:sz w:val="20"/>
          <w:vertAlign w:val="superscript"/>
        </w:rPr>
        <w:footnoteReference w:id="47"/>
      </w:r>
      <w:r w:rsidRPr="00B5229B">
        <w:rPr>
          <w:rFonts w:eastAsia="Calibri"/>
        </w:rPr>
        <w:t xml:space="preserve">  </w:t>
      </w:r>
      <w:r w:rsidR="007D58EF">
        <w:rPr>
          <w:rFonts w:eastAsia="Calibri"/>
        </w:rPr>
        <w:t>T</w:t>
      </w:r>
      <w:r w:rsidRPr="00B5229B">
        <w:rPr>
          <w:rFonts w:eastAsia="Calibri"/>
        </w:rPr>
        <w:t>he staff provided technical detail about how software could be used to perform “feasibility checks” (that is, to determine whether channels can be assigned to all of the stations eligible for protection in the repacking process consistent with the constraints imposed by the Spectrum Act) in January 2014,</w:t>
      </w:r>
      <w:r w:rsidRPr="00B5229B">
        <w:rPr>
          <w:rFonts w:eastAsia="Calibri"/>
          <w:sz w:val="20"/>
          <w:vertAlign w:val="superscript"/>
        </w:rPr>
        <w:footnoteReference w:id="48"/>
      </w:r>
      <w:r w:rsidRPr="00B5229B">
        <w:rPr>
          <w:rFonts w:eastAsia="Calibri"/>
        </w:rPr>
        <w:t xml:space="preserve"> and further detailed the staff’s repacking simulation software in a subsequent workshop.</w:t>
      </w:r>
      <w:r w:rsidRPr="00B5229B">
        <w:rPr>
          <w:rFonts w:eastAsia="Calibri"/>
          <w:sz w:val="20"/>
          <w:vertAlign w:val="superscript"/>
        </w:rPr>
        <w:footnoteReference w:id="49"/>
      </w:r>
      <w:r w:rsidRPr="00B5229B">
        <w:rPr>
          <w:rFonts w:eastAsia="Calibri"/>
        </w:rPr>
        <w:t xml:space="preserve">  Thus, interested parties have had sufficient time and information to comment meaningfully on the staff analysis.</w:t>
      </w:r>
      <w:r w:rsidRPr="00B5229B">
        <w:rPr>
          <w:rFonts w:eastAsia="Calibri"/>
          <w:sz w:val="20"/>
          <w:vertAlign w:val="superscript"/>
        </w:rPr>
        <w:footnoteReference w:id="50"/>
      </w:r>
      <w:r w:rsidRPr="00B5229B">
        <w:rPr>
          <w:rFonts w:eastAsia="Calibri"/>
        </w:rPr>
        <w:t xml:space="preserve"> </w:t>
      </w:r>
    </w:p>
    <w:p w14:paraId="4B0D334F" w14:textId="77777777" w:rsidR="00B5229B" w:rsidRPr="00B5229B" w:rsidRDefault="00B5229B" w:rsidP="00F3761A">
      <w:pPr>
        <w:pStyle w:val="Heading4"/>
        <w:rPr>
          <w:rFonts w:eastAsia="Calibri"/>
        </w:rPr>
      </w:pPr>
      <w:bookmarkStart w:id="136" w:name="_Toc396995825"/>
      <w:bookmarkStart w:id="137" w:name="_Toc397609518"/>
      <w:bookmarkStart w:id="138" w:name="_Toc397610943"/>
      <w:bookmarkStart w:id="139" w:name="_Toc397962793"/>
      <w:bookmarkStart w:id="140" w:name="_Toc398023571"/>
      <w:bookmarkStart w:id="141" w:name="_Toc398902967"/>
      <w:bookmarkStart w:id="142" w:name="_Toc398903290"/>
      <w:bookmarkStart w:id="143" w:name="_Toc398903479"/>
      <w:bookmarkStart w:id="144" w:name="_Toc398904076"/>
      <w:bookmarkStart w:id="145" w:name="_Toc398904584"/>
      <w:bookmarkStart w:id="146" w:name="_Toc401305943"/>
      <w:bookmarkStart w:id="147" w:name="_Toc401306618"/>
      <w:bookmarkStart w:id="148" w:name="_Toc401306687"/>
      <w:bookmarkStart w:id="149" w:name="_Toc267838079"/>
      <w:bookmarkStart w:id="150" w:name="_Toc267838078"/>
      <w:r w:rsidRPr="00B5229B">
        <w:t>Measures to Address Aggregate Interference of More than One Percent in Exceptional Cases</w:t>
      </w:r>
      <w:bookmarkEnd w:id="136"/>
      <w:bookmarkEnd w:id="137"/>
      <w:bookmarkEnd w:id="138"/>
      <w:bookmarkEnd w:id="139"/>
      <w:bookmarkEnd w:id="140"/>
      <w:bookmarkEnd w:id="141"/>
      <w:bookmarkEnd w:id="142"/>
      <w:bookmarkEnd w:id="143"/>
      <w:bookmarkEnd w:id="144"/>
      <w:bookmarkEnd w:id="145"/>
      <w:bookmarkEnd w:id="146"/>
      <w:bookmarkEnd w:id="147"/>
      <w:bookmarkEnd w:id="148"/>
      <w:r w:rsidRPr="00B5229B" w:rsidDel="003B2B98">
        <w:rPr>
          <w:rFonts w:eastAsia="Calibri"/>
        </w:rPr>
        <w:t xml:space="preserve"> </w:t>
      </w:r>
      <w:bookmarkEnd w:id="149"/>
    </w:p>
    <w:p w14:paraId="54764300" w14:textId="4B89B16D" w:rsidR="00B5229B" w:rsidRPr="00B5229B" w:rsidRDefault="00B5229B" w:rsidP="006A744E">
      <w:pPr>
        <w:pStyle w:val="ParaNum"/>
      </w:pPr>
      <w:bookmarkStart w:id="151" w:name="_Ref270235735"/>
      <w:r w:rsidRPr="00FB4444">
        <w:t>We adopt two measures to address exceptional cases where a station is predicted to receive aggregate</w:t>
      </w:r>
      <w:r w:rsidRPr="00B5229B">
        <w:rPr>
          <w:rFonts w:eastAsia="Calibri"/>
        </w:rPr>
        <w:t xml:space="preserve"> new interference in excess of one percent.  First, we will use optimization techniques that seek to avoid final channel assignments that would result in </w:t>
      </w:r>
      <w:r w:rsidR="00567AD1">
        <w:rPr>
          <w:rFonts w:eastAsia="Calibri"/>
        </w:rPr>
        <w:t xml:space="preserve">aggregate </w:t>
      </w:r>
      <w:r w:rsidR="00181AFC" w:rsidRPr="00B5229B">
        <w:rPr>
          <w:rFonts w:eastAsia="Calibri"/>
        </w:rPr>
        <w:t xml:space="preserve">new </w:t>
      </w:r>
      <w:r w:rsidRPr="00B5229B">
        <w:rPr>
          <w:rFonts w:eastAsia="Calibri"/>
        </w:rPr>
        <w:t xml:space="preserve">interference of more than one percent.  </w:t>
      </w:r>
      <w:r w:rsidRPr="00B5229B">
        <w:t>After the incentive auction bidding closes and the set of stations that will remain on the air in each band is established, we plan to employ optimization techniques to determine a final channel assignment scheme from the provisional channel assignments identified during the reverse auction bidding process.</w:t>
      </w:r>
      <w:r w:rsidRPr="00B5229B">
        <w:rPr>
          <w:sz w:val="20"/>
          <w:vertAlign w:val="superscript"/>
        </w:rPr>
        <w:footnoteReference w:id="51"/>
      </w:r>
      <w:r w:rsidRPr="00B5229B">
        <w:t xml:space="preserve">  During this final channel assignment process, we can take time to account for factors </w:t>
      </w:r>
      <w:r w:rsidR="007D58EF">
        <w:t>in addition to</w:t>
      </w:r>
      <w:r w:rsidRPr="00B5229B">
        <w:t xml:space="preserve"> feasibility, such as aggregate new interference, without compromising the speed of the reverse auction bidding process.</w:t>
      </w:r>
      <w:r w:rsidRPr="00B5229B">
        <w:rPr>
          <w:sz w:val="20"/>
          <w:vertAlign w:val="superscript"/>
        </w:rPr>
        <w:footnoteReference w:id="52"/>
      </w:r>
      <w:r w:rsidRPr="00B5229B">
        <w:t xml:space="preserve">  Among other objectives, we </w:t>
      </w:r>
      <w:r w:rsidR="007D58EF">
        <w:t>intend to</w:t>
      </w:r>
      <w:r w:rsidR="007D58EF" w:rsidRPr="00B5229B">
        <w:t xml:space="preserve"> </w:t>
      </w:r>
      <w:r w:rsidRPr="00B5229B">
        <w:t>seek a final channel assignment that minimizes new aggregate interference above one percent.</w:t>
      </w:r>
      <w:r w:rsidRPr="00B5229B">
        <w:rPr>
          <w:sz w:val="20"/>
          <w:vertAlign w:val="superscript"/>
        </w:rPr>
        <w:footnoteReference w:id="53"/>
      </w:r>
      <w:r w:rsidRPr="00B5229B">
        <w:t xml:space="preserve">  Although our current rules do not provide broadcasters with </w:t>
      </w:r>
      <w:r w:rsidR="00994505">
        <w:t xml:space="preserve">complete </w:t>
      </w:r>
      <w:r w:rsidRPr="00B5229B">
        <w:rPr>
          <w:rFonts w:eastAsia="Calibri"/>
        </w:rPr>
        <w:t xml:space="preserve">protection from aggregate interference caused by other broadcast stations, we choose a one percent threshold in light of </w:t>
      </w:r>
      <w:r w:rsidRPr="00B5229B">
        <w:t xml:space="preserve">broadcasters’ stated concerns </w:t>
      </w:r>
      <w:r w:rsidR="007D58EF">
        <w:t>about</w:t>
      </w:r>
      <w:r w:rsidR="007D58EF" w:rsidRPr="00B5229B">
        <w:t xml:space="preserve"> </w:t>
      </w:r>
      <w:r w:rsidRPr="00B5229B">
        <w:t>aggregate interference exceeding this amount.</w:t>
      </w:r>
      <w:r w:rsidRPr="00B5229B">
        <w:rPr>
          <w:sz w:val="20"/>
          <w:vertAlign w:val="superscript"/>
        </w:rPr>
        <w:footnoteReference w:id="54"/>
      </w:r>
      <w:bookmarkEnd w:id="151"/>
    </w:p>
    <w:p w14:paraId="57F54704" w14:textId="77777777" w:rsidR="00B5229B" w:rsidRPr="00B5229B" w:rsidRDefault="00B5229B" w:rsidP="006A744E">
      <w:pPr>
        <w:pStyle w:val="ParaNum"/>
        <w:rPr>
          <w:rFonts w:eastAsia="Calibri"/>
        </w:rPr>
      </w:pPr>
      <w:bookmarkStart w:id="152" w:name="_Ref398031288"/>
      <w:r w:rsidRPr="00B5229B">
        <w:t xml:space="preserve">Although we anticipate that this final channel assignment optimization procedure will </w:t>
      </w:r>
      <w:r w:rsidR="007D58EF">
        <w:t xml:space="preserve">further </w:t>
      </w:r>
      <w:r w:rsidRPr="00B5229B">
        <w:t xml:space="preserve">reduce the </w:t>
      </w:r>
      <w:r w:rsidR="007D58EF">
        <w:t xml:space="preserve">already-small </w:t>
      </w:r>
      <w:r w:rsidRPr="00B5229B">
        <w:t>number of stations that are predicted to receive new interference greater than one percent, we cannot guarantee this result in every case.  The optimization procedure can identify the best final channel assignment scheme given the station-to-band assignments produced by the reverse auction</w:t>
      </w:r>
      <w:r w:rsidR="007D58EF">
        <w:t xml:space="preserve">.  However, </w:t>
      </w:r>
      <w:r w:rsidRPr="00B5229B">
        <w:t xml:space="preserve">we cannot change these assignments after the bidding stops and the final stage rule is met without undoing the entire auction. </w:t>
      </w:r>
      <w:r w:rsidRPr="00B5229B">
        <w:rPr>
          <w:rFonts w:eastAsia="Calibri"/>
        </w:rPr>
        <w:t xml:space="preserve"> </w:t>
      </w:r>
      <w:r w:rsidRPr="00B5229B">
        <w:t xml:space="preserve">Accordingly, as an additional safeguard, if a station is predicted to receive new interference above one percent on the final channel assigned to it following the repacking process, </w:t>
      </w:r>
      <w:r w:rsidRPr="00B5229B">
        <w:rPr>
          <w:rFonts w:eastAsia="Calibri"/>
        </w:rPr>
        <w:t>we will provide it with the opportunity to file an application proposing an alternate channel or expanded facilities in a priority filing window, along with a limited number of other stations that have been assigned the same priority.</w:t>
      </w:r>
      <w:r w:rsidRPr="00B5229B">
        <w:rPr>
          <w:rFonts w:eastAsia="Calibri"/>
          <w:sz w:val="20"/>
          <w:vertAlign w:val="superscript"/>
        </w:rPr>
        <w:footnoteReference w:id="55"/>
      </w:r>
      <w:r w:rsidRPr="00B5229B">
        <w:rPr>
          <w:rFonts w:eastAsia="Calibri"/>
        </w:rPr>
        <w:t xml:space="preserve">  This opportunity will be available to any station entitled to protection in the repacking process that is predicted to experience aggregate new interference in excess of one percent, regardless of whether that station was reassigned to a new channel in the repacking process.  Taken together, the final channel assignment optimization procedure and post-assignment facilities modification processes will provide a “safety valve” in</w:t>
      </w:r>
      <w:r w:rsidR="007D58EF">
        <w:rPr>
          <w:rFonts w:eastAsia="Calibri"/>
        </w:rPr>
        <w:t xml:space="preserve"> the</w:t>
      </w:r>
      <w:r w:rsidRPr="00B5229B">
        <w:rPr>
          <w:rFonts w:eastAsia="Calibri"/>
        </w:rPr>
        <w:t xml:space="preserve"> exceptional cases where new aggregate interference above one percent has occurred or is likely to occur.</w:t>
      </w:r>
      <w:r w:rsidRPr="00B5229B">
        <w:rPr>
          <w:rFonts w:eastAsia="Calibri"/>
          <w:sz w:val="20"/>
          <w:vertAlign w:val="superscript"/>
        </w:rPr>
        <w:footnoteReference w:id="56"/>
      </w:r>
      <w:bookmarkEnd w:id="152"/>
    </w:p>
    <w:p w14:paraId="77B2537E" w14:textId="77777777" w:rsidR="00B5229B" w:rsidRPr="00B5229B" w:rsidRDefault="00B5229B" w:rsidP="00F3761A">
      <w:pPr>
        <w:pStyle w:val="Heading4"/>
        <w:rPr>
          <w:rFonts w:eastAsia="Calibri"/>
        </w:rPr>
      </w:pPr>
      <w:bookmarkStart w:id="153" w:name="_Toc396995826"/>
      <w:bookmarkStart w:id="154" w:name="_Toc397609519"/>
      <w:bookmarkStart w:id="155" w:name="_Toc397610944"/>
      <w:bookmarkStart w:id="156" w:name="_Toc397962794"/>
      <w:bookmarkStart w:id="157" w:name="_Toc398023572"/>
      <w:bookmarkStart w:id="158" w:name="_Toc398902968"/>
      <w:bookmarkStart w:id="159" w:name="_Toc398903291"/>
      <w:bookmarkStart w:id="160" w:name="_Toc398903480"/>
      <w:bookmarkStart w:id="161" w:name="_Toc398904077"/>
      <w:bookmarkStart w:id="162" w:name="_Toc398904585"/>
      <w:bookmarkStart w:id="163" w:name="_Toc401305944"/>
      <w:bookmarkStart w:id="164" w:name="_Toc401306619"/>
      <w:bookmarkStart w:id="165" w:name="_Toc401306688"/>
      <w:r w:rsidRPr="00B5229B">
        <w:t>An</w:t>
      </w:r>
      <w:r w:rsidRPr="00B5229B">
        <w:rPr>
          <w:rFonts w:eastAsia="Calibri"/>
        </w:rPr>
        <w:t xml:space="preserve"> Aggregate Cap W</w:t>
      </w:r>
      <w:r w:rsidRPr="00B5229B">
        <w:t>ould Deprive the Reverse Auction Bidding Process of Its Speed and Threaten the Succes</w:t>
      </w:r>
      <w:r w:rsidR="00AC1CC5">
        <w:t>s of the</w:t>
      </w:r>
      <w:r w:rsidRPr="00B5229B">
        <w:t xml:space="preserve"> Auction</w:t>
      </w:r>
      <w:bookmarkEnd w:id="150"/>
      <w:bookmarkEnd w:id="153"/>
      <w:bookmarkEnd w:id="154"/>
      <w:bookmarkEnd w:id="155"/>
      <w:bookmarkEnd w:id="156"/>
      <w:bookmarkEnd w:id="157"/>
      <w:bookmarkEnd w:id="158"/>
      <w:bookmarkEnd w:id="159"/>
      <w:bookmarkEnd w:id="160"/>
      <w:bookmarkEnd w:id="161"/>
      <w:bookmarkEnd w:id="162"/>
      <w:bookmarkEnd w:id="163"/>
      <w:bookmarkEnd w:id="164"/>
      <w:bookmarkEnd w:id="165"/>
    </w:p>
    <w:p w14:paraId="0F3A1052" w14:textId="77777777" w:rsidR="00B5229B" w:rsidRPr="00B5229B" w:rsidRDefault="00B5229B" w:rsidP="009F189E">
      <w:pPr>
        <w:pStyle w:val="ParaNum"/>
      </w:pPr>
      <w:bookmarkStart w:id="166" w:name="_Ref270235743"/>
      <w:r w:rsidRPr="00FB4444">
        <w:t>In</w:t>
      </w:r>
      <w:r w:rsidRPr="00B5229B">
        <w:rPr>
          <w:rFonts w:eastAsia="Calibri"/>
        </w:rPr>
        <w:t xml:space="preserve"> addition to being unnecessary for the reasons described above, imposition of an aggregate interference cap would compromise the central objective of a successful auction that allows market forces to determine the highest and best use for spectrum.</w:t>
      </w:r>
      <w:r w:rsidRPr="00B5229B">
        <w:rPr>
          <w:rFonts w:eastAsia="Calibri"/>
          <w:sz w:val="20"/>
          <w:vertAlign w:val="superscript"/>
        </w:rPr>
        <w:footnoteReference w:id="57"/>
      </w:r>
      <w:r w:rsidRPr="00B5229B">
        <w:rPr>
          <w:rFonts w:eastAsia="Calibri"/>
        </w:rPr>
        <w:t xml:space="preserve">  </w:t>
      </w:r>
      <w:r w:rsidRPr="00B5229B">
        <w:t xml:space="preserve">Speed is critical to the successful implementation of the incentive auction:  </w:t>
      </w:r>
      <w:r w:rsidR="00994505">
        <w:t>O</w:t>
      </w:r>
      <w:r w:rsidRPr="00B5229B">
        <w:t>ur repacking methodology must be capable of analyzing complex technical issues fast enough to not unduly slow down the bidding process.</w:t>
      </w:r>
      <w:r w:rsidRPr="00B5229B">
        <w:rPr>
          <w:sz w:val="20"/>
          <w:vertAlign w:val="superscript"/>
        </w:rPr>
        <w:footnoteReference w:id="58"/>
      </w:r>
      <w:r w:rsidRPr="00B5229B">
        <w:t xml:space="preserve">  Under the repacking approach adopted in the </w:t>
      </w:r>
      <w:r w:rsidR="005B4C0E" w:rsidRPr="005B4C0E">
        <w:rPr>
          <w:i/>
        </w:rPr>
        <w:t>Incentive Auction R&amp;O</w:t>
      </w:r>
      <w:r w:rsidRPr="00B5229B">
        <w:t>, only one provisional channel assignment scheme that meets all of the constraints need be identified for the reverse auction bidding to proceed.</w:t>
      </w:r>
      <w:r w:rsidRPr="00B5229B">
        <w:rPr>
          <w:sz w:val="20"/>
          <w:vertAlign w:val="superscript"/>
        </w:rPr>
        <w:footnoteReference w:id="59"/>
      </w:r>
      <w:r w:rsidRPr="00B5229B">
        <w:t xml:space="preserve">  </w:t>
      </w:r>
      <w:r w:rsidR="00AC1CC5">
        <w:t>T</w:t>
      </w:r>
      <w:r w:rsidRPr="00B5229B">
        <w:t xml:space="preserve">ens of thousands of individual “feasibility checks” may need to be run in each bidding round, </w:t>
      </w:r>
      <w:r w:rsidR="00AC1CC5">
        <w:t xml:space="preserve">and </w:t>
      </w:r>
      <w:r w:rsidRPr="00B5229B">
        <w:t xml:space="preserve">examining interference relationships only on a “pairwise” or station-to-station basis </w:t>
      </w:r>
      <w:r w:rsidR="00AC1CC5">
        <w:t>is the only way to identify a “feasible” repack analysis quickly enough</w:t>
      </w:r>
      <w:r w:rsidR="00AC1CC5" w:rsidRPr="00B5229B">
        <w:t xml:space="preserve"> </w:t>
      </w:r>
      <w:r w:rsidRPr="00B5229B">
        <w:t xml:space="preserve">to meet our objectives for the reverse auction.  As discussed above, we </w:t>
      </w:r>
      <w:r w:rsidR="00AC1CC5">
        <w:t>intend to</w:t>
      </w:r>
      <w:r w:rsidR="00AC1CC5" w:rsidRPr="00B5229B">
        <w:t xml:space="preserve"> </w:t>
      </w:r>
      <w:r w:rsidRPr="00B5229B">
        <w:t xml:space="preserve">account for factors beyond mere feasibility without compromising the bidding process by seeking to optimize provisional channel assignments after the bidding stops:  once the set of stations that will remain on the air in each band after the auction is complete has been established, we </w:t>
      </w:r>
      <w:r w:rsidR="00AC1CC5">
        <w:t>intend to</w:t>
      </w:r>
      <w:r w:rsidR="00AC1CC5" w:rsidRPr="00B5229B">
        <w:t xml:space="preserve"> </w:t>
      </w:r>
      <w:r w:rsidRPr="00B5229B">
        <w:t>use optimization techniques to determine a channel assignment that limits the amount of aggregate new interference for any station.</w:t>
      </w:r>
      <w:bookmarkEnd w:id="166"/>
    </w:p>
    <w:p w14:paraId="4190E3E5" w14:textId="77777777" w:rsidR="00B5229B" w:rsidRPr="00B5229B" w:rsidRDefault="00B5229B" w:rsidP="006A744E">
      <w:pPr>
        <w:pStyle w:val="ParaNum"/>
      </w:pPr>
      <w:r w:rsidRPr="00B5229B">
        <w:t xml:space="preserve">It would be significantly more complicated and, as a result, time-consuming to consider the amount of aggregate interference from all sources that a station may receive on its provisional channel during the bidding process, as would be necessary to implement a cap on aggregate interference.  Specifically, after the repacking process identifies a provisional channel assignment for a station that is feasible—based on the pairwise constraints—the aggregate interference of the provisional assignments for all of the other stations that may need to be assigned a channel (non-participating stations and stations that continue to participate in the bidding) would have to be determined in a separate step.  If the cap were exceeded, then the assignment would have to be disallowed and a new assignment identified.  This iterative process would have to be repeated until either a provisional channel assignment were found that satisfies the cap or all possible assignments were eliminated.  The same analysis would need to be performed repeatedly for </w:t>
      </w:r>
      <w:r w:rsidRPr="00B5229B">
        <w:rPr>
          <w:i/>
        </w:rPr>
        <w:t>each station</w:t>
      </w:r>
      <w:r w:rsidRPr="00B5229B">
        <w:t xml:space="preserve"> that continues to participate in the bidding process, leading to possibly an exponential number of feasibility checks </w:t>
      </w:r>
      <w:r w:rsidRPr="00B5229B">
        <w:rPr>
          <w:i/>
        </w:rPr>
        <w:t>for each round of the auction</w:t>
      </w:r>
      <w:r w:rsidRPr="00B5229B">
        <w:t xml:space="preserve">.  Such an approach would deprive the repacking feasibility checker of its speed and </w:t>
      </w:r>
      <w:r w:rsidR="00AC1CC5">
        <w:t>threaten the success of the</w:t>
      </w:r>
      <w:r w:rsidRPr="00B5229B">
        <w:t xml:space="preserve"> incentive auction.</w:t>
      </w:r>
      <w:r w:rsidRPr="00B5229B">
        <w:rPr>
          <w:sz w:val="20"/>
          <w:vertAlign w:val="superscript"/>
        </w:rPr>
        <w:footnoteReference w:id="60"/>
      </w:r>
      <w:r w:rsidR="00AC1CC5">
        <w:t xml:space="preserve">  </w:t>
      </w:r>
    </w:p>
    <w:p w14:paraId="6E839451" w14:textId="24A91741" w:rsidR="00B5229B" w:rsidRPr="00B5229B" w:rsidRDefault="00AC1CC5" w:rsidP="006A744E">
      <w:pPr>
        <w:pStyle w:val="ParaNum"/>
      </w:pPr>
      <w:bookmarkStart w:id="167" w:name="_Ref271554996"/>
      <w:r>
        <w:t>Despite</w:t>
      </w:r>
      <w:r w:rsidRPr="00B5229B">
        <w:t xml:space="preserve"> </w:t>
      </w:r>
      <w:r w:rsidR="00B5229B" w:rsidRPr="00B5229B">
        <w:t>the results of the staff analysis discussed above, broadcasters argue that the Commission must adopt the proposed cap under the “all reasonable efforts” mandate because doing so would not significantly increase repacking constraints.</w:t>
      </w:r>
      <w:r w:rsidR="00B5229B" w:rsidRPr="00B5229B">
        <w:rPr>
          <w:sz w:val="20"/>
          <w:vertAlign w:val="superscript"/>
        </w:rPr>
        <w:footnoteReference w:id="61"/>
      </w:r>
      <w:r w:rsidR="00B5229B" w:rsidRPr="00B5229B">
        <w:t xml:space="preserve">  We disagree.  As we explained in the </w:t>
      </w:r>
      <w:r w:rsidR="005B4C0E" w:rsidRPr="005B4C0E">
        <w:rPr>
          <w:i/>
        </w:rPr>
        <w:t>Incentive Auction R&amp;O</w:t>
      </w:r>
      <w:r w:rsidR="00B5229B" w:rsidRPr="00B5229B">
        <w:t>, we interpret the statutory mandate in light of the other objectives of the Spectrum Act, including the goal of repurposing spectrum for new, flexible uses</w:t>
      </w:r>
      <w:r w:rsidR="00E77D22">
        <w:t>.</w:t>
      </w:r>
      <w:r w:rsidR="00B5229B" w:rsidRPr="00B5229B">
        <w:t xml:space="preserve"> </w:t>
      </w:r>
      <w:r w:rsidR="00E77D22">
        <w:t xml:space="preserve"> Requiring steps</w:t>
      </w:r>
      <w:r w:rsidR="00B5229B" w:rsidRPr="00B5229B">
        <w:t xml:space="preserve"> that </w:t>
      </w:r>
      <w:r w:rsidR="00E77D22">
        <w:t xml:space="preserve">would impede </w:t>
      </w:r>
      <w:r>
        <w:t xml:space="preserve">our </w:t>
      </w:r>
      <w:r w:rsidR="00E77D22">
        <w:t xml:space="preserve">ability to conduct </w:t>
      </w:r>
      <w:r>
        <w:t xml:space="preserve">a successful </w:t>
      </w:r>
      <w:r w:rsidR="00E77D22">
        <w:t xml:space="preserve">auction would </w:t>
      </w:r>
      <w:r w:rsidR="00B5229B" w:rsidRPr="00B5229B">
        <w:t xml:space="preserve">sacrifice </w:t>
      </w:r>
      <w:r w:rsidR="00E77D22">
        <w:t>this</w:t>
      </w:r>
      <w:r w:rsidR="00B5229B" w:rsidRPr="00B5229B">
        <w:t xml:space="preserve"> goal</w:t>
      </w:r>
      <w:r w:rsidR="00E77D22">
        <w:t xml:space="preserve"> and therefore</w:t>
      </w:r>
      <w:r w:rsidR="00B5229B" w:rsidRPr="00B5229B">
        <w:t xml:space="preserve"> is not “reasonable” within the meaning of the statute</w:t>
      </w:r>
      <w:r w:rsidR="00C91699">
        <w:t xml:space="preserve"> given the results of the staff analysis discussed above</w:t>
      </w:r>
      <w:r w:rsidR="00B5229B" w:rsidRPr="00B5229B">
        <w:t>.</w:t>
      </w:r>
      <w:r w:rsidR="00B5229B" w:rsidRPr="00B5229B">
        <w:rPr>
          <w:sz w:val="20"/>
          <w:vertAlign w:val="superscript"/>
        </w:rPr>
        <w:footnoteReference w:id="62"/>
      </w:r>
      <w:r w:rsidR="00B5229B" w:rsidRPr="00B5229B">
        <w:t xml:space="preserve">  As discussed above, we are adopting measures that will effectively address broadcasters’ concerns regarding aggregate new interference.  We have not identified, and no commenter has suggested, a means of implementing the proposed cap without compromising the speed of the bidding process, which is critical to </w:t>
      </w:r>
      <w:r w:rsidR="00F20471">
        <w:t>conducting</w:t>
      </w:r>
      <w:r w:rsidR="00B5229B" w:rsidRPr="00B5229B">
        <w:t xml:space="preserve"> a successful auction.  </w:t>
      </w:r>
      <w:r w:rsidR="00B5229B" w:rsidRPr="00B5229B">
        <w:rPr>
          <w:rFonts w:eastAsia="Calibri"/>
        </w:rPr>
        <w:t>Under the circumstances, we conclude that the statute does not require adoption of the proposed cap.</w:t>
      </w:r>
      <w:r w:rsidR="00B5229B" w:rsidRPr="00B5229B">
        <w:rPr>
          <w:rFonts w:eastAsia="Calibri"/>
          <w:sz w:val="20"/>
          <w:vertAlign w:val="superscript"/>
        </w:rPr>
        <w:footnoteReference w:id="63"/>
      </w:r>
      <w:bookmarkEnd w:id="167"/>
    </w:p>
    <w:p w14:paraId="48DDD63F" w14:textId="7C68807B" w:rsidR="00B5229B" w:rsidRPr="00B5229B" w:rsidRDefault="00B5229B" w:rsidP="006A744E">
      <w:pPr>
        <w:pStyle w:val="ParaNum"/>
        <w:rPr>
          <w:rFonts w:eastAsia="Calibri"/>
        </w:rPr>
      </w:pPr>
      <w:r w:rsidRPr="00B5229B">
        <w:t>We also reject NAB’s assertion that failure to adopt the proposed cap would undermine the voluntariness of the reverse auction.</w:t>
      </w:r>
      <w:r w:rsidRPr="00B5229B">
        <w:rPr>
          <w:rFonts w:eastAsia="Calibri"/>
          <w:sz w:val="20"/>
          <w:vertAlign w:val="superscript"/>
        </w:rPr>
        <w:footnoteReference w:id="64"/>
      </w:r>
      <w:r w:rsidRPr="00B5229B">
        <w:t xml:space="preserve">  We do not believe—and NAB has not demonstrated through record evidence—that the possibility of an increase in aggregate new interference, </w:t>
      </w:r>
      <w:r w:rsidR="00C91699">
        <w:t>such as</w:t>
      </w:r>
      <w:r w:rsidR="00C91699" w:rsidRPr="00B5229B">
        <w:t xml:space="preserve"> </w:t>
      </w:r>
      <w:r w:rsidRPr="00B5229B">
        <w:t>the remote possibility predicted in the staff study, would so devalue a broadcaster’s license (or increase its costs) that it would coerce a broadcaster to participate in the auction.</w:t>
      </w:r>
      <w:r w:rsidRPr="00B5229B">
        <w:rPr>
          <w:sz w:val="20"/>
          <w:vertAlign w:val="superscript"/>
        </w:rPr>
        <w:footnoteReference w:id="65"/>
      </w:r>
    </w:p>
    <w:p w14:paraId="0170FB3E" w14:textId="77777777" w:rsidR="00B5229B" w:rsidRPr="00B5229B" w:rsidRDefault="00B5229B" w:rsidP="00F3761A">
      <w:pPr>
        <w:pStyle w:val="Heading4"/>
        <w:rPr>
          <w:rFonts w:eastAsia="Calibri"/>
        </w:rPr>
      </w:pPr>
      <w:bookmarkStart w:id="168" w:name="_Toc267838081"/>
      <w:bookmarkStart w:id="169" w:name="_Toc396995827"/>
      <w:bookmarkStart w:id="170" w:name="_Toc397609520"/>
      <w:bookmarkStart w:id="171" w:name="_Toc397610945"/>
      <w:bookmarkStart w:id="172" w:name="_Toc397962795"/>
      <w:bookmarkStart w:id="173" w:name="_Toc398023573"/>
      <w:bookmarkStart w:id="174" w:name="_Toc398902969"/>
      <w:bookmarkStart w:id="175" w:name="_Toc398903292"/>
      <w:bookmarkStart w:id="176" w:name="_Toc398903481"/>
      <w:bookmarkStart w:id="177" w:name="_Toc398904078"/>
      <w:bookmarkStart w:id="178" w:name="_Toc398904586"/>
      <w:bookmarkStart w:id="179" w:name="_Toc401305945"/>
      <w:bookmarkStart w:id="180" w:name="_Toc401306620"/>
      <w:bookmarkStart w:id="181" w:name="_Toc401306689"/>
      <w:r w:rsidRPr="00B5229B">
        <w:rPr>
          <w:rFonts w:eastAsia="Calibri"/>
        </w:rPr>
        <w:t>Proposed Cap on Any New Interference to Certain Stations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66633085" w14:textId="77777777" w:rsidR="00B5229B" w:rsidRDefault="00B5229B" w:rsidP="006A744E">
      <w:pPr>
        <w:pStyle w:val="ParaNum"/>
        <w:rPr>
          <w:rFonts w:eastAsia="Calibri"/>
        </w:rPr>
      </w:pPr>
      <w:bookmarkStart w:id="182" w:name="_Ref270235754"/>
      <w:r w:rsidRPr="00B5229B">
        <w:rPr>
          <w:rFonts w:eastAsia="Calibri"/>
        </w:rPr>
        <w:t xml:space="preserve">We also decline NAB’s suggestion to adopt a cap on any new interference to stations that are currently </w:t>
      </w:r>
      <w:r w:rsidRPr="00FB4444">
        <w:t>experiencing</w:t>
      </w:r>
      <w:r w:rsidRPr="00B5229B">
        <w:rPr>
          <w:rFonts w:eastAsia="Calibri"/>
        </w:rPr>
        <w:t xml:space="preserve"> ten percent or more interference within their service areas.</w:t>
      </w:r>
      <w:r w:rsidRPr="00B5229B">
        <w:rPr>
          <w:rFonts w:eastAsia="Calibri"/>
          <w:sz w:val="20"/>
          <w:vertAlign w:val="superscript"/>
        </w:rPr>
        <w:footnoteReference w:id="66"/>
      </w:r>
      <w:r w:rsidRPr="00B5229B">
        <w:rPr>
          <w:rFonts w:eastAsia="Calibri"/>
        </w:rPr>
        <w:t xml:space="preserve">  As explained in the </w:t>
      </w:r>
      <w:r w:rsidR="005B4C0E" w:rsidRPr="005B4C0E">
        <w:rPr>
          <w:rFonts w:eastAsia="Calibri"/>
          <w:i/>
        </w:rPr>
        <w:t>Incenti</w:t>
      </w:r>
      <w:r w:rsidR="005B4C0E" w:rsidRPr="00181AFC">
        <w:rPr>
          <w:rFonts w:eastAsia="Calibri"/>
          <w:i/>
        </w:rPr>
        <w:t>ve Auction R&amp;O</w:t>
      </w:r>
      <w:r w:rsidRPr="00B5229B">
        <w:rPr>
          <w:rFonts w:eastAsia="Calibri"/>
        </w:rPr>
        <w:t>, we interpret section 6403(b)(2) of the Spectrum Act “</w:t>
      </w:r>
      <w:r w:rsidRPr="00B5229B">
        <w:t>to require efforts to preserve service to those viewers who had access to a station’s signal within its protected coverage area as of” the statutory date.</w:t>
      </w:r>
      <w:r w:rsidRPr="00B5229B">
        <w:rPr>
          <w:sz w:val="20"/>
          <w:vertAlign w:val="superscript"/>
        </w:rPr>
        <w:footnoteReference w:id="67"/>
      </w:r>
      <w:r w:rsidRPr="00B5229B">
        <w:t xml:space="preserve">  </w:t>
      </w:r>
      <w:r w:rsidRPr="00B5229B">
        <w:rPr>
          <w:rFonts w:eastAsia="Calibri"/>
        </w:rPr>
        <w:t>Accordingly, we base comparative evaluations of interference on the population that a station was predicted to serve as of the statutory date.</w:t>
      </w:r>
      <w:r w:rsidRPr="00B5229B">
        <w:rPr>
          <w:rFonts w:eastAsia="Calibri"/>
          <w:sz w:val="20"/>
          <w:vertAlign w:val="superscript"/>
        </w:rPr>
        <w:footnoteReference w:id="68"/>
      </w:r>
      <w:r w:rsidRPr="00B5229B">
        <w:t xml:space="preserve">  </w:t>
      </w:r>
      <w:r w:rsidRPr="00B5229B">
        <w:rPr>
          <w:rFonts w:eastAsia="Calibri"/>
        </w:rPr>
        <w:t>Thus, the interference level that the stations in question were experiencing as of the statutory date is their baseline for repacking purposes.  Adopting NAB’s suggestion would increase the constraints on the repacking process, hindering our ability to repack TV spectrum.  In addition, we do not believe the statutory “all reasonable efforts” mandate warrants granting these stations greater interference protection than our current rules.</w:t>
      </w:r>
      <w:r w:rsidRPr="00B5229B">
        <w:rPr>
          <w:rFonts w:eastAsia="Calibri"/>
          <w:sz w:val="20"/>
          <w:szCs w:val="22"/>
          <w:vertAlign w:val="superscript"/>
        </w:rPr>
        <w:footnoteReference w:id="69"/>
      </w:r>
      <w:r w:rsidRPr="00B5229B">
        <w:rPr>
          <w:rFonts w:eastAsia="Calibri"/>
        </w:rPr>
        <w:t xml:space="preserve">  </w:t>
      </w:r>
      <w:r w:rsidR="00420A99">
        <w:rPr>
          <w:rFonts w:eastAsia="Calibri"/>
        </w:rPr>
        <w:t>W</w:t>
      </w:r>
      <w:r w:rsidRPr="00B5229B">
        <w:rPr>
          <w:rFonts w:eastAsia="Calibri"/>
        </w:rPr>
        <w:t xml:space="preserve">e </w:t>
      </w:r>
      <w:r w:rsidR="00420A99">
        <w:rPr>
          <w:rFonts w:eastAsia="Calibri"/>
        </w:rPr>
        <w:t xml:space="preserve">therefore </w:t>
      </w:r>
      <w:r w:rsidRPr="00B5229B">
        <w:rPr>
          <w:rFonts w:eastAsia="Calibri"/>
        </w:rPr>
        <w:t>decline to treat these stations differently from other stations in the repacking process.</w:t>
      </w:r>
      <w:bookmarkEnd w:id="182"/>
    </w:p>
    <w:p w14:paraId="3325D766" w14:textId="77777777" w:rsidR="0045441F" w:rsidRDefault="0045441F" w:rsidP="0045441F">
      <w:pPr>
        <w:pStyle w:val="Heading4"/>
        <w:rPr>
          <w:rFonts w:eastAsia="Calibri"/>
        </w:rPr>
      </w:pPr>
      <w:bookmarkStart w:id="183" w:name="_Toc401305946"/>
      <w:bookmarkStart w:id="184" w:name="_Toc401306621"/>
      <w:bookmarkStart w:id="185" w:name="_Toc401306690"/>
      <w:r>
        <w:rPr>
          <w:rFonts w:eastAsia="Calibri"/>
        </w:rPr>
        <w:t>Requested Cap on Viewer Losses Due to Channel Reassignments</w:t>
      </w:r>
      <w:bookmarkEnd w:id="183"/>
      <w:bookmarkEnd w:id="184"/>
      <w:bookmarkEnd w:id="185"/>
    </w:p>
    <w:p w14:paraId="1BB93BB6" w14:textId="0EC0E9A9" w:rsidR="0045441F" w:rsidRPr="00E235BC" w:rsidRDefault="0045441F" w:rsidP="00E235BC">
      <w:pPr>
        <w:pStyle w:val="ParaNum"/>
        <w:rPr>
          <w:rFonts w:eastAsia="Calibri"/>
        </w:rPr>
      </w:pPr>
      <w:r>
        <w:t xml:space="preserve">In a recent </w:t>
      </w:r>
      <w:r w:rsidRPr="00F25C8F">
        <w:rPr>
          <w:i/>
        </w:rPr>
        <w:t xml:space="preserve">ex parte </w:t>
      </w:r>
      <w:r>
        <w:t>filing, NAB criticizes the staff’s analysis for ignoring potential terrain losses due to channel reassignments that could cause some stations to lose viewers,</w:t>
      </w:r>
      <w:r>
        <w:rPr>
          <w:rStyle w:val="FootnoteReference"/>
        </w:rPr>
        <w:footnoteReference w:id="70"/>
      </w:r>
      <w:r>
        <w:t xml:space="preserve"> and argues for the first time that the Commission must adopt “an aggregate cap on . . .</w:t>
      </w:r>
      <w:r w:rsidRPr="00F25C8F">
        <w:rPr>
          <w:i/>
        </w:rPr>
        <w:t xml:space="preserve"> </w:t>
      </w:r>
      <w:r>
        <w:t>the percentage decrease in population served as a result of repacking during the incentive auction process.”</w:t>
      </w:r>
      <w:r>
        <w:rPr>
          <w:rStyle w:val="FootnoteReference"/>
        </w:rPr>
        <w:footnoteReference w:id="71"/>
      </w:r>
      <w:r w:rsidRPr="00294570">
        <w:t xml:space="preserve">  </w:t>
      </w:r>
      <w:r>
        <w:t>We decline to address NAB’s new requested cap here.</w:t>
      </w:r>
      <w:r>
        <w:rPr>
          <w:rStyle w:val="FootnoteReference"/>
        </w:rPr>
        <w:footnoteReference w:id="72"/>
      </w:r>
      <w:r>
        <w:t xml:space="preserve">  Prior to NAB’s recent filing, no commenter proposed such a cap.</w:t>
      </w:r>
      <w:r>
        <w:rPr>
          <w:rStyle w:val="FootnoteReference"/>
        </w:rPr>
        <w:footnoteReference w:id="73"/>
      </w:r>
      <w:r>
        <w:t xml:space="preserve">  Rather, NAB and others advocated a cap on aggregate interference between stations,</w:t>
      </w:r>
      <w:r>
        <w:rPr>
          <w:rStyle w:val="FootnoteReference"/>
        </w:rPr>
        <w:footnoteReference w:id="74"/>
      </w:r>
      <w:r>
        <w:t xml:space="preserve"> and t</w:t>
      </w:r>
      <w:r w:rsidRPr="00294570">
        <w:t xml:space="preserve">he purpose of the </w:t>
      </w:r>
      <w:r>
        <w:t xml:space="preserve">staff’s analysis was </w:t>
      </w:r>
      <w:r w:rsidRPr="00294570">
        <w:t>to stud</w:t>
      </w:r>
      <w:r>
        <w:t xml:space="preserve">y the potential for such </w:t>
      </w:r>
      <w:r w:rsidRPr="00294570">
        <w:t>interference.</w:t>
      </w:r>
      <w:r>
        <w:rPr>
          <w:rStyle w:val="FootnoteReference"/>
        </w:rPr>
        <w:footnoteReference w:id="75"/>
      </w:r>
      <w:r>
        <w:t xml:space="preserve">  The interference cap that NAB previously advocated would have no effect whatsoever on terrain losses, because such losses are not caused by interference between stations.</w:t>
      </w:r>
      <w:r w:rsidR="006624DC">
        <w:t xml:space="preserve">  </w:t>
      </w:r>
      <w:r w:rsidR="006624DC" w:rsidRPr="006624DC">
        <w:t xml:space="preserve">Thus, NAB’s request for an aggregate cap on population loss is outside the scope of this item.    </w:t>
      </w:r>
    </w:p>
    <w:p w14:paraId="0C526085" w14:textId="5B51B93D" w:rsidR="0045441F" w:rsidRPr="0045441F" w:rsidRDefault="0045441F" w:rsidP="0045441F">
      <w:pPr>
        <w:pStyle w:val="ParaNum"/>
      </w:pPr>
      <w:r>
        <w:t xml:space="preserve">Although we decline to address NAB’s requested new cap here, consistent with our decision above to </w:t>
      </w:r>
      <w:r w:rsidRPr="0045441F">
        <w:rPr>
          <w:rFonts w:eastAsia="Calibri"/>
        </w:rPr>
        <w:t>use optimization techniques to seek to avoid final channel assignments that would result in aggregate new interference of more than one percent,</w:t>
      </w:r>
      <w:r>
        <w:rPr>
          <w:rStyle w:val="FootnoteReference"/>
        </w:rPr>
        <w:footnoteReference w:id="76"/>
      </w:r>
      <w:r>
        <w:t xml:space="preserve"> we conclude that we should use optimization techniques to seek to avoid final channel assignments that would result in significant viewer losses due to terrain losses.  We do not decide now on an optimization technique to carry out this objective, because unlike interference between stations, terrain losses can be avoided by optimizing for various factors.  For example, minimizing channel moves will avoid terrain losses while also reducing broadcaster relocation costs, because a station that stays on the same channel will not experience terrain losses.  Similarly, preferring moves to channels lower in the UHF band will avoid terrain losses while also serving the Commission’s goal of repurposing UHF spectrum contiguously from channel 51 down.</w:t>
      </w:r>
      <w:r>
        <w:rPr>
          <w:rStyle w:val="FootnoteReference"/>
        </w:rPr>
        <w:footnoteReference w:id="77"/>
      </w:r>
      <w:r>
        <w:t xml:space="preserve">  We will seek comment on optimization factors for the f</w:t>
      </w:r>
      <w:r w:rsidRPr="009A55C4">
        <w:t>inal channel assignment scheme</w:t>
      </w:r>
      <w:r>
        <w:t xml:space="preserve">, </w:t>
      </w:r>
      <w:r w:rsidRPr="00F66857">
        <w:t xml:space="preserve">including factors that would help both directly and indirectly to avoid final channel assignments that would result in significant viewer losses due to terrain losses, </w:t>
      </w:r>
      <w:r>
        <w:t xml:space="preserve">in the forthcoming </w:t>
      </w:r>
      <w:r w:rsidRPr="0045441F">
        <w:rPr>
          <w:i/>
        </w:rPr>
        <w:t>Incentive Auction Comment PN</w:t>
      </w:r>
      <w:r>
        <w:t>.</w:t>
      </w:r>
      <w:r>
        <w:rPr>
          <w:rStyle w:val="FootnoteReference"/>
        </w:rPr>
        <w:footnoteReference w:id="78"/>
      </w:r>
      <w:r>
        <w:t xml:space="preserve">  </w:t>
      </w:r>
      <w:r w:rsidRPr="00F66857">
        <w:t xml:space="preserve">Although different measures </w:t>
      </w:r>
      <w:r w:rsidR="006624DC">
        <w:t>may be</w:t>
      </w:r>
      <w:r w:rsidRPr="00F66857">
        <w:t xml:space="preserve"> necessary to protect viewers from loss of service due to terrain losses and interference, consistent with the statutory mandate we will make all reasonable efforts to preserve television service to all existing viewers.</w:t>
      </w:r>
    </w:p>
    <w:p w14:paraId="06494499" w14:textId="77777777" w:rsidR="003730FA" w:rsidRDefault="007A4A91" w:rsidP="00D50682">
      <w:pPr>
        <w:pStyle w:val="Heading2"/>
      </w:pPr>
      <w:bookmarkStart w:id="186" w:name="_Toc393895641"/>
      <w:bookmarkStart w:id="187" w:name="_Toc394059150"/>
      <w:bookmarkStart w:id="188" w:name="_Toc394068154"/>
      <w:bookmarkStart w:id="189" w:name="_Toc394672085"/>
      <w:bookmarkStart w:id="190" w:name="_Toc395701585"/>
      <w:bookmarkStart w:id="191" w:name="_Toc395883760"/>
      <w:bookmarkStart w:id="192" w:name="_Toc396393936"/>
      <w:bookmarkStart w:id="193" w:name="_Toc396393959"/>
      <w:bookmarkStart w:id="194" w:name="_Toc396492671"/>
      <w:bookmarkStart w:id="195" w:name="_Toc396492695"/>
      <w:bookmarkStart w:id="196" w:name="_Toc396915793"/>
      <w:bookmarkStart w:id="197" w:name="_Toc396995189"/>
      <w:bookmarkStart w:id="198" w:name="_Toc396995828"/>
      <w:bookmarkStart w:id="199" w:name="_Toc397609521"/>
      <w:bookmarkStart w:id="200" w:name="_Toc397610946"/>
      <w:bookmarkStart w:id="201" w:name="_Toc397962796"/>
      <w:bookmarkStart w:id="202" w:name="_Toc398023574"/>
      <w:bookmarkStart w:id="203" w:name="_Toc398902970"/>
      <w:bookmarkStart w:id="204" w:name="_Toc398903293"/>
      <w:bookmarkStart w:id="205" w:name="_Toc398903482"/>
      <w:bookmarkStart w:id="206" w:name="_Toc398904079"/>
      <w:bookmarkStart w:id="207" w:name="_Toc398904587"/>
      <w:bookmarkStart w:id="208" w:name="_Toc401305947"/>
      <w:bookmarkStart w:id="209" w:name="_Toc401306622"/>
      <w:bookmarkStart w:id="210" w:name="_Toc401306691"/>
      <w:bookmarkEnd w:id="72"/>
      <w:bookmarkEnd w:id="73"/>
      <w:bookmarkEnd w:id="74"/>
      <w:bookmarkEnd w:id="75"/>
      <w:bookmarkEnd w:id="76"/>
      <w:bookmarkEnd w:id="77"/>
      <w:bookmarkEnd w:id="78"/>
      <w:bookmarkEnd w:id="79"/>
      <w:bookmarkEnd w:id="80"/>
      <w:bookmarkEnd w:id="81"/>
      <w:bookmarkEnd w:id="82"/>
      <w:bookmarkEnd w:id="83"/>
      <w:bookmarkEnd w:id="84"/>
      <w:bookmarkEnd w:id="85"/>
      <w:r>
        <w:t>ISIX Methodology</w:t>
      </w:r>
      <w:r w:rsidR="005B1E53">
        <w:t xml:space="preserve"> and Input Values</w:t>
      </w:r>
      <w:r>
        <w:t xml:space="preserve"> To Determine </w:t>
      </w:r>
      <w:r w:rsidR="00A45E01">
        <w:t xml:space="preserve">600 MHz Band </w:t>
      </w:r>
      <w:r>
        <w:t xml:space="preserve">Wireless License </w:t>
      </w:r>
      <w:r w:rsidR="00A45E01">
        <w:t xml:space="preserve">Area </w:t>
      </w:r>
      <w:r>
        <w:t>Impairments</w:t>
      </w:r>
      <w:bookmarkEnd w:id="186"/>
      <w:bookmarkEnd w:id="187"/>
      <w:bookmarkEnd w:id="188"/>
      <w:bookmarkEnd w:id="189"/>
      <w:bookmarkEnd w:id="190"/>
      <w:bookmarkEnd w:id="191"/>
      <w:bookmarkEnd w:id="192"/>
      <w:bookmarkEnd w:id="193"/>
      <w:bookmarkEnd w:id="194"/>
      <w:bookmarkEnd w:id="195"/>
      <w:bookmarkEnd w:id="196"/>
      <w:bookmarkEnd w:id="197"/>
      <w:bookmarkEnd w:id="198"/>
      <w:r w:rsidR="00A45E01">
        <w:t xml:space="preserve"> During the Incentive Auction</w:t>
      </w:r>
      <w:bookmarkEnd w:id="199"/>
      <w:bookmarkEnd w:id="200"/>
      <w:bookmarkEnd w:id="201"/>
      <w:bookmarkEnd w:id="202"/>
      <w:bookmarkEnd w:id="203"/>
      <w:bookmarkEnd w:id="204"/>
      <w:bookmarkEnd w:id="205"/>
      <w:bookmarkEnd w:id="206"/>
      <w:bookmarkEnd w:id="207"/>
      <w:bookmarkEnd w:id="208"/>
      <w:bookmarkEnd w:id="209"/>
      <w:bookmarkEnd w:id="210"/>
    </w:p>
    <w:p w14:paraId="43D95E33" w14:textId="77777777" w:rsidR="00DB205F" w:rsidRDefault="00DB205F" w:rsidP="000A74BA">
      <w:pPr>
        <w:pStyle w:val="ParaNum"/>
      </w:pPr>
      <w:r w:rsidRPr="00FB4444">
        <w:rPr>
          <w:rFonts w:eastAsia="Calibri"/>
        </w:rPr>
        <w:t>We</w:t>
      </w:r>
      <w:r w:rsidRPr="00DB205F">
        <w:rPr>
          <w:snapToGrid/>
        </w:rPr>
        <w:t xml:space="preserve"> adopt </w:t>
      </w:r>
      <w:r w:rsidR="00DD3A5B">
        <w:rPr>
          <w:snapToGrid/>
        </w:rPr>
        <w:t xml:space="preserve">here </w:t>
      </w:r>
      <w:r w:rsidRPr="00DB205F">
        <w:rPr>
          <w:snapToGrid/>
        </w:rPr>
        <w:t xml:space="preserve">the ISIX Methodology and input values proposed in the </w:t>
      </w:r>
      <w:r w:rsidRPr="00DB205F">
        <w:rPr>
          <w:i/>
          <w:snapToGrid/>
        </w:rPr>
        <w:t>ISIX PN</w:t>
      </w:r>
      <w:r w:rsidRPr="00DB205F">
        <w:rPr>
          <w:snapToGrid/>
        </w:rPr>
        <w:t>, with certain modifications, for use during the incentive auction.</w:t>
      </w:r>
      <w:bookmarkStart w:id="211" w:name="_Ref398031926"/>
      <w:r w:rsidR="00A061F6">
        <w:rPr>
          <w:rStyle w:val="FootnoteReference"/>
          <w:snapToGrid/>
        </w:rPr>
        <w:footnoteReference w:id="79"/>
      </w:r>
      <w:bookmarkEnd w:id="211"/>
      <w:r w:rsidRPr="00DB205F">
        <w:rPr>
          <w:snapToGrid/>
        </w:rPr>
        <w:t xml:space="preserve">  The ISIX Methodology is set forth in detail in Appendix A (Technical Appendix).  The ISIX Methodology and input values will be used during the auction </w:t>
      </w:r>
      <w:r>
        <w:t>to estimate the extent to which 600 MHz Band wireless license areas may be “impaired” due to predicted interference to, or from, broadcast television stations assigned to the 600 MHz Band as a result of market variation</w:t>
      </w:r>
      <w:r w:rsidRPr="00DB205F">
        <w:rPr>
          <w:snapToGrid/>
        </w:rPr>
        <w:t>.</w:t>
      </w:r>
      <w:bookmarkStart w:id="212" w:name="_Ref271552171"/>
      <w:r>
        <w:rPr>
          <w:rStyle w:val="FootnoteReference"/>
        </w:rPr>
        <w:footnoteReference w:id="80"/>
      </w:r>
      <w:bookmarkEnd w:id="212"/>
      <w:r w:rsidRPr="00752B1C">
        <w:t xml:space="preserve"> </w:t>
      </w:r>
      <w:r w:rsidRPr="00DB205F">
        <w:rPr>
          <w:snapToGrid/>
        </w:rPr>
        <w:t xml:space="preserve"> “Impaired” l</w:t>
      </w:r>
      <w:r w:rsidRPr="00752B1C">
        <w:t>icense</w:t>
      </w:r>
      <w:r>
        <w:t xml:space="preserve"> area</w:t>
      </w:r>
      <w:r w:rsidRPr="00752B1C">
        <w:t>s may include “</w:t>
      </w:r>
      <w:r>
        <w:t>infringed</w:t>
      </w:r>
      <w:r w:rsidRPr="00752B1C">
        <w:t>”</w:t>
      </w:r>
      <w:r>
        <w:t xml:space="preserve"> and/</w:t>
      </w:r>
      <w:r w:rsidRPr="00752B1C">
        <w:t>or “</w:t>
      </w:r>
      <w:r>
        <w:t>restricted</w:t>
      </w:r>
      <w:r w:rsidRPr="00752B1C">
        <w:t>” areas.</w:t>
      </w:r>
      <w:r w:rsidRPr="004970BB">
        <w:rPr>
          <w:snapToGrid/>
          <w:vertAlign w:val="superscript"/>
        </w:rPr>
        <w:footnoteReference w:id="81"/>
      </w:r>
      <w:r w:rsidRPr="00DB205F">
        <w:rPr>
          <w:snapToGrid/>
        </w:rPr>
        <w:t xml:space="preserve">  </w:t>
      </w:r>
      <w:r w:rsidRPr="00EF5549">
        <w:t>An “infringed”</w:t>
      </w:r>
      <w:r>
        <w:t xml:space="preserve"> </w:t>
      </w:r>
      <w:r w:rsidRPr="00EF5549">
        <w:t xml:space="preserve">area </w:t>
      </w:r>
      <w:r>
        <w:t xml:space="preserve">is one where </w:t>
      </w:r>
      <w:r w:rsidRPr="00EF5549">
        <w:t>wireless operat</w:t>
      </w:r>
      <w:r>
        <w:t xml:space="preserve">ion is predicted to </w:t>
      </w:r>
      <w:r w:rsidRPr="00EF5549">
        <w:t xml:space="preserve">receive harmful interference from a </w:t>
      </w:r>
      <w:r>
        <w:t>television station that is placed in the 600 MHz Band</w:t>
      </w:r>
      <w:r w:rsidR="001A5B36">
        <w:t xml:space="preserve"> </w:t>
      </w:r>
      <w:r>
        <w:t xml:space="preserve">  Wireless licensees will be </w:t>
      </w:r>
      <w:r w:rsidRPr="002A435B">
        <w:t xml:space="preserve">free to operate in infringed </w:t>
      </w:r>
      <w:r>
        <w:t xml:space="preserve">areas, </w:t>
      </w:r>
      <w:r w:rsidRPr="002A435B">
        <w:t xml:space="preserve">but </w:t>
      </w:r>
      <w:r>
        <w:t xml:space="preserve">will </w:t>
      </w:r>
      <w:r w:rsidRPr="002A435B">
        <w:t xml:space="preserve">assume the risk of receiving interference from </w:t>
      </w:r>
      <w:r>
        <w:t xml:space="preserve">a </w:t>
      </w:r>
      <w:r w:rsidRPr="002A435B">
        <w:t xml:space="preserve">television </w:t>
      </w:r>
      <w:r>
        <w:t>station</w:t>
      </w:r>
      <w:r w:rsidRPr="002A435B">
        <w:t>.</w:t>
      </w:r>
      <w:r>
        <w:rPr>
          <w:rStyle w:val="FootnoteReference"/>
        </w:rPr>
        <w:footnoteReference w:id="82"/>
      </w:r>
      <w:r>
        <w:t xml:space="preserve">  </w:t>
      </w:r>
      <w:r w:rsidRPr="00752B1C">
        <w:t>A</w:t>
      </w:r>
      <w:r w:rsidRPr="00EF5549">
        <w:t xml:space="preserve"> “restricted” area i</w:t>
      </w:r>
      <w:r>
        <w:t xml:space="preserve">s one where wireless operations would be predicted to </w:t>
      </w:r>
      <w:r w:rsidRPr="00EF5549">
        <w:t xml:space="preserve">cause harmful interference to </w:t>
      </w:r>
      <w:r>
        <w:t>a television station that is placed in the 600 MHz Band, depending on how the wireless operations are deployed</w:t>
      </w:r>
      <w:r w:rsidRPr="00EF5549">
        <w:t>.</w:t>
      </w:r>
      <w:r>
        <w:t xml:space="preserve">  In the companion </w:t>
      </w:r>
      <w:r w:rsidRPr="00DB205F">
        <w:rPr>
          <w:i/>
        </w:rPr>
        <w:t>FNPRM</w:t>
      </w:r>
      <w:r>
        <w:t xml:space="preserve">, we propose </w:t>
      </w:r>
      <w:r w:rsidR="008374D8">
        <w:t>to adapt the ISIX M</w:t>
      </w:r>
      <w:r>
        <w:t xml:space="preserve">ethodology to determine whether a wireless </w:t>
      </w:r>
      <w:r w:rsidR="00236F43">
        <w:t xml:space="preserve">licensee </w:t>
      </w:r>
      <w:r>
        <w:t>can operate in a restricted area following the auction.</w:t>
      </w:r>
      <w:r>
        <w:rPr>
          <w:rStyle w:val="FootnoteReference"/>
        </w:rPr>
        <w:footnoteReference w:id="83"/>
      </w:r>
      <w:r>
        <w:t xml:space="preserve"> </w:t>
      </w:r>
    </w:p>
    <w:p w14:paraId="04FFA259" w14:textId="77777777" w:rsidR="00DB205F" w:rsidRPr="004A401F" w:rsidRDefault="00DB205F" w:rsidP="000A74BA">
      <w:pPr>
        <w:pStyle w:val="ParaNum"/>
      </w:pPr>
      <w:bookmarkStart w:id="213" w:name="_Ref398030451"/>
      <w:r w:rsidRPr="00FB4444">
        <w:t>Because</w:t>
      </w:r>
      <w:r>
        <w:rPr>
          <w:snapToGrid/>
        </w:rPr>
        <w:t xml:space="preserve"> new 600 MHz Band wireless operations will not be deployed until after the incentive auction, the ISIX Methodology and input values we adopt in this Order necessarily rely on a number of assumptions, all of which are described in the </w:t>
      </w:r>
      <w:r w:rsidRPr="00445059">
        <w:rPr>
          <w:i/>
          <w:snapToGrid/>
        </w:rPr>
        <w:t>ISIX PN</w:t>
      </w:r>
      <w:r>
        <w:rPr>
          <w:i/>
          <w:snapToGrid/>
        </w:rPr>
        <w:t xml:space="preserve"> </w:t>
      </w:r>
      <w:r w:rsidRPr="00F3761A">
        <w:rPr>
          <w:snapToGrid/>
        </w:rPr>
        <w:t>and the attached Technical Appendix</w:t>
      </w:r>
      <w:r>
        <w:rPr>
          <w:snapToGrid/>
        </w:rPr>
        <w:t xml:space="preserve">.  To the extent that we have changed any of the assumptions proposed in the </w:t>
      </w:r>
      <w:r w:rsidRPr="00F3761A">
        <w:rPr>
          <w:i/>
          <w:snapToGrid/>
        </w:rPr>
        <w:t>ISIX PN</w:t>
      </w:r>
      <w:r>
        <w:rPr>
          <w:snapToGrid/>
        </w:rPr>
        <w:t>, we explain the basis for doing so below.  We also address below commenters’ objections to certain aspects of the ISIX Methodology and input values.</w:t>
      </w:r>
      <w:r w:rsidR="00876786">
        <w:rPr>
          <w:rStyle w:val="FootnoteReference"/>
          <w:snapToGrid/>
          <w:kern w:val="0"/>
        </w:rPr>
        <w:footnoteReference w:id="84"/>
      </w:r>
      <w:r w:rsidRPr="0021052B">
        <w:rPr>
          <w:snapToGrid/>
        </w:rPr>
        <w:t xml:space="preserve"> </w:t>
      </w:r>
      <w:r>
        <w:rPr>
          <w:snapToGrid/>
        </w:rPr>
        <w:t xml:space="preserve"> The </w:t>
      </w:r>
      <w:r w:rsidR="00351CCB">
        <w:rPr>
          <w:snapToGrid/>
        </w:rPr>
        <w:t xml:space="preserve">results of the </w:t>
      </w:r>
      <w:r>
        <w:rPr>
          <w:snapToGrid/>
        </w:rPr>
        <w:t xml:space="preserve">ISIX Methodology and input values we adopt in this </w:t>
      </w:r>
      <w:r w:rsidR="00A061F6" w:rsidRPr="006A744E">
        <w:rPr>
          <w:i/>
          <w:snapToGrid/>
        </w:rPr>
        <w:t xml:space="preserve">Second Report &amp; </w:t>
      </w:r>
      <w:r w:rsidRPr="006A744E">
        <w:rPr>
          <w:i/>
          <w:snapToGrid/>
        </w:rPr>
        <w:t>Order</w:t>
      </w:r>
      <w:r>
        <w:rPr>
          <w:snapToGrid/>
        </w:rPr>
        <w:t xml:space="preserve"> may be used for several purposes during the incentive auction.</w:t>
      </w:r>
      <w:r>
        <w:rPr>
          <w:rStyle w:val="FootnoteReference"/>
          <w:snapToGrid/>
          <w:kern w:val="0"/>
        </w:rPr>
        <w:footnoteReference w:id="85"/>
      </w:r>
      <w:r>
        <w:rPr>
          <w:snapToGrid/>
        </w:rPr>
        <w:t xml:space="preserve">  We will address these uses in the forthcoming </w:t>
      </w:r>
      <w:r>
        <w:rPr>
          <w:i/>
          <w:snapToGrid/>
        </w:rPr>
        <w:t xml:space="preserve">Comment </w:t>
      </w:r>
      <w:r w:rsidRPr="001B68C7">
        <w:rPr>
          <w:i/>
          <w:snapToGrid/>
        </w:rPr>
        <w:t>PN</w:t>
      </w:r>
      <w:r>
        <w:rPr>
          <w:i/>
          <w:snapToGrid/>
        </w:rPr>
        <w:t xml:space="preserve"> </w:t>
      </w:r>
      <w:r>
        <w:rPr>
          <w:snapToGrid/>
        </w:rPr>
        <w:t>on auction procedures.</w:t>
      </w:r>
      <w:r>
        <w:rPr>
          <w:rStyle w:val="FootnoteReference"/>
          <w:snapToGrid/>
          <w:kern w:val="0"/>
        </w:rPr>
        <w:footnoteReference w:id="86"/>
      </w:r>
      <w:r>
        <w:rPr>
          <w:snapToGrid/>
        </w:rPr>
        <w:t xml:space="preserve">  Importantly, we do not determine in this Order how the ISIX Methodology and input values will be applied following the incentive auction.  In the companion </w:t>
      </w:r>
      <w:r>
        <w:rPr>
          <w:i/>
          <w:snapToGrid/>
        </w:rPr>
        <w:t>FNPRM</w:t>
      </w:r>
      <w:r>
        <w:rPr>
          <w:snapToGrid/>
        </w:rPr>
        <w:t>, we seek comment</w:t>
      </w:r>
      <w:r>
        <w:rPr>
          <w:i/>
          <w:snapToGrid/>
        </w:rPr>
        <w:t xml:space="preserve"> </w:t>
      </w:r>
      <w:r>
        <w:rPr>
          <w:snapToGrid/>
        </w:rPr>
        <w:t>on how to apply the ISIX Methodology after the auction as 600 MHz Band wireless operations are deployed.</w:t>
      </w:r>
      <w:r w:rsidR="00876786">
        <w:rPr>
          <w:rStyle w:val="FootnoteReference"/>
          <w:snapToGrid/>
          <w:kern w:val="0"/>
        </w:rPr>
        <w:footnoteReference w:id="87"/>
      </w:r>
      <w:bookmarkEnd w:id="213"/>
    </w:p>
    <w:p w14:paraId="5E03DF50" w14:textId="77777777" w:rsidR="00DB205F" w:rsidRPr="00DB205F" w:rsidRDefault="00DB205F" w:rsidP="000A74BA">
      <w:pPr>
        <w:pStyle w:val="ParaNum"/>
      </w:pPr>
      <w:r w:rsidRPr="00E601E0">
        <w:rPr>
          <w:snapToGrid/>
        </w:rPr>
        <w:t>As discussed in detail below, although the ISIX</w:t>
      </w:r>
      <w:r>
        <w:rPr>
          <w:snapToGrid/>
        </w:rPr>
        <w:t xml:space="preserve"> Methodology may be characterized as more complex than the distance-based approach advocated by some commenters, </w:t>
      </w:r>
      <w:r w:rsidR="00236F43">
        <w:rPr>
          <w:snapToGrid/>
        </w:rPr>
        <w:t xml:space="preserve">we </w:t>
      </w:r>
      <w:r w:rsidR="00351CCB">
        <w:rPr>
          <w:snapToGrid/>
        </w:rPr>
        <w:t xml:space="preserve">conclude that the ISIX Methodology’s </w:t>
      </w:r>
      <w:r>
        <w:rPr>
          <w:snapToGrid/>
        </w:rPr>
        <w:t>ability to account for different inter-service interference scenarios, local terrain obstacles and other factors make it significantly more spectrally efficient than a distance-based approach</w:t>
      </w:r>
      <w:r w:rsidR="00236F43">
        <w:rPr>
          <w:snapToGrid/>
        </w:rPr>
        <w:t>,</w:t>
      </w:r>
      <w:r w:rsidR="00351CCB">
        <w:rPr>
          <w:snapToGrid/>
        </w:rPr>
        <w:t xml:space="preserve"> and these benefits outweigh </w:t>
      </w:r>
      <w:r w:rsidR="00236F43">
        <w:rPr>
          <w:snapToGrid/>
        </w:rPr>
        <w:t>the costs of</w:t>
      </w:r>
      <w:r w:rsidR="00351CCB">
        <w:rPr>
          <w:snapToGrid/>
        </w:rPr>
        <w:t xml:space="preserve"> greater complexity</w:t>
      </w:r>
      <w:r>
        <w:rPr>
          <w:snapToGrid/>
        </w:rPr>
        <w:t xml:space="preserve">.  Also, its granularity is better suited to the requirements of conducting the incentive auction than a distance-based approach.  Accordingly, we </w:t>
      </w:r>
      <w:r w:rsidR="00236F43">
        <w:rPr>
          <w:snapToGrid/>
        </w:rPr>
        <w:t>adopt</w:t>
      </w:r>
      <w:r>
        <w:rPr>
          <w:snapToGrid/>
        </w:rPr>
        <w:t xml:space="preserve"> the ISIX Methodology.</w:t>
      </w:r>
    </w:p>
    <w:p w14:paraId="559AD5A1" w14:textId="77777777" w:rsidR="003730FA" w:rsidRDefault="003730FA" w:rsidP="003730FA">
      <w:pPr>
        <w:pStyle w:val="Heading3"/>
      </w:pPr>
      <w:bookmarkStart w:id="214" w:name="_Toc393784362"/>
      <w:bookmarkStart w:id="215" w:name="_Toc393784386"/>
      <w:bookmarkStart w:id="216" w:name="_Toc393895642"/>
      <w:bookmarkStart w:id="217" w:name="_Toc394059151"/>
      <w:bookmarkStart w:id="218" w:name="_Toc394068155"/>
      <w:bookmarkStart w:id="219" w:name="_Toc394672086"/>
      <w:bookmarkStart w:id="220" w:name="_Toc395701586"/>
      <w:bookmarkStart w:id="221" w:name="_Toc395883761"/>
      <w:bookmarkStart w:id="222" w:name="_Toc396393937"/>
      <w:bookmarkStart w:id="223" w:name="_Toc396393960"/>
      <w:bookmarkStart w:id="224" w:name="_Toc396492672"/>
      <w:bookmarkStart w:id="225" w:name="_Toc396492696"/>
      <w:bookmarkStart w:id="226" w:name="_Toc396915794"/>
      <w:bookmarkStart w:id="227" w:name="_Toc396995190"/>
      <w:bookmarkStart w:id="228" w:name="_Toc396995829"/>
      <w:bookmarkStart w:id="229" w:name="_Toc397609522"/>
      <w:bookmarkStart w:id="230" w:name="_Toc397610947"/>
      <w:bookmarkStart w:id="231" w:name="_Toc397962797"/>
      <w:bookmarkStart w:id="232" w:name="_Toc398023575"/>
      <w:bookmarkStart w:id="233" w:name="_Toc398902971"/>
      <w:bookmarkStart w:id="234" w:name="_Toc398903294"/>
      <w:bookmarkStart w:id="235" w:name="_Toc398903483"/>
      <w:bookmarkStart w:id="236" w:name="_Toc398904080"/>
      <w:bookmarkStart w:id="237" w:name="_Toc398904588"/>
      <w:bookmarkStart w:id="238" w:name="_Toc401305948"/>
      <w:bookmarkStart w:id="239" w:name="_Toc401306623"/>
      <w:bookmarkStart w:id="240" w:name="_Toc401306692"/>
      <w:r>
        <w:t>Background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30026BF6" w14:textId="77777777" w:rsidR="00ED5888" w:rsidRDefault="00E4341A" w:rsidP="006A744E">
      <w:pPr>
        <w:pStyle w:val="ParaNum"/>
      </w:pPr>
      <w:bookmarkStart w:id="241" w:name="_Ref398030717"/>
      <w:r>
        <w:t xml:space="preserve">In </w:t>
      </w:r>
      <w:r w:rsidR="006873A6">
        <w:t xml:space="preserve">the </w:t>
      </w:r>
      <w:r w:rsidR="006873A6" w:rsidRPr="009145C8">
        <w:rPr>
          <w:i/>
        </w:rPr>
        <w:t xml:space="preserve">Incentive Auction </w:t>
      </w:r>
      <w:r w:rsidR="00285A6B" w:rsidRPr="009145C8">
        <w:rPr>
          <w:i/>
        </w:rPr>
        <w:t>R&amp;O</w:t>
      </w:r>
      <w:r w:rsidR="006873A6">
        <w:t xml:space="preserve">, </w:t>
      </w:r>
      <w:r w:rsidR="000D6090">
        <w:t xml:space="preserve">we adopted a flexible </w:t>
      </w:r>
      <w:r w:rsidR="006873A6">
        <w:t xml:space="preserve">band plan </w:t>
      </w:r>
      <w:r w:rsidR="000D6090">
        <w:t xml:space="preserve">framework </w:t>
      </w:r>
      <w:r w:rsidR="00F77635">
        <w:t xml:space="preserve">that </w:t>
      </w:r>
      <w:r w:rsidR="006873A6">
        <w:t>accommodat</w:t>
      </w:r>
      <w:r w:rsidR="00F77635">
        <w:t>e</w:t>
      </w:r>
      <w:r w:rsidR="000D6090">
        <w:t>s</w:t>
      </w:r>
      <w:r w:rsidR="00F77635">
        <w:t xml:space="preserve"> </w:t>
      </w:r>
      <w:r w:rsidR="00285A6B">
        <w:t>market variation</w:t>
      </w:r>
      <w:r w:rsidR="006873A6">
        <w:t>.</w:t>
      </w:r>
      <w:r w:rsidR="006873A6">
        <w:rPr>
          <w:rStyle w:val="FootnoteReference"/>
        </w:rPr>
        <w:footnoteReference w:id="88"/>
      </w:r>
      <w:r w:rsidR="006873A6">
        <w:t xml:space="preserve"> </w:t>
      </w:r>
      <w:r w:rsidR="009145C8">
        <w:t xml:space="preserve"> </w:t>
      </w:r>
      <w:bookmarkStart w:id="242" w:name="_Toc393784363"/>
      <w:bookmarkStart w:id="243" w:name="_Toc393784387"/>
      <w:r w:rsidR="00351CCB">
        <w:t>Market variation occurs where broadcast stations remain on spectrum that is repurposed for wireless broadband under the 600 MHz Band Plan.</w:t>
      </w:r>
      <w:r w:rsidR="00351CCB">
        <w:rPr>
          <w:rStyle w:val="FootnoteReference"/>
        </w:rPr>
        <w:footnoteReference w:id="89"/>
      </w:r>
      <w:r w:rsidR="00351CCB">
        <w:t xml:space="preserve">  </w:t>
      </w:r>
      <w:r w:rsidR="00285A6B">
        <w:t xml:space="preserve">We explained that </w:t>
      </w:r>
      <w:r w:rsidR="00401B15">
        <w:t xml:space="preserve">accommodating </w:t>
      </w:r>
      <w:r w:rsidR="00285A6B" w:rsidRPr="009145C8">
        <w:rPr>
          <w:snapToGrid/>
        </w:rPr>
        <w:t>m</w:t>
      </w:r>
      <w:r w:rsidR="006873A6" w:rsidRPr="009145C8">
        <w:rPr>
          <w:snapToGrid/>
        </w:rPr>
        <w:t>arket variation is necessary because the amount of spectrum recovered along the Canadian and Mexican border</w:t>
      </w:r>
      <w:r w:rsidR="00EB20EF">
        <w:rPr>
          <w:snapToGrid/>
        </w:rPr>
        <w:t>s</w:t>
      </w:r>
      <w:r w:rsidR="006873A6" w:rsidRPr="009145C8">
        <w:rPr>
          <w:snapToGrid/>
        </w:rPr>
        <w:t xml:space="preserve"> and in </w:t>
      </w:r>
      <w:r w:rsidR="00EB20EF">
        <w:rPr>
          <w:snapToGrid/>
        </w:rPr>
        <w:t xml:space="preserve">some </w:t>
      </w:r>
      <w:r w:rsidR="006873A6" w:rsidRPr="009145C8">
        <w:rPr>
          <w:snapToGrid/>
        </w:rPr>
        <w:t xml:space="preserve">markets </w:t>
      </w:r>
      <w:r w:rsidR="00EB20EF">
        <w:rPr>
          <w:snapToGrid/>
        </w:rPr>
        <w:t>may vary from that recovered in most markets nationwide</w:t>
      </w:r>
      <w:r w:rsidR="006873A6" w:rsidRPr="009145C8">
        <w:rPr>
          <w:snapToGrid/>
        </w:rPr>
        <w:t>.</w:t>
      </w:r>
      <w:r w:rsidR="00285A6B">
        <w:rPr>
          <w:rStyle w:val="FootnoteReference"/>
          <w:snapToGrid/>
          <w:kern w:val="0"/>
        </w:rPr>
        <w:footnoteReference w:id="90"/>
      </w:r>
      <w:r w:rsidR="006873A6" w:rsidRPr="009145C8">
        <w:rPr>
          <w:snapToGrid/>
        </w:rPr>
        <w:t xml:space="preserve">  Accommodating market variation </w:t>
      </w:r>
      <w:r w:rsidR="00EB20EF">
        <w:rPr>
          <w:snapToGrid/>
        </w:rPr>
        <w:t xml:space="preserve">will </w:t>
      </w:r>
      <w:r w:rsidR="006873A6" w:rsidRPr="009145C8">
        <w:rPr>
          <w:snapToGrid/>
        </w:rPr>
        <w:t xml:space="preserve">allow us to avoid limiting the amount of spectrum </w:t>
      </w:r>
      <w:r w:rsidR="00095346">
        <w:rPr>
          <w:snapToGrid/>
        </w:rPr>
        <w:t>repurposed</w:t>
      </w:r>
      <w:r w:rsidR="00095346" w:rsidRPr="009145C8">
        <w:rPr>
          <w:snapToGrid/>
        </w:rPr>
        <w:t xml:space="preserve"> </w:t>
      </w:r>
      <w:r w:rsidR="006873A6" w:rsidRPr="009145C8">
        <w:rPr>
          <w:snapToGrid/>
        </w:rPr>
        <w:t>across the nation to what is available in the most constrained market.</w:t>
      </w:r>
      <w:r w:rsidR="006873A6" w:rsidRPr="007F55F4">
        <w:rPr>
          <w:snapToGrid/>
          <w:vertAlign w:val="superscript"/>
        </w:rPr>
        <w:footnoteReference w:id="91"/>
      </w:r>
      <w:bookmarkEnd w:id="241"/>
      <w:r w:rsidR="006873A6" w:rsidRPr="009145C8">
        <w:rPr>
          <w:snapToGrid/>
        </w:rPr>
        <w:t xml:space="preserve">  </w:t>
      </w:r>
      <w:r w:rsidR="00ED5888" w:rsidRPr="00ED5888">
        <w:t xml:space="preserve"> </w:t>
      </w:r>
    </w:p>
    <w:p w14:paraId="67F49A7A" w14:textId="77777777" w:rsidR="006873A6" w:rsidRPr="007F55F4" w:rsidRDefault="00ED5888" w:rsidP="006A744E">
      <w:pPr>
        <w:pStyle w:val="ParaNum"/>
      </w:pPr>
      <w:r>
        <w:t xml:space="preserve">Broadcasters and several other industry participants raised concerns over the potential for </w:t>
      </w:r>
      <w:r w:rsidR="00061808">
        <w:t xml:space="preserve">inter-service </w:t>
      </w:r>
      <w:r>
        <w:t>interference created by market variation</w:t>
      </w:r>
      <w:r w:rsidR="00CC3097">
        <w:t>.  This potential interference results because</w:t>
      </w:r>
      <w:r w:rsidR="00095346">
        <w:t>, in constrained markets where broadcast</w:t>
      </w:r>
      <w:r w:rsidR="007D329E">
        <w:t xml:space="preserve"> television stations</w:t>
      </w:r>
      <w:r w:rsidR="007D329E">
        <w:rPr>
          <w:rStyle w:val="FootnoteReference"/>
        </w:rPr>
        <w:footnoteReference w:id="92"/>
      </w:r>
      <w:r w:rsidR="007D329E">
        <w:t xml:space="preserve"> </w:t>
      </w:r>
      <w:r w:rsidR="00095346">
        <w:t>are assigned to channels within the 600 MHz Band,</w:t>
      </w:r>
      <w:r w:rsidR="00CC3097">
        <w:t xml:space="preserve"> television services and wireless services will be operating in close geographic proximity on either </w:t>
      </w:r>
      <w:r w:rsidR="003E11E1">
        <w:t>the same</w:t>
      </w:r>
      <w:r w:rsidR="00CC3097">
        <w:t xml:space="preserve"> or adjacent frequencies.  Some commenters p</w:t>
      </w:r>
      <w:r>
        <w:t>roposed fixed geographic separation distances to mitigate such potential interference.</w:t>
      </w:r>
      <w:r>
        <w:rPr>
          <w:rStyle w:val="FootnoteReference"/>
        </w:rPr>
        <w:footnoteReference w:id="93"/>
      </w:r>
      <w:r w:rsidR="00354157">
        <w:t xml:space="preserve">  </w:t>
      </w:r>
      <w:r w:rsidR="00285A6B">
        <w:t>W</w:t>
      </w:r>
      <w:r w:rsidR="006873A6" w:rsidRPr="00310E60">
        <w:t xml:space="preserve">e stated </w:t>
      </w:r>
      <w:r w:rsidR="00354157">
        <w:t xml:space="preserve">in the </w:t>
      </w:r>
      <w:r w:rsidR="00354157" w:rsidRPr="004108F9">
        <w:rPr>
          <w:i/>
        </w:rPr>
        <w:t xml:space="preserve">Incentive Auction </w:t>
      </w:r>
      <w:r w:rsidR="00354157">
        <w:rPr>
          <w:i/>
        </w:rPr>
        <w:t xml:space="preserve">R&amp;O </w:t>
      </w:r>
      <w:r w:rsidR="006873A6" w:rsidRPr="00310E60">
        <w:t xml:space="preserve">that we </w:t>
      </w:r>
      <w:r w:rsidR="00095346" w:rsidRPr="00310E60">
        <w:t>w</w:t>
      </w:r>
      <w:r w:rsidR="00095346">
        <w:t xml:space="preserve">ould </w:t>
      </w:r>
      <w:r w:rsidR="006873A6" w:rsidRPr="00310E60">
        <w:t xml:space="preserve">establish </w:t>
      </w:r>
      <w:r w:rsidR="00CC3097">
        <w:t>at a future dat</w:t>
      </w:r>
      <w:r w:rsidR="00EA7A5B">
        <w:t>e</w:t>
      </w:r>
      <w:r w:rsidR="00CC3097">
        <w:t xml:space="preserve"> </w:t>
      </w:r>
      <w:r w:rsidR="006873A6" w:rsidRPr="00310E60">
        <w:t>a methodology to prevent inter-service interference.</w:t>
      </w:r>
      <w:r w:rsidR="006873A6" w:rsidRPr="00310E60">
        <w:rPr>
          <w:rStyle w:val="FootnoteReference"/>
        </w:rPr>
        <w:footnoteReference w:id="94"/>
      </w:r>
    </w:p>
    <w:p w14:paraId="2DD7198E" w14:textId="77777777" w:rsidR="006873A6" w:rsidRDefault="006873A6" w:rsidP="006A744E">
      <w:pPr>
        <w:pStyle w:val="ParaNum"/>
      </w:pPr>
      <w:r>
        <w:t>On January 29, 2014, the</w:t>
      </w:r>
      <w:r w:rsidR="006511AA">
        <w:t xml:space="preserve"> </w:t>
      </w:r>
      <w:r w:rsidR="00DC0FF3">
        <w:t>Commission’s</w:t>
      </w:r>
      <w:r>
        <w:t xml:space="preserve"> Office of Engineering and Technology (OET) released a Public Notice seeking comment on an alternative </w:t>
      </w:r>
      <w:r w:rsidR="00D84C1E">
        <w:t xml:space="preserve">to the fixed </w:t>
      </w:r>
      <w:r w:rsidR="00D84C1E" w:rsidRPr="00DE3490">
        <w:t>separation distance</w:t>
      </w:r>
      <w:r w:rsidR="00D84C1E">
        <w:t xml:space="preserve"> methodology </w:t>
      </w:r>
      <w:r w:rsidR="003E11E1">
        <w:t>to address inter-service interference</w:t>
      </w:r>
      <w:r w:rsidR="00D84C1E">
        <w:t>.</w:t>
      </w:r>
      <w:r w:rsidR="00D84C1E">
        <w:rPr>
          <w:rStyle w:val="FootnoteReference"/>
        </w:rPr>
        <w:footnoteReference w:id="95"/>
      </w:r>
      <w:r w:rsidR="00D84C1E">
        <w:t xml:space="preserve">  </w:t>
      </w:r>
      <w:r w:rsidR="00236F43">
        <w:t xml:space="preserve">The ISIX Methodology is intended to accommodate market variation in a more spectrally efficient manner than fixed separation distances.  </w:t>
      </w:r>
      <w:r>
        <w:t xml:space="preserve">The </w:t>
      </w:r>
      <w:r w:rsidR="00236F43">
        <w:t xml:space="preserve">rationale </w:t>
      </w:r>
      <w:r w:rsidR="00EB20EF">
        <w:t xml:space="preserve">underlying the </w:t>
      </w:r>
      <w:r w:rsidR="003E11E1">
        <w:t xml:space="preserve">proposed </w:t>
      </w:r>
      <w:r w:rsidR="00EB20EF">
        <w:t xml:space="preserve">ISIX Methodology </w:t>
      </w:r>
      <w:r>
        <w:t xml:space="preserve">was that a fixed geographic separation distance </w:t>
      </w:r>
      <w:r w:rsidR="00EB20EF">
        <w:t xml:space="preserve">approach </w:t>
      </w:r>
      <w:r>
        <w:t xml:space="preserve">would </w:t>
      </w:r>
      <w:r w:rsidR="00D25FC1">
        <w:t>b</w:t>
      </w:r>
      <w:r w:rsidR="00095346">
        <w:t xml:space="preserve">e spectrally inefficient because it would </w:t>
      </w:r>
      <w:r>
        <w:t xml:space="preserve">group together </w:t>
      </w:r>
      <w:r w:rsidR="00EB20EF">
        <w:t xml:space="preserve">different inter-service </w:t>
      </w:r>
      <w:r>
        <w:t>interference scenarios</w:t>
      </w:r>
      <w:r w:rsidR="00095346">
        <w:t xml:space="preserve"> (e.g., wireless base station to television receiver, television transmitter to wireless user equipment, etc.)</w:t>
      </w:r>
      <w:r>
        <w:t xml:space="preserve"> and apply separation distances based on </w:t>
      </w:r>
      <w:r w:rsidR="00EB20EF">
        <w:t xml:space="preserve">the </w:t>
      </w:r>
      <w:r>
        <w:t>worst case scenario, without consider</w:t>
      </w:r>
      <w:r w:rsidR="003E11E1">
        <w:t>ing</w:t>
      </w:r>
      <w:r>
        <w:t xml:space="preserve"> </w:t>
      </w:r>
      <w:r w:rsidR="00EB20EF">
        <w:t xml:space="preserve">factors such as </w:t>
      </w:r>
      <w:r w:rsidRPr="00B807A7">
        <w:t>technical characteristics</w:t>
      </w:r>
      <w:r w:rsidR="00B807A7" w:rsidRPr="00B807A7">
        <w:t xml:space="preserve"> (i</w:t>
      </w:r>
      <w:r w:rsidR="00B807A7">
        <w:t>.e. antenna height</w:t>
      </w:r>
      <w:r>
        <w:t xml:space="preserve">, </w:t>
      </w:r>
      <w:r w:rsidR="00B807A7">
        <w:t xml:space="preserve">power), </w:t>
      </w:r>
      <w:r>
        <w:t>terrain variability</w:t>
      </w:r>
      <w:r w:rsidR="00EA7A5B">
        <w:t>,</w:t>
      </w:r>
      <w:r>
        <w:t xml:space="preserve"> and density of population.</w:t>
      </w:r>
      <w:r>
        <w:rPr>
          <w:rStyle w:val="FootnoteReference"/>
        </w:rPr>
        <w:footnoteReference w:id="96"/>
      </w:r>
      <w:r w:rsidR="00D84C1E">
        <w:t xml:space="preserve">  </w:t>
      </w:r>
    </w:p>
    <w:p w14:paraId="2FFC3142" w14:textId="77777777" w:rsidR="00384518" w:rsidRDefault="00384518" w:rsidP="006A744E">
      <w:pPr>
        <w:pStyle w:val="ParaNum"/>
      </w:pPr>
      <w:bookmarkStart w:id="244" w:name="_Ref398031312"/>
      <w:r>
        <w:t xml:space="preserve">As discussed in the </w:t>
      </w:r>
      <w:r>
        <w:rPr>
          <w:i/>
        </w:rPr>
        <w:t>ISIX</w:t>
      </w:r>
      <w:r w:rsidRPr="008202FC">
        <w:rPr>
          <w:i/>
        </w:rPr>
        <w:t xml:space="preserve"> PN</w:t>
      </w:r>
      <w:r>
        <w:t>, the varying degree</w:t>
      </w:r>
      <w:r w:rsidR="0070533B">
        <w:t>s</w:t>
      </w:r>
      <w:r>
        <w:t xml:space="preserve"> of spectral overlap between broadcast </w:t>
      </w:r>
      <w:r w:rsidR="00EB20EF">
        <w:t xml:space="preserve">television </w:t>
      </w:r>
      <w:r>
        <w:t xml:space="preserve">and wireless services will impact </w:t>
      </w:r>
      <w:r w:rsidR="0024764D">
        <w:t xml:space="preserve">to different degrees </w:t>
      </w:r>
      <w:r>
        <w:t>the potential for</w:t>
      </w:r>
      <w:r w:rsidR="00236F43">
        <w:t xml:space="preserve"> harmful</w:t>
      </w:r>
      <w:r>
        <w:t xml:space="preserve"> interference between the two services.</w:t>
      </w:r>
      <w:r>
        <w:rPr>
          <w:rStyle w:val="FootnoteReference"/>
        </w:rPr>
        <w:footnoteReference w:id="97"/>
      </w:r>
      <w:r>
        <w:t xml:space="preserve">  </w:t>
      </w:r>
      <w:r w:rsidR="0030183C">
        <w:t>Under t</w:t>
      </w:r>
      <w:r>
        <w:t>he 600 MHz Band Plan</w:t>
      </w:r>
      <w:r w:rsidR="0030183C">
        <w:t xml:space="preserve"> </w:t>
      </w:r>
      <w:r>
        <w:t xml:space="preserve">adopted in the </w:t>
      </w:r>
      <w:r w:rsidRPr="00735E71">
        <w:rPr>
          <w:i/>
        </w:rPr>
        <w:t>I</w:t>
      </w:r>
      <w:r>
        <w:rPr>
          <w:i/>
        </w:rPr>
        <w:t xml:space="preserve">ncentive </w:t>
      </w:r>
      <w:r w:rsidRPr="00735E71">
        <w:rPr>
          <w:i/>
        </w:rPr>
        <w:t>A</w:t>
      </w:r>
      <w:r>
        <w:rPr>
          <w:i/>
        </w:rPr>
        <w:t>uction</w:t>
      </w:r>
      <w:r w:rsidRPr="00735E71">
        <w:rPr>
          <w:i/>
        </w:rPr>
        <w:t xml:space="preserve"> R&amp;O</w:t>
      </w:r>
      <w:r>
        <w:t xml:space="preserve">, six megahertz broadcast </w:t>
      </w:r>
      <w:r w:rsidR="00EB20EF">
        <w:t xml:space="preserve">television </w:t>
      </w:r>
      <w:r>
        <w:t xml:space="preserve">channels </w:t>
      </w:r>
      <w:r w:rsidR="0030183C">
        <w:t xml:space="preserve">will be repurposed </w:t>
      </w:r>
      <w:r>
        <w:t>as five megahertz wireless blocks.</w:t>
      </w:r>
      <w:r>
        <w:rPr>
          <w:rStyle w:val="FootnoteReference"/>
        </w:rPr>
        <w:footnoteReference w:id="98"/>
      </w:r>
      <w:r>
        <w:t xml:space="preserve">  The difference in channel bandwidth (six </w:t>
      </w:r>
      <w:r w:rsidRPr="00F3761A">
        <w:t>vs</w:t>
      </w:r>
      <w:r w:rsidRPr="0030183C">
        <w:t>.</w:t>
      </w:r>
      <w:r>
        <w:t xml:space="preserve"> five megahertz) means that the wireless spectrum blocks </w:t>
      </w:r>
      <w:r w:rsidRPr="00E41566">
        <w:t xml:space="preserve">will not perfectly </w:t>
      </w:r>
      <w:r w:rsidRPr="00B211B2">
        <w:t>align with the existing television channels and</w:t>
      </w:r>
      <w:r>
        <w:t>,</w:t>
      </w:r>
      <w:r w:rsidRPr="00B211B2">
        <w:t xml:space="preserve"> whe</w:t>
      </w:r>
      <w:r w:rsidR="0030183C">
        <w:t>re</w:t>
      </w:r>
      <w:r w:rsidR="00D25FC1">
        <w:t xml:space="preserve"> </w:t>
      </w:r>
      <w:r w:rsidRPr="00B211B2">
        <w:t>market variation exists</w:t>
      </w:r>
      <w:r>
        <w:t>,</w:t>
      </w:r>
      <w:r w:rsidRPr="00B211B2">
        <w:t xml:space="preserve"> there will be varying degrees of spectral overlap between the channels. </w:t>
      </w:r>
      <w:r>
        <w:t xml:space="preserve"> As the wireless spectrum block moves from complete overlap in frequency with a </w:t>
      </w:r>
      <w:r w:rsidR="0030183C">
        <w:t xml:space="preserve">television </w:t>
      </w:r>
      <w:r>
        <w:t xml:space="preserve">channel to an edge-to-edge separation of five megahertz, the </w:t>
      </w:r>
      <w:r w:rsidR="00257A6E">
        <w:t xml:space="preserve">level of undesired signal that </w:t>
      </w:r>
      <w:r>
        <w:t xml:space="preserve">the victim receiver can tolerate </w:t>
      </w:r>
      <w:r w:rsidR="00257A6E">
        <w:t xml:space="preserve">without experiencing interference </w:t>
      </w:r>
      <w:r>
        <w:t>increases.</w:t>
      </w:r>
      <w:r w:rsidR="001769BE">
        <w:t xml:space="preserve">  The </w:t>
      </w:r>
      <w:r w:rsidR="001769BE" w:rsidRPr="00F13FAA">
        <w:rPr>
          <w:i/>
        </w:rPr>
        <w:t>ISIX PN</w:t>
      </w:r>
      <w:r w:rsidR="001769BE" w:rsidRPr="00F13FAA">
        <w:t xml:space="preserve"> proposed to </w:t>
      </w:r>
      <w:r w:rsidR="001769BE">
        <w:t>define “co-channel operations” as any</w:t>
      </w:r>
      <w:r w:rsidR="001769BE" w:rsidRPr="00DC162B">
        <w:t xml:space="preserve"> </w:t>
      </w:r>
      <w:r w:rsidR="001769BE">
        <w:t xml:space="preserve">spectral </w:t>
      </w:r>
      <w:r w:rsidR="001769BE" w:rsidRPr="00DC162B">
        <w:t xml:space="preserve">overlap between a wireless spectrum block and a </w:t>
      </w:r>
      <w:r w:rsidR="001769BE">
        <w:t>television</w:t>
      </w:r>
      <w:r w:rsidR="001769BE" w:rsidRPr="00DC162B">
        <w:t xml:space="preserve"> channel</w:t>
      </w:r>
      <w:r w:rsidR="001769BE">
        <w:t xml:space="preserve"> </w:t>
      </w:r>
      <w:r w:rsidR="001769BE" w:rsidRPr="00DC162B">
        <w:t>in one megahertz increments ranging from +5</w:t>
      </w:r>
      <w:r w:rsidR="001769BE">
        <w:t xml:space="preserve"> (complete overlap) to </w:t>
      </w:r>
      <w:r w:rsidR="00A76133">
        <w:t>+1</w:t>
      </w:r>
      <w:r w:rsidR="00506441">
        <w:t xml:space="preserve"> megahertz</w:t>
      </w:r>
      <w:r w:rsidR="001769BE">
        <w:t xml:space="preserve">, and </w:t>
      </w:r>
      <w:r w:rsidR="001769BE" w:rsidRPr="00AA3CDA">
        <w:t>“</w:t>
      </w:r>
      <w:r w:rsidR="001769BE">
        <w:t>a</w:t>
      </w:r>
      <w:r w:rsidR="001769BE" w:rsidRPr="00AA3CDA">
        <w:t xml:space="preserve">djacent channel operations” </w:t>
      </w:r>
      <w:r w:rsidR="001769BE">
        <w:t>as</w:t>
      </w:r>
      <w:r w:rsidR="001769BE" w:rsidRPr="00AA3CDA">
        <w:t xml:space="preserve"> </w:t>
      </w:r>
      <w:r w:rsidR="001769BE">
        <w:t>a wireless spectrum block and television channel</w:t>
      </w:r>
      <w:r w:rsidR="001769BE" w:rsidRPr="00AA3CDA">
        <w:t xml:space="preserve"> </w:t>
      </w:r>
      <w:r w:rsidR="001769BE">
        <w:t>that do not overlap but are</w:t>
      </w:r>
      <w:r w:rsidR="001769BE" w:rsidRPr="00AA3CDA">
        <w:t xml:space="preserve"> separated </w:t>
      </w:r>
      <w:r w:rsidR="001769BE">
        <w:t xml:space="preserve">by less than </w:t>
      </w:r>
      <w:r w:rsidR="00360634">
        <w:t xml:space="preserve">five </w:t>
      </w:r>
      <w:r w:rsidR="001769BE">
        <w:t>megahert</w:t>
      </w:r>
      <w:r w:rsidR="001769BE" w:rsidRPr="00AA3CDA">
        <w:t>z</w:t>
      </w:r>
      <w:r w:rsidR="00360634">
        <w:t xml:space="preserve"> (edge to edge separation of five megahertz or less)</w:t>
      </w:r>
      <w:r w:rsidR="001769BE" w:rsidRPr="00AA3CDA">
        <w:t>.</w:t>
      </w:r>
      <w:r w:rsidR="001769BE">
        <w:rPr>
          <w:rStyle w:val="FootnoteReference"/>
        </w:rPr>
        <w:footnoteReference w:id="99"/>
      </w:r>
      <w:bookmarkEnd w:id="244"/>
      <w:r>
        <w:t xml:space="preserve"> </w:t>
      </w:r>
    </w:p>
    <w:p w14:paraId="78FA6E31" w14:textId="77777777" w:rsidR="006873A6" w:rsidRDefault="006873A6" w:rsidP="006A744E">
      <w:pPr>
        <w:pStyle w:val="ParaNum"/>
      </w:pPr>
      <w:bookmarkStart w:id="245" w:name="_Ref397928766"/>
      <w:r>
        <w:t xml:space="preserve">The </w:t>
      </w:r>
      <w:r w:rsidRPr="00955B26">
        <w:rPr>
          <w:i/>
        </w:rPr>
        <w:t>ISIX PN</w:t>
      </w:r>
      <w:r>
        <w:t xml:space="preserve"> outlined four scenarios of potential interference </w:t>
      </w:r>
      <w:r w:rsidR="00333A98">
        <w:t>w</w:t>
      </w:r>
      <w:r>
        <w:t xml:space="preserve">hen broadcast </w:t>
      </w:r>
      <w:r w:rsidR="00EB20EF">
        <w:t xml:space="preserve">television </w:t>
      </w:r>
      <w:r>
        <w:t>and wireless operations are co-channel or adjacent channel in nearby markets:  (1)</w:t>
      </w:r>
      <w:r w:rsidR="0030183C">
        <w:t xml:space="preserve"> digital television (</w:t>
      </w:r>
      <w:r>
        <w:t>DTV</w:t>
      </w:r>
      <w:r w:rsidR="0030183C">
        <w:t>)</w:t>
      </w:r>
      <w:r>
        <w:t xml:space="preserve"> transmitter</w:t>
      </w:r>
      <w:r w:rsidR="005B1E53">
        <w:t xml:space="preserve"> </w:t>
      </w:r>
      <w:r>
        <w:t>to</w:t>
      </w:r>
      <w:r w:rsidR="005B1E53">
        <w:t xml:space="preserve"> </w:t>
      </w:r>
      <w:r>
        <w:t>wireless base station</w:t>
      </w:r>
      <w:r w:rsidR="00564DE2">
        <w:t xml:space="preserve"> (Case 1)</w:t>
      </w:r>
      <w:r>
        <w:t>; (2) DTV transmitter</w:t>
      </w:r>
      <w:r w:rsidR="005B1E53">
        <w:t xml:space="preserve"> </w:t>
      </w:r>
      <w:r>
        <w:t>to</w:t>
      </w:r>
      <w:r w:rsidR="005B1E53">
        <w:t xml:space="preserve"> </w:t>
      </w:r>
      <w:r>
        <w:t>wireless user equipment</w:t>
      </w:r>
      <w:r w:rsidR="00564DE2">
        <w:t xml:space="preserve"> (Case 2)</w:t>
      </w:r>
      <w:r>
        <w:t xml:space="preserve">; (3) </w:t>
      </w:r>
      <w:r w:rsidR="001A1AF6">
        <w:t>w</w:t>
      </w:r>
      <w:r>
        <w:t>ireless base station</w:t>
      </w:r>
      <w:r w:rsidR="005B1E53">
        <w:t xml:space="preserve"> </w:t>
      </w:r>
      <w:r>
        <w:t>to</w:t>
      </w:r>
      <w:r w:rsidR="005B1E53">
        <w:t xml:space="preserve"> </w:t>
      </w:r>
      <w:r>
        <w:t>DTV receiver</w:t>
      </w:r>
      <w:r w:rsidR="00564DE2">
        <w:t xml:space="preserve"> (Case 3)</w:t>
      </w:r>
      <w:r>
        <w:t xml:space="preserve">; and (4) </w:t>
      </w:r>
      <w:r w:rsidR="001A1AF6">
        <w:t>w</w:t>
      </w:r>
      <w:r>
        <w:t>ireless user equipment</w:t>
      </w:r>
      <w:r w:rsidR="005B1E53">
        <w:t xml:space="preserve"> </w:t>
      </w:r>
      <w:r>
        <w:t>to</w:t>
      </w:r>
      <w:r w:rsidR="005B1E53">
        <w:t xml:space="preserve"> </w:t>
      </w:r>
      <w:r>
        <w:t>DTV receiver</w:t>
      </w:r>
      <w:r w:rsidR="00564DE2">
        <w:t xml:space="preserve"> (Case 4)</w:t>
      </w:r>
      <w:r>
        <w:t>.</w:t>
      </w:r>
      <w:r>
        <w:rPr>
          <w:rStyle w:val="FootnoteReference"/>
        </w:rPr>
        <w:footnoteReference w:id="100"/>
      </w:r>
      <w:r>
        <w:t xml:space="preserve">  These scenarios are shown graphically on Figure 1 below:</w:t>
      </w:r>
      <w:bookmarkEnd w:id="245"/>
      <w:r>
        <w:t xml:space="preserve"> </w:t>
      </w:r>
    </w:p>
    <w:p w14:paraId="3A623700" w14:textId="77777777" w:rsidR="006873A6" w:rsidRDefault="006873A6" w:rsidP="000A74BA">
      <w:pPr>
        <w:jc w:val="center"/>
      </w:pPr>
      <w:r>
        <w:rPr>
          <w:noProof/>
        </w:rPr>
        <w:drawing>
          <wp:inline distT="0" distB="0" distL="0" distR="0" wp14:anchorId="239FDECF" wp14:editId="47337827">
            <wp:extent cx="3559709" cy="2261467"/>
            <wp:effectExtent l="19050" t="19050" r="22225"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DiagSimpl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9709" cy="2261467"/>
                    </a:xfrm>
                    <a:prstGeom prst="rect">
                      <a:avLst/>
                    </a:prstGeom>
                    <a:ln>
                      <a:solidFill>
                        <a:sysClr val="windowText" lastClr="000000"/>
                      </a:solidFill>
                    </a:ln>
                  </pic:spPr>
                </pic:pic>
              </a:graphicData>
            </a:graphic>
          </wp:inline>
        </w:drawing>
      </w:r>
    </w:p>
    <w:p w14:paraId="64E4D5BC" w14:textId="77777777" w:rsidR="006873A6" w:rsidRPr="00BA7005" w:rsidRDefault="006873A6" w:rsidP="000A74BA">
      <w:pPr>
        <w:spacing w:after="120"/>
        <w:jc w:val="center"/>
      </w:pPr>
      <w:r>
        <w:t xml:space="preserve">Figure 1: </w:t>
      </w:r>
      <w:r w:rsidRPr="00BA7005">
        <w:t>Four interference scenarios</w:t>
      </w:r>
    </w:p>
    <w:p w14:paraId="39E88C3A" w14:textId="77777777" w:rsidR="006873A6" w:rsidRPr="007A4A91" w:rsidRDefault="006873A6" w:rsidP="004E5F4F">
      <w:pPr>
        <w:pStyle w:val="ParaNum"/>
        <w:keepNext/>
        <w:widowControl/>
      </w:pPr>
      <w:bookmarkStart w:id="246" w:name="_Ref398030124"/>
      <w:r>
        <w:t xml:space="preserve">The </w:t>
      </w:r>
      <w:r w:rsidR="0070533B" w:rsidRPr="00BB15EB">
        <w:rPr>
          <w:i/>
        </w:rPr>
        <w:t>ISIX PN</w:t>
      </w:r>
      <w:r w:rsidR="0070533B">
        <w:t xml:space="preserve"> proposed to vary </w:t>
      </w:r>
      <w:r>
        <w:t xml:space="preserve">application of the ISIX Methodology </w:t>
      </w:r>
      <w:r w:rsidR="001769BE">
        <w:t xml:space="preserve">and inputs </w:t>
      </w:r>
      <w:r>
        <w:t xml:space="preserve">depending on the interference scenario </w:t>
      </w:r>
      <w:r w:rsidR="0030183C">
        <w:t>involved</w:t>
      </w:r>
      <w:r>
        <w:t xml:space="preserve">.  </w:t>
      </w:r>
      <w:r w:rsidR="0070533B">
        <w:t xml:space="preserve">It explained that the </w:t>
      </w:r>
      <w:r>
        <w:t xml:space="preserve">applicable interference scenarios </w:t>
      </w:r>
      <w:r w:rsidR="0070533B">
        <w:t xml:space="preserve">would </w:t>
      </w:r>
      <w:r>
        <w:t xml:space="preserve">depend on whether broadcast television stations </w:t>
      </w:r>
      <w:r w:rsidR="0070533B">
        <w:t xml:space="preserve">are </w:t>
      </w:r>
      <w:r w:rsidR="001855C4">
        <w:t>assigned</w:t>
      </w:r>
      <w:r>
        <w:t xml:space="preserve">, in the event of market variation, in the uplink or downlink 600 MHz </w:t>
      </w:r>
      <w:r w:rsidR="0030183C">
        <w:t>Band</w:t>
      </w:r>
      <w:r>
        <w:t>.</w:t>
      </w:r>
      <w:r w:rsidR="00830B28">
        <w:rPr>
          <w:rStyle w:val="FootnoteReference"/>
        </w:rPr>
        <w:footnoteReference w:id="101"/>
      </w:r>
      <w:r>
        <w:t xml:space="preserve">  If television stations are </w:t>
      </w:r>
      <w:r w:rsidR="001855C4">
        <w:t xml:space="preserve">assigned </w:t>
      </w:r>
      <w:r>
        <w:t>both in the downlink and uplink</w:t>
      </w:r>
      <w:r w:rsidR="0030183C">
        <w:t xml:space="preserve"> bands</w:t>
      </w:r>
      <w:r>
        <w:t xml:space="preserve">, all four interference scenarios </w:t>
      </w:r>
      <w:r w:rsidR="0070533B">
        <w:t xml:space="preserve">would </w:t>
      </w:r>
      <w:r>
        <w:t>have to be evaluated.  If television stations are placed in the uplink band, the relevant interference scenarios will be DTV transmitter</w:t>
      </w:r>
      <w:r w:rsidR="00830B28">
        <w:t xml:space="preserve"> </w:t>
      </w:r>
      <w:r>
        <w:t>to</w:t>
      </w:r>
      <w:r w:rsidR="00830B28">
        <w:t xml:space="preserve"> </w:t>
      </w:r>
      <w:r>
        <w:t>wireless base station (Case 1) and wireless user equipment</w:t>
      </w:r>
      <w:r w:rsidR="00830B28">
        <w:t xml:space="preserve"> </w:t>
      </w:r>
      <w:r>
        <w:t>to</w:t>
      </w:r>
      <w:r w:rsidR="00830B28">
        <w:t xml:space="preserve"> </w:t>
      </w:r>
      <w:r>
        <w:t xml:space="preserve">DTV receiver (Case 4).  If television stations are placed in the downlink band, the relevant interference scenarios </w:t>
      </w:r>
      <w:r w:rsidR="0070533B">
        <w:t>w</w:t>
      </w:r>
      <w:r w:rsidR="00830B28">
        <w:t>ill</w:t>
      </w:r>
      <w:r w:rsidR="0070533B">
        <w:t xml:space="preserve"> </w:t>
      </w:r>
      <w:r>
        <w:t>be DTV transmitter</w:t>
      </w:r>
      <w:r w:rsidR="00830B28">
        <w:t xml:space="preserve"> </w:t>
      </w:r>
      <w:r>
        <w:t>to</w:t>
      </w:r>
      <w:r w:rsidR="00830B28">
        <w:t xml:space="preserve"> </w:t>
      </w:r>
      <w:r>
        <w:t>wireless user equipment (Case 2) and wireless base station</w:t>
      </w:r>
      <w:r w:rsidR="00830B28">
        <w:t xml:space="preserve"> </w:t>
      </w:r>
      <w:r>
        <w:t>to</w:t>
      </w:r>
      <w:r w:rsidR="00830B28">
        <w:t xml:space="preserve"> </w:t>
      </w:r>
      <w:r>
        <w:t xml:space="preserve">DTV receiver (Case 3).  </w:t>
      </w:r>
      <w:r w:rsidR="0070533B">
        <w:t xml:space="preserve">In the absence of </w:t>
      </w:r>
      <w:r w:rsidR="00506441">
        <w:t xml:space="preserve">an </w:t>
      </w:r>
      <w:r w:rsidR="0070533B">
        <w:t>industry standard for predicting inter-service interference</w:t>
      </w:r>
      <w:r w:rsidR="00506441">
        <w:t xml:space="preserve"> between broadcast and wireless services</w:t>
      </w:r>
      <w:r w:rsidR="0070533B">
        <w:t>, t</w:t>
      </w:r>
      <w:r w:rsidR="007A4A91">
        <w:t xml:space="preserve">he </w:t>
      </w:r>
      <w:r w:rsidR="007A4A91" w:rsidRPr="00BB15EB">
        <w:rPr>
          <w:i/>
        </w:rPr>
        <w:t>ISIX PN</w:t>
      </w:r>
      <w:r w:rsidR="007A4A91">
        <w:t xml:space="preserve"> proposed to use the Longley-Rice radio signal propagation model for certain interference scenarios and established planning factors and industry standards to define thresholds of </w:t>
      </w:r>
      <w:r w:rsidR="007A4A91" w:rsidRPr="00B807A7">
        <w:t>coverage and interference.</w:t>
      </w:r>
      <w:r w:rsidR="007A4A91" w:rsidRPr="00B807A7">
        <w:rPr>
          <w:rStyle w:val="FootnoteReference"/>
        </w:rPr>
        <w:footnoteReference w:id="102"/>
      </w:r>
      <w:bookmarkEnd w:id="246"/>
      <w:r w:rsidR="007A4A91" w:rsidRPr="00B807A7">
        <w:t xml:space="preserve">  </w:t>
      </w:r>
    </w:p>
    <w:p w14:paraId="29585B5F" w14:textId="77777777" w:rsidR="006873A6" w:rsidRPr="00F13FAA" w:rsidRDefault="00A560D5" w:rsidP="000A74BA">
      <w:pPr>
        <w:pStyle w:val="ParaNum"/>
        <w:rPr>
          <w:snapToGrid/>
        </w:rPr>
      </w:pPr>
      <w:r>
        <w:rPr>
          <w:snapToGrid/>
        </w:rPr>
        <w:t xml:space="preserve">For Cases 1 and 2, </w:t>
      </w:r>
      <w:r w:rsidR="006873A6" w:rsidRPr="00F13FAA">
        <w:rPr>
          <w:snapToGrid/>
        </w:rPr>
        <w:t xml:space="preserve">the </w:t>
      </w:r>
      <w:r w:rsidR="006873A6" w:rsidRPr="00F13FAA">
        <w:rPr>
          <w:i/>
          <w:snapToGrid/>
        </w:rPr>
        <w:t>ISIX PN</w:t>
      </w:r>
      <w:r w:rsidR="006873A6" w:rsidRPr="00F13FAA">
        <w:rPr>
          <w:snapToGrid/>
        </w:rPr>
        <w:t xml:space="preserve"> proposed to use the Longley-Rice model to predict the interference </w:t>
      </w:r>
      <w:r w:rsidR="006873A6">
        <w:rPr>
          <w:snapToGrid/>
        </w:rPr>
        <w:t>from</w:t>
      </w:r>
      <w:r w:rsidR="006873A6" w:rsidRPr="00F13FAA">
        <w:rPr>
          <w:snapToGrid/>
        </w:rPr>
        <w:t xml:space="preserve"> a co-</w:t>
      </w:r>
      <w:r w:rsidR="0014274D">
        <w:rPr>
          <w:snapToGrid/>
        </w:rPr>
        <w:t>channel</w:t>
      </w:r>
      <w:r w:rsidR="006873A6" w:rsidRPr="00F13FAA">
        <w:rPr>
          <w:snapToGrid/>
        </w:rPr>
        <w:t xml:space="preserve"> or adjacent-channel DTV transmitter to a wireless base station or </w:t>
      </w:r>
      <w:r w:rsidR="00C3620D">
        <w:rPr>
          <w:snapToGrid/>
        </w:rPr>
        <w:t xml:space="preserve">wireless </w:t>
      </w:r>
      <w:r w:rsidR="006873A6" w:rsidRPr="00F13FAA">
        <w:rPr>
          <w:snapToGrid/>
        </w:rPr>
        <w:t xml:space="preserve">user equipment located </w:t>
      </w:r>
      <w:r w:rsidR="006873A6" w:rsidRPr="007A4A91">
        <w:rPr>
          <w:snapToGrid/>
        </w:rPr>
        <w:t>w</w:t>
      </w:r>
      <w:r>
        <w:rPr>
          <w:snapToGrid/>
        </w:rPr>
        <w:t>ithin the wireless license area</w:t>
      </w:r>
      <w:r w:rsidR="006873A6" w:rsidRPr="007A4A91">
        <w:rPr>
          <w:snapToGrid/>
        </w:rPr>
        <w:t>.</w:t>
      </w:r>
      <w:r w:rsidR="006873A6" w:rsidRPr="007A4A91">
        <w:rPr>
          <w:snapToGrid/>
          <w:vertAlign w:val="superscript"/>
        </w:rPr>
        <w:footnoteReference w:id="103"/>
      </w:r>
      <w:r w:rsidR="006873A6" w:rsidRPr="007A4A91">
        <w:rPr>
          <w:snapToGrid/>
        </w:rPr>
        <w:t xml:space="preserve">  </w:t>
      </w:r>
      <w:r w:rsidR="00830B28">
        <w:rPr>
          <w:snapToGrid/>
        </w:rPr>
        <w:t>It</w:t>
      </w:r>
      <w:r w:rsidR="006873A6" w:rsidRPr="007A4A91">
        <w:rPr>
          <w:snapToGrid/>
        </w:rPr>
        <w:t xml:space="preserve"> proposed </w:t>
      </w:r>
      <w:r w:rsidR="00830B28">
        <w:rPr>
          <w:snapToGrid/>
        </w:rPr>
        <w:t>to</w:t>
      </w:r>
      <w:r>
        <w:rPr>
          <w:snapToGrid/>
        </w:rPr>
        <w:t xml:space="preserve"> </w:t>
      </w:r>
      <w:r w:rsidR="006873A6" w:rsidRPr="007A4A91">
        <w:rPr>
          <w:snapToGrid/>
        </w:rPr>
        <w:t>assum</w:t>
      </w:r>
      <w:r>
        <w:rPr>
          <w:snapToGrid/>
        </w:rPr>
        <w:t>e</w:t>
      </w:r>
      <w:r w:rsidR="006873A6" w:rsidRPr="007A4A91">
        <w:rPr>
          <w:snapToGrid/>
        </w:rPr>
        <w:t xml:space="preserve"> values for</w:t>
      </w:r>
      <w:r w:rsidR="00825CA5">
        <w:rPr>
          <w:snapToGrid/>
        </w:rPr>
        <w:t xml:space="preserve"> </w:t>
      </w:r>
      <w:r w:rsidR="007D3429">
        <w:rPr>
          <w:snapToGrid/>
        </w:rPr>
        <w:t xml:space="preserve">DTV </w:t>
      </w:r>
      <w:r w:rsidR="006873A6" w:rsidRPr="007A4A91">
        <w:rPr>
          <w:snapToGrid/>
        </w:rPr>
        <w:t>signal levels that are expected to occur statistically</w:t>
      </w:r>
      <w:r w:rsidR="006873A6">
        <w:rPr>
          <w:snapToGrid/>
        </w:rPr>
        <w:t xml:space="preserve"> at</w:t>
      </w:r>
      <w:r w:rsidR="00C80467">
        <w:rPr>
          <w:snapToGrid/>
        </w:rPr>
        <w:t xml:space="preserve"> </w:t>
      </w:r>
      <w:r w:rsidR="007D3429">
        <w:rPr>
          <w:snapToGrid/>
        </w:rPr>
        <w:t>no less than</w:t>
      </w:r>
      <w:r w:rsidR="006873A6" w:rsidRPr="00F13FAA">
        <w:rPr>
          <w:snapToGrid/>
        </w:rPr>
        <w:t xml:space="preserve"> 50 percent of the locations 50 percent of the time (</w:t>
      </w:r>
      <w:r w:rsidR="006873A6" w:rsidRPr="000A74BA">
        <w:rPr>
          <w:snapToGrid/>
        </w:rPr>
        <w:t>i.e.</w:t>
      </w:r>
      <w:r w:rsidR="006873A6" w:rsidRPr="00F13FAA">
        <w:rPr>
          <w:snapToGrid/>
        </w:rPr>
        <w:t xml:space="preserve"> F(50,50)).</w:t>
      </w:r>
      <w:r w:rsidR="006873A6" w:rsidRPr="00F13FAA">
        <w:rPr>
          <w:snapToGrid/>
          <w:vertAlign w:val="superscript"/>
        </w:rPr>
        <w:footnoteReference w:id="104"/>
      </w:r>
      <w:r w:rsidR="006873A6" w:rsidRPr="00F13FAA">
        <w:rPr>
          <w:snapToGrid/>
        </w:rPr>
        <w:t xml:space="preserve">  To determine wireless </w:t>
      </w:r>
      <w:r w:rsidR="00830B28">
        <w:rPr>
          <w:snapToGrid/>
        </w:rPr>
        <w:t>license area</w:t>
      </w:r>
      <w:r w:rsidR="006873A6" w:rsidRPr="00F13FAA">
        <w:rPr>
          <w:snapToGrid/>
        </w:rPr>
        <w:t xml:space="preserve"> impairments</w:t>
      </w:r>
      <w:r w:rsidR="0070533B">
        <w:rPr>
          <w:snapToGrid/>
        </w:rPr>
        <w:t xml:space="preserve"> (that is, areas where the wireless base s</w:t>
      </w:r>
      <w:r w:rsidR="00B45382">
        <w:rPr>
          <w:snapToGrid/>
        </w:rPr>
        <w:t>tation</w:t>
      </w:r>
      <w:r w:rsidR="0070533B">
        <w:rPr>
          <w:snapToGrid/>
        </w:rPr>
        <w:t xml:space="preserve"> or user equipment is predicted to receive interference from a DTV transmitter)</w:t>
      </w:r>
      <w:r w:rsidR="006873A6">
        <w:rPr>
          <w:snapToGrid/>
        </w:rPr>
        <w:t>,</w:t>
      </w:r>
      <w:r w:rsidR="006873A6" w:rsidRPr="00F13FAA">
        <w:rPr>
          <w:snapToGrid/>
        </w:rPr>
        <w:t xml:space="preserve"> the wireless license area w</w:t>
      </w:r>
      <w:r w:rsidR="006873A6">
        <w:rPr>
          <w:snapToGrid/>
        </w:rPr>
        <w:t>ould</w:t>
      </w:r>
      <w:r w:rsidR="006873A6" w:rsidRPr="00F13FAA">
        <w:rPr>
          <w:snapToGrid/>
        </w:rPr>
        <w:t xml:space="preserve"> be divided into </w:t>
      </w:r>
      <w:r w:rsidR="006873A6">
        <w:rPr>
          <w:snapToGrid/>
        </w:rPr>
        <w:t xml:space="preserve">cells using </w:t>
      </w:r>
      <w:r w:rsidR="006873A6" w:rsidRPr="00F13FAA">
        <w:rPr>
          <w:snapToGrid/>
        </w:rPr>
        <w:t>a two-kilometer grid</w:t>
      </w:r>
      <w:r w:rsidR="00F0761F">
        <w:rPr>
          <w:snapToGrid/>
        </w:rPr>
        <w:t>.</w:t>
      </w:r>
      <w:r w:rsidR="00BB15EB">
        <w:rPr>
          <w:rStyle w:val="FootnoteReference"/>
          <w:snapToGrid/>
          <w:kern w:val="0"/>
        </w:rPr>
        <w:footnoteReference w:id="105"/>
      </w:r>
      <w:r w:rsidR="00F0761F">
        <w:rPr>
          <w:snapToGrid/>
        </w:rPr>
        <w:t xml:space="preserve">  T</w:t>
      </w:r>
      <w:r w:rsidR="006873A6" w:rsidRPr="00F13FAA">
        <w:rPr>
          <w:snapToGrid/>
        </w:rPr>
        <w:t>he</w:t>
      </w:r>
      <w:r w:rsidR="00825CA5">
        <w:rPr>
          <w:snapToGrid/>
        </w:rPr>
        <w:t xml:space="preserve"> </w:t>
      </w:r>
      <w:r w:rsidR="007D3429">
        <w:rPr>
          <w:snapToGrid/>
        </w:rPr>
        <w:t xml:space="preserve">DTV </w:t>
      </w:r>
      <w:r w:rsidR="006873A6" w:rsidRPr="00F13FAA">
        <w:rPr>
          <w:snapToGrid/>
        </w:rPr>
        <w:t>field strength levels w</w:t>
      </w:r>
      <w:r w:rsidR="007D3429">
        <w:rPr>
          <w:snapToGrid/>
        </w:rPr>
        <w:t>ould</w:t>
      </w:r>
      <w:r w:rsidR="006873A6" w:rsidRPr="00F13FAA">
        <w:rPr>
          <w:snapToGrid/>
        </w:rPr>
        <w:t xml:space="preserve"> be calculated at </w:t>
      </w:r>
      <w:r w:rsidR="00CC60E8">
        <w:rPr>
          <w:snapToGrid/>
        </w:rPr>
        <w:t>the population centroid</w:t>
      </w:r>
      <w:r w:rsidR="00910934">
        <w:rPr>
          <w:rStyle w:val="FootnoteReference"/>
          <w:snapToGrid/>
          <w:kern w:val="0"/>
        </w:rPr>
        <w:footnoteReference w:id="106"/>
      </w:r>
      <w:r w:rsidR="00CC60E8">
        <w:rPr>
          <w:snapToGrid/>
        </w:rPr>
        <w:t xml:space="preserve"> of </w:t>
      </w:r>
      <w:r w:rsidR="006873A6" w:rsidRPr="00F13FAA">
        <w:rPr>
          <w:snapToGrid/>
        </w:rPr>
        <w:t xml:space="preserve">each </w:t>
      </w:r>
      <w:r w:rsidR="006873A6">
        <w:rPr>
          <w:snapToGrid/>
        </w:rPr>
        <w:t xml:space="preserve">cell </w:t>
      </w:r>
      <w:r w:rsidR="006873A6" w:rsidRPr="00F13FAA">
        <w:rPr>
          <w:snapToGrid/>
        </w:rPr>
        <w:t xml:space="preserve">for each </w:t>
      </w:r>
      <w:r w:rsidR="00C27E2D">
        <w:rPr>
          <w:snapToGrid/>
        </w:rPr>
        <w:t>co-channel or adjacent</w:t>
      </w:r>
      <w:r w:rsidR="008A305C">
        <w:rPr>
          <w:snapToGrid/>
        </w:rPr>
        <w:t>-</w:t>
      </w:r>
      <w:r w:rsidR="00C27E2D">
        <w:rPr>
          <w:snapToGrid/>
        </w:rPr>
        <w:t xml:space="preserve">channel </w:t>
      </w:r>
      <w:r w:rsidR="008A305C">
        <w:rPr>
          <w:snapToGrid/>
        </w:rPr>
        <w:t>television station</w:t>
      </w:r>
      <w:r w:rsidR="006873A6" w:rsidRPr="00F13FAA">
        <w:rPr>
          <w:snapToGrid/>
        </w:rPr>
        <w:t xml:space="preserve"> within approximately 500 kilometers.</w:t>
      </w:r>
      <w:r w:rsidR="006873A6" w:rsidRPr="00F13FAA">
        <w:rPr>
          <w:snapToGrid/>
          <w:vertAlign w:val="superscript"/>
        </w:rPr>
        <w:footnoteReference w:id="107"/>
      </w:r>
      <w:r w:rsidR="006873A6" w:rsidRPr="00F13FAA">
        <w:rPr>
          <w:snapToGrid/>
        </w:rPr>
        <w:t xml:space="preserve">  The predicted </w:t>
      </w:r>
      <w:r w:rsidR="006873A6">
        <w:rPr>
          <w:snapToGrid/>
        </w:rPr>
        <w:t xml:space="preserve">DTV </w:t>
      </w:r>
      <w:r w:rsidR="006873A6" w:rsidRPr="00F13FAA">
        <w:rPr>
          <w:snapToGrid/>
        </w:rPr>
        <w:t xml:space="preserve">field strength at each </w:t>
      </w:r>
      <w:r w:rsidR="00C27E2D">
        <w:rPr>
          <w:snapToGrid/>
        </w:rPr>
        <w:t xml:space="preserve">cell </w:t>
      </w:r>
      <w:r w:rsidR="007D3429">
        <w:rPr>
          <w:snapToGrid/>
        </w:rPr>
        <w:t>would</w:t>
      </w:r>
      <w:r w:rsidR="006873A6" w:rsidRPr="00F13FAA">
        <w:rPr>
          <w:snapToGrid/>
        </w:rPr>
        <w:t xml:space="preserve"> then </w:t>
      </w:r>
      <w:r w:rsidR="007D3429">
        <w:rPr>
          <w:snapToGrid/>
        </w:rPr>
        <w:t xml:space="preserve">be </w:t>
      </w:r>
      <w:r w:rsidR="006873A6" w:rsidRPr="00F13FAA">
        <w:rPr>
          <w:snapToGrid/>
        </w:rPr>
        <w:t>compared with the appropriate interference threshold.</w:t>
      </w:r>
      <w:r w:rsidR="00895B5F" w:rsidRPr="00F13FAA">
        <w:rPr>
          <w:snapToGrid/>
          <w:vertAlign w:val="superscript"/>
        </w:rPr>
        <w:footnoteReference w:id="108"/>
      </w:r>
      <w:r w:rsidR="00895B5F">
        <w:rPr>
          <w:snapToGrid/>
        </w:rPr>
        <w:t xml:space="preserve">  </w:t>
      </w:r>
      <w:r w:rsidR="006873A6" w:rsidRPr="00F13FAA">
        <w:rPr>
          <w:snapToGrid/>
        </w:rPr>
        <w:t xml:space="preserve">Where the </w:t>
      </w:r>
      <w:r w:rsidR="006730D0">
        <w:rPr>
          <w:snapToGrid/>
        </w:rPr>
        <w:t xml:space="preserve">DTV </w:t>
      </w:r>
      <w:r w:rsidR="006873A6" w:rsidRPr="00F13FAA">
        <w:rPr>
          <w:snapToGrid/>
        </w:rPr>
        <w:t xml:space="preserve">field strength is above the interference threshold, </w:t>
      </w:r>
      <w:r w:rsidR="00B50AC8">
        <w:rPr>
          <w:snapToGrid/>
        </w:rPr>
        <w:t xml:space="preserve">the area of that </w:t>
      </w:r>
      <w:r w:rsidR="006873A6">
        <w:rPr>
          <w:snapToGrid/>
        </w:rPr>
        <w:t>cell</w:t>
      </w:r>
      <w:r w:rsidR="006873A6" w:rsidRPr="00F13FAA">
        <w:rPr>
          <w:snapToGrid/>
        </w:rPr>
        <w:t xml:space="preserve"> w</w:t>
      </w:r>
      <w:r w:rsidR="006873A6">
        <w:rPr>
          <w:snapToGrid/>
        </w:rPr>
        <w:t>ould</w:t>
      </w:r>
      <w:r w:rsidR="006873A6" w:rsidRPr="00F13FAA">
        <w:rPr>
          <w:snapToGrid/>
        </w:rPr>
        <w:t xml:space="preserve"> be deemed impaired.</w:t>
      </w:r>
      <w:r w:rsidR="003F2C2B">
        <w:rPr>
          <w:snapToGrid/>
        </w:rPr>
        <w:t xml:space="preserve">  </w:t>
      </w:r>
      <w:r w:rsidR="00895B5F">
        <w:rPr>
          <w:snapToGrid/>
        </w:rPr>
        <w:t>T</w:t>
      </w:r>
      <w:r w:rsidR="00797622">
        <w:rPr>
          <w:snapToGrid/>
        </w:rPr>
        <w:t xml:space="preserve">he </w:t>
      </w:r>
      <w:r w:rsidR="00797622" w:rsidRPr="0074704F">
        <w:rPr>
          <w:i/>
          <w:snapToGrid/>
        </w:rPr>
        <w:t>ISIX PN</w:t>
      </w:r>
      <w:r w:rsidR="00797622">
        <w:rPr>
          <w:snapToGrid/>
        </w:rPr>
        <w:t xml:space="preserve"> proposed to consider </w:t>
      </w:r>
      <w:r w:rsidR="00D25FC1">
        <w:rPr>
          <w:snapToGrid/>
        </w:rPr>
        <w:t>“</w:t>
      </w:r>
      <w:r w:rsidR="00797622">
        <w:rPr>
          <w:snapToGrid/>
        </w:rPr>
        <w:t>clutter loss</w:t>
      </w:r>
      <w:r w:rsidR="00D25FC1">
        <w:rPr>
          <w:snapToGrid/>
        </w:rPr>
        <w:t>”</w:t>
      </w:r>
      <w:r w:rsidR="00797622">
        <w:rPr>
          <w:snapToGrid/>
        </w:rPr>
        <w:t xml:space="preserve"> when predicting interference in Case 2.</w:t>
      </w:r>
      <w:r w:rsidR="00551693">
        <w:rPr>
          <w:rStyle w:val="FootnoteReference"/>
          <w:snapToGrid/>
          <w:kern w:val="0"/>
        </w:rPr>
        <w:footnoteReference w:id="109"/>
      </w:r>
    </w:p>
    <w:p w14:paraId="3DB61E3C" w14:textId="77777777" w:rsidR="006873A6" w:rsidRPr="00FC37E7" w:rsidRDefault="00A560D5" w:rsidP="004E5F4F">
      <w:pPr>
        <w:pStyle w:val="ParaNum"/>
        <w:keepNext/>
        <w:widowControl/>
      </w:pPr>
      <w:r>
        <w:t xml:space="preserve">For Case 3, </w:t>
      </w:r>
      <w:r w:rsidR="002063F1">
        <w:t xml:space="preserve">the </w:t>
      </w:r>
      <w:r w:rsidR="002063F1" w:rsidRPr="00BF4166">
        <w:rPr>
          <w:i/>
        </w:rPr>
        <w:t>ISIX PN</w:t>
      </w:r>
      <w:r w:rsidR="002063F1">
        <w:t xml:space="preserve"> also proposed to use the Longley-Rice model </w:t>
      </w:r>
      <w:r>
        <w:t>t</w:t>
      </w:r>
      <w:r w:rsidR="006873A6">
        <w:t xml:space="preserve">o predict </w:t>
      </w:r>
      <w:r w:rsidR="006873A6" w:rsidRPr="00FC37E7">
        <w:rPr>
          <w:snapToGrid/>
        </w:rPr>
        <w:t xml:space="preserve">interference </w:t>
      </w:r>
      <w:r w:rsidR="002063F1">
        <w:rPr>
          <w:snapToGrid/>
        </w:rPr>
        <w:t xml:space="preserve">from </w:t>
      </w:r>
      <w:r w:rsidR="006873A6" w:rsidRPr="00FC37E7">
        <w:rPr>
          <w:snapToGrid/>
        </w:rPr>
        <w:t>a wireless base station to a DTV receiver</w:t>
      </w:r>
      <w:r w:rsidR="002063F1">
        <w:rPr>
          <w:snapToGrid/>
        </w:rPr>
        <w:t>.</w:t>
      </w:r>
      <w:r w:rsidR="00B807A7">
        <w:rPr>
          <w:rStyle w:val="FootnoteReference"/>
          <w:snapToGrid/>
          <w:kern w:val="0"/>
        </w:rPr>
        <w:footnoteReference w:id="110"/>
      </w:r>
      <w:r w:rsidR="002063F1">
        <w:rPr>
          <w:snapToGrid/>
        </w:rPr>
        <w:t xml:space="preserve">  T</w:t>
      </w:r>
      <w:r w:rsidR="006873A6" w:rsidRPr="00FC37E7">
        <w:rPr>
          <w:snapToGrid/>
        </w:rPr>
        <w:t xml:space="preserve">he </w:t>
      </w:r>
      <w:r w:rsidR="006873A6" w:rsidRPr="00FC37E7">
        <w:rPr>
          <w:i/>
          <w:snapToGrid/>
        </w:rPr>
        <w:t>ISIX PN</w:t>
      </w:r>
      <w:r w:rsidR="006873A6" w:rsidRPr="00FC37E7">
        <w:rPr>
          <w:snapToGrid/>
        </w:rPr>
        <w:t xml:space="preserve"> proposed </w:t>
      </w:r>
      <w:r w:rsidR="006873A6">
        <w:rPr>
          <w:snapToGrid/>
        </w:rPr>
        <w:t>to</w:t>
      </w:r>
      <w:r w:rsidR="006873A6" w:rsidRPr="00FC37E7">
        <w:rPr>
          <w:snapToGrid/>
        </w:rPr>
        <w:t xml:space="preserve"> divide the area within a </w:t>
      </w:r>
      <w:r w:rsidR="00C27E2D">
        <w:rPr>
          <w:snapToGrid/>
        </w:rPr>
        <w:t xml:space="preserve">television </w:t>
      </w:r>
      <w:r w:rsidR="006873A6" w:rsidRPr="00FC37E7">
        <w:rPr>
          <w:snapToGrid/>
        </w:rPr>
        <w:t xml:space="preserve">station’s contour into </w:t>
      </w:r>
      <w:r w:rsidR="003F6F97">
        <w:rPr>
          <w:snapToGrid/>
        </w:rPr>
        <w:t xml:space="preserve">cells using </w:t>
      </w:r>
      <w:r w:rsidR="006873A6" w:rsidRPr="00FC37E7">
        <w:rPr>
          <w:snapToGrid/>
        </w:rPr>
        <w:t>a two-kilometer grid</w:t>
      </w:r>
      <w:r w:rsidR="00C3620D">
        <w:rPr>
          <w:snapToGrid/>
        </w:rPr>
        <w:t>,</w:t>
      </w:r>
      <w:r w:rsidR="006873A6" w:rsidRPr="00FC37E7">
        <w:rPr>
          <w:snapToGrid/>
        </w:rPr>
        <w:t xml:space="preserve"> and </w:t>
      </w:r>
      <w:r w:rsidR="00825CA5">
        <w:rPr>
          <w:snapToGrid/>
        </w:rPr>
        <w:t xml:space="preserve">to </w:t>
      </w:r>
      <w:r w:rsidR="006873A6" w:rsidRPr="00FC37E7">
        <w:rPr>
          <w:snapToGrid/>
        </w:rPr>
        <w:t xml:space="preserve">calculate </w:t>
      </w:r>
      <w:r w:rsidR="00DD2B96">
        <w:rPr>
          <w:snapToGrid/>
        </w:rPr>
        <w:t xml:space="preserve">undesired </w:t>
      </w:r>
      <w:r w:rsidR="00825CA5" w:rsidRPr="00FC37E7">
        <w:rPr>
          <w:snapToGrid/>
        </w:rPr>
        <w:t xml:space="preserve">wireless base station </w:t>
      </w:r>
      <w:r w:rsidR="006873A6" w:rsidRPr="00FC37E7">
        <w:rPr>
          <w:snapToGrid/>
        </w:rPr>
        <w:t xml:space="preserve">field strength levels at each </w:t>
      </w:r>
      <w:r w:rsidR="00515237">
        <w:rPr>
          <w:snapToGrid/>
        </w:rPr>
        <w:t>cell</w:t>
      </w:r>
      <w:r w:rsidR="00D25FC1">
        <w:rPr>
          <w:snapToGrid/>
        </w:rPr>
        <w:t xml:space="preserve"> or grid point</w:t>
      </w:r>
      <w:r w:rsidR="00515237">
        <w:rPr>
          <w:snapToGrid/>
        </w:rPr>
        <w:t xml:space="preserve"> </w:t>
      </w:r>
      <w:r w:rsidR="006873A6" w:rsidRPr="00FC37E7">
        <w:rPr>
          <w:snapToGrid/>
        </w:rPr>
        <w:t>to determine areas of possible interference.</w:t>
      </w:r>
      <w:r w:rsidR="006873A6" w:rsidRPr="00314D84">
        <w:rPr>
          <w:snapToGrid/>
          <w:vertAlign w:val="superscript"/>
        </w:rPr>
        <w:footnoteReference w:id="111"/>
      </w:r>
      <w:r w:rsidR="006873A6" w:rsidRPr="00FC37E7">
        <w:rPr>
          <w:snapToGrid/>
        </w:rPr>
        <w:t xml:space="preserve"> </w:t>
      </w:r>
      <w:r w:rsidR="003F6F97">
        <w:rPr>
          <w:snapToGrid/>
        </w:rPr>
        <w:t xml:space="preserve"> Because 600 MHz Band wireless base stations will not be deployed until after the incentive auction, </w:t>
      </w:r>
      <w:r w:rsidR="00C27E2D">
        <w:rPr>
          <w:snapToGrid/>
        </w:rPr>
        <w:t xml:space="preserve">for purposes of applying </w:t>
      </w:r>
      <w:r w:rsidR="00F80D87">
        <w:rPr>
          <w:snapToGrid/>
        </w:rPr>
        <w:t xml:space="preserve">the proposed </w:t>
      </w:r>
      <w:r w:rsidR="003F6F97">
        <w:rPr>
          <w:snapToGrid/>
        </w:rPr>
        <w:t xml:space="preserve">ISIX </w:t>
      </w:r>
      <w:r w:rsidR="007671EE">
        <w:rPr>
          <w:snapToGrid/>
        </w:rPr>
        <w:t>M</w:t>
      </w:r>
      <w:r w:rsidR="00F80D87">
        <w:rPr>
          <w:snapToGrid/>
        </w:rPr>
        <w:t xml:space="preserve">ethodology </w:t>
      </w:r>
      <w:r w:rsidR="00C27E2D">
        <w:rPr>
          <w:snapToGrid/>
        </w:rPr>
        <w:t xml:space="preserve">during the auction </w:t>
      </w:r>
      <w:r w:rsidR="003F4CB5" w:rsidRPr="00BF4166">
        <w:t>uniformly spaced sample locations</w:t>
      </w:r>
      <w:r w:rsidR="00C27E2D">
        <w:t>,</w:t>
      </w:r>
      <w:r w:rsidR="003F4CB5" w:rsidRPr="00BF4166">
        <w:t xml:space="preserve"> spaced every </w:t>
      </w:r>
      <w:r w:rsidR="00C27E2D">
        <w:t xml:space="preserve">ten </w:t>
      </w:r>
      <w:r w:rsidR="003F4CB5" w:rsidRPr="00BF4166">
        <w:t xml:space="preserve">kilometers within </w:t>
      </w:r>
      <w:r w:rsidR="00527345">
        <w:t xml:space="preserve">the </w:t>
      </w:r>
      <w:r w:rsidR="003F4CB5" w:rsidRPr="00BF4166">
        <w:t>boundar</w:t>
      </w:r>
      <w:r w:rsidR="00527345">
        <w:t>ies of every</w:t>
      </w:r>
      <w:r w:rsidR="003F4CB5" w:rsidRPr="00BF4166">
        <w:t xml:space="preserve"> </w:t>
      </w:r>
      <w:r w:rsidR="00895B5F">
        <w:t xml:space="preserve">wireless license area </w:t>
      </w:r>
      <w:r w:rsidR="003F4CB5" w:rsidRPr="00BF4166">
        <w:t xml:space="preserve">that is within 500 kilometers of the </w:t>
      </w:r>
      <w:r w:rsidR="00527345">
        <w:t xml:space="preserve">television </w:t>
      </w:r>
      <w:r w:rsidR="003F4CB5" w:rsidRPr="00BF4166">
        <w:t>station</w:t>
      </w:r>
      <w:r w:rsidR="00527345">
        <w:t xml:space="preserve"> w</w:t>
      </w:r>
      <w:r w:rsidR="00895B5F">
        <w:t>ould</w:t>
      </w:r>
      <w:r w:rsidR="00527345">
        <w:t xml:space="preserve"> be evaluated</w:t>
      </w:r>
      <w:r w:rsidR="003F4CB5" w:rsidRPr="00BF4166">
        <w:t>.</w:t>
      </w:r>
      <w:r w:rsidR="003F4CB5" w:rsidRPr="00B807A7">
        <w:rPr>
          <w:snapToGrid/>
          <w:vertAlign w:val="superscript"/>
        </w:rPr>
        <w:footnoteReference w:id="112"/>
      </w:r>
      <w:r w:rsidR="003F4CB5" w:rsidRPr="00B807A7">
        <w:rPr>
          <w:snapToGrid/>
        </w:rPr>
        <w:t xml:space="preserve"> </w:t>
      </w:r>
      <w:r w:rsidR="003F4CB5" w:rsidRPr="00BF4166">
        <w:t xml:space="preserve"> A hypothetical base station with non-directional transmitting antennas 30 meters </w:t>
      </w:r>
      <w:r w:rsidR="00527345">
        <w:t xml:space="preserve">height </w:t>
      </w:r>
      <w:r w:rsidR="003F4CB5" w:rsidRPr="00BF4166">
        <w:t xml:space="preserve">above average </w:t>
      </w:r>
      <w:r w:rsidR="00527345">
        <w:t xml:space="preserve">terrain (HAAT) </w:t>
      </w:r>
      <w:r w:rsidR="003F4CB5" w:rsidRPr="00BF4166">
        <w:t>and 720 watts E</w:t>
      </w:r>
      <w:r w:rsidR="00527345">
        <w:t xml:space="preserve">ffective </w:t>
      </w:r>
      <w:r w:rsidR="003F4CB5" w:rsidRPr="00BF4166">
        <w:t>R</w:t>
      </w:r>
      <w:r w:rsidR="00527345">
        <w:t xml:space="preserve">adiated </w:t>
      </w:r>
      <w:r w:rsidR="003F4CB5" w:rsidRPr="00BF4166">
        <w:t>P</w:t>
      </w:r>
      <w:r w:rsidR="00527345">
        <w:t>ower (ERP)</w:t>
      </w:r>
      <w:r w:rsidR="003F4CB5" w:rsidRPr="00BF4166">
        <w:t xml:space="preserve"> </w:t>
      </w:r>
      <w:r w:rsidR="00895B5F">
        <w:t>would be</w:t>
      </w:r>
      <w:r w:rsidR="00D25FC1" w:rsidRPr="00BF4166">
        <w:t xml:space="preserve"> </w:t>
      </w:r>
      <w:r w:rsidR="003F4CB5" w:rsidRPr="00BF4166">
        <w:t xml:space="preserve">placed at each location and </w:t>
      </w:r>
      <w:r w:rsidR="006873A6" w:rsidRPr="00B807A7">
        <w:rPr>
          <w:snapToGrid/>
        </w:rPr>
        <w:t xml:space="preserve">a </w:t>
      </w:r>
      <w:r w:rsidR="00ED66E1" w:rsidRPr="00B807A7">
        <w:rPr>
          <w:snapToGrid/>
        </w:rPr>
        <w:t>Desired</w:t>
      </w:r>
      <w:r w:rsidR="00ED66E1">
        <w:rPr>
          <w:snapToGrid/>
        </w:rPr>
        <w:t>/Undesired (</w:t>
      </w:r>
      <w:r w:rsidR="006873A6" w:rsidRPr="00FC37E7">
        <w:rPr>
          <w:snapToGrid/>
        </w:rPr>
        <w:t>D/U</w:t>
      </w:r>
      <w:r w:rsidR="00ED66E1">
        <w:rPr>
          <w:snapToGrid/>
        </w:rPr>
        <w:t>)</w:t>
      </w:r>
      <w:r w:rsidR="006873A6" w:rsidRPr="00FC37E7">
        <w:rPr>
          <w:snapToGrid/>
        </w:rPr>
        <w:t xml:space="preserve"> ratio </w:t>
      </w:r>
      <w:r w:rsidR="006873A6">
        <w:rPr>
          <w:snapToGrid/>
        </w:rPr>
        <w:t>would be</w:t>
      </w:r>
      <w:r w:rsidR="00515237">
        <w:rPr>
          <w:snapToGrid/>
        </w:rPr>
        <w:t xml:space="preserve"> </w:t>
      </w:r>
      <w:r w:rsidR="003F6F97">
        <w:rPr>
          <w:snapToGrid/>
        </w:rPr>
        <w:t xml:space="preserve">predicted </w:t>
      </w:r>
      <w:r w:rsidR="006873A6">
        <w:rPr>
          <w:snapToGrid/>
        </w:rPr>
        <w:t>for each grid point</w:t>
      </w:r>
      <w:r w:rsidR="006873A6" w:rsidRPr="00FC37E7">
        <w:rPr>
          <w:snapToGrid/>
        </w:rPr>
        <w:t>.</w:t>
      </w:r>
      <w:r w:rsidR="00895B5F">
        <w:rPr>
          <w:rStyle w:val="FootnoteReference"/>
          <w:snapToGrid/>
          <w:kern w:val="0"/>
        </w:rPr>
        <w:footnoteReference w:id="113"/>
      </w:r>
      <w:r w:rsidR="006873A6" w:rsidRPr="00FC37E7">
        <w:rPr>
          <w:snapToGrid/>
        </w:rPr>
        <w:t xml:space="preserve">  Th</w:t>
      </w:r>
      <w:r w:rsidR="00895B5F">
        <w:rPr>
          <w:snapToGrid/>
        </w:rPr>
        <w:t xml:space="preserve">at </w:t>
      </w:r>
      <w:r w:rsidR="006873A6" w:rsidRPr="00FC37E7">
        <w:rPr>
          <w:snapToGrid/>
        </w:rPr>
        <w:t xml:space="preserve">D/U ratio </w:t>
      </w:r>
      <w:r w:rsidR="006873A6">
        <w:rPr>
          <w:snapToGrid/>
        </w:rPr>
        <w:t xml:space="preserve">would be </w:t>
      </w:r>
      <w:r w:rsidR="006873A6" w:rsidRPr="00FC37E7">
        <w:rPr>
          <w:snapToGrid/>
        </w:rPr>
        <w:t xml:space="preserve">compared with the appropriate </w:t>
      </w:r>
      <w:r w:rsidR="00895B5F">
        <w:rPr>
          <w:snapToGrid/>
        </w:rPr>
        <w:t xml:space="preserve">interference </w:t>
      </w:r>
      <w:r w:rsidR="00CC7825">
        <w:rPr>
          <w:snapToGrid/>
        </w:rPr>
        <w:t>threshold</w:t>
      </w:r>
      <w:r w:rsidR="006873A6" w:rsidRPr="00FC37E7">
        <w:rPr>
          <w:snapToGrid/>
        </w:rPr>
        <w:t>.</w:t>
      </w:r>
      <w:r w:rsidR="006873A6">
        <w:rPr>
          <w:rStyle w:val="FootnoteReference"/>
          <w:snapToGrid/>
          <w:kern w:val="0"/>
        </w:rPr>
        <w:footnoteReference w:id="114"/>
      </w:r>
      <w:r w:rsidR="006873A6" w:rsidRPr="00FC37E7">
        <w:rPr>
          <w:snapToGrid/>
        </w:rPr>
        <w:t xml:space="preserve">  </w:t>
      </w:r>
      <w:r w:rsidR="003F4CB5" w:rsidRPr="00BF4166">
        <w:t xml:space="preserve">If </w:t>
      </w:r>
      <w:r w:rsidR="000A74BA">
        <w:t xml:space="preserve">the </w:t>
      </w:r>
      <w:r w:rsidR="00B51A45">
        <w:t>threshold</w:t>
      </w:r>
      <w:r w:rsidR="003F4CB5" w:rsidRPr="00BF4166">
        <w:t xml:space="preserve"> </w:t>
      </w:r>
      <w:r w:rsidR="00527345" w:rsidRPr="00BF4166">
        <w:t>w</w:t>
      </w:r>
      <w:r w:rsidR="00527345">
        <w:t xml:space="preserve">ere </w:t>
      </w:r>
      <w:r w:rsidR="00B51A45">
        <w:t>exceed</w:t>
      </w:r>
      <w:r w:rsidR="00B51A45" w:rsidRPr="00BF4166">
        <w:t>ed</w:t>
      </w:r>
      <w:r w:rsidR="003F4CB5" w:rsidRPr="00BF4166">
        <w:t xml:space="preserve">, then the entire area within the county containing the hypothetical base station </w:t>
      </w:r>
      <w:r w:rsidR="00527345">
        <w:t xml:space="preserve">would be </w:t>
      </w:r>
      <w:r w:rsidR="00B51A45">
        <w:t>predicted</w:t>
      </w:r>
      <w:r w:rsidR="00B51A45" w:rsidRPr="00BF4166">
        <w:t xml:space="preserve"> </w:t>
      </w:r>
      <w:r w:rsidR="00B51A45">
        <w:t>to</w:t>
      </w:r>
      <w:r w:rsidR="003F4CB5" w:rsidRPr="00BF4166">
        <w:t xml:space="preserve"> caus</w:t>
      </w:r>
      <w:r w:rsidR="00B51A45">
        <w:t>e</w:t>
      </w:r>
      <w:r w:rsidR="003F4CB5" w:rsidRPr="00BF4166">
        <w:t xml:space="preserve"> interference</w:t>
      </w:r>
      <w:r w:rsidR="00B51A45">
        <w:t xml:space="preserve"> to the television station</w:t>
      </w:r>
      <w:r w:rsidR="003F4CB5" w:rsidRPr="00BF4166">
        <w:t xml:space="preserve">.  </w:t>
      </w:r>
      <w:r w:rsidR="006873A6" w:rsidRPr="00B807A7">
        <w:rPr>
          <w:snapToGrid/>
        </w:rPr>
        <w:t xml:space="preserve">The </w:t>
      </w:r>
      <w:r w:rsidR="006873A6" w:rsidRPr="00B807A7">
        <w:rPr>
          <w:i/>
          <w:snapToGrid/>
        </w:rPr>
        <w:t>ISIX PN</w:t>
      </w:r>
      <w:r w:rsidR="006873A6" w:rsidRPr="00B807A7">
        <w:rPr>
          <w:snapToGrid/>
        </w:rPr>
        <w:t xml:space="preserve"> proposed specific D/U ratios depending </w:t>
      </w:r>
      <w:r w:rsidR="006873A6" w:rsidRPr="00FC37E7">
        <w:rPr>
          <w:snapToGrid/>
        </w:rPr>
        <w:t xml:space="preserve">on the </w:t>
      </w:r>
      <w:r w:rsidR="006873A6">
        <w:rPr>
          <w:snapToGrid/>
        </w:rPr>
        <w:t xml:space="preserve">amount of </w:t>
      </w:r>
      <w:r w:rsidR="006873A6" w:rsidRPr="00FC37E7">
        <w:rPr>
          <w:snapToGrid/>
        </w:rPr>
        <w:t>spectral overlap</w:t>
      </w:r>
      <w:r w:rsidR="00F80D87">
        <w:rPr>
          <w:snapToGrid/>
        </w:rPr>
        <w:t xml:space="preserve"> between the </w:t>
      </w:r>
      <w:r w:rsidR="00F80D87" w:rsidRPr="00FC37E7">
        <w:rPr>
          <w:snapToGrid/>
        </w:rPr>
        <w:t xml:space="preserve">wireless </w:t>
      </w:r>
      <w:r w:rsidR="00CE721A">
        <w:rPr>
          <w:snapToGrid/>
        </w:rPr>
        <w:t xml:space="preserve">spectrum block </w:t>
      </w:r>
      <w:r w:rsidR="00F80D87">
        <w:rPr>
          <w:snapToGrid/>
        </w:rPr>
        <w:t xml:space="preserve">and the </w:t>
      </w:r>
      <w:r w:rsidR="00B51A45">
        <w:rPr>
          <w:snapToGrid/>
        </w:rPr>
        <w:t xml:space="preserve">television </w:t>
      </w:r>
      <w:r w:rsidR="00CE721A">
        <w:rPr>
          <w:snapToGrid/>
        </w:rPr>
        <w:t>channel</w:t>
      </w:r>
      <w:r w:rsidR="006873A6" w:rsidRPr="00FC37E7">
        <w:rPr>
          <w:snapToGrid/>
        </w:rPr>
        <w:t>.</w:t>
      </w:r>
      <w:r w:rsidR="006873A6">
        <w:rPr>
          <w:rStyle w:val="FootnoteReference"/>
          <w:snapToGrid/>
          <w:kern w:val="0"/>
        </w:rPr>
        <w:footnoteReference w:id="115"/>
      </w:r>
      <w:r w:rsidR="006873A6" w:rsidRPr="00FC37E7">
        <w:rPr>
          <w:snapToGrid/>
        </w:rPr>
        <w:t xml:space="preserve"> </w:t>
      </w:r>
      <w:r w:rsidR="006873A6">
        <w:rPr>
          <w:snapToGrid/>
        </w:rPr>
        <w:t xml:space="preserve"> </w:t>
      </w:r>
      <w:r w:rsidR="00B51A45">
        <w:rPr>
          <w:snapToGrid/>
        </w:rPr>
        <w:t>It also</w:t>
      </w:r>
      <w:r w:rsidR="00B51A45" w:rsidRPr="00FC37E7">
        <w:rPr>
          <w:snapToGrid/>
        </w:rPr>
        <w:t xml:space="preserve"> </w:t>
      </w:r>
      <w:r w:rsidR="006873A6" w:rsidRPr="00FC37E7">
        <w:rPr>
          <w:snapToGrid/>
        </w:rPr>
        <w:t xml:space="preserve">proposed </w:t>
      </w:r>
      <w:r w:rsidR="00B51A45">
        <w:rPr>
          <w:snapToGrid/>
        </w:rPr>
        <w:t>to</w:t>
      </w:r>
      <w:r w:rsidR="006873A6" w:rsidRPr="00FC37E7">
        <w:rPr>
          <w:snapToGrid/>
        </w:rPr>
        <w:t xml:space="preserve"> appl</w:t>
      </w:r>
      <w:r w:rsidR="006873A6">
        <w:rPr>
          <w:snapToGrid/>
        </w:rPr>
        <w:t>y</w:t>
      </w:r>
      <w:r w:rsidR="006873A6" w:rsidRPr="00FC37E7">
        <w:rPr>
          <w:snapToGrid/>
        </w:rPr>
        <w:t xml:space="preserve"> </w:t>
      </w:r>
      <w:r w:rsidR="00F80D87">
        <w:rPr>
          <w:snapToGrid/>
        </w:rPr>
        <w:t>“</w:t>
      </w:r>
      <w:r w:rsidR="006873A6" w:rsidRPr="00FC37E7">
        <w:rPr>
          <w:snapToGrid/>
        </w:rPr>
        <w:t>clutter</w:t>
      </w:r>
      <w:r w:rsidR="00F80D87">
        <w:rPr>
          <w:snapToGrid/>
        </w:rPr>
        <w:t xml:space="preserve"> </w:t>
      </w:r>
      <w:r w:rsidR="00527345">
        <w:rPr>
          <w:snapToGrid/>
        </w:rPr>
        <w:t>loss</w:t>
      </w:r>
      <w:r w:rsidR="00F80D87">
        <w:rPr>
          <w:snapToGrid/>
        </w:rPr>
        <w:t>”</w:t>
      </w:r>
      <w:r w:rsidR="006873A6" w:rsidRPr="00FC37E7">
        <w:rPr>
          <w:snapToGrid/>
        </w:rPr>
        <w:t xml:space="preserve"> </w:t>
      </w:r>
      <w:r w:rsidR="00CE721A">
        <w:rPr>
          <w:snapToGrid/>
        </w:rPr>
        <w:t xml:space="preserve">to account for local environmental characteristics in the prediction of </w:t>
      </w:r>
      <w:r w:rsidR="00F80D87">
        <w:rPr>
          <w:snapToGrid/>
        </w:rPr>
        <w:t>interference</w:t>
      </w:r>
      <w:r w:rsidR="006873A6" w:rsidRPr="00FC37E7">
        <w:rPr>
          <w:snapToGrid/>
        </w:rPr>
        <w:t>.</w:t>
      </w:r>
      <w:r w:rsidR="006873A6" w:rsidRPr="00314D84">
        <w:rPr>
          <w:snapToGrid/>
          <w:vertAlign w:val="superscript"/>
        </w:rPr>
        <w:footnoteReference w:id="116"/>
      </w:r>
      <w:r w:rsidR="006873A6" w:rsidRPr="00FC37E7">
        <w:rPr>
          <w:snapToGrid/>
        </w:rPr>
        <w:t xml:space="preserve"> </w:t>
      </w:r>
      <w:r w:rsidR="006873A6">
        <w:rPr>
          <w:snapToGrid/>
        </w:rPr>
        <w:t xml:space="preserve"> In addition, t</w:t>
      </w:r>
      <w:r w:rsidR="006873A6" w:rsidRPr="00FC37E7">
        <w:rPr>
          <w:snapToGrid/>
        </w:rPr>
        <w:t xml:space="preserve">he </w:t>
      </w:r>
      <w:r w:rsidR="006873A6" w:rsidRPr="00FC37E7">
        <w:rPr>
          <w:i/>
          <w:snapToGrid/>
        </w:rPr>
        <w:t>ISIX PN</w:t>
      </w:r>
      <w:r w:rsidR="006873A6" w:rsidRPr="00FC37E7">
        <w:rPr>
          <w:snapToGrid/>
        </w:rPr>
        <w:t xml:space="preserve"> proposed</w:t>
      </w:r>
      <w:r w:rsidR="00347BCA">
        <w:rPr>
          <w:snapToGrid/>
        </w:rPr>
        <w:t xml:space="preserve"> </w:t>
      </w:r>
      <w:r w:rsidR="006873A6" w:rsidRPr="00FC37E7">
        <w:rPr>
          <w:snapToGrid/>
        </w:rPr>
        <w:t xml:space="preserve">to </w:t>
      </w:r>
      <w:r w:rsidR="00527345">
        <w:rPr>
          <w:snapToGrid/>
        </w:rPr>
        <w:t xml:space="preserve">use </w:t>
      </w:r>
      <w:r w:rsidR="006873A6" w:rsidRPr="00FC37E7">
        <w:rPr>
          <w:snapToGrid/>
        </w:rPr>
        <w:t>the predicted field strength available at a</w:t>
      </w:r>
      <w:r w:rsidR="00527345">
        <w:rPr>
          <w:snapToGrid/>
        </w:rPr>
        <w:t>ny</w:t>
      </w:r>
      <w:r w:rsidR="006873A6" w:rsidRPr="00FC37E7">
        <w:rPr>
          <w:snapToGrid/>
        </w:rPr>
        <w:t xml:space="preserve"> location</w:t>
      </w:r>
      <w:r w:rsidR="00527345">
        <w:rPr>
          <w:snapToGrid/>
        </w:rPr>
        <w:t>s</w:t>
      </w:r>
      <w:r w:rsidR="006873A6" w:rsidRPr="00FC37E7">
        <w:rPr>
          <w:snapToGrid/>
        </w:rPr>
        <w:t xml:space="preserve"> where </w:t>
      </w:r>
      <w:r w:rsidR="00B51A45">
        <w:rPr>
          <w:snapToGrid/>
        </w:rPr>
        <w:t xml:space="preserve">the </w:t>
      </w:r>
      <w:r w:rsidR="006873A6" w:rsidRPr="00FC37E7">
        <w:rPr>
          <w:snapToGrid/>
        </w:rPr>
        <w:t xml:space="preserve">Longley-Rice </w:t>
      </w:r>
      <w:r w:rsidR="00B51A45">
        <w:rPr>
          <w:snapToGrid/>
        </w:rPr>
        <w:t xml:space="preserve">model </w:t>
      </w:r>
      <w:r w:rsidR="006873A6" w:rsidRPr="00FC37E7">
        <w:rPr>
          <w:snapToGrid/>
        </w:rPr>
        <w:t>returns an “error code 3” message.</w:t>
      </w:r>
      <w:r w:rsidR="006873A6" w:rsidRPr="00A8375B">
        <w:rPr>
          <w:snapToGrid/>
          <w:vertAlign w:val="superscript"/>
        </w:rPr>
        <w:footnoteReference w:id="117"/>
      </w:r>
      <w:r w:rsidR="006873A6" w:rsidRPr="00FC37E7">
        <w:rPr>
          <w:snapToGrid/>
        </w:rPr>
        <w:t xml:space="preserve">  </w:t>
      </w:r>
    </w:p>
    <w:p w14:paraId="0EB2ABA8" w14:textId="77777777" w:rsidR="00E252B7" w:rsidRDefault="006873A6" w:rsidP="000A74BA">
      <w:pPr>
        <w:pStyle w:val="ParaNum"/>
      </w:pPr>
      <w:bookmarkStart w:id="247" w:name="_Ref398034045"/>
      <w:r>
        <w:t>One of</w:t>
      </w:r>
      <w:r w:rsidR="008B2DBE">
        <w:t xml:space="preserve"> the proposed ISIX Methodology’s </w:t>
      </w:r>
      <w:r w:rsidR="00E252B7">
        <w:t xml:space="preserve">key assumptions </w:t>
      </w:r>
      <w:r w:rsidR="008B2DBE">
        <w:t xml:space="preserve">for </w:t>
      </w:r>
      <w:r w:rsidR="00E252B7">
        <w:t xml:space="preserve">predicting interference </w:t>
      </w:r>
      <w:r w:rsidR="00155846">
        <w:t>to television stations</w:t>
      </w:r>
      <w:r w:rsidR="00E252B7">
        <w:t xml:space="preserve"> </w:t>
      </w:r>
      <w:r>
        <w:t xml:space="preserve">is that </w:t>
      </w:r>
      <w:r w:rsidR="00326714">
        <w:t xml:space="preserve">the </w:t>
      </w:r>
      <w:r w:rsidR="00A76133">
        <w:t>Advanced Television Systems Committee (</w:t>
      </w:r>
      <w:r w:rsidR="008B2DBE">
        <w:t>ATSC</w:t>
      </w:r>
      <w:r w:rsidR="00A76133">
        <w:t>)</w:t>
      </w:r>
      <w:r w:rsidR="008B2DBE">
        <w:t xml:space="preserve"> DTV </w:t>
      </w:r>
      <w:r w:rsidR="00155846">
        <w:t xml:space="preserve">technology and </w:t>
      </w:r>
      <w:r>
        <w:t>L</w:t>
      </w:r>
      <w:r w:rsidR="008D43D4">
        <w:t xml:space="preserve">ong </w:t>
      </w:r>
      <w:r>
        <w:t>T</w:t>
      </w:r>
      <w:r w:rsidR="008D43D4">
        <w:t xml:space="preserve">erm </w:t>
      </w:r>
      <w:r>
        <w:t>E</w:t>
      </w:r>
      <w:r w:rsidR="008D43D4">
        <w:t>volution (LTE)</w:t>
      </w:r>
      <w:r>
        <w:t xml:space="preserve"> </w:t>
      </w:r>
      <w:r w:rsidR="008B2DBE">
        <w:t xml:space="preserve">wireless </w:t>
      </w:r>
      <w:r>
        <w:t xml:space="preserve">transmission technology </w:t>
      </w:r>
      <w:r w:rsidR="005E0AFC">
        <w:t xml:space="preserve">(which is </w:t>
      </w:r>
      <w:r w:rsidR="00E252B7">
        <w:t>expected to</w:t>
      </w:r>
      <w:r w:rsidR="00A560D5">
        <w:t xml:space="preserve"> be used by 600 MHz </w:t>
      </w:r>
      <w:r w:rsidR="005E0AFC">
        <w:t xml:space="preserve">Band </w:t>
      </w:r>
      <w:r w:rsidR="00A560D5">
        <w:t xml:space="preserve">wireless </w:t>
      </w:r>
      <w:r w:rsidR="005E0AFC">
        <w:t xml:space="preserve">licensees) have </w:t>
      </w:r>
      <w:r w:rsidR="00403A69">
        <w:t>a similar</w:t>
      </w:r>
      <w:r w:rsidR="005E0AFC">
        <w:t xml:space="preserve"> interference potential because both produce signals with </w:t>
      </w:r>
      <w:r>
        <w:t>noise-like emission characteristics</w:t>
      </w:r>
      <w:r w:rsidR="00E252B7">
        <w:t>.</w:t>
      </w:r>
      <w:r w:rsidR="00D25FC1">
        <w:rPr>
          <w:rStyle w:val="FootnoteReference"/>
        </w:rPr>
        <w:footnoteReference w:id="118"/>
      </w:r>
      <w:r w:rsidR="00E252B7">
        <w:t xml:space="preserve">  If so, </w:t>
      </w:r>
      <w:r>
        <w:t xml:space="preserve">the interference potential </w:t>
      </w:r>
      <w:r w:rsidR="00155846">
        <w:t>to television stations from ATSC DTV and wireless</w:t>
      </w:r>
      <w:r>
        <w:t xml:space="preserve"> services would </w:t>
      </w:r>
      <w:r w:rsidR="00403A69">
        <w:t xml:space="preserve">also </w:t>
      </w:r>
      <w:r>
        <w:t xml:space="preserve">be </w:t>
      </w:r>
      <w:r w:rsidR="00403A69">
        <w:t>similar</w:t>
      </w:r>
      <w:r>
        <w:t xml:space="preserve">.  </w:t>
      </w:r>
      <w:r w:rsidR="00EF04F7">
        <w:t>Based on this assumption</w:t>
      </w:r>
      <w:r>
        <w:t xml:space="preserve">, the </w:t>
      </w:r>
      <w:r w:rsidR="00267C24" w:rsidRPr="00267C24">
        <w:rPr>
          <w:i/>
        </w:rPr>
        <w:t>ISIX PN</w:t>
      </w:r>
      <w:r w:rsidR="00267C24">
        <w:t xml:space="preserve"> </w:t>
      </w:r>
      <w:r w:rsidR="00EF04F7">
        <w:t>proposed</w:t>
      </w:r>
      <w:r>
        <w:t xml:space="preserve"> </w:t>
      </w:r>
      <w:r w:rsidR="005E0AFC">
        <w:t xml:space="preserve">to </w:t>
      </w:r>
      <w:r w:rsidRPr="00AE44A0">
        <w:t>appl</w:t>
      </w:r>
      <w:r>
        <w:t>y</w:t>
      </w:r>
      <w:r w:rsidRPr="00AE44A0">
        <w:t xml:space="preserve"> the existing </w:t>
      </w:r>
      <w:r w:rsidR="005E0AFC">
        <w:t xml:space="preserve">D/U </w:t>
      </w:r>
      <w:r>
        <w:t xml:space="preserve">ratios </w:t>
      </w:r>
      <w:r w:rsidR="00BB7C84">
        <w:t xml:space="preserve">for television-to-television interference </w:t>
      </w:r>
      <w:r w:rsidR="00EF04F7">
        <w:t xml:space="preserve">set forth </w:t>
      </w:r>
      <w:r>
        <w:t xml:space="preserve">in the </w:t>
      </w:r>
      <w:r w:rsidR="00EF04F7">
        <w:t xml:space="preserve">Commission’s </w:t>
      </w:r>
      <w:r>
        <w:t xml:space="preserve">rules </w:t>
      </w:r>
      <w:r w:rsidR="005E0AFC">
        <w:t xml:space="preserve">for Case 3, </w:t>
      </w:r>
      <w:r>
        <w:t xml:space="preserve">with adjustments for </w:t>
      </w:r>
      <w:r w:rsidR="005E0AFC">
        <w:t>varying degrees of spectral overlap</w:t>
      </w:r>
      <w:r>
        <w:t>.</w:t>
      </w:r>
      <w:r>
        <w:rPr>
          <w:rStyle w:val="FootnoteReference"/>
        </w:rPr>
        <w:footnoteReference w:id="119"/>
      </w:r>
      <w:r>
        <w:t xml:space="preserve">  Some commenters </w:t>
      </w:r>
      <w:r w:rsidR="00BB7C84">
        <w:t>argued</w:t>
      </w:r>
      <w:r>
        <w:t xml:space="preserve"> that LTE </w:t>
      </w:r>
      <w:r w:rsidR="00BB7C84">
        <w:t>signal</w:t>
      </w:r>
      <w:r>
        <w:t xml:space="preserve">s could have different characteristics requiring different </w:t>
      </w:r>
      <w:r w:rsidR="005E0AFC">
        <w:t>D/U ratios</w:t>
      </w:r>
      <w:r>
        <w:t>.</w:t>
      </w:r>
      <w:r>
        <w:rPr>
          <w:rStyle w:val="FootnoteReference"/>
        </w:rPr>
        <w:footnoteReference w:id="120"/>
      </w:r>
      <w:r>
        <w:t xml:space="preserve">  In response to these concerns, OET conducted measurements of the susceptibility of four DTV receivers to interference from </w:t>
      </w:r>
      <w:r w:rsidR="005E0AFC">
        <w:t xml:space="preserve">LTE </w:t>
      </w:r>
      <w:r>
        <w:t>signals</w:t>
      </w:r>
      <w:r w:rsidRPr="00A560D5">
        <w:t>.</w:t>
      </w:r>
      <w:r w:rsidR="00A560D5" w:rsidRPr="00A560D5">
        <w:rPr>
          <w:rStyle w:val="FootnoteReference"/>
        </w:rPr>
        <w:footnoteReference w:id="121"/>
      </w:r>
      <w:r w:rsidRPr="00A560D5">
        <w:t xml:space="preserve">  In addition</w:t>
      </w:r>
      <w:r>
        <w:t>, C</w:t>
      </w:r>
      <w:r w:rsidR="008D43D4">
        <w:t xml:space="preserve">onsumer </w:t>
      </w:r>
      <w:r>
        <w:t>E</w:t>
      </w:r>
      <w:r w:rsidR="008D43D4">
        <w:t xml:space="preserve">lectronics </w:t>
      </w:r>
      <w:r>
        <w:t>A</w:t>
      </w:r>
      <w:r w:rsidR="008D43D4">
        <w:t>ssociation (CEA)</w:t>
      </w:r>
      <w:r>
        <w:t xml:space="preserve"> submitted a </w:t>
      </w:r>
      <w:r w:rsidR="005E0AFC">
        <w:t>r</w:t>
      </w:r>
      <w:r>
        <w:t xml:space="preserve">eport with measurements of </w:t>
      </w:r>
      <w:r w:rsidR="00EF04F7">
        <w:t>the susceptibility of</w:t>
      </w:r>
      <w:r>
        <w:t xml:space="preserve"> six newer </w:t>
      </w:r>
      <w:r w:rsidR="00BB7C84">
        <w:t>DTV</w:t>
      </w:r>
      <w:r>
        <w:t xml:space="preserve"> receivers and two older </w:t>
      </w:r>
      <w:r w:rsidR="00BB7C84">
        <w:t xml:space="preserve">DTV </w:t>
      </w:r>
      <w:r>
        <w:t>receivers</w:t>
      </w:r>
      <w:r w:rsidR="00267C24">
        <w:t xml:space="preserve"> </w:t>
      </w:r>
      <w:r w:rsidR="00EF04F7">
        <w:t xml:space="preserve">to interference </w:t>
      </w:r>
      <w:r>
        <w:t>in the presence of an LTE signal that showed similar results.</w:t>
      </w:r>
      <w:r>
        <w:rPr>
          <w:rStyle w:val="FootnoteReference"/>
        </w:rPr>
        <w:footnoteReference w:id="122"/>
      </w:r>
      <w:r>
        <w:t xml:space="preserve">  On June 20, 2014, OET released a Public Notice seeking comment on the results of these two studies</w:t>
      </w:r>
      <w:r w:rsidRPr="00F442A5">
        <w:t>.</w:t>
      </w:r>
      <w:r>
        <w:rPr>
          <w:rStyle w:val="FootnoteReference"/>
        </w:rPr>
        <w:footnoteReference w:id="123"/>
      </w:r>
      <w:r>
        <w:t xml:space="preserve">  </w:t>
      </w:r>
      <w:r w:rsidR="00A560D5">
        <w:t>T</w:t>
      </w:r>
      <w:r>
        <w:t xml:space="preserve">he </w:t>
      </w:r>
      <w:r w:rsidRPr="00B85A88">
        <w:rPr>
          <w:i/>
        </w:rPr>
        <w:t>Measurements PN</w:t>
      </w:r>
      <w:r>
        <w:t xml:space="preserve"> requested comment on whether the OET measurements, in conjunction with CEA’s measurements, support the D/U ratios, </w:t>
      </w:r>
      <w:r w:rsidR="008D43D4">
        <w:t>Off Frequency Rejection (</w:t>
      </w:r>
      <w:r>
        <w:t>OFR</w:t>
      </w:r>
      <w:r w:rsidR="008D43D4">
        <w:t>)</w:t>
      </w:r>
      <w:r w:rsidR="00BB7C84">
        <w:t>,</w:t>
      </w:r>
      <w:bookmarkStart w:id="248" w:name="_Ref398030316"/>
      <w:r w:rsidR="00910934">
        <w:rPr>
          <w:rStyle w:val="FootnoteReference"/>
        </w:rPr>
        <w:footnoteReference w:id="124"/>
      </w:r>
      <w:bookmarkEnd w:id="248"/>
      <w:r>
        <w:t xml:space="preserve"> and power adjustments </w:t>
      </w:r>
      <w:r w:rsidR="005E0AFC">
        <w:t xml:space="preserve">proposed </w:t>
      </w:r>
      <w:r>
        <w:t xml:space="preserve">in Tables 8, 9 and 10 of the </w:t>
      </w:r>
      <w:r w:rsidRPr="00B85A88">
        <w:rPr>
          <w:i/>
        </w:rPr>
        <w:t>ISIX PN</w:t>
      </w:r>
      <w:r>
        <w:t>.</w:t>
      </w:r>
      <w:r>
        <w:rPr>
          <w:rStyle w:val="FootnoteReference"/>
        </w:rPr>
        <w:footnoteReference w:id="125"/>
      </w:r>
      <w:bookmarkEnd w:id="247"/>
    </w:p>
    <w:p w14:paraId="777006EC" w14:textId="77777777" w:rsidR="00BB3C4A" w:rsidRPr="003B2B6E" w:rsidRDefault="009511A6" w:rsidP="000A74BA">
      <w:pPr>
        <w:pStyle w:val="ParaNum"/>
      </w:pPr>
      <w:r w:rsidRPr="00BF4166">
        <w:t>For Case 4</w:t>
      </w:r>
      <w:r>
        <w:t xml:space="preserve">, </w:t>
      </w:r>
      <w:r w:rsidR="003B2B6E">
        <w:t xml:space="preserve">the </w:t>
      </w:r>
      <w:r w:rsidR="003B2B6E" w:rsidRPr="008F59CE">
        <w:rPr>
          <w:i/>
        </w:rPr>
        <w:t>ISIX PN</w:t>
      </w:r>
      <w:r w:rsidR="003B2B6E">
        <w:t xml:space="preserve"> </w:t>
      </w:r>
      <w:r w:rsidR="00197C45">
        <w:t xml:space="preserve">noted that because </w:t>
      </w:r>
      <w:r w:rsidR="00BB7C84">
        <w:t xml:space="preserve">wireless </w:t>
      </w:r>
      <w:r w:rsidR="00197C45">
        <w:t>base stations require a relatively large separation distance from the co-channel DTV transmitters, there is no significant risk of co-channel interference to DTV reception from wireless user equipment.</w:t>
      </w:r>
      <w:r w:rsidR="00197C45">
        <w:rPr>
          <w:rStyle w:val="FootnoteReference"/>
        </w:rPr>
        <w:footnoteReference w:id="126"/>
      </w:r>
      <w:r w:rsidR="00197C45">
        <w:t xml:space="preserve">  However, that may not be the case with adjacent channel interference.</w:t>
      </w:r>
      <w:r w:rsidR="00197C45">
        <w:rPr>
          <w:rStyle w:val="FootnoteReference"/>
        </w:rPr>
        <w:footnoteReference w:id="127"/>
      </w:r>
      <w:r w:rsidR="00197C45">
        <w:t xml:space="preserve">  The </w:t>
      </w:r>
      <w:r w:rsidR="00197C45" w:rsidRPr="008F59CE">
        <w:rPr>
          <w:i/>
        </w:rPr>
        <w:t>ISIX PN</w:t>
      </w:r>
      <w:r w:rsidR="00197C45">
        <w:t xml:space="preserve"> further noted that the </w:t>
      </w:r>
      <w:r w:rsidR="00BB7C84">
        <w:t xml:space="preserve">broadcast </w:t>
      </w:r>
      <w:r w:rsidR="00197C45">
        <w:t xml:space="preserve">industry suggested a </w:t>
      </w:r>
      <w:r w:rsidR="00BB7C84">
        <w:t>fixed geographic</w:t>
      </w:r>
      <w:r w:rsidR="00197C45">
        <w:t xml:space="preserve"> separation distance of </w:t>
      </w:r>
      <w:r w:rsidR="00D25FC1">
        <w:t xml:space="preserve">five </w:t>
      </w:r>
      <w:r w:rsidR="00197C45">
        <w:t xml:space="preserve">kilometers between co-channel </w:t>
      </w:r>
      <w:r w:rsidR="00BB7C84">
        <w:t xml:space="preserve">wireless </w:t>
      </w:r>
      <w:r w:rsidR="00197C45">
        <w:t>user equipment and a DTV receiver</w:t>
      </w:r>
      <w:r w:rsidR="00F57EB5">
        <w:t xml:space="preserve"> and sought comment</w:t>
      </w:r>
      <w:r w:rsidR="00197C45">
        <w:t>.</w:t>
      </w:r>
      <w:r w:rsidR="00197C45">
        <w:rPr>
          <w:rStyle w:val="FootnoteReference"/>
        </w:rPr>
        <w:footnoteReference w:id="128"/>
      </w:r>
      <w:r w:rsidR="000F6CA2" w:rsidRPr="000F6CA2">
        <w:rPr>
          <w:rStyle w:val="FootnoteReference"/>
        </w:rPr>
        <w:t xml:space="preserve"> </w:t>
      </w:r>
    </w:p>
    <w:p w14:paraId="1FC68319" w14:textId="77777777" w:rsidR="002C544B" w:rsidRDefault="003730FA" w:rsidP="004A401F">
      <w:pPr>
        <w:pStyle w:val="Heading3"/>
      </w:pPr>
      <w:bookmarkStart w:id="249" w:name="_Toc393895643"/>
      <w:bookmarkStart w:id="250" w:name="_Toc394059152"/>
      <w:bookmarkStart w:id="251" w:name="_Toc394068156"/>
      <w:bookmarkStart w:id="252" w:name="_Toc394672087"/>
      <w:bookmarkStart w:id="253" w:name="_Toc395701587"/>
      <w:bookmarkStart w:id="254" w:name="_Toc395883762"/>
      <w:bookmarkStart w:id="255" w:name="_Toc396393938"/>
      <w:bookmarkStart w:id="256" w:name="_Toc396393961"/>
      <w:bookmarkStart w:id="257" w:name="_Toc396492673"/>
      <w:bookmarkStart w:id="258" w:name="_Toc396492697"/>
      <w:bookmarkStart w:id="259" w:name="_Toc396915795"/>
      <w:bookmarkStart w:id="260" w:name="_Toc396995191"/>
      <w:bookmarkStart w:id="261" w:name="_Toc396995830"/>
      <w:bookmarkStart w:id="262" w:name="_Toc397609523"/>
      <w:bookmarkStart w:id="263" w:name="_Toc397610948"/>
      <w:bookmarkStart w:id="264" w:name="_Toc397962798"/>
      <w:bookmarkStart w:id="265" w:name="_Toc398023576"/>
      <w:bookmarkStart w:id="266" w:name="_Toc398902972"/>
      <w:bookmarkStart w:id="267" w:name="_Toc398903295"/>
      <w:bookmarkStart w:id="268" w:name="_Toc398903484"/>
      <w:bookmarkStart w:id="269" w:name="_Toc398904081"/>
      <w:bookmarkStart w:id="270" w:name="_Toc398904589"/>
      <w:bookmarkStart w:id="271" w:name="_Toc401305949"/>
      <w:bookmarkStart w:id="272" w:name="_Toc401306624"/>
      <w:bookmarkStart w:id="273" w:name="_Toc401306693"/>
      <w:r>
        <w:t>Discussion</w:t>
      </w:r>
      <w:bookmarkEnd w:id="242"/>
      <w:bookmarkEnd w:id="243"/>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002C544B" w:rsidRPr="002A3EBE">
        <w:rPr>
          <w:snapToGrid/>
        </w:rPr>
        <w:t xml:space="preserve">  </w:t>
      </w:r>
    </w:p>
    <w:p w14:paraId="1DA01732" w14:textId="77777777" w:rsidR="003730FA" w:rsidRDefault="003730FA" w:rsidP="00542E3F">
      <w:pPr>
        <w:pStyle w:val="Heading4"/>
      </w:pPr>
      <w:bookmarkStart w:id="274" w:name="_Toc396995195"/>
      <w:bookmarkStart w:id="275" w:name="_Toc393784364"/>
      <w:bookmarkStart w:id="276" w:name="_Toc393784388"/>
      <w:bookmarkStart w:id="277" w:name="_Toc393895644"/>
      <w:bookmarkStart w:id="278" w:name="_Toc394059153"/>
      <w:bookmarkStart w:id="279" w:name="_Toc394068157"/>
      <w:bookmarkStart w:id="280" w:name="_Toc394672088"/>
      <w:bookmarkStart w:id="281" w:name="_Toc395701588"/>
      <w:bookmarkStart w:id="282" w:name="_Toc395883763"/>
      <w:bookmarkStart w:id="283" w:name="_Toc396393939"/>
      <w:bookmarkStart w:id="284" w:name="_Toc396393962"/>
      <w:bookmarkStart w:id="285" w:name="_Toc396492674"/>
      <w:bookmarkStart w:id="286" w:name="_Toc396492698"/>
      <w:bookmarkStart w:id="287" w:name="_Toc396995196"/>
      <w:bookmarkStart w:id="288" w:name="_Toc396995831"/>
      <w:bookmarkStart w:id="289" w:name="_Toc397609524"/>
      <w:bookmarkStart w:id="290" w:name="_Toc397610949"/>
      <w:bookmarkStart w:id="291" w:name="_Toc397962799"/>
      <w:bookmarkStart w:id="292" w:name="_Toc398023577"/>
      <w:bookmarkStart w:id="293" w:name="_Toc398902973"/>
      <w:bookmarkStart w:id="294" w:name="_Toc398903296"/>
      <w:bookmarkStart w:id="295" w:name="_Toc398903485"/>
      <w:bookmarkStart w:id="296" w:name="_Toc398904082"/>
      <w:bookmarkStart w:id="297" w:name="_Toc398904590"/>
      <w:bookmarkStart w:id="298" w:name="_Toc401305950"/>
      <w:bookmarkStart w:id="299" w:name="_Toc401306625"/>
      <w:bookmarkStart w:id="300" w:name="_Toc401306694"/>
      <w:bookmarkEnd w:id="274"/>
      <w:r>
        <w:t>D</w:t>
      </w:r>
      <w:r w:rsidR="00A45E01">
        <w:t xml:space="preserve">igital Television </w:t>
      </w:r>
      <w:r>
        <w:t xml:space="preserve">to Wireless </w:t>
      </w:r>
      <w:r w:rsidR="00C1483B">
        <w:t xml:space="preserve">Interference </w:t>
      </w:r>
      <w:r>
        <w:t>(Case</w:t>
      </w:r>
      <w:r w:rsidR="008D2639">
        <w:t>s</w:t>
      </w:r>
      <w:r>
        <w:t xml:space="preserve"> 1 and 2)</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21A6AD16" w14:textId="77777777" w:rsidR="007B71E8" w:rsidRPr="00C31DC4" w:rsidRDefault="00B15122" w:rsidP="00850453">
      <w:pPr>
        <w:pStyle w:val="ParaNum"/>
        <w:keepNext/>
        <w:widowControl/>
        <w:rPr>
          <w:snapToGrid/>
        </w:rPr>
      </w:pPr>
      <w:bookmarkStart w:id="301" w:name="_Ref398030359"/>
      <w:r>
        <w:rPr>
          <w:snapToGrid/>
        </w:rPr>
        <w:t xml:space="preserve">We adopt the ISIX </w:t>
      </w:r>
      <w:r w:rsidR="008D2639">
        <w:rPr>
          <w:snapToGrid/>
        </w:rPr>
        <w:t>M</w:t>
      </w:r>
      <w:r>
        <w:rPr>
          <w:snapToGrid/>
        </w:rPr>
        <w:t xml:space="preserve">ethodology </w:t>
      </w:r>
      <w:r w:rsidR="002A3EBE">
        <w:rPr>
          <w:snapToGrid/>
        </w:rPr>
        <w:t xml:space="preserve">and input values </w:t>
      </w:r>
      <w:r w:rsidR="00350384">
        <w:rPr>
          <w:snapToGrid/>
        </w:rPr>
        <w:t xml:space="preserve">as proposed in the </w:t>
      </w:r>
      <w:r w:rsidR="00350384" w:rsidRPr="00F3761A">
        <w:rPr>
          <w:i/>
          <w:snapToGrid/>
        </w:rPr>
        <w:t>ISIX PN</w:t>
      </w:r>
      <w:r w:rsidR="00350384">
        <w:rPr>
          <w:snapToGrid/>
        </w:rPr>
        <w:t xml:space="preserve"> for use during the incentive </w:t>
      </w:r>
      <w:r w:rsidR="00350384" w:rsidRPr="00EA7939">
        <w:t>auction</w:t>
      </w:r>
      <w:r w:rsidR="00350384">
        <w:rPr>
          <w:snapToGrid/>
        </w:rPr>
        <w:t xml:space="preserve"> to predict </w:t>
      </w:r>
      <w:r w:rsidR="00AF265D">
        <w:rPr>
          <w:snapToGrid/>
        </w:rPr>
        <w:t xml:space="preserve">interference </w:t>
      </w:r>
      <w:r w:rsidR="00350384">
        <w:rPr>
          <w:snapToGrid/>
        </w:rPr>
        <w:t xml:space="preserve">from DTV transmitters </w:t>
      </w:r>
      <w:r w:rsidR="00AF265D">
        <w:rPr>
          <w:snapToGrid/>
        </w:rPr>
        <w:t xml:space="preserve">to wireless base stations </w:t>
      </w:r>
      <w:r w:rsidR="00350384">
        <w:rPr>
          <w:snapToGrid/>
        </w:rPr>
        <w:t xml:space="preserve">(Case 1) and </w:t>
      </w:r>
      <w:r w:rsidR="00AF265D">
        <w:rPr>
          <w:snapToGrid/>
        </w:rPr>
        <w:t>wireless user equipment (</w:t>
      </w:r>
      <w:r>
        <w:rPr>
          <w:snapToGrid/>
        </w:rPr>
        <w:t>Case</w:t>
      </w:r>
      <w:r w:rsidR="00350384">
        <w:rPr>
          <w:snapToGrid/>
        </w:rPr>
        <w:t xml:space="preserve"> </w:t>
      </w:r>
      <w:r>
        <w:rPr>
          <w:snapToGrid/>
        </w:rPr>
        <w:t>2</w:t>
      </w:r>
      <w:r w:rsidR="0030352D">
        <w:rPr>
          <w:snapToGrid/>
        </w:rPr>
        <w:t>)</w:t>
      </w:r>
      <w:r>
        <w:rPr>
          <w:snapToGrid/>
        </w:rPr>
        <w:t>, except</w:t>
      </w:r>
      <w:r w:rsidR="00011D51">
        <w:rPr>
          <w:snapToGrid/>
        </w:rPr>
        <w:t xml:space="preserve"> that we </w:t>
      </w:r>
      <w:r w:rsidR="00636552">
        <w:rPr>
          <w:snapToGrid/>
        </w:rPr>
        <w:t>will not consider</w:t>
      </w:r>
      <w:r>
        <w:rPr>
          <w:snapToGrid/>
        </w:rPr>
        <w:t xml:space="preserve"> clutter loss for Case 2.</w:t>
      </w:r>
      <w:r w:rsidR="00A90FFB">
        <w:rPr>
          <w:rStyle w:val="FootnoteReference"/>
          <w:snapToGrid/>
        </w:rPr>
        <w:footnoteReference w:id="129"/>
      </w:r>
      <w:r w:rsidR="002A3EBE">
        <w:rPr>
          <w:snapToGrid/>
        </w:rPr>
        <w:t xml:space="preserve">  </w:t>
      </w:r>
      <w:r w:rsidR="007B71E8">
        <w:t xml:space="preserve">While wireless </w:t>
      </w:r>
      <w:r w:rsidR="00A90FFB">
        <w:t>commenters</w:t>
      </w:r>
      <w:r w:rsidR="007B71E8">
        <w:t xml:space="preserve"> support the </w:t>
      </w:r>
      <w:r w:rsidR="008D0E5F">
        <w:t xml:space="preserve">proposed </w:t>
      </w:r>
      <w:r w:rsidR="00350384">
        <w:t xml:space="preserve">consideration </w:t>
      </w:r>
      <w:r w:rsidR="007B71E8">
        <w:t>of clutter</w:t>
      </w:r>
      <w:r w:rsidR="008D0E5F">
        <w:t xml:space="preserve"> </w:t>
      </w:r>
      <w:r w:rsidR="00350384">
        <w:t xml:space="preserve">loss </w:t>
      </w:r>
      <w:r w:rsidR="008D0E5F">
        <w:t>for Case 2</w:t>
      </w:r>
      <w:r w:rsidR="007B71E8">
        <w:t xml:space="preserve">, we determine that </w:t>
      </w:r>
      <w:r w:rsidR="00143769">
        <w:t>considering clutter loss</w:t>
      </w:r>
      <w:r w:rsidR="00BB2D63">
        <w:t xml:space="preserve"> </w:t>
      </w:r>
      <w:r w:rsidR="008D0E5F">
        <w:t xml:space="preserve">would </w:t>
      </w:r>
      <w:r w:rsidR="007B71E8">
        <w:t xml:space="preserve">not </w:t>
      </w:r>
      <w:r w:rsidR="008D0E5F">
        <w:t xml:space="preserve">improve the </w:t>
      </w:r>
      <w:r w:rsidR="007B71E8">
        <w:t>accura</w:t>
      </w:r>
      <w:r w:rsidR="008D0E5F">
        <w:t>cy of the ISIX Methodology</w:t>
      </w:r>
      <w:r w:rsidR="007B71E8">
        <w:t>.</w:t>
      </w:r>
      <w:r w:rsidR="00143769">
        <w:rPr>
          <w:rStyle w:val="FootnoteReference"/>
        </w:rPr>
        <w:footnoteReference w:id="130"/>
      </w:r>
      <w:r w:rsidR="007B71E8">
        <w:t xml:space="preserve">  The </w:t>
      </w:r>
      <w:r w:rsidR="00BF4166">
        <w:t xml:space="preserve">resolution of the </w:t>
      </w:r>
      <w:r w:rsidR="007B71E8">
        <w:t xml:space="preserve">clutter database is </w:t>
      </w:r>
      <w:r w:rsidR="00797622">
        <w:t>30</w:t>
      </w:r>
      <w:r w:rsidR="007B71E8">
        <w:t xml:space="preserve"> meters and</w:t>
      </w:r>
      <w:r w:rsidR="00A90FFB">
        <w:t>,</w:t>
      </w:r>
      <w:r w:rsidR="007B71E8">
        <w:t xml:space="preserve"> therefore, every </w:t>
      </w:r>
      <w:r w:rsidR="00BB2D63">
        <w:t xml:space="preserve">grid </w:t>
      </w:r>
      <w:r w:rsidR="00BF4166">
        <w:t>cell</w:t>
      </w:r>
      <w:r w:rsidR="007B71E8">
        <w:t xml:space="preserve"> would have </w:t>
      </w:r>
      <w:r w:rsidR="006511AA">
        <w:t xml:space="preserve">more than </w:t>
      </w:r>
      <w:r w:rsidR="007B71E8">
        <w:t>4</w:t>
      </w:r>
      <w:r w:rsidR="006511AA">
        <w:t>,</w:t>
      </w:r>
      <w:r w:rsidR="007B71E8">
        <w:t>00</w:t>
      </w:r>
      <w:r w:rsidR="00797622">
        <w:t>0</w:t>
      </w:r>
      <w:r w:rsidR="007B71E8">
        <w:t xml:space="preserve"> associated clutter values.</w:t>
      </w:r>
      <w:r w:rsidR="00797622">
        <w:rPr>
          <w:rStyle w:val="FootnoteReference"/>
        </w:rPr>
        <w:footnoteReference w:id="131"/>
      </w:r>
      <w:r w:rsidR="007B71E8">
        <w:t xml:space="preserve">  </w:t>
      </w:r>
      <w:r w:rsidR="00BB2D63">
        <w:t xml:space="preserve">The </w:t>
      </w:r>
      <w:r w:rsidR="007B71E8">
        <w:t xml:space="preserve">one clutter value selected </w:t>
      </w:r>
      <w:r w:rsidR="00BB2D63">
        <w:t xml:space="preserve">in </w:t>
      </w:r>
      <w:r w:rsidR="007B71E8">
        <w:t xml:space="preserve">each </w:t>
      </w:r>
      <w:r w:rsidR="00BB2D63">
        <w:t>cell would</w:t>
      </w:r>
      <w:r w:rsidR="007B71E8">
        <w:t xml:space="preserve"> not be representative of the entire </w:t>
      </w:r>
      <w:r w:rsidR="00BF4166">
        <w:t>cell</w:t>
      </w:r>
      <w:r w:rsidR="00E80C33">
        <w:t xml:space="preserve"> and thus would fail to provide for an accurate assessment of the interference environment</w:t>
      </w:r>
      <w:r w:rsidR="007B71E8">
        <w:t>.</w:t>
      </w:r>
      <w:r w:rsidR="007B71E8">
        <w:rPr>
          <w:rStyle w:val="FootnoteReference"/>
        </w:rPr>
        <w:footnoteReference w:id="132"/>
      </w:r>
      <w:bookmarkEnd w:id="301"/>
      <w:r w:rsidR="00BF4166">
        <w:t xml:space="preserve">  </w:t>
      </w:r>
    </w:p>
    <w:p w14:paraId="124AE941" w14:textId="77777777" w:rsidR="0009433C" w:rsidRPr="00905439" w:rsidRDefault="00391499" w:rsidP="000A74BA">
      <w:pPr>
        <w:pStyle w:val="ParaNum"/>
        <w:rPr>
          <w:snapToGrid/>
        </w:rPr>
      </w:pPr>
      <w:r w:rsidRPr="00EA7939">
        <w:t>W</w:t>
      </w:r>
      <w:r w:rsidR="0009433C" w:rsidRPr="00EA7939">
        <w:t>e</w:t>
      </w:r>
      <w:r w:rsidR="0009433C" w:rsidRPr="005B745C">
        <w:rPr>
          <w:snapToGrid/>
        </w:rPr>
        <w:t xml:space="preserve"> will use the </w:t>
      </w:r>
      <w:r w:rsidRPr="00F40DA2">
        <w:rPr>
          <w:snapToGrid/>
        </w:rPr>
        <w:t xml:space="preserve">proposed </w:t>
      </w:r>
      <w:r w:rsidR="0009433C" w:rsidRPr="006015B9">
        <w:rPr>
          <w:snapToGrid/>
        </w:rPr>
        <w:t xml:space="preserve">F(50,50) statistical </w:t>
      </w:r>
      <w:r w:rsidRPr="006015B9">
        <w:rPr>
          <w:snapToGrid/>
        </w:rPr>
        <w:t xml:space="preserve">measure </w:t>
      </w:r>
      <w:r w:rsidR="00905439" w:rsidRPr="006015B9">
        <w:rPr>
          <w:snapToGrid/>
        </w:rPr>
        <w:t xml:space="preserve">to predict the strength of an interfering </w:t>
      </w:r>
      <w:r w:rsidR="006A1CE1">
        <w:rPr>
          <w:snapToGrid/>
        </w:rPr>
        <w:t>television</w:t>
      </w:r>
      <w:r w:rsidR="00905439" w:rsidRPr="006015B9">
        <w:rPr>
          <w:snapToGrid/>
        </w:rPr>
        <w:t xml:space="preserve"> signal within the wireless license area </w:t>
      </w:r>
      <w:r w:rsidR="00845EF9">
        <w:t>for Cases 1</w:t>
      </w:r>
      <w:r w:rsidR="00BD0841">
        <w:t xml:space="preserve"> </w:t>
      </w:r>
      <w:r w:rsidR="00845EF9">
        <w:t>and 2</w:t>
      </w:r>
      <w:r>
        <w:t xml:space="preserve"> rather than the F(50,10) measure advocated by broadcasters</w:t>
      </w:r>
      <w:r w:rsidR="0009433C">
        <w:t>.</w:t>
      </w:r>
      <w:r w:rsidR="004C0C5A">
        <w:t xml:space="preserve">  The</w:t>
      </w:r>
      <w:r w:rsidR="00905439">
        <w:t xml:space="preserve"> </w:t>
      </w:r>
      <w:r>
        <w:t>F(50,50)</w:t>
      </w:r>
      <w:r w:rsidR="004C0C5A">
        <w:t xml:space="preserve"> </w:t>
      </w:r>
      <w:r w:rsidR="00905439">
        <w:t xml:space="preserve">measure </w:t>
      </w:r>
      <w:r w:rsidR="004C0C5A">
        <w:t>assumes that the DTV signal will be strong enough to interfere with the wireless base station or wireless user equipment in 50 percent of the locations within the wireless license area 50 percent of the time</w:t>
      </w:r>
      <w:r w:rsidR="00DF4EEE">
        <w:t>;</w:t>
      </w:r>
      <w:r w:rsidR="004C0C5A">
        <w:t xml:space="preserve"> the F(50,10) measure would assume that the interfering signal will be strong enough to interfere in 50 percent of the locations </w:t>
      </w:r>
      <w:r w:rsidR="00ED701B">
        <w:t>1</w:t>
      </w:r>
      <w:r w:rsidR="004C0C5A">
        <w:t>0 percent of the time.</w:t>
      </w:r>
      <w:r>
        <w:t xml:space="preserve"> </w:t>
      </w:r>
      <w:r w:rsidR="0009433C">
        <w:t xml:space="preserve"> </w:t>
      </w:r>
      <w:r w:rsidR="004C0C5A">
        <w:t>T</w:t>
      </w:r>
      <w:r w:rsidR="0009433C">
        <w:t xml:space="preserve">he Joint Broadcasters support use of </w:t>
      </w:r>
      <w:r w:rsidR="00905439">
        <w:t xml:space="preserve">the </w:t>
      </w:r>
      <w:r w:rsidR="0009433C">
        <w:t xml:space="preserve">F(50,10) </w:t>
      </w:r>
      <w:r w:rsidR="004C0C5A">
        <w:t>measure</w:t>
      </w:r>
      <w:r w:rsidR="0009433C">
        <w:t xml:space="preserve"> </w:t>
      </w:r>
      <w:r w:rsidR="0016677F">
        <w:t xml:space="preserve">as </w:t>
      </w:r>
      <w:r w:rsidR="0009433C">
        <w:t>more</w:t>
      </w:r>
      <w:r w:rsidR="004C0C5A">
        <w:t xml:space="preserve"> conservative and more consistent with Commission practice</w:t>
      </w:r>
      <w:r w:rsidR="00905439">
        <w:t>.</w:t>
      </w:r>
      <w:r w:rsidR="0009433C" w:rsidRPr="00321E95">
        <w:rPr>
          <w:snapToGrid/>
          <w:vertAlign w:val="superscript"/>
        </w:rPr>
        <w:footnoteReference w:id="133"/>
      </w:r>
      <w:r w:rsidR="00DF4EEE">
        <w:t xml:space="preserve"> </w:t>
      </w:r>
      <w:r w:rsidR="00905439">
        <w:t xml:space="preserve"> </w:t>
      </w:r>
      <w:r w:rsidR="00DF4EEE">
        <w:t xml:space="preserve">We conclude that the F(50,50) measure is more appropriate for use </w:t>
      </w:r>
      <w:r w:rsidR="00ED701B">
        <w:t xml:space="preserve">in predicting interference from DTV signals to wireless </w:t>
      </w:r>
      <w:r w:rsidR="00905439">
        <w:t xml:space="preserve">operations </w:t>
      </w:r>
      <w:r w:rsidR="00DF4EEE">
        <w:t xml:space="preserve">during the auction.  </w:t>
      </w:r>
      <w:r w:rsidR="00905439">
        <w:t xml:space="preserve">First, the F(50,50) measure will not risk harming broadcasters because it will be applied only during the incentive auction and only to predict interference to wireless operations from television stations </w:t>
      </w:r>
      <w:r w:rsidR="00326714">
        <w:t xml:space="preserve">for </w:t>
      </w:r>
      <w:r w:rsidR="00A061F6">
        <w:t xml:space="preserve">auction-related </w:t>
      </w:r>
      <w:r w:rsidR="00326714">
        <w:t xml:space="preserve">purposes, </w:t>
      </w:r>
      <w:r w:rsidR="00905439">
        <w:t xml:space="preserve">not to protect television signals.  Second, the majority of wireless </w:t>
      </w:r>
      <w:r w:rsidR="00EA5603">
        <w:t>providers</w:t>
      </w:r>
      <w:r w:rsidR="00905439">
        <w:t>, who have the greatest stake in the accuracy of predicted inter-service interference to wireless operations, support use of the F(50,50) measure</w:t>
      </w:r>
      <w:r w:rsidR="006A1CE1">
        <w:t>, supporting the conclusion that it will provide a reasonably accurate assessment of such interference</w:t>
      </w:r>
      <w:r w:rsidR="00905439">
        <w:t>.</w:t>
      </w:r>
      <w:r w:rsidR="00905439" w:rsidRPr="00321E95">
        <w:rPr>
          <w:snapToGrid/>
          <w:vertAlign w:val="superscript"/>
        </w:rPr>
        <w:footnoteReference w:id="134"/>
      </w:r>
      <w:r w:rsidR="00905439">
        <w:t xml:space="preserve">  Third, use of the F(50,50) measure is appropriate in this context because various techniques are available to wireless operators to avoid</w:t>
      </w:r>
      <w:r w:rsidR="00C7412E">
        <w:t xml:space="preserve"> harmful</w:t>
      </w:r>
      <w:r w:rsidR="00905439">
        <w:t xml:space="preserve"> interference to wireless base stations that are not available to television stations or viewers.</w:t>
      </w:r>
      <w:r w:rsidR="0009433C" w:rsidRPr="00321E95">
        <w:rPr>
          <w:snapToGrid/>
          <w:vertAlign w:val="superscript"/>
        </w:rPr>
        <w:footnoteReference w:id="135"/>
      </w:r>
      <w:r w:rsidR="0009433C" w:rsidRPr="0003726F">
        <w:rPr>
          <w:snapToGrid/>
        </w:rPr>
        <w:t xml:space="preserve">  </w:t>
      </w:r>
      <w:r w:rsidR="00905439">
        <w:rPr>
          <w:snapToGrid/>
        </w:rPr>
        <w:t>Accordingly, we disagree with the Joint Broadcasters that use of the F(50,50) measure is inconsistent with Commission practice in predicting interference between DTV stations.</w:t>
      </w:r>
      <w:r w:rsidR="006A1CE1">
        <w:rPr>
          <w:snapToGrid/>
        </w:rPr>
        <w:t xml:space="preserve">  Under the circumstances, we conclude that </w:t>
      </w:r>
      <w:r w:rsidR="006A1CE1">
        <w:t>use of the more conservative F(50,</w:t>
      </w:r>
      <w:r w:rsidR="00326714">
        <w:t>1</w:t>
      </w:r>
      <w:r w:rsidR="006A1CE1">
        <w:t>0) measure is neither necessary nor consistent with our goals for the incentive auction.</w:t>
      </w:r>
    </w:p>
    <w:p w14:paraId="5EE3284C" w14:textId="77777777" w:rsidR="007B71E8" w:rsidRPr="00F3761A" w:rsidRDefault="007B71E8" w:rsidP="000A74BA">
      <w:pPr>
        <w:pStyle w:val="ParaNum"/>
      </w:pPr>
      <w:r w:rsidRPr="0009433C">
        <w:rPr>
          <w:snapToGrid/>
        </w:rPr>
        <w:t xml:space="preserve"> </w:t>
      </w:r>
      <w:r w:rsidR="00875E03">
        <w:rPr>
          <w:snapToGrid/>
        </w:rPr>
        <w:t xml:space="preserve">We decline to adopt </w:t>
      </w:r>
      <w:r w:rsidR="00BA6AA4">
        <w:rPr>
          <w:snapToGrid/>
        </w:rPr>
        <w:t xml:space="preserve">Qualcomm’s </w:t>
      </w:r>
      <w:r w:rsidR="00875E03">
        <w:rPr>
          <w:snapToGrid/>
        </w:rPr>
        <w:t xml:space="preserve">suggested parameters for wireless user equipment in lieu of the </w:t>
      </w:r>
      <w:r w:rsidRPr="0009433C">
        <w:rPr>
          <w:snapToGrid/>
        </w:rPr>
        <w:t xml:space="preserve">parameters </w:t>
      </w:r>
      <w:r w:rsidR="00875E03">
        <w:rPr>
          <w:snapToGrid/>
        </w:rPr>
        <w:t>proposed</w:t>
      </w:r>
      <w:r w:rsidRPr="0009433C">
        <w:rPr>
          <w:snapToGrid/>
        </w:rPr>
        <w:t xml:space="preserve"> in the </w:t>
      </w:r>
      <w:r w:rsidRPr="0009433C">
        <w:rPr>
          <w:i/>
          <w:snapToGrid/>
        </w:rPr>
        <w:t>ISIX PN.</w:t>
      </w:r>
      <w:r w:rsidR="00A560D5" w:rsidRPr="00D20288">
        <w:rPr>
          <w:rStyle w:val="FootnoteReference"/>
          <w:snapToGrid/>
          <w:kern w:val="0"/>
        </w:rPr>
        <w:footnoteReference w:id="136"/>
      </w:r>
      <w:r w:rsidRPr="00BA6AA4">
        <w:rPr>
          <w:snapToGrid/>
        </w:rPr>
        <w:t xml:space="preserve"> </w:t>
      </w:r>
      <w:r w:rsidRPr="0009433C">
        <w:rPr>
          <w:snapToGrid/>
        </w:rPr>
        <w:t xml:space="preserve"> </w:t>
      </w:r>
      <w:r w:rsidR="00BA6AA4">
        <w:rPr>
          <w:snapToGrid/>
        </w:rPr>
        <w:t xml:space="preserve">While the </w:t>
      </w:r>
      <w:r w:rsidRPr="0009433C">
        <w:rPr>
          <w:snapToGrid/>
        </w:rPr>
        <w:t xml:space="preserve">antenna gain value </w:t>
      </w:r>
      <w:r w:rsidR="00BA6AA4">
        <w:rPr>
          <w:snapToGrid/>
        </w:rPr>
        <w:t xml:space="preserve">suggested by Qualcomm </w:t>
      </w:r>
      <w:r w:rsidRPr="0009433C">
        <w:rPr>
          <w:snapToGrid/>
        </w:rPr>
        <w:t xml:space="preserve">may </w:t>
      </w:r>
      <w:r w:rsidR="00BA6AA4">
        <w:rPr>
          <w:snapToGrid/>
        </w:rPr>
        <w:t xml:space="preserve">reflect </w:t>
      </w:r>
      <w:r w:rsidRPr="0009433C">
        <w:rPr>
          <w:snapToGrid/>
        </w:rPr>
        <w:t xml:space="preserve">today’s smartphones, </w:t>
      </w:r>
      <w:r w:rsidR="00905439">
        <w:rPr>
          <w:snapToGrid/>
        </w:rPr>
        <w:t xml:space="preserve">we expect </w:t>
      </w:r>
      <w:r w:rsidRPr="0009433C">
        <w:rPr>
          <w:snapToGrid/>
        </w:rPr>
        <w:t>other wireless devices</w:t>
      </w:r>
      <w:r w:rsidR="00BA6AA4">
        <w:rPr>
          <w:snapToGrid/>
        </w:rPr>
        <w:t xml:space="preserve"> to be used in the 600 MHz Band</w:t>
      </w:r>
      <w:r w:rsidRPr="0009433C">
        <w:rPr>
          <w:snapToGrid/>
        </w:rPr>
        <w:t>, like tablets or personal Wi</w:t>
      </w:r>
      <w:r w:rsidR="008D43D4">
        <w:rPr>
          <w:snapToGrid/>
        </w:rPr>
        <w:t>-</w:t>
      </w:r>
      <w:r w:rsidRPr="0009433C">
        <w:rPr>
          <w:snapToGrid/>
        </w:rPr>
        <w:t xml:space="preserve">Fi hotspots, </w:t>
      </w:r>
      <w:r w:rsidR="00BA6AA4">
        <w:rPr>
          <w:snapToGrid/>
        </w:rPr>
        <w:t xml:space="preserve">that </w:t>
      </w:r>
      <w:r w:rsidR="008519FC">
        <w:rPr>
          <w:snapToGrid/>
        </w:rPr>
        <w:t xml:space="preserve">could </w:t>
      </w:r>
      <w:r w:rsidR="00BA6AA4">
        <w:rPr>
          <w:snapToGrid/>
        </w:rPr>
        <w:t xml:space="preserve">have </w:t>
      </w:r>
      <w:r w:rsidR="008519FC">
        <w:rPr>
          <w:snapToGrid/>
        </w:rPr>
        <w:t xml:space="preserve">either </w:t>
      </w:r>
      <w:r w:rsidR="00BA6AA4">
        <w:rPr>
          <w:snapToGrid/>
        </w:rPr>
        <w:t xml:space="preserve">a higher antenna gain </w:t>
      </w:r>
      <w:r w:rsidR="008519FC">
        <w:rPr>
          <w:snapToGrid/>
        </w:rPr>
        <w:t xml:space="preserve">or a better antenna efficiency </w:t>
      </w:r>
      <w:r w:rsidR="00BA6AA4">
        <w:rPr>
          <w:snapToGrid/>
        </w:rPr>
        <w:t xml:space="preserve">and thus </w:t>
      </w:r>
      <w:r w:rsidR="00875E03">
        <w:rPr>
          <w:snapToGrid/>
        </w:rPr>
        <w:t>be more</w:t>
      </w:r>
      <w:r w:rsidR="00BA6AA4">
        <w:rPr>
          <w:snapToGrid/>
        </w:rPr>
        <w:t xml:space="preserve"> susceptib</w:t>
      </w:r>
      <w:r w:rsidR="00875E03">
        <w:rPr>
          <w:snapToGrid/>
        </w:rPr>
        <w:t>le</w:t>
      </w:r>
      <w:r w:rsidR="00BA6AA4">
        <w:rPr>
          <w:snapToGrid/>
        </w:rPr>
        <w:t xml:space="preserve"> to</w:t>
      </w:r>
      <w:r w:rsidR="00C7412E">
        <w:rPr>
          <w:snapToGrid/>
        </w:rPr>
        <w:t xml:space="preserve"> harmful</w:t>
      </w:r>
      <w:r w:rsidR="00BA6AA4">
        <w:rPr>
          <w:snapToGrid/>
        </w:rPr>
        <w:t xml:space="preserve"> interference.  </w:t>
      </w:r>
      <w:r w:rsidR="00777F96">
        <w:rPr>
          <w:snapToGrid/>
        </w:rPr>
        <w:t xml:space="preserve">We </w:t>
      </w:r>
      <w:r w:rsidR="00EE1543">
        <w:rPr>
          <w:snapToGrid/>
        </w:rPr>
        <w:t xml:space="preserve">find </w:t>
      </w:r>
      <w:r w:rsidR="00777F96">
        <w:rPr>
          <w:snapToGrid/>
        </w:rPr>
        <w:t xml:space="preserve">it </w:t>
      </w:r>
      <w:r w:rsidR="00EE1543">
        <w:rPr>
          <w:snapToGrid/>
        </w:rPr>
        <w:t xml:space="preserve">appropriate </w:t>
      </w:r>
      <w:r w:rsidR="00777F96">
        <w:rPr>
          <w:snapToGrid/>
        </w:rPr>
        <w:t xml:space="preserve">to </w:t>
      </w:r>
      <w:r w:rsidR="00AF3256">
        <w:rPr>
          <w:snapToGrid/>
        </w:rPr>
        <w:t>account for</w:t>
      </w:r>
      <w:r w:rsidR="00875E03">
        <w:rPr>
          <w:snapToGrid/>
        </w:rPr>
        <w:t xml:space="preserve"> the </w:t>
      </w:r>
      <w:r w:rsidR="00777F96">
        <w:rPr>
          <w:snapToGrid/>
        </w:rPr>
        <w:t>type</w:t>
      </w:r>
      <w:r w:rsidR="00EE1543">
        <w:rPr>
          <w:snapToGrid/>
        </w:rPr>
        <w:t>s</w:t>
      </w:r>
      <w:r w:rsidR="00777F96">
        <w:rPr>
          <w:snapToGrid/>
        </w:rPr>
        <w:t xml:space="preserve"> of devices </w:t>
      </w:r>
      <w:r w:rsidR="00EE1543">
        <w:rPr>
          <w:snapToGrid/>
        </w:rPr>
        <w:t xml:space="preserve">that will most likely be used in the 600 MHz Band. </w:t>
      </w:r>
      <w:r w:rsidRPr="0009433C">
        <w:rPr>
          <w:snapToGrid/>
        </w:rPr>
        <w:t xml:space="preserve"> </w:t>
      </w:r>
      <w:r w:rsidR="002D6402">
        <w:rPr>
          <w:snapToGrid/>
        </w:rPr>
        <w:t xml:space="preserve">Qualcomm </w:t>
      </w:r>
      <w:r w:rsidR="00AF3256">
        <w:rPr>
          <w:snapToGrid/>
        </w:rPr>
        <w:t xml:space="preserve">also </w:t>
      </w:r>
      <w:r w:rsidR="002D6402">
        <w:rPr>
          <w:snapToGrid/>
        </w:rPr>
        <w:t xml:space="preserve">claims that the </w:t>
      </w:r>
      <w:r w:rsidR="00905439">
        <w:rPr>
          <w:snapToGrid/>
        </w:rPr>
        <w:t xml:space="preserve">proposed </w:t>
      </w:r>
      <w:r w:rsidR="00AF3256">
        <w:rPr>
          <w:snapToGrid/>
        </w:rPr>
        <w:t xml:space="preserve">parameter value for </w:t>
      </w:r>
      <w:r w:rsidR="002D6402">
        <w:rPr>
          <w:snapToGrid/>
        </w:rPr>
        <w:t xml:space="preserve">noise figure should be </w:t>
      </w:r>
      <w:r w:rsidR="002D6402" w:rsidRPr="00683FD3">
        <w:rPr>
          <w:snapToGrid/>
        </w:rPr>
        <w:t xml:space="preserve">increased </w:t>
      </w:r>
      <w:r w:rsidR="00905439">
        <w:rPr>
          <w:snapToGrid/>
        </w:rPr>
        <w:t xml:space="preserve">from 7.5 dB </w:t>
      </w:r>
      <w:r w:rsidR="002D6402" w:rsidRPr="00683FD3">
        <w:rPr>
          <w:snapToGrid/>
        </w:rPr>
        <w:t xml:space="preserve">to </w:t>
      </w:r>
      <w:r w:rsidR="002D6402" w:rsidRPr="00D8728C">
        <w:rPr>
          <w:iCs/>
        </w:rPr>
        <w:t>9 dB.</w:t>
      </w:r>
      <w:r w:rsidR="008F59CE">
        <w:rPr>
          <w:rStyle w:val="FootnoteReference"/>
          <w:iCs/>
        </w:rPr>
        <w:footnoteReference w:id="137"/>
      </w:r>
      <w:r w:rsidR="002D6402" w:rsidRPr="00D8728C">
        <w:rPr>
          <w:iCs/>
        </w:rPr>
        <w:t xml:space="preserve">  However, the </w:t>
      </w:r>
      <w:r w:rsidR="00905439">
        <w:rPr>
          <w:iCs/>
        </w:rPr>
        <w:t xml:space="preserve">proposed </w:t>
      </w:r>
      <w:r w:rsidR="002D6402" w:rsidRPr="00D8728C">
        <w:rPr>
          <w:iCs/>
        </w:rPr>
        <w:t xml:space="preserve">value </w:t>
      </w:r>
      <w:r w:rsidR="00AF3256">
        <w:rPr>
          <w:iCs/>
        </w:rPr>
        <w:t>accounts for factors in addition to receiver</w:t>
      </w:r>
      <w:r w:rsidR="002D6402" w:rsidRPr="00D8728C">
        <w:rPr>
          <w:iCs/>
        </w:rPr>
        <w:t xml:space="preserve"> noise that should be consider</w:t>
      </w:r>
      <w:r w:rsidR="00905439">
        <w:rPr>
          <w:iCs/>
        </w:rPr>
        <w:t xml:space="preserve">ed </w:t>
      </w:r>
      <w:r w:rsidR="002D6402" w:rsidRPr="00D8728C">
        <w:rPr>
          <w:iCs/>
        </w:rPr>
        <w:t xml:space="preserve">when calculating </w:t>
      </w:r>
      <w:r w:rsidR="00AF3256">
        <w:rPr>
          <w:iCs/>
        </w:rPr>
        <w:t>an</w:t>
      </w:r>
      <w:r w:rsidR="002D6402" w:rsidRPr="00D8728C">
        <w:rPr>
          <w:iCs/>
        </w:rPr>
        <w:t xml:space="preserve"> effective noise figure.</w:t>
      </w:r>
      <w:r w:rsidR="002D6402">
        <w:rPr>
          <w:rStyle w:val="FootnoteReference"/>
          <w:iCs/>
        </w:rPr>
        <w:footnoteReference w:id="138"/>
      </w:r>
      <w:r w:rsidR="002D6402">
        <w:rPr>
          <w:iCs/>
          <w:color w:val="1F497D"/>
        </w:rPr>
        <w:t xml:space="preserve"> </w:t>
      </w:r>
      <w:r w:rsidR="00F639A0">
        <w:rPr>
          <w:iCs/>
          <w:color w:val="1F497D"/>
        </w:rPr>
        <w:t xml:space="preserve"> </w:t>
      </w:r>
      <w:r w:rsidRPr="0009433C">
        <w:rPr>
          <w:snapToGrid/>
        </w:rPr>
        <w:t>Therefore, we decline to adopt Qualcomm’s suggested values for</w:t>
      </w:r>
      <w:r w:rsidR="00A560D5">
        <w:rPr>
          <w:snapToGrid/>
        </w:rPr>
        <w:t xml:space="preserve"> wireless user equipment</w:t>
      </w:r>
      <w:r w:rsidRPr="0009433C">
        <w:rPr>
          <w:snapToGrid/>
        </w:rPr>
        <w:t>.</w:t>
      </w:r>
    </w:p>
    <w:p w14:paraId="4B8DC29A" w14:textId="77777777" w:rsidR="00BD0841" w:rsidRDefault="00C31DC4" w:rsidP="000A74BA">
      <w:pPr>
        <w:pStyle w:val="ParaNum"/>
      </w:pPr>
      <w:r>
        <w:rPr>
          <w:lang w:eastAsia="ja-JP"/>
        </w:rPr>
        <w:t>W</w:t>
      </w:r>
      <w:r w:rsidR="00BD0841">
        <w:rPr>
          <w:lang w:eastAsia="ja-JP"/>
        </w:rPr>
        <w:t xml:space="preserve">e decline to adopt the Joint Broadcasters’ suggested </w:t>
      </w:r>
      <w:r>
        <w:rPr>
          <w:lang w:eastAsia="ja-JP"/>
        </w:rPr>
        <w:t xml:space="preserve">fixed distance-based </w:t>
      </w:r>
      <w:r w:rsidR="00BD0841">
        <w:rPr>
          <w:lang w:eastAsia="ja-JP"/>
        </w:rPr>
        <w:t>approach for Cases 1 and 2.</w:t>
      </w:r>
      <w:r w:rsidR="004666B0">
        <w:rPr>
          <w:rStyle w:val="FootnoteReference"/>
        </w:rPr>
        <w:footnoteReference w:id="139"/>
      </w:r>
      <w:r w:rsidR="00BD0841">
        <w:rPr>
          <w:lang w:eastAsia="ja-JP"/>
        </w:rPr>
        <w:t xml:space="preserve">  </w:t>
      </w:r>
      <w:r w:rsidR="004E3079">
        <w:rPr>
          <w:lang w:eastAsia="ja-JP"/>
        </w:rPr>
        <w:t>T</w:t>
      </w:r>
      <w:r w:rsidR="00BD0841">
        <w:t xml:space="preserve">he Joint Broadcasters’ approach </w:t>
      </w:r>
      <w:r w:rsidR="004E3079">
        <w:t xml:space="preserve">for Case 1 </w:t>
      </w:r>
      <w:r w:rsidR="004E3079">
        <w:rPr>
          <w:lang w:eastAsia="ja-JP"/>
        </w:rPr>
        <w:t>(</w:t>
      </w:r>
      <w:r>
        <w:t>television</w:t>
      </w:r>
      <w:r w:rsidR="004E3079">
        <w:t xml:space="preserve"> transmitter</w:t>
      </w:r>
      <w:r>
        <w:t xml:space="preserve"> </w:t>
      </w:r>
      <w:r w:rsidR="004E3079">
        <w:t>to</w:t>
      </w:r>
      <w:r>
        <w:t xml:space="preserve"> </w:t>
      </w:r>
      <w:r w:rsidR="004E3079">
        <w:t xml:space="preserve">wireless base station) </w:t>
      </w:r>
      <w:r w:rsidR="00BD0841">
        <w:t>would create unreasonably large zones where wireless operations would be deemed “impaired” by interference</w:t>
      </w:r>
      <w:r w:rsidR="004666B0">
        <w:t xml:space="preserve"> b</w:t>
      </w:r>
      <w:r w:rsidR="004A401F">
        <w:t>e</w:t>
      </w:r>
      <w:r w:rsidR="00BD0841">
        <w:t>cause their approach does not account for specific terrain obstacles that mitigate</w:t>
      </w:r>
      <w:r w:rsidR="004666B0">
        <w:t xml:space="preserve"> the potential for</w:t>
      </w:r>
      <w:r w:rsidR="00BD0841">
        <w:t xml:space="preserve"> interference </w:t>
      </w:r>
      <w:r w:rsidR="004666B0">
        <w:t>from</w:t>
      </w:r>
      <w:r w:rsidR="00BD0841">
        <w:t xml:space="preserve"> </w:t>
      </w:r>
      <w:r w:rsidR="004666B0">
        <w:t>television</w:t>
      </w:r>
      <w:r w:rsidR="00BD0841">
        <w:t xml:space="preserve"> stations</w:t>
      </w:r>
      <w:r w:rsidR="004666B0">
        <w:t xml:space="preserve"> to wireless operations.</w:t>
      </w:r>
      <w:r w:rsidR="004666B0">
        <w:rPr>
          <w:rStyle w:val="FootnoteReference"/>
        </w:rPr>
        <w:footnoteReference w:id="140"/>
      </w:r>
      <w:r w:rsidR="004666B0">
        <w:t xml:space="preserve">  As a result</w:t>
      </w:r>
      <w:r w:rsidR="00BD0841">
        <w:t xml:space="preserve">, it would significantly increase the </w:t>
      </w:r>
      <w:r w:rsidR="004666B0">
        <w:t xml:space="preserve">predicted </w:t>
      </w:r>
      <w:r w:rsidR="00BD0841">
        <w:t xml:space="preserve">impairments to wireless </w:t>
      </w:r>
      <w:r w:rsidR="004666B0">
        <w:t>license area</w:t>
      </w:r>
      <w:r w:rsidR="00BD0841">
        <w:t>s</w:t>
      </w:r>
      <w:r w:rsidR="000C42E0">
        <w:t xml:space="preserve"> and exclude from the forward auction spectrum that could otherwise be offered for wireless services if impairments were assessed more accurately</w:t>
      </w:r>
      <w:r w:rsidR="00BD0841" w:rsidRPr="00DE3490">
        <w:t xml:space="preserve">. </w:t>
      </w:r>
      <w:r w:rsidR="00BD0841">
        <w:t xml:space="preserve"> For example, under the Joint Broadcasters’ proposal, a </w:t>
      </w:r>
      <w:r w:rsidR="004666B0">
        <w:t>television</w:t>
      </w:r>
      <w:r w:rsidR="00BD0841">
        <w:t xml:space="preserve"> station in Los Angeles could </w:t>
      </w:r>
      <w:r w:rsidR="00351CCB">
        <w:t xml:space="preserve">be predicted to </w:t>
      </w:r>
      <w:r w:rsidR="00BD0841">
        <w:t xml:space="preserve">interfere with wireless operations in Las Vegas.  In contrast, the ISIX Methodology </w:t>
      </w:r>
      <w:r w:rsidR="004666B0">
        <w:t xml:space="preserve">would </w:t>
      </w:r>
      <w:r w:rsidR="00BD0841">
        <w:t xml:space="preserve">evaluate the effect of terrain on the propagation of the interfering </w:t>
      </w:r>
      <w:r w:rsidR="004666B0">
        <w:t>television</w:t>
      </w:r>
      <w:r w:rsidR="00BD0841">
        <w:t xml:space="preserve"> signal.  As a result, areas shielded by terrain, such as mountains, would not be identified as impaired </w:t>
      </w:r>
      <w:r w:rsidR="004666B0">
        <w:t>by potential</w:t>
      </w:r>
      <w:r w:rsidR="00BD0841">
        <w:t xml:space="preserve"> interference </w:t>
      </w:r>
      <w:r w:rsidR="004666B0">
        <w:t xml:space="preserve">that </w:t>
      </w:r>
      <w:r w:rsidR="00BD0841">
        <w:t xml:space="preserve">is not likely to occur in those locations.  Applying the ISIX Methodology in the example above, wireless operations in Las Vegas would </w:t>
      </w:r>
      <w:r w:rsidR="004666B0">
        <w:t xml:space="preserve">not </w:t>
      </w:r>
      <w:r w:rsidR="00BD0841">
        <w:t xml:space="preserve">be considered </w:t>
      </w:r>
      <w:r w:rsidR="004666B0">
        <w:t xml:space="preserve">impaired </w:t>
      </w:r>
      <w:r w:rsidR="00BD0841">
        <w:t xml:space="preserve">because of the shielding provided by the San Gabriel and San Bernardino mountain ranges.  </w:t>
      </w:r>
      <w:r w:rsidR="00316687">
        <w:t xml:space="preserve">As a result, a wireless license in Las Vegas </w:t>
      </w:r>
      <w:r w:rsidR="00403A69">
        <w:t xml:space="preserve">would be deemed unimpaired because of this terrain shielding and </w:t>
      </w:r>
      <w:r w:rsidR="005C5228">
        <w:t>can</w:t>
      </w:r>
      <w:r w:rsidR="00403A69">
        <w:t xml:space="preserve"> therefore</w:t>
      </w:r>
      <w:r w:rsidR="005C5228">
        <w:t xml:space="preserve"> be auctioned </w:t>
      </w:r>
      <w:r w:rsidR="00C7412E">
        <w:t>even when</w:t>
      </w:r>
      <w:r w:rsidR="00316687">
        <w:t xml:space="preserve"> there is a television station co-channel or adjacent channel in Los Angeles. </w:t>
      </w:r>
      <w:r w:rsidR="00C7412E">
        <w:t xml:space="preserve"> T</w:t>
      </w:r>
      <w:r w:rsidR="004666B0">
        <w:t>he approach we adopt</w:t>
      </w:r>
      <w:r w:rsidR="00BD0841">
        <w:t xml:space="preserve"> </w:t>
      </w:r>
      <w:r w:rsidR="004666B0">
        <w:t xml:space="preserve">will assess </w:t>
      </w:r>
      <w:r w:rsidR="005C5228">
        <w:t xml:space="preserve">the interference environment and </w:t>
      </w:r>
      <w:r w:rsidR="004666B0">
        <w:t>wireless license area impairments</w:t>
      </w:r>
      <w:r w:rsidR="00BD0841">
        <w:t xml:space="preserve"> significantly more accurate</w:t>
      </w:r>
      <w:r w:rsidR="004666B0">
        <w:t>ly</w:t>
      </w:r>
      <w:r w:rsidR="00BD0841">
        <w:t xml:space="preserve"> in Case 1 than the Joint Broadcasters’ suggested approach</w:t>
      </w:r>
      <w:r w:rsidR="005C5228">
        <w:t xml:space="preserve"> of a generic separation distance</w:t>
      </w:r>
      <w:r w:rsidR="00BD0841">
        <w:t>.</w:t>
      </w:r>
    </w:p>
    <w:p w14:paraId="186F635E" w14:textId="77777777" w:rsidR="00BD0841" w:rsidRDefault="00BD0841" w:rsidP="000A74BA">
      <w:pPr>
        <w:pStyle w:val="ParaNum"/>
      </w:pPr>
      <w:r>
        <w:t>For Case 2 (</w:t>
      </w:r>
      <w:r w:rsidR="004666B0">
        <w:t>television</w:t>
      </w:r>
      <w:r>
        <w:t xml:space="preserve"> transmitter</w:t>
      </w:r>
      <w:r w:rsidR="004666B0">
        <w:t xml:space="preserve"> </w:t>
      </w:r>
      <w:r>
        <w:t>to</w:t>
      </w:r>
      <w:r w:rsidR="004666B0">
        <w:t xml:space="preserve"> </w:t>
      </w:r>
      <w:r>
        <w:t xml:space="preserve">wireless user equipment), </w:t>
      </w:r>
      <w:r w:rsidR="004666B0">
        <w:t>the Joint Broadcasters’ proposed five-kilometer separation distance would not adequately reflect the potential impairment to a wireless license area.  T</w:t>
      </w:r>
      <w:r>
        <w:t xml:space="preserve">he Joint Broadcasters conflate </w:t>
      </w:r>
      <w:r w:rsidR="004666B0">
        <w:t xml:space="preserve">their proposed </w:t>
      </w:r>
      <w:r>
        <w:t xml:space="preserve">separation distances </w:t>
      </w:r>
      <w:r w:rsidR="004666B0">
        <w:t>for</w:t>
      </w:r>
      <w:r>
        <w:t xml:space="preserve"> Case 1 with those for Case 2 and assume that the Case 1 distances will preclude wireless </w:t>
      </w:r>
      <w:r w:rsidR="004666B0">
        <w:t>user equipment</w:t>
      </w:r>
      <w:r>
        <w:t xml:space="preserve"> from operating near a </w:t>
      </w:r>
      <w:r w:rsidR="004666B0">
        <w:t>television station</w:t>
      </w:r>
      <w:r>
        <w:t>.</w:t>
      </w:r>
      <w:r>
        <w:rPr>
          <w:rStyle w:val="FootnoteReference"/>
        </w:rPr>
        <w:footnoteReference w:id="141"/>
      </w:r>
      <w:r>
        <w:t xml:space="preserve">  As stated above, however, the Case 1 interference scenario will only occur if a </w:t>
      </w:r>
      <w:r w:rsidR="004666B0">
        <w:t>television</w:t>
      </w:r>
      <w:r>
        <w:t xml:space="preserve"> station is placed in the 600 MHz uplink spectrum, while Case 2 will only occur if a </w:t>
      </w:r>
      <w:r w:rsidR="004666B0">
        <w:t>television</w:t>
      </w:r>
      <w:r>
        <w:t xml:space="preserve"> </w:t>
      </w:r>
      <w:r w:rsidRPr="00661448">
        <w:t xml:space="preserve">station </w:t>
      </w:r>
      <w:r>
        <w:t>is placed in the 600 MHz downlink spectrum.</w:t>
      </w:r>
      <w:r>
        <w:rPr>
          <w:rStyle w:val="FootnoteReference"/>
        </w:rPr>
        <w:footnoteReference w:id="142"/>
      </w:r>
      <w:r>
        <w:t xml:space="preserve">  </w:t>
      </w:r>
      <w:r w:rsidR="00577C08">
        <w:t>In addition, w</w:t>
      </w:r>
      <w:r>
        <w:t xml:space="preserve">ireless user equipment is more sensitive than </w:t>
      </w:r>
      <w:r w:rsidR="00577C08">
        <w:t>television</w:t>
      </w:r>
      <w:r>
        <w:t xml:space="preserve"> receivers</w:t>
      </w:r>
      <w:r w:rsidR="00577C08">
        <w:t>,</w:t>
      </w:r>
      <w:r>
        <w:t xml:space="preserve"> and the high power and height of typical DTV transmitters </w:t>
      </w:r>
      <w:r w:rsidR="00577C08">
        <w:t>require</w:t>
      </w:r>
      <w:r>
        <w:t xml:space="preserve"> separation distances that can be much greater than five kilometers.  </w:t>
      </w:r>
      <w:r w:rsidR="00C7412E">
        <w:t>H</w:t>
      </w:r>
      <w:r w:rsidR="003A14A9">
        <w:t xml:space="preserve">owever, adopting a </w:t>
      </w:r>
      <w:r w:rsidR="005C5228">
        <w:t>generic</w:t>
      </w:r>
      <w:r w:rsidR="00E77D22">
        <w:t xml:space="preserve"> </w:t>
      </w:r>
      <w:r w:rsidR="00577C08">
        <w:t>distance</w:t>
      </w:r>
      <w:r w:rsidR="003A14A9">
        <w:t>-based separation</w:t>
      </w:r>
      <w:r w:rsidR="00577C08">
        <w:t xml:space="preserve"> to provide additional protection for wireless</w:t>
      </w:r>
      <w:r>
        <w:t xml:space="preserve"> user equipment would raise the same concerns </w:t>
      </w:r>
      <w:r w:rsidR="00577C08">
        <w:t xml:space="preserve">discussed above with regard to </w:t>
      </w:r>
      <w:r>
        <w:t xml:space="preserve">Case 1.  Therefore, </w:t>
      </w:r>
      <w:r w:rsidR="00577C08">
        <w:t>our</w:t>
      </w:r>
      <w:r>
        <w:t xml:space="preserve"> approach of predicting the </w:t>
      </w:r>
      <w:r w:rsidR="00577C08">
        <w:t>specific</w:t>
      </w:r>
      <w:r>
        <w:t xml:space="preserve"> locations (on a two</w:t>
      </w:r>
      <w:r w:rsidR="00577C08">
        <w:t>-</w:t>
      </w:r>
      <w:r>
        <w:t xml:space="preserve">kilometer grid) where the interfering DTV field strength exceeds the thresholds will provide wireless </w:t>
      </w:r>
      <w:r w:rsidR="00EA5603">
        <w:t xml:space="preserve">providers </w:t>
      </w:r>
      <w:r>
        <w:t xml:space="preserve">with more accurate information as to </w:t>
      </w:r>
      <w:r w:rsidR="00577C08">
        <w:t>wireless license area</w:t>
      </w:r>
      <w:r>
        <w:t xml:space="preserve"> impairments. </w:t>
      </w:r>
    </w:p>
    <w:p w14:paraId="0443C353" w14:textId="77777777" w:rsidR="00C31DC4" w:rsidRPr="00D72881" w:rsidRDefault="00C31DC4" w:rsidP="000A74BA">
      <w:pPr>
        <w:pStyle w:val="ParaNum"/>
      </w:pPr>
      <w:bookmarkStart w:id="302" w:name="_Ref398032341"/>
      <w:r>
        <w:t>The</w:t>
      </w:r>
      <w:r>
        <w:rPr>
          <w:lang w:eastAsia="ja-JP"/>
        </w:rPr>
        <w:t xml:space="preserve"> Joint Broadcasters also argue that a fixed distance-based approach </w:t>
      </w:r>
      <w:r w:rsidR="003A14A9">
        <w:rPr>
          <w:lang w:eastAsia="ja-JP"/>
        </w:rPr>
        <w:t xml:space="preserve">– for Case 1 and Case 2 – </w:t>
      </w:r>
      <w:r>
        <w:rPr>
          <w:lang w:eastAsia="ja-JP"/>
        </w:rPr>
        <w:t>would</w:t>
      </w:r>
      <w:r w:rsidR="003A14A9">
        <w:rPr>
          <w:lang w:eastAsia="ja-JP"/>
        </w:rPr>
        <w:t xml:space="preserve"> </w:t>
      </w:r>
      <w:r>
        <w:rPr>
          <w:lang w:eastAsia="ja-JP"/>
        </w:rPr>
        <w:t>be “far easier to implement and will not sacrifice meaningful spectral efficiency.”</w:t>
      </w:r>
      <w:r>
        <w:rPr>
          <w:rStyle w:val="FootnoteReference"/>
          <w:lang w:eastAsia="ja-JP"/>
        </w:rPr>
        <w:footnoteReference w:id="143"/>
      </w:r>
      <w:r>
        <w:rPr>
          <w:lang w:eastAsia="ja-JP"/>
        </w:rPr>
        <w:t xml:space="preserve">  Although we recognize that the ISIX Methodology we adopt </w:t>
      </w:r>
      <w:r w:rsidR="00316687">
        <w:rPr>
          <w:lang w:eastAsia="ja-JP"/>
        </w:rPr>
        <w:t xml:space="preserve">may be </w:t>
      </w:r>
      <w:r>
        <w:rPr>
          <w:lang w:eastAsia="ja-JP"/>
        </w:rPr>
        <w:t>more complex than a fixed distance-based approach, we conclude that the added complexity of our approach is justified by its benefits.</w:t>
      </w:r>
      <w:r>
        <w:rPr>
          <w:rStyle w:val="FootnoteReference"/>
          <w:snapToGrid/>
          <w:kern w:val="0"/>
        </w:rPr>
        <w:footnoteReference w:id="144"/>
      </w:r>
      <w:r>
        <w:rPr>
          <w:lang w:eastAsia="ja-JP"/>
        </w:rPr>
        <w:t xml:space="preserve">  The ISIX Methodology’s </w:t>
      </w:r>
      <w:r w:rsidRPr="00DB205F">
        <w:rPr>
          <w:snapToGrid/>
        </w:rPr>
        <w:t>granular</w:t>
      </w:r>
      <w:r>
        <w:rPr>
          <w:snapToGrid/>
        </w:rPr>
        <w:t>ity</w:t>
      </w:r>
      <w:r w:rsidR="005C5228">
        <w:rPr>
          <w:snapToGrid/>
        </w:rPr>
        <w:t>, tailored approach to different interference scenarios,</w:t>
      </w:r>
      <w:r w:rsidRPr="00DB205F">
        <w:rPr>
          <w:snapToGrid/>
        </w:rPr>
        <w:t xml:space="preserve"> </w:t>
      </w:r>
      <w:r w:rsidRPr="00B85767">
        <w:rPr>
          <w:snapToGrid/>
        </w:rPr>
        <w:t xml:space="preserve">and </w:t>
      </w:r>
      <w:r>
        <w:rPr>
          <w:snapToGrid/>
        </w:rPr>
        <w:t xml:space="preserve">ability </w:t>
      </w:r>
      <w:r w:rsidRPr="00B85767">
        <w:rPr>
          <w:snapToGrid/>
        </w:rPr>
        <w:t xml:space="preserve">to account </w:t>
      </w:r>
      <w:r>
        <w:rPr>
          <w:snapToGrid/>
        </w:rPr>
        <w:t xml:space="preserve">for </w:t>
      </w:r>
      <w:r w:rsidRPr="00B85767">
        <w:rPr>
          <w:szCs w:val="22"/>
        </w:rPr>
        <w:t xml:space="preserve">factors that </w:t>
      </w:r>
      <w:r>
        <w:rPr>
          <w:szCs w:val="22"/>
        </w:rPr>
        <w:t xml:space="preserve">will </w:t>
      </w:r>
      <w:r w:rsidRPr="00B85767">
        <w:rPr>
          <w:szCs w:val="22"/>
        </w:rPr>
        <w:t xml:space="preserve">mitigate interference in individual cases </w:t>
      </w:r>
      <w:r w:rsidRPr="00B85767">
        <w:rPr>
          <w:snapToGrid/>
        </w:rPr>
        <w:t xml:space="preserve">will generally lead to more accurate </w:t>
      </w:r>
      <w:r>
        <w:rPr>
          <w:snapToGrid/>
        </w:rPr>
        <w:t xml:space="preserve">interference </w:t>
      </w:r>
      <w:r w:rsidRPr="00B85767">
        <w:rPr>
          <w:snapToGrid/>
        </w:rPr>
        <w:t>prediction</w:t>
      </w:r>
      <w:r>
        <w:rPr>
          <w:snapToGrid/>
        </w:rPr>
        <w:t>s</w:t>
      </w:r>
      <w:r w:rsidRPr="00B85767">
        <w:rPr>
          <w:snapToGrid/>
        </w:rPr>
        <w:t xml:space="preserve">.  This is critical </w:t>
      </w:r>
      <w:r>
        <w:rPr>
          <w:snapToGrid/>
        </w:rPr>
        <w:t xml:space="preserve">to </w:t>
      </w:r>
      <w:r w:rsidR="00C7412E">
        <w:rPr>
          <w:snapToGrid/>
        </w:rPr>
        <w:t xml:space="preserve">meeting </w:t>
      </w:r>
      <w:r>
        <w:rPr>
          <w:snapToGrid/>
        </w:rPr>
        <w:t>our goals for the</w:t>
      </w:r>
      <w:r w:rsidRPr="00B85767">
        <w:rPr>
          <w:snapToGrid/>
        </w:rPr>
        <w:t xml:space="preserve"> incentive auction because overestimating the extent of </w:t>
      </w:r>
      <w:r>
        <w:rPr>
          <w:snapToGrid/>
        </w:rPr>
        <w:t xml:space="preserve">wireless license area </w:t>
      </w:r>
      <w:r w:rsidRPr="00B85767">
        <w:rPr>
          <w:snapToGrid/>
        </w:rPr>
        <w:t xml:space="preserve">impairments may </w:t>
      </w:r>
      <w:r>
        <w:rPr>
          <w:snapToGrid/>
        </w:rPr>
        <w:t xml:space="preserve">limit our ability to repurpose </w:t>
      </w:r>
      <w:r w:rsidRPr="00B85767">
        <w:rPr>
          <w:snapToGrid/>
        </w:rPr>
        <w:t>spectrum for new uses</w:t>
      </w:r>
      <w:r>
        <w:rPr>
          <w:snapToGrid/>
        </w:rPr>
        <w:t xml:space="preserve"> through the auction</w:t>
      </w:r>
      <w:r w:rsidRPr="00B85767">
        <w:rPr>
          <w:snapToGrid/>
        </w:rPr>
        <w:t xml:space="preserve">.  Moreover, more accurate predictions and more granular data </w:t>
      </w:r>
      <w:r>
        <w:rPr>
          <w:snapToGrid/>
        </w:rPr>
        <w:t xml:space="preserve">will </w:t>
      </w:r>
      <w:r w:rsidRPr="00B85767">
        <w:rPr>
          <w:snapToGrid/>
        </w:rPr>
        <w:t xml:space="preserve">allow for more informed decisions, both for the Commission in determining whether to auction certain licenses and for auction participants in making bidding decisions.  </w:t>
      </w:r>
      <w:r>
        <w:rPr>
          <w:snapToGrid/>
        </w:rPr>
        <w:t>We also note that, contrary to the Joint Broadcasters,</w:t>
      </w:r>
      <w:r w:rsidRPr="00DB205F">
        <w:rPr>
          <w:snapToGrid/>
        </w:rPr>
        <w:t xml:space="preserve"> </w:t>
      </w:r>
      <w:r>
        <w:rPr>
          <w:lang w:eastAsia="ja-JP"/>
        </w:rPr>
        <w:t>most commenters support the ISIX Methodology.</w:t>
      </w:r>
      <w:r>
        <w:rPr>
          <w:rStyle w:val="FootnoteReference"/>
          <w:lang w:eastAsia="ja-JP"/>
        </w:rPr>
        <w:footnoteReference w:id="145"/>
      </w:r>
      <w:r>
        <w:rPr>
          <w:lang w:eastAsia="ja-JP"/>
        </w:rPr>
        <w:t xml:space="preserve">  </w:t>
      </w:r>
      <w:r w:rsidRPr="00DB205F">
        <w:rPr>
          <w:snapToGrid/>
        </w:rPr>
        <w:t>For Cases 1</w:t>
      </w:r>
      <w:r>
        <w:rPr>
          <w:snapToGrid/>
        </w:rPr>
        <w:t xml:space="preserve"> and</w:t>
      </w:r>
      <w:r w:rsidRPr="00DB205F">
        <w:rPr>
          <w:snapToGrid/>
        </w:rPr>
        <w:t xml:space="preserve"> 2</w:t>
      </w:r>
      <w:r>
        <w:rPr>
          <w:snapToGrid/>
        </w:rPr>
        <w:t>,</w:t>
      </w:r>
      <w:r w:rsidRPr="00DB205F">
        <w:rPr>
          <w:snapToGrid/>
        </w:rPr>
        <w:t xml:space="preserve"> we </w:t>
      </w:r>
      <w:r w:rsidR="00E77D22">
        <w:rPr>
          <w:snapToGrid/>
        </w:rPr>
        <w:t>therefore</w:t>
      </w:r>
      <w:r w:rsidR="00E77D22" w:rsidRPr="00DB205F">
        <w:rPr>
          <w:snapToGrid/>
        </w:rPr>
        <w:t xml:space="preserve"> </w:t>
      </w:r>
      <w:r w:rsidRPr="00DB205F">
        <w:rPr>
          <w:snapToGrid/>
        </w:rPr>
        <w:t xml:space="preserve">conclude that the </w:t>
      </w:r>
      <w:r>
        <w:rPr>
          <w:snapToGrid/>
        </w:rPr>
        <w:t xml:space="preserve">benefits of the </w:t>
      </w:r>
      <w:r w:rsidRPr="00DB205F">
        <w:rPr>
          <w:snapToGrid/>
        </w:rPr>
        <w:t>ISIX Methodology</w:t>
      </w:r>
      <w:r>
        <w:rPr>
          <w:snapToGrid/>
        </w:rPr>
        <w:t>’s increased accuracy over a</w:t>
      </w:r>
      <w:r w:rsidR="00316687">
        <w:rPr>
          <w:snapToGrid/>
        </w:rPr>
        <w:t>n oversimplified</w:t>
      </w:r>
      <w:r>
        <w:rPr>
          <w:snapToGrid/>
        </w:rPr>
        <w:t xml:space="preserve"> fixed distance-based approach</w:t>
      </w:r>
      <w:r w:rsidRPr="00DB205F">
        <w:rPr>
          <w:snapToGrid/>
        </w:rPr>
        <w:t xml:space="preserve"> </w:t>
      </w:r>
      <w:r w:rsidRPr="00B85767">
        <w:rPr>
          <w:snapToGrid/>
        </w:rPr>
        <w:t xml:space="preserve">outweigh </w:t>
      </w:r>
      <w:r>
        <w:rPr>
          <w:snapToGrid/>
        </w:rPr>
        <w:t xml:space="preserve">its costs in terms of </w:t>
      </w:r>
      <w:r w:rsidRPr="00B85767">
        <w:rPr>
          <w:snapToGrid/>
        </w:rPr>
        <w:t>additional complexity.</w:t>
      </w:r>
      <w:bookmarkEnd w:id="302"/>
    </w:p>
    <w:p w14:paraId="36A90724" w14:textId="77777777" w:rsidR="003730FA" w:rsidRDefault="003730FA" w:rsidP="004E5F4F">
      <w:pPr>
        <w:pStyle w:val="Heading4"/>
        <w:widowControl/>
      </w:pPr>
      <w:bookmarkStart w:id="303" w:name="_Toc393784365"/>
      <w:bookmarkStart w:id="304" w:name="_Toc393784389"/>
      <w:bookmarkStart w:id="305" w:name="_Toc393895645"/>
      <w:bookmarkStart w:id="306" w:name="_Toc394059154"/>
      <w:bookmarkStart w:id="307" w:name="_Toc394068158"/>
      <w:bookmarkStart w:id="308" w:name="_Toc394672089"/>
      <w:bookmarkStart w:id="309" w:name="_Toc395701589"/>
      <w:bookmarkStart w:id="310" w:name="_Toc395883764"/>
      <w:bookmarkStart w:id="311" w:name="_Toc396393940"/>
      <w:bookmarkStart w:id="312" w:name="_Toc396393963"/>
      <w:bookmarkStart w:id="313" w:name="_Toc396492675"/>
      <w:bookmarkStart w:id="314" w:name="_Toc396492699"/>
      <w:bookmarkStart w:id="315" w:name="_Toc396915796"/>
      <w:bookmarkStart w:id="316" w:name="_Toc396995197"/>
      <w:bookmarkStart w:id="317" w:name="_Toc396995832"/>
      <w:bookmarkStart w:id="318" w:name="_Toc397609525"/>
      <w:bookmarkStart w:id="319" w:name="_Toc397610950"/>
      <w:bookmarkStart w:id="320" w:name="_Toc397962800"/>
      <w:bookmarkStart w:id="321" w:name="_Toc398023578"/>
      <w:bookmarkStart w:id="322" w:name="_Toc398902974"/>
      <w:bookmarkStart w:id="323" w:name="_Toc398903297"/>
      <w:bookmarkStart w:id="324" w:name="_Toc398903486"/>
      <w:bookmarkStart w:id="325" w:name="_Toc398904083"/>
      <w:bookmarkStart w:id="326" w:name="_Toc398904591"/>
      <w:bookmarkStart w:id="327" w:name="_Toc401305951"/>
      <w:bookmarkStart w:id="328" w:name="_Toc401306626"/>
      <w:bookmarkStart w:id="329" w:name="_Toc401306695"/>
      <w:r>
        <w:t>Wireless to D</w:t>
      </w:r>
      <w:r w:rsidR="00A45E01">
        <w:t>igital Television</w:t>
      </w:r>
      <w:r w:rsidR="00C1483B">
        <w:t xml:space="preserve"> Interference</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0D83CE91" w14:textId="77777777" w:rsidR="003730FA" w:rsidRDefault="003730FA" w:rsidP="004E5F4F">
      <w:pPr>
        <w:pStyle w:val="Heading5"/>
        <w:widowControl/>
      </w:pPr>
      <w:bookmarkStart w:id="330" w:name="_Toc393784366"/>
      <w:bookmarkStart w:id="331" w:name="_Toc393784390"/>
      <w:bookmarkStart w:id="332" w:name="_Toc393895646"/>
      <w:bookmarkStart w:id="333" w:name="_Toc394059155"/>
      <w:bookmarkStart w:id="334" w:name="_Toc394068159"/>
      <w:bookmarkStart w:id="335" w:name="_Toc394672090"/>
      <w:bookmarkStart w:id="336" w:name="_Toc395701590"/>
      <w:bookmarkStart w:id="337" w:name="_Toc395883765"/>
      <w:bookmarkStart w:id="338" w:name="_Toc396393941"/>
      <w:bookmarkStart w:id="339" w:name="_Toc396393964"/>
      <w:bookmarkStart w:id="340" w:name="_Toc396492676"/>
      <w:bookmarkStart w:id="341" w:name="_Toc396492700"/>
      <w:bookmarkStart w:id="342" w:name="_Toc396915797"/>
      <w:bookmarkStart w:id="343" w:name="_Toc396995198"/>
      <w:bookmarkStart w:id="344" w:name="_Toc396995833"/>
      <w:bookmarkStart w:id="345" w:name="_Toc397609526"/>
      <w:bookmarkStart w:id="346" w:name="_Toc397610951"/>
      <w:bookmarkStart w:id="347" w:name="_Toc397962801"/>
      <w:bookmarkStart w:id="348" w:name="_Toc398023579"/>
      <w:bookmarkStart w:id="349" w:name="_Toc398902975"/>
      <w:bookmarkStart w:id="350" w:name="_Toc398903298"/>
      <w:bookmarkStart w:id="351" w:name="_Toc398903487"/>
      <w:bookmarkStart w:id="352" w:name="_Toc398904084"/>
      <w:bookmarkStart w:id="353" w:name="_Toc398904592"/>
      <w:bookmarkStart w:id="354" w:name="_Toc401305952"/>
      <w:bookmarkStart w:id="355" w:name="_Toc401306627"/>
      <w:bookmarkStart w:id="356" w:name="_Toc401306696"/>
      <w:r>
        <w:t>Case 3</w:t>
      </w:r>
      <w:bookmarkEnd w:id="330"/>
      <w:bookmarkEnd w:id="331"/>
      <w:bookmarkEnd w:id="332"/>
      <w:bookmarkEnd w:id="333"/>
      <w:bookmarkEnd w:id="334"/>
      <w:bookmarkEnd w:id="335"/>
      <w:r w:rsidR="009F7C9F">
        <w:t>:  W</w:t>
      </w:r>
      <w:r w:rsidR="00D4730B">
        <w:t xml:space="preserve">ireless </w:t>
      </w:r>
      <w:r w:rsidR="009F7C9F">
        <w:t>B</w:t>
      </w:r>
      <w:r w:rsidR="00D4730B">
        <w:t xml:space="preserve">ase </w:t>
      </w:r>
      <w:r w:rsidR="00A45E01">
        <w:t>S</w:t>
      </w:r>
      <w:r w:rsidR="00D4730B">
        <w:t>tation</w:t>
      </w:r>
      <w:r w:rsidR="00A45E01">
        <w:t xml:space="preserve"> </w:t>
      </w:r>
      <w:r w:rsidR="00D4730B">
        <w:t>to</w:t>
      </w:r>
      <w:r w:rsidR="00A45E01">
        <w:t xml:space="preserve"> </w:t>
      </w:r>
      <w:r w:rsidR="00D4730B">
        <w:t>D</w:t>
      </w:r>
      <w:r w:rsidR="00A45E01">
        <w:t>igital Television</w:t>
      </w:r>
      <w:r w:rsidR="00D4730B">
        <w:t xml:space="preserve"> </w:t>
      </w:r>
      <w:r w:rsidR="009F7C9F">
        <w:t>R</w:t>
      </w:r>
      <w:r w:rsidR="00D4730B">
        <w:t>eceiver</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14984607" w14:textId="77777777" w:rsidR="00636552" w:rsidRDefault="000E0050" w:rsidP="004E5F4F">
      <w:pPr>
        <w:pStyle w:val="ParaNum"/>
        <w:keepNext/>
        <w:widowControl/>
      </w:pPr>
      <w:bookmarkStart w:id="357" w:name="_Ref398031686"/>
      <w:r>
        <w:t xml:space="preserve">We adopt the ISIX Methodology </w:t>
      </w:r>
      <w:r w:rsidR="00892A84">
        <w:t xml:space="preserve">and input values </w:t>
      </w:r>
      <w:r>
        <w:t xml:space="preserve">as proposed in the </w:t>
      </w:r>
      <w:r w:rsidRPr="00111E66">
        <w:rPr>
          <w:i/>
        </w:rPr>
        <w:t>ISIX PN</w:t>
      </w:r>
      <w:r>
        <w:t xml:space="preserve"> </w:t>
      </w:r>
      <w:r w:rsidR="00382889">
        <w:t xml:space="preserve">for use during the incentive auction </w:t>
      </w:r>
      <w:r w:rsidR="00636552">
        <w:t>to predict</w:t>
      </w:r>
      <w:r w:rsidR="00A560D5">
        <w:t xml:space="preserve"> interference from wireless base stations to DTV receivers (</w:t>
      </w:r>
      <w:r>
        <w:t>Case 3</w:t>
      </w:r>
      <w:r w:rsidR="00A560D5">
        <w:t>)</w:t>
      </w:r>
      <w:r>
        <w:t>, except</w:t>
      </w:r>
      <w:r w:rsidR="00636552">
        <w:t xml:space="preserve"> that (1)</w:t>
      </w:r>
      <w:r>
        <w:t xml:space="preserve"> we adopt </w:t>
      </w:r>
      <w:r w:rsidR="0016677F">
        <w:t xml:space="preserve">slightly </w:t>
      </w:r>
      <w:r w:rsidR="00257A6E">
        <w:t xml:space="preserve">higher </w:t>
      </w:r>
      <w:r>
        <w:t xml:space="preserve">D/U ratios </w:t>
      </w:r>
      <w:r w:rsidR="00636552">
        <w:t xml:space="preserve">(by 1 dB) </w:t>
      </w:r>
      <w:r w:rsidR="00382889">
        <w:t xml:space="preserve">for co-channel </w:t>
      </w:r>
      <w:r w:rsidR="00892A84">
        <w:t xml:space="preserve">operations </w:t>
      </w:r>
      <w:r w:rsidR="00636552">
        <w:t>based on</w:t>
      </w:r>
      <w:r w:rsidR="00111E66">
        <w:t xml:space="preserve"> the measurements</w:t>
      </w:r>
      <w:r w:rsidR="00636552">
        <w:t xml:space="preserve"> conducted by the staff and </w:t>
      </w:r>
      <w:r w:rsidR="00382889">
        <w:t xml:space="preserve">CEA, and </w:t>
      </w:r>
      <w:r w:rsidR="00636552">
        <w:t xml:space="preserve">(2) we will not </w:t>
      </w:r>
      <w:r>
        <w:t>consider clutter loss.</w:t>
      </w:r>
      <w:bookmarkEnd w:id="357"/>
    </w:p>
    <w:p w14:paraId="30C33A9C" w14:textId="7D374453" w:rsidR="0070748D" w:rsidRDefault="00636552" w:rsidP="00326714">
      <w:pPr>
        <w:pStyle w:val="ParaNum"/>
      </w:pPr>
      <w:r w:rsidRPr="00CD072C">
        <w:rPr>
          <w:i/>
        </w:rPr>
        <w:t>D/U ratios.</w:t>
      </w:r>
      <w:r>
        <w:t xml:space="preserve">  </w:t>
      </w:r>
      <w:r w:rsidR="00CB30CE">
        <w:t xml:space="preserve">As stated above, the </w:t>
      </w:r>
      <w:r w:rsidR="00CB30CE" w:rsidRPr="00CD072C">
        <w:rPr>
          <w:i/>
        </w:rPr>
        <w:t xml:space="preserve">ISIX PN </w:t>
      </w:r>
      <w:r w:rsidR="00CB30CE">
        <w:t>was premise</w:t>
      </w:r>
      <w:r w:rsidR="00EF3075">
        <w:t>d on the assumption that</w:t>
      </w:r>
      <w:r w:rsidR="00CB30CE">
        <w:t xml:space="preserve"> </w:t>
      </w:r>
      <w:r w:rsidR="00892A84">
        <w:t xml:space="preserve">ATSC </w:t>
      </w:r>
      <w:r w:rsidR="00CB30CE">
        <w:t>DTV and LTE signals are su</w:t>
      </w:r>
      <w:r w:rsidR="00CF6F5F">
        <w:t xml:space="preserve">fficiently similar </w:t>
      </w:r>
      <w:r w:rsidR="00257A6E">
        <w:t xml:space="preserve">that the </w:t>
      </w:r>
      <w:r w:rsidR="00CB30CE">
        <w:t xml:space="preserve">D/U ratios </w:t>
      </w:r>
      <w:r w:rsidR="00326714">
        <w:t xml:space="preserve">in our rules for television-to-television </w:t>
      </w:r>
      <w:r w:rsidR="00CB30CE">
        <w:t xml:space="preserve">interference </w:t>
      </w:r>
      <w:r w:rsidR="00257A6E">
        <w:t>can be used</w:t>
      </w:r>
      <w:r w:rsidR="0066116B">
        <w:t xml:space="preserve"> in predicting interference from wireless base stations to </w:t>
      </w:r>
      <w:r w:rsidR="00892A84">
        <w:t>television</w:t>
      </w:r>
      <w:r w:rsidR="0066116B">
        <w:t xml:space="preserve"> receivers</w:t>
      </w:r>
      <w:r w:rsidR="00CB30CE">
        <w:t>.</w:t>
      </w:r>
      <w:r w:rsidR="00CB30CE">
        <w:rPr>
          <w:rStyle w:val="FootnoteReference"/>
        </w:rPr>
        <w:footnoteReference w:id="146"/>
      </w:r>
      <w:r w:rsidR="00CB30CE">
        <w:t xml:space="preserve">  In response to concerns raised by some commenters,</w:t>
      </w:r>
      <w:r w:rsidR="0066116B">
        <w:rPr>
          <w:rStyle w:val="FootnoteReference"/>
        </w:rPr>
        <w:footnoteReference w:id="147"/>
      </w:r>
      <w:r w:rsidR="00CB30CE">
        <w:t xml:space="preserve"> OET measured the susceptibility of a number of DTV receivers to </w:t>
      </w:r>
      <w:r w:rsidR="00257A6E">
        <w:t xml:space="preserve">interference from LTE </w:t>
      </w:r>
      <w:r w:rsidR="0066116B">
        <w:t>signal</w:t>
      </w:r>
      <w:r w:rsidR="00382889">
        <w:t>s</w:t>
      </w:r>
      <w:r w:rsidR="00CB30CE">
        <w:t xml:space="preserve">, and </w:t>
      </w:r>
      <w:r w:rsidR="00797622">
        <w:t xml:space="preserve">CEA </w:t>
      </w:r>
      <w:r w:rsidR="00CB30CE">
        <w:t>conducted</w:t>
      </w:r>
      <w:r w:rsidR="0066116B">
        <w:t xml:space="preserve"> additional</w:t>
      </w:r>
      <w:r w:rsidR="00CB30CE">
        <w:t xml:space="preserve"> measurements with six different DTV receivers.</w:t>
      </w:r>
      <w:r w:rsidR="00326714">
        <w:rPr>
          <w:rStyle w:val="FootnoteReference"/>
        </w:rPr>
        <w:footnoteReference w:id="148"/>
      </w:r>
      <w:r w:rsidR="0066116B">
        <w:t xml:space="preserve">  W</w:t>
      </w:r>
      <w:r w:rsidR="00CB30CE">
        <w:t>e conclude that th</w:t>
      </w:r>
      <w:r w:rsidR="0066116B">
        <w:t xml:space="preserve">e record supports the </w:t>
      </w:r>
      <w:r w:rsidR="00797622">
        <w:t xml:space="preserve">D/U </w:t>
      </w:r>
      <w:r w:rsidR="0066116B">
        <w:t xml:space="preserve">ratios </w:t>
      </w:r>
      <w:r w:rsidR="00382889">
        <w:t>proposed in the ISIX PN</w:t>
      </w:r>
      <w:r w:rsidR="00FF3141">
        <w:t xml:space="preserve"> for adjacent channel interference </w:t>
      </w:r>
      <w:r w:rsidR="00382889">
        <w:t>based on the measurements conducted by staff and CEA</w:t>
      </w:r>
      <w:r w:rsidR="0066116B">
        <w:t>.</w:t>
      </w:r>
      <w:r w:rsidR="003200DD" w:rsidRPr="00EA7939">
        <w:rPr>
          <w:rStyle w:val="FootnoteReference"/>
        </w:rPr>
        <w:footnoteReference w:id="149"/>
      </w:r>
      <w:r w:rsidR="00EF3075">
        <w:t xml:space="preserve">  </w:t>
      </w:r>
      <w:r w:rsidR="00FF3141">
        <w:t>However, b</w:t>
      </w:r>
      <w:r>
        <w:t xml:space="preserve">ased on </w:t>
      </w:r>
      <w:r w:rsidR="00847FAD">
        <w:t>the</w:t>
      </w:r>
      <w:r>
        <w:t xml:space="preserve"> </w:t>
      </w:r>
      <w:r w:rsidR="005B745C">
        <w:t xml:space="preserve">measurement </w:t>
      </w:r>
      <w:r w:rsidR="00847FAD">
        <w:t>data</w:t>
      </w:r>
      <w:r>
        <w:t>, LTE signals create slightly more co-channel interference to DTV reception than other DTV signals</w:t>
      </w:r>
      <w:r w:rsidR="008533E7">
        <w:t>.</w:t>
      </w:r>
      <w:r w:rsidR="005B745C">
        <w:rPr>
          <w:rStyle w:val="FootnoteReference"/>
        </w:rPr>
        <w:footnoteReference w:id="150"/>
      </w:r>
      <w:r w:rsidR="00F45644">
        <w:t xml:space="preserve"> </w:t>
      </w:r>
      <w:r w:rsidR="008533E7">
        <w:t xml:space="preserve"> We conclude</w:t>
      </w:r>
      <w:r w:rsidR="00D47954">
        <w:t xml:space="preserve"> </w:t>
      </w:r>
      <w:r>
        <w:t xml:space="preserve">that the D/U </w:t>
      </w:r>
      <w:r w:rsidR="008533E7">
        <w:t>ratios</w:t>
      </w:r>
      <w:r>
        <w:t xml:space="preserve"> </w:t>
      </w:r>
      <w:r w:rsidR="00D47954">
        <w:t xml:space="preserve">proposed in the </w:t>
      </w:r>
      <w:r w:rsidR="00D47954" w:rsidRPr="00CD072C">
        <w:rPr>
          <w:i/>
        </w:rPr>
        <w:t>ISIX PN</w:t>
      </w:r>
      <w:r>
        <w:t xml:space="preserve"> </w:t>
      </w:r>
      <w:r w:rsidR="00FF3141">
        <w:t xml:space="preserve">for co-channel interference </w:t>
      </w:r>
      <w:r>
        <w:t>should be increased by 1dB from 15 dB to 16 dB</w:t>
      </w:r>
      <w:r w:rsidR="008533E7">
        <w:t xml:space="preserve"> in light of this data</w:t>
      </w:r>
      <w:r w:rsidR="003200DD" w:rsidRPr="003200DD">
        <w:t>.</w:t>
      </w:r>
      <w:r w:rsidRPr="003200DD">
        <w:rPr>
          <w:rStyle w:val="FootnoteReference"/>
        </w:rPr>
        <w:footnoteReference w:id="151"/>
      </w:r>
      <w:r>
        <w:t xml:space="preserve">  Therefore, we adopt the following D/U ratios for </w:t>
      </w:r>
      <w:r w:rsidR="00D47954" w:rsidRPr="00F07005">
        <w:t xml:space="preserve">different degrees of spectral overlap in </w:t>
      </w:r>
      <w:r w:rsidRPr="00F07005">
        <w:t xml:space="preserve">Case 3. </w:t>
      </w:r>
      <w:r w:rsidR="003200DD">
        <w:t xml:space="preserve"> </w:t>
      </w:r>
      <w:r w:rsidR="00D47954" w:rsidRPr="00F07005">
        <w:t>T</w:t>
      </w:r>
      <w:r w:rsidRPr="00F07005">
        <w:t>his</w:t>
      </w:r>
      <w:r>
        <w:t xml:space="preserve"> adjustment will result in a more accurate determination of impairments to </w:t>
      </w:r>
      <w:r w:rsidR="00892A84">
        <w:t>co-</w:t>
      </w:r>
      <w:r w:rsidR="00E93121">
        <w:t xml:space="preserve">channel </w:t>
      </w:r>
      <w:r>
        <w:t>wireless operat</w:t>
      </w:r>
      <w:r w:rsidR="00892A84">
        <w:t>ions</w:t>
      </w:r>
      <w:r>
        <w:t xml:space="preserve"> </w:t>
      </w:r>
      <w:r w:rsidRPr="00A560D5">
        <w:t xml:space="preserve">to </w:t>
      </w:r>
      <w:r w:rsidR="008533E7">
        <w:t xml:space="preserve">any </w:t>
      </w:r>
      <w:r w:rsidRPr="00A560D5">
        <w:t xml:space="preserve">broadcast television stations that are assigned to the downlink 600 MHz </w:t>
      </w:r>
      <w:r w:rsidR="004D4544">
        <w:t xml:space="preserve">Band </w:t>
      </w:r>
      <w:r w:rsidRPr="00A560D5">
        <w:t>spectrum</w:t>
      </w:r>
      <w:r w:rsidR="008533E7">
        <w:t xml:space="preserve"> </w:t>
      </w:r>
      <w:r w:rsidR="00F40DA2">
        <w:t>as a result of market variation</w:t>
      </w:r>
      <w:r>
        <w:t>.</w:t>
      </w:r>
      <w:r w:rsidR="000E0050">
        <w:t xml:space="preserve"> </w:t>
      </w:r>
      <w:r w:rsidR="00F1278A">
        <w:t>Th</w:t>
      </w:r>
      <w:r w:rsidR="00F1278A" w:rsidRPr="00B06214">
        <w:t>e</w:t>
      </w:r>
      <w:r w:rsidR="00F1278A">
        <w:t xml:space="preserve"> D/U ratios are accordingly</w:t>
      </w:r>
      <w:r w:rsidR="00F1278A" w:rsidRPr="00B06214">
        <w:t xml:space="preserve"> </w:t>
      </w:r>
      <w:r w:rsidR="00F1278A">
        <w:t>adjus</w:t>
      </w:r>
      <w:r w:rsidR="00F1278A" w:rsidRPr="00B06214">
        <w:t xml:space="preserve">ted </w:t>
      </w:r>
      <w:r w:rsidR="00F1278A">
        <w:t xml:space="preserve">as shown in </w:t>
      </w:r>
      <w:r w:rsidR="00F1278A">
        <w:fldChar w:fldCharType="begin"/>
      </w:r>
      <w:r w:rsidR="00F1278A">
        <w:instrText xml:space="preserve"> REF TableBody_1 \h </w:instrText>
      </w:r>
      <w:r w:rsidR="00F1278A">
        <w:fldChar w:fldCharType="separate"/>
      </w:r>
      <w:r w:rsidR="00656F50">
        <w:t xml:space="preserve">Table </w:t>
      </w:r>
      <w:r w:rsidR="00656F50">
        <w:rPr>
          <w:noProof/>
        </w:rPr>
        <w:t>1</w:t>
      </w:r>
      <w:r w:rsidR="00F1278A">
        <w:fldChar w:fldCharType="end"/>
      </w:r>
      <w:r w:rsidR="00F1278A">
        <w:t xml:space="preserve"> </w:t>
      </w:r>
      <w:r w:rsidR="00F1278A" w:rsidRPr="00B06214">
        <w:t>below.</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74"/>
        <w:gridCol w:w="1027"/>
        <w:gridCol w:w="1027"/>
        <w:gridCol w:w="1027"/>
        <w:gridCol w:w="1027"/>
        <w:gridCol w:w="906"/>
        <w:gridCol w:w="956"/>
        <w:gridCol w:w="1032"/>
      </w:tblGrid>
      <w:tr w:rsidR="001A4338" w:rsidRPr="001A4338" w14:paraId="410A52EB" w14:textId="77777777" w:rsidTr="00F1278A">
        <w:trPr>
          <w:jc w:val="center"/>
        </w:trPr>
        <w:tc>
          <w:tcPr>
            <w:tcW w:w="1344" w:type="pct"/>
            <w:tcBorders>
              <w:top w:val="single" w:sz="4" w:space="0" w:color="auto"/>
              <w:bottom w:val="single" w:sz="6" w:space="0" w:color="auto"/>
            </w:tcBorders>
            <w:shd w:val="clear" w:color="auto" w:fill="E0E0E0"/>
            <w:vAlign w:val="center"/>
          </w:tcPr>
          <w:p w14:paraId="4CAC31C3" w14:textId="77777777" w:rsidR="001A4338" w:rsidRPr="001A4338" w:rsidRDefault="001A4338" w:rsidP="00FC7CCB">
            <w:pPr>
              <w:keepNext/>
            </w:pPr>
            <w:r w:rsidRPr="001A4338">
              <w:t>Spectral Overlap (MHz)</w:t>
            </w:r>
          </w:p>
        </w:tc>
        <w:tc>
          <w:tcPr>
            <w:tcW w:w="536" w:type="pct"/>
            <w:tcBorders>
              <w:top w:val="single" w:sz="4" w:space="0" w:color="auto"/>
              <w:bottom w:val="single" w:sz="6" w:space="0" w:color="auto"/>
            </w:tcBorders>
            <w:shd w:val="clear" w:color="auto" w:fill="E0E0E0"/>
            <w:vAlign w:val="center"/>
          </w:tcPr>
          <w:p w14:paraId="04FDDD6F" w14:textId="77777777" w:rsidR="001A4338" w:rsidRPr="001A4338" w:rsidRDefault="001A4338" w:rsidP="00FC7CCB">
            <w:pPr>
              <w:keepNext/>
              <w:jc w:val="center"/>
            </w:pPr>
            <w:r w:rsidRPr="001A4338">
              <w:t>5</w:t>
            </w:r>
          </w:p>
        </w:tc>
        <w:tc>
          <w:tcPr>
            <w:tcW w:w="536" w:type="pct"/>
            <w:tcBorders>
              <w:top w:val="single" w:sz="4" w:space="0" w:color="auto"/>
              <w:bottom w:val="single" w:sz="6" w:space="0" w:color="auto"/>
            </w:tcBorders>
            <w:shd w:val="clear" w:color="auto" w:fill="E0E0E0"/>
            <w:vAlign w:val="center"/>
          </w:tcPr>
          <w:p w14:paraId="1A24ABC4" w14:textId="77777777" w:rsidR="001A4338" w:rsidRPr="001A4338" w:rsidRDefault="001A4338" w:rsidP="00FC7CCB">
            <w:pPr>
              <w:keepNext/>
              <w:jc w:val="center"/>
            </w:pPr>
            <w:r w:rsidRPr="001A4338">
              <w:t>4</w:t>
            </w:r>
          </w:p>
        </w:tc>
        <w:tc>
          <w:tcPr>
            <w:tcW w:w="536" w:type="pct"/>
            <w:tcBorders>
              <w:top w:val="single" w:sz="4" w:space="0" w:color="auto"/>
              <w:bottom w:val="single" w:sz="6" w:space="0" w:color="auto"/>
            </w:tcBorders>
            <w:shd w:val="clear" w:color="auto" w:fill="E0E0E0"/>
            <w:vAlign w:val="center"/>
          </w:tcPr>
          <w:p w14:paraId="0BDE39C6" w14:textId="77777777" w:rsidR="001A4338" w:rsidRPr="001A4338" w:rsidRDefault="001A4338" w:rsidP="00FC7CCB">
            <w:pPr>
              <w:keepNext/>
              <w:jc w:val="center"/>
            </w:pPr>
            <w:r w:rsidRPr="001A4338">
              <w:t>3</w:t>
            </w:r>
          </w:p>
        </w:tc>
        <w:tc>
          <w:tcPr>
            <w:tcW w:w="536" w:type="pct"/>
            <w:tcBorders>
              <w:top w:val="single" w:sz="4" w:space="0" w:color="auto"/>
              <w:bottom w:val="single" w:sz="6" w:space="0" w:color="auto"/>
            </w:tcBorders>
            <w:shd w:val="clear" w:color="auto" w:fill="E0E0E0"/>
            <w:vAlign w:val="center"/>
          </w:tcPr>
          <w:p w14:paraId="675B23EA" w14:textId="77777777" w:rsidR="001A4338" w:rsidRPr="001A4338" w:rsidRDefault="001A4338" w:rsidP="00FC7CCB">
            <w:pPr>
              <w:keepNext/>
              <w:jc w:val="center"/>
            </w:pPr>
            <w:r w:rsidRPr="001A4338">
              <w:t>2</w:t>
            </w:r>
          </w:p>
        </w:tc>
        <w:tc>
          <w:tcPr>
            <w:tcW w:w="473" w:type="pct"/>
            <w:tcBorders>
              <w:top w:val="single" w:sz="4" w:space="0" w:color="auto"/>
              <w:bottom w:val="single" w:sz="6" w:space="0" w:color="auto"/>
            </w:tcBorders>
            <w:shd w:val="clear" w:color="auto" w:fill="E0E0E0"/>
            <w:vAlign w:val="center"/>
          </w:tcPr>
          <w:p w14:paraId="2E7DB0AF" w14:textId="77777777" w:rsidR="001A4338" w:rsidRPr="001A4338" w:rsidRDefault="001A4338" w:rsidP="00FC7CCB">
            <w:pPr>
              <w:keepNext/>
              <w:jc w:val="center"/>
            </w:pPr>
            <w:r w:rsidRPr="001A4338">
              <w:t>1</w:t>
            </w:r>
          </w:p>
        </w:tc>
        <w:tc>
          <w:tcPr>
            <w:tcW w:w="499" w:type="pct"/>
            <w:tcBorders>
              <w:top w:val="single" w:sz="4" w:space="0" w:color="auto"/>
              <w:bottom w:val="single" w:sz="6" w:space="0" w:color="auto"/>
            </w:tcBorders>
            <w:shd w:val="clear" w:color="auto" w:fill="E0E0E0"/>
            <w:vAlign w:val="center"/>
          </w:tcPr>
          <w:p w14:paraId="26EFF9E6" w14:textId="77777777" w:rsidR="001A4338" w:rsidRPr="001A4338" w:rsidRDefault="001A4338" w:rsidP="00FC7CCB">
            <w:pPr>
              <w:keepNext/>
              <w:jc w:val="center"/>
            </w:pPr>
            <w:r w:rsidRPr="001A4338">
              <w:t>0</w:t>
            </w:r>
          </w:p>
        </w:tc>
        <w:tc>
          <w:tcPr>
            <w:tcW w:w="539" w:type="pct"/>
            <w:tcBorders>
              <w:top w:val="single" w:sz="4" w:space="0" w:color="auto"/>
              <w:bottom w:val="single" w:sz="6" w:space="0" w:color="auto"/>
            </w:tcBorders>
            <w:shd w:val="clear" w:color="auto" w:fill="E0E0E0"/>
            <w:vAlign w:val="center"/>
          </w:tcPr>
          <w:p w14:paraId="5F52BB9A" w14:textId="77777777" w:rsidR="00CE4A0C" w:rsidRDefault="001A4338" w:rsidP="00FC7CCB">
            <w:pPr>
              <w:keepNext/>
              <w:jc w:val="center"/>
            </w:pPr>
            <w:r w:rsidRPr="001A4338">
              <w:t xml:space="preserve">-1 to </w:t>
            </w:r>
          </w:p>
          <w:p w14:paraId="03F3F4FD" w14:textId="77777777" w:rsidR="001A4338" w:rsidRPr="001A4338" w:rsidRDefault="001A4338" w:rsidP="00FC7CCB">
            <w:pPr>
              <w:keepNext/>
              <w:jc w:val="center"/>
            </w:pPr>
            <w:r w:rsidRPr="001A4338">
              <w:t>-5</w:t>
            </w:r>
            <w:r w:rsidRPr="001A4338">
              <w:rPr>
                <w:sz w:val="20"/>
                <w:vertAlign w:val="superscript"/>
              </w:rPr>
              <w:footnoteReference w:id="152"/>
            </w:r>
          </w:p>
        </w:tc>
      </w:tr>
      <w:tr w:rsidR="001A4338" w:rsidRPr="001A4338" w14:paraId="43297713" w14:textId="77777777" w:rsidTr="00F1278A">
        <w:trPr>
          <w:cantSplit/>
          <w:jc w:val="center"/>
        </w:trPr>
        <w:tc>
          <w:tcPr>
            <w:tcW w:w="1344" w:type="pct"/>
            <w:tcBorders>
              <w:top w:val="single" w:sz="6" w:space="0" w:color="auto"/>
              <w:bottom w:val="single" w:sz="6" w:space="0" w:color="auto"/>
            </w:tcBorders>
            <w:vAlign w:val="center"/>
          </w:tcPr>
          <w:p w14:paraId="441BE660" w14:textId="77777777" w:rsidR="001A4338" w:rsidRPr="001A4338" w:rsidRDefault="001A4338" w:rsidP="00FC7CCB">
            <w:pPr>
              <w:keepNext/>
            </w:pPr>
            <w:r w:rsidRPr="001A4338">
              <w:t xml:space="preserve">Downlink into DTV </w:t>
            </w:r>
            <w:r w:rsidRPr="001A4338">
              <w:br/>
              <w:t>D/U Required (dB)</w:t>
            </w:r>
          </w:p>
        </w:tc>
        <w:tc>
          <w:tcPr>
            <w:tcW w:w="536" w:type="pct"/>
            <w:tcBorders>
              <w:top w:val="single" w:sz="6" w:space="0" w:color="auto"/>
              <w:bottom w:val="single" w:sz="6" w:space="0" w:color="auto"/>
            </w:tcBorders>
            <w:vAlign w:val="center"/>
          </w:tcPr>
          <w:p w14:paraId="7D61C504" w14:textId="77777777" w:rsidR="001A4338" w:rsidRPr="001A4338" w:rsidRDefault="001A4338" w:rsidP="00FC7CCB">
            <w:pPr>
              <w:keepNext/>
              <w:jc w:val="center"/>
            </w:pPr>
            <w:r w:rsidRPr="001A4338">
              <w:t>16.0 + α</w:t>
            </w:r>
          </w:p>
        </w:tc>
        <w:tc>
          <w:tcPr>
            <w:tcW w:w="536" w:type="pct"/>
            <w:tcBorders>
              <w:top w:val="single" w:sz="6" w:space="0" w:color="auto"/>
              <w:bottom w:val="single" w:sz="6" w:space="0" w:color="auto"/>
            </w:tcBorders>
            <w:vAlign w:val="center"/>
          </w:tcPr>
          <w:p w14:paraId="2AD029FC" w14:textId="77777777" w:rsidR="001A4338" w:rsidRPr="001A4338" w:rsidRDefault="001A4338" w:rsidP="00FC7CCB">
            <w:pPr>
              <w:keepNext/>
              <w:jc w:val="center"/>
            </w:pPr>
            <w:r w:rsidRPr="001A4338">
              <w:t>15.1 + α</w:t>
            </w:r>
          </w:p>
        </w:tc>
        <w:tc>
          <w:tcPr>
            <w:tcW w:w="536" w:type="pct"/>
            <w:tcBorders>
              <w:top w:val="single" w:sz="6" w:space="0" w:color="auto"/>
              <w:bottom w:val="single" w:sz="6" w:space="0" w:color="auto"/>
            </w:tcBorders>
            <w:vAlign w:val="center"/>
          </w:tcPr>
          <w:p w14:paraId="0EE76205" w14:textId="77777777" w:rsidR="001A4338" w:rsidRPr="001A4338" w:rsidRDefault="001A4338" w:rsidP="00FC7CCB">
            <w:pPr>
              <w:keepNext/>
              <w:jc w:val="center"/>
            </w:pPr>
            <w:r w:rsidRPr="001A4338">
              <w:t>13.8 + α</w:t>
            </w:r>
          </w:p>
        </w:tc>
        <w:tc>
          <w:tcPr>
            <w:tcW w:w="536" w:type="pct"/>
            <w:tcBorders>
              <w:top w:val="single" w:sz="6" w:space="0" w:color="auto"/>
              <w:bottom w:val="single" w:sz="6" w:space="0" w:color="auto"/>
            </w:tcBorders>
            <w:vAlign w:val="center"/>
          </w:tcPr>
          <w:p w14:paraId="5DA81981" w14:textId="77777777" w:rsidR="001A4338" w:rsidRPr="001A4338" w:rsidRDefault="001A4338" w:rsidP="00FC7CCB">
            <w:pPr>
              <w:keepNext/>
              <w:jc w:val="center"/>
            </w:pPr>
            <w:r w:rsidRPr="001A4338">
              <w:t>12.1 + α</w:t>
            </w:r>
          </w:p>
        </w:tc>
        <w:tc>
          <w:tcPr>
            <w:tcW w:w="473" w:type="pct"/>
            <w:tcBorders>
              <w:top w:val="single" w:sz="6" w:space="0" w:color="auto"/>
              <w:bottom w:val="single" w:sz="6" w:space="0" w:color="auto"/>
            </w:tcBorders>
            <w:vAlign w:val="center"/>
          </w:tcPr>
          <w:p w14:paraId="14E752D7" w14:textId="77777777" w:rsidR="001A4338" w:rsidRPr="001A4338" w:rsidRDefault="001A4338" w:rsidP="00FC7CCB">
            <w:pPr>
              <w:keepNext/>
              <w:jc w:val="center"/>
            </w:pPr>
            <w:r w:rsidRPr="001A4338">
              <w:t>9.3 + α</w:t>
            </w:r>
          </w:p>
        </w:tc>
        <w:tc>
          <w:tcPr>
            <w:tcW w:w="499" w:type="pct"/>
            <w:tcBorders>
              <w:top w:val="single" w:sz="6" w:space="0" w:color="auto"/>
              <w:bottom w:val="single" w:sz="6" w:space="0" w:color="auto"/>
            </w:tcBorders>
            <w:vAlign w:val="center"/>
          </w:tcPr>
          <w:p w14:paraId="0961C7F1" w14:textId="77777777" w:rsidR="001A4338" w:rsidRPr="001A4338" w:rsidRDefault="001A4338" w:rsidP="00CE4A0C">
            <w:pPr>
              <w:keepNext/>
              <w:jc w:val="center"/>
            </w:pPr>
            <w:r w:rsidRPr="001A4338">
              <w:t>-</w:t>
            </w:r>
            <w:r w:rsidR="00CE4A0C">
              <w:t>2</w:t>
            </w:r>
            <w:r w:rsidRPr="001A4338">
              <w:t>.0 + α</w:t>
            </w:r>
          </w:p>
        </w:tc>
        <w:tc>
          <w:tcPr>
            <w:tcW w:w="539" w:type="pct"/>
            <w:tcBorders>
              <w:top w:val="single" w:sz="6" w:space="0" w:color="auto"/>
              <w:bottom w:val="single" w:sz="6" w:space="0" w:color="auto"/>
            </w:tcBorders>
            <w:vAlign w:val="center"/>
          </w:tcPr>
          <w:p w14:paraId="0740271F" w14:textId="77777777" w:rsidR="001A4338" w:rsidRPr="001A4338" w:rsidRDefault="001A4338" w:rsidP="00CE4A0C">
            <w:pPr>
              <w:keepNext/>
              <w:jc w:val="center"/>
            </w:pPr>
            <w:r w:rsidRPr="001A4338">
              <w:t>-1</w:t>
            </w:r>
            <w:r w:rsidR="00CE4A0C">
              <w:t>8</w:t>
            </w:r>
            <w:r w:rsidRPr="001A4338">
              <w:t xml:space="preserve"> + α</w:t>
            </w:r>
          </w:p>
        </w:tc>
      </w:tr>
    </w:tbl>
    <w:p w14:paraId="17B9659A" w14:textId="77777777" w:rsidR="00F1278A" w:rsidRDefault="00F1278A" w:rsidP="00F1278A">
      <w:pPr>
        <w:jc w:val="center"/>
      </w:pPr>
      <w:bookmarkStart w:id="358" w:name="TableBody_1"/>
      <w:r>
        <w:t xml:space="preserve">Table </w:t>
      </w:r>
      <w:r w:rsidR="000302DB">
        <w:fldChar w:fldCharType="begin"/>
      </w:r>
      <w:r w:rsidR="000302DB">
        <w:instrText xml:space="preserve"> SEQ TableBody \* MERGEFORMAT </w:instrText>
      </w:r>
      <w:r w:rsidR="000302DB">
        <w:fldChar w:fldCharType="separate"/>
      </w:r>
      <w:r w:rsidR="00656F50">
        <w:rPr>
          <w:noProof/>
        </w:rPr>
        <w:t>1</w:t>
      </w:r>
      <w:r w:rsidR="000302DB">
        <w:rPr>
          <w:noProof/>
        </w:rPr>
        <w:fldChar w:fldCharType="end"/>
      </w:r>
      <w:bookmarkEnd w:id="358"/>
      <w:r>
        <w:t>.  D/U ratio limits for wireless interference to DTV.</w:t>
      </w:r>
    </w:p>
    <w:p w14:paraId="28C9F131" w14:textId="77777777" w:rsidR="001A4338" w:rsidRPr="00A560D5" w:rsidRDefault="001A4338" w:rsidP="006A744E"/>
    <w:p w14:paraId="66369DBF" w14:textId="77777777" w:rsidR="00876E5F" w:rsidRDefault="006E5D3C" w:rsidP="003200DD">
      <w:pPr>
        <w:pStyle w:val="ParaNum"/>
      </w:pPr>
      <w:bookmarkStart w:id="359" w:name="_Ref398031719"/>
      <w:r>
        <w:t xml:space="preserve">While </w:t>
      </w:r>
      <w:r w:rsidR="00876E5F">
        <w:t xml:space="preserve">one </w:t>
      </w:r>
      <w:r>
        <w:t xml:space="preserve">receiver </w:t>
      </w:r>
      <w:r w:rsidR="00FC4C2C">
        <w:t xml:space="preserve">OET </w:t>
      </w:r>
      <w:r w:rsidR="00876E5F">
        <w:t>m</w:t>
      </w:r>
      <w:r w:rsidR="009C60D7">
        <w:t>easured</w:t>
      </w:r>
      <w:r w:rsidR="00EA4677">
        <w:t xml:space="preserve"> </w:t>
      </w:r>
      <w:r>
        <w:t xml:space="preserve">was predicted to receive interference </w:t>
      </w:r>
      <w:r w:rsidR="007634AD">
        <w:t xml:space="preserve">at </w:t>
      </w:r>
      <w:r>
        <w:t xml:space="preserve">the D/U </w:t>
      </w:r>
      <w:r w:rsidR="008533E7">
        <w:t>ratios</w:t>
      </w:r>
      <w:r w:rsidR="00FA4460">
        <w:t xml:space="preserve"> we adopt </w:t>
      </w:r>
      <w:r w:rsidR="004B0975">
        <w:t>in this Order</w:t>
      </w:r>
      <w:r w:rsidR="008533E7">
        <w:t>,</w:t>
      </w:r>
      <w:r w:rsidR="00911E86">
        <w:rPr>
          <w:rStyle w:val="FootnoteReference"/>
        </w:rPr>
        <w:footnoteReference w:id="153"/>
      </w:r>
      <w:r w:rsidR="00FA4460">
        <w:t xml:space="preserve"> </w:t>
      </w:r>
      <w:r>
        <w:t xml:space="preserve">we conclude that this result does not </w:t>
      </w:r>
      <w:r w:rsidR="00EA4677">
        <w:t>undermine</w:t>
      </w:r>
      <w:r w:rsidR="00FC4C2C">
        <w:t xml:space="preserve"> </w:t>
      </w:r>
      <w:r w:rsidR="00ED50DE">
        <w:t>our decision</w:t>
      </w:r>
      <w:r w:rsidR="00876E5F">
        <w:t>.</w:t>
      </w:r>
      <w:r w:rsidR="00ED50DE">
        <w:t xml:space="preserve">  T</w:t>
      </w:r>
      <w:r>
        <w:t xml:space="preserve">his receiver is a </w:t>
      </w:r>
      <w:r w:rsidRPr="00386E37">
        <w:t xml:space="preserve">digital-to-analog </w:t>
      </w:r>
      <w:r>
        <w:t>converter box.  W</w:t>
      </w:r>
      <w:r w:rsidR="00876E5F">
        <w:t xml:space="preserve">hile we recognize that </w:t>
      </w:r>
      <w:r w:rsidR="00DA3341">
        <w:t xml:space="preserve">such </w:t>
      </w:r>
      <w:r w:rsidR="00A710D7">
        <w:t>converter</w:t>
      </w:r>
      <w:r w:rsidR="00876E5F">
        <w:t xml:space="preserve"> boxes </w:t>
      </w:r>
      <w:r w:rsidR="00DA3341">
        <w:t xml:space="preserve">remain </w:t>
      </w:r>
      <w:r w:rsidR="00876E5F">
        <w:t xml:space="preserve">in use and are still </w:t>
      </w:r>
      <w:r w:rsidR="00DA3341">
        <w:t xml:space="preserve">commercially </w:t>
      </w:r>
      <w:r w:rsidR="00876E5F">
        <w:t>available, the analog</w:t>
      </w:r>
      <w:r w:rsidR="00D44D9A">
        <w:t>-only</w:t>
      </w:r>
      <w:r w:rsidR="00876E5F">
        <w:t xml:space="preserve"> television </w:t>
      </w:r>
      <w:r w:rsidR="00283742">
        <w:t xml:space="preserve">receivers </w:t>
      </w:r>
      <w:r w:rsidR="00876E5F">
        <w:t xml:space="preserve">they are used with </w:t>
      </w:r>
      <w:r w:rsidR="00CA666A">
        <w:t>are</w:t>
      </w:r>
      <w:r w:rsidR="00876E5F">
        <w:t xml:space="preserve"> reaching the end of their life cycles.</w:t>
      </w:r>
      <w:r w:rsidR="007634AD">
        <w:rPr>
          <w:rStyle w:val="FootnoteReference"/>
        </w:rPr>
        <w:footnoteReference w:id="154"/>
      </w:r>
      <w:r w:rsidR="00FC4C2C">
        <w:t xml:space="preserve">  </w:t>
      </w:r>
      <w:r w:rsidR="00DA3341">
        <w:t xml:space="preserve">Television receivers with digital tuners have no need of such converter boxes, and </w:t>
      </w:r>
      <w:r w:rsidR="00D44D9A">
        <w:t>new t</w:t>
      </w:r>
      <w:r w:rsidR="00CF662F">
        <w:t>elevision receivers</w:t>
      </w:r>
      <w:r w:rsidR="00FC4C2C">
        <w:t xml:space="preserve"> </w:t>
      </w:r>
      <w:r w:rsidR="00950FD0">
        <w:t xml:space="preserve">have been required </w:t>
      </w:r>
      <w:r w:rsidR="00FC4C2C">
        <w:t>to include digital tuners</w:t>
      </w:r>
      <w:r w:rsidR="00DA3341">
        <w:t xml:space="preserve"> </w:t>
      </w:r>
      <w:r w:rsidR="00950FD0">
        <w:t xml:space="preserve">since </w:t>
      </w:r>
      <w:r w:rsidR="00D44D9A">
        <w:t>July 2004</w:t>
      </w:r>
      <w:r w:rsidR="00FC4C2C">
        <w:t>.</w:t>
      </w:r>
      <w:r w:rsidR="00CB5281">
        <w:rPr>
          <w:rStyle w:val="FootnoteReference"/>
        </w:rPr>
        <w:footnoteReference w:id="155"/>
      </w:r>
      <w:r w:rsidR="00FC4C2C">
        <w:t xml:space="preserve">  Thus, </w:t>
      </w:r>
      <w:r w:rsidR="00D44D9A">
        <w:t xml:space="preserve">most </w:t>
      </w:r>
      <w:r w:rsidR="00283742">
        <w:t xml:space="preserve">television </w:t>
      </w:r>
      <w:r w:rsidR="00CF662F">
        <w:t>receivers</w:t>
      </w:r>
      <w:r w:rsidR="00D44D9A">
        <w:t xml:space="preserve"> purchased </w:t>
      </w:r>
      <w:r w:rsidR="00950FD0">
        <w:t>since then</w:t>
      </w:r>
      <w:r w:rsidR="00CF662F">
        <w:t xml:space="preserve"> have no need for a converter box.</w:t>
      </w:r>
      <w:r w:rsidR="00876E5F">
        <w:t xml:space="preserve">  We </w:t>
      </w:r>
      <w:r w:rsidR="00950FD0">
        <w:t>decline to adjust the D/U ratios we adopt</w:t>
      </w:r>
      <w:r>
        <w:t xml:space="preserve"> </w:t>
      </w:r>
      <w:r w:rsidR="00D44D9A">
        <w:t xml:space="preserve">based on the susceptibility </w:t>
      </w:r>
      <w:r w:rsidR="00950FD0">
        <w:t xml:space="preserve">to LTE signal interference </w:t>
      </w:r>
      <w:r w:rsidR="00D44D9A">
        <w:t xml:space="preserve">of </w:t>
      </w:r>
      <w:r w:rsidR="004D4544">
        <w:t xml:space="preserve">obsolete </w:t>
      </w:r>
      <w:r w:rsidR="00950FD0">
        <w:t xml:space="preserve">analog-to-digital </w:t>
      </w:r>
      <w:r w:rsidR="00CF662F">
        <w:t>converter</w:t>
      </w:r>
      <w:r w:rsidR="00876E5F">
        <w:t xml:space="preserve"> boxes</w:t>
      </w:r>
      <w:r w:rsidR="004D4544">
        <w:t>, the vast majority of which will no longer be in</w:t>
      </w:r>
      <w:r w:rsidR="00876E5F">
        <w:t xml:space="preserve"> service </w:t>
      </w:r>
      <w:r w:rsidR="00DA64F3">
        <w:t xml:space="preserve">during and </w:t>
      </w:r>
      <w:r w:rsidR="004D4544">
        <w:t xml:space="preserve">after the </w:t>
      </w:r>
      <w:r w:rsidR="003754FB">
        <w:t>39-month Post Auction Transition Period</w:t>
      </w:r>
      <w:r w:rsidR="003754FB">
        <w:rPr>
          <w:rStyle w:val="FootnoteReference"/>
        </w:rPr>
        <w:footnoteReference w:id="156"/>
      </w:r>
      <w:bookmarkEnd w:id="359"/>
      <w:r w:rsidR="00876E5F">
        <w:t xml:space="preserve">  </w:t>
      </w:r>
    </w:p>
    <w:p w14:paraId="584E8406" w14:textId="77777777" w:rsidR="00892FDD" w:rsidRDefault="00892FDD" w:rsidP="003200DD">
      <w:pPr>
        <w:pStyle w:val="ParaNum"/>
      </w:pPr>
      <w:r>
        <w:t>Although broadcasters argue for more measurements, no commenter disagrees that DTV and LTE signals behave similarly because both have noise-like emission characteristics.  The measurement data from OET and CEA encompasses most new models of DTV receivers,</w:t>
      </w:r>
      <w:r w:rsidRPr="00116718">
        <w:rPr>
          <w:rStyle w:val="FootnoteReference"/>
        </w:rPr>
        <w:footnoteReference w:id="157"/>
      </w:r>
      <w:r>
        <w:t xml:space="preserve"> as well as a representative sample of older models.</w:t>
      </w:r>
      <w:r>
        <w:rPr>
          <w:rStyle w:val="FootnoteReference"/>
        </w:rPr>
        <w:footnoteReference w:id="158"/>
      </w:r>
      <w:r>
        <w:t xml:space="preserve">  With the exception of </w:t>
      </w:r>
      <w:r w:rsidR="003200DD">
        <w:t xml:space="preserve">the </w:t>
      </w:r>
      <w:r>
        <w:t xml:space="preserve">one digital-to-analog converter box that is no longer likely to be in use within a few years, </w:t>
      </w:r>
      <w:r w:rsidR="003200DD">
        <w:t xml:space="preserve">as discussed above, </w:t>
      </w:r>
      <w:r>
        <w:t xml:space="preserve">none of the DTV receivers OET tested was susceptible to LTE signal interference at the D/U ratios we adopt in this Order.  </w:t>
      </w:r>
      <w:r w:rsidR="004D4544">
        <w:t>T</w:t>
      </w:r>
      <w:r>
        <w:t>esting additional receivers under different conditions, as broadcasters advocate,</w:t>
      </w:r>
      <w:r>
        <w:rPr>
          <w:rStyle w:val="FootnoteReference"/>
        </w:rPr>
        <w:footnoteReference w:id="159"/>
      </w:r>
      <w:r>
        <w:t xml:space="preserve"> would delay </w:t>
      </w:r>
      <w:r w:rsidR="004D4544">
        <w:t>this proceeding, and therefore the auction,</w:t>
      </w:r>
      <w:r>
        <w:t xml:space="preserve"> without contributing meaningfully to the data in the record.  Accordingly, we conclude that the D/U ratios we adopt are sufficient to protect DTV receivers from LTE signal interference.  </w:t>
      </w:r>
    </w:p>
    <w:p w14:paraId="572BB9A3" w14:textId="77777777" w:rsidR="00876E5F" w:rsidRDefault="00CE4A1D" w:rsidP="003200DD">
      <w:pPr>
        <w:pStyle w:val="ParaNum"/>
      </w:pPr>
      <w:r>
        <w:t xml:space="preserve">We reject </w:t>
      </w:r>
      <w:r w:rsidR="00876E5F" w:rsidRPr="00AF7EEC">
        <w:t>claims that the measurement</w:t>
      </w:r>
      <w:r w:rsidR="00950FD0">
        <w:t xml:space="preserve"> data in the record is</w:t>
      </w:r>
      <w:r>
        <w:t xml:space="preserve"> not reliable because </w:t>
      </w:r>
      <w:r w:rsidR="00950FD0">
        <w:t>it does</w:t>
      </w:r>
      <w:r w:rsidR="00876E5F" w:rsidRPr="00AF7EEC">
        <w:t xml:space="preserve"> not </w:t>
      </w:r>
      <w:r w:rsidR="00295B7B">
        <w:t>consider</w:t>
      </w:r>
      <w:r w:rsidR="00876E5F" w:rsidRPr="00AF7EEC">
        <w:t xml:space="preserve"> factors such as multiple LTE interferers, third</w:t>
      </w:r>
      <w:r w:rsidR="00EA0D75">
        <w:t>-</w:t>
      </w:r>
      <w:r w:rsidR="00876E5F" w:rsidRPr="00AF7EEC">
        <w:t xml:space="preserve">order intermodulation (IM3) </w:t>
      </w:r>
      <w:r w:rsidR="004E4BE3">
        <w:t xml:space="preserve">or taboo </w:t>
      </w:r>
      <w:r w:rsidR="00876E5F" w:rsidRPr="00AF7EEC">
        <w:t>interference</w:t>
      </w:r>
      <w:r>
        <w:t>,</w:t>
      </w:r>
      <w:r w:rsidR="00876E5F" w:rsidRPr="00AF7EEC">
        <w:t xml:space="preserve"> and splatter.</w:t>
      </w:r>
      <w:r w:rsidR="00876E5F" w:rsidRPr="00AF7EEC">
        <w:rPr>
          <w:rStyle w:val="FootnoteReference"/>
        </w:rPr>
        <w:footnoteReference w:id="160"/>
      </w:r>
      <w:r w:rsidR="00876E5F" w:rsidRPr="00AF7EEC">
        <w:t xml:space="preserve">  </w:t>
      </w:r>
      <w:r>
        <w:t xml:space="preserve">The Commission’s rules </w:t>
      </w:r>
      <w:r w:rsidR="00950FD0">
        <w:t>governing</w:t>
      </w:r>
      <w:r>
        <w:t xml:space="preserve"> </w:t>
      </w:r>
      <w:r w:rsidR="00876E5F" w:rsidRPr="00771955">
        <w:t>DTV</w:t>
      </w:r>
      <w:r w:rsidR="00950FD0">
        <w:t>-to-DTV interference</w:t>
      </w:r>
      <w:r w:rsidR="00876E5F" w:rsidRPr="00771955">
        <w:t xml:space="preserve"> </w:t>
      </w:r>
      <w:r w:rsidR="00876E5F">
        <w:t>do not</w:t>
      </w:r>
      <w:r>
        <w:t xml:space="preserve"> </w:t>
      </w:r>
      <w:r w:rsidR="0074096C">
        <w:t xml:space="preserve">address </w:t>
      </w:r>
      <w:r>
        <w:t>these factors</w:t>
      </w:r>
      <w:r w:rsidR="0074096C">
        <w:t>, yet there is no evidence that the rules fail to adequately protect DTV signals as a result</w:t>
      </w:r>
      <w:r>
        <w:t>.</w:t>
      </w:r>
      <w:r w:rsidR="004E4BE3">
        <w:t xml:space="preserve">  Likewise, </w:t>
      </w:r>
      <w:r w:rsidR="004E4BE3" w:rsidRPr="00447721">
        <w:t>OET-69 does not consider taboo interference in its calculations</w:t>
      </w:r>
      <w:r w:rsidR="004E4BE3">
        <w:t xml:space="preserve"> but only considers the interference protections provided in the rules.</w:t>
      </w:r>
      <w:r w:rsidR="00FF416D" w:rsidRPr="00AF7EEC">
        <w:rPr>
          <w:rStyle w:val="FootnoteReference"/>
        </w:rPr>
        <w:footnoteReference w:id="161"/>
      </w:r>
      <w:r>
        <w:t xml:space="preserve">  </w:t>
      </w:r>
      <w:r w:rsidR="007A1867">
        <w:t>Equipment m</w:t>
      </w:r>
      <w:r w:rsidR="00876E5F">
        <w:t xml:space="preserve">anufacturers are aware of </w:t>
      </w:r>
      <w:r w:rsidR="007A1867">
        <w:t xml:space="preserve">these </w:t>
      </w:r>
      <w:r w:rsidR="0074096C">
        <w:t>factor</w:t>
      </w:r>
      <w:r w:rsidR="007A1867">
        <w:t xml:space="preserve">s </w:t>
      </w:r>
      <w:r w:rsidR="00876E5F">
        <w:t xml:space="preserve">and are expected to consider </w:t>
      </w:r>
      <w:r w:rsidR="00DA4D5A">
        <w:t xml:space="preserve">them </w:t>
      </w:r>
      <w:r w:rsidR="00876E5F">
        <w:t>when designing their receiver products.</w:t>
      </w:r>
      <w:r w:rsidR="00876E5F">
        <w:rPr>
          <w:rStyle w:val="FootnoteReference"/>
        </w:rPr>
        <w:footnoteReference w:id="162"/>
      </w:r>
      <w:r w:rsidR="00876E5F">
        <w:t xml:space="preserve">  </w:t>
      </w:r>
      <w:r w:rsidR="00C0110C">
        <w:t xml:space="preserve">Because the Commission’s existing rules do not </w:t>
      </w:r>
      <w:r w:rsidR="00A639EA">
        <w:t xml:space="preserve">include provisions to </w:t>
      </w:r>
      <w:r w:rsidR="00C0110C">
        <w:t xml:space="preserve">protect DTV signals from </w:t>
      </w:r>
      <w:r w:rsidR="00A639EA">
        <w:t xml:space="preserve">the effects of </w:t>
      </w:r>
      <w:r w:rsidR="00C0110C">
        <w:t>multiple DTV interferers, IM3 or splatter</w:t>
      </w:r>
      <w:r w:rsidR="00876E5F">
        <w:t xml:space="preserve">, we </w:t>
      </w:r>
      <w:r w:rsidR="004E4BE3">
        <w:t xml:space="preserve">decline to account for such factors in the D/U ratios we adopt for Case 3, </w:t>
      </w:r>
      <w:r w:rsidR="000153C6">
        <w:t>and</w:t>
      </w:r>
      <w:r w:rsidR="004E4BE3">
        <w:t xml:space="preserve"> we</w:t>
      </w:r>
      <w:r w:rsidR="00C0110C">
        <w:t xml:space="preserve"> conclude that the </w:t>
      </w:r>
      <w:r w:rsidR="000153C6">
        <w:t xml:space="preserve">measurement data in the record is reliable despite the </w:t>
      </w:r>
      <w:r w:rsidR="00C0110C">
        <w:t>lack of info</w:t>
      </w:r>
      <w:r w:rsidR="000153C6">
        <w:t>rmation regarding these factors</w:t>
      </w:r>
      <w:r w:rsidR="00876E5F">
        <w:t>.</w:t>
      </w:r>
      <w:r w:rsidR="00876E5F" w:rsidRPr="00AF7EEC">
        <w:rPr>
          <w:rStyle w:val="FootnoteReference"/>
        </w:rPr>
        <w:footnoteReference w:id="163"/>
      </w:r>
      <w:r w:rsidR="00876E5F" w:rsidRPr="00AF7EEC">
        <w:t xml:space="preserve">  </w:t>
      </w:r>
      <w:r w:rsidR="00355B81">
        <w:t>Further, we disagree with NAB’s assertions that in developing the DTV Table of Allotments we address IM3 interference through the use of spacing requirements.</w:t>
      </w:r>
      <w:r w:rsidR="00355B81">
        <w:rPr>
          <w:rStyle w:val="FootnoteReference"/>
        </w:rPr>
        <w:footnoteReference w:id="164"/>
      </w:r>
      <w:r w:rsidR="00355B81">
        <w:t xml:space="preserve"> </w:t>
      </w:r>
      <w:r w:rsidR="001B73D8">
        <w:t xml:space="preserve"> IM3 interference was not considered either for the development of the transition or the final DTV Table of Allotments and is not considered in decisions regarding the acceptability of new applications or modifications to existing station facilities.</w:t>
      </w:r>
      <w:r w:rsidR="001B73D8">
        <w:rPr>
          <w:rStyle w:val="FootnoteReference"/>
        </w:rPr>
        <w:footnoteReference w:id="165"/>
      </w:r>
    </w:p>
    <w:p w14:paraId="437D8BCA" w14:textId="77777777" w:rsidR="00A639EA" w:rsidRDefault="00A639EA" w:rsidP="003200DD">
      <w:pPr>
        <w:pStyle w:val="ParaNum"/>
      </w:pPr>
      <w:bookmarkStart w:id="360" w:name="_Ref398031882"/>
      <w:r w:rsidRPr="007C1339">
        <w:t xml:space="preserve">As indicated above, </w:t>
      </w:r>
      <w:r w:rsidRPr="00127C93">
        <w:t>Off Frequency Rejection (OFR) is a reduction in a receiver’s susceptibility to interference when the channel to which it is tuned is not fully co-channel to the interfer</w:t>
      </w:r>
      <w:r w:rsidR="00DA4D5A">
        <w:t>ing signal</w:t>
      </w:r>
      <w:r w:rsidRPr="00127C93">
        <w:t xml:space="preserve">, considering both the out-of-band emissions (OOBE) of the transmitter and the adjacent-channel selectivity </w:t>
      </w:r>
      <w:r>
        <w:t xml:space="preserve">(ACS) </w:t>
      </w:r>
      <w:r w:rsidRPr="00127C93">
        <w:t>of the receiver.</w:t>
      </w:r>
      <w:r w:rsidR="00201B70">
        <w:rPr>
          <w:rStyle w:val="FootnoteReference"/>
        </w:rPr>
        <w:footnoteReference w:id="166"/>
      </w:r>
      <w:r w:rsidRPr="00BF4166">
        <w:t xml:space="preserve"> </w:t>
      </w:r>
      <w:r>
        <w:t xml:space="preserve"> NAB does not object to the use of OFR, </w:t>
      </w:r>
      <w:r w:rsidR="00DA4D5A">
        <w:t xml:space="preserve">but challenges </w:t>
      </w:r>
      <w:r>
        <w:t xml:space="preserve">the OFR-based D/U values </w:t>
      </w:r>
      <w:r w:rsidR="00DA4D5A">
        <w:t xml:space="preserve">proposed </w:t>
      </w:r>
      <w:r>
        <w:t xml:space="preserve">in Table 9 of the </w:t>
      </w:r>
      <w:r w:rsidRPr="00127C93">
        <w:rPr>
          <w:i/>
        </w:rPr>
        <w:t>ISIX PN</w:t>
      </w:r>
      <w:r w:rsidRPr="007C1339">
        <w:t xml:space="preserve"> </w:t>
      </w:r>
      <w:r w:rsidRPr="00E22635">
        <w:t>because</w:t>
      </w:r>
      <w:r>
        <w:t xml:space="preserve"> they do not take into account asymmetry in interference rejection that occurs in a DTV receiver based on where the </w:t>
      </w:r>
      <w:r w:rsidR="00201B70">
        <w:t>spectral</w:t>
      </w:r>
      <w:r>
        <w:t xml:space="preserve"> overlap occurs.</w:t>
      </w:r>
      <w:r>
        <w:rPr>
          <w:rStyle w:val="FootnoteReference"/>
        </w:rPr>
        <w:footnoteReference w:id="167"/>
      </w:r>
      <w:r w:rsidRPr="008A1D63">
        <w:t xml:space="preserve"> </w:t>
      </w:r>
      <w:r>
        <w:t xml:space="preserve"> </w:t>
      </w:r>
      <w:r w:rsidR="00201B70">
        <w:t xml:space="preserve">Specifically, </w:t>
      </w:r>
      <w:r w:rsidR="00705BB8">
        <w:t>NAB disagrees with the values of the OFR where the spectral ove</w:t>
      </w:r>
      <w:r w:rsidR="0045124D">
        <w:t>r</w:t>
      </w:r>
      <w:r w:rsidR="00705BB8">
        <w:t>lap equals 1 MHz.</w:t>
      </w:r>
      <w:r w:rsidR="00705BB8">
        <w:rPr>
          <w:rStyle w:val="FootnoteReference"/>
        </w:rPr>
        <w:footnoteReference w:id="168"/>
      </w:r>
      <w:r w:rsidR="00705BB8">
        <w:t xml:space="preserve">  </w:t>
      </w:r>
      <w:r w:rsidR="008704F1" w:rsidRPr="006A744E">
        <w:rPr>
          <w:color w:val="000000"/>
          <w:szCs w:val="22"/>
        </w:rPr>
        <w:t xml:space="preserve">While we recognize such asymmetry in the performance of DTV receivers, the D/U values adopted in our ISIX Methodology are sufficiently conservative to protect against interference from wireless signals on co-channel and adjacent-channel frequencies above or below a received </w:t>
      </w:r>
      <w:r w:rsidR="00355B81">
        <w:rPr>
          <w:color w:val="000000"/>
          <w:szCs w:val="22"/>
        </w:rPr>
        <w:t xml:space="preserve">television </w:t>
      </w:r>
      <w:r w:rsidR="008704F1" w:rsidRPr="006A744E">
        <w:rPr>
          <w:color w:val="000000"/>
          <w:szCs w:val="22"/>
        </w:rPr>
        <w:t>channel</w:t>
      </w:r>
      <w:r w:rsidRPr="007C3BA0">
        <w:rPr>
          <w:szCs w:val="22"/>
        </w:rPr>
        <w:t>.</w:t>
      </w:r>
      <w:r w:rsidRPr="000C088F">
        <w:rPr>
          <w:rStyle w:val="FootnoteReference"/>
          <w:sz w:val="22"/>
          <w:szCs w:val="22"/>
        </w:rPr>
        <w:footnoteReference w:id="169"/>
      </w:r>
      <w:r>
        <w:t xml:space="preserve">  </w:t>
      </w:r>
      <w:r w:rsidR="00F4561D">
        <w:t>Therefore, NAB’s objections to our OFR values are misplaced</w:t>
      </w:r>
      <w:r w:rsidR="0045124D">
        <w:t xml:space="preserve">.  </w:t>
      </w:r>
      <w:r>
        <w:t xml:space="preserve">In </w:t>
      </w:r>
      <w:r w:rsidR="00C91582">
        <w:t>addition</w:t>
      </w:r>
      <w:r>
        <w:t xml:space="preserve">, the adopted </w:t>
      </w:r>
      <w:r w:rsidR="009C1910">
        <w:t>value</w:t>
      </w:r>
      <w:r>
        <w:t>s will protect adjacent</w:t>
      </w:r>
      <w:r w:rsidR="009C1910">
        <w:t>-</w:t>
      </w:r>
      <w:r>
        <w:t>channel</w:t>
      </w:r>
      <w:r w:rsidR="009C1910">
        <w:t xml:space="preserve"> operations</w:t>
      </w:r>
      <w:r>
        <w:t>, by several dB or more.</w:t>
      </w:r>
      <w:r>
        <w:rPr>
          <w:rStyle w:val="FootnoteReference"/>
        </w:rPr>
        <w:footnoteReference w:id="170"/>
      </w:r>
      <w:r>
        <w:t xml:space="preserve">  </w:t>
      </w:r>
      <w:r w:rsidRPr="007C1339">
        <w:t xml:space="preserve">Accordingly, we adopt the values for OFR set forth in Table 9 of the </w:t>
      </w:r>
      <w:r w:rsidRPr="007C1339">
        <w:rPr>
          <w:i/>
        </w:rPr>
        <w:t>ISIX PN</w:t>
      </w:r>
      <w:r w:rsidRPr="007C1339">
        <w:t>.</w:t>
      </w:r>
      <w:bookmarkEnd w:id="360"/>
      <w:r w:rsidRPr="007C1339">
        <w:t xml:space="preserve">  </w:t>
      </w:r>
    </w:p>
    <w:p w14:paraId="42689B99" w14:textId="77777777" w:rsidR="003730FA" w:rsidRPr="00457857" w:rsidRDefault="00A34B4B" w:rsidP="003200DD">
      <w:pPr>
        <w:pStyle w:val="ParaNum"/>
      </w:pPr>
      <w:r w:rsidRPr="0087675A">
        <w:rPr>
          <w:i/>
        </w:rPr>
        <w:t xml:space="preserve">Clutter </w:t>
      </w:r>
      <w:r w:rsidRPr="00865E6C">
        <w:rPr>
          <w:i/>
        </w:rPr>
        <w:t>Loss</w:t>
      </w:r>
      <w:r w:rsidRPr="00E70EE8">
        <w:t>.</w:t>
      </w:r>
      <w:r>
        <w:t xml:space="preserve"> </w:t>
      </w:r>
      <w:r w:rsidR="00C61795">
        <w:t xml:space="preserve"> </w:t>
      </w:r>
      <w:r w:rsidR="00771955">
        <w:t xml:space="preserve">We decline to adopt the </w:t>
      </w:r>
      <w:r w:rsidR="00C61795">
        <w:t xml:space="preserve">proposed </w:t>
      </w:r>
      <w:r w:rsidR="00771955">
        <w:t>use of clutter loss</w:t>
      </w:r>
      <w:r w:rsidR="00D4730B">
        <w:t xml:space="preserve"> for Case 3</w:t>
      </w:r>
      <w:r w:rsidR="00771955">
        <w:t xml:space="preserve"> </w:t>
      </w:r>
      <w:r w:rsidR="00C61795">
        <w:t>for reasons similar to those set forth above with regard to Case 2</w:t>
      </w:r>
      <w:r w:rsidR="00771955">
        <w:t>.</w:t>
      </w:r>
      <w:r w:rsidR="00A02EAD">
        <w:rPr>
          <w:rStyle w:val="FootnoteReference"/>
        </w:rPr>
        <w:footnoteReference w:id="171"/>
      </w:r>
      <w:r w:rsidR="00771955">
        <w:t xml:space="preserve">  </w:t>
      </w:r>
      <w:r>
        <w:rPr>
          <w:snapToGrid/>
        </w:rPr>
        <w:t xml:space="preserve">Clutter </w:t>
      </w:r>
      <w:r w:rsidR="00C61795">
        <w:rPr>
          <w:snapToGrid/>
        </w:rPr>
        <w:t xml:space="preserve">loss </w:t>
      </w:r>
      <w:r>
        <w:rPr>
          <w:snapToGrid/>
        </w:rPr>
        <w:t>has not been used in the context of interference</w:t>
      </w:r>
      <w:r w:rsidR="008E1DA0">
        <w:rPr>
          <w:snapToGrid/>
        </w:rPr>
        <w:t xml:space="preserve"> between television stations</w:t>
      </w:r>
      <w:r w:rsidR="00C61795">
        <w:rPr>
          <w:snapToGrid/>
        </w:rPr>
        <w:t>,</w:t>
      </w:r>
      <w:r w:rsidR="00317C52">
        <w:rPr>
          <w:snapToGrid/>
        </w:rPr>
        <w:t xml:space="preserve"> </w:t>
      </w:r>
      <w:r w:rsidR="00C61795">
        <w:rPr>
          <w:snapToGrid/>
        </w:rPr>
        <w:t xml:space="preserve">and </w:t>
      </w:r>
      <w:r w:rsidR="00A560D5">
        <w:rPr>
          <w:snapToGrid/>
        </w:rPr>
        <w:t>w</w:t>
      </w:r>
      <w:r w:rsidR="00771955">
        <w:rPr>
          <w:snapToGrid/>
        </w:rPr>
        <w:t xml:space="preserve">e </w:t>
      </w:r>
      <w:r w:rsidR="00C61795">
        <w:rPr>
          <w:snapToGrid/>
        </w:rPr>
        <w:t>conclude</w:t>
      </w:r>
      <w:r w:rsidR="00771955">
        <w:rPr>
          <w:snapToGrid/>
        </w:rPr>
        <w:t xml:space="preserve"> that </w:t>
      </w:r>
      <w:r>
        <w:rPr>
          <w:snapToGrid/>
        </w:rPr>
        <w:t xml:space="preserve">application of a single clutter </w:t>
      </w:r>
      <w:r w:rsidR="00DA4D5A">
        <w:rPr>
          <w:snapToGrid/>
        </w:rPr>
        <w:t xml:space="preserve">value </w:t>
      </w:r>
      <w:r>
        <w:rPr>
          <w:snapToGrid/>
        </w:rPr>
        <w:t>in a four</w:t>
      </w:r>
      <w:r w:rsidR="00C61795">
        <w:rPr>
          <w:snapToGrid/>
        </w:rPr>
        <w:t>-</w:t>
      </w:r>
      <w:r>
        <w:rPr>
          <w:snapToGrid/>
        </w:rPr>
        <w:t xml:space="preserve">square kilometer area </w:t>
      </w:r>
      <w:r w:rsidR="00C61795">
        <w:rPr>
          <w:snapToGrid/>
        </w:rPr>
        <w:t>would not improve the accuracy of the ISIX Methodology</w:t>
      </w:r>
      <w:r>
        <w:rPr>
          <w:snapToGrid/>
        </w:rPr>
        <w:t>.</w:t>
      </w:r>
      <w:r w:rsidR="00A560D5">
        <w:rPr>
          <w:rStyle w:val="FootnoteReference"/>
          <w:snapToGrid/>
          <w:kern w:val="0"/>
        </w:rPr>
        <w:footnoteReference w:id="172"/>
      </w:r>
    </w:p>
    <w:p w14:paraId="422626E8" w14:textId="77777777" w:rsidR="00306E53" w:rsidRPr="00F3761A" w:rsidRDefault="00854036" w:rsidP="004E5F4F">
      <w:pPr>
        <w:pStyle w:val="ParaNum"/>
        <w:keepNext/>
        <w:widowControl/>
      </w:pPr>
      <w:r w:rsidRPr="006B3244">
        <w:rPr>
          <w:i/>
          <w:snapToGrid/>
        </w:rPr>
        <w:t>Propagation Model</w:t>
      </w:r>
      <w:r>
        <w:rPr>
          <w:snapToGrid/>
        </w:rPr>
        <w:t xml:space="preserve">. </w:t>
      </w:r>
      <w:r w:rsidR="00BC57A0">
        <w:rPr>
          <w:snapToGrid/>
        </w:rPr>
        <w:t xml:space="preserve"> We reject suggestions that the ISIX Methodology use the Hata</w:t>
      </w:r>
      <w:r w:rsidR="008837C2" w:rsidRPr="00314D84">
        <w:rPr>
          <w:snapToGrid/>
          <w:vertAlign w:val="superscript"/>
        </w:rPr>
        <w:footnoteReference w:id="173"/>
      </w:r>
      <w:r w:rsidR="00BC57A0">
        <w:rPr>
          <w:snapToGrid/>
        </w:rPr>
        <w:t xml:space="preserve"> </w:t>
      </w:r>
      <w:r w:rsidR="0069764B">
        <w:rPr>
          <w:snapToGrid/>
        </w:rPr>
        <w:t>or the</w:t>
      </w:r>
      <w:r w:rsidR="008837C2">
        <w:rPr>
          <w:snapToGrid/>
        </w:rPr>
        <w:t xml:space="preserve"> free space propagation model</w:t>
      </w:r>
      <w:r w:rsidR="008837C2">
        <w:rPr>
          <w:rStyle w:val="FootnoteReference"/>
          <w:snapToGrid/>
          <w:kern w:val="0"/>
        </w:rPr>
        <w:footnoteReference w:id="174"/>
      </w:r>
      <w:r w:rsidR="008837C2">
        <w:rPr>
          <w:snapToGrid/>
        </w:rPr>
        <w:t xml:space="preserve"> </w:t>
      </w:r>
      <w:r w:rsidR="00BC57A0">
        <w:rPr>
          <w:snapToGrid/>
        </w:rPr>
        <w:t xml:space="preserve">for Case 3 instead of the Longley-Rice model.  The Commission has relied on </w:t>
      </w:r>
      <w:r w:rsidR="00AA3902">
        <w:rPr>
          <w:snapToGrid/>
        </w:rPr>
        <w:t xml:space="preserve">the Longley-Rice </w:t>
      </w:r>
      <w:r w:rsidR="00BC57A0">
        <w:rPr>
          <w:snapToGrid/>
        </w:rPr>
        <w:t xml:space="preserve">model to predict television coverage and interference for </w:t>
      </w:r>
      <w:r w:rsidR="006E6BD1">
        <w:rPr>
          <w:snapToGrid/>
        </w:rPr>
        <w:t xml:space="preserve">more than </w:t>
      </w:r>
      <w:r w:rsidR="00BC57A0">
        <w:rPr>
          <w:snapToGrid/>
        </w:rPr>
        <w:t xml:space="preserve">fifteen years, and </w:t>
      </w:r>
      <w:r w:rsidR="006E6BD1">
        <w:rPr>
          <w:snapToGrid/>
        </w:rPr>
        <w:t xml:space="preserve">that model </w:t>
      </w:r>
      <w:r w:rsidR="00BC57A0">
        <w:rPr>
          <w:snapToGrid/>
        </w:rPr>
        <w:t>is widely accept</w:t>
      </w:r>
      <w:r w:rsidR="00AA3902">
        <w:rPr>
          <w:snapToGrid/>
        </w:rPr>
        <w:t xml:space="preserve">ed for use </w:t>
      </w:r>
      <w:r w:rsidR="00BC57A0">
        <w:rPr>
          <w:snapToGrid/>
        </w:rPr>
        <w:t>at the frequencies in the 600 MHz Band.</w:t>
      </w:r>
      <w:r w:rsidR="00BC57A0">
        <w:rPr>
          <w:rStyle w:val="FootnoteReference"/>
          <w:snapToGrid/>
          <w:kern w:val="0"/>
        </w:rPr>
        <w:footnoteReference w:id="175"/>
      </w:r>
      <w:r w:rsidR="00BC57A0">
        <w:rPr>
          <w:snapToGrid/>
        </w:rPr>
        <w:t xml:space="preserve">  </w:t>
      </w:r>
      <w:r w:rsidR="004B7367">
        <w:rPr>
          <w:snapToGrid/>
        </w:rPr>
        <w:t>While s</w:t>
      </w:r>
      <w:r w:rsidRPr="00FC37E7">
        <w:rPr>
          <w:snapToGrid/>
        </w:rPr>
        <w:t xml:space="preserve">everal commenters </w:t>
      </w:r>
      <w:r>
        <w:rPr>
          <w:snapToGrid/>
        </w:rPr>
        <w:t xml:space="preserve">argue that </w:t>
      </w:r>
      <w:r w:rsidRPr="00FC37E7">
        <w:rPr>
          <w:snapToGrid/>
        </w:rPr>
        <w:t>the Hata model</w:t>
      </w:r>
      <w:r w:rsidR="00AB50F9">
        <w:rPr>
          <w:rStyle w:val="FootnoteReference"/>
          <w:snapToGrid/>
          <w:kern w:val="0"/>
        </w:rPr>
        <w:t xml:space="preserve"> </w:t>
      </w:r>
      <w:r>
        <w:rPr>
          <w:snapToGrid/>
        </w:rPr>
        <w:t>is</w:t>
      </w:r>
      <w:r w:rsidRPr="00FC37E7">
        <w:rPr>
          <w:snapToGrid/>
        </w:rPr>
        <w:t xml:space="preserve"> </w:t>
      </w:r>
      <w:r w:rsidR="00AB50F9">
        <w:rPr>
          <w:snapToGrid/>
        </w:rPr>
        <w:t>better suited for</w:t>
      </w:r>
      <w:r w:rsidRPr="00FC37E7">
        <w:rPr>
          <w:snapToGrid/>
        </w:rPr>
        <w:t xml:space="preserve"> wireless networks</w:t>
      </w:r>
      <w:r w:rsidR="004B7367">
        <w:rPr>
          <w:snapToGrid/>
        </w:rPr>
        <w:t>,</w:t>
      </w:r>
      <w:r w:rsidRPr="00FC37E7">
        <w:rPr>
          <w:snapToGrid/>
        </w:rPr>
        <w:t xml:space="preserve"> </w:t>
      </w:r>
      <w:r w:rsidR="00AB50F9">
        <w:rPr>
          <w:snapToGrid/>
        </w:rPr>
        <w:t xml:space="preserve">the Hata model </w:t>
      </w:r>
      <w:r w:rsidR="00710785">
        <w:rPr>
          <w:snapToGrid/>
        </w:rPr>
        <w:t xml:space="preserve">was not intended for use at large distances and </w:t>
      </w:r>
      <w:r w:rsidR="00AB50F9">
        <w:rPr>
          <w:snapToGrid/>
        </w:rPr>
        <w:t xml:space="preserve">does not take account of terrain, which is an important consideration </w:t>
      </w:r>
      <w:r>
        <w:rPr>
          <w:snapToGrid/>
        </w:rPr>
        <w:t xml:space="preserve">over </w:t>
      </w:r>
      <w:r w:rsidR="00AB50F9">
        <w:rPr>
          <w:snapToGrid/>
        </w:rPr>
        <w:t xml:space="preserve">the </w:t>
      </w:r>
      <w:r>
        <w:rPr>
          <w:snapToGrid/>
        </w:rPr>
        <w:t>large distances</w:t>
      </w:r>
      <w:r w:rsidR="00AA3902">
        <w:rPr>
          <w:snapToGrid/>
        </w:rPr>
        <w:t xml:space="preserve"> associated with broadcast</w:t>
      </w:r>
      <w:r w:rsidR="00AB50F9">
        <w:rPr>
          <w:snapToGrid/>
        </w:rPr>
        <w:t xml:space="preserve"> services</w:t>
      </w:r>
      <w:r w:rsidRPr="00FC37E7">
        <w:rPr>
          <w:snapToGrid/>
        </w:rPr>
        <w:t>.</w:t>
      </w:r>
      <w:r>
        <w:rPr>
          <w:rStyle w:val="FootnoteReference"/>
          <w:snapToGrid/>
          <w:kern w:val="0"/>
        </w:rPr>
        <w:footnoteReference w:id="176"/>
      </w:r>
      <w:r w:rsidRPr="00FC37E7">
        <w:rPr>
          <w:snapToGrid/>
        </w:rPr>
        <w:t xml:space="preserve">  </w:t>
      </w:r>
      <w:r w:rsidR="00A72C31" w:rsidRPr="00FC37E7">
        <w:rPr>
          <w:snapToGrid/>
        </w:rPr>
        <w:t xml:space="preserve">Even </w:t>
      </w:r>
      <w:r w:rsidR="00A72C31">
        <w:rPr>
          <w:snapToGrid/>
        </w:rPr>
        <w:t>at</w:t>
      </w:r>
      <w:r w:rsidR="00A72C31" w:rsidRPr="00FC37E7">
        <w:rPr>
          <w:snapToGrid/>
        </w:rPr>
        <w:t xml:space="preserve"> </w:t>
      </w:r>
      <w:r w:rsidR="00A72C31">
        <w:rPr>
          <w:snapToGrid/>
        </w:rPr>
        <w:t xml:space="preserve">shorter </w:t>
      </w:r>
      <w:r w:rsidR="00A72C31" w:rsidRPr="00FC37E7">
        <w:rPr>
          <w:snapToGrid/>
        </w:rPr>
        <w:t>distances</w:t>
      </w:r>
      <w:r w:rsidR="00A72C31">
        <w:rPr>
          <w:snapToGrid/>
        </w:rPr>
        <w:t>,</w:t>
      </w:r>
      <w:r w:rsidR="00A72C31" w:rsidRPr="00FC37E7">
        <w:rPr>
          <w:snapToGrid/>
        </w:rPr>
        <w:t xml:space="preserve"> </w:t>
      </w:r>
      <w:r w:rsidR="00A72C31">
        <w:rPr>
          <w:snapToGrid/>
        </w:rPr>
        <w:t xml:space="preserve">terrain is an important consideration </w:t>
      </w:r>
      <w:r w:rsidR="00AA3902">
        <w:rPr>
          <w:snapToGrid/>
        </w:rPr>
        <w:t xml:space="preserve">in </w:t>
      </w:r>
      <w:r w:rsidR="008837C2">
        <w:rPr>
          <w:snapToGrid/>
        </w:rPr>
        <w:t xml:space="preserve">predicting inter-service interference </w:t>
      </w:r>
      <w:r w:rsidR="00A72C31" w:rsidRPr="00FC37E7">
        <w:rPr>
          <w:snapToGrid/>
        </w:rPr>
        <w:t xml:space="preserve">because </w:t>
      </w:r>
      <w:r w:rsidR="00A72C31">
        <w:rPr>
          <w:snapToGrid/>
        </w:rPr>
        <w:t xml:space="preserve">it </w:t>
      </w:r>
      <w:r w:rsidR="00A72C31" w:rsidRPr="00FC37E7">
        <w:rPr>
          <w:snapToGrid/>
        </w:rPr>
        <w:t>affects signal propagation</w:t>
      </w:r>
      <w:r w:rsidR="00A72C31">
        <w:rPr>
          <w:snapToGrid/>
        </w:rPr>
        <w:t xml:space="preserve">.  </w:t>
      </w:r>
      <w:r w:rsidR="00AA3902">
        <w:rPr>
          <w:snapToGrid/>
        </w:rPr>
        <w:t xml:space="preserve">The </w:t>
      </w:r>
      <w:r w:rsidR="00AA3902" w:rsidRPr="00166911">
        <w:rPr>
          <w:snapToGrid/>
        </w:rPr>
        <w:t xml:space="preserve">Longley-Rice </w:t>
      </w:r>
      <w:r w:rsidR="00AA3902">
        <w:rPr>
          <w:snapToGrid/>
        </w:rPr>
        <w:t xml:space="preserve">model also can </w:t>
      </w:r>
      <w:r w:rsidR="00AA3902" w:rsidRPr="00166911">
        <w:rPr>
          <w:snapToGrid/>
        </w:rPr>
        <w:t>predict diffraction and scattering losses over multiple terrain obstructions at m</w:t>
      </w:r>
      <w:r w:rsidR="00AA3902">
        <w:rPr>
          <w:snapToGrid/>
        </w:rPr>
        <w:t>uch larger distances more accurately than the Hata model</w:t>
      </w:r>
      <w:r w:rsidR="00AA3902" w:rsidRPr="00166911">
        <w:rPr>
          <w:snapToGrid/>
        </w:rPr>
        <w:t>.</w:t>
      </w:r>
      <w:r w:rsidR="00AA3902">
        <w:rPr>
          <w:rStyle w:val="FootnoteReference"/>
          <w:snapToGrid/>
          <w:kern w:val="0"/>
        </w:rPr>
        <w:footnoteReference w:id="177"/>
      </w:r>
      <w:r w:rsidR="00AA3902">
        <w:rPr>
          <w:snapToGrid/>
        </w:rPr>
        <w:t xml:space="preserve">  In addition</w:t>
      </w:r>
      <w:r w:rsidR="008837C2">
        <w:rPr>
          <w:snapToGrid/>
        </w:rPr>
        <w:t xml:space="preserve">, </w:t>
      </w:r>
      <w:r w:rsidR="00AA3902">
        <w:rPr>
          <w:snapToGrid/>
        </w:rPr>
        <w:t xml:space="preserve">we believe that the </w:t>
      </w:r>
      <w:r w:rsidR="008837C2">
        <w:rPr>
          <w:snapToGrid/>
        </w:rPr>
        <w:t>us</w:t>
      </w:r>
      <w:r w:rsidR="0069764B">
        <w:rPr>
          <w:snapToGrid/>
        </w:rPr>
        <w:t xml:space="preserve">e of a single model </w:t>
      </w:r>
      <w:r w:rsidR="008837C2" w:rsidRPr="00166911">
        <w:rPr>
          <w:snapToGrid/>
        </w:rPr>
        <w:t xml:space="preserve">capable of accurate prediction over </w:t>
      </w:r>
      <w:r w:rsidR="0069764B">
        <w:rPr>
          <w:snapToGrid/>
        </w:rPr>
        <w:t xml:space="preserve">different distances </w:t>
      </w:r>
      <w:r w:rsidR="008837C2">
        <w:rPr>
          <w:snapToGrid/>
        </w:rPr>
        <w:t>is</w:t>
      </w:r>
      <w:r w:rsidR="0069764B">
        <w:rPr>
          <w:snapToGrid/>
        </w:rPr>
        <w:t xml:space="preserve"> preferable</w:t>
      </w:r>
      <w:r w:rsidR="008837C2">
        <w:rPr>
          <w:snapToGrid/>
        </w:rPr>
        <w:t xml:space="preserve"> </w:t>
      </w:r>
      <w:r w:rsidR="00AA3902">
        <w:rPr>
          <w:snapToGrid/>
        </w:rPr>
        <w:t xml:space="preserve">to the use of </w:t>
      </w:r>
      <w:r w:rsidR="0069764B">
        <w:rPr>
          <w:snapToGrid/>
        </w:rPr>
        <w:t>multiple models</w:t>
      </w:r>
      <w:r w:rsidR="008837C2">
        <w:rPr>
          <w:snapToGrid/>
        </w:rPr>
        <w:t>.</w:t>
      </w:r>
      <w:r w:rsidR="0069764B" w:rsidRPr="00166911">
        <w:rPr>
          <w:snapToGrid/>
          <w:vertAlign w:val="superscript"/>
        </w:rPr>
        <w:footnoteReference w:id="178"/>
      </w:r>
      <w:r w:rsidR="0069764B">
        <w:rPr>
          <w:snapToGrid/>
        </w:rPr>
        <w:t xml:space="preserve">  </w:t>
      </w:r>
      <w:r w:rsidR="00A72C31">
        <w:rPr>
          <w:snapToGrid/>
        </w:rPr>
        <w:t xml:space="preserve">Accordingly, we disagree with </w:t>
      </w:r>
      <w:r w:rsidRPr="00FC37E7">
        <w:rPr>
          <w:snapToGrid/>
        </w:rPr>
        <w:t xml:space="preserve">4G Americas </w:t>
      </w:r>
      <w:r w:rsidR="00A72C31">
        <w:rPr>
          <w:snapToGrid/>
        </w:rPr>
        <w:t xml:space="preserve">that </w:t>
      </w:r>
      <w:r w:rsidR="0069764B">
        <w:rPr>
          <w:snapToGrid/>
        </w:rPr>
        <w:t xml:space="preserve">we should use </w:t>
      </w:r>
      <w:r w:rsidR="00A72C31">
        <w:rPr>
          <w:snapToGrid/>
        </w:rPr>
        <w:t>th</w:t>
      </w:r>
      <w:r w:rsidR="0069764B">
        <w:rPr>
          <w:snapToGrid/>
        </w:rPr>
        <w:t>e Hata model</w:t>
      </w:r>
      <w:r w:rsidR="00A72C31">
        <w:rPr>
          <w:snapToGrid/>
        </w:rPr>
        <w:t xml:space="preserve"> </w:t>
      </w:r>
      <w:r w:rsidR="00AA3902">
        <w:rPr>
          <w:snapToGrid/>
        </w:rPr>
        <w:t>to predict interference from wireless base stations to DTV receivers at</w:t>
      </w:r>
      <w:r w:rsidRPr="00FC37E7">
        <w:rPr>
          <w:snapToGrid/>
        </w:rPr>
        <w:t xml:space="preserve"> distances </w:t>
      </w:r>
      <w:r w:rsidR="0069764B">
        <w:rPr>
          <w:snapToGrid/>
        </w:rPr>
        <w:t xml:space="preserve">of </w:t>
      </w:r>
      <w:r w:rsidRPr="00FC37E7">
        <w:rPr>
          <w:snapToGrid/>
        </w:rPr>
        <w:t>less than 40 kilometers.</w:t>
      </w:r>
      <w:r w:rsidRPr="00314D84">
        <w:rPr>
          <w:snapToGrid/>
          <w:vertAlign w:val="superscript"/>
        </w:rPr>
        <w:footnoteReference w:id="179"/>
      </w:r>
      <w:r w:rsidRPr="00FC37E7">
        <w:rPr>
          <w:snapToGrid/>
        </w:rPr>
        <w:t xml:space="preserve">  </w:t>
      </w:r>
      <w:r w:rsidR="0069764B">
        <w:rPr>
          <w:snapToGrid/>
        </w:rPr>
        <w:t xml:space="preserve">Likewise, we disagree with </w:t>
      </w:r>
      <w:r w:rsidRPr="00FC37E7">
        <w:rPr>
          <w:snapToGrid/>
        </w:rPr>
        <w:t xml:space="preserve">SBE </w:t>
      </w:r>
      <w:r w:rsidR="0069764B">
        <w:rPr>
          <w:snapToGrid/>
        </w:rPr>
        <w:t>that we should use</w:t>
      </w:r>
      <w:r w:rsidRPr="00FC37E7">
        <w:rPr>
          <w:snapToGrid/>
        </w:rPr>
        <w:t xml:space="preserve"> the free space model </w:t>
      </w:r>
      <w:r w:rsidR="0069764B">
        <w:rPr>
          <w:snapToGrid/>
        </w:rPr>
        <w:t xml:space="preserve">for distances of </w:t>
      </w:r>
      <w:r w:rsidRPr="00FC37E7">
        <w:rPr>
          <w:snapToGrid/>
        </w:rPr>
        <w:t>less than five kilometers.</w:t>
      </w:r>
      <w:r w:rsidRPr="00314D84">
        <w:rPr>
          <w:snapToGrid/>
          <w:vertAlign w:val="superscript"/>
        </w:rPr>
        <w:footnoteReference w:id="180"/>
      </w:r>
      <w:r w:rsidRPr="00FC37E7">
        <w:rPr>
          <w:snapToGrid/>
        </w:rPr>
        <w:t xml:space="preserve"> </w:t>
      </w:r>
    </w:p>
    <w:p w14:paraId="4CAF6274" w14:textId="77777777" w:rsidR="00892FDD" w:rsidRPr="00892FDD" w:rsidRDefault="0062543C" w:rsidP="00850453">
      <w:pPr>
        <w:pStyle w:val="ParaNum"/>
        <w:keepNext/>
        <w:widowControl/>
      </w:pPr>
      <w:r>
        <w:rPr>
          <w:i/>
        </w:rPr>
        <w:t xml:space="preserve">Fixed Distance-Based Approach.  </w:t>
      </w:r>
      <w:r w:rsidR="00892FDD" w:rsidRPr="00F3761A">
        <w:t xml:space="preserve">We also reject </w:t>
      </w:r>
      <w:r w:rsidR="00892FDD">
        <w:rPr>
          <w:snapToGrid/>
        </w:rPr>
        <w:t>Joint B</w:t>
      </w:r>
      <w:r w:rsidR="00892FDD" w:rsidRPr="00F3761A">
        <w:t xml:space="preserve">roadcasters’ </w:t>
      </w:r>
      <w:r>
        <w:rPr>
          <w:snapToGrid/>
        </w:rPr>
        <w:t>fixed distance-based</w:t>
      </w:r>
      <w:r w:rsidR="00892FDD">
        <w:rPr>
          <w:snapToGrid/>
        </w:rPr>
        <w:t xml:space="preserve"> approach for Case 3</w:t>
      </w:r>
      <w:r>
        <w:rPr>
          <w:snapToGrid/>
        </w:rPr>
        <w:t>.</w:t>
      </w:r>
      <w:r w:rsidR="00892FDD">
        <w:rPr>
          <w:rStyle w:val="FootnoteReference"/>
        </w:rPr>
        <w:footnoteReference w:id="181"/>
      </w:r>
      <w:r w:rsidR="00892FDD">
        <w:t xml:space="preserve"> </w:t>
      </w:r>
      <w:r w:rsidR="004A401F">
        <w:t xml:space="preserve"> </w:t>
      </w:r>
      <w:r>
        <w:t>The</w:t>
      </w:r>
      <w:r w:rsidR="004A401F">
        <w:t>ir</w:t>
      </w:r>
      <w:r>
        <w:t xml:space="preserve"> approach </w:t>
      </w:r>
      <w:r w:rsidR="00892FDD">
        <w:t xml:space="preserve">predicts </w:t>
      </w:r>
      <w:r>
        <w:t xml:space="preserve">wireless license area </w:t>
      </w:r>
      <w:r w:rsidR="00892FDD">
        <w:t>impairments greater than those predicted by the ISIX Methodology</w:t>
      </w:r>
      <w:r>
        <w:t xml:space="preserve"> in some cases</w:t>
      </w:r>
      <w:r w:rsidR="00892FDD">
        <w:t xml:space="preserve">, whereas in others </w:t>
      </w:r>
      <w:r>
        <w:t>it would produce similar</w:t>
      </w:r>
      <w:r w:rsidR="00892FDD">
        <w:t xml:space="preserve"> results or result in smaller impairments.</w:t>
      </w:r>
      <w:r w:rsidR="00892FDD">
        <w:rPr>
          <w:rStyle w:val="FootnoteReference"/>
        </w:rPr>
        <w:footnoteReference w:id="182"/>
      </w:r>
      <w:r w:rsidR="00892FDD">
        <w:t xml:space="preserve">  The critical difference between the two approaches for Case 3, however, is the granularity of the data.  The </w:t>
      </w:r>
      <w:r>
        <w:t xml:space="preserve">fixed geographic distances </w:t>
      </w:r>
      <w:r w:rsidR="00892FDD">
        <w:t xml:space="preserve">under the Joint Broadcasters’ approach are not easily converted to the “grid-by-grid” data needed </w:t>
      </w:r>
      <w:r>
        <w:t>to evaluate potential</w:t>
      </w:r>
      <w:r w:rsidR="004B445E">
        <w:t xml:space="preserve"> harmful</w:t>
      </w:r>
      <w:r w:rsidR="00892FDD">
        <w:t xml:space="preserve"> interference to </w:t>
      </w:r>
      <w:r>
        <w:t>television</w:t>
      </w:r>
      <w:r w:rsidR="00892FDD">
        <w:t xml:space="preserve"> stations in the </w:t>
      </w:r>
      <w:r>
        <w:t xml:space="preserve">initial </w:t>
      </w:r>
      <w:r w:rsidR="00892FDD" w:rsidRPr="00DE3490">
        <w:t xml:space="preserve">optimization </w:t>
      </w:r>
      <w:r w:rsidR="00892FDD">
        <w:t>process during the auction.</w:t>
      </w:r>
      <w:r>
        <w:rPr>
          <w:rStyle w:val="FootnoteReference"/>
        </w:rPr>
        <w:footnoteReference w:id="183"/>
      </w:r>
      <w:r w:rsidR="00892FDD">
        <w:t xml:space="preserve">  </w:t>
      </w:r>
      <w:r w:rsidR="00892FDD" w:rsidRPr="003877E2">
        <w:t xml:space="preserve">The </w:t>
      </w:r>
      <w:r w:rsidR="00892FDD">
        <w:t>ISIX Methodology</w:t>
      </w:r>
      <w:r w:rsidR="00892FDD" w:rsidRPr="003877E2">
        <w:t xml:space="preserve"> </w:t>
      </w:r>
      <w:r w:rsidR="00892FDD">
        <w:t xml:space="preserve">provides for a cell-by-cell determination of license impairments which </w:t>
      </w:r>
      <w:r>
        <w:t xml:space="preserve">will </w:t>
      </w:r>
      <w:r w:rsidR="00892FDD">
        <w:t xml:space="preserve">allow the Commission to make </w:t>
      </w:r>
      <w:r w:rsidR="00C33DAD">
        <w:t xml:space="preserve">more </w:t>
      </w:r>
      <w:r w:rsidR="00892FDD">
        <w:t xml:space="preserve">informed decisions about </w:t>
      </w:r>
      <w:r w:rsidR="00C33DAD">
        <w:t xml:space="preserve">the appropriate clearing targets for the reverse auction and </w:t>
      </w:r>
      <w:r w:rsidR="00892FDD">
        <w:t xml:space="preserve">which </w:t>
      </w:r>
      <w:r>
        <w:t xml:space="preserve">wireless </w:t>
      </w:r>
      <w:r w:rsidR="00892FDD">
        <w:t>spectrum blocks to auction</w:t>
      </w:r>
      <w:r w:rsidR="00C33DAD">
        <w:t xml:space="preserve"> in the forward auction</w:t>
      </w:r>
      <w:r w:rsidR="004B445E">
        <w:t>, and also provide additional certainty to bidders in the forward auction</w:t>
      </w:r>
      <w:r w:rsidR="00892FDD">
        <w:t>.</w:t>
      </w:r>
      <w:r w:rsidR="00C33DAD">
        <w:rPr>
          <w:rStyle w:val="FootnoteReference"/>
        </w:rPr>
        <w:footnoteReference w:id="184"/>
      </w:r>
      <w:r w:rsidR="00892FDD">
        <w:t xml:space="preserve">  </w:t>
      </w:r>
      <w:r w:rsidR="00892FDD" w:rsidRPr="008E4973">
        <w:t xml:space="preserve">Therefore, </w:t>
      </w:r>
      <w:r w:rsidR="00892FDD">
        <w:t xml:space="preserve">we conclude that the </w:t>
      </w:r>
      <w:r w:rsidR="00892FDD" w:rsidRPr="008E4973">
        <w:t>ISIX Methodology</w:t>
      </w:r>
      <w:r w:rsidR="00892FDD">
        <w:t xml:space="preserve"> </w:t>
      </w:r>
      <w:r w:rsidR="004B445E">
        <w:t xml:space="preserve">is better suited to the requirements of conducting the incentive auction than a distance-based approach </w:t>
      </w:r>
      <w:r w:rsidR="00892FDD">
        <w:t>for Case 3</w:t>
      </w:r>
      <w:r w:rsidR="00C33DAD">
        <w:t xml:space="preserve">. </w:t>
      </w:r>
    </w:p>
    <w:p w14:paraId="7F60E39D" w14:textId="77777777" w:rsidR="00910241" w:rsidRDefault="0009433C" w:rsidP="003200DD">
      <w:pPr>
        <w:pStyle w:val="ParaNum"/>
      </w:pPr>
      <w:bookmarkStart w:id="361" w:name="_Ref398033295"/>
      <w:r w:rsidRPr="00710785">
        <w:rPr>
          <w:i/>
        </w:rPr>
        <w:t>Technical</w:t>
      </w:r>
      <w:r w:rsidRPr="00116718">
        <w:rPr>
          <w:i/>
        </w:rPr>
        <w:t xml:space="preserve"> Parameters</w:t>
      </w:r>
      <w:r>
        <w:t>.</w:t>
      </w:r>
      <w:r w:rsidR="004748B5" w:rsidRPr="004748B5">
        <w:rPr>
          <w:snapToGrid/>
        </w:rPr>
        <w:t xml:space="preserve"> </w:t>
      </w:r>
      <w:r w:rsidR="004748B5">
        <w:rPr>
          <w:snapToGrid/>
        </w:rPr>
        <w:t xml:space="preserve"> </w:t>
      </w:r>
      <w:r w:rsidR="00785D5A">
        <w:rPr>
          <w:snapToGrid/>
        </w:rPr>
        <w:t xml:space="preserve">We reject broadcasters’ claims that </w:t>
      </w:r>
      <w:r w:rsidR="00785D5A" w:rsidRPr="001E170C">
        <w:rPr>
          <w:snapToGrid/>
        </w:rPr>
        <w:t xml:space="preserve">the </w:t>
      </w:r>
      <w:r w:rsidR="00AA3902">
        <w:rPr>
          <w:snapToGrid/>
        </w:rPr>
        <w:t>parameter</w:t>
      </w:r>
      <w:r w:rsidR="00785D5A">
        <w:rPr>
          <w:snapToGrid/>
        </w:rPr>
        <w:t xml:space="preserve"> </w:t>
      </w:r>
      <w:r w:rsidR="00785D5A" w:rsidRPr="001E170C">
        <w:rPr>
          <w:snapToGrid/>
        </w:rPr>
        <w:t xml:space="preserve">values </w:t>
      </w:r>
      <w:r w:rsidR="00AA3902">
        <w:rPr>
          <w:snapToGrid/>
        </w:rPr>
        <w:t xml:space="preserve">for wireless base station power and height proposed </w:t>
      </w:r>
      <w:r w:rsidR="00451D87">
        <w:rPr>
          <w:snapToGrid/>
        </w:rPr>
        <w:t xml:space="preserve">for Case 3 </w:t>
      </w:r>
      <w:r w:rsidR="00AA3902">
        <w:rPr>
          <w:snapToGrid/>
        </w:rPr>
        <w:t xml:space="preserve">in the </w:t>
      </w:r>
      <w:r w:rsidR="00AA3902">
        <w:rPr>
          <w:i/>
          <w:snapToGrid/>
        </w:rPr>
        <w:t xml:space="preserve">ISIX PN </w:t>
      </w:r>
      <w:r w:rsidR="00785D5A">
        <w:rPr>
          <w:snapToGrid/>
        </w:rPr>
        <w:t>are in</w:t>
      </w:r>
      <w:r w:rsidR="00785D5A" w:rsidRPr="001E170C">
        <w:rPr>
          <w:snapToGrid/>
        </w:rPr>
        <w:t>consistent with real-world wireless facilities.</w:t>
      </w:r>
      <w:r w:rsidR="00785D5A" w:rsidRPr="001E170C">
        <w:rPr>
          <w:snapToGrid/>
          <w:vertAlign w:val="superscript"/>
        </w:rPr>
        <w:footnoteReference w:id="185"/>
      </w:r>
      <w:r w:rsidR="00785D5A">
        <w:rPr>
          <w:snapToGrid/>
        </w:rPr>
        <w:t xml:space="preserve"> </w:t>
      </w:r>
      <w:r w:rsidR="00785D5A">
        <w:t xml:space="preserve"> </w:t>
      </w:r>
      <w:r w:rsidR="00753BA3">
        <w:t>A</w:t>
      </w:r>
      <w:r w:rsidR="00746FCB">
        <w:t>s discussed below</w:t>
      </w:r>
      <w:r w:rsidR="00746FCB" w:rsidRPr="004B445E">
        <w:rPr>
          <w:bCs/>
        </w:rPr>
        <w:t xml:space="preserve">, </w:t>
      </w:r>
      <w:r w:rsidR="00910241" w:rsidRPr="004B445E">
        <w:rPr>
          <w:bCs/>
        </w:rPr>
        <w:t>these typical values were obtained from advisory committees and industry submissions in the record</w:t>
      </w:r>
      <w:r w:rsidR="0076506F" w:rsidRPr="004B445E">
        <w:rPr>
          <w:bCs/>
        </w:rPr>
        <w:t>.</w:t>
      </w:r>
      <w:r w:rsidR="00F45644" w:rsidRPr="006A744E">
        <w:rPr>
          <w:bCs/>
        </w:rPr>
        <w:t xml:space="preserve"> </w:t>
      </w:r>
      <w:r w:rsidR="0076506F" w:rsidRPr="004B445E">
        <w:rPr>
          <w:bCs/>
        </w:rPr>
        <w:t xml:space="preserve"> </w:t>
      </w:r>
      <w:r w:rsidR="00585CE6">
        <w:rPr>
          <w:bCs/>
        </w:rPr>
        <w:t>T</w:t>
      </w:r>
      <w:r w:rsidR="00585CE6" w:rsidRPr="00CE6636">
        <w:rPr>
          <w:bCs/>
        </w:rPr>
        <w:t>he Commission has previously considered typical operating parameters in predicting interference, rather than assuming the maximum permissible levels authorized under the Commission’s rules.</w:t>
      </w:r>
      <w:r w:rsidR="00585CE6" w:rsidRPr="004748B5">
        <w:rPr>
          <w:bCs/>
          <w:sz w:val="20"/>
          <w:vertAlign w:val="superscript"/>
        </w:rPr>
        <w:footnoteReference w:id="186"/>
      </w:r>
      <w:r w:rsidR="00585CE6" w:rsidRPr="00CE6636">
        <w:rPr>
          <w:bCs/>
        </w:rPr>
        <w:t xml:space="preserve">  </w:t>
      </w:r>
      <w:r w:rsidR="00585CE6" w:rsidRPr="004748B5">
        <w:t>As Sprint notes</w:t>
      </w:r>
      <w:r w:rsidR="00585CE6">
        <w:t>,</w:t>
      </w:r>
      <w:r w:rsidR="00585CE6" w:rsidRPr="004748B5">
        <w:t xml:space="preserve"> the</w:t>
      </w:r>
      <w:r w:rsidR="00585CE6">
        <w:t xml:space="preserve"> typical parameters may not </w:t>
      </w:r>
      <w:r w:rsidR="00585CE6" w:rsidRPr="004748B5">
        <w:t xml:space="preserve">precisely reflect the parameters that a wireless </w:t>
      </w:r>
      <w:r w:rsidR="00710785">
        <w:t xml:space="preserve">provider </w:t>
      </w:r>
      <w:r w:rsidR="00585CE6" w:rsidRPr="004748B5">
        <w:t>would use in actual deployment, but they are reasonable for purposes of modeling.</w:t>
      </w:r>
      <w:r w:rsidR="00585CE6" w:rsidRPr="004748B5">
        <w:rPr>
          <w:sz w:val="20"/>
          <w:vertAlign w:val="superscript"/>
        </w:rPr>
        <w:footnoteReference w:id="187"/>
      </w:r>
      <w:r w:rsidR="004C48BF">
        <w:t xml:space="preserve">  We emphasize</w:t>
      </w:r>
      <w:r w:rsidR="004C48BF" w:rsidRPr="007F1368">
        <w:t xml:space="preserve"> that </w:t>
      </w:r>
      <w:r w:rsidR="004C48BF">
        <w:t>the use of typical values for Case 3 will be restricted to the incentive auction, when actual values will not be available because 600 MHz Band services will not be deployed yet; i</w:t>
      </w:r>
      <w:r w:rsidR="004C48BF" w:rsidRPr="00A93438">
        <w:t>n the</w:t>
      </w:r>
      <w:r w:rsidR="00451D87">
        <w:t xml:space="preserve"> companion </w:t>
      </w:r>
      <w:r w:rsidR="00CA2B18">
        <w:rPr>
          <w:i/>
        </w:rPr>
        <w:t>FNPRM</w:t>
      </w:r>
      <w:r w:rsidR="004C48BF" w:rsidRPr="007F1368">
        <w:t xml:space="preserve">, we propose to use </w:t>
      </w:r>
      <w:r w:rsidR="004C48BF">
        <w:t>actual values to prevent</w:t>
      </w:r>
      <w:r w:rsidR="004C48BF" w:rsidRPr="00A93438">
        <w:t xml:space="preserve"> </w:t>
      </w:r>
      <w:r w:rsidR="004C48BF">
        <w:t xml:space="preserve">Case 3 interference following the </w:t>
      </w:r>
      <w:r w:rsidR="004C48BF" w:rsidRPr="00A93438">
        <w:t>auction</w:t>
      </w:r>
      <w:r w:rsidR="004C48BF">
        <w:t xml:space="preserve">, once 600 MHz Band </w:t>
      </w:r>
      <w:r w:rsidR="00451D87">
        <w:t xml:space="preserve">wireless </w:t>
      </w:r>
      <w:r w:rsidR="004C48BF">
        <w:t>services actually are deployed</w:t>
      </w:r>
      <w:r w:rsidR="004C48BF" w:rsidRPr="007F1368">
        <w:t>.</w:t>
      </w:r>
      <w:r w:rsidR="004C48BF">
        <w:rPr>
          <w:rStyle w:val="FootnoteReference"/>
          <w:snapToGrid/>
          <w:kern w:val="0"/>
        </w:rPr>
        <w:footnoteReference w:id="188"/>
      </w:r>
      <w:bookmarkEnd w:id="361"/>
      <w:r w:rsidR="00753BA3" w:rsidRPr="004748B5">
        <w:rPr>
          <w:snapToGrid/>
        </w:rPr>
        <w:t xml:space="preserve">  </w:t>
      </w:r>
    </w:p>
    <w:p w14:paraId="4308F851" w14:textId="77777777" w:rsidR="00B23FEA" w:rsidRDefault="00451D87" w:rsidP="003200DD">
      <w:pPr>
        <w:pStyle w:val="ParaNum"/>
      </w:pPr>
      <w:r>
        <w:t xml:space="preserve">For purposes of the auction, the ISIX Methodology assumes </w:t>
      </w:r>
      <w:r w:rsidR="008535CB">
        <w:t xml:space="preserve">an Effective Radiated Power (ERP) level of 120 W/MHz </w:t>
      </w:r>
      <w:r w:rsidR="00725460">
        <w:t xml:space="preserve">for </w:t>
      </w:r>
      <w:r w:rsidR="008535CB">
        <w:t>a wireless base station.  This power level, which is supported by d</w:t>
      </w:r>
      <w:r w:rsidR="0076506F">
        <w:t xml:space="preserve">ata </w:t>
      </w:r>
      <w:r w:rsidR="00EA7DD5">
        <w:t>in the record,</w:t>
      </w:r>
      <w:r>
        <w:t xml:space="preserve"> </w:t>
      </w:r>
      <w:r w:rsidR="0076506F">
        <w:t xml:space="preserve">is </w:t>
      </w:r>
      <w:r w:rsidR="00B23FEA" w:rsidRPr="004748B5">
        <w:t xml:space="preserve">based on a wireless base station operating with two LTE transmitters, rated at 40 watts </w:t>
      </w:r>
      <w:r w:rsidR="00254BDF">
        <w:t xml:space="preserve">(W) </w:t>
      </w:r>
      <w:r w:rsidR="00B23FEA" w:rsidRPr="004748B5">
        <w:t>each and transmit</w:t>
      </w:r>
      <w:r w:rsidR="00B23FEA">
        <w:t>ting</w:t>
      </w:r>
      <w:r w:rsidR="00B23FEA" w:rsidRPr="004748B5">
        <w:t xml:space="preserve"> at their maximum capable output power</w:t>
      </w:r>
      <w:r>
        <w:t xml:space="preserve"> (</w:t>
      </w:r>
      <w:r w:rsidR="00B23FEA" w:rsidRPr="004748B5">
        <w:t>ignoring network effects such as power control</w:t>
      </w:r>
      <w:r>
        <w:t>)</w:t>
      </w:r>
      <w:r w:rsidR="008535CB">
        <w:t xml:space="preserve"> and an antenna </w:t>
      </w:r>
      <w:r>
        <w:t xml:space="preserve">gain of </w:t>
      </w:r>
      <w:r w:rsidR="008535CB">
        <w:t>15 dBi</w:t>
      </w:r>
      <w:r w:rsidR="00B23FEA" w:rsidRPr="004748B5">
        <w:t>.</w:t>
      </w:r>
      <w:r w:rsidR="00B23FEA" w:rsidRPr="004748B5">
        <w:rPr>
          <w:sz w:val="20"/>
          <w:vertAlign w:val="superscript"/>
        </w:rPr>
        <w:footnoteReference w:id="189"/>
      </w:r>
      <w:r w:rsidR="00B23FEA" w:rsidRPr="004748B5">
        <w:t xml:space="preserve">  The </w:t>
      </w:r>
      <w:r w:rsidR="0076506F">
        <w:t xml:space="preserve">15 dBi </w:t>
      </w:r>
      <w:r w:rsidR="00352696">
        <w:t xml:space="preserve">value </w:t>
      </w:r>
      <w:r w:rsidR="00B23FEA" w:rsidRPr="004748B5">
        <w:t>is based on manufacturer data o</w:t>
      </w:r>
      <w:r w:rsidR="00B23FEA">
        <w:t>n</w:t>
      </w:r>
      <w:r w:rsidR="00B23FEA" w:rsidRPr="004748B5">
        <w:t xml:space="preserve"> panel antennas </w:t>
      </w:r>
      <w:r w:rsidR="00195A8B">
        <w:t xml:space="preserve">designed for operation </w:t>
      </w:r>
      <w:r w:rsidR="00B23FEA" w:rsidRPr="004748B5">
        <w:t xml:space="preserve">in frequency bands above and below </w:t>
      </w:r>
      <w:r w:rsidR="0076506F">
        <w:t xml:space="preserve">the </w:t>
      </w:r>
      <w:r w:rsidR="00B23FEA" w:rsidRPr="004748B5">
        <w:t xml:space="preserve">600 </w:t>
      </w:r>
      <w:r w:rsidR="0076506F">
        <w:t>MHz Band</w:t>
      </w:r>
      <w:r w:rsidR="00B23FEA" w:rsidRPr="004748B5">
        <w:t>.</w:t>
      </w:r>
      <w:r w:rsidR="00B23FEA" w:rsidRPr="004748B5">
        <w:rPr>
          <w:sz w:val="20"/>
          <w:vertAlign w:val="superscript"/>
        </w:rPr>
        <w:footnoteReference w:id="190"/>
      </w:r>
      <w:r w:rsidR="00B23FEA" w:rsidRPr="004748B5">
        <w:t xml:space="preserve">  </w:t>
      </w:r>
      <w:r w:rsidR="00B23FEA">
        <w:t xml:space="preserve">An antenna with 15 dBi gain used with two 40 </w:t>
      </w:r>
      <w:r w:rsidR="00254BDF">
        <w:t>W</w:t>
      </w:r>
      <w:r w:rsidR="00B23FEA">
        <w:t xml:space="preserve"> transmitters</w:t>
      </w:r>
      <w:r w:rsidR="006535F6">
        <w:t xml:space="preserve"> and a line loss of 1 dB</w:t>
      </w:r>
      <w:r w:rsidR="00B23FEA">
        <w:t xml:space="preserve"> produces an </w:t>
      </w:r>
      <w:r w:rsidR="00B23FEA" w:rsidRPr="004748B5">
        <w:t>ERP of 1200 W in a 10 MHz LTE channel</w:t>
      </w:r>
      <w:r w:rsidR="00195A8B">
        <w:t>,</w:t>
      </w:r>
      <w:r w:rsidR="00B23FEA" w:rsidRPr="004748B5">
        <w:t xml:space="preserve"> or 120 W/MHz ERP.</w:t>
      </w:r>
      <w:r w:rsidR="006535F6">
        <w:rPr>
          <w:rStyle w:val="FootnoteReference"/>
        </w:rPr>
        <w:footnoteReference w:id="191"/>
      </w:r>
      <w:r w:rsidR="00B23FEA" w:rsidRPr="004748B5">
        <w:t xml:space="preserve">  To simulate </w:t>
      </w:r>
      <w:r w:rsidR="00195A8B">
        <w:t xml:space="preserve">the effect </w:t>
      </w:r>
      <w:r w:rsidR="00254BDF">
        <w:t>on</w:t>
      </w:r>
      <w:r w:rsidR="00254BDF" w:rsidRPr="004748B5">
        <w:t xml:space="preserve"> one 6 MHz television channel</w:t>
      </w:r>
      <w:r w:rsidR="00254BDF">
        <w:t xml:space="preserve"> </w:t>
      </w:r>
      <w:r w:rsidR="00195A8B">
        <w:t xml:space="preserve">of </w:t>
      </w:r>
      <w:r w:rsidR="00B23FEA" w:rsidRPr="004748B5">
        <w:t xml:space="preserve">wireless operations transmitting across contiguous adjacent 5 MHz wireless blocks, </w:t>
      </w:r>
      <w:r w:rsidR="00195A8B">
        <w:t>OET</w:t>
      </w:r>
      <w:r w:rsidR="00B23FEA" w:rsidRPr="004748B5">
        <w:t xml:space="preserve"> multiplied the ERP/MHz by 6</w:t>
      </w:r>
      <w:r w:rsidR="00B23FEA">
        <w:t>, so that the ERP in a 6 MHz channel would be 720 watts</w:t>
      </w:r>
      <w:r w:rsidR="00B23FEA" w:rsidRPr="004748B5">
        <w:t>.</w:t>
      </w:r>
      <w:r w:rsidR="00B23FEA" w:rsidRPr="004748B5">
        <w:rPr>
          <w:sz w:val="20"/>
          <w:vertAlign w:val="superscript"/>
        </w:rPr>
        <w:footnoteReference w:id="192"/>
      </w:r>
    </w:p>
    <w:p w14:paraId="4A2B260C" w14:textId="77777777" w:rsidR="00B23FEA" w:rsidRDefault="00B23FEA" w:rsidP="003200DD">
      <w:pPr>
        <w:pStyle w:val="ParaNum"/>
      </w:pPr>
      <w:bookmarkStart w:id="362" w:name="_Ref398033301"/>
      <w:r>
        <w:t xml:space="preserve">The </w:t>
      </w:r>
      <w:r w:rsidR="00667359">
        <w:t xml:space="preserve">antenna </w:t>
      </w:r>
      <w:r>
        <w:t>H</w:t>
      </w:r>
      <w:r w:rsidR="006B3244">
        <w:t xml:space="preserve">eight </w:t>
      </w:r>
      <w:r>
        <w:t>A</w:t>
      </w:r>
      <w:r w:rsidR="006B3244">
        <w:t xml:space="preserve">bove </w:t>
      </w:r>
      <w:r>
        <w:t>A</w:t>
      </w:r>
      <w:r w:rsidR="006B3244">
        <w:t xml:space="preserve">verage </w:t>
      </w:r>
      <w:r>
        <w:t>T</w:t>
      </w:r>
      <w:r w:rsidR="006B3244">
        <w:t>errain</w:t>
      </w:r>
      <w:r>
        <w:t xml:space="preserve"> </w:t>
      </w:r>
      <w:r w:rsidR="006B3244">
        <w:t xml:space="preserve">(HAAT) </w:t>
      </w:r>
      <w:r>
        <w:t xml:space="preserve">value of 30 meters </w:t>
      </w:r>
      <w:r w:rsidR="006015B9">
        <w:t xml:space="preserve">we adopt </w:t>
      </w:r>
      <w:r>
        <w:t xml:space="preserve">for use in the ISIX Methodology </w:t>
      </w:r>
      <w:r w:rsidR="009C0F67">
        <w:t>is consistent with r</w:t>
      </w:r>
      <w:r>
        <w:t>eal</w:t>
      </w:r>
      <w:r w:rsidR="00890ECE">
        <w:t>-</w:t>
      </w:r>
      <w:r>
        <w:t>world network information incorporated in the Commerce Spectrum Management Advisory Committee (CSMAC) Final Report</w:t>
      </w:r>
      <w:r w:rsidR="00667359">
        <w:t>.</w:t>
      </w:r>
      <w:r w:rsidR="006015B9">
        <w:rPr>
          <w:rStyle w:val="FootnoteReference"/>
        </w:rPr>
        <w:footnoteReference w:id="193"/>
      </w:r>
      <w:r w:rsidR="00667359">
        <w:t xml:space="preserve">  Th</w:t>
      </w:r>
      <w:r w:rsidR="0023655F">
        <w:t>is</w:t>
      </w:r>
      <w:r w:rsidR="00667359">
        <w:t xml:space="preserve"> </w:t>
      </w:r>
      <w:r w:rsidR="0023655F">
        <w:t>r</w:t>
      </w:r>
      <w:r w:rsidR="00667359">
        <w:t>eport specifies</w:t>
      </w:r>
      <w:r>
        <w:t xml:space="preserve"> 30 meters as the </w:t>
      </w:r>
      <w:r w:rsidR="006015B9">
        <w:t xml:space="preserve">typical </w:t>
      </w:r>
      <w:r w:rsidR="00254BDF">
        <w:t>HAAT</w:t>
      </w:r>
      <w:r>
        <w:t xml:space="preserve"> for </w:t>
      </w:r>
      <w:r w:rsidR="003C7550">
        <w:t xml:space="preserve">base </w:t>
      </w:r>
      <w:r w:rsidR="009C0F67">
        <w:t>station</w:t>
      </w:r>
      <w:r w:rsidR="003C7550">
        <w:t>s</w:t>
      </w:r>
      <w:r w:rsidR="009C0F67">
        <w:t xml:space="preserve"> in urban/suburban areas where inter-service interference </w:t>
      </w:r>
      <w:r w:rsidR="003C7550">
        <w:t xml:space="preserve">would </w:t>
      </w:r>
      <w:r w:rsidR="009C0F67">
        <w:t>most likely occur</w:t>
      </w:r>
      <w:r>
        <w:t xml:space="preserve">. </w:t>
      </w:r>
      <w:r w:rsidRPr="003C7550">
        <w:rPr>
          <w:color w:val="FF0000"/>
        </w:rPr>
        <w:t> </w:t>
      </w:r>
      <w:r w:rsidR="00911E86">
        <w:t>T</w:t>
      </w:r>
      <w:r w:rsidR="00890ECE" w:rsidRPr="004748B5">
        <w:t xml:space="preserve">he wireless industry </w:t>
      </w:r>
      <w:r w:rsidR="00890ECE">
        <w:t xml:space="preserve">also </w:t>
      </w:r>
      <w:r w:rsidR="00890ECE" w:rsidRPr="004748B5">
        <w:t>support</w:t>
      </w:r>
      <w:r w:rsidR="00890ECE">
        <w:t>s</w:t>
      </w:r>
      <w:r w:rsidR="00890ECE" w:rsidRPr="004748B5">
        <w:t xml:space="preserve"> th</w:t>
      </w:r>
      <w:r w:rsidR="00890ECE">
        <w:t>is</w:t>
      </w:r>
      <w:r w:rsidR="00890ECE" w:rsidRPr="004748B5">
        <w:t xml:space="preserve"> assumption.</w:t>
      </w:r>
      <w:r w:rsidR="00890ECE">
        <w:rPr>
          <w:rStyle w:val="FootnoteReference"/>
        </w:rPr>
        <w:footnoteReference w:id="194"/>
      </w:r>
      <w:r w:rsidR="00890ECE" w:rsidRPr="004748B5">
        <w:t xml:space="preserve">  </w:t>
      </w:r>
      <w:r w:rsidR="00CE7668">
        <w:t xml:space="preserve">The </w:t>
      </w:r>
      <w:r w:rsidR="00CE7668" w:rsidRPr="00C90F00">
        <w:t>Joint Broadcasters</w:t>
      </w:r>
      <w:r w:rsidR="00CE7668">
        <w:t>’</w:t>
      </w:r>
      <w:r w:rsidR="00CE7668" w:rsidRPr="00C90F00">
        <w:t xml:space="preserve"> analysis </w:t>
      </w:r>
      <w:r w:rsidR="00CE7668">
        <w:t xml:space="preserve">overestimates the typical </w:t>
      </w:r>
      <w:r w:rsidR="006015B9">
        <w:t xml:space="preserve">wireless base station </w:t>
      </w:r>
      <w:r w:rsidR="00CE7668">
        <w:t>antenna height</w:t>
      </w:r>
      <w:r w:rsidR="009C0F67">
        <w:t xml:space="preserve"> because it </w:t>
      </w:r>
      <w:r w:rsidR="003C7550">
        <w:t xml:space="preserve">is based </w:t>
      </w:r>
      <w:r w:rsidR="00CE7668" w:rsidRPr="00C90F00">
        <w:t>on</w:t>
      </w:r>
      <w:r w:rsidR="009C0F67">
        <w:t xml:space="preserve"> </w:t>
      </w:r>
      <w:r w:rsidR="00CE7668">
        <w:t>the</w:t>
      </w:r>
      <w:r w:rsidR="00CE7668" w:rsidRPr="00C90F00">
        <w:t xml:space="preserve"> overall height above ground level for the </w:t>
      </w:r>
      <w:r w:rsidR="00CE7668">
        <w:t>towers hosting a wireless antenna</w:t>
      </w:r>
      <w:r w:rsidR="00CE7668" w:rsidRPr="00C90F00">
        <w:t xml:space="preserve">, rather than the height at which the </w:t>
      </w:r>
      <w:r w:rsidR="00CE7668">
        <w:t xml:space="preserve">wireless </w:t>
      </w:r>
      <w:r w:rsidR="00CE7668" w:rsidRPr="00C90F00">
        <w:t>antennas are actually mounted on each tower.</w:t>
      </w:r>
      <w:r w:rsidR="00CE7668">
        <w:rPr>
          <w:rStyle w:val="FootnoteReference"/>
        </w:rPr>
        <w:footnoteReference w:id="195"/>
      </w:r>
      <w:r w:rsidR="00CE7668" w:rsidRPr="00C90F00">
        <w:t xml:space="preserve">  Wireless antennas are typically side-mounted </w:t>
      </w:r>
      <w:r w:rsidR="00CE7668">
        <w:t>on</w:t>
      </w:r>
      <w:r w:rsidR="00CE7668" w:rsidRPr="00C90F00">
        <w:t xml:space="preserve"> </w:t>
      </w:r>
      <w:r w:rsidR="003C7550">
        <w:t>platforms or other supporting structures</w:t>
      </w:r>
      <w:r w:rsidR="00CE7668" w:rsidRPr="00C90F00">
        <w:t xml:space="preserve">, resulting in a much lower antenna height than the overall </w:t>
      </w:r>
      <w:r w:rsidR="00CE7668">
        <w:t>tower</w:t>
      </w:r>
      <w:r w:rsidR="00CE7668" w:rsidRPr="00C90F00">
        <w:t xml:space="preserve"> height.</w:t>
      </w:r>
      <w:r w:rsidR="006015B9">
        <w:rPr>
          <w:rStyle w:val="FootnoteReference"/>
        </w:rPr>
        <w:footnoteReference w:id="196"/>
      </w:r>
      <w:r w:rsidR="00CE7668" w:rsidRPr="00C90F00">
        <w:t xml:space="preserve">  </w:t>
      </w:r>
      <w:r w:rsidR="00CE7668">
        <w:t xml:space="preserve">Moreover, while the </w:t>
      </w:r>
      <w:r w:rsidR="009C0F67">
        <w:t xml:space="preserve">Joint Broadcasters’ </w:t>
      </w:r>
      <w:r w:rsidR="00CE7668">
        <w:t xml:space="preserve">analysis relies on data from American Tower, one of the </w:t>
      </w:r>
      <w:r w:rsidR="00CE7668" w:rsidRPr="00C90F00">
        <w:t>largest tower management entit</w:t>
      </w:r>
      <w:r w:rsidR="00CE7668">
        <w:t>ies</w:t>
      </w:r>
      <w:r w:rsidR="00CE7668" w:rsidRPr="00C90F00">
        <w:t xml:space="preserve"> in the United States, </w:t>
      </w:r>
      <w:r w:rsidR="003C7550">
        <w:t xml:space="preserve">it </w:t>
      </w:r>
      <w:r w:rsidR="00CE7668" w:rsidRPr="00C90F00">
        <w:t xml:space="preserve">excludes rooftop, on-building, and broadcast tower </w:t>
      </w:r>
      <w:r w:rsidR="003C7550">
        <w:t xml:space="preserve">mounted </w:t>
      </w:r>
      <w:r w:rsidR="00CE7668" w:rsidRPr="00C90F00">
        <w:t>sites.</w:t>
      </w:r>
      <w:r w:rsidR="00CE7668">
        <w:rPr>
          <w:rStyle w:val="FootnoteReference"/>
        </w:rPr>
        <w:footnoteReference w:id="197"/>
      </w:r>
      <w:r w:rsidR="00910241" w:rsidRPr="003C7550">
        <w:rPr>
          <w:snapToGrid/>
        </w:rPr>
        <w:t xml:space="preserve"> </w:t>
      </w:r>
      <w:r w:rsidR="00254BDF">
        <w:rPr>
          <w:snapToGrid/>
        </w:rPr>
        <w:t xml:space="preserve"> </w:t>
      </w:r>
      <w:r w:rsidR="003C7550" w:rsidRPr="003C7550">
        <w:rPr>
          <w:snapToGrid/>
        </w:rPr>
        <w:t>F</w:t>
      </w:r>
      <w:r w:rsidR="00910241" w:rsidRPr="003C7550">
        <w:rPr>
          <w:snapToGrid/>
        </w:rPr>
        <w:t xml:space="preserve">or the </w:t>
      </w:r>
      <w:r w:rsidR="004C48BF" w:rsidRPr="003C7550">
        <w:rPr>
          <w:snapToGrid/>
        </w:rPr>
        <w:t xml:space="preserve">above </w:t>
      </w:r>
      <w:r w:rsidR="00910241" w:rsidRPr="003C7550">
        <w:rPr>
          <w:snapToGrid/>
        </w:rPr>
        <w:t>reasons</w:t>
      </w:r>
      <w:r w:rsidR="003C7550" w:rsidRPr="003C7550">
        <w:rPr>
          <w:snapToGrid/>
        </w:rPr>
        <w:t>, we believe</w:t>
      </w:r>
      <w:r w:rsidR="00910241" w:rsidRPr="003C7550">
        <w:rPr>
          <w:snapToGrid/>
        </w:rPr>
        <w:t xml:space="preserve"> that </w:t>
      </w:r>
      <w:r w:rsidR="004748B5" w:rsidRPr="004748B5">
        <w:t xml:space="preserve">the typical </w:t>
      </w:r>
      <w:r w:rsidR="004748B5" w:rsidRPr="004C48BF">
        <w:t>values</w:t>
      </w:r>
      <w:r w:rsidR="004748B5" w:rsidRPr="004748B5">
        <w:t xml:space="preserve"> </w:t>
      </w:r>
      <w:r w:rsidR="004C48BF">
        <w:t>we adopt</w:t>
      </w:r>
      <w:r w:rsidR="004748B5" w:rsidRPr="004748B5">
        <w:t xml:space="preserve"> </w:t>
      </w:r>
      <w:r w:rsidR="003C7550">
        <w:t xml:space="preserve">are appropriate for modeling </w:t>
      </w:r>
      <w:r w:rsidR="004748B5" w:rsidRPr="004748B5">
        <w:t xml:space="preserve">a </w:t>
      </w:r>
      <w:r w:rsidR="00890ECE">
        <w:t xml:space="preserve">600 MHz </w:t>
      </w:r>
      <w:r w:rsidR="002E4AC6">
        <w:t xml:space="preserve">Band </w:t>
      </w:r>
      <w:r w:rsidR="004748B5" w:rsidRPr="004748B5">
        <w:t>wireless network.</w:t>
      </w:r>
      <w:bookmarkEnd w:id="362"/>
      <w:r w:rsidR="004748B5" w:rsidRPr="004748B5">
        <w:t xml:space="preserve">   </w:t>
      </w:r>
    </w:p>
    <w:p w14:paraId="745F8667" w14:textId="77777777" w:rsidR="00457857" w:rsidRDefault="001858FB" w:rsidP="003200DD">
      <w:pPr>
        <w:pStyle w:val="ParaNum"/>
      </w:pPr>
      <w:bookmarkStart w:id="363" w:name="_Ref398034368"/>
      <w:r w:rsidRPr="00317C52">
        <w:rPr>
          <w:i/>
        </w:rPr>
        <w:t>“</w:t>
      </w:r>
      <w:r w:rsidR="00457857" w:rsidRPr="00BC648B">
        <w:rPr>
          <w:i/>
        </w:rPr>
        <w:t>Error Code 3</w:t>
      </w:r>
      <w:r w:rsidRPr="00BC648B">
        <w:rPr>
          <w:i/>
        </w:rPr>
        <w:t>”</w:t>
      </w:r>
      <w:r w:rsidR="00457857" w:rsidRPr="00BC648B">
        <w:rPr>
          <w:i/>
        </w:rPr>
        <w:t xml:space="preserve"> Messages</w:t>
      </w:r>
      <w:r w:rsidR="00457857" w:rsidRPr="00BC648B">
        <w:t>.</w:t>
      </w:r>
      <w:r w:rsidR="00C90F00" w:rsidRPr="00BC648B">
        <w:t xml:space="preserve"> </w:t>
      </w:r>
      <w:r w:rsidR="00EA2CD3" w:rsidRPr="00BC648B">
        <w:t xml:space="preserve"> </w:t>
      </w:r>
      <w:r w:rsidR="00C90F00" w:rsidRPr="00BC648B">
        <w:t xml:space="preserve">We </w:t>
      </w:r>
      <w:r w:rsidRPr="00BC648B">
        <w:t xml:space="preserve">disagree with the Joint Broadcasters that we should assume service in cells where an </w:t>
      </w:r>
      <w:r w:rsidRPr="0020787C">
        <w:t>“</w:t>
      </w:r>
      <w:r w:rsidRPr="00747452">
        <w:t>error code 3” message appears, rather than</w:t>
      </w:r>
      <w:r>
        <w:t xml:space="preserve"> using</w:t>
      </w:r>
      <w:r w:rsidR="00C90F00">
        <w:t xml:space="preserve"> the predicted field strength at </w:t>
      </w:r>
      <w:r>
        <w:t xml:space="preserve">such </w:t>
      </w:r>
      <w:r w:rsidR="00C90F00">
        <w:t>location</w:t>
      </w:r>
      <w:r w:rsidR="00073DA8">
        <w:t>s</w:t>
      </w:r>
      <w:r w:rsidR="00C90F00">
        <w:t xml:space="preserve">. </w:t>
      </w:r>
      <w:r w:rsidR="00457857">
        <w:t xml:space="preserve"> The Joint Broadcasters</w:t>
      </w:r>
      <w:r>
        <w:t>’</w:t>
      </w:r>
      <w:r w:rsidR="00457857">
        <w:t xml:space="preserve"> claim that </w:t>
      </w:r>
      <w:r w:rsidR="00D17EF4">
        <w:t>our approach</w:t>
      </w:r>
      <w:r>
        <w:t xml:space="preserve"> </w:t>
      </w:r>
      <w:r w:rsidR="00564828">
        <w:t xml:space="preserve">departs from the </w:t>
      </w:r>
      <w:r>
        <w:t xml:space="preserve">Commission’s treatment of error warnings </w:t>
      </w:r>
      <w:r w:rsidR="00564828">
        <w:t xml:space="preserve">ignores the fact that </w:t>
      </w:r>
      <w:r w:rsidR="00667359">
        <w:t xml:space="preserve">we have treated </w:t>
      </w:r>
      <w:r w:rsidR="00D17EF4">
        <w:t>error warnings differently depending on context</w:t>
      </w:r>
      <w:r w:rsidR="00457857">
        <w:t>.</w:t>
      </w:r>
      <w:r w:rsidR="00D17EF4">
        <w:rPr>
          <w:rStyle w:val="FootnoteReference"/>
        </w:rPr>
        <w:footnoteReference w:id="198"/>
      </w:r>
      <w:r w:rsidR="00457857">
        <w:t xml:space="preserve">  In the </w:t>
      </w:r>
      <w:r w:rsidR="00457857" w:rsidRPr="00AA6FB2">
        <w:rPr>
          <w:i/>
        </w:rPr>
        <w:t>Incentive Auc</w:t>
      </w:r>
      <w:r w:rsidR="00457857" w:rsidRPr="00A15354">
        <w:rPr>
          <w:i/>
        </w:rPr>
        <w:t>tion R&amp;O</w:t>
      </w:r>
      <w:r w:rsidR="00457857">
        <w:t xml:space="preserve">, we </w:t>
      </w:r>
      <w:r w:rsidR="00D17EF4">
        <w:t>decided to assume service in cell</w:t>
      </w:r>
      <w:r w:rsidR="00667359">
        <w:t>s</w:t>
      </w:r>
      <w:r w:rsidR="00D17EF4">
        <w:t xml:space="preserve"> where an “error code 3” message appears, </w:t>
      </w:r>
      <w:r w:rsidR="00747452">
        <w:t xml:space="preserve">because </w:t>
      </w:r>
      <w:r w:rsidR="00F76AE1">
        <w:t>doing so</w:t>
      </w:r>
      <w:r w:rsidR="00747452">
        <w:t xml:space="preserve"> </w:t>
      </w:r>
      <w:r w:rsidR="00D17EF4">
        <w:t xml:space="preserve">is consistent with the traditional assumption </w:t>
      </w:r>
      <w:r w:rsidR="00564828">
        <w:t xml:space="preserve">for purposes of </w:t>
      </w:r>
      <w:r w:rsidR="00F76AE1">
        <w:t>applying</w:t>
      </w:r>
      <w:r w:rsidR="00564828">
        <w:t xml:space="preserve"> the OET-69 methodology </w:t>
      </w:r>
      <w:r w:rsidR="00D17EF4">
        <w:t>that service is available throughout a station’s coverage area and that broadcasters locate and configure their transmitters to maximize coverage.</w:t>
      </w:r>
      <w:r w:rsidR="00083E73">
        <w:rPr>
          <w:rStyle w:val="FootnoteReference"/>
        </w:rPr>
        <w:footnoteReference w:id="199"/>
      </w:r>
      <w:r w:rsidR="00F7269D">
        <w:t xml:space="preserve">  </w:t>
      </w:r>
      <w:r w:rsidR="00D17EF4">
        <w:t>In predicting Case 3 interference</w:t>
      </w:r>
      <w:r w:rsidR="0031552E">
        <w:t xml:space="preserve">, </w:t>
      </w:r>
      <w:r w:rsidR="00D17EF4">
        <w:t xml:space="preserve">however, </w:t>
      </w:r>
      <w:r w:rsidR="00667359">
        <w:t xml:space="preserve">we find that </w:t>
      </w:r>
      <w:r w:rsidR="00D17EF4">
        <w:t>different treatment of “error code 3” messages is appropriate</w:t>
      </w:r>
      <w:r w:rsidR="0031552E">
        <w:t xml:space="preserve">.  </w:t>
      </w:r>
      <w:r w:rsidR="00F7269D">
        <w:t xml:space="preserve">If we </w:t>
      </w:r>
      <w:r w:rsidR="00AC4F8E">
        <w:t xml:space="preserve">were to </w:t>
      </w:r>
      <w:r w:rsidR="00457857">
        <w:t>assume service in the presence of a</w:t>
      </w:r>
      <w:r w:rsidR="00AC4F8E">
        <w:t>n error</w:t>
      </w:r>
      <w:r w:rsidR="00457857">
        <w:t xml:space="preserve"> warning, </w:t>
      </w:r>
      <w:r w:rsidR="00AC4F8E">
        <w:t xml:space="preserve">the cell </w:t>
      </w:r>
      <w:r w:rsidR="00D17EF4">
        <w:t xml:space="preserve">in question </w:t>
      </w:r>
      <w:r w:rsidR="00AC4F8E">
        <w:t>w</w:t>
      </w:r>
      <w:r w:rsidR="00D17EF4">
        <w:t>ould</w:t>
      </w:r>
      <w:r w:rsidR="00AC4F8E">
        <w:t xml:space="preserve"> be </w:t>
      </w:r>
      <w:r w:rsidR="00D17EF4">
        <w:t>treat</w:t>
      </w:r>
      <w:r w:rsidR="00AC4F8E">
        <w:t xml:space="preserve">ed as having interference-free service, meaning that </w:t>
      </w:r>
      <w:r w:rsidR="00564828">
        <w:t xml:space="preserve">potential </w:t>
      </w:r>
      <w:r w:rsidR="00AC4F8E">
        <w:t xml:space="preserve">inter-service </w:t>
      </w:r>
      <w:r w:rsidR="00457857">
        <w:t>interference w</w:t>
      </w:r>
      <w:r w:rsidR="00AC4F8E">
        <w:t xml:space="preserve">ould </w:t>
      </w:r>
      <w:r w:rsidR="00457857">
        <w:t xml:space="preserve">be ignored.  </w:t>
      </w:r>
      <w:r w:rsidR="00AC4F8E">
        <w:t>T</w:t>
      </w:r>
      <w:r w:rsidR="00457857">
        <w:t xml:space="preserve">he result </w:t>
      </w:r>
      <w:r w:rsidR="00564828">
        <w:t xml:space="preserve">would be </w:t>
      </w:r>
      <w:r w:rsidR="00457857">
        <w:t xml:space="preserve">a failure to check for </w:t>
      </w:r>
      <w:r w:rsidR="00AC4F8E">
        <w:t xml:space="preserve">inter-service </w:t>
      </w:r>
      <w:r w:rsidR="00457857">
        <w:t xml:space="preserve">interference at locations where the DTV signal could </w:t>
      </w:r>
      <w:r w:rsidR="00564828">
        <w:t xml:space="preserve">be subject to </w:t>
      </w:r>
      <w:r w:rsidR="00457857">
        <w:t>interference.</w:t>
      </w:r>
      <w:r w:rsidR="00345739">
        <w:rPr>
          <w:rStyle w:val="FootnoteReference"/>
        </w:rPr>
        <w:footnoteReference w:id="200"/>
      </w:r>
      <w:r w:rsidR="00457857">
        <w:t xml:space="preserve">  By </w:t>
      </w:r>
      <w:r w:rsidR="00497906">
        <w:t>instead using the predicted field strength at such locations</w:t>
      </w:r>
      <w:r w:rsidR="00457857">
        <w:t xml:space="preserve">, we </w:t>
      </w:r>
      <w:r w:rsidR="00AC4F8E">
        <w:t xml:space="preserve">will </w:t>
      </w:r>
      <w:r w:rsidR="00497906">
        <w:t xml:space="preserve">ensure that the ISIX Methodology </w:t>
      </w:r>
      <w:r w:rsidR="00457857">
        <w:t>evaluate</w:t>
      </w:r>
      <w:r w:rsidR="00497906">
        <w:t>s</w:t>
      </w:r>
      <w:r w:rsidR="00457857">
        <w:t xml:space="preserve"> service and </w:t>
      </w:r>
      <w:r w:rsidR="00564828">
        <w:t>potential</w:t>
      </w:r>
      <w:r w:rsidR="008920AB">
        <w:t xml:space="preserve"> </w:t>
      </w:r>
      <w:r w:rsidR="00457857">
        <w:t xml:space="preserve">interference </w:t>
      </w:r>
      <w:r w:rsidR="00AC4F8E">
        <w:t xml:space="preserve">in the flagged cells just as </w:t>
      </w:r>
      <w:r w:rsidR="00497906">
        <w:t>it</w:t>
      </w:r>
      <w:r w:rsidR="00AC4F8E">
        <w:t xml:space="preserve"> would in non-flagged cells.  </w:t>
      </w:r>
      <w:r w:rsidR="00497906">
        <w:t>O</w:t>
      </w:r>
      <w:r w:rsidR="00BE1257">
        <w:t xml:space="preserve">ur </w:t>
      </w:r>
      <w:r w:rsidR="00497906">
        <w:t xml:space="preserve">approach </w:t>
      </w:r>
      <w:r w:rsidR="00457857">
        <w:t>do</w:t>
      </w:r>
      <w:r w:rsidR="00BE1257">
        <w:t>es</w:t>
      </w:r>
      <w:r w:rsidR="00457857">
        <w:t xml:space="preserve"> not alter or otherwise affect </w:t>
      </w:r>
      <w:r w:rsidR="00181EC9">
        <w:t xml:space="preserve">our </w:t>
      </w:r>
      <w:r w:rsidR="00497906">
        <w:t>treatment of error warnings in applying the OET-69 methodology</w:t>
      </w:r>
      <w:r w:rsidR="00181EC9">
        <w:t xml:space="preserve"> as </w:t>
      </w:r>
      <w:r w:rsidR="00497906">
        <w:t xml:space="preserve">set forth </w:t>
      </w:r>
      <w:r w:rsidR="00181EC9">
        <w:t>in the</w:t>
      </w:r>
      <w:r w:rsidR="00181EC9" w:rsidRPr="00AA6FB2">
        <w:rPr>
          <w:i/>
        </w:rPr>
        <w:t xml:space="preserve"> </w:t>
      </w:r>
      <w:r w:rsidR="00181EC9" w:rsidRPr="00A15354">
        <w:rPr>
          <w:i/>
        </w:rPr>
        <w:t>Incentive Auction R&amp;O</w:t>
      </w:r>
      <w:r w:rsidR="00457857">
        <w:t>.</w:t>
      </w:r>
      <w:bookmarkEnd w:id="363"/>
      <w:r w:rsidR="00457857">
        <w:t xml:space="preserve">   </w:t>
      </w:r>
    </w:p>
    <w:p w14:paraId="0FB41AC7" w14:textId="77777777" w:rsidR="00457857" w:rsidRPr="00D8728C" w:rsidRDefault="00457857" w:rsidP="003200DD">
      <w:pPr>
        <w:pStyle w:val="ParaNum"/>
      </w:pPr>
      <w:bookmarkStart w:id="364" w:name="_Ref398031675"/>
      <w:r w:rsidRPr="00F3761A">
        <w:rPr>
          <w:i/>
        </w:rPr>
        <w:t xml:space="preserve">Aggregate </w:t>
      </w:r>
      <w:r w:rsidR="00681308" w:rsidRPr="00F3761A">
        <w:rPr>
          <w:i/>
        </w:rPr>
        <w:t xml:space="preserve">Wireless </w:t>
      </w:r>
      <w:r w:rsidRPr="00F3761A">
        <w:rPr>
          <w:i/>
        </w:rPr>
        <w:t>Interference to DTV</w:t>
      </w:r>
      <w:r w:rsidRPr="00F3761A">
        <w:t>.</w:t>
      </w:r>
      <w:r w:rsidRPr="004E4011">
        <w:t xml:space="preserve"> </w:t>
      </w:r>
      <w:r w:rsidR="00306E53">
        <w:t xml:space="preserve"> </w:t>
      </w:r>
      <w:r w:rsidR="000B3FDE">
        <w:t>W</w:t>
      </w:r>
      <w:r w:rsidR="00306E53">
        <w:t xml:space="preserve">e decline to consider the </w:t>
      </w:r>
      <w:r w:rsidR="00BB3ACA">
        <w:t xml:space="preserve">potential </w:t>
      </w:r>
      <w:r w:rsidR="00306E53">
        <w:t xml:space="preserve">impact of interference </w:t>
      </w:r>
      <w:r w:rsidR="00BB3ACA">
        <w:t xml:space="preserve">from multiple wireless base stations </w:t>
      </w:r>
      <w:r w:rsidR="00D575F6">
        <w:t>on</w:t>
      </w:r>
      <w:r w:rsidR="00306E53">
        <w:t xml:space="preserve"> DTV</w:t>
      </w:r>
      <w:r w:rsidR="00BD5071">
        <w:t xml:space="preserve"> reception</w:t>
      </w:r>
      <w:r w:rsidR="00947BF4">
        <w:t xml:space="preserve"> when applying the ISIX Methodology </w:t>
      </w:r>
      <w:r w:rsidR="00564828">
        <w:t xml:space="preserve">for Case 3 </w:t>
      </w:r>
      <w:r w:rsidR="00947BF4">
        <w:t>during the incentive auction</w:t>
      </w:r>
      <w:r w:rsidR="00306E53">
        <w:t>.</w:t>
      </w:r>
      <w:r w:rsidR="00A65DFB">
        <w:t xml:space="preserve">  </w:t>
      </w:r>
      <w:r w:rsidR="000B3FDE">
        <w:t xml:space="preserve">Broadcasters </w:t>
      </w:r>
      <w:r w:rsidRPr="004E4011">
        <w:t xml:space="preserve">express concern </w:t>
      </w:r>
      <w:r>
        <w:t>that</w:t>
      </w:r>
      <w:r w:rsidRPr="004E4011">
        <w:t xml:space="preserve"> LTE signals </w:t>
      </w:r>
      <w:r>
        <w:t>could</w:t>
      </w:r>
      <w:r w:rsidRPr="004E4011">
        <w:t xml:space="preserve"> combine at the point of DTV signal reception, </w:t>
      </w:r>
      <w:r>
        <w:t>increas</w:t>
      </w:r>
      <w:r w:rsidR="00564828">
        <w:t xml:space="preserve">ing </w:t>
      </w:r>
      <w:r>
        <w:t>the potential for</w:t>
      </w:r>
      <w:r w:rsidRPr="004E4011">
        <w:t xml:space="preserve"> interference.</w:t>
      </w:r>
      <w:r w:rsidRPr="004E4011">
        <w:rPr>
          <w:vertAlign w:val="superscript"/>
        </w:rPr>
        <w:footnoteReference w:id="201"/>
      </w:r>
      <w:r w:rsidRPr="004E4011">
        <w:t xml:space="preserve">  </w:t>
      </w:r>
      <w:r w:rsidR="001D1DBD">
        <w:t>They</w:t>
      </w:r>
      <w:r w:rsidRPr="004E4011">
        <w:t xml:space="preserve"> urge the Commission to us</w:t>
      </w:r>
      <w:r w:rsidR="001D1DBD">
        <w:t>e</w:t>
      </w:r>
      <w:r w:rsidRPr="004E4011">
        <w:t xml:space="preserve"> either a simple direct summation </w:t>
      </w:r>
      <w:r>
        <w:t xml:space="preserve">of signals </w:t>
      </w:r>
      <w:r w:rsidRPr="004E4011">
        <w:t>or the</w:t>
      </w:r>
      <w:r w:rsidR="001D1DBD">
        <w:t xml:space="preserve"> Root Square Sum</w:t>
      </w:r>
      <w:r w:rsidRPr="004E4011">
        <w:t xml:space="preserve"> </w:t>
      </w:r>
      <w:r w:rsidR="001D1DBD" w:rsidRPr="00DF1D38">
        <w:t>(</w:t>
      </w:r>
      <w:r w:rsidRPr="00DF1D38">
        <w:t>RSS</w:t>
      </w:r>
      <w:r w:rsidR="001D1DBD" w:rsidRPr="00DF1D38">
        <w:t>)</w:t>
      </w:r>
      <w:r w:rsidRPr="00DF1D38">
        <w:t xml:space="preserve"> method</w:t>
      </w:r>
      <w:r w:rsidR="00031AC9" w:rsidRPr="00AA3CDA">
        <w:rPr>
          <w:rStyle w:val="FootnoteReference"/>
        </w:rPr>
        <w:footnoteReference w:id="202"/>
      </w:r>
      <w:r w:rsidRPr="00DF1D38">
        <w:t xml:space="preserve"> </w:t>
      </w:r>
      <w:r w:rsidRPr="004E4011">
        <w:t>for calculating interference from multiple DTS transmitters under our current rules.</w:t>
      </w:r>
      <w:r w:rsidRPr="004E4011">
        <w:rPr>
          <w:vertAlign w:val="superscript"/>
        </w:rPr>
        <w:footnoteReference w:id="203"/>
      </w:r>
      <w:r w:rsidRPr="004E4011">
        <w:t xml:space="preserve"> </w:t>
      </w:r>
      <w:r>
        <w:t xml:space="preserve"> </w:t>
      </w:r>
      <w:r w:rsidR="001D1DBD">
        <w:t xml:space="preserve">We conclude that neither of these approaches is appropriate </w:t>
      </w:r>
      <w:r w:rsidR="00564828">
        <w:t xml:space="preserve">here </w:t>
      </w:r>
      <w:r w:rsidR="001D1DBD">
        <w:t xml:space="preserve">because the ISIX Methodology necessarily relies on hypothetical </w:t>
      </w:r>
      <w:r w:rsidR="00710785">
        <w:t xml:space="preserve">placement of wireless base stations every ten kilometers with no regard to whether </w:t>
      </w:r>
      <w:r w:rsidR="00E50985">
        <w:t xml:space="preserve">actual operation on </w:t>
      </w:r>
      <w:r w:rsidR="00A87332">
        <w:t xml:space="preserve">those locations </w:t>
      </w:r>
      <w:r w:rsidR="00710785">
        <w:t xml:space="preserve">is </w:t>
      </w:r>
      <w:r w:rsidR="00A87332">
        <w:t xml:space="preserve">desirable </w:t>
      </w:r>
      <w:r w:rsidR="00710785">
        <w:t>or possible.  F</w:t>
      </w:r>
      <w:r w:rsidR="00E50985">
        <w:t>irst</w:t>
      </w:r>
      <w:r w:rsidR="00710785">
        <w:t xml:space="preserve">, </w:t>
      </w:r>
      <w:r w:rsidR="00A87332">
        <w:t xml:space="preserve">the hypothetical </w:t>
      </w:r>
      <w:r w:rsidR="00710785">
        <w:t xml:space="preserve">wireless base stations </w:t>
      </w:r>
      <w:r w:rsidR="00A87332">
        <w:t xml:space="preserve">are </w:t>
      </w:r>
      <w:r w:rsidR="00710785">
        <w:t xml:space="preserve">placed </w:t>
      </w:r>
      <w:r w:rsidR="00A87332">
        <w:t xml:space="preserve">even </w:t>
      </w:r>
      <w:r w:rsidR="00710785">
        <w:t xml:space="preserve">within the contours of television stations – a situation </w:t>
      </w:r>
      <w:r w:rsidR="001037AE">
        <w:t>that will no</w:t>
      </w:r>
      <w:r w:rsidR="00FA3C78">
        <w:t>t</w:t>
      </w:r>
      <w:r w:rsidR="001037AE">
        <w:t xml:space="preserve"> occur in reality.  Therefore, aggregating the interference from th</w:t>
      </w:r>
      <w:r w:rsidR="00E50985">
        <w:t>o</w:t>
      </w:r>
      <w:r w:rsidR="001037AE">
        <w:t>se hypothetical base stations w</w:t>
      </w:r>
      <w:r w:rsidR="00E50985">
        <w:t>ould</w:t>
      </w:r>
      <w:r w:rsidR="001037AE">
        <w:t xml:space="preserve"> not provide any meaningful information and w</w:t>
      </w:r>
      <w:r w:rsidR="00E50985">
        <w:t>ould</w:t>
      </w:r>
      <w:r w:rsidR="001037AE">
        <w:t xml:space="preserve"> </w:t>
      </w:r>
      <w:r w:rsidR="004C673F">
        <w:t>not improve the accuracy of the ISIX Methodology.</w:t>
      </w:r>
      <w:r w:rsidR="00572623">
        <w:rPr>
          <w:rStyle w:val="FootnoteReference"/>
        </w:rPr>
        <w:footnoteReference w:id="204"/>
      </w:r>
      <w:r w:rsidR="00290AF8">
        <w:t xml:space="preserve"> </w:t>
      </w:r>
      <w:r w:rsidR="00D417C0">
        <w:t xml:space="preserve"> </w:t>
      </w:r>
      <w:r w:rsidR="00E50985">
        <w:t xml:space="preserve">We also observe that in order to manage interference within </w:t>
      </w:r>
      <w:r w:rsidR="00290AF8">
        <w:t xml:space="preserve">their </w:t>
      </w:r>
      <w:r w:rsidR="00E50985">
        <w:t>system</w:t>
      </w:r>
      <w:r w:rsidR="00290AF8">
        <w:t>s</w:t>
      </w:r>
      <w:r w:rsidR="00E50985">
        <w:t xml:space="preserve">, wireless </w:t>
      </w:r>
      <w:r w:rsidR="00290AF8">
        <w:t xml:space="preserve">providers </w:t>
      </w:r>
      <w:r w:rsidR="00E50985">
        <w:t xml:space="preserve">may not operate on a given frequency block simultaneously at all of </w:t>
      </w:r>
      <w:r w:rsidR="00290AF8">
        <w:t xml:space="preserve">their </w:t>
      </w:r>
      <w:r w:rsidR="00E50985">
        <w:t>cell sites.  Thus, aggregating signals from all of the hypothetical base stations would</w:t>
      </w:r>
      <w:r w:rsidR="00290AF8">
        <w:t xml:space="preserve"> not improve our estimates of impairments, would tend to produce a “worst case” scenario, and </w:t>
      </w:r>
      <w:r w:rsidR="00E50985">
        <w:t>overestimate potential interference.  Moreover, the pattern</w:t>
      </w:r>
      <w:r w:rsidR="00290AF8">
        <w:t>s</w:t>
      </w:r>
      <w:r w:rsidR="00E50985">
        <w:t xml:space="preserve"> of frequency use that would be optimal for wireless provider</w:t>
      </w:r>
      <w:r w:rsidR="00290AF8">
        <w:t>s</w:t>
      </w:r>
      <w:r w:rsidR="00E50985">
        <w:t xml:space="preserve"> </w:t>
      </w:r>
      <w:r w:rsidR="00290AF8">
        <w:t xml:space="preserve">are </w:t>
      </w:r>
      <w:r w:rsidR="00E50985">
        <w:t xml:space="preserve">not clear </w:t>
      </w:r>
      <w:r w:rsidR="00290AF8">
        <w:t xml:space="preserve">because they </w:t>
      </w:r>
      <w:r w:rsidR="00E50985">
        <w:t>would vary with terrain and other considerations</w:t>
      </w:r>
      <w:r w:rsidR="00290AF8">
        <w:t>.</w:t>
      </w:r>
      <w:r w:rsidR="00E50985">
        <w:t xml:space="preserve"> </w:t>
      </w:r>
      <w:r w:rsidR="00290AF8">
        <w:t xml:space="preserve"> As a result, </w:t>
      </w:r>
      <w:r w:rsidR="00E50985">
        <w:t xml:space="preserve">it would not improve the accuracy of the impairment estimates to assume a standard frequency re-use pattern for the ISIX methodology.  We also note that aggregating the signal strengths from </w:t>
      </w:r>
      <w:r w:rsidR="00725460">
        <w:t xml:space="preserve">each </w:t>
      </w:r>
      <w:r w:rsidR="00290AF8">
        <w:t xml:space="preserve">hypothetical wireless base station </w:t>
      </w:r>
      <w:r w:rsidR="00D417C0">
        <w:t xml:space="preserve">within </w:t>
      </w:r>
      <w:r w:rsidR="00E50985">
        <w:t xml:space="preserve">the </w:t>
      </w:r>
      <w:r w:rsidR="00D417C0">
        <w:t>500 kilometer</w:t>
      </w:r>
      <w:r w:rsidR="00E50985">
        <w:t xml:space="preserve"> culling distance</w:t>
      </w:r>
      <w:r w:rsidR="00D417C0">
        <w:t xml:space="preserve">s </w:t>
      </w:r>
      <w:r w:rsidR="00DC0FF3">
        <w:t>of a co-channel or adjacent channel television station</w:t>
      </w:r>
      <w:r w:rsidR="00E50985">
        <w:t xml:space="preserve"> c</w:t>
      </w:r>
      <w:r w:rsidR="00DC0FF3">
        <w:t>ould result in impairing all</w:t>
      </w:r>
      <w:r w:rsidR="00E50985">
        <w:t>, or nearly all, of the</w:t>
      </w:r>
      <w:r w:rsidR="00DC0FF3">
        <w:t xml:space="preserve"> locations</w:t>
      </w:r>
      <w:r w:rsidR="00E50985">
        <w:t xml:space="preserve"> considered</w:t>
      </w:r>
      <w:r w:rsidR="00290AF8">
        <w:t xml:space="preserve">. </w:t>
      </w:r>
      <w:r w:rsidR="00AC1C93">
        <w:t xml:space="preserve"> That is </w:t>
      </w:r>
      <w:r w:rsidR="00E50985">
        <w:t xml:space="preserve">because </w:t>
      </w:r>
      <w:r w:rsidR="00AC1C93">
        <w:t xml:space="preserve">locations </w:t>
      </w:r>
      <w:r w:rsidR="00E50985">
        <w:t xml:space="preserve">whose own contributions to interference would be below the </w:t>
      </w:r>
      <w:r w:rsidR="00AC1C93">
        <w:t xml:space="preserve">D/U </w:t>
      </w:r>
      <w:r w:rsidR="00E50985">
        <w:t xml:space="preserve">threshold </w:t>
      </w:r>
      <w:r w:rsidR="00AC1C93">
        <w:t xml:space="preserve">could </w:t>
      </w:r>
      <w:r w:rsidR="00E50985">
        <w:t xml:space="preserve">be </w:t>
      </w:r>
      <w:r w:rsidR="00AC1C93">
        <w:t xml:space="preserve">considered sources of interference when interference is aggregated with </w:t>
      </w:r>
      <w:r w:rsidR="00E50985">
        <w:t xml:space="preserve">other </w:t>
      </w:r>
      <w:r w:rsidR="00AC1C93">
        <w:t>hypothetical base stations</w:t>
      </w:r>
      <w:r w:rsidR="00DC0FF3">
        <w:t xml:space="preserve">.  </w:t>
      </w:r>
      <w:r w:rsidR="00AC1C93">
        <w:t>A</w:t>
      </w:r>
      <w:r w:rsidR="00E50985">
        <w:t>lso it might be more useful for wireless provider</w:t>
      </w:r>
      <w:r w:rsidR="00AC1C93">
        <w:t>s</w:t>
      </w:r>
      <w:r w:rsidR="00E50985">
        <w:t xml:space="preserve"> to </w:t>
      </w:r>
      <w:r w:rsidR="00AC1C93">
        <w:t xml:space="preserve">have </w:t>
      </w:r>
      <w:r w:rsidR="00E50985">
        <w:t xml:space="preserve">impairment information based on </w:t>
      </w:r>
      <w:r w:rsidR="00AC1C93">
        <w:t>the individual wireless base station</w:t>
      </w:r>
      <w:r w:rsidR="00E50985">
        <w:t xml:space="preserve">.  </w:t>
      </w:r>
      <w:r w:rsidR="001037AE">
        <w:t>F</w:t>
      </w:r>
      <w:r w:rsidR="00E50985">
        <w:t>inally</w:t>
      </w:r>
      <w:r w:rsidR="001037AE">
        <w:t xml:space="preserve">, </w:t>
      </w:r>
      <w:r w:rsidR="00E50985">
        <w:t xml:space="preserve">our plan to consider a whole county impaired </w:t>
      </w:r>
      <w:r w:rsidR="001037AE">
        <w:t xml:space="preserve">if </w:t>
      </w:r>
      <w:r w:rsidR="00E50985">
        <w:t>even one of the hypothetical</w:t>
      </w:r>
      <w:r w:rsidR="001037AE">
        <w:t xml:space="preserve"> ten-by-ten kilometer cell</w:t>
      </w:r>
      <w:r w:rsidR="00E50985">
        <w:t>s located in that county</w:t>
      </w:r>
      <w:r w:rsidR="001037AE">
        <w:t xml:space="preserve"> is predicted to cause interference</w:t>
      </w:r>
      <w:r w:rsidR="00E50985">
        <w:t xml:space="preserve"> will provide</w:t>
      </w:r>
      <w:r w:rsidR="001037AE">
        <w:t xml:space="preserve"> a conservative approach </w:t>
      </w:r>
      <w:r w:rsidR="00E50985">
        <w:t xml:space="preserve">in establishing impairments </w:t>
      </w:r>
      <w:r w:rsidR="001037AE">
        <w:t xml:space="preserve">that should address Joint Broadcasters’ concerns.  </w:t>
      </w:r>
      <w:r w:rsidR="00DC0FF3">
        <w:t xml:space="preserve">Therefore, because the RSS method </w:t>
      </w:r>
      <w:r w:rsidR="00E50985">
        <w:t xml:space="preserve">would </w:t>
      </w:r>
      <w:r w:rsidR="00DC0FF3">
        <w:t xml:space="preserve">not </w:t>
      </w:r>
      <w:r w:rsidR="00E50985">
        <w:t>improve the accuracy of our estimates of</w:t>
      </w:r>
      <w:r w:rsidR="00D417C0">
        <w:t xml:space="preserve"> interference potential</w:t>
      </w:r>
      <w:r w:rsidR="00DD4AE9">
        <w:t xml:space="preserve"> during the auction,</w:t>
      </w:r>
      <w:r w:rsidR="00D417C0">
        <w:t xml:space="preserve"> </w:t>
      </w:r>
      <w:r w:rsidR="00DC0FF3">
        <w:t xml:space="preserve">it </w:t>
      </w:r>
      <w:r w:rsidR="00D417C0">
        <w:t xml:space="preserve">will not be </w:t>
      </w:r>
      <w:r w:rsidR="00DD4AE9">
        <w:t>us</w:t>
      </w:r>
      <w:r w:rsidR="00D417C0">
        <w:t xml:space="preserve">ed when determining impairments to the wireless licenses during the auction. </w:t>
      </w:r>
      <w:r w:rsidRPr="00572623">
        <w:rPr>
          <w:snapToGrid/>
        </w:rPr>
        <w:t>We</w:t>
      </w:r>
      <w:r w:rsidR="004C673F">
        <w:rPr>
          <w:snapToGrid/>
        </w:rPr>
        <w:t xml:space="preserve"> seek comment in the </w:t>
      </w:r>
      <w:r w:rsidR="004C673F">
        <w:rPr>
          <w:i/>
          <w:snapToGrid/>
        </w:rPr>
        <w:t xml:space="preserve">FNPRM </w:t>
      </w:r>
      <w:r w:rsidR="004C673F">
        <w:rPr>
          <w:snapToGrid/>
        </w:rPr>
        <w:t xml:space="preserve">on how to </w:t>
      </w:r>
      <w:r w:rsidR="009F19F0" w:rsidRPr="00572623">
        <w:rPr>
          <w:snapToGrid/>
        </w:rPr>
        <w:t>assess</w:t>
      </w:r>
      <w:r w:rsidR="004C673F">
        <w:rPr>
          <w:snapToGrid/>
        </w:rPr>
        <w:t xml:space="preserve"> potential</w:t>
      </w:r>
      <w:r w:rsidR="009F19F0" w:rsidRPr="00572623">
        <w:rPr>
          <w:snapToGrid/>
        </w:rPr>
        <w:t xml:space="preserve"> </w:t>
      </w:r>
      <w:r w:rsidRPr="00572623">
        <w:rPr>
          <w:snapToGrid/>
        </w:rPr>
        <w:t xml:space="preserve">aggregate interference </w:t>
      </w:r>
      <w:r w:rsidR="009F19F0" w:rsidRPr="00572623">
        <w:rPr>
          <w:snapToGrid/>
        </w:rPr>
        <w:t xml:space="preserve">from wireless base stations to DTV reception based on </w:t>
      </w:r>
      <w:r w:rsidRPr="00572623">
        <w:rPr>
          <w:snapToGrid/>
        </w:rPr>
        <w:t>actual deployments</w:t>
      </w:r>
      <w:r w:rsidR="009F19F0" w:rsidRPr="00572623">
        <w:rPr>
          <w:snapToGrid/>
        </w:rPr>
        <w:t xml:space="preserve"> </w:t>
      </w:r>
      <w:r w:rsidR="004C673F">
        <w:rPr>
          <w:snapToGrid/>
        </w:rPr>
        <w:t xml:space="preserve">of 600 MHz Band services following the </w:t>
      </w:r>
      <w:r w:rsidR="009F19F0" w:rsidRPr="00572623">
        <w:rPr>
          <w:snapToGrid/>
        </w:rPr>
        <w:t>auction</w:t>
      </w:r>
      <w:r w:rsidRPr="00572623">
        <w:rPr>
          <w:snapToGrid/>
        </w:rPr>
        <w:t>.</w:t>
      </w:r>
      <w:r>
        <w:rPr>
          <w:rStyle w:val="FootnoteReference"/>
          <w:snapToGrid/>
          <w:kern w:val="0"/>
        </w:rPr>
        <w:footnoteReference w:id="205"/>
      </w:r>
      <w:bookmarkEnd w:id="364"/>
      <w:r w:rsidR="004C673F">
        <w:rPr>
          <w:snapToGrid/>
        </w:rPr>
        <w:t xml:space="preserve">  </w:t>
      </w:r>
    </w:p>
    <w:p w14:paraId="0B73F36D" w14:textId="77777777" w:rsidR="003730FA" w:rsidRDefault="003730FA" w:rsidP="003730FA">
      <w:pPr>
        <w:pStyle w:val="Heading5"/>
      </w:pPr>
      <w:bookmarkStart w:id="365" w:name="_Toc393784367"/>
      <w:bookmarkStart w:id="366" w:name="_Toc393784391"/>
      <w:bookmarkStart w:id="367" w:name="_Toc393895647"/>
      <w:bookmarkStart w:id="368" w:name="_Toc394059156"/>
      <w:bookmarkStart w:id="369" w:name="_Toc394068160"/>
      <w:bookmarkStart w:id="370" w:name="_Toc394672091"/>
      <w:bookmarkStart w:id="371" w:name="_Toc395701591"/>
      <w:bookmarkStart w:id="372" w:name="_Toc395883766"/>
      <w:bookmarkStart w:id="373" w:name="_Toc396393942"/>
      <w:bookmarkStart w:id="374" w:name="_Toc396393965"/>
      <w:bookmarkStart w:id="375" w:name="_Toc396492677"/>
      <w:bookmarkStart w:id="376" w:name="_Toc396492701"/>
      <w:bookmarkStart w:id="377" w:name="_Toc396915798"/>
      <w:bookmarkStart w:id="378" w:name="_Toc396995199"/>
      <w:bookmarkStart w:id="379" w:name="_Toc396995834"/>
      <w:bookmarkStart w:id="380" w:name="_Toc397609527"/>
      <w:bookmarkStart w:id="381" w:name="_Toc397610952"/>
      <w:bookmarkStart w:id="382" w:name="_Toc397962802"/>
      <w:bookmarkStart w:id="383" w:name="_Toc398023580"/>
      <w:bookmarkStart w:id="384" w:name="_Toc398902976"/>
      <w:bookmarkStart w:id="385" w:name="_Toc398903299"/>
      <w:bookmarkStart w:id="386" w:name="_Toc398903488"/>
      <w:bookmarkStart w:id="387" w:name="_Toc398904085"/>
      <w:bookmarkStart w:id="388" w:name="_Toc398904593"/>
      <w:bookmarkStart w:id="389" w:name="_Toc401305953"/>
      <w:bookmarkStart w:id="390" w:name="_Toc401306628"/>
      <w:bookmarkStart w:id="391" w:name="_Toc401306697"/>
      <w:r>
        <w:t>Case 4</w:t>
      </w:r>
      <w:bookmarkEnd w:id="365"/>
      <w:bookmarkEnd w:id="366"/>
      <w:bookmarkEnd w:id="367"/>
      <w:bookmarkEnd w:id="368"/>
      <w:bookmarkEnd w:id="369"/>
      <w:bookmarkEnd w:id="370"/>
      <w:r w:rsidR="00A10312">
        <w:t>:  Wireless User Equipment</w:t>
      </w:r>
      <w:r w:rsidR="00A45E01">
        <w:t xml:space="preserve"> </w:t>
      </w:r>
      <w:r w:rsidR="00A10312">
        <w:t>to</w:t>
      </w:r>
      <w:r w:rsidR="00A45E01">
        <w:t xml:space="preserve"> </w:t>
      </w:r>
      <w:r w:rsidR="00A10312">
        <w:t>D</w:t>
      </w:r>
      <w:r w:rsidR="00A45E01">
        <w:t>igital Television</w:t>
      </w:r>
      <w:r w:rsidR="00A10312">
        <w:t xml:space="preserve"> Receiver</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7A4E59BC" w14:textId="77777777" w:rsidR="00994DDB" w:rsidRPr="004A401F" w:rsidRDefault="00940DE8" w:rsidP="006A744E">
      <w:pPr>
        <w:pStyle w:val="ParaNum"/>
      </w:pPr>
      <w:bookmarkStart w:id="392" w:name="_Ref398030204"/>
      <w:r>
        <w:t>W</w:t>
      </w:r>
      <w:r w:rsidR="00F16953">
        <w:t xml:space="preserve">e </w:t>
      </w:r>
      <w:r w:rsidR="00767D70">
        <w:t>adopt</w:t>
      </w:r>
      <w:r w:rsidR="009145C8">
        <w:t xml:space="preserve"> </w:t>
      </w:r>
      <w:r w:rsidR="000F6CA2">
        <w:t>fixed geographic</w:t>
      </w:r>
      <w:r w:rsidR="00521B8C">
        <w:t xml:space="preserve"> </w:t>
      </w:r>
      <w:r w:rsidR="00767D70">
        <w:t>separation distance</w:t>
      </w:r>
      <w:r w:rsidR="00EC125D">
        <w:t>s</w:t>
      </w:r>
      <w:r w:rsidR="00767D70">
        <w:t xml:space="preserve"> </w:t>
      </w:r>
      <w:r w:rsidR="0003726F">
        <w:t xml:space="preserve">for </w:t>
      </w:r>
      <w:r w:rsidR="00994DDB">
        <w:t xml:space="preserve">Case 4.  Specifically, </w:t>
      </w:r>
      <w:r w:rsidR="00F16953">
        <w:t xml:space="preserve">wireless user equipment </w:t>
      </w:r>
      <w:r w:rsidR="000E5C3D">
        <w:t xml:space="preserve">(i.e. mobile and portable devices) </w:t>
      </w:r>
      <w:r w:rsidR="000F6CA2">
        <w:t>will be prohibited from co-channel or adjacent-channel operations with</w:t>
      </w:r>
      <w:r w:rsidR="00EC4894">
        <w:t>in</w:t>
      </w:r>
      <w:r w:rsidR="00F16953">
        <w:t xml:space="preserve"> a television station</w:t>
      </w:r>
      <w:r w:rsidR="00EC4894">
        <w:t>’s contour and</w:t>
      </w:r>
      <w:r w:rsidR="00F16953">
        <w:t xml:space="preserve"> within a set distance from the </w:t>
      </w:r>
      <w:r w:rsidR="00247A6F">
        <w:t xml:space="preserve">station’s </w:t>
      </w:r>
      <w:r w:rsidR="00F16953">
        <w:t xml:space="preserve">contour.  We determine that the appropriate distance </w:t>
      </w:r>
      <w:r w:rsidR="00947BF4">
        <w:t xml:space="preserve">is </w:t>
      </w:r>
      <w:r w:rsidR="00F16953">
        <w:t>five kilometers for co-channel operations</w:t>
      </w:r>
      <w:r w:rsidR="00EC4894">
        <w:t>, as suggested by NAB,</w:t>
      </w:r>
      <w:r w:rsidR="00F16953">
        <w:t xml:space="preserve"> and </w:t>
      </w:r>
      <w:r w:rsidR="00247A6F">
        <w:t>one-</w:t>
      </w:r>
      <w:r w:rsidR="00F16953">
        <w:t>half kilometer for adjacent</w:t>
      </w:r>
      <w:r w:rsidR="000F6CA2">
        <w:t>-</w:t>
      </w:r>
      <w:r w:rsidR="00F16953">
        <w:t>channel operations.</w:t>
      </w:r>
      <w:r w:rsidR="007C6717">
        <w:rPr>
          <w:rStyle w:val="FootnoteReference"/>
        </w:rPr>
        <w:footnoteReference w:id="206"/>
      </w:r>
      <w:bookmarkEnd w:id="392"/>
      <w:r w:rsidR="0033141B">
        <w:t xml:space="preserve"> </w:t>
      </w:r>
      <w:r w:rsidR="0033141B" w:rsidRPr="0033141B">
        <w:t xml:space="preserve"> </w:t>
      </w:r>
    </w:p>
    <w:p w14:paraId="2AD589E5" w14:textId="77777777" w:rsidR="00144017" w:rsidRPr="00144017" w:rsidRDefault="000F6CA2" w:rsidP="007A7E8D">
      <w:pPr>
        <w:pStyle w:val="ParaNum"/>
        <w:keepNext/>
        <w:widowControl/>
      </w:pPr>
      <w:r>
        <w:t xml:space="preserve">We find that </w:t>
      </w:r>
      <w:r w:rsidR="00515FC7">
        <w:t>a simple</w:t>
      </w:r>
      <w:r>
        <w:t>, fixed-distance</w:t>
      </w:r>
      <w:r w:rsidRPr="00B85767">
        <w:t xml:space="preserve"> approach</w:t>
      </w:r>
      <w:r>
        <w:t xml:space="preserve"> is warranted for Case 4 </w:t>
      </w:r>
      <w:r w:rsidR="00515FC7">
        <w:t>because it involves short distances only.</w:t>
      </w:r>
      <w:r w:rsidR="0033141B">
        <w:t xml:space="preserve"> </w:t>
      </w:r>
      <w:r w:rsidR="00247A6F">
        <w:t xml:space="preserve"> </w:t>
      </w:r>
      <w:r w:rsidR="00515FC7">
        <w:t>W</w:t>
      </w:r>
      <w:r w:rsidR="00F16953">
        <w:t>ireless user equipment transmit</w:t>
      </w:r>
      <w:r w:rsidR="009F7C9F">
        <w:t>s</w:t>
      </w:r>
      <w:r w:rsidR="00F16953">
        <w:t xml:space="preserve"> at</w:t>
      </w:r>
      <w:r w:rsidR="005B745C">
        <w:t xml:space="preserve"> relatively</w:t>
      </w:r>
      <w:r w:rsidR="00F16953">
        <w:t xml:space="preserve"> low power and </w:t>
      </w:r>
      <w:r w:rsidR="009F7C9F">
        <w:t xml:space="preserve">its </w:t>
      </w:r>
      <w:r w:rsidR="00F16953">
        <w:t xml:space="preserve">location </w:t>
      </w:r>
      <w:r w:rsidR="009F7C9F">
        <w:t>is</w:t>
      </w:r>
      <w:r w:rsidR="00F16953">
        <w:t xml:space="preserve"> usually closely bound to the vicinity of </w:t>
      </w:r>
      <w:r w:rsidR="009F7C9F">
        <w:t>its</w:t>
      </w:r>
      <w:r w:rsidR="00F16953">
        <w:t xml:space="preserve"> associated base station.</w:t>
      </w:r>
      <w:r w:rsidR="00F16953">
        <w:rPr>
          <w:rStyle w:val="FootnoteReference"/>
        </w:rPr>
        <w:footnoteReference w:id="207"/>
      </w:r>
      <w:r w:rsidR="00F16953">
        <w:t xml:space="preserve">  </w:t>
      </w:r>
      <w:r w:rsidR="00515FC7">
        <w:t>In addition, o</w:t>
      </w:r>
      <w:r w:rsidR="00646A3E">
        <w:t xml:space="preserve">utdoor operation of </w:t>
      </w:r>
      <w:r w:rsidR="00F16953">
        <w:t xml:space="preserve">wireless user equipment usually </w:t>
      </w:r>
      <w:r w:rsidR="00646A3E">
        <w:t xml:space="preserve">involves </w:t>
      </w:r>
      <w:r w:rsidR="00F16953">
        <w:t>heights above ground on the order of 1.5 meters</w:t>
      </w:r>
      <w:r w:rsidR="00F75D84">
        <w:t xml:space="preserve">, resulting in </w:t>
      </w:r>
      <w:r w:rsidR="00F16953">
        <w:t>significant attenuat</w:t>
      </w:r>
      <w:r w:rsidR="00F75D84">
        <w:t xml:space="preserve">ion of signals </w:t>
      </w:r>
      <w:r w:rsidR="00F16953">
        <w:t>by ground clutter</w:t>
      </w:r>
      <w:r w:rsidR="00646A3E">
        <w:t xml:space="preserve">.  </w:t>
      </w:r>
      <w:r w:rsidR="00F75D84">
        <w:t xml:space="preserve">Wireless </w:t>
      </w:r>
      <w:r w:rsidR="00646A3E">
        <w:t xml:space="preserve">user equipment </w:t>
      </w:r>
      <w:r w:rsidR="00F75D84">
        <w:t xml:space="preserve">operating in buildings may be </w:t>
      </w:r>
      <w:r w:rsidR="00646A3E">
        <w:t xml:space="preserve">significantly higher than 1.5 meters, </w:t>
      </w:r>
      <w:r w:rsidR="00F75D84">
        <w:t xml:space="preserve">but </w:t>
      </w:r>
      <w:r w:rsidR="00F16953">
        <w:t>signals are significantly attenuated by walls</w:t>
      </w:r>
      <w:r w:rsidR="00515FC7">
        <w:t xml:space="preserve"> indoors</w:t>
      </w:r>
      <w:r w:rsidR="00F16953">
        <w:t>.</w:t>
      </w:r>
      <w:r w:rsidR="00144017">
        <w:t xml:space="preserve">   </w:t>
      </w:r>
      <w:r w:rsidR="00F16953">
        <w:t xml:space="preserve">As a result of these factors, </w:t>
      </w:r>
      <w:r w:rsidR="00767D70">
        <w:t xml:space="preserve">the potential for wireless user equipment to </w:t>
      </w:r>
      <w:r w:rsidR="00F16953">
        <w:t>cause</w:t>
      </w:r>
      <w:r w:rsidR="008920AB">
        <w:t xml:space="preserve"> harmful</w:t>
      </w:r>
      <w:r w:rsidR="00F16953">
        <w:t xml:space="preserve"> interference to </w:t>
      </w:r>
      <w:r w:rsidR="00515FC7">
        <w:t>television</w:t>
      </w:r>
      <w:r w:rsidR="00F16953">
        <w:t xml:space="preserve"> </w:t>
      </w:r>
      <w:r w:rsidR="009375FF">
        <w:t xml:space="preserve">service operating co-channel or adjacent channel </w:t>
      </w:r>
      <w:r w:rsidR="00767D70">
        <w:t xml:space="preserve">occurs </w:t>
      </w:r>
      <w:r w:rsidR="00515FC7">
        <w:t xml:space="preserve">only </w:t>
      </w:r>
      <w:r w:rsidR="00767D70">
        <w:t xml:space="preserve">at </w:t>
      </w:r>
      <w:r w:rsidR="00F16953">
        <w:t>short</w:t>
      </w:r>
      <w:r w:rsidR="00767D70">
        <w:t xml:space="preserve"> distances</w:t>
      </w:r>
      <w:r w:rsidR="00144017">
        <w:t xml:space="preserve"> of a few kilometers</w:t>
      </w:r>
      <w:r w:rsidR="00F16953">
        <w:t xml:space="preserve">. </w:t>
      </w:r>
      <w:r w:rsidR="00943A6A">
        <w:t xml:space="preserve"> </w:t>
      </w:r>
      <w:r w:rsidR="00144017" w:rsidRPr="00144017">
        <w:t>At these distances, the number of grid cells in a television station</w:t>
      </w:r>
      <w:r w:rsidR="00AF3841">
        <w:t>’</w:t>
      </w:r>
      <w:r w:rsidR="00144017" w:rsidRPr="00144017">
        <w:t>s coverage area that could be affected by wireless user equipment is limited to a few cells in the interference range of the devices rather than all of the cells in the station’s coverage area.  In addition, the Longley-Rice Model</w:t>
      </w:r>
      <w:r w:rsidR="009375FF">
        <w:t xml:space="preserve"> is not designed for distances less than a kilometer and relies on either free-space or line-of-sight predictions</w:t>
      </w:r>
      <w:r w:rsidR="00AF3841">
        <w:t xml:space="preserve"> for such distances</w:t>
      </w:r>
      <w:r w:rsidR="00144017" w:rsidRPr="00144017">
        <w:t>.</w:t>
      </w:r>
      <w:r w:rsidR="00144017" w:rsidRPr="00144017">
        <w:rPr>
          <w:sz w:val="20"/>
          <w:vertAlign w:val="superscript"/>
        </w:rPr>
        <w:footnoteReference w:id="208"/>
      </w:r>
      <w:r w:rsidR="00144017" w:rsidRPr="00144017">
        <w:t xml:space="preserve">  We also observe that use of site-by-site Longley-Rice evaluations for Case 4 would necessitate the development of complex and detailed maps of locations where user equipment can operate.  </w:t>
      </w:r>
    </w:p>
    <w:p w14:paraId="5D17CEC3" w14:textId="77777777" w:rsidR="00B53368" w:rsidRPr="00BF4166" w:rsidRDefault="00144017" w:rsidP="001037AE">
      <w:pPr>
        <w:pStyle w:val="ParaNum"/>
      </w:pPr>
      <w:bookmarkStart w:id="393" w:name="_Ref398030212"/>
      <w:r w:rsidRPr="00144017">
        <w:t xml:space="preserve">In view of these considerations, we find that a </w:t>
      </w:r>
      <w:r>
        <w:t xml:space="preserve">separation distance </w:t>
      </w:r>
      <w:r w:rsidRPr="00144017">
        <w:t xml:space="preserve">approach can adequately protect that station’s service.  Such an approach </w:t>
      </w:r>
      <w:r>
        <w:t xml:space="preserve">is </w:t>
      </w:r>
      <w:r w:rsidRPr="00144017">
        <w:t xml:space="preserve">also more administratively efficient for wireless service licensees </w:t>
      </w:r>
      <w:r w:rsidR="008920AB">
        <w:t>because</w:t>
      </w:r>
      <w:r w:rsidRPr="00144017">
        <w:t xml:space="preserve"> it will avoid the need for computerized evaluations required by the Longley-Rice model and maps of locations where wireless user equipment may operate.</w:t>
      </w:r>
      <w:r>
        <w:t xml:space="preserve">  Instead, wireless </w:t>
      </w:r>
      <w:r w:rsidR="008920AB">
        <w:t xml:space="preserve">providers </w:t>
      </w:r>
      <w:r>
        <w:t>will be able to design their networks to avoid operation of wireless end user equipment within the contour of television station and within the specified separation distances.</w:t>
      </w:r>
      <w:r w:rsidRPr="00144017">
        <w:t xml:space="preserve"> </w:t>
      </w:r>
      <w:r w:rsidR="009654F8">
        <w:t xml:space="preserve"> </w:t>
      </w:r>
      <w:r w:rsidR="00F16953">
        <w:t xml:space="preserve">For these reasons, we </w:t>
      </w:r>
      <w:r w:rsidR="008C000B">
        <w:t xml:space="preserve">conclude that applying the Longley-Rice propagation model is not </w:t>
      </w:r>
      <w:r w:rsidR="005B745C">
        <w:t xml:space="preserve">warranted for </w:t>
      </w:r>
      <w:r w:rsidR="008C000B">
        <w:t>Case 4.</w:t>
      </w:r>
      <w:r w:rsidR="00515FC7">
        <w:rPr>
          <w:rStyle w:val="FootnoteReference"/>
        </w:rPr>
        <w:footnoteReference w:id="209"/>
      </w:r>
      <w:r w:rsidR="008C000B">
        <w:t xml:space="preserve">  Applying the Longley-Rice model</w:t>
      </w:r>
      <w:r w:rsidR="00F16953">
        <w:t xml:space="preserve"> would </w:t>
      </w:r>
      <w:r w:rsidR="008C000B">
        <w:t>increase the ISIX Methodology’s</w:t>
      </w:r>
      <w:r w:rsidR="00F16953">
        <w:t xml:space="preserve"> complex</w:t>
      </w:r>
      <w:r w:rsidR="008C000B">
        <w:t>ity</w:t>
      </w:r>
      <w:r w:rsidR="00F16953">
        <w:t xml:space="preserve"> without resulting </w:t>
      </w:r>
      <w:r w:rsidR="008D43D4">
        <w:t xml:space="preserve">in </w:t>
      </w:r>
      <w:r w:rsidR="00F16953">
        <w:t>more accurate in</w:t>
      </w:r>
      <w:r w:rsidR="008C000B">
        <w:t>terference predictions</w:t>
      </w:r>
      <w:r w:rsidR="00F16953">
        <w:t xml:space="preserve">.  We therefore will </w:t>
      </w:r>
      <w:r w:rsidR="008C000B">
        <w:t xml:space="preserve">use a straightforward distance separation approach </w:t>
      </w:r>
      <w:r w:rsidR="009654F8">
        <w:t xml:space="preserve">discussed </w:t>
      </w:r>
      <w:r w:rsidR="00943A6A">
        <w:t xml:space="preserve">above </w:t>
      </w:r>
      <w:r w:rsidR="008C000B">
        <w:t>for Case 4</w:t>
      </w:r>
      <w:r w:rsidR="00D41C86">
        <w:t>.</w:t>
      </w:r>
      <w:r w:rsidR="00F16953" w:rsidDel="00F7342B">
        <w:t xml:space="preserve"> </w:t>
      </w:r>
      <w:r w:rsidR="00AD65F5">
        <w:rPr>
          <w:rStyle w:val="FootnoteReference"/>
        </w:rPr>
        <w:footnoteReference w:id="210"/>
      </w:r>
      <w:r w:rsidR="009654F8">
        <w:t xml:space="preserve">  As described in the Technical Appendix, we find that the appropriate model for the short distances associated with Case 4 is the OET TM91-1 propagation model.</w:t>
      </w:r>
      <w:r w:rsidR="009654F8">
        <w:rPr>
          <w:rStyle w:val="FootnoteReference"/>
        </w:rPr>
        <w:footnoteReference w:id="211"/>
      </w:r>
      <w:r w:rsidR="009654F8">
        <w:t xml:space="preserve">  Using this model we calculated that broadcast television service will be protected from interference from wireless user equipment if such devices are not permitted to operate within the contours of the television station and within five kilometers if co-channel or a half kilometer if operating on the adjacent channel.</w:t>
      </w:r>
      <w:bookmarkEnd w:id="393"/>
      <w:r w:rsidR="009654F8">
        <w:t xml:space="preserve"> </w:t>
      </w:r>
    </w:p>
    <w:p w14:paraId="7563EDFF" w14:textId="77777777" w:rsidR="00111E66" w:rsidRDefault="00A45E01" w:rsidP="005172C0">
      <w:pPr>
        <w:pStyle w:val="Heading4"/>
      </w:pPr>
      <w:bookmarkStart w:id="394" w:name="_Toc393895649"/>
      <w:bookmarkStart w:id="395" w:name="_Toc394059158"/>
      <w:bookmarkStart w:id="396" w:name="_Toc394068162"/>
      <w:bookmarkStart w:id="397" w:name="_Toc394672093"/>
      <w:bookmarkStart w:id="398" w:name="_Toc395701593"/>
      <w:bookmarkStart w:id="399" w:name="_Toc395883768"/>
      <w:bookmarkStart w:id="400" w:name="_Toc396393943"/>
      <w:bookmarkStart w:id="401" w:name="_Toc396393966"/>
      <w:bookmarkStart w:id="402" w:name="_Toc396492678"/>
      <w:bookmarkStart w:id="403" w:name="_Toc396492702"/>
      <w:bookmarkStart w:id="404" w:name="_Toc396915799"/>
      <w:bookmarkStart w:id="405" w:name="_Toc396995200"/>
      <w:bookmarkStart w:id="406" w:name="_Toc396995835"/>
      <w:bookmarkStart w:id="407" w:name="_Toc397609528"/>
      <w:bookmarkStart w:id="408" w:name="_Toc397610953"/>
      <w:bookmarkStart w:id="409" w:name="_Toc397962803"/>
      <w:bookmarkStart w:id="410" w:name="_Toc398023581"/>
      <w:bookmarkStart w:id="411" w:name="_Toc398902977"/>
      <w:bookmarkStart w:id="412" w:name="_Toc398903300"/>
      <w:bookmarkStart w:id="413" w:name="_Toc398903489"/>
      <w:bookmarkStart w:id="414" w:name="_Toc398904086"/>
      <w:bookmarkStart w:id="415" w:name="_Toc398904594"/>
      <w:bookmarkStart w:id="416" w:name="_Toc401305954"/>
      <w:bookmarkStart w:id="417" w:name="_Toc401306629"/>
      <w:bookmarkStart w:id="418" w:name="_Toc401306698"/>
      <w:r>
        <w:t xml:space="preserve">The Spectrum Act Does Not </w:t>
      </w:r>
      <w:r w:rsidR="00357F6B">
        <w:t xml:space="preserve">Preclude Use of </w:t>
      </w:r>
      <w:r>
        <w:t xml:space="preserve">the </w:t>
      </w:r>
      <w:r w:rsidR="00357F6B">
        <w:t xml:space="preserve">ISIX Methodology and </w:t>
      </w:r>
      <w:r>
        <w:t>Input Values</w:t>
      </w:r>
      <w:r w:rsidR="00357F6B">
        <w:t xml:space="preserve"> to Predict or Prevent Inter-Service Interference</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15AE43B4" w14:textId="69F6C6F4" w:rsidR="00D575F6" w:rsidRDefault="00111E66" w:rsidP="006A744E">
      <w:pPr>
        <w:pStyle w:val="ParaNum"/>
      </w:pPr>
      <w:r>
        <w:t xml:space="preserve">We reject the Joint Broadcasters’ claim that </w:t>
      </w:r>
      <w:r w:rsidR="00644F5A">
        <w:t>s</w:t>
      </w:r>
      <w:r>
        <w:t xml:space="preserve">ection 6403(b)(2) of the Spectrum Act </w:t>
      </w:r>
      <w:r w:rsidR="00665E4D">
        <w:t>limits our authority to adopt</w:t>
      </w:r>
      <w:r w:rsidRPr="004D15A5">
        <w:t xml:space="preserve"> </w:t>
      </w:r>
      <w:r w:rsidR="00382889">
        <w:t xml:space="preserve">the ISIX Methodology </w:t>
      </w:r>
      <w:r w:rsidRPr="004D15A5">
        <w:t xml:space="preserve">and input values to </w:t>
      </w:r>
      <w:r w:rsidR="00B47F85">
        <w:t>address</w:t>
      </w:r>
      <w:r w:rsidRPr="004D15A5">
        <w:t xml:space="preserve"> inter-service interference.</w:t>
      </w:r>
      <w:r>
        <w:rPr>
          <w:rStyle w:val="FootnoteReference"/>
        </w:rPr>
        <w:footnoteReference w:id="212"/>
      </w:r>
      <w:r w:rsidRPr="004D15A5">
        <w:t xml:space="preserve">  </w:t>
      </w:r>
      <w:r>
        <w:t xml:space="preserve">Section 6403(b)(2) </w:t>
      </w:r>
      <w:r w:rsidRPr="004D15A5">
        <w:t>requires the Commission</w:t>
      </w:r>
      <w:r w:rsidR="00665E4D">
        <w:t>,</w:t>
      </w:r>
      <w:r w:rsidRPr="004D15A5">
        <w:t xml:space="preserve"> in “making any reassignments or reallocation</w:t>
      </w:r>
      <w:r>
        <w:t>s</w:t>
      </w:r>
      <w:r w:rsidR="00665E4D">
        <w:t>,</w:t>
      </w:r>
      <w:r w:rsidRPr="004D15A5">
        <w:t>” to “make all reasonable efforts to preserve, as of [February 22, 2012], the coverage area and population served of each broadcast television licensee, as determined using the methodology described in OET Bulletin 69 . . . .”</w:t>
      </w:r>
      <w:r w:rsidRPr="004D15A5">
        <w:rPr>
          <w:rStyle w:val="FootnoteReference"/>
        </w:rPr>
        <w:footnoteReference w:id="213"/>
      </w:r>
      <w:r w:rsidRPr="004D15A5">
        <w:t xml:space="preserve">  </w:t>
      </w:r>
      <w:r w:rsidR="00665E4D">
        <w:t xml:space="preserve">The </w:t>
      </w:r>
      <w:r w:rsidRPr="004D15A5">
        <w:t xml:space="preserve">Joint Broadcasters </w:t>
      </w:r>
      <w:r>
        <w:t xml:space="preserve">argue that our efforts “to preserve” broadcasters’ </w:t>
      </w:r>
      <w:r w:rsidRPr="004D15A5">
        <w:t xml:space="preserve">coverage area and population served </w:t>
      </w:r>
      <w:r w:rsidR="00382889">
        <w:t xml:space="preserve">from </w:t>
      </w:r>
      <w:r>
        <w:t xml:space="preserve">inter-service interference will violate </w:t>
      </w:r>
      <w:r w:rsidR="00644F5A">
        <w:t>s</w:t>
      </w:r>
      <w:r>
        <w:t xml:space="preserve">ection 6403(b)(2) unless we use “the </w:t>
      </w:r>
      <w:r w:rsidRPr="004D15A5">
        <w:t>methodology described in OET Bulletin 69</w:t>
      </w:r>
      <w:r>
        <w:t>.”</w:t>
      </w:r>
      <w:r w:rsidRPr="00B27FA8">
        <w:rPr>
          <w:rStyle w:val="FootnoteReference"/>
        </w:rPr>
        <w:footnoteReference w:id="214"/>
      </w:r>
      <w:r>
        <w:t xml:space="preserve">  </w:t>
      </w:r>
    </w:p>
    <w:p w14:paraId="596811CD" w14:textId="667D2F1E" w:rsidR="007B2711" w:rsidRPr="000E4088" w:rsidRDefault="007B2711" w:rsidP="007A7E8D">
      <w:pPr>
        <w:pStyle w:val="ParaNum"/>
        <w:keepNext/>
        <w:widowControl/>
      </w:pPr>
      <w:r w:rsidRPr="000E4088">
        <w:t>We disagree.</w:t>
      </w:r>
      <w:r w:rsidRPr="000E4088">
        <w:rPr>
          <w:rStyle w:val="FootnoteReference"/>
        </w:rPr>
        <w:footnoteReference w:id="215"/>
      </w:r>
      <w:r w:rsidRPr="000E4088">
        <w:t xml:space="preserve">  As we explained in the </w:t>
      </w:r>
      <w:r w:rsidRPr="000E4088">
        <w:rPr>
          <w:i/>
        </w:rPr>
        <w:t>Incentive Auction R&amp;O</w:t>
      </w:r>
      <w:r w:rsidRPr="000E4088">
        <w:t xml:space="preserve">, the coverage area and population served of broadcasters, including any assigned to spectrum in the 600 MHz Band, </w:t>
      </w:r>
      <w:r w:rsidR="00C91699">
        <w:t>must</w:t>
      </w:r>
      <w:r w:rsidR="00C91699" w:rsidRPr="000E4088">
        <w:t xml:space="preserve"> </w:t>
      </w:r>
      <w:r w:rsidRPr="000E4088">
        <w:t>be “determined” using “the methodology described in OET Bulletin 69,” as required by section 6403(b)(2).</w:t>
      </w:r>
      <w:r w:rsidRPr="000E4088">
        <w:rPr>
          <w:rStyle w:val="FootnoteReference"/>
        </w:rPr>
        <w:footnoteReference w:id="216"/>
      </w:r>
      <w:r w:rsidRPr="000E4088">
        <w:t xml:space="preserve">  The ISIX Methodology and input values we adopt in this Order (for use during the auction) and propose in the </w:t>
      </w:r>
      <w:r w:rsidRPr="000E4088">
        <w:rPr>
          <w:i/>
        </w:rPr>
        <w:t>FNPRM</w:t>
      </w:r>
      <w:r w:rsidRPr="000E4088">
        <w:t xml:space="preserve"> (for protecting broadcasters from inter-service interference following the auction) will not be used to “determine[]”coverage area and population served.  Rather, they will be used “to preserve” the coverage area and population served that we have </w:t>
      </w:r>
      <w:r w:rsidR="00C91699">
        <w:t>already</w:t>
      </w:r>
      <w:r w:rsidR="00BB71D8">
        <w:t xml:space="preserve"> </w:t>
      </w:r>
      <w:r w:rsidRPr="000E4088">
        <w:t xml:space="preserve">“determined” </w:t>
      </w:r>
      <w:r w:rsidR="00C91699">
        <w:t xml:space="preserve">through the methodology set forth in the </w:t>
      </w:r>
      <w:r w:rsidR="00C91699" w:rsidRPr="00BB71D8">
        <w:rPr>
          <w:i/>
        </w:rPr>
        <w:t>Incentive Auction R&amp;O</w:t>
      </w:r>
      <w:r w:rsidRPr="000E4088">
        <w:t>.</w:t>
      </w:r>
      <w:r w:rsidRPr="000E4088">
        <w:rPr>
          <w:rStyle w:val="FootnoteReference"/>
        </w:rPr>
        <w:footnoteReference w:id="217"/>
      </w:r>
      <w:r w:rsidRPr="000E4088">
        <w:t xml:space="preserve">  These efforts are not restricted by the statute’s reference to “the methodology described in OET Bulletin 69.”</w:t>
      </w:r>
      <w:r w:rsidRPr="000E4088">
        <w:rPr>
          <w:rStyle w:val="FootnoteReference"/>
        </w:rPr>
        <w:footnoteReference w:id="218"/>
      </w:r>
    </w:p>
    <w:p w14:paraId="087FD545" w14:textId="77777777" w:rsidR="00F92DB1" w:rsidRPr="00F92DB1" w:rsidRDefault="00F92DB1" w:rsidP="005B4C0E">
      <w:pPr>
        <w:pStyle w:val="Heading1"/>
      </w:pPr>
      <w:bookmarkStart w:id="419" w:name="_Toc396492679"/>
      <w:bookmarkStart w:id="420" w:name="_Toc396492703"/>
      <w:bookmarkStart w:id="421" w:name="_Toc396915800"/>
      <w:bookmarkStart w:id="422" w:name="_Toc396995201"/>
      <w:bookmarkStart w:id="423" w:name="_Toc396995836"/>
      <w:bookmarkStart w:id="424" w:name="_Toc397609529"/>
      <w:bookmarkStart w:id="425" w:name="_Toc397610954"/>
      <w:bookmarkStart w:id="426" w:name="_Toc397962804"/>
      <w:bookmarkStart w:id="427" w:name="_Toc398023582"/>
      <w:bookmarkStart w:id="428" w:name="_Toc398902978"/>
      <w:bookmarkStart w:id="429" w:name="_Toc398903301"/>
      <w:bookmarkStart w:id="430" w:name="_Toc398903490"/>
      <w:bookmarkStart w:id="431" w:name="_Toc398904087"/>
      <w:bookmarkStart w:id="432" w:name="_Toc398904595"/>
      <w:bookmarkStart w:id="433" w:name="_Toc401305955"/>
      <w:bookmarkStart w:id="434" w:name="_Toc401306630"/>
      <w:bookmarkStart w:id="435" w:name="_Toc401306699"/>
      <w:bookmarkStart w:id="436" w:name="_Toc393895650"/>
      <w:bookmarkStart w:id="437" w:name="_Toc394059159"/>
      <w:bookmarkStart w:id="438" w:name="_Toc394068163"/>
      <w:bookmarkStart w:id="439" w:name="_Toc394672094"/>
      <w:bookmarkStart w:id="440" w:name="_Toc395701594"/>
      <w:bookmarkStart w:id="441" w:name="_Toc395883769"/>
      <w:bookmarkStart w:id="442" w:name="_Toc396393944"/>
      <w:bookmarkStart w:id="443" w:name="_Toc396393967"/>
      <w:r w:rsidRPr="00F92DB1">
        <w:t>further notice of proposed rulemaking</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F92DB1">
        <w:t xml:space="preserve"> </w:t>
      </w:r>
    </w:p>
    <w:p w14:paraId="2B256BD8" w14:textId="77777777" w:rsidR="005F701D" w:rsidRPr="004A401F" w:rsidRDefault="00F92DB1" w:rsidP="001037AE">
      <w:pPr>
        <w:pStyle w:val="ParaNum"/>
        <w:rPr>
          <w:szCs w:val="22"/>
        </w:rPr>
      </w:pPr>
      <w:r w:rsidRPr="00C8547B">
        <w:t>Wh</w:t>
      </w:r>
      <w:r w:rsidRPr="00F92DB1">
        <w:t xml:space="preserve">ile the </w:t>
      </w:r>
      <w:r w:rsidR="00322669">
        <w:t xml:space="preserve">companion </w:t>
      </w:r>
      <w:r w:rsidRPr="00F92DB1">
        <w:rPr>
          <w:i/>
        </w:rPr>
        <w:t xml:space="preserve">Second Report </w:t>
      </w:r>
      <w:r w:rsidR="00AF3841">
        <w:rPr>
          <w:i/>
        </w:rPr>
        <w:t xml:space="preserve">&amp; </w:t>
      </w:r>
      <w:r w:rsidRPr="00F92DB1">
        <w:rPr>
          <w:i/>
        </w:rPr>
        <w:t>Order</w:t>
      </w:r>
      <w:r w:rsidRPr="00F92DB1">
        <w:t xml:space="preserve"> addresses how we will predict inter-service interference before 600 MHz Band wireless networks have been deployed for purposes of the incentive auction, in this </w:t>
      </w:r>
      <w:r w:rsidRPr="00F92DB1">
        <w:rPr>
          <w:i/>
        </w:rPr>
        <w:t>FNPRM</w:t>
      </w:r>
      <w:r w:rsidRPr="00F92DB1">
        <w:t xml:space="preserve"> we seek comment on proposed rules to govern the interference relationship between broadcast television and wireless </w:t>
      </w:r>
      <w:r w:rsidR="00322669">
        <w:t xml:space="preserve">service </w:t>
      </w:r>
      <w:r w:rsidRPr="00F92DB1">
        <w:t xml:space="preserve">in the 600 MHz Band following the incentive auction.  As discussed in the </w:t>
      </w:r>
      <w:r w:rsidRPr="00F92DB1">
        <w:rPr>
          <w:i/>
        </w:rPr>
        <w:t xml:space="preserve">Second Report </w:t>
      </w:r>
      <w:r w:rsidR="00AF3841">
        <w:rPr>
          <w:i/>
        </w:rPr>
        <w:t>&amp;</w:t>
      </w:r>
      <w:r w:rsidR="00AF3841" w:rsidRPr="00F92DB1">
        <w:rPr>
          <w:i/>
        </w:rPr>
        <w:t xml:space="preserve"> </w:t>
      </w:r>
      <w:r w:rsidRPr="00F92DB1">
        <w:rPr>
          <w:i/>
        </w:rPr>
        <w:t>Order</w:t>
      </w:r>
      <w:r w:rsidRPr="00F92DB1">
        <w:t>, we anticipate that after the auction some broadcast television stations may operate on channels in the 600 MHz Band as a result of market variation.</w:t>
      </w:r>
      <w:r w:rsidR="0011133E">
        <w:rPr>
          <w:rStyle w:val="FootnoteReference"/>
        </w:rPr>
        <w:footnoteReference w:id="219"/>
      </w:r>
      <w:r w:rsidRPr="00F92DB1">
        <w:t xml:space="preserve">  </w:t>
      </w:r>
      <w:r w:rsidR="003A14A9">
        <w:t xml:space="preserve">We propose to allow no harmful interference from wireless operations to reception of television service.  There are </w:t>
      </w:r>
      <w:r w:rsidRPr="00F92DB1">
        <w:t xml:space="preserve">two scenarios </w:t>
      </w:r>
      <w:r w:rsidR="003A14A9">
        <w:t xml:space="preserve">that present the </w:t>
      </w:r>
      <w:r w:rsidRPr="00F92DB1">
        <w:t xml:space="preserve">potential </w:t>
      </w:r>
      <w:r w:rsidR="003A14A9">
        <w:t xml:space="preserve">for </w:t>
      </w:r>
      <w:r w:rsidRPr="00F92DB1">
        <w:t xml:space="preserve">harmful interference to television </w:t>
      </w:r>
      <w:r w:rsidR="00AA0CCF">
        <w:t>stations</w:t>
      </w:r>
      <w:r w:rsidRPr="00F92DB1">
        <w:t>, depending on whether a station is assigned to the 600 MHz Band downlink or uplink spectrum.</w:t>
      </w:r>
      <w:r w:rsidRPr="00F92DB1">
        <w:rPr>
          <w:sz w:val="20"/>
          <w:vertAlign w:val="superscript"/>
        </w:rPr>
        <w:footnoteReference w:id="220"/>
      </w:r>
      <w:r w:rsidRPr="00F92DB1">
        <w:t xml:space="preserve">  First, if a station is located in the downlink spectrum, we will need to </w:t>
      </w:r>
      <w:r w:rsidR="003754FB">
        <w:t xml:space="preserve">protect against harmful </w:t>
      </w:r>
      <w:r w:rsidRPr="00F92DB1">
        <w:t>interference from wireless base stations to TV receivers (Case 3).</w:t>
      </w:r>
      <w:r w:rsidR="00AA0CCF">
        <w:rPr>
          <w:rStyle w:val="FootnoteReference"/>
        </w:rPr>
        <w:footnoteReference w:id="221"/>
      </w:r>
      <w:r w:rsidRPr="00F92DB1">
        <w:t xml:space="preserve">  Second, if a station is located in the uplink spectrum, we </w:t>
      </w:r>
      <w:r w:rsidR="00322669">
        <w:t xml:space="preserve">will </w:t>
      </w:r>
      <w:r w:rsidRPr="00F92DB1">
        <w:t xml:space="preserve">need to consider interference </w:t>
      </w:r>
      <w:r w:rsidR="00322669">
        <w:t xml:space="preserve">from </w:t>
      </w:r>
      <w:r w:rsidRPr="00F92DB1">
        <w:t>wireless user equipment to TV receivers (Case 4).</w:t>
      </w:r>
      <w:r w:rsidRPr="00F92DB1">
        <w:rPr>
          <w:sz w:val="20"/>
          <w:vertAlign w:val="superscript"/>
        </w:rPr>
        <w:footnoteReference w:id="222"/>
      </w:r>
      <w:r w:rsidRPr="00F92DB1">
        <w:t xml:space="preserve">  As an initial matter, the </w:t>
      </w:r>
      <w:r w:rsidRPr="00F92DB1">
        <w:rPr>
          <w:i/>
        </w:rPr>
        <w:t>FNPRM</w:t>
      </w:r>
      <w:r w:rsidRPr="00F92DB1">
        <w:t xml:space="preserve"> addresses </w:t>
      </w:r>
      <w:r w:rsidR="005F5F98">
        <w:t xml:space="preserve">the </w:t>
      </w:r>
      <w:r w:rsidRPr="00F92DB1">
        <w:t xml:space="preserve">level of </w:t>
      </w:r>
      <w:r w:rsidR="005F701D">
        <w:t xml:space="preserve">inter-service </w:t>
      </w:r>
      <w:r w:rsidRPr="00F92DB1">
        <w:t xml:space="preserve">interference to television </w:t>
      </w:r>
      <w:r w:rsidR="005F701D">
        <w:t>stations</w:t>
      </w:r>
      <w:r w:rsidRPr="00F92DB1">
        <w:t xml:space="preserve"> in the 600 MHz Band </w:t>
      </w:r>
      <w:r w:rsidR="005F5F98">
        <w:t xml:space="preserve">that </w:t>
      </w:r>
      <w:r w:rsidRPr="00F92DB1">
        <w:t xml:space="preserve">should be </w:t>
      </w:r>
      <w:r w:rsidR="005F701D">
        <w:t>permitted</w:t>
      </w:r>
      <w:r w:rsidRPr="00F92DB1">
        <w:t xml:space="preserve">.  </w:t>
      </w:r>
      <w:r w:rsidR="005F701D">
        <w:rPr>
          <w:rFonts w:eastAsiaTheme="minorHAnsi"/>
          <w:szCs w:val="22"/>
        </w:rPr>
        <w:t>We</w:t>
      </w:r>
      <w:r w:rsidRPr="00F92DB1">
        <w:rPr>
          <w:rFonts w:eastAsiaTheme="minorHAnsi"/>
          <w:szCs w:val="22"/>
        </w:rPr>
        <w:t xml:space="preserve"> also propose </w:t>
      </w:r>
      <w:r w:rsidR="005F5F98">
        <w:rPr>
          <w:rFonts w:eastAsiaTheme="minorHAnsi"/>
          <w:szCs w:val="22"/>
        </w:rPr>
        <w:t xml:space="preserve">a methodology </w:t>
      </w:r>
      <w:r w:rsidR="005F701D">
        <w:rPr>
          <w:rFonts w:eastAsiaTheme="minorHAnsi"/>
          <w:szCs w:val="22"/>
        </w:rPr>
        <w:t xml:space="preserve">for new 600 MHz Band licensees </w:t>
      </w:r>
      <w:r w:rsidR="005F5F98">
        <w:rPr>
          <w:rFonts w:eastAsiaTheme="minorHAnsi"/>
          <w:szCs w:val="22"/>
        </w:rPr>
        <w:t xml:space="preserve">to </w:t>
      </w:r>
      <w:r w:rsidRPr="00F92DB1">
        <w:rPr>
          <w:rFonts w:eastAsiaTheme="minorHAnsi"/>
          <w:szCs w:val="22"/>
        </w:rPr>
        <w:t xml:space="preserve">predict whether </w:t>
      </w:r>
      <w:r w:rsidR="005F701D">
        <w:rPr>
          <w:rFonts w:eastAsiaTheme="minorHAnsi"/>
          <w:szCs w:val="22"/>
        </w:rPr>
        <w:t>wireless</w:t>
      </w:r>
      <w:r w:rsidRPr="00F92DB1">
        <w:rPr>
          <w:rFonts w:eastAsiaTheme="minorHAnsi"/>
          <w:szCs w:val="22"/>
        </w:rPr>
        <w:t xml:space="preserve"> operations will </w:t>
      </w:r>
      <w:r w:rsidRPr="00F92DB1">
        <w:rPr>
          <w:rFonts w:eastAsiaTheme="minorHAnsi"/>
        </w:rPr>
        <w:t>interfere</w:t>
      </w:r>
      <w:r w:rsidR="005F701D">
        <w:rPr>
          <w:rFonts w:eastAsiaTheme="minorHAnsi"/>
          <w:szCs w:val="22"/>
        </w:rPr>
        <w:t xml:space="preserve"> with</w:t>
      </w:r>
      <w:r w:rsidRPr="00F92DB1">
        <w:rPr>
          <w:rFonts w:eastAsiaTheme="minorHAnsi"/>
          <w:szCs w:val="22"/>
        </w:rPr>
        <w:t xml:space="preserve"> </w:t>
      </w:r>
      <w:r w:rsidR="005F5F98">
        <w:rPr>
          <w:rFonts w:eastAsiaTheme="minorHAnsi"/>
          <w:szCs w:val="22"/>
        </w:rPr>
        <w:t>television s</w:t>
      </w:r>
      <w:r w:rsidR="005F701D">
        <w:rPr>
          <w:rFonts w:eastAsiaTheme="minorHAnsi"/>
          <w:szCs w:val="22"/>
        </w:rPr>
        <w:t>tations</w:t>
      </w:r>
      <w:r w:rsidR="005F5F98">
        <w:rPr>
          <w:rFonts w:eastAsiaTheme="minorHAnsi"/>
          <w:szCs w:val="22"/>
        </w:rPr>
        <w:t xml:space="preserve"> </w:t>
      </w:r>
      <w:r w:rsidRPr="00F92DB1">
        <w:rPr>
          <w:rFonts w:eastAsiaTheme="minorHAnsi"/>
          <w:szCs w:val="22"/>
        </w:rPr>
        <w:t>in the 600 MHz Band in order</w:t>
      </w:r>
      <w:r w:rsidRPr="00F92DB1">
        <w:rPr>
          <w:rFonts w:eastAsiaTheme="minorHAnsi"/>
        </w:rPr>
        <w:t xml:space="preserve"> to </w:t>
      </w:r>
      <w:r w:rsidRPr="00F92DB1">
        <w:rPr>
          <w:rFonts w:eastAsiaTheme="minorHAnsi"/>
          <w:szCs w:val="22"/>
        </w:rPr>
        <w:t xml:space="preserve">identify </w:t>
      </w:r>
      <w:r w:rsidR="005F701D">
        <w:rPr>
          <w:rFonts w:eastAsiaTheme="minorHAnsi"/>
          <w:szCs w:val="22"/>
        </w:rPr>
        <w:t>the</w:t>
      </w:r>
      <w:r w:rsidRPr="00F92DB1">
        <w:rPr>
          <w:rFonts w:eastAsiaTheme="minorHAnsi"/>
          <w:szCs w:val="22"/>
        </w:rPr>
        <w:t xml:space="preserve"> “permitted boundaries” of </w:t>
      </w:r>
      <w:r w:rsidR="005F701D">
        <w:rPr>
          <w:rFonts w:eastAsiaTheme="minorHAnsi"/>
          <w:szCs w:val="22"/>
        </w:rPr>
        <w:t xml:space="preserve">wireless license areas </w:t>
      </w:r>
      <w:r w:rsidR="00322669">
        <w:rPr>
          <w:rFonts w:eastAsiaTheme="minorHAnsi"/>
          <w:szCs w:val="22"/>
        </w:rPr>
        <w:t>following the auction</w:t>
      </w:r>
      <w:r w:rsidRPr="00F92DB1">
        <w:rPr>
          <w:rFonts w:eastAsiaTheme="minorHAnsi"/>
          <w:szCs w:val="22"/>
        </w:rPr>
        <w:t>.</w:t>
      </w:r>
      <w:r w:rsidRPr="00F92DB1">
        <w:rPr>
          <w:rFonts w:eastAsiaTheme="minorHAnsi"/>
          <w:sz w:val="20"/>
          <w:szCs w:val="22"/>
          <w:vertAlign w:val="superscript"/>
        </w:rPr>
        <w:footnoteReference w:id="223"/>
      </w:r>
      <w:r w:rsidRPr="00F92DB1">
        <w:rPr>
          <w:rFonts w:eastAsiaTheme="minorHAnsi"/>
          <w:szCs w:val="22"/>
        </w:rPr>
        <w:t xml:space="preserve">  </w:t>
      </w:r>
      <w:r w:rsidR="00322669">
        <w:rPr>
          <w:rFonts w:eastAsiaTheme="minorHAnsi"/>
          <w:szCs w:val="22"/>
        </w:rPr>
        <w:t xml:space="preserve">Specifically, for </w:t>
      </w:r>
      <w:r w:rsidRPr="00F92DB1">
        <w:rPr>
          <w:rFonts w:eastAsiaTheme="minorHAnsi"/>
          <w:szCs w:val="22"/>
        </w:rPr>
        <w:t xml:space="preserve">Case 3 scenarios, </w:t>
      </w:r>
      <w:r w:rsidR="00322669">
        <w:rPr>
          <w:rFonts w:eastAsiaTheme="minorHAnsi"/>
          <w:szCs w:val="22"/>
        </w:rPr>
        <w:t xml:space="preserve">we seek comment on requiring </w:t>
      </w:r>
      <w:r w:rsidRPr="00F92DB1">
        <w:rPr>
          <w:rFonts w:eastAsiaTheme="minorHAnsi"/>
          <w:szCs w:val="22"/>
        </w:rPr>
        <w:t xml:space="preserve">wireless </w:t>
      </w:r>
      <w:r w:rsidR="00EA5603">
        <w:rPr>
          <w:rFonts w:eastAsiaTheme="minorHAnsi"/>
          <w:szCs w:val="22"/>
        </w:rPr>
        <w:t>licensees</w:t>
      </w:r>
      <w:r w:rsidR="00EA5603" w:rsidRPr="00F92DB1">
        <w:rPr>
          <w:rFonts w:eastAsiaTheme="minorHAnsi"/>
          <w:szCs w:val="22"/>
        </w:rPr>
        <w:t xml:space="preserve"> </w:t>
      </w:r>
      <w:r w:rsidR="00322669">
        <w:rPr>
          <w:rFonts w:eastAsiaTheme="minorHAnsi"/>
          <w:szCs w:val="22"/>
        </w:rPr>
        <w:t xml:space="preserve">to </w:t>
      </w:r>
      <w:r w:rsidRPr="00F92DB1">
        <w:rPr>
          <w:rFonts w:eastAsiaTheme="minorHAnsi"/>
          <w:szCs w:val="22"/>
        </w:rPr>
        <w:t xml:space="preserve">use </w:t>
      </w:r>
      <w:r w:rsidR="00322669">
        <w:rPr>
          <w:rFonts w:eastAsiaTheme="minorHAnsi"/>
          <w:szCs w:val="22"/>
        </w:rPr>
        <w:t xml:space="preserve">proposed </w:t>
      </w:r>
      <w:r w:rsidRPr="00F92DB1">
        <w:rPr>
          <w:rFonts w:eastAsiaTheme="minorHAnsi"/>
          <w:szCs w:val="22"/>
        </w:rPr>
        <w:t>OET Bulletin No. 74 (OET-74)</w:t>
      </w:r>
      <w:r w:rsidR="00322669">
        <w:rPr>
          <w:rFonts w:eastAsiaTheme="minorHAnsi"/>
          <w:szCs w:val="22"/>
        </w:rPr>
        <w:t xml:space="preserve">, which is attached as Appendix </w:t>
      </w:r>
      <w:r w:rsidR="00A063C0">
        <w:rPr>
          <w:rFonts w:eastAsiaTheme="minorHAnsi"/>
          <w:szCs w:val="22"/>
        </w:rPr>
        <w:t>E</w:t>
      </w:r>
      <w:r w:rsidRPr="00F92DB1">
        <w:rPr>
          <w:rFonts w:eastAsiaTheme="minorHAnsi"/>
          <w:szCs w:val="22"/>
        </w:rPr>
        <w:t>.</w:t>
      </w:r>
      <w:r w:rsidRPr="00F92DB1">
        <w:rPr>
          <w:rFonts w:eastAsiaTheme="minorHAnsi"/>
          <w:szCs w:val="22"/>
          <w:vertAlign w:val="superscript"/>
        </w:rPr>
        <w:footnoteReference w:id="224"/>
      </w:r>
      <w:r w:rsidRPr="00F92DB1">
        <w:rPr>
          <w:rFonts w:eastAsiaTheme="minorHAnsi"/>
          <w:szCs w:val="22"/>
        </w:rPr>
        <w:t xml:space="preserve">  For Case 4 scenarios,</w:t>
      </w:r>
      <w:r w:rsidR="00322669">
        <w:rPr>
          <w:rFonts w:eastAsiaTheme="minorHAnsi"/>
          <w:szCs w:val="22"/>
        </w:rPr>
        <w:t xml:space="preserve"> we</w:t>
      </w:r>
      <w:r w:rsidRPr="00F92DB1">
        <w:rPr>
          <w:rFonts w:eastAsiaTheme="minorHAnsi"/>
          <w:szCs w:val="22"/>
        </w:rPr>
        <w:t xml:space="preserve"> propose</w:t>
      </w:r>
      <w:r w:rsidR="00322669">
        <w:rPr>
          <w:rFonts w:eastAsiaTheme="minorHAnsi"/>
          <w:szCs w:val="22"/>
        </w:rPr>
        <w:t xml:space="preserve"> to adopt</w:t>
      </w:r>
      <w:r w:rsidRPr="00F92DB1">
        <w:rPr>
          <w:rFonts w:eastAsiaTheme="minorHAnsi"/>
          <w:szCs w:val="22"/>
        </w:rPr>
        <w:t xml:space="preserve"> the same </w:t>
      </w:r>
      <w:r w:rsidR="005F701D">
        <w:rPr>
          <w:rFonts w:eastAsiaTheme="minorHAnsi"/>
          <w:szCs w:val="22"/>
        </w:rPr>
        <w:t>fixed</w:t>
      </w:r>
      <w:r w:rsidR="005F701D" w:rsidRPr="00F92DB1">
        <w:rPr>
          <w:rFonts w:eastAsiaTheme="minorHAnsi"/>
          <w:szCs w:val="22"/>
        </w:rPr>
        <w:t xml:space="preserve"> </w:t>
      </w:r>
      <w:r w:rsidRPr="00F92DB1">
        <w:rPr>
          <w:rFonts w:eastAsiaTheme="minorHAnsi"/>
          <w:szCs w:val="22"/>
        </w:rPr>
        <w:t>separation distances adopted</w:t>
      </w:r>
      <w:r w:rsidRPr="00F92DB1">
        <w:rPr>
          <w:rFonts w:eastAsiaTheme="minorHAnsi"/>
        </w:rPr>
        <w:t xml:space="preserve"> in </w:t>
      </w:r>
      <w:r w:rsidRPr="00F92DB1">
        <w:rPr>
          <w:rFonts w:eastAsiaTheme="minorHAnsi"/>
          <w:szCs w:val="22"/>
        </w:rPr>
        <w:t xml:space="preserve">the companion </w:t>
      </w:r>
      <w:r w:rsidRPr="00F92DB1">
        <w:rPr>
          <w:rFonts w:eastAsiaTheme="minorHAnsi"/>
          <w:i/>
          <w:szCs w:val="22"/>
        </w:rPr>
        <w:t>Second R</w:t>
      </w:r>
      <w:r w:rsidR="00322669">
        <w:rPr>
          <w:rFonts w:eastAsiaTheme="minorHAnsi"/>
          <w:i/>
          <w:szCs w:val="22"/>
        </w:rPr>
        <w:t xml:space="preserve">eport </w:t>
      </w:r>
      <w:r w:rsidRPr="00F92DB1">
        <w:rPr>
          <w:rFonts w:eastAsiaTheme="minorHAnsi"/>
          <w:i/>
          <w:szCs w:val="22"/>
        </w:rPr>
        <w:t>&amp;</w:t>
      </w:r>
      <w:r w:rsidR="00322669">
        <w:rPr>
          <w:rFonts w:eastAsiaTheme="minorHAnsi"/>
          <w:i/>
          <w:szCs w:val="22"/>
        </w:rPr>
        <w:t xml:space="preserve"> </w:t>
      </w:r>
      <w:r w:rsidRPr="00F92DB1">
        <w:rPr>
          <w:rFonts w:eastAsiaTheme="minorHAnsi"/>
          <w:i/>
          <w:szCs w:val="22"/>
        </w:rPr>
        <w:t>O</w:t>
      </w:r>
      <w:r w:rsidR="00322669">
        <w:rPr>
          <w:rFonts w:eastAsiaTheme="minorHAnsi"/>
          <w:i/>
          <w:szCs w:val="22"/>
        </w:rPr>
        <w:t xml:space="preserve">rder </w:t>
      </w:r>
      <w:r w:rsidR="00322669" w:rsidRPr="00F3761A">
        <w:rPr>
          <w:rFonts w:eastAsiaTheme="minorHAnsi"/>
          <w:szCs w:val="22"/>
        </w:rPr>
        <w:t>for use in the incentive auction</w:t>
      </w:r>
      <w:r w:rsidRPr="00F92DB1">
        <w:rPr>
          <w:rFonts w:eastAsiaTheme="minorHAnsi"/>
          <w:szCs w:val="22"/>
        </w:rPr>
        <w:t>.</w:t>
      </w:r>
      <w:r w:rsidRPr="00F92DB1">
        <w:rPr>
          <w:rFonts w:eastAsiaTheme="minorHAnsi"/>
          <w:sz w:val="20"/>
          <w:szCs w:val="22"/>
          <w:vertAlign w:val="superscript"/>
        </w:rPr>
        <w:footnoteReference w:id="225"/>
      </w:r>
      <w:r w:rsidRPr="00F92DB1">
        <w:rPr>
          <w:rFonts w:eastAsiaTheme="minorHAnsi"/>
          <w:szCs w:val="22"/>
        </w:rPr>
        <w:t xml:space="preserve">  In the event that </w:t>
      </w:r>
      <w:r w:rsidRPr="00F92DB1">
        <w:rPr>
          <w:rFonts w:eastAsiaTheme="minorHAnsi"/>
        </w:rPr>
        <w:t xml:space="preserve">wireless </w:t>
      </w:r>
      <w:r w:rsidR="00322669">
        <w:rPr>
          <w:rFonts w:eastAsiaTheme="minorHAnsi"/>
          <w:szCs w:val="22"/>
        </w:rPr>
        <w:t xml:space="preserve">operations actually </w:t>
      </w:r>
      <w:r w:rsidRPr="00F92DB1">
        <w:rPr>
          <w:rFonts w:eastAsiaTheme="minorHAnsi"/>
          <w:szCs w:val="22"/>
        </w:rPr>
        <w:t>cause harmful</w:t>
      </w:r>
      <w:r w:rsidRPr="00F92DB1">
        <w:rPr>
          <w:rFonts w:eastAsiaTheme="minorHAnsi"/>
        </w:rPr>
        <w:t xml:space="preserve"> interference </w:t>
      </w:r>
      <w:r w:rsidRPr="00F92DB1">
        <w:rPr>
          <w:rFonts w:eastAsiaTheme="minorHAnsi"/>
          <w:szCs w:val="22"/>
        </w:rPr>
        <w:t>to</w:t>
      </w:r>
      <w:r w:rsidRPr="00F92DB1">
        <w:rPr>
          <w:rFonts w:eastAsiaTheme="minorHAnsi"/>
        </w:rPr>
        <w:t xml:space="preserve"> television </w:t>
      </w:r>
      <w:r w:rsidRPr="00F92DB1">
        <w:rPr>
          <w:rFonts w:eastAsiaTheme="minorHAnsi"/>
          <w:szCs w:val="22"/>
        </w:rPr>
        <w:t xml:space="preserve">reception in the 600 MHz Band where </w:t>
      </w:r>
      <w:r w:rsidR="00322669">
        <w:rPr>
          <w:rFonts w:eastAsiaTheme="minorHAnsi"/>
          <w:szCs w:val="22"/>
        </w:rPr>
        <w:t xml:space="preserve">interference </w:t>
      </w:r>
      <w:r w:rsidRPr="00F92DB1">
        <w:rPr>
          <w:rFonts w:eastAsiaTheme="minorHAnsi"/>
          <w:szCs w:val="22"/>
        </w:rPr>
        <w:t xml:space="preserve">was not predicted to occur, </w:t>
      </w:r>
      <w:r w:rsidR="00322669">
        <w:rPr>
          <w:rFonts w:eastAsiaTheme="minorHAnsi"/>
          <w:szCs w:val="22"/>
        </w:rPr>
        <w:t xml:space="preserve">we </w:t>
      </w:r>
      <w:r w:rsidR="005F701D">
        <w:rPr>
          <w:rFonts w:eastAsiaTheme="minorHAnsi"/>
          <w:szCs w:val="22"/>
        </w:rPr>
        <w:t xml:space="preserve">also </w:t>
      </w:r>
      <w:r w:rsidRPr="00F92DB1">
        <w:rPr>
          <w:rFonts w:eastAsiaTheme="minorHAnsi"/>
          <w:szCs w:val="22"/>
        </w:rPr>
        <w:t xml:space="preserve">propose to require </w:t>
      </w:r>
      <w:r w:rsidRPr="00F92DB1">
        <w:rPr>
          <w:rFonts w:eastAsiaTheme="minorHAnsi"/>
        </w:rPr>
        <w:t xml:space="preserve">wireless </w:t>
      </w:r>
      <w:r w:rsidR="003754FB">
        <w:rPr>
          <w:rFonts w:eastAsiaTheme="minorHAnsi"/>
          <w:szCs w:val="22"/>
        </w:rPr>
        <w:t>providers</w:t>
      </w:r>
      <w:r w:rsidR="003754FB" w:rsidRPr="00F92DB1">
        <w:rPr>
          <w:rFonts w:eastAsiaTheme="minorHAnsi"/>
          <w:szCs w:val="22"/>
        </w:rPr>
        <w:t xml:space="preserve"> </w:t>
      </w:r>
      <w:r w:rsidRPr="00F92DB1">
        <w:rPr>
          <w:rFonts w:eastAsiaTheme="minorHAnsi"/>
          <w:szCs w:val="22"/>
        </w:rPr>
        <w:t xml:space="preserve">to take action to </w:t>
      </w:r>
      <w:r w:rsidRPr="007F67E7">
        <w:rPr>
          <w:rFonts w:eastAsiaTheme="minorHAnsi"/>
          <w:szCs w:val="22"/>
        </w:rPr>
        <w:t xml:space="preserve">eliminate the interference.  </w:t>
      </w:r>
    </w:p>
    <w:p w14:paraId="55A704A6" w14:textId="77777777" w:rsidR="00F92DB1" w:rsidRPr="007F67E7" w:rsidRDefault="00F92DB1" w:rsidP="001037AE">
      <w:pPr>
        <w:pStyle w:val="ParaNum"/>
      </w:pPr>
      <w:r w:rsidRPr="007F67E7">
        <w:rPr>
          <w:rFonts w:eastAsiaTheme="minorHAnsi"/>
        </w:rPr>
        <w:t xml:space="preserve">We also seek comment </w:t>
      </w:r>
      <w:r w:rsidR="006E6769">
        <w:rPr>
          <w:rFonts w:eastAsiaTheme="minorHAnsi"/>
        </w:rPr>
        <w:t xml:space="preserve">in this </w:t>
      </w:r>
      <w:r w:rsidR="006E6769">
        <w:rPr>
          <w:rFonts w:eastAsiaTheme="minorHAnsi"/>
          <w:i/>
        </w:rPr>
        <w:t xml:space="preserve">FNPRM </w:t>
      </w:r>
      <w:r w:rsidRPr="007F67E7">
        <w:rPr>
          <w:rFonts w:eastAsiaTheme="minorHAnsi"/>
        </w:rPr>
        <w:t xml:space="preserve">on </w:t>
      </w:r>
      <w:r w:rsidR="006E6769">
        <w:rPr>
          <w:rFonts w:eastAsiaTheme="minorHAnsi"/>
        </w:rPr>
        <w:t>procedures to prevent inter-service interference following the incentive auction.</w:t>
      </w:r>
      <w:r w:rsidR="006E6769">
        <w:rPr>
          <w:rStyle w:val="FootnoteReference"/>
          <w:rFonts w:eastAsiaTheme="minorHAnsi"/>
          <w:szCs w:val="22"/>
        </w:rPr>
        <w:t xml:space="preserve"> </w:t>
      </w:r>
      <w:r w:rsidR="006E6769" w:rsidRPr="007F67E7">
        <w:rPr>
          <w:rFonts w:eastAsiaTheme="minorHAnsi"/>
        </w:rPr>
        <w:t xml:space="preserve"> </w:t>
      </w:r>
      <w:r w:rsidR="004D22FD">
        <w:rPr>
          <w:rFonts w:eastAsiaTheme="minorHAnsi"/>
        </w:rPr>
        <w:t>We propose to require wireless providers to analyze potential interference to any co-channel or adjacent channel television station in the 600 MHz Band within a set distance using the methodology in OET-74 before deploying base stations, regardless of whether the wireless license area was identified as “impaired” in the auction.</w:t>
      </w:r>
      <w:r w:rsidR="006E6769">
        <w:rPr>
          <w:rFonts w:eastAsiaTheme="minorHAnsi"/>
        </w:rPr>
        <w:t xml:space="preserve">  </w:t>
      </w:r>
      <w:r w:rsidR="007F67E7" w:rsidRPr="00F3761A">
        <w:rPr>
          <w:rFonts w:eastAsiaTheme="minorHAnsi"/>
        </w:rPr>
        <w:t xml:space="preserve">We also propose </w:t>
      </w:r>
      <w:r w:rsidR="00C3217E">
        <w:rPr>
          <w:rFonts w:eastAsiaTheme="minorHAnsi"/>
        </w:rPr>
        <w:t xml:space="preserve">to </w:t>
      </w:r>
      <w:r w:rsidR="007F67E7" w:rsidRPr="00F3761A">
        <w:rPr>
          <w:rFonts w:eastAsiaTheme="minorHAnsi"/>
        </w:rPr>
        <w:t xml:space="preserve">allow broadcast television stations in the 600 MHz Band to modify their facilities only to the degree that </w:t>
      </w:r>
      <w:r w:rsidR="00C3217E">
        <w:rPr>
          <w:rFonts w:eastAsiaTheme="minorHAnsi"/>
        </w:rPr>
        <w:t>doing so</w:t>
      </w:r>
      <w:r w:rsidR="007F67E7" w:rsidRPr="00F3761A">
        <w:rPr>
          <w:rFonts w:eastAsiaTheme="minorHAnsi"/>
        </w:rPr>
        <w:t xml:space="preserve"> does not extend their contours in the direction of a </w:t>
      </w:r>
      <w:r w:rsidR="00C3217E">
        <w:rPr>
          <w:rFonts w:eastAsiaTheme="minorHAnsi"/>
        </w:rPr>
        <w:t>co-</w:t>
      </w:r>
      <w:r w:rsidR="001037AE">
        <w:rPr>
          <w:rFonts w:eastAsiaTheme="minorHAnsi"/>
        </w:rPr>
        <w:t>channel</w:t>
      </w:r>
      <w:r w:rsidR="00C3217E">
        <w:rPr>
          <w:rFonts w:eastAsiaTheme="minorHAnsi"/>
        </w:rPr>
        <w:t xml:space="preserve"> or adjacent-channel 600 MHz Band </w:t>
      </w:r>
      <w:r w:rsidR="007F67E7" w:rsidRPr="00F3761A">
        <w:rPr>
          <w:rFonts w:eastAsiaTheme="minorHAnsi"/>
        </w:rPr>
        <w:t>wireless license</w:t>
      </w:r>
      <w:r w:rsidR="00C3217E">
        <w:rPr>
          <w:rFonts w:eastAsiaTheme="minorHAnsi"/>
        </w:rPr>
        <w:t xml:space="preserve"> area within a set distance</w:t>
      </w:r>
      <w:r w:rsidR="00A063C0">
        <w:rPr>
          <w:rFonts w:eastAsiaTheme="minorHAnsi"/>
        </w:rPr>
        <w:t>.</w:t>
      </w:r>
      <w:r w:rsidR="00C3217E">
        <w:rPr>
          <w:rFonts w:eastAsiaTheme="minorHAnsi"/>
        </w:rPr>
        <w:t xml:space="preserve"> </w:t>
      </w:r>
      <w:r w:rsidR="00C3217E">
        <w:rPr>
          <w:rStyle w:val="FootnoteReference"/>
          <w:rFonts w:eastAsiaTheme="minorHAnsi"/>
          <w:szCs w:val="22"/>
        </w:rPr>
        <w:footnoteReference w:id="226"/>
      </w:r>
    </w:p>
    <w:p w14:paraId="036A4394" w14:textId="77777777" w:rsidR="009258FD" w:rsidRPr="009258FD" w:rsidRDefault="00F92DB1" w:rsidP="001037AE">
      <w:pPr>
        <w:pStyle w:val="ParaNum"/>
        <w:rPr>
          <w:szCs w:val="22"/>
        </w:rPr>
      </w:pPr>
      <w:r w:rsidRPr="00F92DB1">
        <w:t xml:space="preserve">The </w:t>
      </w:r>
      <w:r w:rsidRPr="00F92DB1">
        <w:rPr>
          <w:i/>
        </w:rPr>
        <w:t>FNPRM</w:t>
      </w:r>
      <w:r w:rsidRPr="00F92DB1">
        <w:t xml:space="preserve"> also seeks comment </w:t>
      </w:r>
      <w:r w:rsidR="00C3217E">
        <w:t xml:space="preserve">on </w:t>
      </w:r>
      <w:r w:rsidRPr="00F92DB1">
        <w:t xml:space="preserve">how the ISIX Methodology </w:t>
      </w:r>
      <w:r w:rsidR="00C3217E">
        <w:t xml:space="preserve">and inputs </w:t>
      </w:r>
      <w:r w:rsidRPr="00F92DB1">
        <w:t xml:space="preserve">adopted in the </w:t>
      </w:r>
      <w:r w:rsidR="009258FD">
        <w:t xml:space="preserve">companion </w:t>
      </w:r>
      <w:r w:rsidRPr="00F92DB1">
        <w:rPr>
          <w:i/>
        </w:rPr>
        <w:t>Second R</w:t>
      </w:r>
      <w:r w:rsidR="009258FD">
        <w:rPr>
          <w:i/>
        </w:rPr>
        <w:t xml:space="preserve">eport </w:t>
      </w:r>
      <w:r w:rsidRPr="00F92DB1">
        <w:rPr>
          <w:i/>
        </w:rPr>
        <w:t>&amp;</w:t>
      </w:r>
      <w:r w:rsidR="009258FD">
        <w:rPr>
          <w:i/>
        </w:rPr>
        <w:t xml:space="preserve"> </w:t>
      </w:r>
      <w:r w:rsidRPr="00F92DB1">
        <w:rPr>
          <w:i/>
        </w:rPr>
        <w:t>O</w:t>
      </w:r>
      <w:r w:rsidR="009258FD">
        <w:rPr>
          <w:i/>
        </w:rPr>
        <w:t>rder</w:t>
      </w:r>
      <w:r w:rsidRPr="00F92DB1">
        <w:t xml:space="preserve"> for </w:t>
      </w:r>
      <w:r w:rsidR="009258FD">
        <w:t>predicting interference to wireless operations from television s</w:t>
      </w:r>
      <w:r w:rsidR="00C3217E">
        <w:t>tation</w:t>
      </w:r>
      <w:r w:rsidR="009258FD">
        <w:t>s (</w:t>
      </w:r>
      <w:r w:rsidRPr="00F92DB1">
        <w:t>Cases 1 and 2</w:t>
      </w:r>
      <w:r w:rsidR="009258FD">
        <w:t>)</w:t>
      </w:r>
      <w:r w:rsidRPr="00F92DB1">
        <w:t xml:space="preserve"> should be modified to predict harmful interference that LPTV and TV translator stations may cause to </w:t>
      </w:r>
      <w:r w:rsidR="009258FD">
        <w:t xml:space="preserve">600 MHz Band </w:t>
      </w:r>
      <w:r w:rsidRPr="00F92DB1">
        <w:t xml:space="preserve">wireless </w:t>
      </w:r>
      <w:r w:rsidR="009258FD">
        <w:t xml:space="preserve">service as </w:t>
      </w:r>
      <w:r w:rsidR="00AF3841">
        <w:t xml:space="preserve">it is </w:t>
      </w:r>
      <w:r w:rsidR="009258FD">
        <w:t xml:space="preserve">deployed following the </w:t>
      </w:r>
      <w:r w:rsidRPr="00F92DB1">
        <w:t xml:space="preserve">auction.  </w:t>
      </w:r>
      <w:r w:rsidR="009258FD">
        <w:t xml:space="preserve">Further, we </w:t>
      </w:r>
      <w:r w:rsidRPr="00F92DB1">
        <w:t xml:space="preserve">propose to allow </w:t>
      </w:r>
      <w:r w:rsidR="00C3217E">
        <w:t xml:space="preserve">new 600 MHz Band </w:t>
      </w:r>
      <w:r w:rsidRPr="00F92DB1">
        <w:t xml:space="preserve">wireless </w:t>
      </w:r>
      <w:r w:rsidR="00C3217E">
        <w:t>licensee</w:t>
      </w:r>
      <w:r w:rsidRPr="00F92DB1">
        <w:t xml:space="preserve">s </w:t>
      </w:r>
      <w:r w:rsidR="009258FD">
        <w:t>that intend to deploy</w:t>
      </w:r>
      <w:r w:rsidR="00C3217E">
        <w:t xml:space="preserve"> facilities</w:t>
      </w:r>
      <w:r w:rsidR="009258FD">
        <w:t xml:space="preserve"> during the 39-month Post Auction Transition Period</w:t>
      </w:r>
      <w:r w:rsidR="00C3217E">
        <w:rPr>
          <w:rStyle w:val="FootnoteReference"/>
        </w:rPr>
        <w:footnoteReference w:id="227"/>
      </w:r>
      <w:r w:rsidR="009258FD">
        <w:t xml:space="preserve"> </w:t>
      </w:r>
      <w:r w:rsidRPr="00F92DB1">
        <w:t>to use the ISIX Methodology</w:t>
      </w:r>
      <w:r w:rsidR="00C3217E">
        <w:t xml:space="preserve"> and inputs</w:t>
      </w:r>
      <w:r w:rsidRPr="00F92DB1">
        <w:t xml:space="preserve">, as detailed in the proposed OET-74, to determine </w:t>
      </w:r>
      <w:r w:rsidR="009258FD">
        <w:t xml:space="preserve">whether there is any </w:t>
      </w:r>
      <w:r w:rsidRPr="00F92DB1">
        <w:t xml:space="preserve">potential </w:t>
      </w:r>
      <w:r w:rsidR="009258FD">
        <w:t>for</w:t>
      </w:r>
      <w:r w:rsidR="003754FB">
        <w:t xml:space="preserve"> harmful</w:t>
      </w:r>
      <w:r w:rsidR="009258FD">
        <w:t xml:space="preserve"> </w:t>
      </w:r>
      <w:r w:rsidRPr="00F92DB1">
        <w:t xml:space="preserve">interference to a </w:t>
      </w:r>
      <w:r w:rsidR="005F5F98">
        <w:t>television</w:t>
      </w:r>
      <w:r w:rsidR="005F5F98" w:rsidRPr="00F92DB1">
        <w:t xml:space="preserve"> </w:t>
      </w:r>
      <w:r w:rsidRPr="00F92DB1">
        <w:t xml:space="preserve">station that has not yet cleared its </w:t>
      </w:r>
      <w:r w:rsidR="009258FD">
        <w:t xml:space="preserve">pre-auction </w:t>
      </w:r>
      <w:r w:rsidRPr="00F92DB1">
        <w:t>channel</w:t>
      </w:r>
      <w:r w:rsidR="009258FD">
        <w:t xml:space="preserve"> in the 600 MHz Band</w:t>
      </w:r>
      <w:r w:rsidRPr="00F92DB1">
        <w:t>.</w:t>
      </w:r>
    </w:p>
    <w:p w14:paraId="1EAF2E21" w14:textId="77777777" w:rsidR="00F92DB1" w:rsidRPr="00F92DB1" w:rsidRDefault="009258FD" w:rsidP="001037AE">
      <w:pPr>
        <w:pStyle w:val="ParaNum"/>
        <w:rPr>
          <w:szCs w:val="22"/>
        </w:rPr>
      </w:pPr>
      <w:r>
        <w:t>Finally</w:t>
      </w:r>
      <w:r w:rsidR="00F92DB1" w:rsidRPr="00F92DB1">
        <w:t xml:space="preserve">, </w:t>
      </w:r>
      <w:r>
        <w:t xml:space="preserve">we </w:t>
      </w:r>
      <w:r w:rsidR="00F92DB1" w:rsidRPr="00F92DB1">
        <w:t xml:space="preserve">seek comment on how the ISIX Methodology </w:t>
      </w:r>
      <w:r w:rsidR="00C3217E">
        <w:t xml:space="preserve">and inputs </w:t>
      </w:r>
      <w:r w:rsidR="00F92DB1" w:rsidRPr="00F92DB1">
        <w:t>adopted in the</w:t>
      </w:r>
      <w:r w:rsidR="00C3217E">
        <w:t xml:space="preserve"> companion</w:t>
      </w:r>
      <w:r w:rsidR="00F92DB1" w:rsidRPr="00F92DB1">
        <w:t xml:space="preserve"> </w:t>
      </w:r>
      <w:r w:rsidR="00F92DB1" w:rsidRPr="00F92DB1">
        <w:rPr>
          <w:i/>
        </w:rPr>
        <w:t>Second R</w:t>
      </w:r>
      <w:r>
        <w:rPr>
          <w:i/>
        </w:rPr>
        <w:t xml:space="preserve">eport </w:t>
      </w:r>
      <w:r w:rsidR="00F92DB1" w:rsidRPr="00F92DB1">
        <w:rPr>
          <w:i/>
        </w:rPr>
        <w:t>&amp;</w:t>
      </w:r>
      <w:r>
        <w:rPr>
          <w:i/>
        </w:rPr>
        <w:t xml:space="preserve"> </w:t>
      </w:r>
      <w:r w:rsidR="00F92DB1" w:rsidRPr="00F92DB1">
        <w:rPr>
          <w:i/>
        </w:rPr>
        <w:t>O</w:t>
      </w:r>
      <w:r>
        <w:rPr>
          <w:i/>
        </w:rPr>
        <w:t>rder</w:t>
      </w:r>
      <w:r w:rsidR="00F92DB1" w:rsidRPr="00F92DB1">
        <w:t xml:space="preserve"> can be adapted to predict inter-service interference between wireless services and analog </w:t>
      </w:r>
      <w:r w:rsidR="001037AE">
        <w:t xml:space="preserve">television </w:t>
      </w:r>
      <w:r w:rsidR="00F92DB1" w:rsidRPr="00F92DB1">
        <w:t>stations in Canada and Mexico, for purposes of identifying license impairments during the auction.</w:t>
      </w:r>
    </w:p>
    <w:p w14:paraId="418965A8" w14:textId="77777777" w:rsidR="00F92DB1" w:rsidRPr="00F92DB1" w:rsidRDefault="00F92DB1" w:rsidP="007A7E8D">
      <w:pPr>
        <w:pStyle w:val="Heading2"/>
      </w:pPr>
      <w:bookmarkStart w:id="444" w:name="_Toc396492680"/>
      <w:bookmarkStart w:id="445" w:name="_Toc396492704"/>
      <w:bookmarkStart w:id="446" w:name="_Toc396915801"/>
      <w:bookmarkStart w:id="447" w:name="_Toc396995202"/>
      <w:bookmarkStart w:id="448" w:name="_Toc396995837"/>
      <w:bookmarkStart w:id="449" w:name="_Toc397609530"/>
      <w:bookmarkStart w:id="450" w:name="_Toc397610955"/>
      <w:bookmarkStart w:id="451" w:name="_Toc397962805"/>
      <w:bookmarkStart w:id="452" w:name="_Toc398023583"/>
      <w:bookmarkStart w:id="453" w:name="_Toc398902979"/>
      <w:bookmarkStart w:id="454" w:name="_Toc398903302"/>
      <w:bookmarkStart w:id="455" w:name="_Toc398903491"/>
      <w:bookmarkStart w:id="456" w:name="_Toc398904088"/>
      <w:bookmarkStart w:id="457" w:name="_Toc398904596"/>
      <w:bookmarkStart w:id="458" w:name="_Toc401305956"/>
      <w:bookmarkStart w:id="459" w:name="_Toc401306631"/>
      <w:bookmarkStart w:id="460" w:name="_Toc401306700"/>
      <w:r w:rsidRPr="00F92DB1">
        <w:t xml:space="preserve">Protecting Television </w:t>
      </w:r>
      <w:r w:rsidR="00B97522">
        <w:t xml:space="preserve">Stations </w:t>
      </w:r>
      <w:r w:rsidRPr="00F92DB1">
        <w:t xml:space="preserve">in the 600 MHz Band from </w:t>
      </w:r>
      <w:r w:rsidR="00B97522">
        <w:t>Inter-Service Interference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4F0DA450" w14:textId="77777777" w:rsidR="00F92DB1" w:rsidRPr="00F92DB1" w:rsidRDefault="00B97522" w:rsidP="007A7E8D">
      <w:pPr>
        <w:pStyle w:val="Heading3"/>
        <w:widowControl/>
      </w:pPr>
      <w:bookmarkStart w:id="461" w:name="_Toc396492681"/>
      <w:bookmarkStart w:id="462" w:name="_Toc396492705"/>
      <w:bookmarkStart w:id="463" w:name="_Toc396915802"/>
      <w:bookmarkStart w:id="464" w:name="_Toc396995203"/>
      <w:bookmarkStart w:id="465" w:name="_Toc396995838"/>
      <w:bookmarkStart w:id="466" w:name="_Toc397609531"/>
      <w:bookmarkStart w:id="467" w:name="_Toc397610956"/>
      <w:bookmarkStart w:id="468" w:name="_Toc397962806"/>
      <w:bookmarkStart w:id="469" w:name="_Toc398023584"/>
      <w:bookmarkStart w:id="470" w:name="_Toc398902980"/>
      <w:bookmarkStart w:id="471" w:name="_Toc398903303"/>
      <w:bookmarkStart w:id="472" w:name="_Toc398903492"/>
      <w:bookmarkStart w:id="473" w:name="_Toc398904089"/>
      <w:bookmarkStart w:id="474" w:name="_Toc398904597"/>
      <w:bookmarkStart w:id="475" w:name="_Toc401305957"/>
      <w:bookmarkStart w:id="476" w:name="_Toc401306632"/>
      <w:bookmarkStart w:id="477" w:name="_Toc401306701"/>
      <w:r>
        <w:t xml:space="preserve">Proposed </w:t>
      </w:r>
      <w:r w:rsidR="00F92DB1" w:rsidRPr="00F92DB1">
        <w:t xml:space="preserve">Threshold for Interference from Wireless Operations to </w:t>
      </w:r>
      <w:r>
        <w:t>Television Stations</w:t>
      </w:r>
      <w:r w:rsidR="00F92DB1" w:rsidRPr="00F92DB1">
        <w:t xml:space="preserve"> in the 600 MHz Band</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59657970" w14:textId="77777777" w:rsidR="00036217" w:rsidRPr="001758E9" w:rsidRDefault="00F92DB1" w:rsidP="007A7E8D">
      <w:pPr>
        <w:pStyle w:val="ParaNum"/>
        <w:keepNext/>
        <w:widowControl/>
      </w:pPr>
      <w:r w:rsidRPr="00F92DB1">
        <w:t xml:space="preserve">The </w:t>
      </w:r>
      <w:r w:rsidRPr="00F92DB1">
        <w:rPr>
          <w:i/>
        </w:rPr>
        <w:t>ISIX PN</w:t>
      </w:r>
      <w:r w:rsidRPr="00F92DB1">
        <w:t xml:space="preserve"> requested comment on a threshold </w:t>
      </w:r>
      <w:r w:rsidR="007D4973">
        <w:t>for interference from wireless operations to television stations in the 600 MHz Band (Cases 3 and 4) of 0.1 percent</w:t>
      </w:r>
      <w:r w:rsidRPr="00F92DB1">
        <w:t>.</w:t>
      </w:r>
      <w:r w:rsidRPr="00F92DB1">
        <w:rPr>
          <w:sz w:val="20"/>
          <w:vertAlign w:val="superscript"/>
        </w:rPr>
        <w:footnoteReference w:id="228"/>
      </w:r>
      <w:r w:rsidRPr="00F92DB1">
        <w:t xml:space="preserve">  </w:t>
      </w:r>
      <w:r w:rsidR="007D4973">
        <w:t xml:space="preserve">Based on examination of the record in this proceeding, we now </w:t>
      </w:r>
      <w:r w:rsidRPr="00F92DB1">
        <w:t xml:space="preserve">propose to establish a zero percent threshold for harmful interference.  Under this approach, </w:t>
      </w:r>
      <w:r w:rsidR="007D4973">
        <w:t>600 MHz Band</w:t>
      </w:r>
      <w:r w:rsidRPr="00F92DB1">
        <w:t xml:space="preserve"> wireless licensee</w:t>
      </w:r>
      <w:r w:rsidR="007D4973">
        <w:t>s</w:t>
      </w:r>
      <w:r w:rsidRPr="00F92DB1">
        <w:t xml:space="preserve"> would not be permitted to cause harmful interference </w:t>
      </w:r>
      <w:r w:rsidRPr="001758E9">
        <w:t>within the service area of a full power station or the protected</w:t>
      </w:r>
      <w:r w:rsidRPr="00F92DB1">
        <w:t xml:space="preserve"> contour of a Class A station, </w:t>
      </w:r>
      <w:r w:rsidR="009E227F">
        <w:t xml:space="preserve">to the degree it affects </w:t>
      </w:r>
      <w:r w:rsidRPr="00F92DB1">
        <w:t xml:space="preserve">population within </w:t>
      </w:r>
      <w:r w:rsidRPr="001758E9">
        <w:t>that service area or protected contour.</w:t>
      </w:r>
      <w:r w:rsidRPr="001758E9">
        <w:rPr>
          <w:sz w:val="20"/>
          <w:vertAlign w:val="superscript"/>
        </w:rPr>
        <w:footnoteReference w:id="229"/>
      </w:r>
      <w:r w:rsidRPr="001758E9">
        <w:t xml:space="preserve">  </w:t>
      </w:r>
    </w:p>
    <w:p w14:paraId="24F09881" w14:textId="77777777" w:rsidR="00F92DB1" w:rsidRPr="00F92DB1" w:rsidRDefault="00F92DB1" w:rsidP="006A744E">
      <w:pPr>
        <w:pStyle w:val="ParaNum"/>
      </w:pPr>
      <w:r w:rsidRPr="00F92DB1">
        <w:t xml:space="preserve">We propose this threshold </w:t>
      </w:r>
      <w:r w:rsidR="002A6F5D">
        <w:t xml:space="preserve">for a number of reasons.  </w:t>
      </w:r>
      <w:r w:rsidR="00E07717">
        <w:t>First, w</w:t>
      </w:r>
      <w:r w:rsidR="003943AB">
        <w:t xml:space="preserve">e believe </w:t>
      </w:r>
      <w:r w:rsidR="00E07717">
        <w:t xml:space="preserve">that </w:t>
      </w:r>
      <w:r w:rsidR="003943AB">
        <w:t xml:space="preserve">a different, </w:t>
      </w:r>
      <w:r w:rsidR="00E07717">
        <w:t>more cautious</w:t>
      </w:r>
      <w:r w:rsidR="003943AB">
        <w:t xml:space="preserve"> approach may be warranted than in the context of preventing </w:t>
      </w:r>
      <w:r w:rsidR="003754FB">
        <w:t xml:space="preserve">harmful </w:t>
      </w:r>
      <w:r w:rsidR="003943AB">
        <w:t xml:space="preserve">interference between television stations because </w:t>
      </w:r>
      <w:r w:rsidR="00E07717">
        <w:t>we will be applying the proposed m</w:t>
      </w:r>
      <w:r w:rsidR="003943AB">
        <w:t>ethodology for the first time</w:t>
      </w:r>
      <w:r w:rsidR="00E07717">
        <w:t>.</w:t>
      </w:r>
      <w:r w:rsidR="00E07717" w:rsidRPr="00067A19">
        <w:rPr>
          <w:rStyle w:val="FootnoteReference"/>
        </w:rPr>
        <w:footnoteReference w:id="230"/>
      </w:r>
      <w:r w:rsidR="00E07717">
        <w:t xml:space="preserve">  </w:t>
      </w:r>
      <w:r w:rsidR="00036217">
        <w:t>Second, we do not believe that a zero percent interference threshold would undermine our goals for the incentive auction.</w:t>
      </w:r>
      <w:r w:rsidR="00036217">
        <w:rPr>
          <w:rStyle w:val="FootnoteReference"/>
        </w:rPr>
        <w:footnoteReference w:id="231"/>
      </w:r>
      <w:r w:rsidR="00036217">
        <w:t xml:space="preserve">  Third</w:t>
      </w:r>
      <w:r w:rsidR="003943AB">
        <w:t>,</w:t>
      </w:r>
      <w:r w:rsidR="00E07717">
        <w:t xml:space="preserve"> </w:t>
      </w:r>
      <w:r w:rsidR="003943AB">
        <w:t xml:space="preserve">we are concerned </w:t>
      </w:r>
      <w:r w:rsidR="00E07717">
        <w:t>that there is a potential for</w:t>
      </w:r>
      <w:r w:rsidR="00036217">
        <w:t xml:space="preserve"> significant </w:t>
      </w:r>
      <w:r w:rsidR="003943AB">
        <w:t xml:space="preserve">aggregate new interference </w:t>
      </w:r>
      <w:r w:rsidR="00E07717">
        <w:t>from wireless operations to television stations</w:t>
      </w:r>
      <w:r w:rsidR="00036217">
        <w:t xml:space="preserve"> if we set</w:t>
      </w:r>
      <w:r w:rsidR="003943AB">
        <w:t xml:space="preserve"> a </w:t>
      </w:r>
      <w:r w:rsidR="003943AB" w:rsidRPr="00036217">
        <w:rPr>
          <w:i/>
        </w:rPr>
        <w:t xml:space="preserve">de minimis </w:t>
      </w:r>
      <w:r w:rsidR="00E07717">
        <w:t>threshold</w:t>
      </w:r>
      <w:r w:rsidR="003943AB">
        <w:t xml:space="preserve">.  </w:t>
      </w:r>
      <w:r w:rsidR="00067A19">
        <w:t xml:space="preserve">In the companion </w:t>
      </w:r>
      <w:r w:rsidR="00067A19" w:rsidRPr="00036217">
        <w:rPr>
          <w:i/>
        </w:rPr>
        <w:t>Second Report &amp; Order</w:t>
      </w:r>
      <w:r w:rsidR="00067A19">
        <w:t xml:space="preserve">, we decline to impose a </w:t>
      </w:r>
      <w:r w:rsidR="0071654C">
        <w:t xml:space="preserve">mandatory </w:t>
      </w:r>
      <w:r w:rsidR="00067A19">
        <w:t xml:space="preserve">one-percent cap on </w:t>
      </w:r>
      <w:r w:rsidR="00E07717">
        <w:t xml:space="preserve">the </w:t>
      </w:r>
      <w:r w:rsidR="00067A19">
        <w:t xml:space="preserve">aggregate new interference that any one </w:t>
      </w:r>
      <w:r w:rsidR="00036217">
        <w:t xml:space="preserve">television </w:t>
      </w:r>
      <w:r w:rsidR="00067A19">
        <w:t xml:space="preserve">station can receive from </w:t>
      </w:r>
      <w:r w:rsidR="00036217">
        <w:t>other</w:t>
      </w:r>
      <w:r w:rsidR="00E07717">
        <w:t xml:space="preserve"> station</w:t>
      </w:r>
      <w:r w:rsidR="00067A19">
        <w:t>s as a result of the repacking process</w:t>
      </w:r>
      <w:r w:rsidR="00036217">
        <w:t>, reasoning in part that such a measure</w:t>
      </w:r>
      <w:r w:rsidR="00067A19">
        <w:t xml:space="preserve"> is unnecessary </w:t>
      </w:r>
      <w:r w:rsidR="00036217">
        <w:t>because aggregate</w:t>
      </w:r>
      <w:r w:rsidR="00067A19">
        <w:t xml:space="preserve"> interference </w:t>
      </w:r>
      <w:r w:rsidR="00E07717">
        <w:t xml:space="preserve">rarely will exceed the </w:t>
      </w:r>
      <w:r w:rsidR="00067A19">
        <w:t>0.5 percent</w:t>
      </w:r>
      <w:r w:rsidR="00E07717">
        <w:t xml:space="preserve"> </w:t>
      </w:r>
      <w:r w:rsidR="00036217">
        <w:t>“</w:t>
      </w:r>
      <w:r w:rsidR="00E07717">
        <w:t>pairwise</w:t>
      </w:r>
      <w:r w:rsidR="00036217">
        <w:t>” or station-to-station</w:t>
      </w:r>
      <w:r w:rsidR="00E07717">
        <w:t xml:space="preserve"> limit, and</w:t>
      </w:r>
      <w:r w:rsidR="00067A19">
        <w:t xml:space="preserve"> safety valve measures are available to address exceptional cases </w:t>
      </w:r>
      <w:r w:rsidR="00036217">
        <w:t>of one percent or more</w:t>
      </w:r>
      <w:r w:rsidR="003943AB">
        <w:t xml:space="preserve"> aggregate new int</w:t>
      </w:r>
      <w:r w:rsidR="00036217">
        <w:t>erference</w:t>
      </w:r>
      <w:r w:rsidR="00E07717">
        <w:t>.</w:t>
      </w:r>
      <w:r w:rsidR="003943AB">
        <w:rPr>
          <w:rStyle w:val="FootnoteReference"/>
        </w:rPr>
        <w:footnoteReference w:id="232"/>
      </w:r>
      <w:r w:rsidR="00E76DEC">
        <w:t xml:space="preserve">  Here, no such safety valve measures are available, and the risk of significant levels of new aggregate interference is higher</w:t>
      </w:r>
      <w:r w:rsidR="00DE5109">
        <w:t>.  Six megahertz channels in the television bands are aligned, and only a limited number of television stations can operate on the same or adjacent channels in nearby areas.  In contrast, varying degrees of spectral overlap between six-megahertz television channels and five-megahertz wireless spectrum blocks in the 600 MHz Band,</w:t>
      </w:r>
      <w:r w:rsidR="002F70B0">
        <w:rPr>
          <w:rStyle w:val="FootnoteReference"/>
        </w:rPr>
        <w:footnoteReference w:id="233"/>
      </w:r>
      <w:r w:rsidR="00DE5109">
        <w:t xml:space="preserve"> along with the different technical facilities employed by television and wireless services, create the potential for multiple co- and adjacent-channel relationships between television stations and wireless operations in the 600 MHz Band in the same or nearby geographic areas</w:t>
      </w:r>
      <w:r w:rsidR="00E76DEC">
        <w:t>.</w:t>
      </w:r>
      <w:r w:rsidR="00067A19">
        <w:t xml:space="preserve">  </w:t>
      </w:r>
      <w:r w:rsidR="00036217">
        <w:t>Fourth</w:t>
      </w:r>
      <w:r w:rsidR="00DE5109">
        <w:t>, we do not think that an aggregate threshold for interference to television stations from wireless operations would be either feasible or practical.</w:t>
      </w:r>
      <w:r w:rsidR="00036217">
        <w:t xml:space="preserve">  For these reasons, we propose a zero percent threshold for interference from wireless operations to television stations following the incentive auction.</w:t>
      </w:r>
      <w:r w:rsidRPr="00036217">
        <w:rPr>
          <w:szCs w:val="22"/>
        </w:rPr>
        <w:t xml:space="preserve"> </w:t>
      </w:r>
    </w:p>
    <w:p w14:paraId="3D174609" w14:textId="77777777" w:rsidR="00F92DB1" w:rsidRPr="00F92DB1" w:rsidRDefault="00F92DB1" w:rsidP="006A744E">
      <w:pPr>
        <w:pStyle w:val="ParaNum"/>
      </w:pPr>
      <w:r w:rsidRPr="00F92DB1">
        <w:t xml:space="preserve">In the event that interference is predicted </w:t>
      </w:r>
      <w:r w:rsidR="00AF3841">
        <w:t xml:space="preserve">between </w:t>
      </w:r>
      <w:r w:rsidRPr="00F92DB1">
        <w:t>television station</w:t>
      </w:r>
      <w:r w:rsidR="00051A53">
        <w:t>s</w:t>
      </w:r>
      <w:r w:rsidRPr="00F92DB1">
        <w:t xml:space="preserve"> assigned in the 600 MHz Band, we </w:t>
      </w:r>
      <w:r w:rsidR="00B964F6">
        <w:t xml:space="preserve">propose to treat that interference as </w:t>
      </w:r>
      <w:r w:rsidRPr="00F92DB1">
        <w:t>“masking interference” in evaluating wireless interference to a</w:t>
      </w:r>
      <w:r w:rsidR="00036217">
        <w:t xml:space="preserve"> television station</w:t>
      </w:r>
      <w:r w:rsidRPr="00F92DB1">
        <w:t xml:space="preserve">.  That is, in a grid cell where masking interference </w:t>
      </w:r>
      <w:r w:rsidR="00E448ED">
        <w:t xml:space="preserve">to one television station </w:t>
      </w:r>
      <w:r w:rsidRPr="00F92DB1">
        <w:t xml:space="preserve">from another </w:t>
      </w:r>
      <w:r w:rsidR="009C2D65">
        <w:t xml:space="preserve">is predicted to </w:t>
      </w:r>
      <w:r w:rsidRPr="00F92DB1">
        <w:t xml:space="preserve">occur, </w:t>
      </w:r>
      <w:r w:rsidR="00E448ED">
        <w:t xml:space="preserve">we propose to ignore </w:t>
      </w:r>
      <w:r w:rsidRPr="00F92DB1">
        <w:t xml:space="preserve">the </w:t>
      </w:r>
      <w:r w:rsidR="009C2D65">
        <w:t xml:space="preserve">inter-service </w:t>
      </w:r>
      <w:r w:rsidRPr="00F92DB1">
        <w:t>interference from the wireless operation</w:t>
      </w:r>
      <w:r w:rsidR="009C2D65">
        <w:t>s</w:t>
      </w:r>
      <w:r w:rsidR="00E448ED">
        <w:t xml:space="preserve">.  </w:t>
      </w:r>
      <w:r w:rsidR="00B00AE6">
        <w:t xml:space="preserve">This </w:t>
      </w:r>
      <w:r w:rsidR="003469A7">
        <w:t>approach would be</w:t>
      </w:r>
      <w:r w:rsidR="00B00AE6">
        <w:t xml:space="preserve"> consistent with </w:t>
      </w:r>
      <w:r w:rsidR="003469A7">
        <w:t>the</w:t>
      </w:r>
      <w:r w:rsidR="00B00AE6">
        <w:t xml:space="preserve"> treatment of interference </w:t>
      </w:r>
      <w:r w:rsidR="003469A7">
        <w:t xml:space="preserve">between television stations </w:t>
      </w:r>
      <w:r w:rsidR="00B00AE6">
        <w:t>under our rules.</w:t>
      </w:r>
      <w:r w:rsidR="00B00AE6">
        <w:rPr>
          <w:rStyle w:val="FootnoteReference"/>
        </w:rPr>
        <w:footnoteReference w:id="234"/>
      </w:r>
      <w:r w:rsidR="00B964F6">
        <w:t xml:space="preserve">  We seek comment on this proposal.</w:t>
      </w:r>
    </w:p>
    <w:p w14:paraId="40E69173" w14:textId="77777777" w:rsidR="00F92DB1" w:rsidRPr="00F92DB1" w:rsidRDefault="00243ED0" w:rsidP="00AA3CDA">
      <w:pPr>
        <w:pStyle w:val="Heading3"/>
      </w:pPr>
      <w:bookmarkStart w:id="478" w:name="_Toc396492682"/>
      <w:bookmarkStart w:id="479" w:name="_Toc396492706"/>
      <w:bookmarkStart w:id="480" w:name="_Toc396915803"/>
      <w:bookmarkStart w:id="481" w:name="_Toc396995204"/>
      <w:bookmarkStart w:id="482" w:name="_Toc396995839"/>
      <w:bookmarkStart w:id="483" w:name="_Toc397609532"/>
      <w:bookmarkStart w:id="484" w:name="_Toc397610957"/>
      <w:bookmarkStart w:id="485" w:name="_Toc397962807"/>
      <w:bookmarkStart w:id="486" w:name="_Toc398023585"/>
      <w:bookmarkStart w:id="487" w:name="_Toc398902981"/>
      <w:bookmarkStart w:id="488" w:name="_Toc398903304"/>
      <w:bookmarkStart w:id="489" w:name="_Toc398903493"/>
      <w:bookmarkStart w:id="490" w:name="_Toc398904090"/>
      <w:bookmarkStart w:id="491" w:name="_Toc398904598"/>
      <w:bookmarkStart w:id="492" w:name="_Toc401305958"/>
      <w:bookmarkStart w:id="493" w:name="_Toc401306633"/>
      <w:bookmarkStart w:id="494" w:name="_Toc401306702"/>
      <w:r>
        <w:t xml:space="preserve">Proposed Methodology and Inputs for </w:t>
      </w:r>
      <w:r w:rsidR="00F92DB1" w:rsidRPr="00F92DB1">
        <w:t xml:space="preserve">Predicting Interference to </w:t>
      </w:r>
      <w:r>
        <w:t>Television Stations</w:t>
      </w:r>
      <w:r w:rsidR="00F92DB1" w:rsidRPr="00F92DB1">
        <w:t xml:space="preserve"> in the 600 MHz Band</w:t>
      </w:r>
      <w:bookmarkEnd w:id="478"/>
      <w:bookmarkEnd w:id="479"/>
      <w:bookmarkEnd w:id="480"/>
      <w:bookmarkEnd w:id="481"/>
      <w:bookmarkEnd w:id="482"/>
      <w:r>
        <w:t xml:space="preserve"> from Wireless Operations</w:t>
      </w:r>
      <w:bookmarkEnd w:id="483"/>
      <w:bookmarkEnd w:id="484"/>
      <w:bookmarkEnd w:id="485"/>
      <w:bookmarkEnd w:id="486"/>
      <w:bookmarkEnd w:id="487"/>
      <w:bookmarkEnd w:id="488"/>
      <w:bookmarkEnd w:id="489"/>
      <w:bookmarkEnd w:id="490"/>
      <w:bookmarkEnd w:id="491"/>
      <w:bookmarkEnd w:id="492"/>
      <w:bookmarkEnd w:id="493"/>
      <w:bookmarkEnd w:id="494"/>
    </w:p>
    <w:p w14:paraId="6866BBDF" w14:textId="77777777" w:rsidR="00F92DB1" w:rsidRPr="00F92DB1" w:rsidRDefault="00243ED0" w:rsidP="00AA3CDA">
      <w:pPr>
        <w:pStyle w:val="Heading4"/>
      </w:pPr>
      <w:bookmarkStart w:id="495" w:name="_Toc396492683"/>
      <w:bookmarkStart w:id="496" w:name="_Toc396492707"/>
      <w:bookmarkStart w:id="497" w:name="_Toc396915804"/>
      <w:bookmarkStart w:id="498" w:name="_Toc396995205"/>
      <w:bookmarkStart w:id="499" w:name="_Toc396995840"/>
      <w:bookmarkStart w:id="500" w:name="_Toc397609533"/>
      <w:bookmarkStart w:id="501" w:name="_Toc397610958"/>
      <w:bookmarkStart w:id="502" w:name="_Toc397962808"/>
      <w:bookmarkStart w:id="503" w:name="_Toc398023586"/>
      <w:bookmarkStart w:id="504" w:name="_Toc398902982"/>
      <w:bookmarkStart w:id="505" w:name="_Toc398903305"/>
      <w:bookmarkStart w:id="506" w:name="_Toc398903494"/>
      <w:bookmarkStart w:id="507" w:name="_Toc398904091"/>
      <w:bookmarkStart w:id="508" w:name="_Toc398904599"/>
      <w:bookmarkStart w:id="509" w:name="_Toc401305959"/>
      <w:bookmarkStart w:id="510" w:name="_Toc401306634"/>
      <w:bookmarkStart w:id="511" w:name="_Toc401306703"/>
      <w:r>
        <w:t xml:space="preserve">Case 3:  </w:t>
      </w:r>
      <w:r w:rsidR="00F92DB1" w:rsidRPr="00F92DB1">
        <w:t>Interference from Wireless Base Stations to Television Stations Assigned to the 600 MHz Downlink Spectrum</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484244B6" w14:textId="77777777" w:rsidR="00F92DB1" w:rsidRPr="00F92DB1" w:rsidRDefault="00F92DB1" w:rsidP="00B964F6">
      <w:pPr>
        <w:pStyle w:val="ParaNum"/>
      </w:pPr>
      <w:bookmarkStart w:id="512" w:name="_Ref398030060"/>
      <w:r w:rsidRPr="00F92DB1">
        <w:t xml:space="preserve">If television stations are assigned to the 600 MHz </w:t>
      </w:r>
      <w:r w:rsidR="009C2D65">
        <w:t xml:space="preserve">Band </w:t>
      </w:r>
      <w:r w:rsidRPr="00F92DB1">
        <w:t xml:space="preserve">downlink spectrum, we propose to (1) prohibit a wireless </w:t>
      </w:r>
      <w:r w:rsidR="00EA5603">
        <w:t>licensee</w:t>
      </w:r>
      <w:r w:rsidR="00EA5603" w:rsidRPr="00F92DB1">
        <w:t xml:space="preserve"> </w:t>
      </w:r>
      <w:r w:rsidRPr="00F92DB1">
        <w:t>from operating base stations within the contour</w:t>
      </w:r>
      <w:r w:rsidRPr="00F92DB1">
        <w:rPr>
          <w:sz w:val="20"/>
          <w:vertAlign w:val="superscript"/>
        </w:rPr>
        <w:footnoteReference w:id="235"/>
      </w:r>
      <w:r w:rsidRPr="00F92DB1">
        <w:t xml:space="preserve"> of a co-channel or adjacent-channel DTV station and (2) require the wireless </w:t>
      </w:r>
      <w:r w:rsidR="00EA5603">
        <w:t>licensee</w:t>
      </w:r>
      <w:r w:rsidR="00EA5603" w:rsidRPr="00F92DB1">
        <w:t xml:space="preserve"> </w:t>
      </w:r>
      <w:r w:rsidRPr="00F92DB1">
        <w:t xml:space="preserve">to use the proposed OET-74 to predict interference to such station’s </w:t>
      </w:r>
      <w:r w:rsidR="005F5F98">
        <w:t xml:space="preserve">service </w:t>
      </w:r>
      <w:r w:rsidRPr="00F92DB1">
        <w:t>prior to deploying wireless base stations within a specified culling distance</w:t>
      </w:r>
      <w:r w:rsidRPr="00F92DB1">
        <w:rPr>
          <w:sz w:val="20"/>
          <w:vertAlign w:val="superscript"/>
        </w:rPr>
        <w:footnoteReference w:id="236"/>
      </w:r>
      <w:r w:rsidRPr="00F92DB1">
        <w:t xml:space="preserve"> of the station’s contour.  We seek comment on these proposals.  The culling distances we propose are based on the spectral overlap between wireless operations and broadcast television operations, and the power and antenna height of wireless base stations.</w:t>
      </w:r>
      <w:r w:rsidRPr="00F92DB1">
        <w:rPr>
          <w:sz w:val="20"/>
          <w:vertAlign w:val="superscript"/>
        </w:rPr>
        <w:footnoteReference w:id="237"/>
      </w:r>
      <w:r w:rsidRPr="00F92DB1">
        <w:t xml:space="preserve">  We seek comment on this proposal and the specific distances proposed in the attached OET</w:t>
      </w:r>
      <w:r w:rsidR="00B964F6">
        <w:t>-</w:t>
      </w:r>
      <w:r w:rsidRPr="00F92DB1">
        <w:t>74.</w:t>
      </w:r>
      <w:r w:rsidR="00E448ED">
        <w:t xml:space="preserve"> </w:t>
      </w:r>
      <w:r w:rsidR="009C2D65" w:rsidRPr="009C2D65">
        <w:t xml:space="preserve"> </w:t>
      </w:r>
      <w:r w:rsidR="004B677F">
        <w:t xml:space="preserve">Because there is the potential for impairments in any license that is co-channel or adjacent channel with a broadcast television station, </w:t>
      </w:r>
      <w:r w:rsidR="009C2D65" w:rsidRPr="00F92DB1">
        <w:t xml:space="preserve">we propose to apply these requirements to all wireless </w:t>
      </w:r>
      <w:r w:rsidR="00BE6E3F">
        <w:t xml:space="preserve">operations </w:t>
      </w:r>
      <w:r w:rsidR="009C2D65" w:rsidRPr="00F92DB1">
        <w:t>within the culling distance that are co-channel or adjacent channel to a broadcast television station</w:t>
      </w:r>
      <w:r w:rsidR="00E448ED">
        <w:t>,</w:t>
      </w:r>
      <w:r w:rsidR="009C2D65" w:rsidRPr="00F92DB1">
        <w:t xml:space="preserve"> regardless of whether the</w:t>
      </w:r>
      <w:r w:rsidR="00E448ED">
        <w:t xml:space="preserve"> wireless licensee’s</w:t>
      </w:r>
      <w:r w:rsidR="009C2D65" w:rsidRPr="00F92DB1">
        <w:t xml:space="preserve"> spectrum block was identified as “impaired” in the auction.</w:t>
      </w:r>
      <w:bookmarkEnd w:id="512"/>
      <w:r w:rsidR="009C2D65" w:rsidRPr="00F92DB1">
        <w:t xml:space="preserve">  </w:t>
      </w:r>
    </w:p>
    <w:p w14:paraId="3152C6C5" w14:textId="77777777" w:rsidR="00F92DB1" w:rsidRPr="00F92DB1" w:rsidRDefault="00F92DB1" w:rsidP="00B964F6">
      <w:pPr>
        <w:pStyle w:val="ParaNum"/>
      </w:pPr>
      <w:bookmarkStart w:id="513" w:name="_Ref398035040"/>
      <w:r w:rsidRPr="00F92DB1">
        <w:t xml:space="preserve">Our proposed methodology </w:t>
      </w:r>
      <w:r w:rsidR="00243ED0">
        <w:t xml:space="preserve">and input values </w:t>
      </w:r>
      <w:r w:rsidRPr="00F92DB1">
        <w:t xml:space="preserve">for predicting interference from a wireless base station into DTV service </w:t>
      </w:r>
      <w:r w:rsidR="00E448ED">
        <w:t>are</w:t>
      </w:r>
      <w:r w:rsidR="00E448ED" w:rsidRPr="00F92DB1">
        <w:t xml:space="preserve"> </w:t>
      </w:r>
      <w:r w:rsidRPr="00F92DB1">
        <w:t xml:space="preserve">set forth in detail in the proposed OET-74, attached as Appendix </w:t>
      </w:r>
      <w:r w:rsidR="00435828">
        <w:t>E</w:t>
      </w:r>
      <w:r w:rsidRPr="00F92DB1">
        <w:t xml:space="preserve">.  The OET-74 methodology is similar to the ISIX Methodology for Case 3 adopted in the companion </w:t>
      </w:r>
      <w:r w:rsidRPr="00F92DB1">
        <w:rPr>
          <w:i/>
        </w:rPr>
        <w:t>Second Report &amp; Order</w:t>
      </w:r>
      <w:r w:rsidRPr="00F92DB1">
        <w:t xml:space="preserve">, but instead of a </w:t>
      </w:r>
      <w:r w:rsidR="00B964F6">
        <w:t xml:space="preserve">placement of </w:t>
      </w:r>
      <w:r w:rsidR="00156509">
        <w:t xml:space="preserve">hypothetical </w:t>
      </w:r>
      <w:r w:rsidR="00B964F6">
        <w:t>wireless base stations and the associated technical parameters</w:t>
      </w:r>
      <w:r w:rsidRPr="00F92DB1">
        <w:t xml:space="preserve">, wireless </w:t>
      </w:r>
      <w:r w:rsidR="003754FB">
        <w:t>providers</w:t>
      </w:r>
      <w:r w:rsidR="003754FB" w:rsidRPr="00F92DB1">
        <w:t xml:space="preserve"> </w:t>
      </w:r>
      <w:r w:rsidRPr="00F92DB1">
        <w:t>would be required to use the actual technical parameters of the</w:t>
      </w:r>
      <w:r w:rsidRPr="00F92DB1">
        <w:rPr>
          <w:bCs/>
        </w:rPr>
        <w:t>ir</w:t>
      </w:r>
      <w:r w:rsidRPr="00F92DB1">
        <w:t xml:space="preserve"> base station</w:t>
      </w:r>
      <w:r w:rsidRPr="00F92DB1">
        <w:rPr>
          <w:bCs/>
        </w:rPr>
        <w:t>s</w:t>
      </w:r>
      <w:r w:rsidRPr="00F92DB1">
        <w:t>.</w:t>
      </w:r>
      <w:r w:rsidRPr="00F92DB1">
        <w:rPr>
          <w:sz w:val="20"/>
          <w:vertAlign w:val="superscript"/>
        </w:rPr>
        <w:footnoteReference w:id="238"/>
      </w:r>
      <w:r w:rsidRPr="00F92DB1">
        <w:t xml:space="preserve">  We propose to require wireless </w:t>
      </w:r>
      <w:r w:rsidR="003754FB">
        <w:t>providers</w:t>
      </w:r>
      <w:r w:rsidR="003754FB" w:rsidRPr="00F92DB1">
        <w:t xml:space="preserve"> </w:t>
      </w:r>
      <w:r w:rsidRPr="00F92DB1">
        <w:t xml:space="preserve">planning </w:t>
      </w:r>
      <w:r w:rsidR="00E91ABD">
        <w:t>co-</w:t>
      </w:r>
      <w:r w:rsidR="004A401F">
        <w:t>channel</w:t>
      </w:r>
      <w:r w:rsidR="00E91ABD">
        <w:t xml:space="preserve"> or adjacent-channel</w:t>
      </w:r>
      <w:r w:rsidRPr="00F92DB1">
        <w:t xml:space="preserve"> operat</w:t>
      </w:r>
      <w:r w:rsidR="00E91ABD">
        <w:t>ions with</w:t>
      </w:r>
      <w:r w:rsidRPr="00F92DB1">
        <w:t xml:space="preserve"> </w:t>
      </w:r>
      <w:r w:rsidR="00BE6E3F">
        <w:t xml:space="preserve">any </w:t>
      </w:r>
      <w:r w:rsidR="00E91ABD">
        <w:t>television</w:t>
      </w:r>
      <w:r w:rsidRPr="00F92DB1">
        <w:t xml:space="preserve"> stations in the 600 MHz </w:t>
      </w:r>
      <w:r w:rsidR="00BE6E3F">
        <w:t xml:space="preserve">Band </w:t>
      </w:r>
      <w:r w:rsidRPr="00F92DB1">
        <w:t xml:space="preserve">downlink spectrum to </w:t>
      </w:r>
      <w:r w:rsidR="00BE6E3F">
        <w:t xml:space="preserve">apply </w:t>
      </w:r>
      <w:r w:rsidRPr="00F92DB1">
        <w:t xml:space="preserve">the OET-74 methodology using the actual location, HAAT, ERP, and antenna pattern </w:t>
      </w:r>
      <w:r w:rsidRPr="00F92DB1">
        <w:rPr>
          <w:bCs/>
        </w:rPr>
        <w:t xml:space="preserve">and orientation of their base stations </w:t>
      </w:r>
      <w:r w:rsidRPr="00F92DB1">
        <w:t>prior to deployment of such facilities within the specified culling distance of a television station’s contour.</w:t>
      </w:r>
      <w:r w:rsidRPr="00F92DB1">
        <w:rPr>
          <w:sz w:val="20"/>
          <w:vertAlign w:val="superscript"/>
        </w:rPr>
        <w:footnoteReference w:id="239"/>
      </w:r>
      <w:r w:rsidRPr="00F92DB1">
        <w:t xml:space="preserve">  </w:t>
      </w:r>
      <w:r w:rsidR="00BE6E3F">
        <w:t xml:space="preserve">To provide </w:t>
      </w:r>
      <w:r w:rsidRPr="00F92DB1">
        <w:t xml:space="preserve">wireless </w:t>
      </w:r>
      <w:r w:rsidR="003754FB">
        <w:t>providers</w:t>
      </w:r>
      <w:r w:rsidR="003754FB" w:rsidRPr="00F92DB1">
        <w:t xml:space="preserve"> </w:t>
      </w:r>
      <w:r w:rsidR="00BE6E3F">
        <w:t>with additional flexibility</w:t>
      </w:r>
      <w:r w:rsidRPr="00F92DB1">
        <w:t xml:space="preserve">, we </w:t>
      </w:r>
      <w:r w:rsidR="00BE6E3F">
        <w:t xml:space="preserve">also </w:t>
      </w:r>
      <w:r w:rsidRPr="00F92DB1">
        <w:t xml:space="preserve">propose to allow </w:t>
      </w:r>
      <w:r w:rsidR="00BE6E3F">
        <w:t xml:space="preserve">them to elect to use </w:t>
      </w:r>
      <w:r w:rsidRPr="00F92DB1">
        <w:t xml:space="preserve">omnidirectional patterns </w:t>
      </w:r>
      <w:r w:rsidR="00156509">
        <w:t xml:space="preserve">in their analyses </w:t>
      </w:r>
      <w:r w:rsidR="00BE6E3F">
        <w:t xml:space="preserve">rather than </w:t>
      </w:r>
      <w:r w:rsidRPr="00F92DB1">
        <w:t>actual antenna patterns, either in azimuth or elevation.</w:t>
      </w:r>
      <w:r w:rsidRPr="00F92DB1">
        <w:rPr>
          <w:sz w:val="20"/>
          <w:vertAlign w:val="superscript"/>
        </w:rPr>
        <w:footnoteReference w:id="240"/>
      </w:r>
      <w:r w:rsidRPr="00F92DB1">
        <w:t xml:space="preserve">  We request comment on this proposal.</w:t>
      </w:r>
      <w:bookmarkEnd w:id="513"/>
    </w:p>
    <w:p w14:paraId="4FA04670" w14:textId="77777777" w:rsidR="00F92DB1" w:rsidRPr="00F92DB1" w:rsidRDefault="00F92DB1" w:rsidP="006A744E">
      <w:pPr>
        <w:pStyle w:val="ParaNum"/>
      </w:pPr>
      <w:bookmarkStart w:id="514" w:name="_Ref398030626"/>
      <w:r w:rsidRPr="00F92DB1">
        <w:t xml:space="preserve">We propose </w:t>
      </w:r>
      <w:r w:rsidR="0071654C">
        <w:t>to</w:t>
      </w:r>
      <w:r w:rsidR="003754FB">
        <w:t xml:space="preserve"> </w:t>
      </w:r>
      <w:r w:rsidR="00E91ABD">
        <w:t xml:space="preserve">incorporate the root sum square (RSS) method into </w:t>
      </w:r>
      <w:r w:rsidRPr="00F92DB1">
        <w:t xml:space="preserve">OET-74 </w:t>
      </w:r>
      <w:r w:rsidR="00E91ABD">
        <w:t xml:space="preserve">to </w:t>
      </w:r>
      <w:r w:rsidRPr="00F92DB1">
        <w:t xml:space="preserve">predict the potential for aggregate interference to </w:t>
      </w:r>
      <w:r w:rsidR="00E91ABD">
        <w:t>a television station</w:t>
      </w:r>
      <w:r w:rsidRPr="00F92DB1">
        <w:t xml:space="preserve"> from multiple wireless base stations.  As noted above</w:t>
      </w:r>
      <w:r w:rsidRPr="00F92DB1">
        <w:rPr>
          <w:i/>
        </w:rPr>
        <w:t>,</w:t>
      </w:r>
      <w:r w:rsidRPr="00F92DB1">
        <w:t xml:space="preserve"> broadcasters raise concerns with regard to the potential for interfering LTE signals to combine at the point of DTV signal reception, resulting in additional interference.</w:t>
      </w:r>
      <w:r w:rsidRPr="00F92DB1">
        <w:rPr>
          <w:vertAlign w:val="superscript"/>
        </w:rPr>
        <w:footnoteReference w:id="241"/>
      </w:r>
      <w:r w:rsidRPr="00F92DB1">
        <w:t xml:space="preserve">  In the </w:t>
      </w:r>
      <w:r w:rsidRPr="00F92DB1">
        <w:rPr>
          <w:i/>
        </w:rPr>
        <w:t xml:space="preserve">Second Report </w:t>
      </w:r>
      <w:r w:rsidR="00DB26FD">
        <w:rPr>
          <w:i/>
        </w:rPr>
        <w:t xml:space="preserve">&amp; </w:t>
      </w:r>
      <w:r w:rsidRPr="00F92DB1">
        <w:rPr>
          <w:i/>
        </w:rPr>
        <w:t>Order</w:t>
      </w:r>
      <w:r w:rsidRPr="00F92DB1">
        <w:t xml:space="preserve">, we </w:t>
      </w:r>
      <w:r w:rsidR="00BE6E3F">
        <w:t xml:space="preserve">declined </w:t>
      </w:r>
      <w:r w:rsidRPr="00F92DB1">
        <w:t xml:space="preserve">to </w:t>
      </w:r>
      <w:r w:rsidR="00E91ABD">
        <w:t>apply the RSS method</w:t>
      </w:r>
      <w:r w:rsidRPr="00F92DB1">
        <w:t xml:space="preserve"> </w:t>
      </w:r>
      <w:r w:rsidR="00BE6E3F">
        <w:t xml:space="preserve">during the auction </w:t>
      </w:r>
      <w:r w:rsidRPr="00F92DB1">
        <w:t xml:space="preserve">because our predictions of inter-service interference </w:t>
      </w:r>
      <w:r w:rsidR="00E91ABD">
        <w:t>will be</w:t>
      </w:r>
      <w:r w:rsidRPr="00F92DB1">
        <w:t xml:space="preserve"> based on a hypothetical network deployment.</w:t>
      </w:r>
      <w:r w:rsidRPr="00F92DB1">
        <w:rPr>
          <w:sz w:val="20"/>
          <w:vertAlign w:val="superscript"/>
        </w:rPr>
        <w:footnoteReference w:id="242"/>
      </w:r>
      <w:r w:rsidRPr="00F92DB1">
        <w:t xml:space="preserve">  </w:t>
      </w:r>
      <w:r w:rsidR="00BE6E3F">
        <w:t>In contrast, b</w:t>
      </w:r>
      <w:r w:rsidRPr="00F92DB1">
        <w:t xml:space="preserve">ecause </w:t>
      </w:r>
      <w:r w:rsidR="00BE6E3F">
        <w:t xml:space="preserve">proposed </w:t>
      </w:r>
      <w:r w:rsidR="00156509">
        <w:br/>
      </w:r>
      <w:r w:rsidRPr="00F92DB1">
        <w:t xml:space="preserve">OET-74 </w:t>
      </w:r>
      <w:r w:rsidR="00BE6E3F">
        <w:t xml:space="preserve">would be </w:t>
      </w:r>
      <w:r w:rsidRPr="00F92DB1">
        <w:t xml:space="preserve">based on real-world network deployments, we </w:t>
      </w:r>
      <w:r w:rsidR="00BE6E3F">
        <w:t>believe that its accuracy would be improved by application of RSS method</w:t>
      </w:r>
      <w:r w:rsidRPr="00F92DB1">
        <w:t xml:space="preserve">.  Accordingly, we propose </w:t>
      </w:r>
      <w:r w:rsidRPr="00F92DB1">
        <w:rPr>
          <w:bCs/>
        </w:rPr>
        <w:t>to aggregate the interfering field strength at the DTV receiver from the actual wireless base stations to be deployed post-auction</w:t>
      </w:r>
      <w:r w:rsidR="00BE6E3F">
        <w:rPr>
          <w:bCs/>
        </w:rPr>
        <w:t xml:space="preserve"> </w:t>
      </w:r>
      <w:r w:rsidRPr="00F92DB1">
        <w:rPr>
          <w:bCs/>
        </w:rPr>
        <w:t xml:space="preserve">using the </w:t>
      </w:r>
      <w:r w:rsidR="00BE6E3F">
        <w:rPr>
          <w:bCs/>
        </w:rPr>
        <w:t xml:space="preserve">RSS </w:t>
      </w:r>
      <w:r w:rsidRPr="00F92DB1">
        <w:rPr>
          <w:bCs/>
        </w:rPr>
        <w:t>method</w:t>
      </w:r>
      <w:r w:rsidRPr="00F92DB1">
        <w:t>.</w:t>
      </w:r>
      <w:r w:rsidRPr="00F92DB1">
        <w:rPr>
          <w:sz w:val="20"/>
          <w:vertAlign w:val="superscript"/>
        </w:rPr>
        <w:footnoteReference w:id="243"/>
      </w:r>
      <w:bookmarkEnd w:id="514"/>
      <w:r w:rsidRPr="00F92DB1">
        <w:t xml:space="preserve">  </w:t>
      </w:r>
    </w:p>
    <w:p w14:paraId="52BB0C7B" w14:textId="77777777" w:rsidR="00F92DB1" w:rsidRPr="00F92DB1" w:rsidRDefault="00F92DB1" w:rsidP="006A744E">
      <w:pPr>
        <w:pStyle w:val="ParaNum"/>
      </w:pPr>
      <w:r w:rsidRPr="00F92DB1">
        <w:t xml:space="preserve">We propose to </w:t>
      </w:r>
      <w:r w:rsidR="007C35DF">
        <w:t xml:space="preserve">specify </w:t>
      </w:r>
      <w:r w:rsidRPr="00F92DB1">
        <w:t xml:space="preserve">in OET-74 the same D/U and OFRratios adopted in the </w:t>
      </w:r>
      <w:r w:rsidRPr="00F92DB1">
        <w:rPr>
          <w:i/>
        </w:rPr>
        <w:t xml:space="preserve">Second Report </w:t>
      </w:r>
      <w:r w:rsidR="00DB26FD">
        <w:rPr>
          <w:i/>
        </w:rPr>
        <w:t xml:space="preserve">&amp; </w:t>
      </w:r>
      <w:r w:rsidRPr="00F92DB1">
        <w:rPr>
          <w:i/>
        </w:rPr>
        <w:t>Order</w:t>
      </w:r>
      <w:r w:rsidRPr="00F92DB1">
        <w:t xml:space="preserve"> for predicting interference from wireless base stations to DTV reception</w:t>
      </w:r>
      <w:r w:rsidR="00E91ABD">
        <w:t xml:space="preserve"> during the auction</w:t>
      </w:r>
      <w:r w:rsidRPr="00F92DB1">
        <w:t>.</w:t>
      </w:r>
      <w:r w:rsidRPr="00F92DB1">
        <w:rPr>
          <w:sz w:val="20"/>
          <w:vertAlign w:val="superscript"/>
        </w:rPr>
        <w:footnoteReference w:id="244"/>
      </w:r>
      <w:r w:rsidRPr="00F92DB1">
        <w:t xml:space="preserve">  For the reasons stated in the </w:t>
      </w:r>
      <w:r w:rsidRPr="00F92DB1">
        <w:rPr>
          <w:i/>
        </w:rPr>
        <w:t xml:space="preserve">Second Report </w:t>
      </w:r>
      <w:r w:rsidR="00DD48FB">
        <w:rPr>
          <w:i/>
        </w:rPr>
        <w:t xml:space="preserve">&amp; </w:t>
      </w:r>
      <w:r w:rsidRPr="00F92DB1">
        <w:rPr>
          <w:i/>
        </w:rPr>
        <w:t>Order</w:t>
      </w:r>
      <w:r w:rsidRPr="00F92DB1">
        <w:t xml:space="preserve">, we believe the same values adopted there are appropriate to use as the thresholds for </w:t>
      </w:r>
      <w:r w:rsidR="00E91ABD">
        <w:t>predicting interference</w:t>
      </w:r>
      <w:r w:rsidRPr="00F92DB1">
        <w:t xml:space="preserve"> in the post-auction environment.</w:t>
      </w:r>
      <w:r w:rsidR="00B964F6">
        <w:rPr>
          <w:rStyle w:val="FootnoteReference"/>
        </w:rPr>
        <w:footnoteReference w:id="245"/>
      </w:r>
      <w:r w:rsidRPr="00F92DB1">
        <w:t xml:space="preserve">  We request comment on this proposal. </w:t>
      </w:r>
    </w:p>
    <w:p w14:paraId="6CDAA3B2" w14:textId="77777777" w:rsidR="00F92DB1" w:rsidRPr="00F92DB1" w:rsidRDefault="00F92DB1" w:rsidP="006A744E">
      <w:pPr>
        <w:pStyle w:val="ParaNum"/>
      </w:pPr>
      <w:bookmarkStart w:id="515" w:name="_Ref398030514"/>
      <w:r w:rsidRPr="00F92DB1">
        <w:t>We propose</w:t>
      </w:r>
      <w:r w:rsidR="007C35DF">
        <w:t xml:space="preserve"> to require</w:t>
      </w:r>
      <w:r w:rsidRPr="00F92DB1">
        <w:t xml:space="preserve"> that </w:t>
      </w:r>
      <w:r w:rsidR="00E91ABD">
        <w:t xml:space="preserve">a </w:t>
      </w:r>
      <w:r w:rsidR="00BE6E3F">
        <w:t xml:space="preserve">600 MHz Band </w:t>
      </w:r>
      <w:r w:rsidRPr="00F92DB1">
        <w:t xml:space="preserve">wireless </w:t>
      </w:r>
      <w:r w:rsidR="00EA5603">
        <w:t>licensee</w:t>
      </w:r>
      <w:r w:rsidR="00EA5603" w:rsidRPr="00F92DB1">
        <w:t xml:space="preserve"> </w:t>
      </w:r>
      <w:r w:rsidR="007C35DF">
        <w:t xml:space="preserve">perform </w:t>
      </w:r>
      <w:r w:rsidRPr="00F92DB1">
        <w:t>an interference analysis using the methodology in OET-74 prior to deploying a base station</w:t>
      </w:r>
      <w:r w:rsidR="00E91ABD">
        <w:t xml:space="preserve"> for co-</w:t>
      </w:r>
      <w:r w:rsidR="00E93121">
        <w:t>channel</w:t>
      </w:r>
      <w:r w:rsidR="00E91ABD">
        <w:t xml:space="preserve"> or adjacent-channel operations with the </w:t>
      </w:r>
      <w:r w:rsidR="007D0FBC">
        <w:t>televisions stations within the set</w:t>
      </w:r>
      <w:r w:rsidR="00E91ABD">
        <w:t xml:space="preserve"> culling distance</w:t>
      </w:r>
      <w:r w:rsidRPr="00F92DB1">
        <w:t xml:space="preserve">.  We </w:t>
      </w:r>
      <w:r w:rsidR="00B260B3">
        <w:t xml:space="preserve">anticipate </w:t>
      </w:r>
      <w:r w:rsidRPr="00F92DB1">
        <w:t xml:space="preserve">that </w:t>
      </w:r>
      <w:r w:rsidR="00B260B3">
        <w:t xml:space="preserve">wireless </w:t>
      </w:r>
      <w:r w:rsidR="00EA5603">
        <w:t xml:space="preserve">providers </w:t>
      </w:r>
      <w:r w:rsidR="00B260B3">
        <w:t xml:space="preserve">will use their own network planning software to </w:t>
      </w:r>
      <w:r w:rsidR="007C35DF">
        <w:t>process</w:t>
      </w:r>
      <w:r w:rsidR="00B260B3">
        <w:t xml:space="preserve"> </w:t>
      </w:r>
      <w:r w:rsidRPr="00F92DB1">
        <w:t>the OET-74 studies</w:t>
      </w:r>
      <w:r w:rsidR="00B260B3">
        <w:t>,</w:t>
      </w:r>
      <w:r w:rsidRPr="00F92DB1">
        <w:t xml:space="preserve"> </w:t>
      </w:r>
      <w:r w:rsidR="00B260B3">
        <w:t xml:space="preserve">but the Commission’s </w:t>
      </w:r>
      <w:r w:rsidR="00B260B3" w:rsidRPr="00F3761A">
        <w:rPr>
          <w:i/>
        </w:rPr>
        <w:t>TVStudy</w:t>
      </w:r>
      <w:r w:rsidR="00B260B3">
        <w:t xml:space="preserve"> software would be made available for this purpose as well</w:t>
      </w:r>
      <w:r w:rsidRPr="00F92DB1">
        <w:t>.</w:t>
      </w:r>
      <w:r w:rsidRPr="00F92DB1">
        <w:rPr>
          <w:sz w:val="20"/>
          <w:vertAlign w:val="superscript"/>
        </w:rPr>
        <w:footnoteReference w:id="246"/>
      </w:r>
      <w:r w:rsidRPr="00F92DB1">
        <w:t xml:space="preserve">  </w:t>
      </w:r>
      <w:r w:rsidR="00B260B3">
        <w:t xml:space="preserve">Before deploying </w:t>
      </w:r>
      <w:r w:rsidRPr="00F92DB1">
        <w:t xml:space="preserve">a new base station or </w:t>
      </w:r>
      <w:r w:rsidR="00E91ABD">
        <w:t xml:space="preserve">making </w:t>
      </w:r>
      <w:r w:rsidRPr="00F92DB1">
        <w:t>changes to existing base stations located within the specified OET-74 culling distances</w:t>
      </w:r>
      <w:r w:rsidR="007D0FBC">
        <w:t xml:space="preserve"> for co-</w:t>
      </w:r>
      <w:r w:rsidR="00E93121">
        <w:t>channel</w:t>
      </w:r>
      <w:r w:rsidR="007D0FBC">
        <w:t xml:space="preserve"> or adjacent-channel operations with a television station</w:t>
      </w:r>
      <w:r w:rsidRPr="00F92DB1">
        <w:t xml:space="preserve">, a wireless </w:t>
      </w:r>
      <w:r w:rsidR="00EA5603">
        <w:t>licensee</w:t>
      </w:r>
      <w:r w:rsidR="00EA5603" w:rsidRPr="00F92DB1">
        <w:t xml:space="preserve"> </w:t>
      </w:r>
      <w:r w:rsidRPr="00F92DB1">
        <w:t xml:space="preserve">would have to update </w:t>
      </w:r>
      <w:r w:rsidR="00B260B3">
        <w:t xml:space="preserve">its </w:t>
      </w:r>
      <w:r w:rsidR="007C35DF">
        <w:t xml:space="preserve">interference analysis </w:t>
      </w:r>
      <w:r w:rsidRPr="00F92DB1">
        <w:t xml:space="preserve">to ensure that the RSS evaluations are up-to-date and accurate.  The wireless </w:t>
      </w:r>
      <w:r w:rsidR="00EA5603">
        <w:t>licensee</w:t>
      </w:r>
      <w:r w:rsidR="00EA5603" w:rsidRPr="00F92DB1">
        <w:t xml:space="preserve"> </w:t>
      </w:r>
      <w:r w:rsidR="00B260B3">
        <w:t xml:space="preserve">would be required to </w:t>
      </w:r>
      <w:r w:rsidRPr="00F92DB1">
        <w:t xml:space="preserve">retain the latest copy of </w:t>
      </w:r>
      <w:r w:rsidR="007C35DF">
        <w:t xml:space="preserve">its interference analysis </w:t>
      </w:r>
      <w:r w:rsidRPr="00F92DB1">
        <w:t>for each co-</w:t>
      </w:r>
      <w:r w:rsidR="00CC44D2">
        <w:t>channel</w:t>
      </w:r>
      <w:r w:rsidRPr="00F92DB1">
        <w:t xml:space="preserve"> or adjacent-channel </w:t>
      </w:r>
      <w:r w:rsidRPr="005172C0">
        <w:t>P</w:t>
      </w:r>
      <w:r w:rsidR="00B260B3" w:rsidRPr="0046433F">
        <w:t xml:space="preserve">artial </w:t>
      </w:r>
      <w:r w:rsidRPr="0046433F">
        <w:t>E</w:t>
      </w:r>
      <w:r w:rsidR="00B260B3" w:rsidRPr="0046433F">
        <w:t xml:space="preserve">conomic </w:t>
      </w:r>
      <w:r w:rsidRPr="0046433F">
        <w:t>A</w:t>
      </w:r>
      <w:r w:rsidR="00B260B3" w:rsidRPr="0046433F">
        <w:t xml:space="preserve">rea (PEA) </w:t>
      </w:r>
      <w:r w:rsidR="00CC44D2" w:rsidRPr="00F3761A">
        <w:t>license area</w:t>
      </w:r>
      <w:r w:rsidR="00CC44D2" w:rsidRPr="00F3761A">
        <w:rPr>
          <w:rStyle w:val="FootnoteReference"/>
        </w:rPr>
        <w:footnoteReference w:id="247"/>
      </w:r>
      <w:r w:rsidR="00CC44D2" w:rsidRPr="00F3761A">
        <w:t xml:space="preserve"> </w:t>
      </w:r>
      <w:r w:rsidRPr="005172C0">
        <w:t>wh</w:t>
      </w:r>
      <w:r w:rsidRPr="0046433F">
        <w:t xml:space="preserve">ere any of </w:t>
      </w:r>
      <w:r w:rsidR="007D0FBC">
        <w:t>its</w:t>
      </w:r>
      <w:r w:rsidRPr="0046433F">
        <w:t xml:space="preserve"> base stations fall within the specified OET-</w:t>
      </w:r>
      <w:r w:rsidRPr="00F92DB1">
        <w:t xml:space="preserve">74 culling distances and make </w:t>
      </w:r>
      <w:r w:rsidR="007C35DF">
        <w:t xml:space="preserve">the analysis </w:t>
      </w:r>
      <w:r w:rsidRPr="00F92DB1">
        <w:t xml:space="preserve">available </w:t>
      </w:r>
      <w:r w:rsidR="001C4464">
        <w:t xml:space="preserve">to the Commission or a </w:t>
      </w:r>
      <w:r w:rsidR="007D0FBC">
        <w:t>subject</w:t>
      </w:r>
      <w:r w:rsidR="001C4464">
        <w:t xml:space="preserve"> television station </w:t>
      </w:r>
      <w:r w:rsidRPr="00F92DB1">
        <w:t xml:space="preserve">upon request in cases where there are complaints of interference either from </w:t>
      </w:r>
      <w:r w:rsidR="007D0FBC">
        <w:t>the subject</w:t>
      </w:r>
      <w:r w:rsidRPr="00F92DB1">
        <w:t xml:space="preserve"> </w:t>
      </w:r>
      <w:r w:rsidR="001C4464">
        <w:t xml:space="preserve">television </w:t>
      </w:r>
      <w:r w:rsidRPr="00F92DB1">
        <w:t xml:space="preserve">station, a </w:t>
      </w:r>
      <w:r w:rsidR="007D0FBC">
        <w:t>station viewer</w:t>
      </w:r>
      <w:r w:rsidRPr="00F92DB1">
        <w:t xml:space="preserve"> or the Commission.  We seek comment on these proposals.</w:t>
      </w:r>
      <w:bookmarkEnd w:id="515"/>
      <w:r w:rsidR="00F4561D">
        <w:t xml:space="preserve">  </w:t>
      </w:r>
    </w:p>
    <w:p w14:paraId="1AC6DBC7" w14:textId="77777777" w:rsidR="00F92DB1" w:rsidRPr="00F92DB1" w:rsidRDefault="00806F11" w:rsidP="00AA3CDA">
      <w:pPr>
        <w:pStyle w:val="Heading4"/>
      </w:pPr>
      <w:bookmarkStart w:id="516" w:name="_Toc396492684"/>
      <w:bookmarkStart w:id="517" w:name="_Toc396492708"/>
      <w:bookmarkStart w:id="518" w:name="_Toc396915805"/>
      <w:bookmarkStart w:id="519" w:name="_Toc396995206"/>
      <w:bookmarkStart w:id="520" w:name="_Toc396995841"/>
      <w:bookmarkStart w:id="521" w:name="_Toc397609534"/>
      <w:bookmarkStart w:id="522" w:name="_Toc397610959"/>
      <w:bookmarkStart w:id="523" w:name="_Toc397962809"/>
      <w:bookmarkStart w:id="524" w:name="_Toc398023587"/>
      <w:bookmarkStart w:id="525" w:name="_Toc398902983"/>
      <w:bookmarkStart w:id="526" w:name="_Toc398903306"/>
      <w:bookmarkStart w:id="527" w:name="_Toc398903495"/>
      <w:bookmarkStart w:id="528" w:name="_Toc398904092"/>
      <w:bookmarkStart w:id="529" w:name="_Toc398904600"/>
      <w:bookmarkStart w:id="530" w:name="_Toc401305960"/>
      <w:bookmarkStart w:id="531" w:name="_Toc401306635"/>
      <w:bookmarkStart w:id="532" w:name="_Toc401306704"/>
      <w:r>
        <w:t xml:space="preserve">Case 4:  </w:t>
      </w:r>
      <w:r w:rsidR="00F92DB1" w:rsidRPr="00F92DB1">
        <w:t>Interference from Wireless User Equipment to Broadcast Television Stations Assigned to the 600 MHz Uplink Spectrum</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59EA1B5C" w14:textId="77777777" w:rsidR="003E5E98" w:rsidRPr="00F92DB1" w:rsidRDefault="00F92DB1" w:rsidP="003E5E98">
      <w:pPr>
        <w:pStyle w:val="ParaNum"/>
      </w:pPr>
      <w:bookmarkStart w:id="533" w:name="_Ref398030073"/>
      <w:r w:rsidRPr="00F92DB1">
        <w:t>If broadcast television stations are assigned to channels in the 600 MHz</w:t>
      </w:r>
      <w:r w:rsidR="00EA5603">
        <w:t xml:space="preserve"> Band</w:t>
      </w:r>
      <w:r w:rsidRPr="00F92DB1">
        <w:t xml:space="preserve"> uplink spectrum, we propose to restrict wireless user equipment</w:t>
      </w:r>
      <w:r w:rsidR="000E5C3D">
        <w:t xml:space="preserve"> (i.e. mobile and portable devices)</w:t>
      </w:r>
      <w:r w:rsidRPr="00F92DB1">
        <w:t xml:space="preserve"> operating on co-channel or adjacent-channel frequencies to areas outside the separation distances </w:t>
      </w:r>
      <w:r w:rsidR="007C35DF">
        <w:t xml:space="preserve">from the DTV station contours </w:t>
      </w:r>
      <w:r w:rsidRPr="00F92DB1">
        <w:t xml:space="preserve">adopted in the </w:t>
      </w:r>
      <w:r w:rsidRPr="00F92DB1">
        <w:rPr>
          <w:i/>
        </w:rPr>
        <w:t xml:space="preserve">Second Report </w:t>
      </w:r>
      <w:r w:rsidR="003A5013">
        <w:rPr>
          <w:i/>
        </w:rPr>
        <w:t xml:space="preserve">&amp; </w:t>
      </w:r>
      <w:r w:rsidRPr="00F92DB1">
        <w:rPr>
          <w:i/>
        </w:rPr>
        <w:t>Order</w:t>
      </w:r>
      <w:r w:rsidRPr="00F92DB1">
        <w:t>.</w:t>
      </w:r>
      <w:r w:rsidRPr="00F92DB1">
        <w:rPr>
          <w:sz w:val="20"/>
          <w:vertAlign w:val="superscript"/>
        </w:rPr>
        <w:footnoteReference w:id="248"/>
      </w:r>
      <w:r w:rsidRPr="00F92DB1">
        <w:t xml:space="preserve">  First, </w:t>
      </w:r>
      <w:r w:rsidR="00B260B3">
        <w:t xml:space="preserve">for co-channel operations, </w:t>
      </w:r>
      <w:r w:rsidRPr="00F92DB1">
        <w:t xml:space="preserve">we propose to </w:t>
      </w:r>
      <w:r w:rsidR="00B260B3">
        <w:t xml:space="preserve">not to allow </w:t>
      </w:r>
      <w:r w:rsidRPr="00F92DB1">
        <w:t xml:space="preserve">wireless </w:t>
      </w:r>
      <w:r w:rsidR="00B260B3">
        <w:t xml:space="preserve">user equipment </w:t>
      </w:r>
      <w:r w:rsidRPr="00F92DB1">
        <w:t xml:space="preserve">to </w:t>
      </w:r>
      <w:r w:rsidR="00B260B3">
        <w:t xml:space="preserve">operate </w:t>
      </w:r>
      <w:r w:rsidR="00806F11">
        <w:t>with</w:t>
      </w:r>
      <w:r w:rsidR="00B260B3">
        <w:t xml:space="preserve">in the television station’s contour and </w:t>
      </w:r>
      <w:r w:rsidRPr="00F92DB1">
        <w:t xml:space="preserve">within five kilometers of </w:t>
      </w:r>
      <w:r w:rsidR="00B260B3">
        <w:t xml:space="preserve">that </w:t>
      </w:r>
      <w:r w:rsidRPr="00F92DB1">
        <w:t xml:space="preserve">contour.  Second, </w:t>
      </w:r>
      <w:r w:rsidR="00B260B3">
        <w:t xml:space="preserve">for adjacent channel operations, </w:t>
      </w:r>
      <w:r w:rsidRPr="00F92DB1">
        <w:t xml:space="preserve">we propose to </w:t>
      </w:r>
      <w:r w:rsidR="00B260B3">
        <w:t xml:space="preserve">restrict user equipment operation within the contour of the television station and </w:t>
      </w:r>
      <w:r w:rsidRPr="00F92DB1">
        <w:t xml:space="preserve">within one-half kilometer of </w:t>
      </w:r>
      <w:r w:rsidR="00B260B3">
        <w:t xml:space="preserve">that </w:t>
      </w:r>
      <w:r w:rsidRPr="00F92DB1">
        <w:t xml:space="preserve">contour.  We propose to limit </w:t>
      </w:r>
      <w:r w:rsidRPr="005172C0">
        <w:t xml:space="preserve">the </w:t>
      </w:r>
      <w:r w:rsidR="003A5013">
        <w:t>one-</w:t>
      </w:r>
      <w:r w:rsidR="007148A9" w:rsidRPr="00F3761A">
        <w:t xml:space="preserve">half kilometer </w:t>
      </w:r>
      <w:r w:rsidRPr="005172C0">
        <w:t>restriction</w:t>
      </w:r>
      <w:r w:rsidRPr="00F92DB1">
        <w:t xml:space="preserve"> to the first-adjacent channel; thus, wireless </w:t>
      </w:r>
      <w:r w:rsidR="00B260B3">
        <w:t xml:space="preserve">user equipment could be operated anywhere within the contour of a broadcast television station if there is a frequency separation </w:t>
      </w:r>
      <w:r w:rsidRPr="00F92DB1">
        <w:t xml:space="preserve">of </w:t>
      </w:r>
      <w:r w:rsidR="008374D8">
        <w:t>six</w:t>
      </w:r>
      <w:r w:rsidR="008374D8" w:rsidRPr="00F92DB1">
        <w:t xml:space="preserve"> </w:t>
      </w:r>
      <w:r w:rsidR="00EA5603">
        <w:t>megahertz</w:t>
      </w:r>
      <w:r w:rsidR="00EA5603" w:rsidRPr="00F92DB1">
        <w:t xml:space="preserve"> </w:t>
      </w:r>
      <w:r w:rsidRPr="00F92DB1">
        <w:t>or more between the</w:t>
      </w:r>
      <w:r w:rsidR="00E018EC">
        <w:t xml:space="preserve"> wireless spectrum</w:t>
      </w:r>
      <w:r w:rsidRPr="00F92DB1">
        <w:t xml:space="preserve"> block edge and a TV channel edge.  We seek comment on the above proposals for protecting DTV service from</w:t>
      </w:r>
      <w:r w:rsidR="00EA5603">
        <w:t xml:space="preserve"> harmful</w:t>
      </w:r>
      <w:r w:rsidRPr="00F92DB1">
        <w:t xml:space="preserve"> interference caused by wireless user equipment.</w:t>
      </w:r>
      <w:r w:rsidR="00FE238A">
        <w:t xml:space="preserve">  Wireless providers may meet the distance requirements by limiting their coverage area to areas that are at least </w:t>
      </w:r>
      <w:r w:rsidR="008374D8">
        <w:t xml:space="preserve">five </w:t>
      </w:r>
      <w:r w:rsidR="00FE238A">
        <w:t xml:space="preserve">kilometers if co-channel with a broadcast television station or </w:t>
      </w:r>
      <w:r w:rsidR="003A5013">
        <w:t>one-</w:t>
      </w:r>
      <w:r w:rsidR="00FE238A">
        <w:t>half kilometer if they are adjacent channel outside the noise-limited or protected contours of the broadcast television station.</w:t>
      </w:r>
      <w:r w:rsidRPr="00F92DB1">
        <w:t xml:space="preserve">     </w:t>
      </w:r>
      <w:r w:rsidR="003E5E98">
        <w:t>Interested parties are also invited to submit suggestions for alternative approaches for providing protection to broadcast television service that would rely on methods other than pre-calculated separation distances.  Parties submitting such approaches should include technical analyses and information describing how their suggested method would adequately protect broadcast television services.</w:t>
      </w:r>
      <w:bookmarkEnd w:id="533"/>
    </w:p>
    <w:p w14:paraId="05288FDD" w14:textId="77777777" w:rsidR="00F92DB1" w:rsidRPr="00F92DB1" w:rsidRDefault="00806F11" w:rsidP="00D456DA">
      <w:pPr>
        <w:pStyle w:val="Heading3"/>
      </w:pPr>
      <w:bookmarkStart w:id="534" w:name="_Toc396492685"/>
      <w:bookmarkStart w:id="535" w:name="_Toc396492709"/>
      <w:bookmarkStart w:id="536" w:name="_Toc396915806"/>
      <w:bookmarkStart w:id="537" w:name="_Toc396995207"/>
      <w:bookmarkStart w:id="538" w:name="_Toc396995842"/>
      <w:bookmarkStart w:id="539" w:name="_Toc397609535"/>
      <w:bookmarkStart w:id="540" w:name="_Toc397610960"/>
      <w:bookmarkStart w:id="541" w:name="_Toc397962810"/>
      <w:bookmarkStart w:id="542" w:name="_Toc398023588"/>
      <w:bookmarkStart w:id="543" w:name="_Toc398902984"/>
      <w:bookmarkStart w:id="544" w:name="_Toc398903307"/>
      <w:bookmarkStart w:id="545" w:name="_Toc398903496"/>
      <w:bookmarkStart w:id="546" w:name="_Toc398904093"/>
      <w:bookmarkStart w:id="547" w:name="_Toc398904601"/>
      <w:bookmarkStart w:id="548" w:name="_Toc401305961"/>
      <w:bookmarkStart w:id="549" w:name="_Toc401306636"/>
      <w:bookmarkStart w:id="550" w:name="_Toc401306705"/>
      <w:r>
        <w:t xml:space="preserve">Proposed </w:t>
      </w:r>
      <w:r w:rsidR="00F92DB1" w:rsidRPr="00F92DB1">
        <w:t>Obligation of Wireless Licensee</w:t>
      </w:r>
      <w:r>
        <w:t>s</w:t>
      </w:r>
      <w:r w:rsidR="00F92DB1" w:rsidRPr="00F92DB1">
        <w:t xml:space="preserve"> to Eliminate </w:t>
      </w:r>
      <w:r>
        <w:t>Actual</w:t>
      </w:r>
      <w:r w:rsidR="00F92DB1" w:rsidRPr="00F92DB1">
        <w:t xml:space="preserve"> Interference to </w:t>
      </w:r>
      <w:r>
        <w:t>Television Stations</w:t>
      </w:r>
      <w:r w:rsidR="00F92DB1" w:rsidRPr="00F92DB1">
        <w:t xml:space="preserve"> in the 600 MHz Band</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0023B2EF" w14:textId="77777777" w:rsidR="00A31E2B" w:rsidRDefault="00F92DB1" w:rsidP="00914863">
      <w:pPr>
        <w:pStyle w:val="ParaNum"/>
      </w:pPr>
      <w:r w:rsidRPr="00F92DB1">
        <w:t xml:space="preserve">While we propose </w:t>
      </w:r>
      <w:r w:rsidR="00A31E2B">
        <w:t xml:space="preserve">to use a predictive model to prevent </w:t>
      </w:r>
      <w:r w:rsidR="00806F11">
        <w:t>inter-service</w:t>
      </w:r>
      <w:r w:rsidRPr="00F92DB1">
        <w:t xml:space="preserve"> interference </w:t>
      </w:r>
      <w:r w:rsidR="00806F11">
        <w:t xml:space="preserve">to television stations </w:t>
      </w:r>
      <w:r w:rsidRPr="00F92DB1">
        <w:t xml:space="preserve">based on </w:t>
      </w:r>
      <w:r w:rsidR="00806F11">
        <w:t xml:space="preserve">wireless base station </w:t>
      </w:r>
      <w:r w:rsidRPr="00F92DB1">
        <w:t xml:space="preserve">deployments, we </w:t>
      </w:r>
      <w:r w:rsidR="00877552">
        <w:t xml:space="preserve">also </w:t>
      </w:r>
      <w:r w:rsidRPr="00F92DB1">
        <w:t xml:space="preserve">propose to require a wireless licensee to eliminate any actual harmful interference to television service in the 600 MHz Band, even if no harmful interference is predicted.  This </w:t>
      </w:r>
      <w:r w:rsidR="00806F11">
        <w:t xml:space="preserve">proposed </w:t>
      </w:r>
      <w:r w:rsidRPr="00F92DB1">
        <w:t xml:space="preserve">requirement will ensure that television stations assigned to the 600 MHz Band are not detrimentally affected by being co-channel or adjacent channel to wireless operations. </w:t>
      </w:r>
    </w:p>
    <w:p w14:paraId="74941D4A" w14:textId="77777777" w:rsidR="00F92DB1" w:rsidRPr="00F92DB1" w:rsidRDefault="00F92DB1" w:rsidP="00914863">
      <w:pPr>
        <w:pStyle w:val="ParaNum"/>
      </w:pPr>
      <w:r w:rsidRPr="00F92DB1">
        <w:t xml:space="preserve"> </w:t>
      </w:r>
      <w:r w:rsidR="00A31E2B">
        <w:t xml:space="preserve">If a television station operating in the 600 MHz Band experiences harmful interference, we propose that the television station </w:t>
      </w:r>
      <w:r w:rsidR="00806F11">
        <w:t xml:space="preserve">be required to </w:t>
      </w:r>
      <w:r w:rsidR="00A31E2B">
        <w:t>contact the co-channel or adjacent</w:t>
      </w:r>
      <w:r w:rsidR="00806F11">
        <w:t>-</w:t>
      </w:r>
      <w:r w:rsidR="00A31E2B">
        <w:t xml:space="preserve">channel wireless </w:t>
      </w:r>
      <w:r w:rsidR="00EA5603">
        <w:t xml:space="preserve">provider </w:t>
      </w:r>
      <w:r w:rsidR="00A31E2B">
        <w:t xml:space="preserve">thought to be causing the interference to resolve the issue.  </w:t>
      </w:r>
      <w:r w:rsidR="00806F11">
        <w:t xml:space="preserve">In the event of such contact, we propose to require that </w:t>
      </w:r>
      <w:r w:rsidR="00A31E2B">
        <w:t xml:space="preserve">the wireless </w:t>
      </w:r>
      <w:r w:rsidR="00EA5603">
        <w:t xml:space="preserve">licensee </w:t>
      </w:r>
      <w:r w:rsidR="00A31E2B">
        <w:t xml:space="preserve">provide the television station with the results of </w:t>
      </w:r>
      <w:r w:rsidR="00806F11">
        <w:t>its</w:t>
      </w:r>
      <w:r w:rsidR="00A31E2B">
        <w:t xml:space="preserve"> OET</w:t>
      </w:r>
      <w:r w:rsidR="00806F11">
        <w:t>-</w:t>
      </w:r>
      <w:r w:rsidR="00A31E2B">
        <w:t xml:space="preserve">74 analysis demonstrating that no harmful interference was predicted to occur in the specific geographic area at issue.  </w:t>
      </w:r>
      <w:r w:rsidR="00E44A5C">
        <w:t xml:space="preserve"> In the event that the parties do not reach resolution, they can submit a claim of harmful interference to the Commission.  </w:t>
      </w:r>
      <w:r w:rsidRPr="00F92DB1">
        <w:t xml:space="preserve">We seek comment on </w:t>
      </w:r>
      <w:r w:rsidR="00A31E2B">
        <w:t xml:space="preserve">these </w:t>
      </w:r>
      <w:r w:rsidRPr="00F92DB1">
        <w:t>proposal</w:t>
      </w:r>
      <w:r w:rsidR="00A31E2B">
        <w:t>s</w:t>
      </w:r>
      <w:r w:rsidRPr="00F92DB1">
        <w:t xml:space="preserve">.  </w:t>
      </w:r>
    </w:p>
    <w:p w14:paraId="71348F00" w14:textId="77777777" w:rsidR="00A624EC" w:rsidRPr="00BE25AE" w:rsidRDefault="006E5F69" w:rsidP="00D50682">
      <w:pPr>
        <w:pStyle w:val="Heading2"/>
      </w:pPr>
      <w:bookmarkStart w:id="551" w:name="_Toc397609536"/>
      <w:bookmarkStart w:id="552" w:name="_Toc397610961"/>
      <w:bookmarkStart w:id="553" w:name="_Toc397962811"/>
      <w:bookmarkStart w:id="554" w:name="_Toc398023589"/>
      <w:bookmarkStart w:id="555" w:name="_Toc398902985"/>
      <w:bookmarkStart w:id="556" w:name="_Toc398903308"/>
      <w:bookmarkStart w:id="557" w:name="_Toc398903497"/>
      <w:bookmarkStart w:id="558" w:name="_Toc398904094"/>
      <w:bookmarkStart w:id="559" w:name="_Toc398904602"/>
      <w:bookmarkStart w:id="560" w:name="_Toc401305962"/>
      <w:bookmarkStart w:id="561" w:name="_Toc401306637"/>
      <w:bookmarkStart w:id="562" w:name="_Toc401306706"/>
      <w:bookmarkStart w:id="563" w:name="_Toc396492686"/>
      <w:bookmarkStart w:id="564" w:name="_Toc396492710"/>
      <w:bookmarkStart w:id="565" w:name="_Toc396915807"/>
      <w:bookmarkStart w:id="566" w:name="_Toc396995208"/>
      <w:bookmarkStart w:id="567" w:name="_Toc396995843"/>
      <w:r>
        <w:rPr>
          <w:rFonts w:eastAsiaTheme="minorHAnsi"/>
        </w:rPr>
        <w:t>Proposed Procedures to Prevent Inter-Service Interference</w:t>
      </w:r>
      <w:bookmarkEnd w:id="551"/>
      <w:bookmarkEnd w:id="552"/>
      <w:bookmarkEnd w:id="553"/>
      <w:bookmarkEnd w:id="554"/>
      <w:bookmarkEnd w:id="555"/>
      <w:bookmarkEnd w:id="556"/>
      <w:bookmarkEnd w:id="557"/>
      <w:bookmarkEnd w:id="558"/>
      <w:bookmarkEnd w:id="559"/>
      <w:bookmarkEnd w:id="560"/>
      <w:bookmarkEnd w:id="561"/>
      <w:bookmarkEnd w:id="562"/>
    </w:p>
    <w:p w14:paraId="085EE99D" w14:textId="77777777" w:rsidR="00F92DB1" w:rsidRPr="00F92DB1" w:rsidRDefault="00F92DB1">
      <w:pPr>
        <w:pStyle w:val="Heading3"/>
      </w:pPr>
      <w:bookmarkStart w:id="568" w:name="_Toc397609537"/>
      <w:bookmarkStart w:id="569" w:name="_Toc397610962"/>
      <w:bookmarkStart w:id="570" w:name="_Toc397962812"/>
      <w:bookmarkStart w:id="571" w:name="_Toc398023590"/>
      <w:bookmarkStart w:id="572" w:name="_Toc398902986"/>
      <w:bookmarkStart w:id="573" w:name="_Toc398903309"/>
      <w:bookmarkStart w:id="574" w:name="_Toc398903498"/>
      <w:bookmarkStart w:id="575" w:name="_Toc398904095"/>
      <w:bookmarkStart w:id="576" w:name="_Toc398904603"/>
      <w:bookmarkStart w:id="577" w:name="_Toc401305963"/>
      <w:bookmarkStart w:id="578" w:name="_Toc401306638"/>
      <w:bookmarkStart w:id="579" w:name="_Toc401306707"/>
      <w:r w:rsidRPr="00F92DB1">
        <w:t>General Wireless Licensee Obligations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3C34F431" w14:textId="77777777" w:rsidR="00F92DB1" w:rsidRPr="00F92DB1" w:rsidRDefault="00F92DB1" w:rsidP="00914863">
      <w:pPr>
        <w:pStyle w:val="ParaNum"/>
      </w:pPr>
      <w:r w:rsidRPr="00F92DB1">
        <w:t xml:space="preserve">Given the proposed rules </w:t>
      </w:r>
      <w:r w:rsidR="006E5F69">
        <w:t xml:space="preserve">set forth above, </w:t>
      </w:r>
      <w:r w:rsidRPr="00F92DB1">
        <w:t xml:space="preserve">we </w:t>
      </w:r>
      <w:r w:rsidR="009C5F73">
        <w:t xml:space="preserve">seek comment </w:t>
      </w:r>
      <w:r w:rsidRPr="00F92DB1">
        <w:t xml:space="preserve">on </w:t>
      </w:r>
      <w:r w:rsidR="006E5F69">
        <w:t xml:space="preserve">appropriate </w:t>
      </w:r>
      <w:r w:rsidRPr="00F92DB1">
        <w:t xml:space="preserve">wireless licensee obligations, both with respect to technical requirements and service rules.  </w:t>
      </w:r>
      <w:r w:rsidR="006E5F69">
        <w:t xml:space="preserve">Specifically, consistent with the guidance set forth in the </w:t>
      </w:r>
      <w:r w:rsidR="006E5F69">
        <w:rPr>
          <w:i/>
        </w:rPr>
        <w:t>Incentive Auction R&amp;O</w:t>
      </w:r>
      <w:r w:rsidR="006E5F69">
        <w:t>, w</w:t>
      </w:r>
      <w:r w:rsidR="009C5F73">
        <w:t>e propose that a</w:t>
      </w:r>
      <w:r w:rsidRPr="00F92DB1">
        <w:t xml:space="preserve"> 600 MHz Band licensee will hold a license for its entire PEA service area,</w:t>
      </w:r>
      <w:r w:rsidR="00F07005">
        <w:rPr>
          <w:rStyle w:val="FootnoteReference"/>
        </w:rPr>
        <w:footnoteReference w:id="249"/>
      </w:r>
      <w:r w:rsidRPr="00F92DB1">
        <w:t xml:space="preserve"> but operations will be limited to the portions of the license where the licensee will not cause harmful interference to </w:t>
      </w:r>
      <w:r w:rsidR="009C5F73">
        <w:t>b</w:t>
      </w:r>
      <w:r w:rsidRPr="00F92DB1">
        <w:t xml:space="preserve">roadcast </w:t>
      </w:r>
      <w:r w:rsidR="009C5F73">
        <w:t>t</w:t>
      </w:r>
      <w:r w:rsidRPr="00F92DB1">
        <w:t>elevision stations assigned to the 600 MHz Band.</w:t>
      </w:r>
      <w:r w:rsidRPr="00F92DB1">
        <w:rPr>
          <w:sz w:val="20"/>
          <w:vertAlign w:val="superscript"/>
        </w:rPr>
        <w:footnoteReference w:id="250"/>
      </w:r>
      <w:r w:rsidRPr="00F92DB1">
        <w:t xml:space="preserve">  </w:t>
      </w:r>
      <w:r w:rsidR="009C5F73">
        <w:t>Under this proposal</w:t>
      </w:r>
      <w:r w:rsidRPr="00F92DB1">
        <w:t xml:space="preserve">, a </w:t>
      </w:r>
      <w:r w:rsidR="007C35DF">
        <w:t xml:space="preserve">wireless </w:t>
      </w:r>
      <w:r w:rsidRPr="00F92DB1">
        <w:t>licensee will be allowed to operate base stations at the power and out-of-band emission (OOBE) limits authorized by our technical rules only within the areas where it can demonstrate</w:t>
      </w:r>
      <w:r w:rsidR="009C5F73">
        <w:t xml:space="preserve"> using the </w:t>
      </w:r>
      <w:r w:rsidR="006E5F69">
        <w:t>proposed OET-74 methodology and inputs</w:t>
      </w:r>
      <w:r w:rsidRPr="00F92DB1">
        <w:t xml:space="preserve"> that it will not cause harmful interference to</w:t>
      </w:r>
      <w:r w:rsidR="006E5F69">
        <w:t xml:space="preserve"> a television station</w:t>
      </w:r>
      <w:r w:rsidRPr="00F92DB1">
        <w:t>, even if the actual boundaries of the license area extend further (i.e., it may not operate in “restricted” areas).</w:t>
      </w:r>
      <w:r w:rsidRPr="00F92DB1">
        <w:rPr>
          <w:sz w:val="20"/>
          <w:vertAlign w:val="superscript"/>
        </w:rPr>
        <w:footnoteReference w:id="251"/>
      </w:r>
      <w:r w:rsidRPr="00F92DB1">
        <w:t xml:space="preserve">  </w:t>
      </w:r>
      <w:r w:rsidR="00A624EC">
        <w:t xml:space="preserve">As we stated in the </w:t>
      </w:r>
      <w:r w:rsidR="00A624EC">
        <w:rPr>
          <w:i/>
        </w:rPr>
        <w:t>Incentive Auction R&amp;</w:t>
      </w:r>
      <w:r w:rsidR="00A624EC" w:rsidRPr="00A624EC">
        <w:rPr>
          <w:i/>
        </w:rPr>
        <w:t>O</w:t>
      </w:r>
      <w:r w:rsidR="00A624EC">
        <w:t>, n</w:t>
      </w:r>
      <w:r w:rsidRPr="00A624EC">
        <w:t>othing</w:t>
      </w:r>
      <w:r w:rsidRPr="00F92DB1">
        <w:t xml:space="preserve"> in our rules prevents a wireless provider from operating in a part of </w:t>
      </w:r>
      <w:r w:rsidR="00A624EC">
        <w:t>its</w:t>
      </w:r>
      <w:r w:rsidRPr="00F92DB1">
        <w:t xml:space="preserve"> service area in which </w:t>
      </w:r>
      <w:r w:rsidR="00A624EC">
        <w:t>it</w:t>
      </w:r>
      <w:r w:rsidRPr="00F92DB1">
        <w:t xml:space="preserve"> may </w:t>
      </w:r>
      <w:r w:rsidRPr="00F92DB1">
        <w:rPr>
          <w:i/>
        </w:rPr>
        <w:t>receive</w:t>
      </w:r>
      <w:r w:rsidRPr="00F92DB1">
        <w:t xml:space="preserve"> interference from broadcast operations (i.e., in </w:t>
      </w:r>
      <w:r w:rsidR="007C35DF">
        <w:t xml:space="preserve">an </w:t>
      </w:r>
      <w:r w:rsidRPr="00F92DB1">
        <w:t>“infringed” area).</w:t>
      </w:r>
      <w:r w:rsidRPr="00F92DB1">
        <w:rPr>
          <w:sz w:val="20"/>
          <w:vertAlign w:val="superscript"/>
        </w:rPr>
        <w:footnoteReference w:id="252"/>
      </w:r>
      <w:r w:rsidRPr="00F92DB1">
        <w:t xml:space="preserve">  We seek comment on the obligations of </w:t>
      </w:r>
      <w:r w:rsidR="00A624EC">
        <w:t xml:space="preserve">600 MHz Band </w:t>
      </w:r>
      <w:r w:rsidRPr="00F92DB1">
        <w:t xml:space="preserve">wireless </w:t>
      </w:r>
      <w:r w:rsidR="00B05890" w:rsidRPr="00F92DB1">
        <w:t>licensees</w:t>
      </w:r>
      <w:r w:rsidR="00B05890">
        <w:t xml:space="preserve"> in operating in areas of their PEAs with impairments.</w:t>
      </w:r>
      <w:r w:rsidRPr="00F92DB1">
        <w:t xml:space="preserve"> </w:t>
      </w:r>
    </w:p>
    <w:p w14:paraId="5688D291" w14:textId="77777777" w:rsidR="00F92DB1" w:rsidRDefault="00F92DB1" w:rsidP="007A7E8D">
      <w:pPr>
        <w:pStyle w:val="ParaNum"/>
        <w:keepNext/>
        <w:widowControl/>
      </w:pPr>
      <w:r w:rsidRPr="00F92DB1">
        <w:t xml:space="preserve">As discussed in the </w:t>
      </w:r>
      <w:r w:rsidRPr="00F92DB1">
        <w:rPr>
          <w:i/>
        </w:rPr>
        <w:t>Incentive Auction R&amp;O</w:t>
      </w:r>
      <w:r w:rsidRPr="00F92DB1">
        <w:t xml:space="preserve">, </w:t>
      </w:r>
      <w:r w:rsidR="00A624EC">
        <w:t>600 MHz Band wireless</w:t>
      </w:r>
      <w:r w:rsidRPr="00F92DB1" w:rsidDel="00D04BE4">
        <w:t xml:space="preserve"> </w:t>
      </w:r>
      <w:r w:rsidRPr="00F92DB1">
        <w:t>licensees will be required to meet the 600 MHz Band interim and final build-out requirements, except that they may show they are unable to operate in areas where they may cause harmful interference to the broadcast television stations that remain in the 600 MHz Band due to market variation.  The areas where a wireless licensee may operate without causing harmful interference are the “permitted boundaries” of a license area.</w:t>
      </w:r>
      <w:r w:rsidRPr="00F92DB1">
        <w:rPr>
          <w:sz w:val="20"/>
          <w:vertAlign w:val="superscript"/>
        </w:rPr>
        <w:footnoteReference w:id="253"/>
      </w:r>
      <w:r w:rsidRPr="00F92DB1">
        <w:t xml:space="preserve">  If a licensee is not able to serve its entire license area, when it files its construction notification within 15 days of the relevant milestone certifying that it has met the applicable performance benchmark within its permitted boundaries,</w:t>
      </w:r>
      <w:r w:rsidRPr="00F92DB1">
        <w:rPr>
          <w:sz w:val="20"/>
          <w:vertAlign w:val="superscript"/>
        </w:rPr>
        <w:footnoteReference w:id="254"/>
      </w:r>
      <w:r w:rsidRPr="00F92DB1">
        <w:t xml:space="preserve"> the licensee must demonstrate why certain areas are excluded from its service area due to impairments.</w:t>
      </w:r>
      <w:r w:rsidRPr="00F92DB1">
        <w:rPr>
          <w:sz w:val="20"/>
          <w:vertAlign w:val="superscript"/>
        </w:rPr>
        <w:footnoteReference w:id="255"/>
      </w:r>
      <w:r w:rsidRPr="00F92DB1">
        <w:t xml:space="preserve">  We propose</w:t>
      </w:r>
      <w:r w:rsidR="007C35DF">
        <w:t xml:space="preserve"> to require</w:t>
      </w:r>
      <w:r w:rsidRPr="00F92DB1">
        <w:t xml:space="preserve"> that wireless licensees use the ISIX Methodology we adopted in the </w:t>
      </w:r>
      <w:r w:rsidRPr="00F92DB1">
        <w:rPr>
          <w:i/>
        </w:rPr>
        <w:t xml:space="preserve">Second Report </w:t>
      </w:r>
      <w:r w:rsidR="003A5013">
        <w:rPr>
          <w:i/>
        </w:rPr>
        <w:t>&amp;</w:t>
      </w:r>
      <w:r w:rsidR="003A5013" w:rsidRPr="00F92DB1">
        <w:rPr>
          <w:i/>
        </w:rPr>
        <w:t xml:space="preserve"> </w:t>
      </w:r>
      <w:r w:rsidRPr="00F92DB1">
        <w:rPr>
          <w:i/>
        </w:rPr>
        <w:t>Order</w:t>
      </w:r>
      <w:r w:rsidRPr="00F92DB1">
        <w:t xml:space="preserve"> for prediction of interference in Cases 1, 2 and 4 and the methodology in proposed OET Bulletin 74 for Case 3 to demonstrate they cannot serve their entire PEA service area, among other evidence.</w:t>
      </w:r>
      <w:r w:rsidRPr="00F92DB1">
        <w:rPr>
          <w:sz w:val="20"/>
          <w:vertAlign w:val="superscript"/>
        </w:rPr>
        <w:footnoteReference w:id="256"/>
      </w:r>
      <w:r w:rsidRPr="00F92DB1">
        <w:t xml:space="preserve">  Further, as discussed in the </w:t>
      </w:r>
      <w:r w:rsidRPr="00F92DB1">
        <w:rPr>
          <w:i/>
        </w:rPr>
        <w:t>Incentive Auction</w:t>
      </w:r>
      <w:r w:rsidRPr="00F92DB1">
        <w:t xml:space="preserve"> </w:t>
      </w:r>
      <w:r w:rsidRPr="00F92DB1">
        <w:rPr>
          <w:i/>
        </w:rPr>
        <w:t>R&amp;O</w:t>
      </w:r>
      <w:r w:rsidRPr="00F92DB1">
        <w:t>, if the impairing television station ceases to operate, the wireless licensee will be permitted to use the entire license area, and will be obligated to serve the area that was previously restricted in demonstrating that it has met its buildout requirements.</w:t>
      </w:r>
      <w:r w:rsidRPr="00F92DB1">
        <w:rPr>
          <w:sz w:val="20"/>
          <w:vertAlign w:val="superscript"/>
        </w:rPr>
        <w:footnoteReference w:id="257"/>
      </w:r>
    </w:p>
    <w:p w14:paraId="5A02EB8D" w14:textId="77777777" w:rsidR="009C5F73" w:rsidRPr="00F92DB1" w:rsidRDefault="009C5F73" w:rsidP="00914863">
      <w:pPr>
        <w:pStyle w:val="ParaNum"/>
      </w:pPr>
      <w:r>
        <w:t>Additionally, we seek comment on any additional</w:t>
      </w:r>
      <w:r w:rsidR="00A624EC">
        <w:t xml:space="preserve"> or modified</w:t>
      </w:r>
      <w:r>
        <w:t xml:space="preserve"> service rules </w:t>
      </w:r>
      <w:r w:rsidR="00A624EC">
        <w:t xml:space="preserve">that should be applied </w:t>
      </w:r>
      <w:r>
        <w:t>to 600 MHz Band licensees to a</w:t>
      </w:r>
      <w:r w:rsidR="00A624EC">
        <w:t>ddress</w:t>
      </w:r>
      <w:r>
        <w:t xml:space="preserve"> </w:t>
      </w:r>
      <w:r w:rsidR="00A624EC">
        <w:t>the potential for inter-service interference</w:t>
      </w:r>
      <w:r>
        <w:t xml:space="preserve">. </w:t>
      </w:r>
    </w:p>
    <w:p w14:paraId="3D13691F" w14:textId="77777777" w:rsidR="00BB0F2B" w:rsidRDefault="00A624EC" w:rsidP="00BE25AE">
      <w:pPr>
        <w:pStyle w:val="Heading3"/>
      </w:pPr>
      <w:bookmarkStart w:id="580" w:name="_Toc396915810"/>
      <w:bookmarkStart w:id="581" w:name="_Toc396995211"/>
      <w:bookmarkStart w:id="582" w:name="_Toc396995844"/>
      <w:bookmarkStart w:id="583" w:name="_Toc397609538"/>
      <w:bookmarkStart w:id="584" w:name="_Toc397610963"/>
      <w:bookmarkStart w:id="585" w:name="_Toc397962813"/>
      <w:bookmarkStart w:id="586" w:name="_Toc398023591"/>
      <w:bookmarkStart w:id="587" w:name="_Toc398902987"/>
      <w:bookmarkStart w:id="588" w:name="_Toc398903310"/>
      <w:bookmarkStart w:id="589" w:name="_Toc398903499"/>
      <w:bookmarkStart w:id="590" w:name="_Toc398904096"/>
      <w:bookmarkStart w:id="591" w:name="_Toc398904604"/>
      <w:bookmarkStart w:id="592" w:name="_Toc401305964"/>
      <w:bookmarkStart w:id="593" w:name="_Toc401306639"/>
      <w:bookmarkStart w:id="594" w:name="_Toc401306708"/>
      <w:bookmarkStart w:id="595" w:name="_Toc396492687"/>
      <w:bookmarkStart w:id="596" w:name="_Toc396492711"/>
      <w:r>
        <w:t>Broadcaster</w:t>
      </w:r>
      <w:r w:rsidRPr="00F92DB1">
        <w:t>s</w:t>
      </w:r>
      <w:r>
        <w:t xml:space="preserve"> in the 600 MHz Band</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2CB4AF7E" w14:textId="77777777" w:rsidR="00BB0F2B" w:rsidRPr="00AA3CDA" w:rsidRDefault="00A624EC" w:rsidP="00914863">
      <w:pPr>
        <w:pStyle w:val="ParaNum"/>
      </w:pPr>
      <w:r>
        <w:t>Consistent with the guidance</w:t>
      </w:r>
      <w:r w:rsidR="00BB0F2B" w:rsidRPr="00F92DB1">
        <w:t xml:space="preserve"> in the </w:t>
      </w:r>
      <w:r w:rsidR="00BB0F2B" w:rsidRPr="00E5334D">
        <w:rPr>
          <w:i/>
        </w:rPr>
        <w:t>Incentive Auction R&amp;O</w:t>
      </w:r>
      <w:r w:rsidR="00BB0F2B" w:rsidRPr="00F92DB1">
        <w:t xml:space="preserve">, </w:t>
      </w:r>
      <w:r>
        <w:t xml:space="preserve">we propose not to permit </w:t>
      </w:r>
      <w:r w:rsidR="00BB0F2B" w:rsidRPr="00F92DB1">
        <w:t xml:space="preserve">broadcast licensees who operate in the 600 MHz Band to expand their </w:t>
      </w:r>
      <w:r w:rsidR="00BB0F2B">
        <w:t>noise-limited or protected contours if doing so would increase the potential for interference to a wireless licensee’s service area</w:t>
      </w:r>
      <w:r w:rsidR="00BB0F2B" w:rsidRPr="00F92DB1">
        <w:t>.</w:t>
      </w:r>
      <w:r w:rsidR="00BB0F2B" w:rsidRPr="00F92DB1">
        <w:rPr>
          <w:sz w:val="20"/>
          <w:vertAlign w:val="superscript"/>
        </w:rPr>
        <w:footnoteReference w:id="258"/>
      </w:r>
      <w:r w:rsidR="00BB0F2B" w:rsidRPr="00F92DB1">
        <w:t xml:space="preserve">  </w:t>
      </w:r>
      <w:r w:rsidR="002D2B33">
        <w:t>At the same time, w</w:t>
      </w:r>
      <w:r w:rsidR="00BB0F2B">
        <w:t xml:space="preserve">e tentatively conclude that broadcast television stations </w:t>
      </w:r>
      <w:r w:rsidR="003A5013">
        <w:t xml:space="preserve">should </w:t>
      </w:r>
      <w:r w:rsidR="00BB0F2B">
        <w:t xml:space="preserve">be allowed to demonstrate non-interference to a wireless licensee’s service area by showing that a proposed modification will not </w:t>
      </w:r>
      <w:r w:rsidR="00344928">
        <w:t>expand</w:t>
      </w:r>
      <w:r w:rsidR="00BB0F2B">
        <w:t xml:space="preserve"> its contour in the direction of a co-channel or adjacent channel wireless licensee.</w:t>
      </w:r>
      <w:r w:rsidR="00BB0F2B">
        <w:rPr>
          <w:rStyle w:val="FootnoteReference"/>
          <w:szCs w:val="22"/>
        </w:rPr>
        <w:footnoteReference w:id="259"/>
      </w:r>
      <w:r w:rsidR="00BB0F2B">
        <w:t xml:space="preserve">  </w:t>
      </w:r>
      <w:r w:rsidR="00344928">
        <w:t xml:space="preserve">We believe that this approach will ensure that wireless </w:t>
      </w:r>
      <w:r w:rsidR="00EA5603">
        <w:t xml:space="preserve">providers </w:t>
      </w:r>
      <w:r w:rsidR="00344928">
        <w:t xml:space="preserve">that acquire spectrum through the forward auction can rely on the information available at the time of the auction as to the existence and contours of a co-channel or adjacent television station, and rely </w:t>
      </w:r>
      <w:r w:rsidR="00BB0F2B" w:rsidRPr="00F92DB1">
        <w:t xml:space="preserve">on their modeling using OET Bulletin 74 for as long as the </w:t>
      </w:r>
      <w:r w:rsidR="00344928">
        <w:t>such</w:t>
      </w:r>
      <w:r w:rsidR="00BB0F2B" w:rsidRPr="00F92DB1">
        <w:t xml:space="preserve"> television station is operating. </w:t>
      </w:r>
      <w:r w:rsidR="00BB0F2B" w:rsidRPr="00A135D8">
        <w:t xml:space="preserve"> </w:t>
      </w:r>
      <w:r w:rsidR="00BB0F2B" w:rsidRPr="00AA3CDA">
        <w:t xml:space="preserve">We seek comment on this </w:t>
      </w:r>
      <w:r w:rsidR="00344928">
        <w:t>proposal</w:t>
      </w:r>
      <w:r w:rsidR="00BB0F2B" w:rsidRPr="00AA3CDA">
        <w:t>.</w:t>
      </w:r>
    </w:p>
    <w:p w14:paraId="2ABD3776" w14:textId="77777777" w:rsidR="00DA6F7D" w:rsidRDefault="002C45B5" w:rsidP="00914863">
      <w:pPr>
        <w:pStyle w:val="ParaNum"/>
      </w:pPr>
      <w:r>
        <w:t xml:space="preserve">The contours of broadcast television stations that will be reassigned to new channels </w:t>
      </w:r>
      <w:r w:rsidR="009E62F9">
        <w:t>in the 600 MH</w:t>
      </w:r>
      <w:r>
        <w:t xml:space="preserve">z Band </w:t>
      </w:r>
      <w:r w:rsidR="00344928">
        <w:t>as a result of the</w:t>
      </w:r>
      <w:r>
        <w:t xml:space="preserve"> repacking</w:t>
      </w:r>
      <w:r w:rsidR="00344928">
        <w:t xml:space="preserve"> process</w:t>
      </w:r>
      <w:r>
        <w:t xml:space="preserve"> will be specified in the </w:t>
      </w:r>
      <w:r w:rsidRPr="006A744E">
        <w:rPr>
          <w:i/>
        </w:rPr>
        <w:t>Channel Reassignment PN</w:t>
      </w:r>
      <w:r>
        <w:t>.</w:t>
      </w:r>
      <w:r w:rsidR="00344928">
        <w:rPr>
          <w:rStyle w:val="FootnoteReference"/>
        </w:rPr>
        <w:footnoteReference w:id="260"/>
      </w:r>
      <w:r>
        <w:t xml:space="preserve">  </w:t>
      </w:r>
      <w:r w:rsidR="00344928">
        <w:t xml:space="preserve">In order for such stations to be able to engineer their modified facilities and quickly transition to their new channels, in the </w:t>
      </w:r>
      <w:r w:rsidR="00344928">
        <w:rPr>
          <w:i/>
        </w:rPr>
        <w:t>Incentive Auction R&amp;O</w:t>
      </w:r>
      <w:r w:rsidR="00DA6F7D">
        <w:t xml:space="preserve"> </w:t>
      </w:r>
      <w:r w:rsidR="00344928">
        <w:t>we granted them a window filing priority to</w:t>
      </w:r>
      <w:r w:rsidR="00DA6F7D">
        <w:t xml:space="preserve"> propose transmission facilities in their initial construction permit applications with up to a one percent coverage contour increase if necessary to achieve the contour coverage specified in the </w:t>
      </w:r>
      <w:r w:rsidR="00DA6F7D" w:rsidRPr="000C0190">
        <w:rPr>
          <w:i/>
        </w:rPr>
        <w:t xml:space="preserve">Channel Reassignment PN </w:t>
      </w:r>
      <w:r w:rsidR="00DA6F7D">
        <w:t>or to address loss of coverage area resulting from their new channel assignment.</w:t>
      </w:r>
      <w:r w:rsidR="00DA6F7D">
        <w:rPr>
          <w:rStyle w:val="FootnoteReference"/>
          <w:szCs w:val="22"/>
        </w:rPr>
        <w:footnoteReference w:id="261"/>
      </w:r>
      <w:r w:rsidR="00DA6F7D">
        <w:t xml:space="preserve">  </w:t>
      </w:r>
      <w:r w:rsidR="00344928">
        <w:t xml:space="preserve">Consistent with that decision, for purposes of the proposal set forth immediately above we propose that </w:t>
      </w:r>
      <w:r w:rsidR="00DA6F7D">
        <w:t>the contours of</w:t>
      </w:r>
      <w:r w:rsidR="00CD7587">
        <w:t xml:space="preserve"> such</w:t>
      </w:r>
      <w:r w:rsidR="00DA6F7D">
        <w:t xml:space="preserve"> stations be </w:t>
      </w:r>
      <w:r w:rsidR="00CD7587">
        <w:t xml:space="preserve">deemed to be </w:t>
      </w:r>
      <w:r w:rsidR="00DA6F7D">
        <w:t xml:space="preserve">those described in their initial construction permit for their new channel. </w:t>
      </w:r>
      <w:r w:rsidR="00DA6F7D" w:rsidRPr="00DA6F7D">
        <w:t xml:space="preserve"> </w:t>
      </w:r>
      <w:r w:rsidR="00DA6F7D">
        <w:t xml:space="preserve">We believe that the impact on a wireless licensee of allowing stations </w:t>
      </w:r>
      <w:r w:rsidR="00CD7587">
        <w:t>reassigned to channels</w:t>
      </w:r>
      <w:r w:rsidR="00DA6F7D">
        <w:t xml:space="preserve"> in the 600 MHz </w:t>
      </w:r>
      <w:r w:rsidR="00D402D8">
        <w:t>B</w:t>
      </w:r>
      <w:r w:rsidR="00DA6F7D">
        <w:t xml:space="preserve">and such flexibility would be negligible </w:t>
      </w:r>
      <w:r w:rsidR="00D402D8">
        <w:t xml:space="preserve">because a one percent increase is </w:t>
      </w:r>
      <w:r w:rsidR="00D402D8" w:rsidRPr="002D523C">
        <w:rPr>
          <w:i/>
        </w:rPr>
        <w:t>de minimis</w:t>
      </w:r>
      <w:r w:rsidR="00D402D8">
        <w:rPr>
          <w:i/>
        </w:rPr>
        <w:t>,</w:t>
      </w:r>
      <w:r w:rsidR="00D402D8" w:rsidRPr="00E369CF">
        <w:rPr>
          <w:rStyle w:val="FootnoteReference"/>
        </w:rPr>
        <w:footnoteReference w:id="262"/>
      </w:r>
      <w:r w:rsidR="00D402D8">
        <w:t xml:space="preserve"> the increase may not be in the direction of </w:t>
      </w:r>
      <w:r w:rsidR="00CD7587">
        <w:t>the</w:t>
      </w:r>
      <w:r w:rsidR="00D402D8">
        <w:t xml:space="preserve"> wireless licensee, and the initial construction applications must be filed within three months of release of the </w:t>
      </w:r>
      <w:r w:rsidR="00D402D8" w:rsidRPr="002D523C">
        <w:rPr>
          <w:i/>
        </w:rPr>
        <w:t>Channel Reassignment PN</w:t>
      </w:r>
      <w:r w:rsidR="00DA6F7D">
        <w:t>.  We do not propose, however, that these stations be permitted to file for further expanded facilities on their new channels,</w:t>
      </w:r>
      <w:r w:rsidR="00DA6F7D">
        <w:rPr>
          <w:rStyle w:val="FootnoteReference"/>
          <w:szCs w:val="22"/>
        </w:rPr>
        <w:footnoteReference w:id="263"/>
      </w:r>
      <w:r w:rsidR="00DA6F7D">
        <w:t xml:space="preserve"> unless they can demonstrate that the proposed expanded facility will not increase their contour in the direction of a wireless license</w:t>
      </w:r>
      <w:r w:rsidR="009E62F9">
        <w:t xml:space="preserve"> area</w:t>
      </w:r>
      <w:r w:rsidR="0086107E">
        <w:t xml:space="preserve">. </w:t>
      </w:r>
      <w:r w:rsidR="009E62F9">
        <w:t xml:space="preserve"> </w:t>
      </w:r>
      <w:r w:rsidR="00DA6F7D">
        <w:t>We seek comment on these proposals.</w:t>
      </w:r>
    </w:p>
    <w:p w14:paraId="380576AB" w14:textId="77777777" w:rsidR="00F92DB1" w:rsidRPr="00F92DB1" w:rsidRDefault="00CD7587" w:rsidP="007A7E8D">
      <w:pPr>
        <w:pStyle w:val="Heading2"/>
      </w:pPr>
      <w:bookmarkStart w:id="597" w:name="_Toc396995212"/>
      <w:bookmarkStart w:id="598" w:name="_Toc396915811"/>
      <w:bookmarkStart w:id="599" w:name="_Toc396995213"/>
      <w:bookmarkStart w:id="600" w:name="_Toc396995845"/>
      <w:bookmarkStart w:id="601" w:name="_Toc397609539"/>
      <w:bookmarkStart w:id="602" w:name="_Toc397610964"/>
      <w:bookmarkStart w:id="603" w:name="_Toc397962814"/>
      <w:bookmarkStart w:id="604" w:name="_Toc398023592"/>
      <w:bookmarkStart w:id="605" w:name="_Toc398902988"/>
      <w:bookmarkStart w:id="606" w:name="_Toc398903311"/>
      <w:bookmarkStart w:id="607" w:name="_Toc398903500"/>
      <w:bookmarkStart w:id="608" w:name="_Toc398904097"/>
      <w:bookmarkStart w:id="609" w:name="_Toc398904605"/>
      <w:bookmarkStart w:id="610" w:name="_Toc401305965"/>
      <w:bookmarkStart w:id="611" w:name="_Toc401306640"/>
      <w:bookmarkStart w:id="612" w:name="_Toc401306709"/>
      <w:bookmarkEnd w:id="597"/>
      <w:r>
        <w:t>Predicting Inter-Service Interference</w:t>
      </w:r>
      <w:r w:rsidR="00F92DB1" w:rsidRPr="00F92DB1">
        <w:t xml:space="preserve"> During the </w:t>
      </w:r>
      <w:r>
        <w:t xml:space="preserve">Post-Auction </w:t>
      </w:r>
      <w:r w:rsidR="00F92DB1" w:rsidRPr="00F92DB1">
        <w:t>Transition Period</w:t>
      </w:r>
      <w:bookmarkEnd w:id="595"/>
      <w:bookmarkEnd w:id="596"/>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sidR="00F92DB1" w:rsidRPr="00F92DB1">
        <w:t xml:space="preserve"> </w:t>
      </w:r>
    </w:p>
    <w:p w14:paraId="44A65EEE" w14:textId="77777777" w:rsidR="00F92DB1" w:rsidRPr="00F92DB1" w:rsidRDefault="00CD7587" w:rsidP="007A7E8D">
      <w:pPr>
        <w:pStyle w:val="Heading3"/>
        <w:widowControl/>
      </w:pPr>
      <w:bookmarkStart w:id="613" w:name="_Toc396492688"/>
      <w:bookmarkStart w:id="614" w:name="_Toc396492712"/>
      <w:bookmarkStart w:id="615" w:name="_Toc396915812"/>
      <w:bookmarkStart w:id="616" w:name="_Toc396995214"/>
      <w:bookmarkStart w:id="617" w:name="_Toc396995846"/>
      <w:bookmarkStart w:id="618" w:name="_Toc397609540"/>
      <w:bookmarkStart w:id="619" w:name="_Toc397610965"/>
      <w:bookmarkStart w:id="620" w:name="_Toc397962815"/>
      <w:bookmarkStart w:id="621" w:name="_Toc398023593"/>
      <w:bookmarkStart w:id="622" w:name="_Toc398902989"/>
      <w:bookmarkStart w:id="623" w:name="_Toc398903312"/>
      <w:bookmarkStart w:id="624" w:name="_Toc398903501"/>
      <w:bookmarkStart w:id="625" w:name="_Toc398904098"/>
      <w:bookmarkStart w:id="626" w:name="_Toc398904606"/>
      <w:bookmarkStart w:id="627" w:name="_Toc401305966"/>
      <w:bookmarkStart w:id="628" w:name="_Toc401306641"/>
      <w:bookmarkStart w:id="629" w:name="_Toc401306710"/>
      <w:r>
        <w:t xml:space="preserve">Predicting Interference to New 600 MHz Band Licensees from LPTV Stations and TV Translators for </w:t>
      </w:r>
      <w:r w:rsidR="00F92DB1" w:rsidRPr="00F92DB1">
        <w:t xml:space="preserve">Notification </w:t>
      </w:r>
      <w:bookmarkEnd w:id="613"/>
      <w:bookmarkEnd w:id="614"/>
      <w:bookmarkEnd w:id="615"/>
      <w:bookmarkEnd w:id="616"/>
      <w:bookmarkEnd w:id="617"/>
      <w:r>
        <w:t>Purposes</w:t>
      </w:r>
      <w:bookmarkEnd w:id="618"/>
      <w:bookmarkEnd w:id="619"/>
      <w:bookmarkEnd w:id="620"/>
      <w:bookmarkEnd w:id="621"/>
      <w:bookmarkEnd w:id="622"/>
      <w:bookmarkEnd w:id="623"/>
      <w:bookmarkEnd w:id="624"/>
      <w:bookmarkEnd w:id="625"/>
      <w:bookmarkEnd w:id="626"/>
      <w:bookmarkEnd w:id="627"/>
      <w:bookmarkEnd w:id="628"/>
      <w:bookmarkEnd w:id="629"/>
    </w:p>
    <w:p w14:paraId="3D949E03" w14:textId="77777777" w:rsidR="00F92DB1" w:rsidRPr="00F92DB1" w:rsidRDefault="00F92DB1" w:rsidP="007A7E8D">
      <w:pPr>
        <w:pStyle w:val="ParaNum"/>
        <w:keepNext/>
        <w:widowControl/>
      </w:pPr>
      <w:bookmarkStart w:id="630" w:name="_Ref399163976"/>
      <w:r w:rsidRPr="00F92DB1">
        <w:t>In the </w:t>
      </w:r>
      <w:r w:rsidRPr="00F92DB1">
        <w:rPr>
          <w:i/>
          <w:iCs/>
        </w:rPr>
        <w:t>Incentive Auction R&amp;O</w:t>
      </w:r>
      <w:r w:rsidRPr="00F92DB1">
        <w:t xml:space="preserve">, we </w:t>
      </w:r>
      <w:r w:rsidR="00CD7587">
        <w:t>stat</w:t>
      </w:r>
      <w:r w:rsidRPr="00F92DB1">
        <w:t>ed that during the Post-Auction Transition Period</w:t>
      </w:r>
      <w:r w:rsidRPr="00F92DB1">
        <w:rPr>
          <w:sz w:val="20"/>
          <w:vertAlign w:val="superscript"/>
        </w:rPr>
        <w:footnoteReference w:id="264"/>
      </w:r>
      <w:r w:rsidRPr="00F92DB1">
        <w:t xml:space="preserve"> new 600 MHz </w:t>
      </w:r>
      <w:r w:rsidR="00CD7587">
        <w:t xml:space="preserve">Band </w:t>
      </w:r>
      <w:r w:rsidRPr="00F92DB1">
        <w:t xml:space="preserve">wireless licensees must provide LPTV and TV translator stations </w:t>
      </w:r>
      <w:r w:rsidR="00CD7587">
        <w:t xml:space="preserve">with </w:t>
      </w:r>
      <w:r w:rsidRPr="00F92DB1">
        <w:t>advance notification</w:t>
      </w:r>
      <w:r w:rsidR="00D402D8">
        <w:t xml:space="preserve"> that they will be displaced</w:t>
      </w:r>
      <w:r w:rsidRPr="00F92DB1">
        <w:t xml:space="preserve"> </w:t>
      </w:r>
      <w:r w:rsidR="007F0F57">
        <w:t xml:space="preserve">when the wireless licensee </w:t>
      </w:r>
      <w:r w:rsidR="007F0F57" w:rsidRPr="00F92DB1">
        <w:t>intend</w:t>
      </w:r>
      <w:r w:rsidR="007F0F57">
        <w:t>s</w:t>
      </w:r>
      <w:r w:rsidR="007F0F57" w:rsidRPr="00F92DB1">
        <w:t xml:space="preserve"> to commence</w:t>
      </w:r>
      <w:r w:rsidR="007F0F57">
        <w:t>s</w:t>
      </w:r>
      <w:r w:rsidR="007F0F57" w:rsidRPr="00F92DB1">
        <w:t xml:space="preserve"> operations</w:t>
      </w:r>
      <w:r w:rsidR="007F0F57">
        <w:rPr>
          <w:rStyle w:val="FootnoteReference"/>
        </w:rPr>
        <w:footnoteReference w:id="265"/>
      </w:r>
      <w:r w:rsidR="007F0F57" w:rsidRPr="00F92DB1">
        <w:t xml:space="preserve"> </w:t>
      </w:r>
      <w:r w:rsidRPr="00F92DB1">
        <w:t>in areas of their licenses where there is a likelihood of receiving harmful interference from an LPTV or TV translator station, based “on the methodology we adopt to prevent inter-service interference.”</w:t>
      </w:r>
      <w:r w:rsidRPr="00F92DB1">
        <w:rPr>
          <w:sz w:val="20"/>
          <w:vertAlign w:val="superscript"/>
        </w:rPr>
        <w:footnoteReference w:id="266"/>
      </w:r>
      <w:r w:rsidRPr="00F92DB1">
        <w:t xml:space="preserve">  In the </w:t>
      </w:r>
      <w:r w:rsidRPr="00F92DB1">
        <w:rPr>
          <w:i/>
        </w:rPr>
        <w:t xml:space="preserve">Second Report </w:t>
      </w:r>
      <w:r w:rsidR="003A5013">
        <w:rPr>
          <w:i/>
        </w:rPr>
        <w:t xml:space="preserve">&amp; </w:t>
      </w:r>
      <w:r w:rsidRPr="00F92DB1">
        <w:rPr>
          <w:i/>
        </w:rPr>
        <w:t>Order</w:t>
      </w:r>
      <w:r w:rsidRPr="00F92DB1">
        <w:t xml:space="preserve">, we adopted the ISIX Methodology </w:t>
      </w:r>
      <w:r w:rsidR="00CD7587">
        <w:t xml:space="preserve">and input values </w:t>
      </w:r>
      <w:r w:rsidRPr="00F92DB1">
        <w:t>to predict interference from full power and Class A television stations to wireless services during the course of the auction.</w:t>
      </w:r>
      <w:r w:rsidRPr="00F92DB1">
        <w:rPr>
          <w:sz w:val="20"/>
          <w:vertAlign w:val="superscript"/>
        </w:rPr>
        <w:footnoteReference w:id="267"/>
      </w:r>
      <w:bookmarkEnd w:id="630"/>
      <w:r w:rsidRPr="00F92DB1">
        <w:t xml:space="preserve"> </w:t>
      </w:r>
    </w:p>
    <w:p w14:paraId="097EB2DC" w14:textId="3E17776A" w:rsidR="00F92DB1" w:rsidRPr="00F92DB1" w:rsidRDefault="00F92DB1" w:rsidP="00914863">
      <w:pPr>
        <w:pStyle w:val="ParaNum"/>
      </w:pPr>
      <w:r w:rsidRPr="00F92DB1">
        <w:t xml:space="preserve">We seek comment on </w:t>
      </w:r>
      <w:r w:rsidR="00CD7587">
        <w:t xml:space="preserve">appropriate </w:t>
      </w:r>
      <w:r w:rsidRPr="00F92DB1">
        <w:t xml:space="preserve">modifications to the ISIX Methodology to </w:t>
      </w:r>
      <w:r w:rsidR="00B00AE6">
        <w:t xml:space="preserve">predict </w:t>
      </w:r>
      <w:r w:rsidRPr="00F92DB1">
        <w:t xml:space="preserve">interference </w:t>
      </w:r>
      <w:r w:rsidR="00B00AE6">
        <w:t xml:space="preserve">to 600 MHz Band wireless operations </w:t>
      </w:r>
      <w:r w:rsidRPr="00F92DB1">
        <w:t xml:space="preserve">from LPTV and TV Translators.  </w:t>
      </w:r>
      <w:r w:rsidR="00B00AE6">
        <w:t>First, we seek comment on use of the fie</w:t>
      </w:r>
      <w:r w:rsidR="00F1278A">
        <w:t>l</w:t>
      </w:r>
      <w:r w:rsidR="00B00AE6">
        <w:t>d strength values below for predicting such interference.</w:t>
      </w:r>
      <w:r w:rsidR="00D402D8">
        <w:t xml:space="preserve"> </w:t>
      </w:r>
      <w:r w:rsidR="00B00AE6">
        <w:t xml:space="preserve"> </w:t>
      </w:r>
      <w:r w:rsidRPr="00F92DB1">
        <w:t>The interference potential of LPTV and TV Translators that have migrated their operations to digital is evaluated differently from that of full</w:t>
      </w:r>
      <w:r w:rsidR="00B00AE6">
        <w:t xml:space="preserve"> </w:t>
      </w:r>
      <w:r w:rsidRPr="00F92DB1">
        <w:t>power DTV stations</w:t>
      </w:r>
      <w:r w:rsidR="00B00AE6">
        <w:t xml:space="preserve"> under our rules</w:t>
      </w:r>
      <w:r w:rsidRPr="00F92DB1">
        <w:t>.</w:t>
      </w:r>
      <w:r w:rsidRPr="00F92DB1">
        <w:rPr>
          <w:sz w:val="20"/>
          <w:vertAlign w:val="superscript"/>
        </w:rPr>
        <w:footnoteReference w:id="268"/>
      </w:r>
      <w:r w:rsidRPr="00F92DB1">
        <w:t xml:space="preserve">  In particular, the rules specify different values for the adjacent channel emissions</w:t>
      </w:r>
      <w:r w:rsidRPr="00F92DB1">
        <w:rPr>
          <w:sz w:val="20"/>
          <w:vertAlign w:val="superscript"/>
        </w:rPr>
        <w:footnoteReference w:id="269"/>
      </w:r>
      <w:r w:rsidRPr="00F92DB1">
        <w:t xml:space="preserve"> and elevation patterns of low power and full power DTV stations.</w:t>
      </w:r>
      <w:r w:rsidRPr="00F92DB1">
        <w:rPr>
          <w:sz w:val="20"/>
          <w:vertAlign w:val="superscript"/>
        </w:rPr>
        <w:footnoteReference w:id="270"/>
      </w:r>
      <w:r w:rsidRPr="00F92DB1">
        <w:t xml:space="preserve">  We examined the effect of the different LPTV/TV translator emission masks</w:t>
      </w:r>
      <w:r w:rsidR="00B00AE6">
        <w:t>, however,</w:t>
      </w:r>
      <w:r w:rsidRPr="00F92DB1">
        <w:t xml:space="preserve"> and found that the field strength thresholds </w:t>
      </w:r>
      <w:r w:rsidR="00D402D8">
        <w:t xml:space="preserve">of </w:t>
      </w:r>
      <w:r w:rsidRPr="00F92DB1">
        <w:t xml:space="preserve">these masks and the full power television mask </w:t>
      </w:r>
      <w:r w:rsidR="00B00AE6">
        <w:t xml:space="preserve">is </w:t>
      </w:r>
      <w:r w:rsidRPr="00F92DB1">
        <w:t>no more than 1dB.</w:t>
      </w:r>
      <w:r w:rsidRPr="00F92DB1">
        <w:rPr>
          <w:sz w:val="20"/>
          <w:vertAlign w:val="superscript"/>
        </w:rPr>
        <w:footnoteReference w:id="271"/>
      </w:r>
      <w:r w:rsidRPr="00F92DB1">
        <w:t xml:space="preserve">  Therefore, we propose to use the same field strength values as full power television for the interference thresholds of co-channel and adjacent channel emissions for LPTV and TV translators to wireless service in the ISIX Methodology.  </w:t>
      </w:r>
      <w:r w:rsidR="00F1278A">
        <w:t xml:space="preserve">Those thresholds, repeated in </w:t>
      </w:r>
      <w:r w:rsidR="00F1278A">
        <w:fldChar w:fldCharType="begin"/>
      </w:r>
      <w:r w:rsidR="00F1278A">
        <w:instrText xml:space="preserve"> REF TableBody_2 \h </w:instrText>
      </w:r>
      <w:r w:rsidR="00F1278A">
        <w:fldChar w:fldCharType="separate"/>
      </w:r>
      <w:r w:rsidR="00656F50">
        <w:t xml:space="preserve">Table </w:t>
      </w:r>
      <w:r w:rsidR="00656F50">
        <w:rPr>
          <w:noProof/>
        </w:rPr>
        <w:t>2</w:t>
      </w:r>
      <w:r w:rsidR="00F1278A">
        <w:fldChar w:fldCharType="end"/>
      </w:r>
      <w:r w:rsidR="00F1278A">
        <w:t xml:space="preserve"> below, are based on technical assumptions regarding the wireless receivers (both base stations and user equipment) that appear respectively in Tables 5 and 6 in the </w:t>
      </w:r>
      <w:r w:rsidR="00F1278A" w:rsidRPr="00D34DD8">
        <w:rPr>
          <w:i/>
        </w:rPr>
        <w:t>ISIX PN</w:t>
      </w:r>
      <w:r w:rsidR="00F1278A">
        <w:t>, as well as Tables 3 and 4 in the Technical Appendix below.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65"/>
        <w:gridCol w:w="601"/>
        <w:gridCol w:w="601"/>
        <w:gridCol w:w="601"/>
        <w:gridCol w:w="601"/>
        <w:gridCol w:w="601"/>
        <w:gridCol w:w="601"/>
        <w:gridCol w:w="601"/>
        <w:gridCol w:w="601"/>
        <w:gridCol w:w="601"/>
        <w:gridCol w:w="601"/>
        <w:gridCol w:w="601"/>
      </w:tblGrid>
      <w:tr w:rsidR="00F92DB1" w:rsidRPr="00F92DB1" w14:paraId="520A7B9F" w14:textId="77777777" w:rsidTr="00531706">
        <w:trPr>
          <w:jc w:val="center"/>
        </w:trPr>
        <w:tc>
          <w:tcPr>
            <w:tcW w:w="0" w:type="auto"/>
            <w:tcBorders>
              <w:top w:val="single" w:sz="4" w:space="0" w:color="auto"/>
              <w:left w:val="single" w:sz="4" w:space="0" w:color="auto"/>
              <w:bottom w:val="single" w:sz="6" w:space="0" w:color="auto"/>
              <w:right w:val="single" w:sz="6" w:space="0" w:color="auto"/>
            </w:tcBorders>
            <w:shd w:val="clear" w:color="auto" w:fill="E0E0E0"/>
            <w:vAlign w:val="center"/>
            <w:hideMark/>
          </w:tcPr>
          <w:p w14:paraId="5CA04643" w14:textId="77777777" w:rsidR="00F92DB1" w:rsidRPr="00F92DB1" w:rsidRDefault="00F92DB1" w:rsidP="00F92DB1">
            <w:pPr>
              <w:keepNext/>
              <w:keepLines/>
              <w:jc w:val="center"/>
              <w:rPr>
                <w:sz w:val="20"/>
              </w:rPr>
            </w:pPr>
            <w:r w:rsidRPr="00F92DB1">
              <w:rPr>
                <w:sz w:val="20"/>
              </w:rPr>
              <w:t>Spectral Overlap (MHz)</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0BB455DB" w14:textId="77777777" w:rsidR="00F92DB1" w:rsidRPr="00F92DB1" w:rsidRDefault="00F92DB1" w:rsidP="00F92DB1">
            <w:pPr>
              <w:keepNext/>
              <w:keepLines/>
              <w:jc w:val="center"/>
              <w:rPr>
                <w:sz w:val="20"/>
              </w:rPr>
            </w:pPr>
            <w:r w:rsidRPr="00F92DB1">
              <w:rPr>
                <w:sz w:val="20"/>
              </w:rPr>
              <w:t>5</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204E5A0C" w14:textId="77777777" w:rsidR="00F92DB1" w:rsidRPr="00F92DB1" w:rsidRDefault="00F92DB1" w:rsidP="00F92DB1">
            <w:pPr>
              <w:keepNext/>
              <w:keepLines/>
              <w:jc w:val="center"/>
              <w:rPr>
                <w:sz w:val="20"/>
              </w:rPr>
            </w:pPr>
            <w:r w:rsidRPr="00F92DB1">
              <w:rPr>
                <w:sz w:val="20"/>
              </w:rPr>
              <w:t>4</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78E14DA1" w14:textId="77777777" w:rsidR="00F92DB1" w:rsidRPr="00F92DB1" w:rsidRDefault="00F92DB1" w:rsidP="00F92DB1">
            <w:pPr>
              <w:keepNext/>
              <w:keepLines/>
              <w:jc w:val="center"/>
              <w:rPr>
                <w:sz w:val="20"/>
              </w:rPr>
            </w:pPr>
            <w:r w:rsidRPr="00F92DB1">
              <w:rPr>
                <w:sz w:val="20"/>
              </w:rPr>
              <w:t>3</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766C206E" w14:textId="77777777" w:rsidR="00F92DB1" w:rsidRPr="00F92DB1" w:rsidRDefault="00F92DB1" w:rsidP="00F92DB1">
            <w:pPr>
              <w:keepNext/>
              <w:keepLines/>
              <w:jc w:val="center"/>
              <w:rPr>
                <w:sz w:val="20"/>
              </w:rPr>
            </w:pPr>
            <w:r w:rsidRPr="00F92DB1">
              <w:rPr>
                <w:sz w:val="20"/>
              </w:rPr>
              <w:t>2</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2D252169" w14:textId="77777777" w:rsidR="00F92DB1" w:rsidRPr="00F92DB1" w:rsidRDefault="00F92DB1" w:rsidP="00F92DB1">
            <w:pPr>
              <w:keepNext/>
              <w:keepLines/>
              <w:jc w:val="center"/>
              <w:rPr>
                <w:sz w:val="20"/>
              </w:rPr>
            </w:pPr>
            <w:r w:rsidRPr="00F92DB1">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047F7FF5" w14:textId="77777777" w:rsidR="00F92DB1" w:rsidRPr="00F92DB1" w:rsidRDefault="00F92DB1" w:rsidP="00F92DB1">
            <w:pPr>
              <w:keepNext/>
              <w:keepLines/>
              <w:jc w:val="center"/>
              <w:rPr>
                <w:sz w:val="20"/>
              </w:rPr>
            </w:pPr>
            <w:r w:rsidRPr="00F92DB1">
              <w:rPr>
                <w:sz w:val="20"/>
              </w:rPr>
              <w:t>0</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2A5C8012" w14:textId="77777777" w:rsidR="00F92DB1" w:rsidRPr="00F92DB1" w:rsidRDefault="00F92DB1" w:rsidP="00F92DB1">
            <w:pPr>
              <w:keepNext/>
              <w:keepLines/>
              <w:jc w:val="center"/>
              <w:rPr>
                <w:sz w:val="20"/>
              </w:rPr>
            </w:pPr>
            <w:r w:rsidRPr="00F92DB1">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39A9F081" w14:textId="77777777" w:rsidR="00F92DB1" w:rsidRPr="00F92DB1" w:rsidRDefault="00F92DB1" w:rsidP="00F92DB1">
            <w:pPr>
              <w:keepNext/>
              <w:keepLines/>
              <w:jc w:val="center"/>
              <w:rPr>
                <w:sz w:val="20"/>
              </w:rPr>
            </w:pPr>
            <w:r w:rsidRPr="00F92DB1">
              <w:rPr>
                <w:sz w:val="20"/>
              </w:rPr>
              <w:t>-2</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477C6705" w14:textId="77777777" w:rsidR="00F92DB1" w:rsidRPr="00F92DB1" w:rsidRDefault="00F92DB1" w:rsidP="00F92DB1">
            <w:pPr>
              <w:keepNext/>
              <w:keepLines/>
              <w:jc w:val="center"/>
              <w:rPr>
                <w:sz w:val="20"/>
              </w:rPr>
            </w:pPr>
            <w:r w:rsidRPr="00F92DB1">
              <w:rPr>
                <w:sz w:val="20"/>
              </w:rPr>
              <w:t>-3</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0A8902B6" w14:textId="77777777" w:rsidR="00F92DB1" w:rsidRPr="00F92DB1" w:rsidRDefault="00F92DB1" w:rsidP="00F92DB1">
            <w:pPr>
              <w:keepNext/>
              <w:keepLines/>
              <w:jc w:val="center"/>
              <w:rPr>
                <w:sz w:val="20"/>
              </w:rPr>
            </w:pPr>
            <w:r w:rsidRPr="00F92DB1">
              <w:rPr>
                <w:sz w:val="20"/>
              </w:rPr>
              <w:t>-4</w:t>
            </w:r>
          </w:p>
        </w:tc>
        <w:tc>
          <w:tcPr>
            <w:tcW w:w="0" w:type="auto"/>
            <w:tcBorders>
              <w:top w:val="single" w:sz="4" w:space="0" w:color="auto"/>
              <w:left w:val="single" w:sz="6" w:space="0" w:color="auto"/>
              <w:bottom w:val="single" w:sz="6" w:space="0" w:color="auto"/>
              <w:right w:val="single" w:sz="4" w:space="0" w:color="auto"/>
            </w:tcBorders>
            <w:shd w:val="clear" w:color="auto" w:fill="E0E0E0"/>
            <w:vAlign w:val="center"/>
            <w:hideMark/>
          </w:tcPr>
          <w:p w14:paraId="4539B611" w14:textId="77777777" w:rsidR="00F92DB1" w:rsidRPr="00F92DB1" w:rsidRDefault="00F92DB1" w:rsidP="00F92DB1">
            <w:pPr>
              <w:keepNext/>
              <w:keepLines/>
              <w:jc w:val="center"/>
              <w:rPr>
                <w:sz w:val="20"/>
              </w:rPr>
            </w:pPr>
            <w:r w:rsidRPr="00F92DB1">
              <w:rPr>
                <w:sz w:val="20"/>
              </w:rPr>
              <w:t>-5</w:t>
            </w:r>
          </w:p>
        </w:tc>
      </w:tr>
      <w:tr w:rsidR="00F92DB1" w:rsidRPr="00F92DB1" w14:paraId="7F3D41E8" w14:textId="77777777" w:rsidTr="00531706">
        <w:trPr>
          <w:cantSplit/>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77356D9B" w14:textId="77777777" w:rsidR="00F92DB1" w:rsidRPr="00F92DB1" w:rsidRDefault="00F92DB1" w:rsidP="00F92DB1">
            <w:pPr>
              <w:keepNext/>
              <w:keepLines/>
            </w:pPr>
            <w:r w:rsidRPr="00F92DB1">
              <w:t>LPTV Field Strength</w:t>
            </w:r>
          </w:p>
          <w:p w14:paraId="57BAD442" w14:textId="77777777" w:rsidR="00F92DB1" w:rsidRPr="00F92DB1" w:rsidRDefault="00F92DB1" w:rsidP="00F92DB1">
            <w:pPr>
              <w:keepNext/>
              <w:keepLines/>
            </w:pPr>
            <w:r w:rsidRPr="00F92DB1">
              <w:t>into Wireless Uplink (dBµV/m)</w:t>
            </w:r>
          </w:p>
        </w:tc>
        <w:tc>
          <w:tcPr>
            <w:tcW w:w="0" w:type="auto"/>
            <w:tcBorders>
              <w:top w:val="single" w:sz="6" w:space="0" w:color="auto"/>
              <w:left w:val="single" w:sz="6" w:space="0" w:color="auto"/>
              <w:bottom w:val="single" w:sz="6" w:space="0" w:color="auto"/>
              <w:right w:val="single" w:sz="6" w:space="0" w:color="auto"/>
            </w:tcBorders>
            <w:vAlign w:val="center"/>
            <w:hideMark/>
          </w:tcPr>
          <w:p w14:paraId="356DD90B" w14:textId="77777777" w:rsidR="00F92DB1" w:rsidRPr="00F92DB1" w:rsidRDefault="00F92DB1" w:rsidP="00F92DB1">
            <w:pPr>
              <w:keepNext/>
              <w:keepLines/>
              <w:jc w:val="center"/>
            </w:pPr>
            <w:r w:rsidRPr="00F92DB1">
              <w:t>17.3</w:t>
            </w:r>
          </w:p>
        </w:tc>
        <w:tc>
          <w:tcPr>
            <w:tcW w:w="0" w:type="auto"/>
            <w:tcBorders>
              <w:top w:val="single" w:sz="6" w:space="0" w:color="auto"/>
              <w:left w:val="single" w:sz="6" w:space="0" w:color="auto"/>
              <w:bottom w:val="single" w:sz="6" w:space="0" w:color="auto"/>
              <w:right w:val="single" w:sz="6" w:space="0" w:color="auto"/>
            </w:tcBorders>
            <w:vAlign w:val="center"/>
            <w:hideMark/>
          </w:tcPr>
          <w:p w14:paraId="522C5881" w14:textId="77777777" w:rsidR="00F92DB1" w:rsidRPr="00F92DB1" w:rsidRDefault="00F92DB1" w:rsidP="00F92DB1">
            <w:pPr>
              <w:keepNext/>
              <w:keepLines/>
              <w:jc w:val="center"/>
            </w:pPr>
            <w:r w:rsidRPr="00F92DB1">
              <w:t>18.2</w:t>
            </w:r>
          </w:p>
        </w:tc>
        <w:tc>
          <w:tcPr>
            <w:tcW w:w="0" w:type="auto"/>
            <w:tcBorders>
              <w:top w:val="single" w:sz="6" w:space="0" w:color="auto"/>
              <w:left w:val="single" w:sz="6" w:space="0" w:color="auto"/>
              <w:bottom w:val="single" w:sz="6" w:space="0" w:color="auto"/>
              <w:right w:val="single" w:sz="6" w:space="0" w:color="auto"/>
            </w:tcBorders>
            <w:vAlign w:val="center"/>
            <w:hideMark/>
          </w:tcPr>
          <w:p w14:paraId="0A4C4115" w14:textId="77777777" w:rsidR="00F92DB1" w:rsidRPr="00F92DB1" w:rsidRDefault="00F92DB1" w:rsidP="00F92DB1">
            <w:pPr>
              <w:keepNext/>
              <w:keepLines/>
              <w:jc w:val="center"/>
            </w:pPr>
            <w:r w:rsidRPr="00F92DB1">
              <w:t>19.5</w:t>
            </w:r>
          </w:p>
        </w:tc>
        <w:tc>
          <w:tcPr>
            <w:tcW w:w="0" w:type="auto"/>
            <w:tcBorders>
              <w:top w:val="single" w:sz="6" w:space="0" w:color="auto"/>
              <w:left w:val="single" w:sz="6" w:space="0" w:color="auto"/>
              <w:bottom w:val="single" w:sz="6" w:space="0" w:color="auto"/>
              <w:right w:val="single" w:sz="6" w:space="0" w:color="auto"/>
            </w:tcBorders>
            <w:vAlign w:val="center"/>
            <w:hideMark/>
          </w:tcPr>
          <w:p w14:paraId="2A696B8B" w14:textId="77777777" w:rsidR="00F92DB1" w:rsidRPr="00F92DB1" w:rsidRDefault="00F92DB1" w:rsidP="00F92DB1">
            <w:pPr>
              <w:keepNext/>
              <w:keepLines/>
              <w:jc w:val="center"/>
            </w:pPr>
            <w:r w:rsidRPr="00F92DB1">
              <w:t>21.2</w:t>
            </w:r>
          </w:p>
        </w:tc>
        <w:tc>
          <w:tcPr>
            <w:tcW w:w="0" w:type="auto"/>
            <w:tcBorders>
              <w:top w:val="single" w:sz="6" w:space="0" w:color="auto"/>
              <w:left w:val="single" w:sz="6" w:space="0" w:color="auto"/>
              <w:bottom w:val="single" w:sz="6" w:space="0" w:color="auto"/>
              <w:right w:val="single" w:sz="6" w:space="0" w:color="auto"/>
            </w:tcBorders>
            <w:vAlign w:val="center"/>
            <w:hideMark/>
          </w:tcPr>
          <w:p w14:paraId="294F6DB8" w14:textId="77777777" w:rsidR="00F92DB1" w:rsidRPr="00F92DB1" w:rsidRDefault="00F92DB1" w:rsidP="00F92DB1">
            <w:pPr>
              <w:keepNext/>
              <w:keepLines/>
              <w:jc w:val="center"/>
            </w:pPr>
            <w:r w:rsidRPr="00F92DB1">
              <w:t>24.0</w:t>
            </w:r>
          </w:p>
        </w:tc>
        <w:tc>
          <w:tcPr>
            <w:tcW w:w="0" w:type="auto"/>
            <w:tcBorders>
              <w:top w:val="single" w:sz="6" w:space="0" w:color="auto"/>
              <w:left w:val="single" w:sz="6" w:space="0" w:color="auto"/>
              <w:bottom w:val="single" w:sz="6" w:space="0" w:color="auto"/>
              <w:right w:val="single" w:sz="6" w:space="0" w:color="auto"/>
            </w:tcBorders>
            <w:vAlign w:val="center"/>
            <w:hideMark/>
          </w:tcPr>
          <w:p w14:paraId="6730E47D" w14:textId="77777777" w:rsidR="00F92DB1" w:rsidRPr="00F92DB1" w:rsidRDefault="00F92DB1" w:rsidP="00F92DB1">
            <w:pPr>
              <w:keepNext/>
              <w:keepLines/>
              <w:jc w:val="center"/>
            </w:pPr>
            <w:r w:rsidRPr="00F92DB1">
              <w:t>34.4</w:t>
            </w:r>
          </w:p>
        </w:tc>
        <w:tc>
          <w:tcPr>
            <w:tcW w:w="0" w:type="auto"/>
            <w:tcBorders>
              <w:top w:val="single" w:sz="6" w:space="0" w:color="auto"/>
              <w:left w:val="single" w:sz="6" w:space="0" w:color="auto"/>
              <w:bottom w:val="single" w:sz="6" w:space="0" w:color="auto"/>
              <w:right w:val="single" w:sz="6" w:space="0" w:color="auto"/>
            </w:tcBorders>
            <w:vAlign w:val="center"/>
            <w:hideMark/>
          </w:tcPr>
          <w:p w14:paraId="59BA7589" w14:textId="77777777" w:rsidR="00F92DB1" w:rsidRPr="00F92DB1" w:rsidRDefault="00F92DB1" w:rsidP="00F92DB1">
            <w:pPr>
              <w:keepNext/>
              <w:keepLines/>
              <w:jc w:val="center"/>
            </w:pPr>
            <w:r w:rsidRPr="00F92DB1">
              <w:t>61.4</w:t>
            </w:r>
          </w:p>
        </w:tc>
        <w:tc>
          <w:tcPr>
            <w:tcW w:w="0" w:type="auto"/>
            <w:tcBorders>
              <w:top w:val="single" w:sz="6" w:space="0" w:color="auto"/>
              <w:left w:val="single" w:sz="6" w:space="0" w:color="auto"/>
              <w:bottom w:val="single" w:sz="6" w:space="0" w:color="auto"/>
              <w:right w:val="single" w:sz="6" w:space="0" w:color="auto"/>
            </w:tcBorders>
            <w:vAlign w:val="center"/>
            <w:hideMark/>
          </w:tcPr>
          <w:p w14:paraId="613BF8B6" w14:textId="77777777" w:rsidR="00F92DB1" w:rsidRPr="00F92DB1" w:rsidRDefault="00F92DB1" w:rsidP="00F92DB1">
            <w:pPr>
              <w:keepNext/>
              <w:keepLines/>
              <w:jc w:val="center"/>
            </w:pPr>
            <w:r w:rsidRPr="00F92DB1">
              <w:t>62.5</w:t>
            </w:r>
          </w:p>
        </w:tc>
        <w:tc>
          <w:tcPr>
            <w:tcW w:w="0" w:type="auto"/>
            <w:tcBorders>
              <w:top w:val="single" w:sz="6" w:space="0" w:color="auto"/>
              <w:left w:val="single" w:sz="6" w:space="0" w:color="auto"/>
              <w:bottom w:val="single" w:sz="6" w:space="0" w:color="auto"/>
              <w:right w:val="single" w:sz="6" w:space="0" w:color="auto"/>
            </w:tcBorders>
            <w:vAlign w:val="center"/>
            <w:hideMark/>
          </w:tcPr>
          <w:p w14:paraId="54C14631" w14:textId="77777777" w:rsidR="00F92DB1" w:rsidRPr="00F92DB1" w:rsidRDefault="00F92DB1" w:rsidP="00F92DB1">
            <w:pPr>
              <w:keepNext/>
              <w:keepLines/>
              <w:jc w:val="center"/>
            </w:pPr>
            <w:r w:rsidRPr="00F92DB1">
              <w:t>63.7</w:t>
            </w:r>
          </w:p>
        </w:tc>
        <w:tc>
          <w:tcPr>
            <w:tcW w:w="0" w:type="auto"/>
            <w:tcBorders>
              <w:top w:val="single" w:sz="6" w:space="0" w:color="auto"/>
              <w:left w:val="single" w:sz="6" w:space="0" w:color="auto"/>
              <w:bottom w:val="single" w:sz="6" w:space="0" w:color="auto"/>
              <w:right w:val="single" w:sz="6" w:space="0" w:color="auto"/>
            </w:tcBorders>
            <w:vAlign w:val="center"/>
            <w:hideMark/>
          </w:tcPr>
          <w:p w14:paraId="15AEAB1B" w14:textId="77777777" w:rsidR="00F92DB1" w:rsidRPr="00F92DB1" w:rsidRDefault="00F92DB1" w:rsidP="00F92DB1">
            <w:pPr>
              <w:keepNext/>
              <w:keepLines/>
              <w:jc w:val="center"/>
            </w:pPr>
            <w:r w:rsidRPr="00F92DB1">
              <w:t>65.5</w:t>
            </w:r>
          </w:p>
        </w:tc>
        <w:tc>
          <w:tcPr>
            <w:tcW w:w="0" w:type="auto"/>
            <w:tcBorders>
              <w:top w:val="single" w:sz="6" w:space="0" w:color="auto"/>
              <w:left w:val="single" w:sz="6" w:space="0" w:color="auto"/>
              <w:bottom w:val="single" w:sz="6" w:space="0" w:color="auto"/>
              <w:right w:val="single" w:sz="4" w:space="0" w:color="auto"/>
            </w:tcBorders>
            <w:vAlign w:val="center"/>
            <w:hideMark/>
          </w:tcPr>
          <w:p w14:paraId="68E6F476" w14:textId="77777777" w:rsidR="00F92DB1" w:rsidRPr="00F92DB1" w:rsidRDefault="00F92DB1" w:rsidP="00F92DB1">
            <w:pPr>
              <w:keepNext/>
              <w:keepLines/>
              <w:jc w:val="center"/>
            </w:pPr>
            <w:r w:rsidRPr="00F92DB1">
              <w:t>68.6</w:t>
            </w:r>
          </w:p>
        </w:tc>
      </w:tr>
      <w:tr w:rsidR="00F92DB1" w:rsidRPr="00F92DB1" w14:paraId="0002975F" w14:textId="77777777" w:rsidTr="00531706">
        <w:trPr>
          <w:cantSplit/>
          <w:jc w:val="center"/>
        </w:trPr>
        <w:tc>
          <w:tcPr>
            <w:tcW w:w="0" w:type="auto"/>
            <w:tcBorders>
              <w:top w:val="single" w:sz="6" w:space="0" w:color="auto"/>
              <w:left w:val="single" w:sz="4" w:space="0" w:color="auto"/>
              <w:bottom w:val="single" w:sz="4" w:space="0" w:color="auto"/>
              <w:right w:val="single" w:sz="6" w:space="0" w:color="auto"/>
            </w:tcBorders>
            <w:vAlign w:val="center"/>
            <w:hideMark/>
          </w:tcPr>
          <w:p w14:paraId="6C1668D3" w14:textId="77777777" w:rsidR="00F92DB1" w:rsidRPr="00F92DB1" w:rsidRDefault="00F92DB1" w:rsidP="00F92DB1">
            <w:pPr>
              <w:keepLines/>
            </w:pPr>
            <w:r w:rsidRPr="00F92DB1">
              <w:t>LPTV Field Strength</w:t>
            </w:r>
          </w:p>
          <w:p w14:paraId="32C0571F" w14:textId="77777777" w:rsidR="00F92DB1" w:rsidRPr="00F92DB1" w:rsidRDefault="00F92DB1" w:rsidP="00F92DB1">
            <w:pPr>
              <w:keepLines/>
            </w:pPr>
            <w:r w:rsidRPr="00F92DB1">
              <w:t>into Wireless Downlink (dBµV/m)</w:t>
            </w:r>
          </w:p>
        </w:tc>
        <w:tc>
          <w:tcPr>
            <w:tcW w:w="0" w:type="auto"/>
            <w:tcBorders>
              <w:top w:val="single" w:sz="6" w:space="0" w:color="auto"/>
              <w:left w:val="single" w:sz="6" w:space="0" w:color="auto"/>
              <w:bottom w:val="single" w:sz="4" w:space="0" w:color="auto"/>
              <w:right w:val="single" w:sz="6" w:space="0" w:color="auto"/>
            </w:tcBorders>
            <w:vAlign w:val="center"/>
            <w:hideMark/>
          </w:tcPr>
          <w:p w14:paraId="17DB0C77" w14:textId="77777777" w:rsidR="00F92DB1" w:rsidRPr="00F92DB1" w:rsidRDefault="00F92DB1" w:rsidP="00F92DB1">
            <w:pPr>
              <w:keepLines/>
              <w:jc w:val="center"/>
            </w:pPr>
            <w:r w:rsidRPr="00F92DB1">
              <w:t>33.8</w:t>
            </w:r>
          </w:p>
        </w:tc>
        <w:tc>
          <w:tcPr>
            <w:tcW w:w="0" w:type="auto"/>
            <w:tcBorders>
              <w:top w:val="single" w:sz="6" w:space="0" w:color="auto"/>
              <w:left w:val="single" w:sz="6" w:space="0" w:color="auto"/>
              <w:bottom w:val="single" w:sz="4" w:space="0" w:color="auto"/>
              <w:right w:val="single" w:sz="6" w:space="0" w:color="auto"/>
            </w:tcBorders>
            <w:vAlign w:val="center"/>
            <w:hideMark/>
          </w:tcPr>
          <w:p w14:paraId="497A00A7" w14:textId="77777777" w:rsidR="00F92DB1" w:rsidRPr="00F92DB1" w:rsidRDefault="00F92DB1" w:rsidP="00F92DB1">
            <w:pPr>
              <w:keepNext/>
              <w:keepLines/>
              <w:jc w:val="center"/>
            </w:pPr>
            <w:r w:rsidRPr="00F92DB1">
              <w:t>34.7</w:t>
            </w:r>
          </w:p>
        </w:tc>
        <w:tc>
          <w:tcPr>
            <w:tcW w:w="0" w:type="auto"/>
            <w:tcBorders>
              <w:top w:val="single" w:sz="6" w:space="0" w:color="auto"/>
              <w:left w:val="single" w:sz="6" w:space="0" w:color="auto"/>
              <w:bottom w:val="single" w:sz="4" w:space="0" w:color="auto"/>
              <w:right w:val="single" w:sz="6" w:space="0" w:color="auto"/>
            </w:tcBorders>
            <w:vAlign w:val="center"/>
            <w:hideMark/>
          </w:tcPr>
          <w:p w14:paraId="6877F52F" w14:textId="77777777" w:rsidR="00F92DB1" w:rsidRPr="00F92DB1" w:rsidRDefault="00F92DB1" w:rsidP="00F92DB1">
            <w:pPr>
              <w:keepNext/>
              <w:keepLines/>
              <w:jc w:val="center"/>
            </w:pPr>
            <w:r w:rsidRPr="00F92DB1">
              <w:t>36.0</w:t>
            </w:r>
          </w:p>
        </w:tc>
        <w:tc>
          <w:tcPr>
            <w:tcW w:w="0" w:type="auto"/>
            <w:tcBorders>
              <w:top w:val="single" w:sz="6" w:space="0" w:color="auto"/>
              <w:left w:val="single" w:sz="6" w:space="0" w:color="auto"/>
              <w:bottom w:val="single" w:sz="4" w:space="0" w:color="auto"/>
              <w:right w:val="single" w:sz="6" w:space="0" w:color="auto"/>
            </w:tcBorders>
            <w:vAlign w:val="center"/>
            <w:hideMark/>
          </w:tcPr>
          <w:p w14:paraId="5D060934" w14:textId="77777777" w:rsidR="00F92DB1" w:rsidRPr="00F92DB1" w:rsidRDefault="00F92DB1" w:rsidP="00F92DB1">
            <w:pPr>
              <w:keepNext/>
              <w:keepLines/>
              <w:jc w:val="center"/>
            </w:pPr>
            <w:r w:rsidRPr="00F92DB1">
              <w:t>37.6</w:t>
            </w:r>
          </w:p>
        </w:tc>
        <w:tc>
          <w:tcPr>
            <w:tcW w:w="0" w:type="auto"/>
            <w:tcBorders>
              <w:top w:val="single" w:sz="6" w:space="0" w:color="auto"/>
              <w:left w:val="single" w:sz="6" w:space="0" w:color="auto"/>
              <w:bottom w:val="single" w:sz="4" w:space="0" w:color="auto"/>
              <w:right w:val="single" w:sz="6" w:space="0" w:color="auto"/>
            </w:tcBorders>
            <w:vAlign w:val="center"/>
            <w:hideMark/>
          </w:tcPr>
          <w:p w14:paraId="4B9BF6C4" w14:textId="77777777" w:rsidR="00F92DB1" w:rsidRPr="00F92DB1" w:rsidRDefault="00F92DB1" w:rsidP="00F92DB1">
            <w:pPr>
              <w:keepNext/>
              <w:keepLines/>
              <w:jc w:val="center"/>
            </w:pPr>
            <w:r w:rsidRPr="00F92DB1">
              <w:t>40.4</w:t>
            </w:r>
          </w:p>
        </w:tc>
        <w:tc>
          <w:tcPr>
            <w:tcW w:w="0" w:type="auto"/>
            <w:tcBorders>
              <w:top w:val="single" w:sz="6" w:space="0" w:color="auto"/>
              <w:left w:val="single" w:sz="6" w:space="0" w:color="auto"/>
              <w:bottom w:val="single" w:sz="4" w:space="0" w:color="auto"/>
              <w:right w:val="single" w:sz="6" w:space="0" w:color="auto"/>
            </w:tcBorders>
            <w:vAlign w:val="center"/>
            <w:hideMark/>
          </w:tcPr>
          <w:p w14:paraId="3956A61A" w14:textId="77777777" w:rsidR="00F92DB1" w:rsidRPr="00F92DB1" w:rsidRDefault="00F92DB1" w:rsidP="00F92DB1">
            <w:pPr>
              <w:keepNext/>
              <w:keepLines/>
              <w:jc w:val="center"/>
            </w:pPr>
            <w:r w:rsidRPr="00F92DB1">
              <w:t>50.7</w:t>
            </w:r>
          </w:p>
        </w:tc>
        <w:tc>
          <w:tcPr>
            <w:tcW w:w="0" w:type="auto"/>
            <w:tcBorders>
              <w:top w:val="single" w:sz="6" w:space="0" w:color="auto"/>
              <w:left w:val="single" w:sz="6" w:space="0" w:color="auto"/>
              <w:bottom w:val="single" w:sz="4" w:space="0" w:color="auto"/>
              <w:right w:val="single" w:sz="6" w:space="0" w:color="auto"/>
            </w:tcBorders>
            <w:vAlign w:val="center"/>
            <w:hideMark/>
          </w:tcPr>
          <w:p w14:paraId="4C2F18AC" w14:textId="77777777" w:rsidR="00F92DB1" w:rsidRPr="00F92DB1" w:rsidRDefault="00F92DB1" w:rsidP="00F92DB1">
            <w:pPr>
              <w:keepNext/>
              <w:keepLines/>
              <w:jc w:val="center"/>
            </w:pPr>
            <w:r w:rsidRPr="00F92DB1">
              <w:t>65.8</w:t>
            </w:r>
          </w:p>
        </w:tc>
        <w:tc>
          <w:tcPr>
            <w:tcW w:w="0" w:type="auto"/>
            <w:tcBorders>
              <w:top w:val="single" w:sz="6" w:space="0" w:color="auto"/>
              <w:left w:val="single" w:sz="6" w:space="0" w:color="auto"/>
              <w:bottom w:val="single" w:sz="4" w:space="0" w:color="auto"/>
              <w:right w:val="single" w:sz="6" w:space="0" w:color="auto"/>
            </w:tcBorders>
            <w:vAlign w:val="center"/>
            <w:hideMark/>
          </w:tcPr>
          <w:p w14:paraId="45D26789" w14:textId="77777777" w:rsidR="00F92DB1" w:rsidRPr="00F92DB1" w:rsidRDefault="00F92DB1" w:rsidP="00F92DB1">
            <w:pPr>
              <w:keepLines/>
              <w:jc w:val="center"/>
            </w:pPr>
            <w:r w:rsidRPr="00F92DB1">
              <w:t>66.6</w:t>
            </w:r>
          </w:p>
        </w:tc>
        <w:tc>
          <w:tcPr>
            <w:tcW w:w="0" w:type="auto"/>
            <w:tcBorders>
              <w:top w:val="single" w:sz="6" w:space="0" w:color="auto"/>
              <w:left w:val="single" w:sz="6" w:space="0" w:color="auto"/>
              <w:bottom w:val="single" w:sz="4" w:space="0" w:color="auto"/>
              <w:right w:val="single" w:sz="6" w:space="0" w:color="auto"/>
            </w:tcBorders>
            <w:vAlign w:val="center"/>
            <w:hideMark/>
          </w:tcPr>
          <w:p w14:paraId="33DABF92" w14:textId="77777777" w:rsidR="00F92DB1" w:rsidRPr="00F92DB1" w:rsidRDefault="00F92DB1" w:rsidP="00F92DB1">
            <w:pPr>
              <w:keepLines/>
              <w:jc w:val="center"/>
            </w:pPr>
            <w:r w:rsidRPr="00F92DB1">
              <w:t>67.6</w:t>
            </w:r>
          </w:p>
        </w:tc>
        <w:tc>
          <w:tcPr>
            <w:tcW w:w="0" w:type="auto"/>
            <w:tcBorders>
              <w:top w:val="single" w:sz="6" w:space="0" w:color="auto"/>
              <w:left w:val="single" w:sz="6" w:space="0" w:color="auto"/>
              <w:bottom w:val="single" w:sz="4" w:space="0" w:color="auto"/>
              <w:right w:val="single" w:sz="6" w:space="0" w:color="auto"/>
            </w:tcBorders>
            <w:vAlign w:val="center"/>
            <w:hideMark/>
          </w:tcPr>
          <w:p w14:paraId="69F424D8" w14:textId="77777777" w:rsidR="00F92DB1" w:rsidRPr="00F92DB1" w:rsidRDefault="00F92DB1" w:rsidP="00F92DB1">
            <w:pPr>
              <w:keepLines/>
              <w:jc w:val="center"/>
            </w:pPr>
            <w:r w:rsidRPr="00F92DB1">
              <w:t>68.9</w:t>
            </w:r>
          </w:p>
        </w:tc>
        <w:tc>
          <w:tcPr>
            <w:tcW w:w="0" w:type="auto"/>
            <w:tcBorders>
              <w:top w:val="single" w:sz="6" w:space="0" w:color="auto"/>
              <w:left w:val="single" w:sz="6" w:space="0" w:color="auto"/>
              <w:bottom w:val="single" w:sz="4" w:space="0" w:color="auto"/>
              <w:right w:val="single" w:sz="4" w:space="0" w:color="auto"/>
            </w:tcBorders>
            <w:vAlign w:val="center"/>
            <w:hideMark/>
          </w:tcPr>
          <w:p w14:paraId="56366662" w14:textId="77777777" w:rsidR="00F92DB1" w:rsidRPr="00F92DB1" w:rsidRDefault="00F92DB1" w:rsidP="00F92DB1">
            <w:pPr>
              <w:keepLines/>
              <w:jc w:val="center"/>
            </w:pPr>
            <w:r w:rsidRPr="00F92DB1">
              <w:t>70.8</w:t>
            </w:r>
          </w:p>
        </w:tc>
      </w:tr>
    </w:tbl>
    <w:p w14:paraId="2CDCE7F7" w14:textId="77777777" w:rsidR="00F1278A" w:rsidRDefault="00F1278A" w:rsidP="00F1278A">
      <w:pPr>
        <w:jc w:val="center"/>
      </w:pPr>
      <w:bookmarkStart w:id="631" w:name="TableBody_2"/>
      <w:r>
        <w:t xml:space="preserve">Table </w:t>
      </w:r>
      <w:r w:rsidR="000302DB">
        <w:fldChar w:fldCharType="begin"/>
      </w:r>
      <w:r w:rsidR="000302DB">
        <w:instrText xml:space="preserve"> SEQ TableBody \* MERGEFORMAT </w:instrText>
      </w:r>
      <w:r w:rsidR="000302DB">
        <w:fldChar w:fldCharType="separate"/>
      </w:r>
      <w:r w:rsidR="00656F50">
        <w:rPr>
          <w:noProof/>
        </w:rPr>
        <w:t>2</w:t>
      </w:r>
      <w:r w:rsidR="000302DB">
        <w:rPr>
          <w:noProof/>
        </w:rPr>
        <w:fldChar w:fldCharType="end"/>
      </w:r>
      <w:bookmarkEnd w:id="631"/>
      <w:r>
        <w:t xml:space="preserve">.  </w:t>
      </w:r>
      <w:r>
        <w:rPr>
          <w:szCs w:val="22"/>
        </w:rPr>
        <w:t>Interference field strength value</w:t>
      </w:r>
      <w:r w:rsidRPr="006F6FE7">
        <w:rPr>
          <w:szCs w:val="22"/>
        </w:rPr>
        <w:t>s for DTV into wireless</w:t>
      </w:r>
    </w:p>
    <w:p w14:paraId="7E75BBD9" w14:textId="77777777" w:rsidR="00F92DB1" w:rsidRPr="00F92DB1" w:rsidRDefault="00F92DB1" w:rsidP="00914863"/>
    <w:p w14:paraId="05B477B6" w14:textId="77777777" w:rsidR="00F92DB1" w:rsidRPr="00F92DB1" w:rsidRDefault="00F92DB1" w:rsidP="0070311D">
      <w:pPr>
        <w:pStyle w:val="ParaNum"/>
        <w:keepNext/>
        <w:widowControl/>
      </w:pPr>
      <w:r w:rsidRPr="00F92DB1">
        <w:t xml:space="preserve">In addition, we propose to use the </w:t>
      </w:r>
      <w:r w:rsidR="004E5B55">
        <w:t xml:space="preserve">same </w:t>
      </w:r>
      <w:r w:rsidRPr="00F92DB1">
        <w:t>elevation pattern</w:t>
      </w:r>
      <w:r w:rsidR="004E5B55">
        <w:t xml:space="preserve">s for </w:t>
      </w:r>
      <w:r w:rsidRPr="00F92DB1">
        <w:t>LPTV and TV translators as those</w:t>
      </w:r>
      <w:r w:rsidR="00D402D8">
        <w:t xml:space="preserve"> patterns</w:t>
      </w:r>
      <w:r w:rsidRPr="00F92DB1">
        <w:t xml:space="preserve"> appear in </w:t>
      </w:r>
      <w:r w:rsidR="00D402D8">
        <w:t xml:space="preserve">the </w:t>
      </w:r>
      <w:r w:rsidRPr="00F92DB1">
        <w:t>C</w:t>
      </w:r>
      <w:r w:rsidR="00D402D8">
        <w:t>onsolidated Database System (C</w:t>
      </w:r>
      <w:r w:rsidRPr="00F92DB1">
        <w:t>DBS</w:t>
      </w:r>
      <w:r w:rsidR="00D402D8">
        <w:t>)</w:t>
      </w:r>
      <w:r w:rsidRPr="00F92DB1">
        <w:t>.</w:t>
      </w:r>
      <w:r w:rsidR="00D402D8">
        <w:rPr>
          <w:rStyle w:val="FootnoteReference"/>
        </w:rPr>
        <w:footnoteReference w:id="272"/>
      </w:r>
      <w:r w:rsidRPr="00F92DB1">
        <w:t xml:space="preserve">  In the event </w:t>
      </w:r>
      <w:r w:rsidR="00D402D8">
        <w:t xml:space="preserve">the </w:t>
      </w:r>
      <w:r w:rsidRPr="00F92DB1">
        <w:t xml:space="preserve">CDBS does not include </w:t>
      </w:r>
      <w:r w:rsidR="004E5B55">
        <w:t xml:space="preserve">elevation pattern </w:t>
      </w:r>
      <w:r w:rsidRPr="00F92DB1">
        <w:t xml:space="preserve">values for a given low power station, we propose to use the elevation patterns of LPTV and TV translators as </w:t>
      </w:r>
      <w:r w:rsidR="004E5B55" w:rsidRPr="00F92DB1">
        <w:t>th</w:t>
      </w:r>
      <w:r w:rsidR="004E5B55">
        <w:t xml:space="preserve">ey </w:t>
      </w:r>
      <w:r w:rsidRPr="00F92DB1">
        <w:t xml:space="preserve">are defined in section 74.793(d) of our rules. </w:t>
      </w:r>
    </w:p>
    <w:p w14:paraId="7761368A" w14:textId="77777777" w:rsidR="00F92DB1" w:rsidRPr="00F92DB1" w:rsidRDefault="00F92DB1" w:rsidP="00914863">
      <w:pPr>
        <w:pStyle w:val="ParaNum"/>
      </w:pPr>
      <w:bookmarkStart w:id="632" w:name="_Ref399163988"/>
      <w:r w:rsidRPr="00F92DB1">
        <w:t>In the event a potential</w:t>
      </w:r>
      <w:r w:rsidR="00C47D53">
        <w:t>ly</w:t>
      </w:r>
      <w:r w:rsidRPr="00F92DB1">
        <w:t xml:space="preserve"> interfering LPTV or TV translator station is operating an analog signal, we </w:t>
      </w:r>
      <w:r w:rsidR="00CD7587">
        <w:t>invite comment on</w:t>
      </w:r>
      <w:r w:rsidRPr="00F92DB1">
        <w:t xml:space="preserve"> </w:t>
      </w:r>
      <w:r w:rsidR="004E5B55">
        <w:t xml:space="preserve">additional </w:t>
      </w:r>
      <w:r w:rsidRPr="00F92DB1">
        <w:t>modifications</w:t>
      </w:r>
      <w:r w:rsidR="00CD7587">
        <w:t xml:space="preserve"> to the methodology for predicting inter-service interference </w:t>
      </w:r>
      <w:r w:rsidR="00C47D53">
        <w:t xml:space="preserve">that may be </w:t>
      </w:r>
      <w:r w:rsidR="00CD7587">
        <w:t>appropriate</w:t>
      </w:r>
      <w:r w:rsidRPr="00F92DB1">
        <w:t>.</w:t>
      </w:r>
      <w:r w:rsidR="004E5B55" w:rsidRPr="00F92DB1">
        <w:rPr>
          <w:sz w:val="20"/>
          <w:vertAlign w:val="superscript"/>
        </w:rPr>
        <w:footnoteReference w:id="273"/>
      </w:r>
      <w:r w:rsidRPr="00F92DB1">
        <w:t xml:space="preserve">  One </w:t>
      </w:r>
      <w:r w:rsidR="004E5B55">
        <w:t xml:space="preserve">potential </w:t>
      </w:r>
      <w:r w:rsidRPr="00F92DB1">
        <w:t xml:space="preserve">approach is to use </w:t>
      </w:r>
      <w:r w:rsidRPr="00F92DB1">
        <w:rPr>
          <w:i/>
        </w:rPr>
        <w:t>TVStudy</w:t>
      </w:r>
      <w:r w:rsidRPr="00F92DB1">
        <w:t xml:space="preserve">’s capability to “replicate” an analog signal as an equivalent digital signal and analyze the station as though it </w:t>
      </w:r>
      <w:r w:rsidR="004E5B55">
        <w:t xml:space="preserve">were </w:t>
      </w:r>
      <w:r w:rsidRPr="00F92DB1">
        <w:t xml:space="preserve">operating in digital.  </w:t>
      </w:r>
      <w:r w:rsidR="004E5B55">
        <w:t xml:space="preserve">We seek comment on this approach and on any other potential approaches. </w:t>
      </w:r>
      <w:r w:rsidR="00C47D53">
        <w:t xml:space="preserve"> </w:t>
      </w:r>
      <w:r w:rsidRPr="00F92DB1">
        <w:t xml:space="preserve">In the event we use </w:t>
      </w:r>
      <w:r w:rsidR="004E5B55">
        <w:t xml:space="preserve">the </w:t>
      </w:r>
      <w:r w:rsidR="004E5B55" w:rsidRPr="00F3761A">
        <w:rPr>
          <w:i/>
        </w:rPr>
        <w:t>TVStudy</w:t>
      </w:r>
      <w:r w:rsidR="004E5B55">
        <w:t xml:space="preserve"> approach</w:t>
      </w:r>
      <w:r w:rsidRPr="00F92DB1">
        <w:t xml:space="preserve">, we seek comment on whether we should treat the interfering </w:t>
      </w:r>
      <w:r w:rsidR="00511DBA">
        <w:t xml:space="preserve">field strength </w:t>
      </w:r>
      <w:r w:rsidRPr="00F92DB1">
        <w:t xml:space="preserve">of an analog television signal the same as an interfering </w:t>
      </w:r>
      <w:r w:rsidR="00511DBA">
        <w:t xml:space="preserve">digital television </w:t>
      </w:r>
      <w:r w:rsidRPr="00F92DB1">
        <w:t>signal.</w:t>
      </w:r>
      <w:bookmarkEnd w:id="632"/>
    </w:p>
    <w:p w14:paraId="67763987" w14:textId="77777777" w:rsidR="00F92DB1" w:rsidRPr="00F92DB1" w:rsidRDefault="00F92DB1" w:rsidP="00AA3CDA">
      <w:pPr>
        <w:pStyle w:val="Heading3"/>
      </w:pPr>
      <w:bookmarkStart w:id="633" w:name="_Toc396492689"/>
      <w:bookmarkStart w:id="634" w:name="_Toc396492713"/>
      <w:bookmarkStart w:id="635" w:name="_Toc396915813"/>
      <w:bookmarkStart w:id="636" w:name="_Toc396995215"/>
      <w:bookmarkStart w:id="637" w:name="_Toc396995847"/>
      <w:bookmarkStart w:id="638" w:name="_Toc397609541"/>
      <w:bookmarkStart w:id="639" w:name="_Toc397610966"/>
      <w:bookmarkStart w:id="640" w:name="_Toc397962816"/>
      <w:bookmarkStart w:id="641" w:name="_Toc398023594"/>
      <w:bookmarkStart w:id="642" w:name="_Toc398902990"/>
      <w:bookmarkStart w:id="643" w:name="_Toc398903313"/>
      <w:bookmarkStart w:id="644" w:name="_Toc398903502"/>
      <w:bookmarkStart w:id="645" w:name="_Toc398904099"/>
      <w:bookmarkStart w:id="646" w:name="_Toc398904607"/>
      <w:bookmarkStart w:id="647" w:name="_Toc401305967"/>
      <w:bookmarkStart w:id="648" w:name="_Toc401306642"/>
      <w:bookmarkStart w:id="649" w:name="_Toc401306711"/>
      <w:r w:rsidRPr="00F92DB1">
        <w:t xml:space="preserve">Wireless Operations Prior to </w:t>
      </w:r>
      <w:r w:rsidR="00D402D8" w:rsidRPr="00F92DB1">
        <w:t>Broadcast</w:t>
      </w:r>
      <w:r w:rsidR="00D402D8">
        <w:t xml:space="preserve"> Television Station </w:t>
      </w:r>
      <w:r w:rsidRPr="00F92DB1">
        <w:t>Relocation</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F92DB1">
        <w:t xml:space="preserve"> </w:t>
      </w:r>
    </w:p>
    <w:p w14:paraId="3D89D160" w14:textId="77777777" w:rsidR="00E5334D" w:rsidRDefault="00F92DB1" w:rsidP="00914863">
      <w:pPr>
        <w:pStyle w:val="ParaNum"/>
      </w:pPr>
      <w:r w:rsidRPr="00F92DB1">
        <w:t xml:space="preserve">As </w:t>
      </w:r>
      <w:r w:rsidR="004424DD">
        <w:t xml:space="preserve">set forth </w:t>
      </w:r>
      <w:r w:rsidRPr="00F92DB1">
        <w:t xml:space="preserve">in the </w:t>
      </w:r>
      <w:r w:rsidRPr="00F92DB1">
        <w:rPr>
          <w:i/>
        </w:rPr>
        <w:t>Incentive Auction R&amp;O,</w:t>
      </w:r>
      <w:r w:rsidRPr="00F92DB1">
        <w:t xml:space="preserve"> wireless providers may commence operations prior to the end of the 39-month Post-Auction Transition Period</w:t>
      </w:r>
      <w:r w:rsidR="004424DD">
        <w:t>, as soon as their licensed frequencies are vacated by any full power or Class A television stations that occupied those frequencies prior to the incentive auction</w:t>
      </w:r>
      <w:r w:rsidRPr="00F92DB1">
        <w:t>.</w:t>
      </w:r>
      <w:r w:rsidRPr="00F92DB1">
        <w:rPr>
          <w:sz w:val="20"/>
          <w:vertAlign w:val="superscript"/>
        </w:rPr>
        <w:footnoteReference w:id="274"/>
      </w:r>
      <w:r w:rsidRPr="00F92DB1">
        <w:t xml:space="preserve">  </w:t>
      </w:r>
      <w:r w:rsidR="00842556">
        <w:t xml:space="preserve">Because </w:t>
      </w:r>
      <w:r w:rsidR="00D7469E">
        <w:t xml:space="preserve">television stations transitioning to new channels or going off the air may be operating on different timetables under the rules established in the </w:t>
      </w:r>
      <w:r w:rsidR="00D7469E">
        <w:rPr>
          <w:i/>
        </w:rPr>
        <w:t>Incentive Auction R&amp;O</w:t>
      </w:r>
      <w:r w:rsidR="00D7469E">
        <w:t xml:space="preserve">, </w:t>
      </w:r>
      <w:r w:rsidRPr="00F92DB1">
        <w:t>there is</w:t>
      </w:r>
      <w:r w:rsidR="00D7469E">
        <w:t xml:space="preserve"> a</w:t>
      </w:r>
      <w:r w:rsidRPr="00F92DB1">
        <w:t xml:space="preserve"> potential for inter-service interference between wireless providers </w:t>
      </w:r>
      <w:r w:rsidR="004424DD">
        <w:t xml:space="preserve">that commence operations </w:t>
      </w:r>
      <w:r w:rsidR="00D7469E">
        <w:t xml:space="preserve">on frequencies that have been vacated by a broadcast television station </w:t>
      </w:r>
      <w:r w:rsidR="004424DD">
        <w:t xml:space="preserve">in their license area or in part of their license area </w:t>
      </w:r>
      <w:r w:rsidRPr="00F92DB1">
        <w:t>and broadcast television stations</w:t>
      </w:r>
      <w:r w:rsidR="004424DD">
        <w:t xml:space="preserve"> in nearby markets</w:t>
      </w:r>
      <w:r w:rsidRPr="00F92DB1">
        <w:t xml:space="preserve"> that have not </w:t>
      </w:r>
      <w:r w:rsidR="00D7469E">
        <w:t>transitioned yet</w:t>
      </w:r>
      <w:r w:rsidRPr="00F92DB1">
        <w:t xml:space="preserve">.  </w:t>
      </w:r>
    </w:p>
    <w:p w14:paraId="6B3227D7" w14:textId="77777777" w:rsidR="006A2DCA" w:rsidRDefault="00D7469E" w:rsidP="00914863">
      <w:pPr>
        <w:pStyle w:val="ParaNum"/>
      </w:pPr>
      <w:r>
        <w:t>Accordingly, i</w:t>
      </w:r>
      <w:r w:rsidR="00F92DB1" w:rsidRPr="00F92DB1">
        <w:t>n the event that a wireless provider seeks to commence operations prior to the end of the 39-month Post-Auction Transition Period and there are co-channel or adjacent-channel broadcast television stations in the wireless licensee’s downlink spectrum within the culling distances specified in OET-74, we propose to require the wireless provider to use OET-74 to predict whether</w:t>
      </w:r>
      <w:r>
        <w:t xml:space="preserve"> wireless</w:t>
      </w:r>
      <w:r w:rsidR="00F92DB1" w:rsidRPr="00F92DB1">
        <w:t xml:space="preserve"> operations in its license area</w:t>
      </w:r>
      <w:r w:rsidR="00CC44D2">
        <w:t xml:space="preserve"> or part of its license area</w:t>
      </w:r>
      <w:r w:rsidR="00F92DB1" w:rsidRPr="00F92DB1">
        <w:t xml:space="preserve"> will cause harmful interference to the </w:t>
      </w:r>
      <w:r>
        <w:t xml:space="preserve">subject </w:t>
      </w:r>
      <w:r w:rsidR="00F92DB1" w:rsidRPr="00F92DB1">
        <w:t xml:space="preserve">television stations. </w:t>
      </w:r>
      <w:r w:rsidR="006A2DCA">
        <w:t xml:space="preserve"> </w:t>
      </w:r>
      <w:r w:rsidR="0046433F" w:rsidRPr="00F92DB1">
        <w:t xml:space="preserve">The wireless </w:t>
      </w:r>
      <w:r w:rsidR="00EA5603">
        <w:t>licensees</w:t>
      </w:r>
      <w:r w:rsidR="00EA5603" w:rsidRPr="00F92DB1">
        <w:t xml:space="preserve"> </w:t>
      </w:r>
      <w:r w:rsidR="0046433F">
        <w:t xml:space="preserve">would be required to </w:t>
      </w:r>
      <w:r w:rsidR="0046433F" w:rsidRPr="00F92DB1">
        <w:t>retain the latest copy of the OET-74 study for each co-</w:t>
      </w:r>
      <w:r w:rsidR="0046433F">
        <w:t>channel</w:t>
      </w:r>
      <w:r w:rsidR="0046433F" w:rsidRPr="00F92DB1">
        <w:t xml:space="preserve"> or adjacent-channel </w:t>
      </w:r>
      <w:r w:rsidR="0046433F" w:rsidRPr="00E369CF">
        <w:t>PEA license area where any of their base stations fall within the specified OET-</w:t>
      </w:r>
      <w:r w:rsidR="0046433F" w:rsidRPr="00F92DB1">
        <w:t xml:space="preserve">74 culling distances and make it available </w:t>
      </w:r>
      <w:r w:rsidR="001C4464">
        <w:t xml:space="preserve">to the Commission and to a </w:t>
      </w:r>
      <w:r>
        <w:t>subject</w:t>
      </w:r>
      <w:r w:rsidR="001C4464">
        <w:t xml:space="preserve"> television station </w:t>
      </w:r>
      <w:r w:rsidR="0046433F" w:rsidRPr="00F92DB1">
        <w:t>upon request i</w:t>
      </w:r>
      <w:r>
        <w:t>f</w:t>
      </w:r>
      <w:r w:rsidR="0046433F" w:rsidRPr="00F92DB1">
        <w:t xml:space="preserve"> there are complaints of interference either from a </w:t>
      </w:r>
      <w:r>
        <w:t>subject</w:t>
      </w:r>
      <w:r w:rsidR="0046433F" w:rsidRPr="00F92DB1">
        <w:t xml:space="preserve"> </w:t>
      </w:r>
      <w:r w:rsidR="001C4464">
        <w:t xml:space="preserve">television </w:t>
      </w:r>
      <w:r w:rsidR="0046433F" w:rsidRPr="00F92DB1">
        <w:t>station, a member of the public or the Commission.  We seek comment on these proposals.</w:t>
      </w:r>
    </w:p>
    <w:p w14:paraId="7E2F4662" w14:textId="77777777" w:rsidR="00F92DB1" w:rsidRPr="00F92DB1" w:rsidRDefault="00F92DB1" w:rsidP="00914863">
      <w:pPr>
        <w:pStyle w:val="ParaNum"/>
      </w:pPr>
      <w:r w:rsidRPr="00F92DB1">
        <w:t xml:space="preserve">If there are co-channel or adjacent channel broadcast television stations in the wireless licensee’s uplink spectrum that have not cleared their </w:t>
      </w:r>
      <w:r w:rsidR="00E5334D">
        <w:t>pre-auction</w:t>
      </w:r>
      <w:r w:rsidR="00E5334D" w:rsidRPr="00F92DB1">
        <w:t xml:space="preserve"> </w:t>
      </w:r>
      <w:r w:rsidRPr="00F92DB1">
        <w:t>channels, we propose to require the wireless providers to ensure that their user equipment do</w:t>
      </w:r>
      <w:r w:rsidR="00157E59">
        <w:t>es</w:t>
      </w:r>
      <w:r w:rsidRPr="00F92DB1">
        <w:t xml:space="preserve"> not operate in the contours and within five kilometers of the contour when co-channel or within a half kilometer when adjacent channel.  We seek comment on this proposal.</w:t>
      </w:r>
    </w:p>
    <w:p w14:paraId="76AC115D" w14:textId="77777777" w:rsidR="00F92DB1" w:rsidRPr="00F92DB1" w:rsidRDefault="00F92DB1" w:rsidP="006510FF">
      <w:pPr>
        <w:pStyle w:val="Heading2"/>
      </w:pPr>
      <w:bookmarkStart w:id="650" w:name="_Toc401306643"/>
      <w:bookmarkStart w:id="651" w:name="_Toc401306712"/>
      <w:r w:rsidRPr="00F92DB1">
        <w:t xml:space="preserve">Using the ISIX Methodology to Assess Interference from </w:t>
      </w:r>
      <w:r w:rsidR="00911D72">
        <w:t xml:space="preserve">and to </w:t>
      </w:r>
      <w:r w:rsidRPr="00F92DB1">
        <w:t>International Broadcast Television Stations During the Auction</w:t>
      </w:r>
      <w:bookmarkEnd w:id="650"/>
      <w:bookmarkEnd w:id="651"/>
    </w:p>
    <w:p w14:paraId="42230F0D" w14:textId="77777777" w:rsidR="00911D72" w:rsidRPr="005172C0" w:rsidRDefault="00F92DB1" w:rsidP="007A7E8D">
      <w:pPr>
        <w:pStyle w:val="ParaNum"/>
        <w:keepNext/>
        <w:widowControl/>
        <w:rPr>
          <w:szCs w:val="22"/>
        </w:rPr>
      </w:pPr>
      <w:r w:rsidRPr="00F92DB1">
        <w:t xml:space="preserve">We have engaged in extensive </w:t>
      </w:r>
      <w:r w:rsidR="00DA64F3">
        <w:t>discussions</w:t>
      </w:r>
      <w:r w:rsidR="00DA64F3" w:rsidRPr="00F92DB1">
        <w:t xml:space="preserve"> </w:t>
      </w:r>
      <w:r w:rsidRPr="00F92DB1">
        <w:t xml:space="preserve">with Canada and Mexico to determine interference protection along the border areas.  At this time, both Canada and Mexico are transitioning their broadcast services into digital in line with their regulatory requirements.  Because the timing of </w:t>
      </w:r>
      <w:r w:rsidR="00157E59">
        <w:t xml:space="preserve">these </w:t>
      </w:r>
      <w:r w:rsidRPr="00F92DB1">
        <w:t>transition</w:t>
      </w:r>
      <w:r w:rsidR="00157E59">
        <w:t>s</w:t>
      </w:r>
      <w:r w:rsidRPr="00F92DB1">
        <w:t xml:space="preserve"> is under the control of the administration of the respective countries, we seek comment on using the ISIX Methodology</w:t>
      </w:r>
      <w:r w:rsidR="003A5013">
        <w:t xml:space="preserve"> and input values</w:t>
      </w:r>
      <w:r w:rsidRPr="00F92DB1">
        <w:t xml:space="preserve"> to identify impairments </w:t>
      </w:r>
      <w:r w:rsidR="00911D72">
        <w:t xml:space="preserve">to wireless spectrum </w:t>
      </w:r>
      <w:r w:rsidRPr="00F92DB1">
        <w:t>along the international borders</w:t>
      </w:r>
      <w:r w:rsidR="00911D72">
        <w:t xml:space="preserve"> during the auction</w:t>
      </w:r>
      <w:r w:rsidRPr="00F92DB1">
        <w:t>.</w:t>
      </w:r>
      <w:r w:rsidR="00D835D6">
        <w:rPr>
          <w:rStyle w:val="FootnoteReference"/>
        </w:rPr>
        <w:footnoteReference w:id="275"/>
      </w:r>
      <w:r w:rsidRPr="00F92DB1">
        <w:t xml:space="preserve"> </w:t>
      </w:r>
    </w:p>
    <w:p w14:paraId="56053FB6" w14:textId="77777777" w:rsidR="00F92DB1" w:rsidRPr="00F92DB1" w:rsidRDefault="00F92DB1" w:rsidP="00914863">
      <w:pPr>
        <w:pStyle w:val="ParaNum"/>
      </w:pPr>
      <w:r w:rsidRPr="00F92DB1">
        <w:t>As noted above, the ISIX Methodology adopted in th</w:t>
      </w:r>
      <w:r w:rsidR="002F70B0">
        <w:t xml:space="preserve">e companion </w:t>
      </w:r>
      <w:r w:rsidR="002F70B0" w:rsidRPr="004A401F">
        <w:rPr>
          <w:i/>
        </w:rPr>
        <w:t>Second Report &amp; Order</w:t>
      </w:r>
      <w:r w:rsidRPr="00F92DB1">
        <w:t xml:space="preserve"> item is not designed for </w:t>
      </w:r>
      <w:r w:rsidRPr="00D401C4">
        <w:t>analog</w:t>
      </w:r>
      <w:r w:rsidRPr="00F92DB1">
        <w:t xml:space="preserve"> signals.  </w:t>
      </w:r>
      <w:r w:rsidR="002F70B0">
        <w:t>As Canada and Mexico have not completed their digital transitions</w:t>
      </w:r>
      <w:r w:rsidRPr="00F92DB1">
        <w:t>, we</w:t>
      </w:r>
      <w:r w:rsidR="002F70B0">
        <w:t xml:space="preserve"> also</w:t>
      </w:r>
      <w:r w:rsidRPr="00F92DB1">
        <w:t xml:space="preserve"> seek comment on implementing an approach similar to th</w:t>
      </w:r>
      <w:r w:rsidR="00157E59">
        <w:t>at</w:t>
      </w:r>
      <w:r w:rsidRPr="00F92DB1">
        <w:t xml:space="preserve"> proposed </w:t>
      </w:r>
      <w:r w:rsidR="00157E59">
        <w:t xml:space="preserve">above </w:t>
      </w:r>
      <w:r w:rsidRPr="00F92DB1">
        <w:t>for predicting interference from analog LPTV to wireless service.</w:t>
      </w:r>
      <w:r w:rsidRPr="00F92DB1">
        <w:rPr>
          <w:sz w:val="20"/>
          <w:vertAlign w:val="superscript"/>
        </w:rPr>
        <w:footnoteReference w:id="276"/>
      </w:r>
      <w:r w:rsidRPr="00F92DB1">
        <w:t xml:space="preserve">  Specifically, in predicting interference </w:t>
      </w:r>
      <w:r w:rsidR="00911D72">
        <w:t xml:space="preserve">to and </w:t>
      </w:r>
      <w:r w:rsidRPr="00F92DB1">
        <w:t xml:space="preserve">from </w:t>
      </w:r>
      <w:r w:rsidR="00157E59">
        <w:t xml:space="preserve">foreign analog </w:t>
      </w:r>
      <w:r w:rsidRPr="00F92DB1">
        <w:t>broadcast television stations along our international borders</w:t>
      </w:r>
      <w:r w:rsidR="002F70B0">
        <w:t>,</w:t>
      </w:r>
      <w:r w:rsidRPr="00F92DB1">
        <w:t xml:space="preserve"> we propose to use </w:t>
      </w:r>
      <w:r w:rsidRPr="00F92DB1">
        <w:rPr>
          <w:i/>
        </w:rPr>
        <w:t>TVStudy’s</w:t>
      </w:r>
      <w:r w:rsidRPr="00F92DB1">
        <w:t xml:space="preserve"> capability to “replicate” an analog signal as an equivalent digital signal and analyze the station as though it was operating as digital</w:t>
      </w:r>
      <w:r w:rsidR="0080130C">
        <w:t>.</w:t>
      </w:r>
      <w:r w:rsidRPr="00F92DB1">
        <w:t xml:space="preserve">  </w:t>
      </w:r>
    </w:p>
    <w:p w14:paraId="226A08BA" w14:textId="77777777" w:rsidR="00B604D6" w:rsidRPr="00B604D6" w:rsidRDefault="00B604D6" w:rsidP="006A744E">
      <w:pPr>
        <w:pStyle w:val="Heading1"/>
      </w:pPr>
      <w:bookmarkStart w:id="652" w:name="_Toc397962820"/>
      <w:bookmarkStart w:id="653" w:name="_Toc398023598"/>
      <w:bookmarkStart w:id="654" w:name="_Toc398902991"/>
      <w:bookmarkStart w:id="655" w:name="_Toc398903314"/>
      <w:bookmarkStart w:id="656" w:name="_Toc398903503"/>
      <w:bookmarkStart w:id="657" w:name="_Toc398904100"/>
      <w:bookmarkStart w:id="658" w:name="_Toc398904608"/>
      <w:bookmarkStart w:id="659" w:name="_Toc401305968"/>
      <w:bookmarkStart w:id="660" w:name="_Toc401306644"/>
      <w:bookmarkStart w:id="661" w:name="_Toc401306713"/>
      <w:bookmarkStart w:id="662" w:name="_Toc276563423"/>
      <w:bookmarkStart w:id="663" w:name="_Toc276649531"/>
      <w:bookmarkStart w:id="664" w:name="_Toc276649606"/>
      <w:bookmarkStart w:id="665" w:name="_Toc276711307"/>
      <w:bookmarkStart w:id="666" w:name="_Toc276737800"/>
      <w:bookmarkStart w:id="667" w:name="_Toc278186009"/>
      <w:bookmarkStart w:id="668" w:name="_Toc279995359"/>
      <w:bookmarkStart w:id="669" w:name="_Toc280193407"/>
      <w:bookmarkStart w:id="670" w:name="_Toc283645689"/>
      <w:bookmarkStart w:id="671" w:name="_Toc284856543"/>
      <w:bookmarkStart w:id="672" w:name="_Toc285632954"/>
      <w:bookmarkStart w:id="673" w:name="_Toc297121225"/>
      <w:bookmarkStart w:id="674" w:name="_Toc297899012"/>
      <w:bookmarkStart w:id="675" w:name="_Toc298320079"/>
      <w:bookmarkStart w:id="676" w:name="_Toc299604161"/>
      <w:bookmarkStart w:id="677" w:name="_Toc304876968"/>
      <w:bookmarkStart w:id="678" w:name="_Toc304877982"/>
      <w:bookmarkStart w:id="679" w:name="_Toc304878041"/>
      <w:bookmarkStart w:id="680" w:name="_Toc317234834"/>
      <w:bookmarkStart w:id="681" w:name="_Toc317758900"/>
      <w:bookmarkStart w:id="682" w:name="_Toc317864327"/>
      <w:bookmarkStart w:id="683" w:name="_Toc318716881"/>
      <w:bookmarkStart w:id="684" w:name="_Toc318717226"/>
      <w:bookmarkStart w:id="685" w:name="_Toc318721409"/>
      <w:bookmarkStart w:id="686" w:name="_Toc320282861"/>
      <w:bookmarkStart w:id="687" w:name="_Toc322695107"/>
      <w:bookmarkStart w:id="688" w:name="_Toc316367539"/>
      <w:bookmarkStart w:id="689" w:name="_Toc316367588"/>
      <w:bookmarkStart w:id="690" w:name="_Toc329590658"/>
      <w:bookmarkStart w:id="691" w:name="_Toc331422320"/>
      <w:bookmarkStart w:id="692" w:name="_Toc331750674"/>
      <w:bookmarkStart w:id="693" w:name="_Toc331750730"/>
      <w:bookmarkStart w:id="694" w:name="_Toc332884064"/>
      <w:bookmarkStart w:id="695" w:name="_Toc333315308"/>
      <w:bookmarkStart w:id="696" w:name="_Toc351024512"/>
      <w:bookmarkStart w:id="697" w:name="_Toc351973035"/>
      <w:bookmarkStart w:id="698" w:name="_Toc352050836"/>
      <w:bookmarkStart w:id="699" w:name="_Toc352051312"/>
      <w:bookmarkStart w:id="700" w:name="_Toc352051504"/>
      <w:bookmarkStart w:id="701" w:name="_Toc396995216"/>
      <w:bookmarkStart w:id="702" w:name="_Toc396995848"/>
      <w:bookmarkStart w:id="703" w:name="_Toc397609542"/>
      <w:bookmarkStart w:id="704" w:name="_Toc397610970"/>
      <w:r w:rsidRPr="00B604D6">
        <w:t>Procedural Matters</w:t>
      </w:r>
      <w:bookmarkEnd w:id="652"/>
      <w:bookmarkEnd w:id="653"/>
      <w:bookmarkEnd w:id="654"/>
      <w:bookmarkEnd w:id="655"/>
      <w:bookmarkEnd w:id="656"/>
      <w:bookmarkEnd w:id="657"/>
      <w:bookmarkEnd w:id="658"/>
      <w:bookmarkEnd w:id="659"/>
      <w:bookmarkEnd w:id="660"/>
      <w:bookmarkEnd w:id="661"/>
    </w:p>
    <w:p w14:paraId="58DD98B7" w14:textId="77777777" w:rsidR="00B604D6" w:rsidRPr="00B604D6" w:rsidRDefault="00B604D6" w:rsidP="00D50682">
      <w:pPr>
        <w:pStyle w:val="Heading2"/>
      </w:pPr>
      <w:bookmarkStart w:id="705" w:name="_Toc397962821"/>
      <w:bookmarkStart w:id="706" w:name="_Toc398023599"/>
      <w:bookmarkStart w:id="707" w:name="_Toc398902992"/>
      <w:bookmarkStart w:id="708" w:name="_Toc398903315"/>
      <w:bookmarkStart w:id="709" w:name="_Toc398903504"/>
      <w:bookmarkStart w:id="710" w:name="_Toc398904101"/>
      <w:bookmarkStart w:id="711" w:name="_Toc398904609"/>
      <w:bookmarkStart w:id="712" w:name="_Toc401305969"/>
      <w:bookmarkStart w:id="713" w:name="_Toc401306645"/>
      <w:bookmarkStart w:id="714" w:name="_Toc401306714"/>
      <w:r w:rsidRPr="00B604D6">
        <w:t>Final and Initial Regulatory Flexibility Analysis</w:t>
      </w:r>
      <w:bookmarkEnd w:id="705"/>
      <w:bookmarkEnd w:id="706"/>
      <w:bookmarkEnd w:id="707"/>
      <w:bookmarkEnd w:id="708"/>
      <w:bookmarkEnd w:id="709"/>
      <w:bookmarkEnd w:id="710"/>
      <w:bookmarkEnd w:id="711"/>
      <w:bookmarkEnd w:id="712"/>
      <w:bookmarkEnd w:id="713"/>
      <w:bookmarkEnd w:id="714"/>
    </w:p>
    <w:p w14:paraId="483899D1" w14:textId="77777777" w:rsidR="00B604D6" w:rsidRPr="00B604D6" w:rsidRDefault="00B604D6" w:rsidP="006A744E">
      <w:pPr>
        <w:pStyle w:val="ParaNum"/>
      </w:pPr>
      <w:r w:rsidRPr="00B604D6">
        <w:t xml:space="preserve">As required by § 603 of the Regulatory Flexibility Act of 1980 (RFA), 5 U.S.C. § 603, the Commission has prepared a Final Regulatory Flexibility Analysis of the possible economic impact on small entities of the policies and rules adopted in this </w:t>
      </w:r>
      <w:r w:rsidRPr="00B604D6">
        <w:rPr>
          <w:i/>
        </w:rPr>
        <w:t>Second Report and Order</w:t>
      </w:r>
      <w:r w:rsidRPr="00B604D6">
        <w:t>.  This Final Regulatory Flexibility Analysis is set forth in Appendix F</w:t>
      </w:r>
      <w:r w:rsidRPr="00B604D6">
        <w:rPr>
          <w:color w:val="FF0000"/>
        </w:rPr>
        <w:t>.</w:t>
      </w:r>
    </w:p>
    <w:p w14:paraId="3E71D200" w14:textId="77777777" w:rsidR="00B604D6" w:rsidRPr="00B604D6" w:rsidRDefault="00B604D6" w:rsidP="006A744E">
      <w:pPr>
        <w:pStyle w:val="ParaNum"/>
      </w:pPr>
      <w:r w:rsidRPr="00B604D6">
        <w:t xml:space="preserve">As required by the RFA, the Commission has prepared an Initial Regulatory Flexibility Analysis (“IRFA”) relating to this </w:t>
      </w:r>
      <w:r w:rsidRPr="00B604D6">
        <w:rPr>
          <w:i/>
        </w:rPr>
        <w:t>NPRM</w:t>
      </w:r>
      <w:r w:rsidRPr="00B604D6">
        <w:t xml:space="preserve">.  The IRFA is attached to this </w:t>
      </w:r>
      <w:r w:rsidRPr="00B604D6">
        <w:rPr>
          <w:i/>
        </w:rPr>
        <w:t>NPRM</w:t>
      </w:r>
      <w:r w:rsidRPr="00B604D6">
        <w:t xml:space="preserve"> as Appendix G.</w:t>
      </w:r>
    </w:p>
    <w:p w14:paraId="2F921322" w14:textId="77777777" w:rsidR="00B604D6" w:rsidRPr="00B604D6" w:rsidRDefault="00B604D6" w:rsidP="00D50682">
      <w:pPr>
        <w:pStyle w:val="Heading2"/>
      </w:pPr>
      <w:bookmarkStart w:id="715" w:name="_Toc397962822"/>
      <w:bookmarkStart w:id="716" w:name="_Toc398023600"/>
      <w:bookmarkStart w:id="717" w:name="_Toc398902993"/>
      <w:bookmarkStart w:id="718" w:name="_Toc398903316"/>
      <w:bookmarkStart w:id="719" w:name="_Toc398903505"/>
      <w:bookmarkStart w:id="720" w:name="_Toc398904102"/>
      <w:bookmarkStart w:id="721" w:name="_Toc398904610"/>
      <w:bookmarkStart w:id="722" w:name="_Toc401305970"/>
      <w:bookmarkStart w:id="723" w:name="_Toc401306646"/>
      <w:bookmarkStart w:id="724" w:name="_Toc401306715"/>
      <w:r w:rsidRPr="00B604D6">
        <w:t>Final and Initial Paperwork Reduction Act Analysis</w:t>
      </w:r>
      <w:bookmarkEnd w:id="715"/>
      <w:bookmarkEnd w:id="716"/>
      <w:bookmarkEnd w:id="717"/>
      <w:bookmarkEnd w:id="718"/>
      <w:bookmarkEnd w:id="719"/>
      <w:bookmarkEnd w:id="720"/>
      <w:bookmarkEnd w:id="721"/>
      <w:bookmarkEnd w:id="722"/>
      <w:bookmarkEnd w:id="723"/>
      <w:bookmarkEnd w:id="724"/>
    </w:p>
    <w:p w14:paraId="11F4BD9F" w14:textId="77777777" w:rsidR="00B604D6" w:rsidRPr="00B604D6" w:rsidRDefault="00B604D6" w:rsidP="006A744E">
      <w:pPr>
        <w:pStyle w:val="ParaNum"/>
      </w:pPr>
      <w:r w:rsidRPr="00B604D6">
        <w:t xml:space="preserve">This </w:t>
      </w:r>
      <w:r w:rsidRPr="00B604D6">
        <w:rPr>
          <w:i/>
        </w:rPr>
        <w:t>Second Report and Order</w:t>
      </w:r>
      <w:r w:rsidRPr="00B604D6">
        <w:t xml:space="preserve"> contains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modified information collection requirements contained in this proceeding.  In addition, we note that pursuant to the Small Business Paperwork Relief Act of 2002, Public Law 107-198, </w:t>
      </w:r>
      <w:r w:rsidRPr="00B604D6">
        <w:rPr>
          <w:i/>
          <w:iCs/>
        </w:rPr>
        <w:t>see</w:t>
      </w:r>
      <w:r w:rsidRPr="00B604D6">
        <w:t xml:space="preserve"> 44 U.S.C. 3506(c)(4), we previously sought specific comment on how the Commission might further reduce the information collection burden for small business concerns with fewer than 25 employees.</w:t>
      </w:r>
    </w:p>
    <w:p w14:paraId="751B2E10" w14:textId="77777777" w:rsidR="00B604D6" w:rsidRPr="00B604D6" w:rsidRDefault="00B604D6" w:rsidP="006A744E">
      <w:pPr>
        <w:pStyle w:val="ParaNum"/>
      </w:pPr>
      <w:r w:rsidRPr="00B604D6">
        <w:t>W</w:t>
      </w:r>
      <w:r w:rsidRPr="00B604D6">
        <w:rPr>
          <w:szCs w:val="22"/>
        </w:rPr>
        <w:t>e</w:t>
      </w:r>
      <w:r w:rsidRPr="00B604D6">
        <w:t xml:space="preserve"> </w:t>
      </w:r>
      <w:r w:rsidRPr="00B604D6">
        <w:rPr>
          <w:szCs w:val="22"/>
        </w:rPr>
        <w:t>have</w:t>
      </w:r>
      <w:r w:rsidRPr="00B604D6">
        <w:t xml:space="preserve"> </w:t>
      </w:r>
      <w:r w:rsidRPr="00B604D6">
        <w:rPr>
          <w:szCs w:val="22"/>
        </w:rPr>
        <w:t>assessed</w:t>
      </w:r>
      <w:r w:rsidRPr="00B604D6">
        <w:t xml:space="preserve"> the </w:t>
      </w:r>
      <w:r w:rsidRPr="00B604D6">
        <w:rPr>
          <w:szCs w:val="22"/>
        </w:rPr>
        <w:t>effects</w:t>
      </w:r>
      <w:r w:rsidRPr="00B604D6">
        <w:t xml:space="preserve"> of the policies adopted in this </w:t>
      </w:r>
      <w:r w:rsidRPr="00B604D6">
        <w:rPr>
          <w:i/>
        </w:rPr>
        <w:t xml:space="preserve">Second Report </w:t>
      </w:r>
      <w:r>
        <w:rPr>
          <w:i/>
        </w:rPr>
        <w:t xml:space="preserve">&amp; </w:t>
      </w:r>
      <w:r w:rsidRPr="00B604D6">
        <w:rPr>
          <w:i/>
        </w:rPr>
        <w:t>Order</w:t>
      </w:r>
      <w:r w:rsidRPr="00B604D6">
        <w:t xml:space="preserve"> with regard to information collection burdens on small business concerns, and find that these policies will benefit companies with fewer than 25 employees</w:t>
      </w:r>
      <w:r w:rsidRPr="00B604D6">
        <w:rPr>
          <w:color w:val="000000"/>
        </w:rPr>
        <w:t xml:space="preserve"> by providing them with a safeguard in the unlikely event of aggregate new interference in excess of one percent</w:t>
      </w:r>
      <w:r w:rsidRPr="00B604D6">
        <w:t xml:space="preserve">.  In addition, we have described impacts that might affect small businesses, which includes most businesses with fewer than 25 employees, in the FRFA attached to this </w:t>
      </w:r>
      <w:r w:rsidRPr="00B604D6">
        <w:rPr>
          <w:i/>
        </w:rPr>
        <w:t xml:space="preserve">Second Report </w:t>
      </w:r>
      <w:r>
        <w:rPr>
          <w:i/>
        </w:rPr>
        <w:t>&amp;</w:t>
      </w:r>
      <w:r w:rsidRPr="00B604D6">
        <w:rPr>
          <w:i/>
        </w:rPr>
        <w:t xml:space="preserve"> Order</w:t>
      </w:r>
      <w:r w:rsidRPr="00B604D6">
        <w:t xml:space="preserve"> as Appendix F.</w:t>
      </w:r>
    </w:p>
    <w:p w14:paraId="2EC30995" w14:textId="77777777" w:rsidR="00B604D6" w:rsidRPr="00B604D6" w:rsidRDefault="00B604D6" w:rsidP="006A744E">
      <w:pPr>
        <w:pStyle w:val="ParaNum"/>
        <w:rPr>
          <w:sz w:val="20"/>
        </w:rPr>
      </w:pPr>
      <w:r w:rsidRPr="00B604D6">
        <w:t xml:space="preserve">This </w:t>
      </w:r>
      <w:r w:rsidRPr="00B604D6">
        <w:rPr>
          <w:i/>
        </w:rPr>
        <w:t>FNPRM</w:t>
      </w:r>
      <w:r w:rsidRPr="00B604D6">
        <w:t xml:space="preserve"> contains proposed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B604D6">
        <w:rPr>
          <w:i/>
          <w:iCs/>
        </w:rPr>
        <w:t>see</w:t>
      </w:r>
      <w:r w:rsidRPr="00B604D6">
        <w:t xml:space="preserve"> 44 U.S.C. 3506(c)(4), we seek specific comment on how we might further reduce the information collection burden for small business concerns with fewer than 25 employees.</w:t>
      </w:r>
    </w:p>
    <w:p w14:paraId="0B537705" w14:textId="77777777" w:rsidR="00B604D6" w:rsidRPr="00B604D6" w:rsidRDefault="00B604D6" w:rsidP="00D50682">
      <w:pPr>
        <w:pStyle w:val="Heading2"/>
      </w:pPr>
      <w:bookmarkStart w:id="725" w:name="_Toc397962823"/>
      <w:bookmarkStart w:id="726" w:name="_Toc398023601"/>
      <w:bookmarkStart w:id="727" w:name="_Toc398902994"/>
      <w:bookmarkStart w:id="728" w:name="_Toc398903317"/>
      <w:bookmarkStart w:id="729" w:name="_Toc398903506"/>
      <w:bookmarkStart w:id="730" w:name="_Toc398904103"/>
      <w:bookmarkStart w:id="731" w:name="_Toc398904611"/>
      <w:bookmarkStart w:id="732" w:name="_Toc401305971"/>
      <w:bookmarkStart w:id="733" w:name="_Toc401306647"/>
      <w:bookmarkStart w:id="734" w:name="_Toc401306716"/>
      <w:r w:rsidRPr="00B604D6">
        <w:t>Filing Requirements</w:t>
      </w:r>
      <w:bookmarkEnd w:id="725"/>
      <w:bookmarkEnd w:id="726"/>
      <w:bookmarkEnd w:id="727"/>
      <w:bookmarkEnd w:id="728"/>
      <w:bookmarkEnd w:id="729"/>
      <w:bookmarkEnd w:id="730"/>
      <w:bookmarkEnd w:id="731"/>
      <w:bookmarkEnd w:id="732"/>
      <w:bookmarkEnd w:id="733"/>
      <w:bookmarkEnd w:id="734"/>
    </w:p>
    <w:p w14:paraId="1C099EC9" w14:textId="77777777" w:rsidR="00B604D6" w:rsidRPr="00B604D6" w:rsidRDefault="00B604D6" w:rsidP="006A744E">
      <w:pPr>
        <w:pStyle w:val="ParaNum"/>
      </w:pPr>
      <w:r w:rsidRPr="00B604D6">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B604D6">
        <w:rPr>
          <w:i/>
        </w:rPr>
        <w:t xml:space="preserve">See Electronic Filing of Documents in Rulemaking Proceedings, </w:t>
      </w:r>
      <w:r w:rsidRPr="00B604D6">
        <w:t>63 FR 24121 (1998).</w:t>
      </w:r>
    </w:p>
    <w:p w14:paraId="381D3FB0" w14:textId="12CE9DF4" w:rsidR="00B604D6" w:rsidRPr="00B604D6" w:rsidRDefault="00B604D6" w:rsidP="00EE61F6">
      <w:pPr>
        <w:numPr>
          <w:ilvl w:val="0"/>
          <w:numId w:val="3"/>
        </w:numPr>
        <w:snapToGrid w:val="0"/>
        <w:spacing w:after="120"/>
        <w:rPr>
          <w:szCs w:val="22"/>
        </w:rPr>
      </w:pPr>
      <w:r w:rsidRPr="00B604D6">
        <w:rPr>
          <w:szCs w:val="22"/>
        </w:rPr>
        <w:t xml:space="preserve">Electronic Filers:  Comments may be filed electronically using the Internet by accessing the ECFS:  </w:t>
      </w:r>
      <w:hyperlink r:id="rId9" w:history="1">
        <w:r w:rsidRPr="00B604D6">
          <w:rPr>
            <w:color w:val="0000FF"/>
            <w:szCs w:val="22"/>
            <w:u w:val="single"/>
          </w:rPr>
          <w:t>http://fjallfoss.fcc.gov/ecfs2/</w:t>
        </w:r>
      </w:hyperlink>
      <w:r w:rsidRPr="00B604D6">
        <w:rPr>
          <w:szCs w:val="22"/>
        </w:rPr>
        <w:t xml:space="preserve">.  </w:t>
      </w:r>
    </w:p>
    <w:p w14:paraId="55212564" w14:textId="77777777" w:rsidR="00B604D6" w:rsidRPr="00B604D6" w:rsidRDefault="00B604D6" w:rsidP="00EE61F6">
      <w:pPr>
        <w:numPr>
          <w:ilvl w:val="0"/>
          <w:numId w:val="3"/>
        </w:numPr>
        <w:snapToGrid w:val="0"/>
        <w:spacing w:after="120"/>
        <w:rPr>
          <w:szCs w:val="22"/>
        </w:rPr>
      </w:pPr>
      <w:r w:rsidRPr="00B604D6">
        <w:rPr>
          <w:szCs w:val="22"/>
        </w:rPr>
        <w:t xml:space="preserve">Paper Filers:  Parties who choose to file by paper must file an original and one copy of each filing.  Parties filing comments and/or replies in response to the </w:t>
      </w:r>
      <w:r w:rsidRPr="00B604D6">
        <w:rPr>
          <w:i/>
          <w:szCs w:val="22"/>
        </w:rPr>
        <w:t>Further Notice of Proposed Rulemaking</w:t>
      </w:r>
      <w:r w:rsidRPr="00B604D6">
        <w:rPr>
          <w:szCs w:val="22"/>
        </w:rPr>
        <w:t xml:space="preserve"> must file their documents in ET Docket No. 14-14, 13-26 and GN Docket No. 12-68.  </w:t>
      </w:r>
    </w:p>
    <w:p w14:paraId="73A46117" w14:textId="77777777" w:rsidR="00B604D6" w:rsidRPr="00B604D6" w:rsidRDefault="00B604D6" w:rsidP="00EE61F6">
      <w:pPr>
        <w:numPr>
          <w:ilvl w:val="0"/>
          <w:numId w:val="3"/>
        </w:numPr>
        <w:snapToGrid w:val="0"/>
        <w:spacing w:after="120"/>
        <w:rPr>
          <w:szCs w:val="22"/>
        </w:rPr>
      </w:pPr>
      <w:r w:rsidRPr="00B604D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042DA18D" w14:textId="77777777" w:rsidR="00B604D6" w:rsidRPr="00B604D6" w:rsidRDefault="00B604D6" w:rsidP="00EE61F6">
      <w:pPr>
        <w:numPr>
          <w:ilvl w:val="0"/>
          <w:numId w:val="4"/>
        </w:numPr>
        <w:snapToGrid w:val="0"/>
        <w:spacing w:after="120"/>
        <w:rPr>
          <w:szCs w:val="22"/>
        </w:rPr>
      </w:pPr>
      <w:r w:rsidRPr="00B604D6">
        <w:rPr>
          <w:szCs w:val="22"/>
        </w:rPr>
        <w:t>All hand-delivered or messenger-delivered paper filings for the Commission’s Secretary must be delivered to FCC Headquarters at 445 12</w:t>
      </w:r>
      <w:r w:rsidRPr="00B604D6">
        <w:rPr>
          <w:szCs w:val="22"/>
          <w:vertAlign w:val="superscript"/>
        </w:rPr>
        <w:t>th</w:t>
      </w:r>
      <w:r w:rsidRPr="00B604D6">
        <w:rPr>
          <w:szCs w:val="22"/>
        </w:rPr>
        <w:t xml:space="preserve"> St., SW, Room TW-A325, Washington, DC 20554.  The filing hours are 8:00 a.m. to 7:00 p.m.   All hand deliveries must be held together with rubber bands or fasteners.  Any envelopes and boxes must be disposed of </w:t>
      </w:r>
      <w:r w:rsidRPr="00B604D6">
        <w:rPr>
          <w:szCs w:val="22"/>
          <w:u w:val="single"/>
        </w:rPr>
        <w:t>before</w:t>
      </w:r>
      <w:r w:rsidRPr="00B604D6">
        <w:rPr>
          <w:szCs w:val="22"/>
        </w:rPr>
        <w:t xml:space="preserve"> entering the building.  </w:t>
      </w:r>
    </w:p>
    <w:p w14:paraId="659B4ACE" w14:textId="77777777" w:rsidR="00B604D6" w:rsidRPr="00B604D6" w:rsidRDefault="00B604D6" w:rsidP="00EE61F6">
      <w:pPr>
        <w:numPr>
          <w:ilvl w:val="0"/>
          <w:numId w:val="4"/>
        </w:numPr>
        <w:snapToGrid w:val="0"/>
        <w:spacing w:after="120"/>
        <w:rPr>
          <w:szCs w:val="22"/>
        </w:rPr>
      </w:pPr>
      <w:r w:rsidRPr="00B604D6">
        <w:rPr>
          <w:szCs w:val="22"/>
        </w:rPr>
        <w:t>Commercial overnight mail (other than U.S. Postal Service Express Mail and Priority Mail) must be sent to 9300 East Hampton Drive, Capitol Heights, MD  20743.</w:t>
      </w:r>
    </w:p>
    <w:p w14:paraId="11919D9A" w14:textId="77777777" w:rsidR="00B604D6" w:rsidRPr="00B604D6" w:rsidRDefault="00B604D6" w:rsidP="00EE61F6">
      <w:pPr>
        <w:numPr>
          <w:ilvl w:val="0"/>
          <w:numId w:val="4"/>
        </w:numPr>
        <w:snapToGrid w:val="0"/>
        <w:spacing w:after="220"/>
        <w:rPr>
          <w:szCs w:val="22"/>
        </w:rPr>
      </w:pPr>
      <w:r w:rsidRPr="00B604D6">
        <w:t>U.S. Postal Service first-class, Express, and Priority mail must be addressed to 445 12</w:t>
      </w:r>
      <w:r w:rsidRPr="00B604D6">
        <w:rPr>
          <w:vertAlign w:val="superscript"/>
        </w:rPr>
        <w:t>th</w:t>
      </w:r>
      <w:r w:rsidRPr="00B604D6">
        <w:t xml:space="preserve"> Street, SW, Washington DC  20554.</w:t>
      </w:r>
    </w:p>
    <w:p w14:paraId="1A57CB7A" w14:textId="7BE5A3E8" w:rsidR="00B604D6" w:rsidRPr="00B604D6" w:rsidRDefault="00B604D6" w:rsidP="00B604D6">
      <w:pPr>
        <w:tabs>
          <w:tab w:val="num" w:pos="1440"/>
        </w:tabs>
        <w:spacing w:after="120"/>
        <w:ind w:firstLine="720"/>
      </w:pPr>
      <w:r w:rsidRPr="00B604D6">
        <w:t xml:space="preserve">People with Disabilities:  To request materials in accessible formats for people with disabilities (braille, large print, electronic files, audio format), send an e-mail to </w:t>
      </w:r>
      <w:hyperlink r:id="rId10" w:history="1">
        <w:r w:rsidRPr="00B604D6">
          <w:rPr>
            <w:color w:val="0000FF"/>
            <w:u w:val="single"/>
          </w:rPr>
          <w:t>fcc504@fcc.gov</w:t>
        </w:r>
      </w:hyperlink>
      <w:r w:rsidRPr="00B604D6">
        <w:t xml:space="preserve"> or call the Consumer &amp; Governmental Affairs Bureau at (202) 418-0530 (voice), (202) 418-0432 (tty).</w:t>
      </w:r>
    </w:p>
    <w:p w14:paraId="3525D971" w14:textId="77777777" w:rsidR="00B604D6" w:rsidRPr="00B604D6" w:rsidRDefault="00B604D6" w:rsidP="00D50682">
      <w:pPr>
        <w:pStyle w:val="Heading2"/>
      </w:pPr>
      <w:bookmarkStart w:id="735" w:name="_Toc397962824"/>
      <w:bookmarkStart w:id="736" w:name="_Toc398023602"/>
      <w:bookmarkStart w:id="737" w:name="_Toc398902995"/>
      <w:bookmarkStart w:id="738" w:name="_Toc398903318"/>
      <w:bookmarkStart w:id="739" w:name="_Toc398903507"/>
      <w:bookmarkStart w:id="740" w:name="_Toc398904104"/>
      <w:bookmarkStart w:id="741" w:name="_Toc398904612"/>
      <w:bookmarkStart w:id="742" w:name="_Toc401305972"/>
      <w:bookmarkStart w:id="743" w:name="_Toc401306648"/>
      <w:bookmarkStart w:id="744" w:name="_Toc401306717"/>
      <w:r w:rsidRPr="00B604D6">
        <w:t>Ex Parte Rules</w:t>
      </w:r>
      <w:bookmarkEnd w:id="735"/>
      <w:bookmarkEnd w:id="736"/>
      <w:bookmarkEnd w:id="737"/>
      <w:bookmarkEnd w:id="738"/>
      <w:bookmarkEnd w:id="739"/>
      <w:bookmarkEnd w:id="740"/>
      <w:bookmarkEnd w:id="741"/>
      <w:bookmarkEnd w:id="742"/>
      <w:bookmarkEnd w:id="743"/>
      <w:bookmarkEnd w:id="744"/>
    </w:p>
    <w:p w14:paraId="0813A0E4" w14:textId="77777777" w:rsidR="00B604D6" w:rsidRPr="00B604D6" w:rsidRDefault="00B604D6" w:rsidP="006A744E">
      <w:pPr>
        <w:pStyle w:val="ParaNum"/>
      </w:pPr>
      <w:r w:rsidRPr="00B604D6">
        <w:t xml:space="preserve">The proceeding this Notice initiates shall be treated as a “permit-but-disclose” proceeding in accordance with the Commission’s </w:t>
      </w:r>
      <w:r w:rsidRPr="00B604D6">
        <w:rPr>
          <w:i/>
        </w:rPr>
        <w:t>ex parte</w:t>
      </w:r>
      <w:r w:rsidRPr="00B604D6">
        <w:t xml:space="preserve"> rules.</w:t>
      </w:r>
      <w:r w:rsidRPr="00B604D6">
        <w:rPr>
          <w:vertAlign w:val="superscript"/>
        </w:rPr>
        <w:footnoteReference w:id="277"/>
      </w:r>
      <w:r w:rsidRPr="00B604D6">
        <w:t xml:space="preserve">  Persons making </w:t>
      </w:r>
      <w:r w:rsidRPr="00B604D6">
        <w:rPr>
          <w:i/>
        </w:rPr>
        <w:t>ex parte</w:t>
      </w:r>
      <w:r w:rsidRPr="00B604D6">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B604D6">
        <w:rPr>
          <w:i/>
        </w:rPr>
        <w:t>ex parte</w:t>
      </w:r>
      <w:r w:rsidRPr="00B604D6">
        <w:t xml:space="preserve"> presentations are reminded that memoranda summarizing the presentation must (1) list all persons attending or otherwise participating in the meeting at which the </w:t>
      </w:r>
      <w:r w:rsidRPr="00B604D6">
        <w:rPr>
          <w:i/>
        </w:rPr>
        <w:t>ex parte</w:t>
      </w:r>
      <w:r w:rsidRPr="00B604D6">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604D6">
        <w:rPr>
          <w:i/>
        </w:rPr>
        <w:t>ex parte</w:t>
      </w:r>
      <w:r w:rsidRPr="00B604D6">
        <w:t xml:space="preserve"> meetings are deemed to be written </w:t>
      </w:r>
      <w:r w:rsidRPr="00B604D6">
        <w:rPr>
          <w:i/>
        </w:rPr>
        <w:t>ex parte</w:t>
      </w:r>
      <w:r w:rsidRPr="00B604D6">
        <w:t xml:space="preserve"> presentations and must be filed consistent with rule 1.1206(b).  In proceedings governed by rule 1.49(f) or for which the Commission has made available a method of electronic filing, written </w:t>
      </w:r>
      <w:r w:rsidRPr="00B604D6">
        <w:rPr>
          <w:i/>
        </w:rPr>
        <w:t>ex parte</w:t>
      </w:r>
      <w:r w:rsidRPr="00B604D6">
        <w:t xml:space="preserve"> presentations and memoranda summarizing oral </w:t>
      </w:r>
      <w:r w:rsidRPr="00B604D6">
        <w:rPr>
          <w:i/>
        </w:rPr>
        <w:t>ex parte</w:t>
      </w:r>
      <w:r w:rsidRPr="00B604D6">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B604D6">
        <w:rPr>
          <w:i/>
        </w:rPr>
        <w:t>ex parte</w:t>
      </w:r>
      <w:r w:rsidRPr="00B604D6">
        <w:t xml:space="preserve"> rules.</w:t>
      </w:r>
    </w:p>
    <w:p w14:paraId="74100053" w14:textId="77777777" w:rsidR="00B604D6" w:rsidRPr="00B604D6" w:rsidRDefault="00B604D6" w:rsidP="00D50682">
      <w:pPr>
        <w:pStyle w:val="Heading2"/>
      </w:pPr>
      <w:bookmarkStart w:id="745" w:name="_Toc397962825"/>
      <w:bookmarkStart w:id="746" w:name="_Toc398023603"/>
      <w:bookmarkStart w:id="747" w:name="_Toc398902996"/>
      <w:bookmarkStart w:id="748" w:name="_Toc398903319"/>
      <w:bookmarkStart w:id="749" w:name="_Toc398903508"/>
      <w:bookmarkStart w:id="750" w:name="_Toc398904105"/>
      <w:bookmarkStart w:id="751" w:name="_Toc398904613"/>
      <w:bookmarkStart w:id="752" w:name="_Toc401305973"/>
      <w:bookmarkStart w:id="753" w:name="_Toc401306649"/>
      <w:bookmarkStart w:id="754" w:name="_Toc401306718"/>
      <w:r w:rsidRPr="00B604D6">
        <w:t>Congressional Review Act</w:t>
      </w:r>
      <w:bookmarkEnd w:id="745"/>
      <w:bookmarkEnd w:id="746"/>
      <w:bookmarkEnd w:id="747"/>
      <w:bookmarkEnd w:id="748"/>
      <w:bookmarkEnd w:id="749"/>
      <w:bookmarkEnd w:id="750"/>
      <w:bookmarkEnd w:id="751"/>
      <w:bookmarkEnd w:id="752"/>
      <w:bookmarkEnd w:id="753"/>
      <w:bookmarkEnd w:id="754"/>
    </w:p>
    <w:p w14:paraId="24E96485" w14:textId="77777777" w:rsidR="00B604D6" w:rsidRPr="00B604D6" w:rsidRDefault="00B604D6" w:rsidP="006A744E">
      <w:pPr>
        <w:pStyle w:val="ParaNum"/>
      </w:pPr>
      <w:r w:rsidRPr="00B604D6">
        <w:t xml:space="preserve">The Commission will send a copy of the </w:t>
      </w:r>
      <w:r w:rsidRPr="00B604D6">
        <w:rPr>
          <w:i/>
        </w:rPr>
        <w:t>Second Report and Order</w:t>
      </w:r>
      <w:r w:rsidRPr="00B604D6">
        <w:t xml:space="preserve"> to Congress and the Government Accountability Office pursuant to the Congressional Review Act.</w:t>
      </w:r>
      <w:r w:rsidRPr="00B604D6">
        <w:rPr>
          <w:vertAlign w:val="superscript"/>
        </w:rPr>
        <w:footnoteReference w:id="278"/>
      </w:r>
    </w:p>
    <w:p w14:paraId="28C1F93E" w14:textId="77777777" w:rsidR="00B604D6" w:rsidRPr="00B604D6" w:rsidRDefault="00B604D6" w:rsidP="00D50682">
      <w:pPr>
        <w:pStyle w:val="Heading2"/>
      </w:pPr>
      <w:bookmarkStart w:id="755" w:name="_Toc397962826"/>
      <w:bookmarkStart w:id="756" w:name="_Toc398023604"/>
      <w:bookmarkStart w:id="757" w:name="_Toc398902997"/>
      <w:bookmarkStart w:id="758" w:name="_Toc398903320"/>
      <w:bookmarkStart w:id="759" w:name="_Toc398903509"/>
      <w:bookmarkStart w:id="760" w:name="_Toc398904106"/>
      <w:bookmarkStart w:id="761" w:name="_Toc398904614"/>
      <w:bookmarkStart w:id="762" w:name="_Toc401305974"/>
      <w:bookmarkStart w:id="763" w:name="_Toc401306650"/>
      <w:bookmarkStart w:id="764" w:name="_Toc401306719"/>
      <w:r w:rsidRPr="00B604D6">
        <w:t>Further Information</w:t>
      </w:r>
      <w:bookmarkEnd w:id="755"/>
      <w:bookmarkEnd w:id="756"/>
      <w:bookmarkEnd w:id="757"/>
      <w:bookmarkEnd w:id="758"/>
      <w:bookmarkEnd w:id="759"/>
      <w:bookmarkEnd w:id="760"/>
      <w:bookmarkEnd w:id="761"/>
      <w:bookmarkEnd w:id="762"/>
      <w:bookmarkEnd w:id="763"/>
      <w:bookmarkEnd w:id="764"/>
    </w:p>
    <w:p w14:paraId="34837878" w14:textId="6C5843BA" w:rsidR="00B604D6" w:rsidRPr="00B604D6" w:rsidRDefault="00B604D6" w:rsidP="006A744E">
      <w:pPr>
        <w:pStyle w:val="ParaNum"/>
      </w:pPr>
      <w:r w:rsidRPr="00B604D6">
        <w:t xml:space="preserve">For additional information, please contact Aspasia Paroutsas, Office of Engineering and Technology, at (202) 418-7285 or </w:t>
      </w:r>
      <w:hyperlink r:id="rId11" w:history="1">
        <w:r w:rsidRPr="00B604D6">
          <w:rPr>
            <w:color w:val="0000FF"/>
            <w:u w:val="single"/>
          </w:rPr>
          <w:t>Aspasia.Paroutsas@fcc.gov</w:t>
        </w:r>
      </w:hyperlink>
      <w:r w:rsidRPr="00B604D6">
        <w:t>.</w:t>
      </w:r>
    </w:p>
    <w:p w14:paraId="32B16F3B" w14:textId="77777777" w:rsidR="00B604D6" w:rsidRPr="00B604D6" w:rsidRDefault="00B604D6" w:rsidP="00B604D6">
      <w:pPr>
        <w:tabs>
          <w:tab w:val="num" w:pos="990"/>
        </w:tabs>
        <w:spacing w:after="120"/>
        <w:ind w:firstLine="720"/>
      </w:pPr>
    </w:p>
    <w:p w14:paraId="5C0509E4" w14:textId="77777777" w:rsidR="00B604D6" w:rsidRPr="00B604D6" w:rsidRDefault="00B604D6" w:rsidP="006A744E">
      <w:pPr>
        <w:pStyle w:val="Heading1"/>
      </w:pPr>
      <w:bookmarkStart w:id="765" w:name="_Toc397962827"/>
      <w:bookmarkStart w:id="766" w:name="_Toc398023605"/>
      <w:bookmarkStart w:id="767" w:name="_Toc398902998"/>
      <w:bookmarkStart w:id="768" w:name="_Toc398903321"/>
      <w:bookmarkStart w:id="769" w:name="_Toc398903510"/>
      <w:bookmarkStart w:id="770" w:name="_Toc398904107"/>
      <w:bookmarkStart w:id="771" w:name="_Toc398904615"/>
      <w:bookmarkStart w:id="772" w:name="_Toc401305975"/>
      <w:bookmarkStart w:id="773" w:name="_Toc401306651"/>
      <w:bookmarkStart w:id="774" w:name="_Toc401306720"/>
      <w:r w:rsidRPr="00B604D6">
        <w:t>ordering clauses</w:t>
      </w:r>
      <w:bookmarkEnd w:id="765"/>
      <w:bookmarkEnd w:id="766"/>
      <w:bookmarkEnd w:id="767"/>
      <w:bookmarkEnd w:id="768"/>
      <w:bookmarkEnd w:id="769"/>
      <w:bookmarkEnd w:id="770"/>
      <w:bookmarkEnd w:id="771"/>
      <w:bookmarkEnd w:id="772"/>
      <w:bookmarkEnd w:id="773"/>
      <w:bookmarkEnd w:id="774"/>
    </w:p>
    <w:p w14:paraId="48595967" w14:textId="25D5706B" w:rsidR="00B604D6" w:rsidRPr="00B604D6" w:rsidRDefault="00B604D6" w:rsidP="006A744E">
      <w:pPr>
        <w:pStyle w:val="ParaNum"/>
      </w:pPr>
      <w:r w:rsidRPr="00B604D6">
        <w:rPr>
          <w:b/>
        </w:rPr>
        <w:t>IT IS ORDERED</w:t>
      </w:r>
      <w:r w:rsidRPr="00B604D6">
        <w:t xml:space="preserve">, pursuant to the authority found in Sections 1, 4, 301, 303, 307, 308, 309, 310, 316, 319,  332, and 403 of the Communications Act of 1934, as amended, and sections 6004, 6402, 6403, 6404, and 6407 of </w:t>
      </w:r>
      <w:r w:rsidRPr="00B604D6">
        <w:rPr>
          <w:color w:val="000000"/>
        </w:rPr>
        <w:t xml:space="preserve">Middle Class Tax Relief and Job Creation Act of 2012, Pub. L. No. 112-96, 126 Stat. 156, </w:t>
      </w:r>
      <w:r w:rsidRPr="00B604D6">
        <w:t xml:space="preserve">47 U.S.C. §§ 151, 154, 301, 303, 307, 308, 309, 310, 316, 319, 332, 4031404, 1452, and 1454, </w:t>
      </w:r>
      <w:r w:rsidRPr="00B604D6">
        <w:rPr>
          <w:color w:val="000000"/>
          <w:szCs w:val="22"/>
        </w:rPr>
        <w:t xml:space="preserve">and section 1.2 of the Commission’s rules, </w:t>
      </w:r>
      <w:bookmarkStart w:id="775" w:name="SR;3535"/>
      <w:bookmarkStart w:id="776" w:name="SR;3536"/>
      <w:bookmarkStart w:id="777" w:name="SR;3543"/>
      <w:bookmarkStart w:id="778" w:name="SR;3544"/>
      <w:bookmarkEnd w:id="775"/>
      <w:bookmarkEnd w:id="776"/>
      <w:bookmarkEnd w:id="777"/>
      <w:bookmarkEnd w:id="778"/>
      <w:r w:rsidRPr="00B604D6">
        <w:rPr>
          <w:color w:val="000000"/>
          <w:szCs w:val="22"/>
        </w:rPr>
        <w:t>47 C.F.R. § 1.2,</w:t>
      </w:r>
      <w:r w:rsidRPr="00B604D6">
        <w:rPr>
          <w:rFonts w:ascii="Verdana" w:hAnsi="Verdana"/>
          <w:color w:val="000000"/>
          <w:sz w:val="19"/>
          <w:szCs w:val="19"/>
        </w:rPr>
        <w:t xml:space="preserve"> </w:t>
      </w:r>
      <w:r w:rsidRPr="00B604D6">
        <w:t xml:space="preserve">the </w:t>
      </w:r>
      <w:r w:rsidRPr="00B604D6">
        <w:rPr>
          <w:i/>
        </w:rPr>
        <w:t xml:space="preserve">Second Report and Order, Further </w:t>
      </w:r>
      <w:r w:rsidRPr="00B604D6">
        <w:rPr>
          <w:i/>
          <w:iCs/>
        </w:rPr>
        <w:t>Notice of Proposed Rule Making</w:t>
      </w:r>
      <w:r w:rsidRPr="00B604D6">
        <w:t xml:space="preserve"> </w:t>
      </w:r>
      <w:r w:rsidRPr="00B604D6">
        <w:rPr>
          <w:b/>
        </w:rPr>
        <w:t>IS ADOPTED</w:t>
      </w:r>
      <w:r w:rsidRPr="00B604D6">
        <w:t xml:space="preserve">. </w:t>
      </w:r>
      <w:r w:rsidR="007C1689">
        <w:t xml:space="preserve"> </w:t>
      </w:r>
      <w:r w:rsidRPr="00B604D6">
        <w:rPr>
          <w:b/>
        </w:rPr>
        <w:t>IT IS FURTHER ORDERED</w:t>
      </w:r>
      <w:r w:rsidRPr="00B604D6">
        <w:t xml:space="preserve"> that the Commission’s rules </w:t>
      </w:r>
      <w:r w:rsidRPr="00B604D6">
        <w:rPr>
          <w:b/>
        </w:rPr>
        <w:t>ARE HEREBY AMENDED</w:t>
      </w:r>
      <w:r w:rsidRPr="00B604D6">
        <w:t xml:space="preserve"> as set forth in Appendix B.</w:t>
      </w:r>
    </w:p>
    <w:p w14:paraId="26C79BA3" w14:textId="77777777" w:rsidR="00B604D6" w:rsidRPr="007C1689" w:rsidRDefault="00B604D6" w:rsidP="006A744E">
      <w:pPr>
        <w:pStyle w:val="ParaNum"/>
        <w:rPr>
          <w:color w:val="000000"/>
        </w:rPr>
      </w:pPr>
      <w:r w:rsidRPr="00B604D6">
        <w:rPr>
          <w:b/>
        </w:rPr>
        <w:t>IT IS FURTHER ORDERED</w:t>
      </w:r>
      <w:r w:rsidRPr="00B604D6">
        <w:t xml:space="preserve"> that the rules adopted herein </w:t>
      </w:r>
      <w:r w:rsidRPr="00B604D6">
        <w:rPr>
          <w:b/>
        </w:rPr>
        <w:t>WILL BECOME EFFECTIVE</w:t>
      </w:r>
      <w:r w:rsidRPr="00B604D6">
        <w:t xml:space="preserve"> 30 days after the date of publication in the </w:t>
      </w:r>
      <w:r w:rsidRPr="00B604D6">
        <w:rPr>
          <w:i/>
        </w:rPr>
        <w:t>Federal Register</w:t>
      </w:r>
      <w:r w:rsidRPr="00B604D6">
        <w:t>, except for Sections 73.3700(b)(1)(iv)(B), 73.3700(b)(2)(i), and 73.3700(b)(2)(ii) of the rules which contain new or modified information collection requirements subject to the Paperwork Reduction Act of 1995, Public Law 104-13, that are not effective until approved by the Office of Management and Budget (OMB).  The Federal Communications Commission will publish a document in the Federal Register announcing OMB approval and the effective date of this rule.</w:t>
      </w:r>
    </w:p>
    <w:p w14:paraId="52AA802D" w14:textId="77777777" w:rsidR="00B604D6" w:rsidRPr="00B604D6" w:rsidRDefault="00B604D6" w:rsidP="006A744E">
      <w:pPr>
        <w:pStyle w:val="ParaNum"/>
      </w:pPr>
      <w:r w:rsidRPr="00B604D6">
        <w:rPr>
          <w:b/>
        </w:rPr>
        <w:t>IT IS FURTHER ORDERED</w:t>
      </w:r>
      <w:r w:rsidRPr="00B604D6">
        <w:t xml:space="preserve"> that the Commission’s Consumer and Governmental Affairs Bureau, Reference Information Center, </w:t>
      </w:r>
      <w:r w:rsidRPr="00B604D6">
        <w:rPr>
          <w:b/>
        </w:rPr>
        <w:t>SHALL SEND</w:t>
      </w:r>
      <w:r w:rsidRPr="00B604D6">
        <w:t xml:space="preserve"> a copy of this </w:t>
      </w:r>
      <w:r w:rsidRPr="00B604D6">
        <w:rPr>
          <w:i/>
        </w:rPr>
        <w:t>Second Report and Order</w:t>
      </w:r>
      <w:r w:rsidRPr="00B604D6">
        <w:t xml:space="preserve"> in GN Docket No. 12-268</w:t>
      </w:r>
      <w:r w:rsidRPr="00B604D6">
        <w:rPr>
          <w:i/>
        </w:rPr>
        <w:t>,</w:t>
      </w:r>
      <w:r w:rsidRPr="00B604D6">
        <w:t xml:space="preserve"> including the Final Regulatory Flexibility Analysis, to the Chief Counsel for Advocacy of the Small Business Administration.</w:t>
      </w:r>
    </w:p>
    <w:p w14:paraId="72040E85" w14:textId="77777777" w:rsidR="00B604D6" w:rsidRPr="00B604D6" w:rsidRDefault="00B604D6" w:rsidP="006A744E">
      <w:pPr>
        <w:pStyle w:val="ParaNum"/>
      </w:pPr>
      <w:r w:rsidRPr="00B604D6">
        <w:rPr>
          <w:b/>
        </w:rPr>
        <w:t xml:space="preserve">IT IS FURTHER ORDERED </w:t>
      </w:r>
      <w:r w:rsidRPr="00B604D6">
        <w:t xml:space="preserve">that the Commission </w:t>
      </w:r>
      <w:r w:rsidRPr="00B604D6">
        <w:rPr>
          <w:b/>
        </w:rPr>
        <w:t>SHALL SEND</w:t>
      </w:r>
      <w:r w:rsidRPr="00B604D6">
        <w:t xml:space="preserve"> a copy of this </w:t>
      </w:r>
      <w:r w:rsidRPr="00B604D6">
        <w:rPr>
          <w:i/>
        </w:rPr>
        <w:t>Second</w:t>
      </w:r>
      <w:r w:rsidRPr="00B604D6">
        <w:t xml:space="preserve"> </w:t>
      </w:r>
      <w:r w:rsidRPr="00B604D6">
        <w:rPr>
          <w:i/>
        </w:rPr>
        <w:t>Report and Order</w:t>
      </w:r>
      <w:r w:rsidRPr="00B604D6">
        <w:t xml:space="preserve"> in GN Docket No. 12-268 in a report to be sent to Congress and the Government Accountability Office pursuant to the Congressional Review Act, </w:t>
      </w:r>
      <w:r w:rsidRPr="00B604D6">
        <w:rPr>
          <w:i/>
        </w:rPr>
        <w:t xml:space="preserve">see </w:t>
      </w:r>
      <w:r w:rsidRPr="00B604D6">
        <w:t>5 U.S.C. § 801(a)(1)(A).</w:t>
      </w:r>
    </w:p>
    <w:p w14:paraId="20ADEBCB" w14:textId="77777777" w:rsidR="00B604D6" w:rsidRPr="00B604D6" w:rsidRDefault="00B604D6" w:rsidP="007A7E8D">
      <w:pPr>
        <w:pStyle w:val="ParaNum"/>
        <w:keepNext/>
        <w:widowControl/>
        <w:rPr>
          <w:color w:val="000000"/>
        </w:rPr>
      </w:pPr>
      <w:r w:rsidRPr="00B604D6">
        <w:rPr>
          <w:b/>
        </w:rPr>
        <w:t>IT IS FURTHER ORDERED</w:t>
      </w:r>
      <w:r w:rsidRPr="00B604D6">
        <w:t xml:space="preserve"> that the Commission’s Consumer and Governmental Affairs Bureau, Reference Information Center, </w:t>
      </w:r>
      <w:r w:rsidRPr="00B604D6">
        <w:rPr>
          <w:b/>
        </w:rPr>
        <w:t>SHALL SEND</w:t>
      </w:r>
      <w:r w:rsidRPr="00B604D6">
        <w:t xml:space="preserve"> a copy of this </w:t>
      </w:r>
      <w:r w:rsidRPr="00B604D6">
        <w:rPr>
          <w:i/>
        </w:rPr>
        <w:t>Further Notice of Proposed Rulemaking</w:t>
      </w:r>
      <w:r w:rsidRPr="00B604D6">
        <w:t xml:space="preserve"> in GN Docket No. 12-268, including the Initial Regulatory Flexibility Analysis, to the Chief Counsel for Advocacy of the Small Business Administration.</w:t>
      </w:r>
    </w:p>
    <w:p w14:paraId="4945AA40" w14:textId="77777777" w:rsidR="00B604D6" w:rsidRPr="00B604D6" w:rsidRDefault="00B604D6" w:rsidP="007A7E8D">
      <w:pPr>
        <w:keepNext/>
        <w:widowControl/>
        <w:snapToGrid w:val="0"/>
        <w:spacing w:after="120"/>
      </w:pPr>
    </w:p>
    <w:p w14:paraId="10A1412E" w14:textId="65F9193D" w:rsidR="00B604D6" w:rsidRPr="00B604D6" w:rsidRDefault="00B604D6" w:rsidP="007A7E8D">
      <w:pPr>
        <w:keepNext/>
        <w:widowControl/>
        <w:suppressAutoHyphens/>
        <w:snapToGrid w:val="0"/>
        <w:ind w:left="3600"/>
        <w:rPr>
          <w:spacing w:val="-2"/>
        </w:rPr>
      </w:pPr>
      <w:r w:rsidRPr="00B604D6">
        <w:rPr>
          <w:spacing w:val="-2"/>
        </w:rPr>
        <w:tab/>
        <w:t>F</w:t>
      </w:r>
      <w:r w:rsidR="00AC71D9">
        <w:rPr>
          <w:spacing w:val="-2"/>
        </w:rPr>
        <w:t xml:space="preserve">EDERAL </w:t>
      </w:r>
      <w:r w:rsidRPr="00B604D6">
        <w:rPr>
          <w:spacing w:val="-2"/>
        </w:rPr>
        <w:t>COMMUNICATIONS COMMISSION</w:t>
      </w:r>
    </w:p>
    <w:p w14:paraId="154E32B8" w14:textId="77777777" w:rsidR="00B604D6" w:rsidRPr="00B604D6" w:rsidRDefault="00B604D6" w:rsidP="007A7E8D">
      <w:pPr>
        <w:keepNext/>
        <w:widowControl/>
        <w:suppressAutoHyphens/>
        <w:snapToGrid w:val="0"/>
        <w:ind w:left="3600"/>
        <w:rPr>
          <w:spacing w:val="-2"/>
        </w:rPr>
      </w:pPr>
    </w:p>
    <w:p w14:paraId="73FC6860" w14:textId="77777777" w:rsidR="00B604D6" w:rsidRPr="00B604D6" w:rsidRDefault="00B604D6" w:rsidP="007A7E8D">
      <w:pPr>
        <w:keepNext/>
        <w:widowControl/>
        <w:suppressAutoHyphens/>
        <w:snapToGrid w:val="0"/>
        <w:ind w:left="3600"/>
        <w:rPr>
          <w:spacing w:val="-2"/>
        </w:rPr>
      </w:pPr>
    </w:p>
    <w:p w14:paraId="353D192C" w14:textId="77777777" w:rsidR="00B604D6" w:rsidRPr="00B604D6" w:rsidRDefault="00B604D6" w:rsidP="007A7E8D">
      <w:pPr>
        <w:keepNext/>
        <w:widowControl/>
        <w:suppressAutoHyphens/>
        <w:snapToGrid w:val="0"/>
        <w:ind w:left="3600"/>
        <w:rPr>
          <w:spacing w:val="-2"/>
        </w:rPr>
      </w:pPr>
    </w:p>
    <w:p w14:paraId="03FB6EDA" w14:textId="77777777" w:rsidR="00B604D6" w:rsidRPr="00B604D6" w:rsidRDefault="00B604D6" w:rsidP="007A7E8D">
      <w:pPr>
        <w:keepNext/>
        <w:widowControl/>
        <w:suppressAutoHyphens/>
        <w:snapToGrid w:val="0"/>
        <w:ind w:left="3600"/>
        <w:rPr>
          <w:spacing w:val="-2"/>
        </w:rPr>
      </w:pPr>
    </w:p>
    <w:p w14:paraId="5FD847B5" w14:textId="77777777" w:rsidR="00B604D6" w:rsidRPr="00B604D6" w:rsidRDefault="00B604D6" w:rsidP="007A7E8D">
      <w:pPr>
        <w:keepNext/>
        <w:widowControl/>
        <w:suppressAutoHyphens/>
        <w:snapToGrid w:val="0"/>
        <w:ind w:left="3600" w:firstLine="720"/>
      </w:pPr>
      <w:r w:rsidRPr="00B604D6">
        <w:t>Marlene H. Dortch</w:t>
      </w:r>
    </w:p>
    <w:p w14:paraId="0743D289" w14:textId="6FA38B76" w:rsidR="006A744E" w:rsidRDefault="00B604D6" w:rsidP="007A7E8D">
      <w:pPr>
        <w:keepNext/>
        <w:widowControl/>
      </w:pPr>
      <w:r w:rsidRPr="00B604D6">
        <w:tab/>
      </w:r>
      <w:r w:rsidRPr="00B604D6">
        <w:tab/>
      </w:r>
      <w:r w:rsidRPr="00B604D6">
        <w:tab/>
      </w:r>
      <w:r w:rsidRPr="00B604D6">
        <w:tab/>
      </w:r>
      <w:r w:rsidRPr="00B604D6">
        <w:tab/>
      </w:r>
      <w:r w:rsidR="00C27B14">
        <w:tab/>
      </w:r>
      <w:r w:rsidRPr="00B604D6">
        <w:t>Secretary</w:t>
      </w:r>
    </w:p>
    <w:p w14:paraId="4FF074D6" w14:textId="77777777" w:rsidR="006F6FE7" w:rsidRDefault="006F6FE7">
      <w:pPr>
        <w:sectPr w:rsidR="006F6FE7" w:rsidSect="008B685A">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14:paraId="429D716D" w14:textId="77777777" w:rsidR="00E81C23" w:rsidRDefault="00CC4B91" w:rsidP="006A744E">
      <w:pPr>
        <w:jc w:val="center"/>
        <w:rPr>
          <w:b/>
        </w:rPr>
      </w:pPr>
      <w:bookmarkStart w:id="779" w:name="sp_999_19"/>
      <w:bookmarkStart w:id="780" w:name="SDU_19"/>
      <w:bookmarkStart w:id="781" w:name="sp_1511_16519"/>
      <w:bookmarkStart w:id="782" w:name="SDU_16519"/>
      <w:bookmarkStart w:id="783" w:name="citeas((Cite_as:_25_F.C.C.R._16498,_*165"/>
      <w:bookmarkEnd w:id="436"/>
      <w:bookmarkEnd w:id="437"/>
      <w:bookmarkEnd w:id="438"/>
      <w:bookmarkEnd w:id="439"/>
      <w:bookmarkEnd w:id="440"/>
      <w:bookmarkEnd w:id="441"/>
      <w:bookmarkEnd w:id="442"/>
      <w:bookmarkEnd w:id="443"/>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79"/>
      <w:bookmarkEnd w:id="780"/>
      <w:bookmarkEnd w:id="781"/>
      <w:bookmarkEnd w:id="782"/>
      <w:bookmarkEnd w:id="783"/>
      <w:r w:rsidRPr="006A744E">
        <w:rPr>
          <w:b/>
        </w:rPr>
        <w:t>APPENDIX A</w:t>
      </w:r>
    </w:p>
    <w:p w14:paraId="2D153266" w14:textId="77777777" w:rsidR="00E81C23" w:rsidRDefault="00E81C23" w:rsidP="006A744E">
      <w:pPr>
        <w:jc w:val="center"/>
        <w:rPr>
          <w:b/>
        </w:rPr>
      </w:pPr>
    </w:p>
    <w:p w14:paraId="213B37B1" w14:textId="77777777" w:rsidR="00804BBD" w:rsidRPr="006A744E" w:rsidRDefault="00CC4B91" w:rsidP="006A744E">
      <w:pPr>
        <w:jc w:val="center"/>
        <w:rPr>
          <w:b/>
        </w:rPr>
      </w:pPr>
      <w:r w:rsidRPr="006A744E">
        <w:rPr>
          <w:b/>
        </w:rPr>
        <w:t>TECHNICAL APPENDIX</w:t>
      </w:r>
      <w:r w:rsidR="00E81C23">
        <w:rPr>
          <w:b/>
        </w:rPr>
        <w:t>:</w:t>
      </w:r>
    </w:p>
    <w:p w14:paraId="77D44376" w14:textId="77777777" w:rsidR="008F2405" w:rsidRPr="006A744E" w:rsidRDefault="008F2405" w:rsidP="008F2405">
      <w:pPr>
        <w:jc w:val="center"/>
        <w:rPr>
          <w:szCs w:val="28"/>
        </w:rPr>
      </w:pPr>
      <w:r w:rsidRPr="006A744E">
        <w:rPr>
          <w:b/>
          <w:szCs w:val="28"/>
        </w:rPr>
        <w:t>METHODOLOGY FOR IDENTIFYING IMPAIRED LOCATIONS</w:t>
      </w:r>
    </w:p>
    <w:p w14:paraId="252CEE9E" w14:textId="77777777" w:rsidR="008F2405" w:rsidRPr="006A744E" w:rsidRDefault="008F2405" w:rsidP="008F2405">
      <w:pPr>
        <w:jc w:val="center"/>
        <w:rPr>
          <w:szCs w:val="28"/>
        </w:rPr>
      </w:pPr>
      <w:r w:rsidRPr="006A744E">
        <w:rPr>
          <w:b/>
          <w:szCs w:val="28"/>
        </w:rPr>
        <w:t xml:space="preserve">IN 600 MHz WIRELESS LICENSE AREAS DURING THE </w:t>
      </w:r>
      <w:r w:rsidR="00224398">
        <w:rPr>
          <w:b/>
          <w:szCs w:val="28"/>
        </w:rPr>
        <w:br/>
      </w:r>
      <w:r w:rsidRPr="006A744E">
        <w:rPr>
          <w:b/>
          <w:szCs w:val="28"/>
        </w:rPr>
        <w:t>BROADCAST TELEVISION INCENTIVE AUCTION</w:t>
      </w:r>
    </w:p>
    <w:p w14:paraId="47CAFAD7" w14:textId="77777777" w:rsidR="008F2405" w:rsidRPr="008F2405" w:rsidRDefault="008F2405" w:rsidP="008F2405"/>
    <w:p w14:paraId="5105E2F8" w14:textId="77777777" w:rsidR="008F2405" w:rsidRPr="006A744E" w:rsidRDefault="00E81C23" w:rsidP="006A744E">
      <w:pPr>
        <w:keepNext/>
        <w:autoSpaceDE w:val="0"/>
        <w:autoSpaceDN w:val="0"/>
        <w:adjustRightInd w:val="0"/>
        <w:jc w:val="center"/>
        <w:rPr>
          <w:b/>
          <w:bCs/>
          <w:caps/>
          <w:szCs w:val="22"/>
        </w:rPr>
      </w:pPr>
      <w:r w:rsidRPr="006A744E">
        <w:rPr>
          <w:b/>
          <w:bCs/>
          <w:caps/>
          <w:szCs w:val="22"/>
        </w:rPr>
        <w:t>Table of Contents</w:t>
      </w:r>
    </w:p>
    <w:p w14:paraId="69E12E44" w14:textId="77777777" w:rsidR="00E81C23" w:rsidRPr="006A744E" w:rsidRDefault="00E81C23" w:rsidP="008F2405">
      <w:pPr>
        <w:keepNext/>
        <w:autoSpaceDE w:val="0"/>
        <w:autoSpaceDN w:val="0"/>
        <w:adjustRightInd w:val="0"/>
        <w:jc w:val="both"/>
        <w:rPr>
          <w:bCs/>
          <w:szCs w:val="22"/>
        </w:rPr>
      </w:pPr>
    </w:p>
    <w:p w14:paraId="7EB8CF4D" w14:textId="77777777" w:rsidR="00E81C23" w:rsidRPr="006A744E" w:rsidRDefault="00E81C23" w:rsidP="00E81C23">
      <w:pPr>
        <w:keepNext/>
        <w:tabs>
          <w:tab w:val="right" w:pos="9360"/>
        </w:tabs>
        <w:autoSpaceDE w:val="0"/>
        <w:autoSpaceDN w:val="0"/>
        <w:adjustRightInd w:val="0"/>
        <w:jc w:val="both"/>
        <w:rPr>
          <w:bCs/>
          <w:szCs w:val="22"/>
        </w:rPr>
      </w:pPr>
      <w:r w:rsidRPr="006A744E">
        <w:rPr>
          <w:bCs/>
          <w:szCs w:val="22"/>
        </w:rPr>
        <w:t>Heading</w:t>
      </w:r>
      <w:r w:rsidRPr="006A744E">
        <w:rPr>
          <w:bCs/>
          <w:szCs w:val="22"/>
        </w:rPr>
        <w:tab/>
        <w:t>Paragraph #</w:t>
      </w:r>
    </w:p>
    <w:p w14:paraId="12F5ACB2" w14:textId="77777777" w:rsidR="00E81C23" w:rsidRPr="006A744E" w:rsidRDefault="00DD7C39" w:rsidP="00EE61F6">
      <w:pPr>
        <w:pStyle w:val="ListParagraph"/>
        <w:keepNext/>
        <w:numPr>
          <w:ilvl w:val="0"/>
          <w:numId w:val="9"/>
        </w:numPr>
        <w:tabs>
          <w:tab w:val="right" w:leader="dot" w:pos="9360"/>
        </w:tabs>
        <w:autoSpaceDE w:val="0"/>
        <w:autoSpaceDN w:val="0"/>
        <w:adjustRightInd w:val="0"/>
        <w:jc w:val="both"/>
        <w:rPr>
          <w:caps/>
          <w:szCs w:val="22"/>
        </w:rPr>
      </w:pPr>
      <w:r w:rsidRPr="006A744E">
        <w:rPr>
          <w:caps/>
          <w:sz w:val="22"/>
          <w:szCs w:val="22"/>
        </w:rPr>
        <w:t>Introduction</w:t>
      </w:r>
      <w:r w:rsidRPr="006A744E">
        <w:rPr>
          <w:caps/>
          <w:sz w:val="22"/>
          <w:szCs w:val="22"/>
        </w:rPr>
        <w:tab/>
      </w:r>
      <w:r>
        <w:rPr>
          <w:caps/>
          <w:sz w:val="22"/>
          <w:szCs w:val="22"/>
        </w:rPr>
        <w:t>1</w:t>
      </w:r>
    </w:p>
    <w:p w14:paraId="75EED58B" w14:textId="77777777" w:rsidR="00E81C23" w:rsidRPr="006A744E" w:rsidRDefault="00DD7C39" w:rsidP="00EE61F6">
      <w:pPr>
        <w:pStyle w:val="ListParagraph"/>
        <w:keepNext/>
        <w:numPr>
          <w:ilvl w:val="0"/>
          <w:numId w:val="9"/>
        </w:numPr>
        <w:tabs>
          <w:tab w:val="right" w:leader="dot" w:pos="9360"/>
        </w:tabs>
        <w:autoSpaceDE w:val="0"/>
        <w:autoSpaceDN w:val="0"/>
        <w:adjustRightInd w:val="0"/>
        <w:jc w:val="both"/>
        <w:rPr>
          <w:caps/>
          <w:szCs w:val="22"/>
        </w:rPr>
      </w:pPr>
      <w:r w:rsidRPr="006A744E">
        <w:rPr>
          <w:caps/>
          <w:sz w:val="22"/>
          <w:szCs w:val="22"/>
        </w:rPr>
        <w:t>Overview of Methodology</w:t>
      </w:r>
      <w:r w:rsidRPr="006A744E">
        <w:rPr>
          <w:caps/>
          <w:sz w:val="22"/>
          <w:szCs w:val="22"/>
        </w:rPr>
        <w:tab/>
      </w:r>
      <w:r>
        <w:rPr>
          <w:caps/>
          <w:sz w:val="22"/>
          <w:szCs w:val="22"/>
        </w:rPr>
        <w:t>4</w:t>
      </w:r>
    </w:p>
    <w:p w14:paraId="66832E21" w14:textId="77777777" w:rsidR="00E81C23" w:rsidRPr="006A744E" w:rsidRDefault="00DD7C39" w:rsidP="00EE61F6">
      <w:pPr>
        <w:pStyle w:val="ListParagraph"/>
        <w:keepNext/>
        <w:numPr>
          <w:ilvl w:val="0"/>
          <w:numId w:val="9"/>
        </w:numPr>
        <w:tabs>
          <w:tab w:val="right" w:leader="dot" w:pos="9360"/>
        </w:tabs>
        <w:autoSpaceDE w:val="0"/>
        <w:autoSpaceDN w:val="0"/>
        <w:adjustRightInd w:val="0"/>
        <w:jc w:val="both"/>
        <w:rPr>
          <w:caps/>
          <w:szCs w:val="22"/>
        </w:rPr>
      </w:pPr>
      <w:r w:rsidRPr="006A744E">
        <w:rPr>
          <w:caps/>
          <w:sz w:val="22"/>
          <w:szCs w:val="22"/>
        </w:rPr>
        <w:t>Predicting Interference from DTV to Wireless (Cases 1 and 2)</w:t>
      </w:r>
      <w:r w:rsidRPr="006A744E">
        <w:rPr>
          <w:caps/>
          <w:sz w:val="22"/>
          <w:szCs w:val="22"/>
        </w:rPr>
        <w:tab/>
      </w:r>
      <w:r>
        <w:rPr>
          <w:caps/>
          <w:sz w:val="22"/>
          <w:szCs w:val="22"/>
        </w:rPr>
        <w:t>8</w:t>
      </w:r>
    </w:p>
    <w:p w14:paraId="518D92E9" w14:textId="77777777" w:rsidR="00E81C23" w:rsidRPr="006A744E" w:rsidRDefault="00E81C23" w:rsidP="00EE61F6">
      <w:pPr>
        <w:pStyle w:val="ListParagraph"/>
        <w:keepNext/>
        <w:numPr>
          <w:ilvl w:val="1"/>
          <w:numId w:val="9"/>
        </w:numPr>
        <w:tabs>
          <w:tab w:val="right" w:leader="dot" w:pos="9360"/>
        </w:tabs>
        <w:autoSpaceDE w:val="0"/>
        <w:autoSpaceDN w:val="0"/>
        <w:adjustRightInd w:val="0"/>
        <w:jc w:val="both"/>
        <w:rPr>
          <w:bCs/>
          <w:szCs w:val="22"/>
        </w:rPr>
      </w:pPr>
      <w:r w:rsidRPr="006A744E">
        <w:rPr>
          <w:bCs/>
          <w:sz w:val="22"/>
          <w:szCs w:val="22"/>
        </w:rPr>
        <w:t>Threshold Values for Interference from Digital Full-Power and Class A TV Stations into Wireless Uplink (Case 1)</w:t>
      </w:r>
      <w:r w:rsidRPr="006A744E">
        <w:rPr>
          <w:bCs/>
          <w:sz w:val="22"/>
          <w:szCs w:val="22"/>
        </w:rPr>
        <w:tab/>
      </w:r>
      <w:r w:rsidR="00DD7C39">
        <w:rPr>
          <w:bCs/>
          <w:sz w:val="22"/>
          <w:szCs w:val="22"/>
        </w:rPr>
        <w:t>11</w:t>
      </w:r>
    </w:p>
    <w:p w14:paraId="3F49D634" w14:textId="77777777" w:rsidR="00E81C23" w:rsidRPr="006A744E" w:rsidRDefault="00E81C23" w:rsidP="00EE61F6">
      <w:pPr>
        <w:pStyle w:val="ListParagraph"/>
        <w:keepNext/>
        <w:numPr>
          <w:ilvl w:val="1"/>
          <w:numId w:val="9"/>
        </w:numPr>
        <w:tabs>
          <w:tab w:val="right" w:leader="dot" w:pos="9360"/>
        </w:tabs>
        <w:autoSpaceDE w:val="0"/>
        <w:autoSpaceDN w:val="0"/>
        <w:adjustRightInd w:val="0"/>
        <w:jc w:val="both"/>
        <w:rPr>
          <w:bCs/>
          <w:szCs w:val="22"/>
        </w:rPr>
      </w:pPr>
      <w:r w:rsidRPr="006A744E">
        <w:rPr>
          <w:bCs/>
          <w:sz w:val="22"/>
          <w:szCs w:val="22"/>
        </w:rPr>
        <w:t>Threshold Values for Interference from Digital Full-Power and Class A TV Stations into Wireless Downlink (Case 2)</w:t>
      </w:r>
      <w:r w:rsidRPr="006A744E">
        <w:rPr>
          <w:bCs/>
          <w:sz w:val="22"/>
          <w:szCs w:val="22"/>
        </w:rPr>
        <w:tab/>
      </w:r>
      <w:r w:rsidR="00224398">
        <w:rPr>
          <w:bCs/>
          <w:sz w:val="22"/>
          <w:szCs w:val="22"/>
        </w:rPr>
        <w:t>12</w:t>
      </w:r>
    </w:p>
    <w:p w14:paraId="0EAB4F67" w14:textId="77777777" w:rsidR="00E81C23" w:rsidRPr="006A744E" w:rsidRDefault="00E81C23" w:rsidP="00EE61F6">
      <w:pPr>
        <w:pStyle w:val="ListParagraph"/>
        <w:keepNext/>
        <w:numPr>
          <w:ilvl w:val="1"/>
          <w:numId w:val="9"/>
        </w:numPr>
        <w:tabs>
          <w:tab w:val="right" w:leader="dot" w:pos="9360"/>
        </w:tabs>
        <w:autoSpaceDE w:val="0"/>
        <w:autoSpaceDN w:val="0"/>
        <w:adjustRightInd w:val="0"/>
        <w:jc w:val="both"/>
        <w:rPr>
          <w:bCs/>
          <w:szCs w:val="22"/>
        </w:rPr>
      </w:pPr>
      <w:r w:rsidRPr="006A744E">
        <w:rPr>
          <w:bCs/>
          <w:sz w:val="22"/>
          <w:szCs w:val="22"/>
        </w:rPr>
        <w:t>Technical Specifications</w:t>
      </w:r>
      <w:r w:rsidRPr="006A744E">
        <w:rPr>
          <w:bCs/>
          <w:sz w:val="22"/>
          <w:szCs w:val="22"/>
        </w:rPr>
        <w:tab/>
      </w:r>
      <w:r w:rsidR="00224398">
        <w:rPr>
          <w:bCs/>
          <w:sz w:val="22"/>
          <w:szCs w:val="22"/>
        </w:rPr>
        <w:t>13</w:t>
      </w:r>
    </w:p>
    <w:p w14:paraId="5D11D2F8" w14:textId="77777777" w:rsidR="00E81C23" w:rsidRPr="006A744E" w:rsidRDefault="00DD7C39" w:rsidP="00EE61F6">
      <w:pPr>
        <w:pStyle w:val="ListParagraph"/>
        <w:keepNext/>
        <w:numPr>
          <w:ilvl w:val="0"/>
          <w:numId w:val="9"/>
        </w:numPr>
        <w:tabs>
          <w:tab w:val="right" w:leader="dot" w:pos="9360"/>
        </w:tabs>
        <w:autoSpaceDE w:val="0"/>
        <w:autoSpaceDN w:val="0"/>
        <w:adjustRightInd w:val="0"/>
        <w:jc w:val="both"/>
        <w:rPr>
          <w:caps/>
          <w:szCs w:val="22"/>
        </w:rPr>
      </w:pPr>
      <w:r w:rsidRPr="006A744E">
        <w:rPr>
          <w:caps/>
          <w:sz w:val="22"/>
          <w:szCs w:val="22"/>
        </w:rPr>
        <w:t>Predicting Interference from Wireless to DTV (Cases 3 And 4)</w:t>
      </w:r>
      <w:r w:rsidRPr="006A744E">
        <w:rPr>
          <w:caps/>
          <w:sz w:val="22"/>
          <w:szCs w:val="22"/>
        </w:rPr>
        <w:tab/>
      </w:r>
      <w:r w:rsidR="00224398">
        <w:rPr>
          <w:caps/>
          <w:sz w:val="22"/>
          <w:szCs w:val="22"/>
        </w:rPr>
        <w:t>15</w:t>
      </w:r>
    </w:p>
    <w:p w14:paraId="0FD768E9" w14:textId="77777777" w:rsidR="00E81C23" w:rsidRPr="006A744E" w:rsidRDefault="00E81C23" w:rsidP="00EE61F6">
      <w:pPr>
        <w:pStyle w:val="ListParagraph"/>
        <w:keepNext/>
        <w:numPr>
          <w:ilvl w:val="1"/>
          <w:numId w:val="9"/>
        </w:numPr>
        <w:tabs>
          <w:tab w:val="right" w:leader="dot" w:pos="9360"/>
        </w:tabs>
        <w:autoSpaceDE w:val="0"/>
        <w:autoSpaceDN w:val="0"/>
        <w:adjustRightInd w:val="0"/>
        <w:jc w:val="both"/>
        <w:rPr>
          <w:bCs/>
          <w:szCs w:val="22"/>
        </w:rPr>
      </w:pPr>
      <w:r w:rsidRPr="006A744E">
        <w:rPr>
          <w:bCs/>
          <w:sz w:val="22"/>
          <w:szCs w:val="22"/>
        </w:rPr>
        <w:t>Threshold Values for Interference from Wireless Downlink into Digital Full-Power and Class A TV Stations (Case 3)</w:t>
      </w:r>
      <w:r w:rsidRPr="006A744E">
        <w:rPr>
          <w:bCs/>
          <w:sz w:val="22"/>
          <w:szCs w:val="22"/>
        </w:rPr>
        <w:tab/>
      </w:r>
      <w:r w:rsidR="00224398">
        <w:rPr>
          <w:bCs/>
          <w:sz w:val="22"/>
          <w:szCs w:val="22"/>
        </w:rPr>
        <w:t>22</w:t>
      </w:r>
    </w:p>
    <w:p w14:paraId="55E06CF0" w14:textId="77777777" w:rsidR="00E81C23" w:rsidRPr="006A744E" w:rsidRDefault="00E81C23" w:rsidP="00EE61F6">
      <w:pPr>
        <w:pStyle w:val="ListParagraph"/>
        <w:keepNext/>
        <w:numPr>
          <w:ilvl w:val="1"/>
          <w:numId w:val="9"/>
        </w:numPr>
        <w:tabs>
          <w:tab w:val="right" w:leader="dot" w:pos="9360"/>
        </w:tabs>
        <w:autoSpaceDE w:val="0"/>
        <w:autoSpaceDN w:val="0"/>
        <w:adjustRightInd w:val="0"/>
        <w:jc w:val="both"/>
        <w:rPr>
          <w:bCs/>
          <w:szCs w:val="22"/>
        </w:rPr>
      </w:pPr>
      <w:r w:rsidRPr="006A744E">
        <w:rPr>
          <w:bCs/>
          <w:sz w:val="22"/>
          <w:szCs w:val="22"/>
        </w:rPr>
        <w:t>Threshold Values for Interference from Wireless Uplink into Digital Full-Power and Class A TV Stations (Case 4)</w:t>
      </w:r>
      <w:r w:rsidRPr="006A744E">
        <w:rPr>
          <w:bCs/>
          <w:sz w:val="22"/>
          <w:szCs w:val="22"/>
        </w:rPr>
        <w:tab/>
      </w:r>
      <w:r w:rsidR="00224398">
        <w:rPr>
          <w:bCs/>
          <w:sz w:val="22"/>
          <w:szCs w:val="22"/>
        </w:rPr>
        <w:t>23</w:t>
      </w:r>
    </w:p>
    <w:p w14:paraId="1DC0192B" w14:textId="77777777" w:rsidR="00E81C23" w:rsidRPr="006A744E" w:rsidRDefault="00E81C23" w:rsidP="00EE61F6">
      <w:pPr>
        <w:pStyle w:val="ListParagraph"/>
        <w:keepNext/>
        <w:numPr>
          <w:ilvl w:val="1"/>
          <w:numId w:val="9"/>
        </w:numPr>
        <w:tabs>
          <w:tab w:val="right" w:leader="dot" w:pos="9360"/>
        </w:tabs>
        <w:autoSpaceDE w:val="0"/>
        <w:autoSpaceDN w:val="0"/>
        <w:adjustRightInd w:val="0"/>
        <w:jc w:val="both"/>
        <w:rPr>
          <w:bCs/>
          <w:szCs w:val="22"/>
        </w:rPr>
      </w:pPr>
      <w:r w:rsidRPr="006A744E">
        <w:rPr>
          <w:bCs/>
          <w:sz w:val="22"/>
          <w:szCs w:val="22"/>
        </w:rPr>
        <w:t>Technical Specifications</w:t>
      </w:r>
      <w:r w:rsidRPr="006A744E">
        <w:rPr>
          <w:bCs/>
          <w:sz w:val="22"/>
          <w:szCs w:val="22"/>
        </w:rPr>
        <w:tab/>
      </w:r>
      <w:r w:rsidR="00224398">
        <w:rPr>
          <w:bCs/>
          <w:sz w:val="22"/>
          <w:szCs w:val="22"/>
        </w:rPr>
        <w:t>24</w:t>
      </w:r>
    </w:p>
    <w:p w14:paraId="6D924243" w14:textId="77777777" w:rsidR="00E81C23" w:rsidRPr="006A744E" w:rsidRDefault="00DD7C39" w:rsidP="00EE61F6">
      <w:pPr>
        <w:pStyle w:val="ListParagraph"/>
        <w:keepNext/>
        <w:numPr>
          <w:ilvl w:val="0"/>
          <w:numId w:val="9"/>
        </w:numPr>
        <w:tabs>
          <w:tab w:val="right" w:leader="dot" w:pos="9360"/>
        </w:tabs>
        <w:autoSpaceDE w:val="0"/>
        <w:autoSpaceDN w:val="0"/>
        <w:adjustRightInd w:val="0"/>
        <w:jc w:val="both"/>
        <w:rPr>
          <w:caps/>
          <w:szCs w:val="22"/>
        </w:rPr>
      </w:pPr>
      <w:r w:rsidRPr="006A744E">
        <w:rPr>
          <w:caps/>
          <w:sz w:val="22"/>
          <w:szCs w:val="22"/>
        </w:rPr>
        <w:t>Engineering Databases</w:t>
      </w:r>
      <w:r w:rsidRPr="006A744E">
        <w:rPr>
          <w:caps/>
          <w:sz w:val="22"/>
          <w:szCs w:val="22"/>
        </w:rPr>
        <w:tab/>
      </w:r>
      <w:r w:rsidR="00224398">
        <w:rPr>
          <w:caps/>
          <w:sz w:val="22"/>
          <w:szCs w:val="22"/>
        </w:rPr>
        <w:t>31</w:t>
      </w:r>
    </w:p>
    <w:p w14:paraId="1F04F4A9" w14:textId="77777777" w:rsidR="00E81C23" w:rsidRPr="006A744E" w:rsidRDefault="00DD7C39" w:rsidP="00EE61F6">
      <w:pPr>
        <w:pStyle w:val="ListParagraph"/>
        <w:keepNext/>
        <w:numPr>
          <w:ilvl w:val="0"/>
          <w:numId w:val="9"/>
        </w:numPr>
        <w:tabs>
          <w:tab w:val="right" w:leader="dot" w:pos="9360"/>
        </w:tabs>
        <w:autoSpaceDE w:val="0"/>
        <w:autoSpaceDN w:val="0"/>
        <w:adjustRightInd w:val="0"/>
        <w:jc w:val="both"/>
        <w:rPr>
          <w:caps/>
          <w:szCs w:val="22"/>
        </w:rPr>
      </w:pPr>
      <w:r w:rsidRPr="006A744E">
        <w:rPr>
          <w:caps/>
          <w:sz w:val="22"/>
          <w:szCs w:val="22"/>
        </w:rPr>
        <w:t>Using TVStudy to Run ISIX Analysis for Prediction of Wireless Market Impairments</w:t>
      </w:r>
      <w:r w:rsidRPr="006A744E">
        <w:rPr>
          <w:caps/>
          <w:sz w:val="22"/>
          <w:szCs w:val="22"/>
        </w:rPr>
        <w:tab/>
      </w:r>
      <w:r w:rsidR="00224398">
        <w:rPr>
          <w:caps/>
          <w:sz w:val="22"/>
          <w:szCs w:val="22"/>
        </w:rPr>
        <w:t>32</w:t>
      </w:r>
    </w:p>
    <w:p w14:paraId="1C2AB5AA" w14:textId="77777777" w:rsidR="00E81C23" w:rsidRPr="008F2405" w:rsidRDefault="00E81C23" w:rsidP="008F2405">
      <w:pPr>
        <w:keepNext/>
        <w:autoSpaceDE w:val="0"/>
        <w:autoSpaceDN w:val="0"/>
        <w:adjustRightInd w:val="0"/>
        <w:jc w:val="both"/>
        <w:rPr>
          <w:b/>
          <w:bCs/>
        </w:rPr>
      </w:pPr>
    </w:p>
    <w:p w14:paraId="2D87EC10" w14:textId="77777777" w:rsidR="008F2405" w:rsidRPr="00DD7C39" w:rsidRDefault="008F2405" w:rsidP="00EE61F6">
      <w:pPr>
        <w:pStyle w:val="Heading1"/>
        <w:numPr>
          <w:ilvl w:val="0"/>
          <w:numId w:val="10"/>
        </w:numPr>
        <w:rPr>
          <w:bCs/>
        </w:rPr>
      </w:pPr>
      <w:bookmarkStart w:id="784" w:name="_Toc396560842"/>
      <w:bookmarkStart w:id="785" w:name="_Toc397962828"/>
      <w:bookmarkStart w:id="786" w:name="_Toc398023606"/>
      <w:bookmarkStart w:id="787" w:name="_Toc398902999"/>
      <w:bookmarkStart w:id="788" w:name="_Toc398903322"/>
      <w:bookmarkStart w:id="789" w:name="_Toc398903511"/>
      <w:bookmarkStart w:id="790" w:name="_Toc398904108"/>
      <w:bookmarkStart w:id="791" w:name="_Toc398904616"/>
      <w:bookmarkStart w:id="792" w:name="_Toc401305976"/>
      <w:bookmarkStart w:id="793" w:name="_Toc401306652"/>
      <w:bookmarkStart w:id="794" w:name="_Toc401306721"/>
      <w:r w:rsidRPr="008F2405">
        <w:t>Introduction</w:t>
      </w:r>
      <w:bookmarkEnd w:id="784"/>
      <w:bookmarkEnd w:id="785"/>
      <w:bookmarkEnd w:id="786"/>
      <w:bookmarkEnd w:id="787"/>
      <w:bookmarkEnd w:id="788"/>
      <w:bookmarkEnd w:id="789"/>
      <w:bookmarkEnd w:id="790"/>
      <w:bookmarkEnd w:id="791"/>
      <w:bookmarkEnd w:id="792"/>
      <w:bookmarkEnd w:id="793"/>
      <w:bookmarkEnd w:id="794"/>
    </w:p>
    <w:p w14:paraId="5277E938" w14:textId="77777777" w:rsidR="008F2405" w:rsidRPr="008F2405" w:rsidRDefault="008F2405" w:rsidP="00EE61F6">
      <w:pPr>
        <w:pStyle w:val="ParaNum"/>
        <w:numPr>
          <w:ilvl w:val="0"/>
          <w:numId w:val="11"/>
        </w:numPr>
      </w:pPr>
      <w:r w:rsidRPr="008F2405">
        <w:t xml:space="preserve">This appendix sets forth a methodology for predicting interference between broadcast television and wireless services when co-channel or adjacent-channel to the 600 MHz Band (“ISIX Methodology”).  The ISIX Methodology will be used to identify the locations within a wireless 600 MHz Band license </w:t>
      </w:r>
      <w:r w:rsidR="00C77533">
        <w:t xml:space="preserve">area </w:t>
      </w:r>
      <w:r w:rsidRPr="008F2405">
        <w:t>that either experience interference from DTV or cause interference to DTV.</w:t>
      </w:r>
    </w:p>
    <w:p w14:paraId="5D3AE727" w14:textId="77777777" w:rsidR="008F2405" w:rsidRPr="008F2405" w:rsidRDefault="008F2405" w:rsidP="006A744E">
      <w:pPr>
        <w:pStyle w:val="ParaNum"/>
      </w:pPr>
      <w:r w:rsidRPr="008F2405">
        <w:t>The ISIX methodology uses the NTIA Institute of Telecommunications Science’s Irregular Terrain Model (Longley-Rice model) for predicting radio signal propagation losses, established planning factors and industry standards to define thresholds of coverage and interference, and typical technical specifications in the absence of industry standards.  It also generally applies commonly used protocols, databases, and propagation models to describe a predictive methodology that can be run on a computer.  For broadcast television, it assumes use of the Advanced Television Systems Committee’s (ATSC) Digital Television (DTV) Standard,</w:t>
      </w:r>
      <w:r w:rsidRPr="008F2405">
        <w:rPr>
          <w:bCs/>
          <w:sz w:val="20"/>
          <w:vertAlign w:val="superscript"/>
        </w:rPr>
        <w:footnoteReference w:id="279"/>
      </w:r>
      <w:r w:rsidRPr="008F2405">
        <w:t xml:space="preserve"> although it is possible, especially across international borders, that the National Television Systems Committee (NTSC) analog Television (TV) standard may also be used.</w:t>
      </w:r>
      <w:r w:rsidRPr="008F2405">
        <w:rPr>
          <w:bCs/>
          <w:sz w:val="20"/>
          <w:vertAlign w:val="superscript"/>
        </w:rPr>
        <w:footnoteReference w:id="280"/>
      </w:r>
      <w:r w:rsidRPr="008F2405">
        <w:t xml:space="preserve">  For wireless operations, it assumes use of the 3</w:t>
      </w:r>
      <w:r w:rsidRPr="008F2405">
        <w:rPr>
          <w:vertAlign w:val="superscript"/>
        </w:rPr>
        <w:t>rd</w:t>
      </w:r>
      <w:r w:rsidRPr="008F2405">
        <w:t xml:space="preserve"> Generation Partnership Project (3GPP) Long-Term Evolution (LTE) standard.</w:t>
      </w:r>
      <w:r w:rsidRPr="008F2405">
        <w:rPr>
          <w:bCs/>
          <w:sz w:val="20"/>
          <w:vertAlign w:val="superscript"/>
        </w:rPr>
        <w:footnoteReference w:id="281"/>
      </w:r>
      <w:r w:rsidRPr="008F2405">
        <w:t xml:space="preserve">  </w:t>
      </w:r>
    </w:p>
    <w:p w14:paraId="37C2ACE5" w14:textId="77777777" w:rsidR="008F2405" w:rsidRPr="008F2405" w:rsidRDefault="008F2405" w:rsidP="006A744E">
      <w:pPr>
        <w:pStyle w:val="ParaNum"/>
      </w:pPr>
      <w:r w:rsidRPr="008F2405">
        <w:t>The ISIX Methodology uses the Longley-Rice radio propagation model, which predicts field strength at receive points based on the elevation profile of terrain between the transmitter and each specific reception point.</w:t>
      </w:r>
      <w:r w:rsidRPr="008F2405">
        <w:rPr>
          <w:bCs/>
          <w:sz w:val="20"/>
          <w:vertAlign w:val="superscript"/>
        </w:rPr>
        <w:footnoteReference w:id="282"/>
      </w:r>
      <w:r w:rsidRPr="008F2405">
        <w:t xml:space="preserve">  Predictions are made over a large area (described as a 2-kilometer global grid of calculation cells).</w:t>
      </w:r>
      <w:r w:rsidRPr="008F2405">
        <w:rPr>
          <w:bCs/>
          <w:sz w:val="20"/>
          <w:vertAlign w:val="superscript"/>
        </w:rPr>
        <w:footnoteReference w:id="283"/>
      </w:r>
      <w:r w:rsidRPr="008F2405">
        <w:t xml:space="preserve">  Predictions of interference for the purpose of determining impairment locations during the incentive auction will be made using the FCC’s </w:t>
      </w:r>
      <w:r w:rsidRPr="008F2405">
        <w:rPr>
          <w:i/>
        </w:rPr>
        <w:t>TVStudy</w:t>
      </w:r>
      <w:r w:rsidRPr="008F2405">
        <w:t xml:space="preserve"> software and relevant TV station engineering data from the FCC’s Consolidated Database System (CDBS).</w:t>
      </w:r>
      <w:r w:rsidRPr="008F2405">
        <w:rPr>
          <w:bCs/>
          <w:sz w:val="20"/>
          <w:vertAlign w:val="superscript"/>
        </w:rPr>
        <w:footnoteReference w:id="284"/>
      </w:r>
    </w:p>
    <w:p w14:paraId="426F8BFB" w14:textId="77777777" w:rsidR="008F2405" w:rsidRPr="006A744E" w:rsidRDefault="008F2405" w:rsidP="006A744E">
      <w:pPr>
        <w:pStyle w:val="Heading1"/>
        <w:rPr>
          <w:b w:val="0"/>
          <w:caps w:val="0"/>
        </w:rPr>
      </w:pPr>
      <w:bookmarkStart w:id="795" w:name="_Toc396560843"/>
      <w:bookmarkStart w:id="796" w:name="_Toc397962829"/>
      <w:bookmarkStart w:id="797" w:name="_Toc398023607"/>
      <w:bookmarkStart w:id="798" w:name="_Toc398903000"/>
      <w:bookmarkStart w:id="799" w:name="_Toc398903323"/>
      <w:bookmarkStart w:id="800" w:name="_Toc398903512"/>
      <w:bookmarkStart w:id="801" w:name="_Toc398904109"/>
      <w:bookmarkStart w:id="802" w:name="_Toc398904617"/>
      <w:bookmarkStart w:id="803" w:name="_Toc401305977"/>
      <w:bookmarkStart w:id="804" w:name="_Toc401306653"/>
      <w:bookmarkStart w:id="805" w:name="_Toc401306722"/>
      <w:r w:rsidRPr="006A744E">
        <w:t>Overview of Methodology</w:t>
      </w:r>
      <w:bookmarkEnd w:id="795"/>
      <w:bookmarkEnd w:id="796"/>
      <w:bookmarkEnd w:id="797"/>
      <w:bookmarkEnd w:id="798"/>
      <w:bookmarkEnd w:id="799"/>
      <w:bookmarkEnd w:id="800"/>
      <w:bookmarkEnd w:id="801"/>
      <w:bookmarkEnd w:id="802"/>
      <w:bookmarkEnd w:id="803"/>
      <w:bookmarkEnd w:id="804"/>
      <w:bookmarkEnd w:id="805"/>
    </w:p>
    <w:p w14:paraId="4C59FE44" w14:textId="77777777" w:rsidR="008F2405" w:rsidRPr="008F2405" w:rsidRDefault="008F2405" w:rsidP="006A744E">
      <w:pPr>
        <w:pStyle w:val="ParaNum"/>
      </w:pPr>
      <w:r w:rsidRPr="008F2405">
        <w:rPr>
          <w:lang w:eastAsia="ja-JP"/>
        </w:rPr>
        <w:t>To determine potential wireless license impairments, we first define the area subject to calculation.  For interference to wireless, the area subject to calculation is defined as each wireless Partial Economic Area (PEA).</w:t>
      </w:r>
      <w:r w:rsidRPr="008F2405">
        <w:rPr>
          <w:sz w:val="20"/>
          <w:vertAlign w:val="superscript"/>
          <w:lang w:eastAsia="ja-JP"/>
        </w:rPr>
        <w:footnoteReference w:id="285"/>
      </w:r>
      <w:r w:rsidRPr="008F2405">
        <w:rPr>
          <w:lang w:eastAsia="ja-JP"/>
        </w:rPr>
        <w:t xml:space="preserve">  For interference to TV, the area subject to calculation is</w:t>
      </w:r>
      <w:r w:rsidRPr="008F2405">
        <w:t xml:space="preserve"> the area inside of the noise-limited contour defined in 47 C.F.R. § 73.625(a) for full-power DTV stations and the area within the protected contour defined in 47 C.F.R. § 73.6010 for digital Class A TV stations.</w:t>
      </w:r>
      <w:r w:rsidRPr="008F2405">
        <w:rPr>
          <w:sz w:val="20"/>
          <w:vertAlign w:val="superscript"/>
        </w:rPr>
        <w:footnoteReference w:id="286"/>
      </w:r>
      <w:r w:rsidRPr="008F2405">
        <w:t xml:space="preserve">  </w:t>
      </w:r>
    </w:p>
    <w:p w14:paraId="337C47A0" w14:textId="77777777" w:rsidR="008F2405" w:rsidRPr="008F2405" w:rsidRDefault="008F2405" w:rsidP="006A744E">
      <w:pPr>
        <w:pStyle w:val="ParaNum"/>
      </w:pPr>
      <w:r w:rsidRPr="008F2405">
        <w:t xml:space="preserve">There are four scenarios, or cases, of potential interference that may be experienced as a result of market variation.  When broadcast television operations and wireless operations are co-channel or adjacent-channel in nearby markets, interference may be predicted in the following four cases:  (1) DTV transmitter-into-wireless base station; (2) DTV transmitter into wireless user equipment; (3) Wireless base station-into-DTV receivers; and (4) Wireless user equipment-into-DTV receivers.  These cases are shown graphically in Figure 1 below: </w:t>
      </w:r>
    </w:p>
    <w:p w14:paraId="41D4A58F" w14:textId="77777777" w:rsidR="008F2405" w:rsidRPr="008F2405" w:rsidRDefault="008F2405" w:rsidP="006A744E">
      <w:pPr>
        <w:jc w:val="center"/>
      </w:pPr>
      <w:r w:rsidRPr="00F3761A">
        <w:rPr>
          <w:noProof/>
        </w:rPr>
        <w:drawing>
          <wp:inline distT="0" distB="0" distL="0" distR="0" wp14:anchorId="1C95388D" wp14:editId="23A73E89">
            <wp:extent cx="3559709" cy="2261467"/>
            <wp:effectExtent l="19050" t="19050" r="22225" b="247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DiagSimpl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9709" cy="2261467"/>
                    </a:xfrm>
                    <a:prstGeom prst="rect">
                      <a:avLst/>
                    </a:prstGeom>
                    <a:ln>
                      <a:solidFill>
                        <a:sysClr val="windowText" lastClr="000000"/>
                      </a:solidFill>
                    </a:ln>
                  </pic:spPr>
                </pic:pic>
              </a:graphicData>
            </a:graphic>
          </wp:inline>
        </w:drawing>
      </w:r>
    </w:p>
    <w:p w14:paraId="15E03006" w14:textId="77777777" w:rsidR="008F2405" w:rsidRPr="004E3A8D" w:rsidRDefault="008F2405" w:rsidP="006A744E">
      <w:pPr>
        <w:spacing w:before="120" w:after="240"/>
        <w:jc w:val="center"/>
      </w:pPr>
      <w:r w:rsidRPr="004E3A8D">
        <w:t xml:space="preserve">Figure </w:t>
      </w:r>
      <w:r w:rsidR="000302DB">
        <w:fldChar w:fldCharType="begin"/>
      </w:r>
      <w:r w:rsidR="000302DB">
        <w:instrText xml:space="preserve"> SEQ Figure \* ARABIC </w:instrText>
      </w:r>
      <w:r w:rsidR="000302DB">
        <w:fldChar w:fldCharType="separate"/>
      </w:r>
      <w:r w:rsidR="00656F50">
        <w:rPr>
          <w:noProof/>
        </w:rPr>
        <w:t>1</w:t>
      </w:r>
      <w:r w:rsidR="000302DB">
        <w:rPr>
          <w:noProof/>
        </w:rPr>
        <w:fldChar w:fldCharType="end"/>
      </w:r>
      <w:r w:rsidRPr="004E3A8D">
        <w:t>. Four interference scenarios</w:t>
      </w:r>
    </w:p>
    <w:p w14:paraId="549F1E2F" w14:textId="77777777" w:rsidR="008F2405" w:rsidRPr="008F2405" w:rsidRDefault="008F2405" w:rsidP="006A744E">
      <w:pPr>
        <w:pStyle w:val="ParaNum"/>
        <w:rPr>
          <w:lang w:eastAsia="ja-JP"/>
        </w:rPr>
      </w:pPr>
      <w:r w:rsidRPr="008F2405">
        <w:rPr>
          <w:lang w:eastAsia="ja-JP"/>
        </w:rPr>
        <w:t xml:space="preserve">Depending on the interference scenario being examined, the methodology evaluates interference using either field strength limits at the wireless receive antenna, or D/U ratios at the DTV receive antenna, as a function of the amount of spectral overlap between the DTV and wireless channel.  Potential interference is then </w:t>
      </w:r>
      <w:r w:rsidRPr="008F2405">
        <w:t>defined</w:t>
      </w:r>
      <w:r w:rsidRPr="008F2405">
        <w:rPr>
          <w:lang w:eastAsia="ja-JP"/>
        </w:rPr>
        <w:t xml:space="preserve"> to occur at a specified location when the predicted interfering field strength or D/U ratio fails to meet the applicable threshold.  Locations where interference occurs to or originates from the wireless network are collectively the impaired locations which will be used as a basis for determination of impairments within each wireless </w:t>
      </w:r>
      <w:r w:rsidR="00C77533">
        <w:rPr>
          <w:lang w:eastAsia="ja-JP"/>
        </w:rPr>
        <w:t xml:space="preserve">license area </w:t>
      </w:r>
      <w:r w:rsidRPr="008F2405">
        <w:rPr>
          <w:lang w:eastAsia="ja-JP"/>
        </w:rPr>
        <w:t xml:space="preserve">during the auction.  </w:t>
      </w:r>
    </w:p>
    <w:p w14:paraId="7755E044" w14:textId="77777777" w:rsidR="008F2405" w:rsidRPr="008F2405" w:rsidRDefault="008F2405" w:rsidP="006A744E">
      <w:pPr>
        <w:pStyle w:val="ParaNum"/>
        <w:rPr>
          <w:lang w:eastAsia="ja-JP"/>
        </w:rPr>
      </w:pPr>
      <w:r w:rsidRPr="008F2405">
        <w:rPr>
          <w:lang w:eastAsia="ja-JP"/>
        </w:rPr>
        <w:t xml:space="preserve">Because the near-national band plan will not be known until the level of broadcaster participation in the auction is determined, the alignment of the wireless blocks to repacked DTV stations who are assigned channels in the repurposed 600 MHz spectrum is also unknown.  For this reason, all interference thresholds are </w:t>
      </w:r>
      <w:r w:rsidRPr="008F2405">
        <w:t>specified</w:t>
      </w:r>
      <w:r w:rsidRPr="008F2405">
        <w:rPr>
          <w:lang w:eastAsia="ja-JP"/>
        </w:rPr>
        <w:t xml:space="preserve"> in terms of spectral overlap.  Spectral overlap refers to the degree of wireless spectrum block to TV channel overlap and is an integer number between +5 MHz and -5 MHz, in 1 MHz increments.  When the wireless block completely overlaps the TV channel the spectral overlap is equal to </w:t>
      </w:r>
      <w:r w:rsidRPr="00F3761A">
        <w:rPr>
          <w:lang w:eastAsia="ja-JP"/>
        </w:rPr>
        <w:t>+5 MHz, and when there is 5 MHz of separation between the wireless block edge and the TV channel the spectral overlap is equal to -5 MHz.  Co-channel interference refers to the instances when the wireless block overlaps the TV channel by 5 to 1 MHz (spectral overlap= +5 to 1MHz) and adjacent-channel interference refers to instances when the wireless block edge and TV channel edge are separated by 0 to 5 MHz (spectral overlap = 0 MHz to -5 MHz).</w:t>
      </w:r>
    </w:p>
    <w:p w14:paraId="34897FD3" w14:textId="77777777" w:rsidR="008F2405" w:rsidRPr="006A744E" w:rsidRDefault="008F2405" w:rsidP="006A744E">
      <w:pPr>
        <w:pStyle w:val="Heading1"/>
        <w:rPr>
          <w:b w:val="0"/>
          <w:caps w:val="0"/>
          <w:lang w:eastAsia="ja-JP"/>
        </w:rPr>
      </w:pPr>
      <w:bookmarkStart w:id="806" w:name="_Toc396560844"/>
      <w:bookmarkStart w:id="807" w:name="_Toc397962830"/>
      <w:bookmarkStart w:id="808" w:name="_Toc398023608"/>
      <w:bookmarkStart w:id="809" w:name="_Toc398903001"/>
      <w:bookmarkStart w:id="810" w:name="_Toc398903324"/>
      <w:bookmarkStart w:id="811" w:name="_Toc398903513"/>
      <w:bookmarkStart w:id="812" w:name="_Toc398904110"/>
      <w:bookmarkStart w:id="813" w:name="_Toc398904618"/>
      <w:bookmarkStart w:id="814" w:name="_Toc401305978"/>
      <w:bookmarkStart w:id="815" w:name="_Toc401306654"/>
      <w:bookmarkStart w:id="816" w:name="_Toc401306723"/>
      <w:r w:rsidRPr="006A744E">
        <w:rPr>
          <w:lang w:eastAsia="ja-JP"/>
        </w:rPr>
        <w:t>PREDICTING INTERFERENCE FROM DTV to Wireless (Cases 1</w:t>
      </w:r>
      <w:r w:rsidRPr="008F2405">
        <w:rPr>
          <w:lang w:eastAsia="ja-JP"/>
        </w:rPr>
        <w:t xml:space="preserve"> </w:t>
      </w:r>
      <w:r w:rsidRPr="006A744E">
        <w:rPr>
          <w:lang w:eastAsia="ja-JP"/>
        </w:rPr>
        <w:t>and 2)</w:t>
      </w:r>
      <w:bookmarkEnd w:id="806"/>
      <w:bookmarkEnd w:id="807"/>
      <w:bookmarkEnd w:id="808"/>
      <w:bookmarkEnd w:id="809"/>
      <w:bookmarkEnd w:id="810"/>
      <w:bookmarkEnd w:id="811"/>
      <w:bookmarkEnd w:id="812"/>
      <w:bookmarkEnd w:id="813"/>
      <w:bookmarkEnd w:id="814"/>
      <w:bookmarkEnd w:id="815"/>
      <w:bookmarkEnd w:id="816"/>
    </w:p>
    <w:p w14:paraId="19F98384" w14:textId="77777777" w:rsidR="008F2405" w:rsidRPr="008F2405" w:rsidRDefault="008F2405" w:rsidP="006A744E">
      <w:pPr>
        <w:pStyle w:val="ParaNum"/>
        <w:rPr>
          <w:lang w:eastAsia="ja-JP"/>
        </w:rPr>
      </w:pPr>
      <w:r w:rsidRPr="008F2405">
        <w:rPr>
          <w:lang w:eastAsia="ja-JP"/>
        </w:rPr>
        <w:t>Cases 1 and 2 involve interference caused by a co- or adjacent-channel DTV transmitter to a wireless base station (BS) or user equipment (UE), respectively.  To determine areas of possible interference to wireless (wireless service impairments, or “infringed” portions of a wireless license area) we divide the wireless license area into a 2-kilometer global grid and calculate field strength levels at the population centroid of each grid point for each DTV facility within approximately 500 km of the wireless license boundary.</w:t>
      </w:r>
      <w:r w:rsidRPr="008F2405">
        <w:rPr>
          <w:sz w:val="20"/>
          <w:vertAlign w:val="superscript"/>
          <w:lang w:eastAsia="ja-JP"/>
        </w:rPr>
        <w:footnoteReference w:id="287"/>
      </w:r>
      <w:r w:rsidRPr="008F2405">
        <w:rPr>
          <w:lang w:eastAsia="ja-JP"/>
        </w:rPr>
        <w:t xml:space="preserve">  Every DTV station is replicated onto channel 38</w:t>
      </w:r>
      <w:r w:rsidRPr="008F2405">
        <w:rPr>
          <w:sz w:val="20"/>
          <w:vertAlign w:val="superscript"/>
          <w:lang w:eastAsia="ja-JP"/>
        </w:rPr>
        <w:footnoteReference w:id="288"/>
      </w:r>
      <w:r w:rsidRPr="008F2405">
        <w:rPr>
          <w:lang w:eastAsia="ja-JP"/>
        </w:rPr>
        <w:t xml:space="preserve"> and the predicted F(50,50) field strength</w:t>
      </w:r>
      <w:r w:rsidRPr="008F2405">
        <w:rPr>
          <w:sz w:val="20"/>
          <w:vertAlign w:val="superscript"/>
          <w:lang w:eastAsia="ja-JP"/>
        </w:rPr>
        <w:footnoteReference w:id="289"/>
      </w:r>
      <w:r w:rsidRPr="008F2405">
        <w:rPr>
          <w:lang w:eastAsia="ja-JP"/>
        </w:rPr>
        <w:t xml:space="preserve"> at each grid point is then compared to the appropriate interference field strength threshold for each spectral overlap.  Since we cannot consider actual 600 MHz wireless deployments, all field strength thresholds for Cases 1 and 2 are based on the assumption that the desired wireless signal is always at the edge of coverage and operating at </w:t>
      </w:r>
      <w:r w:rsidR="00C201F7">
        <w:rPr>
          <w:lang w:eastAsia="ja-JP"/>
        </w:rPr>
        <w:t xml:space="preserve">or </w:t>
      </w:r>
      <w:r w:rsidRPr="008F2405">
        <w:rPr>
          <w:lang w:eastAsia="ja-JP"/>
        </w:rPr>
        <w:t>near the receiver sensitivity threshold.  Additionally, the wireless base station receiver assumptions do not consider antenna discrimination or other techniques to mitigate interference.  Thus, impaired locations due to either Case 1 or Case 2 tend to be conservatively large.</w:t>
      </w:r>
    </w:p>
    <w:p w14:paraId="14372BD5" w14:textId="77777777" w:rsidR="008F2405" w:rsidRPr="008F2405" w:rsidRDefault="008F2405" w:rsidP="006A744E">
      <w:pPr>
        <w:pStyle w:val="ParaNum"/>
        <w:rPr>
          <w:lang w:eastAsia="ja-JP"/>
        </w:rPr>
      </w:pPr>
      <w:r w:rsidRPr="008F2405">
        <w:rPr>
          <w:lang w:eastAsia="ja-JP"/>
        </w:rPr>
        <w:fldChar w:fldCharType="begin"/>
      </w:r>
      <w:r w:rsidRPr="008F2405">
        <w:rPr>
          <w:lang w:eastAsia="ja-JP"/>
        </w:rPr>
        <w:instrText xml:space="preserve"> REF _Ref393782142 \h  \* MERGEFORMAT </w:instrText>
      </w:r>
      <w:r w:rsidRPr="008F2405">
        <w:rPr>
          <w:lang w:eastAsia="ja-JP"/>
        </w:rPr>
      </w:r>
      <w:r w:rsidRPr="008F2405">
        <w:rPr>
          <w:lang w:eastAsia="ja-JP"/>
        </w:rPr>
        <w:fldChar w:fldCharType="separate"/>
      </w:r>
      <w:r w:rsidR="00656F50" w:rsidRPr="004E3A8D">
        <w:t xml:space="preserve">Figure </w:t>
      </w:r>
      <w:r w:rsidR="00656F50">
        <w:rPr>
          <w:noProof/>
        </w:rPr>
        <w:t>2</w:t>
      </w:r>
      <w:r w:rsidRPr="008F2405">
        <w:rPr>
          <w:lang w:eastAsia="ja-JP"/>
        </w:rPr>
        <w:fldChar w:fldCharType="end"/>
      </w:r>
      <w:r w:rsidRPr="008F2405">
        <w:rPr>
          <w:lang w:eastAsia="ja-JP"/>
        </w:rPr>
        <w:t xml:space="preserve"> </w:t>
      </w:r>
      <w:r w:rsidRPr="008F2405">
        <w:t>illustrates</w:t>
      </w:r>
      <w:r w:rsidRPr="008F2405">
        <w:rPr>
          <w:lang w:eastAsia="ja-JP"/>
        </w:rPr>
        <w:t xml:space="preserve"> how the spectral overlaps and field strength thresholds are used during the auction to identify impaired locations within each wireless market.</w:t>
      </w:r>
    </w:p>
    <w:p w14:paraId="23994BCB" w14:textId="77777777" w:rsidR="008F2405" w:rsidRPr="008F2405" w:rsidRDefault="008F2405" w:rsidP="008F2405">
      <w:pPr>
        <w:keepNext/>
        <w:jc w:val="center"/>
      </w:pPr>
      <w:r w:rsidRPr="00F3761A">
        <w:rPr>
          <w:noProof/>
        </w:rPr>
        <w:drawing>
          <wp:inline distT="0" distB="0" distL="0" distR="0" wp14:anchorId="6216C1EB" wp14:editId="1E1A3E66">
            <wp:extent cx="4572000" cy="2478024"/>
            <wp:effectExtent l="19050" t="19050" r="19050" b="177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2478024"/>
                    </a:xfrm>
                    <a:prstGeom prst="rect">
                      <a:avLst/>
                    </a:prstGeom>
                    <a:noFill/>
                    <a:ln>
                      <a:solidFill>
                        <a:sysClr val="windowText" lastClr="000000"/>
                      </a:solidFill>
                    </a:ln>
                  </pic:spPr>
                </pic:pic>
              </a:graphicData>
            </a:graphic>
          </wp:inline>
        </w:drawing>
      </w:r>
    </w:p>
    <w:p w14:paraId="4AFD742D" w14:textId="77777777" w:rsidR="008F2405" w:rsidRPr="004E3A8D" w:rsidRDefault="008F2405" w:rsidP="006A744E">
      <w:pPr>
        <w:spacing w:before="120" w:after="240"/>
        <w:jc w:val="center"/>
      </w:pPr>
      <w:bookmarkStart w:id="817" w:name="_Ref393782142"/>
      <w:r w:rsidRPr="004E3A8D">
        <w:t xml:space="preserve">Figure </w:t>
      </w:r>
      <w:r w:rsidR="000302DB">
        <w:fldChar w:fldCharType="begin"/>
      </w:r>
      <w:r w:rsidR="000302DB">
        <w:instrText xml:space="preserve"> SEQ Figure \* ARABIC </w:instrText>
      </w:r>
      <w:r w:rsidR="000302DB">
        <w:fldChar w:fldCharType="separate"/>
      </w:r>
      <w:r w:rsidR="00656F50">
        <w:rPr>
          <w:noProof/>
        </w:rPr>
        <w:t>2</w:t>
      </w:r>
      <w:r w:rsidR="000302DB">
        <w:rPr>
          <w:noProof/>
        </w:rPr>
        <w:fldChar w:fldCharType="end"/>
      </w:r>
      <w:bookmarkEnd w:id="817"/>
      <w:r w:rsidRPr="004E3A8D">
        <w:t>. Illustration of interference prediction from DTV to wireless license area</w:t>
      </w:r>
    </w:p>
    <w:p w14:paraId="785EBC7C" w14:textId="77777777" w:rsidR="008F2405" w:rsidRPr="00DD7C39" w:rsidRDefault="008F2405" w:rsidP="006A744E">
      <w:pPr>
        <w:pStyle w:val="ParaNum"/>
        <w:rPr>
          <w:lang w:eastAsia="ja-JP"/>
        </w:rPr>
      </w:pPr>
      <w:r w:rsidRPr="00DD7C39">
        <w:rPr>
          <w:lang w:eastAsia="ja-JP"/>
        </w:rPr>
        <w:fldChar w:fldCharType="begin"/>
      </w:r>
      <w:r w:rsidRPr="00DD7C39">
        <w:rPr>
          <w:lang w:eastAsia="ja-JP"/>
        </w:rPr>
        <w:instrText xml:space="preserve"> REF _Ref393782142 \h  \* MERGEFORMAT </w:instrText>
      </w:r>
      <w:r w:rsidRPr="00DD7C39">
        <w:rPr>
          <w:lang w:eastAsia="ja-JP"/>
        </w:rPr>
      </w:r>
      <w:r w:rsidRPr="00DD7C39">
        <w:rPr>
          <w:lang w:eastAsia="ja-JP"/>
        </w:rPr>
        <w:fldChar w:fldCharType="separate"/>
      </w:r>
      <w:r w:rsidR="00656F50" w:rsidRPr="004E3A8D">
        <w:t xml:space="preserve">Figure </w:t>
      </w:r>
      <w:r w:rsidR="00656F50">
        <w:rPr>
          <w:noProof/>
        </w:rPr>
        <w:t>2</w:t>
      </w:r>
      <w:r w:rsidRPr="00DD7C39">
        <w:rPr>
          <w:lang w:eastAsia="ja-JP"/>
        </w:rPr>
        <w:fldChar w:fldCharType="end"/>
      </w:r>
      <w:r w:rsidRPr="00DD7C39">
        <w:rPr>
          <w:lang w:eastAsia="ja-JP"/>
        </w:rPr>
        <w:t xml:space="preserve">a shows the impaired locations within the PEA license area if the spectral overlap between the wireless channel and TV channel were +5 MHz.  The green grid cells in </w:t>
      </w:r>
      <w:r w:rsidRPr="00DD7C39">
        <w:rPr>
          <w:lang w:eastAsia="ja-JP"/>
        </w:rPr>
        <w:fldChar w:fldCharType="begin"/>
      </w:r>
      <w:r w:rsidRPr="00DD7C39">
        <w:rPr>
          <w:lang w:eastAsia="ja-JP"/>
        </w:rPr>
        <w:instrText xml:space="preserve"> REF _Ref393782142 \h  \* MERGEFORMAT </w:instrText>
      </w:r>
      <w:r w:rsidRPr="00DD7C39">
        <w:rPr>
          <w:lang w:eastAsia="ja-JP"/>
        </w:rPr>
      </w:r>
      <w:r w:rsidRPr="00DD7C39">
        <w:rPr>
          <w:lang w:eastAsia="ja-JP"/>
        </w:rPr>
        <w:fldChar w:fldCharType="separate"/>
      </w:r>
      <w:r w:rsidR="00656F50" w:rsidRPr="004E3A8D">
        <w:t xml:space="preserve">Figure </w:t>
      </w:r>
      <w:r w:rsidR="00656F50">
        <w:rPr>
          <w:noProof/>
        </w:rPr>
        <w:t>2</w:t>
      </w:r>
      <w:r w:rsidRPr="00DD7C39">
        <w:rPr>
          <w:lang w:eastAsia="ja-JP"/>
        </w:rPr>
        <w:fldChar w:fldCharType="end"/>
      </w:r>
      <w:r w:rsidRPr="00DD7C39">
        <w:rPr>
          <w:lang w:eastAsia="ja-JP"/>
        </w:rPr>
        <w:t xml:space="preserve">a are the locations where the predicted field strength from the DTV station exceeds the interference threshold, X.  Similarly, </w:t>
      </w:r>
      <w:r w:rsidRPr="00DD7C39">
        <w:rPr>
          <w:lang w:eastAsia="ja-JP"/>
        </w:rPr>
        <w:fldChar w:fldCharType="begin"/>
      </w:r>
      <w:r w:rsidRPr="00DD7C39">
        <w:rPr>
          <w:lang w:eastAsia="ja-JP"/>
        </w:rPr>
        <w:instrText xml:space="preserve"> REF _Ref393782142 \h  \* MERGEFORMAT </w:instrText>
      </w:r>
      <w:r w:rsidRPr="00DD7C39">
        <w:rPr>
          <w:lang w:eastAsia="ja-JP"/>
        </w:rPr>
      </w:r>
      <w:r w:rsidRPr="00DD7C39">
        <w:rPr>
          <w:lang w:eastAsia="ja-JP"/>
        </w:rPr>
        <w:fldChar w:fldCharType="separate"/>
      </w:r>
      <w:r w:rsidR="00656F50" w:rsidRPr="004E3A8D">
        <w:t xml:space="preserve">Figure </w:t>
      </w:r>
      <w:r w:rsidR="00656F50">
        <w:rPr>
          <w:noProof/>
        </w:rPr>
        <w:t>2</w:t>
      </w:r>
      <w:r w:rsidRPr="00DD7C39">
        <w:rPr>
          <w:lang w:eastAsia="ja-JP"/>
        </w:rPr>
        <w:fldChar w:fldCharType="end"/>
      </w:r>
      <w:r w:rsidRPr="00DD7C39">
        <w:rPr>
          <w:lang w:eastAsia="ja-JP"/>
        </w:rPr>
        <w:t xml:space="preserve">b shows the impaired locations within the same PEA license area if the spectral overlap were 0 MHz.   The green grid cells in </w:t>
      </w:r>
      <w:r w:rsidRPr="00DD7C39">
        <w:rPr>
          <w:lang w:eastAsia="ja-JP"/>
        </w:rPr>
        <w:fldChar w:fldCharType="begin"/>
      </w:r>
      <w:r w:rsidRPr="00DD7C39">
        <w:rPr>
          <w:lang w:eastAsia="ja-JP"/>
        </w:rPr>
        <w:instrText xml:space="preserve"> REF _Ref393782142 \h  \* MERGEFORMAT </w:instrText>
      </w:r>
      <w:r w:rsidRPr="00DD7C39">
        <w:rPr>
          <w:lang w:eastAsia="ja-JP"/>
        </w:rPr>
      </w:r>
      <w:r w:rsidRPr="00DD7C39">
        <w:rPr>
          <w:lang w:eastAsia="ja-JP"/>
        </w:rPr>
        <w:fldChar w:fldCharType="separate"/>
      </w:r>
      <w:r w:rsidR="00656F50" w:rsidRPr="004E3A8D">
        <w:t xml:space="preserve">Figure </w:t>
      </w:r>
      <w:r w:rsidR="00656F50">
        <w:rPr>
          <w:noProof/>
        </w:rPr>
        <w:t>2</w:t>
      </w:r>
      <w:r w:rsidRPr="00DD7C39">
        <w:rPr>
          <w:lang w:eastAsia="ja-JP"/>
        </w:rPr>
        <w:fldChar w:fldCharType="end"/>
      </w:r>
      <w:r w:rsidRPr="00DD7C39">
        <w:rPr>
          <w:lang w:eastAsia="ja-JP"/>
        </w:rPr>
        <w:t>b show the locations where the predicted field strength from the DTV station exceeds the interference threshold, Y.  For Case 1 or Case 2, this interference would occur in a base station receiver or UE receiver, respectively, and the field strength</w:t>
      </w:r>
      <w:r w:rsidRPr="008F2405">
        <w:rPr>
          <w:lang w:eastAsia="ja-JP"/>
        </w:rPr>
        <w:t xml:space="preserve"> limit is derived accordingly considering typical assumptions in either case.  These calculations are performed for each DTV station and each spectral overlap value to develop a complete list of Case 1 or 2 </w:t>
      </w:r>
      <w:r w:rsidRPr="00DD7C39">
        <w:rPr>
          <w:lang w:eastAsia="ja-JP"/>
        </w:rPr>
        <w:t>impairment locations for use during the incentive auction.</w:t>
      </w:r>
    </w:p>
    <w:p w14:paraId="6571CE97" w14:textId="77777777" w:rsidR="008F2405" w:rsidRPr="005B4C0E" w:rsidRDefault="008F2405" w:rsidP="00D50682">
      <w:pPr>
        <w:pStyle w:val="Heading2"/>
        <w:rPr>
          <w:lang w:eastAsia="ja-JP"/>
        </w:rPr>
      </w:pPr>
      <w:bookmarkStart w:id="818" w:name="_Toc396560845"/>
      <w:bookmarkStart w:id="819" w:name="_Toc397962831"/>
      <w:bookmarkStart w:id="820" w:name="_Toc398023609"/>
      <w:bookmarkStart w:id="821" w:name="_Toc398903002"/>
      <w:bookmarkStart w:id="822" w:name="_Toc398903325"/>
      <w:bookmarkStart w:id="823" w:name="_Toc398903514"/>
      <w:bookmarkStart w:id="824" w:name="_Toc398904111"/>
      <w:bookmarkStart w:id="825" w:name="_Toc398904619"/>
      <w:bookmarkStart w:id="826" w:name="_Toc401305979"/>
      <w:bookmarkStart w:id="827" w:name="_Toc401306655"/>
      <w:bookmarkStart w:id="828" w:name="_Toc401306724"/>
      <w:r w:rsidRPr="005B4C0E">
        <w:rPr>
          <w:lang w:eastAsia="ja-JP"/>
        </w:rPr>
        <w:t>Threshold Values for Interference from Digital Full-Power and Class A TV Stations into Wireless Uplink (Case 1)</w:t>
      </w:r>
      <w:bookmarkEnd w:id="818"/>
      <w:bookmarkEnd w:id="819"/>
      <w:bookmarkEnd w:id="820"/>
      <w:bookmarkEnd w:id="821"/>
      <w:bookmarkEnd w:id="822"/>
      <w:bookmarkEnd w:id="823"/>
      <w:bookmarkEnd w:id="824"/>
      <w:bookmarkEnd w:id="825"/>
      <w:bookmarkEnd w:id="826"/>
      <w:bookmarkEnd w:id="827"/>
      <w:bookmarkEnd w:id="828"/>
    </w:p>
    <w:p w14:paraId="5A0F6646" w14:textId="77777777" w:rsidR="008F2405" w:rsidRPr="008F2405" w:rsidRDefault="008F2405" w:rsidP="006A744E">
      <w:pPr>
        <w:pStyle w:val="ParaNum"/>
      </w:pPr>
      <w:r w:rsidRPr="008F2405">
        <w:t xml:space="preserve">The field strength interference limits for interference from full-power DTV and digital Class A sources into the wireless uplink (base station receive) are shown in </w:t>
      </w:r>
      <w:r w:rsidRPr="008F2405">
        <w:fldChar w:fldCharType="begin"/>
      </w:r>
      <w:r w:rsidRPr="008F2405">
        <w:instrText xml:space="preserve"> REF _Ref393712910 \h </w:instrText>
      </w:r>
      <w:r w:rsidRPr="008F2405">
        <w:fldChar w:fldCharType="separate"/>
      </w:r>
      <w:r w:rsidR="00656F50" w:rsidRPr="006F6FE7">
        <w:rPr>
          <w:szCs w:val="22"/>
        </w:rPr>
        <w:t xml:space="preserve">Table </w:t>
      </w:r>
      <w:r w:rsidR="00656F50">
        <w:rPr>
          <w:noProof/>
          <w:szCs w:val="22"/>
        </w:rPr>
        <w:t>1</w:t>
      </w:r>
      <w:r w:rsidRPr="008F2405">
        <w:fldChar w:fldCharType="end"/>
      </w:r>
      <w:r w:rsidRPr="008F2405">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65"/>
        <w:gridCol w:w="601"/>
        <w:gridCol w:w="601"/>
        <w:gridCol w:w="601"/>
        <w:gridCol w:w="601"/>
        <w:gridCol w:w="601"/>
        <w:gridCol w:w="601"/>
        <w:gridCol w:w="601"/>
        <w:gridCol w:w="601"/>
        <w:gridCol w:w="601"/>
        <w:gridCol w:w="601"/>
        <w:gridCol w:w="601"/>
      </w:tblGrid>
      <w:tr w:rsidR="008F2405" w:rsidRPr="008F2405" w14:paraId="2B48446A" w14:textId="77777777" w:rsidTr="00BF4F5D">
        <w:trPr>
          <w:jc w:val="center"/>
        </w:trPr>
        <w:tc>
          <w:tcPr>
            <w:tcW w:w="0" w:type="auto"/>
            <w:tcBorders>
              <w:top w:val="single" w:sz="4" w:space="0" w:color="auto"/>
              <w:left w:val="single" w:sz="4" w:space="0" w:color="auto"/>
              <w:bottom w:val="single" w:sz="6" w:space="0" w:color="auto"/>
              <w:right w:val="single" w:sz="6" w:space="0" w:color="auto"/>
            </w:tcBorders>
            <w:shd w:val="clear" w:color="auto" w:fill="E0E0E0"/>
            <w:vAlign w:val="center"/>
            <w:hideMark/>
          </w:tcPr>
          <w:p w14:paraId="1BD36918" w14:textId="77777777" w:rsidR="008F2405" w:rsidRPr="008F2405" w:rsidRDefault="008F2405" w:rsidP="008F2405">
            <w:pPr>
              <w:keepNext/>
              <w:keepLines/>
              <w:jc w:val="center"/>
              <w:rPr>
                <w:sz w:val="20"/>
              </w:rPr>
            </w:pPr>
            <w:r w:rsidRPr="008F2405">
              <w:rPr>
                <w:sz w:val="20"/>
              </w:rPr>
              <w:t>Spectral Overlap (MHz)</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18737325" w14:textId="77777777" w:rsidR="008F2405" w:rsidRPr="008F2405" w:rsidRDefault="008F2405" w:rsidP="008F2405">
            <w:pPr>
              <w:keepNext/>
              <w:keepLines/>
              <w:jc w:val="center"/>
              <w:rPr>
                <w:sz w:val="20"/>
              </w:rPr>
            </w:pPr>
            <w:r w:rsidRPr="008F2405">
              <w:rPr>
                <w:sz w:val="20"/>
              </w:rPr>
              <w:t>5</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2015197A" w14:textId="77777777" w:rsidR="008F2405" w:rsidRPr="008F2405" w:rsidRDefault="008F2405" w:rsidP="008F2405">
            <w:pPr>
              <w:keepNext/>
              <w:keepLines/>
              <w:jc w:val="center"/>
              <w:rPr>
                <w:sz w:val="20"/>
              </w:rPr>
            </w:pPr>
            <w:r w:rsidRPr="008F2405">
              <w:rPr>
                <w:sz w:val="20"/>
              </w:rPr>
              <w:t>4</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647F1849" w14:textId="77777777" w:rsidR="008F2405" w:rsidRPr="008F2405" w:rsidRDefault="008F2405" w:rsidP="008F2405">
            <w:pPr>
              <w:keepNext/>
              <w:keepLines/>
              <w:jc w:val="center"/>
              <w:rPr>
                <w:sz w:val="20"/>
              </w:rPr>
            </w:pPr>
            <w:r w:rsidRPr="008F2405">
              <w:rPr>
                <w:sz w:val="20"/>
              </w:rPr>
              <w:t>3</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7AD3A6D8" w14:textId="77777777" w:rsidR="008F2405" w:rsidRPr="008F2405" w:rsidRDefault="008F2405" w:rsidP="008F2405">
            <w:pPr>
              <w:keepNext/>
              <w:keepLines/>
              <w:jc w:val="center"/>
              <w:rPr>
                <w:sz w:val="20"/>
              </w:rPr>
            </w:pPr>
            <w:r w:rsidRPr="008F2405">
              <w:rPr>
                <w:sz w:val="20"/>
              </w:rPr>
              <w:t>2</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24B4B61D" w14:textId="77777777" w:rsidR="008F2405" w:rsidRPr="008F2405" w:rsidRDefault="008F2405" w:rsidP="008F2405">
            <w:pPr>
              <w:keepNext/>
              <w:keepLines/>
              <w:jc w:val="center"/>
              <w:rPr>
                <w:sz w:val="20"/>
              </w:rPr>
            </w:pPr>
            <w:r w:rsidRPr="008F2405">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43BB43F0" w14:textId="77777777" w:rsidR="008F2405" w:rsidRPr="008F2405" w:rsidRDefault="008F2405" w:rsidP="008F2405">
            <w:pPr>
              <w:keepNext/>
              <w:keepLines/>
              <w:jc w:val="center"/>
              <w:rPr>
                <w:sz w:val="20"/>
              </w:rPr>
            </w:pPr>
            <w:r w:rsidRPr="008F2405">
              <w:rPr>
                <w:sz w:val="20"/>
              </w:rPr>
              <w:t>0</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022A1A05" w14:textId="77777777" w:rsidR="008F2405" w:rsidRPr="008F2405" w:rsidRDefault="008F2405" w:rsidP="008F2405">
            <w:pPr>
              <w:keepNext/>
              <w:keepLines/>
              <w:jc w:val="center"/>
              <w:rPr>
                <w:sz w:val="20"/>
              </w:rPr>
            </w:pPr>
            <w:r w:rsidRPr="008F2405">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2434DE67" w14:textId="77777777" w:rsidR="008F2405" w:rsidRPr="008F2405" w:rsidRDefault="008F2405" w:rsidP="008F2405">
            <w:pPr>
              <w:keepNext/>
              <w:keepLines/>
              <w:jc w:val="center"/>
              <w:rPr>
                <w:sz w:val="20"/>
              </w:rPr>
            </w:pPr>
            <w:r w:rsidRPr="008F2405">
              <w:rPr>
                <w:sz w:val="20"/>
              </w:rPr>
              <w:t>-2</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1B44CBD2" w14:textId="77777777" w:rsidR="008F2405" w:rsidRPr="008F2405" w:rsidRDefault="008F2405" w:rsidP="008F2405">
            <w:pPr>
              <w:keepNext/>
              <w:keepLines/>
              <w:jc w:val="center"/>
              <w:rPr>
                <w:sz w:val="20"/>
              </w:rPr>
            </w:pPr>
            <w:r w:rsidRPr="008F2405">
              <w:rPr>
                <w:sz w:val="20"/>
              </w:rPr>
              <w:t>-3</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394BFCD3" w14:textId="77777777" w:rsidR="008F2405" w:rsidRPr="008F2405" w:rsidRDefault="008F2405" w:rsidP="008F2405">
            <w:pPr>
              <w:keepNext/>
              <w:keepLines/>
              <w:jc w:val="center"/>
              <w:rPr>
                <w:sz w:val="20"/>
              </w:rPr>
            </w:pPr>
            <w:r w:rsidRPr="008F2405">
              <w:rPr>
                <w:sz w:val="20"/>
              </w:rPr>
              <w:t>-4</w:t>
            </w:r>
          </w:p>
        </w:tc>
        <w:tc>
          <w:tcPr>
            <w:tcW w:w="0" w:type="auto"/>
            <w:tcBorders>
              <w:top w:val="single" w:sz="4" w:space="0" w:color="auto"/>
              <w:left w:val="single" w:sz="6" w:space="0" w:color="auto"/>
              <w:bottom w:val="single" w:sz="6" w:space="0" w:color="auto"/>
              <w:right w:val="single" w:sz="4" w:space="0" w:color="auto"/>
            </w:tcBorders>
            <w:shd w:val="clear" w:color="auto" w:fill="E0E0E0"/>
            <w:vAlign w:val="center"/>
            <w:hideMark/>
          </w:tcPr>
          <w:p w14:paraId="332EF3B5" w14:textId="77777777" w:rsidR="008F2405" w:rsidRPr="008F2405" w:rsidRDefault="008F2405" w:rsidP="008F2405">
            <w:pPr>
              <w:keepNext/>
              <w:keepLines/>
              <w:jc w:val="center"/>
              <w:rPr>
                <w:sz w:val="20"/>
              </w:rPr>
            </w:pPr>
            <w:r w:rsidRPr="008F2405">
              <w:rPr>
                <w:sz w:val="20"/>
              </w:rPr>
              <w:t>-5</w:t>
            </w:r>
          </w:p>
        </w:tc>
      </w:tr>
      <w:tr w:rsidR="008F2405" w:rsidRPr="008F2405" w14:paraId="42BDFC27" w14:textId="77777777" w:rsidTr="00BF4F5D">
        <w:trPr>
          <w:cantSplit/>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0E75724C" w14:textId="77777777" w:rsidR="008F2405" w:rsidRPr="008F2405" w:rsidRDefault="008F2405" w:rsidP="008F2405">
            <w:pPr>
              <w:keepNext/>
              <w:keepLines/>
            </w:pPr>
            <w:r w:rsidRPr="008F2405">
              <w:t>DTV into Wireless Uplink (dBµV/m)</w:t>
            </w:r>
          </w:p>
        </w:tc>
        <w:tc>
          <w:tcPr>
            <w:tcW w:w="0" w:type="auto"/>
            <w:tcBorders>
              <w:top w:val="single" w:sz="6" w:space="0" w:color="auto"/>
              <w:left w:val="single" w:sz="6" w:space="0" w:color="auto"/>
              <w:bottom w:val="single" w:sz="6" w:space="0" w:color="auto"/>
              <w:right w:val="single" w:sz="6" w:space="0" w:color="auto"/>
            </w:tcBorders>
            <w:vAlign w:val="center"/>
            <w:hideMark/>
          </w:tcPr>
          <w:p w14:paraId="4AAE94A4" w14:textId="77777777" w:rsidR="008F2405" w:rsidRPr="008F2405" w:rsidRDefault="008F2405" w:rsidP="008F2405">
            <w:pPr>
              <w:keepNext/>
              <w:keepLines/>
              <w:jc w:val="center"/>
            </w:pPr>
            <w:r w:rsidRPr="008F2405">
              <w:t>17.3</w:t>
            </w:r>
          </w:p>
        </w:tc>
        <w:tc>
          <w:tcPr>
            <w:tcW w:w="0" w:type="auto"/>
            <w:tcBorders>
              <w:top w:val="single" w:sz="6" w:space="0" w:color="auto"/>
              <w:left w:val="single" w:sz="6" w:space="0" w:color="auto"/>
              <w:bottom w:val="single" w:sz="6" w:space="0" w:color="auto"/>
              <w:right w:val="single" w:sz="6" w:space="0" w:color="auto"/>
            </w:tcBorders>
            <w:vAlign w:val="center"/>
            <w:hideMark/>
          </w:tcPr>
          <w:p w14:paraId="268938E9" w14:textId="77777777" w:rsidR="008F2405" w:rsidRPr="008F2405" w:rsidRDefault="008F2405" w:rsidP="008F2405">
            <w:pPr>
              <w:keepNext/>
              <w:keepLines/>
              <w:jc w:val="center"/>
            </w:pPr>
            <w:r w:rsidRPr="008F2405">
              <w:t>18.2</w:t>
            </w:r>
          </w:p>
        </w:tc>
        <w:tc>
          <w:tcPr>
            <w:tcW w:w="0" w:type="auto"/>
            <w:tcBorders>
              <w:top w:val="single" w:sz="6" w:space="0" w:color="auto"/>
              <w:left w:val="single" w:sz="6" w:space="0" w:color="auto"/>
              <w:bottom w:val="single" w:sz="6" w:space="0" w:color="auto"/>
              <w:right w:val="single" w:sz="6" w:space="0" w:color="auto"/>
            </w:tcBorders>
            <w:vAlign w:val="center"/>
            <w:hideMark/>
          </w:tcPr>
          <w:p w14:paraId="79591A9B" w14:textId="77777777" w:rsidR="008F2405" w:rsidRPr="008F2405" w:rsidRDefault="008F2405" w:rsidP="008F2405">
            <w:pPr>
              <w:keepNext/>
              <w:keepLines/>
              <w:jc w:val="center"/>
            </w:pPr>
            <w:r w:rsidRPr="008F2405">
              <w:t>19.5</w:t>
            </w:r>
          </w:p>
        </w:tc>
        <w:tc>
          <w:tcPr>
            <w:tcW w:w="0" w:type="auto"/>
            <w:tcBorders>
              <w:top w:val="single" w:sz="6" w:space="0" w:color="auto"/>
              <w:left w:val="single" w:sz="6" w:space="0" w:color="auto"/>
              <w:bottom w:val="single" w:sz="6" w:space="0" w:color="auto"/>
              <w:right w:val="single" w:sz="6" w:space="0" w:color="auto"/>
            </w:tcBorders>
            <w:vAlign w:val="center"/>
            <w:hideMark/>
          </w:tcPr>
          <w:p w14:paraId="6A5EB5F3" w14:textId="77777777" w:rsidR="008F2405" w:rsidRPr="008F2405" w:rsidRDefault="008F2405" w:rsidP="008F2405">
            <w:pPr>
              <w:keepNext/>
              <w:keepLines/>
              <w:jc w:val="center"/>
            </w:pPr>
            <w:r w:rsidRPr="008F2405">
              <w:t>21.2</w:t>
            </w:r>
          </w:p>
        </w:tc>
        <w:tc>
          <w:tcPr>
            <w:tcW w:w="0" w:type="auto"/>
            <w:tcBorders>
              <w:top w:val="single" w:sz="6" w:space="0" w:color="auto"/>
              <w:left w:val="single" w:sz="6" w:space="0" w:color="auto"/>
              <w:bottom w:val="single" w:sz="6" w:space="0" w:color="auto"/>
              <w:right w:val="single" w:sz="6" w:space="0" w:color="auto"/>
            </w:tcBorders>
            <w:vAlign w:val="center"/>
            <w:hideMark/>
          </w:tcPr>
          <w:p w14:paraId="4E771F0A" w14:textId="77777777" w:rsidR="008F2405" w:rsidRPr="008F2405" w:rsidRDefault="008F2405" w:rsidP="008F2405">
            <w:pPr>
              <w:keepNext/>
              <w:keepLines/>
              <w:jc w:val="center"/>
            </w:pPr>
            <w:r w:rsidRPr="008F2405">
              <w:t>24.0</w:t>
            </w:r>
          </w:p>
        </w:tc>
        <w:tc>
          <w:tcPr>
            <w:tcW w:w="0" w:type="auto"/>
            <w:tcBorders>
              <w:top w:val="single" w:sz="6" w:space="0" w:color="auto"/>
              <w:left w:val="single" w:sz="6" w:space="0" w:color="auto"/>
              <w:bottom w:val="single" w:sz="6" w:space="0" w:color="auto"/>
              <w:right w:val="single" w:sz="6" w:space="0" w:color="auto"/>
            </w:tcBorders>
            <w:vAlign w:val="center"/>
            <w:hideMark/>
          </w:tcPr>
          <w:p w14:paraId="4AEEB4D3" w14:textId="77777777" w:rsidR="008F2405" w:rsidRPr="008F2405" w:rsidRDefault="008F2405" w:rsidP="008F2405">
            <w:pPr>
              <w:keepNext/>
              <w:keepLines/>
              <w:jc w:val="center"/>
            </w:pPr>
            <w:r w:rsidRPr="008F2405">
              <w:t>34.4</w:t>
            </w:r>
          </w:p>
        </w:tc>
        <w:tc>
          <w:tcPr>
            <w:tcW w:w="0" w:type="auto"/>
            <w:tcBorders>
              <w:top w:val="single" w:sz="6" w:space="0" w:color="auto"/>
              <w:left w:val="single" w:sz="6" w:space="0" w:color="auto"/>
              <w:bottom w:val="single" w:sz="6" w:space="0" w:color="auto"/>
              <w:right w:val="single" w:sz="6" w:space="0" w:color="auto"/>
            </w:tcBorders>
            <w:vAlign w:val="center"/>
            <w:hideMark/>
          </w:tcPr>
          <w:p w14:paraId="429BD599" w14:textId="77777777" w:rsidR="008F2405" w:rsidRPr="008F2405" w:rsidRDefault="008F2405" w:rsidP="008F2405">
            <w:pPr>
              <w:keepNext/>
              <w:keepLines/>
              <w:jc w:val="center"/>
            </w:pPr>
            <w:r w:rsidRPr="008F2405">
              <w:t>61.4</w:t>
            </w:r>
          </w:p>
        </w:tc>
        <w:tc>
          <w:tcPr>
            <w:tcW w:w="0" w:type="auto"/>
            <w:tcBorders>
              <w:top w:val="single" w:sz="6" w:space="0" w:color="auto"/>
              <w:left w:val="single" w:sz="6" w:space="0" w:color="auto"/>
              <w:bottom w:val="single" w:sz="6" w:space="0" w:color="auto"/>
              <w:right w:val="single" w:sz="6" w:space="0" w:color="auto"/>
            </w:tcBorders>
            <w:vAlign w:val="center"/>
            <w:hideMark/>
          </w:tcPr>
          <w:p w14:paraId="6F5E2B57" w14:textId="77777777" w:rsidR="008F2405" w:rsidRPr="008F2405" w:rsidRDefault="008F2405" w:rsidP="008F2405">
            <w:pPr>
              <w:keepNext/>
              <w:keepLines/>
              <w:jc w:val="center"/>
            </w:pPr>
            <w:r w:rsidRPr="008F2405">
              <w:t>62.5</w:t>
            </w:r>
          </w:p>
        </w:tc>
        <w:tc>
          <w:tcPr>
            <w:tcW w:w="0" w:type="auto"/>
            <w:tcBorders>
              <w:top w:val="single" w:sz="6" w:space="0" w:color="auto"/>
              <w:left w:val="single" w:sz="6" w:space="0" w:color="auto"/>
              <w:bottom w:val="single" w:sz="6" w:space="0" w:color="auto"/>
              <w:right w:val="single" w:sz="6" w:space="0" w:color="auto"/>
            </w:tcBorders>
            <w:vAlign w:val="center"/>
            <w:hideMark/>
          </w:tcPr>
          <w:p w14:paraId="0AB1A3DE" w14:textId="77777777" w:rsidR="008F2405" w:rsidRPr="008F2405" w:rsidRDefault="008F2405" w:rsidP="008F2405">
            <w:pPr>
              <w:keepNext/>
              <w:keepLines/>
              <w:jc w:val="center"/>
            </w:pPr>
            <w:r w:rsidRPr="008F2405">
              <w:t>63.7</w:t>
            </w:r>
          </w:p>
        </w:tc>
        <w:tc>
          <w:tcPr>
            <w:tcW w:w="0" w:type="auto"/>
            <w:tcBorders>
              <w:top w:val="single" w:sz="6" w:space="0" w:color="auto"/>
              <w:left w:val="single" w:sz="6" w:space="0" w:color="auto"/>
              <w:bottom w:val="single" w:sz="6" w:space="0" w:color="auto"/>
              <w:right w:val="single" w:sz="6" w:space="0" w:color="auto"/>
            </w:tcBorders>
            <w:vAlign w:val="center"/>
            <w:hideMark/>
          </w:tcPr>
          <w:p w14:paraId="5BE8277B" w14:textId="77777777" w:rsidR="008F2405" w:rsidRPr="008F2405" w:rsidRDefault="008F2405" w:rsidP="008F2405">
            <w:pPr>
              <w:keepNext/>
              <w:keepLines/>
              <w:jc w:val="center"/>
            </w:pPr>
            <w:r w:rsidRPr="008F2405">
              <w:t>65.5</w:t>
            </w:r>
          </w:p>
        </w:tc>
        <w:tc>
          <w:tcPr>
            <w:tcW w:w="0" w:type="auto"/>
            <w:tcBorders>
              <w:top w:val="single" w:sz="6" w:space="0" w:color="auto"/>
              <w:left w:val="single" w:sz="6" w:space="0" w:color="auto"/>
              <w:bottom w:val="single" w:sz="6" w:space="0" w:color="auto"/>
              <w:right w:val="single" w:sz="4" w:space="0" w:color="auto"/>
            </w:tcBorders>
            <w:vAlign w:val="center"/>
            <w:hideMark/>
          </w:tcPr>
          <w:p w14:paraId="743F7D7C" w14:textId="77777777" w:rsidR="008F2405" w:rsidRPr="008F2405" w:rsidRDefault="008F2405" w:rsidP="008F2405">
            <w:pPr>
              <w:keepNext/>
              <w:keepLines/>
              <w:jc w:val="center"/>
            </w:pPr>
            <w:r w:rsidRPr="008F2405">
              <w:t>68.6</w:t>
            </w:r>
          </w:p>
        </w:tc>
      </w:tr>
    </w:tbl>
    <w:p w14:paraId="0D7F329F" w14:textId="77777777" w:rsidR="008F2405" w:rsidRPr="006F6FE7" w:rsidRDefault="008F2405" w:rsidP="006A744E">
      <w:pPr>
        <w:keepLines/>
        <w:spacing w:before="120" w:after="240"/>
        <w:jc w:val="center"/>
        <w:rPr>
          <w:szCs w:val="22"/>
        </w:rPr>
      </w:pPr>
      <w:bookmarkStart w:id="829" w:name="_Ref393712910"/>
      <w:bookmarkStart w:id="830" w:name="_Ref396286233"/>
      <w:r w:rsidRPr="006F6FE7">
        <w:rPr>
          <w:szCs w:val="22"/>
        </w:rPr>
        <w:t xml:space="preserve">Table </w:t>
      </w:r>
      <w:r w:rsidRPr="006F6FE7">
        <w:rPr>
          <w:szCs w:val="22"/>
        </w:rPr>
        <w:fldChar w:fldCharType="begin"/>
      </w:r>
      <w:r w:rsidRPr="006F6FE7">
        <w:rPr>
          <w:szCs w:val="22"/>
        </w:rPr>
        <w:instrText xml:space="preserve"> SEQ Table \* ARABIC </w:instrText>
      </w:r>
      <w:r w:rsidRPr="006F6FE7">
        <w:rPr>
          <w:szCs w:val="22"/>
        </w:rPr>
        <w:fldChar w:fldCharType="separate"/>
      </w:r>
      <w:r w:rsidR="00656F50">
        <w:rPr>
          <w:noProof/>
          <w:szCs w:val="22"/>
        </w:rPr>
        <w:t>1</w:t>
      </w:r>
      <w:r w:rsidRPr="006F6FE7">
        <w:rPr>
          <w:szCs w:val="22"/>
        </w:rPr>
        <w:fldChar w:fldCharType="end"/>
      </w:r>
      <w:bookmarkEnd w:id="829"/>
      <w:r w:rsidRPr="006F6FE7">
        <w:rPr>
          <w:szCs w:val="22"/>
        </w:rPr>
        <w:t>.  Interference field strength values for DTV into wireless uplink</w:t>
      </w:r>
      <w:bookmarkEnd w:id="830"/>
    </w:p>
    <w:p w14:paraId="63C5B80E" w14:textId="77777777" w:rsidR="008F2405" w:rsidRPr="008F2405" w:rsidRDefault="008F2405" w:rsidP="006A744E">
      <w:pPr>
        <w:spacing w:after="120"/>
        <w:rPr>
          <w:lang w:eastAsia="ja-JP"/>
        </w:rPr>
      </w:pPr>
      <w:r w:rsidRPr="008F2405">
        <w:rPr>
          <w:lang w:eastAsia="ja-JP"/>
        </w:rPr>
        <w:t xml:space="preserve">The assumptions for typical base station height, antenna pattern, antenna gain and receiver sensitivity used to determine these limits are provided in </w:t>
      </w:r>
      <w:r w:rsidRPr="006F6FE7">
        <w:rPr>
          <w:lang w:eastAsia="ja-JP"/>
        </w:rPr>
        <w:fldChar w:fldCharType="begin"/>
      </w:r>
      <w:r w:rsidRPr="006F6FE7">
        <w:rPr>
          <w:lang w:eastAsia="ja-JP"/>
        </w:rPr>
        <w:instrText xml:space="preserve"> REF _Ref393704754 \h </w:instrText>
      </w:r>
      <w:r w:rsidR="006F6FE7" w:rsidRPr="006F6FE7">
        <w:rPr>
          <w:lang w:eastAsia="ja-JP"/>
        </w:rPr>
        <w:instrText xml:space="preserve"> \* MERGEFORMAT </w:instrText>
      </w:r>
      <w:r w:rsidRPr="006F6FE7">
        <w:rPr>
          <w:lang w:eastAsia="ja-JP"/>
        </w:rPr>
      </w:r>
      <w:r w:rsidRPr="006F6FE7">
        <w:rPr>
          <w:lang w:eastAsia="ja-JP"/>
        </w:rPr>
        <w:fldChar w:fldCharType="separate"/>
      </w:r>
      <w:r w:rsidR="00656F50" w:rsidRPr="004E3A8D">
        <w:rPr>
          <w:szCs w:val="22"/>
        </w:rPr>
        <w:t xml:space="preserve">Table </w:t>
      </w:r>
      <w:r w:rsidR="00656F50">
        <w:rPr>
          <w:noProof/>
          <w:szCs w:val="22"/>
        </w:rPr>
        <w:t>3</w:t>
      </w:r>
      <w:r w:rsidRPr="006F6FE7">
        <w:rPr>
          <w:lang w:eastAsia="ja-JP"/>
        </w:rPr>
        <w:fldChar w:fldCharType="end"/>
      </w:r>
      <w:r w:rsidRPr="008F2405">
        <w:rPr>
          <w:lang w:eastAsia="ja-JP"/>
        </w:rPr>
        <w:t xml:space="preserve"> below.  </w:t>
      </w:r>
    </w:p>
    <w:p w14:paraId="3332D710" w14:textId="77777777" w:rsidR="008F2405" w:rsidRPr="005B4C0E" w:rsidRDefault="008F2405" w:rsidP="00D50682">
      <w:pPr>
        <w:pStyle w:val="Heading2"/>
        <w:rPr>
          <w:lang w:eastAsia="ja-JP"/>
        </w:rPr>
      </w:pPr>
      <w:bookmarkStart w:id="831" w:name="_Toc397962832"/>
      <w:bookmarkStart w:id="832" w:name="_Toc396560846"/>
      <w:bookmarkStart w:id="833" w:name="_Toc397962833"/>
      <w:bookmarkStart w:id="834" w:name="_Toc398023610"/>
      <w:bookmarkStart w:id="835" w:name="_Toc398903003"/>
      <w:bookmarkStart w:id="836" w:name="_Toc398903326"/>
      <w:bookmarkStart w:id="837" w:name="_Toc398903515"/>
      <w:bookmarkStart w:id="838" w:name="_Toc398904112"/>
      <w:bookmarkStart w:id="839" w:name="_Toc398904620"/>
      <w:bookmarkStart w:id="840" w:name="_Toc401305980"/>
      <w:bookmarkStart w:id="841" w:name="_Toc401306656"/>
      <w:bookmarkStart w:id="842" w:name="_Toc401306725"/>
      <w:bookmarkEnd w:id="831"/>
      <w:r w:rsidRPr="005B4C0E">
        <w:rPr>
          <w:lang w:eastAsia="ja-JP"/>
        </w:rPr>
        <w:t>Threshold Values for Interference from Digital Full-Power and Class A TV Stations into Wireless Downlink</w:t>
      </w:r>
      <w:bookmarkEnd w:id="832"/>
      <w:r w:rsidRPr="005B4C0E">
        <w:rPr>
          <w:lang w:eastAsia="ja-JP"/>
        </w:rPr>
        <w:t xml:space="preserve"> (Case 2)</w:t>
      </w:r>
      <w:bookmarkEnd w:id="833"/>
      <w:bookmarkEnd w:id="834"/>
      <w:bookmarkEnd w:id="835"/>
      <w:bookmarkEnd w:id="836"/>
      <w:bookmarkEnd w:id="837"/>
      <w:bookmarkEnd w:id="838"/>
      <w:bookmarkEnd w:id="839"/>
      <w:bookmarkEnd w:id="840"/>
      <w:bookmarkEnd w:id="841"/>
      <w:bookmarkEnd w:id="842"/>
    </w:p>
    <w:p w14:paraId="407162D2" w14:textId="77777777" w:rsidR="008F2405" w:rsidRPr="008F2405" w:rsidRDefault="008F2405" w:rsidP="006A744E">
      <w:pPr>
        <w:pStyle w:val="ParaNum"/>
      </w:pPr>
      <w:r w:rsidRPr="008F2405">
        <w:t xml:space="preserve">The field strength interference limits for interference from full-power DTV and digital Class A sources into the wireless downlink (UE receive) as shown in </w:t>
      </w:r>
      <w:r w:rsidRPr="008F2405">
        <w:fldChar w:fldCharType="begin"/>
      </w:r>
      <w:r w:rsidRPr="008F2405">
        <w:instrText xml:space="preserve"> REF _Ref393704369 \h </w:instrText>
      </w:r>
      <w:r w:rsidRPr="008F2405">
        <w:fldChar w:fldCharType="separate"/>
      </w:r>
      <w:r w:rsidR="00656F50" w:rsidRPr="006F6FE7">
        <w:t xml:space="preserve">Table </w:t>
      </w:r>
      <w:r w:rsidR="00656F50">
        <w:rPr>
          <w:noProof/>
        </w:rPr>
        <w:t>2</w:t>
      </w:r>
      <w:r w:rsidRPr="008F2405">
        <w:fldChar w:fldCharType="end"/>
      </w:r>
      <w:r w:rsidRPr="008F2405">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65"/>
        <w:gridCol w:w="601"/>
        <w:gridCol w:w="601"/>
        <w:gridCol w:w="601"/>
        <w:gridCol w:w="601"/>
        <w:gridCol w:w="601"/>
        <w:gridCol w:w="601"/>
        <w:gridCol w:w="601"/>
        <w:gridCol w:w="601"/>
        <w:gridCol w:w="601"/>
        <w:gridCol w:w="601"/>
        <w:gridCol w:w="601"/>
      </w:tblGrid>
      <w:tr w:rsidR="008F2405" w:rsidRPr="008F2405" w14:paraId="586640A3" w14:textId="77777777" w:rsidTr="00BF4F5D">
        <w:trPr>
          <w:jc w:val="center"/>
        </w:trPr>
        <w:tc>
          <w:tcPr>
            <w:tcW w:w="0" w:type="auto"/>
            <w:tcBorders>
              <w:top w:val="single" w:sz="4" w:space="0" w:color="auto"/>
              <w:left w:val="single" w:sz="4" w:space="0" w:color="auto"/>
              <w:bottom w:val="single" w:sz="6" w:space="0" w:color="auto"/>
              <w:right w:val="single" w:sz="6" w:space="0" w:color="auto"/>
            </w:tcBorders>
            <w:shd w:val="clear" w:color="auto" w:fill="E0E0E0"/>
            <w:vAlign w:val="center"/>
            <w:hideMark/>
          </w:tcPr>
          <w:p w14:paraId="58E8DC3E" w14:textId="77777777" w:rsidR="008F2405" w:rsidRPr="008F2405" w:rsidRDefault="008F2405" w:rsidP="008F2405">
            <w:pPr>
              <w:keepNext/>
              <w:keepLines/>
              <w:jc w:val="center"/>
              <w:rPr>
                <w:sz w:val="20"/>
              </w:rPr>
            </w:pPr>
            <w:r w:rsidRPr="008F2405">
              <w:rPr>
                <w:sz w:val="20"/>
              </w:rPr>
              <w:t>Spectral Overlap (MHz)</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78561B13" w14:textId="77777777" w:rsidR="008F2405" w:rsidRPr="008F2405" w:rsidRDefault="008F2405" w:rsidP="008F2405">
            <w:pPr>
              <w:keepNext/>
              <w:keepLines/>
              <w:jc w:val="center"/>
              <w:rPr>
                <w:sz w:val="20"/>
              </w:rPr>
            </w:pPr>
            <w:r w:rsidRPr="008F2405">
              <w:rPr>
                <w:sz w:val="20"/>
              </w:rPr>
              <w:t>5</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1A599EF7" w14:textId="77777777" w:rsidR="008F2405" w:rsidRPr="008F2405" w:rsidRDefault="008F2405" w:rsidP="008F2405">
            <w:pPr>
              <w:keepNext/>
              <w:keepLines/>
              <w:jc w:val="center"/>
              <w:rPr>
                <w:sz w:val="20"/>
              </w:rPr>
            </w:pPr>
            <w:r w:rsidRPr="008F2405">
              <w:rPr>
                <w:sz w:val="20"/>
              </w:rPr>
              <w:t>4</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7B343554" w14:textId="77777777" w:rsidR="008F2405" w:rsidRPr="008F2405" w:rsidRDefault="008F2405" w:rsidP="008F2405">
            <w:pPr>
              <w:keepNext/>
              <w:keepLines/>
              <w:jc w:val="center"/>
              <w:rPr>
                <w:sz w:val="20"/>
              </w:rPr>
            </w:pPr>
            <w:r w:rsidRPr="008F2405">
              <w:rPr>
                <w:sz w:val="20"/>
              </w:rPr>
              <w:t>3</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1CEEE249" w14:textId="77777777" w:rsidR="008F2405" w:rsidRPr="008F2405" w:rsidRDefault="008F2405" w:rsidP="008F2405">
            <w:pPr>
              <w:keepNext/>
              <w:keepLines/>
              <w:jc w:val="center"/>
              <w:rPr>
                <w:sz w:val="20"/>
              </w:rPr>
            </w:pPr>
            <w:r w:rsidRPr="008F2405">
              <w:rPr>
                <w:sz w:val="20"/>
              </w:rPr>
              <w:t>2</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136BCD49" w14:textId="77777777" w:rsidR="008F2405" w:rsidRPr="008F2405" w:rsidRDefault="008F2405" w:rsidP="008F2405">
            <w:pPr>
              <w:keepNext/>
              <w:keepLines/>
              <w:jc w:val="center"/>
              <w:rPr>
                <w:sz w:val="20"/>
              </w:rPr>
            </w:pPr>
            <w:r w:rsidRPr="008F2405">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29AF16EE" w14:textId="77777777" w:rsidR="008F2405" w:rsidRPr="008F2405" w:rsidRDefault="008F2405" w:rsidP="008F2405">
            <w:pPr>
              <w:keepNext/>
              <w:keepLines/>
              <w:jc w:val="center"/>
              <w:rPr>
                <w:sz w:val="20"/>
              </w:rPr>
            </w:pPr>
            <w:r w:rsidRPr="008F2405">
              <w:rPr>
                <w:sz w:val="20"/>
              </w:rPr>
              <w:t>0</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3D0F5EC9" w14:textId="77777777" w:rsidR="008F2405" w:rsidRPr="008F2405" w:rsidRDefault="008F2405" w:rsidP="008F2405">
            <w:pPr>
              <w:keepNext/>
              <w:keepLines/>
              <w:jc w:val="center"/>
              <w:rPr>
                <w:sz w:val="20"/>
              </w:rPr>
            </w:pPr>
            <w:r w:rsidRPr="008F2405">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11B412F3" w14:textId="77777777" w:rsidR="008F2405" w:rsidRPr="008F2405" w:rsidRDefault="008F2405" w:rsidP="008F2405">
            <w:pPr>
              <w:keepNext/>
              <w:keepLines/>
              <w:jc w:val="center"/>
              <w:rPr>
                <w:sz w:val="20"/>
              </w:rPr>
            </w:pPr>
            <w:r w:rsidRPr="008F2405">
              <w:rPr>
                <w:sz w:val="20"/>
              </w:rPr>
              <w:t>-2</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4447A428" w14:textId="77777777" w:rsidR="008F2405" w:rsidRPr="008F2405" w:rsidRDefault="008F2405" w:rsidP="008F2405">
            <w:pPr>
              <w:keepNext/>
              <w:keepLines/>
              <w:jc w:val="center"/>
              <w:rPr>
                <w:sz w:val="20"/>
              </w:rPr>
            </w:pPr>
            <w:r w:rsidRPr="008F2405">
              <w:rPr>
                <w:sz w:val="20"/>
              </w:rPr>
              <w:t>-3</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0B716EFF" w14:textId="77777777" w:rsidR="008F2405" w:rsidRPr="008F2405" w:rsidRDefault="008F2405" w:rsidP="008F2405">
            <w:pPr>
              <w:keepNext/>
              <w:keepLines/>
              <w:jc w:val="center"/>
              <w:rPr>
                <w:sz w:val="20"/>
              </w:rPr>
            </w:pPr>
            <w:r w:rsidRPr="008F2405">
              <w:rPr>
                <w:sz w:val="20"/>
              </w:rPr>
              <w:t>-4</w:t>
            </w:r>
          </w:p>
        </w:tc>
        <w:tc>
          <w:tcPr>
            <w:tcW w:w="0" w:type="auto"/>
            <w:tcBorders>
              <w:top w:val="single" w:sz="4" w:space="0" w:color="auto"/>
              <w:left w:val="single" w:sz="6" w:space="0" w:color="auto"/>
              <w:bottom w:val="single" w:sz="6" w:space="0" w:color="auto"/>
              <w:right w:val="single" w:sz="4" w:space="0" w:color="auto"/>
            </w:tcBorders>
            <w:shd w:val="clear" w:color="auto" w:fill="E0E0E0"/>
            <w:vAlign w:val="center"/>
            <w:hideMark/>
          </w:tcPr>
          <w:p w14:paraId="19BBE5A9" w14:textId="77777777" w:rsidR="008F2405" w:rsidRPr="008F2405" w:rsidRDefault="008F2405" w:rsidP="008F2405">
            <w:pPr>
              <w:keepNext/>
              <w:keepLines/>
              <w:jc w:val="center"/>
              <w:rPr>
                <w:sz w:val="20"/>
              </w:rPr>
            </w:pPr>
            <w:r w:rsidRPr="008F2405">
              <w:rPr>
                <w:sz w:val="20"/>
              </w:rPr>
              <w:t>-5</w:t>
            </w:r>
          </w:p>
        </w:tc>
      </w:tr>
      <w:tr w:rsidR="008F2405" w:rsidRPr="008F2405" w14:paraId="5F29E02F" w14:textId="77777777" w:rsidTr="00BF4F5D">
        <w:trPr>
          <w:cantSplit/>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65CA888D" w14:textId="77777777" w:rsidR="008F2405" w:rsidRPr="008F2405" w:rsidRDefault="008F2405" w:rsidP="008F2405">
            <w:pPr>
              <w:keepLines/>
            </w:pPr>
            <w:r w:rsidRPr="008F2405">
              <w:t>DTV into Wireless Downlink (dBµV/m)</w:t>
            </w:r>
          </w:p>
        </w:tc>
        <w:tc>
          <w:tcPr>
            <w:tcW w:w="0" w:type="auto"/>
            <w:tcBorders>
              <w:top w:val="single" w:sz="6" w:space="0" w:color="auto"/>
              <w:left w:val="single" w:sz="6" w:space="0" w:color="auto"/>
              <w:bottom w:val="single" w:sz="6" w:space="0" w:color="auto"/>
              <w:right w:val="single" w:sz="6" w:space="0" w:color="auto"/>
            </w:tcBorders>
            <w:vAlign w:val="center"/>
            <w:hideMark/>
          </w:tcPr>
          <w:p w14:paraId="25E5732C" w14:textId="77777777" w:rsidR="008F2405" w:rsidRPr="008F2405" w:rsidRDefault="008F2405" w:rsidP="008F2405">
            <w:pPr>
              <w:keepLines/>
              <w:jc w:val="center"/>
            </w:pPr>
            <w:r w:rsidRPr="008F2405">
              <w:t>33.8</w:t>
            </w:r>
          </w:p>
        </w:tc>
        <w:tc>
          <w:tcPr>
            <w:tcW w:w="0" w:type="auto"/>
            <w:tcBorders>
              <w:top w:val="single" w:sz="6" w:space="0" w:color="auto"/>
              <w:left w:val="single" w:sz="6" w:space="0" w:color="auto"/>
              <w:bottom w:val="single" w:sz="6" w:space="0" w:color="auto"/>
              <w:right w:val="single" w:sz="6" w:space="0" w:color="auto"/>
            </w:tcBorders>
            <w:vAlign w:val="center"/>
            <w:hideMark/>
          </w:tcPr>
          <w:p w14:paraId="6E8032AD" w14:textId="77777777" w:rsidR="008F2405" w:rsidRPr="008F2405" w:rsidRDefault="008F2405" w:rsidP="008F2405">
            <w:pPr>
              <w:keepNext/>
              <w:keepLines/>
              <w:jc w:val="center"/>
            </w:pPr>
            <w:r w:rsidRPr="008F2405">
              <w:t>34.7</w:t>
            </w:r>
          </w:p>
        </w:tc>
        <w:tc>
          <w:tcPr>
            <w:tcW w:w="0" w:type="auto"/>
            <w:tcBorders>
              <w:top w:val="single" w:sz="6" w:space="0" w:color="auto"/>
              <w:left w:val="single" w:sz="6" w:space="0" w:color="auto"/>
              <w:bottom w:val="single" w:sz="6" w:space="0" w:color="auto"/>
              <w:right w:val="single" w:sz="6" w:space="0" w:color="auto"/>
            </w:tcBorders>
            <w:vAlign w:val="center"/>
            <w:hideMark/>
          </w:tcPr>
          <w:p w14:paraId="472512EE" w14:textId="77777777" w:rsidR="008F2405" w:rsidRPr="008F2405" w:rsidRDefault="008F2405" w:rsidP="008F2405">
            <w:pPr>
              <w:keepNext/>
              <w:keepLines/>
              <w:jc w:val="center"/>
            </w:pPr>
            <w:r w:rsidRPr="008F2405">
              <w:t>36.0</w:t>
            </w:r>
          </w:p>
        </w:tc>
        <w:tc>
          <w:tcPr>
            <w:tcW w:w="0" w:type="auto"/>
            <w:tcBorders>
              <w:top w:val="single" w:sz="6" w:space="0" w:color="auto"/>
              <w:left w:val="single" w:sz="6" w:space="0" w:color="auto"/>
              <w:bottom w:val="single" w:sz="6" w:space="0" w:color="auto"/>
              <w:right w:val="single" w:sz="6" w:space="0" w:color="auto"/>
            </w:tcBorders>
            <w:vAlign w:val="center"/>
            <w:hideMark/>
          </w:tcPr>
          <w:p w14:paraId="74540681" w14:textId="77777777" w:rsidR="008F2405" w:rsidRPr="008F2405" w:rsidRDefault="008F2405" w:rsidP="008F2405">
            <w:pPr>
              <w:keepNext/>
              <w:keepLines/>
              <w:jc w:val="center"/>
            </w:pPr>
            <w:r w:rsidRPr="008F2405">
              <w:t>37.6</w:t>
            </w:r>
          </w:p>
        </w:tc>
        <w:tc>
          <w:tcPr>
            <w:tcW w:w="0" w:type="auto"/>
            <w:tcBorders>
              <w:top w:val="single" w:sz="6" w:space="0" w:color="auto"/>
              <w:left w:val="single" w:sz="6" w:space="0" w:color="auto"/>
              <w:bottom w:val="single" w:sz="6" w:space="0" w:color="auto"/>
              <w:right w:val="single" w:sz="6" w:space="0" w:color="auto"/>
            </w:tcBorders>
            <w:vAlign w:val="center"/>
            <w:hideMark/>
          </w:tcPr>
          <w:p w14:paraId="568A7F18" w14:textId="77777777" w:rsidR="008F2405" w:rsidRPr="008F2405" w:rsidRDefault="008F2405" w:rsidP="008F2405">
            <w:pPr>
              <w:keepNext/>
              <w:keepLines/>
              <w:jc w:val="center"/>
            </w:pPr>
            <w:r w:rsidRPr="008F2405">
              <w:t>40.4</w:t>
            </w:r>
          </w:p>
        </w:tc>
        <w:tc>
          <w:tcPr>
            <w:tcW w:w="0" w:type="auto"/>
            <w:tcBorders>
              <w:top w:val="single" w:sz="6" w:space="0" w:color="auto"/>
              <w:left w:val="single" w:sz="6" w:space="0" w:color="auto"/>
              <w:bottom w:val="single" w:sz="6" w:space="0" w:color="auto"/>
              <w:right w:val="single" w:sz="6" w:space="0" w:color="auto"/>
            </w:tcBorders>
            <w:vAlign w:val="center"/>
            <w:hideMark/>
          </w:tcPr>
          <w:p w14:paraId="1A3A9BDB" w14:textId="77777777" w:rsidR="008F2405" w:rsidRPr="008F2405" w:rsidRDefault="008F2405" w:rsidP="008F2405">
            <w:pPr>
              <w:keepNext/>
              <w:keepLines/>
              <w:jc w:val="center"/>
            </w:pPr>
            <w:r w:rsidRPr="008F2405">
              <w:t>50.7</w:t>
            </w:r>
          </w:p>
        </w:tc>
        <w:tc>
          <w:tcPr>
            <w:tcW w:w="0" w:type="auto"/>
            <w:tcBorders>
              <w:top w:val="single" w:sz="6" w:space="0" w:color="auto"/>
              <w:left w:val="single" w:sz="6" w:space="0" w:color="auto"/>
              <w:bottom w:val="single" w:sz="6" w:space="0" w:color="auto"/>
              <w:right w:val="single" w:sz="6" w:space="0" w:color="auto"/>
            </w:tcBorders>
            <w:vAlign w:val="center"/>
            <w:hideMark/>
          </w:tcPr>
          <w:p w14:paraId="5579D5C2" w14:textId="77777777" w:rsidR="008F2405" w:rsidRPr="008F2405" w:rsidRDefault="008F2405" w:rsidP="008F2405">
            <w:pPr>
              <w:keepNext/>
              <w:keepLines/>
              <w:jc w:val="center"/>
            </w:pPr>
            <w:r w:rsidRPr="008F2405">
              <w:t>65.8</w:t>
            </w:r>
          </w:p>
        </w:tc>
        <w:tc>
          <w:tcPr>
            <w:tcW w:w="0" w:type="auto"/>
            <w:tcBorders>
              <w:top w:val="single" w:sz="6" w:space="0" w:color="auto"/>
              <w:left w:val="single" w:sz="6" w:space="0" w:color="auto"/>
              <w:bottom w:val="single" w:sz="6" w:space="0" w:color="auto"/>
              <w:right w:val="single" w:sz="6" w:space="0" w:color="auto"/>
            </w:tcBorders>
            <w:vAlign w:val="center"/>
            <w:hideMark/>
          </w:tcPr>
          <w:p w14:paraId="3E0A4BF8" w14:textId="77777777" w:rsidR="008F2405" w:rsidRPr="008F2405" w:rsidRDefault="008F2405" w:rsidP="008F2405">
            <w:pPr>
              <w:keepLines/>
              <w:jc w:val="center"/>
            </w:pPr>
            <w:r w:rsidRPr="008F2405">
              <w:t>66.6</w:t>
            </w:r>
          </w:p>
        </w:tc>
        <w:tc>
          <w:tcPr>
            <w:tcW w:w="0" w:type="auto"/>
            <w:tcBorders>
              <w:top w:val="single" w:sz="6" w:space="0" w:color="auto"/>
              <w:left w:val="single" w:sz="6" w:space="0" w:color="auto"/>
              <w:bottom w:val="single" w:sz="6" w:space="0" w:color="auto"/>
              <w:right w:val="single" w:sz="6" w:space="0" w:color="auto"/>
            </w:tcBorders>
            <w:vAlign w:val="center"/>
            <w:hideMark/>
          </w:tcPr>
          <w:p w14:paraId="2C11306D" w14:textId="77777777" w:rsidR="008F2405" w:rsidRPr="008F2405" w:rsidRDefault="008F2405" w:rsidP="008F2405">
            <w:pPr>
              <w:keepLines/>
              <w:jc w:val="center"/>
            </w:pPr>
            <w:r w:rsidRPr="008F2405">
              <w:t>67.6</w:t>
            </w:r>
          </w:p>
        </w:tc>
        <w:tc>
          <w:tcPr>
            <w:tcW w:w="0" w:type="auto"/>
            <w:tcBorders>
              <w:top w:val="single" w:sz="6" w:space="0" w:color="auto"/>
              <w:left w:val="single" w:sz="6" w:space="0" w:color="auto"/>
              <w:bottom w:val="single" w:sz="6" w:space="0" w:color="auto"/>
              <w:right w:val="single" w:sz="6" w:space="0" w:color="auto"/>
            </w:tcBorders>
            <w:vAlign w:val="center"/>
            <w:hideMark/>
          </w:tcPr>
          <w:p w14:paraId="2A7B9C71" w14:textId="77777777" w:rsidR="008F2405" w:rsidRPr="008F2405" w:rsidRDefault="008F2405" w:rsidP="008F2405">
            <w:pPr>
              <w:keepLines/>
              <w:jc w:val="center"/>
            </w:pPr>
            <w:r w:rsidRPr="008F2405">
              <w:t>68.9</w:t>
            </w:r>
          </w:p>
        </w:tc>
        <w:tc>
          <w:tcPr>
            <w:tcW w:w="0" w:type="auto"/>
            <w:tcBorders>
              <w:top w:val="single" w:sz="6" w:space="0" w:color="auto"/>
              <w:left w:val="single" w:sz="6" w:space="0" w:color="auto"/>
              <w:bottom w:val="single" w:sz="6" w:space="0" w:color="auto"/>
              <w:right w:val="single" w:sz="4" w:space="0" w:color="auto"/>
            </w:tcBorders>
            <w:vAlign w:val="center"/>
            <w:hideMark/>
          </w:tcPr>
          <w:p w14:paraId="632D6288" w14:textId="77777777" w:rsidR="008F2405" w:rsidRPr="008F2405" w:rsidRDefault="008F2405" w:rsidP="008F2405">
            <w:pPr>
              <w:keepLines/>
              <w:jc w:val="center"/>
            </w:pPr>
            <w:r w:rsidRPr="008F2405">
              <w:t>70.8</w:t>
            </w:r>
          </w:p>
        </w:tc>
      </w:tr>
    </w:tbl>
    <w:p w14:paraId="648A50AD" w14:textId="77777777" w:rsidR="008F2405" w:rsidRPr="006F6FE7" w:rsidRDefault="008F2405" w:rsidP="006A744E">
      <w:pPr>
        <w:spacing w:before="120" w:after="240"/>
        <w:jc w:val="center"/>
      </w:pPr>
      <w:bookmarkStart w:id="843" w:name="_Ref393704369"/>
      <w:bookmarkStart w:id="844" w:name="_Ref393704363"/>
      <w:r w:rsidRPr="006F6FE7">
        <w:t xml:space="preserve">Table </w:t>
      </w:r>
      <w:r w:rsidR="000302DB">
        <w:fldChar w:fldCharType="begin"/>
      </w:r>
      <w:r w:rsidR="000302DB">
        <w:instrText xml:space="preserve"> SEQ Table \* ARABIC </w:instrText>
      </w:r>
      <w:r w:rsidR="000302DB">
        <w:fldChar w:fldCharType="separate"/>
      </w:r>
      <w:r w:rsidR="00656F50">
        <w:rPr>
          <w:noProof/>
        </w:rPr>
        <w:t>2</w:t>
      </w:r>
      <w:r w:rsidR="000302DB">
        <w:rPr>
          <w:noProof/>
        </w:rPr>
        <w:fldChar w:fldCharType="end"/>
      </w:r>
      <w:bookmarkEnd w:id="843"/>
      <w:r w:rsidRPr="006F6FE7">
        <w:t>.  Interference field strength values for DTV into wireless</w:t>
      </w:r>
      <w:bookmarkEnd w:id="844"/>
      <w:r w:rsidRPr="006F6FE7">
        <w:t xml:space="preserve"> downlink</w:t>
      </w:r>
    </w:p>
    <w:p w14:paraId="2945E261" w14:textId="77777777" w:rsidR="008F2405" w:rsidRPr="006F6FE7" w:rsidRDefault="008F2405" w:rsidP="006A744E">
      <w:pPr>
        <w:tabs>
          <w:tab w:val="num" w:pos="1440"/>
        </w:tabs>
        <w:spacing w:after="120"/>
        <w:rPr>
          <w:lang w:eastAsia="ja-JP"/>
        </w:rPr>
      </w:pPr>
      <w:r w:rsidRPr="004E3A8D">
        <w:rPr>
          <w:lang w:eastAsia="ja-JP"/>
        </w:rPr>
        <w:fldChar w:fldCharType="begin"/>
      </w:r>
      <w:r w:rsidRPr="004E3A8D">
        <w:rPr>
          <w:lang w:eastAsia="ja-JP"/>
        </w:rPr>
        <w:instrText xml:space="preserve"> REF _Ref393704790 \h </w:instrText>
      </w:r>
      <w:r w:rsidR="004E3A8D" w:rsidRPr="004E3A8D">
        <w:rPr>
          <w:lang w:eastAsia="ja-JP"/>
        </w:rPr>
        <w:instrText xml:space="preserve"> \* MERGEFORMAT </w:instrText>
      </w:r>
      <w:r w:rsidRPr="004E3A8D">
        <w:rPr>
          <w:lang w:eastAsia="ja-JP"/>
        </w:rPr>
      </w:r>
      <w:r w:rsidRPr="004E3A8D">
        <w:rPr>
          <w:lang w:eastAsia="ja-JP"/>
        </w:rPr>
        <w:fldChar w:fldCharType="separate"/>
      </w:r>
      <w:r w:rsidR="00656F50" w:rsidRPr="004E3A8D">
        <w:rPr>
          <w:szCs w:val="22"/>
        </w:rPr>
        <w:t xml:space="preserve">Table </w:t>
      </w:r>
      <w:r w:rsidR="00656F50">
        <w:rPr>
          <w:noProof/>
          <w:szCs w:val="22"/>
        </w:rPr>
        <w:t>4</w:t>
      </w:r>
      <w:r w:rsidRPr="004E3A8D">
        <w:rPr>
          <w:lang w:eastAsia="ja-JP"/>
        </w:rPr>
        <w:fldChar w:fldCharType="end"/>
      </w:r>
      <w:r w:rsidRPr="004E3A8D">
        <w:rPr>
          <w:lang w:eastAsia="ja-JP"/>
        </w:rPr>
        <w:t xml:space="preserve"> below provides details on the assumptions for typical user equipment height, antenna pattern, antenna gain an</w:t>
      </w:r>
      <w:r w:rsidRPr="008F2405">
        <w:rPr>
          <w:lang w:eastAsia="ja-JP"/>
        </w:rPr>
        <w:t xml:space="preserve">d </w:t>
      </w:r>
      <w:r w:rsidRPr="008F2405">
        <w:t>receiver</w:t>
      </w:r>
      <w:r w:rsidRPr="008F2405">
        <w:rPr>
          <w:lang w:eastAsia="ja-JP"/>
        </w:rPr>
        <w:t xml:space="preserve"> sensitivity used to determine these limits.</w:t>
      </w:r>
      <w:r w:rsidRPr="006F6FE7">
        <w:rPr>
          <w:lang w:eastAsia="ja-JP"/>
        </w:rPr>
        <w:t xml:space="preserve"> </w:t>
      </w:r>
    </w:p>
    <w:p w14:paraId="790A5B6E" w14:textId="77777777" w:rsidR="008F2405" w:rsidRPr="005B4C0E" w:rsidRDefault="008F2405" w:rsidP="00D50682">
      <w:pPr>
        <w:pStyle w:val="Heading2"/>
        <w:rPr>
          <w:lang w:eastAsia="ja-JP"/>
        </w:rPr>
      </w:pPr>
      <w:bookmarkStart w:id="845" w:name="_Toc393781871"/>
      <w:bookmarkStart w:id="846" w:name="_Toc393781872"/>
      <w:bookmarkStart w:id="847" w:name="_Toc393781873"/>
      <w:bookmarkStart w:id="848" w:name="_Toc393781874"/>
      <w:bookmarkStart w:id="849" w:name="_Toc396560847"/>
      <w:bookmarkStart w:id="850" w:name="_Toc397962834"/>
      <w:bookmarkStart w:id="851" w:name="_Toc398023611"/>
      <w:bookmarkStart w:id="852" w:name="_Toc398903004"/>
      <w:bookmarkStart w:id="853" w:name="_Toc398903327"/>
      <w:bookmarkStart w:id="854" w:name="_Toc398903516"/>
      <w:bookmarkStart w:id="855" w:name="_Toc398904113"/>
      <w:bookmarkStart w:id="856" w:name="_Toc398904621"/>
      <w:bookmarkStart w:id="857" w:name="_Toc401305981"/>
      <w:bookmarkStart w:id="858" w:name="_Toc401306657"/>
      <w:bookmarkStart w:id="859" w:name="_Toc401306726"/>
      <w:bookmarkEnd w:id="845"/>
      <w:bookmarkEnd w:id="846"/>
      <w:bookmarkEnd w:id="847"/>
      <w:bookmarkEnd w:id="848"/>
      <w:r w:rsidRPr="005B4C0E">
        <w:rPr>
          <w:lang w:eastAsia="ja-JP"/>
        </w:rPr>
        <w:t>Technical Specifications</w:t>
      </w:r>
      <w:bookmarkEnd w:id="849"/>
      <w:bookmarkEnd w:id="850"/>
      <w:bookmarkEnd w:id="851"/>
      <w:bookmarkEnd w:id="852"/>
      <w:bookmarkEnd w:id="853"/>
      <w:bookmarkEnd w:id="854"/>
      <w:bookmarkEnd w:id="855"/>
      <w:bookmarkEnd w:id="856"/>
      <w:bookmarkEnd w:id="857"/>
      <w:bookmarkEnd w:id="858"/>
      <w:bookmarkEnd w:id="859"/>
    </w:p>
    <w:p w14:paraId="1D629402" w14:textId="77777777" w:rsidR="008F2405" w:rsidRPr="008F2405" w:rsidRDefault="008F2405" w:rsidP="006A744E">
      <w:pPr>
        <w:pStyle w:val="ParaNum"/>
      </w:pPr>
      <w:r w:rsidRPr="008F2405">
        <w:rPr>
          <w:i/>
          <w:u w:val="single"/>
        </w:rPr>
        <w:t>Field Strength Limits for DTV Interference to Wireless.</w:t>
      </w:r>
      <w:r w:rsidRPr="008F2405">
        <w:t xml:space="preserve">  The values shown in </w:t>
      </w:r>
      <w:r w:rsidRPr="008F2405">
        <w:fldChar w:fldCharType="begin"/>
      </w:r>
      <w:r w:rsidRPr="008F2405">
        <w:instrText xml:space="preserve"> REF _Ref393712910 \h </w:instrText>
      </w:r>
      <w:r w:rsidRPr="008F2405">
        <w:fldChar w:fldCharType="separate"/>
      </w:r>
      <w:r w:rsidR="00656F50" w:rsidRPr="006F6FE7">
        <w:rPr>
          <w:szCs w:val="22"/>
        </w:rPr>
        <w:t xml:space="preserve">Table </w:t>
      </w:r>
      <w:r w:rsidR="00656F50">
        <w:rPr>
          <w:noProof/>
          <w:szCs w:val="22"/>
        </w:rPr>
        <w:t>1</w:t>
      </w:r>
      <w:r w:rsidRPr="008F2405">
        <w:fldChar w:fldCharType="end"/>
      </w:r>
      <w:r w:rsidRPr="008F2405">
        <w:t xml:space="preserve"> and </w:t>
      </w:r>
      <w:r w:rsidRPr="008F2405">
        <w:fldChar w:fldCharType="begin"/>
      </w:r>
      <w:r w:rsidRPr="008F2405">
        <w:instrText xml:space="preserve"> REF _Ref393704369 \h </w:instrText>
      </w:r>
      <w:r w:rsidRPr="008F2405">
        <w:fldChar w:fldCharType="separate"/>
      </w:r>
      <w:r w:rsidR="00656F50" w:rsidRPr="006F6FE7">
        <w:t xml:space="preserve">Table </w:t>
      </w:r>
      <w:r w:rsidR="00656F50">
        <w:rPr>
          <w:noProof/>
        </w:rPr>
        <w:t>2</w:t>
      </w:r>
      <w:r w:rsidRPr="008F2405">
        <w:fldChar w:fldCharType="end"/>
      </w:r>
      <w:r w:rsidRPr="008F2405">
        <w:t xml:space="preserve"> are derived from the technical specifications and assumptions given in </w:t>
      </w:r>
      <w:r w:rsidRPr="008F2405">
        <w:fldChar w:fldCharType="begin"/>
      </w:r>
      <w:r w:rsidRPr="008F2405">
        <w:instrText xml:space="preserve"> REF _Ref393704754 \h </w:instrText>
      </w:r>
      <w:r w:rsidRPr="008F2405">
        <w:fldChar w:fldCharType="separate"/>
      </w:r>
      <w:r w:rsidR="00656F50" w:rsidRPr="004E3A8D">
        <w:rPr>
          <w:szCs w:val="22"/>
        </w:rPr>
        <w:t xml:space="preserve">Table </w:t>
      </w:r>
      <w:r w:rsidR="00656F50">
        <w:rPr>
          <w:noProof/>
          <w:szCs w:val="22"/>
        </w:rPr>
        <w:t>3</w:t>
      </w:r>
      <w:r w:rsidRPr="008F2405">
        <w:fldChar w:fldCharType="end"/>
      </w:r>
      <w:r w:rsidRPr="008F2405">
        <w:t xml:space="preserve">, </w:t>
      </w:r>
      <w:r w:rsidRPr="008F2405">
        <w:fldChar w:fldCharType="begin"/>
      </w:r>
      <w:r w:rsidRPr="008F2405">
        <w:instrText xml:space="preserve"> REF _Ref393704790 \h </w:instrText>
      </w:r>
      <w:r w:rsidRPr="008F2405">
        <w:fldChar w:fldCharType="separate"/>
      </w:r>
      <w:r w:rsidR="00656F50" w:rsidRPr="004E3A8D">
        <w:rPr>
          <w:szCs w:val="22"/>
        </w:rPr>
        <w:t xml:space="preserve">Table </w:t>
      </w:r>
      <w:r w:rsidR="00656F50">
        <w:rPr>
          <w:noProof/>
          <w:szCs w:val="22"/>
        </w:rPr>
        <w:t>4</w:t>
      </w:r>
      <w:r w:rsidRPr="008F2405">
        <w:fldChar w:fldCharType="end"/>
      </w:r>
      <w:r w:rsidRPr="008F2405">
        <w:t xml:space="preserve">, and </w:t>
      </w:r>
      <w:r w:rsidRPr="008F2405">
        <w:fldChar w:fldCharType="begin"/>
      </w:r>
      <w:r w:rsidRPr="008F2405">
        <w:instrText xml:space="preserve"> REF _Ref393712968 \h </w:instrText>
      </w:r>
      <w:r w:rsidRPr="008F2405">
        <w:fldChar w:fldCharType="separate"/>
      </w:r>
      <w:r w:rsidR="00656F50" w:rsidRPr="004E3A8D">
        <w:rPr>
          <w:szCs w:val="22"/>
        </w:rPr>
        <w:t xml:space="preserve">Table </w:t>
      </w:r>
      <w:r w:rsidR="00656F50">
        <w:rPr>
          <w:noProof/>
          <w:szCs w:val="22"/>
        </w:rPr>
        <w:t>5</w:t>
      </w:r>
      <w:r w:rsidRPr="008F2405">
        <w:fldChar w:fldCharType="end"/>
      </w:r>
      <w:r w:rsidRPr="008F2405">
        <w:t xml:space="preserve"> and using the formula below.</w:t>
      </w:r>
    </w:p>
    <w:p w14:paraId="69D4CCBE" w14:textId="77777777" w:rsidR="008F2405" w:rsidRPr="008F2405" w:rsidRDefault="008F2405" w:rsidP="008F2405">
      <w:pPr>
        <w:jc w:val="center"/>
      </w:pPr>
      <w:r w:rsidRPr="008F2405">
        <w:t>Field Strength Limit (dBµV/m) = P</w:t>
      </w:r>
      <w:r w:rsidRPr="008F2405">
        <w:rPr>
          <w:smallCaps/>
          <w:vertAlign w:val="subscript"/>
        </w:rPr>
        <w:t>refsens</w:t>
      </w:r>
      <w:r w:rsidRPr="008F2405">
        <w:t xml:space="preserve">  - K</w:t>
      </w:r>
      <w:r w:rsidRPr="008F2405">
        <w:rPr>
          <w:vertAlign w:val="subscript"/>
        </w:rPr>
        <w:t>d</w:t>
      </w:r>
      <w:r w:rsidRPr="008F2405">
        <w:t xml:space="preserve">  - G  + L + OTR + OFR</w:t>
      </w:r>
    </w:p>
    <w:p w14:paraId="23BF81D2" w14:textId="77777777" w:rsidR="008F2405" w:rsidRPr="008F2405" w:rsidRDefault="008F2405" w:rsidP="008F2405">
      <w:r w:rsidRPr="008F2405">
        <w:t>Where:</w:t>
      </w:r>
    </w:p>
    <w:p w14:paraId="04E4253E" w14:textId="77777777" w:rsidR="008F2405" w:rsidRPr="008F2405" w:rsidRDefault="008F2405" w:rsidP="008F2405">
      <w:r w:rsidRPr="008F2405">
        <w:tab/>
        <w:t>P</w:t>
      </w:r>
      <w:r w:rsidRPr="008F2405">
        <w:rPr>
          <w:smallCaps/>
          <w:vertAlign w:val="subscript"/>
        </w:rPr>
        <w:t>refsens</w:t>
      </w:r>
      <w:r w:rsidRPr="008F2405">
        <w:t xml:space="preserve"> (dBm)</w:t>
      </w:r>
      <w:r w:rsidRPr="008F2405">
        <w:tab/>
      </w:r>
      <w:r w:rsidRPr="008F2405">
        <w:tab/>
        <w:t>= victim receiver reference sensitivity level</w:t>
      </w:r>
    </w:p>
    <w:p w14:paraId="3F7567BB" w14:textId="77777777" w:rsidR="008F2405" w:rsidRPr="008F2405" w:rsidRDefault="008F2405" w:rsidP="008F2405">
      <w:r w:rsidRPr="008F2405">
        <w:tab/>
        <w:t>K</w:t>
      </w:r>
      <w:r w:rsidRPr="008F2405">
        <w:rPr>
          <w:vertAlign w:val="subscript"/>
        </w:rPr>
        <w:t>d</w:t>
      </w:r>
      <w:r w:rsidRPr="008F2405">
        <w:t xml:space="preserve"> (dBm-dBµV/m)</w:t>
      </w:r>
      <w:r w:rsidRPr="008F2405">
        <w:tab/>
        <w:t>= dipole factor at 615 MHz</w:t>
      </w:r>
      <w:r w:rsidRPr="008F2405">
        <w:rPr>
          <w:sz w:val="20"/>
          <w:vertAlign w:val="superscript"/>
        </w:rPr>
        <w:footnoteReference w:id="290"/>
      </w:r>
    </w:p>
    <w:p w14:paraId="16195138" w14:textId="77777777" w:rsidR="008F2405" w:rsidRPr="008F2405" w:rsidRDefault="008F2405" w:rsidP="008F2405">
      <w:r w:rsidRPr="008F2405">
        <w:tab/>
        <w:t>G (dBd)</w:t>
      </w:r>
      <w:r w:rsidRPr="008F2405">
        <w:tab/>
      </w:r>
      <w:r w:rsidRPr="008F2405">
        <w:tab/>
        <w:t>= antenna gain</w:t>
      </w:r>
    </w:p>
    <w:p w14:paraId="644D947A" w14:textId="77777777" w:rsidR="008F2405" w:rsidRPr="008F2405" w:rsidRDefault="008F2405" w:rsidP="008F2405">
      <w:r w:rsidRPr="008F2405">
        <w:tab/>
        <w:t>L (dB)</w:t>
      </w:r>
      <w:r w:rsidRPr="008F2405">
        <w:tab/>
      </w:r>
      <w:r w:rsidRPr="008F2405">
        <w:tab/>
      </w:r>
      <w:r w:rsidRPr="008F2405">
        <w:tab/>
        <w:t>= line loss</w:t>
      </w:r>
    </w:p>
    <w:p w14:paraId="0F4602EF" w14:textId="77777777" w:rsidR="008F2405" w:rsidRPr="008F2405" w:rsidRDefault="008F2405" w:rsidP="008F2405">
      <w:r w:rsidRPr="008F2405">
        <w:tab/>
        <w:t>OTR (dB)</w:t>
      </w:r>
      <w:r w:rsidRPr="008F2405">
        <w:tab/>
      </w:r>
      <w:r w:rsidRPr="008F2405">
        <w:tab/>
        <w:t>= receiver on-tune rejection (dB)</w:t>
      </w:r>
    </w:p>
    <w:p w14:paraId="0BEB52E9" w14:textId="77777777" w:rsidR="008F2405" w:rsidRPr="008F2405" w:rsidRDefault="008F2405" w:rsidP="008F2405">
      <w:r w:rsidRPr="008F2405">
        <w:tab/>
        <w:t>OFR (dB)</w:t>
      </w:r>
      <w:r w:rsidRPr="008F2405">
        <w:tab/>
      </w:r>
      <w:r w:rsidRPr="008F2405">
        <w:tab/>
        <w:t>= off-frequency rejection (dB) as a function of spectral overlap</w:t>
      </w:r>
    </w:p>
    <w:tbl>
      <w:tblPr>
        <w:tblW w:w="9581" w:type="dxa"/>
        <w:jc w:val="center"/>
        <w:tblLook w:val="04A0" w:firstRow="1" w:lastRow="0" w:firstColumn="1" w:lastColumn="0" w:noHBand="0" w:noVBand="1"/>
      </w:tblPr>
      <w:tblGrid>
        <w:gridCol w:w="2182"/>
        <w:gridCol w:w="1661"/>
        <w:gridCol w:w="5738"/>
      </w:tblGrid>
      <w:tr w:rsidR="008F2405" w:rsidRPr="008F2405" w14:paraId="485A8109" w14:textId="77777777" w:rsidTr="00BF4F5D">
        <w:trPr>
          <w:cantSplit/>
          <w:jc w:val="center"/>
        </w:trPr>
        <w:tc>
          <w:tcPr>
            <w:tcW w:w="2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D85E14" w14:textId="77777777" w:rsidR="008F2405" w:rsidRPr="008F2405" w:rsidRDefault="008F2405" w:rsidP="008F2405">
            <w:pPr>
              <w:keepNext/>
              <w:keepLines/>
              <w:rPr>
                <w:sz w:val="20"/>
              </w:rPr>
            </w:pPr>
            <w:r w:rsidRPr="008F2405">
              <w:rPr>
                <w:sz w:val="20"/>
              </w:rPr>
              <w:t>Parameter</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9E1043" w14:textId="77777777" w:rsidR="008F2405" w:rsidRPr="008F2405" w:rsidRDefault="008F2405" w:rsidP="008F2405">
            <w:pPr>
              <w:keepNext/>
              <w:keepLines/>
              <w:rPr>
                <w:sz w:val="20"/>
              </w:rPr>
            </w:pPr>
            <w:r w:rsidRPr="008F2405">
              <w:rPr>
                <w:sz w:val="20"/>
              </w:rPr>
              <w:t>Value</w:t>
            </w:r>
          </w:p>
        </w:tc>
        <w:tc>
          <w:tcPr>
            <w:tcW w:w="5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E2C2DD" w14:textId="77777777" w:rsidR="008F2405" w:rsidRPr="008F2405" w:rsidRDefault="008F2405" w:rsidP="008F2405">
            <w:pPr>
              <w:keepNext/>
              <w:keepLines/>
              <w:rPr>
                <w:sz w:val="20"/>
              </w:rPr>
            </w:pPr>
            <w:r w:rsidRPr="008F2405">
              <w:rPr>
                <w:sz w:val="20"/>
              </w:rPr>
              <w:t>Comment</w:t>
            </w:r>
          </w:p>
        </w:tc>
      </w:tr>
      <w:tr w:rsidR="008F2405" w:rsidRPr="008F2405" w14:paraId="111DC542" w14:textId="77777777" w:rsidTr="00BF4F5D">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53150D8F" w14:textId="77777777" w:rsidR="008F2405" w:rsidRPr="008F2405" w:rsidRDefault="008F2405" w:rsidP="008F2405">
            <w:pPr>
              <w:keepNext/>
            </w:pPr>
            <w:r w:rsidRPr="008F2405">
              <w:t>P</w:t>
            </w:r>
            <w:r w:rsidRPr="008F2405">
              <w:rPr>
                <w:smallCaps/>
                <w:vertAlign w:val="subscript"/>
              </w:rPr>
              <w:t>refsens</w:t>
            </w:r>
            <w:r w:rsidRPr="008F2405">
              <w:t xml:space="preserve"> (dBm)</w:t>
            </w:r>
          </w:p>
        </w:tc>
        <w:tc>
          <w:tcPr>
            <w:tcW w:w="1661" w:type="dxa"/>
            <w:tcBorders>
              <w:top w:val="single" w:sz="4" w:space="0" w:color="auto"/>
              <w:left w:val="single" w:sz="4" w:space="0" w:color="auto"/>
              <w:bottom w:val="single" w:sz="4" w:space="0" w:color="auto"/>
              <w:right w:val="single" w:sz="4" w:space="0" w:color="auto"/>
            </w:tcBorders>
            <w:hideMark/>
          </w:tcPr>
          <w:p w14:paraId="69B6183D" w14:textId="77777777" w:rsidR="008F2405" w:rsidRPr="008F2405" w:rsidRDefault="008F2405" w:rsidP="008F2405">
            <w:pPr>
              <w:keepNext/>
              <w:jc w:val="center"/>
            </w:pPr>
            <w:r w:rsidRPr="008F2405">
              <w:t>-101.5</w:t>
            </w:r>
          </w:p>
        </w:tc>
        <w:tc>
          <w:tcPr>
            <w:tcW w:w="5738" w:type="dxa"/>
            <w:tcBorders>
              <w:top w:val="single" w:sz="4" w:space="0" w:color="auto"/>
              <w:left w:val="single" w:sz="4" w:space="0" w:color="auto"/>
              <w:bottom w:val="single" w:sz="4" w:space="0" w:color="auto"/>
              <w:right w:val="single" w:sz="4" w:space="0" w:color="auto"/>
            </w:tcBorders>
            <w:hideMark/>
          </w:tcPr>
          <w:p w14:paraId="09CCCE94" w14:textId="77777777" w:rsidR="008F2405" w:rsidRPr="008F2405" w:rsidRDefault="008F2405" w:rsidP="008F2405">
            <w:pPr>
              <w:keepNext/>
            </w:pPr>
            <w:r w:rsidRPr="008F2405">
              <w:t>Reference sensitivity level, per 3GPP Technical Specification 36.104 § 7.2.</w:t>
            </w:r>
          </w:p>
        </w:tc>
      </w:tr>
      <w:tr w:rsidR="008F2405" w:rsidRPr="008F2405" w14:paraId="3C8E2C51" w14:textId="77777777" w:rsidTr="00BF4F5D">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3E251F03" w14:textId="77777777" w:rsidR="008F2405" w:rsidRPr="008F2405" w:rsidRDefault="008F2405" w:rsidP="008F2405">
            <w:pPr>
              <w:keepNext/>
            </w:pPr>
            <w:r w:rsidRPr="008F2405">
              <w:t>K</w:t>
            </w:r>
            <w:r w:rsidRPr="008F2405">
              <w:rPr>
                <w:vertAlign w:val="subscript"/>
              </w:rPr>
              <w:t>d</w:t>
            </w:r>
            <w:r w:rsidRPr="008F2405">
              <w:t xml:space="preserve"> (dBm-dBµV/m)</w:t>
            </w:r>
          </w:p>
        </w:tc>
        <w:tc>
          <w:tcPr>
            <w:tcW w:w="1661" w:type="dxa"/>
            <w:tcBorders>
              <w:top w:val="single" w:sz="4" w:space="0" w:color="auto"/>
              <w:left w:val="single" w:sz="4" w:space="0" w:color="auto"/>
              <w:bottom w:val="single" w:sz="4" w:space="0" w:color="auto"/>
              <w:right w:val="single" w:sz="4" w:space="0" w:color="auto"/>
            </w:tcBorders>
            <w:hideMark/>
          </w:tcPr>
          <w:p w14:paraId="31238C1C" w14:textId="77777777" w:rsidR="008F2405" w:rsidRPr="008F2405" w:rsidRDefault="008F2405" w:rsidP="008F2405">
            <w:pPr>
              <w:keepNext/>
              <w:jc w:val="center"/>
            </w:pPr>
            <w:r w:rsidRPr="008F2405">
              <w:t>-130.8</w:t>
            </w:r>
          </w:p>
        </w:tc>
        <w:tc>
          <w:tcPr>
            <w:tcW w:w="5738" w:type="dxa"/>
            <w:tcBorders>
              <w:top w:val="single" w:sz="4" w:space="0" w:color="auto"/>
              <w:left w:val="single" w:sz="4" w:space="0" w:color="auto"/>
              <w:bottom w:val="single" w:sz="4" w:space="0" w:color="auto"/>
              <w:right w:val="single" w:sz="4" w:space="0" w:color="auto"/>
            </w:tcBorders>
            <w:hideMark/>
          </w:tcPr>
          <w:p w14:paraId="3BC2D5BB" w14:textId="77777777" w:rsidR="008F2405" w:rsidRPr="008F2405" w:rsidRDefault="008F2405" w:rsidP="008F2405">
            <w:pPr>
              <w:keepNext/>
            </w:pPr>
            <w:r w:rsidRPr="008F2405">
              <w:t>Dipole Factor, OET Bulletin No. 69, Table 3.</w:t>
            </w:r>
          </w:p>
        </w:tc>
      </w:tr>
      <w:tr w:rsidR="008F2405" w:rsidRPr="008F2405" w14:paraId="46C12EAF" w14:textId="77777777" w:rsidTr="00BF4F5D">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354700E9" w14:textId="77777777" w:rsidR="008F2405" w:rsidRPr="008F2405" w:rsidRDefault="008F2405" w:rsidP="008F2405">
            <w:pPr>
              <w:keepNext/>
            </w:pPr>
            <w:r w:rsidRPr="008F2405">
              <w:t>G (dBd)</w:t>
            </w:r>
          </w:p>
        </w:tc>
        <w:tc>
          <w:tcPr>
            <w:tcW w:w="1661" w:type="dxa"/>
            <w:tcBorders>
              <w:top w:val="single" w:sz="4" w:space="0" w:color="auto"/>
              <w:left w:val="single" w:sz="4" w:space="0" w:color="auto"/>
              <w:bottom w:val="single" w:sz="4" w:space="0" w:color="auto"/>
              <w:right w:val="single" w:sz="4" w:space="0" w:color="auto"/>
            </w:tcBorders>
            <w:hideMark/>
          </w:tcPr>
          <w:p w14:paraId="7FFAAA2E" w14:textId="77777777" w:rsidR="008F2405" w:rsidRPr="008F2405" w:rsidRDefault="008F2405" w:rsidP="008F2405">
            <w:pPr>
              <w:keepNext/>
              <w:jc w:val="center"/>
            </w:pPr>
            <w:r w:rsidRPr="008F2405">
              <w:t>13.8</w:t>
            </w:r>
          </w:p>
        </w:tc>
        <w:tc>
          <w:tcPr>
            <w:tcW w:w="5738" w:type="dxa"/>
            <w:tcBorders>
              <w:top w:val="single" w:sz="4" w:space="0" w:color="auto"/>
              <w:left w:val="single" w:sz="4" w:space="0" w:color="auto"/>
              <w:bottom w:val="single" w:sz="4" w:space="0" w:color="auto"/>
              <w:right w:val="single" w:sz="4" w:space="0" w:color="auto"/>
            </w:tcBorders>
            <w:hideMark/>
          </w:tcPr>
          <w:p w14:paraId="4E5FA81D" w14:textId="77777777" w:rsidR="008F2405" w:rsidRPr="008F2405" w:rsidRDefault="008F2405" w:rsidP="008F2405">
            <w:pPr>
              <w:keepNext/>
            </w:pPr>
            <w:r w:rsidRPr="008F2405">
              <w:t>G (dBd) = 12.8 dBd + G</w:t>
            </w:r>
            <w:r w:rsidRPr="008F2405">
              <w:rPr>
                <w:vertAlign w:val="subscript"/>
              </w:rPr>
              <w:t>div</w:t>
            </w:r>
            <w:r w:rsidRPr="008F2405">
              <w:t xml:space="preserve"> - G</w:t>
            </w:r>
            <w:r w:rsidRPr="008F2405">
              <w:rPr>
                <w:vertAlign w:val="subscript"/>
              </w:rPr>
              <w:t>horiz</w:t>
            </w:r>
            <w:r w:rsidRPr="008F2405">
              <w:t>.  G</w:t>
            </w:r>
            <w:r w:rsidRPr="008F2405">
              <w:rPr>
                <w:vertAlign w:val="subscript"/>
              </w:rPr>
              <w:t>div</w:t>
            </w:r>
            <w:r w:rsidRPr="008F2405">
              <w:t xml:space="preserve"> is receive antenna diversity gain, assumed to be 3 dB, and G</w:t>
            </w:r>
            <w:r w:rsidRPr="008F2405">
              <w:rPr>
                <w:vertAlign w:val="subscript"/>
              </w:rPr>
              <w:t>horiz</w:t>
            </w:r>
            <w:r w:rsidRPr="008F2405">
              <w:t xml:space="preserve"> is additional antenna discrimination due to downtilt below the radio horizon, assumed to be 2 dB.</w:t>
            </w:r>
          </w:p>
        </w:tc>
      </w:tr>
      <w:tr w:rsidR="008F2405" w:rsidRPr="008F2405" w14:paraId="14913962" w14:textId="77777777" w:rsidTr="00BF4F5D">
        <w:trPr>
          <w:cantSplit/>
          <w:jc w:val="center"/>
        </w:trPr>
        <w:tc>
          <w:tcPr>
            <w:tcW w:w="2182" w:type="dxa"/>
            <w:tcBorders>
              <w:top w:val="single" w:sz="4" w:space="0" w:color="auto"/>
              <w:left w:val="single" w:sz="4" w:space="0" w:color="auto"/>
              <w:bottom w:val="single" w:sz="4" w:space="0" w:color="auto"/>
              <w:right w:val="single" w:sz="4" w:space="0" w:color="auto"/>
            </w:tcBorders>
          </w:tcPr>
          <w:p w14:paraId="7C28DAB8" w14:textId="77777777" w:rsidR="008F2405" w:rsidRPr="008F2405" w:rsidRDefault="008F2405" w:rsidP="008F2405">
            <w:pPr>
              <w:keepNext/>
            </w:pPr>
            <w:r w:rsidRPr="008F2405">
              <w:t>Antenna Pattern</w:t>
            </w:r>
          </w:p>
        </w:tc>
        <w:tc>
          <w:tcPr>
            <w:tcW w:w="1661" w:type="dxa"/>
            <w:tcBorders>
              <w:top w:val="single" w:sz="4" w:space="0" w:color="auto"/>
              <w:left w:val="single" w:sz="4" w:space="0" w:color="auto"/>
              <w:bottom w:val="single" w:sz="4" w:space="0" w:color="auto"/>
              <w:right w:val="single" w:sz="4" w:space="0" w:color="auto"/>
            </w:tcBorders>
          </w:tcPr>
          <w:p w14:paraId="465BBB4E" w14:textId="77777777" w:rsidR="008F2405" w:rsidRPr="008F2405" w:rsidRDefault="008F2405" w:rsidP="008F2405">
            <w:pPr>
              <w:keepNext/>
              <w:jc w:val="center"/>
            </w:pPr>
            <w:r w:rsidRPr="008F2405">
              <w:t>Non-directional</w:t>
            </w:r>
          </w:p>
        </w:tc>
        <w:tc>
          <w:tcPr>
            <w:tcW w:w="5738" w:type="dxa"/>
            <w:tcBorders>
              <w:top w:val="single" w:sz="4" w:space="0" w:color="auto"/>
              <w:left w:val="single" w:sz="4" w:space="0" w:color="auto"/>
              <w:bottom w:val="single" w:sz="4" w:space="0" w:color="auto"/>
              <w:right w:val="single" w:sz="4" w:space="0" w:color="auto"/>
            </w:tcBorders>
          </w:tcPr>
          <w:p w14:paraId="482D7FEB" w14:textId="77777777" w:rsidR="008F2405" w:rsidRPr="008F2405" w:rsidRDefault="008F2405" w:rsidP="008F2405">
            <w:pPr>
              <w:keepNext/>
            </w:pPr>
          </w:p>
        </w:tc>
      </w:tr>
      <w:tr w:rsidR="008F2405" w:rsidRPr="008F2405" w14:paraId="51FBB53E" w14:textId="77777777" w:rsidTr="00BF4F5D">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2253245E" w14:textId="77777777" w:rsidR="008F2405" w:rsidRPr="008F2405" w:rsidRDefault="008F2405" w:rsidP="008F2405">
            <w:pPr>
              <w:keepNext/>
            </w:pPr>
            <w:r w:rsidRPr="008F2405">
              <w:t>L (dB)</w:t>
            </w:r>
          </w:p>
        </w:tc>
        <w:tc>
          <w:tcPr>
            <w:tcW w:w="1661" w:type="dxa"/>
            <w:tcBorders>
              <w:top w:val="single" w:sz="4" w:space="0" w:color="auto"/>
              <w:left w:val="single" w:sz="4" w:space="0" w:color="auto"/>
              <w:bottom w:val="single" w:sz="4" w:space="0" w:color="auto"/>
              <w:right w:val="single" w:sz="4" w:space="0" w:color="auto"/>
            </w:tcBorders>
            <w:hideMark/>
          </w:tcPr>
          <w:p w14:paraId="6AA6F3BA" w14:textId="77777777" w:rsidR="008F2405" w:rsidRPr="008F2405" w:rsidRDefault="008F2405" w:rsidP="008F2405">
            <w:pPr>
              <w:keepNext/>
              <w:jc w:val="center"/>
            </w:pPr>
            <w:r w:rsidRPr="008F2405">
              <w:t>1</w:t>
            </w:r>
          </w:p>
        </w:tc>
        <w:tc>
          <w:tcPr>
            <w:tcW w:w="5738" w:type="dxa"/>
            <w:tcBorders>
              <w:top w:val="single" w:sz="4" w:space="0" w:color="auto"/>
              <w:left w:val="single" w:sz="4" w:space="0" w:color="auto"/>
              <w:bottom w:val="single" w:sz="4" w:space="0" w:color="auto"/>
              <w:right w:val="single" w:sz="4" w:space="0" w:color="auto"/>
            </w:tcBorders>
            <w:hideMark/>
          </w:tcPr>
          <w:p w14:paraId="21E10EA6" w14:textId="77777777" w:rsidR="008F2405" w:rsidRPr="008F2405" w:rsidRDefault="008F2405" w:rsidP="008F2405">
            <w:pPr>
              <w:keepNext/>
            </w:pPr>
            <w:r w:rsidRPr="008F2405">
              <w:t>Assumed line loss.</w:t>
            </w:r>
          </w:p>
        </w:tc>
      </w:tr>
      <w:tr w:rsidR="008F2405" w:rsidRPr="008F2405" w14:paraId="233A1A83" w14:textId="77777777" w:rsidTr="00BF4F5D">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4064FB8B" w14:textId="77777777" w:rsidR="008F2405" w:rsidRPr="008F2405" w:rsidRDefault="008F2405" w:rsidP="008F2405">
            <w:pPr>
              <w:keepNext/>
            </w:pPr>
            <w:r w:rsidRPr="008F2405">
              <w:t>Receiver BW (MHz)</w:t>
            </w:r>
          </w:p>
        </w:tc>
        <w:tc>
          <w:tcPr>
            <w:tcW w:w="1661" w:type="dxa"/>
            <w:tcBorders>
              <w:top w:val="single" w:sz="4" w:space="0" w:color="auto"/>
              <w:left w:val="single" w:sz="4" w:space="0" w:color="auto"/>
              <w:bottom w:val="single" w:sz="4" w:space="0" w:color="auto"/>
              <w:right w:val="single" w:sz="4" w:space="0" w:color="auto"/>
            </w:tcBorders>
            <w:hideMark/>
          </w:tcPr>
          <w:p w14:paraId="7D12CC2C" w14:textId="77777777" w:rsidR="008F2405" w:rsidRPr="008F2405" w:rsidRDefault="008F2405" w:rsidP="008F2405">
            <w:pPr>
              <w:keepNext/>
              <w:jc w:val="center"/>
            </w:pPr>
            <w:r w:rsidRPr="008F2405">
              <w:t>5</w:t>
            </w:r>
          </w:p>
        </w:tc>
        <w:tc>
          <w:tcPr>
            <w:tcW w:w="5738" w:type="dxa"/>
            <w:tcBorders>
              <w:top w:val="single" w:sz="4" w:space="0" w:color="auto"/>
              <w:left w:val="single" w:sz="4" w:space="0" w:color="auto"/>
              <w:bottom w:val="single" w:sz="4" w:space="0" w:color="auto"/>
              <w:right w:val="single" w:sz="4" w:space="0" w:color="auto"/>
            </w:tcBorders>
            <w:hideMark/>
          </w:tcPr>
          <w:p w14:paraId="552FBB87" w14:textId="77777777" w:rsidR="008F2405" w:rsidRPr="008F2405" w:rsidRDefault="008F2405" w:rsidP="008F2405">
            <w:pPr>
              <w:keepNext/>
            </w:pPr>
            <w:r w:rsidRPr="008F2405">
              <w:t>For bandwidths (BWs) ≥ 5 MHz, the reference sensitivity level is measured in accord with the 3GPP Technical Specification 36.104 using 25 consecutive resource blocks, corresponding to a channel bandwidth of 4.5 MHz.</w:t>
            </w:r>
          </w:p>
        </w:tc>
      </w:tr>
      <w:tr w:rsidR="008F2405" w:rsidRPr="008F2405" w14:paraId="293F79A5" w14:textId="77777777" w:rsidTr="00BF4F5D">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0717DFB9" w14:textId="77777777" w:rsidR="008F2405" w:rsidRPr="008F2405" w:rsidRDefault="008F2405" w:rsidP="008F2405">
            <w:pPr>
              <w:keepNext/>
            </w:pPr>
            <w:r w:rsidRPr="008F2405">
              <w:t>Thermal noise, N</w:t>
            </w:r>
            <w:r w:rsidRPr="008F2405">
              <w:rPr>
                <w:vertAlign w:val="subscript"/>
              </w:rPr>
              <w:t>t</w:t>
            </w:r>
            <w:r w:rsidRPr="008F2405">
              <w:t xml:space="preserve"> (dBm)</w:t>
            </w:r>
          </w:p>
        </w:tc>
        <w:tc>
          <w:tcPr>
            <w:tcW w:w="1661" w:type="dxa"/>
            <w:tcBorders>
              <w:top w:val="single" w:sz="4" w:space="0" w:color="auto"/>
              <w:left w:val="single" w:sz="4" w:space="0" w:color="auto"/>
              <w:bottom w:val="single" w:sz="4" w:space="0" w:color="auto"/>
              <w:right w:val="single" w:sz="4" w:space="0" w:color="auto"/>
            </w:tcBorders>
            <w:hideMark/>
          </w:tcPr>
          <w:p w14:paraId="39EE5E4D" w14:textId="77777777" w:rsidR="008F2405" w:rsidRPr="008F2405" w:rsidRDefault="008F2405" w:rsidP="008F2405">
            <w:pPr>
              <w:keepNext/>
              <w:jc w:val="center"/>
            </w:pPr>
            <w:r w:rsidRPr="008F2405">
              <w:t>-107.5</w:t>
            </w:r>
          </w:p>
        </w:tc>
        <w:tc>
          <w:tcPr>
            <w:tcW w:w="5738" w:type="dxa"/>
            <w:tcBorders>
              <w:top w:val="single" w:sz="4" w:space="0" w:color="auto"/>
              <w:left w:val="single" w:sz="4" w:space="0" w:color="auto"/>
              <w:bottom w:val="single" w:sz="4" w:space="0" w:color="auto"/>
              <w:right w:val="single" w:sz="4" w:space="0" w:color="auto"/>
            </w:tcBorders>
            <w:hideMark/>
          </w:tcPr>
          <w:p w14:paraId="08A47C41" w14:textId="77777777" w:rsidR="008F2405" w:rsidRPr="008F2405" w:rsidRDefault="008F2405" w:rsidP="008F2405">
            <w:pPr>
              <w:keepNext/>
            </w:pPr>
            <w:r w:rsidRPr="008F2405">
              <w:t>= -174 (dBm/Hz) + 10log</w:t>
            </w:r>
            <w:r w:rsidRPr="008F2405">
              <w:rPr>
                <w:vertAlign w:val="subscript"/>
              </w:rPr>
              <w:t>10</w:t>
            </w:r>
            <w:r w:rsidRPr="008F2405">
              <w:t>(4.5 MHz).</w:t>
            </w:r>
          </w:p>
        </w:tc>
      </w:tr>
      <w:tr w:rsidR="008F2405" w:rsidRPr="008F2405" w14:paraId="7DF71380" w14:textId="77777777" w:rsidTr="00BF4F5D">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032A72FB" w14:textId="77777777" w:rsidR="008F2405" w:rsidRPr="008F2405" w:rsidRDefault="008F2405" w:rsidP="008F2405">
            <w:pPr>
              <w:keepNext/>
            </w:pPr>
            <w:r w:rsidRPr="008F2405">
              <w:t>Effective noise figure, N</w:t>
            </w:r>
            <w:r w:rsidRPr="008F2405">
              <w:rPr>
                <w:vertAlign w:val="subscript"/>
              </w:rPr>
              <w:t>e</w:t>
            </w:r>
            <w:r w:rsidRPr="008F2405">
              <w:t xml:space="preserve"> (dB)</w:t>
            </w:r>
          </w:p>
        </w:tc>
        <w:tc>
          <w:tcPr>
            <w:tcW w:w="1661" w:type="dxa"/>
            <w:tcBorders>
              <w:top w:val="single" w:sz="4" w:space="0" w:color="auto"/>
              <w:left w:val="single" w:sz="4" w:space="0" w:color="auto"/>
              <w:bottom w:val="single" w:sz="4" w:space="0" w:color="auto"/>
              <w:right w:val="single" w:sz="4" w:space="0" w:color="auto"/>
            </w:tcBorders>
            <w:hideMark/>
          </w:tcPr>
          <w:p w14:paraId="0E89B7F7" w14:textId="77777777" w:rsidR="008F2405" w:rsidRPr="008F2405" w:rsidRDefault="008F2405" w:rsidP="008F2405">
            <w:pPr>
              <w:keepNext/>
              <w:jc w:val="center"/>
            </w:pPr>
            <w:r w:rsidRPr="008F2405">
              <w:t>6</w:t>
            </w:r>
          </w:p>
        </w:tc>
        <w:tc>
          <w:tcPr>
            <w:tcW w:w="5738" w:type="dxa"/>
            <w:tcBorders>
              <w:top w:val="single" w:sz="4" w:space="0" w:color="auto"/>
              <w:left w:val="single" w:sz="4" w:space="0" w:color="auto"/>
              <w:bottom w:val="single" w:sz="4" w:space="0" w:color="auto"/>
              <w:right w:val="single" w:sz="4" w:space="0" w:color="auto"/>
            </w:tcBorders>
            <w:hideMark/>
          </w:tcPr>
          <w:p w14:paraId="54633BB9" w14:textId="77777777" w:rsidR="008F2405" w:rsidRPr="008F2405" w:rsidRDefault="008F2405" w:rsidP="008F2405">
            <w:pPr>
              <w:keepNext/>
            </w:pPr>
          </w:p>
        </w:tc>
      </w:tr>
      <w:tr w:rsidR="008F2405" w:rsidRPr="008F2405" w14:paraId="36FA3D5D" w14:textId="77777777" w:rsidTr="00BF4F5D">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0AB419E7" w14:textId="77777777" w:rsidR="008F2405" w:rsidRPr="008F2405" w:rsidRDefault="008F2405" w:rsidP="008F2405">
            <w:pPr>
              <w:keepNext/>
            </w:pPr>
            <w:r w:rsidRPr="008F2405">
              <w:t>OTR (dB)</w:t>
            </w:r>
          </w:p>
        </w:tc>
        <w:tc>
          <w:tcPr>
            <w:tcW w:w="1661" w:type="dxa"/>
            <w:tcBorders>
              <w:top w:val="single" w:sz="4" w:space="0" w:color="auto"/>
              <w:left w:val="single" w:sz="4" w:space="0" w:color="auto"/>
              <w:bottom w:val="single" w:sz="4" w:space="0" w:color="auto"/>
              <w:right w:val="single" w:sz="4" w:space="0" w:color="auto"/>
            </w:tcBorders>
            <w:hideMark/>
          </w:tcPr>
          <w:p w14:paraId="3A5264E5" w14:textId="77777777" w:rsidR="008F2405" w:rsidRPr="008F2405" w:rsidRDefault="008F2405" w:rsidP="008F2405">
            <w:pPr>
              <w:keepNext/>
              <w:jc w:val="center"/>
            </w:pPr>
            <w:r w:rsidRPr="008F2405">
              <w:t>0.8</w:t>
            </w:r>
          </w:p>
        </w:tc>
        <w:tc>
          <w:tcPr>
            <w:tcW w:w="5738" w:type="dxa"/>
            <w:tcBorders>
              <w:top w:val="single" w:sz="4" w:space="0" w:color="auto"/>
              <w:left w:val="single" w:sz="4" w:space="0" w:color="auto"/>
              <w:bottom w:val="single" w:sz="4" w:space="0" w:color="auto"/>
              <w:right w:val="single" w:sz="4" w:space="0" w:color="auto"/>
            </w:tcBorders>
            <w:hideMark/>
          </w:tcPr>
          <w:p w14:paraId="05F584F4" w14:textId="77777777" w:rsidR="008F2405" w:rsidRPr="008F2405" w:rsidRDefault="008F2405" w:rsidP="008F2405">
            <w:pPr>
              <w:keepNext/>
            </w:pPr>
            <w:r w:rsidRPr="008F2405">
              <w:t>For TV into wireless, OTR = 10log</w:t>
            </w:r>
            <w:r w:rsidRPr="008F2405">
              <w:rPr>
                <w:vertAlign w:val="subscript"/>
              </w:rPr>
              <w:t>10</w:t>
            </w:r>
            <w:r w:rsidRPr="008F2405">
              <w:t>(6/5) = 0.8 dB.  Using typical 3 dB transmit signal bandwidths, 10log</w:t>
            </w:r>
            <w:r w:rsidRPr="008F2405">
              <w:rPr>
                <w:vertAlign w:val="subscript"/>
              </w:rPr>
              <w:t>10</w:t>
            </w:r>
            <w:r w:rsidRPr="008F2405">
              <w:t>(5.38/4.5) is also approximately 0.8 dB.</w:t>
            </w:r>
          </w:p>
        </w:tc>
      </w:tr>
      <w:tr w:rsidR="008F2405" w:rsidRPr="008F2405" w14:paraId="61EB1505" w14:textId="77777777" w:rsidTr="00BF4F5D">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3910DF85" w14:textId="77777777" w:rsidR="008F2405" w:rsidRPr="008F2405" w:rsidRDefault="008F2405" w:rsidP="008F2405">
            <w:pPr>
              <w:keepNext/>
            </w:pPr>
            <w:r w:rsidRPr="008F2405">
              <w:t>OFR (dB)</w:t>
            </w:r>
          </w:p>
        </w:tc>
        <w:tc>
          <w:tcPr>
            <w:tcW w:w="1661" w:type="dxa"/>
            <w:tcBorders>
              <w:top w:val="single" w:sz="4" w:space="0" w:color="auto"/>
              <w:left w:val="single" w:sz="4" w:space="0" w:color="auto"/>
              <w:bottom w:val="single" w:sz="4" w:space="0" w:color="auto"/>
              <w:right w:val="single" w:sz="4" w:space="0" w:color="auto"/>
            </w:tcBorders>
            <w:hideMark/>
          </w:tcPr>
          <w:p w14:paraId="575BB6C6" w14:textId="77777777" w:rsidR="008F2405" w:rsidRPr="008F2405" w:rsidRDefault="008F2405" w:rsidP="008F2405">
            <w:pPr>
              <w:keepNext/>
              <w:jc w:val="center"/>
            </w:pPr>
            <w:r w:rsidRPr="008F2405">
              <w:t>Varies</w:t>
            </w:r>
          </w:p>
        </w:tc>
        <w:tc>
          <w:tcPr>
            <w:tcW w:w="5738" w:type="dxa"/>
            <w:tcBorders>
              <w:top w:val="single" w:sz="4" w:space="0" w:color="auto"/>
              <w:left w:val="single" w:sz="4" w:space="0" w:color="auto"/>
              <w:bottom w:val="single" w:sz="4" w:space="0" w:color="auto"/>
              <w:right w:val="single" w:sz="4" w:space="0" w:color="auto"/>
            </w:tcBorders>
            <w:vAlign w:val="center"/>
          </w:tcPr>
          <w:p w14:paraId="747FB260" w14:textId="77777777" w:rsidR="008F2405" w:rsidRPr="008F2405" w:rsidRDefault="008F2405" w:rsidP="008F2405">
            <w:pPr>
              <w:keepNext/>
            </w:pPr>
            <w:r w:rsidRPr="008F2405">
              <w:t xml:space="preserve">See </w:t>
            </w:r>
            <w:r w:rsidRPr="008F2405">
              <w:fldChar w:fldCharType="begin"/>
            </w:r>
            <w:r w:rsidRPr="008F2405">
              <w:instrText xml:space="preserve"> REF _Ref393712968 \h  \* MERGEFORMAT </w:instrText>
            </w:r>
            <w:r w:rsidRPr="008F2405">
              <w:fldChar w:fldCharType="separate"/>
            </w:r>
            <w:r w:rsidR="00656F50" w:rsidRPr="004E3A8D">
              <w:rPr>
                <w:szCs w:val="22"/>
              </w:rPr>
              <w:t xml:space="preserve">Table </w:t>
            </w:r>
            <w:r w:rsidR="00656F50">
              <w:rPr>
                <w:noProof/>
                <w:szCs w:val="22"/>
              </w:rPr>
              <w:t>5</w:t>
            </w:r>
            <w:r w:rsidRPr="008F2405">
              <w:fldChar w:fldCharType="end"/>
            </w:r>
          </w:p>
        </w:tc>
      </w:tr>
      <w:tr w:rsidR="008F2405" w:rsidRPr="008F2405" w14:paraId="71E28557" w14:textId="77777777" w:rsidTr="00BF4F5D">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12923C4F" w14:textId="77777777" w:rsidR="008F2405" w:rsidRPr="008F2405" w:rsidRDefault="008F2405" w:rsidP="008F2405">
            <w:pPr>
              <w:keepNext/>
            </w:pPr>
            <w:r w:rsidRPr="008F2405">
              <w:t>HG(2) (m AGL)</w:t>
            </w:r>
          </w:p>
        </w:tc>
        <w:tc>
          <w:tcPr>
            <w:tcW w:w="1661" w:type="dxa"/>
            <w:tcBorders>
              <w:top w:val="single" w:sz="4" w:space="0" w:color="auto"/>
              <w:left w:val="single" w:sz="4" w:space="0" w:color="auto"/>
              <w:bottom w:val="single" w:sz="4" w:space="0" w:color="auto"/>
              <w:right w:val="single" w:sz="4" w:space="0" w:color="auto"/>
            </w:tcBorders>
            <w:hideMark/>
          </w:tcPr>
          <w:p w14:paraId="0F204DDC" w14:textId="77777777" w:rsidR="008F2405" w:rsidRPr="008F2405" w:rsidRDefault="008F2405" w:rsidP="008F2405">
            <w:pPr>
              <w:keepNext/>
              <w:jc w:val="center"/>
            </w:pPr>
            <w:r w:rsidRPr="008F2405">
              <w:t>30</w:t>
            </w:r>
          </w:p>
        </w:tc>
        <w:tc>
          <w:tcPr>
            <w:tcW w:w="5738" w:type="dxa"/>
            <w:tcBorders>
              <w:top w:val="single" w:sz="4" w:space="0" w:color="auto"/>
              <w:left w:val="single" w:sz="4" w:space="0" w:color="auto"/>
              <w:bottom w:val="single" w:sz="4" w:space="0" w:color="auto"/>
              <w:right w:val="single" w:sz="4" w:space="0" w:color="auto"/>
            </w:tcBorders>
            <w:hideMark/>
          </w:tcPr>
          <w:p w14:paraId="6557BC5F" w14:textId="77777777" w:rsidR="008F2405" w:rsidRPr="008F2405" w:rsidRDefault="008F2405" w:rsidP="008F2405">
            <w:pPr>
              <w:keepNext/>
            </w:pPr>
            <w:r w:rsidRPr="008F2405">
              <w:t>Assumed receive antenna height for wireless base stations.</w:t>
            </w:r>
          </w:p>
        </w:tc>
      </w:tr>
    </w:tbl>
    <w:p w14:paraId="1A224BFA" w14:textId="77777777" w:rsidR="008F2405" w:rsidRPr="004E3A8D" w:rsidRDefault="008F2405" w:rsidP="006A744E">
      <w:pPr>
        <w:spacing w:before="120" w:after="240"/>
        <w:jc w:val="center"/>
        <w:rPr>
          <w:szCs w:val="22"/>
        </w:rPr>
      </w:pPr>
      <w:bookmarkStart w:id="860" w:name="_Ref393704754"/>
      <w:r w:rsidRPr="004E3A8D">
        <w:rPr>
          <w:szCs w:val="22"/>
        </w:rPr>
        <w:t xml:space="preserve">Table </w:t>
      </w:r>
      <w:r w:rsidRPr="004E3A8D">
        <w:rPr>
          <w:szCs w:val="22"/>
        </w:rPr>
        <w:fldChar w:fldCharType="begin"/>
      </w:r>
      <w:r w:rsidRPr="004E3A8D">
        <w:rPr>
          <w:szCs w:val="22"/>
        </w:rPr>
        <w:instrText xml:space="preserve"> SEQ Table \* ARABIC </w:instrText>
      </w:r>
      <w:r w:rsidRPr="004E3A8D">
        <w:rPr>
          <w:szCs w:val="22"/>
        </w:rPr>
        <w:fldChar w:fldCharType="separate"/>
      </w:r>
      <w:r w:rsidR="00656F50">
        <w:rPr>
          <w:noProof/>
          <w:szCs w:val="22"/>
        </w:rPr>
        <w:t>3</w:t>
      </w:r>
      <w:r w:rsidRPr="004E3A8D">
        <w:rPr>
          <w:szCs w:val="22"/>
        </w:rPr>
        <w:fldChar w:fldCharType="end"/>
      </w:r>
      <w:bookmarkEnd w:id="860"/>
      <w:r w:rsidRPr="004E3A8D">
        <w:rPr>
          <w:szCs w:val="22"/>
        </w:rPr>
        <w:t>.  Wireless base station receiver technical parameters</w:t>
      </w:r>
    </w:p>
    <w:tbl>
      <w:tblPr>
        <w:tblW w:w="9356" w:type="dxa"/>
        <w:jc w:val="center"/>
        <w:tblLook w:val="04A0" w:firstRow="1" w:lastRow="0" w:firstColumn="1" w:lastColumn="0" w:noHBand="0" w:noVBand="1"/>
      </w:tblPr>
      <w:tblGrid>
        <w:gridCol w:w="2186"/>
        <w:gridCol w:w="1646"/>
        <w:gridCol w:w="5524"/>
      </w:tblGrid>
      <w:tr w:rsidR="008F2405" w:rsidRPr="008F2405" w14:paraId="552F77D6" w14:textId="77777777" w:rsidTr="00BF4F5D">
        <w:trPr>
          <w:jc w:val="center"/>
        </w:trPr>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C9628E" w14:textId="77777777" w:rsidR="008F2405" w:rsidRPr="008F2405" w:rsidRDefault="008F2405" w:rsidP="008F2405">
            <w:pPr>
              <w:keepNext/>
              <w:keepLines/>
              <w:jc w:val="center"/>
              <w:rPr>
                <w:sz w:val="20"/>
              </w:rPr>
            </w:pPr>
            <w:r w:rsidRPr="008F2405">
              <w:rPr>
                <w:sz w:val="20"/>
              </w:rPr>
              <w:t>Parameter</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D6A5EC" w14:textId="77777777" w:rsidR="008F2405" w:rsidRPr="008F2405" w:rsidRDefault="008F2405" w:rsidP="008F2405">
            <w:pPr>
              <w:keepNext/>
              <w:keepLines/>
              <w:ind w:right="-52"/>
              <w:jc w:val="center"/>
              <w:rPr>
                <w:sz w:val="20"/>
              </w:rPr>
            </w:pPr>
            <w:r w:rsidRPr="008F2405">
              <w:rPr>
                <w:sz w:val="20"/>
              </w:rPr>
              <w:t>Value</w:t>
            </w:r>
          </w:p>
        </w:tc>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A81B63" w14:textId="77777777" w:rsidR="008F2405" w:rsidRPr="008F2405" w:rsidRDefault="008F2405" w:rsidP="008F2405">
            <w:pPr>
              <w:keepNext/>
              <w:keepLines/>
              <w:jc w:val="center"/>
              <w:rPr>
                <w:sz w:val="20"/>
              </w:rPr>
            </w:pPr>
            <w:r w:rsidRPr="008F2405">
              <w:rPr>
                <w:sz w:val="20"/>
              </w:rPr>
              <w:t>Comment</w:t>
            </w:r>
          </w:p>
        </w:tc>
      </w:tr>
      <w:tr w:rsidR="008F2405" w:rsidRPr="008F2405" w14:paraId="7071798F" w14:textId="77777777" w:rsidTr="00BF4F5D">
        <w:trPr>
          <w:jc w:val="center"/>
        </w:trPr>
        <w:tc>
          <w:tcPr>
            <w:tcW w:w="2186" w:type="dxa"/>
            <w:tcBorders>
              <w:top w:val="single" w:sz="4" w:space="0" w:color="auto"/>
              <w:left w:val="single" w:sz="4" w:space="0" w:color="auto"/>
              <w:bottom w:val="single" w:sz="4" w:space="0" w:color="auto"/>
              <w:right w:val="single" w:sz="4" w:space="0" w:color="auto"/>
            </w:tcBorders>
            <w:hideMark/>
          </w:tcPr>
          <w:p w14:paraId="1915228A" w14:textId="77777777" w:rsidR="008F2405" w:rsidRPr="008F2405" w:rsidRDefault="008F2405" w:rsidP="008F2405">
            <w:pPr>
              <w:keepNext/>
            </w:pPr>
            <w:r w:rsidRPr="008F2405">
              <w:t>P</w:t>
            </w:r>
            <w:r w:rsidRPr="008F2405">
              <w:rPr>
                <w:smallCaps/>
                <w:vertAlign w:val="subscript"/>
              </w:rPr>
              <w:t>refsens</w:t>
            </w:r>
            <w:r w:rsidRPr="008F2405">
              <w:t xml:space="preserve"> (dBm)</w:t>
            </w:r>
          </w:p>
        </w:tc>
        <w:tc>
          <w:tcPr>
            <w:tcW w:w="1646" w:type="dxa"/>
            <w:tcBorders>
              <w:top w:val="single" w:sz="4" w:space="0" w:color="auto"/>
              <w:left w:val="single" w:sz="4" w:space="0" w:color="auto"/>
              <w:bottom w:val="single" w:sz="4" w:space="0" w:color="auto"/>
              <w:right w:val="single" w:sz="4" w:space="0" w:color="auto"/>
            </w:tcBorders>
            <w:hideMark/>
          </w:tcPr>
          <w:p w14:paraId="5ADABAC8" w14:textId="77777777" w:rsidR="008F2405" w:rsidRPr="008F2405" w:rsidRDefault="008F2405" w:rsidP="008F2405">
            <w:pPr>
              <w:keepNext/>
              <w:ind w:right="-52"/>
              <w:jc w:val="center"/>
            </w:pPr>
            <w:r w:rsidRPr="008F2405">
              <w:t>-100</w:t>
            </w:r>
          </w:p>
        </w:tc>
        <w:tc>
          <w:tcPr>
            <w:tcW w:w="5524" w:type="dxa"/>
            <w:tcBorders>
              <w:top w:val="single" w:sz="4" w:space="0" w:color="auto"/>
              <w:left w:val="single" w:sz="4" w:space="0" w:color="auto"/>
              <w:bottom w:val="single" w:sz="4" w:space="0" w:color="auto"/>
              <w:right w:val="single" w:sz="4" w:space="0" w:color="auto"/>
            </w:tcBorders>
            <w:hideMark/>
          </w:tcPr>
          <w:p w14:paraId="143C82C5" w14:textId="77777777" w:rsidR="008F2405" w:rsidRPr="008F2405" w:rsidRDefault="008F2405" w:rsidP="008F2405">
            <w:pPr>
              <w:keepNext/>
            </w:pPr>
            <w:r w:rsidRPr="008F2405">
              <w:t>Reference sensitivity level, per 3GPP Technical Specification 36.101 § 7.3.</w:t>
            </w:r>
          </w:p>
        </w:tc>
      </w:tr>
      <w:tr w:rsidR="008F2405" w:rsidRPr="008F2405" w14:paraId="300C42AC" w14:textId="77777777" w:rsidTr="00BF4F5D">
        <w:trPr>
          <w:jc w:val="center"/>
        </w:trPr>
        <w:tc>
          <w:tcPr>
            <w:tcW w:w="2186" w:type="dxa"/>
            <w:tcBorders>
              <w:top w:val="single" w:sz="4" w:space="0" w:color="auto"/>
              <w:left w:val="single" w:sz="4" w:space="0" w:color="auto"/>
              <w:bottom w:val="single" w:sz="4" w:space="0" w:color="auto"/>
              <w:right w:val="single" w:sz="4" w:space="0" w:color="auto"/>
            </w:tcBorders>
            <w:hideMark/>
          </w:tcPr>
          <w:p w14:paraId="4C51536B" w14:textId="77777777" w:rsidR="008F2405" w:rsidRPr="008F2405" w:rsidRDefault="008F2405" w:rsidP="008F2405">
            <w:pPr>
              <w:keepNext/>
            </w:pPr>
            <w:r w:rsidRPr="008F2405">
              <w:t>K</w:t>
            </w:r>
            <w:r w:rsidRPr="008F2405">
              <w:rPr>
                <w:vertAlign w:val="subscript"/>
              </w:rPr>
              <w:t>d</w:t>
            </w:r>
            <w:r w:rsidRPr="008F2405">
              <w:t xml:space="preserve"> (dBm-dBµV/m)</w:t>
            </w:r>
          </w:p>
        </w:tc>
        <w:tc>
          <w:tcPr>
            <w:tcW w:w="1646" w:type="dxa"/>
            <w:tcBorders>
              <w:top w:val="single" w:sz="4" w:space="0" w:color="auto"/>
              <w:left w:val="single" w:sz="4" w:space="0" w:color="auto"/>
              <w:bottom w:val="single" w:sz="4" w:space="0" w:color="auto"/>
              <w:right w:val="single" w:sz="4" w:space="0" w:color="auto"/>
            </w:tcBorders>
            <w:hideMark/>
          </w:tcPr>
          <w:p w14:paraId="66F9FC12" w14:textId="77777777" w:rsidR="008F2405" w:rsidRPr="008F2405" w:rsidRDefault="008F2405" w:rsidP="008F2405">
            <w:pPr>
              <w:keepNext/>
              <w:ind w:right="-52"/>
              <w:jc w:val="center"/>
            </w:pPr>
            <w:r w:rsidRPr="008F2405">
              <w:t>-130.8</w:t>
            </w:r>
          </w:p>
        </w:tc>
        <w:tc>
          <w:tcPr>
            <w:tcW w:w="5524" w:type="dxa"/>
            <w:tcBorders>
              <w:top w:val="single" w:sz="4" w:space="0" w:color="auto"/>
              <w:left w:val="single" w:sz="4" w:space="0" w:color="auto"/>
              <w:bottom w:val="single" w:sz="4" w:space="0" w:color="auto"/>
              <w:right w:val="single" w:sz="4" w:space="0" w:color="auto"/>
            </w:tcBorders>
          </w:tcPr>
          <w:p w14:paraId="1F483454" w14:textId="77777777" w:rsidR="008F2405" w:rsidRPr="008F2405" w:rsidRDefault="008F2405" w:rsidP="008F2405">
            <w:pPr>
              <w:keepNext/>
            </w:pPr>
            <w:r w:rsidRPr="008F2405">
              <w:t>Dipole Factor, OET Bulletin No. 69, Table 3.</w:t>
            </w:r>
          </w:p>
        </w:tc>
      </w:tr>
      <w:tr w:rsidR="008F2405" w:rsidRPr="008F2405" w14:paraId="74EF3EE8" w14:textId="77777777" w:rsidTr="00BF4F5D">
        <w:trPr>
          <w:jc w:val="center"/>
        </w:trPr>
        <w:tc>
          <w:tcPr>
            <w:tcW w:w="2186" w:type="dxa"/>
            <w:tcBorders>
              <w:top w:val="single" w:sz="4" w:space="0" w:color="auto"/>
              <w:left w:val="single" w:sz="4" w:space="0" w:color="auto"/>
              <w:bottom w:val="single" w:sz="4" w:space="0" w:color="auto"/>
              <w:right w:val="single" w:sz="4" w:space="0" w:color="auto"/>
            </w:tcBorders>
            <w:hideMark/>
          </w:tcPr>
          <w:p w14:paraId="61669740" w14:textId="77777777" w:rsidR="008F2405" w:rsidRPr="008F2405" w:rsidRDefault="008F2405" w:rsidP="008F2405">
            <w:pPr>
              <w:keepNext/>
            </w:pPr>
            <w:r w:rsidRPr="008F2405">
              <w:t>G (dBd)</w:t>
            </w:r>
          </w:p>
        </w:tc>
        <w:tc>
          <w:tcPr>
            <w:tcW w:w="1646" w:type="dxa"/>
            <w:tcBorders>
              <w:top w:val="single" w:sz="4" w:space="0" w:color="auto"/>
              <w:left w:val="single" w:sz="4" w:space="0" w:color="auto"/>
              <w:bottom w:val="single" w:sz="4" w:space="0" w:color="auto"/>
              <w:right w:val="single" w:sz="4" w:space="0" w:color="auto"/>
            </w:tcBorders>
            <w:hideMark/>
          </w:tcPr>
          <w:p w14:paraId="37C55921" w14:textId="77777777" w:rsidR="008F2405" w:rsidRPr="008F2405" w:rsidRDefault="008F2405" w:rsidP="008F2405">
            <w:pPr>
              <w:keepNext/>
              <w:ind w:right="-52"/>
              <w:jc w:val="center"/>
            </w:pPr>
            <w:r w:rsidRPr="008F2405">
              <w:t>-2.2</w:t>
            </w:r>
          </w:p>
        </w:tc>
        <w:tc>
          <w:tcPr>
            <w:tcW w:w="5524" w:type="dxa"/>
            <w:tcBorders>
              <w:top w:val="single" w:sz="4" w:space="0" w:color="auto"/>
              <w:left w:val="single" w:sz="4" w:space="0" w:color="auto"/>
              <w:bottom w:val="single" w:sz="4" w:space="0" w:color="auto"/>
              <w:right w:val="single" w:sz="4" w:space="0" w:color="auto"/>
            </w:tcBorders>
            <w:hideMark/>
          </w:tcPr>
          <w:p w14:paraId="28F90987" w14:textId="77777777" w:rsidR="008F2405" w:rsidRPr="008F2405" w:rsidRDefault="008F2405" w:rsidP="008F2405">
            <w:pPr>
              <w:keepNext/>
            </w:pPr>
            <w:r w:rsidRPr="008F2405">
              <w:t>Assumes 0 dBi - 2.2 (approximate dipole gain).</w:t>
            </w:r>
          </w:p>
        </w:tc>
      </w:tr>
      <w:tr w:rsidR="008F2405" w:rsidRPr="008F2405" w14:paraId="4C849526" w14:textId="77777777" w:rsidTr="00BF4F5D">
        <w:trPr>
          <w:jc w:val="center"/>
        </w:trPr>
        <w:tc>
          <w:tcPr>
            <w:tcW w:w="2186" w:type="dxa"/>
            <w:tcBorders>
              <w:top w:val="single" w:sz="4" w:space="0" w:color="auto"/>
              <w:left w:val="single" w:sz="4" w:space="0" w:color="auto"/>
              <w:bottom w:val="single" w:sz="4" w:space="0" w:color="auto"/>
              <w:right w:val="single" w:sz="4" w:space="0" w:color="auto"/>
            </w:tcBorders>
          </w:tcPr>
          <w:p w14:paraId="194D3355" w14:textId="77777777" w:rsidR="008F2405" w:rsidRPr="008F2405" w:rsidRDefault="008F2405" w:rsidP="008F2405">
            <w:pPr>
              <w:keepNext/>
            </w:pPr>
            <w:r w:rsidRPr="008F2405">
              <w:t>Antenna Pattern</w:t>
            </w:r>
          </w:p>
        </w:tc>
        <w:tc>
          <w:tcPr>
            <w:tcW w:w="1646" w:type="dxa"/>
            <w:tcBorders>
              <w:top w:val="single" w:sz="4" w:space="0" w:color="auto"/>
              <w:left w:val="single" w:sz="4" w:space="0" w:color="auto"/>
              <w:bottom w:val="single" w:sz="4" w:space="0" w:color="auto"/>
              <w:right w:val="single" w:sz="4" w:space="0" w:color="auto"/>
            </w:tcBorders>
          </w:tcPr>
          <w:p w14:paraId="41B710D5" w14:textId="77777777" w:rsidR="008F2405" w:rsidRPr="008F2405" w:rsidRDefault="008F2405" w:rsidP="008F2405">
            <w:pPr>
              <w:keepNext/>
              <w:ind w:right="-52"/>
              <w:jc w:val="center"/>
            </w:pPr>
            <w:r w:rsidRPr="008F2405">
              <w:t>Non-directional</w:t>
            </w:r>
          </w:p>
        </w:tc>
        <w:tc>
          <w:tcPr>
            <w:tcW w:w="5524" w:type="dxa"/>
            <w:tcBorders>
              <w:top w:val="single" w:sz="4" w:space="0" w:color="auto"/>
              <w:left w:val="single" w:sz="4" w:space="0" w:color="auto"/>
              <w:bottom w:val="single" w:sz="4" w:space="0" w:color="auto"/>
              <w:right w:val="single" w:sz="4" w:space="0" w:color="auto"/>
            </w:tcBorders>
          </w:tcPr>
          <w:p w14:paraId="270D83C3" w14:textId="77777777" w:rsidR="008F2405" w:rsidRPr="008F2405" w:rsidRDefault="008F2405" w:rsidP="008F2405">
            <w:pPr>
              <w:keepNext/>
            </w:pPr>
          </w:p>
        </w:tc>
      </w:tr>
      <w:tr w:rsidR="008F2405" w:rsidRPr="008F2405" w14:paraId="3D8154A6" w14:textId="77777777" w:rsidTr="00BF4F5D">
        <w:trPr>
          <w:jc w:val="center"/>
        </w:trPr>
        <w:tc>
          <w:tcPr>
            <w:tcW w:w="2186" w:type="dxa"/>
            <w:tcBorders>
              <w:top w:val="single" w:sz="4" w:space="0" w:color="auto"/>
              <w:left w:val="single" w:sz="4" w:space="0" w:color="auto"/>
              <w:bottom w:val="single" w:sz="4" w:space="0" w:color="auto"/>
              <w:right w:val="single" w:sz="4" w:space="0" w:color="auto"/>
            </w:tcBorders>
            <w:hideMark/>
          </w:tcPr>
          <w:p w14:paraId="155AAD52" w14:textId="77777777" w:rsidR="008F2405" w:rsidRPr="008F2405" w:rsidRDefault="008F2405" w:rsidP="008F2405">
            <w:pPr>
              <w:keepNext/>
            </w:pPr>
            <w:r w:rsidRPr="008F2405">
              <w:t>L (dB)</w:t>
            </w:r>
          </w:p>
        </w:tc>
        <w:tc>
          <w:tcPr>
            <w:tcW w:w="1646" w:type="dxa"/>
            <w:tcBorders>
              <w:top w:val="single" w:sz="4" w:space="0" w:color="auto"/>
              <w:left w:val="single" w:sz="4" w:space="0" w:color="auto"/>
              <w:bottom w:val="single" w:sz="4" w:space="0" w:color="auto"/>
              <w:right w:val="single" w:sz="4" w:space="0" w:color="auto"/>
            </w:tcBorders>
            <w:hideMark/>
          </w:tcPr>
          <w:p w14:paraId="52B7E673" w14:textId="77777777" w:rsidR="008F2405" w:rsidRPr="008F2405" w:rsidRDefault="008F2405" w:rsidP="008F2405">
            <w:pPr>
              <w:keepNext/>
              <w:ind w:right="-52"/>
              <w:jc w:val="center"/>
            </w:pPr>
            <w:r w:rsidRPr="008F2405">
              <w:t>0</w:t>
            </w:r>
          </w:p>
        </w:tc>
        <w:tc>
          <w:tcPr>
            <w:tcW w:w="5524" w:type="dxa"/>
            <w:tcBorders>
              <w:top w:val="single" w:sz="4" w:space="0" w:color="auto"/>
              <w:left w:val="single" w:sz="4" w:space="0" w:color="auto"/>
              <w:bottom w:val="single" w:sz="4" w:space="0" w:color="auto"/>
              <w:right w:val="single" w:sz="4" w:space="0" w:color="auto"/>
            </w:tcBorders>
            <w:hideMark/>
          </w:tcPr>
          <w:p w14:paraId="7410A470" w14:textId="77777777" w:rsidR="008F2405" w:rsidRPr="008F2405" w:rsidRDefault="008F2405" w:rsidP="008F2405">
            <w:pPr>
              <w:keepNext/>
            </w:pPr>
            <w:r w:rsidRPr="008F2405">
              <w:t>Assumed line loss.</w:t>
            </w:r>
          </w:p>
        </w:tc>
      </w:tr>
      <w:tr w:rsidR="008F2405" w:rsidRPr="008F2405" w14:paraId="7C00A673" w14:textId="77777777" w:rsidTr="00BF4F5D">
        <w:trPr>
          <w:jc w:val="center"/>
        </w:trPr>
        <w:tc>
          <w:tcPr>
            <w:tcW w:w="2186" w:type="dxa"/>
            <w:tcBorders>
              <w:top w:val="single" w:sz="4" w:space="0" w:color="auto"/>
              <w:left w:val="single" w:sz="4" w:space="0" w:color="auto"/>
              <w:bottom w:val="single" w:sz="4" w:space="0" w:color="auto"/>
              <w:right w:val="single" w:sz="4" w:space="0" w:color="auto"/>
            </w:tcBorders>
            <w:hideMark/>
          </w:tcPr>
          <w:p w14:paraId="259936CD" w14:textId="77777777" w:rsidR="008F2405" w:rsidRPr="008F2405" w:rsidRDefault="008F2405" w:rsidP="008F2405">
            <w:pPr>
              <w:keepNext/>
            </w:pPr>
            <w:r w:rsidRPr="008F2405">
              <w:t>Receiver BW (MHz)</w:t>
            </w:r>
          </w:p>
        </w:tc>
        <w:tc>
          <w:tcPr>
            <w:tcW w:w="1646" w:type="dxa"/>
            <w:tcBorders>
              <w:top w:val="single" w:sz="4" w:space="0" w:color="auto"/>
              <w:left w:val="single" w:sz="4" w:space="0" w:color="auto"/>
              <w:bottom w:val="single" w:sz="4" w:space="0" w:color="auto"/>
              <w:right w:val="single" w:sz="4" w:space="0" w:color="auto"/>
            </w:tcBorders>
            <w:hideMark/>
          </w:tcPr>
          <w:p w14:paraId="01D82FCB" w14:textId="77777777" w:rsidR="008F2405" w:rsidRPr="008F2405" w:rsidRDefault="008F2405" w:rsidP="008F2405">
            <w:pPr>
              <w:keepNext/>
              <w:ind w:right="-52"/>
              <w:jc w:val="center"/>
            </w:pPr>
            <w:r w:rsidRPr="008F2405">
              <w:t>5</w:t>
            </w:r>
          </w:p>
        </w:tc>
        <w:tc>
          <w:tcPr>
            <w:tcW w:w="5524" w:type="dxa"/>
            <w:tcBorders>
              <w:top w:val="single" w:sz="4" w:space="0" w:color="auto"/>
              <w:left w:val="single" w:sz="4" w:space="0" w:color="auto"/>
              <w:bottom w:val="single" w:sz="4" w:space="0" w:color="auto"/>
              <w:right w:val="single" w:sz="4" w:space="0" w:color="auto"/>
            </w:tcBorders>
            <w:hideMark/>
          </w:tcPr>
          <w:p w14:paraId="5DAE1FA3" w14:textId="77777777" w:rsidR="008F2405" w:rsidRPr="008F2405" w:rsidRDefault="008F2405" w:rsidP="008F2405">
            <w:pPr>
              <w:keepNext/>
            </w:pPr>
            <w:r w:rsidRPr="008F2405">
              <w:t>For bandwidths (BWs) ≥ 5 MHz, the reference sensitivity level is measured in accord with the 3GPP Technical Specification 36.104 using 25 consecutive resource blocks, corresponding to a channel bandwidth of 4.5 MHz.</w:t>
            </w:r>
          </w:p>
        </w:tc>
      </w:tr>
      <w:tr w:rsidR="008F2405" w:rsidRPr="008F2405" w14:paraId="71B3AD39" w14:textId="77777777" w:rsidTr="00BF4F5D">
        <w:trPr>
          <w:jc w:val="center"/>
        </w:trPr>
        <w:tc>
          <w:tcPr>
            <w:tcW w:w="2186" w:type="dxa"/>
            <w:tcBorders>
              <w:top w:val="single" w:sz="4" w:space="0" w:color="auto"/>
              <w:left w:val="single" w:sz="4" w:space="0" w:color="auto"/>
              <w:bottom w:val="single" w:sz="4" w:space="0" w:color="auto"/>
              <w:right w:val="single" w:sz="4" w:space="0" w:color="auto"/>
            </w:tcBorders>
            <w:hideMark/>
          </w:tcPr>
          <w:p w14:paraId="3FFE92BF" w14:textId="77777777" w:rsidR="008F2405" w:rsidRPr="008F2405" w:rsidRDefault="008F2405" w:rsidP="008F2405">
            <w:pPr>
              <w:keepNext/>
            </w:pPr>
            <w:r w:rsidRPr="008F2405">
              <w:t>Thermal noise, N</w:t>
            </w:r>
            <w:r w:rsidRPr="008F2405">
              <w:rPr>
                <w:vertAlign w:val="subscript"/>
              </w:rPr>
              <w:t>t</w:t>
            </w:r>
            <w:r w:rsidRPr="008F2405">
              <w:t xml:space="preserve"> (dBm)</w:t>
            </w:r>
          </w:p>
        </w:tc>
        <w:tc>
          <w:tcPr>
            <w:tcW w:w="1646" w:type="dxa"/>
            <w:tcBorders>
              <w:top w:val="single" w:sz="4" w:space="0" w:color="auto"/>
              <w:left w:val="single" w:sz="4" w:space="0" w:color="auto"/>
              <w:bottom w:val="single" w:sz="4" w:space="0" w:color="auto"/>
              <w:right w:val="single" w:sz="4" w:space="0" w:color="auto"/>
            </w:tcBorders>
            <w:hideMark/>
          </w:tcPr>
          <w:p w14:paraId="245084BA" w14:textId="77777777" w:rsidR="008F2405" w:rsidRPr="008F2405" w:rsidRDefault="008F2405" w:rsidP="008F2405">
            <w:pPr>
              <w:keepNext/>
              <w:ind w:right="-52"/>
              <w:jc w:val="center"/>
            </w:pPr>
            <w:r w:rsidRPr="008F2405">
              <w:t>-107.5</w:t>
            </w:r>
          </w:p>
        </w:tc>
        <w:tc>
          <w:tcPr>
            <w:tcW w:w="5524" w:type="dxa"/>
            <w:tcBorders>
              <w:top w:val="single" w:sz="4" w:space="0" w:color="auto"/>
              <w:left w:val="single" w:sz="4" w:space="0" w:color="auto"/>
              <w:bottom w:val="single" w:sz="4" w:space="0" w:color="auto"/>
              <w:right w:val="single" w:sz="4" w:space="0" w:color="auto"/>
            </w:tcBorders>
            <w:hideMark/>
          </w:tcPr>
          <w:p w14:paraId="40009728" w14:textId="77777777" w:rsidR="008F2405" w:rsidRPr="008F2405" w:rsidRDefault="008F2405" w:rsidP="008F2405">
            <w:pPr>
              <w:keepNext/>
            </w:pPr>
            <w:r w:rsidRPr="008F2405">
              <w:t>= -174 (dBm/Hz) + 10log</w:t>
            </w:r>
            <w:r w:rsidRPr="008F2405">
              <w:rPr>
                <w:vertAlign w:val="subscript"/>
              </w:rPr>
              <w:t>10</w:t>
            </w:r>
            <w:r w:rsidRPr="008F2405">
              <w:t>(4.5 MHz).</w:t>
            </w:r>
          </w:p>
        </w:tc>
      </w:tr>
      <w:tr w:rsidR="008F2405" w:rsidRPr="008F2405" w14:paraId="250FFC00" w14:textId="77777777" w:rsidTr="00BF4F5D">
        <w:trPr>
          <w:jc w:val="center"/>
        </w:trPr>
        <w:tc>
          <w:tcPr>
            <w:tcW w:w="2186" w:type="dxa"/>
            <w:tcBorders>
              <w:top w:val="single" w:sz="4" w:space="0" w:color="auto"/>
              <w:left w:val="single" w:sz="4" w:space="0" w:color="auto"/>
              <w:bottom w:val="single" w:sz="4" w:space="0" w:color="auto"/>
              <w:right w:val="single" w:sz="4" w:space="0" w:color="auto"/>
            </w:tcBorders>
            <w:hideMark/>
          </w:tcPr>
          <w:p w14:paraId="15095FCB" w14:textId="77777777" w:rsidR="008F2405" w:rsidRPr="008F2405" w:rsidRDefault="008F2405" w:rsidP="008F2405">
            <w:pPr>
              <w:keepNext/>
            </w:pPr>
            <w:r w:rsidRPr="008F2405">
              <w:t>Effective noise figure, N</w:t>
            </w:r>
            <w:r w:rsidRPr="008F2405">
              <w:rPr>
                <w:vertAlign w:val="subscript"/>
              </w:rPr>
              <w:t>e</w:t>
            </w:r>
            <w:r w:rsidRPr="008F2405">
              <w:t xml:space="preserve"> (dB)</w:t>
            </w:r>
          </w:p>
        </w:tc>
        <w:tc>
          <w:tcPr>
            <w:tcW w:w="1646" w:type="dxa"/>
            <w:tcBorders>
              <w:top w:val="single" w:sz="4" w:space="0" w:color="auto"/>
              <w:left w:val="single" w:sz="4" w:space="0" w:color="auto"/>
              <w:bottom w:val="single" w:sz="4" w:space="0" w:color="auto"/>
              <w:right w:val="single" w:sz="4" w:space="0" w:color="auto"/>
            </w:tcBorders>
            <w:hideMark/>
          </w:tcPr>
          <w:p w14:paraId="23AC9A6E" w14:textId="77777777" w:rsidR="008F2405" w:rsidRPr="008F2405" w:rsidRDefault="008F2405" w:rsidP="008F2405">
            <w:pPr>
              <w:keepNext/>
              <w:ind w:right="-52"/>
              <w:jc w:val="center"/>
            </w:pPr>
            <w:r w:rsidRPr="008F2405">
              <w:t>7.5</w:t>
            </w:r>
          </w:p>
        </w:tc>
        <w:tc>
          <w:tcPr>
            <w:tcW w:w="5524" w:type="dxa"/>
            <w:tcBorders>
              <w:top w:val="single" w:sz="4" w:space="0" w:color="auto"/>
              <w:left w:val="single" w:sz="4" w:space="0" w:color="auto"/>
              <w:bottom w:val="single" w:sz="4" w:space="0" w:color="auto"/>
              <w:right w:val="single" w:sz="4" w:space="0" w:color="auto"/>
            </w:tcBorders>
            <w:hideMark/>
          </w:tcPr>
          <w:p w14:paraId="2FAD43D5" w14:textId="77777777" w:rsidR="008F2405" w:rsidRPr="008F2405" w:rsidRDefault="008F2405" w:rsidP="008F2405">
            <w:pPr>
              <w:keepNext/>
            </w:pPr>
          </w:p>
        </w:tc>
      </w:tr>
      <w:tr w:rsidR="008F2405" w:rsidRPr="008F2405" w14:paraId="1EAEFF9F" w14:textId="77777777" w:rsidTr="00BF4F5D">
        <w:trPr>
          <w:jc w:val="center"/>
        </w:trPr>
        <w:tc>
          <w:tcPr>
            <w:tcW w:w="2186" w:type="dxa"/>
            <w:tcBorders>
              <w:top w:val="single" w:sz="4" w:space="0" w:color="auto"/>
              <w:left w:val="single" w:sz="4" w:space="0" w:color="auto"/>
              <w:bottom w:val="single" w:sz="4" w:space="0" w:color="auto"/>
              <w:right w:val="single" w:sz="4" w:space="0" w:color="auto"/>
            </w:tcBorders>
            <w:hideMark/>
          </w:tcPr>
          <w:p w14:paraId="7143599F" w14:textId="77777777" w:rsidR="008F2405" w:rsidRPr="008F2405" w:rsidRDefault="008F2405" w:rsidP="008F2405">
            <w:pPr>
              <w:keepNext/>
            </w:pPr>
            <w:r w:rsidRPr="008F2405">
              <w:t>OTR (dB)</w:t>
            </w:r>
          </w:p>
        </w:tc>
        <w:tc>
          <w:tcPr>
            <w:tcW w:w="1646" w:type="dxa"/>
            <w:tcBorders>
              <w:top w:val="single" w:sz="4" w:space="0" w:color="auto"/>
              <w:left w:val="single" w:sz="4" w:space="0" w:color="auto"/>
              <w:bottom w:val="single" w:sz="4" w:space="0" w:color="auto"/>
              <w:right w:val="single" w:sz="4" w:space="0" w:color="auto"/>
            </w:tcBorders>
            <w:hideMark/>
          </w:tcPr>
          <w:p w14:paraId="3FD22FDC" w14:textId="77777777" w:rsidR="008F2405" w:rsidRPr="008F2405" w:rsidRDefault="008F2405" w:rsidP="008F2405">
            <w:pPr>
              <w:keepNext/>
              <w:ind w:right="-52"/>
              <w:jc w:val="center"/>
            </w:pPr>
            <w:r w:rsidRPr="008F2405">
              <w:t>0.8</w:t>
            </w:r>
          </w:p>
        </w:tc>
        <w:tc>
          <w:tcPr>
            <w:tcW w:w="5524" w:type="dxa"/>
            <w:tcBorders>
              <w:top w:val="single" w:sz="4" w:space="0" w:color="auto"/>
              <w:left w:val="single" w:sz="4" w:space="0" w:color="auto"/>
              <w:bottom w:val="single" w:sz="4" w:space="0" w:color="auto"/>
              <w:right w:val="single" w:sz="4" w:space="0" w:color="auto"/>
            </w:tcBorders>
            <w:hideMark/>
          </w:tcPr>
          <w:p w14:paraId="7D82D193" w14:textId="77777777" w:rsidR="008F2405" w:rsidRPr="008F2405" w:rsidRDefault="008F2405" w:rsidP="008F2405">
            <w:pPr>
              <w:keepNext/>
            </w:pPr>
            <w:r w:rsidRPr="008F2405">
              <w:t>For TV into wireless, OTR = 10log</w:t>
            </w:r>
            <w:r w:rsidRPr="008F2405">
              <w:rPr>
                <w:vertAlign w:val="subscript"/>
              </w:rPr>
              <w:t>10</w:t>
            </w:r>
            <w:r w:rsidRPr="008F2405">
              <w:t>(6/5) = 0.8 dB.  Using typical 3 dB transmit signal bandwidths, 10log</w:t>
            </w:r>
            <w:r w:rsidRPr="008F2405">
              <w:rPr>
                <w:vertAlign w:val="subscript"/>
              </w:rPr>
              <w:t>10</w:t>
            </w:r>
            <w:r w:rsidRPr="008F2405">
              <w:t xml:space="preserve">(5.38/4.5) is also approximately 0.8 dB.  </w:t>
            </w:r>
          </w:p>
        </w:tc>
      </w:tr>
      <w:tr w:rsidR="008F2405" w:rsidRPr="008F2405" w14:paraId="4F68A9F7" w14:textId="77777777" w:rsidTr="00BF4F5D">
        <w:trPr>
          <w:jc w:val="center"/>
        </w:trPr>
        <w:tc>
          <w:tcPr>
            <w:tcW w:w="2186" w:type="dxa"/>
            <w:tcBorders>
              <w:top w:val="single" w:sz="4" w:space="0" w:color="auto"/>
              <w:left w:val="single" w:sz="4" w:space="0" w:color="auto"/>
              <w:bottom w:val="single" w:sz="4" w:space="0" w:color="auto"/>
              <w:right w:val="single" w:sz="4" w:space="0" w:color="auto"/>
            </w:tcBorders>
            <w:hideMark/>
          </w:tcPr>
          <w:p w14:paraId="3A913D1F" w14:textId="77777777" w:rsidR="008F2405" w:rsidRPr="008F2405" w:rsidRDefault="008F2405" w:rsidP="008F2405">
            <w:pPr>
              <w:keepNext/>
            </w:pPr>
            <w:r w:rsidRPr="008F2405">
              <w:t>OFR (dB)</w:t>
            </w:r>
          </w:p>
        </w:tc>
        <w:tc>
          <w:tcPr>
            <w:tcW w:w="1646" w:type="dxa"/>
            <w:tcBorders>
              <w:top w:val="single" w:sz="4" w:space="0" w:color="auto"/>
              <w:left w:val="single" w:sz="4" w:space="0" w:color="auto"/>
              <w:bottom w:val="single" w:sz="4" w:space="0" w:color="auto"/>
              <w:right w:val="single" w:sz="4" w:space="0" w:color="auto"/>
            </w:tcBorders>
            <w:hideMark/>
          </w:tcPr>
          <w:p w14:paraId="70E2973D" w14:textId="77777777" w:rsidR="008F2405" w:rsidRPr="008F2405" w:rsidRDefault="008F2405" w:rsidP="008F2405">
            <w:pPr>
              <w:keepNext/>
              <w:ind w:right="-52"/>
              <w:jc w:val="center"/>
            </w:pPr>
            <w:r w:rsidRPr="008F2405">
              <w:t>Varies</w:t>
            </w:r>
          </w:p>
        </w:tc>
        <w:tc>
          <w:tcPr>
            <w:tcW w:w="5524" w:type="dxa"/>
            <w:tcBorders>
              <w:top w:val="single" w:sz="4" w:space="0" w:color="auto"/>
              <w:left w:val="single" w:sz="4" w:space="0" w:color="auto"/>
              <w:bottom w:val="single" w:sz="4" w:space="0" w:color="auto"/>
              <w:right w:val="single" w:sz="4" w:space="0" w:color="auto"/>
            </w:tcBorders>
            <w:hideMark/>
          </w:tcPr>
          <w:p w14:paraId="3FD0FC37" w14:textId="77777777" w:rsidR="008F2405" w:rsidRPr="008F2405" w:rsidRDefault="008F2405" w:rsidP="008F2405">
            <w:pPr>
              <w:keepNext/>
            </w:pPr>
            <w:r w:rsidRPr="008F2405">
              <w:t xml:space="preserve">See </w:t>
            </w:r>
            <w:r w:rsidRPr="008F2405">
              <w:fldChar w:fldCharType="begin"/>
            </w:r>
            <w:r w:rsidRPr="008F2405">
              <w:instrText xml:space="preserve"> REF _Ref393712968 \h  \* MERGEFORMAT </w:instrText>
            </w:r>
            <w:r w:rsidRPr="008F2405">
              <w:fldChar w:fldCharType="separate"/>
            </w:r>
            <w:r w:rsidR="00656F50" w:rsidRPr="004E3A8D">
              <w:rPr>
                <w:szCs w:val="22"/>
              </w:rPr>
              <w:t xml:space="preserve">Table </w:t>
            </w:r>
            <w:r w:rsidR="00656F50">
              <w:rPr>
                <w:noProof/>
                <w:szCs w:val="22"/>
              </w:rPr>
              <w:t>5</w:t>
            </w:r>
            <w:r w:rsidRPr="008F2405">
              <w:fldChar w:fldCharType="end"/>
            </w:r>
          </w:p>
        </w:tc>
      </w:tr>
      <w:tr w:rsidR="008F2405" w:rsidRPr="008F2405" w14:paraId="41736746" w14:textId="77777777" w:rsidTr="00BF4F5D">
        <w:trPr>
          <w:jc w:val="center"/>
        </w:trPr>
        <w:tc>
          <w:tcPr>
            <w:tcW w:w="2186" w:type="dxa"/>
            <w:tcBorders>
              <w:top w:val="single" w:sz="4" w:space="0" w:color="auto"/>
              <w:left w:val="single" w:sz="4" w:space="0" w:color="auto"/>
              <w:bottom w:val="single" w:sz="4" w:space="0" w:color="auto"/>
              <w:right w:val="single" w:sz="4" w:space="0" w:color="auto"/>
            </w:tcBorders>
            <w:hideMark/>
          </w:tcPr>
          <w:p w14:paraId="7D4D365A" w14:textId="77777777" w:rsidR="008F2405" w:rsidRPr="008F2405" w:rsidRDefault="008F2405" w:rsidP="008F2405">
            <w:pPr>
              <w:keepNext/>
            </w:pPr>
            <w:r w:rsidRPr="008F2405">
              <w:t>HG(2) (m AGL)</w:t>
            </w:r>
          </w:p>
        </w:tc>
        <w:tc>
          <w:tcPr>
            <w:tcW w:w="1646" w:type="dxa"/>
            <w:tcBorders>
              <w:top w:val="single" w:sz="4" w:space="0" w:color="auto"/>
              <w:left w:val="single" w:sz="4" w:space="0" w:color="auto"/>
              <w:bottom w:val="single" w:sz="4" w:space="0" w:color="auto"/>
              <w:right w:val="single" w:sz="4" w:space="0" w:color="auto"/>
            </w:tcBorders>
            <w:hideMark/>
          </w:tcPr>
          <w:p w14:paraId="162B21CB" w14:textId="77777777" w:rsidR="008F2405" w:rsidRPr="008F2405" w:rsidRDefault="008F2405" w:rsidP="008F2405">
            <w:pPr>
              <w:keepNext/>
              <w:ind w:right="-52"/>
              <w:jc w:val="center"/>
            </w:pPr>
            <w:r w:rsidRPr="008F2405">
              <w:t>1.5</w:t>
            </w:r>
          </w:p>
        </w:tc>
        <w:tc>
          <w:tcPr>
            <w:tcW w:w="5524" w:type="dxa"/>
            <w:tcBorders>
              <w:top w:val="single" w:sz="4" w:space="0" w:color="auto"/>
              <w:left w:val="single" w:sz="4" w:space="0" w:color="auto"/>
              <w:bottom w:val="single" w:sz="4" w:space="0" w:color="auto"/>
              <w:right w:val="single" w:sz="4" w:space="0" w:color="auto"/>
            </w:tcBorders>
            <w:hideMark/>
          </w:tcPr>
          <w:p w14:paraId="0FBC2F68" w14:textId="77777777" w:rsidR="008F2405" w:rsidRPr="008F2405" w:rsidRDefault="008F2405" w:rsidP="008F2405">
            <w:r w:rsidRPr="008F2405">
              <w:t>Assume 1.5 m height for user equipment receiver.</w:t>
            </w:r>
          </w:p>
        </w:tc>
      </w:tr>
    </w:tbl>
    <w:p w14:paraId="034DAEA4" w14:textId="77777777" w:rsidR="008F2405" w:rsidRPr="004E3A8D" w:rsidRDefault="008F2405" w:rsidP="006A744E">
      <w:pPr>
        <w:spacing w:before="120" w:after="240"/>
        <w:jc w:val="center"/>
        <w:rPr>
          <w:szCs w:val="22"/>
        </w:rPr>
      </w:pPr>
      <w:bookmarkStart w:id="861" w:name="_Ref393704790"/>
      <w:r w:rsidRPr="004E3A8D">
        <w:rPr>
          <w:szCs w:val="22"/>
        </w:rPr>
        <w:t xml:space="preserve">Table </w:t>
      </w:r>
      <w:r w:rsidRPr="004E3A8D">
        <w:rPr>
          <w:szCs w:val="22"/>
        </w:rPr>
        <w:fldChar w:fldCharType="begin"/>
      </w:r>
      <w:r w:rsidRPr="004E3A8D">
        <w:rPr>
          <w:szCs w:val="22"/>
        </w:rPr>
        <w:instrText xml:space="preserve"> SEQ Table \* ARABIC </w:instrText>
      </w:r>
      <w:r w:rsidRPr="004E3A8D">
        <w:rPr>
          <w:szCs w:val="22"/>
        </w:rPr>
        <w:fldChar w:fldCharType="separate"/>
      </w:r>
      <w:r w:rsidR="00656F50">
        <w:rPr>
          <w:noProof/>
          <w:szCs w:val="22"/>
        </w:rPr>
        <w:t>4</w:t>
      </w:r>
      <w:r w:rsidRPr="004E3A8D">
        <w:rPr>
          <w:szCs w:val="22"/>
        </w:rPr>
        <w:fldChar w:fldCharType="end"/>
      </w:r>
      <w:bookmarkEnd w:id="861"/>
      <w:r w:rsidRPr="004E3A8D">
        <w:rPr>
          <w:szCs w:val="22"/>
        </w:rPr>
        <w:t>.  Wireless user equipment receiver technical parameters</w:t>
      </w:r>
    </w:p>
    <w:p w14:paraId="5631849F" w14:textId="77777777" w:rsidR="008F2405" w:rsidRPr="008F2405" w:rsidRDefault="008F2405" w:rsidP="006A744E">
      <w:pPr>
        <w:spacing w:after="120"/>
      </w:pPr>
      <w:r w:rsidRPr="008F2405">
        <w:t>The values of OFR were derived using NTIA’s MSAM FDR computer program,</w:t>
      </w:r>
      <w:bookmarkStart w:id="862" w:name="_Ref398032673"/>
      <w:r w:rsidRPr="008F2405">
        <w:rPr>
          <w:sz w:val="20"/>
          <w:vertAlign w:val="superscript"/>
        </w:rPr>
        <w:footnoteReference w:id="291"/>
      </w:r>
      <w:bookmarkEnd w:id="862"/>
      <w:r w:rsidRPr="008F2405">
        <w:t xml:space="preserve"> with FCC’s emission limits for 600 MHz wireless,</w:t>
      </w:r>
      <w:r w:rsidRPr="008F2405">
        <w:rPr>
          <w:sz w:val="20"/>
          <w:vertAlign w:val="superscript"/>
        </w:rPr>
        <w:footnoteReference w:id="292"/>
      </w:r>
      <w:r w:rsidRPr="008F2405">
        <w:t xml:space="preserve"> and DTV receiver performance standards published by ATSC.</w:t>
      </w:r>
      <w:r w:rsidRPr="008F2405">
        <w:rPr>
          <w:sz w:val="20"/>
          <w:vertAlign w:val="superscript"/>
        </w:rPr>
        <w:footnoteReference w:id="293"/>
      </w:r>
      <w:r w:rsidRPr="008F2405">
        <w:t xml:space="preserve">  The results are provided in </w:t>
      </w:r>
      <w:r w:rsidRPr="008F2405">
        <w:fldChar w:fldCharType="begin"/>
      </w:r>
      <w:r w:rsidRPr="008F2405">
        <w:instrText xml:space="preserve"> REF _Ref393712968 \h </w:instrText>
      </w:r>
      <w:r w:rsidRPr="008F2405">
        <w:fldChar w:fldCharType="separate"/>
      </w:r>
      <w:r w:rsidR="00656F50" w:rsidRPr="004E3A8D">
        <w:rPr>
          <w:szCs w:val="22"/>
        </w:rPr>
        <w:t xml:space="preserve">Table </w:t>
      </w:r>
      <w:r w:rsidR="00656F50">
        <w:rPr>
          <w:noProof/>
          <w:szCs w:val="22"/>
        </w:rPr>
        <w:t>5</w:t>
      </w:r>
      <w:r w:rsidRPr="008F2405">
        <w:fldChar w:fldCharType="end"/>
      </w:r>
      <w:r w:rsidRPr="008F240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434"/>
        <w:gridCol w:w="491"/>
        <w:gridCol w:w="491"/>
        <w:gridCol w:w="491"/>
        <w:gridCol w:w="491"/>
        <w:gridCol w:w="601"/>
        <w:gridCol w:w="601"/>
        <w:gridCol w:w="601"/>
        <w:gridCol w:w="601"/>
        <w:gridCol w:w="601"/>
        <w:gridCol w:w="601"/>
      </w:tblGrid>
      <w:tr w:rsidR="008F2405" w:rsidRPr="008F2405" w14:paraId="1BE6A539" w14:textId="77777777" w:rsidTr="00BF4F5D">
        <w:trPr>
          <w:cantSplit/>
          <w:jc w:val="center"/>
        </w:trPr>
        <w:tc>
          <w:tcPr>
            <w:tcW w:w="2474" w:type="dxa"/>
            <w:tcBorders>
              <w:top w:val="single" w:sz="4" w:space="0" w:color="auto"/>
              <w:left w:val="single" w:sz="4" w:space="0" w:color="auto"/>
              <w:bottom w:val="single" w:sz="4" w:space="0" w:color="auto"/>
              <w:right w:val="single" w:sz="4" w:space="0" w:color="auto"/>
              <w:tl2br w:val="single" w:sz="4" w:space="0" w:color="auto"/>
            </w:tcBorders>
            <w:shd w:val="clear" w:color="auto" w:fill="E0E0E0"/>
            <w:vAlign w:val="center"/>
            <w:hideMark/>
          </w:tcPr>
          <w:p w14:paraId="44B9A6B3" w14:textId="77777777" w:rsidR="008F2405" w:rsidRPr="008F2405" w:rsidRDefault="008F2405" w:rsidP="008F2405">
            <w:pPr>
              <w:keepNext/>
              <w:jc w:val="right"/>
              <w:rPr>
                <w:sz w:val="20"/>
              </w:rPr>
            </w:pPr>
            <w:r w:rsidRPr="008F2405">
              <w:rPr>
                <w:sz w:val="20"/>
              </w:rPr>
              <w:t>Overlap in MHz</w:t>
            </w:r>
          </w:p>
          <w:p w14:paraId="213CF0D4" w14:textId="77777777" w:rsidR="008F2405" w:rsidRPr="008F2405" w:rsidRDefault="008F2405" w:rsidP="008F2405">
            <w:pPr>
              <w:keepNext/>
              <w:rPr>
                <w:sz w:val="20"/>
              </w:rPr>
            </w:pPr>
            <w:r w:rsidRPr="008F2405">
              <w:rPr>
                <w:sz w:val="20"/>
              </w:rPr>
              <w:t>OFR (dB)</w:t>
            </w:r>
          </w:p>
        </w:tc>
        <w:tc>
          <w:tcPr>
            <w:tcW w:w="43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9EFB9A7" w14:textId="77777777" w:rsidR="008F2405" w:rsidRPr="008F2405" w:rsidRDefault="008F2405" w:rsidP="008F2405">
            <w:pPr>
              <w:jc w:val="center"/>
              <w:rPr>
                <w:sz w:val="20"/>
              </w:rPr>
            </w:pPr>
            <w:r w:rsidRPr="008F2405">
              <w:rPr>
                <w:sz w:val="20"/>
              </w:rPr>
              <w:t>5</w:t>
            </w:r>
          </w:p>
        </w:tc>
        <w:tc>
          <w:tcPr>
            <w:tcW w:w="49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CB1FDD5" w14:textId="77777777" w:rsidR="008F2405" w:rsidRPr="008F2405" w:rsidRDefault="008F2405" w:rsidP="008F2405">
            <w:pPr>
              <w:jc w:val="center"/>
              <w:rPr>
                <w:sz w:val="20"/>
              </w:rPr>
            </w:pPr>
            <w:r w:rsidRPr="008F2405">
              <w:rPr>
                <w:sz w:val="20"/>
              </w:rPr>
              <w:t>4</w:t>
            </w:r>
          </w:p>
        </w:tc>
        <w:tc>
          <w:tcPr>
            <w:tcW w:w="49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36396C5" w14:textId="77777777" w:rsidR="008F2405" w:rsidRPr="008F2405" w:rsidRDefault="008F2405" w:rsidP="008F2405">
            <w:pPr>
              <w:jc w:val="center"/>
              <w:rPr>
                <w:sz w:val="20"/>
              </w:rPr>
            </w:pPr>
            <w:r w:rsidRPr="008F2405">
              <w:rPr>
                <w:sz w:val="20"/>
              </w:rPr>
              <w:t>3</w:t>
            </w:r>
          </w:p>
        </w:tc>
        <w:tc>
          <w:tcPr>
            <w:tcW w:w="49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E9BB47E" w14:textId="77777777" w:rsidR="008F2405" w:rsidRPr="008F2405" w:rsidRDefault="008F2405" w:rsidP="008F2405">
            <w:pPr>
              <w:jc w:val="center"/>
              <w:rPr>
                <w:sz w:val="20"/>
              </w:rPr>
            </w:pPr>
            <w:r w:rsidRPr="008F2405">
              <w:rPr>
                <w:sz w:val="20"/>
              </w:rPr>
              <w:t>2</w:t>
            </w:r>
          </w:p>
        </w:tc>
        <w:tc>
          <w:tcPr>
            <w:tcW w:w="49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683710" w14:textId="77777777" w:rsidR="008F2405" w:rsidRPr="008F2405" w:rsidRDefault="008F2405" w:rsidP="008F2405">
            <w:pPr>
              <w:jc w:val="center"/>
              <w:rPr>
                <w:sz w:val="20"/>
              </w:rPr>
            </w:pPr>
            <w:r w:rsidRPr="008F2405">
              <w:rPr>
                <w:sz w:val="20"/>
              </w:rPr>
              <w:t>1</w:t>
            </w:r>
          </w:p>
        </w:tc>
        <w:tc>
          <w:tcPr>
            <w:tcW w:w="6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15533A" w14:textId="77777777" w:rsidR="008F2405" w:rsidRPr="008F2405" w:rsidRDefault="008F2405" w:rsidP="008F2405">
            <w:pPr>
              <w:jc w:val="center"/>
              <w:rPr>
                <w:sz w:val="20"/>
              </w:rPr>
            </w:pPr>
            <w:r w:rsidRPr="008F2405">
              <w:rPr>
                <w:sz w:val="20"/>
              </w:rPr>
              <w:t>0</w:t>
            </w:r>
          </w:p>
        </w:tc>
        <w:tc>
          <w:tcPr>
            <w:tcW w:w="6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826BFEC" w14:textId="77777777" w:rsidR="008F2405" w:rsidRPr="008F2405" w:rsidRDefault="008F2405" w:rsidP="008F2405">
            <w:pPr>
              <w:jc w:val="center"/>
              <w:rPr>
                <w:sz w:val="20"/>
              </w:rPr>
            </w:pPr>
            <w:r w:rsidRPr="008F2405">
              <w:rPr>
                <w:sz w:val="20"/>
              </w:rPr>
              <w:t>-1</w:t>
            </w:r>
          </w:p>
        </w:tc>
        <w:tc>
          <w:tcPr>
            <w:tcW w:w="6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19D9122" w14:textId="77777777" w:rsidR="008F2405" w:rsidRPr="008F2405" w:rsidRDefault="008F2405" w:rsidP="008F2405">
            <w:pPr>
              <w:jc w:val="center"/>
              <w:rPr>
                <w:sz w:val="20"/>
              </w:rPr>
            </w:pPr>
            <w:r w:rsidRPr="008F2405">
              <w:rPr>
                <w:sz w:val="20"/>
              </w:rPr>
              <w:t>-2</w:t>
            </w:r>
          </w:p>
        </w:tc>
        <w:tc>
          <w:tcPr>
            <w:tcW w:w="6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4D59B5F" w14:textId="77777777" w:rsidR="008F2405" w:rsidRPr="008F2405" w:rsidRDefault="008F2405" w:rsidP="008F2405">
            <w:pPr>
              <w:jc w:val="center"/>
              <w:rPr>
                <w:sz w:val="20"/>
              </w:rPr>
            </w:pPr>
            <w:r w:rsidRPr="008F2405">
              <w:rPr>
                <w:sz w:val="20"/>
              </w:rPr>
              <w:t>-3</w:t>
            </w:r>
          </w:p>
        </w:tc>
        <w:tc>
          <w:tcPr>
            <w:tcW w:w="6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B65313" w14:textId="77777777" w:rsidR="008F2405" w:rsidRPr="008F2405" w:rsidRDefault="008F2405" w:rsidP="008F2405">
            <w:pPr>
              <w:jc w:val="center"/>
              <w:rPr>
                <w:sz w:val="20"/>
              </w:rPr>
            </w:pPr>
            <w:r w:rsidRPr="008F2405">
              <w:rPr>
                <w:sz w:val="20"/>
              </w:rPr>
              <w:t>-4</w:t>
            </w:r>
          </w:p>
        </w:tc>
        <w:tc>
          <w:tcPr>
            <w:tcW w:w="6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A9D9EEC" w14:textId="77777777" w:rsidR="008F2405" w:rsidRPr="008F2405" w:rsidRDefault="008F2405" w:rsidP="008F2405">
            <w:pPr>
              <w:jc w:val="center"/>
              <w:rPr>
                <w:sz w:val="20"/>
              </w:rPr>
            </w:pPr>
            <w:r w:rsidRPr="008F2405">
              <w:rPr>
                <w:sz w:val="20"/>
              </w:rPr>
              <w:t>-5</w:t>
            </w:r>
          </w:p>
        </w:tc>
      </w:tr>
      <w:tr w:rsidR="008F2405" w:rsidRPr="008F2405" w14:paraId="09404188" w14:textId="77777777" w:rsidTr="00BF4F5D">
        <w:trPr>
          <w:cantSplit/>
          <w:jc w:val="center"/>
        </w:trPr>
        <w:tc>
          <w:tcPr>
            <w:tcW w:w="2474" w:type="dxa"/>
            <w:tcBorders>
              <w:top w:val="single" w:sz="4" w:space="0" w:color="auto"/>
              <w:left w:val="single" w:sz="4" w:space="0" w:color="auto"/>
              <w:bottom w:val="single" w:sz="4" w:space="0" w:color="auto"/>
              <w:right w:val="single" w:sz="4" w:space="0" w:color="auto"/>
            </w:tcBorders>
            <w:vAlign w:val="center"/>
            <w:hideMark/>
          </w:tcPr>
          <w:p w14:paraId="7A5D2BE2" w14:textId="77777777" w:rsidR="008F2405" w:rsidRPr="008F2405" w:rsidRDefault="008F2405" w:rsidP="008F2405">
            <w:pPr>
              <w:keepNext/>
            </w:pPr>
            <w:r w:rsidRPr="008F2405">
              <w:t>DTV into Wireless Uplink</w:t>
            </w:r>
          </w:p>
        </w:tc>
        <w:tc>
          <w:tcPr>
            <w:tcW w:w="434" w:type="dxa"/>
            <w:tcBorders>
              <w:top w:val="single" w:sz="4" w:space="0" w:color="auto"/>
              <w:left w:val="single" w:sz="4" w:space="0" w:color="auto"/>
              <w:bottom w:val="single" w:sz="4" w:space="0" w:color="auto"/>
              <w:right w:val="single" w:sz="4" w:space="0" w:color="auto"/>
            </w:tcBorders>
            <w:vAlign w:val="center"/>
            <w:hideMark/>
          </w:tcPr>
          <w:p w14:paraId="6369756F" w14:textId="77777777" w:rsidR="008F2405" w:rsidRPr="008F2405" w:rsidRDefault="008F2405" w:rsidP="008F2405">
            <w:pPr>
              <w:jc w:val="center"/>
            </w:pPr>
            <w:r w:rsidRPr="008F2405">
              <w:t>0</w:t>
            </w:r>
          </w:p>
        </w:tc>
        <w:tc>
          <w:tcPr>
            <w:tcW w:w="491" w:type="dxa"/>
            <w:tcBorders>
              <w:top w:val="single" w:sz="4" w:space="0" w:color="auto"/>
              <w:left w:val="single" w:sz="4" w:space="0" w:color="auto"/>
              <w:bottom w:val="single" w:sz="4" w:space="0" w:color="auto"/>
              <w:right w:val="single" w:sz="4" w:space="0" w:color="auto"/>
            </w:tcBorders>
            <w:vAlign w:val="center"/>
            <w:hideMark/>
          </w:tcPr>
          <w:p w14:paraId="5FCB18BC" w14:textId="77777777" w:rsidR="008F2405" w:rsidRPr="008F2405" w:rsidRDefault="008F2405" w:rsidP="008F2405">
            <w:pPr>
              <w:jc w:val="center"/>
            </w:pPr>
            <w:r w:rsidRPr="008F2405">
              <w:t>0.9</w:t>
            </w:r>
          </w:p>
        </w:tc>
        <w:tc>
          <w:tcPr>
            <w:tcW w:w="491" w:type="dxa"/>
            <w:tcBorders>
              <w:top w:val="single" w:sz="4" w:space="0" w:color="auto"/>
              <w:left w:val="single" w:sz="4" w:space="0" w:color="auto"/>
              <w:bottom w:val="single" w:sz="4" w:space="0" w:color="auto"/>
              <w:right w:val="single" w:sz="4" w:space="0" w:color="auto"/>
            </w:tcBorders>
            <w:vAlign w:val="center"/>
            <w:hideMark/>
          </w:tcPr>
          <w:p w14:paraId="0D80D657" w14:textId="77777777" w:rsidR="008F2405" w:rsidRPr="008F2405" w:rsidRDefault="008F2405" w:rsidP="008F2405">
            <w:pPr>
              <w:jc w:val="center"/>
            </w:pPr>
            <w:r w:rsidRPr="008F2405">
              <w:t>2.2</w:t>
            </w:r>
          </w:p>
        </w:tc>
        <w:tc>
          <w:tcPr>
            <w:tcW w:w="491" w:type="dxa"/>
            <w:tcBorders>
              <w:top w:val="single" w:sz="4" w:space="0" w:color="auto"/>
              <w:left w:val="single" w:sz="4" w:space="0" w:color="auto"/>
              <w:bottom w:val="single" w:sz="4" w:space="0" w:color="auto"/>
              <w:right w:val="single" w:sz="4" w:space="0" w:color="auto"/>
            </w:tcBorders>
            <w:vAlign w:val="center"/>
            <w:hideMark/>
          </w:tcPr>
          <w:p w14:paraId="22AB8C9E" w14:textId="77777777" w:rsidR="008F2405" w:rsidRPr="008F2405" w:rsidRDefault="008F2405" w:rsidP="008F2405">
            <w:pPr>
              <w:jc w:val="center"/>
            </w:pPr>
            <w:r w:rsidRPr="008F2405">
              <w:t>3.9</w:t>
            </w:r>
          </w:p>
        </w:tc>
        <w:tc>
          <w:tcPr>
            <w:tcW w:w="491" w:type="dxa"/>
            <w:tcBorders>
              <w:top w:val="single" w:sz="4" w:space="0" w:color="auto"/>
              <w:left w:val="single" w:sz="4" w:space="0" w:color="auto"/>
              <w:bottom w:val="single" w:sz="4" w:space="0" w:color="auto"/>
              <w:right w:val="single" w:sz="4" w:space="0" w:color="auto"/>
            </w:tcBorders>
            <w:vAlign w:val="center"/>
            <w:hideMark/>
          </w:tcPr>
          <w:p w14:paraId="2A3E480A" w14:textId="77777777" w:rsidR="008F2405" w:rsidRPr="008F2405" w:rsidRDefault="008F2405" w:rsidP="008F2405">
            <w:pPr>
              <w:jc w:val="center"/>
            </w:pPr>
            <w:r w:rsidRPr="008F2405">
              <w:t>6.7</w:t>
            </w:r>
          </w:p>
        </w:tc>
        <w:tc>
          <w:tcPr>
            <w:tcW w:w="601" w:type="dxa"/>
            <w:tcBorders>
              <w:top w:val="single" w:sz="4" w:space="0" w:color="auto"/>
              <w:left w:val="single" w:sz="4" w:space="0" w:color="auto"/>
              <w:bottom w:val="single" w:sz="4" w:space="0" w:color="auto"/>
              <w:right w:val="single" w:sz="4" w:space="0" w:color="auto"/>
            </w:tcBorders>
            <w:vAlign w:val="center"/>
            <w:hideMark/>
          </w:tcPr>
          <w:p w14:paraId="325E7BC7" w14:textId="77777777" w:rsidR="008F2405" w:rsidRPr="008F2405" w:rsidRDefault="008F2405" w:rsidP="008F2405">
            <w:pPr>
              <w:jc w:val="center"/>
            </w:pPr>
            <w:r w:rsidRPr="008F2405">
              <w:t>17.1</w:t>
            </w:r>
          </w:p>
        </w:tc>
        <w:tc>
          <w:tcPr>
            <w:tcW w:w="601" w:type="dxa"/>
            <w:tcBorders>
              <w:top w:val="single" w:sz="4" w:space="0" w:color="auto"/>
              <w:left w:val="single" w:sz="4" w:space="0" w:color="auto"/>
              <w:bottom w:val="single" w:sz="4" w:space="0" w:color="auto"/>
              <w:right w:val="single" w:sz="4" w:space="0" w:color="auto"/>
            </w:tcBorders>
            <w:vAlign w:val="center"/>
            <w:hideMark/>
          </w:tcPr>
          <w:p w14:paraId="6DBF5A75" w14:textId="77777777" w:rsidR="008F2405" w:rsidRPr="008F2405" w:rsidRDefault="008F2405" w:rsidP="008F2405">
            <w:pPr>
              <w:jc w:val="center"/>
            </w:pPr>
            <w:r w:rsidRPr="008F2405">
              <w:t>44.1</w:t>
            </w:r>
          </w:p>
        </w:tc>
        <w:tc>
          <w:tcPr>
            <w:tcW w:w="601" w:type="dxa"/>
            <w:tcBorders>
              <w:top w:val="single" w:sz="4" w:space="0" w:color="auto"/>
              <w:left w:val="single" w:sz="4" w:space="0" w:color="auto"/>
              <w:bottom w:val="single" w:sz="4" w:space="0" w:color="auto"/>
              <w:right w:val="single" w:sz="4" w:space="0" w:color="auto"/>
            </w:tcBorders>
            <w:vAlign w:val="center"/>
            <w:hideMark/>
          </w:tcPr>
          <w:p w14:paraId="60FE1A30" w14:textId="77777777" w:rsidR="008F2405" w:rsidRPr="008F2405" w:rsidRDefault="008F2405" w:rsidP="008F2405">
            <w:pPr>
              <w:jc w:val="center"/>
            </w:pPr>
            <w:r w:rsidRPr="008F2405">
              <w:t>45.2</w:t>
            </w:r>
          </w:p>
        </w:tc>
        <w:tc>
          <w:tcPr>
            <w:tcW w:w="601" w:type="dxa"/>
            <w:tcBorders>
              <w:top w:val="single" w:sz="4" w:space="0" w:color="auto"/>
              <w:left w:val="single" w:sz="4" w:space="0" w:color="auto"/>
              <w:bottom w:val="single" w:sz="4" w:space="0" w:color="auto"/>
              <w:right w:val="single" w:sz="4" w:space="0" w:color="auto"/>
            </w:tcBorders>
            <w:vAlign w:val="center"/>
            <w:hideMark/>
          </w:tcPr>
          <w:p w14:paraId="0F3F7BA2" w14:textId="77777777" w:rsidR="008F2405" w:rsidRPr="008F2405" w:rsidRDefault="008F2405" w:rsidP="008F2405">
            <w:pPr>
              <w:jc w:val="center"/>
            </w:pPr>
            <w:r w:rsidRPr="008F2405">
              <w:t>46.4</w:t>
            </w:r>
          </w:p>
        </w:tc>
        <w:tc>
          <w:tcPr>
            <w:tcW w:w="601" w:type="dxa"/>
            <w:tcBorders>
              <w:top w:val="single" w:sz="4" w:space="0" w:color="auto"/>
              <w:left w:val="single" w:sz="4" w:space="0" w:color="auto"/>
              <w:bottom w:val="single" w:sz="4" w:space="0" w:color="auto"/>
              <w:right w:val="single" w:sz="4" w:space="0" w:color="auto"/>
            </w:tcBorders>
            <w:vAlign w:val="center"/>
            <w:hideMark/>
          </w:tcPr>
          <w:p w14:paraId="1176A150" w14:textId="77777777" w:rsidR="008F2405" w:rsidRPr="008F2405" w:rsidRDefault="008F2405" w:rsidP="008F2405">
            <w:pPr>
              <w:jc w:val="center"/>
            </w:pPr>
            <w:r w:rsidRPr="008F2405">
              <w:t>48.2</w:t>
            </w:r>
          </w:p>
        </w:tc>
        <w:tc>
          <w:tcPr>
            <w:tcW w:w="601" w:type="dxa"/>
            <w:tcBorders>
              <w:top w:val="single" w:sz="4" w:space="0" w:color="auto"/>
              <w:left w:val="single" w:sz="4" w:space="0" w:color="auto"/>
              <w:bottom w:val="single" w:sz="4" w:space="0" w:color="auto"/>
              <w:right w:val="single" w:sz="4" w:space="0" w:color="auto"/>
            </w:tcBorders>
            <w:vAlign w:val="center"/>
            <w:hideMark/>
          </w:tcPr>
          <w:p w14:paraId="0F173B07" w14:textId="77777777" w:rsidR="008F2405" w:rsidRPr="008F2405" w:rsidRDefault="008F2405" w:rsidP="008F2405">
            <w:pPr>
              <w:jc w:val="center"/>
            </w:pPr>
            <w:r w:rsidRPr="008F2405">
              <w:t>51.3</w:t>
            </w:r>
          </w:p>
        </w:tc>
      </w:tr>
      <w:tr w:rsidR="008F2405" w:rsidRPr="008F2405" w14:paraId="23269D10" w14:textId="77777777" w:rsidTr="00BF4F5D">
        <w:trPr>
          <w:cantSplit/>
          <w:jc w:val="center"/>
        </w:trPr>
        <w:tc>
          <w:tcPr>
            <w:tcW w:w="2474" w:type="dxa"/>
            <w:tcBorders>
              <w:top w:val="single" w:sz="4" w:space="0" w:color="auto"/>
              <w:left w:val="single" w:sz="4" w:space="0" w:color="auto"/>
              <w:bottom w:val="single" w:sz="4" w:space="0" w:color="auto"/>
              <w:right w:val="single" w:sz="4" w:space="0" w:color="auto"/>
            </w:tcBorders>
            <w:vAlign w:val="center"/>
            <w:hideMark/>
          </w:tcPr>
          <w:p w14:paraId="011EA48D" w14:textId="77777777" w:rsidR="008F2405" w:rsidRPr="008F2405" w:rsidRDefault="008F2405" w:rsidP="008F2405">
            <w:pPr>
              <w:keepNext/>
            </w:pPr>
            <w:r w:rsidRPr="008F2405">
              <w:t>DTV into Wireless Downlink</w:t>
            </w:r>
          </w:p>
        </w:tc>
        <w:tc>
          <w:tcPr>
            <w:tcW w:w="434" w:type="dxa"/>
            <w:tcBorders>
              <w:top w:val="single" w:sz="4" w:space="0" w:color="auto"/>
              <w:left w:val="single" w:sz="4" w:space="0" w:color="auto"/>
              <w:bottom w:val="single" w:sz="4" w:space="0" w:color="auto"/>
              <w:right w:val="single" w:sz="4" w:space="0" w:color="auto"/>
            </w:tcBorders>
            <w:vAlign w:val="center"/>
            <w:hideMark/>
          </w:tcPr>
          <w:p w14:paraId="0F9B53CC" w14:textId="77777777" w:rsidR="008F2405" w:rsidRPr="008F2405" w:rsidRDefault="008F2405" w:rsidP="008F2405">
            <w:pPr>
              <w:jc w:val="center"/>
            </w:pPr>
            <w:r w:rsidRPr="008F2405">
              <w:t>0</w:t>
            </w:r>
          </w:p>
        </w:tc>
        <w:tc>
          <w:tcPr>
            <w:tcW w:w="491" w:type="dxa"/>
            <w:tcBorders>
              <w:top w:val="single" w:sz="4" w:space="0" w:color="auto"/>
              <w:left w:val="single" w:sz="4" w:space="0" w:color="auto"/>
              <w:bottom w:val="single" w:sz="4" w:space="0" w:color="auto"/>
              <w:right w:val="single" w:sz="4" w:space="0" w:color="auto"/>
            </w:tcBorders>
            <w:vAlign w:val="center"/>
            <w:hideMark/>
          </w:tcPr>
          <w:p w14:paraId="54EA70C8" w14:textId="77777777" w:rsidR="008F2405" w:rsidRPr="008F2405" w:rsidRDefault="008F2405" w:rsidP="008F2405">
            <w:pPr>
              <w:jc w:val="center"/>
            </w:pPr>
            <w:r w:rsidRPr="008F2405">
              <w:t>0.9</w:t>
            </w:r>
          </w:p>
        </w:tc>
        <w:tc>
          <w:tcPr>
            <w:tcW w:w="491" w:type="dxa"/>
            <w:tcBorders>
              <w:top w:val="single" w:sz="4" w:space="0" w:color="auto"/>
              <w:left w:val="single" w:sz="4" w:space="0" w:color="auto"/>
              <w:bottom w:val="single" w:sz="4" w:space="0" w:color="auto"/>
              <w:right w:val="single" w:sz="4" w:space="0" w:color="auto"/>
            </w:tcBorders>
            <w:vAlign w:val="center"/>
            <w:hideMark/>
          </w:tcPr>
          <w:p w14:paraId="40F58C6C" w14:textId="77777777" w:rsidR="008F2405" w:rsidRPr="008F2405" w:rsidRDefault="008F2405" w:rsidP="008F2405">
            <w:pPr>
              <w:jc w:val="center"/>
            </w:pPr>
            <w:r w:rsidRPr="008F2405">
              <w:t>2.2</w:t>
            </w:r>
          </w:p>
        </w:tc>
        <w:tc>
          <w:tcPr>
            <w:tcW w:w="491" w:type="dxa"/>
            <w:tcBorders>
              <w:top w:val="single" w:sz="4" w:space="0" w:color="auto"/>
              <w:left w:val="single" w:sz="4" w:space="0" w:color="auto"/>
              <w:bottom w:val="single" w:sz="4" w:space="0" w:color="auto"/>
              <w:right w:val="single" w:sz="4" w:space="0" w:color="auto"/>
            </w:tcBorders>
            <w:vAlign w:val="center"/>
            <w:hideMark/>
          </w:tcPr>
          <w:p w14:paraId="2718F2A3" w14:textId="77777777" w:rsidR="008F2405" w:rsidRPr="008F2405" w:rsidRDefault="008F2405" w:rsidP="008F2405">
            <w:pPr>
              <w:jc w:val="center"/>
            </w:pPr>
            <w:r w:rsidRPr="008F2405">
              <w:t>3.8</w:t>
            </w:r>
          </w:p>
        </w:tc>
        <w:tc>
          <w:tcPr>
            <w:tcW w:w="491" w:type="dxa"/>
            <w:tcBorders>
              <w:top w:val="single" w:sz="4" w:space="0" w:color="auto"/>
              <w:left w:val="single" w:sz="4" w:space="0" w:color="auto"/>
              <w:bottom w:val="single" w:sz="4" w:space="0" w:color="auto"/>
              <w:right w:val="single" w:sz="4" w:space="0" w:color="auto"/>
            </w:tcBorders>
            <w:vAlign w:val="center"/>
            <w:hideMark/>
          </w:tcPr>
          <w:p w14:paraId="0321242C" w14:textId="77777777" w:rsidR="008F2405" w:rsidRPr="008F2405" w:rsidRDefault="008F2405" w:rsidP="008F2405">
            <w:pPr>
              <w:jc w:val="center"/>
            </w:pPr>
            <w:r w:rsidRPr="008F2405">
              <w:t>6.6</w:t>
            </w:r>
          </w:p>
        </w:tc>
        <w:tc>
          <w:tcPr>
            <w:tcW w:w="601" w:type="dxa"/>
            <w:tcBorders>
              <w:top w:val="single" w:sz="4" w:space="0" w:color="auto"/>
              <w:left w:val="single" w:sz="4" w:space="0" w:color="auto"/>
              <w:bottom w:val="single" w:sz="4" w:space="0" w:color="auto"/>
              <w:right w:val="single" w:sz="4" w:space="0" w:color="auto"/>
            </w:tcBorders>
            <w:vAlign w:val="center"/>
            <w:hideMark/>
          </w:tcPr>
          <w:p w14:paraId="29754E01" w14:textId="77777777" w:rsidR="008F2405" w:rsidRPr="008F2405" w:rsidRDefault="008F2405" w:rsidP="008F2405">
            <w:pPr>
              <w:keepNext/>
              <w:jc w:val="center"/>
            </w:pPr>
            <w:r w:rsidRPr="008F2405">
              <w:t>16.9</w:t>
            </w:r>
          </w:p>
        </w:tc>
        <w:tc>
          <w:tcPr>
            <w:tcW w:w="601" w:type="dxa"/>
            <w:tcBorders>
              <w:top w:val="single" w:sz="4" w:space="0" w:color="auto"/>
              <w:left w:val="single" w:sz="4" w:space="0" w:color="auto"/>
              <w:bottom w:val="single" w:sz="4" w:space="0" w:color="auto"/>
              <w:right w:val="single" w:sz="4" w:space="0" w:color="auto"/>
            </w:tcBorders>
            <w:vAlign w:val="center"/>
            <w:hideMark/>
          </w:tcPr>
          <w:p w14:paraId="143E41AD" w14:textId="77777777" w:rsidR="008F2405" w:rsidRPr="008F2405" w:rsidRDefault="008F2405" w:rsidP="008F2405">
            <w:pPr>
              <w:jc w:val="center"/>
            </w:pPr>
            <w:r w:rsidRPr="008F2405">
              <w:t>32</w:t>
            </w:r>
          </w:p>
        </w:tc>
        <w:tc>
          <w:tcPr>
            <w:tcW w:w="601" w:type="dxa"/>
            <w:tcBorders>
              <w:top w:val="single" w:sz="4" w:space="0" w:color="auto"/>
              <w:left w:val="single" w:sz="4" w:space="0" w:color="auto"/>
              <w:bottom w:val="single" w:sz="4" w:space="0" w:color="auto"/>
              <w:right w:val="single" w:sz="4" w:space="0" w:color="auto"/>
            </w:tcBorders>
            <w:vAlign w:val="center"/>
            <w:hideMark/>
          </w:tcPr>
          <w:p w14:paraId="336A5500" w14:textId="77777777" w:rsidR="008F2405" w:rsidRPr="008F2405" w:rsidRDefault="008F2405" w:rsidP="008F2405">
            <w:pPr>
              <w:jc w:val="center"/>
            </w:pPr>
            <w:r w:rsidRPr="008F2405">
              <w:t>32.8</w:t>
            </w:r>
          </w:p>
        </w:tc>
        <w:tc>
          <w:tcPr>
            <w:tcW w:w="601" w:type="dxa"/>
            <w:tcBorders>
              <w:top w:val="single" w:sz="4" w:space="0" w:color="auto"/>
              <w:left w:val="single" w:sz="4" w:space="0" w:color="auto"/>
              <w:bottom w:val="single" w:sz="4" w:space="0" w:color="auto"/>
              <w:right w:val="single" w:sz="4" w:space="0" w:color="auto"/>
            </w:tcBorders>
            <w:vAlign w:val="center"/>
            <w:hideMark/>
          </w:tcPr>
          <w:p w14:paraId="114BC1F6" w14:textId="77777777" w:rsidR="008F2405" w:rsidRPr="008F2405" w:rsidRDefault="008F2405" w:rsidP="008F2405">
            <w:pPr>
              <w:jc w:val="center"/>
            </w:pPr>
            <w:r w:rsidRPr="008F2405">
              <w:t>33.8</w:t>
            </w:r>
          </w:p>
        </w:tc>
        <w:tc>
          <w:tcPr>
            <w:tcW w:w="601" w:type="dxa"/>
            <w:tcBorders>
              <w:top w:val="single" w:sz="4" w:space="0" w:color="auto"/>
              <w:left w:val="single" w:sz="4" w:space="0" w:color="auto"/>
              <w:bottom w:val="single" w:sz="4" w:space="0" w:color="auto"/>
              <w:right w:val="single" w:sz="4" w:space="0" w:color="auto"/>
            </w:tcBorders>
            <w:vAlign w:val="center"/>
            <w:hideMark/>
          </w:tcPr>
          <w:p w14:paraId="225CAF7E" w14:textId="77777777" w:rsidR="008F2405" w:rsidRPr="008F2405" w:rsidRDefault="008F2405" w:rsidP="008F2405">
            <w:pPr>
              <w:jc w:val="center"/>
            </w:pPr>
            <w:r w:rsidRPr="008F2405">
              <w:t>35.1</w:t>
            </w:r>
          </w:p>
        </w:tc>
        <w:tc>
          <w:tcPr>
            <w:tcW w:w="601" w:type="dxa"/>
            <w:tcBorders>
              <w:top w:val="single" w:sz="4" w:space="0" w:color="auto"/>
              <w:left w:val="single" w:sz="4" w:space="0" w:color="auto"/>
              <w:bottom w:val="single" w:sz="4" w:space="0" w:color="auto"/>
              <w:right w:val="single" w:sz="4" w:space="0" w:color="auto"/>
            </w:tcBorders>
            <w:vAlign w:val="center"/>
            <w:hideMark/>
          </w:tcPr>
          <w:p w14:paraId="58C5464B" w14:textId="77777777" w:rsidR="008F2405" w:rsidRPr="008F2405" w:rsidRDefault="008F2405" w:rsidP="008F2405">
            <w:pPr>
              <w:jc w:val="center"/>
            </w:pPr>
            <w:r w:rsidRPr="008F2405">
              <w:t>37</w:t>
            </w:r>
          </w:p>
        </w:tc>
      </w:tr>
    </w:tbl>
    <w:p w14:paraId="1B644548" w14:textId="77777777" w:rsidR="008F2405" w:rsidRPr="004E3A8D" w:rsidRDefault="008F2405" w:rsidP="006A744E">
      <w:pPr>
        <w:spacing w:before="120" w:after="240"/>
        <w:jc w:val="center"/>
        <w:rPr>
          <w:szCs w:val="22"/>
        </w:rPr>
      </w:pPr>
      <w:bookmarkStart w:id="863" w:name="_Ref393712968"/>
      <w:r w:rsidRPr="004E3A8D">
        <w:rPr>
          <w:szCs w:val="22"/>
        </w:rPr>
        <w:t xml:space="preserve">Table </w:t>
      </w:r>
      <w:r w:rsidRPr="004E3A8D">
        <w:rPr>
          <w:szCs w:val="22"/>
        </w:rPr>
        <w:fldChar w:fldCharType="begin"/>
      </w:r>
      <w:r w:rsidRPr="004E3A8D">
        <w:rPr>
          <w:szCs w:val="22"/>
        </w:rPr>
        <w:instrText xml:space="preserve"> SEQ Table \* ARABIC </w:instrText>
      </w:r>
      <w:r w:rsidRPr="004E3A8D">
        <w:rPr>
          <w:szCs w:val="22"/>
        </w:rPr>
        <w:fldChar w:fldCharType="separate"/>
      </w:r>
      <w:r w:rsidR="00656F50">
        <w:rPr>
          <w:noProof/>
          <w:szCs w:val="22"/>
        </w:rPr>
        <w:t>5</w:t>
      </w:r>
      <w:r w:rsidRPr="004E3A8D">
        <w:rPr>
          <w:szCs w:val="22"/>
        </w:rPr>
        <w:fldChar w:fldCharType="end"/>
      </w:r>
      <w:bookmarkEnd w:id="863"/>
      <w:r w:rsidRPr="004E3A8D">
        <w:rPr>
          <w:szCs w:val="22"/>
        </w:rPr>
        <w:t>.  Calculated off-frequency rejection (OFR) values for DTV into wireless</w:t>
      </w:r>
    </w:p>
    <w:p w14:paraId="70C2A628" w14:textId="77777777" w:rsidR="008F2405" w:rsidRPr="008F2405" w:rsidRDefault="00C77533" w:rsidP="006A744E">
      <w:pPr>
        <w:pStyle w:val="ParaNum"/>
      </w:pPr>
      <w:r>
        <w:t>The</w:t>
      </w:r>
      <w:r w:rsidRPr="008F2405">
        <w:t xml:space="preserve"> </w:t>
      </w:r>
      <w:r w:rsidR="008F2405" w:rsidRPr="008F2405">
        <w:t xml:space="preserve">values set in the Longley-Rice Fortran code implementing the Longley-Rice model accompanying the FCC’s </w:t>
      </w:r>
      <w:r w:rsidR="008F2405" w:rsidRPr="008F2405">
        <w:rPr>
          <w:i/>
        </w:rPr>
        <w:t>TVStudy</w:t>
      </w:r>
      <w:r w:rsidR="008F2405" w:rsidRPr="008F2405">
        <w:t xml:space="preserve"> software are provided in </w:t>
      </w:r>
      <w:r w:rsidR="008F2405" w:rsidRPr="008F2405">
        <w:rPr>
          <w:highlight w:val="yellow"/>
        </w:rPr>
        <w:fldChar w:fldCharType="begin"/>
      </w:r>
      <w:r w:rsidR="008F2405" w:rsidRPr="008F2405">
        <w:instrText xml:space="preserve"> REF _Ref396401391 \h </w:instrText>
      </w:r>
      <w:r w:rsidR="008F2405" w:rsidRPr="008F2405">
        <w:rPr>
          <w:highlight w:val="yellow"/>
        </w:rPr>
      </w:r>
      <w:r w:rsidR="008F2405" w:rsidRPr="008F2405">
        <w:rPr>
          <w:highlight w:val="yellow"/>
        </w:rPr>
        <w:fldChar w:fldCharType="separate"/>
      </w:r>
      <w:r w:rsidR="00656F50" w:rsidRPr="004E3A8D">
        <w:rPr>
          <w:szCs w:val="22"/>
        </w:rPr>
        <w:t xml:space="preserve">Table </w:t>
      </w:r>
      <w:r w:rsidR="00656F50">
        <w:rPr>
          <w:noProof/>
          <w:szCs w:val="22"/>
        </w:rPr>
        <w:t>6</w:t>
      </w:r>
      <w:r w:rsidR="008F2405" w:rsidRPr="008F2405">
        <w:rPr>
          <w:highlight w:val="yellow"/>
        </w:rPr>
        <w:fldChar w:fldCharType="end"/>
      </w:r>
      <w:r w:rsidR="008F2405" w:rsidRPr="008F2405">
        <w:t xml:space="preserve"> below.  As adopted in the </w:t>
      </w:r>
      <w:r w:rsidR="008F2405" w:rsidRPr="008F2405">
        <w:rPr>
          <w:i/>
        </w:rPr>
        <w:t xml:space="preserve">Second Report </w:t>
      </w:r>
      <w:r>
        <w:rPr>
          <w:i/>
        </w:rPr>
        <w:t xml:space="preserve">&amp; </w:t>
      </w:r>
      <w:r w:rsidR="008F2405" w:rsidRPr="008F2405">
        <w:rPr>
          <w:i/>
        </w:rPr>
        <w:t>Order</w:t>
      </w:r>
      <w:r w:rsidR="008F2405" w:rsidRPr="008F2405">
        <w:t>, we use F(50,50) propagation for Cases 1 and 2 and in those cases where error code 3 occurs (KWX = 3), the predicted field strength is to be accepted as indicative of the interfering field strength at that location.</w:t>
      </w:r>
      <w:r>
        <w:rPr>
          <w:rStyle w:val="FootnoteReference"/>
        </w:rPr>
        <w:footnoteReference w:id="294"/>
      </w:r>
      <w:r w:rsidR="008F2405" w:rsidRPr="008F2405">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43"/>
        <w:gridCol w:w="1036"/>
        <w:gridCol w:w="6295"/>
      </w:tblGrid>
      <w:tr w:rsidR="008F2405" w:rsidRPr="008F2405" w14:paraId="6D18F8B0" w14:textId="77777777" w:rsidTr="00BF4F5D">
        <w:trPr>
          <w:jc w:val="center"/>
        </w:trPr>
        <w:tc>
          <w:tcPr>
            <w:tcW w:w="1343" w:type="dxa"/>
            <w:tcBorders>
              <w:top w:val="single" w:sz="4" w:space="0" w:color="auto"/>
              <w:left w:val="single" w:sz="4" w:space="0" w:color="auto"/>
              <w:bottom w:val="single" w:sz="6" w:space="0" w:color="auto"/>
              <w:right w:val="single" w:sz="6" w:space="0" w:color="auto"/>
            </w:tcBorders>
            <w:shd w:val="clear" w:color="auto" w:fill="E0E0E0"/>
            <w:hideMark/>
          </w:tcPr>
          <w:p w14:paraId="766D45E9" w14:textId="77777777" w:rsidR="008F2405" w:rsidRPr="008F2405" w:rsidRDefault="008F2405" w:rsidP="008F2405">
            <w:pPr>
              <w:keepNext/>
              <w:jc w:val="center"/>
              <w:rPr>
                <w:sz w:val="20"/>
              </w:rPr>
            </w:pPr>
            <w:r w:rsidRPr="008F2405">
              <w:rPr>
                <w:sz w:val="20"/>
              </w:rPr>
              <w:t xml:space="preserve">Parameter </w:t>
            </w:r>
          </w:p>
        </w:tc>
        <w:tc>
          <w:tcPr>
            <w:tcW w:w="1036" w:type="dxa"/>
            <w:tcBorders>
              <w:top w:val="single" w:sz="4" w:space="0" w:color="auto"/>
              <w:left w:val="single" w:sz="6" w:space="0" w:color="auto"/>
              <w:bottom w:val="single" w:sz="6" w:space="0" w:color="auto"/>
              <w:right w:val="single" w:sz="6" w:space="0" w:color="auto"/>
            </w:tcBorders>
            <w:shd w:val="clear" w:color="auto" w:fill="E0E0E0"/>
            <w:hideMark/>
          </w:tcPr>
          <w:p w14:paraId="592005BC" w14:textId="77777777" w:rsidR="008F2405" w:rsidRPr="008F2405" w:rsidRDefault="008F2405" w:rsidP="008F2405">
            <w:pPr>
              <w:keepNext/>
              <w:jc w:val="center"/>
              <w:rPr>
                <w:sz w:val="20"/>
              </w:rPr>
            </w:pPr>
            <w:r w:rsidRPr="008F2405">
              <w:rPr>
                <w:sz w:val="20"/>
              </w:rPr>
              <w:t>Value</w:t>
            </w:r>
          </w:p>
        </w:tc>
        <w:tc>
          <w:tcPr>
            <w:tcW w:w="6295" w:type="dxa"/>
            <w:tcBorders>
              <w:top w:val="single" w:sz="4" w:space="0" w:color="auto"/>
              <w:left w:val="single" w:sz="6" w:space="0" w:color="auto"/>
              <w:bottom w:val="single" w:sz="6" w:space="0" w:color="auto"/>
              <w:right w:val="single" w:sz="4" w:space="0" w:color="auto"/>
            </w:tcBorders>
            <w:shd w:val="clear" w:color="auto" w:fill="E0E0E0"/>
            <w:hideMark/>
          </w:tcPr>
          <w:p w14:paraId="3C88F482" w14:textId="77777777" w:rsidR="008F2405" w:rsidRPr="008F2405" w:rsidRDefault="008F2405" w:rsidP="008F2405">
            <w:pPr>
              <w:keepNext/>
              <w:jc w:val="center"/>
              <w:rPr>
                <w:sz w:val="20"/>
              </w:rPr>
            </w:pPr>
            <w:r w:rsidRPr="008F2405">
              <w:rPr>
                <w:sz w:val="20"/>
              </w:rPr>
              <w:t>Meaning/Comment</w:t>
            </w:r>
          </w:p>
        </w:tc>
      </w:tr>
      <w:tr w:rsidR="008F2405" w:rsidRPr="008F2405" w14:paraId="4DB29191" w14:textId="77777777" w:rsidTr="00BF4F5D">
        <w:trPr>
          <w:jc w:val="center"/>
        </w:trPr>
        <w:tc>
          <w:tcPr>
            <w:tcW w:w="1343" w:type="dxa"/>
            <w:tcBorders>
              <w:top w:val="single" w:sz="6" w:space="0" w:color="auto"/>
              <w:left w:val="single" w:sz="4" w:space="0" w:color="auto"/>
              <w:bottom w:val="single" w:sz="6" w:space="0" w:color="auto"/>
              <w:right w:val="single" w:sz="6" w:space="0" w:color="auto"/>
            </w:tcBorders>
            <w:hideMark/>
          </w:tcPr>
          <w:p w14:paraId="7209737E" w14:textId="77777777" w:rsidR="008F2405" w:rsidRPr="008F2405" w:rsidRDefault="008F2405" w:rsidP="008F2405">
            <w:pPr>
              <w:keepNext/>
            </w:pPr>
            <w:r w:rsidRPr="008F2405">
              <w:t>EPS</w:t>
            </w:r>
          </w:p>
        </w:tc>
        <w:tc>
          <w:tcPr>
            <w:tcW w:w="1036" w:type="dxa"/>
            <w:tcBorders>
              <w:top w:val="single" w:sz="6" w:space="0" w:color="auto"/>
              <w:left w:val="single" w:sz="6" w:space="0" w:color="auto"/>
              <w:bottom w:val="single" w:sz="6" w:space="0" w:color="auto"/>
              <w:right w:val="single" w:sz="6" w:space="0" w:color="auto"/>
            </w:tcBorders>
            <w:hideMark/>
          </w:tcPr>
          <w:p w14:paraId="6FA096D7" w14:textId="77777777" w:rsidR="008F2405" w:rsidRPr="008F2405" w:rsidRDefault="008F2405" w:rsidP="008F2405">
            <w:pPr>
              <w:keepNext/>
              <w:jc w:val="center"/>
            </w:pPr>
            <w:r w:rsidRPr="008F2405">
              <w:t>15.0</w:t>
            </w:r>
          </w:p>
        </w:tc>
        <w:tc>
          <w:tcPr>
            <w:tcW w:w="6295" w:type="dxa"/>
            <w:tcBorders>
              <w:top w:val="single" w:sz="6" w:space="0" w:color="auto"/>
              <w:left w:val="single" w:sz="6" w:space="0" w:color="auto"/>
              <w:bottom w:val="single" w:sz="6" w:space="0" w:color="auto"/>
              <w:right w:val="single" w:sz="4" w:space="0" w:color="auto"/>
            </w:tcBorders>
            <w:hideMark/>
          </w:tcPr>
          <w:p w14:paraId="7EC7AFDC" w14:textId="77777777" w:rsidR="008F2405" w:rsidRPr="008F2405" w:rsidRDefault="008F2405" w:rsidP="008F2405">
            <w:pPr>
              <w:keepNext/>
            </w:pPr>
            <w:r w:rsidRPr="008F2405">
              <w:t>Relative permittivity of ground.</w:t>
            </w:r>
          </w:p>
        </w:tc>
      </w:tr>
      <w:tr w:rsidR="008F2405" w:rsidRPr="008F2405" w14:paraId="16666DC3" w14:textId="77777777" w:rsidTr="00BF4F5D">
        <w:trPr>
          <w:jc w:val="center"/>
        </w:trPr>
        <w:tc>
          <w:tcPr>
            <w:tcW w:w="1343" w:type="dxa"/>
            <w:tcBorders>
              <w:top w:val="single" w:sz="6" w:space="0" w:color="auto"/>
              <w:left w:val="single" w:sz="4" w:space="0" w:color="auto"/>
              <w:bottom w:val="single" w:sz="6" w:space="0" w:color="auto"/>
              <w:right w:val="single" w:sz="6" w:space="0" w:color="auto"/>
            </w:tcBorders>
            <w:hideMark/>
          </w:tcPr>
          <w:p w14:paraId="56875140" w14:textId="77777777" w:rsidR="008F2405" w:rsidRPr="008F2405" w:rsidRDefault="008F2405" w:rsidP="008F2405">
            <w:pPr>
              <w:keepNext/>
            </w:pPr>
            <w:r w:rsidRPr="008F2405">
              <w:t>SGM (S/m)</w:t>
            </w:r>
          </w:p>
        </w:tc>
        <w:tc>
          <w:tcPr>
            <w:tcW w:w="1036" w:type="dxa"/>
            <w:tcBorders>
              <w:top w:val="single" w:sz="6" w:space="0" w:color="auto"/>
              <w:left w:val="single" w:sz="6" w:space="0" w:color="auto"/>
              <w:bottom w:val="single" w:sz="6" w:space="0" w:color="auto"/>
              <w:right w:val="single" w:sz="6" w:space="0" w:color="auto"/>
            </w:tcBorders>
            <w:hideMark/>
          </w:tcPr>
          <w:p w14:paraId="2044DB78" w14:textId="77777777" w:rsidR="008F2405" w:rsidRPr="008F2405" w:rsidRDefault="008F2405" w:rsidP="008F2405">
            <w:pPr>
              <w:keepNext/>
              <w:jc w:val="center"/>
            </w:pPr>
            <w:r w:rsidRPr="008F2405">
              <w:t>0.005</w:t>
            </w:r>
          </w:p>
        </w:tc>
        <w:tc>
          <w:tcPr>
            <w:tcW w:w="6295" w:type="dxa"/>
            <w:tcBorders>
              <w:top w:val="single" w:sz="6" w:space="0" w:color="auto"/>
              <w:left w:val="single" w:sz="6" w:space="0" w:color="auto"/>
              <w:bottom w:val="single" w:sz="6" w:space="0" w:color="auto"/>
              <w:right w:val="single" w:sz="4" w:space="0" w:color="auto"/>
            </w:tcBorders>
            <w:hideMark/>
          </w:tcPr>
          <w:p w14:paraId="0CA44E8F" w14:textId="77777777" w:rsidR="008F2405" w:rsidRPr="008F2405" w:rsidRDefault="008F2405" w:rsidP="008F2405">
            <w:pPr>
              <w:keepNext/>
            </w:pPr>
            <w:r w:rsidRPr="008F2405">
              <w:t>Ground conductivity.</w:t>
            </w:r>
          </w:p>
        </w:tc>
      </w:tr>
      <w:tr w:rsidR="008F2405" w:rsidRPr="008F2405" w14:paraId="291C2316" w14:textId="77777777" w:rsidTr="00BF4F5D">
        <w:trPr>
          <w:jc w:val="center"/>
        </w:trPr>
        <w:tc>
          <w:tcPr>
            <w:tcW w:w="1343" w:type="dxa"/>
            <w:tcBorders>
              <w:top w:val="single" w:sz="6" w:space="0" w:color="auto"/>
              <w:left w:val="single" w:sz="4" w:space="0" w:color="auto"/>
              <w:bottom w:val="single" w:sz="6" w:space="0" w:color="auto"/>
              <w:right w:val="single" w:sz="6" w:space="0" w:color="auto"/>
            </w:tcBorders>
            <w:hideMark/>
          </w:tcPr>
          <w:p w14:paraId="728D92F3" w14:textId="77777777" w:rsidR="008F2405" w:rsidRPr="008F2405" w:rsidRDefault="008F2405" w:rsidP="008F2405">
            <w:pPr>
              <w:keepNext/>
            </w:pPr>
            <w:r w:rsidRPr="008F2405">
              <w:t>ZSYS</w:t>
            </w:r>
          </w:p>
        </w:tc>
        <w:tc>
          <w:tcPr>
            <w:tcW w:w="1036" w:type="dxa"/>
            <w:tcBorders>
              <w:top w:val="single" w:sz="6" w:space="0" w:color="auto"/>
              <w:left w:val="single" w:sz="6" w:space="0" w:color="auto"/>
              <w:bottom w:val="single" w:sz="6" w:space="0" w:color="auto"/>
              <w:right w:val="single" w:sz="6" w:space="0" w:color="auto"/>
            </w:tcBorders>
            <w:hideMark/>
          </w:tcPr>
          <w:p w14:paraId="3C4B6E90" w14:textId="77777777" w:rsidR="008F2405" w:rsidRPr="008F2405" w:rsidRDefault="008F2405" w:rsidP="008F2405">
            <w:pPr>
              <w:keepNext/>
              <w:jc w:val="center"/>
            </w:pPr>
            <w:r w:rsidRPr="008F2405">
              <w:t>0.0</w:t>
            </w:r>
          </w:p>
        </w:tc>
        <w:tc>
          <w:tcPr>
            <w:tcW w:w="6295" w:type="dxa"/>
            <w:tcBorders>
              <w:top w:val="single" w:sz="6" w:space="0" w:color="auto"/>
              <w:left w:val="single" w:sz="6" w:space="0" w:color="auto"/>
              <w:bottom w:val="single" w:sz="6" w:space="0" w:color="auto"/>
              <w:right w:val="single" w:sz="4" w:space="0" w:color="auto"/>
            </w:tcBorders>
            <w:hideMark/>
          </w:tcPr>
          <w:p w14:paraId="34DD4E93" w14:textId="77777777" w:rsidR="008F2405" w:rsidRPr="008F2405" w:rsidRDefault="008F2405" w:rsidP="008F2405">
            <w:pPr>
              <w:keepNext/>
            </w:pPr>
            <w:r w:rsidRPr="008F2405">
              <w:t xml:space="preserve">General System Elevation. Coordinated with setting of EN0. </w:t>
            </w:r>
          </w:p>
        </w:tc>
      </w:tr>
      <w:tr w:rsidR="008F2405" w:rsidRPr="008F2405" w14:paraId="6A550C21" w14:textId="77777777" w:rsidTr="00BF4F5D">
        <w:trPr>
          <w:jc w:val="center"/>
        </w:trPr>
        <w:tc>
          <w:tcPr>
            <w:tcW w:w="1343" w:type="dxa"/>
            <w:tcBorders>
              <w:top w:val="single" w:sz="6" w:space="0" w:color="auto"/>
              <w:left w:val="single" w:sz="4" w:space="0" w:color="auto"/>
              <w:bottom w:val="single" w:sz="6" w:space="0" w:color="auto"/>
              <w:right w:val="single" w:sz="6" w:space="0" w:color="auto"/>
            </w:tcBorders>
            <w:hideMark/>
          </w:tcPr>
          <w:p w14:paraId="377AD9FC" w14:textId="77777777" w:rsidR="008F2405" w:rsidRPr="008F2405" w:rsidRDefault="008F2405" w:rsidP="008F2405">
            <w:pPr>
              <w:keepNext/>
            </w:pPr>
            <w:r w:rsidRPr="008F2405">
              <w:t>EN0 (ppm)</w:t>
            </w:r>
          </w:p>
        </w:tc>
        <w:tc>
          <w:tcPr>
            <w:tcW w:w="1036" w:type="dxa"/>
            <w:tcBorders>
              <w:top w:val="single" w:sz="6" w:space="0" w:color="auto"/>
              <w:left w:val="single" w:sz="6" w:space="0" w:color="auto"/>
              <w:bottom w:val="single" w:sz="6" w:space="0" w:color="auto"/>
              <w:right w:val="single" w:sz="6" w:space="0" w:color="auto"/>
            </w:tcBorders>
            <w:hideMark/>
          </w:tcPr>
          <w:p w14:paraId="7F096DF6" w14:textId="77777777" w:rsidR="008F2405" w:rsidRPr="008F2405" w:rsidRDefault="008F2405" w:rsidP="008F2405">
            <w:pPr>
              <w:keepNext/>
              <w:jc w:val="center"/>
            </w:pPr>
            <w:r w:rsidRPr="008F2405">
              <w:t>301.0</w:t>
            </w:r>
          </w:p>
        </w:tc>
        <w:tc>
          <w:tcPr>
            <w:tcW w:w="6295" w:type="dxa"/>
            <w:tcBorders>
              <w:top w:val="single" w:sz="6" w:space="0" w:color="auto"/>
              <w:left w:val="single" w:sz="6" w:space="0" w:color="auto"/>
              <w:bottom w:val="single" w:sz="6" w:space="0" w:color="auto"/>
              <w:right w:val="single" w:sz="4" w:space="0" w:color="auto"/>
            </w:tcBorders>
            <w:hideMark/>
          </w:tcPr>
          <w:p w14:paraId="27CC7945" w14:textId="77777777" w:rsidR="008F2405" w:rsidRPr="008F2405" w:rsidRDefault="008F2405" w:rsidP="008F2405">
            <w:pPr>
              <w:keepNext/>
            </w:pPr>
            <w:r w:rsidRPr="008F2405">
              <w:t>Surface refractivity in N-units.</w:t>
            </w:r>
          </w:p>
        </w:tc>
      </w:tr>
      <w:tr w:rsidR="008F2405" w:rsidRPr="008F2405" w14:paraId="3AF7322C" w14:textId="77777777" w:rsidTr="00BF4F5D">
        <w:trPr>
          <w:jc w:val="center"/>
        </w:trPr>
        <w:tc>
          <w:tcPr>
            <w:tcW w:w="1343" w:type="dxa"/>
            <w:tcBorders>
              <w:top w:val="single" w:sz="6" w:space="0" w:color="auto"/>
              <w:left w:val="single" w:sz="4" w:space="0" w:color="auto"/>
              <w:bottom w:val="single" w:sz="6" w:space="0" w:color="auto"/>
              <w:right w:val="single" w:sz="6" w:space="0" w:color="auto"/>
            </w:tcBorders>
            <w:hideMark/>
          </w:tcPr>
          <w:p w14:paraId="5BBF3371" w14:textId="77777777" w:rsidR="008F2405" w:rsidRPr="008F2405" w:rsidRDefault="008F2405" w:rsidP="008F2405">
            <w:pPr>
              <w:keepNext/>
            </w:pPr>
            <w:r w:rsidRPr="008F2405">
              <w:t>IPOL</w:t>
            </w:r>
          </w:p>
        </w:tc>
        <w:tc>
          <w:tcPr>
            <w:tcW w:w="1036" w:type="dxa"/>
            <w:tcBorders>
              <w:top w:val="single" w:sz="6" w:space="0" w:color="auto"/>
              <w:left w:val="single" w:sz="6" w:space="0" w:color="auto"/>
              <w:bottom w:val="single" w:sz="6" w:space="0" w:color="auto"/>
              <w:right w:val="single" w:sz="6" w:space="0" w:color="auto"/>
            </w:tcBorders>
            <w:hideMark/>
          </w:tcPr>
          <w:p w14:paraId="51254DA4" w14:textId="77777777" w:rsidR="008F2405" w:rsidRPr="008F2405" w:rsidRDefault="008F2405" w:rsidP="008F2405">
            <w:pPr>
              <w:keepNext/>
              <w:jc w:val="center"/>
            </w:pPr>
            <w:r w:rsidRPr="008F2405">
              <w:t>0</w:t>
            </w:r>
          </w:p>
        </w:tc>
        <w:tc>
          <w:tcPr>
            <w:tcW w:w="6295" w:type="dxa"/>
            <w:tcBorders>
              <w:top w:val="single" w:sz="6" w:space="0" w:color="auto"/>
              <w:left w:val="single" w:sz="6" w:space="0" w:color="auto"/>
              <w:bottom w:val="single" w:sz="6" w:space="0" w:color="auto"/>
              <w:right w:val="single" w:sz="4" w:space="0" w:color="auto"/>
            </w:tcBorders>
            <w:hideMark/>
          </w:tcPr>
          <w:p w14:paraId="1F207362" w14:textId="77777777" w:rsidR="008F2405" w:rsidRPr="008F2405" w:rsidRDefault="008F2405" w:rsidP="008F2405">
            <w:pPr>
              <w:keepNext/>
            </w:pPr>
            <w:r w:rsidRPr="008F2405">
              <w:t>Denotes horizontal polarization.</w:t>
            </w:r>
          </w:p>
        </w:tc>
      </w:tr>
      <w:tr w:rsidR="008F2405" w:rsidRPr="008F2405" w14:paraId="2E6690E1" w14:textId="77777777" w:rsidTr="00BF4F5D">
        <w:trPr>
          <w:jc w:val="center"/>
        </w:trPr>
        <w:tc>
          <w:tcPr>
            <w:tcW w:w="1343" w:type="dxa"/>
            <w:tcBorders>
              <w:top w:val="single" w:sz="6" w:space="0" w:color="auto"/>
              <w:left w:val="single" w:sz="4" w:space="0" w:color="auto"/>
              <w:bottom w:val="single" w:sz="6" w:space="0" w:color="auto"/>
              <w:right w:val="single" w:sz="6" w:space="0" w:color="auto"/>
            </w:tcBorders>
            <w:hideMark/>
          </w:tcPr>
          <w:p w14:paraId="384C84F9" w14:textId="77777777" w:rsidR="008F2405" w:rsidRPr="008F2405" w:rsidRDefault="008F2405" w:rsidP="008F2405">
            <w:pPr>
              <w:keepNext/>
            </w:pPr>
            <w:r w:rsidRPr="008F2405">
              <w:t>MDVAR</w:t>
            </w:r>
          </w:p>
        </w:tc>
        <w:tc>
          <w:tcPr>
            <w:tcW w:w="1036" w:type="dxa"/>
            <w:tcBorders>
              <w:top w:val="single" w:sz="6" w:space="0" w:color="auto"/>
              <w:left w:val="single" w:sz="6" w:space="0" w:color="auto"/>
              <w:bottom w:val="single" w:sz="6" w:space="0" w:color="auto"/>
              <w:right w:val="single" w:sz="6" w:space="0" w:color="auto"/>
            </w:tcBorders>
            <w:hideMark/>
          </w:tcPr>
          <w:p w14:paraId="6A9606C4" w14:textId="77777777" w:rsidR="008F2405" w:rsidRPr="008F2405" w:rsidRDefault="008F2405" w:rsidP="008F2405">
            <w:pPr>
              <w:keepNext/>
              <w:jc w:val="center"/>
            </w:pPr>
            <w:r w:rsidRPr="008F2405">
              <w:t>3</w:t>
            </w:r>
          </w:p>
        </w:tc>
        <w:tc>
          <w:tcPr>
            <w:tcW w:w="6295" w:type="dxa"/>
            <w:tcBorders>
              <w:top w:val="single" w:sz="6" w:space="0" w:color="auto"/>
              <w:left w:val="single" w:sz="6" w:space="0" w:color="auto"/>
              <w:bottom w:val="single" w:sz="6" w:space="0" w:color="auto"/>
              <w:right w:val="single" w:sz="4" w:space="0" w:color="auto"/>
            </w:tcBorders>
            <w:hideMark/>
          </w:tcPr>
          <w:p w14:paraId="188E83E4" w14:textId="77777777" w:rsidR="008F2405" w:rsidRPr="008F2405" w:rsidRDefault="008F2405" w:rsidP="008F2405">
            <w:pPr>
              <w:keepNext/>
            </w:pPr>
            <w:r w:rsidRPr="008F2405">
              <w:t>Calculation Mode (Broadcast).</w:t>
            </w:r>
          </w:p>
        </w:tc>
      </w:tr>
      <w:tr w:rsidR="008F2405" w:rsidRPr="008F2405" w14:paraId="63220D2B" w14:textId="77777777" w:rsidTr="00BF4F5D">
        <w:trPr>
          <w:jc w:val="center"/>
        </w:trPr>
        <w:tc>
          <w:tcPr>
            <w:tcW w:w="1343" w:type="dxa"/>
            <w:tcBorders>
              <w:top w:val="single" w:sz="6" w:space="0" w:color="auto"/>
              <w:left w:val="single" w:sz="4" w:space="0" w:color="auto"/>
              <w:bottom w:val="single" w:sz="6" w:space="0" w:color="auto"/>
              <w:right w:val="single" w:sz="6" w:space="0" w:color="auto"/>
            </w:tcBorders>
            <w:hideMark/>
          </w:tcPr>
          <w:p w14:paraId="2FD0D36B" w14:textId="77777777" w:rsidR="008F2405" w:rsidRPr="008F2405" w:rsidRDefault="008F2405" w:rsidP="008F2405">
            <w:pPr>
              <w:keepNext/>
            </w:pPr>
            <w:r w:rsidRPr="008F2405">
              <w:t>KLIM</w:t>
            </w:r>
          </w:p>
        </w:tc>
        <w:tc>
          <w:tcPr>
            <w:tcW w:w="1036" w:type="dxa"/>
            <w:tcBorders>
              <w:top w:val="single" w:sz="6" w:space="0" w:color="auto"/>
              <w:left w:val="single" w:sz="6" w:space="0" w:color="auto"/>
              <w:bottom w:val="single" w:sz="6" w:space="0" w:color="auto"/>
              <w:right w:val="single" w:sz="6" w:space="0" w:color="auto"/>
            </w:tcBorders>
            <w:hideMark/>
          </w:tcPr>
          <w:p w14:paraId="794B74E0" w14:textId="77777777" w:rsidR="008F2405" w:rsidRPr="008F2405" w:rsidRDefault="008F2405" w:rsidP="008F2405">
            <w:pPr>
              <w:keepNext/>
              <w:jc w:val="center"/>
            </w:pPr>
            <w:r w:rsidRPr="008F2405">
              <w:t>5</w:t>
            </w:r>
          </w:p>
        </w:tc>
        <w:tc>
          <w:tcPr>
            <w:tcW w:w="6295" w:type="dxa"/>
            <w:tcBorders>
              <w:top w:val="single" w:sz="6" w:space="0" w:color="auto"/>
              <w:left w:val="single" w:sz="6" w:space="0" w:color="auto"/>
              <w:bottom w:val="single" w:sz="6" w:space="0" w:color="auto"/>
              <w:right w:val="single" w:sz="4" w:space="0" w:color="auto"/>
            </w:tcBorders>
            <w:hideMark/>
          </w:tcPr>
          <w:p w14:paraId="5ECFC0BD" w14:textId="77777777" w:rsidR="008F2405" w:rsidRPr="008F2405" w:rsidRDefault="008F2405" w:rsidP="008F2405">
            <w:pPr>
              <w:keepNext/>
            </w:pPr>
            <w:r w:rsidRPr="008F2405">
              <w:t>Climate Code (Continental Temperate).</w:t>
            </w:r>
          </w:p>
        </w:tc>
      </w:tr>
      <w:tr w:rsidR="008F2405" w:rsidRPr="008F2405" w14:paraId="4F1CB014" w14:textId="77777777" w:rsidTr="00BF4F5D">
        <w:trPr>
          <w:jc w:val="center"/>
        </w:trPr>
        <w:tc>
          <w:tcPr>
            <w:tcW w:w="1343" w:type="dxa"/>
            <w:tcBorders>
              <w:top w:val="single" w:sz="6" w:space="0" w:color="auto"/>
              <w:left w:val="single" w:sz="4" w:space="0" w:color="auto"/>
              <w:bottom w:val="single" w:sz="6" w:space="0" w:color="auto"/>
              <w:right w:val="single" w:sz="6" w:space="0" w:color="auto"/>
            </w:tcBorders>
            <w:hideMark/>
          </w:tcPr>
          <w:p w14:paraId="2C6003CA" w14:textId="77777777" w:rsidR="008F2405" w:rsidRPr="008F2405" w:rsidRDefault="008F2405" w:rsidP="008F2405">
            <w:pPr>
              <w:keepNext/>
            </w:pPr>
            <w:r w:rsidRPr="008F2405">
              <w:t>XI (km)</w:t>
            </w:r>
          </w:p>
        </w:tc>
        <w:tc>
          <w:tcPr>
            <w:tcW w:w="1036" w:type="dxa"/>
            <w:tcBorders>
              <w:top w:val="single" w:sz="6" w:space="0" w:color="auto"/>
              <w:left w:val="single" w:sz="6" w:space="0" w:color="auto"/>
              <w:bottom w:val="single" w:sz="6" w:space="0" w:color="auto"/>
              <w:right w:val="single" w:sz="6" w:space="0" w:color="auto"/>
            </w:tcBorders>
            <w:hideMark/>
          </w:tcPr>
          <w:p w14:paraId="7A7E15B3" w14:textId="77777777" w:rsidR="008F2405" w:rsidRPr="008F2405" w:rsidRDefault="008F2405" w:rsidP="008F2405">
            <w:pPr>
              <w:keepNext/>
              <w:jc w:val="center"/>
            </w:pPr>
            <w:r w:rsidRPr="008F2405">
              <w:t>0.1</w:t>
            </w:r>
          </w:p>
        </w:tc>
        <w:tc>
          <w:tcPr>
            <w:tcW w:w="6295" w:type="dxa"/>
            <w:tcBorders>
              <w:top w:val="single" w:sz="6" w:space="0" w:color="auto"/>
              <w:left w:val="single" w:sz="6" w:space="0" w:color="auto"/>
              <w:bottom w:val="single" w:sz="6" w:space="0" w:color="auto"/>
              <w:right w:val="single" w:sz="4" w:space="0" w:color="auto"/>
            </w:tcBorders>
            <w:hideMark/>
          </w:tcPr>
          <w:p w14:paraId="52137281" w14:textId="77777777" w:rsidR="008F2405" w:rsidRPr="008F2405" w:rsidRDefault="008F2405" w:rsidP="008F2405">
            <w:pPr>
              <w:keepNext/>
            </w:pPr>
            <w:r w:rsidRPr="008F2405">
              <w:t>Terrain sampling interval.</w:t>
            </w:r>
          </w:p>
        </w:tc>
      </w:tr>
      <w:tr w:rsidR="008F2405" w:rsidRPr="008F2405" w14:paraId="1CA3E0C8" w14:textId="77777777" w:rsidTr="00BF4F5D">
        <w:trPr>
          <w:jc w:val="center"/>
        </w:trPr>
        <w:tc>
          <w:tcPr>
            <w:tcW w:w="1343" w:type="dxa"/>
            <w:tcBorders>
              <w:top w:val="single" w:sz="6" w:space="0" w:color="auto"/>
              <w:left w:val="single" w:sz="4" w:space="0" w:color="auto"/>
              <w:bottom w:val="single" w:sz="6" w:space="0" w:color="auto"/>
              <w:right w:val="single" w:sz="6" w:space="0" w:color="auto"/>
            </w:tcBorders>
            <w:hideMark/>
          </w:tcPr>
          <w:p w14:paraId="1A9BDAB7" w14:textId="77777777" w:rsidR="008F2405" w:rsidRPr="008F2405" w:rsidRDefault="008F2405" w:rsidP="008F2405">
            <w:pPr>
              <w:keepNext/>
            </w:pPr>
            <w:r w:rsidRPr="008F2405">
              <w:t>HG(1) (m)</w:t>
            </w:r>
          </w:p>
        </w:tc>
        <w:tc>
          <w:tcPr>
            <w:tcW w:w="1036" w:type="dxa"/>
            <w:tcBorders>
              <w:top w:val="single" w:sz="6" w:space="0" w:color="auto"/>
              <w:left w:val="single" w:sz="6" w:space="0" w:color="auto"/>
              <w:bottom w:val="single" w:sz="6" w:space="0" w:color="auto"/>
              <w:right w:val="single" w:sz="6" w:space="0" w:color="auto"/>
            </w:tcBorders>
            <w:hideMark/>
          </w:tcPr>
          <w:p w14:paraId="68226416" w14:textId="77777777" w:rsidR="008F2405" w:rsidRPr="008F2405" w:rsidRDefault="008F2405" w:rsidP="008F2405">
            <w:pPr>
              <w:keepNext/>
              <w:jc w:val="center"/>
            </w:pPr>
            <w:r w:rsidRPr="008F2405">
              <w:t>See note</w:t>
            </w:r>
          </w:p>
        </w:tc>
        <w:tc>
          <w:tcPr>
            <w:tcW w:w="6295" w:type="dxa"/>
            <w:tcBorders>
              <w:top w:val="single" w:sz="6" w:space="0" w:color="auto"/>
              <w:left w:val="single" w:sz="6" w:space="0" w:color="auto"/>
              <w:bottom w:val="single" w:sz="6" w:space="0" w:color="auto"/>
              <w:right w:val="single" w:sz="4" w:space="0" w:color="auto"/>
            </w:tcBorders>
            <w:hideMark/>
          </w:tcPr>
          <w:p w14:paraId="0A669662" w14:textId="77777777" w:rsidR="008F2405" w:rsidRPr="008F2405" w:rsidRDefault="008F2405" w:rsidP="008F2405">
            <w:pPr>
              <w:keepNext/>
            </w:pPr>
            <w:r w:rsidRPr="008F2405">
              <w:t>Height of the radiation center above ground.</w:t>
            </w:r>
          </w:p>
        </w:tc>
      </w:tr>
      <w:tr w:rsidR="008F2405" w:rsidRPr="008F2405" w14:paraId="11C54296" w14:textId="77777777" w:rsidTr="00BF4F5D">
        <w:trPr>
          <w:cantSplit/>
          <w:trHeight w:val="432"/>
          <w:jc w:val="center"/>
        </w:trPr>
        <w:tc>
          <w:tcPr>
            <w:tcW w:w="1343" w:type="dxa"/>
            <w:tcBorders>
              <w:top w:val="single" w:sz="6" w:space="0" w:color="auto"/>
              <w:left w:val="single" w:sz="4" w:space="0" w:color="auto"/>
              <w:bottom w:val="single" w:sz="6" w:space="0" w:color="auto"/>
              <w:right w:val="single" w:sz="6" w:space="0" w:color="auto"/>
            </w:tcBorders>
            <w:hideMark/>
          </w:tcPr>
          <w:p w14:paraId="55F30E74" w14:textId="77777777" w:rsidR="008F2405" w:rsidRPr="008F2405" w:rsidRDefault="008F2405" w:rsidP="008F2405">
            <w:pPr>
              <w:keepNext/>
            </w:pPr>
            <w:r w:rsidRPr="008F2405">
              <w:t>HG(2) (m)</w:t>
            </w:r>
          </w:p>
        </w:tc>
        <w:tc>
          <w:tcPr>
            <w:tcW w:w="1036" w:type="dxa"/>
            <w:tcBorders>
              <w:top w:val="single" w:sz="6" w:space="0" w:color="auto"/>
              <w:left w:val="single" w:sz="6" w:space="0" w:color="auto"/>
              <w:bottom w:val="single" w:sz="6" w:space="0" w:color="auto"/>
              <w:right w:val="single" w:sz="6" w:space="0" w:color="auto"/>
            </w:tcBorders>
          </w:tcPr>
          <w:p w14:paraId="687E6203" w14:textId="77777777" w:rsidR="008F2405" w:rsidRPr="008F2405" w:rsidRDefault="008F2405" w:rsidP="008F2405">
            <w:pPr>
              <w:keepNext/>
              <w:jc w:val="center"/>
            </w:pPr>
            <w:r w:rsidRPr="008F2405">
              <w:t>30</w:t>
            </w:r>
          </w:p>
          <w:p w14:paraId="5383002E" w14:textId="77777777" w:rsidR="008F2405" w:rsidRPr="008F2405" w:rsidRDefault="008F2405" w:rsidP="008F2405">
            <w:pPr>
              <w:keepNext/>
              <w:jc w:val="center"/>
            </w:pPr>
            <w:r w:rsidRPr="008F2405">
              <w:t>1.5</w:t>
            </w:r>
          </w:p>
        </w:tc>
        <w:tc>
          <w:tcPr>
            <w:tcW w:w="6295" w:type="dxa"/>
            <w:tcBorders>
              <w:top w:val="single" w:sz="6" w:space="0" w:color="auto"/>
              <w:left w:val="single" w:sz="6" w:space="0" w:color="auto"/>
              <w:bottom w:val="single" w:sz="6" w:space="0" w:color="auto"/>
              <w:right w:val="single" w:sz="4" w:space="0" w:color="auto"/>
            </w:tcBorders>
          </w:tcPr>
          <w:p w14:paraId="63AABE8C" w14:textId="77777777" w:rsidR="008F2405" w:rsidRPr="004E3A8D" w:rsidRDefault="008F2405" w:rsidP="008F2405">
            <w:pPr>
              <w:keepNext/>
            </w:pPr>
            <w:r w:rsidRPr="008F2405">
              <w:t>Height of hypothetical base station antenna above ground (</w:t>
            </w:r>
            <w:r w:rsidRPr="004E3A8D">
              <w:fldChar w:fldCharType="begin"/>
            </w:r>
            <w:r w:rsidRPr="004E3A8D">
              <w:instrText xml:space="preserve"> REF _Ref393704754 \h </w:instrText>
            </w:r>
            <w:r w:rsidR="004E3A8D" w:rsidRPr="004E3A8D">
              <w:instrText xml:space="preserve"> \* MERGEFORMAT </w:instrText>
            </w:r>
            <w:r w:rsidRPr="004E3A8D">
              <w:fldChar w:fldCharType="separate"/>
            </w:r>
            <w:r w:rsidR="00656F50" w:rsidRPr="004E3A8D">
              <w:rPr>
                <w:szCs w:val="22"/>
              </w:rPr>
              <w:t xml:space="preserve">Table </w:t>
            </w:r>
            <w:r w:rsidR="00656F50">
              <w:rPr>
                <w:noProof/>
                <w:szCs w:val="22"/>
              </w:rPr>
              <w:t>3</w:t>
            </w:r>
            <w:r w:rsidRPr="004E3A8D">
              <w:fldChar w:fldCharType="end"/>
            </w:r>
            <w:r w:rsidRPr="004E3A8D">
              <w:t>).</w:t>
            </w:r>
          </w:p>
          <w:p w14:paraId="285CF8E5" w14:textId="77777777" w:rsidR="008F2405" w:rsidRPr="008F2405" w:rsidRDefault="008F2405" w:rsidP="008F2405">
            <w:pPr>
              <w:keepNext/>
            </w:pPr>
            <w:r w:rsidRPr="004E3A8D">
              <w:t>Height of hypothetical user equipment above ground (</w:t>
            </w:r>
            <w:r w:rsidRPr="004E3A8D">
              <w:fldChar w:fldCharType="begin"/>
            </w:r>
            <w:r w:rsidRPr="004E3A8D">
              <w:instrText xml:space="preserve"> REF _Ref393704790 \h </w:instrText>
            </w:r>
            <w:r w:rsidR="004E3A8D" w:rsidRPr="004E3A8D">
              <w:instrText xml:space="preserve"> \* MERGEFORMAT </w:instrText>
            </w:r>
            <w:r w:rsidRPr="004E3A8D">
              <w:fldChar w:fldCharType="separate"/>
            </w:r>
            <w:r w:rsidR="00656F50" w:rsidRPr="004E3A8D">
              <w:rPr>
                <w:szCs w:val="22"/>
              </w:rPr>
              <w:t xml:space="preserve">Table </w:t>
            </w:r>
            <w:r w:rsidR="00656F50">
              <w:rPr>
                <w:noProof/>
                <w:szCs w:val="22"/>
              </w:rPr>
              <w:t>4</w:t>
            </w:r>
            <w:r w:rsidRPr="004E3A8D">
              <w:fldChar w:fldCharType="end"/>
            </w:r>
            <w:r w:rsidRPr="004E3A8D">
              <w:t>).</w:t>
            </w:r>
          </w:p>
        </w:tc>
      </w:tr>
      <w:tr w:rsidR="008F2405" w:rsidRPr="008F2405" w14:paraId="7D933403" w14:textId="77777777" w:rsidTr="00BF4F5D">
        <w:trPr>
          <w:cantSplit/>
          <w:trHeight w:val="432"/>
          <w:jc w:val="center"/>
        </w:trPr>
        <w:tc>
          <w:tcPr>
            <w:tcW w:w="1343" w:type="dxa"/>
            <w:tcBorders>
              <w:top w:val="single" w:sz="6" w:space="0" w:color="auto"/>
              <w:left w:val="single" w:sz="4" w:space="0" w:color="auto"/>
              <w:bottom w:val="single" w:sz="6" w:space="0" w:color="auto"/>
              <w:right w:val="single" w:sz="6" w:space="0" w:color="auto"/>
            </w:tcBorders>
          </w:tcPr>
          <w:p w14:paraId="57981C5A" w14:textId="77777777" w:rsidR="008F2405" w:rsidRPr="008F2405" w:rsidRDefault="008F2405" w:rsidP="008F2405">
            <w:pPr>
              <w:keepNext/>
            </w:pPr>
            <w:r w:rsidRPr="008F2405">
              <w:t>Time variability</w:t>
            </w:r>
          </w:p>
        </w:tc>
        <w:tc>
          <w:tcPr>
            <w:tcW w:w="1036" w:type="dxa"/>
            <w:tcBorders>
              <w:top w:val="single" w:sz="6" w:space="0" w:color="auto"/>
              <w:left w:val="single" w:sz="6" w:space="0" w:color="auto"/>
              <w:bottom w:val="single" w:sz="6" w:space="0" w:color="auto"/>
              <w:right w:val="single" w:sz="6" w:space="0" w:color="auto"/>
            </w:tcBorders>
          </w:tcPr>
          <w:p w14:paraId="01849AD1" w14:textId="77777777" w:rsidR="008F2405" w:rsidRPr="008F2405" w:rsidRDefault="008F2405" w:rsidP="008F2405">
            <w:pPr>
              <w:keepNext/>
              <w:jc w:val="center"/>
            </w:pPr>
            <w:r w:rsidRPr="008F2405">
              <w:t>50%</w:t>
            </w:r>
          </w:p>
        </w:tc>
        <w:tc>
          <w:tcPr>
            <w:tcW w:w="6295" w:type="dxa"/>
            <w:tcBorders>
              <w:top w:val="single" w:sz="6" w:space="0" w:color="auto"/>
              <w:left w:val="single" w:sz="6" w:space="0" w:color="auto"/>
              <w:bottom w:val="single" w:sz="6" w:space="0" w:color="auto"/>
              <w:right w:val="single" w:sz="4" w:space="0" w:color="auto"/>
            </w:tcBorders>
          </w:tcPr>
          <w:p w14:paraId="5733E98A" w14:textId="77777777" w:rsidR="008F2405" w:rsidRPr="008F2405" w:rsidRDefault="008F2405" w:rsidP="008F2405">
            <w:pPr>
              <w:keepNext/>
            </w:pPr>
          </w:p>
        </w:tc>
      </w:tr>
      <w:tr w:rsidR="008F2405" w:rsidRPr="008F2405" w14:paraId="2625A296" w14:textId="77777777" w:rsidTr="00BF4F5D">
        <w:trPr>
          <w:cantSplit/>
          <w:trHeight w:val="432"/>
          <w:jc w:val="center"/>
        </w:trPr>
        <w:tc>
          <w:tcPr>
            <w:tcW w:w="1343" w:type="dxa"/>
            <w:tcBorders>
              <w:top w:val="single" w:sz="6" w:space="0" w:color="auto"/>
              <w:left w:val="single" w:sz="4" w:space="0" w:color="auto"/>
              <w:bottom w:val="single" w:sz="6" w:space="0" w:color="auto"/>
              <w:right w:val="single" w:sz="6" w:space="0" w:color="auto"/>
            </w:tcBorders>
          </w:tcPr>
          <w:p w14:paraId="133F5D70" w14:textId="77777777" w:rsidR="008F2405" w:rsidRPr="008F2405" w:rsidRDefault="008F2405" w:rsidP="008F2405">
            <w:pPr>
              <w:keepNext/>
            </w:pPr>
            <w:r w:rsidRPr="008F2405">
              <w:t>Location variability</w:t>
            </w:r>
          </w:p>
        </w:tc>
        <w:tc>
          <w:tcPr>
            <w:tcW w:w="1036" w:type="dxa"/>
            <w:tcBorders>
              <w:top w:val="single" w:sz="6" w:space="0" w:color="auto"/>
              <w:left w:val="single" w:sz="6" w:space="0" w:color="auto"/>
              <w:bottom w:val="single" w:sz="6" w:space="0" w:color="auto"/>
              <w:right w:val="single" w:sz="6" w:space="0" w:color="auto"/>
            </w:tcBorders>
          </w:tcPr>
          <w:p w14:paraId="00F05F64" w14:textId="77777777" w:rsidR="008F2405" w:rsidRPr="008F2405" w:rsidRDefault="008F2405" w:rsidP="008F2405">
            <w:pPr>
              <w:keepNext/>
              <w:jc w:val="center"/>
            </w:pPr>
            <w:r w:rsidRPr="008F2405">
              <w:t>50%</w:t>
            </w:r>
          </w:p>
        </w:tc>
        <w:tc>
          <w:tcPr>
            <w:tcW w:w="6295" w:type="dxa"/>
            <w:tcBorders>
              <w:top w:val="single" w:sz="6" w:space="0" w:color="auto"/>
              <w:left w:val="single" w:sz="6" w:space="0" w:color="auto"/>
              <w:bottom w:val="single" w:sz="6" w:space="0" w:color="auto"/>
              <w:right w:val="single" w:sz="4" w:space="0" w:color="auto"/>
            </w:tcBorders>
          </w:tcPr>
          <w:p w14:paraId="208840AB" w14:textId="77777777" w:rsidR="008F2405" w:rsidRPr="008F2405" w:rsidRDefault="008F2405" w:rsidP="008F2405">
            <w:pPr>
              <w:keepNext/>
            </w:pPr>
          </w:p>
        </w:tc>
      </w:tr>
      <w:tr w:rsidR="008F2405" w:rsidRPr="008F2405" w14:paraId="62EEB67E" w14:textId="77777777" w:rsidTr="00BF4F5D">
        <w:trPr>
          <w:cantSplit/>
          <w:trHeight w:val="432"/>
          <w:jc w:val="center"/>
        </w:trPr>
        <w:tc>
          <w:tcPr>
            <w:tcW w:w="1343" w:type="dxa"/>
            <w:tcBorders>
              <w:top w:val="single" w:sz="6" w:space="0" w:color="auto"/>
              <w:left w:val="single" w:sz="4" w:space="0" w:color="auto"/>
              <w:bottom w:val="single" w:sz="6" w:space="0" w:color="auto"/>
              <w:right w:val="single" w:sz="6" w:space="0" w:color="auto"/>
            </w:tcBorders>
          </w:tcPr>
          <w:p w14:paraId="0CDB17E5" w14:textId="77777777" w:rsidR="008F2405" w:rsidRPr="008F2405" w:rsidRDefault="008F2405" w:rsidP="008F2405">
            <w:pPr>
              <w:keepNext/>
            </w:pPr>
            <w:r w:rsidRPr="008F2405">
              <w:t>Confidence variability</w:t>
            </w:r>
          </w:p>
        </w:tc>
        <w:tc>
          <w:tcPr>
            <w:tcW w:w="1036" w:type="dxa"/>
            <w:tcBorders>
              <w:top w:val="single" w:sz="6" w:space="0" w:color="auto"/>
              <w:left w:val="single" w:sz="6" w:space="0" w:color="auto"/>
              <w:bottom w:val="single" w:sz="6" w:space="0" w:color="auto"/>
              <w:right w:val="single" w:sz="6" w:space="0" w:color="auto"/>
            </w:tcBorders>
          </w:tcPr>
          <w:p w14:paraId="4C305B49" w14:textId="77777777" w:rsidR="008F2405" w:rsidRPr="008F2405" w:rsidRDefault="008F2405" w:rsidP="008F2405">
            <w:pPr>
              <w:keepNext/>
              <w:jc w:val="center"/>
            </w:pPr>
            <w:r w:rsidRPr="008F2405">
              <w:t>50%</w:t>
            </w:r>
          </w:p>
        </w:tc>
        <w:tc>
          <w:tcPr>
            <w:tcW w:w="6295" w:type="dxa"/>
            <w:tcBorders>
              <w:top w:val="single" w:sz="6" w:space="0" w:color="auto"/>
              <w:left w:val="single" w:sz="6" w:space="0" w:color="auto"/>
              <w:bottom w:val="single" w:sz="6" w:space="0" w:color="auto"/>
              <w:right w:val="single" w:sz="4" w:space="0" w:color="auto"/>
            </w:tcBorders>
          </w:tcPr>
          <w:p w14:paraId="762ACC5B" w14:textId="77777777" w:rsidR="008F2405" w:rsidRPr="008F2405" w:rsidRDefault="008F2405" w:rsidP="008F2405">
            <w:pPr>
              <w:keepNext/>
            </w:pPr>
            <w:r w:rsidRPr="008F2405">
              <w:t>(Also called situational variability)</w:t>
            </w:r>
          </w:p>
        </w:tc>
      </w:tr>
      <w:tr w:rsidR="008F2405" w:rsidRPr="008F2405" w14:paraId="452E5B5F" w14:textId="77777777" w:rsidTr="00BF4F5D">
        <w:trPr>
          <w:cantSplit/>
          <w:trHeight w:val="432"/>
          <w:jc w:val="center"/>
        </w:trPr>
        <w:tc>
          <w:tcPr>
            <w:tcW w:w="1343" w:type="dxa"/>
            <w:tcBorders>
              <w:top w:val="single" w:sz="6" w:space="0" w:color="auto"/>
              <w:left w:val="single" w:sz="4" w:space="0" w:color="auto"/>
              <w:bottom w:val="single" w:sz="6" w:space="0" w:color="auto"/>
              <w:right w:val="single" w:sz="6" w:space="0" w:color="auto"/>
            </w:tcBorders>
          </w:tcPr>
          <w:p w14:paraId="7ADBEE4A" w14:textId="77777777" w:rsidR="008F2405" w:rsidRPr="008F2405" w:rsidRDefault="008F2405" w:rsidP="008F2405">
            <w:pPr>
              <w:keepNext/>
            </w:pPr>
            <w:r w:rsidRPr="008F2405">
              <w:t>Error Flag</w:t>
            </w:r>
          </w:p>
        </w:tc>
        <w:tc>
          <w:tcPr>
            <w:tcW w:w="1036" w:type="dxa"/>
            <w:tcBorders>
              <w:top w:val="single" w:sz="6" w:space="0" w:color="auto"/>
              <w:left w:val="single" w:sz="6" w:space="0" w:color="auto"/>
              <w:bottom w:val="single" w:sz="6" w:space="0" w:color="auto"/>
              <w:right w:val="single" w:sz="6" w:space="0" w:color="auto"/>
            </w:tcBorders>
          </w:tcPr>
          <w:p w14:paraId="62518A03" w14:textId="77777777" w:rsidR="008F2405" w:rsidRPr="008F2405" w:rsidRDefault="008F2405" w:rsidP="008F2405">
            <w:pPr>
              <w:keepNext/>
              <w:jc w:val="center"/>
            </w:pPr>
            <w:r w:rsidRPr="008F2405">
              <w:t>Ignore</w:t>
            </w:r>
          </w:p>
        </w:tc>
        <w:tc>
          <w:tcPr>
            <w:tcW w:w="6295" w:type="dxa"/>
            <w:tcBorders>
              <w:top w:val="single" w:sz="6" w:space="0" w:color="auto"/>
              <w:left w:val="single" w:sz="6" w:space="0" w:color="auto"/>
              <w:bottom w:val="single" w:sz="6" w:space="0" w:color="auto"/>
              <w:right w:val="single" w:sz="4" w:space="0" w:color="auto"/>
            </w:tcBorders>
          </w:tcPr>
          <w:p w14:paraId="6D287C1D" w14:textId="77777777" w:rsidR="008F2405" w:rsidRPr="008F2405" w:rsidRDefault="008F2405" w:rsidP="008F2405">
            <w:pPr>
              <w:keepNext/>
            </w:pPr>
            <w:r w:rsidRPr="008F2405">
              <w:t>Accept pathloss value that is returned by Longley-Rice code</w:t>
            </w:r>
          </w:p>
        </w:tc>
      </w:tr>
      <w:tr w:rsidR="008F2405" w:rsidRPr="008F2405" w14:paraId="694839AD" w14:textId="77777777" w:rsidTr="00BF4F5D">
        <w:trPr>
          <w:cantSplit/>
          <w:trHeight w:val="432"/>
          <w:jc w:val="center"/>
        </w:trPr>
        <w:tc>
          <w:tcPr>
            <w:tcW w:w="8674" w:type="dxa"/>
            <w:gridSpan w:val="3"/>
            <w:tcBorders>
              <w:top w:val="single" w:sz="6" w:space="0" w:color="auto"/>
              <w:left w:val="single" w:sz="4" w:space="0" w:color="auto"/>
              <w:bottom w:val="single" w:sz="4" w:space="0" w:color="auto"/>
              <w:right w:val="single" w:sz="4" w:space="0" w:color="auto"/>
            </w:tcBorders>
          </w:tcPr>
          <w:p w14:paraId="1E7428A6" w14:textId="037F5F97" w:rsidR="008F2405" w:rsidRPr="008F2405" w:rsidRDefault="008F2405" w:rsidP="008F2405">
            <w:pPr>
              <w:keepNext/>
              <w:ind w:left="270" w:right="216"/>
              <w:jc w:val="both"/>
              <w:rPr>
                <w:szCs w:val="22"/>
              </w:rPr>
            </w:pPr>
            <w:r w:rsidRPr="008F2405">
              <w:rPr>
                <w:b/>
                <w:szCs w:val="22"/>
              </w:rPr>
              <w:t>Note 1</w:t>
            </w:r>
            <w:r w:rsidRPr="008F2405">
              <w:rPr>
                <w:szCs w:val="22"/>
              </w:rPr>
              <w:t xml:space="preserve">.  HG(1) is the height of the transmitting antenna radiation center above ground.  For TV, it is determined by subtracting the ground elevation above mean sea level (AMSL) at the transmitter location from the height of the radiation center AMSL.  The latter value is contained in the FCC's CDBS, and may be found by query at </w:t>
            </w:r>
            <w:hyperlink r:id="rId19" w:history="1">
              <w:r w:rsidRPr="008F2405">
                <w:rPr>
                  <w:color w:val="0000FF"/>
                  <w:szCs w:val="22"/>
                  <w:u w:val="single"/>
                </w:rPr>
                <w:t>http://www.fcc.gov/mb/video/tvq.html</w:t>
              </w:r>
            </w:hyperlink>
            <w:r w:rsidRPr="008F2405">
              <w:rPr>
                <w:szCs w:val="22"/>
              </w:rPr>
              <w:t>.  The former is retrieved from the terrain elevation database as a function of the transmitter site coordinates also found in CDBS.  Bilinear interpolation between the surrounding data points in the terrain database is used to determine the ground elevation.  Care should be used to ensure that consistent horizontal and vertical datums are employed among all data sets.</w:t>
            </w:r>
          </w:p>
        </w:tc>
      </w:tr>
    </w:tbl>
    <w:p w14:paraId="12D985BB" w14:textId="77777777" w:rsidR="008F2405" w:rsidRPr="004E3A8D" w:rsidRDefault="008F2405" w:rsidP="006A744E">
      <w:pPr>
        <w:keepNext/>
        <w:spacing w:before="120" w:after="240"/>
        <w:jc w:val="center"/>
        <w:rPr>
          <w:szCs w:val="22"/>
        </w:rPr>
      </w:pPr>
      <w:bookmarkStart w:id="864" w:name="_Ref396401391"/>
      <w:r w:rsidRPr="004E3A8D">
        <w:rPr>
          <w:szCs w:val="22"/>
        </w:rPr>
        <w:t xml:space="preserve">Table </w:t>
      </w:r>
      <w:r w:rsidRPr="004E3A8D">
        <w:rPr>
          <w:szCs w:val="22"/>
        </w:rPr>
        <w:fldChar w:fldCharType="begin"/>
      </w:r>
      <w:r w:rsidRPr="004E3A8D">
        <w:rPr>
          <w:szCs w:val="22"/>
        </w:rPr>
        <w:instrText xml:space="preserve"> SEQ Table \* ARABIC </w:instrText>
      </w:r>
      <w:r w:rsidRPr="004E3A8D">
        <w:rPr>
          <w:szCs w:val="22"/>
        </w:rPr>
        <w:fldChar w:fldCharType="separate"/>
      </w:r>
      <w:r w:rsidR="00656F50">
        <w:rPr>
          <w:noProof/>
          <w:szCs w:val="22"/>
        </w:rPr>
        <w:t>6</w:t>
      </w:r>
      <w:r w:rsidRPr="004E3A8D">
        <w:rPr>
          <w:szCs w:val="22"/>
        </w:rPr>
        <w:fldChar w:fldCharType="end"/>
      </w:r>
      <w:bookmarkEnd w:id="864"/>
      <w:r w:rsidRPr="004E3A8D">
        <w:rPr>
          <w:szCs w:val="22"/>
        </w:rPr>
        <w:t>.  Longley-Rice parameter values for ISIX Cases 1 and 2</w:t>
      </w:r>
    </w:p>
    <w:p w14:paraId="3DEC0F48" w14:textId="77777777" w:rsidR="008F2405" w:rsidRPr="006A744E" w:rsidRDefault="00C21C0C" w:rsidP="006A744E">
      <w:pPr>
        <w:pStyle w:val="Heading1"/>
        <w:rPr>
          <w:b w:val="0"/>
          <w:caps w:val="0"/>
          <w:lang w:eastAsia="ja-JP"/>
        </w:rPr>
      </w:pPr>
      <w:bookmarkStart w:id="865" w:name="_Toc397962835"/>
      <w:bookmarkStart w:id="866" w:name="_Toc396560848"/>
      <w:bookmarkStart w:id="867" w:name="_Toc397962836"/>
      <w:bookmarkStart w:id="868" w:name="_Toc398023612"/>
      <w:bookmarkStart w:id="869" w:name="_Toc398903005"/>
      <w:bookmarkStart w:id="870" w:name="_Toc398903328"/>
      <w:bookmarkStart w:id="871" w:name="_Toc398903517"/>
      <w:bookmarkStart w:id="872" w:name="_Toc398904114"/>
      <w:bookmarkStart w:id="873" w:name="_Toc398904622"/>
      <w:bookmarkStart w:id="874" w:name="_Toc401305982"/>
      <w:bookmarkStart w:id="875" w:name="_Toc401306658"/>
      <w:bookmarkStart w:id="876" w:name="_Toc401306727"/>
      <w:bookmarkEnd w:id="865"/>
      <w:r>
        <w:rPr>
          <w:u w:val="single"/>
          <w:lang w:eastAsia="ja-JP"/>
        </w:rPr>
        <w:t>Predicting Interference From</w:t>
      </w:r>
      <w:r w:rsidR="008F2405" w:rsidRPr="006A744E">
        <w:rPr>
          <w:u w:val="single"/>
          <w:lang w:eastAsia="ja-JP"/>
        </w:rPr>
        <w:t xml:space="preserve"> wireless to DTV (Cases 3 and 4)</w:t>
      </w:r>
      <w:bookmarkEnd w:id="866"/>
      <w:bookmarkEnd w:id="867"/>
      <w:bookmarkEnd w:id="868"/>
      <w:bookmarkEnd w:id="869"/>
      <w:bookmarkEnd w:id="870"/>
      <w:bookmarkEnd w:id="871"/>
      <w:bookmarkEnd w:id="872"/>
      <w:bookmarkEnd w:id="873"/>
      <w:bookmarkEnd w:id="874"/>
      <w:bookmarkEnd w:id="875"/>
      <w:bookmarkEnd w:id="876"/>
    </w:p>
    <w:p w14:paraId="2413076A" w14:textId="77777777" w:rsidR="008F2405" w:rsidRPr="008F2405" w:rsidRDefault="008F2405" w:rsidP="006A744E">
      <w:pPr>
        <w:pStyle w:val="ParaNum"/>
        <w:rPr>
          <w:lang w:eastAsia="ja-JP"/>
        </w:rPr>
      </w:pPr>
      <w:r w:rsidRPr="008F2405">
        <w:rPr>
          <w:lang w:eastAsia="ja-JP"/>
        </w:rPr>
        <w:t xml:space="preserve">Cases 3 and 4 involve interference caused by a co- or adjacent-channel base station or UE transmitter to a DTV receiver, respectively.  Evaluations of interference from wireless base stations to DTV stations (Case 3) are to be performed during the broadcast television incentive auction using a methodology that </w:t>
      </w:r>
      <w:r w:rsidRPr="008F2405">
        <w:t>examines</w:t>
      </w:r>
      <w:r w:rsidRPr="008F2405">
        <w:rPr>
          <w:lang w:eastAsia="ja-JP"/>
        </w:rPr>
        <w:t xml:space="preserve"> the desired-to-undesired (D/U) field strength ratio between a desired DTV transmitter and a series of uniformly distributed hypothetical base station transmitters operating with typical parameters.  Case 3 impaired locations (“restricted” portions of a wireless license area) are then defined by the county boundaries</w:t>
      </w:r>
      <w:r w:rsidRPr="008F2405">
        <w:rPr>
          <w:sz w:val="20"/>
          <w:vertAlign w:val="superscript"/>
          <w:lang w:eastAsia="ja-JP"/>
        </w:rPr>
        <w:footnoteReference w:id="295"/>
      </w:r>
      <w:r w:rsidRPr="008F2405">
        <w:rPr>
          <w:lang w:eastAsia="ja-JP"/>
        </w:rPr>
        <w:t xml:space="preserve"> from within which at least one hypothetical base station transmitter is predicted to cause interference based on specified D/U threshold values.  In the case of UE interference to DTV receivers (Case 4) impaired locations are defined by the collection of all the 2-kilometer grid points that fall inside the DTV </w:t>
      </w:r>
      <w:r w:rsidRPr="008F2405">
        <w:t>station’s</w:t>
      </w:r>
      <w:r w:rsidRPr="008F2405">
        <w:rPr>
          <w:lang w:eastAsia="ja-JP"/>
        </w:rPr>
        <w:t xml:space="preserve"> protected contour or noise-limited </w:t>
      </w:r>
      <w:r w:rsidR="00C201F7">
        <w:rPr>
          <w:lang w:eastAsia="ja-JP"/>
        </w:rPr>
        <w:t xml:space="preserve">contour </w:t>
      </w:r>
      <w:r w:rsidRPr="008F2405">
        <w:rPr>
          <w:lang w:eastAsia="ja-JP"/>
        </w:rPr>
        <w:t xml:space="preserve">and within a specified separation distance outside the DTV station’s contour. </w:t>
      </w:r>
    </w:p>
    <w:p w14:paraId="09102136" w14:textId="77777777" w:rsidR="008F2405" w:rsidRPr="008F2405" w:rsidRDefault="008F2405" w:rsidP="00E43935">
      <w:pPr>
        <w:pStyle w:val="ParaNum"/>
        <w:keepNext/>
        <w:widowControl/>
        <w:rPr>
          <w:lang w:eastAsia="ja-JP"/>
        </w:rPr>
      </w:pPr>
      <w:bookmarkStart w:id="877" w:name="_Ref398033392"/>
      <w:r w:rsidRPr="008F2405">
        <w:rPr>
          <w:i/>
          <w:u w:val="single"/>
          <w:lang w:eastAsia="ja-JP"/>
        </w:rPr>
        <w:t>Case 3</w:t>
      </w:r>
      <w:r w:rsidRPr="008F2405">
        <w:rPr>
          <w:lang w:eastAsia="ja-JP"/>
        </w:rPr>
        <w:t>.  The DTV station is replicated onto TV channel 38</w:t>
      </w:r>
      <w:r w:rsidRPr="008F2405">
        <w:rPr>
          <w:sz w:val="20"/>
          <w:vertAlign w:val="superscript"/>
          <w:lang w:eastAsia="ja-JP"/>
        </w:rPr>
        <w:footnoteReference w:id="296"/>
      </w:r>
      <w:r w:rsidRPr="008F2405">
        <w:rPr>
          <w:lang w:eastAsia="ja-JP"/>
        </w:rPr>
        <w:t xml:space="preserve"> and its contour is calculated.  The area within DTV station’s contour is then divided into 2-kilometer grid cells and the desired DTV field strength at the population centroid of the grid cell is calculated.  In cases where the grid cell does not contain population, the geom</w:t>
      </w:r>
      <w:r w:rsidRPr="008F2405">
        <w:t>e</w:t>
      </w:r>
      <w:r w:rsidRPr="008F2405">
        <w:rPr>
          <w:lang w:eastAsia="ja-JP"/>
        </w:rPr>
        <w:t>tric center of the grid cell is selected as the calculation point.  To calculate the undesired field strength, we sample the surrounding license areas by placing uniformly spaced hypothetical wireless base stations every 10 kilometers</w:t>
      </w:r>
      <w:r w:rsidRPr="008F2405">
        <w:rPr>
          <w:sz w:val="20"/>
          <w:vertAlign w:val="superscript"/>
        </w:rPr>
        <w:footnoteReference w:id="297"/>
      </w:r>
      <w:r w:rsidRPr="008F2405">
        <w:rPr>
          <w:lang w:eastAsia="ja-JP"/>
        </w:rPr>
        <w:t xml:space="preserve"> with transmitting antennas at 30 meters above average terrain.</w:t>
      </w:r>
      <w:r w:rsidRPr="008F2405">
        <w:rPr>
          <w:sz w:val="20"/>
          <w:vertAlign w:val="superscript"/>
          <w:lang w:eastAsia="ja-JP"/>
        </w:rPr>
        <w:footnoteReference w:id="298"/>
      </w:r>
      <w:r w:rsidRPr="008F2405">
        <w:rPr>
          <w:lang w:eastAsia="ja-JP"/>
        </w:rPr>
        <w:t xml:space="preserve">  Each hypothetical base station is set up to transmit on the TV channel 38 center frequency.  We limit the number of hypothetical base stations considered to those that fall within 500 kilometers of the DTV facility.</w:t>
      </w:r>
      <w:bookmarkEnd w:id="877"/>
    </w:p>
    <w:p w14:paraId="4AD6D4D5" w14:textId="77777777" w:rsidR="008F2405" w:rsidRPr="008F2405" w:rsidRDefault="008F2405" w:rsidP="006A744E">
      <w:pPr>
        <w:pStyle w:val="ParaNum"/>
        <w:rPr>
          <w:lang w:eastAsia="ja-JP"/>
        </w:rPr>
      </w:pPr>
      <w:r w:rsidRPr="008F2405">
        <w:rPr>
          <w:lang w:eastAsia="ja-JP"/>
        </w:rPr>
        <w:t xml:space="preserve">The undesired field strength from each hypothetical base station within </w:t>
      </w:r>
      <w:r w:rsidR="001D230E">
        <w:rPr>
          <w:lang w:eastAsia="ja-JP"/>
        </w:rPr>
        <w:t>300</w:t>
      </w:r>
      <w:r w:rsidR="001D230E" w:rsidRPr="008F2405">
        <w:rPr>
          <w:lang w:eastAsia="ja-JP"/>
        </w:rPr>
        <w:t xml:space="preserve"> </w:t>
      </w:r>
      <w:r w:rsidRPr="008F2405">
        <w:rPr>
          <w:lang w:eastAsia="ja-JP"/>
        </w:rPr>
        <w:t xml:space="preserve">kilometers of a 2-kilometer grid cell is then predicted and a D/U ratio is determined.  </w:t>
      </w:r>
      <w:r w:rsidRPr="008F2405">
        <w:t xml:space="preserve">The interference analysis for TV reception examines only </w:t>
      </w:r>
      <w:r w:rsidRPr="008F2405">
        <w:rPr>
          <w:lang w:eastAsia="ja-JP"/>
        </w:rPr>
        <w:t>those</w:t>
      </w:r>
      <w:r w:rsidRPr="008F2405">
        <w:t xml:space="preserve"> cells across the global 2-kilometer grid that have already been determined to have a desired field above the field strength threshold for DTV reception given in </w:t>
      </w:r>
      <w:r w:rsidRPr="008F2405">
        <w:fldChar w:fldCharType="begin"/>
      </w:r>
      <w:r w:rsidRPr="008F2405">
        <w:instrText xml:space="preserve"> REF _Ref396475611 \h </w:instrText>
      </w:r>
      <w:r w:rsidRPr="008F2405">
        <w:fldChar w:fldCharType="separate"/>
      </w:r>
      <w:r w:rsidR="00656F50" w:rsidRPr="00435828">
        <w:t xml:space="preserve">Table </w:t>
      </w:r>
      <w:r w:rsidR="00656F50">
        <w:rPr>
          <w:noProof/>
        </w:rPr>
        <w:t>9</w:t>
      </w:r>
      <w:r w:rsidRPr="008F2405">
        <w:fldChar w:fldCharType="end"/>
      </w:r>
      <w:r w:rsidRPr="008F2405">
        <w:t xml:space="preserve"> or </w:t>
      </w:r>
      <w:r w:rsidRPr="008F2405">
        <w:fldChar w:fldCharType="begin"/>
      </w:r>
      <w:r w:rsidRPr="008F2405">
        <w:instrText xml:space="preserve"> REF _Ref396475627 \h </w:instrText>
      </w:r>
      <w:r w:rsidRPr="008F2405">
        <w:fldChar w:fldCharType="separate"/>
      </w:r>
      <w:r w:rsidR="00656F50" w:rsidRPr="00435828">
        <w:t xml:space="preserve">Table </w:t>
      </w:r>
      <w:r w:rsidR="00656F50">
        <w:rPr>
          <w:noProof/>
        </w:rPr>
        <w:t>10</w:t>
      </w:r>
      <w:r w:rsidRPr="008F2405">
        <w:fldChar w:fldCharType="end"/>
      </w:r>
      <w:r w:rsidRPr="008F2405">
        <w:t>,</w:t>
      </w:r>
      <w:r w:rsidRPr="008F2405">
        <w:rPr>
          <w:bCs/>
        </w:rPr>
        <w:t xml:space="preserve"> as appropriate</w:t>
      </w:r>
      <w:r w:rsidRPr="008F2405">
        <w:t xml:space="preserve">.  A cell on the global 2-kilometer grid is counted as receiving interference to TV if the ratio of the desired field strength to that of any one of the possible undesired wireless interference sources is less than the applicable threshold value </w:t>
      </w:r>
      <w:r w:rsidRPr="008F2405">
        <w:rPr>
          <w:lang w:eastAsia="ja-JP"/>
        </w:rPr>
        <w:t xml:space="preserve">specified in </w:t>
      </w:r>
      <w:r w:rsidRPr="008F2405">
        <w:rPr>
          <w:lang w:eastAsia="ja-JP"/>
        </w:rPr>
        <w:fldChar w:fldCharType="begin"/>
      </w:r>
      <w:r w:rsidRPr="008F2405">
        <w:rPr>
          <w:lang w:eastAsia="ja-JP"/>
        </w:rPr>
        <w:instrText xml:space="preserve"> REF _Ref393707635 \h  \* MERGEFORMAT </w:instrText>
      </w:r>
      <w:r w:rsidRPr="008F2405">
        <w:rPr>
          <w:lang w:eastAsia="ja-JP"/>
        </w:rPr>
      </w:r>
      <w:r w:rsidRPr="008F2405">
        <w:rPr>
          <w:lang w:eastAsia="ja-JP"/>
        </w:rPr>
        <w:fldChar w:fldCharType="separate"/>
      </w:r>
      <w:r w:rsidR="00656F50" w:rsidRPr="00435828">
        <w:t xml:space="preserve">Table </w:t>
      </w:r>
      <w:r w:rsidR="00656F50">
        <w:rPr>
          <w:noProof/>
        </w:rPr>
        <w:t>7</w:t>
      </w:r>
      <w:r w:rsidRPr="008F2405">
        <w:rPr>
          <w:lang w:eastAsia="ja-JP"/>
        </w:rPr>
        <w:fldChar w:fldCharType="end"/>
      </w:r>
      <w:r w:rsidRPr="008F2405">
        <w:rPr>
          <w:lang w:eastAsia="ja-JP"/>
        </w:rPr>
        <w:t>.  The comparison is made after the discrimination effect of the receiving TV antenna is applied to the undesired field</w:t>
      </w:r>
      <w:r w:rsidR="00644703">
        <w:rPr>
          <w:lang w:eastAsia="ja-JP"/>
        </w:rPr>
        <w:t xml:space="preserve"> strength for a given cell</w:t>
      </w:r>
      <w:r w:rsidRPr="008F2405">
        <w:rPr>
          <w:lang w:eastAsia="ja-JP"/>
        </w:rPr>
        <w:t xml:space="preserve">.  The assumed parameters of the hypothetical base stations are provided in </w:t>
      </w:r>
      <w:r w:rsidRPr="008F2405">
        <w:rPr>
          <w:lang w:eastAsia="ja-JP"/>
        </w:rPr>
        <w:fldChar w:fldCharType="begin"/>
      </w:r>
      <w:r w:rsidRPr="008F2405">
        <w:rPr>
          <w:lang w:eastAsia="ja-JP"/>
        </w:rPr>
        <w:instrText xml:space="preserve"> REF _Ref393705761 \h  \* MERGEFORMAT </w:instrText>
      </w:r>
      <w:r w:rsidRPr="008F2405">
        <w:rPr>
          <w:lang w:eastAsia="ja-JP"/>
        </w:rPr>
      </w:r>
      <w:r w:rsidRPr="008F2405">
        <w:rPr>
          <w:lang w:eastAsia="ja-JP"/>
        </w:rPr>
        <w:fldChar w:fldCharType="separate"/>
      </w:r>
      <w:r w:rsidR="00656F50" w:rsidRPr="00656F50">
        <w:rPr>
          <w:lang w:eastAsia="ja-JP"/>
        </w:rPr>
        <w:t>Table 13</w:t>
      </w:r>
      <w:r w:rsidRPr="008F2405">
        <w:rPr>
          <w:lang w:eastAsia="ja-JP"/>
        </w:rPr>
        <w:fldChar w:fldCharType="end"/>
      </w:r>
      <w:r w:rsidRPr="008F2405">
        <w:rPr>
          <w:lang w:eastAsia="ja-JP"/>
        </w:rPr>
        <w:t xml:space="preserve">.  </w:t>
      </w:r>
    </w:p>
    <w:p w14:paraId="2EAFBC68" w14:textId="77777777" w:rsidR="008F2405" w:rsidRPr="008F2405" w:rsidRDefault="008F2405" w:rsidP="006A744E">
      <w:pPr>
        <w:pStyle w:val="ParaNum"/>
      </w:pPr>
      <w:r w:rsidRPr="008F2405">
        <w:rPr>
          <w:lang w:eastAsia="ja-JP"/>
        </w:rPr>
        <w:t xml:space="preserve">Each grid point inside the DTV station’s </w:t>
      </w:r>
      <w:r w:rsidRPr="005222A4">
        <w:rPr>
          <w:lang w:eastAsia="ja-JP"/>
        </w:rPr>
        <w:t>contour where</w:t>
      </w:r>
      <w:r w:rsidRPr="008F2405">
        <w:rPr>
          <w:lang w:eastAsia="ja-JP"/>
        </w:rPr>
        <w:t xml:space="preserve"> the predicted D/U ratio falls below the appropriate threshold value is noted along with the corresponding hypothetical base station location causing the predicted interference.  </w:t>
      </w:r>
      <w:r w:rsidRPr="008F2405">
        <w:t>All county areas corresponding with a 10-kilometer grid area from which a hypothetical base station causes interference to DTV service are then noted as impaired locations, resulting in restrict</w:t>
      </w:r>
      <w:r w:rsidR="005222A4">
        <w:t xml:space="preserve">ions </w:t>
      </w:r>
      <w:r w:rsidRPr="008F2405">
        <w:t xml:space="preserve">in wireless </w:t>
      </w:r>
      <w:r w:rsidR="005222A4">
        <w:t>license areas</w:t>
      </w:r>
      <w:r w:rsidRPr="008F2405">
        <w:t>.</w:t>
      </w:r>
    </w:p>
    <w:p w14:paraId="26DBB122" w14:textId="77777777" w:rsidR="008F2405" w:rsidRPr="008F2405" w:rsidRDefault="008F2405" w:rsidP="006A744E">
      <w:pPr>
        <w:pStyle w:val="ParaNum"/>
        <w:rPr>
          <w:lang w:eastAsia="ja-JP"/>
        </w:rPr>
      </w:pPr>
      <w:r w:rsidRPr="008F2405">
        <w:rPr>
          <w:lang w:eastAsia="ja-JP"/>
        </w:rPr>
        <w:fldChar w:fldCharType="begin"/>
      </w:r>
      <w:r w:rsidRPr="008F2405">
        <w:rPr>
          <w:lang w:eastAsia="ja-JP"/>
        </w:rPr>
        <w:instrText xml:space="preserve"> REF _Ref396371985 \h  \* MERGEFORMAT </w:instrText>
      </w:r>
      <w:r w:rsidRPr="008F2405">
        <w:rPr>
          <w:lang w:eastAsia="ja-JP"/>
        </w:rPr>
      </w:r>
      <w:r w:rsidRPr="008F2405">
        <w:rPr>
          <w:lang w:eastAsia="ja-JP"/>
        </w:rPr>
        <w:fldChar w:fldCharType="separate"/>
      </w:r>
      <w:r w:rsidR="00656F50" w:rsidRPr="00435828">
        <w:t xml:space="preserve">Figure </w:t>
      </w:r>
      <w:r w:rsidR="00656F50">
        <w:rPr>
          <w:noProof/>
        </w:rPr>
        <w:t>3</w:t>
      </w:r>
      <w:r w:rsidRPr="008F2405">
        <w:rPr>
          <w:lang w:eastAsia="ja-JP"/>
        </w:rPr>
        <w:fldChar w:fldCharType="end"/>
      </w:r>
      <w:r w:rsidRPr="008F2405">
        <w:rPr>
          <w:lang w:eastAsia="ja-JP"/>
        </w:rPr>
        <w:t xml:space="preserve"> illustrates how the how spectral overlaps and D/U threshold values are to be used for a Case 3 ISIX analysis.  In the figure, the sample locations of the hypothetical base stations are shown as “+”.  The hypothetical base stations that cause interference to any 2-kilometer grid cell within the repacked TV station’s contour are shown </w:t>
      </w:r>
      <w:r w:rsidR="00CC062A">
        <w:rPr>
          <w:lang w:eastAsia="ja-JP"/>
        </w:rPr>
        <w:t xml:space="preserve">as </w:t>
      </w:r>
      <w:r w:rsidR="00CC062A" w:rsidRPr="00EE61F6">
        <w:rPr>
          <w:noProof/>
          <w:snapToGrid/>
        </w:rPr>
        <w:drawing>
          <wp:inline distT="0" distB="0" distL="0" distR="0" wp14:anchorId="6FD8835A" wp14:editId="60340BA7">
            <wp:extent cx="103505" cy="977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Pr="008F2405">
        <w:rPr>
          <w:lang w:eastAsia="ja-JP"/>
        </w:rPr>
        <w:t xml:space="preserve">.  </w:t>
      </w:r>
    </w:p>
    <w:p w14:paraId="5527268A" w14:textId="77777777" w:rsidR="008F2405" w:rsidRPr="008F2405" w:rsidRDefault="005377B2" w:rsidP="008F2405">
      <w:pPr>
        <w:keepNext/>
        <w:ind w:firstLine="720"/>
      </w:pPr>
      <w:r w:rsidRPr="00EE61F6">
        <w:rPr>
          <w:noProof/>
          <w:snapToGrid/>
        </w:rPr>
        <w:drawing>
          <wp:inline distT="0" distB="0" distL="0" distR="0" wp14:anchorId="47AFFE87" wp14:editId="45C45A5C">
            <wp:extent cx="4639229" cy="1828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9229" cy="1828800"/>
                    </a:xfrm>
                    <a:prstGeom prst="rect">
                      <a:avLst/>
                    </a:prstGeom>
                    <a:noFill/>
                  </pic:spPr>
                </pic:pic>
              </a:graphicData>
            </a:graphic>
          </wp:inline>
        </w:drawing>
      </w:r>
    </w:p>
    <w:p w14:paraId="59FE5705" w14:textId="77777777" w:rsidR="008F2405" w:rsidRPr="00435828" w:rsidRDefault="008F2405" w:rsidP="006A744E">
      <w:pPr>
        <w:spacing w:before="120" w:after="240"/>
        <w:jc w:val="center"/>
        <w:rPr>
          <w:lang w:eastAsia="ja-JP"/>
        </w:rPr>
      </w:pPr>
      <w:bookmarkStart w:id="878" w:name="_Ref396371985"/>
      <w:r w:rsidRPr="00435828">
        <w:t xml:space="preserve">Figure </w:t>
      </w:r>
      <w:r w:rsidR="000302DB">
        <w:fldChar w:fldCharType="begin"/>
      </w:r>
      <w:r w:rsidR="000302DB">
        <w:instrText xml:space="preserve"> SEQ Figure \* ARABIC </w:instrText>
      </w:r>
      <w:r w:rsidR="000302DB">
        <w:fldChar w:fldCharType="separate"/>
      </w:r>
      <w:r w:rsidR="00656F50">
        <w:rPr>
          <w:noProof/>
        </w:rPr>
        <w:t>3</w:t>
      </w:r>
      <w:r w:rsidR="000302DB">
        <w:rPr>
          <w:noProof/>
        </w:rPr>
        <w:fldChar w:fldCharType="end"/>
      </w:r>
      <w:bookmarkEnd w:id="878"/>
      <w:r w:rsidRPr="00435828">
        <w:t>.  Illustration of Case 3 Impaired Locations (restricted operating areas)</w:t>
      </w:r>
    </w:p>
    <w:p w14:paraId="0D5D4152" w14:textId="77777777" w:rsidR="008F2405" w:rsidRPr="008F2405" w:rsidRDefault="008F2405" w:rsidP="006A744E">
      <w:pPr>
        <w:pStyle w:val="ParaNum"/>
        <w:rPr>
          <w:lang w:eastAsia="ja-JP"/>
        </w:rPr>
      </w:pPr>
      <w:r w:rsidRPr="008F2405">
        <w:rPr>
          <w:lang w:eastAsia="ja-JP"/>
        </w:rPr>
        <w:t xml:space="preserve">Interference is considered to occur at 2-kilometer grid points where the calculated D/U ratio from any hypothetical base station exceeds the specified limit based on spectral overlap.  </w:t>
      </w:r>
      <w:r w:rsidRPr="008F2405">
        <w:rPr>
          <w:lang w:eastAsia="ja-JP"/>
        </w:rPr>
        <w:fldChar w:fldCharType="begin"/>
      </w:r>
      <w:r w:rsidRPr="008F2405">
        <w:rPr>
          <w:lang w:eastAsia="ja-JP"/>
        </w:rPr>
        <w:instrText xml:space="preserve"> REF _Ref396371985 \h  \* MERGEFORMAT </w:instrText>
      </w:r>
      <w:r w:rsidRPr="008F2405">
        <w:rPr>
          <w:lang w:eastAsia="ja-JP"/>
        </w:rPr>
      </w:r>
      <w:r w:rsidRPr="008F2405">
        <w:rPr>
          <w:lang w:eastAsia="ja-JP"/>
        </w:rPr>
        <w:fldChar w:fldCharType="separate"/>
      </w:r>
      <w:r w:rsidR="00656F50" w:rsidRPr="00435828">
        <w:t xml:space="preserve">Figure </w:t>
      </w:r>
      <w:r w:rsidR="00656F50">
        <w:rPr>
          <w:noProof/>
        </w:rPr>
        <w:t>3</w:t>
      </w:r>
      <w:r w:rsidRPr="008F2405">
        <w:rPr>
          <w:lang w:eastAsia="ja-JP"/>
        </w:rPr>
        <w:fldChar w:fldCharType="end"/>
      </w:r>
      <w:r w:rsidRPr="008F2405">
        <w:rPr>
          <w:lang w:eastAsia="ja-JP"/>
        </w:rPr>
        <w:t xml:space="preserve">a shows several hypothetical base stations as causing interference (shown </w:t>
      </w:r>
      <w:r w:rsidR="005377B2">
        <w:rPr>
          <w:lang w:eastAsia="ja-JP"/>
        </w:rPr>
        <w:t>as</w:t>
      </w:r>
      <w:r w:rsidRPr="008F2405">
        <w:rPr>
          <w:lang w:eastAsia="ja-JP"/>
        </w:rPr>
        <w:t xml:space="preserve"> “</w:t>
      </w:r>
      <w:r w:rsidR="005377B2" w:rsidRPr="00EE61F6">
        <w:rPr>
          <w:noProof/>
          <w:snapToGrid/>
        </w:rPr>
        <w:drawing>
          <wp:inline distT="0" distB="0" distL="0" distR="0" wp14:anchorId="18CB42AE" wp14:editId="48C9DD16">
            <wp:extent cx="103505" cy="977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Pr="008F2405">
        <w:rPr>
          <w:lang w:eastAsia="ja-JP"/>
        </w:rPr>
        <w:t xml:space="preserve">”) to at least one 2-kilometer grid cell of the repacked TV station based on a spectral overlap of +5 MHz and a corresponding D/U threshold of X dB.  County areas A and B are both marked as impaired locations within the PEA license area because their areas both intersect with at least one 10-kilometer grid area containing an interference causing hypothetical base station.  In </w:t>
      </w:r>
      <w:r w:rsidRPr="008F2405">
        <w:rPr>
          <w:lang w:eastAsia="ja-JP"/>
        </w:rPr>
        <w:fldChar w:fldCharType="begin"/>
      </w:r>
      <w:r w:rsidRPr="008F2405">
        <w:rPr>
          <w:lang w:eastAsia="ja-JP"/>
        </w:rPr>
        <w:instrText xml:space="preserve"> REF _Ref396371985 \h  \* MERGEFORMAT </w:instrText>
      </w:r>
      <w:r w:rsidRPr="008F2405">
        <w:rPr>
          <w:lang w:eastAsia="ja-JP"/>
        </w:rPr>
      </w:r>
      <w:r w:rsidRPr="008F2405">
        <w:rPr>
          <w:lang w:eastAsia="ja-JP"/>
        </w:rPr>
        <w:fldChar w:fldCharType="separate"/>
      </w:r>
      <w:r w:rsidR="00656F50" w:rsidRPr="00435828">
        <w:t xml:space="preserve">Figure </w:t>
      </w:r>
      <w:r w:rsidR="00656F50">
        <w:rPr>
          <w:noProof/>
        </w:rPr>
        <w:t>3</w:t>
      </w:r>
      <w:r w:rsidRPr="008F2405">
        <w:rPr>
          <w:lang w:eastAsia="ja-JP"/>
        </w:rPr>
        <w:fldChar w:fldCharType="end"/>
      </w:r>
      <w:r w:rsidRPr="008F2405">
        <w:rPr>
          <w:lang w:eastAsia="ja-JP"/>
        </w:rPr>
        <w:t>b, only County B area is marked as an impaired location.  This is because with the spectral overlap = 0 MHz the D/U threshold is now Y dB and several of the hypothetical base stations no longer cause interference, County A area no longer intersects with any 10-kilometer grid areas containing interference-causing hypothetical base stations.  These calculations are performed for each DTV station and each spectral overlap value to develop a complete list of Case 3 impairment locations for use during the incentive auction.</w:t>
      </w:r>
    </w:p>
    <w:p w14:paraId="4D9FACD9" w14:textId="77777777" w:rsidR="008F2405" w:rsidRPr="008F2405" w:rsidRDefault="008F2405" w:rsidP="006A744E">
      <w:pPr>
        <w:pStyle w:val="ParaNum"/>
        <w:rPr>
          <w:lang w:eastAsia="ja-JP"/>
        </w:rPr>
      </w:pPr>
      <w:r w:rsidRPr="008F2405">
        <w:rPr>
          <w:i/>
          <w:u w:val="single"/>
          <w:lang w:eastAsia="ja-JP"/>
        </w:rPr>
        <w:t>Case 4</w:t>
      </w:r>
      <w:r w:rsidRPr="008F2405">
        <w:rPr>
          <w:lang w:eastAsia="ja-JP"/>
        </w:rPr>
        <w:t xml:space="preserve">.  The area within a specified separation distance from the outer edge of the DTV station’s contour and including all area inside of the contour is divided into 2-kilometer grid cells.  Each grid cell that falls within this area is noted and marked as impaired.  The totality of these marked grid cells within any particular wireless license area becomes the restricted area of the wireless license.  Determination of whether a grid cell is inside or outside of the specified separation distance is based on the point defined by the population centroid of the 2-kilometer grid cell or by the geometric center of the grid cell, when no population is present.  Specified separation distances are based on wireless to DTV channel spectral overlap and are given in </w:t>
      </w:r>
      <w:r w:rsidRPr="008F2405">
        <w:rPr>
          <w:lang w:eastAsia="ja-JP"/>
        </w:rPr>
        <w:fldChar w:fldCharType="begin"/>
      </w:r>
      <w:r w:rsidRPr="008F2405">
        <w:rPr>
          <w:lang w:eastAsia="ja-JP"/>
        </w:rPr>
        <w:instrText xml:space="preserve"> REF _Ref396551906 \h </w:instrText>
      </w:r>
      <w:r w:rsidRPr="008F2405">
        <w:rPr>
          <w:lang w:eastAsia="ja-JP"/>
        </w:rPr>
      </w:r>
      <w:r w:rsidRPr="008F2405">
        <w:rPr>
          <w:lang w:eastAsia="ja-JP"/>
        </w:rPr>
        <w:fldChar w:fldCharType="separate"/>
      </w:r>
      <w:r w:rsidR="00656F50" w:rsidRPr="00435828">
        <w:t xml:space="preserve">Table </w:t>
      </w:r>
      <w:r w:rsidR="00656F50">
        <w:rPr>
          <w:noProof/>
        </w:rPr>
        <w:t>8</w:t>
      </w:r>
      <w:r w:rsidRPr="008F2405">
        <w:rPr>
          <w:lang w:eastAsia="ja-JP"/>
        </w:rPr>
        <w:fldChar w:fldCharType="end"/>
      </w:r>
      <w:r w:rsidRPr="008F2405">
        <w:rPr>
          <w:lang w:eastAsia="ja-JP"/>
        </w:rPr>
        <w:t xml:space="preserve">.  </w:t>
      </w:r>
    </w:p>
    <w:p w14:paraId="01B6D44E" w14:textId="77777777" w:rsidR="008F2405" w:rsidRPr="008F2405" w:rsidRDefault="008F2405" w:rsidP="00D50682">
      <w:pPr>
        <w:pStyle w:val="Heading2"/>
        <w:rPr>
          <w:lang w:eastAsia="ja-JP"/>
        </w:rPr>
      </w:pPr>
      <w:bookmarkStart w:id="879" w:name="_Toc397962837"/>
      <w:bookmarkStart w:id="880" w:name="_Toc396560849"/>
      <w:bookmarkStart w:id="881" w:name="_Toc397962838"/>
      <w:bookmarkStart w:id="882" w:name="_Toc398023613"/>
      <w:bookmarkStart w:id="883" w:name="_Toc398903006"/>
      <w:bookmarkStart w:id="884" w:name="_Toc398903329"/>
      <w:bookmarkStart w:id="885" w:name="_Toc398903518"/>
      <w:bookmarkStart w:id="886" w:name="_Toc398904115"/>
      <w:bookmarkStart w:id="887" w:name="_Toc398904623"/>
      <w:bookmarkStart w:id="888" w:name="_Toc401305983"/>
      <w:bookmarkStart w:id="889" w:name="_Toc401306659"/>
      <w:bookmarkStart w:id="890" w:name="_Toc401306728"/>
      <w:bookmarkEnd w:id="879"/>
      <w:r w:rsidRPr="008F2405">
        <w:rPr>
          <w:lang w:eastAsia="ja-JP"/>
        </w:rPr>
        <w:t>Threshold Values for Interference from Wireless Downlink into Digital Full-Power and Class A TV Stations (Case 3)</w:t>
      </w:r>
      <w:bookmarkEnd w:id="880"/>
      <w:bookmarkEnd w:id="881"/>
      <w:bookmarkEnd w:id="882"/>
      <w:bookmarkEnd w:id="883"/>
      <w:bookmarkEnd w:id="884"/>
      <w:bookmarkEnd w:id="885"/>
      <w:bookmarkEnd w:id="886"/>
      <w:bookmarkEnd w:id="887"/>
      <w:bookmarkEnd w:id="888"/>
      <w:bookmarkEnd w:id="889"/>
      <w:bookmarkEnd w:id="890"/>
    </w:p>
    <w:p w14:paraId="5DFB7526" w14:textId="77777777" w:rsidR="008F2405" w:rsidRPr="008F2405" w:rsidRDefault="008F2405" w:rsidP="006A744E">
      <w:pPr>
        <w:pStyle w:val="ParaNum"/>
      </w:pPr>
      <w:bookmarkStart w:id="891" w:name="_Ref398033709"/>
      <w:r w:rsidRPr="008F2405">
        <w:t xml:space="preserve">The threshold D/U ratios for interference to DTV service from wireless downlink operations for the varying amounts </w:t>
      </w:r>
      <w:r w:rsidRPr="008F2405">
        <w:rPr>
          <w:lang w:eastAsia="ja-JP"/>
        </w:rPr>
        <w:t>of</w:t>
      </w:r>
      <w:r w:rsidRPr="008F2405">
        <w:t xml:space="preserve"> spectral overlap are shown in </w:t>
      </w:r>
      <w:r w:rsidRPr="008F2405">
        <w:fldChar w:fldCharType="begin"/>
      </w:r>
      <w:r w:rsidRPr="008F2405">
        <w:instrText xml:space="preserve"> REF _Ref393707635 \h  \* MERGEFORMAT </w:instrText>
      </w:r>
      <w:r w:rsidRPr="008F2405">
        <w:fldChar w:fldCharType="separate"/>
      </w:r>
      <w:r w:rsidR="00656F50" w:rsidRPr="00435828">
        <w:t xml:space="preserve">Table </w:t>
      </w:r>
      <w:r w:rsidR="00656F50">
        <w:rPr>
          <w:noProof/>
        </w:rPr>
        <w:t>7</w:t>
      </w:r>
      <w:r w:rsidRPr="008F2405">
        <w:fldChar w:fldCharType="end"/>
      </w:r>
      <w:r w:rsidRPr="008F2405">
        <w:t xml:space="preserve">; a predicted D/U ratio lower than the applicable value in </w:t>
      </w:r>
      <w:r w:rsidRPr="008F2405">
        <w:fldChar w:fldCharType="begin"/>
      </w:r>
      <w:r w:rsidRPr="008F2405">
        <w:instrText xml:space="preserve"> REF _Ref393707635 \h  \* MERGEFORMAT </w:instrText>
      </w:r>
      <w:r w:rsidRPr="008F2405">
        <w:fldChar w:fldCharType="separate"/>
      </w:r>
      <w:r w:rsidR="00656F50" w:rsidRPr="00435828">
        <w:t xml:space="preserve">Table </w:t>
      </w:r>
      <w:r w:rsidR="00656F50">
        <w:rPr>
          <w:noProof/>
        </w:rPr>
        <w:t>7</w:t>
      </w:r>
      <w:r w:rsidRPr="008F2405">
        <w:fldChar w:fldCharType="end"/>
      </w:r>
      <w:r w:rsidRPr="008F2405">
        <w:t xml:space="preserve"> indicates that interference is expected in cell.  OTR is set to zero in this case because the DTV receiver bandwidth is assumed to be larger than the wireless emission.</w:t>
      </w:r>
      <w:bookmarkEnd w:id="891"/>
    </w:p>
    <w:p w14:paraId="12CA1138" w14:textId="77777777" w:rsidR="008F2405" w:rsidRPr="008F2405" w:rsidRDefault="008F2405" w:rsidP="008F2405">
      <w:pPr>
        <w:keepNext/>
        <w:keepLines/>
        <w:spacing w:after="120"/>
        <w:jc w:val="center"/>
        <w:rPr>
          <w:rFonts w:ascii="Times New Roman Bold" w:hAnsi="Times New Roman Bold"/>
          <w:b/>
        </w:rPr>
      </w:pPr>
    </w:p>
    <w:tbl>
      <w:tblPr>
        <w:tblW w:w="95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95"/>
        <w:gridCol w:w="1054"/>
        <w:gridCol w:w="1080"/>
        <w:gridCol w:w="1080"/>
        <w:gridCol w:w="1080"/>
        <w:gridCol w:w="900"/>
        <w:gridCol w:w="990"/>
        <w:gridCol w:w="1179"/>
      </w:tblGrid>
      <w:tr w:rsidR="008F2405" w:rsidRPr="008F2405" w14:paraId="53FB8655" w14:textId="77777777" w:rsidTr="00BF4F5D">
        <w:trPr>
          <w:trHeight w:val="242"/>
          <w:jc w:val="center"/>
        </w:trPr>
        <w:tc>
          <w:tcPr>
            <w:tcW w:w="2195" w:type="dxa"/>
            <w:tcBorders>
              <w:top w:val="single" w:sz="4" w:space="0" w:color="auto"/>
              <w:left w:val="single" w:sz="4" w:space="0" w:color="auto"/>
              <w:bottom w:val="single" w:sz="6" w:space="0" w:color="auto"/>
              <w:right w:val="single" w:sz="6" w:space="0" w:color="auto"/>
            </w:tcBorders>
            <w:shd w:val="clear" w:color="auto" w:fill="E0E0E0"/>
            <w:vAlign w:val="center"/>
            <w:hideMark/>
          </w:tcPr>
          <w:p w14:paraId="6D0356BA" w14:textId="77777777" w:rsidR="008F2405" w:rsidRPr="008F2405" w:rsidRDefault="008F2405" w:rsidP="008F2405">
            <w:pPr>
              <w:keepNext/>
              <w:keepLines/>
              <w:jc w:val="center"/>
              <w:rPr>
                <w:sz w:val="20"/>
              </w:rPr>
            </w:pPr>
            <w:r w:rsidRPr="008F2405">
              <w:rPr>
                <w:sz w:val="20"/>
              </w:rPr>
              <w:t>Spectral Overlap (MHz)</w:t>
            </w:r>
          </w:p>
        </w:tc>
        <w:tc>
          <w:tcPr>
            <w:tcW w:w="1054"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3422FF0E" w14:textId="77777777" w:rsidR="008F2405" w:rsidRPr="008F2405" w:rsidRDefault="008F2405" w:rsidP="008F2405">
            <w:pPr>
              <w:keepNext/>
              <w:keepLines/>
              <w:jc w:val="center"/>
              <w:rPr>
                <w:sz w:val="20"/>
              </w:rPr>
            </w:pPr>
            <w:r w:rsidRPr="008F2405">
              <w:rPr>
                <w:sz w:val="20"/>
              </w:rPr>
              <w:t>5</w:t>
            </w:r>
          </w:p>
        </w:tc>
        <w:tc>
          <w:tcPr>
            <w:tcW w:w="1080"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3D9F7BB3" w14:textId="77777777" w:rsidR="008F2405" w:rsidRPr="008F2405" w:rsidRDefault="008F2405" w:rsidP="008F2405">
            <w:pPr>
              <w:keepNext/>
              <w:keepLines/>
              <w:jc w:val="center"/>
              <w:rPr>
                <w:sz w:val="20"/>
              </w:rPr>
            </w:pPr>
            <w:r w:rsidRPr="008F2405">
              <w:rPr>
                <w:sz w:val="20"/>
              </w:rPr>
              <w:t>4</w:t>
            </w:r>
          </w:p>
        </w:tc>
        <w:tc>
          <w:tcPr>
            <w:tcW w:w="1080"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2A596409" w14:textId="77777777" w:rsidR="008F2405" w:rsidRPr="008F2405" w:rsidRDefault="008F2405" w:rsidP="008F2405">
            <w:pPr>
              <w:keepNext/>
              <w:keepLines/>
              <w:jc w:val="center"/>
              <w:rPr>
                <w:sz w:val="20"/>
              </w:rPr>
            </w:pPr>
            <w:r w:rsidRPr="008F2405">
              <w:rPr>
                <w:sz w:val="20"/>
              </w:rPr>
              <w:t>3</w:t>
            </w:r>
          </w:p>
        </w:tc>
        <w:tc>
          <w:tcPr>
            <w:tcW w:w="1080"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425F7739" w14:textId="77777777" w:rsidR="008F2405" w:rsidRPr="008F2405" w:rsidRDefault="008F2405" w:rsidP="008F2405">
            <w:pPr>
              <w:keepNext/>
              <w:keepLines/>
              <w:jc w:val="center"/>
              <w:rPr>
                <w:sz w:val="20"/>
              </w:rPr>
            </w:pPr>
            <w:r w:rsidRPr="008F2405">
              <w:rPr>
                <w:sz w:val="20"/>
              </w:rPr>
              <w:t>2</w:t>
            </w:r>
          </w:p>
        </w:tc>
        <w:tc>
          <w:tcPr>
            <w:tcW w:w="900"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636DAA42" w14:textId="77777777" w:rsidR="008F2405" w:rsidRPr="008F2405" w:rsidRDefault="008F2405" w:rsidP="008F2405">
            <w:pPr>
              <w:keepNext/>
              <w:keepLines/>
              <w:jc w:val="center"/>
              <w:rPr>
                <w:sz w:val="20"/>
              </w:rPr>
            </w:pPr>
            <w:r w:rsidRPr="008F2405">
              <w:rPr>
                <w:sz w:val="20"/>
              </w:rPr>
              <w:t>1</w:t>
            </w:r>
          </w:p>
        </w:tc>
        <w:tc>
          <w:tcPr>
            <w:tcW w:w="990"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01299D0B" w14:textId="77777777" w:rsidR="008F2405" w:rsidRPr="008F2405" w:rsidRDefault="008F2405" w:rsidP="008F2405">
            <w:pPr>
              <w:keepNext/>
              <w:keepLines/>
              <w:jc w:val="center"/>
              <w:rPr>
                <w:sz w:val="20"/>
              </w:rPr>
            </w:pPr>
            <w:r w:rsidRPr="008F2405">
              <w:rPr>
                <w:sz w:val="20"/>
              </w:rPr>
              <w:t>0</w:t>
            </w:r>
          </w:p>
        </w:tc>
        <w:tc>
          <w:tcPr>
            <w:tcW w:w="1179" w:type="dxa"/>
            <w:tcBorders>
              <w:top w:val="single" w:sz="4" w:space="0" w:color="auto"/>
              <w:left w:val="single" w:sz="6" w:space="0" w:color="auto"/>
              <w:bottom w:val="single" w:sz="6" w:space="0" w:color="auto"/>
              <w:right w:val="single" w:sz="4" w:space="0" w:color="auto"/>
            </w:tcBorders>
            <w:shd w:val="clear" w:color="auto" w:fill="E0E0E0"/>
            <w:vAlign w:val="center"/>
            <w:hideMark/>
          </w:tcPr>
          <w:p w14:paraId="347A5429" w14:textId="77777777" w:rsidR="008F2405" w:rsidRPr="008F2405" w:rsidRDefault="008F2405" w:rsidP="008F2405">
            <w:pPr>
              <w:keepNext/>
              <w:keepLines/>
              <w:jc w:val="center"/>
              <w:rPr>
                <w:sz w:val="20"/>
              </w:rPr>
            </w:pPr>
            <w:r w:rsidRPr="008F2405">
              <w:rPr>
                <w:sz w:val="20"/>
              </w:rPr>
              <w:t>-1 to -5</w:t>
            </w:r>
            <w:r w:rsidRPr="008F2405">
              <w:rPr>
                <w:sz w:val="20"/>
                <w:vertAlign w:val="superscript"/>
              </w:rPr>
              <w:footnoteReference w:id="299"/>
            </w:r>
          </w:p>
        </w:tc>
      </w:tr>
      <w:tr w:rsidR="008F2405" w:rsidRPr="008F2405" w14:paraId="7F4F64FF" w14:textId="77777777" w:rsidTr="00BF4F5D">
        <w:trPr>
          <w:cantSplit/>
          <w:trHeight w:val="586"/>
          <w:jc w:val="center"/>
        </w:trPr>
        <w:tc>
          <w:tcPr>
            <w:tcW w:w="2195" w:type="dxa"/>
            <w:tcBorders>
              <w:top w:val="single" w:sz="6" w:space="0" w:color="auto"/>
              <w:left w:val="single" w:sz="4" w:space="0" w:color="auto"/>
              <w:bottom w:val="single" w:sz="6" w:space="0" w:color="auto"/>
              <w:right w:val="single" w:sz="6" w:space="0" w:color="auto"/>
            </w:tcBorders>
            <w:vAlign w:val="center"/>
            <w:hideMark/>
          </w:tcPr>
          <w:p w14:paraId="735D3D42" w14:textId="77777777" w:rsidR="008F2405" w:rsidRPr="008F2405" w:rsidRDefault="008F2405" w:rsidP="008F2405">
            <w:pPr>
              <w:keepNext/>
              <w:keepLines/>
              <w:jc w:val="center"/>
            </w:pPr>
            <w:r w:rsidRPr="008F2405">
              <w:t xml:space="preserve">Downlink to DTV </w:t>
            </w:r>
            <w:r w:rsidRPr="008F2405">
              <w:br/>
              <w:t>D/U Required (dB)</w:t>
            </w:r>
          </w:p>
        </w:tc>
        <w:tc>
          <w:tcPr>
            <w:tcW w:w="1054" w:type="dxa"/>
            <w:tcBorders>
              <w:top w:val="single" w:sz="6" w:space="0" w:color="auto"/>
              <w:left w:val="single" w:sz="6" w:space="0" w:color="auto"/>
              <w:bottom w:val="single" w:sz="6" w:space="0" w:color="auto"/>
              <w:right w:val="single" w:sz="6" w:space="0" w:color="auto"/>
            </w:tcBorders>
            <w:vAlign w:val="center"/>
            <w:hideMark/>
          </w:tcPr>
          <w:p w14:paraId="5B041558" w14:textId="77777777" w:rsidR="008F2405" w:rsidRPr="008F2405" w:rsidRDefault="008F2405" w:rsidP="008F2405">
            <w:pPr>
              <w:keepNext/>
              <w:keepLines/>
              <w:jc w:val="center"/>
            </w:pPr>
            <w:r w:rsidRPr="008F2405">
              <w:t>16 + α</w:t>
            </w:r>
          </w:p>
        </w:tc>
        <w:tc>
          <w:tcPr>
            <w:tcW w:w="1080" w:type="dxa"/>
            <w:tcBorders>
              <w:top w:val="single" w:sz="6" w:space="0" w:color="auto"/>
              <w:left w:val="single" w:sz="6" w:space="0" w:color="auto"/>
              <w:bottom w:val="single" w:sz="6" w:space="0" w:color="auto"/>
              <w:right w:val="single" w:sz="6" w:space="0" w:color="auto"/>
            </w:tcBorders>
            <w:vAlign w:val="center"/>
            <w:hideMark/>
          </w:tcPr>
          <w:p w14:paraId="46B3C149" w14:textId="77777777" w:rsidR="008F2405" w:rsidRPr="008F2405" w:rsidRDefault="008F2405" w:rsidP="008F2405">
            <w:pPr>
              <w:keepNext/>
              <w:keepLines/>
              <w:jc w:val="center"/>
            </w:pPr>
            <w:r w:rsidRPr="008F2405">
              <w:t>15.1 + α</w:t>
            </w:r>
          </w:p>
        </w:tc>
        <w:tc>
          <w:tcPr>
            <w:tcW w:w="1080" w:type="dxa"/>
            <w:tcBorders>
              <w:top w:val="single" w:sz="6" w:space="0" w:color="auto"/>
              <w:left w:val="single" w:sz="6" w:space="0" w:color="auto"/>
              <w:bottom w:val="single" w:sz="6" w:space="0" w:color="auto"/>
              <w:right w:val="single" w:sz="6" w:space="0" w:color="auto"/>
            </w:tcBorders>
            <w:vAlign w:val="center"/>
            <w:hideMark/>
          </w:tcPr>
          <w:p w14:paraId="790AF212" w14:textId="77777777" w:rsidR="008F2405" w:rsidRPr="008F2405" w:rsidRDefault="008F2405" w:rsidP="008F2405">
            <w:pPr>
              <w:keepNext/>
              <w:keepLines/>
              <w:jc w:val="center"/>
            </w:pPr>
            <w:r w:rsidRPr="008F2405">
              <w:t>13.8 + α</w:t>
            </w:r>
          </w:p>
        </w:tc>
        <w:tc>
          <w:tcPr>
            <w:tcW w:w="1080" w:type="dxa"/>
            <w:tcBorders>
              <w:top w:val="single" w:sz="6" w:space="0" w:color="auto"/>
              <w:left w:val="single" w:sz="6" w:space="0" w:color="auto"/>
              <w:bottom w:val="single" w:sz="6" w:space="0" w:color="auto"/>
              <w:right w:val="single" w:sz="6" w:space="0" w:color="auto"/>
            </w:tcBorders>
            <w:vAlign w:val="center"/>
            <w:hideMark/>
          </w:tcPr>
          <w:p w14:paraId="33F5939A" w14:textId="77777777" w:rsidR="008F2405" w:rsidRPr="008F2405" w:rsidRDefault="008F2405" w:rsidP="008F2405">
            <w:pPr>
              <w:keepNext/>
              <w:keepLines/>
              <w:jc w:val="center"/>
            </w:pPr>
            <w:r w:rsidRPr="008F2405">
              <w:t>12.1 + α</w:t>
            </w:r>
          </w:p>
        </w:tc>
        <w:tc>
          <w:tcPr>
            <w:tcW w:w="900" w:type="dxa"/>
            <w:tcBorders>
              <w:top w:val="single" w:sz="6" w:space="0" w:color="auto"/>
              <w:left w:val="single" w:sz="6" w:space="0" w:color="auto"/>
              <w:bottom w:val="single" w:sz="6" w:space="0" w:color="auto"/>
              <w:right w:val="single" w:sz="6" w:space="0" w:color="auto"/>
            </w:tcBorders>
            <w:vAlign w:val="center"/>
            <w:hideMark/>
          </w:tcPr>
          <w:p w14:paraId="6F2C468C" w14:textId="77777777" w:rsidR="008F2405" w:rsidRPr="008F2405" w:rsidRDefault="008F2405" w:rsidP="008F2405">
            <w:pPr>
              <w:keepNext/>
              <w:keepLines/>
              <w:jc w:val="center"/>
            </w:pPr>
            <w:r w:rsidRPr="008F2405">
              <w:t>9.3 + α</w:t>
            </w:r>
          </w:p>
        </w:tc>
        <w:tc>
          <w:tcPr>
            <w:tcW w:w="990" w:type="dxa"/>
            <w:tcBorders>
              <w:top w:val="single" w:sz="6" w:space="0" w:color="auto"/>
              <w:left w:val="single" w:sz="6" w:space="0" w:color="auto"/>
              <w:bottom w:val="single" w:sz="6" w:space="0" w:color="auto"/>
              <w:right w:val="single" w:sz="6" w:space="0" w:color="auto"/>
            </w:tcBorders>
            <w:vAlign w:val="center"/>
            <w:hideMark/>
          </w:tcPr>
          <w:p w14:paraId="109B4D44" w14:textId="77777777" w:rsidR="008F2405" w:rsidRPr="008F2405" w:rsidRDefault="008F2405" w:rsidP="002E38E6">
            <w:pPr>
              <w:keepNext/>
              <w:keepLines/>
              <w:jc w:val="center"/>
            </w:pPr>
            <w:r w:rsidRPr="008F2405">
              <w:t>-</w:t>
            </w:r>
            <w:r w:rsidR="002E38E6">
              <w:t>2</w:t>
            </w:r>
            <w:r w:rsidRPr="008F2405">
              <w:t>.0 + α</w:t>
            </w:r>
          </w:p>
        </w:tc>
        <w:tc>
          <w:tcPr>
            <w:tcW w:w="1179" w:type="dxa"/>
            <w:tcBorders>
              <w:top w:val="single" w:sz="6" w:space="0" w:color="auto"/>
              <w:left w:val="single" w:sz="6" w:space="0" w:color="auto"/>
              <w:bottom w:val="single" w:sz="6" w:space="0" w:color="auto"/>
              <w:right w:val="single" w:sz="4" w:space="0" w:color="auto"/>
            </w:tcBorders>
            <w:vAlign w:val="center"/>
            <w:hideMark/>
          </w:tcPr>
          <w:p w14:paraId="30EFEC77" w14:textId="77777777" w:rsidR="008F2405" w:rsidRPr="008F2405" w:rsidRDefault="008F2405" w:rsidP="002E38E6">
            <w:pPr>
              <w:keepNext/>
              <w:keepLines/>
              <w:jc w:val="center"/>
            </w:pPr>
            <w:r w:rsidRPr="008F2405">
              <w:t>-1</w:t>
            </w:r>
            <w:r w:rsidR="002E38E6">
              <w:t>8</w:t>
            </w:r>
            <w:r w:rsidRPr="008F2405">
              <w:t xml:space="preserve"> + α</w:t>
            </w:r>
          </w:p>
        </w:tc>
      </w:tr>
    </w:tbl>
    <w:p w14:paraId="23E28DB0" w14:textId="77777777" w:rsidR="008F2405" w:rsidRPr="00435828" w:rsidRDefault="008F2405" w:rsidP="006A744E">
      <w:pPr>
        <w:spacing w:before="120" w:after="240"/>
        <w:jc w:val="center"/>
      </w:pPr>
      <w:bookmarkStart w:id="892" w:name="_Ref393707635"/>
      <w:r w:rsidRPr="00435828">
        <w:t xml:space="preserve">Table </w:t>
      </w:r>
      <w:r w:rsidR="000302DB">
        <w:fldChar w:fldCharType="begin"/>
      </w:r>
      <w:r w:rsidR="000302DB">
        <w:instrText xml:space="preserve"> SEQ Table \* ARABIC </w:instrText>
      </w:r>
      <w:r w:rsidR="000302DB">
        <w:fldChar w:fldCharType="separate"/>
      </w:r>
      <w:r w:rsidR="00656F50">
        <w:rPr>
          <w:noProof/>
        </w:rPr>
        <w:t>7</w:t>
      </w:r>
      <w:r w:rsidR="000302DB">
        <w:rPr>
          <w:noProof/>
        </w:rPr>
        <w:fldChar w:fldCharType="end"/>
      </w:r>
      <w:bookmarkEnd w:id="892"/>
      <w:r w:rsidRPr="00435828">
        <w:t>.  Threshold Interfering D/U Ratios for Wireless Base Station into DTV</w:t>
      </w:r>
    </w:p>
    <w:p w14:paraId="456266F0" w14:textId="77777777" w:rsidR="008F2405" w:rsidRPr="008F2405" w:rsidRDefault="008F2405" w:rsidP="00D50682">
      <w:pPr>
        <w:pStyle w:val="Heading2"/>
        <w:rPr>
          <w:lang w:eastAsia="ja-JP"/>
        </w:rPr>
      </w:pPr>
      <w:bookmarkStart w:id="893" w:name="_Toc397962839"/>
      <w:bookmarkStart w:id="894" w:name="_Toc396560850"/>
      <w:bookmarkStart w:id="895" w:name="_Toc397962840"/>
      <w:bookmarkStart w:id="896" w:name="_Toc398023614"/>
      <w:bookmarkStart w:id="897" w:name="_Toc398903007"/>
      <w:bookmarkStart w:id="898" w:name="_Toc398903330"/>
      <w:bookmarkStart w:id="899" w:name="_Toc398903519"/>
      <w:bookmarkStart w:id="900" w:name="_Toc398904116"/>
      <w:bookmarkStart w:id="901" w:name="_Toc398904624"/>
      <w:bookmarkStart w:id="902" w:name="_Toc401305984"/>
      <w:bookmarkStart w:id="903" w:name="_Toc401306660"/>
      <w:bookmarkStart w:id="904" w:name="_Toc401306729"/>
      <w:bookmarkEnd w:id="893"/>
      <w:r w:rsidRPr="008F2405">
        <w:rPr>
          <w:lang w:eastAsia="ja-JP"/>
        </w:rPr>
        <w:t>Threshold Values for Interference from Wireless Uplink into Digital Full-Power and Class A TV Stations (Case 4)</w:t>
      </w:r>
      <w:bookmarkEnd w:id="894"/>
      <w:bookmarkEnd w:id="895"/>
      <w:bookmarkEnd w:id="896"/>
      <w:bookmarkEnd w:id="897"/>
      <w:bookmarkEnd w:id="898"/>
      <w:bookmarkEnd w:id="899"/>
      <w:bookmarkEnd w:id="900"/>
      <w:bookmarkEnd w:id="901"/>
      <w:bookmarkEnd w:id="902"/>
      <w:bookmarkEnd w:id="903"/>
      <w:bookmarkEnd w:id="904"/>
    </w:p>
    <w:p w14:paraId="6B13E265" w14:textId="77777777" w:rsidR="008F2405" w:rsidRPr="008F2405" w:rsidRDefault="008F2405" w:rsidP="006A744E">
      <w:pPr>
        <w:pStyle w:val="ParaNum"/>
      </w:pPr>
      <w:r w:rsidRPr="008F2405">
        <w:t xml:space="preserve">Impairments caused to TV service by uplink full or partial co-channel (spectral overlaps of +5 to +1 MHz) wireless user equipment are to be determined based on a five kilometer distance restriction measured from the station’s noise-limited or protected contour.  Impairments due to full or partial first-adjacent-channel </w:t>
      </w:r>
      <w:r w:rsidRPr="008F2405">
        <w:rPr>
          <w:lang w:eastAsia="ja-JP"/>
        </w:rPr>
        <w:t>wireless</w:t>
      </w:r>
      <w:r w:rsidRPr="008F2405">
        <w:t xml:space="preserve"> user equipment (spectral overlaps of 0 to -5 MHz) are to be based on a 0.5 kilometer distance restriction measured from the station’s noise-limited or protected contour.</w:t>
      </w:r>
      <w:bookmarkStart w:id="905" w:name="_Ref398033522"/>
      <w:r w:rsidRPr="008F2405">
        <w:rPr>
          <w:sz w:val="20"/>
          <w:vertAlign w:val="superscript"/>
        </w:rPr>
        <w:footnoteReference w:id="300"/>
      </w:r>
      <w:bookmarkEnd w:id="905"/>
      <w:r w:rsidRPr="008F2405">
        <w:t xml:space="preserve">  </w:t>
      </w:r>
    </w:p>
    <w:tbl>
      <w:tblPr>
        <w:tblW w:w="432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95"/>
        <w:gridCol w:w="1054"/>
        <w:gridCol w:w="1080"/>
      </w:tblGrid>
      <w:tr w:rsidR="008F2405" w:rsidRPr="008F2405" w14:paraId="2F3859DB" w14:textId="77777777" w:rsidTr="00BF4F5D">
        <w:trPr>
          <w:trHeight w:val="242"/>
          <w:jc w:val="center"/>
        </w:trPr>
        <w:tc>
          <w:tcPr>
            <w:tcW w:w="2195" w:type="dxa"/>
            <w:tcBorders>
              <w:top w:val="single" w:sz="4" w:space="0" w:color="auto"/>
              <w:left w:val="single" w:sz="4" w:space="0" w:color="auto"/>
              <w:bottom w:val="single" w:sz="6" w:space="0" w:color="auto"/>
              <w:right w:val="single" w:sz="6" w:space="0" w:color="auto"/>
            </w:tcBorders>
            <w:shd w:val="clear" w:color="auto" w:fill="E0E0E0"/>
            <w:vAlign w:val="center"/>
            <w:hideMark/>
          </w:tcPr>
          <w:p w14:paraId="74E13B64" w14:textId="77777777" w:rsidR="008F2405" w:rsidRPr="008F2405" w:rsidRDefault="008F2405" w:rsidP="008F2405">
            <w:pPr>
              <w:keepNext/>
              <w:keepLines/>
              <w:jc w:val="center"/>
              <w:rPr>
                <w:sz w:val="20"/>
              </w:rPr>
            </w:pPr>
            <w:r w:rsidRPr="008F2405">
              <w:rPr>
                <w:sz w:val="20"/>
              </w:rPr>
              <w:t>Spectral Overlap (MHz)</w:t>
            </w:r>
          </w:p>
        </w:tc>
        <w:tc>
          <w:tcPr>
            <w:tcW w:w="1054"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7FB07185" w14:textId="77777777" w:rsidR="008F2405" w:rsidRPr="008F2405" w:rsidRDefault="008F2405" w:rsidP="008F2405">
            <w:pPr>
              <w:keepNext/>
              <w:keepLines/>
              <w:jc w:val="center"/>
              <w:rPr>
                <w:sz w:val="20"/>
              </w:rPr>
            </w:pPr>
            <w:r w:rsidRPr="008F2405">
              <w:rPr>
                <w:sz w:val="20"/>
              </w:rPr>
              <w:t>+5 to +1 MHz</w:t>
            </w:r>
          </w:p>
        </w:tc>
        <w:tc>
          <w:tcPr>
            <w:tcW w:w="1080"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2F0007CF" w14:textId="77777777" w:rsidR="008F2405" w:rsidRPr="008F2405" w:rsidRDefault="008F2405" w:rsidP="008F2405">
            <w:pPr>
              <w:keepNext/>
              <w:keepLines/>
              <w:jc w:val="center"/>
              <w:rPr>
                <w:sz w:val="20"/>
              </w:rPr>
            </w:pPr>
            <w:r w:rsidRPr="008F2405">
              <w:rPr>
                <w:sz w:val="20"/>
              </w:rPr>
              <w:t>0 to -5 MHz</w:t>
            </w:r>
          </w:p>
        </w:tc>
      </w:tr>
      <w:tr w:rsidR="008F2405" w:rsidRPr="008F2405" w14:paraId="7E972F28" w14:textId="77777777" w:rsidTr="00BF4F5D">
        <w:trPr>
          <w:cantSplit/>
          <w:trHeight w:val="586"/>
          <w:jc w:val="center"/>
        </w:trPr>
        <w:tc>
          <w:tcPr>
            <w:tcW w:w="2195" w:type="dxa"/>
            <w:tcBorders>
              <w:top w:val="single" w:sz="6" w:space="0" w:color="auto"/>
              <w:left w:val="single" w:sz="4" w:space="0" w:color="auto"/>
              <w:bottom w:val="single" w:sz="6" w:space="0" w:color="auto"/>
              <w:right w:val="single" w:sz="6" w:space="0" w:color="auto"/>
            </w:tcBorders>
            <w:vAlign w:val="center"/>
            <w:hideMark/>
          </w:tcPr>
          <w:p w14:paraId="1FDBEF3E" w14:textId="77777777" w:rsidR="008F2405" w:rsidRPr="008F2405" w:rsidRDefault="008F2405" w:rsidP="008F2405">
            <w:pPr>
              <w:keepNext/>
              <w:keepLines/>
              <w:jc w:val="center"/>
            </w:pPr>
            <w:r w:rsidRPr="008F2405">
              <w:t xml:space="preserve">Uplink to DTV </w:t>
            </w:r>
            <w:r w:rsidRPr="008F2405">
              <w:br/>
              <w:t>Separation Requirement (km)</w:t>
            </w:r>
          </w:p>
        </w:tc>
        <w:tc>
          <w:tcPr>
            <w:tcW w:w="1054" w:type="dxa"/>
            <w:tcBorders>
              <w:top w:val="single" w:sz="6" w:space="0" w:color="auto"/>
              <w:left w:val="single" w:sz="6" w:space="0" w:color="auto"/>
              <w:bottom w:val="single" w:sz="6" w:space="0" w:color="auto"/>
              <w:right w:val="single" w:sz="6" w:space="0" w:color="auto"/>
            </w:tcBorders>
            <w:vAlign w:val="center"/>
            <w:hideMark/>
          </w:tcPr>
          <w:p w14:paraId="5375D857" w14:textId="77777777" w:rsidR="008F2405" w:rsidRPr="008F2405" w:rsidRDefault="008F2405" w:rsidP="008F2405">
            <w:pPr>
              <w:keepNext/>
              <w:keepLines/>
              <w:jc w:val="center"/>
            </w:pPr>
            <w:r w:rsidRPr="008F2405">
              <w:t>5</w:t>
            </w:r>
          </w:p>
        </w:tc>
        <w:tc>
          <w:tcPr>
            <w:tcW w:w="1080" w:type="dxa"/>
            <w:tcBorders>
              <w:top w:val="single" w:sz="6" w:space="0" w:color="auto"/>
              <w:left w:val="single" w:sz="6" w:space="0" w:color="auto"/>
              <w:bottom w:val="single" w:sz="6" w:space="0" w:color="auto"/>
              <w:right w:val="single" w:sz="6" w:space="0" w:color="auto"/>
            </w:tcBorders>
            <w:vAlign w:val="center"/>
            <w:hideMark/>
          </w:tcPr>
          <w:p w14:paraId="6AF971FF" w14:textId="77777777" w:rsidR="008F2405" w:rsidRPr="008F2405" w:rsidRDefault="008F2405" w:rsidP="008F2405">
            <w:pPr>
              <w:keepNext/>
              <w:keepLines/>
              <w:jc w:val="center"/>
            </w:pPr>
            <w:r w:rsidRPr="008F2405">
              <w:t>0.5</w:t>
            </w:r>
          </w:p>
        </w:tc>
      </w:tr>
    </w:tbl>
    <w:p w14:paraId="08F9048D" w14:textId="77777777" w:rsidR="008F2405" w:rsidRPr="00435828" w:rsidRDefault="008F2405" w:rsidP="007736BB">
      <w:pPr>
        <w:spacing w:before="120" w:after="240"/>
        <w:jc w:val="center"/>
      </w:pPr>
      <w:bookmarkStart w:id="906" w:name="_Ref396551906"/>
      <w:r w:rsidRPr="00435828">
        <w:t xml:space="preserve">Table </w:t>
      </w:r>
      <w:r w:rsidR="000302DB">
        <w:fldChar w:fldCharType="begin"/>
      </w:r>
      <w:r w:rsidR="000302DB">
        <w:instrText xml:space="preserve"> SEQ Table \* ARABIC </w:instrText>
      </w:r>
      <w:r w:rsidR="000302DB">
        <w:fldChar w:fldCharType="separate"/>
      </w:r>
      <w:r w:rsidR="00656F50">
        <w:rPr>
          <w:noProof/>
        </w:rPr>
        <w:t>8</w:t>
      </w:r>
      <w:r w:rsidR="000302DB">
        <w:rPr>
          <w:noProof/>
        </w:rPr>
        <w:fldChar w:fldCharType="end"/>
      </w:r>
      <w:bookmarkEnd w:id="906"/>
      <w:r w:rsidRPr="00435828">
        <w:t>.  Separation Distance requirements for Wireless UE to DTV</w:t>
      </w:r>
    </w:p>
    <w:p w14:paraId="543041CE" w14:textId="77777777" w:rsidR="008F2405" w:rsidRPr="008F2405" w:rsidRDefault="008F2405" w:rsidP="00D50682">
      <w:pPr>
        <w:pStyle w:val="Heading2"/>
      </w:pPr>
      <w:bookmarkStart w:id="907" w:name="_Toc397962841"/>
      <w:bookmarkStart w:id="908" w:name="_Toc396560851"/>
      <w:bookmarkStart w:id="909" w:name="_Toc397962842"/>
      <w:bookmarkStart w:id="910" w:name="_Toc398023615"/>
      <w:bookmarkStart w:id="911" w:name="_Toc398903008"/>
      <w:bookmarkStart w:id="912" w:name="_Toc398903331"/>
      <w:bookmarkStart w:id="913" w:name="_Toc398903520"/>
      <w:bookmarkStart w:id="914" w:name="_Toc398904117"/>
      <w:bookmarkStart w:id="915" w:name="_Toc398904625"/>
      <w:bookmarkStart w:id="916" w:name="_Toc401305985"/>
      <w:bookmarkStart w:id="917" w:name="_Toc401306661"/>
      <w:bookmarkStart w:id="918" w:name="_Toc401306730"/>
      <w:bookmarkEnd w:id="907"/>
      <w:r w:rsidRPr="008F2405">
        <w:t>Technical Specifications</w:t>
      </w:r>
      <w:bookmarkEnd w:id="908"/>
      <w:bookmarkEnd w:id="909"/>
      <w:bookmarkEnd w:id="910"/>
      <w:bookmarkEnd w:id="911"/>
      <w:bookmarkEnd w:id="912"/>
      <w:bookmarkEnd w:id="913"/>
      <w:bookmarkEnd w:id="914"/>
      <w:bookmarkEnd w:id="915"/>
      <w:bookmarkEnd w:id="916"/>
      <w:bookmarkEnd w:id="917"/>
      <w:bookmarkEnd w:id="918"/>
    </w:p>
    <w:p w14:paraId="5A595899" w14:textId="77777777" w:rsidR="008F2405" w:rsidRPr="00435828" w:rsidRDefault="008F2405" w:rsidP="006A744E">
      <w:pPr>
        <w:pStyle w:val="ParaNum"/>
      </w:pPr>
      <w:r w:rsidRPr="008F2405">
        <w:rPr>
          <w:bCs/>
          <w:i/>
          <w:u w:val="single"/>
        </w:rPr>
        <w:t>Methodology to Define DTV Service Area</w:t>
      </w:r>
      <w:r w:rsidRPr="008F2405">
        <w:rPr>
          <w:bCs/>
          <w:u w:val="single"/>
        </w:rPr>
        <w:t>.</w:t>
      </w:r>
      <w:r w:rsidRPr="008F2405">
        <w:t xml:space="preserve">  For Case 3, service of digital full-power television stations is evaluated inside the noise-limited contour defined in 47 C.F.R. § 73.62</w:t>
      </w:r>
      <w:r w:rsidR="005222A4">
        <w:t>2</w:t>
      </w:r>
      <w:r w:rsidRPr="008F2405">
        <w:t>(</w:t>
      </w:r>
      <w:r w:rsidR="005222A4">
        <w:t>e</w:t>
      </w:r>
      <w:r w:rsidRPr="008F2405">
        <w:t xml:space="preserve">), with the exception that the defining field strength threshold for UHF channels is modified by subtracting a frequency-dependent dipole </w:t>
      </w:r>
      <w:r w:rsidRPr="008F2405">
        <w:rPr>
          <w:lang w:eastAsia="ja-JP"/>
        </w:rPr>
        <w:t>antenna</w:t>
      </w:r>
      <w:r w:rsidRPr="008F2405">
        <w:t xml:space="preserve"> adjustment factor.  Thus the area subject to calculation for digital full-power TV stations consists of that within the contours described by the geographic points at which the field strength predicted for 50% of locations and 90% of the time by FCC curves is at least as great as </w:t>
      </w:r>
      <w:r w:rsidRPr="00435828">
        <w:t xml:space="preserve">the values given in </w:t>
      </w:r>
      <w:r w:rsidRPr="00435828">
        <w:fldChar w:fldCharType="begin"/>
      </w:r>
      <w:r w:rsidRPr="00435828">
        <w:instrText xml:space="preserve"> REF _Ref396475611 \h </w:instrText>
      </w:r>
      <w:r w:rsidR="00435828" w:rsidRPr="00435828">
        <w:instrText xml:space="preserve"> \* MERGEFORMAT </w:instrText>
      </w:r>
      <w:r w:rsidRPr="00435828">
        <w:fldChar w:fldCharType="separate"/>
      </w:r>
      <w:r w:rsidR="00656F50" w:rsidRPr="00435828">
        <w:t xml:space="preserve">Table </w:t>
      </w:r>
      <w:r w:rsidR="00656F50">
        <w:rPr>
          <w:noProof/>
        </w:rPr>
        <w:t>9</w:t>
      </w:r>
      <w:r w:rsidRPr="00435828">
        <w:fldChar w:fldCharType="end"/>
      </w:r>
      <w:r w:rsidRPr="00435828">
        <w:t xml:space="preserve"> below.</w:t>
      </w:r>
      <w:r w:rsidR="005222A4" w:rsidRPr="00435828">
        <w:rPr>
          <w:rStyle w:val="FootnoteReference"/>
        </w:rPr>
        <w:footnoteReference w:id="301"/>
      </w:r>
      <w:r w:rsidRPr="00435828">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1"/>
        <w:gridCol w:w="4712"/>
      </w:tblGrid>
      <w:tr w:rsidR="008F2405" w:rsidRPr="008F2405" w14:paraId="1B5CAB54" w14:textId="77777777" w:rsidTr="00BF4F5D">
        <w:trPr>
          <w:jc w:val="center"/>
        </w:trPr>
        <w:tc>
          <w:tcPr>
            <w:tcW w:w="0" w:type="auto"/>
            <w:tcBorders>
              <w:top w:val="single" w:sz="4" w:space="0" w:color="auto"/>
              <w:left w:val="single" w:sz="4" w:space="0" w:color="auto"/>
              <w:bottom w:val="single" w:sz="6" w:space="0" w:color="auto"/>
              <w:right w:val="single" w:sz="6" w:space="0" w:color="auto"/>
            </w:tcBorders>
            <w:shd w:val="clear" w:color="auto" w:fill="E0E0E0"/>
            <w:vAlign w:val="bottom"/>
            <w:hideMark/>
          </w:tcPr>
          <w:p w14:paraId="30A8BA7A" w14:textId="77777777" w:rsidR="008F2405" w:rsidRPr="008F2405" w:rsidRDefault="008F2405" w:rsidP="008F2405">
            <w:pPr>
              <w:keepNext/>
              <w:jc w:val="center"/>
              <w:rPr>
                <w:rFonts w:eastAsia="ヒラギノ角ゴ Pro W3"/>
                <w:color w:val="000000"/>
                <w:sz w:val="20"/>
                <w:szCs w:val="24"/>
              </w:rPr>
            </w:pPr>
            <w:r w:rsidRPr="008F2405">
              <w:rPr>
                <w:sz w:val="20"/>
              </w:rPr>
              <w:t>Channels</w:t>
            </w:r>
          </w:p>
        </w:tc>
        <w:tc>
          <w:tcPr>
            <w:tcW w:w="0" w:type="auto"/>
            <w:tcBorders>
              <w:top w:val="single" w:sz="4" w:space="0" w:color="auto"/>
              <w:left w:val="single" w:sz="6" w:space="0" w:color="auto"/>
              <w:bottom w:val="single" w:sz="6" w:space="0" w:color="auto"/>
              <w:right w:val="single" w:sz="4" w:space="0" w:color="auto"/>
            </w:tcBorders>
            <w:shd w:val="clear" w:color="auto" w:fill="E0E0E0"/>
            <w:vAlign w:val="bottom"/>
            <w:hideMark/>
          </w:tcPr>
          <w:p w14:paraId="5406AC71" w14:textId="77777777" w:rsidR="008F2405" w:rsidRPr="008F2405" w:rsidRDefault="008F2405" w:rsidP="008F2405">
            <w:pPr>
              <w:keepNext/>
              <w:jc w:val="center"/>
              <w:rPr>
                <w:rFonts w:eastAsia="ヒラギノ角ゴ Pro W3"/>
                <w:color w:val="000000"/>
                <w:sz w:val="20"/>
                <w:szCs w:val="24"/>
              </w:rPr>
            </w:pPr>
            <w:r w:rsidRPr="008F2405">
              <w:rPr>
                <w:sz w:val="20"/>
              </w:rPr>
              <w:t>Defining Field Strength, dBµV/m, to be predicted using</w:t>
            </w:r>
          </w:p>
          <w:p w14:paraId="1F1247E4" w14:textId="77777777" w:rsidR="008F2405" w:rsidRPr="008F2405" w:rsidRDefault="008F2405" w:rsidP="008F2405">
            <w:pPr>
              <w:keepNext/>
              <w:jc w:val="center"/>
              <w:rPr>
                <w:rFonts w:eastAsia="ヒラギノ角ゴ Pro W3"/>
                <w:color w:val="000000"/>
                <w:sz w:val="20"/>
                <w:szCs w:val="24"/>
              </w:rPr>
            </w:pPr>
            <w:r w:rsidRPr="008F2405">
              <w:rPr>
                <w:sz w:val="20"/>
              </w:rPr>
              <w:t>F(50, 90) curves</w:t>
            </w:r>
          </w:p>
        </w:tc>
      </w:tr>
      <w:tr w:rsidR="008F2405" w:rsidRPr="008F2405" w14:paraId="4F97EF99" w14:textId="77777777" w:rsidTr="00BF4F5D">
        <w:trPr>
          <w:jc w:val="center"/>
        </w:trPr>
        <w:tc>
          <w:tcPr>
            <w:tcW w:w="0" w:type="auto"/>
            <w:tcBorders>
              <w:top w:val="single" w:sz="6" w:space="0" w:color="auto"/>
              <w:left w:val="single" w:sz="4" w:space="0" w:color="auto"/>
              <w:bottom w:val="single" w:sz="4" w:space="0" w:color="auto"/>
              <w:right w:val="single" w:sz="6" w:space="0" w:color="auto"/>
            </w:tcBorders>
            <w:hideMark/>
          </w:tcPr>
          <w:p w14:paraId="4D258384" w14:textId="77777777" w:rsidR="008F2405" w:rsidRPr="008F2405" w:rsidRDefault="008F2405" w:rsidP="008F2405">
            <w:pPr>
              <w:keepNext/>
              <w:jc w:val="center"/>
              <w:rPr>
                <w:rFonts w:eastAsia="ヒラギノ角ゴ Pro W3"/>
                <w:color w:val="000000"/>
                <w:sz w:val="24"/>
                <w:szCs w:val="24"/>
              </w:rPr>
            </w:pPr>
            <w:r w:rsidRPr="008F2405">
              <w:t>14 - 51</w:t>
            </w:r>
          </w:p>
        </w:tc>
        <w:tc>
          <w:tcPr>
            <w:tcW w:w="0" w:type="auto"/>
            <w:tcBorders>
              <w:top w:val="single" w:sz="6" w:space="0" w:color="auto"/>
              <w:left w:val="single" w:sz="6" w:space="0" w:color="auto"/>
              <w:bottom w:val="single" w:sz="4" w:space="0" w:color="auto"/>
              <w:right w:val="single" w:sz="4" w:space="0" w:color="auto"/>
            </w:tcBorders>
            <w:hideMark/>
          </w:tcPr>
          <w:p w14:paraId="33333C2A" w14:textId="77777777" w:rsidR="008F2405" w:rsidRPr="008F2405" w:rsidRDefault="008F2405" w:rsidP="008F2405">
            <w:pPr>
              <w:keepNext/>
              <w:jc w:val="center"/>
              <w:rPr>
                <w:rFonts w:eastAsia="ヒラギノ角ゴ Pro W3"/>
                <w:color w:val="000000"/>
                <w:sz w:val="24"/>
                <w:szCs w:val="24"/>
              </w:rPr>
            </w:pPr>
            <w:r w:rsidRPr="008F2405">
              <w:t>41 - 20log</w:t>
            </w:r>
            <w:r w:rsidRPr="008F2405">
              <w:rPr>
                <w:vertAlign w:val="subscript"/>
              </w:rPr>
              <w:t>10</w:t>
            </w:r>
            <w:r w:rsidRPr="008F2405">
              <w:t>[615/(channel mid-frequency in MHz)]</w:t>
            </w:r>
          </w:p>
        </w:tc>
      </w:tr>
    </w:tbl>
    <w:p w14:paraId="12CFA058" w14:textId="77777777" w:rsidR="008F2405" w:rsidRPr="00435828" w:rsidRDefault="008F2405" w:rsidP="006A744E">
      <w:pPr>
        <w:spacing w:before="120" w:after="240"/>
        <w:jc w:val="center"/>
        <w:rPr>
          <w:rFonts w:eastAsia="ヒラギノ角ゴ Pro W3"/>
          <w:color w:val="000000"/>
        </w:rPr>
      </w:pPr>
      <w:bookmarkStart w:id="919" w:name="_Ref396475611"/>
      <w:r w:rsidRPr="00435828">
        <w:t xml:space="preserve">Table </w:t>
      </w:r>
      <w:r w:rsidR="000302DB">
        <w:fldChar w:fldCharType="begin"/>
      </w:r>
      <w:r w:rsidR="000302DB">
        <w:instrText xml:space="preserve"> SEQ Table \* ARABIC </w:instrText>
      </w:r>
      <w:r w:rsidR="000302DB">
        <w:fldChar w:fldCharType="separate"/>
      </w:r>
      <w:r w:rsidR="00656F50">
        <w:rPr>
          <w:noProof/>
        </w:rPr>
        <w:t>9</w:t>
      </w:r>
      <w:r w:rsidR="000302DB">
        <w:rPr>
          <w:noProof/>
        </w:rPr>
        <w:fldChar w:fldCharType="end"/>
      </w:r>
      <w:bookmarkEnd w:id="919"/>
      <w:r w:rsidRPr="00435828">
        <w:t xml:space="preserve">.  Field strengths defining the area subject to calculation </w:t>
      </w:r>
      <w:r w:rsidR="00C21C0C" w:rsidRPr="00435828">
        <w:br/>
      </w:r>
      <w:r w:rsidRPr="00435828">
        <w:t>for UHF digital full-power TV stations</w:t>
      </w:r>
    </w:p>
    <w:p w14:paraId="424708B1" w14:textId="77777777" w:rsidR="008F2405" w:rsidRPr="008F2405" w:rsidRDefault="008F2405" w:rsidP="006A744E">
      <w:pPr>
        <w:pStyle w:val="ParaNum"/>
      </w:pPr>
      <w:r w:rsidRPr="008F2405">
        <w:t>For digital Class A TV stations, service is protected only inside the “protected contour” defined in 47 C.F.R. § 73.6010</w:t>
      </w:r>
      <w:r w:rsidR="005222A4">
        <w:t>(c)</w:t>
      </w:r>
      <w:r w:rsidRPr="008F2405">
        <w:t xml:space="preserve">, with the exception that the defining field strength threshold for UHF channels is modified by subtracting a frequency-dependent dipole antenna adjustment factor.  Thus the area subject to calculation for digital Class A TV stations consists of that within the contours described by the geographic points at which the field strength predicted for 50% of locations and 90% of time by FCC curves is at least as </w:t>
      </w:r>
      <w:r w:rsidRPr="008F2405">
        <w:rPr>
          <w:lang w:eastAsia="ja-JP"/>
        </w:rPr>
        <w:t>great</w:t>
      </w:r>
      <w:r w:rsidRPr="008F2405">
        <w:t xml:space="preserve"> as the values </w:t>
      </w:r>
      <w:r w:rsidRPr="00435828">
        <w:t xml:space="preserve">given in </w:t>
      </w:r>
      <w:r w:rsidRPr="00435828">
        <w:fldChar w:fldCharType="begin"/>
      </w:r>
      <w:r w:rsidRPr="00435828">
        <w:instrText xml:space="preserve"> REF _Ref396475627 \h </w:instrText>
      </w:r>
      <w:r w:rsidR="00435828" w:rsidRPr="00435828">
        <w:instrText xml:space="preserve"> \* MERGEFORMAT </w:instrText>
      </w:r>
      <w:r w:rsidRPr="00435828">
        <w:fldChar w:fldCharType="separate"/>
      </w:r>
      <w:r w:rsidR="00656F50" w:rsidRPr="00435828">
        <w:t xml:space="preserve">Table </w:t>
      </w:r>
      <w:r w:rsidR="00656F50">
        <w:rPr>
          <w:noProof/>
        </w:rPr>
        <w:t>10</w:t>
      </w:r>
      <w:r w:rsidRPr="00435828">
        <w:fldChar w:fldCharType="end"/>
      </w:r>
      <w:r w:rsidRPr="00435828">
        <w:t xml:space="preserve"> below</w:t>
      </w:r>
      <w:r w:rsidRPr="008F2405">
        <w:t>.</w:t>
      </w:r>
      <w:r w:rsidR="005222A4">
        <w:rPr>
          <w:rStyle w:val="FootnoteReference"/>
        </w:rPr>
        <w:footnoteReference w:id="302"/>
      </w:r>
      <w:r w:rsidRPr="008F2405">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1"/>
        <w:gridCol w:w="4712"/>
      </w:tblGrid>
      <w:tr w:rsidR="008F2405" w:rsidRPr="008F2405" w14:paraId="75EBE098" w14:textId="77777777" w:rsidTr="00BF4F5D">
        <w:trPr>
          <w:jc w:val="center"/>
        </w:trPr>
        <w:tc>
          <w:tcPr>
            <w:tcW w:w="0" w:type="auto"/>
            <w:tcBorders>
              <w:top w:val="single" w:sz="4" w:space="0" w:color="auto"/>
              <w:left w:val="single" w:sz="4" w:space="0" w:color="auto"/>
              <w:bottom w:val="single" w:sz="6" w:space="0" w:color="auto"/>
              <w:right w:val="single" w:sz="6" w:space="0" w:color="auto"/>
            </w:tcBorders>
            <w:shd w:val="clear" w:color="auto" w:fill="E0E0E0"/>
            <w:vAlign w:val="bottom"/>
            <w:hideMark/>
          </w:tcPr>
          <w:p w14:paraId="3A253509" w14:textId="77777777" w:rsidR="008F2405" w:rsidRPr="008F2405" w:rsidRDefault="008F2405" w:rsidP="008F2405">
            <w:pPr>
              <w:keepNext/>
              <w:jc w:val="center"/>
              <w:rPr>
                <w:rFonts w:eastAsia="ヒラギノ角ゴ Pro W3"/>
                <w:color w:val="000000"/>
                <w:sz w:val="20"/>
                <w:szCs w:val="24"/>
              </w:rPr>
            </w:pPr>
            <w:r w:rsidRPr="008F2405">
              <w:rPr>
                <w:sz w:val="20"/>
              </w:rPr>
              <w:t>Channels</w:t>
            </w:r>
          </w:p>
        </w:tc>
        <w:tc>
          <w:tcPr>
            <w:tcW w:w="0" w:type="auto"/>
            <w:tcBorders>
              <w:top w:val="single" w:sz="4" w:space="0" w:color="auto"/>
              <w:left w:val="single" w:sz="6" w:space="0" w:color="auto"/>
              <w:bottom w:val="single" w:sz="6" w:space="0" w:color="auto"/>
              <w:right w:val="single" w:sz="4" w:space="0" w:color="auto"/>
            </w:tcBorders>
            <w:shd w:val="clear" w:color="auto" w:fill="E0E0E0"/>
            <w:vAlign w:val="bottom"/>
            <w:hideMark/>
          </w:tcPr>
          <w:p w14:paraId="40705FBA" w14:textId="77777777" w:rsidR="008F2405" w:rsidRPr="008F2405" w:rsidRDefault="008F2405" w:rsidP="008F2405">
            <w:pPr>
              <w:keepNext/>
              <w:jc w:val="center"/>
              <w:rPr>
                <w:rFonts w:eastAsia="ヒラギノ角ゴ Pro W3"/>
                <w:color w:val="000000"/>
                <w:sz w:val="20"/>
                <w:szCs w:val="24"/>
              </w:rPr>
            </w:pPr>
            <w:r w:rsidRPr="008F2405">
              <w:rPr>
                <w:sz w:val="20"/>
              </w:rPr>
              <w:t>Defining Field Strength, dBµV/m, to be predicted using</w:t>
            </w:r>
          </w:p>
          <w:p w14:paraId="32154B06" w14:textId="77777777" w:rsidR="008F2405" w:rsidRPr="008F2405" w:rsidRDefault="008F2405" w:rsidP="008F2405">
            <w:pPr>
              <w:keepNext/>
              <w:jc w:val="center"/>
              <w:rPr>
                <w:rFonts w:eastAsia="ヒラギノ角ゴ Pro W3"/>
                <w:color w:val="000000"/>
                <w:sz w:val="20"/>
                <w:szCs w:val="24"/>
              </w:rPr>
            </w:pPr>
            <w:r w:rsidRPr="008F2405">
              <w:rPr>
                <w:sz w:val="20"/>
              </w:rPr>
              <w:t>F(50, 90) curves</w:t>
            </w:r>
          </w:p>
        </w:tc>
      </w:tr>
      <w:tr w:rsidR="008F2405" w:rsidRPr="008F2405" w14:paraId="351CEC73" w14:textId="77777777" w:rsidTr="00BF4F5D">
        <w:trPr>
          <w:jc w:val="center"/>
        </w:trPr>
        <w:tc>
          <w:tcPr>
            <w:tcW w:w="0" w:type="auto"/>
            <w:tcBorders>
              <w:top w:val="single" w:sz="6" w:space="0" w:color="auto"/>
              <w:left w:val="single" w:sz="4" w:space="0" w:color="auto"/>
              <w:bottom w:val="single" w:sz="4" w:space="0" w:color="auto"/>
              <w:right w:val="single" w:sz="6" w:space="0" w:color="auto"/>
            </w:tcBorders>
            <w:hideMark/>
          </w:tcPr>
          <w:p w14:paraId="751428FE" w14:textId="77777777" w:rsidR="008F2405" w:rsidRPr="008F2405" w:rsidRDefault="008F2405" w:rsidP="008F2405">
            <w:pPr>
              <w:keepNext/>
              <w:jc w:val="center"/>
              <w:rPr>
                <w:rFonts w:eastAsia="ヒラギノ角ゴ Pro W3"/>
                <w:color w:val="000000"/>
                <w:sz w:val="24"/>
                <w:szCs w:val="24"/>
              </w:rPr>
            </w:pPr>
            <w:r w:rsidRPr="008F2405">
              <w:t>14 - 51</w:t>
            </w:r>
          </w:p>
        </w:tc>
        <w:tc>
          <w:tcPr>
            <w:tcW w:w="0" w:type="auto"/>
            <w:tcBorders>
              <w:top w:val="single" w:sz="6" w:space="0" w:color="auto"/>
              <w:left w:val="single" w:sz="6" w:space="0" w:color="auto"/>
              <w:bottom w:val="single" w:sz="4" w:space="0" w:color="auto"/>
              <w:right w:val="single" w:sz="4" w:space="0" w:color="auto"/>
            </w:tcBorders>
            <w:hideMark/>
          </w:tcPr>
          <w:p w14:paraId="21758931" w14:textId="77777777" w:rsidR="008F2405" w:rsidRPr="008F2405" w:rsidRDefault="008F2405" w:rsidP="008F2405">
            <w:pPr>
              <w:keepNext/>
              <w:jc w:val="center"/>
              <w:rPr>
                <w:rFonts w:eastAsia="ヒラギノ角ゴ Pro W3"/>
                <w:b/>
                <w:bCs/>
                <w:color w:val="000000"/>
                <w:sz w:val="24"/>
                <w:szCs w:val="24"/>
                <w:lang w:eastAsia="ja-JP"/>
              </w:rPr>
            </w:pPr>
            <w:r w:rsidRPr="008F2405">
              <w:t>51 - 20log</w:t>
            </w:r>
            <w:r w:rsidRPr="008F2405">
              <w:rPr>
                <w:vertAlign w:val="subscript"/>
              </w:rPr>
              <w:t>10</w:t>
            </w:r>
            <w:r w:rsidRPr="008F2405">
              <w:t>[615/(channel mid-frequency in MHz)]</w:t>
            </w:r>
          </w:p>
        </w:tc>
      </w:tr>
    </w:tbl>
    <w:p w14:paraId="31A7D4D7" w14:textId="77777777" w:rsidR="008F2405" w:rsidRPr="00435828" w:rsidRDefault="008F2405" w:rsidP="006A744E">
      <w:pPr>
        <w:spacing w:before="120" w:after="240"/>
        <w:jc w:val="center"/>
        <w:rPr>
          <w:rFonts w:eastAsia="ヒラギノ角ゴ Pro W3"/>
          <w:color w:val="000000"/>
        </w:rPr>
      </w:pPr>
      <w:bookmarkStart w:id="920" w:name="_Ref396475627"/>
      <w:r w:rsidRPr="00435828">
        <w:t xml:space="preserve">Table </w:t>
      </w:r>
      <w:r w:rsidR="000302DB">
        <w:fldChar w:fldCharType="begin"/>
      </w:r>
      <w:r w:rsidR="000302DB">
        <w:instrText xml:space="preserve"> SEQ Table \* ARABIC </w:instrText>
      </w:r>
      <w:r w:rsidR="000302DB">
        <w:fldChar w:fldCharType="separate"/>
      </w:r>
      <w:r w:rsidR="00656F50">
        <w:rPr>
          <w:noProof/>
        </w:rPr>
        <w:t>10</w:t>
      </w:r>
      <w:r w:rsidR="000302DB">
        <w:rPr>
          <w:noProof/>
        </w:rPr>
        <w:fldChar w:fldCharType="end"/>
      </w:r>
      <w:bookmarkEnd w:id="920"/>
      <w:r w:rsidRPr="00435828">
        <w:t xml:space="preserve">. </w:t>
      </w:r>
      <w:r w:rsidRPr="00435828">
        <w:rPr>
          <w:rFonts w:ascii="Times New Roman Bold" w:hAnsi="Times New Roman Bold"/>
        </w:rPr>
        <w:t xml:space="preserve"> </w:t>
      </w:r>
      <w:r w:rsidRPr="00435828">
        <w:rPr>
          <w:szCs w:val="22"/>
        </w:rPr>
        <w:t xml:space="preserve">Field strengths defining the area subject to calculation </w:t>
      </w:r>
      <w:r w:rsidR="00C21C0C" w:rsidRPr="00435828">
        <w:rPr>
          <w:szCs w:val="22"/>
        </w:rPr>
        <w:br/>
      </w:r>
      <w:r w:rsidRPr="00435828">
        <w:rPr>
          <w:szCs w:val="22"/>
        </w:rPr>
        <w:t>for UHF digital Class A TV stations</w:t>
      </w:r>
    </w:p>
    <w:p w14:paraId="0E9D0683" w14:textId="77777777" w:rsidR="008F2405" w:rsidRPr="008F2405" w:rsidRDefault="005222A4" w:rsidP="006A744E">
      <w:pPr>
        <w:pStyle w:val="ParaNum"/>
      </w:pPr>
      <w:r>
        <w:t xml:space="preserve">The </w:t>
      </w:r>
      <w:r w:rsidR="008F2405" w:rsidRPr="008F2405">
        <w:t xml:space="preserve">values set in the Longley-Rice Fortran code implementing the Longley-Rice model accompanying the FCC’s </w:t>
      </w:r>
      <w:r w:rsidR="008F2405" w:rsidRPr="008F2405">
        <w:rPr>
          <w:i/>
        </w:rPr>
        <w:t>TVStudy</w:t>
      </w:r>
      <w:r w:rsidR="008F2405" w:rsidRPr="008F2405">
        <w:t xml:space="preserve"> software are </w:t>
      </w:r>
      <w:r w:rsidR="008F2405" w:rsidRPr="00435828">
        <w:t xml:space="preserve">provided in </w:t>
      </w:r>
      <w:r w:rsidR="008F2405" w:rsidRPr="00435828">
        <w:fldChar w:fldCharType="begin"/>
      </w:r>
      <w:r w:rsidR="008F2405" w:rsidRPr="00435828">
        <w:instrText xml:space="preserve"> REF _Ref396478338 \h </w:instrText>
      </w:r>
      <w:r w:rsidR="00435828" w:rsidRPr="00435828">
        <w:instrText xml:space="preserve"> \* MERGEFORMAT </w:instrText>
      </w:r>
      <w:r w:rsidR="008F2405" w:rsidRPr="00435828">
        <w:fldChar w:fldCharType="separate"/>
      </w:r>
      <w:r w:rsidR="00656F50" w:rsidRPr="00435828">
        <w:rPr>
          <w:szCs w:val="22"/>
        </w:rPr>
        <w:t xml:space="preserve">Table </w:t>
      </w:r>
      <w:r w:rsidR="00656F50">
        <w:rPr>
          <w:noProof/>
          <w:szCs w:val="22"/>
        </w:rPr>
        <w:t>11</w:t>
      </w:r>
      <w:r w:rsidR="008F2405" w:rsidRPr="00435828">
        <w:fldChar w:fldCharType="end"/>
      </w:r>
      <w:r w:rsidR="008F2405" w:rsidRPr="00435828">
        <w:t xml:space="preserve"> below</w:t>
      </w:r>
      <w:r w:rsidR="008F2405" w:rsidRPr="008F2405">
        <w:t xml:space="preserve">.  As adopted in the </w:t>
      </w:r>
      <w:r w:rsidR="008F2405" w:rsidRPr="008F2405">
        <w:rPr>
          <w:i/>
        </w:rPr>
        <w:t xml:space="preserve">Second Report </w:t>
      </w:r>
      <w:r>
        <w:rPr>
          <w:i/>
        </w:rPr>
        <w:t xml:space="preserve">&amp; </w:t>
      </w:r>
      <w:r w:rsidR="008F2405" w:rsidRPr="008F2405">
        <w:rPr>
          <w:i/>
        </w:rPr>
        <w:t>Order</w:t>
      </w:r>
      <w:r w:rsidR="008F2405" w:rsidRPr="008F2405">
        <w:t>,</w:t>
      </w:r>
      <w:r w:rsidR="008F2405" w:rsidRPr="008F2405">
        <w:rPr>
          <w:sz w:val="20"/>
          <w:vertAlign w:val="superscript"/>
        </w:rPr>
        <w:footnoteReference w:id="303"/>
      </w:r>
      <w:r w:rsidR="008F2405" w:rsidRPr="008F2405">
        <w:t xml:space="preserve"> in those cases that error code 3 occurs (KWX = 3), the predicted field strength is to be accepted as </w:t>
      </w:r>
      <w:r w:rsidR="008F2405" w:rsidRPr="008F2405">
        <w:rPr>
          <w:lang w:eastAsia="ja-JP"/>
        </w:rPr>
        <w:t>indicative</w:t>
      </w:r>
      <w:r w:rsidR="008F2405" w:rsidRPr="008F2405">
        <w:t xml:space="preserve"> of whether noise-limited field strength is available at that location.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17"/>
        <w:gridCol w:w="1036"/>
        <w:gridCol w:w="6295"/>
      </w:tblGrid>
      <w:tr w:rsidR="008F2405" w:rsidRPr="008F2405" w14:paraId="543A4941" w14:textId="77777777" w:rsidTr="00BF4F5D">
        <w:trPr>
          <w:jc w:val="center"/>
        </w:trPr>
        <w:tc>
          <w:tcPr>
            <w:tcW w:w="1817" w:type="dxa"/>
            <w:tcBorders>
              <w:top w:val="single" w:sz="4" w:space="0" w:color="auto"/>
              <w:left w:val="single" w:sz="4" w:space="0" w:color="auto"/>
              <w:bottom w:val="single" w:sz="6" w:space="0" w:color="auto"/>
              <w:right w:val="single" w:sz="6" w:space="0" w:color="auto"/>
            </w:tcBorders>
            <w:shd w:val="clear" w:color="auto" w:fill="E0E0E0"/>
            <w:hideMark/>
          </w:tcPr>
          <w:p w14:paraId="390F913A" w14:textId="77777777" w:rsidR="008F2405" w:rsidRPr="008F2405" w:rsidRDefault="008F2405" w:rsidP="008F2405">
            <w:pPr>
              <w:keepNext/>
              <w:jc w:val="center"/>
              <w:rPr>
                <w:sz w:val="20"/>
              </w:rPr>
            </w:pPr>
            <w:r w:rsidRPr="008F2405">
              <w:rPr>
                <w:sz w:val="20"/>
              </w:rPr>
              <w:t xml:space="preserve">Parameter </w:t>
            </w:r>
          </w:p>
        </w:tc>
        <w:tc>
          <w:tcPr>
            <w:tcW w:w="1036" w:type="dxa"/>
            <w:tcBorders>
              <w:top w:val="single" w:sz="4" w:space="0" w:color="auto"/>
              <w:left w:val="single" w:sz="6" w:space="0" w:color="auto"/>
              <w:bottom w:val="single" w:sz="6" w:space="0" w:color="auto"/>
              <w:right w:val="single" w:sz="6" w:space="0" w:color="auto"/>
            </w:tcBorders>
            <w:shd w:val="clear" w:color="auto" w:fill="E0E0E0"/>
            <w:hideMark/>
          </w:tcPr>
          <w:p w14:paraId="25433C68" w14:textId="77777777" w:rsidR="008F2405" w:rsidRPr="008F2405" w:rsidRDefault="008F2405" w:rsidP="008F2405">
            <w:pPr>
              <w:keepNext/>
              <w:jc w:val="center"/>
              <w:rPr>
                <w:sz w:val="20"/>
              </w:rPr>
            </w:pPr>
            <w:r w:rsidRPr="008F2405">
              <w:rPr>
                <w:sz w:val="20"/>
              </w:rPr>
              <w:t>Value</w:t>
            </w:r>
          </w:p>
        </w:tc>
        <w:tc>
          <w:tcPr>
            <w:tcW w:w="6295" w:type="dxa"/>
            <w:tcBorders>
              <w:top w:val="single" w:sz="4" w:space="0" w:color="auto"/>
              <w:left w:val="single" w:sz="6" w:space="0" w:color="auto"/>
              <w:bottom w:val="single" w:sz="6" w:space="0" w:color="auto"/>
              <w:right w:val="single" w:sz="4" w:space="0" w:color="auto"/>
            </w:tcBorders>
            <w:shd w:val="clear" w:color="auto" w:fill="E0E0E0"/>
            <w:hideMark/>
          </w:tcPr>
          <w:p w14:paraId="1F712F8F" w14:textId="77777777" w:rsidR="008F2405" w:rsidRPr="008F2405" w:rsidRDefault="008F2405" w:rsidP="008F2405">
            <w:pPr>
              <w:keepNext/>
              <w:jc w:val="center"/>
              <w:rPr>
                <w:sz w:val="20"/>
              </w:rPr>
            </w:pPr>
            <w:r w:rsidRPr="008F2405">
              <w:rPr>
                <w:sz w:val="20"/>
              </w:rPr>
              <w:t>Meaning/Comment</w:t>
            </w:r>
          </w:p>
        </w:tc>
      </w:tr>
      <w:tr w:rsidR="008F2405" w:rsidRPr="008F2405" w14:paraId="7DBAD76A" w14:textId="77777777" w:rsidTr="00BF4F5D">
        <w:trPr>
          <w:jc w:val="center"/>
        </w:trPr>
        <w:tc>
          <w:tcPr>
            <w:tcW w:w="1817" w:type="dxa"/>
            <w:tcBorders>
              <w:top w:val="single" w:sz="6" w:space="0" w:color="auto"/>
              <w:left w:val="single" w:sz="4" w:space="0" w:color="auto"/>
              <w:bottom w:val="single" w:sz="6" w:space="0" w:color="auto"/>
              <w:right w:val="single" w:sz="6" w:space="0" w:color="auto"/>
            </w:tcBorders>
            <w:hideMark/>
          </w:tcPr>
          <w:p w14:paraId="5B192751" w14:textId="77777777" w:rsidR="008F2405" w:rsidRPr="008F2405" w:rsidRDefault="008F2405" w:rsidP="008F2405">
            <w:pPr>
              <w:keepNext/>
            </w:pPr>
            <w:r w:rsidRPr="008F2405">
              <w:t>EPS</w:t>
            </w:r>
          </w:p>
        </w:tc>
        <w:tc>
          <w:tcPr>
            <w:tcW w:w="1036" w:type="dxa"/>
            <w:tcBorders>
              <w:top w:val="single" w:sz="6" w:space="0" w:color="auto"/>
              <w:left w:val="single" w:sz="6" w:space="0" w:color="auto"/>
              <w:bottom w:val="single" w:sz="6" w:space="0" w:color="auto"/>
              <w:right w:val="single" w:sz="6" w:space="0" w:color="auto"/>
            </w:tcBorders>
            <w:hideMark/>
          </w:tcPr>
          <w:p w14:paraId="6F062D0F" w14:textId="77777777" w:rsidR="008F2405" w:rsidRPr="008F2405" w:rsidRDefault="008F2405" w:rsidP="008F2405">
            <w:pPr>
              <w:keepNext/>
              <w:jc w:val="center"/>
            </w:pPr>
            <w:r w:rsidRPr="008F2405">
              <w:t>15.0</w:t>
            </w:r>
          </w:p>
        </w:tc>
        <w:tc>
          <w:tcPr>
            <w:tcW w:w="6295" w:type="dxa"/>
            <w:tcBorders>
              <w:top w:val="single" w:sz="6" w:space="0" w:color="auto"/>
              <w:left w:val="single" w:sz="6" w:space="0" w:color="auto"/>
              <w:bottom w:val="single" w:sz="6" w:space="0" w:color="auto"/>
              <w:right w:val="single" w:sz="4" w:space="0" w:color="auto"/>
            </w:tcBorders>
            <w:hideMark/>
          </w:tcPr>
          <w:p w14:paraId="5AFB8219" w14:textId="77777777" w:rsidR="008F2405" w:rsidRPr="008F2405" w:rsidRDefault="008F2405" w:rsidP="008F2405">
            <w:pPr>
              <w:keepNext/>
            </w:pPr>
            <w:r w:rsidRPr="008F2405">
              <w:t>Relative permittivity of ground.</w:t>
            </w:r>
          </w:p>
        </w:tc>
      </w:tr>
      <w:tr w:rsidR="008F2405" w:rsidRPr="008F2405" w14:paraId="4E76C34A" w14:textId="77777777" w:rsidTr="00BF4F5D">
        <w:trPr>
          <w:jc w:val="center"/>
        </w:trPr>
        <w:tc>
          <w:tcPr>
            <w:tcW w:w="1817" w:type="dxa"/>
            <w:tcBorders>
              <w:top w:val="single" w:sz="6" w:space="0" w:color="auto"/>
              <w:left w:val="single" w:sz="4" w:space="0" w:color="auto"/>
              <w:bottom w:val="single" w:sz="6" w:space="0" w:color="auto"/>
              <w:right w:val="single" w:sz="6" w:space="0" w:color="auto"/>
            </w:tcBorders>
            <w:hideMark/>
          </w:tcPr>
          <w:p w14:paraId="03E6F1A7" w14:textId="77777777" w:rsidR="008F2405" w:rsidRPr="008F2405" w:rsidRDefault="008F2405" w:rsidP="008F2405">
            <w:pPr>
              <w:keepNext/>
            </w:pPr>
            <w:r w:rsidRPr="008F2405">
              <w:t>SGM (S/m)</w:t>
            </w:r>
          </w:p>
        </w:tc>
        <w:tc>
          <w:tcPr>
            <w:tcW w:w="1036" w:type="dxa"/>
            <w:tcBorders>
              <w:top w:val="single" w:sz="6" w:space="0" w:color="auto"/>
              <w:left w:val="single" w:sz="6" w:space="0" w:color="auto"/>
              <w:bottom w:val="single" w:sz="6" w:space="0" w:color="auto"/>
              <w:right w:val="single" w:sz="6" w:space="0" w:color="auto"/>
            </w:tcBorders>
            <w:hideMark/>
          </w:tcPr>
          <w:p w14:paraId="4DD135C3" w14:textId="77777777" w:rsidR="008F2405" w:rsidRPr="008F2405" w:rsidRDefault="008F2405" w:rsidP="008F2405">
            <w:pPr>
              <w:keepNext/>
              <w:jc w:val="center"/>
            </w:pPr>
            <w:r w:rsidRPr="008F2405">
              <w:t>0.005</w:t>
            </w:r>
          </w:p>
        </w:tc>
        <w:tc>
          <w:tcPr>
            <w:tcW w:w="6295" w:type="dxa"/>
            <w:tcBorders>
              <w:top w:val="single" w:sz="6" w:space="0" w:color="auto"/>
              <w:left w:val="single" w:sz="6" w:space="0" w:color="auto"/>
              <w:bottom w:val="single" w:sz="6" w:space="0" w:color="auto"/>
              <w:right w:val="single" w:sz="4" w:space="0" w:color="auto"/>
            </w:tcBorders>
            <w:hideMark/>
          </w:tcPr>
          <w:p w14:paraId="6E08461D" w14:textId="77777777" w:rsidR="008F2405" w:rsidRPr="008F2405" w:rsidRDefault="008F2405" w:rsidP="008F2405">
            <w:pPr>
              <w:keepNext/>
            </w:pPr>
            <w:r w:rsidRPr="008F2405">
              <w:t>Ground conductivity.</w:t>
            </w:r>
          </w:p>
        </w:tc>
      </w:tr>
      <w:tr w:rsidR="008F2405" w:rsidRPr="008F2405" w14:paraId="39C8373A" w14:textId="77777777" w:rsidTr="00BF4F5D">
        <w:trPr>
          <w:jc w:val="center"/>
        </w:trPr>
        <w:tc>
          <w:tcPr>
            <w:tcW w:w="1817" w:type="dxa"/>
            <w:tcBorders>
              <w:top w:val="single" w:sz="6" w:space="0" w:color="auto"/>
              <w:left w:val="single" w:sz="4" w:space="0" w:color="auto"/>
              <w:bottom w:val="single" w:sz="6" w:space="0" w:color="auto"/>
              <w:right w:val="single" w:sz="6" w:space="0" w:color="auto"/>
            </w:tcBorders>
            <w:hideMark/>
          </w:tcPr>
          <w:p w14:paraId="3D2ED85B" w14:textId="77777777" w:rsidR="008F2405" w:rsidRPr="008F2405" w:rsidRDefault="008F2405" w:rsidP="008F2405">
            <w:pPr>
              <w:keepNext/>
            </w:pPr>
            <w:r w:rsidRPr="008F2405">
              <w:t>ZSYS</w:t>
            </w:r>
          </w:p>
        </w:tc>
        <w:tc>
          <w:tcPr>
            <w:tcW w:w="1036" w:type="dxa"/>
            <w:tcBorders>
              <w:top w:val="single" w:sz="6" w:space="0" w:color="auto"/>
              <w:left w:val="single" w:sz="6" w:space="0" w:color="auto"/>
              <w:bottom w:val="single" w:sz="6" w:space="0" w:color="auto"/>
              <w:right w:val="single" w:sz="6" w:space="0" w:color="auto"/>
            </w:tcBorders>
            <w:hideMark/>
          </w:tcPr>
          <w:p w14:paraId="492EF92B" w14:textId="77777777" w:rsidR="008F2405" w:rsidRPr="008F2405" w:rsidRDefault="008F2405" w:rsidP="008F2405">
            <w:pPr>
              <w:keepNext/>
              <w:jc w:val="center"/>
            </w:pPr>
            <w:r w:rsidRPr="008F2405">
              <w:t>0.0</w:t>
            </w:r>
          </w:p>
        </w:tc>
        <w:tc>
          <w:tcPr>
            <w:tcW w:w="6295" w:type="dxa"/>
            <w:tcBorders>
              <w:top w:val="single" w:sz="6" w:space="0" w:color="auto"/>
              <w:left w:val="single" w:sz="6" w:space="0" w:color="auto"/>
              <w:bottom w:val="single" w:sz="6" w:space="0" w:color="auto"/>
              <w:right w:val="single" w:sz="4" w:space="0" w:color="auto"/>
            </w:tcBorders>
            <w:hideMark/>
          </w:tcPr>
          <w:p w14:paraId="2A19C5DB" w14:textId="77777777" w:rsidR="008F2405" w:rsidRPr="008F2405" w:rsidRDefault="008F2405" w:rsidP="008F2405">
            <w:pPr>
              <w:keepNext/>
            </w:pPr>
            <w:r w:rsidRPr="008F2405">
              <w:t xml:space="preserve">General System Elevation. Coordinated with setting of EN0. </w:t>
            </w:r>
          </w:p>
        </w:tc>
      </w:tr>
      <w:tr w:rsidR="008F2405" w:rsidRPr="008F2405" w14:paraId="63809B82" w14:textId="77777777" w:rsidTr="00BF4F5D">
        <w:trPr>
          <w:jc w:val="center"/>
        </w:trPr>
        <w:tc>
          <w:tcPr>
            <w:tcW w:w="1817" w:type="dxa"/>
            <w:tcBorders>
              <w:top w:val="single" w:sz="6" w:space="0" w:color="auto"/>
              <w:left w:val="single" w:sz="4" w:space="0" w:color="auto"/>
              <w:bottom w:val="single" w:sz="6" w:space="0" w:color="auto"/>
              <w:right w:val="single" w:sz="6" w:space="0" w:color="auto"/>
            </w:tcBorders>
            <w:hideMark/>
          </w:tcPr>
          <w:p w14:paraId="50FB8FA6" w14:textId="77777777" w:rsidR="008F2405" w:rsidRPr="008F2405" w:rsidRDefault="008F2405" w:rsidP="008F2405">
            <w:pPr>
              <w:keepNext/>
            </w:pPr>
            <w:r w:rsidRPr="008F2405">
              <w:t>EN0 (ppm)</w:t>
            </w:r>
          </w:p>
        </w:tc>
        <w:tc>
          <w:tcPr>
            <w:tcW w:w="1036" w:type="dxa"/>
            <w:tcBorders>
              <w:top w:val="single" w:sz="6" w:space="0" w:color="auto"/>
              <w:left w:val="single" w:sz="6" w:space="0" w:color="auto"/>
              <w:bottom w:val="single" w:sz="6" w:space="0" w:color="auto"/>
              <w:right w:val="single" w:sz="6" w:space="0" w:color="auto"/>
            </w:tcBorders>
            <w:hideMark/>
          </w:tcPr>
          <w:p w14:paraId="5DC2BC81" w14:textId="77777777" w:rsidR="008F2405" w:rsidRPr="008F2405" w:rsidRDefault="008F2405" w:rsidP="008F2405">
            <w:pPr>
              <w:keepNext/>
              <w:jc w:val="center"/>
            </w:pPr>
            <w:r w:rsidRPr="008F2405">
              <w:t>301.0</w:t>
            </w:r>
          </w:p>
        </w:tc>
        <w:tc>
          <w:tcPr>
            <w:tcW w:w="6295" w:type="dxa"/>
            <w:tcBorders>
              <w:top w:val="single" w:sz="6" w:space="0" w:color="auto"/>
              <w:left w:val="single" w:sz="6" w:space="0" w:color="auto"/>
              <w:bottom w:val="single" w:sz="6" w:space="0" w:color="auto"/>
              <w:right w:val="single" w:sz="4" w:space="0" w:color="auto"/>
            </w:tcBorders>
            <w:hideMark/>
          </w:tcPr>
          <w:p w14:paraId="12C67B9B" w14:textId="77777777" w:rsidR="008F2405" w:rsidRPr="008F2405" w:rsidRDefault="008F2405" w:rsidP="008F2405">
            <w:pPr>
              <w:keepNext/>
            </w:pPr>
            <w:r w:rsidRPr="008F2405">
              <w:t>Surface refractivity in N-units.</w:t>
            </w:r>
          </w:p>
        </w:tc>
      </w:tr>
      <w:tr w:rsidR="008F2405" w:rsidRPr="008F2405" w14:paraId="005AE09A" w14:textId="77777777" w:rsidTr="00BF4F5D">
        <w:trPr>
          <w:jc w:val="center"/>
        </w:trPr>
        <w:tc>
          <w:tcPr>
            <w:tcW w:w="1817" w:type="dxa"/>
            <w:tcBorders>
              <w:top w:val="single" w:sz="6" w:space="0" w:color="auto"/>
              <w:left w:val="single" w:sz="4" w:space="0" w:color="auto"/>
              <w:bottom w:val="single" w:sz="6" w:space="0" w:color="auto"/>
              <w:right w:val="single" w:sz="6" w:space="0" w:color="auto"/>
            </w:tcBorders>
            <w:hideMark/>
          </w:tcPr>
          <w:p w14:paraId="57DABEE4" w14:textId="77777777" w:rsidR="008F2405" w:rsidRPr="008F2405" w:rsidRDefault="008F2405" w:rsidP="008F2405">
            <w:pPr>
              <w:keepNext/>
            </w:pPr>
            <w:r w:rsidRPr="008F2405">
              <w:t>IPOL</w:t>
            </w:r>
          </w:p>
        </w:tc>
        <w:tc>
          <w:tcPr>
            <w:tcW w:w="1036" w:type="dxa"/>
            <w:tcBorders>
              <w:top w:val="single" w:sz="6" w:space="0" w:color="auto"/>
              <w:left w:val="single" w:sz="6" w:space="0" w:color="auto"/>
              <w:bottom w:val="single" w:sz="6" w:space="0" w:color="auto"/>
              <w:right w:val="single" w:sz="6" w:space="0" w:color="auto"/>
            </w:tcBorders>
            <w:hideMark/>
          </w:tcPr>
          <w:p w14:paraId="7DDA038C" w14:textId="77777777" w:rsidR="008F2405" w:rsidRPr="008F2405" w:rsidRDefault="008F2405" w:rsidP="008F2405">
            <w:pPr>
              <w:keepNext/>
              <w:jc w:val="center"/>
            </w:pPr>
            <w:r w:rsidRPr="008F2405">
              <w:t>0</w:t>
            </w:r>
          </w:p>
        </w:tc>
        <w:tc>
          <w:tcPr>
            <w:tcW w:w="6295" w:type="dxa"/>
            <w:tcBorders>
              <w:top w:val="single" w:sz="6" w:space="0" w:color="auto"/>
              <w:left w:val="single" w:sz="6" w:space="0" w:color="auto"/>
              <w:bottom w:val="single" w:sz="6" w:space="0" w:color="auto"/>
              <w:right w:val="single" w:sz="4" w:space="0" w:color="auto"/>
            </w:tcBorders>
            <w:hideMark/>
          </w:tcPr>
          <w:p w14:paraId="2FC70015" w14:textId="77777777" w:rsidR="008F2405" w:rsidRPr="008F2405" w:rsidRDefault="008F2405" w:rsidP="008F2405">
            <w:pPr>
              <w:keepNext/>
            </w:pPr>
            <w:r w:rsidRPr="008F2405">
              <w:t>Denotes horizontal polarization.</w:t>
            </w:r>
          </w:p>
        </w:tc>
      </w:tr>
      <w:tr w:rsidR="008F2405" w:rsidRPr="008F2405" w14:paraId="49B572CF" w14:textId="77777777" w:rsidTr="00BF4F5D">
        <w:trPr>
          <w:jc w:val="center"/>
        </w:trPr>
        <w:tc>
          <w:tcPr>
            <w:tcW w:w="1817" w:type="dxa"/>
            <w:tcBorders>
              <w:top w:val="single" w:sz="6" w:space="0" w:color="auto"/>
              <w:left w:val="single" w:sz="4" w:space="0" w:color="auto"/>
              <w:bottom w:val="single" w:sz="6" w:space="0" w:color="auto"/>
              <w:right w:val="single" w:sz="6" w:space="0" w:color="auto"/>
            </w:tcBorders>
            <w:hideMark/>
          </w:tcPr>
          <w:p w14:paraId="3967258C" w14:textId="77777777" w:rsidR="008F2405" w:rsidRPr="008F2405" w:rsidRDefault="008F2405" w:rsidP="008F2405">
            <w:pPr>
              <w:keepNext/>
            </w:pPr>
            <w:r w:rsidRPr="008F2405">
              <w:t>MDVAR</w:t>
            </w:r>
          </w:p>
        </w:tc>
        <w:tc>
          <w:tcPr>
            <w:tcW w:w="1036" w:type="dxa"/>
            <w:tcBorders>
              <w:top w:val="single" w:sz="6" w:space="0" w:color="auto"/>
              <w:left w:val="single" w:sz="6" w:space="0" w:color="auto"/>
              <w:bottom w:val="single" w:sz="6" w:space="0" w:color="auto"/>
              <w:right w:val="single" w:sz="6" w:space="0" w:color="auto"/>
            </w:tcBorders>
            <w:hideMark/>
          </w:tcPr>
          <w:p w14:paraId="45184F24" w14:textId="77777777" w:rsidR="008F2405" w:rsidRPr="008F2405" w:rsidRDefault="008F2405" w:rsidP="008F2405">
            <w:pPr>
              <w:keepNext/>
              <w:jc w:val="center"/>
            </w:pPr>
            <w:r w:rsidRPr="008F2405">
              <w:t>3</w:t>
            </w:r>
          </w:p>
        </w:tc>
        <w:tc>
          <w:tcPr>
            <w:tcW w:w="6295" w:type="dxa"/>
            <w:tcBorders>
              <w:top w:val="single" w:sz="6" w:space="0" w:color="auto"/>
              <w:left w:val="single" w:sz="6" w:space="0" w:color="auto"/>
              <w:bottom w:val="single" w:sz="6" w:space="0" w:color="auto"/>
              <w:right w:val="single" w:sz="4" w:space="0" w:color="auto"/>
            </w:tcBorders>
            <w:hideMark/>
          </w:tcPr>
          <w:p w14:paraId="50A0F3CA" w14:textId="77777777" w:rsidR="008F2405" w:rsidRPr="008F2405" w:rsidRDefault="008F2405" w:rsidP="008F2405">
            <w:pPr>
              <w:keepNext/>
            </w:pPr>
            <w:r w:rsidRPr="008F2405">
              <w:t>Calculation Mode (Broadcast).</w:t>
            </w:r>
          </w:p>
        </w:tc>
      </w:tr>
      <w:tr w:rsidR="008F2405" w:rsidRPr="008F2405" w14:paraId="5EBB0839" w14:textId="77777777" w:rsidTr="00BF4F5D">
        <w:trPr>
          <w:jc w:val="center"/>
        </w:trPr>
        <w:tc>
          <w:tcPr>
            <w:tcW w:w="1817" w:type="dxa"/>
            <w:tcBorders>
              <w:top w:val="single" w:sz="6" w:space="0" w:color="auto"/>
              <w:left w:val="single" w:sz="4" w:space="0" w:color="auto"/>
              <w:bottom w:val="single" w:sz="6" w:space="0" w:color="auto"/>
              <w:right w:val="single" w:sz="6" w:space="0" w:color="auto"/>
            </w:tcBorders>
            <w:hideMark/>
          </w:tcPr>
          <w:p w14:paraId="510254A7" w14:textId="77777777" w:rsidR="008F2405" w:rsidRPr="008F2405" w:rsidRDefault="008F2405" w:rsidP="008F2405">
            <w:pPr>
              <w:keepNext/>
            </w:pPr>
            <w:r w:rsidRPr="008F2405">
              <w:t>KLIM</w:t>
            </w:r>
          </w:p>
        </w:tc>
        <w:tc>
          <w:tcPr>
            <w:tcW w:w="1036" w:type="dxa"/>
            <w:tcBorders>
              <w:top w:val="single" w:sz="6" w:space="0" w:color="auto"/>
              <w:left w:val="single" w:sz="6" w:space="0" w:color="auto"/>
              <w:bottom w:val="single" w:sz="6" w:space="0" w:color="auto"/>
              <w:right w:val="single" w:sz="6" w:space="0" w:color="auto"/>
            </w:tcBorders>
            <w:hideMark/>
          </w:tcPr>
          <w:p w14:paraId="61766242" w14:textId="77777777" w:rsidR="008F2405" w:rsidRPr="008F2405" w:rsidRDefault="008F2405" w:rsidP="008F2405">
            <w:pPr>
              <w:keepNext/>
              <w:jc w:val="center"/>
            </w:pPr>
            <w:r w:rsidRPr="008F2405">
              <w:t>5</w:t>
            </w:r>
          </w:p>
        </w:tc>
        <w:tc>
          <w:tcPr>
            <w:tcW w:w="6295" w:type="dxa"/>
            <w:tcBorders>
              <w:top w:val="single" w:sz="6" w:space="0" w:color="auto"/>
              <w:left w:val="single" w:sz="6" w:space="0" w:color="auto"/>
              <w:bottom w:val="single" w:sz="6" w:space="0" w:color="auto"/>
              <w:right w:val="single" w:sz="4" w:space="0" w:color="auto"/>
            </w:tcBorders>
            <w:hideMark/>
          </w:tcPr>
          <w:p w14:paraId="15A464C8" w14:textId="77777777" w:rsidR="008F2405" w:rsidRPr="008F2405" w:rsidRDefault="008F2405" w:rsidP="008F2405">
            <w:pPr>
              <w:keepNext/>
            </w:pPr>
            <w:r w:rsidRPr="008F2405">
              <w:t>Climate Code (Continental Temperate).</w:t>
            </w:r>
          </w:p>
        </w:tc>
      </w:tr>
      <w:tr w:rsidR="008F2405" w:rsidRPr="008F2405" w14:paraId="4527F44F" w14:textId="77777777" w:rsidTr="00BF4F5D">
        <w:trPr>
          <w:jc w:val="center"/>
        </w:trPr>
        <w:tc>
          <w:tcPr>
            <w:tcW w:w="1817" w:type="dxa"/>
            <w:tcBorders>
              <w:top w:val="single" w:sz="6" w:space="0" w:color="auto"/>
              <w:left w:val="single" w:sz="4" w:space="0" w:color="auto"/>
              <w:bottom w:val="single" w:sz="6" w:space="0" w:color="auto"/>
              <w:right w:val="single" w:sz="6" w:space="0" w:color="auto"/>
            </w:tcBorders>
            <w:hideMark/>
          </w:tcPr>
          <w:p w14:paraId="48375C0E" w14:textId="77777777" w:rsidR="008F2405" w:rsidRPr="008F2405" w:rsidRDefault="008F2405" w:rsidP="008F2405">
            <w:pPr>
              <w:keepNext/>
            </w:pPr>
            <w:r w:rsidRPr="008F2405">
              <w:t>XI (km)</w:t>
            </w:r>
          </w:p>
        </w:tc>
        <w:tc>
          <w:tcPr>
            <w:tcW w:w="1036" w:type="dxa"/>
            <w:tcBorders>
              <w:top w:val="single" w:sz="6" w:space="0" w:color="auto"/>
              <w:left w:val="single" w:sz="6" w:space="0" w:color="auto"/>
              <w:bottom w:val="single" w:sz="6" w:space="0" w:color="auto"/>
              <w:right w:val="single" w:sz="6" w:space="0" w:color="auto"/>
            </w:tcBorders>
            <w:hideMark/>
          </w:tcPr>
          <w:p w14:paraId="0ED36DC4" w14:textId="77777777" w:rsidR="008F2405" w:rsidRPr="008F2405" w:rsidRDefault="008F2405" w:rsidP="008F2405">
            <w:pPr>
              <w:keepNext/>
              <w:jc w:val="center"/>
            </w:pPr>
            <w:r w:rsidRPr="008F2405">
              <w:t>0.1</w:t>
            </w:r>
          </w:p>
        </w:tc>
        <w:tc>
          <w:tcPr>
            <w:tcW w:w="6295" w:type="dxa"/>
            <w:tcBorders>
              <w:top w:val="single" w:sz="6" w:space="0" w:color="auto"/>
              <w:left w:val="single" w:sz="6" w:space="0" w:color="auto"/>
              <w:bottom w:val="single" w:sz="6" w:space="0" w:color="auto"/>
              <w:right w:val="single" w:sz="4" w:space="0" w:color="auto"/>
            </w:tcBorders>
            <w:hideMark/>
          </w:tcPr>
          <w:p w14:paraId="6026A229" w14:textId="77777777" w:rsidR="008F2405" w:rsidRPr="008F2405" w:rsidRDefault="008F2405" w:rsidP="008F2405">
            <w:pPr>
              <w:keepNext/>
            </w:pPr>
            <w:r w:rsidRPr="008F2405">
              <w:t>Terrain sampling interval.</w:t>
            </w:r>
          </w:p>
        </w:tc>
      </w:tr>
      <w:tr w:rsidR="008F2405" w:rsidRPr="008F2405" w14:paraId="3AC57BF9" w14:textId="77777777" w:rsidTr="00BF4F5D">
        <w:trPr>
          <w:jc w:val="center"/>
        </w:trPr>
        <w:tc>
          <w:tcPr>
            <w:tcW w:w="1817" w:type="dxa"/>
            <w:tcBorders>
              <w:top w:val="single" w:sz="6" w:space="0" w:color="auto"/>
              <w:left w:val="single" w:sz="4" w:space="0" w:color="auto"/>
              <w:bottom w:val="single" w:sz="6" w:space="0" w:color="auto"/>
              <w:right w:val="single" w:sz="6" w:space="0" w:color="auto"/>
            </w:tcBorders>
            <w:hideMark/>
          </w:tcPr>
          <w:p w14:paraId="28D44661" w14:textId="77777777" w:rsidR="008F2405" w:rsidRPr="008F2405" w:rsidRDefault="008F2405" w:rsidP="008F2405">
            <w:pPr>
              <w:keepNext/>
            </w:pPr>
            <w:r w:rsidRPr="008F2405">
              <w:t>HG(1) (m)</w:t>
            </w:r>
          </w:p>
        </w:tc>
        <w:tc>
          <w:tcPr>
            <w:tcW w:w="1036" w:type="dxa"/>
            <w:tcBorders>
              <w:top w:val="single" w:sz="6" w:space="0" w:color="auto"/>
              <w:left w:val="single" w:sz="6" w:space="0" w:color="auto"/>
              <w:bottom w:val="single" w:sz="6" w:space="0" w:color="auto"/>
              <w:right w:val="single" w:sz="6" w:space="0" w:color="auto"/>
            </w:tcBorders>
            <w:hideMark/>
          </w:tcPr>
          <w:p w14:paraId="729CBC3F" w14:textId="77777777" w:rsidR="008F2405" w:rsidRPr="008F2405" w:rsidRDefault="008F2405" w:rsidP="008F2405">
            <w:pPr>
              <w:keepNext/>
              <w:jc w:val="center"/>
            </w:pPr>
            <w:r w:rsidRPr="008F2405">
              <w:t>30</w:t>
            </w:r>
          </w:p>
        </w:tc>
        <w:tc>
          <w:tcPr>
            <w:tcW w:w="6295" w:type="dxa"/>
            <w:tcBorders>
              <w:top w:val="single" w:sz="6" w:space="0" w:color="auto"/>
              <w:left w:val="single" w:sz="6" w:space="0" w:color="auto"/>
              <w:bottom w:val="single" w:sz="6" w:space="0" w:color="auto"/>
              <w:right w:val="single" w:sz="4" w:space="0" w:color="auto"/>
            </w:tcBorders>
            <w:hideMark/>
          </w:tcPr>
          <w:p w14:paraId="01EEA1E5" w14:textId="77777777" w:rsidR="008F2405" w:rsidRPr="008F2405" w:rsidRDefault="008F2405" w:rsidP="008F2405">
            <w:pPr>
              <w:keepNext/>
            </w:pPr>
            <w:r w:rsidRPr="008F2405">
              <w:t>Height of the radiation center above ground.</w:t>
            </w:r>
          </w:p>
        </w:tc>
      </w:tr>
      <w:tr w:rsidR="008F2405" w:rsidRPr="008F2405" w14:paraId="6C5004B1" w14:textId="77777777" w:rsidTr="00BF4F5D">
        <w:trPr>
          <w:cantSplit/>
          <w:trHeight w:val="432"/>
          <w:jc w:val="center"/>
        </w:trPr>
        <w:tc>
          <w:tcPr>
            <w:tcW w:w="1817" w:type="dxa"/>
            <w:tcBorders>
              <w:top w:val="single" w:sz="6" w:space="0" w:color="auto"/>
              <w:left w:val="single" w:sz="4" w:space="0" w:color="auto"/>
              <w:bottom w:val="single" w:sz="6" w:space="0" w:color="auto"/>
              <w:right w:val="single" w:sz="6" w:space="0" w:color="auto"/>
            </w:tcBorders>
            <w:hideMark/>
          </w:tcPr>
          <w:p w14:paraId="4531D8A0" w14:textId="77777777" w:rsidR="008F2405" w:rsidRPr="008F2405" w:rsidRDefault="008F2405" w:rsidP="008F2405">
            <w:pPr>
              <w:keepNext/>
            </w:pPr>
            <w:r w:rsidRPr="008F2405">
              <w:t>HG(2) (m)</w:t>
            </w:r>
          </w:p>
        </w:tc>
        <w:tc>
          <w:tcPr>
            <w:tcW w:w="1036" w:type="dxa"/>
            <w:tcBorders>
              <w:top w:val="single" w:sz="6" w:space="0" w:color="auto"/>
              <w:left w:val="single" w:sz="6" w:space="0" w:color="auto"/>
              <w:bottom w:val="single" w:sz="6" w:space="0" w:color="auto"/>
              <w:right w:val="single" w:sz="6" w:space="0" w:color="auto"/>
            </w:tcBorders>
          </w:tcPr>
          <w:p w14:paraId="24504273" w14:textId="77777777" w:rsidR="008F2405" w:rsidRPr="008F2405" w:rsidRDefault="008F2405" w:rsidP="008F2405">
            <w:pPr>
              <w:keepNext/>
              <w:jc w:val="center"/>
            </w:pPr>
            <w:r w:rsidRPr="008F2405">
              <w:t>10</w:t>
            </w:r>
          </w:p>
        </w:tc>
        <w:tc>
          <w:tcPr>
            <w:tcW w:w="6295" w:type="dxa"/>
            <w:tcBorders>
              <w:top w:val="single" w:sz="6" w:space="0" w:color="auto"/>
              <w:left w:val="single" w:sz="6" w:space="0" w:color="auto"/>
              <w:bottom w:val="single" w:sz="6" w:space="0" w:color="auto"/>
              <w:right w:val="single" w:sz="4" w:space="0" w:color="auto"/>
            </w:tcBorders>
          </w:tcPr>
          <w:p w14:paraId="361204D4" w14:textId="77777777" w:rsidR="008F2405" w:rsidRPr="008F2405" w:rsidRDefault="008F2405" w:rsidP="008F2405">
            <w:pPr>
              <w:keepNext/>
            </w:pPr>
            <w:r w:rsidRPr="008F2405">
              <w:t xml:space="preserve">Height of </w:t>
            </w:r>
            <w:r w:rsidR="005222A4">
              <w:t>D</w:t>
            </w:r>
            <w:r w:rsidRPr="008F2405">
              <w:t>TV receiver</w:t>
            </w:r>
            <w:r w:rsidR="005222A4">
              <w:t xml:space="preserve"> above ground</w:t>
            </w:r>
          </w:p>
        </w:tc>
      </w:tr>
      <w:tr w:rsidR="008F2405" w:rsidRPr="008F2405" w14:paraId="1FB139A5" w14:textId="77777777" w:rsidTr="00BF4F5D">
        <w:trPr>
          <w:cantSplit/>
          <w:trHeight w:val="432"/>
          <w:jc w:val="center"/>
        </w:trPr>
        <w:tc>
          <w:tcPr>
            <w:tcW w:w="1817" w:type="dxa"/>
            <w:tcBorders>
              <w:top w:val="single" w:sz="6" w:space="0" w:color="auto"/>
              <w:left w:val="single" w:sz="4" w:space="0" w:color="auto"/>
              <w:bottom w:val="single" w:sz="6" w:space="0" w:color="auto"/>
              <w:right w:val="single" w:sz="6" w:space="0" w:color="auto"/>
            </w:tcBorders>
          </w:tcPr>
          <w:p w14:paraId="54D0E5AC" w14:textId="77777777" w:rsidR="008F2405" w:rsidRPr="008F2405" w:rsidRDefault="008F2405" w:rsidP="008F2405">
            <w:pPr>
              <w:keepNext/>
            </w:pPr>
            <w:r w:rsidRPr="008F2405">
              <w:t>Time variability (desired signal)</w:t>
            </w:r>
          </w:p>
        </w:tc>
        <w:tc>
          <w:tcPr>
            <w:tcW w:w="1036" w:type="dxa"/>
            <w:tcBorders>
              <w:top w:val="single" w:sz="6" w:space="0" w:color="auto"/>
              <w:left w:val="single" w:sz="6" w:space="0" w:color="auto"/>
              <w:bottom w:val="single" w:sz="6" w:space="0" w:color="auto"/>
              <w:right w:val="single" w:sz="6" w:space="0" w:color="auto"/>
            </w:tcBorders>
          </w:tcPr>
          <w:p w14:paraId="6D07DC8F" w14:textId="77777777" w:rsidR="008F2405" w:rsidRPr="008F2405" w:rsidRDefault="008F2405" w:rsidP="008F2405">
            <w:pPr>
              <w:keepNext/>
              <w:jc w:val="center"/>
            </w:pPr>
            <w:r w:rsidRPr="008F2405">
              <w:t>90%</w:t>
            </w:r>
          </w:p>
        </w:tc>
        <w:tc>
          <w:tcPr>
            <w:tcW w:w="6295" w:type="dxa"/>
            <w:tcBorders>
              <w:top w:val="single" w:sz="6" w:space="0" w:color="auto"/>
              <w:left w:val="single" w:sz="6" w:space="0" w:color="auto"/>
              <w:bottom w:val="single" w:sz="6" w:space="0" w:color="auto"/>
              <w:right w:val="single" w:sz="4" w:space="0" w:color="auto"/>
            </w:tcBorders>
          </w:tcPr>
          <w:p w14:paraId="61A55B6C" w14:textId="77777777" w:rsidR="008F2405" w:rsidRPr="008F2405" w:rsidRDefault="008F2405" w:rsidP="008F2405">
            <w:pPr>
              <w:keepNext/>
            </w:pPr>
          </w:p>
        </w:tc>
      </w:tr>
      <w:tr w:rsidR="008F2405" w:rsidRPr="008F2405" w14:paraId="2DF46064" w14:textId="77777777" w:rsidTr="00BF4F5D">
        <w:trPr>
          <w:cantSplit/>
          <w:trHeight w:val="432"/>
          <w:jc w:val="center"/>
        </w:trPr>
        <w:tc>
          <w:tcPr>
            <w:tcW w:w="1817" w:type="dxa"/>
            <w:tcBorders>
              <w:top w:val="single" w:sz="6" w:space="0" w:color="auto"/>
              <w:left w:val="single" w:sz="4" w:space="0" w:color="auto"/>
              <w:bottom w:val="single" w:sz="6" w:space="0" w:color="auto"/>
              <w:right w:val="single" w:sz="6" w:space="0" w:color="auto"/>
            </w:tcBorders>
          </w:tcPr>
          <w:p w14:paraId="6CFD28A2" w14:textId="77777777" w:rsidR="008F2405" w:rsidRPr="008F2405" w:rsidRDefault="008F2405" w:rsidP="008F2405">
            <w:pPr>
              <w:keepNext/>
            </w:pPr>
            <w:r w:rsidRPr="008F2405">
              <w:t>Time variability (undesired signal)</w:t>
            </w:r>
          </w:p>
        </w:tc>
        <w:tc>
          <w:tcPr>
            <w:tcW w:w="1036" w:type="dxa"/>
            <w:tcBorders>
              <w:top w:val="single" w:sz="6" w:space="0" w:color="auto"/>
              <w:left w:val="single" w:sz="6" w:space="0" w:color="auto"/>
              <w:bottom w:val="single" w:sz="6" w:space="0" w:color="auto"/>
              <w:right w:val="single" w:sz="6" w:space="0" w:color="auto"/>
            </w:tcBorders>
          </w:tcPr>
          <w:p w14:paraId="470CC9CF" w14:textId="77777777" w:rsidR="008F2405" w:rsidRPr="008F2405" w:rsidRDefault="008F2405" w:rsidP="008F2405">
            <w:pPr>
              <w:keepNext/>
              <w:jc w:val="center"/>
            </w:pPr>
            <w:r w:rsidRPr="008F2405">
              <w:t>10%</w:t>
            </w:r>
          </w:p>
        </w:tc>
        <w:tc>
          <w:tcPr>
            <w:tcW w:w="6295" w:type="dxa"/>
            <w:tcBorders>
              <w:top w:val="single" w:sz="6" w:space="0" w:color="auto"/>
              <w:left w:val="single" w:sz="6" w:space="0" w:color="auto"/>
              <w:bottom w:val="single" w:sz="6" w:space="0" w:color="auto"/>
              <w:right w:val="single" w:sz="4" w:space="0" w:color="auto"/>
            </w:tcBorders>
          </w:tcPr>
          <w:p w14:paraId="50A6E6E3" w14:textId="77777777" w:rsidR="008F2405" w:rsidRPr="008F2405" w:rsidRDefault="008F2405" w:rsidP="008F2405">
            <w:pPr>
              <w:keepNext/>
            </w:pPr>
          </w:p>
        </w:tc>
      </w:tr>
      <w:tr w:rsidR="008F2405" w:rsidRPr="008F2405" w14:paraId="5F4E58B5" w14:textId="77777777" w:rsidTr="00BF4F5D">
        <w:trPr>
          <w:cantSplit/>
          <w:trHeight w:val="432"/>
          <w:jc w:val="center"/>
        </w:trPr>
        <w:tc>
          <w:tcPr>
            <w:tcW w:w="1817" w:type="dxa"/>
            <w:tcBorders>
              <w:top w:val="single" w:sz="6" w:space="0" w:color="auto"/>
              <w:left w:val="single" w:sz="4" w:space="0" w:color="auto"/>
              <w:bottom w:val="single" w:sz="6" w:space="0" w:color="auto"/>
              <w:right w:val="single" w:sz="6" w:space="0" w:color="auto"/>
            </w:tcBorders>
          </w:tcPr>
          <w:p w14:paraId="1322B293" w14:textId="77777777" w:rsidR="008F2405" w:rsidRPr="008F2405" w:rsidRDefault="008F2405" w:rsidP="008F2405">
            <w:pPr>
              <w:keepNext/>
            </w:pPr>
            <w:r w:rsidRPr="008F2405">
              <w:t>Location variability</w:t>
            </w:r>
          </w:p>
        </w:tc>
        <w:tc>
          <w:tcPr>
            <w:tcW w:w="1036" w:type="dxa"/>
            <w:tcBorders>
              <w:top w:val="single" w:sz="6" w:space="0" w:color="auto"/>
              <w:left w:val="single" w:sz="6" w:space="0" w:color="auto"/>
              <w:bottom w:val="single" w:sz="6" w:space="0" w:color="auto"/>
              <w:right w:val="single" w:sz="6" w:space="0" w:color="auto"/>
            </w:tcBorders>
          </w:tcPr>
          <w:p w14:paraId="35296780" w14:textId="77777777" w:rsidR="008F2405" w:rsidRPr="008F2405" w:rsidRDefault="008F2405" w:rsidP="008F2405">
            <w:pPr>
              <w:keepNext/>
              <w:jc w:val="center"/>
            </w:pPr>
            <w:r w:rsidRPr="008F2405">
              <w:t>50%</w:t>
            </w:r>
          </w:p>
        </w:tc>
        <w:tc>
          <w:tcPr>
            <w:tcW w:w="6295" w:type="dxa"/>
            <w:tcBorders>
              <w:top w:val="single" w:sz="6" w:space="0" w:color="auto"/>
              <w:left w:val="single" w:sz="6" w:space="0" w:color="auto"/>
              <w:bottom w:val="single" w:sz="6" w:space="0" w:color="auto"/>
              <w:right w:val="single" w:sz="4" w:space="0" w:color="auto"/>
            </w:tcBorders>
          </w:tcPr>
          <w:p w14:paraId="107478E3" w14:textId="77777777" w:rsidR="008F2405" w:rsidRPr="008F2405" w:rsidRDefault="008F2405" w:rsidP="008F2405">
            <w:pPr>
              <w:keepNext/>
            </w:pPr>
          </w:p>
        </w:tc>
      </w:tr>
      <w:tr w:rsidR="008F2405" w:rsidRPr="008F2405" w14:paraId="078FF7A1" w14:textId="77777777" w:rsidTr="00BF4F5D">
        <w:trPr>
          <w:cantSplit/>
          <w:trHeight w:val="432"/>
          <w:jc w:val="center"/>
        </w:trPr>
        <w:tc>
          <w:tcPr>
            <w:tcW w:w="1817" w:type="dxa"/>
            <w:tcBorders>
              <w:top w:val="single" w:sz="6" w:space="0" w:color="auto"/>
              <w:left w:val="single" w:sz="4" w:space="0" w:color="auto"/>
              <w:bottom w:val="single" w:sz="6" w:space="0" w:color="auto"/>
              <w:right w:val="single" w:sz="6" w:space="0" w:color="auto"/>
            </w:tcBorders>
          </w:tcPr>
          <w:p w14:paraId="5BADF317" w14:textId="77777777" w:rsidR="008F2405" w:rsidRPr="008F2405" w:rsidRDefault="008F2405" w:rsidP="008F2405">
            <w:pPr>
              <w:keepNext/>
            </w:pPr>
            <w:r w:rsidRPr="008F2405">
              <w:t>Confidence variability</w:t>
            </w:r>
          </w:p>
        </w:tc>
        <w:tc>
          <w:tcPr>
            <w:tcW w:w="1036" w:type="dxa"/>
            <w:tcBorders>
              <w:top w:val="single" w:sz="6" w:space="0" w:color="auto"/>
              <w:left w:val="single" w:sz="6" w:space="0" w:color="auto"/>
              <w:bottom w:val="single" w:sz="6" w:space="0" w:color="auto"/>
              <w:right w:val="single" w:sz="6" w:space="0" w:color="auto"/>
            </w:tcBorders>
          </w:tcPr>
          <w:p w14:paraId="3B53A34E" w14:textId="77777777" w:rsidR="008F2405" w:rsidRPr="008F2405" w:rsidRDefault="008F2405" w:rsidP="008F2405">
            <w:pPr>
              <w:keepNext/>
              <w:jc w:val="center"/>
            </w:pPr>
            <w:r w:rsidRPr="008F2405">
              <w:t>50%</w:t>
            </w:r>
          </w:p>
        </w:tc>
        <w:tc>
          <w:tcPr>
            <w:tcW w:w="6295" w:type="dxa"/>
            <w:tcBorders>
              <w:top w:val="single" w:sz="6" w:space="0" w:color="auto"/>
              <w:left w:val="single" w:sz="6" w:space="0" w:color="auto"/>
              <w:bottom w:val="single" w:sz="6" w:space="0" w:color="auto"/>
              <w:right w:val="single" w:sz="4" w:space="0" w:color="auto"/>
            </w:tcBorders>
          </w:tcPr>
          <w:p w14:paraId="12ACBB09" w14:textId="77777777" w:rsidR="008F2405" w:rsidRPr="008F2405" w:rsidRDefault="008F2405" w:rsidP="008F2405">
            <w:pPr>
              <w:keepNext/>
            </w:pPr>
            <w:r w:rsidRPr="008F2405">
              <w:t>(Also called situational variability)</w:t>
            </w:r>
          </w:p>
        </w:tc>
      </w:tr>
      <w:tr w:rsidR="008F2405" w:rsidRPr="008F2405" w14:paraId="0DFC696A" w14:textId="77777777" w:rsidTr="00BF4F5D">
        <w:trPr>
          <w:cantSplit/>
          <w:trHeight w:val="432"/>
          <w:jc w:val="center"/>
        </w:trPr>
        <w:tc>
          <w:tcPr>
            <w:tcW w:w="1817" w:type="dxa"/>
            <w:tcBorders>
              <w:top w:val="single" w:sz="6" w:space="0" w:color="auto"/>
              <w:left w:val="single" w:sz="4" w:space="0" w:color="auto"/>
              <w:bottom w:val="single" w:sz="6" w:space="0" w:color="auto"/>
              <w:right w:val="single" w:sz="6" w:space="0" w:color="auto"/>
            </w:tcBorders>
          </w:tcPr>
          <w:p w14:paraId="391B872C" w14:textId="77777777" w:rsidR="008F2405" w:rsidRPr="008F2405" w:rsidRDefault="008F2405" w:rsidP="005222A4">
            <w:pPr>
              <w:keepNext/>
            </w:pPr>
            <w:r w:rsidRPr="008F2405">
              <w:t xml:space="preserve">Error </w:t>
            </w:r>
            <w:r w:rsidR="005222A4">
              <w:t>Code )KWX=3)</w:t>
            </w:r>
          </w:p>
        </w:tc>
        <w:tc>
          <w:tcPr>
            <w:tcW w:w="1036" w:type="dxa"/>
            <w:tcBorders>
              <w:top w:val="single" w:sz="6" w:space="0" w:color="auto"/>
              <w:left w:val="single" w:sz="6" w:space="0" w:color="auto"/>
              <w:bottom w:val="single" w:sz="6" w:space="0" w:color="auto"/>
              <w:right w:val="single" w:sz="6" w:space="0" w:color="auto"/>
            </w:tcBorders>
          </w:tcPr>
          <w:p w14:paraId="701D78D9" w14:textId="77777777" w:rsidR="008F2405" w:rsidRPr="008F2405" w:rsidRDefault="008F2405" w:rsidP="008F2405">
            <w:pPr>
              <w:keepNext/>
              <w:jc w:val="center"/>
            </w:pPr>
            <w:r w:rsidRPr="008F2405">
              <w:t>Ignore</w:t>
            </w:r>
          </w:p>
        </w:tc>
        <w:tc>
          <w:tcPr>
            <w:tcW w:w="6295" w:type="dxa"/>
            <w:tcBorders>
              <w:top w:val="single" w:sz="6" w:space="0" w:color="auto"/>
              <w:left w:val="single" w:sz="6" w:space="0" w:color="auto"/>
              <w:bottom w:val="single" w:sz="6" w:space="0" w:color="auto"/>
              <w:right w:val="single" w:sz="4" w:space="0" w:color="auto"/>
            </w:tcBorders>
          </w:tcPr>
          <w:p w14:paraId="35B2232E" w14:textId="77777777" w:rsidR="008F2405" w:rsidRPr="008F2405" w:rsidRDefault="008F2405" w:rsidP="008F2405">
            <w:pPr>
              <w:keepNext/>
            </w:pPr>
            <w:r w:rsidRPr="008F2405">
              <w:t>Accept the path loss value that is returned by Longley-Rice code</w:t>
            </w:r>
          </w:p>
        </w:tc>
      </w:tr>
    </w:tbl>
    <w:p w14:paraId="2764C8D9" w14:textId="77777777" w:rsidR="008F2405" w:rsidRPr="00435828" w:rsidRDefault="008F2405" w:rsidP="006A744E">
      <w:pPr>
        <w:keepNext/>
        <w:spacing w:before="120" w:after="240"/>
        <w:jc w:val="center"/>
        <w:rPr>
          <w:szCs w:val="22"/>
        </w:rPr>
      </w:pPr>
      <w:bookmarkStart w:id="921" w:name="_Ref396478338"/>
      <w:r w:rsidRPr="00435828">
        <w:rPr>
          <w:szCs w:val="22"/>
        </w:rPr>
        <w:t xml:space="preserve">Table </w:t>
      </w:r>
      <w:r w:rsidRPr="00435828">
        <w:rPr>
          <w:szCs w:val="22"/>
        </w:rPr>
        <w:fldChar w:fldCharType="begin"/>
      </w:r>
      <w:r w:rsidRPr="00435828">
        <w:rPr>
          <w:szCs w:val="22"/>
        </w:rPr>
        <w:instrText xml:space="preserve"> SEQ Table \* ARABIC </w:instrText>
      </w:r>
      <w:r w:rsidRPr="00435828">
        <w:rPr>
          <w:szCs w:val="22"/>
        </w:rPr>
        <w:fldChar w:fldCharType="separate"/>
      </w:r>
      <w:r w:rsidR="00656F50">
        <w:rPr>
          <w:noProof/>
          <w:szCs w:val="22"/>
        </w:rPr>
        <w:t>11</w:t>
      </w:r>
      <w:r w:rsidRPr="00435828">
        <w:rPr>
          <w:szCs w:val="22"/>
        </w:rPr>
        <w:fldChar w:fldCharType="end"/>
      </w:r>
      <w:bookmarkEnd w:id="921"/>
      <w:r w:rsidRPr="00435828">
        <w:rPr>
          <w:szCs w:val="22"/>
        </w:rPr>
        <w:t>.  Longley-Rice parameter values for ISIX Case 3</w:t>
      </w:r>
    </w:p>
    <w:p w14:paraId="6079EF4B" w14:textId="77777777" w:rsidR="00D15BD6" w:rsidRDefault="00D15BD6" w:rsidP="006A744E">
      <w:pPr>
        <w:pStyle w:val="ParaNum"/>
      </w:pPr>
      <w:r>
        <w:rPr>
          <w:i/>
          <w:iCs/>
          <w:u w:val="single"/>
        </w:rPr>
        <w:t>D/U Ratio Limits for Interference to DTV.</w:t>
      </w:r>
      <w:r>
        <w:t>  To predict impairments resulting from wireless interference to DTV service caused by wireless co-channel interference, the minimum D/U ratios are computed from the following formula:</w:t>
      </w:r>
    </w:p>
    <w:p w14:paraId="40DDEE82" w14:textId="24757E48" w:rsidR="00D15BD6" w:rsidRPr="00C21C0C" w:rsidRDefault="00D15BD6" w:rsidP="00D15BD6">
      <w:pPr>
        <w:jc w:val="center"/>
        <w:rPr>
          <w:szCs w:val="22"/>
        </w:rPr>
      </w:pPr>
      <w:r w:rsidRPr="006A744E">
        <w:rPr>
          <w:color w:val="000000"/>
          <w:szCs w:val="22"/>
        </w:rPr>
        <w:t xml:space="preserve">Wireless-into-DTV </w:t>
      </w:r>
      <w:r w:rsidRPr="00C21C0C">
        <w:rPr>
          <w:szCs w:val="22"/>
        </w:rPr>
        <w:t>D/U = 15 +</w:t>
      </w:r>
      <w:r w:rsidRPr="006A744E">
        <w:rPr>
          <w:color w:val="000000"/>
          <w:szCs w:val="22"/>
        </w:rPr>
        <w:t xml:space="preserve"> Δ</w:t>
      </w:r>
      <w:r w:rsidRPr="00C21C0C">
        <w:rPr>
          <w:szCs w:val="22"/>
        </w:rPr>
        <w:t xml:space="preserve"> +</w:t>
      </w:r>
      <w:r w:rsidR="001D230E">
        <w:rPr>
          <w:szCs w:val="22"/>
        </w:rPr>
        <w:t xml:space="preserve"> α </w:t>
      </w:r>
      <w:r w:rsidR="00F1278A">
        <w:rPr>
          <w:szCs w:val="22"/>
        </w:rPr>
        <w:t>–</w:t>
      </w:r>
      <w:r w:rsidR="001D230E">
        <w:rPr>
          <w:szCs w:val="22"/>
        </w:rPr>
        <w:t xml:space="preserve"> OFR</w:t>
      </w:r>
    </w:p>
    <w:p w14:paraId="1D13B809" w14:textId="77777777" w:rsidR="00D15BD6" w:rsidRPr="00C21C0C" w:rsidRDefault="00D15BD6" w:rsidP="00D15BD6">
      <w:pPr>
        <w:rPr>
          <w:szCs w:val="22"/>
        </w:rPr>
      </w:pPr>
      <w:r w:rsidRPr="00C21C0C">
        <w:rPr>
          <w:szCs w:val="22"/>
        </w:rPr>
        <w:t>Where:</w:t>
      </w:r>
    </w:p>
    <w:p w14:paraId="1887FDB3" w14:textId="77777777" w:rsidR="001D230E" w:rsidRPr="001D230E" w:rsidRDefault="00D15BD6">
      <w:pPr>
        <w:ind w:left="720" w:firstLine="720"/>
        <w:rPr>
          <w:color w:val="000000"/>
          <w:szCs w:val="22"/>
        </w:rPr>
      </w:pPr>
      <m:oMathPara>
        <m:oMathParaPr>
          <m:jc m:val="left"/>
        </m:oMathParaPr>
        <m:oMath>
          <m:r>
            <w:rPr>
              <w:rFonts w:ascii="Cambria Math" w:hAnsi="Cambria Math"/>
              <w:color w:val="000000"/>
              <w:szCs w:val="22"/>
            </w:rPr>
            <m:t>∆=</m:t>
          </m:r>
          <m:d>
            <m:dPr>
              <m:begChr m:val="{"/>
              <m:endChr m:val=""/>
              <m:ctrlPr>
                <w:rPr>
                  <w:rFonts w:ascii="Cambria Math" w:eastAsiaTheme="minorHAnsi" w:hAnsi="Cambria Math"/>
                  <w:i/>
                  <w:iCs/>
                  <w:color w:val="000000"/>
                  <w:szCs w:val="22"/>
                </w:rPr>
              </m:ctrlPr>
            </m:dPr>
            <m:e>
              <m:eqArr>
                <m:eqArrPr>
                  <m:ctrlPr>
                    <w:rPr>
                      <w:rFonts w:ascii="Cambria Math" w:eastAsiaTheme="minorHAnsi" w:hAnsi="Cambria Math"/>
                      <w:i/>
                      <w:iCs/>
                      <w:color w:val="000000"/>
                      <w:szCs w:val="22"/>
                    </w:rPr>
                  </m:ctrlPr>
                </m:eqArrPr>
                <m:e>
                  <m:r>
                    <w:rPr>
                      <w:rFonts w:ascii="Cambria Math" w:hAnsi="Cambria Math"/>
                      <w:color w:val="000000"/>
                      <w:szCs w:val="22"/>
                    </w:rPr>
                    <m:t>1</m:t>
                  </m:r>
                  <m:r>
                    <m:rPr>
                      <m:sty m:val="p"/>
                    </m:rPr>
                    <w:rPr>
                      <w:rFonts w:ascii="Cambria Math" w:hAnsi="Cambria Math"/>
                      <w:color w:val="000000"/>
                      <w:szCs w:val="22"/>
                    </w:rPr>
                    <m:t>     co</m:t>
                  </m:r>
                  <m:r>
                    <m:rPr>
                      <m:nor/>
                    </m:rPr>
                    <w:rPr>
                      <w:rFonts w:ascii="Cambria Math" w:hAnsi="Cambria Math"/>
                      <w:color w:val="000000"/>
                      <w:szCs w:val="22"/>
                    </w:rPr>
                    <m:t>-</m:t>
                  </m:r>
                  <m:r>
                    <m:rPr>
                      <m:sty m:val="p"/>
                    </m:rPr>
                    <w:rPr>
                      <w:rFonts w:ascii="Cambria Math" w:hAnsi="Cambria Math"/>
                      <w:color w:val="000000"/>
                      <w:szCs w:val="22"/>
                    </w:rPr>
                    <m:t xml:space="preserve">channel </m:t>
                  </m:r>
                  <m:d>
                    <m:dPr>
                      <m:ctrlPr>
                        <w:rPr>
                          <w:rFonts w:ascii="Cambria Math" w:hAnsi="Cambria Math"/>
                          <w:color w:val="000000"/>
                          <w:szCs w:val="22"/>
                        </w:rPr>
                      </m:ctrlPr>
                    </m:dPr>
                    <m:e>
                      <m:r>
                        <m:rPr>
                          <m:sty m:val="p"/>
                        </m:rPr>
                        <w:rPr>
                          <w:rFonts w:ascii="Cambria Math" w:hAnsi="Cambria Math"/>
                          <w:color w:val="000000"/>
                          <w:szCs w:val="22"/>
                        </w:rPr>
                        <m:t>spectral overlap &gt; 0 MHz</m:t>
                      </m:r>
                    </m:e>
                  </m:d>
                  <m:r>
                    <m:rPr>
                      <m:sty m:val="p"/>
                    </m:rPr>
                    <w:rPr>
                      <w:rFonts w:ascii="Cambria Math" w:hAnsi="Cambria Math"/>
                      <w:color w:val="000000"/>
                      <w:szCs w:val="22"/>
                    </w:rPr>
                    <m:t xml:space="preserve">          </m:t>
                  </m:r>
                </m:e>
                <m:e>
                  <m:r>
                    <w:rPr>
                      <w:rFonts w:ascii="Cambria Math" w:hAnsi="Cambria Math"/>
                      <w:color w:val="000000"/>
                      <w:szCs w:val="22"/>
                    </w:rPr>
                    <m:t xml:space="preserve"> 0</m:t>
                  </m:r>
                  <m:r>
                    <m:rPr>
                      <m:sty m:val="p"/>
                    </m:rPr>
                    <w:rPr>
                      <w:rFonts w:ascii="Cambria Math" w:hAnsi="Cambria Math"/>
                      <w:color w:val="000000"/>
                      <w:szCs w:val="22"/>
                    </w:rPr>
                    <m:t>     adjacent</m:t>
                  </m:r>
                  <m:r>
                    <m:rPr>
                      <m:nor/>
                    </m:rPr>
                    <w:rPr>
                      <w:rFonts w:ascii="Cambria Math" w:hAnsi="Cambria Math"/>
                      <w:color w:val="000000"/>
                      <w:szCs w:val="22"/>
                    </w:rPr>
                    <m:t>-</m:t>
                  </m:r>
                  <m:r>
                    <m:rPr>
                      <m:sty m:val="p"/>
                    </m:rPr>
                    <w:rPr>
                      <w:rFonts w:ascii="Cambria Math" w:hAnsi="Cambria Math"/>
                      <w:color w:val="000000"/>
                      <w:szCs w:val="22"/>
                    </w:rPr>
                    <m:t xml:space="preserve">channel </m:t>
                  </m:r>
                  <m:d>
                    <m:dPr>
                      <m:ctrlPr>
                        <w:rPr>
                          <w:rFonts w:ascii="Cambria Math" w:hAnsi="Cambria Math"/>
                          <w:color w:val="000000"/>
                          <w:szCs w:val="22"/>
                        </w:rPr>
                      </m:ctrlPr>
                    </m:dPr>
                    <m:e>
                      <m:r>
                        <m:rPr>
                          <m:sty m:val="p"/>
                        </m:rPr>
                        <w:rPr>
                          <w:rFonts w:ascii="Cambria Math" w:hAnsi="Cambria Math"/>
                          <w:color w:val="000000"/>
                          <w:szCs w:val="22"/>
                        </w:rPr>
                        <m:t>spectral overlap ≤ 0 MHz</m:t>
                      </m:r>
                    </m:e>
                  </m:d>
                </m:e>
              </m:eqArr>
            </m:e>
          </m:d>
          <m:r>
            <m:rPr>
              <m:sty m:val="p"/>
            </m:rPr>
            <w:rPr>
              <w:color w:val="000000"/>
              <w:szCs w:val="22"/>
            </w:rPr>
            <w:br/>
          </m:r>
        </m:oMath>
        <m:oMath>
          <m:r>
            <w:rPr>
              <w:rFonts w:ascii="Cambria Math" w:hAnsi="Cambria Math"/>
              <w:color w:val="000000"/>
              <w:szCs w:val="22"/>
            </w:rPr>
            <m:t>∝ =10</m:t>
          </m:r>
          <m:sSub>
            <m:sSubPr>
              <m:ctrlPr>
                <w:rPr>
                  <w:rFonts w:ascii="Cambria Math" w:hAnsi="Cambria Math"/>
                  <w:i/>
                  <w:color w:val="000000"/>
                  <w:szCs w:val="22"/>
                </w:rPr>
              </m:ctrlPr>
            </m:sSubPr>
            <m:e>
              <m:r>
                <w:rPr>
                  <w:rFonts w:ascii="Cambria Math" w:hAnsi="Cambria Math"/>
                  <w:color w:val="000000"/>
                  <w:szCs w:val="22"/>
                </w:rPr>
                <m:t>Log</m:t>
              </m:r>
            </m:e>
            <m:sub>
              <m:r>
                <w:rPr>
                  <w:rFonts w:ascii="Cambria Math" w:hAnsi="Cambria Math"/>
                  <w:color w:val="000000"/>
                  <w:szCs w:val="22"/>
                </w:rPr>
                <m:t>10</m:t>
              </m:r>
            </m:sub>
          </m:sSub>
          <m:d>
            <m:dPr>
              <m:begChr m:val="["/>
              <m:endChr m:val="]"/>
              <m:ctrlPr>
                <w:rPr>
                  <w:rFonts w:ascii="Cambria Math" w:hAnsi="Cambria Math"/>
                  <w:i/>
                  <w:color w:val="000000"/>
                  <w:szCs w:val="22"/>
                </w:rPr>
              </m:ctrlPr>
            </m:dPr>
            <m:e>
              <m:f>
                <m:fPr>
                  <m:ctrlPr>
                    <w:rPr>
                      <w:rFonts w:ascii="Cambria Math" w:hAnsi="Cambria Math"/>
                      <w:i/>
                      <w:color w:val="000000"/>
                      <w:szCs w:val="22"/>
                    </w:rPr>
                  </m:ctrlPr>
                </m:fPr>
                <m:num>
                  <m:r>
                    <w:rPr>
                      <w:rFonts w:ascii="Cambria Math" w:hAnsi="Cambria Math"/>
                      <w:color w:val="000000"/>
                      <w:szCs w:val="22"/>
                    </w:rPr>
                    <m:t>1</m:t>
                  </m:r>
                </m:num>
                <m:den>
                  <m:d>
                    <m:dPr>
                      <m:ctrlPr>
                        <w:rPr>
                          <w:rFonts w:ascii="Cambria Math" w:hAnsi="Cambria Math"/>
                          <w:i/>
                          <w:color w:val="000000"/>
                          <w:szCs w:val="22"/>
                        </w:rPr>
                      </m:ctrlPr>
                    </m:dPr>
                    <m:e>
                      <m:r>
                        <w:rPr>
                          <w:rFonts w:ascii="Cambria Math" w:hAnsi="Cambria Math"/>
                          <w:color w:val="000000"/>
                          <w:szCs w:val="22"/>
                        </w:rPr>
                        <m:t>1-</m:t>
                      </m:r>
                      <m:sSup>
                        <m:sSupPr>
                          <m:ctrlPr>
                            <w:rPr>
                              <w:rFonts w:ascii="Cambria Math" w:hAnsi="Cambria Math"/>
                              <w:i/>
                              <w:color w:val="000000"/>
                              <w:szCs w:val="22"/>
                            </w:rPr>
                          </m:ctrlPr>
                        </m:sSupPr>
                        <m:e>
                          <m:r>
                            <w:rPr>
                              <w:rFonts w:ascii="Cambria Math" w:hAnsi="Cambria Math"/>
                              <w:color w:val="000000"/>
                              <w:szCs w:val="22"/>
                            </w:rPr>
                            <m:t>10</m:t>
                          </m:r>
                        </m:e>
                        <m:sup>
                          <m:f>
                            <m:fPr>
                              <m:type m:val="skw"/>
                              <m:ctrlPr>
                                <w:rPr>
                                  <w:rFonts w:ascii="Cambria Math" w:hAnsi="Cambria Math"/>
                                  <w:i/>
                                  <w:color w:val="000000"/>
                                  <w:szCs w:val="22"/>
                                </w:rPr>
                              </m:ctrlPr>
                            </m:fPr>
                            <m:num>
                              <m:r>
                                <w:rPr>
                                  <w:rFonts w:ascii="Cambria Math" w:hAnsi="Cambria Math"/>
                                  <w:color w:val="000000"/>
                                  <w:szCs w:val="22"/>
                                </w:rPr>
                                <m:t>-x</m:t>
                              </m:r>
                            </m:num>
                            <m:den>
                              <m:r>
                                <w:rPr>
                                  <w:rFonts w:ascii="Cambria Math" w:hAnsi="Cambria Math"/>
                                  <w:color w:val="000000"/>
                                  <w:szCs w:val="22"/>
                                </w:rPr>
                                <m:t>10</m:t>
                              </m:r>
                            </m:den>
                          </m:f>
                        </m:sup>
                      </m:sSup>
                    </m:e>
                  </m:d>
                </m:den>
              </m:f>
            </m:e>
          </m:d>
        </m:oMath>
      </m:oMathPara>
    </w:p>
    <w:p w14:paraId="341C79FE" w14:textId="4A7A5A69" w:rsidR="001D230E" w:rsidRPr="00C21C0C" w:rsidRDefault="00D15BD6" w:rsidP="00EE61F6">
      <w:pPr>
        <w:spacing w:after="120"/>
        <w:ind w:left="720"/>
        <w:rPr>
          <w:szCs w:val="22"/>
        </w:rPr>
      </w:pPr>
      <w:r w:rsidRPr="00C21C0C">
        <w:rPr>
          <w:szCs w:val="22"/>
        </w:rPr>
        <w:t xml:space="preserve">x = S/N </w:t>
      </w:r>
      <w:r w:rsidR="00F1278A">
        <w:rPr>
          <w:szCs w:val="22"/>
        </w:rPr>
        <w:t>–</w:t>
      </w:r>
      <w:r w:rsidRPr="00C21C0C">
        <w:rPr>
          <w:szCs w:val="22"/>
        </w:rPr>
        <w:t xml:space="preserve"> 15.19 dB</w:t>
      </w:r>
      <w:r w:rsidR="001D230E">
        <w:rPr>
          <w:szCs w:val="22"/>
        </w:rPr>
        <w:br/>
        <w:t xml:space="preserve">OFR = Off-frequency rejection (See </w:t>
      </w:r>
      <w:r w:rsidR="001D230E">
        <w:rPr>
          <w:szCs w:val="22"/>
        </w:rPr>
        <w:fldChar w:fldCharType="begin"/>
      </w:r>
      <w:r w:rsidR="001D230E">
        <w:rPr>
          <w:szCs w:val="22"/>
        </w:rPr>
        <w:instrText xml:space="preserve"> REF _Ref393708032 \h </w:instrText>
      </w:r>
      <w:r w:rsidR="001D230E">
        <w:rPr>
          <w:szCs w:val="22"/>
        </w:rPr>
      </w:r>
      <w:r w:rsidR="001D230E">
        <w:rPr>
          <w:szCs w:val="22"/>
        </w:rPr>
        <w:fldChar w:fldCharType="separate"/>
      </w:r>
      <w:r w:rsidR="00656F50" w:rsidRPr="00435828">
        <w:rPr>
          <w:szCs w:val="22"/>
        </w:rPr>
        <w:t xml:space="preserve">Table </w:t>
      </w:r>
      <w:r w:rsidR="00656F50">
        <w:rPr>
          <w:noProof/>
          <w:szCs w:val="22"/>
        </w:rPr>
        <w:t>12</w:t>
      </w:r>
      <w:r w:rsidR="001D230E">
        <w:rPr>
          <w:szCs w:val="22"/>
        </w:rPr>
        <w:fldChar w:fldCharType="end"/>
      </w:r>
      <w:r w:rsidR="001D230E">
        <w:rPr>
          <w:szCs w:val="22"/>
        </w:rPr>
        <w:t>)</w:t>
      </w:r>
    </w:p>
    <w:p w14:paraId="4380E76E" w14:textId="77777777" w:rsidR="008F2405" w:rsidRPr="008F2405" w:rsidRDefault="008F2405" w:rsidP="006A744E">
      <w:pPr>
        <w:spacing w:after="120"/>
      </w:pPr>
      <w:r w:rsidRPr="008F2405">
        <w:t>The quantity x is the amount by which the actual desired S/N exceeds the minimum required for DTV reception.  As the desired DTV signal level approaches the minimum level for reception, the D/U ratio will increase exponentially.</w:t>
      </w:r>
    </w:p>
    <w:p w14:paraId="433B3EDA" w14:textId="77777777" w:rsidR="008F2405" w:rsidRPr="008F2405" w:rsidRDefault="008F2405" w:rsidP="006A744E">
      <w:pPr>
        <w:pStyle w:val="ParaNum"/>
        <w:rPr>
          <w:iCs/>
        </w:rPr>
      </w:pPr>
      <w:r w:rsidRPr="008F2405">
        <w:rPr>
          <w:iCs/>
          <w:szCs w:val="22"/>
        </w:rPr>
        <w:t>The D/U threshold for each spectral overlap is then adjusted by the OFR value based on the transmitter emission mask and receiver selectivity curves.  The values for OFR were derived using the NTIA’s MSAM FDR computer program,</w:t>
      </w:r>
      <w:r w:rsidRPr="008F2405">
        <w:rPr>
          <w:iCs/>
          <w:sz w:val="20"/>
          <w:szCs w:val="22"/>
          <w:vertAlign w:val="superscript"/>
        </w:rPr>
        <w:footnoteReference w:id="304"/>
      </w:r>
      <w:r w:rsidRPr="008F2405">
        <w:rPr>
          <w:iCs/>
          <w:szCs w:val="22"/>
        </w:rPr>
        <w:t xml:space="preserve"> using the FCC’s emission limits for wireless,</w:t>
      </w:r>
      <w:r w:rsidRPr="008F2405">
        <w:rPr>
          <w:iCs/>
          <w:sz w:val="20"/>
          <w:szCs w:val="22"/>
          <w:vertAlign w:val="superscript"/>
        </w:rPr>
        <w:footnoteReference w:id="305"/>
      </w:r>
      <w:r w:rsidRPr="008F2405">
        <w:rPr>
          <w:iCs/>
          <w:szCs w:val="22"/>
        </w:rPr>
        <w:t xml:space="preserve"> and DTV receiver performance standards published by ATSC.</w:t>
      </w:r>
      <w:bookmarkStart w:id="922" w:name="_Ref398033848"/>
      <w:r w:rsidRPr="008F2405">
        <w:rPr>
          <w:iCs/>
          <w:sz w:val="20"/>
          <w:szCs w:val="22"/>
          <w:vertAlign w:val="superscript"/>
        </w:rPr>
        <w:footnoteReference w:id="306"/>
      </w:r>
      <w:bookmarkEnd w:id="922"/>
      <w:r w:rsidRPr="008F2405">
        <w:rPr>
          <w:iCs/>
          <w:szCs w:val="22"/>
        </w:rPr>
        <w:t xml:space="preserve">  The results are provided in </w:t>
      </w:r>
      <w:r w:rsidRPr="008F2405">
        <w:rPr>
          <w:iCs/>
          <w:szCs w:val="22"/>
        </w:rPr>
        <w:fldChar w:fldCharType="begin"/>
      </w:r>
      <w:r w:rsidRPr="008F2405">
        <w:rPr>
          <w:iCs/>
          <w:szCs w:val="22"/>
        </w:rPr>
        <w:instrText xml:space="preserve"> REF _Ref393708032 \h </w:instrText>
      </w:r>
      <w:r w:rsidRPr="008F2405">
        <w:rPr>
          <w:iCs/>
          <w:szCs w:val="22"/>
        </w:rPr>
      </w:r>
      <w:r w:rsidRPr="008F2405">
        <w:rPr>
          <w:iCs/>
          <w:szCs w:val="22"/>
        </w:rPr>
        <w:fldChar w:fldCharType="separate"/>
      </w:r>
      <w:r w:rsidR="00656F50" w:rsidRPr="00435828">
        <w:rPr>
          <w:szCs w:val="22"/>
        </w:rPr>
        <w:t xml:space="preserve">Table </w:t>
      </w:r>
      <w:r w:rsidR="00656F50">
        <w:rPr>
          <w:noProof/>
          <w:szCs w:val="22"/>
        </w:rPr>
        <w:t>12</w:t>
      </w:r>
      <w:r w:rsidRPr="008F2405">
        <w:rPr>
          <w:iCs/>
          <w:szCs w:val="22"/>
        </w:rPr>
        <w:fldChar w:fldCharType="end"/>
      </w:r>
      <w:r w:rsidRPr="008F2405">
        <w:rPr>
          <w:iCs/>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26"/>
        <w:gridCol w:w="491"/>
        <w:gridCol w:w="491"/>
        <w:gridCol w:w="491"/>
        <w:gridCol w:w="491"/>
        <w:gridCol w:w="601"/>
        <w:gridCol w:w="436"/>
        <w:gridCol w:w="436"/>
        <w:gridCol w:w="436"/>
        <w:gridCol w:w="436"/>
        <w:gridCol w:w="436"/>
      </w:tblGrid>
      <w:tr w:rsidR="008F2405" w:rsidRPr="008F2405" w14:paraId="1572D31F" w14:textId="77777777" w:rsidTr="00BF4F5D">
        <w:trPr>
          <w:cantSplit/>
          <w:jc w:val="center"/>
        </w:trPr>
        <w:tc>
          <w:tcPr>
            <w:tcW w:w="1692" w:type="dxa"/>
            <w:tcBorders>
              <w:tl2br w:val="single" w:sz="4" w:space="0" w:color="auto"/>
            </w:tcBorders>
            <w:shd w:val="clear" w:color="auto" w:fill="E0E0E0"/>
          </w:tcPr>
          <w:p w14:paraId="52E70D82" w14:textId="77777777" w:rsidR="008F2405" w:rsidRPr="008F2405" w:rsidRDefault="008F2405" w:rsidP="008F2405">
            <w:pPr>
              <w:keepNext/>
              <w:ind w:left="270"/>
              <w:jc w:val="right"/>
              <w:rPr>
                <w:sz w:val="20"/>
              </w:rPr>
            </w:pPr>
            <w:r w:rsidRPr="008F2405">
              <w:rPr>
                <w:sz w:val="20"/>
              </w:rPr>
              <w:t xml:space="preserve">Overlap in MHz        </w:t>
            </w:r>
          </w:p>
          <w:p w14:paraId="04FE05AD" w14:textId="77777777" w:rsidR="008F2405" w:rsidRPr="008F2405" w:rsidRDefault="008F2405" w:rsidP="008F2405">
            <w:pPr>
              <w:keepNext/>
              <w:rPr>
                <w:sz w:val="20"/>
              </w:rPr>
            </w:pPr>
            <w:r w:rsidRPr="008F2405">
              <w:rPr>
                <w:sz w:val="20"/>
              </w:rPr>
              <w:t>OFR</w:t>
            </w:r>
          </w:p>
          <w:p w14:paraId="202C8256" w14:textId="77777777" w:rsidR="008F2405" w:rsidRPr="008F2405" w:rsidRDefault="008F2405" w:rsidP="008F2405">
            <w:pPr>
              <w:keepNext/>
              <w:rPr>
                <w:sz w:val="20"/>
              </w:rPr>
            </w:pPr>
            <w:r w:rsidRPr="008F2405">
              <w:rPr>
                <w:sz w:val="20"/>
              </w:rPr>
              <w:t>(dB)</w:t>
            </w:r>
          </w:p>
        </w:tc>
        <w:tc>
          <w:tcPr>
            <w:tcW w:w="0" w:type="auto"/>
            <w:shd w:val="clear" w:color="auto" w:fill="E0E0E0"/>
            <w:vAlign w:val="center"/>
          </w:tcPr>
          <w:p w14:paraId="6690D177" w14:textId="77777777" w:rsidR="008F2405" w:rsidRPr="008F2405" w:rsidRDefault="008F2405" w:rsidP="008F2405">
            <w:pPr>
              <w:keepNext/>
              <w:jc w:val="center"/>
              <w:rPr>
                <w:sz w:val="20"/>
              </w:rPr>
            </w:pPr>
            <w:r w:rsidRPr="008F2405">
              <w:rPr>
                <w:sz w:val="20"/>
              </w:rPr>
              <w:t>5</w:t>
            </w:r>
          </w:p>
        </w:tc>
        <w:tc>
          <w:tcPr>
            <w:tcW w:w="0" w:type="auto"/>
            <w:shd w:val="clear" w:color="auto" w:fill="E0E0E0"/>
            <w:vAlign w:val="center"/>
          </w:tcPr>
          <w:p w14:paraId="5CC0B339" w14:textId="77777777" w:rsidR="008F2405" w:rsidRPr="008F2405" w:rsidRDefault="008F2405" w:rsidP="008F2405">
            <w:pPr>
              <w:keepNext/>
              <w:jc w:val="center"/>
              <w:rPr>
                <w:sz w:val="20"/>
              </w:rPr>
            </w:pPr>
            <w:r w:rsidRPr="008F2405">
              <w:rPr>
                <w:sz w:val="20"/>
              </w:rPr>
              <w:t>4</w:t>
            </w:r>
          </w:p>
        </w:tc>
        <w:tc>
          <w:tcPr>
            <w:tcW w:w="0" w:type="auto"/>
            <w:shd w:val="clear" w:color="auto" w:fill="E0E0E0"/>
            <w:vAlign w:val="center"/>
          </w:tcPr>
          <w:p w14:paraId="67A8683F" w14:textId="77777777" w:rsidR="008F2405" w:rsidRPr="008F2405" w:rsidRDefault="008F2405" w:rsidP="008F2405">
            <w:pPr>
              <w:keepNext/>
              <w:jc w:val="center"/>
              <w:rPr>
                <w:sz w:val="20"/>
              </w:rPr>
            </w:pPr>
            <w:r w:rsidRPr="008F2405">
              <w:rPr>
                <w:sz w:val="20"/>
              </w:rPr>
              <w:t>3</w:t>
            </w:r>
          </w:p>
        </w:tc>
        <w:tc>
          <w:tcPr>
            <w:tcW w:w="0" w:type="auto"/>
            <w:shd w:val="clear" w:color="auto" w:fill="E0E0E0"/>
            <w:vAlign w:val="center"/>
          </w:tcPr>
          <w:p w14:paraId="42B43139" w14:textId="77777777" w:rsidR="008F2405" w:rsidRPr="008F2405" w:rsidRDefault="008F2405" w:rsidP="008F2405">
            <w:pPr>
              <w:keepNext/>
              <w:jc w:val="center"/>
              <w:rPr>
                <w:sz w:val="20"/>
              </w:rPr>
            </w:pPr>
            <w:r w:rsidRPr="008F2405">
              <w:rPr>
                <w:sz w:val="20"/>
              </w:rPr>
              <w:t>2</w:t>
            </w:r>
          </w:p>
        </w:tc>
        <w:tc>
          <w:tcPr>
            <w:tcW w:w="0" w:type="auto"/>
            <w:shd w:val="clear" w:color="auto" w:fill="E0E0E0"/>
            <w:vAlign w:val="center"/>
          </w:tcPr>
          <w:p w14:paraId="15D1269C" w14:textId="77777777" w:rsidR="008F2405" w:rsidRPr="008F2405" w:rsidRDefault="008F2405" w:rsidP="008F2405">
            <w:pPr>
              <w:keepNext/>
              <w:jc w:val="center"/>
              <w:rPr>
                <w:sz w:val="20"/>
              </w:rPr>
            </w:pPr>
            <w:r w:rsidRPr="008F2405">
              <w:rPr>
                <w:sz w:val="20"/>
              </w:rPr>
              <w:t>1</w:t>
            </w:r>
          </w:p>
        </w:tc>
        <w:tc>
          <w:tcPr>
            <w:tcW w:w="0" w:type="auto"/>
            <w:shd w:val="clear" w:color="auto" w:fill="E0E0E0"/>
            <w:vAlign w:val="center"/>
          </w:tcPr>
          <w:p w14:paraId="13C2EC6A" w14:textId="77777777" w:rsidR="008F2405" w:rsidRPr="008F2405" w:rsidRDefault="008F2405" w:rsidP="008F2405">
            <w:pPr>
              <w:keepNext/>
              <w:jc w:val="center"/>
              <w:rPr>
                <w:sz w:val="20"/>
              </w:rPr>
            </w:pPr>
            <w:r w:rsidRPr="008F2405">
              <w:rPr>
                <w:sz w:val="20"/>
              </w:rPr>
              <w:t>0</w:t>
            </w:r>
          </w:p>
        </w:tc>
        <w:tc>
          <w:tcPr>
            <w:tcW w:w="0" w:type="auto"/>
            <w:shd w:val="clear" w:color="auto" w:fill="E0E0E0"/>
            <w:vAlign w:val="center"/>
          </w:tcPr>
          <w:p w14:paraId="37F46BC2" w14:textId="77777777" w:rsidR="008F2405" w:rsidRPr="008F2405" w:rsidRDefault="008F2405" w:rsidP="008F2405">
            <w:pPr>
              <w:keepNext/>
              <w:jc w:val="center"/>
              <w:rPr>
                <w:sz w:val="20"/>
              </w:rPr>
            </w:pPr>
            <w:r w:rsidRPr="008F2405">
              <w:rPr>
                <w:sz w:val="20"/>
              </w:rPr>
              <w:t>-1</w:t>
            </w:r>
          </w:p>
        </w:tc>
        <w:tc>
          <w:tcPr>
            <w:tcW w:w="0" w:type="auto"/>
            <w:shd w:val="clear" w:color="auto" w:fill="E0E0E0"/>
            <w:vAlign w:val="center"/>
          </w:tcPr>
          <w:p w14:paraId="36D6D5BB" w14:textId="77777777" w:rsidR="008F2405" w:rsidRPr="008F2405" w:rsidRDefault="008F2405" w:rsidP="008F2405">
            <w:pPr>
              <w:keepNext/>
              <w:jc w:val="center"/>
              <w:rPr>
                <w:sz w:val="20"/>
              </w:rPr>
            </w:pPr>
            <w:r w:rsidRPr="008F2405">
              <w:rPr>
                <w:sz w:val="20"/>
              </w:rPr>
              <w:t>-2</w:t>
            </w:r>
          </w:p>
        </w:tc>
        <w:tc>
          <w:tcPr>
            <w:tcW w:w="0" w:type="auto"/>
            <w:shd w:val="clear" w:color="auto" w:fill="E0E0E0"/>
            <w:vAlign w:val="center"/>
          </w:tcPr>
          <w:p w14:paraId="6AD2421E" w14:textId="77777777" w:rsidR="008F2405" w:rsidRPr="008F2405" w:rsidRDefault="008F2405" w:rsidP="008F2405">
            <w:pPr>
              <w:keepNext/>
              <w:jc w:val="center"/>
              <w:rPr>
                <w:sz w:val="20"/>
              </w:rPr>
            </w:pPr>
            <w:r w:rsidRPr="008F2405">
              <w:rPr>
                <w:sz w:val="20"/>
              </w:rPr>
              <w:t>-3</w:t>
            </w:r>
          </w:p>
        </w:tc>
        <w:tc>
          <w:tcPr>
            <w:tcW w:w="0" w:type="auto"/>
            <w:shd w:val="clear" w:color="auto" w:fill="E0E0E0"/>
            <w:vAlign w:val="center"/>
          </w:tcPr>
          <w:p w14:paraId="1F3F7B47" w14:textId="77777777" w:rsidR="008F2405" w:rsidRPr="008F2405" w:rsidRDefault="008F2405" w:rsidP="008F2405">
            <w:pPr>
              <w:keepNext/>
              <w:jc w:val="center"/>
              <w:rPr>
                <w:sz w:val="20"/>
              </w:rPr>
            </w:pPr>
            <w:r w:rsidRPr="008F2405">
              <w:rPr>
                <w:sz w:val="20"/>
              </w:rPr>
              <w:t>-4</w:t>
            </w:r>
          </w:p>
        </w:tc>
        <w:tc>
          <w:tcPr>
            <w:tcW w:w="0" w:type="auto"/>
            <w:shd w:val="clear" w:color="auto" w:fill="E0E0E0"/>
            <w:vAlign w:val="center"/>
          </w:tcPr>
          <w:p w14:paraId="6169085D" w14:textId="77777777" w:rsidR="008F2405" w:rsidRPr="008F2405" w:rsidRDefault="008F2405" w:rsidP="008F2405">
            <w:pPr>
              <w:keepNext/>
              <w:jc w:val="center"/>
              <w:rPr>
                <w:sz w:val="20"/>
              </w:rPr>
            </w:pPr>
            <w:r w:rsidRPr="008F2405">
              <w:rPr>
                <w:sz w:val="20"/>
              </w:rPr>
              <w:t>-5</w:t>
            </w:r>
          </w:p>
        </w:tc>
      </w:tr>
      <w:tr w:rsidR="008F2405" w:rsidRPr="008F2405" w14:paraId="4471E75D" w14:textId="77777777" w:rsidTr="00BF4F5D">
        <w:trPr>
          <w:cantSplit/>
          <w:jc w:val="center"/>
        </w:trPr>
        <w:tc>
          <w:tcPr>
            <w:tcW w:w="1692" w:type="dxa"/>
            <w:shd w:val="clear" w:color="auto" w:fill="auto"/>
          </w:tcPr>
          <w:p w14:paraId="7119FEFC" w14:textId="77777777" w:rsidR="008F2405" w:rsidRPr="008F2405" w:rsidRDefault="008F2405" w:rsidP="008F2405">
            <w:pPr>
              <w:keepNext/>
              <w:ind w:left="34"/>
              <w:rPr>
                <w:sz w:val="20"/>
              </w:rPr>
            </w:pPr>
            <w:r w:rsidRPr="008F2405">
              <w:rPr>
                <w:sz w:val="20"/>
              </w:rPr>
              <w:t xml:space="preserve">Full-Power and Class A stations </w:t>
            </w:r>
          </w:p>
        </w:tc>
        <w:tc>
          <w:tcPr>
            <w:tcW w:w="0" w:type="auto"/>
            <w:shd w:val="clear" w:color="auto" w:fill="auto"/>
            <w:vAlign w:val="center"/>
          </w:tcPr>
          <w:p w14:paraId="0D5808A1" w14:textId="77777777" w:rsidR="008F2405" w:rsidRPr="008F2405" w:rsidRDefault="008F2405" w:rsidP="008F2405">
            <w:pPr>
              <w:keepNext/>
              <w:jc w:val="center"/>
            </w:pPr>
            <w:r w:rsidRPr="008F2405">
              <w:t>0</w:t>
            </w:r>
          </w:p>
        </w:tc>
        <w:tc>
          <w:tcPr>
            <w:tcW w:w="0" w:type="auto"/>
            <w:shd w:val="clear" w:color="auto" w:fill="auto"/>
            <w:vAlign w:val="center"/>
          </w:tcPr>
          <w:p w14:paraId="054FBE5E" w14:textId="77777777" w:rsidR="008F2405" w:rsidRPr="008F2405" w:rsidRDefault="008F2405" w:rsidP="008F2405">
            <w:pPr>
              <w:keepNext/>
              <w:jc w:val="center"/>
            </w:pPr>
            <w:r w:rsidRPr="008F2405">
              <w:t>0.9</w:t>
            </w:r>
          </w:p>
        </w:tc>
        <w:tc>
          <w:tcPr>
            <w:tcW w:w="0" w:type="auto"/>
            <w:shd w:val="clear" w:color="auto" w:fill="auto"/>
            <w:vAlign w:val="center"/>
          </w:tcPr>
          <w:p w14:paraId="5F46C043" w14:textId="77777777" w:rsidR="008F2405" w:rsidRPr="008F2405" w:rsidRDefault="008F2405" w:rsidP="008F2405">
            <w:pPr>
              <w:keepNext/>
              <w:jc w:val="center"/>
            </w:pPr>
            <w:r w:rsidRPr="008F2405">
              <w:t>2.2</w:t>
            </w:r>
          </w:p>
        </w:tc>
        <w:tc>
          <w:tcPr>
            <w:tcW w:w="0" w:type="auto"/>
            <w:shd w:val="clear" w:color="auto" w:fill="auto"/>
            <w:vAlign w:val="center"/>
          </w:tcPr>
          <w:p w14:paraId="384AB94F" w14:textId="77777777" w:rsidR="008F2405" w:rsidRPr="008F2405" w:rsidRDefault="008F2405" w:rsidP="008F2405">
            <w:pPr>
              <w:keepNext/>
              <w:jc w:val="center"/>
            </w:pPr>
            <w:r w:rsidRPr="008F2405">
              <w:t>3.9</w:t>
            </w:r>
          </w:p>
        </w:tc>
        <w:tc>
          <w:tcPr>
            <w:tcW w:w="0" w:type="auto"/>
            <w:shd w:val="clear" w:color="auto" w:fill="auto"/>
            <w:vAlign w:val="center"/>
          </w:tcPr>
          <w:p w14:paraId="25B3E5EA" w14:textId="77777777" w:rsidR="008F2405" w:rsidRPr="008F2405" w:rsidRDefault="008F2405" w:rsidP="008F2405">
            <w:pPr>
              <w:keepNext/>
              <w:jc w:val="center"/>
            </w:pPr>
            <w:r w:rsidRPr="008F2405">
              <w:t>6.7</w:t>
            </w:r>
          </w:p>
        </w:tc>
        <w:tc>
          <w:tcPr>
            <w:tcW w:w="0" w:type="auto"/>
            <w:shd w:val="clear" w:color="auto" w:fill="auto"/>
            <w:vAlign w:val="center"/>
          </w:tcPr>
          <w:p w14:paraId="0188102A" w14:textId="77777777" w:rsidR="008F2405" w:rsidRPr="008F2405" w:rsidRDefault="008F2405" w:rsidP="008F2405">
            <w:pPr>
              <w:keepNext/>
              <w:jc w:val="center"/>
            </w:pPr>
            <w:r w:rsidRPr="008F2405">
              <w:t>17.0</w:t>
            </w:r>
          </w:p>
        </w:tc>
        <w:tc>
          <w:tcPr>
            <w:tcW w:w="0" w:type="auto"/>
            <w:vAlign w:val="center"/>
          </w:tcPr>
          <w:p w14:paraId="5BE0B9AD" w14:textId="77777777" w:rsidR="008F2405" w:rsidRPr="008F2405" w:rsidRDefault="008F2405" w:rsidP="008F2405">
            <w:pPr>
              <w:keepNext/>
            </w:pPr>
            <w:r w:rsidRPr="008F2405">
              <w:t>33</w:t>
            </w:r>
          </w:p>
        </w:tc>
        <w:tc>
          <w:tcPr>
            <w:tcW w:w="0" w:type="auto"/>
            <w:vAlign w:val="center"/>
          </w:tcPr>
          <w:p w14:paraId="5740184F" w14:textId="77777777" w:rsidR="008F2405" w:rsidRPr="008F2405" w:rsidRDefault="008F2405" w:rsidP="008F2405">
            <w:pPr>
              <w:keepNext/>
            </w:pPr>
            <w:r w:rsidRPr="008F2405">
              <w:t>33</w:t>
            </w:r>
          </w:p>
        </w:tc>
        <w:tc>
          <w:tcPr>
            <w:tcW w:w="0" w:type="auto"/>
            <w:vAlign w:val="center"/>
          </w:tcPr>
          <w:p w14:paraId="50F17AAC" w14:textId="77777777" w:rsidR="008F2405" w:rsidRPr="008F2405" w:rsidRDefault="008F2405" w:rsidP="008F2405">
            <w:pPr>
              <w:keepNext/>
            </w:pPr>
            <w:r w:rsidRPr="008F2405">
              <w:t>33</w:t>
            </w:r>
          </w:p>
        </w:tc>
        <w:tc>
          <w:tcPr>
            <w:tcW w:w="0" w:type="auto"/>
            <w:vAlign w:val="center"/>
          </w:tcPr>
          <w:p w14:paraId="5AFBE882" w14:textId="77777777" w:rsidR="008F2405" w:rsidRPr="008F2405" w:rsidRDefault="008F2405" w:rsidP="008F2405">
            <w:pPr>
              <w:keepNext/>
            </w:pPr>
            <w:r w:rsidRPr="008F2405">
              <w:t>33</w:t>
            </w:r>
          </w:p>
        </w:tc>
        <w:tc>
          <w:tcPr>
            <w:tcW w:w="0" w:type="auto"/>
            <w:vAlign w:val="center"/>
          </w:tcPr>
          <w:p w14:paraId="0D139CC5" w14:textId="77777777" w:rsidR="008F2405" w:rsidRPr="008F2405" w:rsidRDefault="008F2405" w:rsidP="008F2405">
            <w:pPr>
              <w:keepNext/>
            </w:pPr>
            <w:r w:rsidRPr="008F2405">
              <w:t>33</w:t>
            </w:r>
          </w:p>
        </w:tc>
      </w:tr>
    </w:tbl>
    <w:p w14:paraId="60C5C4A8" w14:textId="77777777" w:rsidR="008F2405" w:rsidRPr="00435828" w:rsidRDefault="008F2405" w:rsidP="006A744E">
      <w:pPr>
        <w:spacing w:before="120" w:after="240"/>
        <w:jc w:val="center"/>
        <w:rPr>
          <w:szCs w:val="22"/>
        </w:rPr>
      </w:pPr>
      <w:bookmarkStart w:id="923" w:name="_Ref393708032"/>
      <w:r w:rsidRPr="00435828">
        <w:rPr>
          <w:szCs w:val="22"/>
        </w:rPr>
        <w:t xml:space="preserve">Table </w:t>
      </w:r>
      <w:r w:rsidRPr="00435828">
        <w:rPr>
          <w:szCs w:val="22"/>
        </w:rPr>
        <w:fldChar w:fldCharType="begin"/>
      </w:r>
      <w:r w:rsidRPr="00435828">
        <w:rPr>
          <w:szCs w:val="22"/>
        </w:rPr>
        <w:instrText xml:space="preserve"> SEQ Table \* ARABIC </w:instrText>
      </w:r>
      <w:r w:rsidRPr="00435828">
        <w:rPr>
          <w:szCs w:val="22"/>
        </w:rPr>
        <w:fldChar w:fldCharType="separate"/>
      </w:r>
      <w:r w:rsidR="00656F50">
        <w:rPr>
          <w:noProof/>
          <w:szCs w:val="22"/>
        </w:rPr>
        <w:t>12</w:t>
      </w:r>
      <w:r w:rsidRPr="00435828">
        <w:rPr>
          <w:szCs w:val="22"/>
        </w:rPr>
        <w:fldChar w:fldCharType="end"/>
      </w:r>
      <w:bookmarkEnd w:id="923"/>
      <w:r w:rsidRPr="00435828">
        <w:rPr>
          <w:szCs w:val="22"/>
        </w:rPr>
        <w:t>.  Calculated Off-Frequency Rejection (OFR) values for Wireless into DTV</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8"/>
        <w:gridCol w:w="1157"/>
        <w:gridCol w:w="6691"/>
      </w:tblGrid>
      <w:tr w:rsidR="008F2405" w:rsidRPr="008F2405" w14:paraId="1BDD2E4A" w14:textId="77777777" w:rsidTr="00BF4F5D">
        <w:trPr>
          <w:jc w:val="center"/>
        </w:trPr>
        <w:tc>
          <w:tcPr>
            <w:tcW w:w="1728" w:type="dxa"/>
            <w:tcBorders>
              <w:top w:val="single" w:sz="4" w:space="0" w:color="auto"/>
              <w:left w:val="single" w:sz="4" w:space="0" w:color="auto"/>
              <w:bottom w:val="single" w:sz="6" w:space="0" w:color="auto"/>
              <w:right w:val="single" w:sz="6" w:space="0" w:color="auto"/>
            </w:tcBorders>
            <w:shd w:val="clear" w:color="auto" w:fill="E0E0E0"/>
            <w:hideMark/>
          </w:tcPr>
          <w:p w14:paraId="1E165420" w14:textId="77777777" w:rsidR="008F2405" w:rsidRPr="008F2405" w:rsidRDefault="008F2405" w:rsidP="008F2405">
            <w:pPr>
              <w:keepNext/>
              <w:jc w:val="center"/>
              <w:rPr>
                <w:sz w:val="20"/>
              </w:rPr>
            </w:pPr>
            <w:r w:rsidRPr="008F2405">
              <w:rPr>
                <w:sz w:val="20"/>
              </w:rPr>
              <w:t>Parameter</w:t>
            </w:r>
          </w:p>
        </w:tc>
        <w:tc>
          <w:tcPr>
            <w:tcW w:w="900" w:type="dxa"/>
            <w:tcBorders>
              <w:top w:val="single" w:sz="4" w:space="0" w:color="auto"/>
              <w:left w:val="single" w:sz="6" w:space="0" w:color="auto"/>
              <w:bottom w:val="single" w:sz="6" w:space="0" w:color="auto"/>
              <w:right w:val="single" w:sz="6" w:space="0" w:color="auto"/>
            </w:tcBorders>
            <w:shd w:val="clear" w:color="auto" w:fill="E0E0E0"/>
            <w:hideMark/>
          </w:tcPr>
          <w:p w14:paraId="59A60319" w14:textId="77777777" w:rsidR="008F2405" w:rsidRPr="008F2405" w:rsidRDefault="008F2405" w:rsidP="008F2405">
            <w:pPr>
              <w:keepNext/>
              <w:jc w:val="center"/>
              <w:rPr>
                <w:sz w:val="20"/>
              </w:rPr>
            </w:pPr>
            <w:r w:rsidRPr="008F2405">
              <w:rPr>
                <w:sz w:val="20"/>
              </w:rPr>
              <w:t>Value</w:t>
            </w:r>
          </w:p>
        </w:tc>
        <w:tc>
          <w:tcPr>
            <w:tcW w:w="0" w:type="auto"/>
            <w:tcBorders>
              <w:top w:val="single" w:sz="4" w:space="0" w:color="auto"/>
              <w:left w:val="single" w:sz="6" w:space="0" w:color="auto"/>
              <w:bottom w:val="single" w:sz="6" w:space="0" w:color="auto"/>
              <w:right w:val="single" w:sz="4" w:space="0" w:color="auto"/>
            </w:tcBorders>
            <w:shd w:val="clear" w:color="auto" w:fill="E0E0E0"/>
            <w:hideMark/>
          </w:tcPr>
          <w:p w14:paraId="50D1CE1E" w14:textId="77777777" w:rsidR="008F2405" w:rsidRPr="008F2405" w:rsidRDefault="008F2405" w:rsidP="008F2405">
            <w:pPr>
              <w:keepNext/>
              <w:jc w:val="center"/>
              <w:rPr>
                <w:sz w:val="20"/>
              </w:rPr>
            </w:pPr>
            <w:r w:rsidRPr="008F2405">
              <w:rPr>
                <w:sz w:val="20"/>
              </w:rPr>
              <w:t>Comment</w:t>
            </w:r>
          </w:p>
        </w:tc>
      </w:tr>
      <w:tr w:rsidR="008F2405" w:rsidRPr="008F2405" w14:paraId="241075F0" w14:textId="77777777" w:rsidTr="00BF4F5D">
        <w:trPr>
          <w:jc w:val="center"/>
        </w:trPr>
        <w:tc>
          <w:tcPr>
            <w:tcW w:w="1728" w:type="dxa"/>
            <w:tcBorders>
              <w:top w:val="single" w:sz="6" w:space="0" w:color="auto"/>
              <w:left w:val="single" w:sz="4" w:space="0" w:color="auto"/>
              <w:bottom w:val="single" w:sz="6" w:space="0" w:color="auto"/>
              <w:right w:val="single" w:sz="6" w:space="0" w:color="auto"/>
            </w:tcBorders>
            <w:hideMark/>
          </w:tcPr>
          <w:p w14:paraId="0F459B1C" w14:textId="77777777" w:rsidR="008F2405" w:rsidRPr="008F2405" w:rsidRDefault="008F2405" w:rsidP="008F2405">
            <w:pPr>
              <w:keepNext/>
            </w:pPr>
            <w:r w:rsidRPr="008F2405">
              <w:t>Emission BW (MHz)</w:t>
            </w:r>
          </w:p>
        </w:tc>
        <w:tc>
          <w:tcPr>
            <w:tcW w:w="900" w:type="dxa"/>
            <w:tcBorders>
              <w:top w:val="single" w:sz="6" w:space="0" w:color="auto"/>
              <w:left w:val="single" w:sz="6" w:space="0" w:color="auto"/>
              <w:bottom w:val="single" w:sz="6" w:space="0" w:color="auto"/>
              <w:right w:val="single" w:sz="6" w:space="0" w:color="auto"/>
            </w:tcBorders>
            <w:hideMark/>
          </w:tcPr>
          <w:p w14:paraId="7C5C4CEC" w14:textId="77777777" w:rsidR="008F2405" w:rsidRPr="008F2405" w:rsidRDefault="008F2405" w:rsidP="008F2405">
            <w:pPr>
              <w:keepNext/>
              <w:jc w:val="center"/>
            </w:pPr>
            <w:r w:rsidRPr="008F2405">
              <w:t>5</w:t>
            </w:r>
          </w:p>
        </w:tc>
        <w:tc>
          <w:tcPr>
            <w:tcW w:w="0" w:type="auto"/>
            <w:tcBorders>
              <w:top w:val="single" w:sz="6" w:space="0" w:color="auto"/>
              <w:left w:val="single" w:sz="6" w:space="0" w:color="auto"/>
              <w:bottom w:val="single" w:sz="6" w:space="0" w:color="auto"/>
              <w:right w:val="single" w:sz="4" w:space="0" w:color="auto"/>
            </w:tcBorders>
          </w:tcPr>
          <w:p w14:paraId="7BFFEC12" w14:textId="77777777" w:rsidR="008F2405" w:rsidRPr="008F2405" w:rsidRDefault="008F2405" w:rsidP="008F2405">
            <w:pPr>
              <w:keepNext/>
            </w:pPr>
          </w:p>
        </w:tc>
      </w:tr>
      <w:tr w:rsidR="008F2405" w:rsidRPr="008F2405" w14:paraId="34AA3D84" w14:textId="77777777" w:rsidTr="00BF4F5D">
        <w:trPr>
          <w:jc w:val="center"/>
        </w:trPr>
        <w:tc>
          <w:tcPr>
            <w:tcW w:w="1728" w:type="dxa"/>
            <w:tcBorders>
              <w:top w:val="single" w:sz="6" w:space="0" w:color="auto"/>
              <w:left w:val="single" w:sz="4" w:space="0" w:color="auto"/>
              <w:bottom w:val="single" w:sz="6" w:space="0" w:color="auto"/>
              <w:right w:val="single" w:sz="6" w:space="0" w:color="auto"/>
            </w:tcBorders>
            <w:hideMark/>
          </w:tcPr>
          <w:p w14:paraId="2689345B" w14:textId="77777777" w:rsidR="008F2405" w:rsidRPr="008F2405" w:rsidRDefault="008F2405" w:rsidP="008F2405">
            <w:pPr>
              <w:keepNext/>
            </w:pPr>
            <w:r w:rsidRPr="008F2405">
              <w:t>ERP (W)</w:t>
            </w:r>
          </w:p>
        </w:tc>
        <w:tc>
          <w:tcPr>
            <w:tcW w:w="900" w:type="dxa"/>
            <w:tcBorders>
              <w:top w:val="single" w:sz="6" w:space="0" w:color="auto"/>
              <w:left w:val="single" w:sz="6" w:space="0" w:color="auto"/>
              <w:bottom w:val="single" w:sz="6" w:space="0" w:color="auto"/>
              <w:right w:val="single" w:sz="6" w:space="0" w:color="auto"/>
            </w:tcBorders>
            <w:hideMark/>
          </w:tcPr>
          <w:p w14:paraId="78AA5B6D" w14:textId="77777777" w:rsidR="008F2405" w:rsidRPr="008F2405" w:rsidRDefault="008F2405" w:rsidP="008F2405">
            <w:pPr>
              <w:keepNext/>
              <w:jc w:val="center"/>
            </w:pPr>
            <w:r w:rsidRPr="008F2405">
              <w:t>720</w:t>
            </w:r>
            <w:bookmarkStart w:id="924" w:name="_Ref396678335"/>
            <w:r w:rsidRPr="008F2405">
              <w:rPr>
                <w:sz w:val="20"/>
                <w:vertAlign w:val="superscript"/>
              </w:rPr>
              <w:footnoteReference w:id="307"/>
            </w:r>
            <w:bookmarkEnd w:id="924"/>
          </w:p>
        </w:tc>
        <w:tc>
          <w:tcPr>
            <w:tcW w:w="0" w:type="auto"/>
            <w:tcBorders>
              <w:top w:val="single" w:sz="6" w:space="0" w:color="auto"/>
              <w:left w:val="single" w:sz="6" w:space="0" w:color="auto"/>
              <w:bottom w:val="single" w:sz="6" w:space="0" w:color="auto"/>
              <w:right w:val="single" w:sz="4" w:space="0" w:color="auto"/>
            </w:tcBorders>
            <w:hideMark/>
          </w:tcPr>
          <w:p w14:paraId="3A8252AB" w14:textId="77777777" w:rsidR="008F2405" w:rsidRPr="008F2405" w:rsidRDefault="008F2405" w:rsidP="008F2405">
            <w:pPr>
              <w:keepNext/>
            </w:pPr>
            <w:r w:rsidRPr="008F2405">
              <w:t xml:space="preserve">Assumes 1.2 kW in 10 MHz channel with two 40 W power amplifiers.  </w:t>
            </w:r>
          </w:p>
        </w:tc>
      </w:tr>
      <w:tr w:rsidR="008F2405" w:rsidRPr="008F2405" w14:paraId="706581CD" w14:textId="77777777" w:rsidTr="00BF4F5D">
        <w:trPr>
          <w:jc w:val="center"/>
        </w:trPr>
        <w:tc>
          <w:tcPr>
            <w:tcW w:w="1728" w:type="dxa"/>
            <w:tcBorders>
              <w:top w:val="single" w:sz="6" w:space="0" w:color="auto"/>
              <w:left w:val="single" w:sz="4" w:space="0" w:color="auto"/>
              <w:bottom w:val="single" w:sz="6" w:space="0" w:color="auto"/>
              <w:right w:val="single" w:sz="6" w:space="0" w:color="auto"/>
            </w:tcBorders>
            <w:hideMark/>
          </w:tcPr>
          <w:p w14:paraId="0206D12A" w14:textId="77777777" w:rsidR="008F2405" w:rsidRPr="008F2405" w:rsidRDefault="008F2405" w:rsidP="008F2405">
            <w:pPr>
              <w:keepNext/>
            </w:pPr>
            <w:r w:rsidRPr="008F2405">
              <w:t>ERP (dBm)</w:t>
            </w:r>
          </w:p>
        </w:tc>
        <w:tc>
          <w:tcPr>
            <w:tcW w:w="900" w:type="dxa"/>
            <w:tcBorders>
              <w:top w:val="single" w:sz="6" w:space="0" w:color="auto"/>
              <w:left w:val="single" w:sz="6" w:space="0" w:color="auto"/>
              <w:bottom w:val="single" w:sz="6" w:space="0" w:color="auto"/>
              <w:right w:val="single" w:sz="6" w:space="0" w:color="auto"/>
            </w:tcBorders>
            <w:hideMark/>
          </w:tcPr>
          <w:p w14:paraId="5A92F46D" w14:textId="77777777" w:rsidR="008F2405" w:rsidRPr="008F2405" w:rsidRDefault="008F2405" w:rsidP="008F2405">
            <w:pPr>
              <w:keepNext/>
              <w:jc w:val="center"/>
            </w:pPr>
            <w:r w:rsidRPr="008F2405">
              <w:t>58.6</w:t>
            </w:r>
          </w:p>
        </w:tc>
        <w:tc>
          <w:tcPr>
            <w:tcW w:w="0" w:type="auto"/>
            <w:tcBorders>
              <w:top w:val="single" w:sz="6" w:space="0" w:color="auto"/>
              <w:left w:val="single" w:sz="6" w:space="0" w:color="auto"/>
              <w:bottom w:val="single" w:sz="6" w:space="0" w:color="auto"/>
              <w:right w:val="single" w:sz="4" w:space="0" w:color="auto"/>
            </w:tcBorders>
            <w:hideMark/>
          </w:tcPr>
          <w:p w14:paraId="52B7CDF8" w14:textId="77777777" w:rsidR="008F2405" w:rsidRPr="008F2405" w:rsidRDefault="008F2405" w:rsidP="008F2405">
            <w:pPr>
              <w:keepNext/>
            </w:pPr>
            <w:r w:rsidRPr="008F2405">
              <w:t>= 10log</w:t>
            </w:r>
            <w:r w:rsidRPr="008F2405">
              <w:rPr>
                <w:vertAlign w:val="subscript"/>
              </w:rPr>
              <w:t>10</w:t>
            </w:r>
            <w:r w:rsidRPr="008F2405">
              <w:t>(ERP) + 30.</w:t>
            </w:r>
          </w:p>
        </w:tc>
      </w:tr>
      <w:tr w:rsidR="008F2405" w:rsidRPr="008F2405" w14:paraId="52F09B28" w14:textId="77777777" w:rsidTr="00BF4F5D">
        <w:trPr>
          <w:jc w:val="center"/>
        </w:trPr>
        <w:tc>
          <w:tcPr>
            <w:tcW w:w="1728" w:type="dxa"/>
            <w:tcBorders>
              <w:top w:val="single" w:sz="6" w:space="0" w:color="auto"/>
              <w:left w:val="single" w:sz="4" w:space="0" w:color="auto"/>
              <w:bottom w:val="single" w:sz="6" w:space="0" w:color="auto"/>
              <w:right w:val="single" w:sz="6" w:space="0" w:color="auto"/>
            </w:tcBorders>
            <w:hideMark/>
          </w:tcPr>
          <w:p w14:paraId="01318618" w14:textId="77777777" w:rsidR="008F2405" w:rsidRPr="008F2405" w:rsidRDefault="008F2405" w:rsidP="008F2405">
            <w:pPr>
              <w:keepNext/>
            </w:pPr>
            <w:r w:rsidRPr="008F2405">
              <w:t>G (dBd)</w:t>
            </w:r>
          </w:p>
        </w:tc>
        <w:tc>
          <w:tcPr>
            <w:tcW w:w="900" w:type="dxa"/>
            <w:tcBorders>
              <w:top w:val="single" w:sz="6" w:space="0" w:color="auto"/>
              <w:left w:val="single" w:sz="6" w:space="0" w:color="auto"/>
              <w:bottom w:val="single" w:sz="6" w:space="0" w:color="auto"/>
              <w:right w:val="single" w:sz="6" w:space="0" w:color="auto"/>
            </w:tcBorders>
            <w:hideMark/>
          </w:tcPr>
          <w:p w14:paraId="63F1FA7E" w14:textId="77777777" w:rsidR="008F2405" w:rsidRPr="008F2405" w:rsidRDefault="008F2405" w:rsidP="008F2405">
            <w:pPr>
              <w:keepNext/>
              <w:jc w:val="center"/>
            </w:pPr>
            <w:r w:rsidRPr="008F2405">
              <w:t>12.8</w:t>
            </w:r>
          </w:p>
        </w:tc>
        <w:tc>
          <w:tcPr>
            <w:tcW w:w="0" w:type="auto"/>
            <w:tcBorders>
              <w:top w:val="single" w:sz="6" w:space="0" w:color="auto"/>
              <w:left w:val="single" w:sz="6" w:space="0" w:color="auto"/>
              <w:bottom w:val="single" w:sz="6" w:space="0" w:color="auto"/>
              <w:right w:val="single" w:sz="4" w:space="0" w:color="auto"/>
            </w:tcBorders>
            <w:hideMark/>
          </w:tcPr>
          <w:p w14:paraId="5523A152" w14:textId="77777777" w:rsidR="008F2405" w:rsidRPr="008F2405" w:rsidRDefault="008F2405" w:rsidP="008F2405">
            <w:pPr>
              <w:keepNext/>
            </w:pPr>
            <w:r w:rsidRPr="008F2405">
              <w:t>Assumes 15 dBi - 2.2 (approximate dipole gain).</w:t>
            </w:r>
          </w:p>
        </w:tc>
      </w:tr>
      <w:tr w:rsidR="008F2405" w:rsidRPr="008F2405" w14:paraId="402ACF34" w14:textId="77777777" w:rsidTr="00BF4F5D">
        <w:trPr>
          <w:jc w:val="center"/>
        </w:trPr>
        <w:tc>
          <w:tcPr>
            <w:tcW w:w="1728" w:type="dxa"/>
            <w:tcBorders>
              <w:top w:val="single" w:sz="6" w:space="0" w:color="auto"/>
              <w:left w:val="single" w:sz="4" w:space="0" w:color="auto"/>
              <w:bottom w:val="single" w:sz="6" w:space="0" w:color="auto"/>
              <w:right w:val="single" w:sz="6" w:space="0" w:color="auto"/>
            </w:tcBorders>
          </w:tcPr>
          <w:p w14:paraId="737D3B99" w14:textId="77777777" w:rsidR="008F2405" w:rsidRPr="008F2405" w:rsidRDefault="008F2405" w:rsidP="008F2405">
            <w:pPr>
              <w:keepNext/>
            </w:pPr>
            <w:r w:rsidRPr="008F2405">
              <w:t>Antenna Pattern</w:t>
            </w:r>
          </w:p>
        </w:tc>
        <w:tc>
          <w:tcPr>
            <w:tcW w:w="900" w:type="dxa"/>
            <w:tcBorders>
              <w:top w:val="single" w:sz="6" w:space="0" w:color="auto"/>
              <w:left w:val="single" w:sz="6" w:space="0" w:color="auto"/>
              <w:bottom w:val="single" w:sz="6" w:space="0" w:color="auto"/>
              <w:right w:val="single" w:sz="6" w:space="0" w:color="auto"/>
            </w:tcBorders>
          </w:tcPr>
          <w:p w14:paraId="26645644" w14:textId="77777777" w:rsidR="008F2405" w:rsidRPr="008F2405" w:rsidRDefault="008F2405" w:rsidP="008F2405">
            <w:pPr>
              <w:keepNext/>
              <w:jc w:val="center"/>
            </w:pPr>
            <w:r w:rsidRPr="008F2405">
              <w:t>Non-directional</w:t>
            </w:r>
          </w:p>
        </w:tc>
        <w:tc>
          <w:tcPr>
            <w:tcW w:w="0" w:type="auto"/>
            <w:tcBorders>
              <w:top w:val="single" w:sz="6" w:space="0" w:color="auto"/>
              <w:left w:val="single" w:sz="6" w:space="0" w:color="auto"/>
              <w:bottom w:val="single" w:sz="6" w:space="0" w:color="auto"/>
              <w:right w:val="single" w:sz="4" w:space="0" w:color="auto"/>
            </w:tcBorders>
          </w:tcPr>
          <w:p w14:paraId="724E47F1" w14:textId="77777777" w:rsidR="008F2405" w:rsidRPr="008F2405" w:rsidRDefault="008F2405" w:rsidP="008F2405">
            <w:pPr>
              <w:keepNext/>
              <w:jc w:val="both"/>
            </w:pPr>
            <w:r w:rsidRPr="008F2405">
              <w:t>Hypothetical base station antennas are assumed to be non-directional in the azimuth direction and are assumed to have an elevation pattern similar to the generic pattern specified for UHF DTV in OET Bulletin No. 69, Table 8.</w:t>
            </w:r>
          </w:p>
        </w:tc>
      </w:tr>
      <w:tr w:rsidR="008F2405" w:rsidRPr="008F2405" w14:paraId="09FBBAEC" w14:textId="77777777" w:rsidTr="00BF4F5D">
        <w:trPr>
          <w:jc w:val="center"/>
        </w:trPr>
        <w:tc>
          <w:tcPr>
            <w:tcW w:w="1728" w:type="dxa"/>
            <w:tcBorders>
              <w:top w:val="single" w:sz="6" w:space="0" w:color="auto"/>
              <w:left w:val="single" w:sz="4" w:space="0" w:color="auto"/>
              <w:bottom w:val="single" w:sz="6" w:space="0" w:color="auto"/>
              <w:right w:val="single" w:sz="6" w:space="0" w:color="auto"/>
            </w:tcBorders>
            <w:hideMark/>
          </w:tcPr>
          <w:p w14:paraId="455BD209" w14:textId="77777777" w:rsidR="008F2405" w:rsidRPr="008F2405" w:rsidRDefault="008F2405" w:rsidP="008F2405">
            <w:pPr>
              <w:keepNext/>
            </w:pPr>
            <w:r w:rsidRPr="008F2405">
              <w:t>L (dB)</w:t>
            </w:r>
          </w:p>
        </w:tc>
        <w:tc>
          <w:tcPr>
            <w:tcW w:w="900" w:type="dxa"/>
            <w:tcBorders>
              <w:top w:val="single" w:sz="6" w:space="0" w:color="auto"/>
              <w:left w:val="single" w:sz="6" w:space="0" w:color="auto"/>
              <w:bottom w:val="single" w:sz="6" w:space="0" w:color="auto"/>
              <w:right w:val="single" w:sz="6" w:space="0" w:color="auto"/>
            </w:tcBorders>
            <w:hideMark/>
          </w:tcPr>
          <w:p w14:paraId="6E957C6F" w14:textId="77777777" w:rsidR="008F2405" w:rsidRPr="008F2405" w:rsidRDefault="008F2405" w:rsidP="008F2405">
            <w:pPr>
              <w:keepNext/>
              <w:jc w:val="center"/>
            </w:pPr>
            <w:r w:rsidRPr="008F2405">
              <w:t>1</w:t>
            </w:r>
          </w:p>
        </w:tc>
        <w:tc>
          <w:tcPr>
            <w:tcW w:w="0" w:type="auto"/>
            <w:tcBorders>
              <w:top w:val="single" w:sz="6" w:space="0" w:color="auto"/>
              <w:left w:val="single" w:sz="6" w:space="0" w:color="auto"/>
              <w:bottom w:val="single" w:sz="6" w:space="0" w:color="auto"/>
              <w:right w:val="single" w:sz="4" w:space="0" w:color="auto"/>
            </w:tcBorders>
            <w:hideMark/>
          </w:tcPr>
          <w:p w14:paraId="77D38E01" w14:textId="77777777" w:rsidR="008F2405" w:rsidRPr="008F2405" w:rsidRDefault="008F2405" w:rsidP="008F2405">
            <w:pPr>
              <w:keepNext/>
            </w:pPr>
            <w:r w:rsidRPr="008F2405">
              <w:t>Line loss</w:t>
            </w:r>
          </w:p>
        </w:tc>
      </w:tr>
      <w:tr w:rsidR="008F2405" w:rsidRPr="008F2405" w14:paraId="73D16629" w14:textId="77777777" w:rsidTr="00BF4F5D">
        <w:trPr>
          <w:jc w:val="center"/>
        </w:trPr>
        <w:tc>
          <w:tcPr>
            <w:tcW w:w="1728" w:type="dxa"/>
            <w:tcBorders>
              <w:top w:val="single" w:sz="6" w:space="0" w:color="auto"/>
              <w:left w:val="single" w:sz="4" w:space="0" w:color="auto"/>
              <w:bottom w:val="single" w:sz="4" w:space="0" w:color="auto"/>
              <w:right w:val="single" w:sz="6" w:space="0" w:color="auto"/>
            </w:tcBorders>
            <w:hideMark/>
          </w:tcPr>
          <w:p w14:paraId="193E9B45" w14:textId="77777777" w:rsidR="008F2405" w:rsidRPr="008F2405" w:rsidRDefault="008F2405" w:rsidP="008F2405">
            <w:pPr>
              <w:keepNext/>
            </w:pPr>
            <w:r w:rsidRPr="008F2405">
              <w:t>HG(1) (m)</w:t>
            </w:r>
          </w:p>
        </w:tc>
        <w:tc>
          <w:tcPr>
            <w:tcW w:w="900" w:type="dxa"/>
            <w:tcBorders>
              <w:top w:val="single" w:sz="6" w:space="0" w:color="auto"/>
              <w:left w:val="single" w:sz="6" w:space="0" w:color="auto"/>
              <w:bottom w:val="single" w:sz="4" w:space="0" w:color="auto"/>
              <w:right w:val="single" w:sz="6" w:space="0" w:color="auto"/>
            </w:tcBorders>
            <w:hideMark/>
          </w:tcPr>
          <w:p w14:paraId="11D76E00" w14:textId="77777777" w:rsidR="008F2405" w:rsidRPr="008F2405" w:rsidRDefault="008F2405" w:rsidP="008F2405">
            <w:pPr>
              <w:keepNext/>
              <w:jc w:val="center"/>
            </w:pPr>
            <w:r w:rsidRPr="008F2405">
              <w:t>30</w:t>
            </w:r>
          </w:p>
        </w:tc>
        <w:tc>
          <w:tcPr>
            <w:tcW w:w="0" w:type="auto"/>
            <w:tcBorders>
              <w:top w:val="single" w:sz="6" w:space="0" w:color="auto"/>
              <w:left w:val="single" w:sz="6" w:space="0" w:color="auto"/>
              <w:bottom w:val="single" w:sz="4" w:space="0" w:color="auto"/>
              <w:right w:val="single" w:sz="4" w:space="0" w:color="auto"/>
            </w:tcBorders>
            <w:hideMark/>
          </w:tcPr>
          <w:p w14:paraId="10A3B7DD" w14:textId="77777777" w:rsidR="008F2405" w:rsidRPr="008F2405" w:rsidRDefault="008F2405" w:rsidP="008F2405">
            <w:pPr>
              <w:keepNext/>
            </w:pPr>
            <w:r w:rsidRPr="008F2405">
              <w:t>Antenna height above ground</w:t>
            </w:r>
          </w:p>
        </w:tc>
      </w:tr>
    </w:tbl>
    <w:p w14:paraId="43491AAC" w14:textId="77777777" w:rsidR="008F2405" w:rsidRPr="00435828" w:rsidRDefault="008F2405" w:rsidP="006A744E">
      <w:pPr>
        <w:spacing w:before="120" w:after="240"/>
        <w:jc w:val="center"/>
        <w:rPr>
          <w:szCs w:val="22"/>
        </w:rPr>
      </w:pPr>
      <w:bookmarkStart w:id="925" w:name="_Ref393705761"/>
      <w:bookmarkStart w:id="926" w:name="_Ref393705831"/>
      <w:r w:rsidRPr="00435828">
        <w:rPr>
          <w:szCs w:val="22"/>
        </w:rPr>
        <w:t xml:space="preserve">Table </w:t>
      </w:r>
      <w:r w:rsidRPr="00435828">
        <w:rPr>
          <w:szCs w:val="22"/>
        </w:rPr>
        <w:fldChar w:fldCharType="begin"/>
      </w:r>
      <w:r w:rsidRPr="00435828">
        <w:rPr>
          <w:szCs w:val="22"/>
        </w:rPr>
        <w:instrText xml:space="preserve"> SEQ Table \* ARABIC </w:instrText>
      </w:r>
      <w:r w:rsidRPr="00435828">
        <w:rPr>
          <w:szCs w:val="22"/>
        </w:rPr>
        <w:fldChar w:fldCharType="separate"/>
      </w:r>
      <w:r w:rsidR="00656F50">
        <w:rPr>
          <w:noProof/>
          <w:szCs w:val="22"/>
        </w:rPr>
        <w:t>13</w:t>
      </w:r>
      <w:r w:rsidRPr="00435828">
        <w:rPr>
          <w:szCs w:val="22"/>
        </w:rPr>
        <w:fldChar w:fldCharType="end"/>
      </w:r>
      <w:bookmarkEnd w:id="925"/>
      <w:r w:rsidRPr="00435828">
        <w:rPr>
          <w:szCs w:val="22"/>
        </w:rPr>
        <w:t>.  Assumed wireless base station transmitting specifications</w:t>
      </w:r>
      <w:bookmarkEnd w:id="926"/>
    </w:p>
    <w:p w14:paraId="669101FD" w14:textId="77777777" w:rsidR="008F2405" w:rsidRPr="008F2405" w:rsidRDefault="008F2405" w:rsidP="006A744E">
      <w:pPr>
        <w:pStyle w:val="ParaNum"/>
      </w:pPr>
      <w:r w:rsidRPr="008F2405">
        <w:t xml:space="preserve">We recognize that wireless downlink transmitters in multiple adjacent wireless spectrum blocks can increase the potential for interference to DTV service.  To offset this, we assume base station </w:t>
      </w:r>
      <w:r w:rsidRPr="00435828">
        <w:t xml:space="preserve">ERP based on the power in a 6 MHz channel (see </w:t>
      </w:r>
      <w:r w:rsidRPr="00435828">
        <w:fldChar w:fldCharType="begin"/>
      </w:r>
      <w:r w:rsidRPr="00435828">
        <w:instrText xml:space="preserve"> REF _Ref393705761 \h </w:instrText>
      </w:r>
      <w:r w:rsidR="00435828" w:rsidRPr="00435828">
        <w:instrText xml:space="preserve"> \* MERGEFORMAT </w:instrText>
      </w:r>
      <w:r w:rsidRPr="00435828">
        <w:fldChar w:fldCharType="separate"/>
      </w:r>
      <w:r w:rsidR="00656F50" w:rsidRPr="00435828">
        <w:rPr>
          <w:szCs w:val="22"/>
        </w:rPr>
        <w:t xml:space="preserve">Table </w:t>
      </w:r>
      <w:r w:rsidR="00656F50">
        <w:rPr>
          <w:noProof/>
          <w:szCs w:val="22"/>
        </w:rPr>
        <w:t>13</w:t>
      </w:r>
      <w:r w:rsidRPr="00435828">
        <w:fldChar w:fldCharType="end"/>
      </w:r>
      <w:r w:rsidRPr="00435828">
        <w:t xml:space="preserve"> and footnote </w:t>
      </w:r>
      <w:r w:rsidRPr="00435828">
        <w:fldChar w:fldCharType="begin"/>
      </w:r>
      <w:r w:rsidRPr="00435828">
        <w:instrText xml:space="preserve"> NOTEREF _Ref396678335 \h </w:instrText>
      </w:r>
      <w:r w:rsidR="00435828" w:rsidRPr="00435828">
        <w:instrText xml:space="preserve"> \* MERGEFORMAT </w:instrText>
      </w:r>
      <w:r w:rsidRPr="00435828">
        <w:fldChar w:fldCharType="separate"/>
      </w:r>
      <w:r w:rsidR="00656F50">
        <w:t>29</w:t>
      </w:r>
      <w:r w:rsidRPr="00435828">
        <w:fldChar w:fldCharType="end"/>
      </w:r>
      <w:r w:rsidRPr="00435828">
        <w:t>) and separately evaluate each</w:t>
      </w:r>
      <w:r w:rsidRPr="008F2405">
        <w:t xml:space="preserve"> 5 MHz wireless </w:t>
      </w:r>
      <w:r w:rsidRPr="008F2405">
        <w:rPr>
          <w:lang w:eastAsia="ja-JP"/>
        </w:rPr>
        <w:t>channel</w:t>
      </w:r>
      <w:r w:rsidRPr="008F2405">
        <w:t xml:space="preserve">. </w:t>
      </w:r>
    </w:p>
    <w:p w14:paraId="64062804" w14:textId="77777777" w:rsidR="008F2405" w:rsidRPr="008F2405" w:rsidRDefault="008F2405" w:rsidP="006A744E">
      <w:pPr>
        <w:pStyle w:val="ParaNum"/>
      </w:pPr>
      <w:r w:rsidRPr="008F2405">
        <w:rPr>
          <w:i/>
          <w:u w:val="single"/>
        </w:rPr>
        <w:t>TV Receiving Antenna Pattern.</w:t>
      </w:r>
      <w:r w:rsidRPr="008F2405">
        <w:t xml:space="preserve">  For Case 3, the TV receiving antenna is assumed to have a directional gain pattern which tends to discriminate against off-</w:t>
      </w:r>
      <w:r w:rsidRPr="008F2405">
        <w:rPr>
          <w:lang w:eastAsia="ja-JP"/>
        </w:rPr>
        <w:t>axis</w:t>
      </w:r>
      <w:r w:rsidRPr="008F2405">
        <w:t xml:space="preserve"> undesired stations.  This pattern is a planning factor affecting interference.</w:t>
      </w:r>
      <w:r w:rsidRPr="008F2405">
        <w:rPr>
          <w:sz w:val="20"/>
          <w:vertAlign w:val="superscript"/>
        </w:rPr>
        <w:footnoteReference w:id="308"/>
      </w:r>
      <w:r w:rsidRPr="008F2405">
        <w:t xml:space="preserve">  </w:t>
      </w:r>
      <w:r w:rsidR="005222A4">
        <w:t>A</w:t>
      </w:r>
      <w:r w:rsidRPr="008F2405">
        <w:t xml:space="preserve"> working group of the FCC Advisory Committee for Advanced Television Service</w:t>
      </w:r>
      <w:r w:rsidR="005222A4">
        <w:t xml:space="preserve"> selected the specific form of this pattern</w:t>
      </w:r>
      <w:r w:rsidRPr="008F2405">
        <w:t xml:space="preserve">.  The discrimination, in relative field, provided by the assumed TV receiving pattern is a function of the angle between the lines joining the desired and undesired stations to the reception point.  One of these lines goes directly to the desired station, the other goes to the undesired station.  The discrimination is calculated as the fourth power of the cosine of the angle between these lines but never </w:t>
      </w:r>
      <w:r w:rsidR="00066F0D">
        <w:t xml:space="preserve">more than represented by </w:t>
      </w:r>
      <w:r w:rsidRPr="008F2405">
        <w:t>the front-to-back ratio of 14 dB for UHF.  When both desired and undesired stations are on the receive antenna’s boresight, the angle is 0.0 giving a cosine of unity so that there is no discrimination.  When the undesired station is somewhat off-axis, the cosine will be less than unity and the resulting interference field strength is reduced accordingly</w:t>
      </w:r>
      <w:r w:rsidR="00066F0D">
        <w:t xml:space="preserve"> by this value (while the desired field strength remains unchanged)</w:t>
      </w:r>
      <w:r w:rsidRPr="008F2405">
        <w:t>; when the undesired station is far off axis,</w:t>
      </w:r>
      <w:r w:rsidRPr="008F2405">
        <w:rPr>
          <w:sz w:val="20"/>
          <w:vertAlign w:val="superscript"/>
        </w:rPr>
        <w:footnoteReference w:id="309"/>
      </w:r>
      <w:r w:rsidRPr="008F2405">
        <w:t xml:space="preserve"> the maximum discrimination given by the </w:t>
      </w:r>
      <w:r w:rsidR="00066F0D">
        <w:t xml:space="preserve">14dB </w:t>
      </w:r>
      <w:r w:rsidRPr="008F2405">
        <w:t>front-to-back ratio is attained</w:t>
      </w:r>
      <w:r w:rsidR="00066F0D">
        <w:t>, and the resulting interference field strength is reduced by 14 (while the desired field strength still remains unchanged)</w:t>
      </w:r>
      <w:r w:rsidRPr="008F2405">
        <w:t>.</w:t>
      </w:r>
    </w:p>
    <w:p w14:paraId="5B3A0AE0" w14:textId="77777777" w:rsidR="008F2405" w:rsidRPr="006A744E" w:rsidRDefault="008F2405" w:rsidP="006A744E">
      <w:pPr>
        <w:pStyle w:val="Heading1"/>
        <w:rPr>
          <w:b w:val="0"/>
          <w:caps w:val="0"/>
        </w:rPr>
      </w:pPr>
      <w:bookmarkStart w:id="927" w:name="_Toc397962843"/>
      <w:bookmarkStart w:id="928" w:name="_Toc396560852"/>
      <w:bookmarkStart w:id="929" w:name="_Toc397962844"/>
      <w:bookmarkStart w:id="930" w:name="_Toc398023616"/>
      <w:bookmarkStart w:id="931" w:name="_Toc398903009"/>
      <w:bookmarkStart w:id="932" w:name="_Toc398903332"/>
      <w:bookmarkStart w:id="933" w:name="_Toc398903521"/>
      <w:bookmarkStart w:id="934" w:name="_Toc398904118"/>
      <w:bookmarkStart w:id="935" w:name="_Toc398904626"/>
      <w:bookmarkStart w:id="936" w:name="_Toc401305986"/>
      <w:bookmarkStart w:id="937" w:name="_Toc401306662"/>
      <w:bookmarkStart w:id="938" w:name="_Toc401306731"/>
      <w:bookmarkEnd w:id="927"/>
      <w:r w:rsidRPr="006A744E">
        <w:t>Engineering Databases</w:t>
      </w:r>
      <w:bookmarkEnd w:id="928"/>
      <w:bookmarkEnd w:id="929"/>
      <w:bookmarkEnd w:id="930"/>
      <w:bookmarkEnd w:id="931"/>
      <w:bookmarkEnd w:id="932"/>
      <w:bookmarkEnd w:id="933"/>
      <w:bookmarkEnd w:id="934"/>
      <w:bookmarkEnd w:id="935"/>
      <w:bookmarkEnd w:id="936"/>
      <w:bookmarkEnd w:id="937"/>
      <w:bookmarkEnd w:id="938"/>
    </w:p>
    <w:p w14:paraId="5CC02304" w14:textId="59084455" w:rsidR="008F2405" w:rsidRPr="008F2405" w:rsidRDefault="008F2405" w:rsidP="006A744E">
      <w:pPr>
        <w:pStyle w:val="ParaNum"/>
      </w:pPr>
      <w:r w:rsidRPr="008F2405">
        <w:rPr>
          <w:i/>
          <w:u w:val="single"/>
        </w:rPr>
        <w:t>DTV Engineering Data.</w:t>
      </w:r>
      <w:r w:rsidRPr="008F2405">
        <w:t xml:space="preserve">  Engineering data for TV stations in the U.S. (including full-power DTV and Class A) is available from the FCC.  Data for individual stations can be found at </w:t>
      </w:r>
      <w:hyperlink r:id="rId22" w:history="1">
        <w:r w:rsidRPr="008F2405">
          <w:rPr>
            <w:color w:val="0000FF"/>
            <w:u w:val="single"/>
          </w:rPr>
          <w:t>http://www.fcc.gov/mb/video/tvq.html</w:t>
        </w:r>
      </w:hyperlink>
      <w:r w:rsidRPr="008F2405">
        <w:t xml:space="preserve">, and consolidated data for all authorized stations can be found at </w:t>
      </w:r>
      <w:hyperlink r:id="rId23" w:history="1">
        <w:r w:rsidRPr="008F2405">
          <w:rPr>
            <w:color w:val="0000FF"/>
            <w:u w:val="single"/>
          </w:rPr>
          <w:t>ftp://ftp.fcc.gov/pub/Bureaus/MB/Databases/cdbs/</w:t>
        </w:r>
      </w:hyperlink>
      <w:r w:rsidRPr="008F2405">
        <w:t xml:space="preserve">.  Where more than one authorization exists for a particular station, the record associated with the facility actually operating is used.  Where specific elevation pattern data are not provided, a generic elevation pattern may be used as described in OET Bulletin No. 69.  The generic elevation pattern should, however, be offset by the amount of electrical beam tilt specified in the CDBS.  When performing inter-service interference calculations for the purpose of predicting impaired locations during the incentive auction, </w:t>
      </w:r>
      <w:r w:rsidR="00C201F7">
        <w:t>the</w:t>
      </w:r>
      <w:r w:rsidRPr="008F2405">
        <w:t xml:space="preserve"> CDBS dataset approved by the Commission for use in the auction</w:t>
      </w:r>
      <w:r w:rsidR="00C201F7">
        <w:t xml:space="preserve"> will be used</w:t>
      </w:r>
      <w:r w:rsidRPr="008F2405">
        <w:t>.</w:t>
      </w:r>
    </w:p>
    <w:p w14:paraId="520C4305" w14:textId="77777777" w:rsidR="008F2405" w:rsidRPr="006A744E" w:rsidRDefault="008F2405" w:rsidP="006A744E">
      <w:pPr>
        <w:pStyle w:val="Heading1"/>
        <w:rPr>
          <w:b w:val="0"/>
          <w:caps w:val="0"/>
        </w:rPr>
      </w:pPr>
      <w:bookmarkStart w:id="939" w:name="_Toc397962845"/>
      <w:bookmarkStart w:id="940" w:name="_Toc396560853"/>
      <w:bookmarkStart w:id="941" w:name="_Toc397962846"/>
      <w:bookmarkStart w:id="942" w:name="_Toc398023617"/>
      <w:bookmarkStart w:id="943" w:name="_Toc398903010"/>
      <w:bookmarkStart w:id="944" w:name="_Toc398903333"/>
      <w:bookmarkStart w:id="945" w:name="_Toc398903522"/>
      <w:bookmarkStart w:id="946" w:name="_Toc398904119"/>
      <w:bookmarkStart w:id="947" w:name="_Toc398904627"/>
      <w:bookmarkStart w:id="948" w:name="_Toc401305987"/>
      <w:bookmarkStart w:id="949" w:name="_Toc401306663"/>
      <w:bookmarkStart w:id="950" w:name="_Toc401306732"/>
      <w:bookmarkEnd w:id="939"/>
      <w:r w:rsidRPr="006A744E">
        <w:t>Using TVStudy to run INTER-SERVICE INTERFERENCE Analysis for Prediction of Wireless Market Impairments</w:t>
      </w:r>
      <w:bookmarkEnd w:id="940"/>
      <w:bookmarkEnd w:id="941"/>
      <w:bookmarkEnd w:id="942"/>
      <w:bookmarkEnd w:id="943"/>
      <w:bookmarkEnd w:id="944"/>
      <w:bookmarkEnd w:id="945"/>
      <w:bookmarkEnd w:id="946"/>
      <w:bookmarkEnd w:id="947"/>
      <w:bookmarkEnd w:id="948"/>
      <w:bookmarkEnd w:id="949"/>
      <w:bookmarkEnd w:id="950"/>
    </w:p>
    <w:p w14:paraId="3B73E63E" w14:textId="77777777" w:rsidR="008F2405" w:rsidRPr="006A744E" w:rsidRDefault="008F2405" w:rsidP="006A744E">
      <w:pPr>
        <w:pStyle w:val="ParaNum"/>
        <w:keepNext/>
        <w:spacing w:before="120"/>
      </w:pPr>
      <w:r w:rsidRPr="005474ED">
        <w:rPr>
          <w:i/>
          <w:u w:val="single"/>
        </w:rPr>
        <w:t>TVStudy Parameter Settings.</w:t>
      </w:r>
      <w:r w:rsidRPr="008F2405">
        <w:t xml:space="preserve">  </w:t>
      </w:r>
      <w:r w:rsidRPr="005474ED">
        <w:rPr>
          <w:i/>
        </w:rPr>
        <w:t>TVStudy</w:t>
      </w:r>
      <w:r w:rsidRPr="008F2405">
        <w:t xml:space="preserve"> with parameter settings as discussed below is used to perform the inter-service interference analyses to determine impairment locations in each wireless market.  The results of these analyses will be used by the </w:t>
      </w:r>
      <w:r w:rsidRPr="008F2405">
        <w:rPr>
          <w:lang w:eastAsia="ja-JP"/>
        </w:rPr>
        <w:t>auction</w:t>
      </w:r>
      <w:r w:rsidRPr="008F2405">
        <w:t xml:space="preserve"> design team to determine market impairments.  </w:t>
      </w:r>
      <w:r w:rsidR="00CC062A">
        <w:t xml:space="preserve">The </w:t>
      </w:r>
      <w:r w:rsidR="00CC062A" w:rsidRPr="00CC062A">
        <w:rPr>
          <w:i/>
        </w:rPr>
        <w:t>TVStudy</w:t>
      </w:r>
      <w:r w:rsidR="00CC062A">
        <w:t xml:space="preserve"> settings to be used for each ISIX case are shown in </w:t>
      </w:r>
      <w:r w:rsidR="00CC062A">
        <w:fldChar w:fldCharType="begin"/>
      </w:r>
      <w:r w:rsidR="00CC062A">
        <w:instrText xml:space="preserve"> REF _Ref398621949 \h </w:instrText>
      </w:r>
      <w:r w:rsidR="00CC062A">
        <w:fldChar w:fldCharType="separate"/>
      </w:r>
      <w:r w:rsidR="00656F50" w:rsidRPr="00435828">
        <w:t xml:space="preserve">Table </w:t>
      </w:r>
      <w:r w:rsidR="00656F50">
        <w:rPr>
          <w:noProof/>
        </w:rPr>
        <w:t>14</w:t>
      </w:r>
      <w:r w:rsidR="00CC062A">
        <w:fldChar w:fldCharType="end"/>
      </w:r>
      <w:r w:rsidR="00CC062A">
        <w:t xml:space="preserve"> below.</w:t>
      </w:r>
    </w:p>
    <w:tbl>
      <w:tblPr>
        <w:tblW w:w="4295" w:type="pct"/>
        <w:jc w:val="center"/>
        <w:tblLayout w:type="fixed"/>
        <w:tblLook w:val="04A0" w:firstRow="1" w:lastRow="0" w:firstColumn="1" w:lastColumn="0" w:noHBand="0" w:noVBand="1"/>
      </w:tblPr>
      <w:tblGrid>
        <w:gridCol w:w="4340"/>
        <w:gridCol w:w="1351"/>
        <w:gridCol w:w="1260"/>
        <w:gridCol w:w="1275"/>
      </w:tblGrid>
      <w:tr w:rsidR="00CC062A" w:rsidRPr="008F2405" w14:paraId="7716CC8A" w14:textId="77777777" w:rsidTr="00EE61F6">
        <w:trPr>
          <w:trHeight w:val="317"/>
          <w:tblHeader/>
          <w:jc w:val="center"/>
        </w:trPr>
        <w:tc>
          <w:tcPr>
            <w:tcW w:w="2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54A0AD" w14:textId="77777777" w:rsidR="00CC062A" w:rsidRPr="008F2405" w:rsidRDefault="00CC062A" w:rsidP="008F2405">
            <w:pPr>
              <w:rPr>
                <w:b/>
                <w:color w:val="000000"/>
                <w:sz w:val="18"/>
                <w:szCs w:val="18"/>
              </w:rPr>
            </w:pPr>
            <w:r w:rsidRPr="008F2405">
              <w:rPr>
                <w:b/>
                <w:color w:val="000000"/>
                <w:sz w:val="18"/>
                <w:szCs w:val="18"/>
              </w:rPr>
              <w:t>General</w:t>
            </w:r>
          </w:p>
        </w:tc>
        <w:tc>
          <w:tcPr>
            <w:tcW w:w="82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1A509FB" w14:textId="77777777" w:rsidR="00CC062A" w:rsidRPr="008F2405" w:rsidRDefault="00CC062A" w:rsidP="008F2405">
            <w:pPr>
              <w:jc w:val="center"/>
              <w:rPr>
                <w:color w:val="000000"/>
                <w:sz w:val="18"/>
                <w:szCs w:val="18"/>
              </w:rPr>
            </w:pPr>
            <w:r w:rsidRPr="008F2405">
              <w:rPr>
                <w:b/>
                <w:color w:val="000000"/>
                <w:sz w:val="18"/>
                <w:szCs w:val="18"/>
              </w:rPr>
              <w:t>ISIX Case 1</w:t>
            </w:r>
          </w:p>
        </w:tc>
        <w:tc>
          <w:tcPr>
            <w:tcW w:w="76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37CA2B3" w14:textId="77777777" w:rsidR="00CC062A" w:rsidRPr="008F2405" w:rsidRDefault="00CC062A" w:rsidP="008F2405">
            <w:pPr>
              <w:jc w:val="center"/>
              <w:rPr>
                <w:color w:val="000000"/>
                <w:sz w:val="18"/>
                <w:szCs w:val="18"/>
              </w:rPr>
            </w:pPr>
            <w:r w:rsidRPr="008F2405">
              <w:rPr>
                <w:b/>
                <w:color w:val="000000"/>
                <w:sz w:val="18"/>
                <w:szCs w:val="18"/>
              </w:rPr>
              <w:t>ISIX Case 2</w:t>
            </w:r>
          </w:p>
        </w:tc>
        <w:tc>
          <w:tcPr>
            <w:tcW w:w="7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7A6F90" w14:textId="77777777" w:rsidR="00CC062A" w:rsidRPr="008F2405" w:rsidRDefault="00CC062A" w:rsidP="008F2405">
            <w:pPr>
              <w:jc w:val="center"/>
              <w:rPr>
                <w:color w:val="000000"/>
                <w:sz w:val="18"/>
                <w:szCs w:val="18"/>
              </w:rPr>
            </w:pPr>
            <w:r w:rsidRPr="008F2405">
              <w:rPr>
                <w:b/>
                <w:color w:val="000000"/>
                <w:sz w:val="18"/>
                <w:szCs w:val="18"/>
              </w:rPr>
              <w:t>ISIX Case 3</w:t>
            </w:r>
          </w:p>
        </w:tc>
      </w:tr>
      <w:tr w:rsidR="00CC062A" w:rsidRPr="008F2405" w14:paraId="061D841D"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40B1B32F" w14:textId="75B62E54"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7C33DF06" w14:textId="691C3F14"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6CFFD7EC" w14:textId="7BACD820"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2E0B648F" w14:textId="30EC391D" w:rsidR="00CC062A" w:rsidRPr="008F2405" w:rsidRDefault="00CC062A" w:rsidP="008F2405">
            <w:pPr>
              <w:jc w:val="center"/>
              <w:rPr>
                <w:color w:val="000000"/>
                <w:sz w:val="18"/>
                <w:szCs w:val="18"/>
              </w:rPr>
            </w:pPr>
          </w:p>
        </w:tc>
      </w:tr>
      <w:tr w:rsidR="00CC062A" w:rsidRPr="008F2405" w14:paraId="143EF095"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5620EEC" w14:textId="7157E02E"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0DE34B07" w14:textId="53402BF6"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63C21678" w14:textId="5FE361BE"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27E4EC03" w14:textId="3129AD03" w:rsidR="00CC062A" w:rsidRPr="008F2405" w:rsidRDefault="00CC062A" w:rsidP="008F2405">
            <w:pPr>
              <w:jc w:val="center"/>
              <w:rPr>
                <w:color w:val="000000"/>
                <w:sz w:val="18"/>
                <w:szCs w:val="18"/>
              </w:rPr>
            </w:pPr>
          </w:p>
        </w:tc>
      </w:tr>
      <w:tr w:rsidR="00CC062A" w:rsidRPr="008F2405" w14:paraId="7C3710BE"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4DA02E2A" w14:textId="26DF10A7"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1517D747" w14:textId="568E91DC"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4EAA8659" w14:textId="367E91CB"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7EF0F013" w14:textId="30ABEFAA" w:rsidR="00CC062A" w:rsidRPr="008F2405" w:rsidRDefault="00CC062A" w:rsidP="008F2405">
            <w:pPr>
              <w:jc w:val="center"/>
              <w:rPr>
                <w:color w:val="000000"/>
                <w:sz w:val="18"/>
                <w:szCs w:val="18"/>
              </w:rPr>
            </w:pPr>
          </w:p>
        </w:tc>
      </w:tr>
      <w:tr w:rsidR="00CC062A" w:rsidRPr="008F2405" w14:paraId="35050708"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678A555D" w14:textId="4F161B35"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40F9B2DE" w14:textId="1E1EA0EA"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464FBF92" w14:textId="180FF0A0"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7C752478" w14:textId="368EE5C5" w:rsidR="00CC062A" w:rsidRPr="008F2405" w:rsidRDefault="00CC062A" w:rsidP="008F2405">
            <w:pPr>
              <w:jc w:val="center"/>
              <w:rPr>
                <w:color w:val="000000"/>
                <w:sz w:val="18"/>
                <w:szCs w:val="18"/>
              </w:rPr>
            </w:pPr>
          </w:p>
        </w:tc>
      </w:tr>
      <w:tr w:rsidR="00CC062A" w:rsidRPr="008F2405" w14:paraId="29D27F8D"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CEB8611" w14:textId="23118086"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1282EA95" w14:textId="717C52DE"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436E16A4" w14:textId="498405B6"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71677A7A" w14:textId="68DBE2B8" w:rsidR="00CC062A" w:rsidRPr="008F2405" w:rsidRDefault="00CC062A" w:rsidP="008F2405">
            <w:pPr>
              <w:jc w:val="center"/>
              <w:rPr>
                <w:color w:val="000000"/>
                <w:sz w:val="18"/>
                <w:szCs w:val="18"/>
              </w:rPr>
            </w:pPr>
          </w:p>
        </w:tc>
      </w:tr>
      <w:tr w:rsidR="00CC062A" w:rsidRPr="008F2405" w14:paraId="02B90BFC"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B7406FD" w14:textId="5695913F"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7D3CC550" w14:textId="77777777" w:rsidR="00CC062A" w:rsidRPr="00EE61F6" w:rsidRDefault="00CC062A" w:rsidP="008F2405">
            <w:pPr>
              <w:jc w:val="center"/>
              <w:rPr>
                <w:sz w:val="18"/>
                <w:szCs w:val="18"/>
              </w:rPr>
            </w:pPr>
            <w:r w:rsidRPr="00EE61F6">
              <w:rPr>
                <w:sz w:val="18"/>
                <w:szCs w:val="18"/>
              </w:rPr>
              <w:t>10</w:t>
            </w:r>
          </w:p>
        </w:tc>
        <w:tc>
          <w:tcPr>
            <w:tcW w:w="766" w:type="pct"/>
            <w:tcBorders>
              <w:top w:val="nil"/>
              <w:left w:val="nil"/>
              <w:bottom w:val="single" w:sz="4" w:space="0" w:color="auto"/>
              <w:right w:val="single" w:sz="4" w:space="0" w:color="auto"/>
            </w:tcBorders>
            <w:shd w:val="clear" w:color="000000" w:fill="FFFFFF"/>
            <w:noWrap/>
            <w:vAlign w:val="center"/>
            <w:hideMark/>
          </w:tcPr>
          <w:p w14:paraId="1F6A911D" w14:textId="77777777" w:rsidR="00CC062A" w:rsidRPr="00EE61F6" w:rsidRDefault="00CC062A" w:rsidP="008F2405">
            <w:pPr>
              <w:jc w:val="center"/>
              <w:rPr>
                <w:sz w:val="18"/>
                <w:szCs w:val="18"/>
              </w:rPr>
            </w:pPr>
            <w:r w:rsidRPr="00EE61F6">
              <w:rPr>
                <w:sz w:val="18"/>
                <w:szCs w:val="18"/>
              </w:rPr>
              <w:t>10</w:t>
            </w:r>
          </w:p>
        </w:tc>
        <w:tc>
          <w:tcPr>
            <w:tcW w:w="776" w:type="pct"/>
            <w:tcBorders>
              <w:top w:val="nil"/>
              <w:left w:val="nil"/>
              <w:bottom w:val="single" w:sz="4" w:space="0" w:color="auto"/>
              <w:right w:val="single" w:sz="4" w:space="0" w:color="auto"/>
            </w:tcBorders>
            <w:shd w:val="clear" w:color="000000" w:fill="FFFFFF"/>
            <w:noWrap/>
            <w:vAlign w:val="center"/>
            <w:hideMark/>
          </w:tcPr>
          <w:p w14:paraId="564DD389" w14:textId="77777777" w:rsidR="00CC062A" w:rsidRPr="00EE61F6" w:rsidRDefault="00CC062A" w:rsidP="008F2405">
            <w:pPr>
              <w:jc w:val="center"/>
              <w:rPr>
                <w:sz w:val="18"/>
                <w:szCs w:val="18"/>
              </w:rPr>
            </w:pPr>
            <w:r w:rsidRPr="00EE61F6">
              <w:rPr>
                <w:sz w:val="18"/>
                <w:szCs w:val="18"/>
              </w:rPr>
              <w:t>10</w:t>
            </w:r>
          </w:p>
        </w:tc>
      </w:tr>
      <w:tr w:rsidR="00CC062A" w:rsidRPr="008F2405" w14:paraId="336E3CBA"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00D7487" w14:textId="42F20703"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6F3C1870" w14:textId="5A03D1DC"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6F8276C6" w14:textId="5F96C19B"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7B136DF5" w14:textId="358E4B99" w:rsidR="00CC062A" w:rsidRPr="008F2405" w:rsidRDefault="00CC062A" w:rsidP="008F2405">
            <w:pPr>
              <w:jc w:val="center"/>
              <w:rPr>
                <w:color w:val="000000"/>
                <w:sz w:val="18"/>
                <w:szCs w:val="18"/>
              </w:rPr>
            </w:pPr>
          </w:p>
        </w:tc>
      </w:tr>
      <w:tr w:rsidR="00CC062A" w:rsidRPr="008F2405" w14:paraId="752E05C3"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271C74A1" w14:textId="2EF702D3"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09B2FBCA" w14:textId="5534351D"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327229CF" w14:textId="4EE678EB"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60BAB13B" w14:textId="7AB9B1F9" w:rsidR="00CC062A" w:rsidRPr="008F2405" w:rsidRDefault="00CC062A" w:rsidP="008F2405">
            <w:pPr>
              <w:jc w:val="center"/>
              <w:rPr>
                <w:color w:val="000000"/>
                <w:sz w:val="18"/>
                <w:szCs w:val="18"/>
              </w:rPr>
            </w:pPr>
          </w:p>
        </w:tc>
      </w:tr>
      <w:tr w:rsidR="00CC062A" w:rsidRPr="008F2405" w14:paraId="098532F2"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1A0082C" w14:textId="40ED9F28"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73663D0C" w14:textId="76FFAB8D"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3440F6FD" w14:textId="49654140"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3B501011" w14:textId="4C8505D9" w:rsidR="00CC062A" w:rsidRPr="008F2405" w:rsidRDefault="00CC062A" w:rsidP="008F2405">
            <w:pPr>
              <w:jc w:val="center"/>
              <w:rPr>
                <w:color w:val="000000"/>
                <w:sz w:val="18"/>
                <w:szCs w:val="18"/>
              </w:rPr>
            </w:pPr>
          </w:p>
        </w:tc>
      </w:tr>
      <w:tr w:rsidR="00CC062A" w:rsidRPr="008F2405" w14:paraId="23B12F8C"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56002E6D" w14:textId="263E2841"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6001F47F" w14:textId="399B17F6"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460D915D" w14:textId="0DF303C0"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118E85D6" w14:textId="3EE385E3" w:rsidR="00CC062A" w:rsidRPr="008F2405" w:rsidRDefault="00CC062A" w:rsidP="008F2405">
            <w:pPr>
              <w:jc w:val="center"/>
              <w:rPr>
                <w:color w:val="000000"/>
                <w:sz w:val="18"/>
                <w:szCs w:val="18"/>
              </w:rPr>
            </w:pPr>
          </w:p>
        </w:tc>
      </w:tr>
      <w:tr w:rsidR="00CC062A" w:rsidRPr="008F2405" w14:paraId="5DB2FD39"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5F79C84D" w14:textId="39942497"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5E0625E3" w14:textId="034C8781"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2CE84F3B" w14:textId="29F720C1"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67345523" w14:textId="08B04B22" w:rsidR="00CC062A" w:rsidRPr="008F2405" w:rsidRDefault="00CC062A" w:rsidP="008F2405">
            <w:pPr>
              <w:jc w:val="center"/>
              <w:rPr>
                <w:color w:val="000000"/>
                <w:sz w:val="18"/>
                <w:szCs w:val="18"/>
              </w:rPr>
            </w:pPr>
          </w:p>
        </w:tc>
      </w:tr>
      <w:tr w:rsidR="00CC062A" w:rsidRPr="008F2405" w14:paraId="136813E2"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6A967EC" w14:textId="6E3F189D"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1C049803" w14:textId="05A020E5"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7748654E" w14:textId="6B1AAD35"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2F6366B6" w14:textId="7973B70C" w:rsidR="00CC062A" w:rsidRPr="008F2405" w:rsidRDefault="00CC062A" w:rsidP="008F2405">
            <w:pPr>
              <w:jc w:val="center"/>
              <w:rPr>
                <w:color w:val="000000"/>
                <w:sz w:val="18"/>
                <w:szCs w:val="18"/>
              </w:rPr>
            </w:pPr>
          </w:p>
        </w:tc>
      </w:tr>
      <w:tr w:rsidR="00CC062A" w:rsidRPr="008F2405" w14:paraId="5D117974"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ACF8EAF" w14:textId="67423DAB"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27A1914A" w14:textId="7344C221"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7C4F82D2" w14:textId="2FD8533E"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115AA24F" w14:textId="77777777" w:rsidR="00CC062A" w:rsidRPr="00EE61F6" w:rsidRDefault="00CC062A" w:rsidP="008F2405">
            <w:pPr>
              <w:jc w:val="center"/>
              <w:rPr>
                <w:color w:val="000000"/>
                <w:sz w:val="18"/>
                <w:szCs w:val="18"/>
              </w:rPr>
            </w:pPr>
            <w:r w:rsidRPr="00EE61F6">
              <w:rPr>
                <w:sz w:val="18"/>
                <w:szCs w:val="18"/>
              </w:rPr>
              <w:t>200</w:t>
            </w:r>
          </w:p>
        </w:tc>
      </w:tr>
      <w:tr w:rsidR="00CC062A" w:rsidRPr="008F2405" w14:paraId="24817065"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26D3F4C" w14:textId="18FE308A"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3421E628" w14:textId="6A98EEC1"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13875212" w14:textId="080C4D0A"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4964363C" w14:textId="5AF433D3" w:rsidR="00CC062A" w:rsidRPr="008F2405" w:rsidRDefault="00CC062A" w:rsidP="008F2405">
            <w:pPr>
              <w:jc w:val="center"/>
              <w:rPr>
                <w:color w:val="000000"/>
                <w:sz w:val="18"/>
                <w:szCs w:val="18"/>
              </w:rPr>
            </w:pPr>
          </w:p>
        </w:tc>
      </w:tr>
      <w:tr w:rsidR="00CC062A" w:rsidRPr="008F2405" w14:paraId="476D4575"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4C188F1" w14:textId="65751285"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5FAF4C82" w14:textId="57547598"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6316F197" w14:textId="5E303D08"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023F09F2" w14:textId="7BA23C8F" w:rsidR="00CC062A" w:rsidRPr="008F2405" w:rsidRDefault="00CC062A" w:rsidP="008F2405">
            <w:pPr>
              <w:jc w:val="center"/>
              <w:rPr>
                <w:color w:val="000000"/>
                <w:sz w:val="18"/>
                <w:szCs w:val="18"/>
              </w:rPr>
            </w:pPr>
          </w:p>
        </w:tc>
      </w:tr>
      <w:tr w:rsidR="00CC062A" w:rsidRPr="008F2405" w14:paraId="52A81B83"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460E6A5B" w14:textId="19FA464B" w:rsidR="00CC062A" w:rsidRPr="008F2405" w:rsidRDefault="00CC062A" w:rsidP="008F2405">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3212EF2A" w14:textId="316766F7" w:rsidR="00CC062A" w:rsidRPr="008F2405" w:rsidRDefault="00CC062A" w:rsidP="008F2405">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1B6DEA63" w14:textId="66E5E2A7" w:rsidR="00CC062A" w:rsidRPr="008F2405" w:rsidRDefault="00CC062A" w:rsidP="008F2405">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62C5A06B" w14:textId="1C35011A" w:rsidR="00CC062A" w:rsidRPr="008F2405" w:rsidRDefault="00CC062A" w:rsidP="008F2405">
            <w:pPr>
              <w:jc w:val="center"/>
              <w:rPr>
                <w:color w:val="000000"/>
                <w:sz w:val="18"/>
                <w:szCs w:val="18"/>
              </w:rPr>
            </w:pPr>
          </w:p>
        </w:tc>
      </w:tr>
    </w:tbl>
    <w:p w14:paraId="163446FC" w14:textId="77777777" w:rsidR="005474ED" w:rsidRPr="006A744E" w:rsidRDefault="005474ED" w:rsidP="006A744E">
      <w:pPr>
        <w:jc w:val="center"/>
        <w:rPr>
          <w:b/>
          <w:sz w:val="12"/>
          <w:szCs w:val="12"/>
        </w:rPr>
      </w:pPr>
    </w:p>
    <w:tbl>
      <w:tblPr>
        <w:tblW w:w="4295" w:type="pct"/>
        <w:jc w:val="center"/>
        <w:tblLayout w:type="fixed"/>
        <w:tblLook w:val="04A0" w:firstRow="1" w:lastRow="0" w:firstColumn="1" w:lastColumn="0" w:noHBand="0" w:noVBand="1"/>
      </w:tblPr>
      <w:tblGrid>
        <w:gridCol w:w="4340"/>
        <w:gridCol w:w="1351"/>
        <w:gridCol w:w="1260"/>
        <w:gridCol w:w="1275"/>
      </w:tblGrid>
      <w:tr w:rsidR="00CC062A" w:rsidRPr="008F2405" w14:paraId="43180909" w14:textId="77777777" w:rsidTr="00EE61F6">
        <w:trPr>
          <w:trHeight w:val="317"/>
          <w:tblHeader/>
          <w:jc w:val="center"/>
        </w:trPr>
        <w:tc>
          <w:tcPr>
            <w:tcW w:w="2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93F594" w14:textId="77777777" w:rsidR="00CC062A" w:rsidRPr="008F2405" w:rsidRDefault="00CC062A" w:rsidP="006A744E">
            <w:pPr>
              <w:keepNext/>
              <w:rPr>
                <w:b/>
                <w:color w:val="000000"/>
                <w:sz w:val="18"/>
                <w:szCs w:val="18"/>
              </w:rPr>
            </w:pPr>
            <w:r w:rsidRPr="008F2405">
              <w:rPr>
                <w:b/>
                <w:color w:val="000000"/>
                <w:sz w:val="18"/>
                <w:szCs w:val="18"/>
              </w:rPr>
              <w:t>Replication</w:t>
            </w:r>
          </w:p>
        </w:tc>
        <w:tc>
          <w:tcPr>
            <w:tcW w:w="82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412C45" w14:textId="77777777" w:rsidR="00CC062A" w:rsidRPr="008F2405" w:rsidRDefault="00CC062A" w:rsidP="006A744E">
            <w:pPr>
              <w:keepNext/>
              <w:jc w:val="center"/>
              <w:rPr>
                <w:color w:val="000000"/>
                <w:sz w:val="18"/>
                <w:szCs w:val="18"/>
              </w:rPr>
            </w:pPr>
            <w:r w:rsidRPr="008F2405">
              <w:rPr>
                <w:b/>
                <w:color w:val="000000"/>
                <w:sz w:val="18"/>
                <w:szCs w:val="18"/>
              </w:rPr>
              <w:t>ISIX Case 1</w:t>
            </w:r>
          </w:p>
        </w:tc>
        <w:tc>
          <w:tcPr>
            <w:tcW w:w="76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84C3680" w14:textId="77777777" w:rsidR="00CC062A" w:rsidRPr="008F2405" w:rsidRDefault="00CC062A" w:rsidP="006A744E">
            <w:pPr>
              <w:keepNext/>
              <w:jc w:val="center"/>
              <w:rPr>
                <w:color w:val="000000"/>
                <w:sz w:val="18"/>
                <w:szCs w:val="18"/>
              </w:rPr>
            </w:pPr>
            <w:r w:rsidRPr="008F2405">
              <w:rPr>
                <w:b/>
                <w:color w:val="000000"/>
                <w:sz w:val="18"/>
                <w:szCs w:val="18"/>
              </w:rPr>
              <w:t>ISIX Case 2</w:t>
            </w:r>
          </w:p>
        </w:tc>
        <w:tc>
          <w:tcPr>
            <w:tcW w:w="7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D38166" w14:textId="77777777" w:rsidR="00CC062A" w:rsidRPr="008F2405" w:rsidRDefault="00CC062A" w:rsidP="006A744E">
            <w:pPr>
              <w:keepNext/>
              <w:jc w:val="center"/>
              <w:rPr>
                <w:color w:val="000000"/>
                <w:sz w:val="18"/>
                <w:szCs w:val="18"/>
              </w:rPr>
            </w:pPr>
            <w:r w:rsidRPr="008F2405">
              <w:rPr>
                <w:b/>
                <w:color w:val="000000"/>
                <w:sz w:val="18"/>
                <w:szCs w:val="18"/>
              </w:rPr>
              <w:t>ISIX Case 3</w:t>
            </w:r>
          </w:p>
        </w:tc>
      </w:tr>
      <w:tr w:rsidR="00CC062A" w:rsidRPr="008F2405" w14:paraId="3482C1F7"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C1F762A" w14:textId="38781385" w:rsidR="00CC062A" w:rsidRPr="008F2405" w:rsidRDefault="00CC062A" w:rsidP="000A74BA">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2E04DF35" w14:textId="71919D52"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0BF3C5B4" w14:textId="7A4D41FB"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21F44EE1" w14:textId="00E9294E" w:rsidR="00CC062A" w:rsidRPr="008F2405" w:rsidRDefault="00CC062A" w:rsidP="000A74BA">
            <w:pPr>
              <w:jc w:val="center"/>
              <w:rPr>
                <w:color w:val="000000"/>
                <w:sz w:val="18"/>
                <w:szCs w:val="18"/>
              </w:rPr>
            </w:pPr>
          </w:p>
        </w:tc>
      </w:tr>
      <w:tr w:rsidR="00CC062A" w:rsidRPr="008F2405" w14:paraId="1EADD610"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757EB5D" w14:textId="0BE25734" w:rsidR="00CC062A" w:rsidRPr="008F2405" w:rsidRDefault="00CC062A" w:rsidP="000A74BA">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22ECFEF7" w14:textId="05380C69"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78FE1BB3" w14:textId="5240BEB2"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4779974A" w14:textId="18E08ABF" w:rsidR="00CC062A" w:rsidRPr="008F2405" w:rsidRDefault="00CC062A" w:rsidP="000A74BA">
            <w:pPr>
              <w:jc w:val="center"/>
              <w:rPr>
                <w:color w:val="000000"/>
                <w:sz w:val="18"/>
                <w:szCs w:val="18"/>
              </w:rPr>
            </w:pPr>
          </w:p>
        </w:tc>
      </w:tr>
      <w:tr w:rsidR="00CC062A" w:rsidRPr="008F2405" w14:paraId="5DBB7C5D"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DF9F809" w14:textId="7937759C" w:rsidR="00CC062A" w:rsidRPr="008F2405" w:rsidRDefault="00CC062A" w:rsidP="000A74BA">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49AD2B0A" w14:textId="5FA7D2AA"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1358FA33" w14:textId="44499A4D"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578328A7" w14:textId="56B14DF1" w:rsidR="00CC062A" w:rsidRPr="008F2405" w:rsidRDefault="00CC062A" w:rsidP="000A74BA">
            <w:pPr>
              <w:jc w:val="center"/>
              <w:rPr>
                <w:color w:val="000000"/>
                <w:sz w:val="18"/>
                <w:szCs w:val="18"/>
              </w:rPr>
            </w:pPr>
          </w:p>
        </w:tc>
      </w:tr>
      <w:tr w:rsidR="00CC062A" w:rsidRPr="008F2405" w14:paraId="1D622338"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C9ED2A0" w14:textId="6B080BD0" w:rsidR="00CC062A" w:rsidRPr="008F2405" w:rsidRDefault="00CC062A" w:rsidP="000A74BA">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740331F8" w14:textId="2EBA0EAB"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39A0DC06" w14:textId="32D18360"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6B259F6E" w14:textId="2AA9B7C4" w:rsidR="00CC062A" w:rsidRPr="008F2405" w:rsidRDefault="00CC062A" w:rsidP="000A74BA">
            <w:pPr>
              <w:jc w:val="center"/>
              <w:rPr>
                <w:color w:val="000000"/>
                <w:sz w:val="18"/>
                <w:szCs w:val="18"/>
              </w:rPr>
            </w:pPr>
          </w:p>
        </w:tc>
      </w:tr>
      <w:tr w:rsidR="00CC062A" w:rsidRPr="008F2405" w14:paraId="60817985"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58EDD051" w14:textId="4BFBB564" w:rsidR="00CC062A" w:rsidRPr="008F2405" w:rsidRDefault="00CC062A" w:rsidP="000A74BA">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365D9D60" w14:textId="126A9958"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406B3F92" w14:textId="1E897A8B"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6D7299C1" w14:textId="1B2EFB78" w:rsidR="00CC062A" w:rsidRPr="008F2405" w:rsidRDefault="00CC062A" w:rsidP="000A74BA">
            <w:pPr>
              <w:jc w:val="center"/>
              <w:rPr>
                <w:color w:val="000000"/>
                <w:sz w:val="18"/>
                <w:szCs w:val="18"/>
              </w:rPr>
            </w:pPr>
          </w:p>
        </w:tc>
      </w:tr>
      <w:tr w:rsidR="00CC062A" w:rsidRPr="008F2405" w14:paraId="635EB1F6"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621FDF9F" w14:textId="7471DD51" w:rsidR="00CC062A" w:rsidRPr="008F2405" w:rsidRDefault="00CC062A" w:rsidP="000A74BA">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7BD2BDB6" w14:textId="4F446B81"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5EC4DEFC" w14:textId="0EDD101A"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41AB4ABB" w14:textId="51BF7FEC" w:rsidR="00CC062A" w:rsidRPr="008F2405" w:rsidRDefault="00CC062A" w:rsidP="000A74BA">
            <w:pPr>
              <w:jc w:val="center"/>
              <w:rPr>
                <w:color w:val="000000"/>
                <w:sz w:val="18"/>
                <w:szCs w:val="18"/>
              </w:rPr>
            </w:pPr>
          </w:p>
        </w:tc>
      </w:tr>
      <w:tr w:rsidR="00CC062A" w:rsidRPr="008F2405" w14:paraId="40AD9C0D"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42DE15E4" w14:textId="3A9B6FB4" w:rsidR="00CC062A" w:rsidRPr="008F2405" w:rsidRDefault="00CC062A" w:rsidP="000A74BA">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5CFA9867" w14:textId="7819269A"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14B599B0" w14:textId="77EAD675"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15D5A87E" w14:textId="073231BB" w:rsidR="00CC062A" w:rsidRPr="008F2405" w:rsidRDefault="00CC062A" w:rsidP="000A74BA">
            <w:pPr>
              <w:jc w:val="center"/>
              <w:rPr>
                <w:color w:val="000000"/>
                <w:sz w:val="18"/>
                <w:szCs w:val="18"/>
              </w:rPr>
            </w:pPr>
          </w:p>
        </w:tc>
      </w:tr>
      <w:tr w:rsidR="00CC062A" w:rsidRPr="008F2405" w14:paraId="58AD5AC0"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5F4873FD" w14:textId="2BAA83B7" w:rsidR="00CC062A" w:rsidRPr="008F2405" w:rsidRDefault="00CC062A" w:rsidP="000A74BA">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7996A5DF" w14:textId="478BC079"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23664A9C" w14:textId="5763B640"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2648FA0C" w14:textId="27539C5A" w:rsidR="00CC062A" w:rsidRPr="008F2405" w:rsidRDefault="00CC062A" w:rsidP="000A74BA">
            <w:pPr>
              <w:jc w:val="center"/>
              <w:rPr>
                <w:color w:val="000000"/>
                <w:sz w:val="18"/>
                <w:szCs w:val="18"/>
              </w:rPr>
            </w:pPr>
          </w:p>
        </w:tc>
      </w:tr>
      <w:tr w:rsidR="00CC062A" w:rsidRPr="008F2405" w14:paraId="5AE6FA23"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D7F6107" w14:textId="4DA20023" w:rsidR="00CC062A" w:rsidRPr="008F2405" w:rsidRDefault="00CC062A" w:rsidP="000A74BA">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6ABA04E2" w14:textId="5AEC1794"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7D5A4CE8" w14:textId="2E5172F1"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0C455553" w14:textId="05B349CB" w:rsidR="00CC062A" w:rsidRPr="008F2405" w:rsidRDefault="00CC062A" w:rsidP="000A74BA">
            <w:pPr>
              <w:jc w:val="center"/>
              <w:rPr>
                <w:color w:val="000000"/>
                <w:sz w:val="18"/>
                <w:szCs w:val="18"/>
              </w:rPr>
            </w:pPr>
          </w:p>
        </w:tc>
      </w:tr>
      <w:tr w:rsidR="00CC062A" w:rsidRPr="008F2405" w14:paraId="1B22E328"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6A16F843" w14:textId="4A2293BD" w:rsidR="00CC062A" w:rsidRPr="008F2405" w:rsidRDefault="00CC062A" w:rsidP="000A74BA">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0E3F2398" w14:textId="2B8A8CD5"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27453E5C" w14:textId="7D4992AE"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2676157B" w14:textId="0A8D0C1C" w:rsidR="00CC062A" w:rsidRPr="008F2405" w:rsidRDefault="00CC062A" w:rsidP="000A74BA">
            <w:pPr>
              <w:jc w:val="center"/>
              <w:rPr>
                <w:color w:val="000000"/>
                <w:sz w:val="18"/>
                <w:szCs w:val="18"/>
              </w:rPr>
            </w:pPr>
          </w:p>
        </w:tc>
      </w:tr>
      <w:tr w:rsidR="00CC062A" w:rsidRPr="008F2405" w14:paraId="554C5703"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24713659" w14:textId="60163B0D" w:rsidR="00CC062A" w:rsidRPr="008F2405" w:rsidRDefault="00CC062A" w:rsidP="000A74BA">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263EAC61" w14:textId="4FE45A5B"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4D67D9FB" w14:textId="066B3FD6"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24225CBC" w14:textId="5B7CA1FF" w:rsidR="00CC062A" w:rsidRPr="008F2405" w:rsidRDefault="00CC062A" w:rsidP="000A74BA">
            <w:pPr>
              <w:jc w:val="center"/>
              <w:rPr>
                <w:color w:val="000000"/>
                <w:sz w:val="18"/>
                <w:szCs w:val="18"/>
              </w:rPr>
            </w:pPr>
          </w:p>
        </w:tc>
      </w:tr>
      <w:tr w:rsidR="00CC062A" w:rsidRPr="008F2405" w14:paraId="7D69212A"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6CB2E933" w14:textId="575FA8C0" w:rsidR="00CC062A" w:rsidRPr="008F2405" w:rsidRDefault="00CC062A" w:rsidP="000A74BA">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26A944F0" w14:textId="0BD9A3EC"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46C664F5" w14:textId="377243DD"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441BE691" w14:textId="35A258CA" w:rsidR="00CC062A" w:rsidRPr="008F2405" w:rsidRDefault="00CC062A" w:rsidP="000A74BA">
            <w:pPr>
              <w:jc w:val="center"/>
              <w:rPr>
                <w:color w:val="000000"/>
                <w:sz w:val="18"/>
                <w:szCs w:val="18"/>
              </w:rPr>
            </w:pPr>
          </w:p>
        </w:tc>
      </w:tr>
      <w:tr w:rsidR="00CC062A" w:rsidRPr="008F2405" w14:paraId="0F96E4A3"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452A35F4" w14:textId="30351F9D" w:rsidR="00CC062A" w:rsidRPr="008F2405" w:rsidRDefault="00CC062A" w:rsidP="000A74BA">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7F64A87B" w14:textId="010AA8E6"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53A06487" w14:textId="10FE3163"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4B3D73F9" w14:textId="02B94E6E" w:rsidR="00CC062A" w:rsidRPr="008F2405" w:rsidRDefault="00CC062A" w:rsidP="000A74BA">
            <w:pPr>
              <w:jc w:val="center"/>
              <w:rPr>
                <w:color w:val="000000"/>
                <w:sz w:val="18"/>
                <w:szCs w:val="18"/>
              </w:rPr>
            </w:pPr>
          </w:p>
        </w:tc>
      </w:tr>
    </w:tbl>
    <w:p w14:paraId="2ACDF824" w14:textId="77777777" w:rsidR="001D30A0" w:rsidRPr="006A744E" w:rsidRDefault="001D30A0" w:rsidP="006A744E">
      <w:pPr>
        <w:jc w:val="center"/>
        <w:rPr>
          <w:b/>
          <w:sz w:val="12"/>
          <w:szCs w:val="12"/>
        </w:rPr>
      </w:pPr>
    </w:p>
    <w:tbl>
      <w:tblPr>
        <w:tblW w:w="4295" w:type="pct"/>
        <w:jc w:val="center"/>
        <w:tblLayout w:type="fixed"/>
        <w:tblLook w:val="04A0" w:firstRow="1" w:lastRow="0" w:firstColumn="1" w:lastColumn="0" w:noHBand="0" w:noVBand="1"/>
      </w:tblPr>
      <w:tblGrid>
        <w:gridCol w:w="4340"/>
        <w:gridCol w:w="1351"/>
        <w:gridCol w:w="1260"/>
        <w:gridCol w:w="1275"/>
      </w:tblGrid>
      <w:tr w:rsidR="00CC062A" w:rsidRPr="008F2405" w14:paraId="01677E91" w14:textId="77777777" w:rsidTr="00EE61F6">
        <w:trPr>
          <w:trHeight w:val="317"/>
          <w:tblHeader/>
          <w:jc w:val="center"/>
        </w:trPr>
        <w:tc>
          <w:tcPr>
            <w:tcW w:w="2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B53606" w14:textId="77777777" w:rsidR="00CC062A" w:rsidRPr="008F2405" w:rsidRDefault="00CC062A" w:rsidP="001D30A0">
            <w:pPr>
              <w:keepNext/>
              <w:rPr>
                <w:b/>
                <w:color w:val="000000"/>
                <w:sz w:val="18"/>
                <w:szCs w:val="18"/>
              </w:rPr>
            </w:pPr>
            <w:r w:rsidRPr="008F2405">
              <w:rPr>
                <w:b/>
                <w:color w:val="000000"/>
                <w:sz w:val="18"/>
                <w:szCs w:val="18"/>
              </w:rPr>
              <w:t>CDBS</w:t>
            </w:r>
          </w:p>
        </w:tc>
        <w:tc>
          <w:tcPr>
            <w:tcW w:w="82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4E65FD1" w14:textId="77777777" w:rsidR="00CC062A" w:rsidRPr="008F2405" w:rsidRDefault="00CC062A" w:rsidP="001D30A0">
            <w:pPr>
              <w:keepNext/>
              <w:jc w:val="center"/>
              <w:rPr>
                <w:b/>
                <w:color w:val="000000"/>
                <w:sz w:val="18"/>
                <w:szCs w:val="18"/>
              </w:rPr>
            </w:pPr>
            <w:r w:rsidRPr="008F2405">
              <w:rPr>
                <w:b/>
                <w:color w:val="000000"/>
                <w:sz w:val="18"/>
                <w:szCs w:val="18"/>
              </w:rPr>
              <w:t>ISIX Case 1</w:t>
            </w:r>
          </w:p>
        </w:tc>
        <w:tc>
          <w:tcPr>
            <w:tcW w:w="76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F6B463" w14:textId="77777777" w:rsidR="00CC062A" w:rsidRPr="008F2405" w:rsidRDefault="00CC062A" w:rsidP="001D30A0">
            <w:pPr>
              <w:keepNext/>
              <w:jc w:val="center"/>
              <w:rPr>
                <w:b/>
                <w:color w:val="000000"/>
                <w:sz w:val="18"/>
                <w:szCs w:val="18"/>
              </w:rPr>
            </w:pPr>
            <w:r w:rsidRPr="008F2405">
              <w:rPr>
                <w:b/>
                <w:color w:val="000000"/>
                <w:sz w:val="18"/>
                <w:szCs w:val="18"/>
              </w:rPr>
              <w:t>ISIX Case 2</w:t>
            </w:r>
          </w:p>
        </w:tc>
        <w:tc>
          <w:tcPr>
            <w:tcW w:w="7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72FD2D" w14:textId="77777777" w:rsidR="00CC062A" w:rsidRPr="008F2405" w:rsidRDefault="00CC062A" w:rsidP="001D30A0">
            <w:pPr>
              <w:keepNext/>
              <w:jc w:val="center"/>
              <w:rPr>
                <w:b/>
                <w:color w:val="000000"/>
                <w:sz w:val="18"/>
                <w:szCs w:val="18"/>
              </w:rPr>
            </w:pPr>
            <w:r w:rsidRPr="008F2405">
              <w:rPr>
                <w:b/>
                <w:color w:val="000000"/>
                <w:sz w:val="18"/>
                <w:szCs w:val="18"/>
              </w:rPr>
              <w:t>ISIX Case 3</w:t>
            </w:r>
          </w:p>
        </w:tc>
      </w:tr>
      <w:tr w:rsidR="00CC062A" w:rsidRPr="008F2405" w14:paraId="1C0E5BE2"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A6F44A2" w14:textId="1A027811"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19A8F164" w14:textId="6BC4D272"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014155FC" w14:textId="78CA4354"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428C510E" w14:textId="0285E2EF" w:rsidR="00CC062A" w:rsidRPr="008F2405" w:rsidRDefault="00CC062A" w:rsidP="005474ED">
            <w:pPr>
              <w:jc w:val="center"/>
              <w:rPr>
                <w:color w:val="000000"/>
                <w:sz w:val="18"/>
                <w:szCs w:val="18"/>
              </w:rPr>
            </w:pPr>
          </w:p>
        </w:tc>
      </w:tr>
      <w:tr w:rsidR="00CC062A" w:rsidRPr="008F2405" w14:paraId="75C449DE"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6DE7AB37" w14:textId="655F9036"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6BA04D12" w14:textId="1E2C59F6"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7FB9A18C" w14:textId="268403E4"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0F777B5D" w14:textId="31960D48" w:rsidR="00CC062A" w:rsidRPr="008F2405" w:rsidRDefault="00CC062A" w:rsidP="005474ED">
            <w:pPr>
              <w:jc w:val="center"/>
              <w:rPr>
                <w:color w:val="000000"/>
                <w:sz w:val="18"/>
                <w:szCs w:val="18"/>
              </w:rPr>
            </w:pPr>
          </w:p>
        </w:tc>
      </w:tr>
      <w:tr w:rsidR="00CC062A" w:rsidRPr="008F2405" w14:paraId="56EAABEB"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652B480" w14:textId="6488599F"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2DE346E0" w14:textId="5DE31A20"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0322D7F2" w14:textId="6C6E3702"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6AC306D9" w14:textId="5B412B74" w:rsidR="00CC062A" w:rsidRPr="008F2405" w:rsidRDefault="00CC062A" w:rsidP="005474ED">
            <w:pPr>
              <w:jc w:val="center"/>
              <w:rPr>
                <w:color w:val="000000"/>
                <w:sz w:val="18"/>
                <w:szCs w:val="18"/>
              </w:rPr>
            </w:pPr>
          </w:p>
        </w:tc>
      </w:tr>
      <w:tr w:rsidR="00CC062A" w:rsidRPr="008F2405" w14:paraId="3E2BC282"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3D2353C" w14:textId="6E2CF859"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3250F0A0" w14:textId="4E406E29"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662BFBF2" w14:textId="18CEF017"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406D5A3E" w14:textId="55DD69FC" w:rsidR="00CC062A" w:rsidRPr="008F2405" w:rsidRDefault="00CC062A" w:rsidP="005474ED">
            <w:pPr>
              <w:jc w:val="center"/>
              <w:rPr>
                <w:color w:val="000000"/>
                <w:sz w:val="18"/>
                <w:szCs w:val="18"/>
              </w:rPr>
            </w:pPr>
          </w:p>
        </w:tc>
      </w:tr>
      <w:tr w:rsidR="00CC062A" w:rsidRPr="008F2405" w14:paraId="7BB8730B"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2FD1C1BB" w14:textId="2A37DB44"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1D01E7DF" w14:textId="3BE376B3"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6D290DAE" w14:textId="204D974F"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5AFECAD7" w14:textId="5BB262DA" w:rsidR="00CC062A" w:rsidRPr="008F2405" w:rsidRDefault="00CC062A" w:rsidP="005474ED">
            <w:pPr>
              <w:jc w:val="center"/>
              <w:rPr>
                <w:color w:val="000000"/>
                <w:sz w:val="18"/>
                <w:szCs w:val="18"/>
              </w:rPr>
            </w:pPr>
          </w:p>
        </w:tc>
      </w:tr>
      <w:tr w:rsidR="00CC062A" w:rsidRPr="008F2405" w14:paraId="2CD4EB77"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6E225E23" w14:textId="65872507"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37824958" w14:textId="0CA46399"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1C448CB6" w14:textId="198DA732"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0CD6F07F" w14:textId="6A53EEFF" w:rsidR="00CC062A" w:rsidRPr="008F2405" w:rsidRDefault="00CC062A" w:rsidP="005474ED">
            <w:pPr>
              <w:jc w:val="center"/>
              <w:rPr>
                <w:color w:val="000000"/>
                <w:sz w:val="18"/>
                <w:szCs w:val="18"/>
              </w:rPr>
            </w:pPr>
          </w:p>
        </w:tc>
      </w:tr>
      <w:tr w:rsidR="00CC062A" w:rsidRPr="008F2405" w14:paraId="1AB1456F"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F59F7F6" w14:textId="31049191"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398AA05D" w14:textId="175134DB"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1636DD57" w14:textId="21656C7C"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51D60601" w14:textId="4AFF89FE" w:rsidR="00CC062A" w:rsidRPr="008F2405" w:rsidRDefault="00CC062A" w:rsidP="005474ED">
            <w:pPr>
              <w:jc w:val="center"/>
              <w:rPr>
                <w:color w:val="000000"/>
                <w:sz w:val="18"/>
                <w:szCs w:val="18"/>
              </w:rPr>
            </w:pPr>
          </w:p>
        </w:tc>
      </w:tr>
      <w:tr w:rsidR="00CC062A" w:rsidRPr="008F2405" w14:paraId="787EF024"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DC16A79" w14:textId="485DB0E9"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201E71CF" w14:textId="4D58BA1A"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4B00E179" w14:textId="5FE86105"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7BD6BF89" w14:textId="70DED408" w:rsidR="00CC062A" w:rsidRPr="008F2405" w:rsidRDefault="00CC062A" w:rsidP="005474ED">
            <w:pPr>
              <w:jc w:val="center"/>
              <w:rPr>
                <w:color w:val="000000"/>
                <w:sz w:val="18"/>
                <w:szCs w:val="18"/>
              </w:rPr>
            </w:pPr>
          </w:p>
        </w:tc>
      </w:tr>
      <w:tr w:rsidR="00CC062A" w:rsidRPr="008F2405" w14:paraId="1484B246"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8CF7B35" w14:textId="2F79213B"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0AB669E9" w14:textId="54FCA4AE"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1309D854" w14:textId="7B4695A7"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7BBCC955" w14:textId="5DE81DD4" w:rsidR="00CC062A" w:rsidRPr="008F2405" w:rsidRDefault="00CC062A" w:rsidP="005474ED">
            <w:pPr>
              <w:jc w:val="center"/>
              <w:rPr>
                <w:color w:val="000000"/>
                <w:sz w:val="18"/>
                <w:szCs w:val="18"/>
              </w:rPr>
            </w:pPr>
          </w:p>
        </w:tc>
      </w:tr>
      <w:tr w:rsidR="00CC062A" w:rsidRPr="008F2405" w14:paraId="6DC7E92F"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41B7EC97" w14:textId="2CCD3917"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47FC296F" w14:textId="5813F07C"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2FCE533A" w14:textId="0FFDA9AE"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195BB1FD" w14:textId="11632984" w:rsidR="00CC062A" w:rsidRPr="008F2405" w:rsidRDefault="00CC062A" w:rsidP="005474ED">
            <w:pPr>
              <w:jc w:val="center"/>
              <w:rPr>
                <w:color w:val="000000"/>
                <w:sz w:val="18"/>
                <w:szCs w:val="18"/>
              </w:rPr>
            </w:pPr>
          </w:p>
        </w:tc>
      </w:tr>
      <w:tr w:rsidR="00CC062A" w:rsidRPr="008F2405" w14:paraId="420F188F"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2949ABB5" w14:textId="243C745D"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0A4D0D82" w14:textId="3E48CB3C"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490BE408" w14:textId="09A98029"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6837DC66" w14:textId="46A663AF" w:rsidR="00CC062A" w:rsidRPr="008F2405" w:rsidRDefault="00CC062A" w:rsidP="005474ED">
            <w:pPr>
              <w:jc w:val="center"/>
              <w:rPr>
                <w:color w:val="000000"/>
                <w:sz w:val="18"/>
                <w:szCs w:val="18"/>
              </w:rPr>
            </w:pPr>
          </w:p>
        </w:tc>
      </w:tr>
      <w:tr w:rsidR="00CC062A" w:rsidRPr="008F2405" w14:paraId="546D81CF"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582E082E" w14:textId="784B12A7"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78FCAB91" w14:textId="731787F3"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104ED83C" w14:textId="68C77C12"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3BCA2155" w14:textId="47EFB60D" w:rsidR="00CC062A" w:rsidRPr="008F2405" w:rsidRDefault="00CC062A" w:rsidP="005474ED">
            <w:pPr>
              <w:jc w:val="center"/>
              <w:rPr>
                <w:color w:val="000000"/>
                <w:sz w:val="18"/>
                <w:szCs w:val="18"/>
              </w:rPr>
            </w:pPr>
          </w:p>
        </w:tc>
      </w:tr>
      <w:tr w:rsidR="00CC062A" w:rsidRPr="008F2405" w14:paraId="06E05FB6"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819CA6E" w14:textId="5227DFB2"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60778479" w14:textId="5EBD9ABC"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6421FDBB" w14:textId="2AE60DCB"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070FDEBB" w14:textId="56ABE303" w:rsidR="00CC062A" w:rsidRPr="008F2405" w:rsidRDefault="00CC062A" w:rsidP="005474ED">
            <w:pPr>
              <w:jc w:val="center"/>
              <w:rPr>
                <w:color w:val="000000"/>
                <w:sz w:val="18"/>
                <w:szCs w:val="18"/>
              </w:rPr>
            </w:pPr>
          </w:p>
        </w:tc>
      </w:tr>
      <w:tr w:rsidR="00CC062A" w:rsidRPr="008F2405" w14:paraId="251C70D7"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68C4904C" w14:textId="1B30C1C2"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57E0A2E0" w14:textId="3885F6E2"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5FD56176" w14:textId="065D19EA"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1808CFE6" w14:textId="3CB7E95E" w:rsidR="00CC062A" w:rsidRPr="008F2405" w:rsidRDefault="00CC062A" w:rsidP="005474ED">
            <w:pPr>
              <w:jc w:val="center"/>
              <w:rPr>
                <w:color w:val="000000"/>
                <w:sz w:val="18"/>
                <w:szCs w:val="18"/>
              </w:rPr>
            </w:pPr>
          </w:p>
        </w:tc>
      </w:tr>
    </w:tbl>
    <w:p w14:paraId="4F21AA1E" w14:textId="77777777" w:rsidR="005474ED" w:rsidRPr="006A744E" w:rsidRDefault="005474ED" w:rsidP="006A744E">
      <w:pPr>
        <w:jc w:val="center"/>
        <w:rPr>
          <w:b/>
          <w:sz w:val="12"/>
          <w:szCs w:val="12"/>
        </w:rPr>
      </w:pPr>
    </w:p>
    <w:tbl>
      <w:tblPr>
        <w:tblW w:w="4295" w:type="pct"/>
        <w:jc w:val="center"/>
        <w:tblLayout w:type="fixed"/>
        <w:tblLook w:val="04A0" w:firstRow="1" w:lastRow="0" w:firstColumn="1" w:lastColumn="0" w:noHBand="0" w:noVBand="1"/>
      </w:tblPr>
      <w:tblGrid>
        <w:gridCol w:w="4340"/>
        <w:gridCol w:w="1351"/>
        <w:gridCol w:w="1260"/>
        <w:gridCol w:w="1275"/>
      </w:tblGrid>
      <w:tr w:rsidR="00CC062A" w:rsidRPr="008F2405" w14:paraId="3F7F1DCC" w14:textId="77777777" w:rsidTr="00EE61F6">
        <w:trPr>
          <w:trHeight w:val="317"/>
          <w:tblHeader/>
          <w:jc w:val="center"/>
        </w:trPr>
        <w:tc>
          <w:tcPr>
            <w:tcW w:w="2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9881BB6" w14:textId="77777777" w:rsidR="00CC062A" w:rsidRPr="006A744E" w:rsidRDefault="00CC062A" w:rsidP="006A744E">
            <w:pPr>
              <w:keepNext/>
              <w:rPr>
                <w:b/>
                <w:color w:val="000000"/>
                <w:sz w:val="18"/>
                <w:szCs w:val="18"/>
              </w:rPr>
            </w:pPr>
            <w:r w:rsidRPr="006A744E">
              <w:rPr>
                <w:b/>
                <w:color w:val="000000"/>
                <w:sz w:val="18"/>
                <w:szCs w:val="18"/>
              </w:rPr>
              <w:t>Patterns</w:t>
            </w:r>
          </w:p>
        </w:tc>
        <w:tc>
          <w:tcPr>
            <w:tcW w:w="82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9BF4A6" w14:textId="77777777" w:rsidR="00CC062A" w:rsidRPr="008F2405" w:rsidRDefault="00CC062A" w:rsidP="006A744E">
            <w:pPr>
              <w:keepNext/>
              <w:jc w:val="center"/>
              <w:rPr>
                <w:color w:val="000000"/>
                <w:sz w:val="18"/>
                <w:szCs w:val="18"/>
              </w:rPr>
            </w:pPr>
            <w:r w:rsidRPr="008F2405">
              <w:rPr>
                <w:b/>
                <w:color w:val="000000"/>
                <w:sz w:val="18"/>
                <w:szCs w:val="18"/>
              </w:rPr>
              <w:t>ISIX Case 1</w:t>
            </w:r>
          </w:p>
        </w:tc>
        <w:tc>
          <w:tcPr>
            <w:tcW w:w="76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0574D8" w14:textId="77777777" w:rsidR="00CC062A" w:rsidRPr="008F2405" w:rsidRDefault="00CC062A" w:rsidP="006A744E">
            <w:pPr>
              <w:keepNext/>
              <w:jc w:val="center"/>
              <w:rPr>
                <w:color w:val="000000"/>
                <w:sz w:val="18"/>
                <w:szCs w:val="18"/>
              </w:rPr>
            </w:pPr>
            <w:r w:rsidRPr="008F2405">
              <w:rPr>
                <w:b/>
                <w:color w:val="000000"/>
                <w:sz w:val="18"/>
                <w:szCs w:val="18"/>
              </w:rPr>
              <w:t>ISIX Case 2</w:t>
            </w:r>
          </w:p>
        </w:tc>
        <w:tc>
          <w:tcPr>
            <w:tcW w:w="7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B607BED" w14:textId="77777777" w:rsidR="00CC062A" w:rsidRPr="008F2405" w:rsidRDefault="00CC062A" w:rsidP="006A744E">
            <w:pPr>
              <w:keepNext/>
              <w:jc w:val="center"/>
              <w:rPr>
                <w:color w:val="000000"/>
                <w:sz w:val="18"/>
                <w:szCs w:val="18"/>
              </w:rPr>
            </w:pPr>
            <w:r w:rsidRPr="008F2405">
              <w:rPr>
                <w:b/>
                <w:color w:val="000000"/>
                <w:sz w:val="18"/>
                <w:szCs w:val="18"/>
              </w:rPr>
              <w:t>ISIX Case 3</w:t>
            </w:r>
          </w:p>
        </w:tc>
      </w:tr>
      <w:tr w:rsidR="00CC062A" w:rsidRPr="008F2405" w14:paraId="507BFD24"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AA6E7C4" w14:textId="7680A04C"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4015F6B6" w14:textId="3F928C0E"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25A679E9" w14:textId="7413C615"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7E9FB8A8" w14:textId="35A2FB08" w:rsidR="00CC062A" w:rsidRPr="008F2405" w:rsidRDefault="00CC062A" w:rsidP="005474ED">
            <w:pPr>
              <w:jc w:val="center"/>
              <w:rPr>
                <w:color w:val="000000"/>
                <w:sz w:val="18"/>
                <w:szCs w:val="18"/>
              </w:rPr>
            </w:pPr>
          </w:p>
        </w:tc>
      </w:tr>
      <w:tr w:rsidR="00CC062A" w:rsidRPr="008F2405" w14:paraId="3A497B07"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FAB2E83" w14:textId="48852EDB"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252428AA" w14:textId="3863764E"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7738C9C3" w14:textId="5ABE53A5"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58A12D08" w14:textId="529BBB74" w:rsidR="00CC062A" w:rsidRPr="008F2405" w:rsidRDefault="00CC062A" w:rsidP="005474ED">
            <w:pPr>
              <w:jc w:val="center"/>
              <w:rPr>
                <w:color w:val="000000"/>
                <w:sz w:val="18"/>
                <w:szCs w:val="18"/>
              </w:rPr>
            </w:pPr>
          </w:p>
        </w:tc>
      </w:tr>
      <w:tr w:rsidR="00CC062A" w:rsidRPr="008F2405" w14:paraId="324BA442"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0017D55" w14:textId="3B733B2A"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4431EBC9" w14:textId="4EB194EC"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4A2F69EA" w14:textId="0DAAF356"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17FF256E" w14:textId="7245D64C" w:rsidR="00CC062A" w:rsidRPr="008F2405" w:rsidRDefault="00CC062A" w:rsidP="005474ED">
            <w:pPr>
              <w:jc w:val="center"/>
              <w:rPr>
                <w:color w:val="000000"/>
                <w:sz w:val="18"/>
                <w:szCs w:val="18"/>
              </w:rPr>
            </w:pPr>
          </w:p>
        </w:tc>
      </w:tr>
      <w:tr w:rsidR="00CC062A" w:rsidRPr="008F2405" w14:paraId="5FB110EB"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AE953C4" w14:textId="7C3B1A51"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043F4D3D" w14:textId="026D873F"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0B82D822" w14:textId="3EEA2C11"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35AA41F4" w14:textId="38A95A27" w:rsidR="00CC062A" w:rsidRPr="008F2405" w:rsidRDefault="00CC062A" w:rsidP="005474ED">
            <w:pPr>
              <w:jc w:val="center"/>
              <w:rPr>
                <w:color w:val="000000"/>
                <w:sz w:val="18"/>
                <w:szCs w:val="18"/>
              </w:rPr>
            </w:pPr>
          </w:p>
        </w:tc>
      </w:tr>
      <w:tr w:rsidR="00CC062A" w:rsidRPr="008F2405" w14:paraId="68B2E3D4"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26E2FB10" w14:textId="53F449B5"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6CC659AB" w14:textId="5DBC7FCA"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106AF28E" w14:textId="237F5CD3"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71E7E7C2" w14:textId="6818C877" w:rsidR="00CC062A" w:rsidRPr="008F2405" w:rsidRDefault="00CC062A" w:rsidP="005474ED">
            <w:pPr>
              <w:jc w:val="center"/>
              <w:rPr>
                <w:color w:val="000000"/>
                <w:sz w:val="18"/>
                <w:szCs w:val="18"/>
              </w:rPr>
            </w:pPr>
          </w:p>
        </w:tc>
      </w:tr>
      <w:tr w:rsidR="00CC062A" w:rsidRPr="008F2405" w14:paraId="53121B1B"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1DB1AA7" w14:textId="19CF77D1"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3D9A3BF4" w14:textId="473446B2"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60FADDD3" w14:textId="3B88F63A"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131CCDDC" w14:textId="105AE790" w:rsidR="00CC062A" w:rsidRPr="008F2405" w:rsidRDefault="00CC062A" w:rsidP="005474ED">
            <w:pPr>
              <w:jc w:val="center"/>
              <w:rPr>
                <w:color w:val="000000"/>
                <w:sz w:val="18"/>
                <w:szCs w:val="18"/>
              </w:rPr>
            </w:pPr>
          </w:p>
        </w:tc>
      </w:tr>
      <w:tr w:rsidR="00CC062A" w:rsidRPr="008F2405" w14:paraId="17F490EE"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8A6BEC3" w14:textId="0A7246A6"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2FF12485" w14:textId="5D0CFEC8"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5112C886" w14:textId="56972C80"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58A39E16" w14:textId="00930F48" w:rsidR="00CC062A" w:rsidRPr="008F2405" w:rsidRDefault="00CC062A" w:rsidP="005474ED">
            <w:pPr>
              <w:jc w:val="center"/>
              <w:rPr>
                <w:color w:val="000000"/>
                <w:sz w:val="18"/>
                <w:szCs w:val="18"/>
              </w:rPr>
            </w:pPr>
          </w:p>
        </w:tc>
      </w:tr>
      <w:tr w:rsidR="00CC062A" w:rsidRPr="006F6FE7" w14:paraId="7C619AE8"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C68B342" w14:textId="77777777" w:rsidR="00CC062A" w:rsidRPr="006F6FE7" w:rsidRDefault="00CC062A" w:rsidP="005474ED">
            <w:pPr>
              <w:jc w:val="right"/>
              <w:rPr>
                <w:sz w:val="18"/>
                <w:szCs w:val="18"/>
              </w:rPr>
            </w:pPr>
            <w:r w:rsidRPr="006F6FE7">
              <w:rPr>
                <w:sz w:val="18"/>
                <w:szCs w:val="18"/>
              </w:rPr>
              <w:t>Digital receive antenna f/b, UHF</w:t>
            </w:r>
          </w:p>
        </w:tc>
        <w:tc>
          <w:tcPr>
            <w:tcW w:w="821" w:type="pct"/>
            <w:tcBorders>
              <w:top w:val="nil"/>
              <w:left w:val="nil"/>
              <w:bottom w:val="single" w:sz="4" w:space="0" w:color="auto"/>
              <w:right w:val="single" w:sz="4" w:space="0" w:color="auto"/>
            </w:tcBorders>
            <w:shd w:val="clear" w:color="000000" w:fill="FFFFFF"/>
            <w:noWrap/>
            <w:vAlign w:val="center"/>
            <w:hideMark/>
          </w:tcPr>
          <w:p w14:paraId="77B1B8AD" w14:textId="77777777" w:rsidR="00CC062A" w:rsidRPr="00EE61F6" w:rsidRDefault="00CC062A" w:rsidP="005474ED">
            <w:pPr>
              <w:jc w:val="center"/>
              <w:rPr>
                <w:sz w:val="18"/>
                <w:szCs w:val="18"/>
              </w:rPr>
            </w:pPr>
            <w:r w:rsidRPr="00EE61F6">
              <w:rPr>
                <w:sz w:val="18"/>
                <w:szCs w:val="18"/>
              </w:rPr>
              <w:t>0</w:t>
            </w:r>
          </w:p>
        </w:tc>
        <w:tc>
          <w:tcPr>
            <w:tcW w:w="766" w:type="pct"/>
            <w:tcBorders>
              <w:top w:val="nil"/>
              <w:left w:val="nil"/>
              <w:bottom w:val="single" w:sz="4" w:space="0" w:color="auto"/>
              <w:right w:val="single" w:sz="4" w:space="0" w:color="auto"/>
            </w:tcBorders>
            <w:shd w:val="clear" w:color="000000" w:fill="FFFFFF"/>
            <w:noWrap/>
            <w:vAlign w:val="center"/>
            <w:hideMark/>
          </w:tcPr>
          <w:p w14:paraId="7806AC8C" w14:textId="77777777" w:rsidR="00CC062A" w:rsidRPr="00EE61F6" w:rsidRDefault="00CC062A" w:rsidP="005474ED">
            <w:pPr>
              <w:jc w:val="center"/>
              <w:rPr>
                <w:sz w:val="18"/>
                <w:szCs w:val="18"/>
              </w:rPr>
            </w:pPr>
            <w:r w:rsidRPr="00EE61F6">
              <w:rPr>
                <w:sz w:val="18"/>
                <w:szCs w:val="18"/>
              </w:rPr>
              <w:t>0</w:t>
            </w:r>
          </w:p>
        </w:tc>
        <w:tc>
          <w:tcPr>
            <w:tcW w:w="776" w:type="pct"/>
            <w:tcBorders>
              <w:top w:val="nil"/>
              <w:left w:val="nil"/>
              <w:bottom w:val="single" w:sz="4" w:space="0" w:color="auto"/>
              <w:right w:val="single" w:sz="4" w:space="0" w:color="auto"/>
            </w:tcBorders>
            <w:shd w:val="clear" w:color="000000" w:fill="FFFFFF"/>
            <w:noWrap/>
            <w:vAlign w:val="center"/>
            <w:hideMark/>
          </w:tcPr>
          <w:p w14:paraId="33165FAF" w14:textId="77777777" w:rsidR="00CC062A" w:rsidRPr="006F6FE7" w:rsidRDefault="00CC062A" w:rsidP="005474ED">
            <w:pPr>
              <w:jc w:val="center"/>
              <w:rPr>
                <w:sz w:val="18"/>
                <w:szCs w:val="18"/>
              </w:rPr>
            </w:pPr>
            <w:r w:rsidRPr="006F6FE7">
              <w:rPr>
                <w:sz w:val="18"/>
                <w:szCs w:val="18"/>
              </w:rPr>
              <w:t>14</w:t>
            </w:r>
          </w:p>
        </w:tc>
      </w:tr>
      <w:tr w:rsidR="00CC062A" w:rsidRPr="006F6FE7" w14:paraId="52C65BEE"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4780AA6C" w14:textId="77777777" w:rsidR="00CC062A" w:rsidRPr="006F6FE7" w:rsidRDefault="00CC062A" w:rsidP="005474ED">
            <w:pPr>
              <w:jc w:val="right"/>
              <w:rPr>
                <w:sz w:val="18"/>
                <w:szCs w:val="18"/>
              </w:rPr>
            </w:pPr>
            <w:r w:rsidRPr="006F6FE7">
              <w:rPr>
                <w:sz w:val="18"/>
                <w:szCs w:val="18"/>
              </w:rPr>
              <w:t>Analog receive antenna f/b, VHF low</w:t>
            </w:r>
          </w:p>
        </w:tc>
        <w:tc>
          <w:tcPr>
            <w:tcW w:w="821" w:type="pct"/>
            <w:tcBorders>
              <w:top w:val="nil"/>
              <w:left w:val="nil"/>
              <w:bottom w:val="single" w:sz="4" w:space="0" w:color="auto"/>
              <w:right w:val="single" w:sz="4" w:space="0" w:color="auto"/>
            </w:tcBorders>
            <w:shd w:val="clear" w:color="000000" w:fill="FFFFFF"/>
            <w:noWrap/>
            <w:vAlign w:val="center"/>
            <w:hideMark/>
          </w:tcPr>
          <w:p w14:paraId="2E16B9B1" w14:textId="77777777" w:rsidR="00CC062A" w:rsidRPr="006F6FE7" w:rsidRDefault="00CC062A" w:rsidP="005474ED">
            <w:pPr>
              <w:jc w:val="center"/>
              <w:rPr>
                <w:sz w:val="18"/>
                <w:szCs w:val="18"/>
              </w:rPr>
            </w:pPr>
            <w:r w:rsidRPr="006F6FE7">
              <w:rPr>
                <w:sz w:val="18"/>
                <w:szCs w:val="18"/>
              </w:rPr>
              <w:t>6</w:t>
            </w:r>
          </w:p>
        </w:tc>
        <w:tc>
          <w:tcPr>
            <w:tcW w:w="766" w:type="pct"/>
            <w:tcBorders>
              <w:top w:val="nil"/>
              <w:left w:val="nil"/>
              <w:bottom w:val="single" w:sz="4" w:space="0" w:color="auto"/>
              <w:right w:val="single" w:sz="4" w:space="0" w:color="auto"/>
            </w:tcBorders>
            <w:shd w:val="clear" w:color="000000" w:fill="FFFFFF"/>
            <w:noWrap/>
            <w:vAlign w:val="center"/>
            <w:hideMark/>
          </w:tcPr>
          <w:p w14:paraId="38DE8794" w14:textId="77777777" w:rsidR="00CC062A" w:rsidRPr="006F6FE7" w:rsidRDefault="00CC062A" w:rsidP="005474ED">
            <w:pPr>
              <w:jc w:val="center"/>
              <w:rPr>
                <w:sz w:val="18"/>
                <w:szCs w:val="18"/>
              </w:rPr>
            </w:pPr>
            <w:r w:rsidRPr="006F6FE7">
              <w:rPr>
                <w:sz w:val="18"/>
                <w:szCs w:val="18"/>
              </w:rPr>
              <w:t>6</w:t>
            </w:r>
          </w:p>
        </w:tc>
        <w:tc>
          <w:tcPr>
            <w:tcW w:w="776" w:type="pct"/>
            <w:tcBorders>
              <w:top w:val="nil"/>
              <w:left w:val="nil"/>
              <w:bottom w:val="single" w:sz="4" w:space="0" w:color="auto"/>
              <w:right w:val="single" w:sz="4" w:space="0" w:color="auto"/>
            </w:tcBorders>
            <w:shd w:val="clear" w:color="000000" w:fill="FFFFFF"/>
            <w:noWrap/>
            <w:vAlign w:val="center"/>
            <w:hideMark/>
          </w:tcPr>
          <w:p w14:paraId="4C040F28" w14:textId="77777777" w:rsidR="00CC062A" w:rsidRPr="006F6FE7" w:rsidRDefault="00CC062A" w:rsidP="005474ED">
            <w:pPr>
              <w:jc w:val="center"/>
              <w:rPr>
                <w:sz w:val="18"/>
                <w:szCs w:val="18"/>
              </w:rPr>
            </w:pPr>
            <w:r w:rsidRPr="006F6FE7">
              <w:rPr>
                <w:sz w:val="18"/>
                <w:szCs w:val="18"/>
              </w:rPr>
              <w:t>6</w:t>
            </w:r>
          </w:p>
        </w:tc>
      </w:tr>
      <w:tr w:rsidR="00CC062A" w:rsidRPr="006F6FE7" w14:paraId="78235947"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EC1909B" w14:textId="77777777" w:rsidR="00CC062A" w:rsidRPr="006F6FE7" w:rsidRDefault="00CC062A" w:rsidP="005474ED">
            <w:pPr>
              <w:jc w:val="right"/>
              <w:rPr>
                <w:sz w:val="18"/>
                <w:szCs w:val="18"/>
              </w:rPr>
            </w:pPr>
            <w:r w:rsidRPr="006F6FE7">
              <w:rPr>
                <w:sz w:val="18"/>
                <w:szCs w:val="18"/>
              </w:rPr>
              <w:t>Analog receive antenna f/b, VHF high</w:t>
            </w:r>
          </w:p>
        </w:tc>
        <w:tc>
          <w:tcPr>
            <w:tcW w:w="821" w:type="pct"/>
            <w:tcBorders>
              <w:top w:val="nil"/>
              <w:left w:val="nil"/>
              <w:bottom w:val="single" w:sz="4" w:space="0" w:color="auto"/>
              <w:right w:val="single" w:sz="4" w:space="0" w:color="auto"/>
            </w:tcBorders>
            <w:shd w:val="clear" w:color="000000" w:fill="FFFFFF"/>
            <w:noWrap/>
            <w:vAlign w:val="center"/>
            <w:hideMark/>
          </w:tcPr>
          <w:p w14:paraId="02D5474E" w14:textId="77777777" w:rsidR="00CC062A" w:rsidRPr="006F6FE7" w:rsidRDefault="00CC062A" w:rsidP="005474ED">
            <w:pPr>
              <w:jc w:val="center"/>
              <w:rPr>
                <w:sz w:val="18"/>
                <w:szCs w:val="18"/>
              </w:rPr>
            </w:pPr>
            <w:r w:rsidRPr="006F6FE7">
              <w:rPr>
                <w:sz w:val="18"/>
                <w:szCs w:val="18"/>
              </w:rPr>
              <w:t>6</w:t>
            </w:r>
          </w:p>
        </w:tc>
        <w:tc>
          <w:tcPr>
            <w:tcW w:w="766" w:type="pct"/>
            <w:tcBorders>
              <w:top w:val="nil"/>
              <w:left w:val="nil"/>
              <w:bottom w:val="single" w:sz="4" w:space="0" w:color="auto"/>
              <w:right w:val="single" w:sz="4" w:space="0" w:color="auto"/>
            </w:tcBorders>
            <w:shd w:val="clear" w:color="000000" w:fill="FFFFFF"/>
            <w:noWrap/>
            <w:vAlign w:val="center"/>
            <w:hideMark/>
          </w:tcPr>
          <w:p w14:paraId="4B1D2944" w14:textId="77777777" w:rsidR="00CC062A" w:rsidRPr="006F6FE7" w:rsidRDefault="00CC062A" w:rsidP="005474ED">
            <w:pPr>
              <w:jc w:val="center"/>
              <w:rPr>
                <w:sz w:val="18"/>
                <w:szCs w:val="18"/>
              </w:rPr>
            </w:pPr>
            <w:r w:rsidRPr="006F6FE7">
              <w:rPr>
                <w:sz w:val="18"/>
                <w:szCs w:val="18"/>
              </w:rPr>
              <w:t>6</w:t>
            </w:r>
          </w:p>
        </w:tc>
        <w:tc>
          <w:tcPr>
            <w:tcW w:w="776" w:type="pct"/>
            <w:tcBorders>
              <w:top w:val="nil"/>
              <w:left w:val="nil"/>
              <w:bottom w:val="single" w:sz="4" w:space="0" w:color="auto"/>
              <w:right w:val="single" w:sz="4" w:space="0" w:color="auto"/>
            </w:tcBorders>
            <w:shd w:val="clear" w:color="000000" w:fill="FFFFFF"/>
            <w:noWrap/>
            <w:vAlign w:val="center"/>
            <w:hideMark/>
          </w:tcPr>
          <w:p w14:paraId="38C4FCCF" w14:textId="77777777" w:rsidR="00CC062A" w:rsidRPr="006F6FE7" w:rsidRDefault="00CC062A" w:rsidP="005474ED">
            <w:pPr>
              <w:jc w:val="center"/>
              <w:rPr>
                <w:sz w:val="18"/>
                <w:szCs w:val="18"/>
              </w:rPr>
            </w:pPr>
            <w:r w:rsidRPr="006F6FE7">
              <w:rPr>
                <w:sz w:val="18"/>
                <w:szCs w:val="18"/>
              </w:rPr>
              <w:t>6</w:t>
            </w:r>
          </w:p>
        </w:tc>
      </w:tr>
      <w:tr w:rsidR="00CC062A" w:rsidRPr="006F6FE7" w14:paraId="4E742E87"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F24EEF4" w14:textId="77777777" w:rsidR="00CC062A" w:rsidRPr="006F6FE7" w:rsidRDefault="00CC062A" w:rsidP="005474ED">
            <w:pPr>
              <w:jc w:val="right"/>
              <w:rPr>
                <w:sz w:val="18"/>
                <w:szCs w:val="18"/>
              </w:rPr>
            </w:pPr>
            <w:r w:rsidRPr="006F6FE7">
              <w:rPr>
                <w:sz w:val="18"/>
                <w:szCs w:val="18"/>
              </w:rPr>
              <w:t>Analog receive antenna f/b, UHF</w:t>
            </w:r>
          </w:p>
        </w:tc>
        <w:tc>
          <w:tcPr>
            <w:tcW w:w="821" w:type="pct"/>
            <w:tcBorders>
              <w:top w:val="nil"/>
              <w:left w:val="nil"/>
              <w:bottom w:val="single" w:sz="4" w:space="0" w:color="auto"/>
              <w:right w:val="single" w:sz="4" w:space="0" w:color="auto"/>
            </w:tcBorders>
            <w:shd w:val="clear" w:color="000000" w:fill="FFFFFF"/>
            <w:noWrap/>
            <w:vAlign w:val="center"/>
            <w:hideMark/>
          </w:tcPr>
          <w:p w14:paraId="46EFF1B7" w14:textId="77777777" w:rsidR="00CC062A" w:rsidRPr="00EE61F6" w:rsidRDefault="00CC062A" w:rsidP="005474ED">
            <w:pPr>
              <w:jc w:val="center"/>
              <w:rPr>
                <w:sz w:val="18"/>
                <w:szCs w:val="18"/>
              </w:rPr>
            </w:pPr>
            <w:r w:rsidRPr="00EE61F6">
              <w:rPr>
                <w:sz w:val="18"/>
                <w:szCs w:val="18"/>
              </w:rPr>
              <w:t>0</w:t>
            </w:r>
          </w:p>
        </w:tc>
        <w:tc>
          <w:tcPr>
            <w:tcW w:w="766" w:type="pct"/>
            <w:tcBorders>
              <w:top w:val="nil"/>
              <w:left w:val="nil"/>
              <w:bottom w:val="single" w:sz="4" w:space="0" w:color="auto"/>
              <w:right w:val="single" w:sz="4" w:space="0" w:color="auto"/>
            </w:tcBorders>
            <w:shd w:val="clear" w:color="000000" w:fill="FFFFFF"/>
            <w:noWrap/>
            <w:vAlign w:val="center"/>
            <w:hideMark/>
          </w:tcPr>
          <w:p w14:paraId="7E18C2AF" w14:textId="77777777" w:rsidR="00CC062A" w:rsidRPr="00EE61F6" w:rsidRDefault="00CC062A" w:rsidP="005474ED">
            <w:pPr>
              <w:jc w:val="center"/>
              <w:rPr>
                <w:sz w:val="18"/>
                <w:szCs w:val="18"/>
              </w:rPr>
            </w:pPr>
            <w:r w:rsidRPr="00EE61F6">
              <w:rPr>
                <w:sz w:val="18"/>
                <w:szCs w:val="18"/>
              </w:rPr>
              <w:t>0</w:t>
            </w:r>
          </w:p>
        </w:tc>
        <w:tc>
          <w:tcPr>
            <w:tcW w:w="776" w:type="pct"/>
            <w:tcBorders>
              <w:top w:val="nil"/>
              <w:left w:val="nil"/>
              <w:bottom w:val="single" w:sz="4" w:space="0" w:color="auto"/>
              <w:right w:val="single" w:sz="4" w:space="0" w:color="auto"/>
            </w:tcBorders>
            <w:shd w:val="clear" w:color="000000" w:fill="FFFFFF"/>
            <w:noWrap/>
            <w:vAlign w:val="center"/>
            <w:hideMark/>
          </w:tcPr>
          <w:p w14:paraId="16F19F2D" w14:textId="77777777" w:rsidR="00CC062A" w:rsidRPr="00CC062A" w:rsidRDefault="00CC062A" w:rsidP="005474ED">
            <w:pPr>
              <w:jc w:val="center"/>
              <w:rPr>
                <w:sz w:val="18"/>
                <w:szCs w:val="18"/>
              </w:rPr>
            </w:pPr>
            <w:r w:rsidRPr="00CC062A">
              <w:rPr>
                <w:sz w:val="18"/>
                <w:szCs w:val="18"/>
              </w:rPr>
              <w:t>6</w:t>
            </w:r>
          </w:p>
        </w:tc>
      </w:tr>
    </w:tbl>
    <w:p w14:paraId="5A29DF30" w14:textId="77777777" w:rsidR="005474ED" w:rsidRPr="006A744E" w:rsidRDefault="005474ED" w:rsidP="006A744E">
      <w:pPr>
        <w:jc w:val="center"/>
        <w:rPr>
          <w:b/>
          <w:sz w:val="12"/>
          <w:szCs w:val="12"/>
        </w:rPr>
      </w:pPr>
    </w:p>
    <w:tbl>
      <w:tblPr>
        <w:tblW w:w="4295" w:type="pct"/>
        <w:jc w:val="center"/>
        <w:tblLayout w:type="fixed"/>
        <w:tblLook w:val="04A0" w:firstRow="1" w:lastRow="0" w:firstColumn="1" w:lastColumn="0" w:noHBand="0" w:noVBand="1"/>
      </w:tblPr>
      <w:tblGrid>
        <w:gridCol w:w="4340"/>
        <w:gridCol w:w="1351"/>
        <w:gridCol w:w="1260"/>
        <w:gridCol w:w="1275"/>
      </w:tblGrid>
      <w:tr w:rsidR="00CC062A" w:rsidRPr="008F2405" w14:paraId="72E79F60" w14:textId="77777777" w:rsidTr="00EE61F6">
        <w:trPr>
          <w:trHeight w:val="317"/>
          <w:tblHeader/>
          <w:jc w:val="center"/>
        </w:trPr>
        <w:tc>
          <w:tcPr>
            <w:tcW w:w="2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3640EBB" w14:textId="77777777" w:rsidR="00CC062A" w:rsidRPr="008F2405" w:rsidRDefault="00CC062A" w:rsidP="006A744E">
            <w:pPr>
              <w:keepNext/>
              <w:rPr>
                <w:b/>
                <w:color w:val="000000"/>
                <w:sz w:val="18"/>
                <w:szCs w:val="18"/>
              </w:rPr>
            </w:pPr>
            <w:r w:rsidRPr="008F2405">
              <w:rPr>
                <w:b/>
                <w:color w:val="000000"/>
                <w:sz w:val="18"/>
                <w:szCs w:val="18"/>
              </w:rPr>
              <w:t>Contours</w:t>
            </w:r>
          </w:p>
        </w:tc>
        <w:tc>
          <w:tcPr>
            <w:tcW w:w="82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95CAB1" w14:textId="77777777" w:rsidR="00CC062A" w:rsidRPr="008F2405" w:rsidRDefault="00CC062A" w:rsidP="006A744E">
            <w:pPr>
              <w:keepNext/>
              <w:jc w:val="center"/>
              <w:rPr>
                <w:b/>
                <w:color w:val="000000"/>
                <w:sz w:val="18"/>
                <w:szCs w:val="18"/>
              </w:rPr>
            </w:pPr>
            <w:r w:rsidRPr="008F2405">
              <w:rPr>
                <w:b/>
                <w:color w:val="000000"/>
                <w:sz w:val="18"/>
                <w:szCs w:val="18"/>
              </w:rPr>
              <w:t>ISIX Case 1</w:t>
            </w:r>
          </w:p>
        </w:tc>
        <w:tc>
          <w:tcPr>
            <w:tcW w:w="76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D8DA8F8" w14:textId="77777777" w:rsidR="00CC062A" w:rsidRPr="008F2405" w:rsidRDefault="00CC062A" w:rsidP="006A744E">
            <w:pPr>
              <w:keepNext/>
              <w:jc w:val="center"/>
              <w:rPr>
                <w:b/>
                <w:color w:val="000000"/>
                <w:sz w:val="18"/>
                <w:szCs w:val="18"/>
              </w:rPr>
            </w:pPr>
            <w:r w:rsidRPr="008F2405">
              <w:rPr>
                <w:b/>
                <w:color w:val="000000"/>
                <w:sz w:val="18"/>
                <w:szCs w:val="18"/>
              </w:rPr>
              <w:t>ISIX Case 2</w:t>
            </w:r>
          </w:p>
        </w:tc>
        <w:tc>
          <w:tcPr>
            <w:tcW w:w="7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97DC35" w14:textId="77777777" w:rsidR="00CC062A" w:rsidRPr="008F2405" w:rsidRDefault="00CC062A" w:rsidP="006A744E">
            <w:pPr>
              <w:keepNext/>
              <w:jc w:val="center"/>
              <w:rPr>
                <w:b/>
                <w:color w:val="000000"/>
                <w:sz w:val="18"/>
                <w:szCs w:val="18"/>
              </w:rPr>
            </w:pPr>
            <w:r w:rsidRPr="008F2405">
              <w:rPr>
                <w:b/>
                <w:color w:val="000000"/>
                <w:sz w:val="18"/>
                <w:szCs w:val="18"/>
              </w:rPr>
              <w:t>ISIX Case 3</w:t>
            </w:r>
          </w:p>
        </w:tc>
      </w:tr>
      <w:tr w:rsidR="00CC062A" w:rsidRPr="008F2405" w14:paraId="31DE8670"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ADA1E53" w14:textId="24BDFC66"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5CCA1C5C" w14:textId="27889439"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50AED6D4" w14:textId="3DAB1268"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5E7461F3" w14:textId="66EDEABF" w:rsidR="00CC062A" w:rsidRPr="008F2405" w:rsidRDefault="00CC062A" w:rsidP="005474ED">
            <w:pPr>
              <w:jc w:val="center"/>
              <w:rPr>
                <w:color w:val="000000"/>
                <w:sz w:val="18"/>
                <w:szCs w:val="18"/>
              </w:rPr>
            </w:pPr>
          </w:p>
        </w:tc>
      </w:tr>
      <w:tr w:rsidR="00CC062A" w:rsidRPr="008F2405" w14:paraId="63EC1422"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40D84463" w14:textId="50538424"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43C471AA" w14:textId="2F01425B"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62496F95" w14:textId="5E5B5866"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364A8564" w14:textId="715B3BDC" w:rsidR="00CC062A" w:rsidRPr="008F2405" w:rsidRDefault="00CC062A" w:rsidP="005474ED">
            <w:pPr>
              <w:jc w:val="center"/>
              <w:rPr>
                <w:color w:val="000000"/>
                <w:sz w:val="18"/>
                <w:szCs w:val="18"/>
              </w:rPr>
            </w:pPr>
          </w:p>
        </w:tc>
      </w:tr>
      <w:tr w:rsidR="00CC062A" w:rsidRPr="008F2405" w14:paraId="6EC9D377"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2CD4F24" w14:textId="54145BF5"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4961FC68" w14:textId="2C18BB91"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4F1D0403" w14:textId="4BE0834A"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272FC5F3" w14:textId="7F199102" w:rsidR="00CC062A" w:rsidRPr="008F2405" w:rsidRDefault="00CC062A" w:rsidP="005474ED">
            <w:pPr>
              <w:jc w:val="center"/>
              <w:rPr>
                <w:color w:val="000000"/>
                <w:sz w:val="18"/>
                <w:szCs w:val="18"/>
              </w:rPr>
            </w:pPr>
          </w:p>
        </w:tc>
      </w:tr>
      <w:tr w:rsidR="00CC062A" w:rsidRPr="006F6FE7" w14:paraId="665849A7"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4FC2746A" w14:textId="77777777" w:rsidR="00CC062A" w:rsidRPr="006F6FE7" w:rsidRDefault="00CC062A" w:rsidP="005474ED">
            <w:pPr>
              <w:jc w:val="right"/>
              <w:rPr>
                <w:sz w:val="18"/>
                <w:szCs w:val="18"/>
              </w:rPr>
            </w:pPr>
            <w:r w:rsidRPr="006F6FE7">
              <w:rPr>
                <w:sz w:val="18"/>
                <w:szCs w:val="18"/>
              </w:rPr>
              <w:t>Digital full-service contour, UHF</w:t>
            </w:r>
          </w:p>
        </w:tc>
        <w:tc>
          <w:tcPr>
            <w:tcW w:w="821" w:type="pct"/>
            <w:tcBorders>
              <w:top w:val="nil"/>
              <w:left w:val="nil"/>
              <w:bottom w:val="single" w:sz="4" w:space="0" w:color="auto"/>
              <w:right w:val="single" w:sz="4" w:space="0" w:color="auto"/>
            </w:tcBorders>
            <w:shd w:val="clear" w:color="000000" w:fill="FFFFFF"/>
            <w:noWrap/>
            <w:vAlign w:val="center"/>
            <w:hideMark/>
          </w:tcPr>
          <w:p w14:paraId="71F8EDD5" w14:textId="77777777" w:rsidR="00CC062A" w:rsidRPr="006F6FE7" w:rsidRDefault="00CC062A" w:rsidP="005474ED">
            <w:pPr>
              <w:jc w:val="center"/>
              <w:rPr>
                <w:b/>
                <w:sz w:val="18"/>
                <w:szCs w:val="18"/>
              </w:rPr>
            </w:pPr>
            <w:r w:rsidRPr="006F6FE7">
              <w:rPr>
                <w:b/>
                <w:sz w:val="18"/>
                <w:szCs w:val="18"/>
              </w:rPr>
              <w:t>0</w:t>
            </w:r>
          </w:p>
        </w:tc>
        <w:tc>
          <w:tcPr>
            <w:tcW w:w="766" w:type="pct"/>
            <w:tcBorders>
              <w:top w:val="nil"/>
              <w:left w:val="nil"/>
              <w:bottom w:val="single" w:sz="4" w:space="0" w:color="auto"/>
              <w:right w:val="single" w:sz="4" w:space="0" w:color="auto"/>
            </w:tcBorders>
            <w:shd w:val="clear" w:color="000000" w:fill="FFFFFF"/>
            <w:noWrap/>
            <w:vAlign w:val="center"/>
            <w:hideMark/>
          </w:tcPr>
          <w:p w14:paraId="75C8F0B9" w14:textId="77777777" w:rsidR="00CC062A" w:rsidRPr="006F6FE7" w:rsidRDefault="00CC062A" w:rsidP="005474ED">
            <w:pPr>
              <w:jc w:val="center"/>
              <w:rPr>
                <w:b/>
                <w:sz w:val="18"/>
                <w:szCs w:val="18"/>
              </w:rPr>
            </w:pPr>
            <w:r w:rsidRPr="006F6FE7">
              <w:rPr>
                <w:b/>
                <w:sz w:val="18"/>
                <w:szCs w:val="18"/>
              </w:rPr>
              <w:t>0</w:t>
            </w:r>
          </w:p>
        </w:tc>
        <w:tc>
          <w:tcPr>
            <w:tcW w:w="776" w:type="pct"/>
            <w:tcBorders>
              <w:top w:val="nil"/>
              <w:left w:val="nil"/>
              <w:bottom w:val="single" w:sz="4" w:space="0" w:color="auto"/>
              <w:right w:val="single" w:sz="4" w:space="0" w:color="auto"/>
            </w:tcBorders>
            <w:shd w:val="clear" w:color="000000" w:fill="FFFFFF"/>
            <w:noWrap/>
            <w:vAlign w:val="center"/>
            <w:hideMark/>
          </w:tcPr>
          <w:p w14:paraId="38C7DC39" w14:textId="77777777" w:rsidR="00CC062A" w:rsidRPr="006F6FE7" w:rsidRDefault="00CC062A" w:rsidP="005474ED">
            <w:pPr>
              <w:jc w:val="center"/>
              <w:rPr>
                <w:sz w:val="18"/>
                <w:szCs w:val="18"/>
              </w:rPr>
            </w:pPr>
            <w:r w:rsidRPr="006F6FE7">
              <w:rPr>
                <w:sz w:val="18"/>
                <w:szCs w:val="18"/>
              </w:rPr>
              <w:t>41</w:t>
            </w:r>
          </w:p>
        </w:tc>
      </w:tr>
      <w:tr w:rsidR="00CC062A" w:rsidRPr="006F6FE7" w14:paraId="3EAD4B39"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640E686D" w14:textId="77777777" w:rsidR="00CC062A" w:rsidRPr="006F6FE7" w:rsidRDefault="00CC062A" w:rsidP="005474ED">
            <w:pPr>
              <w:jc w:val="right"/>
              <w:rPr>
                <w:sz w:val="18"/>
                <w:szCs w:val="18"/>
              </w:rPr>
            </w:pPr>
            <w:r w:rsidRPr="006F6FE7">
              <w:rPr>
                <w:sz w:val="18"/>
                <w:szCs w:val="18"/>
              </w:rPr>
              <w:t>Digital Class A/LPTV contour, VHF low</w:t>
            </w:r>
          </w:p>
        </w:tc>
        <w:tc>
          <w:tcPr>
            <w:tcW w:w="821" w:type="pct"/>
            <w:tcBorders>
              <w:top w:val="nil"/>
              <w:left w:val="nil"/>
              <w:bottom w:val="single" w:sz="4" w:space="0" w:color="auto"/>
              <w:right w:val="single" w:sz="4" w:space="0" w:color="auto"/>
            </w:tcBorders>
            <w:shd w:val="clear" w:color="000000" w:fill="FFFFFF"/>
            <w:noWrap/>
            <w:vAlign w:val="center"/>
            <w:hideMark/>
          </w:tcPr>
          <w:p w14:paraId="17C918DC" w14:textId="77777777" w:rsidR="00CC062A" w:rsidRPr="006F6FE7" w:rsidRDefault="00CC062A" w:rsidP="005474ED">
            <w:pPr>
              <w:jc w:val="center"/>
              <w:rPr>
                <w:sz w:val="18"/>
                <w:szCs w:val="18"/>
              </w:rPr>
            </w:pPr>
            <w:r w:rsidRPr="006F6FE7">
              <w:rPr>
                <w:sz w:val="18"/>
                <w:szCs w:val="18"/>
              </w:rPr>
              <w:t>43</w:t>
            </w:r>
          </w:p>
        </w:tc>
        <w:tc>
          <w:tcPr>
            <w:tcW w:w="766" w:type="pct"/>
            <w:tcBorders>
              <w:top w:val="nil"/>
              <w:left w:val="nil"/>
              <w:bottom w:val="single" w:sz="4" w:space="0" w:color="auto"/>
              <w:right w:val="single" w:sz="4" w:space="0" w:color="auto"/>
            </w:tcBorders>
            <w:shd w:val="clear" w:color="000000" w:fill="FFFFFF"/>
            <w:noWrap/>
            <w:vAlign w:val="center"/>
            <w:hideMark/>
          </w:tcPr>
          <w:p w14:paraId="18CB5BAF" w14:textId="77777777" w:rsidR="00CC062A" w:rsidRPr="006F6FE7" w:rsidRDefault="00CC062A" w:rsidP="005474ED">
            <w:pPr>
              <w:jc w:val="center"/>
              <w:rPr>
                <w:sz w:val="18"/>
                <w:szCs w:val="18"/>
              </w:rPr>
            </w:pPr>
            <w:r w:rsidRPr="006F6FE7">
              <w:rPr>
                <w:sz w:val="18"/>
                <w:szCs w:val="18"/>
              </w:rPr>
              <w:t>43</w:t>
            </w:r>
          </w:p>
        </w:tc>
        <w:tc>
          <w:tcPr>
            <w:tcW w:w="776" w:type="pct"/>
            <w:tcBorders>
              <w:top w:val="nil"/>
              <w:left w:val="nil"/>
              <w:bottom w:val="single" w:sz="4" w:space="0" w:color="auto"/>
              <w:right w:val="single" w:sz="4" w:space="0" w:color="auto"/>
            </w:tcBorders>
            <w:shd w:val="clear" w:color="000000" w:fill="FFFFFF"/>
            <w:noWrap/>
            <w:vAlign w:val="center"/>
            <w:hideMark/>
          </w:tcPr>
          <w:p w14:paraId="4C88FF0C" w14:textId="77777777" w:rsidR="00CC062A" w:rsidRPr="006F6FE7" w:rsidRDefault="00CC062A" w:rsidP="005474ED">
            <w:pPr>
              <w:jc w:val="center"/>
              <w:rPr>
                <w:sz w:val="18"/>
                <w:szCs w:val="18"/>
              </w:rPr>
            </w:pPr>
            <w:r w:rsidRPr="006F6FE7">
              <w:rPr>
                <w:sz w:val="18"/>
                <w:szCs w:val="18"/>
              </w:rPr>
              <w:t>43</w:t>
            </w:r>
          </w:p>
        </w:tc>
      </w:tr>
      <w:tr w:rsidR="00CC062A" w:rsidRPr="006F6FE7" w14:paraId="7BFD3BB1"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92B97B6" w14:textId="77777777" w:rsidR="00CC062A" w:rsidRPr="006F6FE7" w:rsidRDefault="00CC062A" w:rsidP="005474ED">
            <w:pPr>
              <w:jc w:val="right"/>
              <w:rPr>
                <w:sz w:val="18"/>
                <w:szCs w:val="18"/>
              </w:rPr>
            </w:pPr>
            <w:r w:rsidRPr="006F6FE7">
              <w:rPr>
                <w:sz w:val="18"/>
                <w:szCs w:val="18"/>
              </w:rPr>
              <w:t>Digital Class A/LPTV contour, VHF high</w:t>
            </w:r>
          </w:p>
        </w:tc>
        <w:tc>
          <w:tcPr>
            <w:tcW w:w="821" w:type="pct"/>
            <w:tcBorders>
              <w:top w:val="nil"/>
              <w:left w:val="nil"/>
              <w:bottom w:val="single" w:sz="4" w:space="0" w:color="auto"/>
              <w:right w:val="single" w:sz="4" w:space="0" w:color="auto"/>
            </w:tcBorders>
            <w:shd w:val="clear" w:color="000000" w:fill="FFFFFF"/>
            <w:noWrap/>
            <w:vAlign w:val="center"/>
            <w:hideMark/>
          </w:tcPr>
          <w:p w14:paraId="3867D7F7" w14:textId="77777777" w:rsidR="00CC062A" w:rsidRPr="006F6FE7" w:rsidRDefault="00CC062A" w:rsidP="005474ED">
            <w:pPr>
              <w:jc w:val="center"/>
              <w:rPr>
                <w:sz w:val="18"/>
                <w:szCs w:val="18"/>
              </w:rPr>
            </w:pPr>
            <w:r w:rsidRPr="006F6FE7">
              <w:rPr>
                <w:sz w:val="18"/>
                <w:szCs w:val="18"/>
              </w:rPr>
              <w:t>48</w:t>
            </w:r>
          </w:p>
        </w:tc>
        <w:tc>
          <w:tcPr>
            <w:tcW w:w="766" w:type="pct"/>
            <w:tcBorders>
              <w:top w:val="nil"/>
              <w:left w:val="nil"/>
              <w:bottom w:val="single" w:sz="4" w:space="0" w:color="auto"/>
              <w:right w:val="single" w:sz="4" w:space="0" w:color="auto"/>
            </w:tcBorders>
            <w:shd w:val="clear" w:color="000000" w:fill="FFFFFF"/>
            <w:noWrap/>
            <w:vAlign w:val="center"/>
            <w:hideMark/>
          </w:tcPr>
          <w:p w14:paraId="02D4F713" w14:textId="77777777" w:rsidR="00CC062A" w:rsidRPr="006F6FE7" w:rsidRDefault="00CC062A" w:rsidP="005474ED">
            <w:pPr>
              <w:jc w:val="center"/>
              <w:rPr>
                <w:sz w:val="18"/>
                <w:szCs w:val="18"/>
              </w:rPr>
            </w:pPr>
            <w:r w:rsidRPr="006F6FE7">
              <w:rPr>
                <w:sz w:val="18"/>
                <w:szCs w:val="18"/>
              </w:rPr>
              <w:t>48</w:t>
            </w:r>
          </w:p>
        </w:tc>
        <w:tc>
          <w:tcPr>
            <w:tcW w:w="776" w:type="pct"/>
            <w:tcBorders>
              <w:top w:val="nil"/>
              <w:left w:val="nil"/>
              <w:bottom w:val="single" w:sz="4" w:space="0" w:color="auto"/>
              <w:right w:val="single" w:sz="4" w:space="0" w:color="auto"/>
            </w:tcBorders>
            <w:shd w:val="clear" w:color="000000" w:fill="FFFFFF"/>
            <w:noWrap/>
            <w:vAlign w:val="center"/>
            <w:hideMark/>
          </w:tcPr>
          <w:p w14:paraId="3F174D4C" w14:textId="77777777" w:rsidR="00CC062A" w:rsidRPr="006F6FE7" w:rsidRDefault="00CC062A" w:rsidP="005474ED">
            <w:pPr>
              <w:jc w:val="center"/>
              <w:rPr>
                <w:sz w:val="18"/>
                <w:szCs w:val="18"/>
              </w:rPr>
            </w:pPr>
            <w:r w:rsidRPr="006F6FE7">
              <w:rPr>
                <w:sz w:val="18"/>
                <w:szCs w:val="18"/>
              </w:rPr>
              <w:t>48</w:t>
            </w:r>
          </w:p>
        </w:tc>
      </w:tr>
      <w:tr w:rsidR="00CC062A" w:rsidRPr="006F6FE7" w14:paraId="1212B37C"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CE7F966" w14:textId="77777777" w:rsidR="00CC062A" w:rsidRPr="006F6FE7" w:rsidRDefault="00CC062A" w:rsidP="005474ED">
            <w:pPr>
              <w:jc w:val="right"/>
              <w:rPr>
                <w:sz w:val="18"/>
                <w:szCs w:val="18"/>
              </w:rPr>
            </w:pPr>
            <w:r w:rsidRPr="006F6FE7">
              <w:rPr>
                <w:sz w:val="18"/>
                <w:szCs w:val="18"/>
              </w:rPr>
              <w:t>Digital Class A/LPTV contour, UHF</w:t>
            </w:r>
          </w:p>
        </w:tc>
        <w:tc>
          <w:tcPr>
            <w:tcW w:w="821" w:type="pct"/>
            <w:tcBorders>
              <w:top w:val="nil"/>
              <w:left w:val="nil"/>
              <w:bottom w:val="single" w:sz="4" w:space="0" w:color="auto"/>
              <w:right w:val="single" w:sz="4" w:space="0" w:color="auto"/>
            </w:tcBorders>
            <w:shd w:val="clear" w:color="000000" w:fill="FFFFFF"/>
            <w:noWrap/>
            <w:vAlign w:val="center"/>
            <w:hideMark/>
          </w:tcPr>
          <w:p w14:paraId="2A57A0E3" w14:textId="77777777" w:rsidR="00CC062A" w:rsidRPr="006F6FE7" w:rsidRDefault="00CC062A" w:rsidP="005474ED">
            <w:pPr>
              <w:jc w:val="center"/>
              <w:rPr>
                <w:b/>
                <w:sz w:val="18"/>
                <w:szCs w:val="18"/>
              </w:rPr>
            </w:pPr>
            <w:r w:rsidRPr="006F6FE7">
              <w:rPr>
                <w:b/>
                <w:sz w:val="18"/>
                <w:szCs w:val="18"/>
              </w:rPr>
              <w:t>0</w:t>
            </w:r>
          </w:p>
        </w:tc>
        <w:tc>
          <w:tcPr>
            <w:tcW w:w="766" w:type="pct"/>
            <w:tcBorders>
              <w:top w:val="nil"/>
              <w:left w:val="nil"/>
              <w:bottom w:val="single" w:sz="4" w:space="0" w:color="auto"/>
              <w:right w:val="single" w:sz="4" w:space="0" w:color="auto"/>
            </w:tcBorders>
            <w:shd w:val="clear" w:color="000000" w:fill="FFFFFF"/>
            <w:noWrap/>
            <w:vAlign w:val="center"/>
            <w:hideMark/>
          </w:tcPr>
          <w:p w14:paraId="7EC3EE57" w14:textId="77777777" w:rsidR="00CC062A" w:rsidRPr="006F6FE7" w:rsidRDefault="00CC062A" w:rsidP="005474ED">
            <w:pPr>
              <w:jc w:val="center"/>
              <w:rPr>
                <w:b/>
                <w:sz w:val="18"/>
                <w:szCs w:val="18"/>
              </w:rPr>
            </w:pPr>
            <w:r w:rsidRPr="006F6FE7">
              <w:rPr>
                <w:b/>
                <w:sz w:val="18"/>
                <w:szCs w:val="18"/>
              </w:rPr>
              <w:t>0</w:t>
            </w:r>
          </w:p>
        </w:tc>
        <w:tc>
          <w:tcPr>
            <w:tcW w:w="776" w:type="pct"/>
            <w:tcBorders>
              <w:top w:val="nil"/>
              <w:left w:val="nil"/>
              <w:bottom w:val="single" w:sz="4" w:space="0" w:color="auto"/>
              <w:right w:val="single" w:sz="4" w:space="0" w:color="auto"/>
            </w:tcBorders>
            <w:shd w:val="clear" w:color="000000" w:fill="FFFFFF"/>
            <w:noWrap/>
            <w:vAlign w:val="center"/>
            <w:hideMark/>
          </w:tcPr>
          <w:p w14:paraId="3D9B838E" w14:textId="77777777" w:rsidR="00CC062A" w:rsidRPr="006F6FE7" w:rsidRDefault="00CC062A" w:rsidP="005474ED">
            <w:pPr>
              <w:jc w:val="center"/>
              <w:rPr>
                <w:sz w:val="18"/>
                <w:szCs w:val="18"/>
              </w:rPr>
            </w:pPr>
            <w:r w:rsidRPr="006F6FE7">
              <w:rPr>
                <w:sz w:val="18"/>
                <w:szCs w:val="18"/>
              </w:rPr>
              <w:t>51</w:t>
            </w:r>
          </w:p>
        </w:tc>
      </w:tr>
      <w:tr w:rsidR="00CC062A" w:rsidRPr="006F6FE7" w14:paraId="231FE7FC"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27C47CD" w14:textId="77777777" w:rsidR="00CC062A" w:rsidRPr="006F6FE7" w:rsidRDefault="00CC062A" w:rsidP="005474ED">
            <w:pPr>
              <w:jc w:val="right"/>
              <w:rPr>
                <w:sz w:val="18"/>
                <w:szCs w:val="18"/>
              </w:rPr>
            </w:pPr>
            <w:r w:rsidRPr="006F6FE7">
              <w:rPr>
                <w:sz w:val="18"/>
                <w:szCs w:val="18"/>
              </w:rPr>
              <w:t>Analog full-service contour, VHF low</w:t>
            </w:r>
          </w:p>
        </w:tc>
        <w:tc>
          <w:tcPr>
            <w:tcW w:w="821" w:type="pct"/>
            <w:tcBorders>
              <w:top w:val="nil"/>
              <w:left w:val="nil"/>
              <w:bottom w:val="single" w:sz="4" w:space="0" w:color="auto"/>
              <w:right w:val="single" w:sz="4" w:space="0" w:color="auto"/>
            </w:tcBorders>
            <w:shd w:val="clear" w:color="000000" w:fill="FFFFFF"/>
            <w:noWrap/>
            <w:vAlign w:val="center"/>
            <w:hideMark/>
          </w:tcPr>
          <w:p w14:paraId="24DB86AD" w14:textId="77777777" w:rsidR="00CC062A" w:rsidRPr="006F6FE7" w:rsidRDefault="00CC062A" w:rsidP="005474ED">
            <w:pPr>
              <w:jc w:val="center"/>
              <w:rPr>
                <w:sz w:val="18"/>
                <w:szCs w:val="18"/>
              </w:rPr>
            </w:pPr>
            <w:r w:rsidRPr="006F6FE7">
              <w:rPr>
                <w:sz w:val="18"/>
                <w:szCs w:val="18"/>
              </w:rPr>
              <w:t>47</w:t>
            </w:r>
          </w:p>
        </w:tc>
        <w:tc>
          <w:tcPr>
            <w:tcW w:w="766" w:type="pct"/>
            <w:tcBorders>
              <w:top w:val="nil"/>
              <w:left w:val="nil"/>
              <w:bottom w:val="single" w:sz="4" w:space="0" w:color="auto"/>
              <w:right w:val="single" w:sz="4" w:space="0" w:color="auto"/>
            </w:tcBorders>
            <w:shd w:val="clear" w:color="000000" w:fill="FFFFFF"/>
            <w:noWrap/>
            <w:vAlign w:val="center"/>
            <w:hideMark/>
          </w:tcPr>
          <w:p w14:paraId="14CA506D" w14:textId="77777777" w:rsidR="00CC062A" w:rsidRPr="006F6FE7" w:rsidRDefault="00CC062A" w:rsidP="005474ED">
            <w:pPr>
              <w:jc w:val="center"/>
              <w:rPr>
                <w:sz w:val="18"/>
                <w:szCs w:val="18"/>
              </w:rPr>
            </w:pPr>
            <w:r w:rsidRPr="006F6FE7">
              <w:rPr>
                <w:sz w:val="18"/>
                <w:szCs w:val="18"/>
              </w:rPr>
              <w:t>47</w:t>
            </w:r>
          </w:p>
        </w:tc>
        <w:tc>
          <w:tcPr>
            <w:tcW w:w="776" w:type="pct"/>
            <w:tcBorders>
              <w:top w:val="nil"/>
              <w:left w:val="nil"/>
              <w:bottom w:val="single" w:sz="4" w:space="0" w:color="auto"/>
              <w:right w:val="single" w:sz="4" w:space="0" w:color="auto"/>
            </w:tcBorders>
            <w:shd w:val="clear" w:color="000000" w:fill="FFFFFF"/>
            <w:noWrap/>
            <w:vAlign w:val="center"/>
            <w:hideMark/>
          </w:tcPr>
          <w:p w14:paraId="307C1434" w14:textId="77777777" w:rsidR="00CC062A" w:rsidRPr="006F6FE7" w:rsidRDefault="00CC062A" w:rsidP="005474ED">
            <w:pPr>
              <w:jc w:val="center"/>
              <w:rPr>
                <w:sz w:val="18"/>
                <w:szCs w:val="18"/>
              </w:rPr>
            </w:pPr>
            <w:r w:rsidRPr="006F6FE7">
              <w:rPr>
                <w:sz w:val="18"/>
                <w:szCs w:val="18"/>
              </w:rPr>
              <w:t>47</w:t>
            </w:r>
          </w:p>
        </w:tc>
      </w:tr>
      <w:tr w:rsidR="00CC062A" w:rsidRPr="006F6FE7" w14:paraId="26F0E0CE"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A1360E7" w14:textId="77777777" w:rsidR="00CC062A" w:rsidRPr="006F6FE7" w:rsidRDefault="00CC062A" w:rsidP="005474ED">
            <w:pPr>
              <w:jc w:val="right"/>
              <w:rPr>
                <w:sz w:val="18"/>
                <w:szCs w:val="18"/>
              </w:rPr>
            </w:pPr>
            <w:r w:rsidRPr="006F6FE7">
              <w:rPr>
                <w:sz w:val="18"/>
                <w:szCs w:val="18"/>
              </w:rPr>
              <w:t>Analog full-service contour, VHF high</w:t>
            </w:r>
          </w:p>
        </w:tc>
        <w:tc>
          <w:tcPr>
            <w:tcW w:w="821" w:type="pct"/>
            <w:tcBorders>
              <w:top w:val="nil"/>
              <w:left w:val="nil"/>
              <w:bottom w:val="single" w:sz="4" w:space="0" w:color="auto"/>
              <w:right w:val="single" w:sz="4" w:space="0" w:color="auto"/>
            </w:tcBorders>
            <w:shd w:val="clear" w:color="000000" w:fill="FFFFFF"/>
            <w:noWrap/>
            <w:vAlign w:val="center"/>
            <w:hideMark/>
          </w:tcPr>
          <w:p w14:paraId="747933CA" w14:textId="77777777" w:rsidR="00CC062A" w:rsidRPr="006F6FE7" w:rsidRDefault="00CC062A" w:rsidP="005474ED">
            <w:pPr>
              <w:jc w:val="center"/>
              <w:rPr>
                <w:sz w:val="18"/>
                <w:szCs w:val="18"/>
              </w:rPr>
            </w:pPr>
            <w:r w:rsidRPr="006F6FE7">
              <w:rPr>
                <w:sz w:val="18"/>
                <w:szCs w:val="18"/>
              </w:rPr>
              <w:t>56</w:t>
            </w:r>
          </w:p>
        </w:tc>
        <w:tc>
          <w:tcPr>
            <w:tcW w:w="766" w:type="pct"/>
            <w:tcBorders>
              <w:top w:val="nil"/>
              <w:left w:val="nil"/>
              <w:bottom w:val="single" w:sz="4" w:space="0" w:color="auto"/>
              <w:right w:val="single" w:sz="4" w:space="0" w:color="auto"/>
            </w:tcBorders>
            <w:shd w:val="clear" w:color="000000" w:fill="FFFFFF"/>
            <w:noWrap/>
            <w:vAlign w:val="center"/>
            <w:hideMark/>
          </w:tcPr>
          <w:p w14:paraId="68C4BD39" w14:textId="77777777" w:rsidR="00CC062A" w:rsidRPr="006F6FE7" w:rsidRDefault="00CC062A" w:rsidP="005474ED">
            <w:pPr>
              <w:jc w:val="center"/>
              <w:rPr>
                <w:sz w:val="18"/>
                <w:szCs w:val="18"/>
              </w:rPr>
            </w:pPr>
            <w:r w:rsidRPr="006F6FE7">
              <w:rPr>
                <w:sz w:val="18"/>
                <w:szCs w:val="18"/>
              </w:rPr>
              <w:t>56</w:t>
            </w:r>
          </w:p>
        </w:tc>
        <w:tc>
          <w:tcPr>
            <w:tcW w:w="776" w:type="pct"/>
            <w:tcBorders>
              <w:top w:val="nil"/>
              <w:left w:val="nil"/>
              <w:bottom w:val="single" w:sz="4" w:space="0" w:color="auto"/>
              <w:right w:val="single" w:sz="4" w:space="0" w:color="auto"/>
            </w:tcBorders>
            <w:shd w:val="clear" w:color="000000" w:fill="FFFFFF"/>
            <w:noWrap/>
            <w:vAlign w:val="center"/>
            <w:hideMark/>
          </w:tcPr>
          <w:p w14:paraId="5E9C22D3" w14:textId="77777777" w:rsidR="00CC062A" w:rsidRPr="006F6FE7" w:rsidRDefault="00CC062A" w:rsidP="005474ED">
            <w:pPr>
              <w:jc w:val="center"/>
              <w:rPr>
                <w:sz w:val="18"/>
                <w:szCs w:val="18"/>
              </w:rPr>
            </w:pPr>
            <w:r w:rsidRPr="006F6FE7">
              <w:rPr>
                <w:sz w:val="18"/>
                <w:szCs w:val="18"/>
              </w:rPr>
              <w:t>56</w:t>
            </w:r>
          </w:p>
        </w:tc>
      </w:tr>
      <w:tr w:rsidR="00CC062A" w:rsidRPr="006F6FE7" w14:paraId="5C45BF14"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1ED04C0" w14:textId="77777777" w:rsidR="00CC062A" w:rsidRPr="006F6FE7" w:rsidRDefault="00CC062A" w:rsidP="005474ED">
            <w:pPr>
              <w:jc w:val="right"/>
              <w:rPr>
                <w:sz w:val="18"/>
                <w:szCs w:val="18"/>
              </w:rPr>
            </w:pPr>
            <w:r w:rsidRPr="006F6FE7">
              <w:rPr>
                <w:sz w:val="18"/>
                <w:szCs w:val="18"/>
              </w:rPr>
              <w:t>Analog full-service contour, UHF</w:t>
            </w:r>
          </w:p>
        </w:tc>
        <w:tc>
          <w:tcPr>
            <w:tcW w:w="821" w:type="pct"/>
            <w:tcBorders>
              <w:top w:val="nil"/>
              <w:left w:val="nil"/>
              <w:bottom w:val="single" w:sz="4" w:space="0" w:color="auto"/>
              <w:right w:val="single" w:sz="4" w:space="0" w:color="auto"/>
            </w:tcBorders>
            <w:shd w:val="clear" w:color="000000" w:fill="FFFFFF"/>
            <w:noWrap/>
            <w:vAlign w:val="center"/>
            <w:hideMark/>
          </w:tcPr>
          <w:p w14:paraId="7CDBD8EB" w14:textId="77777777" w:rsidR="00CC062A" w:rsidRPr="006F6FE7" w:rsidRDefault="00CC062A" w:rsidP="005474ED">
            <w:pPr>
              <w:jc w:val="center"/>
              <w:rPr>
                <w:sz w:val="18"/>
                <w:szCs w:val="18"/>
              </w:rPr>
            </w:pPr>
            <w:r w:rsidRPr="006F6FE7">
              <w:rPr>
                <w:sz w:val="18"/>
                <w:szCs w:val="18"/>
              </w:rPr>
              <w:t>64</w:t>
            </w:r>
          </w:p>
        </w:tc>
        <w:tc>
          <w:tcPr>
            <w:tcW w:w="766" w:type="pct"/>
            <w:tcBorders>
              <w:top w:val="nil"/>
              <w:left w:val="nil"/>
              <w:bottom w:val="single" w:sz="4" w:space="0" w:color="auto"/>
              <w:right w:val="single" w:sz="4" w:space="0" w:color="auto"/>
            </w:tcBorders>
            <w:shd w:val="clear" w:color="000000" w:fill="FFFFFF"/>
            <w:noWrap/>
            <w:vAlign w:val="center"/>
            <w:hideMark/>
          </w:tcPr>
          <w:p w14:paraId="191D9ECB" w14:textId="77777777" w:rsidR="00CC062A" w:rsidRPr="006F6FE7" w:rsidRDefault="00CC062A" w:rsidP="005474ED">
            <w:pPr>
              <w:jc w:val="center"/>
              <w:rPr>
                <w:sz w:val="18"/>
                <w:szCs w:val="18"/>
              </w:rPr>
            </w:pPr>
            <w:r w:rsidRPr="006F6FE7">
              <w:rPr>
                <w:sz w:val="18"/>
                <w:szCs w:val="18"/>
              </w:rPr>
              <w:t>64</w:t>
            </w:r>
          </w:p>
        </w:tc>
        <w:tc>
          <w:tcPr>
            <w:tcW w:w="776" w:type="pct"/>
            <w:tcBorders>
              <w:top w:val="nil"/>
              <w:left w:val="nil"/>
              <w:bottom w:val="single" w:sz="4" w:space="0" w:color="auto"/>
              <w:right w:val="single" w:sz="4" w:space="0" w:color="auto"/>
            </w:tcBorders>
            <w:shd w:val="clear" w:color="000000" w:fill="FFFFFF"/>
            <w:noWrap/>
            <w:vAlign w:val="center"/>
            <w:hideMark/>
          </w:tcPr>
          <w:p w14:paraId="2061A00C" w14:textId="77777777" w:rsidR="00CC062A" w:rsidRPr="006F6FE7" w:rsidRDefault="00CC062A" w:rsidP="005474ED">
            <w:pPr>
              <w:jc w:val="center"/>
              <w:rPr>
                <w:sz w:val="18"/>
                <w:szCs w:val="18"/>
              </w:rPr>
            </w:pPr>
            <w:r w:rsidRPr="006F6FE7">
              <w:rPr>
                <w:sz w:val="18"/>
                <w:szCs w:val="18"/>
              </w:rPr>
              <w:t>64</w:t>
            </w:r>
          </w:p>
        </w:tc>
      </w:tr>
      <w:tr w:rsidR="00CC062A" w:rsidRPr="006F6FE7" w14:paraId="2FC5E5E4"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AC0507B" w14:textId="77777777" w:rsidR="00CC062A" w:rsidRPr="006F6FE7" w:rsidRDefault="00CC062A" w:rsidP="005474ED">
            <w:pPr>
              <w:jc w:val="right"/>
              <w:rPr>
                <w:sz w:val="18"/>
                <w:szCs w:val="18"/>
              </w:rPr>
            </w:pPr>
            <w:r w:rsidRPr="006F6FE7">
              <w:rPr>
                <w:sz w:val="18"/>
                <w:szCs w:val="18"/>
              </w:rPr>
              <w:t>Analog Class A/LPTV contour, VHF low</w:t>
            </w:r>
          </w:p>
        </w:tc>
        <w:tc>
          <w:tcPr>
            <w:tcW w:w="821" w:type="pct"/>
            <w:tcBorders>
              <w:top w:val="nil"/>
              <w:left w:val="nil"/>
              <w:bottom w:val="single" w:sz="4" w:space="0" w:color="auto"/>
              <w:right w:val="single" w:sz="4" w:space="0" w:color="auto"/>
            </w:tcBorders>
            <w:shd w:val="clear" w:color="000000" w:fill="FFFFFF"/>
            <w:noWrap/>
            <w:vAlign w:val="center"/>
            <w:hideMark/>
          </w:tcPr>
          <w:p w14:paraId="3EDC864E" w14:textId="77777777" w:rsidR="00CC062A" w:rsidRPr="006F6FE7" w:rsidRDefault="00CC062A" w:rsidP="005474ED">
            <w:pPr>
              <w:jc w:val="center"/>
              <w:rPr>
                <w:sz w:val="18"/>
                <w:szCs w:val="18"/>
              </w:rPr>
            </w:pPr>
            <w:r w:rsidRPr="006F6FE7">
              <w:rPr>
                <w:sz w:val="18"/>
                <w:szCs w:val="18"/>
              </w:rPr>
              <w:t>62</w:t>
            </w:r>
          </w:p>
        </w:tc>
        <w:tc>
          <w:tcPr>
            <w:tcW w:w="766" w:type="pct"/>
            <w:tcBorders>
              <w:top w:val="nil"/>
              <w:left w:val="nil"/>
              <w:bottom w:val="single" w:sz="4" w:space="0" w:color="auto"/>
              <w:right w:val="single" w:sz="4" w:space="0" w:color="auto"/>
            </w:tcBorders>
            <w:shd w:val="clear" w:color="000000" w:fill="FFFFFF"/>
            <w:noWrap/>
            <w:vAlign w:val="center"/>
            <w:hideMark/>
          </w:tcPr>
          <w:p w14:paraId="2D192F7C" w14:textId="77777777" w:rsidR="00CC062A" w:rsidRPr="006F6FE7" w:rsidRDefault="00CC062A" w:rsidP="005474ED">
            <w:pPr>
              <w:jc w:val="center"/>
              <w:rPr>
                <w:sz w:val="18"/>
                <w:szCs w:val="18"/>
              </w:rPr>
            </w:pPr>
            <w:r w:rsidRPr="006F6FE7">
              <w:rPr>
                <w:sz w:val="18"/>
                <w:szCs w:val="18"/>
              </w:rPr>
              <w:t>62</w:t>
            </w:r>
          </w:p>
        </w:tc>
        <w:tc>
          <w:tcPr>
            <w:tcW w:w="776" w:type="pct"/>
            <w:tcBorders>
              <w:top w:val="nil"/>
              <w:left w:val="nil"/>
              <w:bottom w:val="single" w:sz="4" w:space="0" w:color="auto"/>
              <w:right w:val="single" w:sz="4" w:space="0" w:color="auto"/>
            </w:tcBorders>
            <w:shd w:val="clear" w:color="000000" w:fill="FFFFFF"/>
            <w:noWrap/>
            <w:vAlign w:val="center"/>
            <w:hideMark/>
          </w:tcPr>
          <w:p w14:paraId="3A3F7706" w14:textId="77777777" w:rsidR="00CC062A" w:rsidRPr="006F6FE7" w:rsidRDefault="00CC062A" w:rsidP="005474ED">
            <w:pPr>
              <w:jc w:val="center"/>
              <w:rPr>
                <w:sz w:val="18"/>
                <w:szCs w:val="18"/>
              </w:rPr>
            </w:pPr>
            <w:r w:rsidRPr="006F6FE7">
              <w:rPr>
                <w:sz w:val="18"/>
                <w:szCs w:val="18"/>
              </w:rPr>
              <w:t>62</w:t>
            </w:r>
          </w:p>
        </w:tc>
      </w:tr>
      <w:tr w:rsidR="00CC062A" w:rsidRPr="006F6FE7" w14:paraId="1DBD5118"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561124F5" w14:textId="77777777" w:rsidR="00CC062A" w:rsidRPr="006F6FE7" w:rsidRDefault="00CC062A" w:rsidP="005474ED">
            <w:pPr>
              <w:jc w:val="right"/>
              <w:rPr>
                <w:sz w:val="18"/>
                <w:szCs w:val="18"/>
              </w:rPr>
            </w:pPr>
            <w:r w:rsidRPr="006F6FE7">
              <w:rPr>
                <w:sz w:val="18"/>
                <w:szCs w:val="18"/>
              </w:rPr>
              <w:t>Analog Class A/LPTV contour, VHF high</w:t>
            </w:r>
          </w:p>
        </w:tc>
        <w:tc>
          <w:tcPr>
            <w:tcW w:w="821" w:type="pct"/>
            <w:tcBorders>
              <w:top w:val="nil"/>
              <w:left w:val="nil"/>
              <w:bottom w:val="single" w:sz="4" w:space="0" w:color="auto"/>
              <w:right w:val="single" w:sz="4" w:space="0" w:color="auto"/>
            </w:tcBorders>
            <w:shd w:val="clear" w:color="000000" w:fill="FFFFFF"/>
            <w:noWrap/>
            <w:vAlign w:val="center"/>
            <w:hideMark/>
          </w:tcPr>
          <w:p w14:paraId="6AC3AFA1" w14:textId="77777777" w:rsidR="00CC062A" w:rsidRPr="006F6FE7" w:rsidRDefault="00CC062A" w:rsidP="005474ED">
            <w:pPr>
              <w:jc w:val="center"/>
              <w:rPr>
                <w:sz w:val="18"/>
                <w:szCs w:val="18"/>
              </w:rPr>
            </w:pPr>
            <w:r w:rsidRPr="006F6FE7">
              <w:rPr>
                <w:sz w:val="18"/>
                <w:szCs w:val="18"/>
              </w:rPr>
              <w:t>68</w:t>
            </w:r>
          </w:p>
        </w:tc>
        <w:tc>
          <w:tcPr>
            <w:tcW w:w="766" w:type="pct"/>
            <w:tcBorders>
              <w:top w:val="nil"/>
              <w:left w:val="nil"/>
              <w:bottom w:val="single" w:sz="4" w:space="0" w:color="auto"/>
              <w:right w:val="single" w:sz="4" w:space="0" w:color="auto"/>
            </w:tcBorders>
            <w:shd w:val="clear" w:color="000000" w:fill="FFFFFF"/>
            <w:noWrap/>
            <w:vAlign w:val="center"/>
            <w:hideMark/>
          </w:tcPr>
          <w:p w14:paraId="7035B184" w14:textId="77777777" w:rsidR="00CC062A" w:rsidRPr="006F6FE7" w:rsidRDefault="00CC062A" w:rsidP="005474ED">
            <w:pPr>
              <w:jc w:val="center"/>
              <w:rPr>
                <w:sz w:val="18"/>
                <w:szCs w:val="18"/>
              </w:rPr>
            </w:pPr>
            <w:r w:rsidRPr="006F6FE7">
              <w:rPr>
                <w:sz w:val="18"/>
                <w:szCs w:val="18"/>
              </w:rPr>
              <w:t>68</w:t>
            </w:r>
          </w:p>
        </w:tc>
        <w:tc>
          <w:tcPr>
            <w:tcW w:w="776" w:type="pct"/>
            <w:tcBorders>
              <w:top w:val="nil"/>
              <w:left w:val="nil"/>
              <w:bottom w:val="single" w:sz="4" w:space="0" w:color="auto"/>
              <w:right w:val="single" w:sz="4" w:space="0" w:color="auto"/>
            </w:tcBorders>
            <w:shd w:val="clear" w:color="000000" w:fill="FFFFFF"/>
            <w:noWrap/>
            <w:vAlign w:val="center"/>
            <w:hideMark/>
          </w:tcPr>
          <w:p w14:paraId="56E802B9" w14:textId="77777777" w:rsidR="00CC062A" w:rsidRPr="006F6FE7" w:rsidRDefault="00CC062A" w:rsidP="005474ED">
            <w:pPr>
              <w:jc w:val="center"/>
              <w:rPr>
                <w:sz w:val="18"/>
                <w:szCs w:val="18"/>
              </w:rPr>
            </w:pPr>
            <w:r w:rsidRPr="006F6FE7">
              <w:rPr>
                <w:sz w:val="18"/>
                <w:szCs w:val="18"/>
              </w:rPr>
              <w:t>68</w:t>
            </w:r>
          </w:p>
        </w:tc>
      </w:tr>
      <w:tr w:rsidR="00CC062A" w:rsidRPr="006F6FE7" w14:paraId="1D608E3B"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2DCD00D" w14:textId="77777777" w:rsidR="00CC062A" w:rsidRPr="006F6FE7" w:rsidRDefault="00CC062A" w:rsidP="005474ED">
            <w:pPr>
              <w:jc w:val="right"/>
              <w:rPr>
                <w:sz w:val="18"/>
                <w:szCs w:val="18"/>
              </w:rPr>
            </w:pPr>
            <w:r w:rsidRPr="006F6FE7">
              <w:rPr>
                <w:sz w:val="18"/>
                <w:szCs w:val="18"/>
              </w:rPr>
              <w:t>Analog Class A/LPTV contour, UHF</w:t>
            </w:r>
          </w:p>
        </w:tc>
        <w:tc>
          <w:tcPr>
            <w:tcW w:w="821" w:type="pct"/>
            <w:tcBorders>
              <w:top w:val="nil"/>
              <w:left w:val="nil"/>
              <w:bottom w:val="single" w:sz="4" w:space="0" w:color="auto"/>
              <w:right w:val="single" w:sz="4" w:space="0" w:color="auto"/>
            </w:tcBorders>
            <w:shd w:val="clear" w:color="000000" w:fill="FFFFFF"/>
            <w:noWrap/>
            <w:vAlign w:val="center"/>
            <w:hideMark/>
          </w:tcPr>
          <w:p w14:paraId="6C263D64" w14:textId="77777777" w:rsidR="00CC062A" w:rsidRPr="006F6FE7" w:rsidRDefault="00CC062A" w:rsidP="005474ED">
            <w:pPr>
              <w:jc w:val="center"/>
              <w:rPr>
                <w:sz w:val="18"/>
                <w:szCs w:val="18"/>
              </w:rPr>
            </w:pPr>
            <w:r w:rsidRPr="006F6FE7">
              <w:rPr>
                <w:sz w:val="18"/>
                <w:szCs w:val="18"/>
              </w:rPr>
              <w:t>74</w:t>
            </w:r>
          </w:p>
        </w:tc>
        <w:tc>
          <w:tcPr>
            <w:tcW w:w="766" w:type="pct"/>
            <w:tcBorders>
              <w:top w:val="nil"/>
              <w:left w:val="nil"/>
              <w:bottom w:val="single" w:sz="4" w:space="0" w:color="auto"/>
              <w:right w:val="single" w:sz="4" w:space="0" w:color="auto"/>
            </w:tcBorders>
            <w:shd w:val="clear" w:color="000000" w:fill="FFFFFF"/>
            <w:noWrap/>
            <w:vAlign w:val="center"/>
            <w:hideMark/>
          </w:tcPr>
          <w:p w14:paraId="120E07CA" w14:textId="77777777" w:rsidR="00CC062A" w:rsidRPr="006F6FE7" w:rsidRDefault="00CC062A" w:rsidP="005474ED">
            <w:pPr>
              <w:jc w:val="center"/>
              <w:rPr>
                <w:sz w:val="18"/>
                <w:szCs w:val="18"/>
              </w:rPr>
            </w:pPr>
            <w:r w:rsidRPr="006F6FE7">
              <w:rPr>
                <w:sz w:val="18"/>
                <w:szCs w:val="18"/>
              </w:rPr>
              <w:t>74</w:t>
            </w:r>
          </w:p>
        </w:tc>
        <w:tc>
          <w:tcPr>
            <w:tcW w:w="776" w:type="pct"/>
            <w:tcBorders>
              <w:top w:val="nil"/>
              <w:left w:val="nil"/>
              <w:bottom w:val="single" w:sz="4" w:space="0" w:color="auto"/>
              <w:right w:val="single" w:sz="4" w:space="0" w:color="auto"/>
            </w:tcBorders>
            <w:shd w:val="clear" w:color="000000" w:fill="FFFFFF"/>
            <w:noWrap/>
            <w:vAlign w:val="center"/>
            <w:hideMark/>
          </w:tcPr>
          <w:p w14:paraId="3F4D8E80" w14:textId="77777777" w:rsidR="00CC062A" w:rsidRPr="006F6FE7" w:rsidRDefault="00CC062A" w:rsidP="005474ED">
            <w:pPr>
              <w:jc w:val="center"/>
              <w:rPr>
                <w:sz w:val="18"/>
                <w:szCs w:val="18"/>
              </w:rPr>
            </w:pPr>
            <w:r w:rsidRPr="006F6FE7">
              <w:rPr>
                <w:sz w:val="18"/>
                <w:szCs w:val="18"/>
              </w:rPr>
              <w:t>74</w:t>
            </w:r>
          </w:p>
        </w:tc>
      </w:tr>
      <w:tr w:rsidR="00CC062A" w:rsidRPr="006F6FE7" w14:paraId="6C591E88"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C3D3D16" w14:textId="77777777" w:rsidR="00CC062A" w:rsidRPr="006F6FE7" w:rsidRDefault="00CC062A" w:rsidP="005474ED">
            <w:pPr>
              <w:jc w:val="right"/>
              <w:rPr>
                <w:sz w:val="18"/>
                <w:szCs w:val="18"/>
              </w:rPr>
            </w:pPr>
            <w:r w:rsidRPr="006F6FE7">
              <w:rPr>
                <w:sz w:val="18"/>
                <w:szCs w:val="18"/>
              </w:rPr>
              <w:t>Use UHF dipole adjustment</w:t>
            </w:r>
          </w:p>
        </w:tc>
        <w:tc>
          <w:tcPr>
            <w:tcW w:w="821" w:type="pct"/>
            <w:tcBorders>
              <w:top w:val="nil"/>
              <w:left w:val="nil"/>
              <w:bottom w:val="single" w:sz="4" w:space="0" w:color="auto"/>
              <w:right w:val="single" w:sz="4" w:space="0" w:color="auto"/>
            </w:tcBorders>
            <w:shd w:val="clear" w:color="000000" w:fill="FFFFFF"/>
            <w:noWrap/>
            <w:vAlign w:val="center"/>
            <w:hideMark/>
          </w:tcPr>
          <w:p w14:paraId="745D2BB0" w14:textId="77777777" w:rsidR="00CC062A" w:rsidRPr="006F6FE7" w:rsidRDefault="00CC062A" w:rsidP="005474ED">
            <w:pPr>
              <w:jc w:val="center"/>
              <w:rPr>
                <w:sz w:val="18"/>
                <w:szCs w:val="18"/>
              </w:rPr>
            </w:pPr>
            <w:r w:rsidRPr="006F6FE7">
              <w:rPr>
                <w:sz w:val="18"/>
                <w:szCs w:val="18"/>
              </w:rPr>
              <w:t>Yes</w:t>
            </w:r>
          </w:p>
        </w:tc>
        <w:tc>
          <w:tcPr>
            <w:tcW w:w="766" w:type="pct"/>
            <w:tcBorders>
              <w:top w:val="nil"/>
              <w:left w:val="nil"/>
              <w:bottom w:val="single" w:sz="4" w:space="0" w:color="auto"/>
              <w:right w:val="single" w:sz="4" w:space="0" w:color="auto"/>
            </w:tcBorders>
            <w:shd w:val="clear" w:color="000000" w:fill="FFFFFF"/>
            <w:noWrap/>
            <w:vAlign w:val="center"/>
            <w:hideMark/>
          </w:tcPr>
          <w:p w14:paraId="3561EFB5" w14:textId="77777777" w:rsidR="00CC062A" w:rsidRPr="006F6FE7" w:rsidRDefault="00CC062A" w:rsidP="005474ED">
            <w:pPr>
              <w:jc w:val="center"/>
              <w:rPr>
                <w:sz w:val="18"/>
                <w:szCs w:val="18"/>
              </w:rPr>
            </w:pPr>
            <w:r w:rsidRPr="006F6FE7">
              <w:rPr>
                <w:sz w:val="18"/>
                <w:szCs w:val="18"/>
              </w:rPr>
              <w:t>Yes</w:t>
            </w:r>
          </w:p>
        </w:tc>
        <w:tc>
          <w:tcPr>
            <w:tcW w:w="776" w:type="pct"/>
            <w:tcBorders>
              <w:top w:val="nil"/>
              <w:left w:val="nil"/>
              <w:bottom w:val="single" w:sz="4" w:space="0" w:color="auto"/>
              <w:right w:val="single" w:sz="4" w:space="0" w:color="auto"/>
            </w:tcBorders>
            <w:shd w:val="clear" w:color="000000" w:fill="FFFFFF"/>
            <w:noWrap/>
            <w:vAlign w:val="center"/>
            <w:hideMark/>
          </w:tcPr>
          <w:p w14:paraId="0935B478" w14:textId="77777777" w:rsidR="00CC062A" w:rsidRPr="006F6FE7" w:rsidRDefault="00CC062A" w:rsidP="005474ED">
            <w:pPr>
              <w:jc w:val="center"/>
              <w:rPr>
                <w:sz w:val="18"/>
                <w:szCs w:val="18"/>
              </w:rPr>
            </w:pPr>
            <w:r w:rsidRPr="006F6FE7">
              <w:rPr>
                <w:sz w:val="18"/>
                <w:szCs w:val="18"/>
              </w:rPr>
              <w:t>Yes</w:t>
            </w:r>
          </w:p>
        </w:tc>
      </w:tr>
      <w:tr w:rsidR="00CC062A" w:rsidRPr="008F2405" w14:paraId="667A218E"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1F5376D" w14:textId="12DD05D8"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275C195B" w14:textId="4435FC92"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134579D9" w14:textId="6627435B"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6B603FBD" w14:textId="0B4FDD7E" w:rsidR="00CC062A" w:rsidRPr="008F2405" w:rsidRDefault="00CC062A" w:rsidP="005474ED">
            <w:pPr>
              <w:jc w:val="center"/>
              <w:rPr>
                <w:color w:val="000000"/>
                <w:sz w:val="18"/>
                <w:szCs w:val="18"/>
              </w:rPr>
            </w:pPr>
          </w:p>
        </w:tc>
      </w:tr>
      <w:tr w:rsidR="00CC062A" w:rsidRPr="006F6FE7" w14:paraId="6D901EBC"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6663400" w14:textId="77777777" w:rsidR="00CC062A" w:rsidRPr="006F6FE7" w:rsidRDefault="00CC062A" w:rsidP="005474ED">
            <w:pPr>
              <w:jc w:val="right"/>
              <w:rPr>
                <w:sz w:val="18"/>
                <w:szCs w:val="18"/>
              </w:rPr>
            </w:pPr>
            <w:r w:rsidRPr="006F6FE7">
              <w:rPr>
                <w:sz w:val="18"/>
                <w:szCs w:val="18"/>
              </w:rPr>
              <w:t>Propagation curve set, digital</w:t>
            </w:r>
          </w:p>
        </w:tc>
        <w:tc>
          <w:tcPr>
            <w:tcW w:w="821" w:type="pct"/>
            <w:tcBorders>
              <w:top w:val="nil"/>
              <w:left w:val="nil"/>
              <w:bottom w:val="single" w:sz="4" w:space="0" w:color="auto"/>
              <w:right w:val="single" w:sz="4" w:space="0" w:color="auto"/>
            </w:tcBorders>
            <w:shd w:val="clear" w:color="000000" w:fill="FFFFFF"/>
            <w:noWrap/>
            <w:vAlign w:val="center"/>
            <w:hideMark/>
          </w:tcPr>
          <w:p w14:paraId="49E5E806" w14:textId="77777777" w:rsidR="00CC062A" w:rsidRPr="00EE61F6" w:rsidRDefault="00CC062A" w:rsidP="005474ED">
            <w:pPr>
              <w:jc w:val="center"/>
              <w:rPr>
                <w:sz w:val="18"/>
                <w:szCs w:val="18"/>
              </w:rPr>
            </w:pPr>
            <w:r w:rsidRPr="00EE61F6">
              <w:rPr>
                <w:sz w:val="18"/>
                <w:szCs w:val="18"/>
              </w:rPr>
              <w:t>F(50,10)</w:t>
            </w:r>
          </w:p>
        </w:tc>
        <w:tc>
          <w:tcPr>
            <w:tcW w:w="766" w:type="pct"/>
            <w:tcBorders>
              <w:top w:val="nil"/>
              <w:left w:val="nil"/>
              <w:bottom w:val="single" w:sz="4" w:space="0" w:color="auto"/>
              <w:right w:val="single" w:sz="4" w:space="0" w:color="auto"/>
            </w:tcBorders>
            <w:shd w:val="clear" w:color="000000" w:fill="FFFFFF"/>
            <w:noWrap/>
            <w:vAlign w:val="center"/>
            <w:hideMark/>
          </w:tcPr>
          <w:p w14:paraId="14030A1F" w14:textId="77777777" w:rsidR="00CC062A" w:rsidRPr="00EE61F6" w:rsidRDefault="00CC062A" w:rsidP="005474ED">
            <w:pPr>
              <w:jc w:val="center"/>
              <w:rPr>
                <w:sz w:val="18"/>
                <w:szCs w:val="18"/>
              </w:rPr>
            </w:pPr>
            <w:r w:rsidRPr="00EE61F6">
              <w:rPr>
                <w:sz w:val="18"/>
                <w:szCs w:val="18"/>
              </w:rPr>
              <w:t>F(50,10)</w:t>
            </w:r>
          </w:p>
        </w:tc>
        <w:tc>
          <w:tcPr>
            <w:tcW w:w="776" w:type="pct"/>
            <w:tcBorders>
              <w:top w:val="nil"/>
              <w:left w:val="nil"/>
              <w:bottom w:val="single" w:sz="4" w:space="0" w:color="auto"/>
              <w:right w:val="single" w:sz="4" w:space="0" w:color="auto"/>
            </w:tcBorders>
            <w:shd w:val="clear" w:color="000000" w:fill="FFFFFF"/>
            <w:noWrap/>
            <w:vAlign w:val="center"/>
            <w:hideMark/>
          </w:tcPr>
          <w:p w14:paraId="53A7F5DE" w14:textId="77777777" w:rsidR="00CC062A" w:rsidRPr="006F6FE7" w:rsidRDefault="00CC062A" w:rsidP="005474ED">
            <w:pPr>
              <w:jc w:val="center"/>
              <w:rPr>
                <w:sz w:val="18"/>
                <w:szCs w:val="18"/>
              </w:rPr>
            </w:pPr>
            <w:r w:rsidRPr="006F6FE7">
              <w:rPr>
                <w:sz w:val="18"/>
                <w:szCs w:val="18"/>
              </w:rPr>
              <w:t>F(50,90)</w:t>
            </w:r>
          </w:p>
        </w:tc>
      </w:tr>
      <w:tr w:rsidR="00CC062A" w:rsidRPr="006F6FE7" w14:paraId="72E04AA9"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4CF81160" w14:textId="77777777" w:rsidR="00CC062A" w:rsidRPr="006F6FE7" w:rsidRDefault="00CC062A" w:rsidP="005474ED">
            <w:pPr>
              <w:jc w:val="right"/>
              <w:rPr>
                <w:sz w:val="18"/>
                <w:szCs w:val="18"/>
              </w:rPr>
            </w:pPr>
            <w:r w:rsidRPr="006F6FE7">
              <w:rPr>
                <w:sz w:val="18"/>
                <w:szCs w:val="18"/>
              </w:rPr>
              <w:t>Propagation curve set, analog</w:t>
            </w:r>
          </w:p>
        </w:tc>
        <w:tc>
          <w:tcPr>
            <w:tcW w:w="821" w:type="pct"/>
            <w:tcBorders>
              <w:top w:val="nil"/>
              <w:left w:val="nil"/>
              <w:bottom w:val="single" w:sz="4" w:space="0" w:color="auto"/>
              <w:right w:val="single" w:sz="4" w:space="0" w:color="auto"/>
            </w:tcBorders>
            <w:shd w:val="clear" w:color="000000" w:fill="FFFFFF"/>
            <w:noWrap/>
            <w:vAlign w:val="center"/>
            <w:hideMark/>
          </w:tcPr>
          <w:p w14:paraId="63BF6C1C" w14:textId="77777777" w:rsidR="00CC062A" w:rsidRPr="00EE61F6" w:rsidRDefault="00CC062A" w:rsidP="005474ED">
            <w:pPr>
              <w:jc w:val="center"/>
              <w:rPr>
                <w:sz w:val="18"/>
                <w:szCs w:val="18"/>
              </w:rPr>
            </w:pPr>
            <w:r w:rsidRPr="00EE61F6">
              <w:rPr>
                <w:sz w:val="18"/>
                <w:szCs w:val="18"/>
              </w:rPr>
              <w:t>F(50,10)</w:t>
            </w:r>
          </w:p>
        </w:tc>
        <w:tc>
          <w:tcPr>
            <w:tcW w:w="766" w:type="pct"/>
            <w:tcBorders>
              <w:top w:val="nil"/>
              <w:left w:val="nil"/>
              <w:bottom w:val="single" w:sz="4" w:space="0" w:color="auto"/>
              <w:right w:val="single" w:sz="4" w:space="0" w:color="auto"/>
            </w:tcBorders>
            <w:shd w:val="clear" w:color="000000" w:fill="FFFFFF"/>
            <w:noWrap/>
            <w:vAlign w:val="center"/>
            <w:hideMark/>
          </w:tcPr>
          <w:p w14:paraId="41A35F04" w14:textId="77777777" w:rsidR="00CC062A" w:rsidRPr="00EE61F6" w:rsidRDefault="00CC062A" w:rsidP="005474ED">
            <w:pPr>
              <w:jc w:val="center"/>
              <w:rPr>
                <w:sz w:val="18"/>
                <w:szCs w:val="18"/>
              </w:rPr>
            </w:pPr>
            <w:r w:rsidRPr="00EE61F6">
              <w:rPr>
                <w:sz w:val="18"/>
                <w:szCs w:val="18"/>
              </w:rPr>
              <w:t>F(50,10)</w:t>
            </w:r>
          </w:p>
        </w:tc>
        <w:tc>
          <w:tcPr>
            <w:tcW w:w="776" w:type="pct"/>
            <w:tcBorders>
              <w:top w:val="nil"/>
              <w:left w:val="nil"/>
              <w:bottom w:val="single" w:sz="4" w:space="0" w:color="auto"/>
              <w:right w:val="single" w:sz="4" w:space="0" w:color="auto"/>
            </w:tcBorders>
            <w:shd w:val="clear" w:color="000000" w:fill="FFFFFF"/>
            <w:noWrap/>
            <w:vAlign w:val="center"/>
            <w:hideMark/>
          </w:tcPr>
          <w:p w14:paraId="3380E50F" w14:textId="77777777" w:rsidR="00CC062A" w:rsidRPr="006F6FE7" w:rsidRDefault="00CC062A" w:rsidP="005474ED">
            <w:pPr>
              <w:jc w:val="center"/>
              <w:rPr>
                <w:sz w:val="18"/>
                <w:szCs w:val="18"/>
              </w:rPr>
            </w:pPr>
            <w:r w:rsidRPr="006F6FE7">
              <w:rPr>
                <w:sz w:val="18"/>
                <w:szCs w:val="18"/>
              </w:rPr>
              <w:t>F(50,50)</w:t>
            </w:r>
          </w:p>
        </w:tc>
      </w:tr>
      <w:tr w:rsidR="00CC062A" w:rsidRPr="006F6FE7" w14:paraId="2326B240"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219D29E9" w14:textId="77777777" w:rsidR="00CC062A" w:rsidRPr="006F6FE7" w:rsidRDefault="00CC062A" w:rsidP="005474ED">
            <w:pPr>
              <w:jc w:val="right"/>
              <w:rPr>
                <w:sz w:val="18"/>
                <w:szCs w:val="18"/>
              </w:rPr>
            </w:pPr>
            <w:r w:rsidRPr="006F6FE7">
              <w:rPr>
                <w:sz w:val="18"/>
                <w:szCs w:val="18"/>
              </w:rPr>
              <w:t>Truncate DTS service area</w:t>
            </w:r>
          </w:p>
        </w:tc>
        <w:tc>
          <w:tcPr>
            <w:tcW w:w="821" w:type="pct"/>
            <w:tcBorders>
              <w:top w:val="nil"/>
              <w:left w:val="nil"/>
              <w:bottom w:val="single" w:sz="4" w:space="0" w:color="auto"/>
              <w:right w:val="single" w:sz="4" w:space="0" w:color="auto"/>
            </w:tcBorders>
            <w:shd w:val="clear" w:color="000000" w:fill="FFFFFF"/>
            <w:noWrap/>
            <w:vAlign w:val="center"/>
            <w:hideMark/>
          </w:tcPr>
          <w:p w14:paraId="255D9481" w14:textId="77777777" w:rsidR="00CC062A" w:rsidRPr="00EE61F6" w:rsidRDefault="00CC062A" w:rsidP="005474ED">
            <w:pPr>
              <w:jc w:val="center"/>
              <w:rPr>
                <w:sz w:val="18"/>
                <w:szCs w:val="18"/>
              </w:rPr>
            </w:pPr>
            <w:r w:rsidRPr="00EE61F6">
              <w:rPr>
                <w:sz w:val="18"/>
                <w:szCs w:val="18"/>
              </w:rPr>
              <w:t>No</w:t>
            </w:r>
          </w:p>
        </w:tc>
        <w:tc>
          <w:tcPr>
            <w:tcW w:w="766" w:type="pct"/>
            <w:tcBorders>
              <w:top w:val="nil"/>
              <w:left w:val="nil"/>
              <w:bottom w:val="single" w:sz="4" w:space="0" w:color="auto"/>
              <w:right w:val="single" w:sz="4" w:space="0" w:color="auto"/>
            </w:tcBorders>
            <w:shd w:val="clear" w:color="000000" w:fill="FFFFFF"/>
            <w:noWrap/>
            <w:vAlign w:val="center"/>
            <w:hideMark/>
          </w:tcPr>
          <w:p w14:paraId="1216EFEF" w14:textId="77777777" w:rsidR="00CC062A" w:rsidRPr="00EE61F6" w:rsidRDefault="00CC062A" w:rsidP="005474ED">
            <w:pPr>
              <w:jc w:val="center"/>
              <w:rPr>
                <w:sz w:val="18"/>
                <w:szCs w:val="18"/>
              </w:rPr>
            </w:pPr>
            <w:r w:rsidRPr="00EE61F6">
              <w:rPr>
                <w:sz w:val="18"/>
                <w:szCs w:val="18"/>
              </w:rPr>
              <w:t>No</w:t>
            </w:r>
          </w:p>
        </w:tc>
        <w:tc>
          <w:tcPr>
            <w:tcW w:w="776" w:type="pct"/>
            <w:tcBorders>
              <w:top w:val="nil"/>
              <w:left w:val="nil"/>
              <w:bottom w:val="single" w:sz="4" w:space="0" w:color="auto"/>
              <w:right w:val="single" w:sz="4" w:space="0" w:color="auto"/>
            </w:tcBorders>
            <w:shd w:val="clear" w:color="000000" w:fill="FFFFFF"/>
            <w:noWrap/>
            <w:vAlign w:val="center"/>
            <w:hideMark/>
          </w:tcPr>
          <w:p w14:paraId="14FF59DA" w14:textId="77777777" w:rsidR="00CC062A" w:rsidRPr="006F6FE7" w:rsidRDefault="00CC062A" w:rsidP="005474ED">
            <w:pPr>
              <w:jc w:val="center"/>
              <w:rPr>
                <w:sz w:val="18"/>
                <w:szCs w:val="18"/>
              </w:rPr>
            </w:pPr>
            <w:r w:rsidRPr="006F6FE7">
              <w:rPr>
                <w:sz w:val="18"/>
                <w:szCs w:val="18"/>
              </w:rPr>
              <w:t>Yes</w:t>
            </w:r>
          </w:p>
        </w:tc>
      </w:tr>
      <w:tr w:rsidR="00CC062A" w:rsidRPr="006F6FE7" w14:paraId="3F73A404"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E91019E" w14:textId="77777777" w:rsidR="00CC062A" w:rsidRPr="006F6FE7" w:rsidRDefault="00CC062A" w:rsidP="005474ED">
            <w:pPr>
              <w:jc w:val="right"/>
              <w:rPr>
                <w:sz w:val="18"/>
                <w:szCs w:val="18"/>
              </w:rPr>
            </w:pPr>
            <w:r w:rsidRPr="006F6FE7">
              <w:rPr>
                <w:sz w:val="18"/>
                <w:szCs w:val="18"/>
              </w:rPr>
              <w:t>DTS distance limit, VHF low Zone I</w:t>
            </w:r>
          </w:p>
        </w:tc>
        <w:tc>
          <w:tcPr>
            <w:tcW w:w="821" w:type="pct"/>
            <w:tcBorders>
              <w:top w:val="nil"/>
              <w:left w:val="nil"/>
              <w:bottom w:val="single" w:sz="4" w:space="0" w:color="auto"/>
              <w:right w:val="single" w:sz="4" w:space="0" w:color="auto"/>
            </w:tcBorders>
            <w:shd w:val="clear" w:color="000000" w:fill="FFFFFF"/>
            <w:noWrap/>
            <w:vAlign w:val="center"/>
            <w:hideMark/>
          </w:tcPr>
          <w:p w14:paraId="3BF7BF00" w14:textId="77777777" w:rsidR="00CC062A" w:rsidRPr="006F6FE7" w:rsidRDefault="00CC062A" w:rsidP="005474ED">
            <w:pPr>
              <w:jc w:val="center"/>
              <w:rPr>
                <w:sz w:val="18"/>
                <w:szCs w:val="18"/>
              </w:rPr>
            </w:pPr>
            <w:r w:rsidRPr="006F6FE7">
              <w:rPr>
                <w:sz w:val="18"/>
                <w:szCs w:val="18"/>
              </w:rPr>
              <w:t>108</w:t>
            </w:r>
          </w:p>
        </w:tc>
        <w:tc>
          <w:tcPr>
            <w:tcW w:w="766" w:type="pct"/>
            <w:tcBorders>
              <w:top w:val="nil"/>
              <w:left w:val="nil"/>
              <w:bottom w:val="single" w:sz="4" w:space="0" w:color="auto"/>
              <w:right w:val="single" w:sz="4" w:space="0" w:color="auto"/>
            </w:tcBorders>
            <w:shd w:val="clear" w:color="000000" w:fill="FFFFFF"/>
            <w:noWrap/>
            <w:vAlign w:val="center"/>
            <w:hideMark/>
          </w:tcPr>
          <w:p w14:paraId="2A672A1C" w14:textId="77777777" w:rsidR="00CC062A" w:rsidRPr="006F6FE7" w:rsidRDefault="00CC062A" w:rsidP="005474ED">
            <w:pPr>
              <w:jc w:val="center"/>
              <w:rPr>
                <w:sz w:val="18"/>
                <w:szCs w:val="18"/>
              </w:rPr>
            </w:pPr>
            <w:r w:rsidRPr="006F6FE7">
              <w:rPr>
                <w:sz w:val="18"/>
                <w:szCs w:val="18"/>
              </w:rPr>
              <w:t>108</w:t>
            </w:r>
          </w:p>
        </w:tc>
        <w:tc>
          <w:tcPr>
            <w:tcW w:w="776" w:type="pct"/>
            <w:tcBorders>
              <w:top w:val="nil"/>
              <w:left w:val="nil"/>
              <w:bottom w:val="single" w:sz="4" w:space="0" w:color="auto"/>
              <w:right w:val="single" w:sz="4" w:space="0" w:color="auto"/>
            </w:tcBorders>
            <w:shd w:val="clear" w:color="000000" w:fill="FFFFFF"/>
            <w:noWrap/>
            <w:vAlign w:val="center"/>
            <w:hideMark/>
          </w:tcPr>
          <w:p w14:paraId="52C7361C" w14:textId="77777777" w:rsidR="00CC062A" w:rsidRPr="006F6FE7" w:rsidRDefault="00CC062A" w:rsidP="005474ED">
            <w:pPr>
              <w:jc w:val="center"/>
              <w:rPr>
                <w:sz w:val="18"/>
                <w:szCs w:val="18"/>
              </w:rPr>
            </w:pPr>
            <w:r w:rsidRPr="006F6FE7">
              <w:rPr>
                <w:sz w:val="18"/>
                <w:szCs w:val="18"/>
              </w:rPr>
              <w:t>108</w:t>
            </w:r>
          </w:p>
        </w:tc>
      </w:tr>
      <w:tr w:rsidR="00CC062A" w:rsidRPr="006F6FE7" w14:paraId="3D5FA544"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5268111B" w14:textId="77777777" w:rsidR="00CC062A" w:rsidRPr="006F6FE7" w:rsidRDefault="00CC062A" w:rsidP="005474ED">
            <w:pPr>
              <w:jc w:val="right"/>
              <w:rPr>
                <w:sz w:val="18"/>
                <w:szCs w:val="18"/>
              </w:rPr>
            </w:pPr>
            <w:r w:rsidRPr="006F6FE7">
              <w:rPr>
                <w:sz w:val="18"/>
                <w:szCs w:val="18"/>
              </w:rPr>
              <w:t>DTS distance limit, VHF low Zone II/III</w:t>
            </w:r>
          </w:p>
        </w:tc>
        <w:tc>
          <w:tcPr>
            <w:tcW w:w="821" w:type="pct"/>
            <w:tcBorders>
              <w:top w:val="nil"/>
              <w:left w:val="nil"/>
              <w:bottom w:val="single" w:sz="4" w:space="0" w:color="auto"/>
              <w:right w:val="single" w:sz="4" w:space="0" w:color="auto"/>
            </w:tcBorders>
            <w:shd w:val="clear" w:color="000000" w:fill="FFFFFF"/>
            <w:noWrap/>
            <w:vAlign w:val="center"/>
            <w:hideMark/>
          </w:tcPr>
          <w:p w14:paraId="7D6528F9" w14:textId="77777777" w:rsidR="00CC062A" w:rsidRPr="006F6FE7" w:rsidRDefault="00CC062A" w:rsidP="005474ED">
            <w:pPr>
              <w:jc w:val="center"/>
              <w:rPr>
                <w:sz w:val="18"/>
                <w:szCs w:val="18"/>
              </w:rPr>
            </w:pPr>
            <w:r w:rsidRPr="006F6FE7">
              <w:rPr>
                <w:sz w:val="18"/>
                <w:szCs w:val="18"/>
              </w:rPr>
              <w:t>128</w:t>
            </w:r>
          </w:p>
        </w:tc>
        <w:tc>
          <w:tcPr>
            <w:tcW w:w="766" w:type="pct"/>
            <w:tcBorders>
              <w:top w:val="nil"/>
              <w:left w:val="nil"/>
              <w:bottom w:val="single" w:sz="4" w:space="0" w:color="auto"/>
              <w:right w:val="single" w:sz="4" w:space="0" w:color="auto"/>
            </w:tcBorders>
            <w:shd w:val="clear" w:color="000000" w:fill="FFFFFF"/>
            <w:noWrap/>
            <w:vAlign w:val="center"/>
            <w:hideMark/>
          </w:tcPr>
          <w:p w14:paraId="2CE1D570" w14:textId="77777777" w:rsidR="00CC062A" w:rsidRPr="006F6FE7" w:rsidRDefault="00CC062A" w:rsidP="005474ED">
            <w:pPr>
              <w:jc w:val="center"/>
              <w:rPr>
                <w:sz w:val="18"/>
                <w:szCs w:val="18"/>
              </w:rPr>
            </w:pPr>
            <w:r w:rsidRPr="006F6FE7">
              <w:rPr>
                <w:sz w:val="18"/>
                <w:szCs w:val="18"/>
              </w:rPr>
              <w:t>128</w:t>
            </w:r>
          </w:p>
        </w:tc>
        <w:tc>
          <w:tcPr>
            <w:tcW w:w="776" w:type="pct"/>
            <w:tcBorders>
              <w:top w:val="nil"/>
              <w:left w:val="nil"/>
              <w:bottom w:val="single" w:sz="4" w:space="0" w:color="auto"/>
              <w:right w:val="single" w:sz="4" w:space="0" w:color="auto"/>
            </w:tcBorders>
            <w:shd w:val="clear" w:color="000000" w:fill="FFFFFF"/>
            <w:noWrap/>
            <w:vAlign w:val="center"/>
            <w:hideMark/>
          </w:tcPr>
          <w:p w14:paraId="6EC602A0" w14:textId="77777777" w:rsidR="00CC062A" w:rsidRPr="006F6FE7" w:rsidRDefault="00CC062A" w:rsidP="005474ED">
            <w:pPr>
              <w:jc w:val="center"/>
              <w:rPr>
                <w:sz w:val="18"/>
                <w:szCs w:val="18"/>
              </w:rPr>
            </w:pPr>
            <w:r w:rsidRPr="006F6FE7">
              <w:rPr>
                <w:sz w:val="18"/>
                <w:szCs w:val="18"/>
              </w:rPr>
              <w:t>128</w:t>
            </w:r>
          </w:p>
        </w:tc>
      </w:tr>
      <w:tr w:rsidR="00CC062A" w:rsidRPr="006F6FE7" w14:paraId="1172BD51"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9540656" w14:textId="77777777" w:rsidR="00CC062A" w:rsidRPr="006F6FE7" w:rsidRDefault="00CC062A" w:rsidP="005474ED">
            <w:pPr>
              <w:jc w:val="right"/>
              <w:rPr>
                <w:sz w:val="18"/>
                <w:szCs w:val="18"/>
              </w:rPr>
            </w:pPr>
            <w:r w:rsidRPr="006F6FE7">
              <w:rPr>
                <w:sz w:val="18"/>
                <w:szCs w:val="18"/>
              </w:rPr>
              <w:t>DTS distance limit, VHF high Zone I</w:t>
            </w:r>
          </w:p>
        </w:tc>
        <w:tc>
          <w:tcPr>
            <w:tcW w:w="821" w:type="pct"/>
            <w:tcBorders>
              <w:top w:val="nil"/>
              <w:left w:val="nil"/>
              <w:bottom w:val="single" w:sz="4" w:space="0" w:color="auto"/>
              <w:right w:val="single" w:sz="4" w:space="0" w:color="auto"/>
            </w:tcBorders>
            <w:shd w:val="clear" w:color="000000" w:fill="FFFFFF"/>
            <w:noWrap/>
            <w:vAlign w:val="center"/>
            <w:hideMark/>
          </w:tcPr>
          <w:p w14:paraId="4783C28B" w14:textId="77777777" w:rsidR="00CC062A" w:rsidRPr="006F6FE7" w:rsidRDefault="00CC062A" w:rsidP="005474ED">
            <w:pPr>
              <w:jc w:val="center"/>
              <w:rPr>
                <w:sz w:val="18"/>
                <w:szCs w:val="18"/>
              </w:rPr>
            </w:pPr>
            <w:r w:rsidRPr="006F6FE7">
              <w:rPr>
                <w:sz w:val="18"/>
                <w:szCs w:val="18"/>
              </w:rPr>
              <w:t>101</w:t>
            </w:r>
          </w:p>
        </w:tc>
        <w:tc>
          <w:tcPr>
            <w:tcW w:w="766" w:type="pct"/>
            <w:tcBorders>
              <w:top w:val="nil"/>
              <w:left w:val="nil"/>
              <w:bottom w:val="single" w:sz="4" w:space="0" w:color="auto"/>
              <w:right w:val="single" w:sz="4" w:space="0" w:color="auto"/>
            </w:tcBorders>
            <w:shd w:val="clear" w:color="000000" w:fill="FFFFFF"/>
            <w:noWrap/>
            <w:vAlign w:val="center"/>
            <w:hideMark/>
          </w:tcPr>
          <w:p w14:paraId="24CB3C45" w14:textId="77777777" w:rsidR="00CC062A" w:rsidRPr="006F6FE7" w:rsidRDefault="00CC062A" w:rsidP="005474ED">
            <w:pPr>
              <w:jc w:val="center"/>
              <w:rPr>
                <w:sz w:val="18"/>
                <w:szCs w:val="18"/>
              </w:rPr>
            </w:pPr>
            <w:r w:rsidRPr="006F6FE7">
              <w:rPr>
                <w:sz w:val="18"/>
                <w:szCs w:val="18"/>
              </w:rPr>
              <w:t>101</w:t>
            </w:r>
          </w:p>
        </w:tc>
        <w:tc>
          <w:tcPr>
            <w:tcW w:w="776" w:type="pct"/>
            <w:tcBorders>
              <w:top w:val="nil"/>
              <w:left w:val="nil"/>
              <w:bottom w:val="single" w:sz="4" w:space="0" w:color="auto"/>
              <w:right w:val="single" w:sz="4" w:space="0" w:color="auto"/>
            </w:tcBorders>
            <w:shd w:val="clear" w:color="000000" w:fill="FFFFFF"/>
            <w:noWrap/>
            <w:vAlign w:val="center"/>
            <w:hideMark/>
          </w:tcPr>
          <w:p w14:paraId="23D3DA84" w14:textId="77777777" w:rsidR="00CC062A" w:rsidRPr="006F6FE7" w:rsidRDefault="00CC062A" w:rsidP="005474ED">
            <w:pPr>
              <w:jc w:val="center"/>
              <w:rPr>
                <w:sz w:val="18"/>
                <w:szCs w:val="18"/>
              </w:rPr>
            </w:pPr>
            <w:r w:rsidRPr="006F6FE7">
              <w:rPr>
                <w:sz w:val="18"/>
                <w:szCs w:val="18"/>
              </w:rPr>
              <w:t>101</w:t>
            </w:r>
          </w:p>
        </w:tc>
      </w:tr>
      <w:tr w:rsidR="00CC062A" w:rsidRPr="006F6FE7" w14:paraId="6D9D1DE5"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9D58B36" w14:textId="77777777" w:rsidR="00CC062A" w:rsidRPr="006F6FE7" w:rsidRDefault="00CC062A" w:rsidP="005474ED">
            <w:pPr>
              <w:jc w:val="right"/>
              <w:rPr>
                <w:sz w:val="18"/>
                <w:szCs w:val="18"/>
              </w:rPr>
            </w:pPr>
            <w:r w:rsidRPr="006F6FE7">
              <w:rPr>
                <w:sz w:val="18"/>
                <w:szCs w:val="18"/>
              </w:rPr>
              <w:t>DTS distance limit, VHF high Zone II/III</w:t>
            </w:r>
          </w:p>
        </w:tc>
        <w:tc>
          <w:tcPr>
            <w:tcW w:w="821" w:type="pct"/>
            <w:tcBorders>
              <w:top w:val="nil"/>
              <w:left w:val="nil"/>
              <w:bottom w:val="single" w:sz="4" w:space="0" w:color="auto"/>
              <w:right w:val="single" w:sz="4" w:space="0" w:color="auto"/>
            </w:tcBorders>
            <w:shd w:val="clear" w:color="000000" w:fill="FFFFFF"/>
            <w:noWrap/>
            <w:vAlign w:val="center"/>
            <w:hideMark/>
          </w:tcPr>
          <w:p w14:paraId="104A9F11" w14:textId="77777777" w:rsidR="00CC062A" w:rsidRPr="006F6FE7" w:rsidRDefault="00CC062A" w:rsidP="005474ED">
            <w:pPr>
              <w:jc w:val="center"/>
              <w:rPr>
                <w:sz w:val="18"/>
                <w:szCs w:val="18"/>
              </w:rPr>
            </w:pPr>
            <w:r w:rsidRPr="006F6FE7">
              <w:rPr>
                <w:sz w:val="18"/>
                <w:szCs w:val="18"/>
              </w:rPr>
              <w:t>123</w:t>
            </w:r>
          </w:p>
        </w:tc>
        <w:tc>
          <w:tcPr>
            <w:tcW w:w="766" w:type="pct"/>
            <w:tcBorders>
              <w:top w:val="nil"/>
              <w:left w:val="nil"/>
              <w:bottom w:val="single" w:sz="4" w:space="0" w:color="auto"/>
              <w:right w:val="single" w:sz="4" w:space="0" w:color="auto"/>
            </w:tcBorders>
            <w:shd w:val="clear" w:color="000000" w:fill="FFFFFF"/>
            <w:noWrap/>
            <w:vAlign w:val="center"/>
            <w:hideMark/>
          </w:tcPr>
          <w:p w14:paraId="19C4F9D0" w14:textId="77777777" w:rsidR="00CC062A" w:rsidRPr="006F6FE7" w:rsidRDefault="00CC062A" w:rsidP="005474ED">
            <w:pPr>
              <w:jc w:val="center"/>
              <w:rPr>
                <w:sz w:val="18"/>
                <w:szCs w:val="18"/>
              </w:rPr>
            </w:pPr>
            <w:r w:rsidRPr="006F6FE7">
              <w:rPr>
                <w:sz w:val="18"/>
                <w:szCs w:val="18"/>
              </w:rPr>
              <w:t>123</w:t>
            </w:r>
          </w:p>
        </w:tc>
        <w:tc>
          <w:tcPr>
            <w:tcW w:w="776" w:type="pct"/>
            <w:tcBorders>
              <w:top w:val="nil"/>
              <w:left w:val="nil"/>
              <w:bottom w:val="single" w:sz="4" w:space="0" w:color="auto"/>
              <w:right w:val="single" w:sz="4" w:space="0" w:color="auto"/>
            </w:tcBorders>
            <w:shd w:val="clear" w:color="000000" w:fill="FFFFFF"/>
            <w:noWrap/>
            <w:vAlign w:val="center"/>
            <w:hideMark/>
          </w:tcPr>
          <w:p w14:paraId="34B0619A" w14:textId="77777777" w:rsidR="00CC062A" w:rsidRPr="006F6FE7" w:rsidRDefault="00CC062A" w:rsidP="005474ED">
            <w:pPr>
              <w:jc w:val="center"/>
              <w:rPr>
                <w:sz w:val="18"/>
                <w:szCs w:val="18"/>
              </w:rPr>
            </w:pPr>
            <w:r w:rsidRPr="006F6FE7">
              <w:rPr>
                <w:sz w:val="18"/>
                <w:szCs w:val="18"/>
              </w:rPr>
              <w:t>123</w:t>
            </w:r>
          </w:p>
        </w:tc>
      </w:tr>
      <w:tr w:rsidR="00CC062A" w:rsidRPr="006F6FE7" w14:paraId="42C9D996"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F90C8F0" w14:textId="77777777" w:rsidR="00CC062A" w:rsidRPr="006F6FE7" w:rsidRDefault="00CC062A" w:rsidP="005474ED">
            <w:pPr>
              <w:jc w:val="right"/>
              <w:rPr>
                <w:sz w:val="18"/>
                <w:szCs w:val="18"/>
              </w:rPr>
            </w:pPr>
            <w:r w:rsidRPr="006F6FE7">
              <w:rPr>
                <w:sz w:val="18"/>
                <w:szCs w:val="18"/>
              </w:rPr>
              <w:t>DTS distance limit, UHF</w:t>
            </w:r>
          </w:p>
        </w:tc>
        <w:tc>
          <w:tcPr>
            <w:tcW w:w="821" w:type="pct"/>
            <w:tcBorders>
              <w:top w:val="nil"/>
              <w:left w:val="nil"/>
              <w:bottom w:val="single" w:sz="4" w:space="0" w:color="auto"/>
              <w:right w:val="single" w:sz="4" w:space="0" w:color="auto"/>
            </w:tcBorders>
            <w:shd w:val="clear" w:color="000000" w:fill="FFFFFF"/>
            <w:noWrap/>
            <w:vAlign w:val="center"/>
            <w:hideMark/>
          </w:tcPr>
          <w:p w14:paraId="307964A6" w14:textId="77777777" w:rsidR="00CC062A" w:rsidRPr="006F6FE7" w:rsidRDefault="00CC062A" w:rsidP="005474ED">
            <w:pPr>
              <w:jc w:val="center"/>
              <w:rPr>
                <w:sz w:val="18"/>
                <w:szCs w:val="18"/>
              </w:rPr>
            </w:pPr>
            <w:r w:rsidRPr="006F6FE7">
              <w:rPr>
                <w:sz w:val="18"/>
                <w:szCs w:val="18"/>
              </w:rPr>
              <w:t>103</w:t>
            </w:r>
          </w:p>
        </w:tc>
        <w:tc>
          <w:tcPr>
            <w:tcW w:w="766" w:type="pct"/>
            <w:tcBorders>
              <w:top w:val="nil"/>
              <w:left w:val="nil"/>
              <w:bottom w:val="single" w:sz="4" w:space="0" w:color="auto"/>
              <w:right w:val="single" w:sz="4" w:space="0" w:color="auto"/>
            </w:tcBorders>
            <w:shd w:val="clear" w:color="000000" w:fill="FFFFFF"/>
            <w:noWrap/>
            <w:vAlign w:val="center"/>
            <w:hideMark/>
          </w:tcPr>
          <w:p w14:paraId="3C16F664" w14:textId="77777777" w:rsidR="00CC062A" w:rsidRPr="006F6FE7" w:rsidRDefault="00CC062A" w:rsidP="005474ED">
            <w:pPr>
              <w:jc w:val="center"/>
              <w:rPr>
                <w:sz w:val="18"/>
                <w:szCs w:val="18"/>
              </w:rPr>
            </w:pPr>
            <w:r w:rsidRPr="006F6FE7">
              <w:rPr>
                <w:sz w:val="18"/>
                <w:szCs w:val="18"/>
              </w:rPr>
              <w:t>103</w:t>
            </w:r>
          </w:p>
        </w:tc>
        <w:tc>
          <w:tcPr>
            <w:tcW w:w="776" w:type="pct"/>
            <w:tcBorders>
              <w:top w:val="nil"/>
              <w:left w:val="nil"/>
              <w:bottom w:val="single" w:sz="4" w:space="0" w:color="auto"/>
              <w:right w:val="single" w:sz="4" w:space="0" w:color="auto"/>
            </w:tcBorders>
            <w:shd w:val="clear" w:color="000000" w:fill="FFFFFF"/>
            <w:noWrap/>
            <w:vAlign w:val="center"/>
            <w:hideMark/>
          </w:tcPr>
          <w:p w14:paraId="57F73C1C" w14:textId="77777777" w:rsidR="00CC062A" w:rsidRPr="006F6FE7" w:rsidRDefault="00CC062A" w:rsidP="005474ED">
            <w:pPr>
              <w:jc w:val="center"/>
              <w:rPr>
                <w:sz w:val="18"/>
                <w:szCs w:val="18"/>
              </w:rPr>
            </w:pPr>
            <w:r w:rsidRPr="006F6FE7">
              <w:rPr>
                <w:sz w:val="18"/>
                <w:szCs w:val="18"/>
              </w:rPr>
              <w:t>103</w:t>
            </w:r>
          </w:p>
        </w:tc>
      </w:tr>
      <w:tr w:rsidR="00CC062A" w:rsidRPr="006F6FE7" w14:paraId="7248A0D1"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54AD1A0B" w14:textId="77777777" w:rsidR="00CC062A" w:rsidRPr="006F6FE7" w:rsidRDefault="00CC062A" w:rsidP="005474ED">
            <w:pPr>
              <w:jc w:val="right"/>
              <w:rPr>
                <w:sz w:val="18"/>
                <w:szCs w:val="18"/>
              </w:rPr>
            </w:pPr>
            <w:r w:rsidRPr="006F6FE7">
              <w:rPr>
                <w:sz w:val="18"/>
                <w:szCs w:val="18"/>
              </w:rPr>
              <w:t>HAAT radial count</w:t>
            </w:r>
          </w:p>
        </w:tc>
        <w:tc>
          <w:tcPr>
            <w:tcW w:w="821" w:type="pct"/>
            <w:tcBorders>
              <w:top w:val="nil"/>
              <w:left w:val="nil"/>
              <w:bottom w:val="single" w:sz="4" w:space="0" w:color="auto"/>
              <w:right w:val="single" w:sz="4" w:space="0" w:color="auto"/>
            </w:tcBorders>
            <w:shd w:val="clear" w:color="000000" w:fill="FFFFFF"/>
            <w:noWrap/>
            <w:vAlign w:val="center"/>
            <w:hideMark/>
          </w:tcPr>
          <w:p w14:paraId="0FCD0DF0" w14:textId="77777777" w:rsidR="00CC062A" w:rsidRPr="006F6FE7" w:rsidRDefault="00CC062A" w:rsidP="005474ED">
            <w:pPr>
              <w:jc w:val="center"/>
              <w:rPr>
                <w:sz w:val="18"/>
                <w:szCs w:val="18"/>
              </w:rPr>
            </w:pPr>
            <w:r w:rsidRPr="006F6FE7">
              <w:rPr>
                <w:sz w:val="18"/>
                <w:szCs w:val="18"/>
              </w:rPr>
              <w:t>8</w:t>
            </w:r>
          </w:p>
        </w:tc>
        <w:tc>
          <w:tcPr>
            <w:tcW w:w="766" w:type="pct"/>
            <w:tcBorders>
              <w:top w:val="nil"/>
              <w:left w:val="nil"/>
              <w:bottom w:val="single" w:sz="4" w:space="0" w:color="auto"/>
              <w:right w:val="single" w:sz="4" w:space="0" w:color="auto"/>
            </w:tcBorders>
            <w:shd w:val="clear" w:color="000000" w:fill="FFFFFF"/>
            <w:noWrap/>
            <w:vAlign w:val="center"/>
            <w:hideMark/>
          </w:tcPr>
          <w:p w14:paraId="489C5FEB" w14:textId="77777777" w:rsidR="00CC062A" w:rsidRPr="006F6FE7" w:rsidRDefault="00CC062A" w:rsidP="005474ED">
            <w:pPr>
              <w:jc w:val="center"/>
              <w:rPr>
                <w:sz w:val="18"/>
                <w:szCs w:val="18"/>
              </w:rPr>
            </w:pPr>
            <w:r w:rsidRPr="006F6FE7">
              <w:rPr>
                <w:sz w:val="18"/>
                <w:szCs w:val="18"/>
              </w:rPr>
              <w:t>8</w:t>
            </w:r>
          </w:p>
        </w:tc>
        <w:tc>
          <w:tcPr>
            <w:tcW w:w="776" w:type="pct"/>
            <w:tcBorders>
              <w:top w:val="nil"/>
              <w:left w:val="nil"/>
              <w:bottom w:val="single" w:sz="4" w:space="0" w:color="auto"/>
              <w:right w:val="single" w:sz="4" w:space="0" w:color="auto"/>
            </w:tcBorders>
            <w:shd w:val="clear" w:color="000000" w:fill="FFFFFF"/>
            <w:noWrap/>
            <w:vAlign w:val="center"/>
            <w:hideMark/>
          </w:tcPr>
          <w:p w14:paraId="321888E6" w14:textId="77777777" w:rsidR="00CC062A" w:rsidRPr="006F6FE7" w:rsidRDefault="00CC062A" w:rsidP="005474ED">
            <w:pPr>
              <w:jc w:val="center"/>
              <w:rPr>
                <w:sz w:val="18"/>
                <w:szCs w:val="18"/>
              </w:rPr>
            </w:pPr>
            <w:r w:rsidRPr="006F6FE7">
              <w:rPr>
                <w:sz w:val="18"/>
                <w:szCs w:val="18"/>
              </w:rPr>
              <w:t>8</w:t>
            </w:r>
          </w:p>
        </w:tc>
      </w:tr>
      <w:tr w:rsidR="00CC062A" w:rsidRPr="006F6FE7" w14:paraId="7E0EAA99"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674E53C8" w14:textId="77777777" w:rsidR="00CC062A" w:rsidRPr="006F6FE7" w:rsidRDefault="00CC062A" w:rsidP="005474ED">
            <w:pPr>
              <w:jc w:val="right"/>
              <w:rPr>
                <w:sz w:val="18"/>
                <w:szCs w:val="18"/>
              </w:rPr>
            </w:pPr>
            <w:r w:rsidRPr="006F6FE7">
              <w:rPr>
                <w:sz w:val="18"/>
                <w:szCs w:val="18"/>
              </w:rPr>
              <w:t>Minimum HAAT</w:t>
            </w:r>
          </w:p>
        </w:tc>
        <w:tc>
          <w:tcPr>
            <w:tcW w:w="821" w:type="pct"/>
            <w:tcBorders>
              <w:top w:val="nil"/>
              <w:left w:val="nil"/>
              <w:bottom w:val="single" w:sz="4" w:space="0" w:color="auto"/>
              <w:right w:val="single" w:sz="4" w:space="0" w:color="auto"/>
            </w:tcBorders>
            <w:shd w:val="clear" w:color="000000" w:fill="FFFFFF"/>
            <w:noWrap/>
            <w:vAlign w:val="center"/>
            <w:hideMark/>
          </w:tcPr>
          <w:p w14:paraId="42F10230" w14:textId="77777777" w:rsidR="00CC062A" w:rsidRPr="00EE61F6" w:rsidRDefault="00CC062A" w:rsidP="005474ED">
            <w:pPr>
              <w:jc w:val="center"/>
              <w:rPr>
                <w:sz w:val="18"/>
                <w:szCs w:val="18"/>
              </w:rPr>
            </w:pPr>
            <w:r w:rsidRPr="00EE61F6">
              <w:rPr>
                <w:sz w:val="18"/>
                <w:szCs w:val="18"/>
              </w:rPr>
              <w:t>50</w:t>
            </w:r>
          </w:p>
        </w:tc>
        <w:tc>
          <w:tcPr>
            <w:tcW w:w="766" w:type="pct"/>
            <w:tcBorders>
              <w:top w:val="nil"/>
              <w:left w:val="nil"/>
              <w:bottom w:val="single" w:sz="4" w:space="0" w:color="auto"/>
              <w:right w:val="single" w:sz="4" w:space="0" w:color="auto"/>
            </w:tcBorders>
            <w:shd w:val="clear" w:color="000000" w:fill="FFFFFF"/>
            <w:noWrap/>
            <w:vAlign w:val="center"/>
            <w:hideMark/>
          </w:tcPr>
          <w:p w14:paraId="32EDBFCF" w14:textId="77777777" w:rsidR="00CC062A" w:rsidRPr="00EE61F6" w:rsidRDefault="00CC062A" w:rsidP="005474ED">
            <w:pPr>
              <w:jc w:val="center"/>
              <w:rPr>
                <w:sz w:val="18"/>
                <w:szCs w:val="18"/>
              </w:rPr>
            </w:pPr>
            <w:r w:rsidRPr="00EE61F6">
              <w:rPr>
                <w:sz w:val="18"/>
                <w:szCs w:val="18"/>
              </w:rPr>
              <w:t>50</w:t>
            </w:r>
          </w:p>
        </w:tc>
        <w:tc>
          <w:tcPr>
            <w:tcW w:w="776" w:type="pct"/>
            <w:tcBorders>
              <w:top w:val="nil"/>
              <w:left w:val="nil"/>
              <w:bottom w:val="single" w:sz="4" w:space="0" w:color="auto"/>
              <w:right w:val="single" w:sz="4" w:space="0" w:color="auto"/>
            </w:tcBorders>
            <w:shd w:val="clear" w:color="000000" w:fill="FFFFFF"/>
            <w:noWrap/>
            <w:vAlign w:val="center"/>
            <w:hideMark/>
          </w:tcPr>
          <w:p w14:paraId="65E42FE7" w14:textId="77777777" w:rsidR="00CC062A" w:rsidRPr="006F6FE7" w:rsidRDefault="00CC062A" w:rsidP="005474ED">
            <w:pPr>
              <w:jc w:val="center"/>
              <w:rPr>
                <w:sz w:val="18"/>
                <w:szCs w:val="18"/>
              </w:rPr>
            </w:pPr>
            <w:r w:rsidRPr="006F6FE7">
              <w:rPr>
                <w:sz w:val="18"/>
                <w:szCs w:val="18"/>
              </w:rPr>
              <w:t>30.5</w:t>
            </w:r>
          </w:p>
        </w:tc>
      </w:tr>
      <w:tr w:rsidR="00CC062A" w:rsidRPr="006F6FE7" w14:paraId="05AC05CB"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3B3AF30" w14:textId="77777777" w:rsidR="00CC062A" w:rsidRPr="006F6FE7" w:rsidRDefault="00CC062A" w:rsidP="005474ED">
            <w:pPr>
              <w:jc w:val="right"/>
              <w:rPr>
                <w:sz w:val="18"/>
                <w:szCs w:val="18"/>
              </w:rPr>
            </w:pPr>
            <w:r w:rsidRPr="006F6FE7">
              <w:rPr>
                <w:sz w:val="18"/>
                <w:szCs w:val="18"/>
              </w:rPr>
              <w:t>Contour radial count</w:t>
            </w:r>
          </w:p>
        </w:tc>
        <w:tc>
          <w:tcPr>
            <w:tcW w:w="821" w:type="pct"/>
            <w:tcBorders>
              <w:top w:val="nil"/>
              <w:left w:val="nil"/>
              <w:bottom w:val="single" w:sz="4" w:space="0" w:color="auto"/>
              <w:right w:val="single" w:sz="4" w:space="0" w:color="auto"/>
            </w:tcBorders>
            <w:shd w:val="clear" w:color="000000" w:fill="FFFFFF"/>
            <w:noWrap/>
            <w:vAlign w:val="center"/>
            <w:hideMark/>
          </w:tcPr>
          <w:p w14:paraId="6F5484CC" w14:textId="77777777" w:rsidR="00CC062A" w:rsidRPr="006F6FE7" w:rsidRDefault="00CC062A" w:rsidP="005474ED">
            <w:pPr>
              <w:jc w:val="center"/>
              <w:rPr>
                <w:sz w:val="18"/>
                <w:szCs w:val="18"/>
              </w:rPr>
            </w:pPr>
            <w:r w:rsidRPr="006F6FE7">
              <w:rPr>
                <w:sz w:val="18"/>
                <w:szCs w:val="18"/>
              </w:rPr>
              <w:t>360</w:t>
            </w:r>
          </w:p>
        </w:tc>
        <w:tc>
          <w:tcPr>
            <w:tcW w:w="766" w:type="pct"/>
            <w:tcBorders>
              <w:top w:val="nil"/>
              <w:left w:val="nil"/>
              <w:bottom w:val="single" w:sz="4" w:space="0" w:color="auto"/>
              <w:right w:val="single" w:sz="4" w:space="0" w:color="auto"/>
            </w:tcBorders>
            <w:shd w:val="clear" w:color="000000" w:fill="FFFFFF"/>
            <w:noWrap/>
            <w:vAlign w:val="center"/>
            <w:hideMark/>
          </w:tcPr>
          <w:p w14:paraId="18778770" w14:textId="77777777" w:rsidR="00CC062A" w:rsidRPr="006F6FE7" w:rsidRDefault="00CC062A" w:rsidP="005474ED">
            <w:pPr>
              <w:jc w:val="center"/>
              <w:rPr>
                <w:sz w:val="18"/>
                <w:szCs w:val="18"/>
              </w:rPr>
            </w:pPr>
            <w:r w:rsidRPr="006F6FE7">
              <w:rPr>
                <w:sz w:val="18"/>
                <w:szCs w:val="18"/>
              </w:rPr>
              <w:t>360</w:t>
            </w:r>
          </w:p>
        </w:tc>
        <w:tc>
          <w:tcPr>
            <w:tcW w:w="776" w:type="pct"/>
            <w:tcBorders>
              <w:top w:val="nil"/>
              <w:left w:val="nil"/>
              <w:bottom w:val="single" w:sz="4" w:space="0" w:color="auto"/>
              <w:right w:val="single" w:sz="4" w:space="0" w:color="auto"/>
            </w:tcBorders>
            <w:shd w:val="clear" w:color="000000" w:fill="FFFFFF"/>
            <w:noWrap/>
            <w:vAlign w:val="center"/>
            <w:hideMark/>
          </w:tcPr>
          <w:p w14:paraId="3C939AF2" w14:textId="77777777" w:rsidR="00CC062A" w:rsidRPr="006F6FE7" w:rsidRDefault="00CC062A" w:rsidP="005474ED">
            <w:pPr>
              <w:jc w:val="center"/>
              <w:rPr>
                <w:sz w:val="18"/>
                <w:szCs w:val="18"/>
              </w:rPr>
            </w:pPr>
            <w:r w:rsidRPr="006F6FE7">
              <w:rPr>
                <w:sz w:val="18"/>
                <w:szCs w:val="18"/>
              </w:rPr>
              <w:t>360</w:t>
            </w:r>
          </w:p>
        </w:tc>
      </w:tr>
      <w:tr w:rsidR="00CC062A" w:rsidRPr="006F6FE7" w14:paraId="12458420"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366E1FD" w14:textId="77777777" w:rsidR="00CC062A" w:rsidRPr="006F6FE7" w:rsidRDefault="00CC062A" w:rsidP="005474ED">
            <w:pPr>
              <w:jc w:val="right"/>
              <w:rPr>
                <w:sz w:val="18"/>
                <w:szCs w:val="18"/>
              </w:rPr>
            </w:pPr>
            <w:r w:rsidRPr="006F6FE7">
              <w:rPr>
                <w:sz w:val="18"/>
                <w:szCs w:val="18"/>
              </w:rPr>
              <w:t>Service distance limit, VHF low</w:t>
            </w:r>
          </w:p>
        </w:tc>
        <w:tc>
          <w:tcPr>
            <w:tcW w:w="821" w:type="pct"/>
            <w:tcBorders>
              <w:top w:val="nil"/>
              <w:left w:val="nil"/>
              <w:bottom w:val="single" w:sz="4" w:space="0" w:color="auto"/>
              <w:right w:val="single" w:sz="4" w:space="0" w:color="auto"/>
            </w:tcBorders>
            <w:shd w:val="clear" w:color="000000" w:fill="FFFFFF"/>
            <w:noWrap/>
            <w:vAlign w:val="center"/>
            <w:hideMark/>
          </w:tcPr>
          <w:p w14:paraId="0CF864F4" w14:textId="77777777" w:rsidR="00CC062A" w:rsidRPr="006F6FE7" w:rsidRDefault="00CC062A" w:rsidP="005474ED">
            <w:pPr>
              <w:jc w:val="center"/>
              <w:rPr>
                <w:sz w:val="18"/>
                <w:szCs w:val="18"/>
              </w:rPr>
            </w:pPr>
            <w:r w:rsidRPr="006F6FE7">
              <w:rPr>
                <w:sz w:val="18"/>
                <w:szCs w:val="18"/>
              </w:rPr>
              <w:t>0</w:t>
            </w:r>
          </w:p>
        </w:tc>
        <w:tc>
          <w:tcPr>
            <w:tcW w:w="766" w:type="pct"/>
            <w:tcBorders>
              <w:top w:val="nil"/>
              <w:left w:val="nil"/>
              <w:bottom w:val="single" w:sz="4" w:space="0" w:color="auto"/>
              <w:right w:val="single" w:sz="4" w:space="0" w:color="auto"/>
            </w:tcBorders>
            <w:shd w:val="clear" w:color="000000" w:fill="FFFFFF"/>
            <w:noWrap/>
            <w:vAlign w:val="center"/>
            <w:hideMark/>
          </w:tcPr>
          <w:p w14:paraId="3045A767" w14:textId="77777777" w:rsidR="00CC062A" w:rsidRPr="006F6FE7" w:rsidRDefault="00CC062A" w:rsidP="005474ED">
            <w:pPr>
              <w:jc w:val="center"/>
              <w:rPr>
                <w:sz w:val="18"/>
                <w:szCs w:val="18"/>
              </w:rPr>
            </w:pPr>
            <w:r w:rsidRPr="006F6FE7">
              <w:rPr>
                <w:sz w:val="18"/>
                <w:szCs w:val="18"/>
              </w:rPr>
              <w:t>0</w:t>
            </w:r>
          </w:p>
        </w:tc>
        <w:tc>
          <w:tcPr>
            <w:tcW w:w="776" w:type="pct"/>
            <w:tcBorders>
              <w:top w:val="nil"/>
              <w:left w:val="nil"/>
              <w:bottom w:val="single" w:sz="4" w:space="0" w:color="auto"/>
              <w:right w:val="single" w:sz="4" w:space="0" w:color="auto"/>
            </w:tcBorders>
            <w:shd w:val="clear" w:color="000000" w:fill="FFFFFF"/>
            <w:noWrap/>
            <w:vAlign w:val="center"/>
            <w:hideMark/>
          </w:tcPr>
          <w:p w14:paraId="7B33EE2F" w14:textId="77777777" w:rsidR="00CC062A" w:rsidRPr="006F6FE7" w:rsidRDefault="00CC062A" w:rsidP="005474ED">
            <w:pPr>
              <w:jc w:val="center"/>
              <w:rPr>
                <w:sz w:val="18"/>
                <w:szCs w:val="18"/>
              </w:rPr>
            </w:pPr>
            <w:r w:rsidRPr="006F6FE7">
              <w:rPr>
                <w:sz w:val="18"/>
                <w:szCs w:val="18"/>
              </w:rPr>
              <w:t>0</w:t>
            </w:r>
          </w:p>
        </w:tc>
      </w:tr>
      <w:tr w:rsidR="00CC062A" w:rsidRPr="008F2405" w14:paraId="7DB58D8C"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FEA8DA1" w14:textId="11F0DFAD"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34481056" w14:textId="60C1AC77"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4BA78B95" w14:textId="0102290D"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75A2B2E2" w14:textId="4AED86B4" w:rsidR="00CC062A" w:rsidRPr="008F2405" w:rsidRDefault="00CC062A" w:rsidP="005474ED">
            <w:pPr>
              <w:jc w:val="center"/>
              <w:rPr>
                <w:color w:val="000000"/>
                <w:sz w:val="18"/>
                <w:szCs w:val="18"/>
              </w:rPr>
            </w:pPr>
          </w:p>
        </w:tc>
      </w:tr>
      <w:tr w:rsidR="00CC062A" w:rsidRPr="008F2405" w14:paraId="576BE050"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9042108" w14:textId="15557CF6"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6E73FC68" w14:textId="0BA7B8F2"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72A70D13" w14:textId="3C6ECBA5"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0DAD964E" w14:textId="01874778" w:rsidR="00CC062A" w:rsidRPr="008F2405" w:rsidRDefault="00CC062A" w:rsidP="005474ED">
            <w:pPr>
              <w:jc w:val="center"/>
              <w:rPr>
                <w:color w:val="000000"/>
                <w:sz w:val="18"/>
                <w:szCs w:val="18"/>
              </w:rPr>
            </w:pPr>
          </w:p>
        </w:tc>
      </w:tr>
    </w:tbl>
    <w:p w14:paraId="60893CD2" w14:textId="77777777" w:rsidR="005474ED" w:rsidRPr="006A744E" w:rsidRDefault="005474ED" w:rsidP="006A744E">
      <w:pPr>
        <w:jc w:val="center"/>
        <w:rPr>
          <w:b/>
          <w:sz w:val="12"/>
          <w:szCs w:val="12"/>
        </w:rPr>
      </w:pPr>
    </w:p>
    <w:tbl>
      <w:tblPr>
        <w:tblW w:w="4295" w:type="pct"/>
        <w:jc w:val="center"/>
        <w:tblLayout w:type="fixed"/>
        <w:tblLook w:val="04A0" w:firstRow="1" w:lastRow="0" w:firstColumn="1" w:lastColumn="0" w:noHBand="0" w:noVBand="1"/>
      </w:tblPr>
      <w:tblGrid>
        <w:gridCol w:w="4340"/>
        <w:gridCol w:w="1351"/>
        <w:gridCol w:w="1260"/>
        <w:gridCol w:w="1275"/>
      </w:tblGrid>
      <w:tr w:rsidR="00CC062A" w:rsidRPr="008F2405" w14:paraId="5048F257" w14:textId="77777777" w:rsidTr="00EE61F6">
        <w:trPr>
          <w:trHeight w:val="317"/>
          <w:tblHeader/>
          <w:jc w:val="center"/>
        </w:trPr>
        <w:tc>
          <w:tcPr>
            <w:tcW w:w="2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EF2360" w14:textId="77777777" w:rsidR="00CC062A" w:rsidRPr="008F2405" w:rsidRDefault="00CC062A" w:rsidP="006A744E">
            <w:pPr>
              <w:keepNext/>
              <w:rPr>
                <w:b/>
                <w:color w:val="000000"/>
                <w:sz w:val="18"/>
                <w:szCs w:val="18"/>
              </w:rPr>
            </w:pPr>
            <w:r w:rsidRPr="008F2405">
              <w:rPr>
                <w:b/>
                <w:color w:val="000000"/>
                <w:sz w:val="18"/>
                <w:szCs w:val="18"/>
              </w:rPr>
              <w:t>Pathloss</w:t>
            </w:r>
          </w:p>
        </w:tc>
        <w:tc>
          <w:tcPr>
            <w:tcW w:w="82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02CE09B" w14:textId="77777777" w:rsidR="00CC062A" w:rsidRPr="008F2405" w:rsidRDefault="00CC062A" w:rsidP="006A744E">
            <w:pPr>
              <w:keepNext/>
              <w:jc w:val="center"/>
              <w:rPr>
                <w:color w:val="000000"/>
                <w:sz w:val="18"/>
                <w:szCs w:val="18"/>
              </w:rPr>
            </w:pPr>
            <w:r w:rsidRPr="008F2405">
              <w:rPr>
                <w:b/>
                <w:color w:val="000000"/>
                <w:sz w:val="18"/>
                <w:szCs w:val="18"/>
              </w:rPr>
              <w:t>ISIX Case 1</w:t>
            </w:r>
          </w:p>
        </w:tc>
        <w:tc>
          <w:tcPr>
            <w:tcW w:w="76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B18622" w14:textId="77777777" w:rsidR="00CC062A" w:rsidRPr="008F2405" w:rsidRDefault="00CC062A" w:rsidP="006A744E">
            <w:pPr>
              <w:keepNext/>
              <w:jc w:val="center"/>
              <w:rPr>
                <w:color w:val="000000"/>
                <w:sz w:val="18"/>
                <w:szCs w:val="18"/>
              </w:rPr>
            </w:pPr>
            <w:r w:rsidRPr="008F2405">
              <w:rPr>
                <w:b/>
                <w:color w:val="000000"/>
                <w:sz w:val="18"/>
                <w:szCs w:val="18"/>
              </w:rPr>
              <w:t>ISIX Case 2</w:t>
            </w:r>
          </w:p>
        </w:tc>
        <w:tc>
          <w:tcPr>
            <w:tcW w:w="7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9738884" w14:textId="77777777" w:rsidR="00CC062A" w:rsidRPr="008F2405" w:rsidRDefault="00CC062A" w:rsidP="006A744E">
            <w:pPr>
              <w:keepNext/>
              <w:jc w:val="center"/>
              <w:rPr>
                <w:color w:val="000000"/>
                <w:sz w:val="18"/>
                <w:szCs w:val="18"/>
              </w:rPr>
            </w:pPr>
            <w:r w:rsidRPr="008F2405">
              <w:rPr>
                <w:b/>
                <w:color w:val="000000"/>
                <w:sz w:val="18"/>
                <w:szCs w:val="18"/>
              </w:rPr>
              <w:t>ISIX Case 3</w:t>
            </w:r>
          </w:p>
        </w:tc>
      </w:tr>
      <w:tr w:rsidR="00CC062A" w:rsidRPr="006F6FE7" w14:paraId="021D4C3A"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985CAE6" w14:textId="77777777" w:rsidR="00CC062A" w:rsidRPr="006F6FE7" w:rsidRDefault="00CC062A" w:rsidP="005474ED">
            <w:pPr>
              <w:jc w:val="right"/>
              <w:rPr>
                <w:sz w:val="18"/>
                <w:szCs w:val="18"/>
              </w:rPr>
            </w:pPr>
            <w:r w:rsidRPr="006F6FE7">
              <w:rPr>
                <w:sz w:val="18"/>
                <w:szCs w:val="18"/>
              </w:rPr>
              <w:t>Longley-Rice error handling</w:t>
            </w:r>
          </w:p>
        </w:tc>
        <w:tc>
          <w:tcPr>
            <w:tcW w:w="821" w:type="pct"/>
            <w:tcBorders>
              <w:top w:val="nil"/>
              <w:left w:val="nil"/>
              <w:bottom w:val="single" w:sz="4" w:space="0" w:color="auto"/>
              <w:right w:val="single" w:sz="4" w:space="0" w:color="auto"/>
            </w:tcBorders>
            <w:shd w:val="clear" w:color="000000" w:fill="FFFFFF"/>
            <w:noWrap/>
            <w:vAlign w:val="center"/>
            <w:hideMark/>
          </w:tcPr>
          <w:p w14:paraId="3CC5A47C" w14:textId="77777777" w:rsidR="00CC062A" w:rsidRPr="00EE61F6" w:rsidRDefault="00CC062A" w:rsidP="005474ED">
            <w:pPr>
              <w:jc w:val="center"/>
              <w:rPr>
                <w:sz w:val="18"/>
                <w:szCs w:val="18"/>
              </w:rPr>
            </w:pPr>
            <w:r w:rsidRPr="00EE61F6">
              <w:rPr>
                <w:sz w:val="18"/>
                <w:szCs w:val="18"/>
              </w:rPr>
              <w:t>Disregard</w:t>
            </w:r>
          </w:p>
        </w:tc>
        <w:tc>
          <w:tcPr>
            <w:tcW w:w="766" w:type="pct"/>
            <w:tcBorders>
              <w:top w:val="nil"/>
              <w:left w:val="nil"/>
              <w:bottom w:val="single" w:sz="4" w:space="0" w:color="auto"/>
              <w:right w:val="single" w:sz="4" w:space="0" w:color="auto"/>
            </w:tcBorders>
            <w:shd w:val="clear" w:color="000000" w:fill="FFFFFF"/>
            <w:noWrap/>
            <w:vAlign w:val="center"/>
            <w:hideMark/>
          </w:tcPr>
          <w:p w14:paraId="0543F51A" w14:textId="77777777" w:rsidR="00CC062A" w:rsidRPr="00EE61F6" w:rsidRDefault="00CC062A" w:rsidP="005474ED">
            <w:pPr>
              <w:jc w:val="center"/>
              <w:rPr>
                <w:sz w:val="18"/>
                <w:szCs w:val="18"/>
              </w:rPr>
            </w:pPr>
            <w:r w:rsidRPr="00EE61F6">
              <w:rPr>
                <w:sz w:val="18"/>
                <w:szCs w:val="18"/>
              </w:rPr>
              <w:t>Disregard</w:t>
            </w:r>
          </w:p>
        </w:tc>
        <w:tc>
          <w:tcPr>
            <w:tcW w:w="776" w:type="pct"/>
            <w:tcBorders>
              <w:top w:val="nil"/>
              <w:left w:val="nil"/>
              <w:bottom w:val="single" w:sz="4" w:space="0" w:color="auto"/>
              <w:right w:val="single" w:sz="4" w:space="0" w:color="auto"/>
            </w:tcBorders>
            <w:shd w:val="clear" w:color="000000" w:fill="FFFFFF"/>
            <w:noWrap/>
            <w:vAlign w:val="center"/>
            <w:hideMark/>
          </w:tcPr>
          <w:p w14:paraId="1B1EA7EF" w14:textId="77777777" w:rsidR="00CC062A" w:rsidRPr="00EE61F6" w:rsidRDefault="00CC062A" w:rsidP="005474ED">
            <w:pPr>
              <w:jc w:val="center"/>
              <w:rPr>
                <w:sz w:val="18"/>
                <w:szCs w:val="18"/>
              </w:rPr>
            </w:pPr>
            <w:r w:rsidRPr="00EE61F6">
              <w:rPr>
                <w:sz w:val="18"/>
                <w:szCs w:val="18"/>
              </w:rPr>
              <w:t>Disregard</w:t>
            </w:r>
          </w:p>
        </w:tc>
      </w:tr>
      <w:tr w:rsidR="00CC062A" w:rsidRPr="006F6FE7" w14:paraId="5D15299C"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901FCBA" w14:textId="77777777" w:rsidR="00CC062A" w:rsidRPr="006F6FE7" w:rsidRDefault="00CC062A" w:rsidP="005474ED">
            <w:pPr>
              <w:jc w:val="right"/>
              <w:rPr>
                <w:sz w:val="18"/>
                <w:szCs w:val="18"/>
              </w:rPr>
            </w:pPr>
            <w:r w:rsidRPr="006F6FE7">
              <w:rPr>
                <w:sz w:val="18"/>
                <w:szCs w:val="18"/>
              </w:rPr>
              <w:t>Receiver height AGL</w:t>
            </w:r>
          </w:p>
        </w:tc>
        <w:tc>
          <w:tcPr>
            <w:tcW w:w="821" w:type="pct"/>
            <w:tcBorders>
              <w:top w:val="nil"/>
              <w:left w:val="nil"/>
              <w:bottom w:val="single" w:sz="4" w:space="0" w:color="auto"/>
              <w:right w:val="single" w:sz="4" w:space="0" w:color="auto"/>
            </w:tcBorders>
            <w:shd w:val="clear" w:color="000000" w:fill="FFFFFF"/>
            <w:noWrap/>
            <w:vAlign w:val="center"/>
            <w:hideMark/>
          </w:tcPr>
          <w:p w14:paraId="1C493322" w14:textId="77777777" w:rsidR="00CC062A" w:rsidRPr="00EE61F6" w:rsidRDefault="00CC062A" w:rsidP="005474ED">
            <w:pPr>
              <w:jc w:val="center"/>
              <w:rPr>
                <w:sz w:val="18"/>
                <w:szCs w:val="18"/>
              </w:rPr>
            </w:pPr>
            <w:r w:rsidRPr="00EE61F6">
              <w:rPr>
                <w:sz w:val="18"/>
                <w:szCs w:val="18"/>
              </w:rPr>
              <w:t>30</w:t>
            </w:r>
          </w:p>
        </w:tc>
        <w:tc>
          <w:tcPr>
            <w:tcW w:w="766" w:type="pct"/>
            <w:tcBorders>
              <w:top w:val="nil"/>
              <w:left w:val="nil"/>
              <w:bottom w:val="single" w:sz="4" w:space="0" w:color="auto"/>
              <w:right w:val="single" w:sz="4" w:space="0" w:color="auto"/>
            </w:tcBorders>
            <w:shd w:val="clear" w:color="000000" w:fill="FFFFFF"/>
            <w:noWrap/>
            <w:vAlign w:val="center"/>
            <w:hideMark/>
          </w:tcPr>
          <w:p w14:paraId="3F3B5560" w14:textId="77777777" w:rsidR="00CC062A" w:rsidRPr="00EE61F6" w:rsidRDefault="00CC062A" w:rsidP="005474ED">
            <w:pPr>
              <w:jc w:val="center"/>
              <w:rPr>
                <w:sz w:val="18"/>
                <w:szCs w:val="18"/>
              </w:rPr>
            </w:pPr>
            <w:r w:rsidRPr="00EE61F6">
              <w:rPr>
                <w:sz w:val="18"/>
                <w:szCs w:val="18"/>
              </w:rPr>
              <w:t>1.5</w:t>
            </w:r>
          </w:p>
        </w:tc>
        <w:tc>
          <w:tcPr>
            <w:tcW w:w="776" w:type="pct"/>
            <w:tcBorders>
              <w:top w:val="nil"/>
              <w:left w:val="nil"/>
              <w:bottom w:val="single" w:sz="4" w:space="0" w:color="auto"/>
              <w:right w:val="single" w:sz="4" w:space="0" w:color="auto"/>
            </w:tcBorders>
            <w:shd w:val="clear" w:color="000000" w:fill="FFFFFF"/>
            <w:noWrap/>
            <w:vAlign w:val="center"/>
            <w:hideMark/>
          </w:tcPr>
          <w:p w14:paraId="62471C4A" w14:textId="77777777" w:rsidR="00CC062A" w:rsidRPr="006F6FE7" w:rsidRDefault="00CC062A" w:rsidP="005474ED">
            <w:pPr>
              <w:jc w:val="center"/>
              <w:rPr>
                <w:sz w:val="18"/>
                <w:szCs w:val="18"/>
              </w:rPr>
            </w:pPr>
            <w:r w:rsidRPr="006F6FE7">
              <w:rPr>
                <w:sz w:val="18"/>
                <w:szCs w:val="18"/>
              </w:rPr>
              <w:t>10</w:t>
            </w:r>
          </w:p>
        </w:tc>
      </w:tr>
      <w:tr w:rsidR="00CC062A" w:rsidRPr="006F6FE7" w14:paraId="2E725C2F"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FEA20A3" w14:textId="77777777" w:rsidR="00CC062A" w:rsidRPr="006F6FE7" w:rsidRDefault="00CC062A" w:rsidP="005474ED">
            <w:pPr>
              <w:jc w:val="right"/>
              <w:rPr>
                <w:sz w:val="18"/>
                <w:szCs w:val="18"/>
              </w:rPr>
            </w:pPr>
            <w:r w:rsidRPr="006F6FE7">
              <w:rPr>
                <w:sz w:val="18"/>
                <w:szCs w:val="18"/>
              </w:rPr>
              <w:t>Minimum transmitter height AGL</w:t>
            </w:r>
          </w:p>
        </w:tc>
        <w:tc>
          <w:tcPr>
            <w:tcW w:w="821" w:type="pct"/>
            <w:tcBorders>
              <w:top w:val="nil"/>
              <w:left w:val="nil"/>
              <w:bottom w:val="single" w:sz="4" w:space="0" w:color="auto"/>
              <w:right w:val="single" w:sz="4" w:space="0" w:color="auto"/>
            </w:tcBorders>
            <w:shd w:val="clear" w:color="000000" w:fill="FFFFFF"/>
            <w:noWrap/>
            <w:vAlign w:val="center"/>
            <w:hideMark/>
          </w:tcPr>
          <w:p w14:paraId="23F2D453" w14:textId="77777777" w:rsidR="00CC062A" w:rsidRPr="006F6FE7" w:rsidRDefault="00CC062A" w:rsidP="005474ED">
            <w:pPr>
              <w:jc w:val="center"/>
              <w:rPr>
                <w:sz w:val="18"/>
                <w:szCs w:val="18"/>
              </w:rPr>
            </w:pPr>
            <w:r w:rsidRPr="006F6FE7">
              <w:rPr>
                <w:sz w:val="18"/>
                <w:szCs w:val="18"/>
              </w:rPr>
              <w:t>10</w:t>
            </w:r>
          </w:p>
        </w:tc>
        <w:tc>
          <w:tcPr>
            <w:tcW w:w="766" w:type="pct"/>
            <w:tcBorders>
              <w:top w:val="nil"/>
              <w:left w:val="nil"/>
              <w:bottom w:val="single" w:sz="4" w:space="0" w:color="auto"/>
              <w:right w:val="single" w:sz="4" w:space="0" w:color="auto"/>
            </w:tcBorders>
            <w:shd w:val="clear" w:color="000000" w:fill="FFFFFF"/>
            <w:noWrap/>
            <w:vAlign w:val="center"/>
            <w:hideMark/>
          </w:tcPr>
          <w:p w14:paraId="35C83617" w14:textId="77777777" w:rsidR="00CC062A" w:rsidRPr="006F6FE7" w:rsidRDefault="00CC062A" w:rsidP="005474ED">
            <w:pPr>
              <w:jc w:val="center"/>
              <w:rPr>
                <w:sz w:val="18"/>
                <w:szCs w:val="18"/>
              </w:rPr>
            </w:pPr>
            <w:r w:rsidRPr="006F6FE7">
              <w:rPr>
                <w:sz w:val="18"/>
                <w:szCs w:val="18"/>
              </w:rPr>
              <w:t>10</w:t>
            </w:r>
          </w:p>
        </w:tc>
        <w:tc>
          <w:tcPr>
            <w:tcW w:w="776" w:type="pct"/>
            <w:tcBorders>
              <w:top w:val="nil"/>
              <w:left w:val="nil"/>
              <w:bottom w:val="single" w:sz="4" w:space="0" w:color="auto"/>
              <w:right w:val="single" w:sz="4" w:space="0" w:color="auto"/>
            </w:tcBorders>
            <w:shd w:val="clear" w:color="000000" w:fill="FFFFFF"/>
            <w:noWrap/>
            <w:vAlign w:val="center"/>
            <w:hideMark/>
          </w:tcPr>
          <w:p w14:paraId="5CCFE433" w14:textId="77777777" w:rsidR="00CC062A" w:rsidRPr="006F6FE7" w:rsidRDefault="00CC062A" w:rsidP="005474ED">
            <w:pPr>
              <w:jc w:val="center"/>
              <w:rPr>
                <w:sz w:val="18"/>
                <w:szCs w:val="18"/>
              </w:rPr>
            </w:pPr>
            <w:r w:rsidRPr="006F6FE7">
              <w:rPr>
                <w:sz w:val="18"/>
                <w:szCs w:val="18"/>
              </w:rPr>
              <w:t>10</w:t>
            </w:r>
          </w:p>
        </w:tc>
      </w:tr>
      <w:tr w:rsidR="00CC062A" w:rsidRPr="006F6FE7" w14:paraId="37EA5AA5"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44740E0" w14:textId="77777777" w:rsidR="00CC062A" w:rsidRPr="006F6FE7" w:rsidRDefault="00CC062A" w:rsidP="005474ED">
            <w:pPr>
              <w:jc w:val="right"/>
              <w:rPr>
                <w:sz w:val="18"/>
                <w:szCs w:val="18"/>
              </w:rPr>
            </w:pPr>
            <w:r w:rsidRPr="006F6FE7">
              <w:rPr>
                <w:sz w:val="18"/>
                <w:szCs w:val="18"/>
              </w:rPr>
              <w:t>Digital desired % location</w:t>
            </w:r>
          </w:p>
        </w:tc>
        <w:tc>
          <w:tcPr>
            <w:tcW w:w="821" w:type="pct"/>
            <w:tcBorders>
              <w:top w:val="nil"/>
              <w:left w:val="nil"/>
              <w:bottom w:val="single" w:sz="4" w:space="0" w:color="auto"/>
              <w:right w:val="single" w:sz="4" w:space="0" w:color="auto"/>
            </w:tcBorders>
            <w:shd w:val="clear" w:color="000000" w:fill="FFFFFF"/>
            <w:noWrap/>
            <w:vAlign w:val="center"/>
            <w:hideMark/>
          </w:tcPr>
          <w:p w14:paraId="6C90CE5A" w14:textId="77777777" w:rsidR="00CC062A" w:rsidRPr="006F6FE7" w:rsidRDefault="00CC062A" w:rsidP="005474ED">
            <w:pPr>
              <w:jc w:val="center"/>
              <w:rPr>
                <w:sz w:val="18"/>
                <w:szCs w:val="18"/>
              </w:rPr>
            </w:pPr>
            <w:r w:rsidRPr="006F6FE7">
              <w:rPr>
                <w:sz w:val="18"/>
                <w:szCs w:val="18"/>
              </w:rPr>
              <w:t>50</w:t>
            </w:r>
          </w:p>
        </w:tc>
        <w:tc>
          <w:tcPr>
            <w:tcW w:w="766" w:type="pct"/>
            <w:tcBorders>
              <w:top w:val="nil"/>
              <w:left w:val="nil"/>
              <w:bottom w:val="single" w:sz="4" w:space="0" w:color="auto"/>
              <w:right w:val="single" w:sz="4" w:space="0" w:color="auto"/>
            </w:tcBorders>
            <w:shd w:val="clear" w:color="000000" w:fill="FFFFFF"/>
            <w:noWrap/>
            <w:vAlign w:val="center"/>
            <w:hideMark/>
          </w:tcPr>
          <w:p w14:paraId="0A495201" w14:textId="77777777" w:rsidR="00CC062A" w:rsidRPr="006F6FE7" w:rsidRDefault="00CC062A" w:rsidP="005474ED">
            <w:pPr>
              <w:jc w:val="center"/>
              <w:rPr>
                <w:sz w:val="18"/>
                <w:szCs w:val="18"/>
              </w:rPr>
            </w:pPr>
            <w:r w:rsidRPr="006F6FE7">
              <w:rPr>
                <w:sz w:val="18"/>
                <w:szCs w:val="18"/>
              </w:rPr>
              <w:t>50</w:t>
            </w:r>
          </w:p>
        </w:tc>
        <w:tc>
          <w:tcPr>
            <w:tcW w:w="776" w:type="pct"/>
            <w:tcBorders>
              <w:top w:val="nil"/>
              <w:left w:val="nil"/>
              <w:bottom w:val="single" w:sz="4" w:space="0" w:color="auto"/>
              <w:right w:val="single" w:sz="4" w:space="0" w:color="auto"/>
            </w:tcBorders>
            <w:shd w:val="clear" w:color="000000" w:fill="FFFFFF"/>
            <w:noWrap/>
            <w:vAlign w:val="center"/>
            <w:hideMark/>
          </w:tcPr>
          <w:p w14:paraId="39DB94DB" w14:textId="77777777" w:rsidR="00CC062A" w:rsidRPr="006F6FE7" w:rsidRDefault="00CC062A" w:rsidP="005474ED">
            <w:pPr>
              <w:jc w:val="center"/>
              <w:rPr>
                <w:sz w:val="18"/>
                <w:szCs w:val="18"/>
              </w:rPr>
            </w:pPr>
            <w:r w:rsidRPr="006F6FE7">
              <w:rPr>
                <w:sz w:val="18"/>
                <w:szCs w:val="18"/>
              </w:rPr>
              <w:t>50</w:t>
            </w:r>
          </w:p>
        </w:tc>
      </w:tr>
      <w:tr w:rsidR="00CC062A" w:rsidRPr="006F6FE7" w14:paraId="11E1995A"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4A4318D" w14:textId="77777777" w:rsidR="00CC062A" w:rsidRPr="006F6FE7" w:rsidRDefault="00CC062A" w:rsidP="005474ED">
            <w:pPr>
              <w:jc w:val="right"/>
              <w:rPr>
                <w:sz w:val="18"/>
                <w:szCs w:val="18"/>
              </w:rPr>
            </w:pPr>
            <w:r w:rsidRPr="006F6FE7">
              <w:rPr>
                <w:sz w:val="18"/>
                <w:szCs w:val="18"/>
              </w:rPr>
              <w:t>Digital desired % time</w:t>
            </w:r>
          </w:p>
        </w:tc>
        <w:tc>
          <w:tcPr>
            <w:tcW w:w="821" w:type="pct"/>
            <w:tcBorders>
              <w:top w:val="nil"/>
              <w:left w:val="nil"/>
              <w:bottom w:val="single" w:sz="4" w:space="0" w:color="auto"/>
              <w:right w:val="single" w:sz="4" w:space="0" w:color="auto"/>
            </w:tcBorders>
            <w:shd w:val="clear" w:color="000000" w:fill="FFFFFF"/>
            <w:noWrap/>
            <w:vAlign w:val="center"/>
            <w:hideMark/>
          </w:tcPr>
          <w:p w14:paraId="1A0DBE40" w14:textId="77777777" w:rsidR="00CC062A" w:rsidRPr="00EE61F6" w:rsidRDefault="00CC062A" w:rsidP="005474ED">
            <w:pPr>
              <w:jc w:val="center"/>
              <w:rPr>
                <w:sz w:val="18"/>
                <w:szCs w:val="18"/>
              </w:rPr>
            </w:pPr>
            <w:r w:rsidRPr="00EE61F6">
              <w:rPr>
                <w:sz w:val="18"/>
                <w:szCs w:val="18"/>
              </w:rPr>
              <w:t>50</w:t>
            </w:r>
          </w:p>
        </w:tc>
        <w:tc>
          <w:tcPr>
            <w:tcW w:w="766" w:type="pct"/>
            <w:tcBorders>
              <w:top w:val="nil"/>
              <w:left w:val="nil"/>
              <w:bottom w:val="single" w:sz="4" w:space="0" w:color="auto"/>
              <w:right w:val="single" w:sz="4" w:space="0" w:color="auto"/>
            </w:tcBorders>
            <w:shd w:val="clear" w:color="000000" w:fill="FFFFFF"/>
            <w:noWrap/>
            <w:vAlign w:val="center"/>
            <w:hideMark/>
          </w:tcPr>
          <w:p w14:paraId="1C48506E" w14:textId="77777777" w:rsidR="00CC062A" w:rsidRPr="00EE61F6" w:rsidRDefault="00CC062A" w:rsidP="005474ED">
            <w:pPr>
              <w:jc w:val="center"/>
              <w:rPr>
                <w:sz w:val="18"/>
                <w:szCs w:val="18"/>
              </w:rPr>
            </w:pPr>
            <w:r w:rsidRPr="00EE61F6">
              <w:rPr>
                <w:sz w:val="18"/>
                <w:szCs w:val="18"/>
              </w:rPr>
              <w:t>50</w:t>
            </w:r>
          </w:p>
        </w:tc>
        <w:tc>
          <w:tcPr>
            <w:tcW w:w="776" w:type="pct"/>
            <w:tcBorders>
              <w:top w:val="nil"/>
              <w:left w:val="nil"/>
              <w:bottom w:val="single" w:sz="4" w:space="0" w:color="auto"/>
              <w:right w:val="single" w:sz="4" w:space="0" w:color="auto"/>
            </w:tcBorders>
            <w:shd w:val="clear" w:color="000000" w:fill="FFFFFF"/>
            <w:noWrap/>
            <w:vAlign w:val="center"/>
            <w:hideMark/>
          </w:tcPr>
          <w:p w14:paraId="1D4241C3" w14:textId="77777777" w:rsidR="00CC062A" w:rsidRPr="006F6FE7" w:rsidRDefault="00CC062A" w:rsidP="005474ED">
            <w:pPr>
              <w:jc w:val="center"/>
              <w:rPr>
                <w:sz w:val="18"/>
                <w:szCs w:val="18"/>
              </w:rPr>
            </w:pPr>
            <w:r w:rsidRPr="006F6FE7">
              <w:rPr>
                <w:sz w:val="18"/>
                <w:szCs w:val="18"/>
              </w:rPr>
              <w:t>90</w:t>
            </w:r>
          </w:p>
        </w:tc>
      </w:tr>
      <w:tr w:rsidR="00CC062A" w:rsidRPr="006F6FE7" w14:paraId="77897EF8"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6C4DE6D" w14:textId="77777777" w:rsidR="00CC062A" w:rsidRPr="006F6FE7" w:rsidRDefault="00CC062A" w:rsidP="005474ED">
            <w:pPr>
              <w:jc w:val="right"/>
              <w:rPr>
                <w:sz w:val="18"/>
                <w:szCs w:val="18"/>
              </w:rPr>
            </w:pPr>
            <w:r w:rsidRPr="006F6FE7">
              <w:rPr>
                <w:sz w:val="18"/>
                <w:szCs w:val="18"/>
              </w:rPr>
              <w:t>Digital desired % confidence</w:t>
            </w:r>
          </w:p>
        </w:tc>
        <w:tc>
          <w:tcPr>
            <w:tcW w:w="821" w:type="pct"/>
            <w:tcBorders>
              <w:top w:val="nil"/>
              <w:left w:val="nil"/>
              <w:bottom w:val="single" w:sz="4" w:space="0" w:color="auto"/>
              <w:right w:val="single" w:sz="4" w:space="0" w:color="auto"/>
            </w:tcBorders>
            <w:shd w:val="clear" w:color="000000" w:fill="FFFFFF"/>
            <w:noWrap/>
            <w:vAlign w:val="center"/>
            <w:hideMark/>
          </w:tcPr>
          <w:p w14:paraId="1995AF13" w14:textId="77777777" w:rsidR="00CC062A" w:rsidRPr="006F6FE7" w:rsidRDefault="00CC062A" w:rsidP="005474ED">
            <w:pPr>
              <w:jc w:val="center"/>
              <w:rPr>
                <w:sz w:val="18"/>
                <w:szCs w:val="18"/>
              </w:rPr>
            </w:pPr>
            <w:r w:rsidRPr="006F6FE7">
              <w:rPr>
                <w:sz w:val="18"/>
                <w:szCs w:val="18"/>
              </w:rPr>
              <w:t>50</w:t>
            </w:r>
          </w:p>
        </w:tc>
        <w:tc>
          <w:tcPr>
            <w:tcW w:w="766" w:type="pct"/>
            <w:tcBorders>
              <w:top w:val="nil"/>
              <w:left w:val="nil"/>
              <w:bottom w:val="single" w:sz="4" w:space="0" w:color="auto"/>
              <w:right w:val="single" w:sz="4" w:space="0" w:color="auto"/>
            </w:tcBorders>
            <w:shd w:val="clear" w:color="000000" w:fill="FFFFFF"/>
            <w:noWrap/>
            <w:vAlign w:val="center"/>
            <w:hideMark/>
          </w:tcPr>
          <w:p w14:paraId="1E6A3D94" w14:textId="77777777" w:rsidR="00CC062A" w:rsidRPr="006F6FE7" w:rsidRDefault="00CC062A" w:rsidP="005474ED">
            <w:pPr>
              <w:jc w:val="center"/>
              <w:rPr>
                <w:sz w:val="18"/>
                <w:szCs w:val="18"/>
              </w:rPr>
            </w:pPr>
            <w:r w:rsidRPr="006F6FE7">
              <w:rPr>
                <w:sz w:val="18"/>
                <w:szCs w:val="18"/>
              </w:rPr>
              <w:t>50</w:t>
            </w:r>
          </w:p>
        </w:tc>
        <w:tc>
          <w:tcPr>
            <w:tcW w:w="776" w:type="pct"/>
            <w:tcBorders>
              <w:top w:val="nil"/>
              <w:left w:val="nil"/>
              <w:bottom w:val="single" w:sz="4" w:space="0" w:color="auto"/>
              <w:right w:val="single" w:sz="4" w:space="0" w:color="auto"/>
            </w:tcBorders>
            <w:shd w:val="clear" w:color="000000" w:fill="FFFFFF"/>
            <w:noWrap/>
            <w:vAlign w:val="center"/>
            <w:hideMark/>
          </w:tcPr>
          <w:p w14:paraId="6CC909CA" w14:textId="77777777" w:rsidR="00CC062A" w:rsidRPr="006F6FE7" w:rsidRDefault="00CC062A" w:rsidP="005474ED">
            <w:pPr>
              <w:jc w:val="center"/>
              <w:rPr>
                <w:sz w:val="18"/>
                <w:szCs w:val="18"/>
              </w:rPr>
            </w:pPr>
            <w:r w:rsidRPr="006F6FE7">
              <w:rPr>
                <w:sz w:val="18"/>
                <w:szCs w:val="18"/>
              </w:rPr>
              <w:t>50</w:t>
            </w:r>
          </w:p>
        </w:tc>
      </w:tr>
      <w:tr w:rsidR="00CC062A" w:rsidRPr="006F6FE7" w14:paraId="6D13A177"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0D8E235" w14:textId="77777777" w:rsidR="00CC062A" w:rsidRPr="006F6FE7" w:rsidRDefault="00CC062A" w:rsidP="005474ED">
            <w:pPr>
              <w:jc w:val="right"/>
              <w:rPr>
                <w:sz w:val="18"/>
                <w:szCs w:val="18"/>
              </w:rPr>
            </w:pPr>
            <w:r w:rsidRPr="006F6FE7">
              <w:rPr>
                <w:sz w:val="18"/>
                <w:szCs w:val="18"/>
              </w:rPr>
              <w:t>Digital undesired % location</w:t>
            </w:r>
          </w:p>
        </w:tc>
        <w:tc>
          <w:tcPr>
            <w:tcW w:w="821" w:type="pct"/>
            <w:tcBorders>
              <w:top w:val="nil"/>
              <w:left w:val="nil"/>
              <w:bottom w:val="single" w:sz="4" w:space="0" w:color="auto"/>
              <w:right w:val="single" w:sz="4" w:space="0" w:color="auto"/>
            </w:tcBorders>
            <w:shd w:val="clear" w:color="000000" w:fill="FFFFFF"/>
            <w:noWrap/>
            <w:vAlign w:val="center"/>
            <w:hideMark/>
          </w:tcPr>
          <w:p w14:paraId="4B6AFDAB" w14:textId="77777777" w:rsidR="00CC062A" w:rsidRPr="006F6FE7" w:rsidRDefault="00CC062A" w:rsidP="005474ED">
            <w:pPr>
              <w:jc w:val="center"/>
              <w:rPr>
                <w:sz w:val="18"/>
                <w:szCs w:val="18"/>
              </w:rPr>
            </w:pPr>
            <w:r w:rsidRPr="006F6FE7">
              <w:rPr>
                <w:sz w:val="18"/>
                <w:szCs w:val="18"/>
              </w:rPr>
              <w:t>50</w:t>
            </w:r>
          </w:p>
        </w:tc>
        <w:tc>
          <w:tcPr>
            <w:tcW w:w="766" w:type="pct"/>
            <w:tcBorders>
              <w:top w:val="nil"/>
              <w:left w:val="nil"/>
              <w:bottom w:val="single" w:sz="4" w:space="0" w:color="auto"/>
              <w:right w:val="single" w:sz="4" w:space="0" w:color="auto"/>
            </w:tcBorders>
            <w:shd w:val="clear" w:color="000000" w:fill="FFFFFF"/>
            <w:noWrap/>
            <w:vAlign w:val="center"/>
            <w:hideMark/>
          </w:tcPr>
          <w:p w14:paraId="6292710B" w14:textId="77777777" w:rsidR="00CC062A" w:rsidRPr="006F6FE7" w:rsidRDefault="00CC062A" w:rsidP="005474ED">
            <w:pPr>
              <w:jc w:val="center"/>
              <w:rPr>
                <w:sz w:val="18"/>
                <w:szCs w:val="18"/>
              </w:rPr>
            </w:pPr>
            <w:r w:rsidRPr="006F6FE7">
              <w:rPr>
                <w:sz w:val="18"/>
                <w:szCs w:val="18"/>
              </w:rPr>
              <w:t>50</w:t>
            </w:r>
          </w:p>
        </w:tc>
        <w:tc>
          <w:tcPr>
            <w:tcW w:w="776" w:type="pct"/>
            <w:tcBorders>
              <w:top w:val="nil"/>
              <w:left w:val="nil"/>
              <w:bottom w:val="single" w:sz="4" w:space="0" w:color="auto"/>
              <w:right w:val="single" w:sz="4" w:space="0" w:color="auto"/>
            </w:tcBorders>
            <w:shd w:val="clear" w:color="000000" w:fill="FFFFFF"/>
            <w:noWrap/>
            <w:vAlign w:val="center"/>
            <w:hideMark/>
          </w:tcPr>
          <w:p w14:paraId="2707B0BA" w14:textId="77777777" w:rsidR="00CC062A" w:rsidRPr="006F6FE7" w:rsidRDefault="00CC062A" w:rsidP="005474ED">
            <w:pPr>
              <w:jc w:val="center"/>
              <w:rPr>
                <w:sz w:val="18"/>
                <w:szCs w:val="18"/>
              </w:rPr>
            </w:pPr>
            <w:r w:rsidRPr="006F6FE7">
              <w:rPr>
                <w:sz w:val="18"/>
                <w:szCs w:val="18"/>
              </w:rPr>
              <w:t>50</w:t>
            </w:r>
          </w:p>
        </w:tc>
      </w:tr>
      <w:tr w:rsidR="00CC062A" w:rsidRPr="006F6FE7" w14:paraId="1CFF3322"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25264087" w14:textId="77777777" w:rsidR="00CC062A" w:rsidRPr="006F6FE7" w:rsidRDefault="00CC062A" w:rsidP="005474ED">
            <w:pPr>
              <w:jc w:val="right"/>
              <w:rPr>
                <w:sz w:val="18"/>
                <w:szCs w:val="18"/>
              </w:rPr>
            </w:pPr>
            <w:r w:rsidRPr="006F6FE7">
              <w:rPr>
                <w:sz w:val="18"/>
                <w:szCs w:val="18"/>
              </w:rPr>
              <w:t>Digital undesired % confidence</w:t>
            </w:r>
          </w:p>
        </w:tc>
        <w:tc>
          <w:tcPr>
            <w:tcW w:w="821" w:type="pct"/>
            <w:tcBorders>
              <w:top w:val="nil"/>
              <w:left w:val="nil"/>
              <w:bottom w:val="single" w:sz="4" w:space="0" w:color="auto"/>
              <w:right w:val="single" w:sz="4" w:space="0" w:color="auto"/>
            </w:tcBorders>
            <w:shd w:val="clear" w:color="000000" w:fill="FFFFFF"/>
            <w:noWrap/>
            <w:vAlign w:val="center"/>
            <w:hideMark/>
          </w:tcPr>
          <w:p w14:paraId="47863CE8" w14:textId="77777777" w:rsidR="00CC062A" w:rsidRPr="006F6FE7" w:rsidRDefault="00CC062A" w:rsidP="005474ED">
            <w:pPr>
              <w:jc w:val="center"/>
              <w:rPr>
                <w:sz w:val="18"/>
                <w:szCs w:val="18"/>
              </w:rPr>
            </w:pPr>
            <w:r w:rsidRPr="006F6FE7">
              <w:rPr>
                <w:sz w:val="18"/>
                <w:szCs w:val="18"/>
              </w:rPr>
              <w:t>50</w:t>
            </w:r>
          </w:p>
        </w:tc>
        <w:tc>
          <w:tcPr>
            <w:tcW w:w="766" w:type="pct"/>
            <w:tcBorders>
              <w:top w:val="nil"/>
              <w:left w:val="nil"/>
              <w:bottom w:val="single" w:sz="4" w:space="0" w:color="auto"/>
              <w:right w:val="single" w:sz="4" w:space="0" w:color="auto"/>
            </w:tcBorders>
            <w:shd w:val="clear" w:color="000000" w:fill="FFFFFF"/>
            <w:noWrap/>
            <w:vAlign w:val="center"/>
            <w:hideMark/>
          </w:tcPr>
          <w:p w14:paraId="03DB5D29" w14:textId="77777777" w:rsidR="00CC062A" w:rsidRPr="006F6FE7" w:rsidRDefault="00CC062A" w:rsidP="005474ED">
            <w:pPr>
              <w:jc w:val="center"/>
              <w:rPr>
                <w:sz w:val="18"/>
                <w:szCs w:val="18"/>
              </w:rPr>
            </w:pPr>
            <w:r w:rsidRPr="006F6FE7">
              <w:rPr>
                <w:sz w:val="18"/>
                <w:szCs w:val="18"/>
              </w:rPr>
              <w:t>50</w:t>
            </w:r>
          </w:p>
        </w:tc>
        <w:tc>
          <w:tcPr>
            <w:tcW w:w="776" w:type="pct"/>
            <w:tcBorders>
              <w:top w:val="nil"/>
              <w:left w:val="nil"/>
              <w:bottom w:val="single" w:sz="4" w:space="0" w:color="auto"/>
              <w:right w:val="single" w:sz="4" w:space="0" w:color="auto"/>
            </w:tcBorders>
            <w:shd w:val="clear" w:color="000000" w:fill="FFFFFF"/>
            <w:noWrap/>
            <w:vAlign w:val="center"/>
            <w:hideMark/>
          </w:tcPr>
          <w:p w14:paraId="1191AF4F" w14:textId="77777777" w:rsidR="00CC062A" w:rsidRPr="006F6FE7" w:rsidRDefault="00CC062A" w:rsidP="005474ED">
            <w:pPr>
              <w:jc w:val="center"/>
              <w:rPr>
                <w:sz w:val="18"/>
                <w:szCs w:val="18"/>
              </w:rPr>
            </w:pPr>
            <w:r w:rsidRPr="006F6FE7">
              <w:rPr>
                <w:sz w:val="18"/>
                <w:szCs w:val="18"/>
              </w:rPr>
              <w:t>50</w:t>
            </w:r>
          </w:p>
        </w:tc>
      </w:tr>
      <w:tr w:rsidR="00CC062A" w:rsidRPr="006F6FE7" w14:paraId="2D979741"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5595322" w14:textId="77777777" w:rsidR="00CC062A" w:rsidRPr="006F6FE7" w:rsidRDefault="00CC062A" w:rsidP="005474ED">
            <w:pPr>
              <w:jc w:val="right"/>
              <w:rPr>
                <w:sz w:val="18"/>
                <w:szCs w:val="18"/>
              </w:rPr>
            </w:pPr>
            <w:r w:rsidRPr="006F6FE7">
              <w:rPr>
                <w:sz w:val="18"/>
                <w:szCs w:val="18"/>
              </w:rPr>
              <w:t>Analog desired % location</w:t>
            </w:r>
          </w:p>
        </w:tc>
        <w:tc>
          <w:tcPr>
            <w:tcW w:w="821" w:type="pct"/>
            <w:tcBorders>
              <w:top w:val="nil"/>
              <w:left w:val="nil"/>
              <w:bottom w:val="single" w:sz="4" w:space="0" w:color="auto"/>
              <w:right w:val="single" w:sz="4" w:space="0" w:color="auto"/>
            </w:tcBorders>
            <w:shd w:val="clear" w:color="000000" w:fill="FFFFFF"/>
            <w:noWrap/>
            <w:vAlign w:val="center"/>
            <w:hideMark/>
          </w:tcPr>
          <w:p w14:paraId="4ED6E02B" w14:textId="77777777" w:rsidR="00CC062A" w:rsidRPr="006F6FE7" w:rsidRDefault="00CC062A" w:rsidP="005474ED">
            <w:pPr>
              <w:jc w:val="center"/>
              <w:rPr>
                <w:sz w:val="18"/>
                <w:szCs w:val="18"/>
              </w:rPr>
            </w:pPr>
            <w:r w:rsidRPr="006F6FE7">
              <w:rPr>
                <w:sz w:val="18"/>
                <w:szCs w:val="18"/>
              </w:rPr>
              <w:t>50</w:t>
            </w:r>
          </w:p>
        </w:tc>
        <w:tc>
          <w:tcPr>
            <w:tcW w:w="766" w:type="pct"/>
            <w:tcBorders>
              <w:top w:val="nil"/>
              <w:left w:val="nil"/>
              <w:bottom w:val="single" w:sz="4" w:space="0" w:color="auto"/>
              <w:right w:val="single" w:sz="4" w:space="0" w:color="auto"/>
            </w:tcBorders>
            <w:shd w:val="clear" w:color="000000" w:fill="FFFFFF"/>
            <w:noWrap/>
            <w:vAlign w:val="center"/>
            <w:hideMark/>
          </w:tcPr>
          <w:p w14:paraId="2462C0E4" w14:textId="77777777" w:rsidR="00CC062A" w:rsidRPr="006F6FE7" w:rsidRDefault="00CC062A" w:rsidP="005474ED">
            <w:pPr>
              <w:jc w:val="center"/>
              <w:rPr>
                <w:sz w:val="18"/>
                <w:szCs w:val="18"/>
              </w:rPr>
            </w:pPr>
            <w:r w:rsidRPr="006F6FE7">
              <w:rPr>
                <w:sz w:val="18"/>
                <w:szCs w:val="18"/>
              </w:rPr>
              <w:t>50</w:t>
            </w:r>
          </w:p>
        </w:tc>
        <w:tc>
          <w:tcPr>
            <w:tcW w:w="776" w:type="pct"/>
            <w:tcBorders>
              <w:top w:val="nil"/>
              <w:left w:val="nil"/>
              <w:bottom w:val="single" w:sz="4" w:space="0" w:color="auto"/>
              <w:right w:val="single" w:sz="4" w:space="0" w:color="auto"/>
            </w:tcBorders>
            <w:shd w:val="clear" w:color="000000" w:fill="FFFFFF"/>
            <w:noWrap/>
            <w:vAlign w:val="center"/>
            <w:hideMark/>
          </w:tcPr>
          <w:p w14:paraId="7B8EBA8C" w14:textId="77777777" w:rsidR="00CC062A" w:rsidRPr="006F6FE7" w:rsidRDefault="00CC062A" w:rsidP="005474ED">
            <w:pPr>
              <w:jc w:val="center"/>
              <w:rPr>
                <w:sz w:val="18"/>
                <w:szCs w:val="18"/>
              </w:rPr>
            </w:pPr>
            <w:r w:rsidRPr="006F6FE7">
              <w:rPr>
                <w:sz w:val="18"/>
                <w:szCs w:val="18"/>
              </w:rPr>
              <w:t>50</w:t>
            </w:r>
          </w:p>
        </w:tc>
      </w:tr>
      <w:tr w:rsidR="00CC062A" w:rsidRPr="008F2405" w14:paraId="4C15AF76"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2B925EF9" w14:textId="3DCD87DB"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29523F70" w14:textId="10E1BE6B"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53588261" w14:textId="3F52D65A"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058EA326" w14:textId="67F61F79" w:rsidR="00CC062A" w:rsidRPr="008F2405" w:rsidRDefault="00CC062A" w:rsidP="005474ED">
            <w:pPr>
              <w:jc w:val="center"/>
              <w:rPr>
                <w:color w:val="000000"/>
                <w:sz w:val="18"/>
                <w:szCs w:val="18"/>
              </w:rPr>
            </w:pPr>
          </w:p>
        </w:tc>
      </w:tr>
      <w:tr w:rsidR="00CC062A" w:rsidRPr="008F2405" w14:paraId="019BD59B"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6F926B8" w14:textId="68224A8F"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4F4F4D6A" w14:textId="0693357B"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3059BCFE" w14:textId="587767E1"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7DB41BCF" w14:textId="77D9056A" w:rsidR="00CC062A" w:rsidRPr="008F2405" w:rsidRDefault="00CC062A" w:rsidP="005474ED">
            <w:pPr>
              <w:jc w:val="center"/>
              <w:rPr>
                <w:color w:val="000000"/>
                <w:sz w:val="18"/>
                <w:szCs w:val="18"/>
              </w:rPr>
            </w:pPr>
          </w:p>
        </w:tc>
      </w:tr>
      <w:tr w:rsidR="00CC062A" w:rsidRPr="008F2405" w14:paraId="44B78B81"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525E4318" w14:textId="5BB1BC2D"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0540DADF" w14:textId="4C8CF02D"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24195236" w14:textId="55E6C26B"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7A73BA1B" w14:textId="10BD5512" w:rsidR="00CC062A" w:rsidRPr="008F2405" w:rsidRDefault="00CC062A" w:rsidP="005474ED">
            <w:pPr>
              <w:jc w:val="center"/>
              <w:rPr>
                <w:color w:val="000000"/>
                <w:sz w:val="18"/>
                <w:szCs w:val="18"/>
              </w:rPr>
            </w:pPr>
          </w:p>
        </w:tc>
      </w:tr>
      <w:tr w:rsidR="00CC062A" w:rsidRPr="008F2405" w14:paraId="21C2E3E5"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506FAAB4" w14:textId="4A7550FB"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66F4A93C" w14:textId="11B084EE"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530D4793" w14:textId="3BE84679"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3F7FB801" w14:textId="58E469A5" w:rsidR="00CC062A" w:rsidRPr="008F2405" w:rsidRDefault="00CC062A" w:rsidP="005474ED">
            <w:pPr>
              <w:jc w:val="center"/>
              <w:rPr>
                <w:color w:val="000000"/>
                <w:sz w:val="18"/>
                <w:szCs w:val="18"/>
              </w:rPr>
            </w:pPr>
          </w:p>
        </w:tc>
      </w:tr>
      <w:tr w:rsidR="00CC062A" w:rsidRPr="008F2405" w14:paraId="7B2D128C"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4CAD8063" w14:textId="4DB5C90A"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372338A5" w14:textId="51EE6643"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5D40F43F" w14:textId="41D60C2E"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1FE6FAB7" w14:textId="4B9E1382" w:rsidR="00CC062A" w:rsidRPr="008F2405" w:rsidRDefault="00CC062A" w:rsidP="005474ED">
            <w:pPr>
              <w:jc w:val="center"/>
              <w:rPr>
                <w:color w:val="000000"/>
                <w:sz w:val="18"/>
                <w:szCs w:val="18"/>
              </w:rPr>
            </w:pPr>
          </w:p>
        </w:tc>
      </w:tr>
      <w:tr w:rsidR="00CC062A" w:rsidRPr="008F2405" w14:paraId="1A3DE154"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0B2D7D6C" w14:textId="0A5F310E"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6B3155C0" w14:textId="00E99CDD"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5EB38575" w14:textId="1D33754C"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2813CA1F" w14:textId="5A27A220" w:rsidR="00CC062A" w:rsidRPr="008F2405" w:rsidRDefault="00CC062A" w:rsidP="005474ED">
            <w:pPr>
              <w:jc w:val="center"/>
              <w:rPr>
                <w:color w:val="000000"/>
                <w:sz w:val="18"/>
                <w:szCs w:val="18"/>
              </w:rPr>
            </w:pPr>
          </w:p>
        </w:tc>
      </w:tr>
      <w:tr w:rsidR="00CC062A" w:rsidRPr="008F2405" w14:paraId="0CD33AF3"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52FA13BA" w14:textId="3D838FD6"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5ED3B9F5" w14:textId="7B31DDAE"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7B91E1B7" w14:textId="43124D5A"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268D1109" w14:textId="302E5A2D" w:rsidR="00CC062A" w:rsidRPr="008F2405" w:rsidRDefault="00CC062A" w:rsidP="005474ED">
            <w:pPr>
              <w:jc w:val="center"/>
              <w:rPr>
                <w:color w:val="000000"/>
                <w:sz w:val="18"/>
                <w:szCs w:val="18"/>
              </w:rPr>
            </w:pPr>
          </w:p>
        </w:tc>
      </w:tr>
      <w:tr w:rsidR="00CC062A" w:rsidRPr="008F2405" w14:paraId="2086DD56"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1E8923FE" w14:textId="7D463A13"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0E368518" w14:textId="0A2EE0EB"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5C9C9793" w14:textId="43774E25"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7E6FC288" w14:textId="52FDB2D0" w:rsidR="00CC062A" w:rsidRPr="008F2405" w:rsidRDefault="00CC062A" w:rsidP="005474ED">
            <w:pPr>
              <w:jc w:val="center"/>
              <w:rPr>
                <w:color w:val="000000"/>
                <w:sz w:val="18"/>
                <w:szCs w:val="18"/>
              </w:rPr>
            </w:pPr>
          </w:p>
        </w:tc>
      </w:tr>
      <w:tr w:rsidR="00CC062A" w:rsidRPr="008F2405" w14:paraId="4E8259CB"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0E5DE84" w14:textId="69C1B971"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3D966996" w14:textId="47F402C3"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4E5D6E3E" w14:textId="771ABD17"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715B16B0" w14:textId="57D51BC8" w:rsidR="00CC062A" w:rsidRPr="008F2405" w:rsidRDefault="00CC062A" w:rsidP="005474ED">
            <w:pPr>
              <w:jc w:val="center"/>
              <w:rPr>
                <w:color w:val="000000"/>
                <w:sz w:val="18"/>
                <w:szCs w:val="18"/>
              </w:rPr>
            </w:pPr>
          </w:p>
        </w:tc>
      </w:tr>
      <w:tr w:rsidR="00CC062A" w:rsidRPr="008F2405" w14:paraId="091D3B22"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79BBA453" w14:textId="2597AE3C" w:rsidR="00CC062A" w:rsidRPr="008F2405" w:rsidRDefault="00CC062A" w:rsidP="005474ED">
            <w:pPr>
              <w:jc w:val="right"/>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2E9BED5A" w14:textId="470400D3" w:rsidR="00CC062A" w:rsidRPr="008F2405" w:rsidRDefault="00CC062A" w:rsidP="005474ED">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2EED706F" w14:textId="7FA06DFF" w:rsidR="00CC062A" w:rsidRPr="008F2405" w:rsidRDefault="00CC062A" w:rsidP="005474ED">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65FF2AE3" w14:textId="48A8DD8D" w:rsidR="00CC062A" w:rsidRPr="008F2405" w:rsidRDefault="00CC062A" w:rsidP="005474ED">
            <w:pPr>
              <w:jc w:val="center"/>
              <w:rPr>
                <w:color w:val="000000"/>
                <w:sz w:val="18"/>
                <w:szCs w:val="18"/>
              </w:rPr>
            </w:pPr>
          </w:p>
        </w:tc>
      </w:tr>
    </w:tbl>
    <w:p w14:paraId="417233B6" w14:textId="77777777" w:rsidR="001D30A0" w:rsidRPr="006A744E" w:rsidRDefault="001D30A0" w:rsidP="006A744E">
      <w:pPr>
        <w:jc w:val="center"/>
        <w:rPr>
          <w:sz w:val="12"/>
          <w:szCs w:val="12"/>
        </w:rPr>
      </w:pPr>
    </w:p>
    <w:tbl>
      <w:tblPr>
        <w:tblW w:w="4295" w:type="pct"/>
        <w:jc w:val="center"/>
        <w:tblLayout w:type="fixed"/>
        <w:tblLook w:val="04A0" w:firstRow="1" w:lastRow="0" w:firstColumn="1" w:lastColumn="0" w:noHBand="0" w:noVBand="1"/>
      </w:tblPr>
      <w:tblGrid>
        <w:gridCol w:w="4340"/>
        <w:gridCol w:w="1351"/>
        <w:gridCol w:w="1260"/>
        <w:gridCol w:w="1275"/>
      </w:tblGrid>
      <w:tr w:rsidR="00CC062A" w:rsidRPr="008F2405" w14:paraId="49754728" w14:textId="77777777" w:rsidTr="00EE61F6">
        <w:trPr>
          <w:trHeight w:val="317"/>
          <w:tblHeader/>
          <w:jc w:val="center"/>
        </w:trPr>
        <w:tc>
          <w:tcPr>
            <w:tcW w:w="2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53694F9" w14:textId="77777777" w:rsidR="00CC062A" w:rsidRPr="008F2405" w:rsidRDefault="00CC062A" w:rsidP="006A744E">
            <w:pPr>
              <w:keepNext/>
              <w:rPr>
                <w:b/>
                <w:color w:val="000000"/>
                <w:sz w:val="18"/>
                <w:szCs w:val="18"/>
              </w:rPr>
            </w:pPr>
            <w:r w:rsidRPr="008F2405">
              <w:rPr>
                <w:b/>
                <w:color w:val="000000"/>
                <w:sz w:val="18"/>
                <w:szCs w:val="18"/>
              </w:rPr>
              <w:t>Service</w:t>
            </w:r>
          </w:p>
        </w:tc>
        <w:tc>
          <w:tcPr>
            <w:tcW w:w="82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9FDF5B7" w14:textId="77777777" w:rsidR="00CC062A" w:rsidRPr="008F2405" w:rsidRDefault="00CC062A" w:rsidP="006A744E">
            <w:pPr>
              <w:keepNext/>
              <w:jc w:val="center"/>
              <w:rPr>
                <w:color w:val="000000"/>
                <w:sz w:val="18"/>
                <w:szCs w:val="18"/>
              </w:rPr>
            </w:pPr>
            <w:r w:rsidRPr="008F2405">
              <w:rPr>
                <w:b/>
                <w:color w:val="000000"/>
                <w:sz w:val="18"/>
                <w:szCs w:val="18"/>
              </w:rPr>
              <w:t>ISIX Case 1</w:t>
            </w:r>
          </w:p>
        </w:tc>
        <w:tc>
          <w:tcPr>
            <w:tcW w:w="76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C83E7B" w14:textId="77777777" w:rsidR="00CC062A" w:rsidRPr="008F2405" w:rsidRDefault="00CC062A" w:rsidP="006A744E">
            <w:pPr>
              <w:keepNext/>
              <w:jc w:val="center"/>
              <w:rPr>
                <w:color w:val="000000"/>
                <w:sz w:val="18"/>
                <w:szCs w:val="18"/>
              </w:rPr>
            </w:pPr>
            <w:r w:rsidRPr="008F2405">
              <w:rPr>
                <w:b/>
                <w:color w:val="000000"/>
                <w:sz w:val="18"/>
                <w:szCs w:val="18"/>
              </w:rPr>
              <w:t>ISIX Case 2</w:t>
            </w:r>
          </w:p>
        </w:tc>
        <w:tc>
          <w:tcPr>
            <w:tcW w:w="7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1B5B9" w14:textId="77777777" w:rsidR="00CC062A" w:rsidRPr="008F2405" w:rsidRDefault="00CC062A" w:rsidP="006A744E">
            <w:pPr>
              <w:keepNext/>
              <w:jc w:val="center"/>
              <w:rPr>
                <w:color w:val="000000"/>
                <w:sz w:val="18"/>
                <w:szCs w:val="18"/>
              </w:rPr>
            </w:pPr>
            <w:r w:rsidRPr="008F2405">
              <w:rPr>
                <w:b/>
                <w:color w:val="000000"/>
                <w:sz w:val="18"/>
                <w:szCs w:val="18"/>
              </w:rPr>
              <w:t>ISIX Case 3</w:t>
            </w:r>
          </w:p>
        </w:tc>
      </w:tr>
      <w:tr w:rsidR="00CC062A" w:rsidRPr="008F2405" w14:paraId="1026A036"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3337B847" w14:textId="1148451D" w:rsidR="00CC062A" w:rsidRPr="008F2405" w:rsidRDefault="00CC062A" w:rsidP="000A74BA">
            <w:pPr>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7BA54119" w14:textId="1C9029AD"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0DBF5CF6" w14:textId="619B97E7"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015E0D08" w14:textId="291F72C1" w:rsidR="00CC062A" w:rsidRPr="008F2405" w:rsidRDefault="00CC062A" w:rsidP="000A74BA">
            <w:pPr>
              <w:jc w:val="center"/>
              <w:rPr>
                <w:color w:val="000000"/>
                <w:sz w:val="18"/>
                <w:szCs w:val="18"/>
              </w:rPr>
            </w:pPr>
          </w:p>
        </w:tc>
      </w:tr>
    </w:tbl>
    <w:p w14:paraId="34DCE2DA" w14:textId="77777777" w:rsidR="001D30A0" w:rsidRPr="006A744E" w:rsidRDefault="001D30A0" w:rsidP="006A744E">
      <w:pPr>
        <w:jc w:val="center"/>
        <w:rPr>
          <w:sz w:val="12"/>
          <w:szCs w:val="12"/>
        </w:rPr>
      </w:pPr>
    </w:p>
    <w:tbl>
      <w:tblPr>
        <w:tblW w:w="4295" w:type="pct"/>
        <w:jc w:val="center"/>
        <w:tblLayout w:type="fixed"/>
        <w:tblLook w:val="04A0" w:firstRow="1" w:lastRow="0" w:firstColumn="1" w:lastColumn="0" w:noHBand="0" w:noVBand="1"/>
      </w:tblPr>
      <w:tblGrid>
        <w:gridCol w:w="4340"/>
        <w:gridCol w:w="1351"/>
        <w:gridCol w:w="1260"/>
        <w:gridCol w:w="1275"/>
      </w:tblGrid>
      <w:tr w:rsidR="00CC062A" w:rsidRPr="008F2405" w14:paraId="4A590D97" w14:textId="77777777" w:rsidTr="00EE61F6">
        <w:trPr>
          <w:trHeight w:val="317"/>
          <w:tblHeader/>
          <w:jc w:val="center"/>
        </w:trPr>
        <w:tc>
          <w:tcPr>
            <w:tcW w:w="2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F7A31F" w14:textId="77777777" w:rsidR="00CC062A" w:rsidRPr="008F2405" w:rsidRDefault="00CC062A" w:rsidP="006A744E">
            <w:pPr>
              <w:keepNext/>
              <w:rPr>
                <w:b/>
                <w:color w:val="000000"/>
                <w:sz w:val="18"/>
                <w:szCs w:val="18"/>
              </w:rPr>
            </w:pPr>
            <w:r w:rsidRPr="008F2405">
              <w:rPr>
                <w:b/>
                <w:color w:val="000000"/>
                <w:sz w:val="18"/>
                <w:szCs w:val="18"/>
              </w:rPr>
              <w:t>Clutter</w:t>
            </w:r>
          </w:p>
        </w:tc>
        <w:tc>
          <w:tcPr>
            <w:tcW w:w="82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F3996E4" w14:textId="77777777" w:rsidR="00CC062A" w:rsidRPr="008F2405" w:rsidRDefault="00CC062A" w:rsidP="006A744E">
            <w:pPr>
              <w:keepNext/>
              <w:jc w:val="center"/>
              <w:rPr>
                <w:color w:val="000000"/>
                <w:sz w:val="18"/>
                <w:szCs w:val="18"/>
              </w:rPr>
            </w:pPr>
            <w:r w:rsidRPr="008F2405">
              <w:rPr>
                <w:b/>
                <w:color w:val="000000"/>
                <w:sz w:val="18"/>
                <w:szCs w:val="18"/>
              </w:rPr>
              <w:t>ISIX Case 1</w:t>
            </w:r>
          </w:p>
        </w:tc>
        <w:tc>
          <w:tcPr>
            <w:tcW w:w="76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F5E9AFC" w14:textId="77777777" w:rsidR="00CC062A" w:rsidRPr="008F2405" w:rsidRDefault="00CC062A" w:rsidP="006A744E">
            <w:pPr>
              <w:keepNext/>
              <w:jc w:val="center"/>
              <w:rPr>
                <w:color w:val="000000"/>
                <w:sz w:val="18"/>
                <w:szCs w:val="18"/>
              </w:rPr>
            </w:pPr>
            <w:r w:rsidRPr="008F2405">
              <w:rPr>
                <w:b/>
                <w:color w:val="000000"/>
                <w:sz w:val="18"/>
                <w:szCs w:val="18"/>
              </w:rPr>
              <w:t>ISIX Case 2</w:t>
            </w:r>
          </w:p>
        </w:tc>
        <w:tc>
          <w:tcPr>
            <w:tcW w:w="7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6C71DD" w14:textId="77777777" w:rsidR="00CC062A" w:rsidRPr="008F2405" w:rsidRDefault="00CC062A" w:rsidP="006A744E">
            <w:pPr>
              <w:keepNext/>
              <w:jc w:val="center"/>
              <w:rPr>
                <w:color w:val="000000"/>
                <w:sz w:val="18"/>
                <w:szCs w:val="18"/>
              </w:rPr>
            </w:pPr>
            <w:r w:rsidRPr="008F2405">
              <w:rPr>
                <w:b/>
                <w:color w:val="000000"/>
                <w:sz w:val="18"/>
                <w:szCs w:val="18"/>
              </w:rPr>
              <w:t>ISIX Case 3</w:t>
            </w:r>
          </w:p>
        </w:tc>
      </w:tr>
      <w:tr w:rsidR="00CC062A" w:rsidRPr="008F2405" w14:paraId="226CBC0F" w14:textId="77777777" w:rsidTr="00EE61F6">
        <w:trPr>
          <w:trHeight w:val="317"/>
          <w:jc w:val="center"/>
        </w:trPr>
        <w:tc>
          <w:tcPr>
            <w:tcW w:w="2638" w:type="pct"/>
            <w:tcBorders>
              <w:top w:val="nil"/>
              <w:left w:val="single" w:sz="4" w:space="0" w:color="auto"/>
              <w:bottom w:val="single" w:sz="4" w:space="0" w:color="auto"/>
              <w:right w:val="single" w:sz="4" w:space="0" w:color="auto"/>
            </w:tcBorders>
            <w:shd w:val="clear" w:color="000000" w:fill="FFFFFF"/>
            <w:noWrap/>
            <w:vAlign w:val="center"/>
            <w:hideMark/>
          </w:tcPr>
          <w:p w14:paraId="556B3FAF" w14:textId="368216ED" w:rsidR="00CC062A" w:rsidRPr="008F2405" w:rsidRDefault="00CC062A" w:rsidP="000A74BA">
            <w:pPr>
              <w:rPr>
                <w:color w:val="000000"/>
                <w:sz w:val="18"/>
                <w:szCs w:val="18"/>
              </w:rPr>
            </w:pPr>
          </w:p>
        </w:tc>
        <w:tc>
          <w:tcPr>
            <w:tcW w:w="821" w:type="pct"/>
            <w:tcBorders>
              <w:top w:val="nil"/>
              <w:left w:val="nil"/>
              <w:bottom w:val="single" w:sz="4" w:space="0" w:color="auto"/>
              <w:right w:val="single" w:sz="4" w:space="0" w:color="auto"/>
            </w:tcBorders>
            <w:shd w:val="clear" w:color="000000" w:fill="FFFFFF"/>
            <w:noWrap/>
            <w:vAlign w:val="center"/>
            <w:hideMark/>
          </w:tcPr>
          <w:p w14:paraId="0E76F0A6" w14:textId="37B66082" w:rsidR="00CC062A" w:rsidRPr="008F2405" w:rsidRDefault="00CC062A" w:rsidP="000A74BA">
            <w:pPr>
              <w:jc w:val="center"/>
              <w:rPr>
                <w:color w:val="000000"/>
                <w:sz w:val="18"/>
                <w:szCs w:val="18"/>
              </w:rPr>
            </w:pPr>
          </w:p>
        </w:tc>
        <w:tc>
          <w:tcPr>
            <w:tcW w:w="766" w:type="pct"/>
            <w:tcBorders>
              <w:top w:val="nil"/>
              <w:left w:val="nil"/>
              <w:bottom w:val="single" w:sz="4" w:space="0" w:color="auto"/>
              <w:right w:val="single" w:sz="4" w:space="0" w:color="auto"/>
            </w:tcBorders>
            <w:shd w:val="clear" w:color="000000" w:fill="FFFFFF"/>
            <w:noWrap/>
            <w:vAlign w:val="center"/>
            <w:hideMark/>
          </w:tcPr>
          <w:p w14:paraId="03FABC24" w14:textId="6AA12FF8" w:rsidR="00CC062A" w:rsidRPr="008F2405" w:rsidRDefault="00CC062A" w:rsidP="000A74BA">
            <w:pPr>
              <w:jc w:val="center"/>
              <w:rPr>
                <w:color w:val="000000"/>
                <w:sz w:val="18"/>
                <w:szCs w:val="18"/>
              </w:rPr>
            </w:pPr>
          </w:p>
        </w:tc>
        <w:tc>
          <w:tcPr>
            <w:tcW w:w="776" w:type="pct"/>
            <w:tcBorders>
              <w:top w:val="nil"/>
              <w:left w:val="nil"/>
              <w:bottom w:val="single" w:sz="4" w:space="0" w:color="auto"/>
              <w:right w:val="single" w:sz="4" w:space="0" w:color="auto"/>
            </w:tcBorders>
            <w:shd w:val="clear" w:color="000000" w:fill="FFFFFF"/>
            <w:noWrap/>
            <w:vAlign w:val="center"/>
            <w:hideMark/>
          </w:tcPr>
          <w:p w14:paraId="45106E85" w14:textId="44BA27A4" w:rsidR="00CC062A" w:rsidRPr="008F2405" w:rsidRDefault="00CC062A" w:rsidP="000A74BA">
            <w:pPr>
              <w:jc w:val="center"/>
              <w:rPr>
                <w:color w:val="000000"/>
                <w:sz w:val="18"/>
                <w:szCs w:val="18"/>
              </w:rPr>
            </w:pPr>
          </w:p>
        </w:tc>
      </w:tr>
    </w:tbl>
    <w:p w14:paraId="407759D3" w14:textId="77777777" w:rsidR="005474ED" w:rsidRPr="00435828" w:rsidRDefault="005474ED" w:rsidP="006A744E">
      <w:pPr>
        <w:spacing w:before="120" w:after="240"/>
        <w:jc w:val="center"/>
      </w:pPr>
      <w:bookmarkStart w:id="951" w:name="_Ref398621949"/>
      <w:r w:rsidRPr="00435828">
        <w:t xml:space="preserve">Table </w:t>
      </w:r>
      <w:r w:rsidR="000302DB">
        <w:fldChar w:fldCharType="begin"/>
      </w:r>
      <w:r w:rsidR="000302DB">
        <w:instrText xml:space="preserve"> SEQ Table \* ARABIC </w:instrText>
      </w:r>
      <w:r w:rsidR="000302DB">
        <w:fldChar w:fldCharType="separate"/>
      </w:r>
      <w:r w:rsidR="00656F50">
        <w:rPr>
          <w:noProof/>
        </w:rPr>
        <w:t>14</w:t>
      </w:r>
      <w:r w:rsidR="000302DB">
        <w:rPr>
          <w:noProof/>
        </w:rPr>
        <w:fldChar w:fldCharType="end"/>
      </w:r>
      <w:bookmarkEnd w:id="951"/>
      <w:r w:rsidRPr="00435828">
        <w:t>. Study Parameter Settings</w:t>
      </w:r>
    </w:p>
    <w:p w14:paraId="3DBDCD58" w14:textId="77777777" w:rsidR="008F2405" w:rsidRPr="008F2405" w:rsidRDefault="008F2405" w:rsidP="006A744E">
      <w:pPr>
        <w:pStyle w:val="ParaNum"/>
      </w:pPr>
      <w:r w:rsidRPr="008F2405">
        <w:rPr>
          <w:i/>
          <w:u w:val="single"/>
        </w:rPr>
        <w:t>TVStudy ISIX Scenarios.</w:t>
      </w:r>
      <w:r w:rsidRPr="008F2405">
        <w:t xml:space="preserve">  Inter-</w:t>
      </w:r>
      <w:r w:rsidRPr="008F2405">
        <w:rPr>
          <w:lang w:eastAsia="ja-JP"/>
        </w:rPr>
        <w:t>service</w:t>
      </w:r>
      <w:r w:rsidRPr="008F2405">
        <w:t xml:space="preserve"> interference impairment scenarios are created in </w:t>
      </w:r>
      <w:r w:rsidRPr="008F2405">
        <w:rPr>
          <w:i/>
        </w:rPr>
        <w:t>TVStudy</w:t>
      </w:r>
      <w:r w:rsidRPr="008F2405">
        <w:t xml:space="preserve"> using its XML scenario import feature.</w:t>
      </w:r>
    </w:p>
    <w:p w14:paraId="357B6CB4" w14:textId="77777777" w:rsidR="008F2405" w:rsidRPr="008F2405" w:rsidRDefault="008F2405" w:rsidP="006A744E">
      <w:pPr>
        <w:pStyle w:val="ParaNum"/>
      </w:pPr>
      <w:r w:rsidRPr="008F2405">
        <w:rPr>
          <w:i/>
          <w:u w:val="single"/>
        </w:rPr>
        <w:t>ISIX Case 1 &amp; 2 Scenarios</w:t>
      </w:r>
      <w:r w:rsidRPr="008F2405">
        <w:t xml:space="preserve">.  For Case 1 or Case 2 impairment determinations during the auction, all CDBS DTV stations will be added to a single ISIX Case 1 or Case 2 scenario.  Alternatively, if a smaller scenario is desired, this can be accomplished by identifying all CDBS stations within 500 km of a license boundary by selecting sites from </w:t>
      </w:r>
      <w:r w:rsidRPr="008F2405">
        <w:rPr>
          <w:i/>
        </w:rPr>
        <w:t>TVStudy</w:t>
      </w:r>
      <w:r w:rsidRPr="008F2405">
        <w:t xml:space="preserve">’s MYSQL </w:t>
      </w:r>
      <w:r w:rsidRPr="008F2405">
        <w:rPr>
          <w:lang w:eastAsia="ja-JP"/>
        </w:rPr>
        <w:t>data</w:t>
      </w:r>
      <w:r w:rsidRPr="008F2405">
        <w:t xml:space="preserve"> base and using a GIS tool or the search on radius feature of </w:t>
      </w:r>
      <w:r w:rsidRPr="008F2405">
        <w:rPr>
          <w:i/>
        </w:rPr>
        <w:t>TVStudy</w:t>
      </w:r>
      <w:r w:rsidRPr="008F2405">
        <w:t xml:space="preserve"> with a center point selected from the center of the license boundary.  Include additional distance in the radius to account for the maximum distance from license center point to license boundary, </w:t>
      </w:r>
      <w:r w:rsidRPr="008F2405">
        <w:rPr>
          <w:i/>
        </w:rPr>
        <w:t>i.e</w:t>
      </w:r>
      <w:r w:rsidRPr="008F2405">
        <w:t xml:space="preserve">. include additional distance equal to that maximum distance.  </w:t>
      </w:r>
    </w:p>
    <w:p w14:paraId="5B061705" w14:textId="77777777" w:rsidR="008F2405" w:rsidRPr="008F2405" w:rsidRDefault="008F2405" w:rsidP="006A744E">
      <w:pPr>
        <w:pStyle w:val="ParaNum"/>
      </w:pPr>
      <w:r w:rsidRPr="008F2405">
        <w:t xml:space="preserve">All DTV sites are to be added as “Desired Only” and replicated on channel 38.  An XML scenario for ISIX Case 1 or Case 2 will look like the example shown in Figure 6 below.  Other attributes can be included if desired; see the </w:t>
      </w:r>
      <w:r w:rsidRPr="008F2405">
        <w:rPr>
          <w:i/>
        </w:rPr>
        <w:t>TVStudy</w:t>
      </w:r>
      <w:r w:rsidRPr="008F2405">
        <w:t xml:space="preserve"> Manual for more </w:t>
      </w:r>
      <w:r w:rsidRPr="008F2405">
        <w:rPr>
          <w:lang w:eastAsia="ja-JP"/>
        </w:rPr>
        <w:t>information</w:t>
      </w:r>
      <w:r w:rsidRPr="008F2405">
        <w:t xml:space="preserve"> on XML scenario format and attributes.</w:t>
      </w:r>
    </w:p>
    <w:p w14:paraId="13AE0EA9" w14:textId="77777777" w:rsidR="008F2405" w:rsidRPr="008F2405" w:rsidRDefault="008F2405" w:rsidP="008F2405">
      <w:pPr>
        <w:keepNext/>
        <w:spacing w:before="60"/>
      </w:pPr>
      <w:r w:rsidRPr="00F3761A">
        <w:rPr>
          <w:noProof/>
        </w:rPr>
        <w:drawing>
          <wp:inline distT="0" distB="0" distL="0" distR="0" wp14:anchorId="03336099" wp14:editId="650D8B9F">
            <wp:extent cx="5943600" cy="1818005"/>
            <wp:effectExtent l="19050" t="19050" r="1905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818005"/>
                    </a:xfrm>
                    <a:prstGeom prst="rect">
                      <a:avLst/>
                    </a:prstGeom>
                    <a:ln>
                      <a:solidFill>
                        <a:sysClr val="windowText" lastClr="000000"/>
                      </a:solidFill>
                    </a:ln>
                  </pic:spPr>
                </pic:pic>
              </a:graphicData>
            </a:graphic>
          </wp:inline>
        </w:drawing>
      </w:r>
    </w:p>
    <w:p w14:paraId="177515D4" w14:textId="77777777" w:rsidR="008F2405" w:rsidRPr="00435828" w:rsidRDefault="008F2405" w:rsidP="006A744E">
      <w:pPr>
        <w:spacing w:before="120" w:after="240"/>
        <w:jc w:val="center"/>
      </w:pPr>
      <w:r w:rsidRPr="00435828">
        <w:t xml:space="preserve">Figure </w:t>
      </w:r>
      <w:r w:rsidR="000302DB">
        <w:fldChar w:fldCharType="begin"/>
      </w:r>
      <w:r w:rsidR="000302DB">
        <w:instrText xml:space="preserve"> SEQ Figure \* ARABIC </w:instrText>
      </w:r>
      <w:r w:rsidR="000302DB">
        <w:fldChar w:fldCharType="separate"/>
      </w:r>
      <w:r w:rsidR="00656F50">
        <w:rPr>
          <w:noProof/>
        </w:rPr>
        <w:t>4</w:t>
      </w:r>
      <w:r w:rsidR="000302DB">
        <w:rPr>
          <w:noProof/>
        </w:rPr>
        <w:fldChar w:fldCharType="end"/>
      </w:r>
      <w:r w:rsidRPr="00435828">
        <w:t>.  Example XML ISIX Case 1 or Case 2 scenario</w:t>
      </w:r>
    </w:p>
    <w:p w14:paraId="01D334D8" w14:textId="77777777" w:rsidR="008F2405" w:rsidRPr="006A744E" w:rsidRDefault="008F2405" w:rsidP="006A744E">
      <w:pPr>
        <w:pStyle w:val="ParaNum"/>
      </w:pPr>
      <w:r w:rsidRPr="00C21C0C">
        <w:rPr>
          <w:i/>
          <w:u w:val="single"/>
        </w:rPr>
        <w:t>ISIX Case 3 Scenarios</w:t>
      </w:r>
      <w:r w:rsidRPr="00C21C0C">
        <w:rPr>
          <w:u w:val="single"/>
        </w:rPr>
        <w:t>.</w:t>
      </w:r>
      <w:r w:rsidRPr="00C21C0C">
        <w:t xml:space="preserve">  For Case 3 impairment determinations during the auction, scenarios are established for each license are or a </w:t>
      </w:r>
      <w:r w:rsidRPr="005474ED">
        <w:rPr>
          <w:lang w:eastAsia="ja-JP"/>
        </w:rPr>
        <w:t>grouping</w:t>
      </w:r>
      <w:r w:rsidRPr="005474ED">
        <w:t xml:space="preserve"> of license areas.  This is accomplished by identifying all CDBS stations within 500 km of a license boundary by using a GIS tool or by using </w:t>
      </w:r>
      <w:r w:rsidRPr="005474ED">
        <w:rPr>
          <w:i/>
        </w:rPr>
        <w:t>TVStudy</w:t>
      </w:r>
      <w:r w:rsidRPr="005474ED">
        <w:t>’s search on radius feature of with a center point selected from the center of the license boundary and including additional distance in the radius to account for the maximum distance from license center point to license boundary.  Create an XML scenario including all the 10-kilometer-spaced hy</w:t>
      </w:r>
      <w:r w:rsidRPr="001D30A0">
        <w:t>pothetical wireless base stations within a license area of interest.  Attributes for the hypothetical base stations are set as follows:</w:t>
      </w:r>
    </w:p>
    <w:tbl>
      <w:tblPr>
        <w:tblStyle w:val="TableGrid"/>
        <w:tblW w:w="0" w:type="auto"/>
        <w:jc w:val="center"/>
        <w:tblLook w:val="04A0" w:firstRow="1" w:lastRow="0" w:firstColumn="1" w:lastColumn="0" w:noHBand="0" w:noVBand="1"/>
      </w:tblPr>
      <w:tblGrid>
        <w:gridCol w:w="4788"/>
        <w:gridCol w:w="4788"/>
      </w:tblGrid>
      <w:tr w:rsidR="008F2405" w:rsidRPr="008F2405" w14:paraId="69DF9C12" w14:textId="77777777" w:rsidTr="00BF4F5D">
        <w:trPr>
          <w:jc w:val="center"/>
        </w:trPr>
        <w:tc>
          <w:tcPr>
            <w:tcW w:w="4788" w:type="dxa"/>
            <w:shd w:val="clear" w:color="auto" w:fill="A6A6A6" w:themeFill="background1" w:themeFillShade="A6"/>
          </w:tcPr>
          <w:p w14:paraId="1E9EF93E" w14:textId="77777777" w:rsidR="008F2405" w:rsidRPr="008F2405" w:rsidRDefault="008F2405" w:rsidP="008F2405">
            <w:pPr>
              <w:rPr>
                <w:b/>
              </w:rPr>
            </w:pPr>
            <w:r w:rsidRPr="008F2405">
              <w:rPr>
                <w:b/>
              </w:rPr>
              <w:t>Attribute</w:t>
            </w:r>
          </w:p>
        </w:tc>
        <w:tc>
          <w:tcPr>
            <w:tcW w:w="4788" w:type="dxa"/>
            <w:shd w:val="clear" w:color="auto" w:fill="A6A6A6" w:themeFill="background1" w:themeFillShade="A6"/>
          </w:tcPr>
          <w:p w14:paraId="53CC90E6" w14:textId="77777777" w:rsidR="008F2405" w:rsidRPr="008F2405" w:rsidRDefault="008F2405" w:rsidP="008F2405">
            <w:pPr>
              <w:rPr>
                <w:b/>
              </w:rPr>
            </w:pPr>
            <w:r w:rsidRPr="008F2405">
              <w:rPr>
                <w:b/>
              </w:rPr>
              <w:t>Setting</w:t>
            </w:r>
          </w:p>
        </w:tc>
      </w:tr>
      <w:tr w:rsidR="008F2405" w:rsidRPr="008F2405" w14:paraId="75B70C2C" w14:textId="77777777" w:rsidTr="00BF4F5D">
        <w:trPr>
          <w:jc w:val="center"/>
        </w:trPr>
        <w:tc>
          <w:tcPr>
            <w:tcW w:w="4788" w:type="dxa"/>
          </w:tcPr>
          <w:p w14:paraId="42735A8C" w14:textId="77777777" w:rsidR="008F2405" w:rsidRPr="008F2405" w:rsidRDefault="008F2405" w:rsidP="008F2405">
            <w:r w:rsidRPr="008F2405">
              <w:t>Desired</w:t>
            </w:r>
          </w:p>
        </w:tc>
        <w:tc>
          <w:tcPr>
            <w:tcW w:w="4788" w:type="dxa"/>
          </w:tcPr>
          <w:p w14:paraId="5E6577F0" w14:textId="77777777" w:rsidR="008F2405" w:rsidRPr="008F2405" w:rsidRDefault="008F2405" w:rsidP="008F2405">
            <w:r w:rsidRPr="008F2405">
              <w:t>FALSE</w:t>
            </w:r>
          </w:p>
        </w:tc>
      </w:tr>
      <w:tr w:rsidR="008F2405" w:rsidRPr="008F2405" w14:paraId="68839024" w14:textId="77777777" w:rsidTr="00BF4F5D">
        <w:trPr>
          <w:jc w:val="center"/>
        </w:trPr>
        <w:tc>
          <w:tcPr>
            <w:tcW w:w="4788" w:type="dxa"/>
          </w:tcPr>
          <w:p w14:paraId="0A5AF9F6" w14:textId="77777777" w:rsidR="008F2405" w:rsidRPr="008F2405" w:rsidRDefault="008F2405" w:rsidP="008F2405">
            <w:r w:rsidRPr="008F2405">
              <w:t>Undesired</w:t>
            </w:r>
          </w:p>
        </w:tc>
        <w:tc>
          <w:tcPr>
            <w:tcW w:w="4788" w:type="dxa"/>
          </w:tcPr>
          <w:p w14:paraId="5F33FD26" w14:textId="77777777" w:rsidR="008F2405" w:rsidRPr="008F2405" w:rsidRDefault="008F2405" w:rsidP="008F2405">
            <w:r w:rsidRPr="008F2405">
              <w:t>TRUE</w:t>
            </w:r>
          </w:p>
        </w:tc>
      </w:tr>
      <w:tr w:rsidR="008F2405" w:rsidRPr="008F2405" w14:paraId="2E45653D" w14:textId="77777777" w:rsidTr="00BF4F5D">
        <w:trPr>
          <w:jc w:val="center"/>
        </w:trPr>
        <w:tc>
          <w:tcPr>
            <w:tcW w:w="4788" w:type="dxa"/>
          </w:tcPr>
          <w:p w14:paraId="1A3DA027" w14:textId="77777777" w:rsidR="008F2405" w:rsidRPr="008F2405" w:rsidRDefault="008F2405" w:rsidP="008F2405">
            <w:r w:rsidRPr="008F2405">
              <w:t>Locked</w:t>
            </w:r>
          </w:p>
        </w:tc>
        <w:tc>
          <w:tcPr>
            <w:tcW w:w="4788" w:type="dxa"/>
          </w:tcPr>
          <w:p w14:paraId="4935C14C" w14:textId="77777777" w:rsidR="008F2405" w:rsidRPr="008F2405" w:rsidRDefault="008F2405" w:rsidP="008F2405">
            <w:r w:rsidRPr="008F2405">
              <w:t>FALSE</w:t>
            </w:r>
          </w:p>
        </w:tc>
      </w:tr>
      <w:tr w:rsidR="008F2405" w:rsidRPr="008F2405" w14:paraId="37E7F50C" w14:textId="77777777" w:rsidTr="00BF4F5D">
        <w:trPr>
          <w:jc w:val="center"/>
        </w:trPr>
        <w:tc>
          <w:tcPr>
            <w:tcW w:w="4788" w:type="dxa"/>
          </w:tcPr>
          <w:p w14:paraId="3749ACD4" w14:textId="77777777" w:rsidR="008F2405" w:rsidRPr="008F2405" w:rsidRDefault="008F2405" w:rsidP="008F2405">
            <w:r w:rsidRPr="008F2405">
              <w:t>CDBS_ID</w:t>
            </w:r>
          </w:p>
        </w:tc>
        <w:tc>
          <w:tcPr>
            <w:tcW w:w="4788" w:type="dxa"/>
          </w:tcPr>
          <w:p w14:paraId="2078086D" w14:textId="77777777" w:rsidR="008F2405" w:rsidRPr="008F2405" w:rsidRDefault="008F2405" w:rsidP="008F2405">
            <w:r w:rsidRPr="008F2405">
              <w:t>&lt;any integer&gt; Must be present but not used since LOCKED=FALSE.  Can be set to same integer as Facility  ID</w:t>
            </w:r>
          </w:p>
        </w:tc>
      </w:tr>
      <w:tr w:rsidR="008F2405" w:rsidRPr="008F2405" w14:paraId="678163B7" w14:textId="77777777" w:rsidTr="00BF4F5D">
        <w:trPr>
          <w:jc w:val="center"/>
        </w:trPr>
        <w:tc>
          <w:tcPr>
            <w:tcW w:w="4788" w:type="dxa"/>
          </w:tcPr>
          <w:p w14:paraId="58B090B8" w14:textId="77777777" w:rsidR="008F2405" w:rsidRPr="008F2405" w:rsidRDefault="008F2405" w:rsidP="008F2405">
            <w:r w:rsidRPr="008F2405">
              <w:t>ID</w:t>
            </w:r>
          </w:p>
        </w:tc>
        <w:tc>
          <w:tcPr>
            <w:tcW w:w="4788" w:type="dxa"/>
          </w:tcPr>
          <w:p w14:paraId="08ACC800" w14:textId="77777777" w:rsidR="008F2405" w:rsidRPr="008F2405" w:rsidRDefault="008F2405" w:rsidP="008F2405">
            <w:r w:rsidRPr="008F2405">
              <w:t>&lt;any integer&gt; This is treated as Facility ID and it is useful to set this to a value that can be used to identify the hypothetical point.</w:t>
            </w:r>
          </w:p>
        </w:tc>
      </w:tr>
      <w:tr w:rsidR="008F2405" w:rsidRPr="008F2405" w14:paraId="7383CB49" w14:textId="77777777" w:rsidTr="00BF4F5D">
        <w:trPr>
          <w:jc w:val="center"/>
        </w:trPr>
        <w:tc>
          <w:tcPr>
            <w:tcW w:w="4788" w:type="dxa"/>
          </w:tcPr>
          <w:p w14:paraId="69DB5AC4" w14:textId="77777777" w:rsidR="008F2405" w:rsidRPr="008F2405" w:rsidRDefault="008F2405" w:rsidP="008F2405">
            <w:r w:rsidRPr="008F2405">
              <w:t>SERVICE</w:t>
            </w:r>
          </w:p>
        </w:tc>
        <w:tc>
          <w:tcPr>
            <w:tcW w:w="4788" w:type="dxa"/>
          </w:tcPr>
          <w:p w14:paraId="1F35F1A3" w14:textId="77777777" w:rsidR="008F2405" w:rsidRPr="008F2405" w:rsidRDefault="008F2405" w:rsidP="008F2405">
            <w:r w:rsidRPr="008F2405">
              <w:t>DT</w:t>
            </w:r>
          </w:p>
        </w:tc>
      </w:tr>
      <w:tr w:rsidR="008F2405" w:rsidRPr="008F2405" w14:paraId="03178806" w14:textId="77777777" w:rsidTr="00BF4F5D">
        <w:trPr>
          <w:jc w:val="center"/>
        </w:trPr>
        <w:tc>
          <w:tcPr>
            <w:tcW w:w="4788" w:type="dxa"/>
          </w:tcPr>
          <w:p w14:paraId="221A9DE4" w14:textId="77777777" w:rsidR="008F2405" w:rsidRPr="008F2405" w:rsidRDefault="008F2405" w:rsidP="008F2405">
            <w:r w:rsidRPr="008F2405">
              <w:t>CHANNEL</w:t>
            </w:r>
          </w:p>
        </w:tc>
        <w:tc>
          <w:tcPr>
            <w:tcW w:w="4788" w:type="dxa"/>
          </w:tcPr>
          <w:p w14:paraId="7227FCBB" w14:textId="77777777" w:rsidR="008F2405" w:rsidRPr="008F2405" w:rsidRDefault="008F2405" w:rsidP="008F2405">
            <w:r w:rsidRPr="008F2405">
              <w:t>38</w:t>
            </w:r>
          </w:p>
        </w:tc>
      </w:tr>
      <w:tr w:rsidR="008F2405" w:rsidRPr="008F2405" w14:paraId="296939EA" w14:textId="77777777" w:rsidTr="00BF4F5D">
        <w:trPr>
          <w:jc w:val="center"/>
        </w:trPr>
        <w:tc>
          <w:tcPr>
            <w:tcW w:w="4788" w:type="dxa"/>
          </w:tcPr>
          <w:p w14:paraId="38CA0BD9" w14:textId="77777777" w:rsidR="008F2405" w:rsidRPr="008F2405" w:rsidRDefault="008F2405" w:rsidP="008F2405">
            <w:r w:rsidRPr="008F2405">
              <w:t>CALL_SIGN</w:t>
            </w:r>
          </w:p>
        </w:tc>
        <w:tc>
          <w:tcPr>
            <w:tcW w:w="4788" w:type="dxa"/>
          </w:tcPr>
          <w:p w14:paraId="3A354A1E" w14:textId="77777777" w:rsidR="008F2405" w:rsidRPr="008F2405" w:rsidRDefault="008F2405" w:rsidP="008F2405">
            <w:r w:rsidRPr="008F2405">
              <w:t>&lt;any value&gt;</w:t>
            </w:r>
          </w:p>
        </w:tc>
      </w:tr>
      <w:tr w:rsidR="008F2405" w:rsidRPr="008F2405" w14:paraId="7C9E970F" w14:textId="77777777" w:rsidTr="00BF4F5D">
        <w:trPr>
          <w:jc w:val="center"/>
        </w:trPr>
        <w:tc>
          <w:tcPr>
            <w:tcW w:w="4788" w:type="dxa"/>
          </w:tcPr>
          <w:p w14:paraId="44DF97C1" w14:textId="77777777" w:rsidR="008F2405" w:rsidRPr="008F2405" w:rsidRDefault="008F2405" w:rsidP="008F2405">
            <w:r w:rsidRPr="008F2405">
              <w:t>CITY</w:t>
            </w:r>
          </w:p>
        </w:tc>
        <w:tc>
          <w:tcPr>
            <w:tcW w:w="4788" w:type="dxa"/>
          </w:tcPr>
          <w:p w14:paraId="50CDA778" w14:textId="77777777" w:rsidR="008F2405" w:rsidRPr="008F2405" w:rsidRDefault="008F2405" w:rsidP="008F2405">
            <w:r w:rsidRPr="008F2405">
              <w:t>&lt;any value&gt;</w:t>
            </w:r>
          </w:p>
        </w:tc>
      </w:tr>
      <w:tr w:rsidR="008F2405" w:rsidRPr="008F2405" w14:paraId="0D201315" w14:textId="77777777" w:rsidTr="00BF4F5D">
        <w:trPr>
          <w:jc w:val="center"/>
        </w:trPr>
        <w:tc>
          <w:tcPr>
            <w:tcW w:w="4788" w:type="dxa"/>
          </w:tcPr>
          <w:p w14:paraId="6B160CF0" w14:textId="77777777" w:rsidR="008F2405" w:rsidRPr="008F2405" w:rsidRDefault="008F2405" w:rsidP="008F2405">
            <w:r w:rsidRPr="008F2405">
              <w:t>STATE</w:t>
            </w:r>
          </w:p>
        </w:tc>
        <w:tc>
          <w:tcPr>
            <w:tcW w:w="4788" w:type="dxa"/>
          </w:tcPr>
          <w:p w14:paraId="47FB4202" w14:textId="77777777" w:rsidR="008F2405" w:rsidRPr="008F2405" w:rsidRDefault="008F2405" w:rsidP="008F2405">
            <w:r w:rsidRPr="008F2405">
              <w:t>&lt;any 2 letter value&gt;</w:t>
            </w:r>
          </w:p>
        </w:tc>
      </w:tr>
      <w:tr w:rsidR="008F2405" w:rsidRPr="008F2405" w14:paraId="0319C1F0" w14:textId="77777777" w:rsidTr="00BF4F5D">
        <w:trPr>
          <w:jc w:val="center"/>
        </w:trPr>
        <w:tc>
          <w:tcPr>
            <w:tcW w:w="4788" w:type="dxa"/>
          </w:tcPr>
          <w:p w14:paraId="2288C3A1" w14:textId="77777777" w:rsidR="008F2405" w:rsidRPr="008F2405" w:rsidRDefault="008F2405" w:rsidP="008F2405">
            <w:r w:rsidRPr="008F2405">
              <w:t>STATUS</w:t>
            </w:r>
          </w:p>
        </w:tc>
        <w:tc>
          <w:tcPr>
            <w:tcW w:w="4788" w:type="dxa"/>
          </w:tcPr>
          <w:p w14:paraId="73C5B766" w14:textId="77777777" w:rsidR="008F2405" w:rsidRPr="008F2405" w:rsidRDefault="008F2405" w:rsidP="008F2405">
            <w:r w:rsidRPr="008F2405">
              <w:t>LIC</w:t>
            </w:r>
          </w:p>
        </w:tc>
      </w:tr>
      <w:tr w:rsidR="008F2405" w:rsidRPr="008F2405" w14:paraId="7B2A019A" w14:textId="77777777" w:rsidTr="00BF4F5D">
        <w:trPr>
          <w:jc w:val="center"/>
        </w:trPr>
        <w:tc>
          <w:tcPr>
            <w:tcW w:w="4788" w:type="dxa"/>
          </w:tcPr>
          <w:p w14:paraId="0E31CDA9" w14:textId="77777777" w:rsidR="008F2405" w:rsidRPr="008F2405" w:rsidRDefault="008F2405" w:rsidP="008F2405">
            <w:r w:rsidRPr="008F2405">
              <w:t>FILE_NUMBER</w:t>
            </w:r>
          </w:p>
        </w:tc>
        <w:tc>
          <w:tcPr>
            <w:tcW w:w="4788" w:type="dxa"/>
          </w:tcPr>
          <w:p w14:paraId="27AB8C16" w14:textId="77777777" w:rsidR="008F2405" w:rsidRPr="008F2405" w:rsidRDefault="008F2405" w:rsidP="008F2405">
            <w:r w:rsidRPr="008F2405">
              <w:t>&lt;any value&gt;</w:t>
            </w:r>
          </w:p>
        </w:tc>
      </w:tr>
      <w:tr w:rsidR="008F2405" w:rsidRPr="008F2405" w14:paraId="041A9C07" w14:textId="77777777" w:rsidTr="00BF4F5D">
        <w:trPr>
          <w:jc w:val="center"/>
        </w:trPr>
        <w:tc>
          <w:tcPr>
            <w:tcW w:w="4788" w:type="dxa"/>
          </w:tcPr>
          <w:p w14:paraId="158C7A71" w14:textId="77777777" w:rsidR="008F2405" w:rsidRPr="008F2405" w:rsidRDefault="008F2405" w:rsidP="008F2405">
            <w:r w:rsidRPr="008F2405">
              <w:t>LATITUDE/LONGITUDE</w:t>
            </w:r>
          </w:p>
        </w:tc>
        <w:tc>
          <w:tcPr>
            <w:tcW w:w="4788" w:type="dxa"/>
          </w:tcPr>
          <w:p w14:paraId="49420084" w14:textId="77777777" w:rsidR="008F2405" w:rsidRPr="008F2405" w:rsidRDefault="008F2405" w:rsidP="008F2405">
            <w:r w:rsidRPr="008F2405">
              <w:t>NAD27 coordinates of hypothetical point.  Can be given in unsigned decimal degrees or DMS_H format.</w:t>
            </w:r>
          </w:p>
        </w:tc>
      </w:tr>
      <w:tr w:rsidR="008F2405" w:rsidRPr="008F2405" w14:paraId="1975DCF4" w14:textId="77777777" w:rsidTr="00BF4F5D">
        <w:trPr>
          <w:jc w:val="center"/>
        </w:trPr>
        <w:tc>
          <w:tcPr>
            <w:tcW w:w="4788" w:type="dxa"/>
          </w:tcPr>
          <w:p w14:paraId="0BE06461" w14:textId="77777777" w:rsidR="008F2405" w:rsidRPr="008F2405" w:rsidRDefault="008F2405" w:rsidP="008F2405">
            <w:r w:rsidRPr="008F2405">
              <w:t>HAMSL</w:t>
            </w:r>
          </w:p>
        </w:tc>
        <w:tc>
          <w:tcPr>
            <w:tcW w:w="4788" w:type="dxa"/>
          </w:tcPr>
          <w:p w14:paraId="3A779AAE" w14:textId="77777777" w:rsidR="008F2405" w:rsidRPr="008F2405" w:rsidRDefault="008F2405" w:rsidP="008F2405">
            <w:r w:rsidRPr="008F2405">
              <w:t xml:space="preserve">-999 (to have </w:t>
            </w:r>
            <w:r w:rsidRPr="008F2405">
              <w:rPr>
                <w:i/>
              </w:rPr>
              <w:t>TVStudy</w:t>
            </w:r>
            <w:r w:rsidRPr="008F2405">
              <w:t xml:space="preserve"> calculate this value from specified HAAT)</w:t>
            </w:r>
          </w:p>
        </w:tc>
      </w:tr>
      <w:tr w:rsidR="008F2405" w:rsidRPr="008F2405" w14:paraId="031AF92E" w14:textId="77777777" w:rsidTr="00BF4F5D">
        <w:trPr>
          <w:jc w:val="center"/>
        </w:trPr>
        <w:tc>
          <w:tcPr>
            <w:tcW w:w="4788" w:type="dxa"/>
          </w:tcPr>
          <w:p w14:paraId="59AA4B04" w14:textId="77777777" w:rsidR="008F2405" w:rsidRPr="008F2405" w:rsidRDefault="008F2405" w:rsidP="008F2405">
            <w:r w:rsidRPr="008F2405">
              <w:t>HAAT</w:t>
            </w:r>
          </w:p>
        </w:tc>
        <w:tc>
          <w:tcPr>
            <w:tcW w:w="4788" w:type="dxa"/>
          </w:tcPr>
          <w:p w14:paraId="750CB224" w14:textId="77777777" w:rsidR="008F2405" w:rsidRPr="008F2405" w:rsidRDefault="008F2405" w:rsidP="008F2405">
            <w:r w:rsidRPr="008F2405">
              <w:t>30</w:t>
            </w:r>
          </w:p>
        </w:tc>
      </w:tr>
      <w:tr w:rsidR="008F2405" w:rsidRPr="008F2405" w14:paraId="350C7332" w14:textId="77777777" w:rsidTr="00BF4F5D">
        <w:trPr>
          <w:jc w:val="center"/>
        </w:trPr>
        <w:tc>
          <w:tcPr>
            <w:tcW w:w="4788" w:type="dxa"/>
          </w:tcPr>
          <w:p w14:paraId="3CD614FB" w14:textId="77777777" w:rsidR="008F2405" w:rsidRPr="008F2405" w:rsidRDefault="008F2405" w:rsidP="008F2405">
            <w:r w:rsidRPr="008F2405">
              <w:t>ERP</w:t>
            </w:r>
          </w:p>
        </w:tc>
        <w:tc>
          <w:tcPr>
            <w:tcW w:w="4788" w:type="dxa"/>
          </w:tcPr>
          <w:p w14:paraId="7BEFAEA9" w14:textId="77777777" w:rsidR="008F2405" w:rsidRPr="008F2405" w:rsidRDefault="008F2405" w:rsidP="008F2405">
            <w:r w:rsidRPr="008F2405">
              <w:t>0.72</w:t>
            </w:r>
          </w:p>
        </w:tc>
      </w:tr>
      <w:tr w:rsidR="008F2405" w:rsidRPr="008F2405" w14:paraId="65E4C6F6" w14:textId="77777777" w:rsidTr="00BF4F5D">
        <w:trPr>
          <w:jc w:val="center"/>
        </w:trPr>
        <w:tc>
          <w:tcPr>
            <w:tcW w:w="4788" w:type="dxa"/>
          </w:tcPr>
          <w:p w14:paraId="39AC0AEC" w14:textId="77777777" w:rsidR="008F2405" w:rsidRPr="008F2405" w:rsidRDefault="008F2405" w:rsidP="008F2405">
            <w:r w:rsidRPr="008F2405">
              <w:t>HAS_APAT</w:t>
            </w:r>
          </w:p>
        </w:tc>
        <w:tc>
          <w:tcPr>
            <w:tcW w:w="4788" w:type="dxa"/>
          </w:tcPr>
          <w:p w14:paraId="182BDDB2" w14:textId="77777777" w:rsidR="008F2405" w:rsidRPr="008F2405" w:rsidRDefault="008F2405" w:rsidP="008F2405">
            <w:r w:rsidRPr="008F2405">
              <w:t>FALSE</w:t>
            </w:r>
          </w:p>
        </w:tc>
      </w:tr>
      <w:tr w:rsidR="008F2405" w:rsidRPr="008F2405" w14:paraId="31195A01" w14:textId="77777777" w:rsidTr="00BF4F5D">
        <w:trPr>
          <w:jc w:val="center"/>
        </w:trPr>
        <w:tc>
          <w:tcPr>
            <w:tcW w:w="4788" w:type="dxa"/>
          </w:tcPr>
          <w:p w14:paraId="14B1A848" w14:textId="77777777" w:rsidR="008F2405" w:rsidRPr="008F2405" w:rsidRDefault="008F2405" w:rsidP="008F2405">
            <w:r w:rsidRPr="008F2405">
              <w:t>HAS_EPAT</w:t>
            </w:r>
          </w:p>
        </w:tc>
        <w:tc>
          <w:tcPr>
            <w:tcW w:w="4788" w:type="dxa"/>
          </w:tcPr>
          <w:p w14:paraId="7E918E9F" w14:textId="77777777" w:rsidR="008F2405" w:rsidRPr="008F2405" w:rsidRDefault="008F2405" w:rsidP="008F2405">
            <w:r w:rsidRPr="008F2405">
              <w:t>FALSE</w:t>
            </w:r>
          </w:p>
        </w:tc>
      </w:tr>
      <w:tr w:rsidR="008F2405" w:rsidRPr="008F2405" w14:paraId="2F185E05" w14:textId="77777777" w:rsidTr="00BF4F5D">
        <w:trPr>
          <w:jc w:val="center"/>
        </w:trPr>
        <w:tc>
          <w:tcPr>
            <w:tcW w:w="4788" w:type="dxa"/>
          </w:tcPr>
          <w:p w14:paraId="349EB619" w14:textId="77777777" w:rsidR="008F2405" w:rsidRPr="008F2405" w:rsidRDefault="008F2405" w:rsidP="008F2405">
            <w:r w:rsidRPr="008F2405">
              <w:t>EPAT_ETILT</w:t>
            </w:r>
          </w:p>
        </w:tc>
        <w:tc>
          <w:tcPr>
            <w:tcW w:w="4788" w:type="dxa"/>
          </w:tcPr>
          <w:p w14:paraId="47BCBFD6" w14:textId="77777777" w:rsidR="008F2405" w:rsidRPr="008F2405" w:rsidRDefault="008F2405" w:rsidP="008F2405">
            <w:r w:rsidRPr="008F2405">
              <w:t>0</w:t>
            </w:r>
          </w:p>
        </w:tc>
      </w:tr>
      <w:tr w:rsidR="008F2405" w:rsidRPr="008F2405" w14:paraId="2742B648" w14:textId="77777777" w:rsidTr="00BF4F5D">
        <w:trPr>
          <w:jc w:val="center"/>
        </w:trPr>
        <w:tc>
          <w:tcPr>
            <w:tcW w:w="4788" w:type="dxa"/>
          </w:tcPr>
          <w:p w14:paraId="54DBA129" w14:textId="77777777" w:rsidR="008F2405" w:rsidRPr="008F2405" w:rsidRDefault="008F2405" w:rsidP="008F2405">
            <w:r w:rsidRPr="008F2405">
              <w:t>EPAT_MTILT</w:t>
            </w:r>
          </w:p>
        </w:tc>
        <w:tc>
          <w:tcPr>
            <w:tcW w:w="4788" w:type="dxa"/>
          </w:tcPr>
          <w:p w14:paraId="08C27658" w14:textId="77777777" w:rsidR="008F2405" w:rsidRPr="008F2405" w:rsidRDefault="008F2405" w:rsidP="008F2405">
            <w:r w:rsidRPr="008F2405">
              <w:t>0</w:t>
            </w:r>
          </w:p>
        </w:tc>
      </w:tr>
      <w:tr w:rsidR="008F2405" w:rsidRPr="008F2405" w14:paraId="1F27649E" w14:textId="77777777" w:rsidTr="00BF4F5D">
        <w:trPr>
          <w:jc w:val="center"/>
        </w:trPr>
        <w:tc>
          <w:tcPr>
            <w:tcW w:w="4788" w:type="dxa"/>
          </w:tcPr>
          <w:p w14:paraId="4557B75B" w14:textId="77777777" w:rsidR="008F2405" w:rsidRPr="008F2405" w:rsidRDefault="008F2405" w:rsidP="008F2405">
            <w:r w:rsidRPr="008F2405">
              <w:t>EPAT_ORIENT</w:t>
            </w:r>
          </w:p>
        </w:tc>
        <w:tc>
          <w:tcPr>
            <w:tcW w:w="4788" w:type="dxa"/>
          </w:tcPr>
          <w:p w14:paraId="5121F7AC" w14:textId="77777777" w:rsidR="008F2405" w:rsidRPr="008F2405" w:rsidRDefault="008F2405" w:rsidP="008F2405">
            <w:r w:rsidRPr="008F2405">
              <w:t>0</w:t>
            </w:r>
          </w:p>
        </w:tc>
      </w:tr>
      <w:tr w:rsidR="008F2405" w:rsidRPr="008F2405" w14:paraId="73AAB55D" w14:textId="77777777" w:rsidTr="00BF4F5D">
        <w:trPr>
          <w:jc w:val="center"/>
        </w:trPr>
        <w:tc>
          <w:tcPr>
            <w:tcW w:w="4788" w:type="dxa"/>
          </w:tcPr>
          <w:p w14:paraId="454BC0CA" w14:textId="77777777" w:rsidR="008F2405" w:rsidRPr="008F2405" w:rsidRDefault="008F2405" w:rsidP="008F2405">
            <w:r w:rsidRPr="008F2405">
              <w:t>HAS_MPAT</w:t>
            </w:r>
          </w:p>
        </w:tc>
        <w:tc>
          <w:tcPr>
            <w:tcW w:w="4788" w:type="dxa"/>
          </w:tcPr>
          <w:p w14:paraId="062FD27D" w14:textId="77777777" w:rsidR="008F2405" w:rsidRPr="008F2405" w:rsidRDefault="008F2405" w:rsidP="008F2405">
            <w:r w:rsidRPr="008F2405">
              <w:t>FALSE</w:t>
            </w:r>
          </w:p>
        </w:tc>
      </w:tr>
      <w:tr w:rsidR="008F2405" w:rsidRPr="008F2405" w14:paraId="650D5673" w14:textId="77777777" w:rsidTr="00BF4F5D">
        <w:trPr>
          <w:jc w:val="center"/>
        </w:trPr>
        <w:tc>
          <w:tcPr>
            <w:tcW w:w="4788" w:type="dxa"/>
          </w:tcPr>
          <w:p w14:paraId="76FC9436" w14:textId="77777777" w:rsidR="008F2405" w:rsidRPr="008F2405" w:rsidRDefault="008F2405" w:rsidP="008F2405">
            <w:r w:rsidRPr="008F2405">
              <w:t>USE_GENERIC</w:t>
            </w:r>
          </w:p>
        </w:tc>
        <w:tc>
          <w:tcPr>
            <w:tcW w:w="4788" w:type="dxa"/>
          </w:tcPr>
          <w:p w14:paraId="52CEDD51" w14:textId="77777777" w:rsidR="008F2405" w:rsidRPr="008F2405" w:rsidRDefault="008F2405" w:rsidP="008F2405">
            <w:r w:rsidRPr="008F2405">
              <w:t>TRUE</w:t>
            </w:r>
          </w:p>
        </w:tc>
      </w:tr>
    </w:tbl>
    <w:p w14:paraId="4BBA5471" w14:textId="77777777" w:rsidR="00C21C0C" w:rsidRPr="00435828" w:rsidRDefault="00C21C0C" w:rsidP="006A744E">
      <w:pPr>
        <w:spacing w:before="120" w:after="240"/>
        <w:ind w:firstLine="720"/>
      </w:pPr>
      <w:r w:rsidRPr="00435828">
        <w:t xml:space="preserve">Table </w:t>
      </w:r>
      <w:r w:rsidR="000302DB">
        <w:fldChar w:fldCharType="begin"/>
      </w:r>
      <w:r w:rsidR="000302DB">
        <w:instrText xml:space="preserve"> SEQ Table \* ARABIC </w:instrText>
      </w:r>
      <w:r w:rsidR="000302DB">
        <w:fldChar w:fldCharType="separate"/>
      </w:r>
      <w:r w:rsidR="00656F50">
        <w:rPr>
          <w:noProof/>
        </w:rPr>
        <w:t>15</w:t>
      </w:r>
      <w:r w:rsidR="000302DB">
        <w:rPr>
          <w:noProof/>
        </w:rPr>
        <w:fldChar w:fldCharType="end"/>
      </w:r>
      <w:r w:rsidRPr="00435828">
        <w:t>.  ISIX Case 3 XML Scenario Hypothetical Transmitter Attribute Settings</w:t>
      </w:r>
      <w:r w:rsidRPr="00435828" w:rsidDel="00C21C0C">
        <w:t xml:space="preserve"> </w:t>
      </w:r>
    </w:p>
    <w:p w14:paraId="464644A6" w14:textId="77777777" w:rsidR="008F2405" w:rsidRPr="008F2405" w:rsidRDefault="008F2405" w:rsidP="006A744E">
      <w:pPr>
        <w:pStyle w:val="ParaNum"/>
      </w:pPr>
      <w:r w:rsidRPr="008F2405">
        <w:t xml:space="preserve">The inter-service interference Case 3 XML scenario will look similar to the example shown in </w:t>
      </w:r>
      <w:r w:rsidRPr="008F2405">
        <w:fldChar w:fldCharType="begin"/>
      </w:r>
      <w:r w:rsidRPr="008F2405">
        <w:instrText xml:space="preserve"> REF _Ref396560821 \h  \* MERGEFORMAT </w:instrText>
      </w:r>
      <w:r w:rsidRPr="008F2405">
        <w:fldChar w:fldCharType="separate"/>
      </w:r>
      <w:r w:rsidR="00656F50" w:rsidRPr="00435828">
        <w:t xml:space="preserve">Figure </w:t>
      </w:r>
      <w:r w:rsidR="00656F50">
        <w:rPr>
          <w:noProof/>
        </w:rPr>
        <w:t>5</w:t>
      </w:r>
      <w:r w:rsidRPr="008F2405">
        <w:fldChar w:fldCharType="end"/>
      </w:r>
      <w:r w:rsidRPr="008F2405">
        <w:t xml:space="preserve"> below.  CDBS sites are listed as “desired” while all hypothetical base stations are listed as undesired only.  </w:t>
      </w:r>
    </w:p>
    <w:p w14:paraId="10C466BB" w14:textId="77777777" w:rsidR="008F2405" w:rsidRPr="008F2405" w:rsidRDefault="008F2405" w:rsidP="008F2405">
      <w:pPr>
        <w:keepNext/>
      </w:pPr>
      <w:r w:rsidRPr="00F3761A">
        <w:rPr>
          <w:noProof/>
        </w:rPr>
        <w:drawing>
          <wp:inline distT="0" distB="0" distL="0" distR="0" wp14:anchorId="53B23BE3" wp14:editId="77B05E3C">
            <wp:extent cx="5943600" cy="3248660"/>
            <wp:effectExtent l="19050" t="19050" r="19050" b="279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248660"/>
                    </a:xfrm>
                    <a:prstGeom prst="rect">
                      <a:avLst/>
                    </a:prstGeom>
                    <a:ln>
                      <a:solidFill>
                        <a:sysClr val="windowText" lastClr="000000"/>
                      </a:solidFill>
                    </a:ln>
                  </pic:spPr>
                </pic:pic>
              </a:graphicData>
            </a:graphic>
          </wp:inline>
        </w:drawing>
      </w:r>
    </w:p>
    <w:p w14:paraId="59A5BFEA" w14:textId="77777777" w:rsidR="008F2405" w:rsidRPr="00435828" w:rsidRDefault="008F2405" w:rsidP="006A744E">
      <w:pPr>
        <w:spacing w:before="120" w:after="240"/>
        <w:jc w:val="center"/>
        <w:rPr>
          <w:sz w:val="24"/>
        </w:rPr>
      </w:pPr>
      <w:bookmarkStart w:id="952" w:name="_Ref396560821"/>
      <w:r w:rsidRPr="00435828">
        <w:t xml:space="preserve">Figure </w:t>
      </w:r>
      <w:r w:rsidR="000302DB">
        <w:fldChar w:fldCharType="begin"/>
      </w:r>
      <w:r w:rsidR="000302DB">
        <w:instrText xml:space="preserve"> SEQ Figure \* ARABIC </w:instrText>
      </w:r>
      <w:r w:rsidR="000302DB">
        <w:fldChar w:fldCharType="separate"/>
      </w:r>
      <w:r w:rsidR="00656F50">
        <w:rPr>
          <w:noProof/>
        </w:rPr>
        <w:t>5</w:t>
      </w:r>
      <w:r w:rsidR="000302DB">
        <w:rPr>
          <w:noProof/>
        </w:rPr>
        <w:fldChar w:fldCharType="end"/>
      </w:r>
      <w:bookmarkEnd w:id="952"/>
      <w:r w:rsidRPr="00435828">
        <w:t>.  Example ISIX Case 3 XML Scenario</w:t>
      </w:r>
    </w:p>
    <w:p w14:paraId="46C065C0" w14:textId="77777777" w:rsidR="006F6FE7" w:rsidRDefault="006F6FE7">
      <w:r>
        <w:br w:type="page"/>
      </w:r>
    </w:p>
    <w:p w14:paraId="5E0C463F" w14:textId="77777777" w:rsidR="005474ED" w:rsidRDefault="005474ED">
      <w:pPr>
        <w:sectPr w:rsidR="005474ED" w:rsidSect="00DB6375">
          <w:footnotePr>
            <w:numRestart w:val="eachSect"/>
          </w:footnotePr>
          <w:endnotePr>
            <w:numFmt w:val="decimal"/>
          </w:endnotePr>
          <w:pgSz w:w="12240" w:h="15840"/>
          <w:pgMar w:top="1440" w:right="1440" w:bottom="720" w:left="1440" w:header="720" w:footer="720" w:gutter="0"/>
          <w:cols w:space="720"/>
          <w:noEndnote/>
          <w:docGrid w:linePitch="299"/>
        </w:sectPr>
      </w:pPr>
    </w:p>
    <w:p w14:paraId="17EFD461" w14:textId="77777777" w:rsidR="00391D9A" w:rsidRPr="0071063C" w:rsidRDefault="00391D9A" w:rsidP="00391D9A">
      <w:pPr>
        <w:spacing w:line="480" w:lineRule="auto"/>
        <w:jc w:val="center"/>
        <w:rPr>
          <w:b/>
        </w:rPr>
      </w:pPr>
      <w:r w:rsidRPr="0071063C">
        <w:rPr>
          <w:b/>
          <w:szCs w:val="22"/>
        </w:rPr>
        <w:t>APPENDIX</w:t>
      </w:r>
      <w:r w:rsidRPr="0071063C">
        <w:rPr>
          <w:b/>
        </w:rPr>
        <w:t xml:space="preserve"> </w:t>
      </w:r>
      <w:r>
        <w:rPr>
          <w:b/>
        </w:rPr>
        <w:t>B</w:t>
      </w:r>
    </w:p>
    <w:p w14:paraId="66B33985" w14:textId="77320FE2" w:rsidR="00391D9A" w:rsidRPr="00970B9B" w:rsidRDefault="00391D9A" w:rsidP="00391D9A">
      <w:pPr>
        <w:spacing w:line="480" w:lineRule="auto"/>
        <w:jc w:val="center"/>
        <w:rPr>
          <w:b/>
          <w:bCs/>
          <w:szCs w:val="22"/>
        </w:rPr>
      </w:pPr>
      <w:r w:rsidRPr="00970B9B">
        <w:rPr>
          <w:b/>
          <w:bCs/>
          <w:szCs w:val="22"/>
        </w:rPr>
        <w:t>F</w:t>
      </w:r>
      <w:r w:rsidR="00E43935">
        <w:rPr>
          <w:b/>
          <w:bCs/>
          <w:szCs w:val="22"/>
        </w:rPr>
        <w:t>INAL</w:t>
      </w:r>
      <w:r w:rsidRPr="00970B9B">
        <w:rPr>
          <w:b/>
          <w:bCs/>
          <w:szCs w:val="22"/>
        </w:rPr>
        <w:t xml:space="preserve"> R</w:t>
      </w:r>
      <w:r w:rsidR="00E43935">
        <w:rPr>
          <w:b/>
          <w:bCs/>
          <w:szCs w:val="22"/>
        </w:rPr>
        <w:t>ULES</w:t>
      </w:r>
    </w:p>
    <w:p w14:paraId="04B28A92" w14:textId="77777777" w:rsidR="00391D9A" w:rsidRPr="00970B9B" w:rsidRDefault="00391D9A" w:rsidP="00391D9A">
      <w:pPr>
        <w:spacing w:line="480" w:lineRule="auto"/>
        <w:jc w:val="both"/>
        <w:rPr>
          <w:szCs w:val="22"/>
        </w:rPr>
      </w:pPr>
      <w:r w:rsidRPr="00970B9B">
        <w:rPr>
          <w:szCs w:val="22"/>
        </w:rPr>
        <w:t xml:space="preserve">For the reasons discussed in the preamble, the Federal Communications Commission </w:t>
      </w:r>
      <w:r w:rsidRPr="00970B9B">
        <w:rPr>
          <w:bCs/>
          <w:szCs w:val="22"/>
        </w:rPr>
        <w:t>amends 47 CFR part</w:t>
      </w:r>
      <w:r>
        <w:rPr>
          <w:bCs/>
          <w:szCs w:val="22"/>
        </w:rPr>
        <w:t xml:space="preserve"> </w:t>
      </w:r>
      <w:r w:rsidRPr="00970B9B">
        <w:rPr>
          <w:bCs/>
          <w:szCs w:val="22"/>
        </w:rPr>
        <w:t>73 as follows:</w:t>
      </w:r>
    </w:p>
    <w:p w14:paraId="507AC20E" w14:textId="77777777" w:rsidR="00391D9A" w:rsidRPr="00970B9B" w:rsidRDefault="00391D9A" w:rsidP="00391D9A">
      <w:pPr>
        <w:pStyle w:val="NormalWeb"/>
        <w:spacing w:before="0" w:beforeAutospacing="0" w:after="0" w:afterAutospacing="0" w:line="480" w:lineRule="auto"/>
        <w:rPr>
          <w:b/>
          <w:iCs/>
          <w:sz w:val="22"/>
          <w:szCs w:val="22"/>
        </w:rPr>
      </w:pPr>
      <w:r w:rsidRPr="00970B9B">
        <w:rPr>
          <w:b/>
          <w:bCs/>
          <w:color w:val="010101"/>
          <w:sz w:val="22"/>
          <w:szCs w:val="22"/>
        </w:rPr>
        <w:t>PART 73—RADIO BROADCAST SERVICES</w:t>
      </w:r>
      <w:r w:rsidRPr="00970B9B">
        <w:rPr>
          <w:b/>
          <w:iCs/>
          <w:sz w:val="22"/>
          <w:szCs w:val="22"/>
        </w:rPr>
        <w:t xml:space="preserve"> </w:t>
      </w:r>
    </w:p>
    <w:p w14:paraId="107363B6" w14:textId="77777777" w:rsidR="00391D9A" w:rsidRPr="00970B9B" w:rsidRDefault="00391D9A" w:rsidP="00391D9A">
      <w:pPr>
        <w:spacing w:line="480" w:lineRule="auto"/>
        <w:ind w:left="720" w:hanging="360"/>
        <w:rPr>
          <w:iCs/>
          <w:szCs w:val="22"/>
        </w:rPr>
      </w:pPr>
      <w:r>
        <w:rPr>
          <w:rFonts w:eastAsia="TimesNewRoman"/>
          <w:color w:val="010101"/>
          <w:szCs w:val="22"/>
        </w:rPr>
        <w:t>1.</w:t>
      </w:r>
      <w:r>
        <w:rPr>
          <w:rFonts w:eastAsia="TimesNewRoman"/>
          <w:color w:val="010101"/>
          <w:szCs w:val="22"/>
        </w:rPr>
        <w:tab/>
      </w:r>
      <w:r w:rsidRPr="00970B9B">
        <w:rPr>
          <w:rFonts w:eastAsia="TimesNewRoman"/>
          <w:color w:val="010101"/>
          <w:szCs w:val="22"/>
        </w:rPr>
        <w:t>The authority citation for part 73 continues to read:</w:t>
      </w:r>
    </w:p>
    <w:p w14:paraId="35C501AD" w14:textId="77777777" w:rsidR="00391D9A" w:rsidRPr="006F602E" w:rsidRDefault="00391D9A" w:rsidP="00391D9A">
      <w:pPr>
        <w:pStyle w:val="NormalWeb"/>
        <w:spacing w:before="0" w:beforeAutospacing="0" w:after="0" w:afterAutospacing="0" w:line="480" w:lineRule="auto"/>
        <w:rPr>
          <w:b/>
          <w:iCs/>
          <w:sz w:val="22"/>
          <w:szCs w:val="22"/>
        </w:rPr>
      </w:pPr>
      <w:r w:rsidRPr="0026139E">
        <w:rPr>
          <w:rFonts w:eastAsia="TimesNewRoman"/>
          <w:b/>
          <w:color w:val="010101"/>
          <w:sz w:val="22"/>
          <w:szCs w:val="22"/>
        </w:rPr>
        <w:t>Authority:</w:t>
      </w:r>
      <w:r w:rsidRPr="00970B9B">
        <w:rPr>
          <w:rFonts w:eastAsia="TimesNewRoman"/>
          <w:color w:val="010101"/>
          <w:sz w:val="22"/>
          <w:szCs w:val="22"/>
        </w:rPr>
        <w:t xml:space="preserve"> 47 U.S.C. 154, </w:t>
      </w:r>
      <w:r w:rsidRPr="006F602E">
        <w:rPr>
          <w:rFonts w:eastAsia="TimesNewRoman"/>
          <w:color w:val="010101"/>
          <w:sz w:val="22"/>
          <w:szCs w:val="22"/>
        </w:rPr>
        <w:t>303, 334, 336, and 339.</w:t>
      </w:r>
      <w:r w:rsidRPr="006F602E">
        <w:rPr>
          <w:b/>
          <w:iCs/>
          <w:sz w:val="22"/>
          <w:szCs w:val="22"/>
        </w:rPr>
        <w:t xml:space="preserve"> </w:t>
      </w:r>
    </w:p>
    <w:p w14:paraId="61DE2B67" w14:textId="77777777" w:rsidR="00391D9A" w:rsidRPr="006F602E" w:rsidRDefault="00391D9A" w:rsidP="00391D9A">
      <w:pPr>
        <w:pStyle w:val="NormalWeb"/>
        <w:spacing w:before="0" w:beforeAutospacing="0" w:after="0" w:afterAutospacing="0" w:line="480" w:lineRule="auto"/>
        <w:ind w:left="720" w:hanging="360"/>
        <w:rPr>
          <w:b/>
          <w:iCs/>
          <w:sz w:val="22"/>
          <w:szCs w:val="22"/>
        </w:rPr>
      </w:pPr>
      <w:r w:rsidRPr="006F602E">
        <w:rPr>
          <w:iCs/>
          <w:sz w:val="22"/>
          <w:szCs w:val="22"/>
        </w:rPr>
        <w:t>2.</w:t>
      </w:r>
      <w:r w:rsidRPr="006F602E">
        <w:rPr>
          <w:iCs/>
          <w:sz w:val="22"/>
          <w:szCs w:val="22"/>
        </w:rPr>
        <w:tab/>
      </w:r>
      <w:r w:rsidRPr="006F602E">
        <w:rPr>
          <w:rFonts w:eastAsia="TimesNewRoman"/>
          <w:color w:val="010101"/>
          <w:sz w:val="22"/>
          <w:szCs w:val="22"/>
        </w:rPr>
        <w:t xml:space="preserve">Section 73.3700 is </w:t>
      </w:r>
      <w:r w:rsidRPr="006F602E">
        <w:rPr>
          <w:sz w:val="22"/>
          <w:szCs w:val="22"/>
        </w:rPr>
        <w:t>amended by revising paragraphs (b)(1)(iv), (b)(2)(i), and (b)(2)(ii) to read as follows:</w:t>
      </w:r>
    </w:p>
    <w:p w14:paraId="2333FB4A" w14:textId="77777777" w:rsidR="00391D9A" w:rsidRDefault="00391D9A" w:rsidP="00391D9A">
      <w:pPr>
        <w:spacing w:line="480" w:lineRule="auto"/>
        <w:rPr>
          <w:b/>
          <w:u w:val="single"/>
        </w:rPr>
      </w:pPr>
      <w:r>
        <w:rPr>
          <w:b/>
          <w:u w:val="single"/>
        </w:rPr>
        <w:t>§ 73.3700 Post-Incentive Auction Licensing and Operation.</w:t>
      </w:r>
    </w:p>
    <w:p w14:paraId="1C3C1CCD" w14:textId="77777777" w:rsidR="00391D9A" w:rsidRDefault="00391D9A" w:rsidP="00391D9A">
      <w:pPr>
        <w:spacing w:line="480" w:lineRule="auto"/>
      </w:pPr>
      <w:r>
        <w:t>* * * * *</w:t>
      </w:r>
    </w:p>
    <w:p w14:paraId="4929B2EC" w14:textId="77777777" w:rsidR="00391D9A" w:rsidRDefault="00391D9A" w:rsidP="00391D9A">
      <w:pPr>
        <w:spacing w:line="480" w:lineRule="auto"/>
      </w:pPr>
      <w:r>
        <w:t>(b) * * *</w:t>
      </w:r>
    </w:p>
    <w:p w14:paraId="5FC1E864" w14:textId="77777777" w:rsidR="00391D9A" w:rsidRDefault="00391D9A" w:rsidP="00391D9A">
      <w:pPr>
        <w:spacing w:line="480" w:lineRule="auto"/>
      </w:pPr>
      <w:r>
        <w:t xml:space="preserve">(1) * * * </w:t>
      </w:r>
    </w:p>
    <w:p w14:paraId="2CFD2A4F" w14:textId="77777777" w:rsidR="00391D9A" w:rsidRPr="002B1D99" w:rsidRDefault="00391D9A" w:rsidP="00391D9A">
      <w:pPr>
        <w:pStyle w:val="NormalWeb"/>
        <w:spacing w:before="0" w:beforeAutospacing="0" w:after="0" w:afterAutospacing="0" w:line="480" w:lineRule="auto"/>
        <w:rPr>
          <w:sz w:val="22"/>
          <w:szCs w:val="22"/>
        </w:rPr>
      </w:pPr>
      <w:r w:rsidRPr="002B1D99">
        <w:rPr>
          <w:sz w:val="22"/>
          <w:szCs w:val="22"/>
        </w:rPr>
        <w:t>(iv) Priority Filing Window</w:t>
      </w:r>
    </w:p>
    <w:p w14:paraId="074CD459" w14:textId="77777777" w:rsidR="00391D9A" w:rsidRDefault="00391D9A" w:rsidP="00391D9A">
      <w:pPr>
        <w:pStyle w:val="NormalWeb"/>
        <w:spacing w:before="0" w:beforeAutospacing="0" w:after="0" w:afterAutospacing="0" w:line="480" w:lineRule="auto"/>
        <w:rPr>
          <w:sz w:val="22"/>
          <w:szCs w:val="22"/>
        </w:rPr>
      </w:pPr>
      <w:r w:rsidRPr="002B1D99">
        <w:rPr>
          <w:sz w:val="22"/>
          <w:szCs w:val="22"/>
        </w:rPr>
        <w:t>(A)</w:t>
      </w:r>
      <w:r>
        <w:rPr>
          <w:sz w:val="22"/>
          <w:szCs w:val="22"/>
        </w:rPr>
        <w:t xml:space="preserve"> </w:t>
      </w:r>
      <w:r>
        <w:rPr>
          <w:rFonts w:eastAsia="TimesNewRoman"/>
          <w:color w:val="010101"/>
          <w:sz w:val="22"/>
          <w:szCs w:val="22"/>
        </w:rPr>
        <w:t>The licensee of a reassigned station, a</w:t>
      </w:r>
      <w:r>
        <w:rPr>
          <w:sz w:val="22"/>
          <w:szCs w:val="22"/>
        </w:rPr>
        <w:t xml:space="preserve"> UHF-to-VHF station, or a </w:t>
      </w:r>
      <w:r>
        <w:rPr>
          <w:rFonts w:eastAsia="TimesNewRoman"/>
          <w:color w:val="010101"/>
          <w:sz w:val="22"/>
          <w:szCs w:val="22"/>
        </w:rPr>
        <w:t>High-VHF-to-Low-VHF station</w:t>
      </w:r>
      <w:r>
        <w:rPr>
          <w:sz w:val="22"/>
          <w:szCs w:val="22"/>
        </w:rPr>
        <w:t xml:space="preserve"> that, for reasons beyond its control, is unable to construct facilities that meet the technical parameters specified in the Channel Reassignment Public Notice, or the permissible contour coverage variance from those technical parameters specified in paragraph (b)(1)(ii) or (iii) of this section, may request a waiver of the construction permit application deadline specified in paragraph (b)(1)(i) no later than 30 days prior to the deadline.  If its waiver request is granted, the licensee will be afforded an opportunity to submit an application for a construction permit pursuant to paragraph (b)(2)(i) or (ii) of this section in a priority filing window to be announced by the Media Bureau by public notice.</w:t>
      </w:r>
    </w:p>
    <w:p w14:paraId="297AFDED" w14:textId="77777777" w:rsidR="00391D9A" w:rsidRPr="002B1D99" w:rsidRDefault="00391D9A" w:rsidP="00391D9A">
      <w:pPr>
        <w:spacing w:line="480" w:lineRule="auto"/>
        <w:rPr>
          <w:szCs w:val="22"/>
        </w:rPr>
      </w:pPr>
      <w:r w:rsidRPr="002B1D99">
        <w:t>(B)  The licensee of any b</w:t>
      </w:r>
      <w:r w:rsidRPr="002B1D99">
        <w:rPr>
          <w:rFonts w:eastAsia="TimesNewRoman"/>
          <w:color w:val="010101"/>
        </w:rPr>
        <w:t xml:space="preserve">roadcast television station that the Commission makes all reasonable efforts to preserve pursuant to Section 6403(b)(2) of the Spectrum Act that is predicted to experience aggregate new interference to population served in excess of one percent as a result of the repacking process </w:t>
      </w:r>
      <w:r w:rsidRPr="002B1D99">
        <w:t>will be afforded an opportunity to submit an application for a construction permit pursuant to paragraph (b)(2)(i) or (ii) of this section in the priority filing window required by paragraph (b)(1)(iv)(A).</w:t>
      </w:r>
    </w:p>
    <w:p w14:paraId="6E6C2B49" w14:textId="77777777" w:rsidR="00391D9A" w:rsidRDefault="00391D9A" w:rsidP="00391D9A">
      <w:pPr>
        <w:pStyle w:val="NormalWeb"/>
        <w:spacing w:before="0" w:beforeAutospacing="0" w:after="0" w:afterAutospacing="0" w:line="480" w:lineRule="auto"/>
        <w:rPr>
          <w:sz w:val="22"/>
          <w:szCs w:val="22"/>
        </w:rPr>
      </w:pPr>
      <w:r>
        <w:rPr>
          <w:sz w:val="22"/>
          <w:szCs w:val="22"/>
        </w:rPr>
        <w:t>* * * * *</w:t>
      </w:r>
    </w:p>
    <w:p w14:paraId="46C58695" w14:textId="77777777" w:rsidR="00391D9A" w:rsidRDefault="00391D9A" w:rsidP="00391D9A">
      <w:pPr>
        <w:pStyle w:val="NormalWeb"/>
        <w:spacing w:before="0" w:beforeAutospacing="0" w:after="0" w:afterAutospacing="0" w:line="480" w:lineRule="auto"/>
        <w:rPr>
          <w:sz w:val="22"/>
          <w:szCs w:val="22"/>
        </w:rPr>
      </w:pPr>
      <w:r>
        <w:rPr>
          <w:sz w:val="22"/>
          <w:szCs w:val="22"/>
        </w:rPr>
        <w:t>(2) * * *</w:t>
      </w:r>
    </w:p>
    <w:p w14:paraId="22C8CDBC" w14:textId="77777777" w:rsidR="00391D9A" w:rsidRDefault="00391D9A" w:rsidP="00391D9A">
      <w:pPr>
        <w:pStyle w:val="NormalWeb"/>
        <w:spacing w:before="0" w:beforeAutospacing="0" w:after="0" w:afterAutospacing="0" w:line="480" w:lineRule="auto"/>
        <w:rPr>
          <w:sz w:val="22"/>
          <w:szCs w:val="22"/>
        </w:rPr>
      </w:pPr>
      <w:r>
        <w:rPr>
          <w:sz w:val="22"/>
          <w:szCs w:val="22"/>
        </w:rPr>
        <w:t xml:space="preserve">(i) </w:t>
      </w:r>
      <w:r>
        <w:rPr>
          <w:sz w:val="22"/>
          <w:szCs w:val="22"/>
          <w:u w:val="single"/>
        </w:rPr>
        <w:t>Alternate channels</w:t>
      </w:r>
      <w:r>
        <w:rPr>
          <w:sz w:val="22"/>
          <w:szCs w:val="22"/>
        </w:rPr>
        <w:t xml:space="preserve">.  </w:t>
      </w:r>
      <w:r>
        <w:rPr>
          <w:rFonts w:eastAsia="TimesNewRoman"/>
          <w:color w:val="010101"/>
          <w:sz w:val="22"/>
          <w:szCs w:val="22"/>
        </w:rPr>
        <w:t>The licensee of a reassigned station, a</w:t>
      </w:r>
      <w:r>
        <w:rPr>
          <w:sz w:val="22"/>
          <w:szCs w:val="22"/>
        </w:rPr>
        <w:t xml:space="preserve"> UHF-to-VHF station, a </w:t>
      </w:r>
      <w:r>
        <w:rPr>
          <w:rFonts w:eastAsia="TimesNewRoman"/>
          <w:color w:val="010101"/>
          <w:sz w:val="22"/>
          <w:szCs w:val="22"/>
        </w:rPr>
        <w:t>High-VHF-to-Low-VHF station</w:t>
      </w:r>
      <w:r w:rsidRPr="002B1D99">
        <w:rPr>
          <w:rFonts w:eastAsia="TimesNewRoman"/>
          <w:color w:val="010101"/>
          <w:sz w:val="22"/>
          <w:szCs w:val="22"/>
        </w:rPr>
        <w:t>, or</w:t>
      </w:r>
      <w:r w:rsidRPr="002B1D99">
        <w:rPr>
          <w:sz w:val="22"/>
          <w:szCs w:val="22"/>
        </w:rPr>
        <w:t xml:space="preserve"> a </w:t>
      </w:r>
      <w:r w:rsidRPr="002B1D99">
        <w:t>b</w:t>
      </w:r>
      <w:r w:rsidRPr="002B1D99">
        <w:rPr>
          <w:rFonts w:eastAsia="TimesNewRoman"/>
          <w:color w:val="010101"/>
          <w:sz w:val="22"/>
          <w:szCs w:val="22"/>
        </w:rPr>
        <w:t>roadcast television station</w:t>
      </w:r>
      <w:r w:rsidRPr="002B1D99">
        <w:rPr>
          <w:rFonts w:eastAsia="TimesNewRoman"/>
          <w:color w:val="010101"/>
        </w:rPr>
        <w:t xml:space="preserve"> described in paragraph </w:t>
      </w:r>
      <w:r w:rsidRPr="002B1D99">
        <w:t>(b)(1)(iv)(B)</w:t>
      </w:r>
      <w:r>
        <w:t xml:space="preserve"> of this section</w:t>
      </w:r>
      <w:r>
        <w:rPr>
          <w:rFonts w:eastAsia="TimesNewRoman"/>
          <w:color w:val="010101"/>
        </w:rPr>
        <w:t xml:space="preserve"> </w:t>
      </w:r>
      <w:r>
        <w:rPr>
          <w:sz w:val="22"/>
          <w:szCs w:val="22"/>
        </w:rPr>
        <w:t>will be permitted to file a major change application for a construction permit for an alternate channel on FCC Form 301, 301-CA, or 340 during a filing window to be announced by the Media Bureau by public notice, provided that:</w:t>
      </w:r>
    </w:p>
    <w:p w14:paraId="0C896357" w14:textId="77777777" w:rsidR="00391D9A" w:rsidRDefault="00391D9A" w:rsidP="00391D9A">
      <w:pPr>
        <w:pStyle w:val="NormalWeb"/>
        <w:spacing w:before="0" w:beforeAutospacing="0" w:after="0" w:afterAutospacing="0" w:line="480" w:lineRule="auto"/>
        <w:rPr>
          <w:sz w:val="22"/>
          <w:szCs w:val="22"/>
        </w:rPr>
      </w:pPr>
      <w:r>
        <w:rPr>
          <w:sz w:val="22"/>
          <w:szCs w:val="22"/>
        </w:rPr>
        <w:t>* * * * *</w:t>
      </w:r>
    </w:p>
    <w:p w14:paraId="0DB4C35F" w14:textId="77777777" w:rsidR="00391D9A" w:rsidRDefault="00391D9A" w:rsidP="00391D9A">
      <w:pPr>
        <w:pStyle w:val="NormalWeb"/>
        <w:spacing w:before="0" w:beforeAutospacing="0" w:after="0" w:afterAutospacing="0" w:line="480" w:lineRule="auto"/>
        <w:rPr>
          <w:sz w:val="22"/>
          <w:szCs w:val="22"/>
        </w:rPr>
      </w:pPr>
      <w:r>
        <w:rPr>
          <w:sz w:val="22"/>
          <w:szCs w:val="22"/>
        </w:rPr>
        <w:t xml:space="preserve">(ii) </w:t>
      </w:r>
      <w:r>
        <w:rPr>
          <w:sz w:val="22"/>
          <w:szCs w:val="22"/>
          <w:u w:val="single"/>
        </w:rPr>
        <w:t>Expanded facilities</w:t>
      </w:r>
      <w:r>
        <w:rPr>
          <w:sz w:val="22"/>
          <w:szCs w:val="22"/>
        </w:rPr>
        <w:t xml:space="preserve">.  </w:t>
      </w:r>
      <w:r>
        <w:rPr>
          <w:rFonts w:eastAsia="TimesNewRoman"/>
          <w:color w:val="010101"/>
          <w:sz w:val="22"/>
          <w:szCs w:val="22"/>
        </w:rPr>
        <w:t>The licensee of a reassigned station, a</w:t>
      </w:r>
      <w:r>
        <w:rPr>
          <w:sz w:val="22"/>
          <w:szCs w:val="22"/>
        </w:rPr>
        <w:t xml:space="preserve"> UHF-to-VHF station, a </w:t>
      </w:r>
      <w:r>
        <w:rPr>
          <w:rFonts w:eastAsia="TimesNewRoman"/>
          <w:color w:val="010101"/>
          <w:sz w:val="22"/>
          <w:szCs w:val="22"/>
        </w:rPr>
        <w:t>High-VHF-to-Low-VHF station</w:t>
      </w:r>
      <w:r w:rsidRPr="002B1D99">
        <w:rPr>
          <w:rFonts w:eastAsia="TimesNewRoman"/>
          <w:color w:val="010101"/>
          <w:sz w:val="22"/>
          <w:szCs w:val="22"/>
        </w:rPr>
        <w:t>, or</w:t>
      </w:r>
      <w:r w:rsidRPr="002B1D99">
        <w:rPr>
          <w:sz w:val="22"/>
          <w:szCs w:val="22"/>
        </w:rPr>
        <w:t xml:space="preserve"> a </w:t>
      </w:r>
      <w:r w:rsidRPr="002B1D99">
        <w:t>b</w:t>
      </w:r>
      <w:r w:rsidRPr="002B1D99">
        <w:rPr>
          <w:rFonts w:eastAsia="TimesNewRoman"/>
          <w:color w:val="010101"/>
          <w:sz w:val="22"/>
          <w:szCs w:val="22"/>
        </w:rPr>
        <w:t>roadcast television station</w:t>
      </w:r>
      <w:r w:rsidRPr="002B1D99">
        <w:rPr>
          <w:rFonts w:eastAsia="TimesNewRoman"/>
          <w:color w:val="010101"/>
        </w:rPr>
        <w:t xml:space="preserve"> described in paragraph </w:t>
      </w:r>
      <w:r w:rsidRPr="002B1D99">
        <w:t>(b)(1)(iv)(B)</w:t>
      </w:r>
      <w:r>
        <w:rPr>
          <w:sz w:val="22"/>
          <w:szCs w:val="22"/>
        </w:rPr>
        <w:t xml:space="preserve"> of this section will be permitted to file a minor change application for a construction permit on FCC Form 301, 301-CA, or 340 during a filing window to be announced by the Media Bureau by public notice, in order to request a change in the technical parameters specified in the Channel Reassignment Public Notice </w:t>
      </w:r>
      <w:r w:rsidRPr="002B1D99">
        <w:rPr>
          <w:sz w:val="22"/>
          <w:szCs w:val="22"/>
        </w:rPr>
        <w:t>(</w:t>
      </w:r>
      <w:r w:rsidRPr="002B1D99">
        <w:rPr>
          <w:rFonts w:eastAsia="TimesNewRoman"/>
          <w:color w:val="010101"/>
          <w:sz w:val="22"/>
          <w:szCs w:val="22"/>
        </w:rPr>
        <w:t>or, in the case</w:t>
      </w:r>
      <w:r w:rsidRPr="002B1D99">
        <w:rPr>
          <w:sz w:val="22"/>
          <w:szCs w:val="22"/>
        </w:rPr>
        <w:t xml:space="preserve"> of a </w:t>
      </w:r>
      <w:r w:rsidRPr="002B1D99">
        <w:t>b</w:t>
      </w:r>
      <w:r w:rsidRPr="002B1D99">
        <w:rPr>
          <w:rFonts w:eastAsia="TimesNewRoman"/>
          <w:color w:val="010101"/>
          <w:sz w:val="22"/>
          <w:szCs w:val="22"/>
        </w:rPr>
        <w:t>roadcast television station</w:t>
      </w:r>
      <w:r w:rsidRPr="002B1D99">
        <w:rPr>
          <w:rFonts w:eastAsia="TimesNewRoman"/>
          <w:color w:val="010101"/>
        </w:rPr>
        <w:t xml:space="preserve"> described in paragraph </w:t>
      </w:r>
      <w:r w:rsidRPr="002B1D99">
        <w:t>(b)(1)(iv)(B) that is not reassigned to a new channel, a change in its authorized technical parameters)</w:t>
      </w:r>
      <w:r>
        <w:t xml:space="preserve"> </w:t>
      </w:r>
      <w:r>
        <w:rPr>
          <w:sz w:val="22"/>
          <w:szCs w:val="22"/>
        </w:rPr>
        <w:t>with respect to height above average terrain (HAAT), effective radiated power (ERP), or transmitter location that would be considered a minor change under §§ 73.3572(a)(1),(2) or 74.787(b) of this chapter.</w:t>
      </w:r>
    </w:p>
    <w:p w14:paraId="6AB7C0EA" w14:textId="77777777" w:rsidR="006F6FE7" w:rsidRDefault="00391D9A" w:rsidP="00083B34">
      <w:pPr>
        <w:pStyle w:val="NormalWeb"/>
        <w:spacing w:before="0" w:beforeAutospacing="0" w:after="0" w:afterAutospacing="0" w:line="480" w:lineRule="auto"/>
        <w:rPr>
          <w:sz w:val="22"/>
          <w:szCs w:val="22"/>
        </w:rPr>
      </w:pPr>
      <w:r>
        <w:rPr>
          <w:sz w:val="22"/>
          <w:szCs w:val="22"/>
        </w:rPr>
        <w:t>* * * * *</w:t>
      </w:r>
    </w:p>
    <w:p w14:paraId="2539C88A" w14:textId="77777777" w:rsidR="00A9063C" w:rsidRDefault="00A9063C" w:rsidP="00986FD4">
      <w:pPr>
        <w:jc w:val="center"/>
        <w:rPr>
          <w:b/>
          <w:szCs w:val="22"/>
        </w:rPr>
        <w:sectPr w:rsidR="00A9063C" w:rsidSect="00EE61F6">
          <w:footerReference w:type="default" r:id="rId26"/>
          <w:footerReference w:type="first" r:id="rId27"/>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pPr>
    </w:p>
    <w:p w14:paraId="51841160" w14:textId="47C6806E" w:rsidR="00986FD4" w:rsidRPr="00986FD4" w:rsidRDefault="00986FD4" w:rsidP="00986FD4">
      <w:pPr>
        <w:jc w:val="center"/>
        <w:rPr>
          <w:b/>
          <w:szCs w:val="22"/>
        </w:rPr>
      </w:pPr>
      <w:r w:rsidRPr="00986FD4">
        <w:rPr>
          <w:b/>
          <w:szCs w:val="22"/>
        </w:rPr>
        <w:t>APPENDIX C</w:t>
      </w:r>
    </w:p>
    <w:p w14:paraId="529B661E" w14:textId="77777777" w:rsidR="00986FD4" w:rsidRPr="00986FD4" w:rsidRDefault="00986FD4" w:rsidP="00986FD4">
      <w:pPr>
        <w:jc w:val="center"/>
        <w:rPr>
          <w:b/>
          <w:szCs w:val="22"/>
        </w:rPr>
      </w:pPr>
    </w:p>
    <w:p w14:paraId="2EA9695D" w14:textId="1739F53E" w:rsidR="00986FD4" w:rsidRPr="00986FD4" w:rsidRDefault="00986FD4" w:rsidP="00986FD4">
      <w:pPr>
        <w:jc w:val="center"/>
        <w:rPr>
          <w:b/>
          <w:szCs w:val="22"/>
        </w:rPr>
      </w:pPr>
      <w:r w:rsidRPr="00986FD4">
        <w:rPr>
          <w:b/>
          <w:szCs w:val="22"/>
        </w:rPr>
        <w:t>L</w:t>
      </w:r>
      <w:r w:rsidR="00E43935">
        <w:rPr>
          <w:b/>
          <w:szCs w:val="22"/>
        </w:rPr>
        <w:t xml:space="preserve">IST OF </w:t>
      </w:r>
      <w:r w:rsidRPr="00986FD4">
        <w:rPr>
          <w:b/>
          <w:szCs w:val="22"/>
        </w:rPr>
        <w:t>C</w:t>
      </w:r>
      <w:r w:rsidR="00E43935">
        <w:rPr>
          <w:b/>
          <w:szCs w:val="22"/>
        </w:rPr>
        <w:t>OMMENTERS</w:t>
      </w:r>
      <w:r w:rsidRPr="00986FD4">
        <w:rPr>
          <w:b/>
          <w:szCs w:val="22"/>
        </w:rPr>
        <w:t xml:space="preserve"> </w:t>
      </w:r>
    </w:p>
    <w:p w14:paraId="343BCDCE" w14:textId="77777777" w:rsidR="00986FD4" w:rsidRPr="00986FD4" w:rsidRDefault="00986FD4" w:rsidP="00986FD4">
      <w:pPr>
        <w:rPr>
          <w:szCs w:val="22"/>
        </w:rPr>
      </w:pPr>
    </w:p>
    <w:p w14:paraId="75533A70" w14:textId="77777777" w:rsidR="00986FD4" w:rsidRPr="00986FD4" w:rsidRDefault="00986FD4" w:rsidP="00986FD4">
      <w:pPr>
        <w:rPr>
          <w:b/>
          <w:szCs w:val="22"/>
        </w:rPr>
      </w:pPr>
      <w:r w:rsidRPr="00986FD4">
        <w:rPr>
          <w:b/>
          <w:szCs w:val="22"/>
        </w:rPr>
        <w:t xml:space="preserve">For a list of commenters in GN Docket No. 12-268, see </w:t>
      </w:r>
      <w:r w:rsidRPr="00986FD4">
        <w:rPr>
          <w:b/>
          <w:i/>
        </w:rPr>
        <w:t>Incentive Auction R&amp;O</w:t>
      </w:r>
      <w:r w:rsidRPr="00986FD4">
        <w:rPr>
          <w:b/>
        </w:rPr>
        <w:t>, 29 FCC Rcd 6567, Appendix D</w:t>
      </w:r>
    </w:p>
    <w:p w14:paraId="14F5DC64" w14:textId="77777777" w:rsidR="00986FD4" w:rsidRPr="00986FD4" w:rsidRDefault="00986FD4" w:rsidP="00986FD4">
      <w:pPr>
        <w:rPr>
          <w:b/>
          <w:szCs w:val="22"/>
        </w:rPr>
      </w:pPr>
    </w:p>
    <w:p w14:paraId="3714ABFD" w14:textId="77777777" w:rsidR="00986FD4" w:rsidRPr="00986FD4" w:rsidRDefault="00986FD4" w:rsidP="00986FD4">
      <w:pPr>
        <w:rPr>
          <w:b/>
          <w:szCs w:val="22"/>
        </w:rPr>
      </w:pPr>
      <w:r w:rsidRPr="00986FD4">
        <w:rPr>
          <w:b/>
          <w:szCs w:val="22"/>
        </w:rPr>
        <w:t>List of commenters in ET Docket No. 14-14 on January 29, 2014 ISIX PN</w:t>
      </w:r>
    </w:p>
    <w:p w14:paraId="2F16E393" w14:textId="77777777" w:rsidR="00986FD4" w:rsidRPr="00986FD4" w:rsidRDefault="00986FD4" w:rsidP="00986FD4">
      <w:pPr>
        <w:rPr>
          <w:b/>
          <w:szCs w:val="22"/>
        </w:rPr>
      </w:pPr>
    </w:p>
    <w:p w14:paraId="1C255000" w14:textId="77777777" w:rsidR="00986FD4" w:rsidRPr="00986FD4" w:rsidRDefault="00986FD4" w:rsidP="00986FD4">
      <w:pPr>
        <w:rPr>
          <w:szCs w:val="22"/>
        </w:rPr>
      </w:pPr>
      <w:r w:rsidRPr="00986FD4">
        <w:rPr>
          <w:szCs w:val="22"/>
        </w:rPr>
        <w:t>4G Americas</w:t>
      </w:r>
    </w:p>
    <w:p w14:paraId="5E7AE26B" w14:textId="77777777" w:rsidR="00986FD4" w:rsidRPr="00986FD4" w:rsidRDefault="00986FD4" w:rsidP="00986FD4">
      <w:pPr>
        <w:rPr>
          <w:szCs w:val="22"/>
        </w:rPr>
      </w:pPr>
      <w:r w:rsidRPr="00986FD4">
        <w:rPr>
          <w:szCs w:val="22"/>
        </w:rPr>
        <w:t>Cohen, Dippell and Everist, P.C.</w:t>
      </w:r>
    </w:p>
    <w:p w14:paraId="2B4D1B95" w14:textId="77777777" w:rsidR="00986FD4" w:rsidRPr="00986FD4" w:rsidRDefault="00986FD4" w:rsidP="00986FD4">
      <w:pPr>
        <w:rPr>
          <w:szCs w:val="22"/>
        </w:rPr>
      </w:pPr>
      <w:r w:rsidRPr="00986FD4">
        <w:rPr>
          <w:szCs w:val="22"/>
        </w:rPr>
        <w:t>CTIA – The Wireless Association</w:t>
      </w:r>
    </w:p>
    <w:p w14:paraId="4827EE82" w14:textId="77777777" w:rsidR="00986FD4" w:rsidRPr="00986FD4" w:rsidRDefault="00986FD4" w:rsidP="00986FD4">
      <w:pPr>
        <w:rPr>
          <w:szCs w:val="22"/>
        </w:rPr>
      </w:pPr>
      <w:r w:rsidRPr="00986FD4">
        <w:rPr>
          <w:szCs w:val="22"/>
        </w:rPr>
        <w:t>Ericsson</w:t>
      </w:r>
    </w:p>
    <w:p w14:paraId="3EF5C0BA" w14:textId="77777777" w:rsidR="00986FD4" w:rsidRPr="00986FD4" w:rsidRDefault="00986FD4" w:rsidP="00986FD4">
      <w:pPr>
        <w:rPr>
          <w:szCs w:val="22"/>
        </w:rPr>
      </w:pPr>
      <w:r w:rsidRPr="00986FD4">
        <w:rPr>
          <w:szCs w:val="22"/>
        </w:rPr>
        <w:t>Linley Gumm and Charles Rhodes</w:t>
      </w:r>
    </w:p>
    <w:p w14:paraId="74EF6EB1" w14:textId="77777777" w:rsidR="00986FD4" w:rsidRPr="00986FD4" w:rsidRDefault="00986FD4" w:rsidP="00986FD4">
      <w:pPr>
        <w:ind w:left="360" w:hanging="360"/>
      </w:pPr>
      <w:r w:rsidRPr="00986FD4">
        <w:t>National Association of Broadcasters, ABC Television Affiliates Association, FBC Television Affiliates Association, CBS Television Network Affiliates Association, NBC Television Affiliates, the Association of Public Television Stations, the Corporation for Public Broadcasting, and the Public Broadcasting Service</w:t>
      </w:r>
    </w:p>
    <w:p w14:paraId="20767550" w14:textId="77777777" w:rsidR="00986FD4" w:rsidRPr="00986FD4" w:rsidRDefault="00986FD4" w:rsidP="00986FD4">
      <w:r w:rsidRPr="00986FD4">
        <w:t>National Public Radio, Inc.</w:t>
      </w:r>
    </w:p>
    <w:p w14:paraId="7B7F3F06" w14:textId="77777777" w:rsidR="00986FD4" w:rsidRPr="00986FD4" w:rsidRDefault="00986FD4" w:rsidP="00986FD4">
      <w:r w:rsidRPr="00986FD4">
        <w:t>QUALCOMM Incorporated</w:t>
      </w:r>
    </w:p>
    <w:p w14:paraId="5BA1B586" w14:textId="77777777" w:rsidR="00986FD4" w:rsidRPr="00986FD4" w:rsidRDefault="00986FD4" w:rsidP="00986FD4">
      <w:r w:rsidRPr="00986FD4">
        <w:t>Sinclair Broadcast Group, Inc.</w:t>
      </w:r>
    </w:p>
    <w:p w14:paraId="65BDC8B1" w14:textId="77777777" w:rsidR="00986FD4" w:rsidRPr="00986FD4" w:rsidRDefault="00986FD4" w:rsidP="00986FD4">
      <w:r w:rsidRPr="00986FD4">
        <w:t>Society of Broadcast Engineers, Inc.</w:t>
      </w:r>
    </w:p>
    <w:p w14:paraId="3CC92789" w14:textId="77777777" w:rsidR="00986FD4" w:rsidRPr="00986FD4" w:rsidRDefault="00986FD4" w:rsidP="00986FD4">
      <w:r w:rsidRPr="00986FD4">
        <w:t>Sprint Corporation</w:t>
      </w:r>
    </w:p>
    <w:p w14:paraId="0BFE8891" w14:textId="77777777" w:rsidR="00986FD4" w:rsidRPr="00986FD4" w:rsidRDefault="00986FD4" w:rsidP="00986FD4">
      <w:r w:rsidRPr="00986FD4">
        <w:t>Transmit Consultancy Ltd.</w:t>
      </w:r>
    </w:p>
    <w:p w14:paraId="3EC9D554" w14:textId="77777777" w:rsidR="00986FD4" w:rsidRPr="00986FD4" w:rsidRDefault="00986FD4" w:rsidP="00986FD4"/>
    <w:p w14:paraId="6009C943" w14:textId="77777777" w:rsidR="00986FD4" w:rsidRPr="00986FD4" w:rsidRDefault="00986FD4" w:rsidP="00986FD4">
      <w:pPr>
        <w:rPr>
          <w:b/>
        </w:rPr>
      </w:pPr>
      <w:r w:rsidRPr="00986FD4">
        <w:rPr>
          <w:b/>
          <w:szCs w:val="22"/>
        </w:rPr>
        <w:t xml:space="preserve">List of commenters in ET Docket No. 13-26 on June 2, 2014 </w:t>
      </w:r>
      <w:r w:rsidRPr="00986FD4">
        <w:rPr>
          <w:b/>
        </w:rPr>
        <w:t>Aggregate Interference PN</w:t>
      </w:r>
    </w:p>
    <w:p w14:paraId="727AEFB2" w14:textId="77777777" w:rsidR="00986FD4" w:rsidRPr="00986FD4" w:rsidRDefault="00986FD4" w:rsidP="00986FD4">
      <w:pPr>
        <w:rPr>
          <w:b/>
        </w:rPr>
      </w:pPr>
    </w:p>
    <w:p w14:paraId="714A7021" w14:textId="77777777" w:rsidR="00986FD4" w:rsidRPr="00986FD4" w:rsidRDefault="00986FD4" w:rsidP="00986FD4">
      <w:pPr>
        <w:ind w:left="360" w:hanging="360"/>
      </w:pPr>
      <w:r w:rsidRPr="00986FD4">
        <w:t>Block Communications, Inc., Lima Communications Corporation, Independence Television Company, WAND(TV) Partnership, Idaho Independent Television Inc., and West Central Ohio Broadcasting, Inc.</w:t>
      </w:r>
    </w:p>
    <w:p w14:paraId="4FBC948E" w14:textId="77777777" w:rsidR="00986FD4" w:rsidRPr="00986FD4" w:rsidRDefault="00986FD4" w:rsidP="00986FD4">
      <w:pPr>
        <w:rPr>
          <w:szCs w:val="22"/>
        </w:rPr>
      </w:pPr>
      <w:r w:rsidRPr="00986FD4">
        <w:rPr>
          <w:szCs w:val="22"/>
        </w:rPr>
        <w:t>Cohen, Dippell and Everist, P.C.</w:t>
      </w:r>
    </w:p>
    <w:p w14:paraId="109BDB17" w14:textId="77777777" w:rsidR="00986FD4" w:rsidRPr="00986FD4" w:rsidRDefault="00986FD4" w:rsidP="00986FD4">
      <w:pPr>
        <w:ind w:left="360" w:hanging="360"/>
      </w:pPr>
      <w:r w:rsidRPr="00986FD4">
        <w:t>National Association of Broadcasters</w:t>
      </w:r>
    </w:p>
    <w:p w14:paraId="4630AA1E" w14:textId="77777777" w:rsidR="00986FD4" w:rsidRPr="00986FD4" w:rsidRDefault="00986FD4" w:rsidP="00986FD4">
      <w:pPr>
        <w:ind w:left="360" w:hanging="360"/>
      </w:pPr>
      <w:r w:rsidRPr="00986FD4">
        <w:t xml:space="preserve">Public Broadcasting Service, Association of Public Television Stations, Corporation for Public Broadcasting </w:t>
      </w:r>
    </w:p>
    <w:p w14:paraId="53FB138B" w14:textId="77777777" w:rsidR="00986FD4" w:rsidRPr="00986FD4" w:rsidRDefault="00986FD4" w:rsidP="00986FD4">
      <w:pPr>
        <w:ind w:left="360" w:hanging="360"/>
      </w:pPr>
    </w:p>
    <w:p w14:paraId="6229A2BF" w14:textId="77777777" w:rsidR="00986FD4" w:rsidRPr="00986FD4" w:rsidRDefault="00986FD4" w:rsidP="00986FD4">
      <w:pPr>
        <w:rPr>
          <w:b/>
        </w:rPr>
      </w:pPr>
      <w:r w:rsidRPr="00986FD4">
        <w:rPr>
          <w:b/>
          <w:szCs w:val="22"/>
        </w:rPr>
        <w:t xml:space="preserve">List of commenters in ET Docket No. 14-14 on June 20, 2014 </w:t>
      </w:r>
      <w:r w:rsidRPr="00986FD4">
        <w:rPr>
          <w:b/>
        </w:rPr>
        <w:t>Measurements PN</w:t>
      </w:r>
    </w:p>
    <w:p w14:paraId="72555EC3" w14:textId="77777777" w:rsidR="00986FD4" w:rsidRPr="00986FD4" w:rsidRDefault="00986FD4" w:rsidP="00986FD4">
      <w:pPr>
        <w:rPr>
          <w:b/>
        </w:rPr>
      </w:pPr>
    </w:p>
    <w:p w14:paraId="502155D3" w14:textId="77777777" w:rsidR="00986FD4" w:rsidRPr="00986FD4" w:rsidRDefault="00986FD4" w:rsidP="00986FD4">
      <w:pPr>
        <w:rPr>
          <w:szCs w:val="22"/>
        </w:rPr>
      </w:pPr>
      <w:r w:rsidRPr="00986FD4">
        <w:rPr>
          <w:szCs w:val="22"/>
        </w:rPr>
        <w:t>Advanced Television Broadcasting Alliance</w:t>
      </w:r>
    </w:p>
    <w:p w14:paraId="29E66A94" w14:textId="77777777" w:rsidR="00986FD4" w:rsidRPr="00986FD4" w:rsidRDefault="00986FD4" w:rsidP="00986FD4">
      <w:pPr>
        <w:rPr>
          <w:b/>
        </w:rPr>
      </w:pPr>
      <w:r w:rsidRPr="00986FD4">
        <w:rPr>
          <w:szCs w:val="22"/>
        </w:rPr>
        <w:t>Cohen, Dippell and Everist, P.C.</w:t>
      </w:r>
      <w:r w:rsidRPr="00986FD4">
        <w:rPr>
          <w:b/>
        </w:rPr>
        <w:tab/>
      </w:r>
    </w:p>
    <w:p w14:paraId="07936AF6" w14:textId="77777777" w:rsidR="00986FD4" w:rsidRPr="00986FD4" w:rsidRDefault="00986FD4" w:rsidP="00986FD4">
      <w:r w:rsidRPr="00986FD4">
        <w:t>DIRECTV, LLC</w:t>
      </w:r>
    </w:p>
    <w:p w14:paraId="3D7B25E0" w14:textId="77777777" w:rsidR="00986FD4" w:rsidRPr="00986FD4" w:rsidRDefault="00986FD4" w:rsidP="00986FD4">
      <w:r w:rsidRPr="00986FD4">
        <w:t>National Association of Broadcasters</w:t>
      </w:r>
    </w:p>
    <w:p w14:paraId="0F870692" w14:textId="77777777" w:rsidR="00BA2E93" w:rsidRDefault="00986FD4" w:rsidP="00986FD4">
      <w:pPr>
        <w:sectPr w:rsidR="00BA2E93" w:rsidSect="00A9063C">
          <w:footnotePr>
            <w:numRestart w:val="eachSect"/>
          </w:footnotePr>
          <w:endnotePr>
            <w:numFmt w:val="decimal"/>
          </w:endnotePr>
          <w:pgSz w:w="12240" w:h="15840"/>
          <w:pgMar w:top="1440" w:right="1440" w:bottom="720" w:left="1440" w:header="720" w:footer="720" w:gutter="0"/>
          <w:cols w:space="720"/>
          <w:noEndnote/>
          <w:titlePg/>
          <w:docGrid w:linePitch="299"/>
        </w:sectPr>
      </w:pPr>
      <w:r w:rsidRPr="00986FD4">
        <w:t>Robert F. Gonsett</w:t>
      </w:r>
    </w:p>
    <w:p w14:paraId="26696936" w14:textId="4A13C91C" w:rsidR="00811FF4" w:rsidRPr="00D4694C" w:rsidRDefault="00BA2E93" w:rsidP="00E43935">
      <w:pPr>
        <w:spacing w:after="120"/>
        <w:jc w:val="center"/>
        <w:rPr>
          <w:b/>
          <w:szCs w:val="22"/>
        </w:rPr>
      </w:pPr>
      <w:r>
        <w:rPr>
          <w:b/>
          <w:szCs w:val="22"/>
        </w:rPr>
        <w:t>A</w:t>
      </w:r>
      <w:r w:rsidR="00811FF4" w:rsidRPr="00D4694C">
        <w:rPr>
          <w:b/>
          <w:szCs w:val="22"/>
        </w:rPr>
        <w:t>PPENDIX D</w:t>
      </w:r>
    </w:p>
    <w:p w14:paraId="34F60693" w14:textId="77777777" w:rsidR="00811FF4" w:rsidRPr="00D4694C" w:rsidRDefault="00811FF4" w:rsidP="00E43935">
      <w:pPr>
        <w:spacing w:after="120"/>
        <w:jc w:val="center"/>
        <w:rPr>
          <w:b/>
          <w:szCs w:val="22"/>
        </w:rPr>
      </w:pPr>
      <w:r w:rsidRPr="00D4694C">
        <w:rPr>
          <w:b/>
          <w:szCs w:val="22"/>
        </w:rPr>
        <w:t>PROPOSED RULES</w:t>
      </w:r>
    </w:p>
    <w:p w14:paraId="5D66F397" w14:textId="77777777" w:rsidR="00811FF4" w:rsidRPr="00D4694C" w:rsidRDefault="00811FF4" w:rsidP="00811FF4">
      <w:pPr>
        <w:tabs>
          <w:tab w:val="left" w:pos="0"/>
          <w:tab w:val="left" w:pos="720"/>
        </w:tabs>
        <w:spacing w:after="220" w:line="480" w:lineRule="auto"/>
        <w:jc w:val="both"/>
        <w:rPr>
          <w:b/>
          <w:szCs w:val="22"/>
        </w:rPr>
      </w:pPr>
      <w:r w:rsidRPr="00D4694C">
        <w:rPr>
          <w:b/>
          <w:szCs w:val="22"/>
        </w:rPr>
        <w:t>PART 27 – MISCELLANEOUS WIRELESS COMMUNICATIONS SERVICES</w:t>
      </w:r>
    </w:p>
    <w:p w14:paraId="519BDEEA" w14:textId="77777777" w:rsidR="00811FF4" w:rsidRPr="00D4694C" w:rsidRDefault="00811FF4" w:rsidP="00811FF4">
      <w:pPr>
        <w:tabs>
          <w:tab w:val="left" w:pos="360"/>
          <w:tab w:val="left" w:pos="720"/>
        </w:tabs>
        <w:spacing w:after="220" w:line="480" w:lineRule="auto"/>
        <w:jc w:val="both"/>
        <w:rPr>
          <w:szCs w:val="22"/>
        </w:rPr>
      </w:pPr>
      <w:r w:rsidRPr="00D4694C">
        <w:rPr>
          <w:szCs w:val="22"/>
        </w:rPr>
        <w:t>1.  The authority citation of Part 27 continues to read as follows:</w:t>
      </w:r>
    </w:p>
    <w:p w14:paraId="63C3A8E6" w14:textId="5E269CC9" w:rsidR="00811FF4" w:rsidRPr="00D4694C" w:rsidRDefault="00811FF4" w:rsidP="00811FF4">
      <w:pPr>
        <w:tabs>
          <w:tab w:val="left" w:pos="360"/>
          <w:tab w:val="left" w:pos="720"/>
        </w:tabs>
        <w:spacing w:line="480" w:lineRule="auto"/>
        <w:ind w:left="360"/>
        <w:jc w:val="both"/>
        <w:rPr>
          <w:szCs w:val="22"/>
        </w:rPr>
      </w:pPr>
      <w:r w:rsidRPr="00D4694C">
        <w:rPr>
          <w:szCs w:val="22"/>
        </w:rPr>
        <w:tab/>
      </w:r>
      <w:r w:rsidRPr="0026139E">
        <w:rPr>
          <w:b/>
          <w:szCs w:val="22"/>
        </w:rPr>
        <w:t>A</w:t>
      </w:r>
      <w:r w:rsidR="0026139E" w:rsidRPr="0026139E">
        <w:rPr>
          <w:b/>
          <w:szCs w:val="22"/>
        </w:rPr>
        <w:t>uthority</w:t>
      </w:r>
      <w:r w:rsidRPr="0026139E">
        <w:rPr>
          <w:b/>
          <w:szCs w:val="22"/>
        </w:rPr>
        <w:t>:</w:t>
      </w:r>
      <w:r w:rsidRPr="00D4694C">
        <w:rPr>
          <w:szCs w:val="22"/>
        </w:rPr>
        <w:t xml:space="preserve"> 47 U.S.C. 154, 301, 302(a), 303, 307, 309, 332, 336, 337, 1403, 1404 and 1451</w:t>
      </w:r>
    </w:p>
    <w:p w14:paraId="64335CFD" w14:textId="77777777" w:rsidR="00811FF4" w:rsidRPr="00D4694C" w:rsidRDefault="00811FF4" w:rsidP="00811FF4">
      <w:pPr>
        <w:tabs>
          <w:tab w:val="left" w:pos="360"/>
          <w:tab w:val="left" w:pos="720"/>
        </w:tabs>
        <w:spacing w:after="220" w:line="480" w:lineRule="auto"/>
        <w:ind w:left="360"/>
        <w:jc w:val="both"/>
        <w:rPr>
          <w:szCs w:val="22"/>
        </w:rPr>
      </w:pPr>
      <w:r w:rsidRPr="00D4694C">
        <w:rPr>
          <w:szCs w:val="22"/>
        </w:rPr>
        <w:tab/>
        <w:t>unless otherwise noted.</w:t>
      </w:r>
    </w:p>
    <w:p w14:paraId="21834328" w14:textId="77777777" w:rsidR="00811FF4" w:rsidRPr="00D4694C" w:rsidRDefault="00811FF4" w:rsidP="00811FF4">
      <w:pPr>
        <w:tabs>
          <w:tab w:val="left" w:pos="360"/>
          <w:tab w:val="left" w:pos="720"/>
        </w:tabs>
        <w:spacing w:after="220" w:line="480" w:lineRule="auto"/>
        <w:jc w:val="both"/>
        <w:rPr>
          <w:szCs w:val="22"/>
        </w:rPr>
      </w:pPr>
      <w:r w:rsidRPr="00D4694C">
        <w:rPr>
          <w:szCs w:val="22"/>
        </w:rPr>
        <w:t>2.  Section 27.1310 is proposed to be added to read as follows:</w:t>
      </w:r>
    </w:p>
    <w:p w14:paraId="43B428ED" w14:textId="77777777" w:rsidR="00811FF4" w:rsidRPr="00D4694C" w:rsidRDefault="00811FF4" w:rsidP="00811FF4">
      <w:pPr>
        <w:spacing w:after="120" w:line="480" w:lineRule="auto"/>
        <w:rPr>
          <w:b/>
          <w:szCs w:val="22"/>
        </w:rPr>
      </w:pPr>
      <w:r w:rsidRPr="00D4694C">
        <w:rPr>
          <w:b/>
          <w:szCs w:val="22"/>
        </w:rPr>
        <w:t>Subpart N – 600 MHz Band</w:t>
      </w:r>
    </w:p>
    <w:p w14:paraId="7192EC4E" w14:textId="77777777" w:rsidR="00811FF4" w:rsidRPr="00D4694C" w:rsidRDefault="00811FF4" w:rsidP="00811FF4">
      <w:pPr>
        <w:spacing w:after="120" w:line="480" w:lineRule="auto"/>
        <w:rPr>
          <w:rFonts w:eastAsia="TimesNewRoman"/>
          <w:szCs w:val="22"/>
        </w:rPr>
      </w:pPr>
      <w:r w:rsidRPr="00D4694C">
        <w:rPr>
          <w:b/>
          <w:szCs w:val="22"/>
        </w:rPr>
        <w:t>§ 27.1310  Protection of Broadcast Television Service in the 600 MHz Band from Wireless Operations.</w:t>
      </w:r>
      <w:r w:rsidRPr="00D4694C">
        <w:rPr>
          <w:rFonts w:eastAsia="TimesNewRoman"/>
          <w:szCs w:val="22"/>
        </w:rPr>
        <w:t xml:space="preserve"> </w:t>
      </w:r>
    </w:p>
    <w:p w14:paraId="2C804EDE" w14:textId="77777777" w:rsidR="00811FF4" w:rsidRPr="00D4694C" w:rsidRDefault="00811FF4" w:rsidP="00811FF4">
      <w:pPr>
        <w:spacing w:after="120" w:line="480" w:lineRule="auto"/>
        <w:rPr>
          <w:rFonts w:eastAsia="TimesNewRoman"/>
          <w:szCs w:val="22"/>
        </w:rPr>
      </w:pPr>
      <w:r w:rsidRPr="00D4694C">
        <w:rPr>
          <w:rFonts w:eastAsia="TimesNewRoman"/>
          <w:szCs w:val="22"/>
        </w:rPr>
        <w:t xml:space="preserve">(a)  Licensees authorized to operate wireless services in the 600 MHz band must cause no harmful interference to public reception of the signal of broadcast television stations transmitting </w:t>
      </w:r>
      <w:r w:rsidR="00067422">
        <w:rPr>
          <w:rFonts w:eastAsia="TimesNewRoman"/>
          <w:szCs w:val="22"/>
        </w:rPr>
        <w:t xml:space="preserve">co-channel </w:t>
      </w:r>
      <w:r w:rsidRPr="00D4694C">
        <w:rPr>
          <w:rFonts w:eastAsia="TimesNewRoman"/>
          <w:szCs w:val="22"/>
        </w:rPr>
        <w:t xml:space="preserve">or </w:t>
      </w:r>
      <w:r w:rsidR="00067422">
        <w:rPr>
          <w:rFonts w:eastAsia="TimesNewRoman"/>
          <w:szCs w:val="22"/>
        </w:rPr>
        <w:t xml:space="preserve">on the </w:t>
      </w:r>
      <w:r w:rsidRPr="00D4694C">
        <w:rPr>
          <w:rFonts w:eastAsia="TimesNewRoman"/>
          <w:szCs w:val="22"/>
        </w:rPr>
        <w:t xml:space="preserve">adjacent channel.  </w:t>
      </w:r>
    </w:p>
    <w:p w14:paraId="515E6F18" w14:textId="77777777" w:rsidR="00811FF4" w:rsidRPr="00D4694C" w:rsidRDefault="00811FF4" w:rsidP="00811FF4">
      <w:pPr>
        <w:tabs>
          <w:tab w:val="num" w:pos="0"/>
        </w:tabs>
        <w:spacing w:after="120" w:line="480" w:lineRule="auto"/>
        <w:rPr>
          <w:rFonts w:eastAsia="TimesNewRoman"/>
          <w:szCs w:val="22"/>
        </w:rPr>
      </w:pPr>
      <w:r w:rsidRPr="00D4694C">
        <w:rPr>
          <w:rFonts w:eastAsia="TimesNewRoman"/>
          <w:szCs w:val="22"/>
        </w:rPr>
        <w:t xml:space="preserve">(1)  Such wireless operations must </w:t>
      </w:r>
      <w:r w:rsidR="00067422">
        <w:rPr>
          <w:rFonts w:eastAsia="TimesNewRoman"/>
          <w:szCs w:val="22"/>
        </w:rPr>
        <w:t xml:space="preserve">comply </w:t>
      </w:r>
      <w:r w:rsidRPr="00D4694C">
        <w:rPr>
          <w:rFonts w:eastAsia="TimesNewRoman"/>
          <w:szCs w:val="22"/>
        </w:rPr>
        <w:t xml:space="preserve">with the D/U ratios in Tables </w:t>
      </w:r>
      <w:r w:rsidR="00554D4F">
        <w:rPr>
          <w:rFonts w:eastAsia="TimesNewRoman"/>
          <w:szCs w:val="22"/>
        </w:rPr>
        <w:t xml:space="preserve">7-13 </w:t>
      </w:r>
      <w:r w:rsidRPr="00D4694C">
        <w:rPr>
          <w:rFonts w:eastAsia="TimesNewRoman"/>
          <w:szCs w:val="22"/>
        </w:rPr>
        <w:t xml:space="preserve">in </w:t>
      </w:r>
      <w:r w:rsidRPr="00D4694C">
        <w:rPr>
          <w:rFonts w:eastAsia="TimesNewRoman"/>
          <w:i/>
          <w:szCs w:val="22"/>
        </w:rPr>
        <w:t>OET Bulletin No. 74</w:t>
      </w:r>
      <w:r w:rsidRPr="00D4694C">
        <w:rPr>
          <w:rFonts w:eastAsia="TimesNewRoman"/>
          <w:szCs w:val="22"/>
        </w:rPr>
        <w:t xml:space="preserve">.  Copies of </w:t>
      </w:r>
      <w:r w:rsidRPr="00D4694C">
        <w:rPr>
          <w:rFonts w:eastAsia="TimesNewRoman"/>
          <w:i/>
          <w:szCs w:val="22"/>
        </w:rPr>
        <w:t>OET Bulletin No. 74</w:t>
      </w:r>
      <w:r w:rsidRPr="00D4694C">
        <w:rPr>
          <w:rFonts w:eastAsia="TimesNewRoman"/>
          <w:szCs w:val="22"/>
        </w:rPr>
        <w:t xml:space="preserve"> may be inspected during normal business hours at the Federal Communications Commission, 445 12</w:t>
      </w:r>
      <w:r w:rsidRPr="00D4694C">
        <w:rPr>
          <w:rFonts w:eastAsia="TimesNewRoman"/>
          <w:szCs w:val="22"/>
          <w:vertAlign w:val="superscript"/>
        </w:rPr>
        <w:t>th</w:t>
      </w:r>
      <w:r w:rsidRPr="00D4694C">
        <w:rPr>
          <w:rFonts w:eastAsia="TimesNewRoman"/>
          <w:szCs w:val="22"/>
        </w:rPr>
        <w:t xml:space="preserve"> St., SW, Dockets Branch (Room CY A09257), Washington, DC 20554.  This document is also available through the Internet on the </w:t>
      </w:r>
      <w:r w:rsidRPr="00D4694C">
        <w:rPr>
          <w:rFonts w:eastAsia="TimesNewRoman"/>
          <w:i/>
          <w:szCs w:val="22"/>
        </w:rPr>
        <w:t>FCC Home Page</w:t>
      </w:r>
      <w:r w:rsidRPr="00D4694C">
        <w:rPr>
          <w:rFonts w:eastAsia="TimesNewRoman"/>
          <w:szCs w:val="22"/>
        </w:rPr>
        <w:t xml:space="preserve"> at </w:t>
      </w:r>
      <w:r w:rsidRPr="00D4694C">
        <w:rPr>
          <w:rFonts w:eastAsia="TimesNewRoman"/>
          <w:i/>
          <w:szCs w:val="22"/>
        </w:rPr>
        <w:t>http</w:t>
      </w:r>
      <w:r w:rsidR="002916A3">
        <w:rPr>
          <w:rFonts w:eastAsia="TimesNewRoman"/>
          <w:i/>
          <w:szCs w:val="22"/>
        </w:rPr>
        <w:t>:</w:t>
      </w:r>
      <w:r w:rsidRPr="00D4694C">
        <w:rPr>
          <w:rFonts w:eastAsia="TimesNewRoman"/>
          <w:i/>
          <w:szCs w:val="22"/>
        </w:rPr>
        <w:t>//www.fcc.gov</w:t>
      </w:r>
      <w:r w:rsidRPr="00D4694C">
        <w:rPr>
          <w:rFonts w:eastAsia="TimesNewRoman"/>
          <w:szCs w:val="22"/>
        </w:rPr>
        <w:t>.</w:t>
      </w:r>
    </w:p>
    <w:p w14:paraId="2ED8BA65" w14:textId="77777777" w:rsidR="00811FF4" w:rsidRPr="00D4694C" w:rsidRDefault="00811FF4" w:rsidP="00811FF4">
      <w:pPr>
        <w:pStyle w:val="ListParagraph"/>
        <w:spacing w:after="120" w:line="480" w:lineRule="auto"/>
        <w:ind w:left="0"/>
        <w:rPr>
          <w:rFonts w:eastAsia="TimesNewRoman"/>
          <w:sz w:val="22"/>
          <w:szCs w:val="22"/>
        </w:rPr>
      </w:pPr>
      <w:r w:rsidRPr="00D4694C">
        <w:rPr>
          <w:rFonts w:eastAsia="TimesNewRoman"/>
          <w:sz w:val="22"/>
          <w:szCs w:val="22"/>
        </w:rPr>
        <w:t>(2)  If the 600 MHz band licensee causes harmful interference to the public reception of a signal of a broadcast television station that is operating co-channel or on an adjacent channel, that licensee must eliminate the harmful interference.</w:t>
      </w:r>
    </w:p>
    <w:p w14:paraId="4B7383E4" w14:textId="77777777" w:rsidR="00067422" w:rsidRDefault="00811FF4" w:rsidP="00811FF4">
      <w:pPr>
        <w:tabs>
          <w:tab w:val="num" w:pos="0"/>
        </w:tabs>
        <w:spacing w:after="120" w:line="480" w:lineRule="auto"/>
        <w:rPr>
          <w:rFonts w:eastAsia="TimesNewRoman"/>
          <w:szCs w:val="22"/>
        </w:rPr>
      </w:pPr>
      <w:r w:rsidRPr="00D4694C">
        <w:rPr>
          <w:rFonts w:eastAsia="TimesNewRoman"/>
          <w:szCs w:val="22"/>
        </w:rPr>
        <w:t>(b)  Licensees authorized to operate wireless services in the 600 MHz band</w:t>
      </w:r>
      <w:r w:rsidR="00067422">
        <w:rPr>
          <w:rFonts w:eastAsia="TimesNewRoman"/>
          <w:szCs w:val="22"/>
        </w:rPr>
        <w:t>:</w:t>
      </w:r>
    </w:p>
    <w:p w14:paraId="29979B72" w14:textId="77777777" w:rsidR="00067422" w:rsidRDefault="00067422" w:rsidP="00BA2E93">
      <w:pPr>
        <w:keepNext/>
        <w:widowControl/>
        <w:tabs>
          <w:tab w:val="num" w:pos="0"/>
        </w:tabs>
        <w:spacing w:after="120" w:line="480" w:lineRule="auto"/>
        <w:rPr>
          <w:rFonts w:eastAsia="TimesNewRoman"/>
          <w:szCs w:val="22"/>
        </w:rPr>
      </w:pPr>
      <w:r>
        <w:rPr>
          <w:rFonts w:eastAsia="TimesNewRoman"/>
          <w:szCs w:val="22"/>
        </w:rPr>
        <w:t>(1)</w:t>
      </w:r>
      <w:r w:rsidR="00811FF4" w:rsidRPr="00D4694C">
        <w:rPr>
          <w:rFonts w:eastAsia="TimesNewRoman"/>
          <w:szCs w:val="22"/>
        </w:rPr>
        <w:t xml:space="preserve"> </w:t>
      </w:r>
      <w:r>
        <w:rPr>
          <w:rFonts w:eastAsia="TimesNewRoman"/>
          <w:szCs w:val="22"/>
        </w:rPr>
        <w:t>are not permitted to deploy wireless base stations within noise-limited</w:t>
      </w:r>
      <w:r w:rsidR="006019EC">
        <w:rPr>
          <w:rFonts w:eastAsia="TimesNewRoman"/>
          <w:szCs w:val="22"/>
        </w:rPr>
        <w:t xml:space="preserve"> service</w:t>
      </w:r>
      <w:r>
        <w:rPr>
          <w:rFonts w:eastAsia="TimesNewRoman"/>
          <w:szCs w:val="22"/>
        </w:rPr>
        <w:t xml:space="preserve"> contour </w:t>
      </w:r>
      <w:r w:rsidR="003845DF">
        <w:rPr>
          <w:rFonts w:eastAsia="TimesNewRoman"/>
          <w:szCs w:val="22"/>
        </w:rPr>
        <w:t xml:space="preserve">or </w:t>
      </w:r>
      <w:r>
        <w:rPr>
          <w:rFonts w:eastAsia="TimesNewRoman"/>
          <w:szCs w:val="22"/>
        </w:rPr>
        <w:t xml:space="preserve">protected contour of a </w:t>
      </w:r>
      <w:r w:rsidR="003845DF">
        <w:rPr>
          <w:rFonts w:eastAsia="TimesNewRoman"/>
          <w:szCs w:val="22"/>
        </w:rPr>
        <w:t xml:space="preserve">broadcast </w:t>
      </w:r>
      <w:r>
        <w:rPr>
          <w:rFonts w:eastAsia="TimesNewRoman"/>
          <w:szCs w:val="22"/>
        </w:rPr>
        <w:t>television station licensed on a co-channel or adjacent channel in the 600 MHz Band, and</w:t>
      </w:r>
    </w:p>
    <w:p w14:paraId="3833212F" w14:textId="77777777" w:rsidR="00811FF4" w:rsidRPr="00D4694C" w:rsidRDefault="00067422" w:rsidP="00811FF4">
      <w:pPr>
        <w:tabs>
          <w:tab w:val="num" w:pos="0"/>
        </w:tabs>
        <w:spacing w:after="120" w:line="480" w:lineRule="auto"/>
        <w:rPr>
          <w:rFonts w:eastAsia="TimesNewRoman"/>
          <w:szCs w:val="22"/>
        </w:rPr>
      </w:pPr>
      <w:r>
        <w:rPr>
          <w:rFonts w:eastAsia="TimesNewRoman"/>
          <w:szCs w:val="22"/>
        </w:rPr>
        <w:t xml:space="preserve">(2) </w:t>
      </w:r>
      <w:r w:rsidR="00811FF4" w:rsidRPr="00D4694C">
        <w:rPr>
          <w:rFonts w:eastAsia="TimesNewRoman"/>
          <w:szCs w:val="22"/>
        </w:rPr>
        <w:t xml:space="preserve">are required to perform studies to evaluate the potential for their operations to cause harmful interference to public reception of the signal of </w:t>
      </w:r>
      <w:r w:rsidR="003845DF">
        <w:rPr>
          <w:rFonts w:eastAsia="TimesNewRoman"/>
          <w:szCs w:val="22"/>
        </w:rPr>
        <w:t xml:space="preserve">such </w:t>
      </w:r>
      <w:r w:rsidR="00811FF4" w:rsidRPr="00D4694C">
        <w:rPr>
          <w:rFonts w:eastAsia="TimesNewRoman"/>
          <w:szCs w:val="22"/>
        </w:rPr>
        <w:t xml:space="preserve">broadcast television station </w:t>
      </w:r>
      <w:r w:rsidR="003845DF">
        <w:rPr>
          <w:rFonts w:eastAsia="TimesNewRoman"/>
          <w:szCs w:val="22"/>
        </w:rPr>
        <w:t xml:space="preserve">using the methodology in </w:t>
      </w:r>
      <w:r w:rsidR="003845DF" w:rsidRPr="003845DF">
        <w:rPr>
          <w:rFonts w:eastAsia="TimesNewRoman"/>
          <w:i/>
          <w:szCs w:val="22"/>
        </w:rPr>
        <w:t>OET Bulletin No. 74</w:t>
      </w:r>
      <w:r w:rsidR="003845DF">
        <w:rPr>
          <w:rFonts w:eastAsia="TimesNewRoman"/>
          <w:szCs w:val="22"/>
        </w:rPr>
        <w:t xml:space="preserve"> </w:t>
      </w:r>
      <w:r w:rsidR="00811FF4" w:rsidRPr="00D4694C">
        <w:rPr>
          <w:rFonts w:eastAsia="TimesNewRoman"/>
          <w:szCs w:val="22"/>
        </w:rPr>
        <w:t xml:space="preserve">when they intend to deploy wireless base stations within the </w:t>
      </w:r>
      <w:r w:rsidR="003845DF">
        <w:rPr>
          <w:rFonts w:eastAsia="TimesNewRoman"/>
          <w:szCs w:val="22"/>
        </w:rPr>
        <w:t xml:space="preserve">culling </w:t>
      </w:r>
      <w:r w:rsidR="00811FF4" w:rsidRPr="00D4694C">
        <w:rPr>
          <w:rFonts w:eastAsia="TimesNewRoman"/>
          <w:szCs w:val="22"/>
        </w:rPr>
        <w:t xml:space="preserve">distances from the noise-limited contour or protected contour of a broadcast television station licensed on a co-channel or adjacent channel in the 600 MHz band </w:t>
      </w:r>
      <w:r w:rsidR="003845DF">
        <w:rPr>
          <w:rFonts w:eastAsia="TimesNewRoman"/>
          <w:szCs w:val="22"/>
        </w:rPr>
        <w:t xml:space="preserve">specified </w:t>
      </w:r>
      <w:r w:rsidR="00811FF4" w:rsidRPr="00D4694C">
        <w:rPr>
          <w:rFonts w:eastAsia="TimesNewRoman"/>
          <w:szCs w:val="22"/>
        </w:rPr>
        <w:t xml:space="preserve">in </w:t>
      </w:r>
      <w:r w:rsidR="00811FF4" w:rsidRPr="00D4694C">
        <w:rPr>
          <w:rFonts w:eastAsia="TimesNewRoman"/>
          <w:i/>
          <w:szCs w:val="22"/>
        </w:rPr>
        <w:t>OET Bulletin No. 74</w:t>
      </w:r>
      <w:r w:rsidR="00811FF4" w:rsidRPr="00D4694C">
        <w:rPr>
          <w:rFonts w:eastAsia="TimesNewRoman"/>
          <w:szCs w:val="22"/>
        </w:rPr>
        <w:t>.  Licensees shall maintain records of those studies and make them available for inspection upon a claim of harmful interference to the requesting broadcasting television station or the Commission.</w:t>
      </w:r>
    </w:p>
    <w:p w14:paraId="1C8CC777" w14:textId="77777777" w:rsidR="00811FF4" w:rsidRPr="00D4694C" w:rsidRDefault="00811FF4" w:rsidP="00811FF4">
      <w:pPr>
        <w:tabs>
          <w:tab w:val="num" w:pos="0"/>
        </w:tabs>
        <w:spacing w:line="480" w:lineRule="auto"/>
        <w:rPr>
          <w:szCs w:val="22"/>
        </w:rPr>
      </w:pPr>
      <w:r w:rsidRPr="00D4694C">
        <w:rPr>
          <w:szCs w:val="22"/>
        </w:rPr>
        <w:t>(</w:t>
      </w:r>
      <w:r w:rsidR="00C7663E">
        <w:rPr>
          <w:szCs w:val="22"/>
        </w:rPr>
        <w:t>c</w:t>
      </w:r>
      <w:r w:rsidRPr="00D4694C">
        <w:rPr>
          <w:szCs w:val="22"/>
        </w:rPr>
        <w:t>)  Mobile and portable devices that operate in the 600 MHz band shall afford protection to co-channel and adjacent channel broadcast television stations in the following manner:</w:t>
      </w:r>
    </w:p>
    <w:p w14:paraId="5FCCED54" w14:textId="77777777" w:rsidR="00811FF4" w:rsidRPr="00D4694C" w:rsidRDefault="00811FF4" w:rsidP="00811FF4">
      <w:pPr>
        <w:spacing w:line="480" w:lineRule="auto"/>
        <w:contextualSpacing/>
        <w:rPr>
          <w:szCs w:val="22"/>
        </w:rPr>
      </w:pPr>
      <w:r w:rsidRPr="00D4694C">
        <w:rPr>
          <w:szCs w:val="22"/>
        </w:rPr>
        <w:t xml:space="preserve">(1)  by maintaining a minimum distance of 5 kilometers (3 miles) from co-channel broadcast television station noise-limited service or protected contours. </w:t>
      </w:r>
    </w:p>
    <w:p w14:paraId="53B9AC32" w14:textId="77777777" w:rsidR="00811FF4" w:rsidRPr="00D4694C" w:rsidRDefault="00811FF4" w:rsidP="00811FF4">
      <w:pPr>
        <w:spacing w:line="480" w:lineRule="auto"/>
        <w:contextualSpacing/>
        <w:rPr>
          <w:szCs w:val="22"/>
        </w:rPr>
      </w:pPr>
      <w:r w:rsidRPr="00D4694C">
        <w:rPr>
          <w:szCs w:val="22"/>
        </w:rPr>
        <w:t>(2)  by maintaining a minimum distance of 500 meters from adjacent-channel broadcast television station noise-limited service or protected contours</w:t>
      </w:r>
      <w:r w:rsidR="003845DF" w:rsidRPr="00D4694C" w:rsidDel="003845DF">
        <w:rPr>
          <w:szCs w:val="22"/>
        </w:rPr>
        <w:t xml:space="preserve"> </w:t>
      </w:r>
      <w:r w:rsidRPr="00D4694C">
        <w:rPr>
          <w:szCs w:val="22"/>
        </w:rPr>
        <w:t xml:space="preserve">(3)  by not operating within the contours of a broadcast television station that is operating co-channel or adjacent channel. </w:t>
      </w:r>
    </w:p>
    <w:p w14:paraId="150FDD99" w14:textId="77777777" w:rsidR="00811FF4" w:rsidRPr="00D4694C" w:rsidRDefault="00811FF4" w:rsidP="00811FF4">
      <w:pPr>
        <w:spacing w:line="480" w:lineRule="auto"/>
        <w:contextualSpacing/>
        <w:rPr>
          <w:szCs w:val="22"/>
        </w:rPr>
      </w:pPr>
      <w:r w:rsidRPr="00D4694C">
        <w:rPr>
          <w:szCs w:val="22"/>
        </w:rPr>
        <w:t>(</w:t>
      </w:r>
      <w:r w:rsidR="00501BB1">
        <w:rPr>
          <w:szCs w:val="22"/>
        </w:rPr>
        <w:t>3</w:t>
      </w:r>
      <w:r w:rsidRPr="00D4694C">
        <w:rPr>
          <w:szCs w:val="22"/>
        </w:rPr>
        <w:t xml:space="preserve">)  Licensees authorized to operate wireless services in the 600 MHz band may meet the requirements of </w:t>
      </w:r>
      <w:r w:rsidR="003845DF">
        <w:rPr>
          <w:szCs w:val="22"/>
        </w:rPr>
        <w:t xml:space="preserve">this </w:t>
      </w:r>
      <w:r w:rsidRPr="00D4694C">
        <w:rPr>
          <w:szCs w:val="22"/>
        </w:rPr>
        <w:t>subparagraph</w:t>
      </w:r>
      <w:r w:rsidR="003845DF">
        <w:rPr>
          <w:szCs w:val="22"/>
        </w:rPr>
        <w:t xml:space="preserve"> </w:t>
      </w:r>
      <w:r w:rsidRPr="00D4694C">
        <w:rPr>
          <w:szCs w:val="22"/>
        </w:rPr>
        <w:t xml:space="preserve">by limiting </w:t>
      </w:r>
      <w:r w:rsidRPr="006019EC">
        <w:rPr>
          <w:szCs w:val="22"/>
        </w:rPr>
        <w:t>their coverage</w:t>
      </w:r>
      <w:r w:rsidRPr="00D4694C">
        <w:rPr>
          <w:szCs w:val="22"/>
        </w:rPr>
        <w:t xml:space="preserve"> to areas at least the distan</w:t>
      </w:r>
      <w:r w:rsidR="00C7663E">
        <w:rPr>
          <w:szCs w:val="22"/>
        </w:rPr>
        <w:t>ce prescribed by subparagraph (c</w:t>
      </w:r>
      <w:r w:rsidRPr="00D4694C">
        <w:rPr>
          <w:szCs w:val="22"/>
        </w:rPr>
        <w:t>)(1)</w:t>
      </w:r>
      <w:r w:rsidR="003845DF">
        <w:rPr>
          <w:szCs w:val="22"/>
        </w:rPr>
        <w:t xml:space="preserve"> - </w:t>
      </w:r>
      <w:r w:rsidRPr="00D4694C">
        <w:rPr>
          <w:szCs w:val="22"/>
        </w:rPr>
        <w:t>(</w:t>
      </w:r>
      <w:r w:rsidR="003845DF">
        <w:rPr>
          <w:szCs w:val="22"/>
        </w:rPr>
        <w:t>3</w:t>
      </w:r>
      <w:r w:rsidRPr="006019EC">
        <w:rPr>
          <w:szCs w:val="22"/>
        </w:rPr>
        <w:t xml:space="preserve">) outside all </w:t>
      </w:r>
      <w:r w:rsidR="006019EC" w:rsidRPr="006019EC">
        <w:rPr>
          <w:szCs w:val="22"/>
        </w:rPr>
        <w:t xml:space="preserve">noise-limited service or protected </w:t>
      </w:r>
      <w:r w:rsidRPr="006019EC">
        <w:rPr>
          <w:szCs w:val="22"/>
        </w:rPr>
        <w:t>contours from co-channel</w:t>
      </w:r>
      <w:r w:rsidRPr="00D4694C">
        <w:rPr>
          <w:szCs w:val="22"/>
        </w:rPr>
        <w:t xml:space="preserve"> or adjacent broadcast television stations.</w:t>
      </w:r>
    </w:p>
    <w:p w14:paraId="1CB4EB7C" w14:textId="77777777" w:rsidR="00811FF4" w:rsidRPr="00D4694C" w:rsidRDefault="00C7663E" w:rsidP="00811FF4">
      <w:pPr>
        <w:tabs>
          <w:tab w:val="num" w:pos="0"/>
        </w:tabs>
        <w:spacing w:after="120" w:line="480" w:lineRule="auto"/>
        <w:rPr>
          <w:szCs w:val="22"/>
        </w:rPr>
      </w:pPr>
      <w:r>
        <w:rPr>
          <w:szCs w:val="22"/>
        </w:rPr>
        <w:t>(d</w:t>
      </w:r>
      <w:r w:rsidR="00811FF4" w:rsidRPr="00D4694C">
        <w:rPr>
          <w:szCs w:val="22"/>
        </w:rPr>
        <w:t xml:space="preserve">)  For purposes of this section, broadcast television station is defined pursuant to §73.3700(a)(1) of this chapter. </w:t>
      </w:r>
    </w:p>
    <w:p w14:paraId="63BAB0A9" w14:textId="77777777" w:rsidR="00811FF4" w:rsidRPr="00D4694C" w:rsidRDefault="00C7663E" w:rsidP="00BA2E93">
      <w:pPr>
        <w:keepNext/>
        <w:widowControl/>
        <w:spacing w:after="120" w:line="480" w:lineRule="auto"/>
        <w:rPr>
          <w:szCs w:val="22"/>
        </w:rPr>
      </w:pPr>
      <w:r>
        <w:rPr>
          <w:szCs w:val="22"/>
        </w:rPr>
        <w:t>(e</w:t>
      </w:r>
      <w:r w:rsidR="00811FF4" w:rsidRPr="00D4694C">
        <w:rPr>
          <w:szCs w:val="22"/>
        </w:rPr>
        <w:t>)  For purposes of this section, co-channel operations in the 600 MHz band are defined as operations of broadcast television stations and wireless services where their assigned channels spectrally overlap. Adjacent channel operations are defined as operations of broadcast television stations and wireless services where their assigned channels spectrally abut each other or are separated by up to 5 MHz.</w:t>
      </w:r>
    </w:p>
    <w:p w14:paraId="199879C0" w14:textId="77777777" w:rsidR="00811FF4" w:rsidRPr="00D4694C" w:rsidRDefault="00811FF4" w:rsidP="00811FF4">
      <w:pPr>
        <w:tabs>
          <w:tab w:val="left" w:pos="0"/>
          <w:tab w:val="left" w:pos="720"/>
        </w:tabs>
        <w:spacing w:after="220" w:line="480" w:lineRule="auto"/>
        <w:jc w:val="both"/>
        <w:rPr>
          <w:b/>
          <w:szCs w:val="22"/>
        </w:rPr>
      </w:pPr>
      <w:r w:rsidRPr="00D4694C">
        <w:rPr>
          <w:b/>
          <w:szCs w:val="22"/>
        </w:rPr>
        <w:t>PART 73 – RADIO BROADCAST SERVICES</w:t>
      </w:r>
    </w:p>
    <w:p w14:paraId="098369F5" w14:textId="77777777" w:rsidR="00811FF4" w:rsidRPr="00D4694C" w:rsidRDefault="00811FF4" w:rsidP="00811FF4">
      <w:pPr>
        <w:tabs>
          <w:tab w:val="left" w:pos="360"/>
          <w:tab w:val="left" w:pos="720"/>
        </w:tabs>
        <w:spacing w:after="220" w:line="480" w:lineRule="auto"/>
        <w:jc w:val="both"/>
        <w:rPr>
          <w:szCs w:val="22"/>
        </w:rPr>
      </w:pPr>
      <w:r w:rsidRPr="00D4694C">
        <w:rPr>
          <w:szCs w:val="22"/>
        </w:rPr>
        <w:t>3.  The authority citation of Part 73 continues to read as follows:</w:t>
      </w:r>
    </w:p>
    <w:p w14:paraId="1184A01E" w14:textId="623A2D12" w:rsidR="00811FF4" w:rsidRPr="00D4694C" w:rsidRDefault="00811FF4" w:rsidP="00811FF4">
      <w:pPr>
        <w:tabs>
          <w:tab w:val="left" w:pos="360"/>
          <w:tab w:val="left" w:pos="720"/>
        </w:tabs>
        <w:spacing w:line="480" w:lineRule="auto"/>
        <w:ind w:left="360"/>
        <w:jc w:val="both"/>
        <w:rPr>
          <w:szCs w:val="22"/>
        </w:rPr>
      </w:pPr>
      <w:r w:rsidRPr="00D4694C">
        <w:rPr>
          <w:szCs w:val="22"/>
        </w:rPr>
        <w:tab/>
      </w:r>
      <w:r w:rsidRPr="0026139E">
        <w:rPr>
          <w:b/>
          <w:szCs w:val="22"/>
        </w:rPr>
        <w:t>A</w:t>
      </w:r>
      <w:r w:rsidR="0026139E" w:rsidRPr="0026139E">
        <w:rPr>
          <w:b/>
          <w:szCs w:val="22"/>
        </w:rPr>
        <w:t>uthority</w:t>
      </w:r>
      <w:r w:rsidRPr="0026139E">
        <w:rPr>
          <w:b/>
          <w:szCs w:val="22"/>
        </w:rPr>
        <w:t>:</w:t>
      </w:r>
      <w:r w:rsidRPr="00D4694C">
        <w:rPr>
          <w:szCs w:val="22"/>
        </w:rPr>
        <w:t xml:space="preserve"> 47 U.S.C. 154, 303, 334, 336, and 339 unless otherwise noted.</w:t>
      </w:r>
    </w:p>
    <w:p w14:paraId="27FF56A6" w14:textId="77777777" w:rsidR="00811FF4" w:rsidRPr="00D4694C" w:rsidRDefault="00811FF4" w:rsidP="00811FF4">
      <w:pPr>
        <w:tabs>
          <w:tab w:val="left" w:pos="360"/>
          <w:tab w:val="left" w:pos="720"/>
        </w:tabs>
        <w:spacing w:after="220" w:line="480" w:lineRule="auto"/>
        <w:jc w:val="both"/>
        <w:rPr>
          <w:szCs w:val="22"/>
        </w:rPr>
      </w:pPr>
      <w:r w:rsidRPr="00D4694C">
        <w:rPr>
          <w:szCs w:val="22"/>
        </w:rPr>
        <w:t>4.  Sections 73.3700 is proposed to be revised by adding paragraph (i) to read as follows:</w:t>
      </w:r>
    </w:p>
    <w:p w14:paraId="09ABD72E" w14:textId="77777777" w:rsidR="00811FF4" w:rsidRPr="00D4694C" w:rsidRDefault="00811FF4" w:rsidP="00811FF4">
      <w:pPr>
        <w:tabs>
          <w:tab w:val="left" w:pos="0"/>
          <w:tab w:val="left" w:pos="720"/>
        </w:tabs>
        <w:spacing w:after="220" w:line="480" w:lineRule="auto"/>
        <w:jc w:val="both"/>
        <w:rPr>
          <w:b/>
          <w:szCs w:val="22"/>
        </w:rPr>
      </w:pPr>
      <w:r w:rsidRPr="00D4694C">
        <w:rPr>
          <w:b/>
          <w:szCs w:val="22"/>
        </w:rPr>
        <w:t>§ 73.3700 Post-Incentive Auction Licensing and Operation.</w:t>
      </w:r>
    </w:p>
    <w:p w14:paraId="206AAE05" w14:textId="77777777" w:rsidR="00811FF4" w:rsidRPr="00D4694C" w:rsidRDefault="00811FF4" w:rsidP="00811FF4">
      <w:pPr>
        <w:tabs>
          <w:tab w:val="left" w:pos="0"/>
          <w:tab w:val="left" w:pos="720"/>
        </w:tabs>
        <w:spacing w:after="220" w:line="480" w:lineRule="auto"/>
        <w:jc w:val="both"/>
        <w:rPr>
          <w:szCs w:val="22"/>
        </w:rPr>
      </w:pPr>
      <w:r w:rsidRPr="00D4694C">
        <w:rPr>
          <w:szCs w:val="22"/>
        </w:rPr>
        <w:t>* * * * *</w:t>
      </w:r>
    </w:p>
    <w:p w14:paraId="37A2B309" w14:textId="77777777" w:rsidR="00811FF4" w:rsidRPr="00D4694C" w:rsidRDefault="00811FF4" w:rsidP="00811FF4">
      <w:pPr>
        <w:tabs>
          <w:tab w:val="left" w:pos="0"/>
          <w:tab w:val="left" w:pos="720"/>
        </w:tabs>
        <w:spacing w:after="220" w:line="480" w:lineRule="auto"/>
        <w:jc w:val="both"/>
        <w:rPr>
          <w:szCs w:val="22"/>
        </w:rPr>
      </w:pPr>
      <w:r w:rsidRPr="00D4694C">
        <w:rPr>
          <w:szCs w:val="22"/>
        </w:rPr>
        <w:t>(</w:t>
      </w:r>
      <w:r w:rsidRPr="00811FF4">
        <w:rPr>
          <w:bCs/>
          <w:szCs w:val="22"/>
        </w:rPr>
        <w:t>i</w:t>
      </w:r>
      <w:r w:rsidRPr="00D4694C">
        <w:rPr>
          <w:szCs w:val="22"/>
        </w:rPr>
        <w:t>) A broadcast television station licensed in the 600 MHz band, as that is defined in section 27.57(l),</w:t>
      </w:r>
    </w:p>
    <w:p w14:paraId="77BB231A" w14:textId="77777777" w:rsidR="00811FF4" w:rsidRPr="00D4694C" w:rsidRDefault="00811FF4" w:rsidP="00811FF4">
      <w:pPr>
        <w:tabs>
          <w:tab w:val="left" w:pos="0"/>
          <w:tab w:val="left" w:pos="720"/>
        </w:tabs>
        <w:spacing w:after="220" w:line="480" w:lineRule="auto"/>
        <w:jc w:val="both"/>
        <w:rPr>
          <w:szCs w:val="22"/>
        </w:rPr>
      </w:pPr>
      <w:r w:rsidRPr="00D4694C">
        <w:rPr>
          <w:szCs w:val="22"/>
        </w:rPr>
        <w:t xml:space="preserve">(1)  shall not be permitted to modify its facilities, if such modification will expand the noise limited service contour of a full power station or the protected contour of a Class A station in the direction of a wireless license area which is co-channel or adjacent channel to the broadcast television station; </w:t>
      </w:r>
    </w:p>
    <w:p w14:paraId="613E9D8C" w14:textId="77777777" w:rsidR="00811FF4" w:rsidRPr="00D4694C" w:rsidRDefault="00811FF4" w:rsidP="00811FF4">
      <w:pPr>
        <w:tabs>
          <w:tab w:val="left" w:pos="0"/>
          <w:tab w:val="left" w:pos="720"/>
        </w:tabs>
        <w:spacing w:after="220" w:line="480" w:lineRule="auto"/>
        <w:jc w:val="both"/>
        <w:rPr>
          <w:szCs w:val="22"/>
        </w:rPr>
      </w:pPr>
      <w:r w:rsidRPr="00D4694C">
        <w:rPr>
          <w:szCs w:val="22"/>
        </w:rPr>
        <w:t>(2)  may request a waiver of subparagraph (a), if (i) a modification of the facilities is caused by extraordinary circumstances outside the broadcast television station’s control, or,</w:t>
      </w:r>
      <w:r w:rsidR="00501BB1">
        <w:rPr>
          <w:szCs w:val="22"/>
        </w:rPr>
        <w:t xml:space="preserve"> </w:t>
      </w:r>
      <w:r w:rsidRPr="00D4694C">
        <w:rPr>
          <w:szCs w:val="22"/>
        </w:rPr>
        <w:t>(ii) the broadcast television station cannot replicate its service area on the reassigned channel following the publication of the Channel Reassignment Public Notice.</w:t>
      </w:r>
    </w:p>
    <w:p w14:paraId="409079AD" w14:textId="77777777" w:rsidR="00987035" w:rsidRDefault="00987035" w:rsidP="00811FF4">
      <w:pPr>
        <w:rPr>
          <w:szCs w:val="22"/>
        </w:rPr>
        <w:sectPr w:rsidR="00987035" w:rsidSect="00BA2E93">
          <w:footnotePr>
            <w:numRestart w:val="eachSect"/>
          </w:footnotePr>
          <w:endnotePr>
            <w:numFmt w:val="decimal"/>
          </w:endnotePr>
          <w:pgSz w:w="12240" w:h="15840"/>
          <w:pgMar w:top="1440" w:right="1440" w:bottom="720" w:left="1440" w:header="720" w:footer="720" w:gutter="0"/>
          <w:cols w:space="720"/>
          <w:noEndnote/>
          <w:titlePg/>
          <w:docGrid w:linePitch="299"/>
        </w:sectPr>
      </w:pPr>
    </w:p>
    <w:p w14:paraId="1625EC1F" w14:textId="131E681C" w:rsidR="00E43935" w:rsidRDefault="00987035" w:rsidP="006A744E">
      <w:pPr>
        <w:jc w:val="center"/>
        <w:rPr>
          <w:b/>
        </w:rPr>
      </w:pPr>
      <w:r>
        <w:rPr>
          <w:b/>
        </w:rPr>
        <w:t>A</w:t>
      </w:r>
      <w:r w:rsidR="00CC4B91" w:rsidRPr="006A744E">
        <w:rPr>
          <w:b/>
        </w:rPr>
        <w:t xml:space="preserve">PPENDIX </w:t>
      </w:r>
      <w:r w:rsidR="00811FF4">
        <w:rPr>
          <w:b/>
        </w:rPr>
        <w:t>E</w:t>
      </w:r>
      <w:r w:rsidR="00CC4B91" w:rsidRPr="006A744E">
        <w:rPr>
          <w:b/>
        </w:rPr>
        <w:t xml:space="preserve"> </w:t>
      </w:r>
    </w:p>
    <w:p w14:paraId="7A4C0B0B" w14:textId="77777777" w:rsidR="00E43935" w:rsidRDefault="00E43935" w:rsidP="006A744E">
      <w:pPr>
        <w:jc w:val="center"/>
        <w:rPr>
          <w:b/>
        </w:rPr>
      </w:pPr>
    </w:p>
    <w:p w14:paraId="2174272B" w14:textId="5250AE90" w:rsidR="00CC4B91" w:rsidRPr="006A744E" w:rsidRDefault="00CC4B91" w:rsidP="006A744E">
      <w:pPr>
        <w:jc w:val="center"/>
        <w:rPr>
          <w:b/>
        </w:rPr>
      </w:pPr>
      <w:r w:rsidRPr="006A744E">
        <w:rPr>
          <w:b/>
        </w:rPr>
        <w:t xml:space="preserve"> PROPOSED OET BULLETIN No. 74</w:t>
      </w:r>
    </w:p>
    <w:p w14:paraId="000F64DB" w14:textId="77777777" w:rsidR="00C90867" w:rsidRDefault="00C90867">
      <w:pPr>
        <w:rPr>
          <w:rFonts w:eastAsia="ヒラギノ角ゴ Pro W3"/>
          <w:color w:val="000000"/>
          <w:sz w:val="24"/>
        </w:rPr>
      </w:pPr>
    </w:p>
    <w:p w14:paraId="699CDCEE" w14:textId="77777777" w:rsidR="00C90867" w:rsidRPr="00C90867" w:rsidRDefault="00C90867" w:rsidP="00C90867">
      <w:pPr>
        <w:rPr>
          <w:rFonts w:eastAsia="ヒラギノ角ゴ Pro W3"/>
          <w:color w:val="000000"/>
          <w:sz w:val="24"/>
        </w:rPr>
      </w:pPr>
    </w:p>
    <w:p w14:paraId="41D47938" w14:textId="77777777" w:rsidR="00C90867" w:rsidRPr="00C90867" w:rsidRDefault="00C90867" w:rsidP="00C90867">
      <w:pPr>
        <w:keepNext/>
        <w:spacing w:after="60"/>
        <w:ind w:right="130"/>
        <w:jc w:val="right"/>
        <w:rPr>
          <w:rFonts w:ascii="Arial" w:eastAsia="ヒラギノ角ゴ Pro W3" w:hAnsi="Arial"/>
          <w:b/>
          <w:color w:val="000000"/>
          <w:kern w:val="32"/>
          <w:sz w:val="24"/>
        </w:rPr>
      </w:pPr>
      <w:bookmarkStart w:id="953" w:name="_Toc392843726"/>
      <w:bookmarkStart w:id="954" w:name="_Toc393289373"/>
      <w:bookmarkStart w:id="955" w:name="_Toc395278024"/>
      <w:bookmarkStart w:id="956" w:name="_Toc396483038"/>
      <w:bookmarkStart w:id="957" w:name="_Toc396485313"/>
      <w:r w:rsidRPr="00C90867">
        <w:rPr>
          <w:rFonts w:ascii="Arial" w:eastAsia="ヒラギノ角ゴ Pro W3" w:hAnsi="Arial"/>
          <w:b/>
          <w:color w:val="000000"/>
          <w:kern w:val="32"/>
          <w:sz w:val="24"/>
        </w:rPr>
        <w:t>FCC/OET-74</w:t>
      </w:r>
      <w:bookmarkEnd w:id="953"/>
      <w:bookmarkEnd w:id="954"/>
      <w:bookmarkEnd w:id="955"/>
      <w:bookmarkEnd w:id="956"/>
      <w:bookmarkEnd w:id="957"/>
    </w:p>
    <w:p w14:paraId="0F3B29E5" w14:textId="77777777" w:rsidR="00C90867" w:rsidRPr="00C90867" w:rsidRDefault="00C90867" w:rsidP="00C90867">
      <w:pPr>
        <w:keepNext/>
        <w:rPr>
          <w:rFonts w:ascii="Rolinga Renner Extravaganza" w:eastAsia="ヒラギノ角ゴ Pro W3" w:hAnsi="Rolinga Renner Extravaganza"/>
          <w:color w:val="000000"/>
          <w:kern w:val="32"/>
          <w:sz w:val="144"/>
          <w:szCs w:val="144"/>
        </w:rPr>
      </w:pPr>
      <w:bookmarkStart w:id="958" w:name="_Toc392843727"/>
      <w:bookmarkStart w:id="959" w:name="_Toc393289374"/>
      <w:bookmarkStart w:id="960" w:name="_Toc395278025"/>
      <w:bookmarkStart w:id="961" w:name="_Toc396483039"/>
      <w:bookmarkStart w:id="962" w:name="_Toc396485314"/>
      <w:r w:rsidRPr="00C90867">
        <w:rPr>
          <w:rFonts w:ascii="Rolinga Renner Extravaganza" w:eastAsia="ヒラギノ角ゴ Pro W3" w:hAnsi="Rolinga Renner Extravaganza"/>
          <w:color w:val="000000"/>
          <w:kern w:val="32"/>
          <w:sz w:val="144"/>
          <w:szCs w:val="144"/>
        </w:rPr>
        <w:t>OET BULLETIN</w:t>
      </w:r>
      <w:bookmarkEnd w:id="958"/>
      <w:bookmarkEnd w:id="959"/>
      <w:bookmarkEnd w:id="960"/>
      <w:bookmarkEnd w:id="961"/>
      <w:bookmarkEnd w:id="962"/>
    </w:p>
    <w:p w14:paraId="6BC2F3C8" w14:textId="77777777" w:rsidR="00C90867" w:rsidRPr="00C90867" w:rsidRDefault="00C90867" w:rsidP="00C90867">
      <w:pPr>
        <w:keepNext/>
        <w:tabs>
          <w:tab w:val="right" w:pos="9810"/>
        </w:tabs>
        <w:spacing w:after="60" w:line="160" w:lineRule="exact"/>
        <w:rPr>
          <w:rFonts w:ascii="Arial" w:eastAsia="ヒラギノ角ゴ Pro W3" w:hAnsi="Arial"/>
          <w:color w:val="000000"/>
          <w:kern w:val="32"/>
          <w:sz w:val="16"/>
        </w:rPr>
      </w:pPr>
      <w:bookmarkStart w:id="963" w:name="_Toc392843728"/>
      <w:bookmarkStart w:id="964" w:name="_Toc393289375"/>
      <w:bookmarkStart w:id="965" w:name="_Toc395278026"/>
      <w:bookmarkStart w:id="966" w:name="_Toc396483040"/>
      <w:bookmarkStart w:id="967" w:name="_Toc396485315"/>
      <w:r w:rsidRPr="00C90867">
        <w:rPr>
          <w:rFonts w:ascii="Arial" w:eastAsia="ヒラギノ角ゴ Pro W3" w:hAnsi="Arial"/>
          <w:b/>
          <w:color w:val="000000"/>
          <w:kern w:val="32"/>
          <w:sz w:val="16"/>
        </w:rPr>
        <w:t>OFFICE OF ENGINEERING AND TECHNOLOGY</w:t>
      </w:r>
      <w:r w:rsidRPr="00C90867">
        <w:rPr>
          <w:rFonts w:ascii="Arial" w:eastAsia="ヒラギノ角ゴ Pro W3" w:hAnsi="Arial"/>
          <w:color w:val="000000"/>
          <w:kern w:val="32"/>
          <w:sz w:val="16"/>
        </w:rPr>
        <w:tab/>
      </w:r>
      <w:r w:rsidRPr="00C90867">
        <w:rPr>
          <w:rFonts w:ascii="Arial" w:eastAsia="ヒラギノ角ゴ Pro W3" w:hAnsi="Arial"/>
          <w:b/>
          <w:color w:val="000000"/>
          <w:kern w:val="32"/>
          <w:sz w:val="16"/>
        </w:rPr>
        <w:t>FEDERAL COMMUNICATIONS COMMISSION</w:t>
      </w:r>
      <w:bookmarkEnd w:id="963"/>
      <w:bookmarkEnd w:id="964"/>
      <w:bookmarkEnd w:id="965"/>
      <w:bookmarkEnd w:id="966"/>
      <w:bookmarkEnd w:id="967"/>
    </w:p>
    <w:p w14:paraId="310F2556" w14:textId="77777777" w:rsidR="00C90867" w:rsidRPr="00C90867" w:rsidRDefault="00C90867" w:rsidP="00C90867">
      <w:pPr>
        <w:rPr>
          <w:rFonts w:eastAsia="ヒラギノ角ゴ Pro W3"/>
          <w:color w:val="000000"/>
          <w:sz w:val="24"/>
          <w:szCs w:val="24"/>
        </w:rPr>
      </w:pPr>
      <w:r w:rsidRPr="00F3761A">
        <w:rPr>
          <w:rFonts w:eastAsia="ヒラギノ角ゴ Pro W3"/>
          <w:noProof/>
          <w:color w:val="000000"/>
          <w:sz w:val="24"/>
          <w:szCs w:val="24"/>
        </w:rPr>
        <mc:AlternateContent>
          <mc:Choice Requires="wps">
            <w:drawing>
              <wp:inline distT="0" distB="0" distL="0" distR="0" wp14:anchorId="441C1DC8" wp14:editId="05AF5069">
                <wp:extent cx="6299200" cy="12700"/>
                <wp:effectExtent l="0" t="0" r="0" b="63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0" cy="12700"/>
                        </a:xfrm>
                        <a:prstGeom prst="rect">
                          <a:avLst/>
                        </a:pr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0C86BE" w14:textId="77777777" w:rsidR="00850453" w:rsidRDefault="00850453" w:rsidP="00C90867">
                            <w:pPr>
                              <w:pStyle w:val="FreeForm"/>
                              <w:rPr>
                                <w:rFonts w:eastAsia="Times New Roman"/>
                                <w:color w:val="auto"/>
                                <w:lang w:bidi="x-none"/>
                              </w:rPr>
                            </w:pPr>
                          </w:p>
                        </w:txbxContent>
                      </wps:txbx>
                      <wps:bodyPr rot="0" vert="horz" wrap="square" lIns="38100" tIns="38100" rIns="38100" bIns="38100" anchor="t" anchorCtr="0" upright="1">
                        <a:noAutofit/>
                      </wps:bodyPr>
                    </wps:wsp>
                  </a:graphicData>
                </a:graphic>
              </wp:inline>
            </w:drawing>
          </mc:Choice>
          <mc:Fallback>
            <w:pict>
              <v:rect id="Rectangle 2" o:spid="_x0000_s1026" style="width:496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" fillcolor="#aaa" stroked="f">
                <v:stroke joinstyle="round"/>
                <v:path arrowok="t"/>
                <v:textbox inset="3pt,3pt,3pt,3pt">
                  <w:txbxContent>
                    <w:p w14:paraId="110C86BE" w14:textId="77777777" w:rsidR="00850453" w:rsidRDefault="00850453" w:rsidP="00C90867">
                      <w:pPr>
                        <w:pStyle w:val="FreeForm"/>
                        <w:rPr>
                          <w:rFonts w:eastAsia="Times New Roman"/>
                          <w:color w:val="auto"/>
                          <w:lang w:bidi="x-none"/>
                        </w:rPr>
                      </w:pPr>
                    </w:p>
                  </w:txbxContent>
                </v:textbox>
                <w10:anchorlock/>
              </v:rect>
            </w:pict>
          </mc:Fallback>
        </mc:AlternateContent>
      </w:r>
    </w:p>
    <w:p w14:paraId="2D181A74" w14:textId="77777777" w:rsidR="00C90867" w:rsidRPr="00C90867" w:rsidRDefault="00C90867" w:rsidP="00C90867">
      <w:pPr>
        <w:rPr>
          <w:rFonts w:eastAsia="ヒラギノ角ゴ Pro W3"/>
          <w:color w:val="000000"/>
          <w:sz w:val="24"/>
          <w:szCs w:val="24"/>
        </w:rPr>
      </w:pPr>
    </w:p>
    <w:p w14:paraId="10BB8F30" w14:textId="77777777" w:rsidR="00C90867" w:rsidRPr="00C90867" w:rsidRDefault="00C90867" w:rsidP="00C90867">
      <w:pPr>
        <w:shd w:val="clear" w:color="auto" w:fill="B1B2B1"/>
        <w:rPr>
          <w:rFonts w:eastAsia="ヒラギノ角ゴ Pro W3"/>
          <w:color w:val="000000"/>
          <w:sz w:val="24"/>
          <w:szCs w:val="24"/>
        </w:rPr>
      </w:pPr>
    </w:p>
    <w:p w14:paraId="0670DD03" w14:textId="77777777" w:rsidR="00C90867" w:rsidRPr="00C90867" w:rsidRDefault="00C90867" w:rsidP="00C90867">
      <w:pPr>
        <w:shd w:val="clear" w:color="auto" w:fill="B1B2B1"/>
        <w:tabs>
          <w:tab w:val="left" w:pos="0"/>
        </w:tabs>
        <w:spacing w:line="360" w:lineRule="auto"/>
        <w:rPr>
          <w:rFonts w:ascii="Arial" w:eastAsia="ヒラギノ角ゴ Pro W3" w:hAnsi="Arial"/>
          <w:b/>
          <w:color w:val="000000"/>
          <w:sz w:val="36"/>
          <w:szCs w:val="24"/>
        </w:rPr>
      </w:pPr>
      <w:r w:rsidRPr="00C90867">
        <w:rPr>
          <w:rFonts w:ascii="Arial" w:eastAsia="ヒラギノ角ゴ Pro W3" w:hAnsi="Arial"/>
          <w:b/>
          <w:color w:val="000000"/>
          <w:sz w:val="36"/>
          <w:szCs w:val="24"/>
        </w:rPr>
        <w:tab/>
      </w:r>
    </w:p>
    <w:p w14:paraId="32DB74E3" w14:textId="77777777" w:rsidR="00C90867" w:rsidRPr="00C90867" w:rsidRDefault="00C90867" w:rsidP="00C90867">
      <w:pPr>
        <w:shd w:val="clear" w:color="auto" w:fill="B1B2B1"/>
        <w:tabs>
          <w:tab w:val="left" w:pos="0"/>
        </w:tabs>
        <w:spacing w:line="360" w:lineRule="auto"/>
        <w:rPr>
          <w:rFonts w:ascii="Arial" w:eastAsia="ヒラギノ角ゴ Pro W3" w:hAnsi="Arial"/>
          <w:b/>
          <w:color w:val="000000"/>
          <w:sz w:val="40"/>
          <w:szCs w:val="24"/>
        </w:rPr>
      </w:pPr>
      <w:r w:rsidRPr="00C90867">
        <w:rPr>
          <w:rFonts w:ascii="Arial" w:eastAsia="ヒラギノ角ゴ Pro W3" w:hAnsi="Arial"/>
          <w:b/>
          <w:color w:val="000000"/>
          <w:sz w:val="36"/>
          <w:szCs w:val="24"/>
        </w:rPr>
        <w:tab/>
      </w:r>
      <w:r w:rsidRPr="00C90867">
        <w:rPr>
          <w:rFonts w:ascii="Arial" w:eastAsia="ヒラギノ角ゴ Pro W3" w:hAnsi="Arial"/>
          <w:b/>
          <w:color w:val="000000"/>
          <w:sz w:val="40"/>
          <w:szCs w:val="24"/>
        </w:rPr>
        <w:t xml:space="preserve">Longley-Rice Methodology for </w:t>
      </w:r>
    </w:p>
    <w:p w14:paraId="281FF62B" w14:textId="77777777" w:rsidR="00C90867" w:rsidRPr="00C90867" w:rsidRDefault="00C90867" w:rsidP="00C90867">
      <w:pPr>
        <w:shd w:val="clear" w:color="auto" w:fill="B1B2B1"/>
        <w:tabs>
          <w:tab w:val="left" w:pos="0"/>
        </w:tabs>
        <w:spacing w:line="360" w:lineRule="auto"/>
        <w:rPr>
          <w:rFonts w:ascii="Arial" w:eastAsia="ヒラギノ角ゴ Pro W3" w:hAnsi="Arial"/>
          <w:b/>
          <w:color w:val="000000"/>
          <w:sz w:val="40"/>
          <w:szCs w:val="24"/>
        </w:rPr>
      </w:pPr>
      <w:r w:rsidRPr="00C90867">
        <w:rPr>
          <w:rFonts w:ascii="Arial" w:eastAsia="ヒラギノ角ゴ Pro W3" w:hAnsi="Arial"/>
          <w:b/>
          <w:color w:val="000000"/>
          <w:sz w:val="40"/>
          <w:szCs w:val="24"/>
        </w:rPr>
        <w:tab/>
        <w:t>Predicting Inter-Service Interference to</w:t>
      </w:r>
    </w:p>
    <w:p w14:paraId="6D3390F5" w14:textId="77777777" w:rsidR="00C90867" w:rsidRPr="00C90867" w:rsidRDefault="00C90867" w:rsidP="00C90867">
      <w:pPr>
        <w:shd w:val="clear" w:color="auto" w:fill="B1B2B1"/>
        <w:tabs>
          <w:tab w:val="left" w:pos="0"/>
        </w:tabs>
        <w:spacing w:line="360" w:lineRule="auto"/>
        <w:rPr>
          <w:rFonts w:ascii="Arial" w:eastAsia="ヒラギノ角ゴ Pro W3" w:hAnsi="Arial"/>
          <w:b/>
          <w:color w:val="000000"/>
          <w:sz w:val="40"/>
          <w:szCs w:val="24"/>
        </w:rPr>
      </w:pPr>
      <w:r w:rsidRPr="00C90867">
        <w:rPr>
          <w:rFonts w:ascii="Arial" w:eastAsia="ヒラギノ角ゴ Pro W3" w:hAnsi="Arial"/>
          <w:b/>
          <w:color w:val="000000"/>
          <w:sz w:val="40"/>
          <w:szCs w:val="24"/>
        </w:rPr>
        <w:tab/>
        <w:t>Broadcast Television from Mobile Wireless</w:t>
      </w:r>
    </w:p>
    <w:p w14:paraId="6E4CEFD3" w14:textId="77777777" w:rsidR="00C90867" w:rsidRPr="00C90867" w:rsidRDefault="00C90867" w:rsidP="00C90867">
      <w:pPr>
        <w:shd w:val="clear" w:color="auto" w:fill="B1B2B1"/>
        <w:tabs>
          <w:tab w:val="left" w:pos="0"/>
        </w:tabs>
        <w:spacing w:line="360" w:lineRule="auto"/>
        <w:rPr>
          <w:rFonts w:ascii="Arial" w:eastAsia="ヒラギノ角ゴ Pro W3" w:hAnsi="Arial"/>
          <w:b/>
          <w:color w:val="000000"/>
          <w:sz w:val="36"/>
          <w:szCs w:val="24"/>
        </w:rPr>
      </w:pPr>
      <w:r w:rsidRPr="00C90867">
        <w:rPr>
          <w:rFonts w:ascii="Arial" w:eastAsia="ヒラギノ角ゴ Pro W3" w:hAnsi="Arial"/>
          <w:b/>
          <w:color w:val="000000"/>
          <w:sz w:val="40"/>
          <w:szCs w:val="24"/>
        </w:rPr>
        <w:tab/>
        <w:t>Broadband Services in the UHF Band</w:t>
      </w:r>
    </w:p>
    <w:p w14:paraId="1899765A" w14:textId="77777777" w:rsidR="00C90867" w:rsidRPr="00C90867" w:rsidRDefault="00C90867" w:rsidP="00C90867">
      <w:pPr>
        <w:shd w:val="clear" w:color="auto" w:fill="B1B2B1"/>
        <w:tabs>
          <w:tab w:val="left" w:pos="0"/>
        </w:tabs>
        <w:jc w:val="center"/>
        <w:rPr>
          <w:rFonts w:eastAsia="ヒラギノ角ゴ Pro W3"/>
          <w:b/>
          <w:color w:val="000000"/>
          <w:sz w:val="36"/>
          <w:szCs w:val="24"/>
        </w:rPr>
      </w:pPr>
    </w:p>
    <w:p w14:paraId="525E288C" w14:textId="77777777" w:rsidR="00C90867" w:rsidRPr="00C90867" w:rsidRDefault="00C90867" w:rsidP="00C90867">
      <w:pPr>
        <w:shd w:val="clear" w:color="auto" w:fill="B1B2B1"/>
        <w:tabs>
          <w:tab w:val="left" w:pos="0"/>
        </w:tabs>
        <w:jc w:val="center"/>
        <w:rPr>
          <w:rFonts w:eastAsia="ヒラギノ角ゴ Pro W3"/>
          <w:b/>
          <w:color w:val="000000"/>
          <w:sz w:val="36"/>
          <w:szCs w:val="24"/>
        </w:rPr>
      </w:pPr>
      <w:r w:rsidRPr="00F3761A">
        <w:rPr>
          <w:rFonts w:eastAsia="ヒラギノ角ゴ Pro W3"/>
          <w:noProof/>
          <w:color w:val="000000"/>
          <w:sz w:val="24"/>
          <w:szCs w:val="24"/>
        </w:rPr>
        <w:drawing>
          <wp:anchor distT="0" distB="0" distL="114300" distR="114300" simplePos="0" relativeHeight="251660288" behindDoc="0" locked="0" layoutInCell="1" allowOverlap="1" wp14:anchorId="31AC7BF3" wp14:editId="411BEEC5">
            <wp:simplePos x="0" y="0"/>
            <wp:positionH relativeFrom="column">
              <wp:posOffset>478790</wp:posOffset>
            </wp:positionH>
            <wp:positionV relativeFrom="page">
              <wp:posOffset>6722110</wp:posOffset>
            </wp:positionV>
            <wp:extent cx="1371600" cy="1371600"/>
            <wp:effectExtent l="0" t="0" r="0" b="0"/>
            <wp:wrapNone/>
            <wp:docPr id="5" name="Picture 5" descr="fcc seal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 seal transparen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65223" w14:textId="77777777" w:rsidR="00C90867" w:rsidRPr="00C90867" w:rsidRDefault="00C90867" w:rsidP="00C90867">
      <w:pPr>
        <w:shd w:val="clear" w:color="auto" w:fill="B1B2B1"/>
        <w:tabs>
          <w:tab w:val="left" w:pos="0"/>
        </w:tabs>
        <w:jc w:val="center"/>
        <w:rPr>
          <w:rFonts w:eastAsia="ヒラギノ角ゴ Pro W3"/>
          <w:b/>
          <w:color w:val="000000"/>
          <w:sz w:val="36"/>
          <w:szCs w:val="24"/>
        </w:rPr>
      </w:pPr>
    </w:p>
    <w:p w14:paraId="01C9C2F0" w14:textId="77777777" w:rsidR="00C90867" w:rsidRPr="00C90867" w:rsidRDefault="00C90867" w:rsidP="00C90867">
      <w:pPr>
        <w:shd w:val="clear" w:color="auto" w:fill="B1B2B1"/>
        <w:tabs>
          <w:tab w:val="left" w:pos="0"/>
        </w:tabs>
        <w:jc w:val="center"/>
        <w:rPr>
          <w:rFonts w:eastAsia="ヒラギノ角ゴ Pro W3"/>
          <w:b/>
          <w:color w:val="000000"/>
          <w:sz w:val="36"/>
          <w:szCs w:val="24"/>
        </w:rPr>
      </w:pPr>
    </w:p>
    <w:p w14:paraId="344829D6" w14:textId="77777777" w:rsidR="00C90867" w:rsidRPr="00C90867" w:rsidRDefault="00424886" w:rsidP="00C90867">
      <w:pPr>
        <w:shd w:val="clear" w:color="auto" w:fill="B1B2B1"/>
        <w:tabs>
          <w:tab w:val="left" w:pos="0"/>
        </w:tabs>
        <w:jc w:val="center"/>
        <w:rPr>
          <w:rFonts w:eastAsia="ヒラギノ角ゴ Pro W3"/>
          <w:b/>
          <w:color w:val="000000"/>
          <w:sz w:val="36"/>
          <w:szCs w:val="24"/>
        </w:rPr>
      </w:pPr>
      <w:r w:rsidRPr="00F3761A">
        <w:rPr>
          <w:rFonts w:eastAsia="ヒラギノ角ゴ Pro W3"/>
          <w:noProof/>
          <w:color w:val="000000"/>
          <w:sz w:val="24"/>
          <w:szCs w:val="24"/>
        </w:rPr>
        <w:drawing>
          <wp:anchor distT="0" distB="0" distL="114300" distR="114300" simplePos="0" relativeHeight="251659264" behindDoc="0" locked="0" layoutInCell="1" allowOverlap="1" wp14:anchorId="67A3DF12" wp14:editId="14B197C6">
            <wp:simplePos x="0" y="0"/>
            <wp:positionH relativeFrom="column">
              <wp:posOffset>4121150</wp:posOffset>
            </wp:positionH>
            <wp:positionV relativeFrom="page">
              <wp:posOffset>8251825</wp:posOffset>
            </wp:positionV>
            <wp:extent cx="1828800" cy="736600"/>
            <wp:effectExtent l="0" t="0" r="0" b="0"/>
            <wp:wrapNone/>
            <wp:docPr id="6" name="Picture 6" descr="oet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et logo transparen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9C201" w14:textId="77777777" w:rsidR="00C90867" w:rsidRPr="00C90867" w:rsidRDefault="00C90867" w:rsidP="00C90867">
      <w:pPr>
        <w:shd w:val="clear" w:color="auto" w:fill="B1B2B1"/>
        <w:tabs>
          <w:tab w:val="left" w:pos="0"/>
        </w:tabs>
        <w:jc w:val="center"/>
        <w:rPr>
          <w:rFonts w:eastAsia="ヒラギノ角ゴ Pro W3"/>
          <w:b/>
          <w:color w:val="000000"/>
          <w:sz w:val="36"/>
          <w:szCs w:val="24"/>
        </w:rPr>
      </w:pPr>
    </w:p>
    <w:p w14:paraId="0D1487F5" w14:textId="77777777" w:rsidR="00C90867" w:rsidRPr="00C90867" w:rsidRDefault="00C90867" w:rsidP="00C90867">
      <w:pPr>
        <w:shd w:val="clear" w:color="auto" w:fill="B1B2B1"/>
        <w:tabs>
          <w:tab w:val="left" w:pos="0"/>
        </w:tabs>
        <w:rPr>
          <w:rFonts w:ascii="Arial" w:eastAsia="ヒラギノ角ゴ Pro W3" w:hAnsi="Arial"/>
          <w:b/>
          <w:color w:val="000000"/>
          <w:sz w:val="36"/>
          <w:szCs w:val="24"/>
        </w:rPr>
      </w:pPr>
    </w:p>
    <w:p w14:paraId="67B066DE" w14:textId="77777777" w:rsidR="00C90867" w:rsidRPr="00C90867" w:rsidRDefault="00C90867" w:rsidP="00C90867">
      <w:pPr>
        <w:shd w:val="clear" w:color="auto" w:fill="B1B2B1"/>
        <w:tabs>
          <w:tab w:val="left" w:pos="0"/>
        </w:tabs>
        <w:rPr>
          <w:rFonts w:ascii="Arial" w:eastAsia="ヒラギノ角ゴ Pro W3" w:hAnsi="Arial"/>
          <w:b/>
          <w:color w:val="000000"/>
          <w:sz w:val="28"/>
          <w:szCs w:val="24"/>
        </w:rPr>
      </w:pPr>
    </w:p>
    <w:p w14:paraId="75673A92" w14:textId="77777777" w:rsidR="00C90867" w:rsidRPr="00C90867" w:rsidRDefault="00C90867" w:rsidP="00C90867">
      <w:pPr>
        <w:shd w:val="clear" w:color="auto" w:fill="B1B2B1"/>
        <w:tabs>
          <w:tab w:val="left" w:pos="0"/>
        </w:tabs>
        <w:rPr>
          <w:rFonts w:ascii="Arial" w:eastAsia="ヒラギノ角ゴ Pro W3" w:hAnsi="Arial"/>
          <w:b/>
          <w:color w:val="000000"/>
          <w:sz w:val="36"/>
          <w:szCs w:val="24"/>
        </w:rPr>
      </w:pPr>
      <w:r w:rsidRPr="00C90867">
        <w:rPr>
          <w:rFonts w:ascii="Arial" w:eastAsia="ヒラギノ角ゴ Pro W3" w:hAnsi="Arial"/>
          <w:b/>
          <w:color w:val="000000"/>
          <w:sz w:val="36"/>
          <w:szCs w:val="24"/>
        </w:rPr>
        <w:tab/>
        <w:t>Xxxxxxxx XX, 20XX</w:t>
      </w:r>
    </w:p>
    <w:p w14:paraId="143EF0C6" w14:textId="77777777" w:rsidR="00C90867" w:rsidRPr="00C90867" w:rsidRDefault="00C90867" w:rsidP="00C90867">
      <w:pPr>
        <w:shd w:val="clear" w:color="auto" w:fill="B1B2B1"/>
        <w:tabs>
          <w:tab w:val="left" w:pos="0"/>
        </w:tabs>
        <w:rPr>
          <w:rFonts w:ascii="Arial" w:eastAsia="ヒラギノ角ゴ Pro W3" w:hAnsi="Arial"/>
          <w:b/>
          <w:color w:val="000000"/>
          <w:sz w:val="36"/>
          <w:szCs w:val="24"/>
        </w:rPr>
      </w:pPr>
    </w:p>
    <w:p w14:paraId="4DA7879D" w14:textId="77777777" w:rsidR="00C90867" w:rsidRPr="00C201F7" w:rsidRDefault="00C90867" w:rsidP="00C90867">
      <w:pPr>
        <w:autoSpaceDE w:val="0"/>
        <w:autoSpaceDN w:val="0"/>
        <w:adjustRightInd w:val="0"/>
        <w:jc w:val="both"/>
        <w:rPr>
          <w:rFonts w:ascii="Arial" w:eastAsia="ヒラギノ角ゴ Pro W3" w:hAnsi="Arial"/>
          <w:b/>
          <w:color w:val="000000"/>
          <w:szCs w:val="22"/>
        </w:rPr>
      </w:pPr>
    </w:p>
    <w:p w14:paraId="2F0A67E8" w14:textId="77777777" w:rsidR="00C90867" w:rsidRPr="00C201F7" w:rsidRDefault="00C90867" w:rsidP="00C90867">
      <w:pPr>
        <w:jc w:val="center"/>
        <w:rPr>
          <w:rFonts w:eastAsia="ヒラギノ角ゴ Pro W3"/>
          <w:color w:val="000000"/>
          <w:szCs w:val="22"/>
        </w:rPr>
      </w:pPr>
      <w:r w:rsidRPr="00C201F7">
        <w:rPr>
          <w:rFonts w:eastAsia="ヒラギノ角ゴ Pro W3"/>
          <w:b/>
          <w:color w:val="000000"/>
          <w:szCs w:val="22"/>
        </w:rPr>
        <w:t>LONGLEY-RICE METHODOLOGY FOR</w:t>
      </w:r>
    </w:p>
    <w:p w14:paraId="3D40E8E7" w14:textId="77777777" w:rsidR="00C90867" w:rsidRPr="00C201F7" w:rsidRDefault="00C90867" w:rsidP="00C90867">
      <w:pPr>
        <w:jc w:val="center"/>
        <w:rPr>
          <w:rFonts w:eastAsia="ヒラギノ角ゴ Pro W3"/>
          <w:color w:val="000000"/>
          <w:szCs w:val="22"/>
        </w:rPr>
      </w:pPr>
      <w:r w:rsidRPr="00C201F7">
        <w:rPr>
          <w:rFonts w:eastAsia="ヒラギノ角ゴ Pro W3"/>
          <w:b/>
          <w:color w:val="000000"/>
          <w:szCs w:val="22"/>
        </w:rPr>
        <w:t>PREDICTING INTER-SERVICE INTERFERENCE TO</w:t>
      </w:r>
    </w:p>
    <w:p w14:paraId="7E33B38A" w14:textId="77777777" w:rsidR="00C90867" w:rsidRPr="00C201F7" w:rsidRDefault="00C90867" w:rsidP="00C90867">
      <w:pPr>
        <w:jc w:val="center"/>
        <w:rPr>
          <w:rFonts w:eastAsia="ヒラギノ角ゴ Pro W3"/>
          <w:color w:val="000000"/>
          <w:szCs w:val="22"/>
        </w:rPr>
      </w:pPr>
      <w:r w:rsidRPr="00C201F7">
        <w:rPr>
          <w:rFonts w:eastAsia="ヒラギノ角ゴ Pro W3"/>
          <w:b/>
          <w:color w:val="000000"/>
          <w:szCs w:val="22"/>
        </w:rPr>
        <w:t>BROADCAST TELEVISION FROM MOBILE WIRELESS</w:t>
      </w:r>
    </w:p>
    <w:p w14:paraId="207BBC3B" w14:textId="77777777" w:rsidR="00C90867" w:rsidRPr="00C201F7" w:rsidRDefault="00C90867" w:rsidP="00C90867">
      <w:pPr>
        <w:jc w:val="center"/>
        <w:rPr>
          <w:rFonts w:eastAsia="ヒラギノ角ゴ Pro W3"/>
          <w:color w:val="000000"/>
          <w:szCs w:val="22"/>
        </w:rPr>
      </w:pPr>
      <w:r w:rsidRPr="00C201F7">
        <w:rPr>
          <w:rFonts w:eastAsia="ヒラギノ角ゴ Pro W3"/>
          <w:b/>
          <w:color w:val="000000"/>
          <w:szCs w:val="22"/>
        </w:rPr>
        <w:t>BROADBAND SERVICES IN THE UHF BAND</w:t>
      </w:r>
    </w:p>
    <w:sdt>
      <w:sdtPr>
        <w:rPr>
          <w:rFonts w:ascii="Times New Roman Bold" w:eastAsia="ヒラギノ角ゴ Pro W3" w:hAnsi="Times New Roman Bold"/>
          <w:caps/>
          <w:color w:val="000000"/>
          <w:szCs w:val="22"/>
        </w:rPr>
        <w:id w:val="-954560071"/>
        <w:docPartObj>
          <w:docPartGallery w:val="Table of Contents"/>
          <w:docPartUnique/>
        </w:docPartObj>
      </w:sdtPr>
      <w:sdtEndPr>
        <w:rPr>
          <w:rFonts w:ascii="Times New Roman" w:hAnsi="Times New Roman"/>
          <w:caps w:val="0"/>
        </w:rPr>
      </w:sdtEndPr>
      <w:sdtContent>
        <w:p w14:paraId="45F0EA17" w14:textId="77777777" w:rsidR="00C90867" w:rsidRPr="00C201F7" w:rsidRDefault="00C90867" w:rsidP="00C90867">
          <w:pPr>
            <w:keepNext/>
            <w:keepLines/>
            <w:spacing w:before="480" w:line="276" w:lineRule="auto"/>
            <w:jc w:val="center"/>
            <w:rPr>
              <w:rFonts w:eastAsiaTheme="majorEastAsia"/>
              <w:b/>
              <w:bCs/>
              <w:szCs w:val="22"/>
              <w:lang w:eastAsia="ja-JP"/>
            </w:rPr>
          </w:pPr>
          <w:r w:rsidRPr="00C201F7">
            <w:rPr>
              <w:rFonts w:eastAsiaTheme="majorEastAsia"/>
              <w:b/>
              <w:bCs/>
              <w:szCs w:val="22"/>
              <w:lang w:eastAsia="ja-JP"/>
            </w:rPr>
            <w:t>TABLE OF CONTENTS</w:t>
          </w:r>
        </w:p>
        <w:p w14:paraId="46515935" w14:textId="77777777" w:rsidR="00C90867" w:rsidRPr="00C201F7" w:rsidRDefault="00C90867" w:rsidP="00C90867">
          <w:pPr>
            <w:rPr>
              <w:rFonts w:eastAsia="ヒラギノ角ゴ Pro W3"/>
              <w:color w:val="000000"/>
              <w:szCs w:val="22"/>
            </w:rPr>
          </w:pPr>
        </w:p>
        <w:p w14:paraId="39D832D3" w14:textId="77777777" w:rsidR="00C90867" w:rsidRPr="00C201F7" w:rsidRDefault="00C90867" w:rsidP="00C90867">
          <w:pPr>
            <w:tabs>
              <w:tab w:val="left" w:pos="360"/>
              <w:tab w:val="right" w:leader="dot" w:pos="9360"/>
            </w:tabs>
            <w:suppressAutoHyphens/>
            <w:ind w:left="360" w:right="720" w:hanging="360"/>
            <w:rPr>
              <w:rFonts w:asciiTheme="minorHAnsi" w:eastAsiaTheme="minorEastAsia" w:hAnsiTheme="minorHAnsi" w:cstheme="minorBidi"/>
              <w:noProof/>
              <w:szCs w:val="22"/>
            </w:rPr>
          </w:pPr>
          <w:r w:rsidRPr="00C201F7">
            <w:rPr>
              <w:caps/>
              <w:noProof/>
              <w:szCs w:val="22"/>
            </w:rPr>
            <w:fldChar w:fldCharType="begin"/>
          </w:r>
          <w:r w:rsidRPr="00C201F7">
            <w:rPr>
              <w:caps/>
              <w:noProof/>
              <w:szCs w:val="22"/>
            </w:rPr>
            <w:instrText xml:space="preserve"> TOC \o "1-3" \h \z \u </w:instrText>
          </w:r>
          <w:r w:rsidRPr="00C201F7">
            <w:rPr>
              <w:caps/>
              <w:noProof/>
              <w:szCs w:val="22"/>
            </w:rPr>
            <w:fldChar w:fldCharType="separate"/>
          </w:r>
          <w:hyperlink w:anchor="_Toc396982106" w:history="1">
            <w:r w:rsidRPr="00C201F7">
              <w:rPr>
                <w:bCs/>
                <w:caps/>
                <w:noProof/>
                <w:color w:val="0000FF"/>
                <w:szCs w:val="22"/>
                <w:u w:val="single"/>
              </w:rPr>
              <w:t>I.</w:t>
            </w:r>
            <w:r w:rsidRPr="00C201F7">
              <w:rPr>
                <w:rFonts w:asciiTheme="minorHAnsi" w:eastAsiaTheme="minorEastAsia" w:hAnsiTheme="minorHAnsi" w:cstheme="minorBidi"/>
                <w:noProof/>
                <w:szCs w:val="22"/>
              </w:rPr>
              <w:tab/>
            </w:r>
            <w:r w:rsidRPr="00C201F7">
              <w:rPr>
                <w:caps/>
                <w:noProof/>
                <w:color w:val="0000FF"/>
                <w:szCs w:val="22"/>
                <w:u w:val="single"/>
              </w:rPr>
              <w:t>INTRODUCTION</w:t>
            </w:r>
            <w:r w:rsidRPr="00C201F7">
              <w:rPr>
                <w:caps/>
                <w:noProof/>
                <w:webHidden/>
                <w:szCs w:val="22"/>
              </w:rPr>
              <w:tab/>
            </w:r>
            <w:r w:rsidRPr="00C201F7">
              <w:rPr>
                <w:caps/>
                <w:noProof/>
                <w:webHidden/>
                <w:szCs w:val="22"/>
              </w:rPr>
              <w:fldChar w:fldCharType="begin"/>
            </w:r>
            <w:r w:rsidRPr="00C201F7">
              <w:rPr>
                <w:caps/>
                <w:noProof/>
                <w:webHidden/>
                <w:szCs w:val="22"/>
              </w:rPr>
              <w:instrText xml:space="preserve"> PAGEREF _Toc396982106 \h </w:instrText>
            </w:r>
            <w:r w:rsidRPr="00C201F7">
              <w:rPr>
                <w:caps/>
                <w:noProof/>
                <w:webHidden/>
                <w:szCs w:val="22"/>
              </w:rPr>
            </w:r>
            <w:r w:rsidRPr="00C201F7">
              <w:rPr>
                <w:caps/>
                <w:noProof/>
                <w:webHidden/>
                <w:szCs w:val="22"/>
              </w:rPr>
              <w:fldChar w:fldCharType="separate"/>
            </w:r>
            <w:r w:rsidR="00996EC5">
              <w:rPr>
                <w:caps/>
                <w:noProof/>
                <w:webHidden/>
                <w:szCs w:val="22"/>
              </w:rPr>
              <w:t>76</w:t>
            </w:r>
            <w:r w:rsidRPr="00C201F7">
              <w:rPr>
                <w:caps/>
                <w:noProof/>
                <w:webHidden/>
                <w:szCs w:val="22"/>
              </w:rPr>
              <w:fldChar w:fldCharType="end"/>
            </w:r>
          </w:hyperlink>
        </w:p>
        <w:p w14:paraId="3622AA0F" w14:textId="77777777" w:rsidR="00C90867" w:rsidRPr="00C201F7" w:rsidRDefault="000302DB" w:rsidP="00C90867">
          <w:pPr>
            <w:tabs>
              <w:tab w:val="left" w:pos="360"/>
              <w:tab w:val="right" w:leader="dot" w:pos="9360"/>
            </w:tabs>
            <w:suppressAutoHyphens/>
            <w:ind w:left="360" w:right="720" w:hanging="360"/>
            <w:rPr>
              <w:rFonts w:asciiTheme="minorHAnsi" w:eastAsiaTheme="minorEastAsia" w:hAnsiTheme="minorHAnsi" w:cstheme="minorBidi"/>
              <w:noProof/>
              <w:szCs w:val="22"/>
            </w:rPr>
          </w:pPr>
          <w:hyperlink w:anchor="_Toc396982107" w:history="1">
            <w:r w:rsidR="00C90867" w:rsidRPr="00C201F7">
              <w:rPr>
                <w:caps/>
                <w:noProof/>
                <w:color w:val="0000FF"/>
                <w:szCs w:val="22"/>
                <w:u w:val="single"/>
              </w:rPr>
              <w:t>II.</w:t>
            </w:r>
            <w:r w:rsidR="00C90867" w:rsidRPr="00C201F7">
              <w:rPr>
                <w:rFonts w:asciiTheme="minorHAnsi" w:eastAsiaTheme="minorEastAsia" w:hAnsiTheme="minorHAnsi" w:cstheme="minorBidi"/>
                <w:noProof/>
                <w:szCs w:val="22"/>
              </w:rPr>
              <w:tab/>
            </w:r>
            <w:r w:rsidR="00C90867" w:rsidRPr="00C201F7">
              <w:rPr>
                <w:caps/>
                <w:noProof/>
                <w:color w:val="0000FF"/>
                <w:szCs w:val="22"/>
                <w:u w:val="single"/>
              </w:rPr>
              <w:t>Outline of Evaluation Procedure</w:t>
            </w:r>
            <w:r w:rsidR="00C90867" w:rsidRPr="00C201F7">
              <w:rPr>
                <w:caps/>
                <w:noProof/>
                <w:webHidden/>
                <w:szCs w:val="22"/>
              </w:rPr>
              <w:tab/>
            </w:r>
            <w:r w:rsidR="00C90867" w:rsidRPr="00C201F7">
              <w:rPr>
                <w:caps/>
                <w:noProof/>
                <w:webHidden/>
                <w:szCs w:val="22"/>
              </w:rPr>
              <w:fldChar w:fldCharType="begin"/>
            </w:r>
            <w:r w:rsidR="00C90867" w:rsidRPr="00C201F7">
              <w:rPr>
                <w:caps/>
                <w:noProof/>
                <w:webHidden/>
                <w:szCs w:val="22"/>
              </w:rPr>
              <w:instrText xml:space="preserve"> PAGEREF _Toc396982107 \h </w:instrText>
            </w:r>
            <w:r w:rsidR="00C90867" w:rsidRPr="00C201F7">
              <w:rPr>
                <w:caps/>
                <w:noProof/>
                <w:webHidden/>
                <w:szCs w:val="22"/>
              </w:rPr>
            </w:r>
            <w:r w:rsidR="00C90867" w:rsidRPr="00C201F7">
              <w:rPr>
                <w:caps/>
                <w:noProof/>
                <w:webHidden/>
                <w:szCs w:val="22"/>
              </w:rPr>
              <w:fldChar w:fldCharType="separate"/>
            </w:r>
            <w:r w:rsidR="00996EC5">
              <w:rPr>
                <w:caps/>
                <w:noProof/>
                <w:webHidden/>
                <w:szCs w:val="22"/>
              </w:rPr>
              <w:t>77</w:t>
            </w:r>
            <w:r w:rsidR="00C90867" w:rsidRPr="00C201F7">
              <w:rPr>
                <w:caps/>
                <w:noProof/>
                <w:webHidden/>
                <w:szCs w:val="22"/>
              </w:rPr>
              <w:fldChar w:fldCharType="end"/>
            </w:r>
          </w:hyperlink>
        </w:p>
        <w:p w14:paraId="6AE2E062" w14:textId="77777777" w:rsidR="00C90867" w:rsidRPr="00C201F7" w:rsidRDefault="000302DB" w:rsidP="00C90867">
          <w:pPr>
            <w:tabs>
              <w:tab w:val="left" w:pos="360"/>
              <w:tab w:val="right" w:leader="dot" w:pos="9360"/>
            </w:tabs>
            <w:suppressAutoHyphens/>
            <w:ind w:left="360" w:right="720" w:hanging="360"/>
            <w:rPr>
              <w:rFonts w:asciiTheme="minorHAnsi" w:eastAsiaTheme="minorEastAsia" w:hAnsiTheme="minorHAnsi" w:cstheme="minorBidi"/>
              <w:noProof/>
              <w:szCs w:val="22"/>
            </w:rPr>
          </w:pPr>
          <w:hyperlink w:anchor="_Toc396982108" w:history="1">
            <w:r w:rsidR="00C90867" w:rsidRPr="00C201F7">
              <w:rPr>
                <w:caps/>
                <w:noProof/>
                <w:color w:val="0000FF"/>
                <w:szCs w:val="22"/>
                <w:u w:val="single"/>
              </w:rPr>
              <w:t>III.</w:t>
            </w:r>
            <w:r w:rsidR="00C90867" w:rsidRPr="00C201F7">
              <w:rPr>
                <w:rFonts w:asciiTheme="minorHAnsi" w:eastAsiaTheme="minorEastAsia" w:hAnsiTheme="minorHAnsi" w:cstheme="minorBidi"/>
                <w:noProof/>
                <w:szCs w:val="22"/>
              </w:rPr>
              <w:tab/>
            </w:r>
            <w:r w:rsidR="00C90867" w:rsidRPr="00C201F7">
              <w:rPr>
                <w:caps/>
                <w:noProof/>
                <w:color w:val="0000FF"/>
                <w:szCs w:val="22"/>
                <w:u w:val="single"/>
              </w:rPr>
              <w:t>EVALUATION OF SERVICE</w:t>
            </w:r>
            <w:r w:rsidR="00C90867" w:rsidRPr="00C201F7">
              <w:rPr>
                <w:caps/>
                <w:noProof/>
                <w:webHidden/>
                <w:szCs w:val="22"/>
              </w:rPr>
              <w:tab/>
            </w:r>
            <w:r w:rsidR="00C90867" w:rsidRPr="00C201F7">
              <w:rPr>
                <w:caps/>
                <w:noProof/>
                <w:webHidden/>
                <w:szCs w:val="22"/>
              </w:rPr>
              <w:fldChar w:fldCharType="begin"/>
            </w:r>
            <w:r w:rsidR="00C90867" w:rsidRPr="00C201F7">
              <w:rPr>
                <w:caps/>
                <w:noProof/>
                <w:webHidden/>
                <w:szCs w:val="22"/>
              </w:rPr>
              <w:instrText xml:space="preserve"> PAGEREF _Toc396982108 \h </w:instrText>
            </w:r>
            <w:r w:rsidR="00C90867" w:rsidRPr="00C201F7">
              <w:rPr>
                <w:caps/>
                <w:noProof/>
                <w:webHidden/>
                <w:szCs w:val="22"/>
              </w:rPr>
            </w:r>
            <w:r w:rsidR="00C90867" w:rsidRPr="00C201F7">
              <w:rPr>
                <w:caps/>
                <w:noProof/>
                <w:webHidden/>
                <w:szCs w:val="22"/>
              </w:rPr>
              <w:fldChar w:fldCharType="separate"/>
            </w:r>
            <w:r w:rsidR="00996EC5">
              <w:rPr>
                <w:caps/>
                <w:noProof/>
                <w:webHidden/>
                <w:szCs w:val="22"/>
              </w:rPr>
              <w:t>77</w:t>
            </w:r>
            <w:r w:rsidR="00C90867" w:rsidRPr="00C201F7">
              <w:rPr>
                <w:caps/>
                <w:noProof/>
                <w:webHidden/>
                <w:szCs w:val="22"/>
              </w:rPr>
              <w:fldChar w:fldCharType="end"/>
            </w:r>
          </w:hyperlink>
        </w:p>
        <w:p w14:paraId="1CC6EEC3" w14:textId="77777777" w:rsidR="00C90867" w:rsidRPr="00C201F7" w:rsidRDefault="000302DB" w:rsidP="00C90867">
          <w:pPr>
            <w:tabs>
              <w:tab w:val="left" w:pos="720"/>
              <w:tab w:val="right" w:leader="dot" w:pos="9360"/>
            </w:tabs>
            <w:suppressAutoHyphens/>
            <w:ind w:left="720" w:right="720" w:hanging="360"/>
            <w:rPr>
              <w:rFonts w:asciiTheme="minorHAnsi" w:eastAsiaTheme="minorEastAsia" w:hAnsiTheme="minorHAnsi" w:cstheme="minorBidi"/>
              <w:noProof/>
              <w:szCs w:val="22"/>
            </w:rPr>
          </w:pPr>
          <w:hyperlink w:anchor="_Toc396982109" w:history="1">
            <w:r w:rsidR="00C90867" w:rsidRPr="00C201F7">
              <w:rPr>
                <w:noProof/>
                <w:color w:val="0000FF"/>
                <w:szCs w:val="22"/>
                <w:u w:val="single"/>
              </w:rPr>
              <w:t>DTV Service Area Subject to Interference Calculations</w:t>
            </w:r>
            <w:r w:rsidR="00C90867" w:rsidRPr="00C201F7">
              <w:rPr>
                <w:noProof/>
                <w:webHidden/>
                <w:szCs w:val="22"/>
              </w:rPr>
              <w:tab/>
            </w:r>
            <w:r w:rsidR="00C90867" w:rsidRPr="00C201F7">
              <w:rPr>
                <w:noProof/>
                <w:webHidden/>
                <w:szCs w:val="22"/>
              </w:rPr>
              <w:fldChar w:fldCharType="begin"/>
            </w:r>
            <w:r w:rsidR="00C90867" w:rsidRPr="00C201F7">
              <w:rPr>
                <w:noProof/>
                <w:webHidden/>
                <w:szCs w:val="22"/>
              </w:rPr>
              <w:instrText xml:space="preserve"> PAGEREF _Toc396982109 \h </w:instrText>
            </w:r>
            <w:r w:rsidR="00C90867" w:rsidRPr="00C201F7">
              <w:rPr>
                <w:noProof/>
                <w:webHidden/>
                <w:szCs w:val="22"/>
              </w:rPr>
            </w:r>
            <w:r w:rsidR="00C90867" w:rsidRPr="00C201F7">
              <w:rPr>
                <w:noProof/>
                <w:webHidden/>
                <w:szCs w:val="22"/>
              </w:rPr>
              <w:fldChar w:fldCharType="separate"/>
            </w:r>
            <w:r w:rsidR="00996EC5">
              <w:rPr>
                <w:noProof/>
                <w:webHidden/>
                <w:szCs w:val="22"/>
              </w:rPr>
              <w:t>77</w:t>
            </w:r>
            <w:r w:rsidR="00C90867" w:rsidRPr="00C201F7">
              <w:rPr>
                <w:noProof/>
                <w:webHidden/>
                <w:szCs w:val="22"/>
              </w:rPr>
              <w:fldChar w:fldCharType="end"/>
            </w:r>
          </w:hyperlink>
        </w:p>
        <w:p w14:paraId="16C27CB1" w14:textId="77777777" w:rsidR="00C90867" w:rsidRPr="00C201F7" w:rsidRDefault="000302DB" w:rsidP="00C90867">
          <w:pPr>
            <w:tabs>
              <w:tab w:val="left" w:pos="720"/>
              <w:tab w:val="right" w:leader="dot" w:pos="9360"/>
            </w:tabs>
            <w:suppressAutoHyphens/>
            <w:ind w:left="720" w:right="720" w:hanging="360"/>
            <w:rPr>
              <w:rFonts w:asciiTheme="minorHAnsi" w:eastAsiaTheme="minorEastAsia" w:hAnsiTheme="minorHAnsi" w:cstheme="minorBidi"/>
              <w:noProof/>
              <w:szCs w:val="22"/>
            </w:rPr>
          </w:pPr>
          <w:hyperlink w:anchor="_Toc396982110" w:history="1">
            <w:r w:rsidR="00C90867" w:rsidRPr="00C201F7">
              <w:rPr>
                <w:noProof/>
                <w:color w:val="0000FF"/>
                <w:szCs w:val="22"/>
                <w:u w:val="single"/>
              </w:rPr>
              <w:t>Application of the Longley-Rice Model to Define DTV Service Area</w:t>
            </w:r>
            <w:r w:rsidR="00C90867" w:rsidRPr="00C201F7">
              <w:rPr>
                <w:noProof/>
                <w:webHidden/>
                <w:szCs w:val="22"/>
              </w:rPr>
              <w:tab/>
            </w:r>
            <w:r w:rsidR="00C90867" w:rsidRPr="00C201F7">
              <w:rPr>
                <w:noProof/>
                <w:webHidden/>
                <w:szCs w:val="22"/>
              </w:rPr>
              <w:fldChar w:fldCharType="begin"/>
            </w:r>
            <w:r w:rsidR="00C90867" w:rsidRPr="00C201F7">
              <w:rPr>
                <w:noProof/>
                <w:webHidden/>
                <w:szCs w:val="22"/>
              </w:rPr>
              <w:instrText xml:space="preserve"> PAGEREF _Toc396982110 \h </w:instrText>
            </w:r>
            <w:r w:rsidR="00C90867" w:rsidRPr="00C201F7">
              <w:rPr>
                <w:noProof/>
                <w:webHidden/>
                <w:szCs w:val="22"/>
              </w:rPr>
            </w:r>
            <w:r w:rsidR="00C90867" w:rsidRPr="00C201F7">
              <w:rPr>
                <w:noProof/>
                <w:webHidden/>
                <w:szCs w:val="22"/>
              </w:rPr>
              <w:fldChar w:fldCharType="separate"/>
            </w:r>
            <w:r w:rsidR="00996EC5">
              <w:rPr>
                <w:noProof/>
                <w:webHidden/>
                <w:szCs w:val="22"/>
              </w:rPr>
              <w:t>78</w:t>
            </w:r>
            <w:r w:rsidR="00C90867" w:rsidRPr="00C201F7">
              <w:rPr>
                <w:noProof/>
                <w:webHidden/>
                <w:szCs w:val="22"/>
              </w:rPr>
              <w:fldChar w:fldCharType="end"/>
            </w:r>
          </w:hyperlink>
        </w:p>
        <w:p w14:paraId="3E366193" w14:textId="77777777" w:rsidR="00C90867" w:rsidRPr="00C201F7" w:rsidRDefault="000302DB" w:rsidP="00C90867">
          <w:pPr>
            <w:tabs>
              <w:tab w:val="left" w:pos="360"/>
              <w:tab w:val="right" w:leader="dot" w:pos="9360"/>
            </w:tabs>
            <w:suppressAutoHyphens/>
            <w:ind w:left="360" w:right="720" w:hanging="360"/>
            <w:rPr>
              <w:rFonts w:asciiTheme="minorHAnsi" w:eastAsiaTheme="minorEastAsia" w:hAnsiTheme="minorHAnsi" w:cstheme="minorBidi"/>
              <w:noProof/>
              <w:szCs w:val="22"/>
            </w:rPr>
          </w:pPr>
          <w:hyperlink w:anchor="_Toc396982111" w:history="1">
            <w:r w:rsidR="00C90867" w:rsidRPr="00C201F7">
              <w:rPr>
                <w:caps/>
                <w:noProof/>
                <w:color w:val="0000FF"/>
                <w:szCs w:val="22"/>
                <w:u w:val="single"/>
              </w:rPr>
              <w:t>IV.</w:t>
            </w:r>
            <w:r w:rsidR="00C90867" w:rsidRPr="00C201F7">
              <w:rPr>
                <w:rFonts w:asciiTheme="minorHAnsi" w:eastAsiaTheme="minorEastAsia" w:hAnsiTheme="minorHAnsi" w:cstheme="minorBidi"/>
                <w:noProof/>
                <w:szCs w:val="22"/>
              </w:rPr>
              <w:tab/>
            </w:r>
            <w:r w:rsidR="00C90867" w:rsidRPr="00C201F7">
              <w:rPr>
                <w:caps/>
                <w:noProof/>
                <w:color w:val="0000FF"/>
                <w:szCs w:val="22"/>
                <w:u w:val="single"/>
              </w:rPr>
              <w:t>EVALUATION OF INTERFERENCE</w:t>
            </w:r>
            <w:r w:rsidR="00C90867" w:rsidRPr="00C201F7">
              <w:rPr>
                <w:caps/>
                <w:noProof/>
                <w:webHidden/>
                <w:szCs w:val="22"/>
              </w:rPr>
              <w:tab/>
            </w:r>
            <w:r w:rsidR="00C90867" w:rsidRPr="00C201F7">
              <w:rPr>
                <w:caps/>
                <w:noProof/>
                <w:webHidden/>
                <w:szCs w:val="22"/>
              </w:rPr>
              <w:fldChar w:fldCharType="begin"/>
            </w:r>
            <w:r w:rsidR="00C90867" w:rsidRPr="00C201F7">
              <w:rPr>
                <w:caps/>
                <w:noProof/>
                <w:webHidden/>
                <w:szCs w:val="22"/>
              </w:rPr>
              <w:instrText xml:space="preserve"> PAGEREF _Toc396982111 \h </w:instrText>
            </w:r>
            <w:r w:rsidR="00C90867" w:rsidRPr="00C201F7">
              <w:rPr>
                <w:caps/>
                <w:noProof/>
                <w:webHidden/>
                <w:szCs w:val="22"/>
              </w:rPr>
            </w:r>
            <w:r w:rsidR="00C90867" w:rsidRPr="00C201F7">
              <w:rPr>
                <w:caps/>
                <w:noProof/>
                <w:webHidden/>
                <w:szCs w:val="22"/>
              </w:rPr>
              <w:fldChar w:fldCharType="separate"/>
            </w:r>
            <w:r w:rsidR="00996EC5">
              <w:rPr>
                <w:caps/>
                <w:noProof/>
                <w:webHidden/>
                <w:szCs w:val="22"/>
              </w:rPr>
              <w:t>81</w:t>
            </w:r>
            <w:r w:rsidR="00C90867" w:rsidRPr="00C201F7">
              <w:rPr>
                <w:caps/>
                <w:noProof/>
                <w:webHidden/>
                <w:szCs w:val="22"/>
              </w:rPr>
              <w:fldChar w:fldCharType="end"/>
            </w:r>
          </w:hyperlink>
        </w:p>
        <w:p w14:paraId="474A24FC" w14:textId="77777777" w:rsidR="00C90867" w:rsidRPr="00C201F7" w:rsidRDefault="000302DB" w:rsidP="00C90867">
          <w:pPr>
            <w:tabs>
              <w:tab w:val="left" w:pos="720"/>
              <w:tab w:val="right" w:leader="dot" w:pos="9360"/>
            </w:tabs>
            <w:suppressAutoHyphens/>
            <w:ind w:left="720" w:right="720" w:hanging="360"/>
            <w:rPr>
              <w:rFonts w:asciiTheme="minorHAnsi" w:eastAsiaTheme="minorEastAsia" w:hAnsiTheme="minorHAnsi" w:cstheme="minorBidi"/>
              <w:noProof/>
              <w:szCs w:val="22"/>
            </w:rPr>
          </w:pPr>
          <w:hyperlink w:anchor="_Toc396982112" w:history="1">
            <w:r w:rsidR="00C90867" w:rsidRPr="00C201F7">
              <w:rPr>
                <w:noProof/>
                <w:color w:val="0000FF"/>
                <w:szCs w:val="22"/>
                <w:u w:val="single"/>
              </w:rPr>
              <w:t>Application of the Longley-Rice Model to Determine Interfering Signal Strength</w:t>
            </w:r>
            <w:r w:rsidR="00C90867" w:rsidRPr="00C201F7">
              <w:rPr>
                <w:noProof/>
                <w:webHidden/>
                <w:szCs w:val="22"/>
              </w:rPr>
              <w:tab/>
            </w:r>
            <w:r w:rsidR="00C90867" w:rsidRPr="00C201F7">
              <w:rPr>
                <w:noProof/>
                <w:webHidden/>
                <w:szCs w:val="22"/>
              </w:rPr>
              <w:fldChar w:fldCharType="begin"/>
            </w:r>
            <w:r w:rsidR="00C90867" w:rsidRPr="00C201F7">
              <w:rPr>
                <w:noProof/>
                <w:webHidden/>
                <w:szCs w:val="22"/>
              </w:rPr>
              <w:instrText xml:space="preserve"> PAGEREF _Toc396982112 \h </w:instrText>
            </w:r>
            <w:r w:rsidR="00C90867" w:rsidRPr="00C201F7">
              <w:rPr>
                <w:noProof/>
                <w:webHidden/>
                <w:szCs w:val="22"/>
              </w:rPr>
            </w:r>
            <w:r w:rsidR="00C90867" w:rsidRPr="00C201F7">
              <w:rPr>
                <w:noProof/>
                <w:webHidden/>
                <w:szCs w:val="22"/>
              </w:rPr>
              <w:fldChar w:fldCharType="separate"/>
            </w:r>
            <w:r w:rsidR="00996EC5">
              <w:rPr>
                <w:noProof/>
                <w:webHidden/>
                <w:szCs w:val="22"/>
              </w:rPr>
              <w:t>81</w:t>
            </w:r>
            <w:r w:rsidR="00C90867" w:rsidRPr="00C201F7">
              <w:rPr>
                <w:noProof/>
                <w:webHidden/>
                <w:szCs w:val="22"/>
              </w:rPr>
              <w:fldChar w:fldCharType="end"/>
            </w:r>
          </w:hyperlink>
        </w:p>
        <w:p w14:paraId="0279B68F" w14:textId="77777777" w:rsidR="00C90867" w:rsidRPr="00C201F7" w:rsidRDefault="000302DB" w:rsidP="00C90867">
          <w:pPr>
            <w:tabs>
              <w:tab w:val="left" w:pos="720"/>
              <w:tab w:val="right" w:leader="dot" w:pos="9360"/>
            </w:tabs>
            <w:suppressAutoHyphens/>
            <w:ind w:left="720" w:right="720" w:hanging="360"/>
            <w:rPr>
              <w:rFonts w:asciiTheme="minorHAnsi" w:eastAsiaTheme="minorEastAsia" w:hAnsiTheme="minorHAnsi" w:cstheme="minorBidi"/>
              <w:noProof/>
              <w:szCs w:val="22"/>
            </w:rPr>
          </w:pPr>
          <w:hyperlink w:anchor="_Toc396982113" w:history="1">
            <w:r w:rsidR="00C90867" w:rsidRPr="00C201F7">
              <w:rPr>
                <w:noProof/>
                <w:color w:val="0000FF"/>
                <w:szCs w:val="22"/>
                <w:u w:val="single"/>
              </w:rPr>
              <w:t>Areas of Potential Interference</w:t>
            </w:r>
            <w:r w:rsidR="00C90867" w:rsidRPr="00C201F7">
              <w:rPr>
                <w:noProof/>
                <w:webHidden/>
                <w:szCs w:val="22"/>
              </w:rPr>
              <w:tab/>
            </w:r>
            <w:r w:rsidR="00C90867" w:rsidRPr="00C201F7">
              <w:rPr>
                <w:noProof/>
                <w:webHidden/>
                <w:szCs w:val="22"/>
              </w:rPr>
              <w:fldChar w:fldCharType="begin"/>
            </w:r>
            <w:r w:rsidR="00C90867" w:rsidRPr="00C201F7">
              <w:rPr>
                <w:noProof/>
                <w:webHidden/>
                <w:szCs w:val="22"/>
              </w:rPr>
              <w:instrText xml:space="preserve"> PAGEREF _Toc396982113 \h </w:instrText>
            </w:r>
            <w:r w:rsidR="00C90867" w:rsidRPr="00C201F7">
              <w:rPr>
                <w:noProof/>
                <w:webHidden/>
                <w:szCs w:val="22"/>
              </w:rPr>
            </w:r>
            <w:r w:rsidR="00C90867" w:rsidRPr="00C201F7">
              <w:rPr>
                <w:noProof/>
                <w:webHidden/>
                <w:szCs w:val="22"/>
              </w:rPr>
              <w:fldChar w:fldCharType="separate"/>
            </w:r>
            <w:r w:rsidR="00996EC5">
              <w:rPr>
                <w:noProof/>
                <w:webHidden/>
                <w:szCs w:val="22"/>
              </w:rPr>
              <w:t>81</w:t>
            </w:r>
            <w:r w:rsidR="00C90867" w:rsidRPr="00C201F7">
              <w:rPr>
                <w:noProof/>
                <w:webHidden/>
                <w:szCs w:val="22"/>
              </w:rPr>
              <w:fldChar w:fldCharType="end"/>
            </w:r>
          </w:hyperlink>
        </w:p>
        <w:p w14:paraId="125D4BB7" w14:textId="77777777" w:rsidR="00C90867" w:rsidRPr="00C201F7" w:rsidRDefault="000302DB" w:rsidP="00C90867">
          <w:pPr>
            <w:tabs>
              <w:tab w:val="left" w:pos="720"/>
              <w:tab w:val="right" w:leader="dot" w:pos="9360"/>
            </w:tabs>
            <w:suppressAutoHyphens/>
            <w:ind w:left="720" w:right="720" w:hanging="360"/>
            <w:rPr>
              <w:rFonts w:asciiTheme="minorHAnsi" w:eastAsiaTheme="minorEastAsia" w:hAnsiTheme="minorHAnsi" w:cstheme="minorBidi"/>
              <w:noProof/>
              <w:szCs w:val="22"/>
            </w:rPr>
          </w:pPr>
          <w:hyperlink w:anchor="_Toc396982114" w:history="1">
            <w:r w:rsidR="00C90867" w:rsidRPr="00C201F7">
              <w:rPr>
                <w:noProof/>
                <w:color w:val="0000FF"/>
                <w:szCs w:val="22"/>
                <w:u w:val="single"/>
              </w:rPr>
              <w:t>DTV D/U Ratios for Co-Channel and Adjacent Channel Operations</w:t>
            </w:r>
            <w:r w:rsidR="00C90867" w:rsidRPr="00C201F7">
              <w:rPr>
                <w:noProof/>
                <w:webHidden/>
                <w:szCs w:val="22"/>
              </w:rPr>
              <w:tab/>
            </w:r>
            <w:r w:rsidR="00C90867" w:rsidRPr="00C201F7">
              <w:rPr>
                <w:noProof/>
                <w:webHidden/>
                <w:szCs w:val="22"/>
              </w:rPr>
              <w:fldChar w:fldCharType="begin"/>
            </w:r>
            <w:r w:rsidR="00C90867" w:rsidRPr="00C201F7">
              <w:rPr>
                <w:noProof/>
                <w:webHidden/>
                <w:szCs w:val="22"/>
              </w:rPr>
              <w:instrText xml:space="preserve"> PAGEREF _Toc396982114 \h </w:instrText>
            </w:r>
            <w:r w:rsidR="00C90867" w:rsidRPr="00C201F7">
              <w:rPr>
                <w:noProof/>
                <w:webHidden/>
                <w:szCs w:val="22"/>
              </w:rPr>
            </w:r>
            <w:r w:rsidR="00C90867" w:rsidRPr="00C201F7">
              <w:rPr>
                <w:noProof/>
                <w:webHidden/>
                <w:szCs w:val="22"/>
              </w:rPr>
              <w:fldChar w:fldCharType="separate"/>
            </w:r>
            <w:r w:rsidR="00996EC5">
              <w:rPr>
                <w:noProof/>
                <w:webHidden/>
                <w:szCs w:val="22"/>
              </w:rPr>
              <w:t>81</w:t>
            </w:r>
            <w:r w:rsidR="00C90867" w:rsidRPr="00C201F7">
              <w:rPr>
                <w:noProof/>
                <w:webHidden/>
                <w:szCs w:val="22"/>
              </w:rPr>
              <w:fldChar w:fldCharType="end"/>
            </w:r>
          </w:hyperlink>
        </w:p>
        <w:p w14:paraId="202E7511" w14:textId="77777777" w:rsidR="00C90867" w:rsidRPr="00C201F7" w:rsidRDefault="000302DB" w:rsidP="00C90867">
          <w:pPr>
            <w:tabs>
              <w:tab w:val="left" w:pos="720"/>
              <w:tab w:val="right" w:leader="dot" w:pos="9360"/>
            </w:tabs>
            <w:suppressAutoHyphens/>
            <w:ind w:left="720" w:right="720" w:hanging="360"/>
            <w:rPr>
              <w:rFonts w:asciiTheme="minorHAnsi" w:eastAsiaTheme="minorEastAsia" w:hAnsiTheme="minorHAnsi" w:cstheme="minorBidi"/>
              <w:noProof/>
              <w:szCs w:val="22"/>
            </w:rPr>
          </w:pPr>
          <w:hyperlink w:anchor="_Toc396982115" w:history="1">
            <w:r w:rsidR="00C90867" w:rsidRPr="00C201F7">
              <w:rPr>
                <w:noProof/>
                <w:color w:val="0000FF"/>
                <w:szCs w:val="22"/>
                <w:u w:val="single"/>
              </w:rPr>
              <w:t>DTV Planning Factors</w:t>
            </w:r>
            <w:r w:rsidR="00C90867" w:rsidRPr="00C201F7">
              <w:rPr>
                <w:noProof/>
                <w:webHidden/>
                <w:szCs w:val="22"/>
              </w:rPr>
              <w:tab/>
            </w:r>
            <w:r w:rsidR="00C90867" w:rsidRPr="00C201F7">
              <w:rPr>
                <w:noProof/>
                <w:webHidden/>
                <w:szCs w:val="22"/>
              </w:rPr>
              <w:fldChar w:fldCharType="begin"/>
            </w:r>
            <w:r w:rsidR="00C90867" w:rsidRPr="00C201F7">
              <w:rPr>
                <w:noProof/>
                <w:webHidden/>
                <w:szCs w:val="22"/>
              </w:rPr>
              <w:instrText xml:space="preserve"> PAGEREF _Toc396982115 \h </w:instrText>
            </w:r>
            <w:r w:rsidR="00C90867" w:rsidRPr="00C201F7">
              <w:rPr>
                <w:noProof/>
                <w:webHidden/>
                <w:szCs w:val="22"/>
              </w:rPr>
            </w:r>
            <w:r w:rsidR="00C90867" w:rsidRPr="00C201F7">
              <w:rPr>
                <w:noProof/>
                <w:webHidden/>
                <w:szCs w:val="22"/>
              </w:rPr>
              <w:fldChar w:fldCharType="separate"/>
            </w:r>
            <w:r w:rsidR="00996EC5">
              <w:rPr>
                <w:noProof/>
                <w:webHidden/>
                <w:szCs w:val="22"/>
              </w:rPr>
              <w:t>83</w:t>
            </w:r>
            <w:r w:rsidR="00C90867" w:rsidRPr="00C201F7">
              <w:rPr>
                <w:noProof/>
                <w:webHidden/>
                <w:szCs w:val="22"/>
              </w:rPr>
              <w:fldChar w:fldCharType="end"/>
            </w:r>
          </w:hyperlink>
        </w:p>
        <w:p w14:paraId="314DBF87" w14:textId="77777777" w:rsidR="00C90867" w:rsidRPr="00C201F7" w:rsidRDefault="000302DB" w:rsidP="00C90867">
          <w:pPr>
            <w:tabs>
              <w:tab w:val="left" w:pos="720"/>
              <w:tab w:val="right" w:leader="dot" w:pos="9360"/>
            </w:tabs>
            <w:suppressAutoHyphens/>
            <w:ind w:left="720" w:right="720" w:hanging="360"/>
            <w:rPr>
              <w:rFonts w:asciiTheme="minorHAnsi" w:eastAsiaTheme="minorEastAsia" w:hAnsiTheme="minorHAnsi" w:cstheme="minorBidi"/>
              <w:noProof/>
              <w:szCs w:val="22"/>
            </w:rPr>
          </w:pPr>
          <w:hyperlink w:anchor="_Toc396982116" w:history="1">
            <w:r w:rsidR="00C90867" w:rsidRPr="00C201F7">
              <w:rPr>
                <w:noProof/>
                <w:color w:val="0000FF"/>
                <w:szCs w:val="22"/>
                <w:u w:val="single"/>
              </w:rPr>
              <w:t>DTV Receiving Antenna Pattern</w:t>
            </w:r>
            <w:r w:rsidR="00C90867" w:rsidRPr="00C201F7">
              <w:rPr>
                <w:noProof/>
                <w:webHidden/>
                <w:szCs w:val="22"/>
              </w:rPr>
              <w:tab/>
            </w:r>
            <w:r w:rsidR="00C90867" w:rsidRPr="00C201F7">
              <w:rPr>
                <w:noProof/>
                <w:webHidden/>
                <w:szCs w:val="22"/>
              </w:rPr>
              <w:fldChar w:fldCharType="begin"/>
            </w:r>
            <w:r w:rsidR="00C90867" w:rsidRPr="00C201F7">
              <w:rPr>
                <w:noProof/>
                <w:webHidden/>
                <w:szCs w:val="22"/>
              </w:rPr>
              <w:instrText xml:space="preserve"> PAGEREF _Toc396982116 \h </w:instrText>
            </w:r>
            <w:r w:rsidR="00C90867" w:rsidRPr="00C201F7">
              <w:rPr>
                <w:noProof/>
                <w:webHidden/>
                <w:szCs w:val="22"/>
              </w:rPr>
            </w:r>
            <w:r w:rsidR="00C90867" w:rsidRPr="00C201F7">
              <w:rPr>
                <w:noProof/>
                <w:webHidden/>
                <w:szCs w:val="22"/>
              </w:rPr>
              <w:fldChar w:fldCharType="separate"/>
            </w:r>
            <w:r w:rsidR="00996EC5">
              <w:rPr>
                <w:noProof/>
                <w:webHidden/>
                <w:szCs w:val="22"/>
              </w:rPr>
              <w:t>83</w:t>
            </w:r>
            <w:r w:rsidR="00C90867" w:rsidRPr="00C201F7">
              <w:rPr>
                <w:noProof/>
                <w:webHidden/>
                <w:szCs w:val="22"/>
              </w:rPr>
              <w:fldChar w:fldCharType="end"/>
            </w:r>
          </w:hyperlink>
        </w:p>
        <w:p w14:paraId="0EB97A48" w14:textId="77777777" w:rsidR="00C90867" w:rsidRPr="00C201F7" w:rsidRDefault="000302DB" w:rsidP="00C90867">
          <w:pPr>
            <w:tabs>
              <w:tab w:val="left" w:pos="720"/>
              <w:tab w:val="right" w:leader="dot" w:pos="9360"/>
            </w:tabs>
            <w:suppressAutoHyphens/>
            <w:ind w:left="720" w:right="720" w:hanging="360"/>
            <w:rPr>
              <w:rFonts w:asciiTheme="minorHAnsi" w:eastAsiaTheme="minorEastAsia" w:hAnsiTheme="minorHAnsi" w:cstheme="minorBidi"/>
              <w:noProof/>
              <w:szCs w:val="22"/>
            </w:rPr>
          </w:pPr>
          <w:hyperlink w:anchor="_Toc396982117" w:history="1">
            <w:r w:rsidR="00C90867" w:rsidRPr="00C201F7">
              <w:rPr>
                <w:noProof/>
                <w:color w:val="0000FF"/>
                <w:szCs w:val="22"/>
                <w:u w:val="single"/>
              </w:rPr>
              <w:t>Identification of Potentially Interfering Stations</w:t>
            </w:r>
            <w:r w:rsidR="00C90867" w:rsidRPr="00C201F7">
              <w:rPr>
                <w:noProof/>
                <w:webHidden/>
                <w:szCs w:val="22"/>
              </w:rPr>
              <w:tab/>
            </w:r>
            <w:r w:rsidR="00C90867" w:rsidRPr="00C201F7">
              <w:rPr>
                <w:noProof/>
                <w:webHidden/>
                <w:szCs w:val="22"/>
              </w:rPr>
              <w:fldChar w:fldCharType="begin"/>
            </w:r>
            <w:r w:rsidR="00C90867" w:rsidRPr="00C201F7">
              <w:rPr>
                <w:noProof/>
                <w:webHidden/>
                <w:szCs w:val="22"/>
              </w:rPr>
              <w:instrText xml:space="preserve"> PAGEREF _Toc396982117 \h </w:instrText>
            </w:r>
            <w:r w:rsidR="00C90867" w:rsidRPr="00C201F7">
              <w:rPr>
                <w:noProof/>
                <w:webHidden/>
                <w:szCs w:val="22"/>
              </w:rPr>
            </w:r>
            <w:r w:rsidR="00C90867" w:rsidRPr="00C201F7">
              <w:rPr>
                <w:noProof/>
                <w:webHidden/>
                <w:szCs w:val="22"/>
              </w:rPr>
              <w:fldChar w:fldCharType="separate"/>
            </w:r>
            <w:r w:rsidR="00996EC5">
              <w:rPr>
                <w:noProof/>
                <w:webHidden/>
                <w:szCs w:val="22"/>
              </w:rPr>
              <w:t>84</w:t>
            </w:r>
            <w:r w:rsidR="00C90867" w:rsidRPr="00C201F7">
              <w:rPr>
                <w:noProof/>
                <w:webHidden/>
                <w:szCs w:val="22"/>
              </w:rPr>
              <w:fldChar w:fldCharType="end"/>
            </w:r>
          </w:hyperlink>
        </w:p>
        <w:p w14:paraId="7C94E6A2" w14:textId="77777777" w:rsidR="00C90867" w:rsidRPr="00C201F7" w:rsidRDefault="000302DB" w:rsidP="00C90867">
          <w:pPr>
            <w:tabs>
              <w:tab w:val="left" w:pos="720"/>
              <w:tab w:val="right" w:leader="dot" w:pos="9360"/>
            </w:tabs>
            <w:suppressAutoHyphens/>
            <w:ind w:left="720" w:right="720" w:hanging="360"/>
            <w:rPr>
              <w:rFonts w:asciiTheme="minorHAnsi" w:eastAsiaTheme="minorEastAsia" w:hAnsiTheme="minorHAnsi" w:cstheme="minorBidi"/>
              <w:noProof/>
              <w:szCs w:val="22"/>
            </w:rPr>
          </w:pPr>
          <w:hyperlink w:anchor="_Toc396982118" w:history="1">
            <w:r w:rsidR="00C90867" w:rsidRPr="00C201F7">
              <w:rPr>
                <w:noProof/>
                <w:color w:val="0000FF"/>
                <w:szCs w:val="22"/>
                <w:u w:val="single"/>
              </w:rPr>
              <w:t>Engineering Databases</w:t>
            </w:r>
            <w:r w:rsidR="00C90867" w:rsidRPr="00C201F7">
              <w:rPr>
                <w:noProof/>
                <w:webHidden/>
                <w:szCs w:val="22"/>
              </w:rPr>
              <w:tab/>
            </w:r>
            <w:r w:rsidR="00C90867" w:rsidRPr="00C201F7">
              <w:rPr>
                <w:noProof/>
                <w:webHidden/>
                <w:szCs w:val="22"/>
              </w:rPr>
              <w:fldChar w:fldCharType="begin"/>
            </w:r>
            <w:r w:rsidR="00C90867" w:rsidRPr="00C201F7">
              <w:rPr>
                <w:noProof/>
                <w:webHidden/>
                <w:szCs w:val="22"/>
              </w:rPr>
              <w:instrText xml:space="preserve"> PAGEREF _Toc396982118 \h </w:instrText>
            </w:r>
            <w:r w:rsidR="00C90867" w:rsidRPr="00C201F7">
              <w:rPr>
                <w:noProof/>
                <w:webHidden/>
                <w:szCs w:val="22"/>
              </w:rPr>
            </w:r>
            <w:r w:rsidR="00C90867" w:rsidRPr="00C201F7">
              <w:rPr>
                <w:noProof/>
                <w:webHidden/>
                <w:szCs w:val="22"/>
              </w:rPr>
              <w:fldChar w:fldCharType="separate"/>
            </w:r>
            <w:r w:rsidR="00996EC5">
              <w:rPr>
                <w:noProof/>
                <w:webHidden/>
                <w:szCs w:val="22"/>
              </w:rPr>
              <w:t>87</w:t>
            </w:r>
            <w:r w:rsidR="00C90867" w:rsidRPr="00C201F7">
              <w:rPr>
                <w:noProof/>
                <w:webHidden/>
                <w:szCs w:val="22"/>
              </w:rPr>
              <w:fldChar w:fldCharType="end"/>
            </w:r>
          </w:hyperlink>
        </w:p>
        <w:p w14:paraId="7760C3D1" w14:textId="77777777" w:rsidR="00C90867" w:rsidRPr="00C90867" w:rsidRDefault="00C90867" w:rsidP="00C90867">
          <w:pPr>
            <w:spacing w:after="120"/>
            <w:rPr>
              <w:rFonts w:eastAsia="ヒラギノ角ゴ Pro W3"/>
              <w:color w:val="000000"/>
              <w:sz w:val="24"/>
              <w:szCs w:val="24"/>
            </w:rPr>
          </w:pPr>
          <w:r w:rsidRPr="00C201F7">
            <w:rPr>
              <w:rFonts w:eastAsia="ヒラギノ角ゴ Pro W3"/>
              <w:b/>
              <w:bCs/>
              <w:noProof/>
              <w:color w:val="000000"/>
              <w:szCs w:val="22"/>
            </w:rPr>
            <w:fldChar w:fldCharType="end"/>
          </w:r>
        </w:p>
        <w:bookmarkStart w:id="968" w:name="_Toc392843745" w:displacedByCustomXml="next"/>
        <w:bookmarkEnd w:id="968" w:displacedByCustomXml="next"/>
        <w:bookmarkStart w:id="969" w:name="_Toc392841886" w:displacedByCustomXml="next"/>
        <w:bookmarkEnd w:id="969" w:displacedByCustomXml="next"/>
        <w:bookmarkStart w:id="970" w:name="_Toc392837079" w:displacedByCustomXml="next"/>
        <w:bookmarkEnd w:id="970" w:displacedByCustomXml="next"/>
        <w:bookmarkStart w:id="971" w:name="_Toc392843744" w:displacedByCustomXml="next"/>
        <w:bookmarkEnd w:id="971" w:displacedByCustomXml="next"/>
        <w:bookmarkStart w:id="972" w:name="_Toc392841885" w:displacedByCustomXml="next"/>
        <w:bookmarkEnd w:id="972" w:displacedByCustomXml="next"/>
        <w:bookmarkStart w:id="973" w:name="_Toc392837078" w:displacedByCustomXml="next"/>
        <w:bookmarkEnd w:id="973" w:displacedByCustomXml="next"/>
        <w:bookmarkStart w:id="974" w:name="_Toc392843741" w:displacedByCustomXml="next"/>
        <w:bookmarkEnd w:id="974" w:displacedByCustomXml="next"/>
        <w:bookmarkStart w:id="975" w:name="_Toc392841882" w:displacedByCustomXml="next"/>
        <w:bookmarkEnd w:id="975" w:displacedByCustomXml="next"/>
        <w:bookmarkStart w:id="976" w:name="_Toc392837075" w:displacedByCustomXml="next"/>
        <w:bookmarkEnd w:id="976" w:displacedByCustomXml="next"/>
        <w:bookmarkStart w:id="977" w:name="_Toc392843740" w:displacedByCustomXml="next"/>
        <w:bookmarkEnd w:id="977" w:displacedByCustomXml="next"/>
        <w:bookmarkStart w:id="978" w:name="_Toc392841881" w:displacedByCustomXml="next"/>
        <w:bookmarkEnd w:id="978" w:displacedByCustomXml="next"/>
        <w:bookmarkStart w:id="979" w:name="_Toc392837074" w:displacedByCustomXml="next"/>
        <w:bookmarkEnd w:id="979" w:displacedByCustomXml="next"/>
        <w:bookmarkStart w:id="980" w:name="_Toc392843739" w:displacedByCustomXml="next"/>
        <w:bookmarkEnd w:id="980" w:displacedByCustomXml="next"/>
        <w:bookmarkStart w:id="981" w:name="_Toc392841880" w:displacedByCustomXml="next"/>
        <w:bookmarkEnd w:id="981" w:displacedByCustomXml="next"/>
        <w:bookmarkStart w:id="982" w:name="_Toc392837073" w:displacedByCustomXml="next"/>
        <w:bookmarkEnd w:id="982" w:displacedByCustomXml="next"/>
        <w:bookmarkStart w:id="983" w:name="_Toc392843735" w:displacedByCustomXml="next"/>
        <w:bookmarkEnd w:id="983" w:displacedByCustomXml="next"/>
        <w:bookmarkStart w:id="984" w:name="_Toc392841876" w:displacedByCustomXml="next"/>
        <w:bookmarkEnd w:id="984" w:displacedByCustomXml="next"/>
        <w:bookmarkStart w:id="985" w:name="_Toc392837069" w:displacedByCustomXml="next"/>
        <w:bookmarkEnd w:id="985" w:displacedByCustomXml="next"/>
        <w:bookmarkStart w:id="986" w:name="_Toc392843734" w:displacedByCustomXml="next"/>
        <w:bookmarkEnd w:id="986" w:displacedByCustomXml="next"/>
        <w:bookmarkStart w:id="987" w:name="_Toc392841875" w:displacedByCustomXml="next"/>
        <w:bookmarkEnd w:id="987" w:displacedByCustomXml="next"/>
        <w:bookmarkStart w:id="988" w:name="_Toc392837068" w:displacedByCustomXml="next"/>
        <w:bookmarkEnd w:id="988" w:displacedByCustomXml="next"/>
        <w:bookmarkStart w:id="989" w:name="_Toc392843732" w:displacedByCustomXml="next"/>
        <w:bookmarkEnd w:id="989" w:displacedByCustomXml="next"/>
        <w:bookmarkStart w:id="990" w:name="_Toc392841873" w:displacedByCustomXml="next"/>
        <w:bookmarkEnd w:id="990" w:displacedByCustomXml="next"/>
        <w:bookmarkStart w:id="991" w:name="_Toc392837066" w:displacedByCustomXml="next"/>
        <w:bookmarkEnd w:id="991" w:displacedByCustomXml="next"/>
        <w:bookmarkStart w:id="992" w:name="_Toc392843730" w:displacedByCustomXml="next"/>
        <w:bookmarkEnd w:id="992" w:displacedByCustomXml="next"/>
        <w:bookmarkStart w:id="993" w:name="_Toc392841871" w:displacedByCustomXml="next"/>
        <w:bookmarkEnd w:id="993" w:displacedByCustomXml="next"/>
        <w:bookmarkStart w:id="994" w:name="_Toc392837064" w:displacedByCustomXml="next"/>
        <w:bookmarkEnd w:id="994" w:displacedByCustomXml="next"/>
        <w:bookmarkStart w:id="995" w:name="_Toc392843729" w:displacedByCustomXml="next"/>
        <w:bookmarkEnd w:id="995" w:displacedByCustomXml="next"/>
        <w:bookmarkStart w:id="996" w:name="_Toc392841870" w:displacedByCustomXml="next"/>
        <w:bookmarkEnd w:id="996" w:displacedByCustomXml="next"/>
        <w:bookmarkStart w:id="997" w:name="_Toc392837063" w:displacedByCustomXml="next"/>
        <w:bookmarkEnd w:id="997" w:displacedByCustomXml="next"/>
      </w:sdtContent>
    </w:sdt>
    <w:bookmarkStart w:id="998" w:name="_Toc392843746" w:displacedByCustomXml="prev"/>
    <w:bookmarkEnd w:id="998" w:displacedByCustomXml="prev"/>
    <w:bookmarkStart w:id="999" w:name="_Toc392841887" w:displacedByCustomXml="prev"/>
    <w:bookmarkEnd w:id="999" w:displacedByCustomXml="prev"/>
    <w:bookmarkStart w:id="1000" w:name="_Toc392837080" w:displacedByCustomXml="prev"/>
    <w:bookmarkEnd w:id="1000" w:displacedByCustomXml="prev"/>
    <w:p w14:paraId="56452994" w14:textId="77777777" w:rsidR="00C90867" w:rsidRPr="00C201F7" w:rsidRDefault="00C90867" w:rsidP="00EE61F6">
      <w:pPr>
        <w:pStyle w:val="Heading1"/>
        <w:numPr>
          <w:ilvl w:val="0"/>
          <w:numId w:val="7"/>
        </w:numPr>
        <w:rPr>
          <w:bCs/>
          <w:szCs w:val="22"/>
        </w:rPr>
      </w:pPr>
      <w:r w:rsidRPr="005B4C0E">
        <w:rPr>
          <w:bCs/>
        </w:rPr>
        <w:br w:type="page"/>
      </w:r>
      <w:bookmarkStart w:id="1001" w:name="_Toc396982106"/>
      <w:bookmarkStart w:id="1002" w:name="_Toc397609549"/>
      <w:bookmarkStart w:id="1003" w:name="_Toc397610977"/>
      <w:bookmarkStart w:id="1004" w:name="_Toc397962847"/>
      <w:bookmarkStart w:id="1005" w:name="_Toc398023618"/>
      <w:bookmarkStart w:id="1006" w:name="_Toc398903011"/>
      <w:bookmarkStart w:id="1007" w:name="_Toc398903334"/>
      <w:bookmarkStart w:id="1008" w:name="_Toc398903523"/>
      <w:bookmarkStart w:id="1009" w:name="_Toc398904120"/>
      <w:bookmarkStart w:id="1010" w:name="_Toc398904628"/>
      <w:bookmarkStart w:id="1011" w:name="_Toc401305988"/>
      <w:bookmarkStart w:id="1012" w:name="_Toc401306664"/>
      <w:bookmarkStart w:id="1013" w:name="_Toc401306733"/>
      <w:r w:rsidRPr="00C201F7">
        <w:rPr>
          <w:szCs w:val="22"/>
        </w:rPr>
        <w:t>INTRODUCTION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14:paraId="0BC79001" w14:textId="77777777" w:rsidR="00C90867" w:rsidRPr="00C201F7" w:rsidRDefault="00C90867" w:rsidP="00C90867">
      <w:pPr>
        <w:autoSpaceDE w:val="0"/>
        <w:autoSpaceDN w:val="0"/>
        <w:adjustRightInd w:val="0"/>
        <w:ind w:firstLine="720"/>
        <w:rPr>
          <w:rFonts w:eastAsia="ヒラギノ角ゴ Pro W3"/>
          <w:bCs/>
          <w:color w:val="000000"/>
          <w:szCs w:val="22"/>
        </w:rPr>
      </w:pPr>
      <w:r w:rsidRPr="00C201F7">
        <w:rPr>
          <w:rFonts w:eastAsia="ヒラギノ角ゴ Pro W3"/>
          <w:bCs/>
          <w:color w:val="000000"/>
          <w:szCs w:val="22"/>
        </w:rPr>
        <w:t xml:space="preserve">This Bulletin provides the methodology for prediction of interference </w:t>
      </w:r>
      <w:r w:rsidRPr="00C201F7">
        <w:rPr>
          <w:rFonts w:eastAsia="ヒラギノ角ゴ Pro W3"/>
          <w:color w:val="000000"/>
          <w:szCs w:val="22"/>
        </w:rPr>
        <w:t>from fixed wireless base stations in the 600 MHz downlink spectrum to digital full-power and Class A television service areas that operate co-channel or adjacent-channel to mobile wireless broadband operations.</w:t>
      </w:r>
      <w:r w:rsidRPr="00C201F7" w:rsidDel="00CF50E4">
        <w:rPr>
          <w:rFonts w:eastAsia="ヒラギノ角ゴ Pro W3"/>
          <w:color w:val="000000"/>
          <w:szCs w:val="22"/>
        </w:rPr>
        <w:t xml:space="preserve"> </w:t>
      </w:r>
      <w:r w:rsidRPr="00C201F7">
        <w:rPr>
          <w:rFonts w:eastAsia="ヒラギノ角ゴ Pro W3"/>
          <w:color w:val="000000"/>
          <w:szCs w:val="22"/>
        </w:rPr>
        <w:t xml:space="preserve"> </w:t>
      </w:r>
      <w:r w:rsidRPr="00C201F7">
        <w:rPr>
          <w:rFonts w:eastAsia="ヒラギノ角ゴ Pro W3"/>
          <w:bCs/>
          <w:color w:val="000000"/>
          <w:szCs w:val="22"/>
        </w:rPr>
        <w:t>The methodology provides guidance on the implementation and use of the NTIA Institute for Telecommunications Science’s Longley-Rice radio propagation model for predicting inter-service interference (ISIX) to broadcast television from mobile wireless broadband services.</w:t>
      </w:r>
      <w:r w:rsidRPr="00C201F7">
        <w:rPr>
          <w:rFonts w:eastAsia="ヒラギノ角ゴ Pro W3"/>
          <w:bCs/>
          <w:szCs w:val="22"/>
          <w:vertAlign w:val="superscript"/>
        </w:rPr>
        <w:footnoteReference w:id="310"/>
      </w:r>
      <w:r w:rsidRPr="00C201F7">
        <w:rPr>
          <w:rFonts w:eastAsia="ヒラギノ角ゴ Pro W3"/>
          <w:bCs/>
          <w:color w:val="000000"/>
          <w:szCs w:val="22"/>
        </w:rPr>
        <w:t xml:space="preserve">  Generally, co-channel interference between wireless services and broadcast television becomes unlikely if these services are geographically separated by a predetermined distance.  Likewise, adjacent-channel interference becomes unlikely at a lesser distance than the co-channel case, depending on the frequency separation between the TV channel and the wireless spectrum block.  Similarly, the likelihood of interference at a particular location diminishes with lower height and/or power transmitters and increases with transmitters at a higher height and/or power.  For broadcast television, this methodology assumes use of the Advanced Television Systems Committee’s (ATSC) Digital Television (DTV) Standard,</w:t>
      </w:r>
      <w:r w:rsidRPr="00C201F7">
        <w:rPr>
          <w:rFonts w:eastAsia="ヒラギノ角ゴ Pro W3"/>
          <w:color w:val="000000"/>
          <w:szCs w:val="22"/>
          <w:vertAlign w:val="superscript"/>
        </w:rPr>
        <w:footnoteReference w:id="311"/>
      </w:r>
      <w:r w:rsidRPr="00C201F7">
        <w:rPr>
          <w:rFonts w:eastAsia="ヒラギノ角ゴ Pro W3"/>
          <w:bCs/>
          <w:color w:val="000000"/>
          <w:szCs w:val="22"/>
        </w:rPr>
        <w:t xml:space="preserve"> although it is possible, especially across U.S. international borders, that the National Television Systems Committee (NTSC) analog Television (TV) standard may also be used.</w:t>
      </w:r>
      <w:r w:rsidRPr="00C201F7">
        <w:rPr>
          <w:rFonts w:eastAsia="ヒラギノ角ゴ Pro W3"/>
          <w:color w:val="000000"/>
          <w:szCs w:val="22"/>
          <w:vertAlign w:val="superscript"/>
        </w:rPr>
        <w:footnoteReference w:id="312"/>
      </w:r>
      <w:r w:rsidRPr="00C201F7">
        <w:rPr>
          <w:rFonts w:eastAsia="ヒラギノ角ゴ Pro W3"/>
          <w:bCs/>
          <w:color w:val="000000"/>
          <w:szCs w:val="22"/>
        </w:rPr>
        <w:t xml:space="preserve">  Consideration of interference predictions from fixed wireless base stations to analog television service areas is outside of the scope of this Bulletin.</w:t>
      </w:r>
    </w:p>
    <w:p w14:paraId="01EC1C5B" w14:textId="77777777" w:rsidR="00C90867" w:rsidRPr="00C201F7" w:rsidRDefault="00C90867" w:rsidP="00C90867">
      <w:pPr>
        <w:autoSpaceDE w:val="0"/>
        <w:autoSpaceDN w:val="0"/>
        <w:adjustRightInd w:val="0"/>
        <w:rPr>
          <w:rFonts w:eastAsia="ヒラギノ角ゴ Pro W3"/>
          <w:bCs/>
          <w:color w:val="000000"/>
          <w:szCs w:val="22"/>
        </w:rPr>
      </w:pPr>
    </w:p>
    <w:p w14:paraId="5A08860E" w14:textId="041D0154" w:rsidR="00C90867" w:rsidRPr="00C201F7" w:rsidRDefault="00C90867" w:rsidP="00C90867">
      <w:pPr>
        <w:autoSpaceDE w:val="0"/>
        <w:autoSpaceDN w:val="0"/>
        <w:adjustRightInd w:val="0"/>
        <w:ind w:firstLine="720"/>
        <w:rPr>
          <w:rFonts w:eastAsia="ヒラギノ角ゴ Pro W3"/>
          <w:bCs/>
          <w:color w:val="000000"/>
          <w:szCs w:val="22"/>
        </w:rPr>
      </w:pPr>
      <w:r w:rsidRPr="00C201F7">
        <w:rPr>
          <w:rFonts w:eastAsia="ヒラギノ角ゴ Pro W3"/>
          <w:bCs/>
          <w:color w:val="000000"/>
          <w:szCs w:val="22"/>
        </w:rPr>
        <w:t>The methodology uses the Longley-Rice model for predicting field strength at receive points based on the elevation profile of terrain between the transmitter and each specific reception point.  Predictions can be made either over a large area (described as a 2-kilometer grid of calculation cells) or at specific locations, depending upon whether the model is configured to use its broadcast (area) or individual location (point-to-point) mode.  The methodology described in this Bulletin generates predictions over large areas using the broadcast mode.</w:t>
      </w:r>
      <w:r w:rsidRPr="00C201F7">
        <w:rPr>
          <w:rFonts w:eastAsia="ヒラギノ角ゴ Pro W3"/>
          <w:bCs/>
          <w:szCs w:val="22"/>
          <w:vertAlign w:val="superscript"/>
        </w:rPr>
        <w:footnoteReference w:id="313"/>
      </w:r>
      <w:r w:rsidRPr="00C201F7">
        <w:rPr>
          <w:rFonts w:eastAsia="ヒラギノ角ゴ Pro W3"/>
          <w:bCs/>
          <w:color w:val="000000"/>
          <w:szCs w:val="22"/>
        </w:rPr>
        <w:t xml:space="preserve">  For practical reasons, a computer is needed to make these predictions because of the large amount of data required for each calculation.  Computer code for Version 1.2.2 of the Longley-Rice radio propagation model (Longley-Rice model) is available at </w:t>
      </w:r>
      <w:hyperlink r:id="rId30" w:history="1">
        <w:r w:rsidRPr="00C201F7">
          <w:rPr>
            <w:rFonts w:eastAsia="ヒラギノ角ゴ Pro W3"/>
            <w:color w:val="0000FF"/>
            <w:szCs w:val="22"/>
            <w:u w:val="single"/>
          </w:rPr>
          <w:t>http://www.its.bldrdoc.gov/resources/radio-propagation-software/itm/itm.aspx</w:t>
        </w:r>
      </w:hyperlink>
      <w:r w:rsidRPr="00C201F7">
        <w:rPr>
          <w:rFonts w:eastAsia="ヒラギノ角ゴ Pro W3"/>
          <w:bCs/>
          <w:color w:val="000000"/>
          <w:szCs w:val="22"/>
        </w:rPr>
        <w:t>.</w:t>
      </w:r>
    </w:p>
    <w:p w14:paraId="140BAD5E" w14:textId="77777777" w:rsidR="00C90867" w:rsidRPr="00C201F7" w:rsidRDefault="00C90867" w:rsidP="00C90867">
      <w:pPr>
        <w:autoSpaceDE w:val="0"/>
        <w:autoSpaceDN w:val="0"/>
        <w:adjustRightInd w:val="0"/>
        <w:rPr>
          <w:rFonts w:eastAsia="ヒラギノ角ゴ Pro W3"/>
          <w:bCs/>
          <w:color w:val="000000"/>
          <w:szCs w:val="22"/>
        </w:rPr>
      </w:pPr>
    </w:p>
    <w:p w14:paraId="1F06B74F" w14:textId="77777777" w:rsidR="00C90867" w:rsidRPr="00C201F7" w:rsidRDefault="00C90867" w:rsidP="00C90867">
      <w:pPr>
        <w:autoSpaceDE w:val="0"/>
        <w:autoSpaceDN w:val="0"/>
        <w:adjustRightInd w:val="0"/>
        <w:ind w:firstLine="720"/>
        <w:rPr>
          <w:rFonts w:eastAsia="ヒラギノ角ゴ Pro W3"/>
          <w:bCs/>
          <w:color w:val="000000"/>
          <w:szCs w:val="22"/>
        </w:rPr>
      </w:pPr>
      <w:r w:rsidRPr="00C201F7">
        <w:rPr>
          <w:rFonts w:eastAsia="ヒラギノ角ゴ Pro W3"/>
          <w:bCs/>
          <w:color w:val="000000"/>
          <w:szCs w:val="22"/>
        </w:rPr>
        <w:t>Section II of this Bulletin provides a general descriptive outline of the methodology.  Section III of this Bulletin provides detailed information on defining the DTV service areas subject to interference calculation.  Section IV of this Bulletin provides detailed information on evaluating potential wireless interference within those areas.</w:t>
      </w:r>
    </w:p>
    <w:p w14:paraId="71648652" w14:textId="77777777" w:rsidR="00C90867" w:rsidRPr="00C201F7" w:rsidRDefault="00C90867" w:rsidP="00EE61F6">
      <w:pPr>
        <w:keepNext/>
        <w:numPr>
          <w:ilvl w:val="0"/>
          <w:numId w:val="2"/>
        </w:numPr>
        <w:tabs>
          <w:tab w:val="clear" w:pos="720"/>
        </w:tabs>
        <w:suppressAutoHyphens/>
        <w:spacing w:after="120"/>
        <w:outlineLvl w:val="0"/>
        <w:rPr>
          <w:rFonts w:ascii="Times New Roman Bold" w:hAnsi="Times New Roman Bold"/>
          <w:b/>
          <w:caps/>
          <w:szCs w:val="22"/>
        </w:rPr>
      </w:pPr>
      <w:bookmarkStart w:id="1014" w:name="_Toc396982107"/>
      <w:r w:rsidRPr="00C201F7">
        <w:rPr>
          <w:rFonts w:ascii="Times New Roman Bold" w:hAnsi="Times New Roman Bold"/>
          <w:b/>
          <w:caps/>
          <w:szCs w:val="22"/>
        </w:rPr>
        <w:t>Outline of Evaluation Procedure</w:t>
      </w:r>
      <w:bookmarkEnd w:id="1014"/>
    </w:p>
    <w:p w14:paraId="3881E0B0" w14:textId="77777777" w:rsidR="00C90867" w:rsidRPr="00C201F7" w:rsidRDefault="00C90867" w:rsidP="00C90867">
      <w:pPr>
        <w:rPr>
          <w:rFonts w:eastAsia="ヒラギノ角ゴ Pro W3"/>
          <w:color w:val="000000"/>
          <w:szCs w:val="22"/>
        </w:rPr>
      </w:pPr>
    </w:p>
    <w:p w14:paraId="6995A52A" w14:textId="77777777" w:rsidR="00C90867" w:rsidRPr="00C201F7" w:rsidRDefault="00C90867" w:rsidP="00C90867">
      <w:pPr>
        <w:ind w:firstLine="720"/>
        <w:rPr>
          <w:rFonts w:eastAsia="ヒラギノ角ゴ Pro W3"/>
          <w:color w:val="000000"/>
          <w:szCs w:val="22"/>
        </w:rPr>
      </w:pPr>
      <w:r w:rsidRPr="00C201F7">
        <w:rPr>
          <w:rFonts w:eastAsia="ヒラギノ角ゴ Pro W3"/>
          <w:color w:val="000000"/>
          <w:szCs w:val="22"/>
        </w:rPr>
        <w:t>The examination of each station proceeds as follows:</w:t>
      </w:r>
    </w:p>
    <w:p w14:paraId="2CEE254F" w14:textId="77777777" w:rsidR="00C90867" w:rsidRPr="00C201F7" w:rsidRDefault="00C90867" w:rsidP="00C90867">
      <w:pPr>
        <w:rPr>
          <w:rFonts w:eastAsia="ヒラギノ角ゴ Pro W3"/>
          <w:color w:val="000000"/>
          <w:szCs w:val="22"/>
        </w:rPr>
      </w:pPr>
    </w:p>
    <w:p w14:paraId="471A1480" w14:textId="77777777" w:rsidR="00C90867" w:rsidRPr="00C201F7" w:rsidRDefault="00C90867" w:rsidP="00EE61F6">
      <w:pPr>
        <w:numPr>
          <w:ilvl w:val="0"/>
          <w:numId w:val="6"/>
        </w:numPr>
        <w:ind w:left="1080"/>
        <w:contextualSpacing/>
        <w:rPr>
          <w:rFonts w:eastAsia="ヒラギノ角ゴ Pro W3"/>
          <w:color w:val="000000"/>
          <w:szCs w:val="22"/>
        </w:rPr>
      </w:pPr>
      <w:r w:rsidRPr="00C201F7">
        <w:rPr>
          <w:rFonts w:eastAsia="ヒラギノ角ゴ Pro W3"/>
          <w:color w:val="000000"/>
          <w:szCs w:val="22"/>
        </w:rPr>
        <w:t>The contour defining the DTV service area subject to interference calculation is determined based on the method and service thresholds provided in Section III.</w:t>
      </w:r>
    </w:p>
    <w:p w14:paraId="4E91534F" w14:textId="77777777" w:rsidR="00C90867" w:rsidRPr="00C201F7" w:rsidRDefault="00C90867" w:rsidP="00C90867">
      <w:pPr>
        <w:rPr>
          <w:rFonts w:eastAsia="ヒラギノ角ゴ Pro W3"/>
          <w:color w:val="000000"/>
          <w:szCs w:val="22"/>
        </w:rPr>
      </w:pPr>
    </w:p>
    <w:p w14:paraId="3835CB40" w14:textId="77777777" w:rsidR="00C90867" w:rsidRPr="00C201F7" w:rsidRDefault="00C90867" w:rsidP="00EE61F6">
      <w:pPr>
        <w:numPr>
          <w:ilvl w:val="0"/>
          <w:numId w:val="6"/>
        </w:numPr>
        <w:ind w:left="1080"/>
        <w:contextualSpacing/>
        <w:rPr>
          <w:rFonts w:eastAsia="ヒラギノ角ゴ Pro W3"/>
          <w:color w:val="000000"/>
          <w:szCs w:val="22"/>
        </w:rPr>
      </w:pPr>
      <w:r w:rsidRPr="00C201F7">
        <w:rPr>
          <w:rFonts w:eastAsia="ヒラギノ角ゴ Pro W3"/>
          <w:color w:val="000000"/>
          <w:szCs w:val="22"/>
        </w:rPr>
        <w:t>The area within a station’s contour is divided into  cells based on a global 2-kilometer grid.</w:t>
      </w:r>
    </w:p>
    <w:p w14:paraId="02C33005" w14:textId="77777777" w:rsidR="00C90867" w:rsidRPr="00C201F7" w:rsidRDefault="00C90867" w:rsidP="00C90867">
      <w:pPr>
        <w:ind w:left="780"/>
        <w:rPr>
          <w:rFonts w:eastAsia="ヒラギノ角ゴ Pro W3"/>
          <w:color w:val="000000"/>
          <w:szCs w:val="22"/>
        </w:rPr>
      </w:pPr>
    </w:p>
    <w:p w14:paraId="1515D429" w14:textId="77777777" w:rsidR="00C90867" w:rsidRPr="00C201F7" w:rsidRDefault="00C90867" w:rsidP="00EE61F6">
      <w:pPr>
        <w:numPr>
          <w:ilvl w:val="0"/>
          <w:numId w:val="6"/>
        </w:numPr>
        <w:ind w:left="1080"/>
        <w:contextualSpacing/>
        <w:rPr>
          <w:rFonts w:eastAsia="ヒラギノ角ゴ Pro W3"/>
          <w:color w:val="000000"/>
          <w:szCs w:val="22"/>
        </w:rPr>
      </w:pPr>
      <w:r w:rsidRPr="00C201F7">
        <w:rPr>
          <w:rFonts w:eastAsia="ヒラギノ角ゴ Pro W3"/>
          <w:color w:val="000000"/>
          <w:szCs w:val="22"/>
        </w:rPr>
        <w:t xml:space="preserve">The calculation point for each cell is then determined based on the centroid of population that falls within each cell, or if the cell does not cover any population, the point is determined based on the geometric center of the cell.  </w:t>
      </w:r>
    </w:p>
    <w:p w14:paraId="0178E00C" w14:textId="77777777" w:rsidR="00C90867" w:rsidRPr="00C201F7" w:rsidRDefault="00C90867" w:rsidP="00C90867">
      <w:pPr>
        <w:ind w:left="360"/>
        <w:contextualSpacing/>
        <w:rPr>
          <w:rFonts w:eastAsia="ヒラギノ角ゴ Pro W3"/>
          <w:color w:val="000000"/>
          <w:szCs w:val="22"/>
        </w:rPr>
      </w:pPr>
    </w:p>
    <w:p w14:paraId="1537EADA" w14:textId="77777777" w:rsidR="00C90867" w:rsidRPr="00C201F7" w:rsidRDefault="00C90867" w:rsidP="00EE61F6">
      <w:pPr>
        <w:numPr>
          <w:ilvl w:val="0"/>
          <w:numId w:val="6"/>
        </w:numPr>
        <w:ind w:left="1080"/>
        <w:contextualSpacing/>
        <w:rPr>
          <w:rFonts w:eastAsia="ヒラギノ角ゴ Pro W3"/>
          <w:color w:val="000000"/>
          <w:szCs w:val="22"/>
        </w:rPr>
      </w:pPr>
      <w:r w:rsidRPr="00C201F7">
        <w:rPr>
          <w:rFonts w:eastAsia="ヒラギノ角ゴ Pro W3"/>
          <w:color w:val="000000"/>
          <w:szCs w:val="22"/>
        </w:rPr>
        <w:t xml:space="preserve">The wireless base stations outside of the distance defined in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Table74_7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7</w:t>
      </w:r>
      <w:r w:rsidR="002E38E6" w:rsidRPr="00C201F7">
        <w:rPr>
          <w:rFonts w:eastAsia="ヒラギノ角ゴ Pro W3"/>
          <w:color w:val="000000"/>
          <w:szCs w:val="22"/>
        </w:rPr>
        <w:fldChar w:fldCharType="end"/>
      </w:r>
      <w:r w:rsidRPr="00C201F7">
        <w:rPr>
          <w:rFonts w:eastAsia="ヒラギノ角ゴ Pro W3"/>
          <w:color w:val="000000"/>
          <w:szCs w:val="22"/>
        </w:rPr>
        <w:t xml:space="preserve"> through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Table74_13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13</w:t>
      </w:r>
      <w:r w:rsidR="002E38E6" w:rsidRPr="00C201F7">
        <w:rPr>
          <w:rFonts w:eastAsia="ヒラギノ角ゴ Pro W3"/>
          <w:color w:val="000000"/>
          <w:szCs w:val="22"/>
        </w:rPr>
        <w:fldChar w:fldCharType="end"/>
      </w:r>
      <w:r w:rsidRPr="00C201F7">
        <w:rPr>
          <w:rFonts w:eastAsia="ヒラギノ角ゴ Pro W3"/>
          <w:color w:val="000000"/>
          <w:szCs w:val="22"/>
        </w:rPr>
        <w:t xml:space="preserve"> of Section IV are culled from the interference analysis, based on their geographic coordinates, effective radiated power (ERP) and antenna height above average terrain (HAAT).</w:t>
      </w:r>
    </w:p>
    <w:p w14:paraId="1D397368" w14:textId="77777777" w:rsidR="00C90867" w:rsidRPr="00C201F7" w:rsidRDefault="00C90867" w:rsidP="00C90867">
      <w:pPr>
        <w:ind w:left="720"/>
        <w:rPr>
          <w:rFonts w:eastAsia="ヒラギノ角ゴ Pro W3"/>
          <w:color w:val="000000"/>
          <w:szCs w:val="22"/>
        </w:rPr>
      </w:pPr>
    </w:p>
    <w:p w14:paraId="400D2354" w14:textId="77777777" w:rsidR="00C90867" w:rsidRPr="00C201F7" w:rsidRDefault="00C90867" w:rsidP="00EE61F6">
      <w:pPr>
        <w:numPr>
          <w:ilvl w:val="0"/>
          <w:numId w:val="6"/>
        </w:numPr>
        <w:ind w:left="1080"/>
        <w:contextualSpacing/>
        <w:rPr>
          <w:rFonts w:eastAsia="ヒラギノ角ゴ Pro W3"/>
          <w:color w:val="000000"/>
          <w:szCs w:val="22"/>
        </w:rPr>
      </w:pPr>
      <w:r w:rsidRPr="00C201F7">
        <w:rPr>
          <w:rFonts w:eastAsia="ヒラギノ角ゴ Pro W3"/>
          <w:color w:val="000000"/>
          <w:szCs w:val="22"/>
        </w:rPr>
        <w:t>The Longley-Rice propagation model is then applied as in Section III, Evaluation of Service, and Section IV, Evaluation of Interference.</w:t>
      </w:r>
    </w:p>
    <w:p w14:paraId="531114BC" w14:textId="77777777" w:rsidR="00C90867" w:rsidRPr="00C201F7" w:rsidRDefault="00C90867" w:rsidP="00C90867">
      <w:pPr>
        <w:ind w:left="360"/>
        <w:contextualSpacing/>
        <w:rPr>
          <w:rFonts w:eastAsia="ヒラギノ角ゴ Pro W3"/>
          <w:color w:val="000000"/>
          <w:szCs w:val="22"/>
        </w:rPr>
      </w:pPr>
    </w:p>
    <w:p w14:paraId="51554FE8" w14:textId="77777777" w:rsidR="00C90867" w:rsidRPr="00C201F7" w:rsidRDefault="00C90867" w:rsidP="00EE61F6">
      <w:pPr>
        <w:numPr>
          <w:ilvl w:val="0"/>
          <w:numId w:val="6"/>
        </w:numPr>
        <w:ind w:left="1080"/>
        <w:contextualSpacing/>
        <w:rPr>
          <w:rFonts w:eastAsia="ヒラギノ角ゴ Pro W3"/>
          <w:color w:val="000000"/>
          <w:szCs w:val="22"/>
        </w:rPr>
      </w:pPr>
      <w:r w:rsidRPr="00C201F7">
        <w:rPr>
          <w:rFonts w:eastAsia="ヒラギノ角ゴ Pro W3"/>
          <w:color w:val="000000"/>
          <w:szCs w:val="22"/>
        </w:rPr>
        <w:t>Desired-to-undesired (D/U) ratios are determined at each cell on the global 2-kilometer grid based on the ratio of the desired TV station’s predicted field strength to the root-sum-square of the predicted interfering field strengths from the wireless base stations within the culling distances.</w:t>
      </w:r>
    </w:p>
    <w:p w14:paraId="50E7486E" w14:textId="77777777" w:rsidR="00C90867" w:rsidRPr="00C201F7" w:rsidRDefault="00C90867" w:rsidP="00C90867">
      <w:pPr>
        <w:ind w:left="720"/>
        <w:rPr>
          <w:rFonts w:eastAsia="ヒラギノ角ゴ Pro W3"/>
          <w:color w:val="000000"/>
          <w:szCs w:val="22"/>
        </w:rPr>
      </w:pPr>
    </w:p>
    <w:p w14:paraId="53D272EF" w14:textId="77777777" w:rsidR="00C90867" w:rsidRPr="00C201F7" w:rsidRDefault="00C90867" w:rsidP="00EE61F6">
      <w:pPr>
        <w:numPr>
          <w:ilvl w:val="0"/>
          <w:numId w:val="6"/>
        </w:numPr>
        <w:ind w:left="1080"/>
        <w:contextualSpacing/>
        <w:rPr>
          <w:rFonts w:eastAsia="ヒラギノ角ゴ Pro W3"/>
          <w:color w:val="000000"/>
          <w:szCs w:val="22"/>
        </w:rPr>
      </w:pPr>
      <w:r w:rsidRPr="00C201F7">
        <w:rPr>
          <w:rFonts w:eastAsia="ヒラギノ角ゴ Pro W3"/>
          <w:color w:val="000000"/>
          <w:szCs w:val="22"/>
        </w:rPr>
        <w:t xml:space="preserve">Finally, the predicted interference at each cell in the desired station’s coverage area is examined to determine if interference is predicted from any of the fixed wireless base stations within the culling distances.  The appropriate minimum D/U ratio threshold for interference corresponding with the spectral overlap between the TV channel and wireless block is found in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Table74_5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5</w:t>
      </w:r>
      <w:r w:rsidR="002E38E6" w:rsidRPr="00C201F7">
        <w:rPr>
          <w:rFonts w:eastAsia="ヒラギノ角ゴ Pro W3"/>
          <w:color w:val="000000"/>
          <w:szCs w:val="22"/>
        </w:rPr>
        <w:fldChar w:fldCharType="end"/>
      </w:r>
      <w:r w:rsidRPr="00C201F7">
        <w:rPr>
          <w:rFonts w:eastAsia="ヒラギノ角ゴ Pro W3"/>
          <w:color w:val="000000"/>
          <w:szCs w:val="22"/>
        </w:rPr>
        <w:t xml:space="preserve">. Interference is considered harmful if any of the D/U ratios determined by the previous step are less than the appropriate minimum D/U ratio threshold in any of the </w:t>
      </w:r>
      <w:r w:rsidR="00F825C6" w:rsidRPr="00C201F7">
        <w:rPr>
          <w:rFonts w:eastAsia="ヒラギノ角ゴ Pro W3"/>
          <w:color w:val="000000"/>
          <w:szCs w:val="22"/>
        </w:rPr>
        <w:t xml:space="preserve">populated </w:t>
      </w:r>
      <w:r w:rsidRPr="00C201F7">
        <w:rPr>
          <w:rFonts w:eastAsia="ヒラギノ角ゴ Pro W3"/>
          <w:color w:val="000000"/>
          <w:szCs w:val="22"/>
        </w:rPr>
        <w:t>cells on the global 2-kilometer grid within the TV station’s service area</w:t>
      </w:r>
      <w:r w:rsidR="00F825C6" w:rsidRPr="00C201F7">
        <w:rPr>
          <w:rFonts w:eastAsia="ヒラギノ角ゴ Pro W3"/>
          <w:color w:val="000000"/>
          <w:szCs w:val="22"/>
        </w:rPr>
        <w:t xml:space="preserve">. </w:t>
      </w:r>
    </w:p>
    <w:p w14:paraId="4B9025E5" w14:textId="77777777" w:rsidR="00C90867" w:rsidRPr="00C201F7" w:rsidRDefault="00C90867" w:rsidP="00C90867">
      <w:pPr>
        <w:spacing w:after="120"/>
        <w:rPr>
          <w:szCs w:val="22"/>
        </w:rPr>
      </w:pPr>
    </w:p>
    <w:p w14:paraId="740AB1AF" w14:textId="77777777" w:rsidR="00C90867" w:rsidRPr="00C201F7" w:rsidRDefault="00C90867" w:rsidP="00EE61F6">
      <w:pPr>
        <w:keepNext/>
        <w:numPr>
          <w:ilvl w:val="0"/>
          <w:numId w:val="2"/>
        </w:numPr>
        <w:tabs>
          <w:tab w:val="clear" w:pos="720"/>
        </w:tabs>
        <w:suppressAutoHyphens/>
        <w:spacing w:after="120"/>
        <w:outlineLvl w:val="0"/>
        <w:rPr>
          <w:rFonts w:ascii="Times New Roman Bold" w:hAnsi="Times New Roman Bold"/>
          <w:b/>
          <w:caps/>
          <w:szCs w:val="22"/>
        </w:rPr>
      </w:pPr>
      <w:bookmarkStart w:id="1015" w:name="_Toc396982108"/>
      <w:r w:rsidRPr="00C201F7">
        <w:rPr>
          <w:rFonts w:ascii="Times New Roman Bold" w:hAnsi="Times New Roman Bold"/>
          <w:b/>
          <w:caps/>
          <w:szCs w:val="22"/>
        </w:rPr>
        <w:t>EVALUATION OF SERVICE</w:t>
      </w:r>
      <w:bookmarkEnd w:id="1015"/>
    </w:p>
    <w:p w14:paraId="594F6B34" w14:textId="77777777" w:rsidR="00C90867" w:rsidRPr="00C201F7" w:rsidRDefault="00C90867" w:rsidP="00D50682">
      <w:pPr>
        <w:pStyle w:val="Heading2"/>
        <w:rPr>
          <w:rFonts w:eastAsiaTheme="majorEastAsia"/>
          <w:szCs w:val="22"/>
        </w:rPr>
      </w:pPr>
      <w:bookmarkStart w:id="1016" w:name="_Toc396982109"/>
      <w:bookmarkStart w:id="1017" w:name="_Toc397609550"/>
      <w:bookmarkStart w:id="1018" w:name="_Toc397610978"/>
      <w:bookmarkStart w:id="1019" w:name="_Toc397962848"/>
      <w:bookmarkStart w:id="1020" w:name="_Toc398023619"/>
      <w:bookmarkStart w:id="1021" w:name="_Toc398903012"/>
      <w:bookmarkStart w:id="1022" w:name="_Toc398903335"/>
      <w:bookmarkStart w:id="1023" w:name="_Toc398903524"/>
      <w:bookmarkStart w:id="1024" w:name="_Toc398904121"/>
      <w:bookmarkStart w:id="1025" w:name="_Toc398904629"/>
      <w:bookmarkStart w:id="1026" w:name="_Toc401305989"/>
      <w:bookmarkStart w:id="1027" w:name="_Toc401306665"/>
      <w:bookmarkStart w:id="1028" w:name="_Toc401306734"/>
      <w:r w:rsidRPr="00C90867">
        <w:rPr>
          <w:rFonts w:eastAsiaTheme="majorEastAsia"/>
        </w:rPr>
        <w:t>DTV Service Area Subject to Interference Calculations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14:paraId="1809F23B" w14:textId="77777777" w:rsidR="00C90867" w:rsidRDefault="00C90867" w:rsidP="00C90867">
      <w:pPr>
        <w:ind w:firstLine="720"/>
        <w:rPr>
          <w:rFonts w:eastAsia="ヒラギノ角ゴ Pro W3"/>
          <w:color w:val="000000"/>
          <w:szCs w:val="22"/>
        </w:rPr>
      </w:pPr>
      <w:r w:rsidRPr="00C201F7">
        <w:rPr>
          <w:rFonts w:eastAsia="ヒラギノ角ゴ Pro W3"/>
          <w:color w:val="000000"/>
          <w:szCs w:val="22"/>
        </w:rPr>
        <w:t>The service areas subject to interference calculation are defined in the FCC rules for both digital full-power and Class A television stations;</w:t>
      </w:r>
      <w:r w:rsidRPr="00C201F7">
        <w:rPr>
          <w:rFonts w:eastAsia="ヒラギノ角ゴ Pro W3"/>
          <w:szCs w:val="22"/>
          <w:vertAlign w:val="superscript"/>
        </w:rPr>
        <w:footnoteReference w:id="314"/>
      </w:r>
      <w:r w:rsidRPr="00C201F7">
        <w:rPr>
          <w:rFonts w:eastAsia="ヒラギノ角ゴ Pro W3"/>
          <w:color w:val="000000"/>
          <w:szCs w:val="22"/>
        </w:rPr>
        <w:t xml:space="preserve"> the rules also specify standards for determining interference to DTV service.</w:t>
      </w:r>
      <w:r w:rsidRPr="00C201F7">
        <w:rPr>
          <w:rFonts w:eastAsia="ヒラギノ角ゴ Pro W3"/>
          <w:color w:val="000000"/>
          <w:szCs w:val="22"/>
          <w:vertAlign w:val="superscript"/>
        </w:rPr>
        <w:footnoteReference w:id="315"/>
      </w:r>
      <w:r w:rsidRPr="00C201F7">
        <w:rPr>
          <w:rFonts w:eastAsia="ヒラギノ角ゴ Pro W3"/>
          <w:color w:val="000000"/>
          <w:szCs w:val="22"/>
        </w:rPr>
        <w:t xml:space="preserve">  Because wireless services are expected to be noise-like and studies have shown that noise-like signals have interference potential nearly identical to DTV,</w:t>
      </w:r>
      <w:r w:rsidRPr="00C201F7">
        <w:rPr>
          <w:rFonts w:eastAsia="ヒラギノ角ゴ Pro W3"/>
          <w:color w:val="000000"/>
          <w:szCs w:val="22"/>
          <w:vertAlign w:val="superscript"/>
        </w:rPr>
        <w:footnoteReference w:id="316"/>
      </w:r>
      <w:r w:rsidRPr="00C201F7">
        <w:rPr>
          <w:rFonts w:eastAsia="ヒラギノ角ゴ Pro W3"/>
          <w:color w:val="000000"/>
          <w:szCs w:val="22"/>
        </w:rPr>
        <w:t xml:space="preserve"> interference protection criteria similar to those currently used for DTV-to-DTV can generally be applied with some adjustments as discussed below.</w:t>
      </w:r>
    </w:p>
    <w:p w14:paraId="65C7BB0D" w14:textId="77777777" w:rsidR="0026139E" w:rsidRPr="00C201F7" w:rsidRDefault="0026139E" w:rsidP="00C90867">
      <w:pPr>
        <w:ind w:firstLine="720"/>
        <w:rPr>
          <w:rFonts w:eastAsia="ヒラギノ角ゴ Pro W3"/>
          <w:color w:val="000000"/>
          <w:szCs w:val="22"/>
        </w:rPr>
      </w:pPr>
    </w:p>
    <w:p w14:paraId="69F22093" w14:textId="77777777" w:rsidR="00C90867" w:rsidRPr="00C201F7" w:rsidRDefault="00C90867" w:rsidP="00C90867">
      <w:pPr>
        <w:ind w:firstLine="720"/>
        <w:rPr>
          <w:rFonts w:eastAsia="ヒラギノ角ゴ Pro W3"/>
          <w:color w:val="000000"/>
          <w:szCs w:val="22"/>
        </w:rPr>
      </w:pPr>
      <w:r w:rsidRPr="00C201F7">
        <w:rPr>
          <w:rFonts w:eastAsia="ヒラギノ角ゴ Pro W3"/>
          <w:color w:val="000000"/>
          <w:szCs w:val="22"/>
        </w:rPr>
        <w:t>Under the FCC’s rules, a TV station’s service area is limited to the areas within certain specific field strength contours where the station’s field strength exceeds a threshold value.  As a result of the DTV transition, domestic full-power TV stations transmit only in digital (ATSC).   As of the date of this Bulletin, Class A TV stations can be either analog or digital.  However, all analog Class A facilities are currently required to cease operation by September 1, 2015.</w:t>
      </w:r>
      <w:r w:rsidRPr="00C201F7">
        <w:rPr>
          <w:rFonts w:eastAsia="ヒラギノ角ゴ Pro W3"/>
          <w:szCs w:val="22"/>
          <w:vertAlign w:val="superscript"/>
        </w:rPr>
        <w:footnoteReference w:id="317"/>
      </w:r>
      <w:r w:rsidRPr="00C201F7">
        <w:rPr>
          <w:rFonts w:eastAsia="ヒラギノ角ゴ Pro W3"/>
          <w:color w:val="000000"/>
          <w:szCs w:val="22"/>
        </w:rPr>
        <w:t xml:space="preserve">  Prediction of interference to analog television facilities is beyond the scope of this Bulletin.</w:t>
      </w:r>
    </w:p>
    <w:p w14:paraId="08D8890A" w14:textId="77777777" w:rsidR="00C90867" w:rsidRPr="00C201F7" w:rsidRDefault="00C90867" w:rsidP="00C90867">
      <w:pPr>
        <w:rPr>
          <w:rFonts w:eastAsia="ヒラギノ角ゴ Pro W3"/>
          <w:color w:val="000000"/>
          <w:szCs w:val="22"/>
        </w:rPr>
      </w:pPr>
    </w:p>
    <w:p w14:paraId="760DEBBE" w14:textId="77777777" w:rsidR="00C90867" w:rsidRPr="00C201F7" w:rsidRDefault="00C90867" w:rsidP="00C90867">
      <w:pPr>
        <w:ind w:firstLine="720"/>
        <w:rPr>
          <w:rFonts w:eastAsia="ヒラギノ角ゴ Pro W3"/>
          <w:color w:val="000000"/>
          <w:szCs w:val="22"/>
        </w:rPr>
      </w:pPr>
      <w:r w:rsidRPr="00C201F7">
        <w:rPr>
          <w:rFonts w:eastAsia="ヒラギノ角ゴ Pro W3"/>
          <w:color w:val="000000"/>
          <w:szCs w:val="22"/>
        </w:rPr>
        <w:t xml:space="preserve">For digital full-power television stations, service is evaluated inside the noise-limited contour defined in 47 C.F.R. § 73.622(e) with the exception that the defining field strength threshold for UHF channels is modified by subtracting a frequency-dependent dipole antenna adjustment factor.  Thus, the area subject to interference calculation for digital full-power TV stations consists of the area within the contours described by the geographic points at which the field strength predicted for 50% of locations and 90% of the time by FCC curves is at least as great as the values given in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Table74_1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1</w:t>
      </w:r>
      <w:r w:rsidR="002E38E6" w:rsidRPr="00C201F7">
        <w:rPr>
          <w:rFonts w:eastAsia="ヒラギノ角ゴ Pro W3"/>
          <w:color w:val="000000"/>
          <w:szCs w:val="22"/>
        </w:rPr>
        <w:fldChar w:fldCharType="end"/>
      </w:r>
      <w:r w:rsidRPr="00C201F7">
        <w:rPr>
          <w:rFonts w:eastAsia="ヒラギノ角ゴ Pro W3"/>
          <w:color w:val="000000"/>
          <w:szCs w:val="22"/>
        </w:rPr>
        <w:t xml:space="preserve"> below.</w:t>
      </w:r>
      <w:r w:rsidRPr="00C201F7">
        <w:rPr>
          <w:rFonts w:eastAsia="ヒラギノ角ゴ Pro W3"/>
          <w:szCs w:val="22"/>
          <w:vertAlign w:val="superscript"/>
        </w:rPr>
        <w:footnoteReference w:id="318"/>
      </w:r>
      <w:r w:rsidRPr="00C201F7">
        <w:rPr>
          <w:rFonts w:eastAsia="ヒラギノ角ゴ Pro W3"/>
          <w:color w:val="000000"/>
          <w:szCs w:val="22"/>
        </w:rPr>
        <w:t xml:space="preserve"> </w:t>
      </w:r>
    </w:p>
    <w:p w14:paraId="0F19D130" w14:textId="77777777" w:rsidR="00C90867" w:rsidRPr="00C201F7" w:rsidRDefault="00C90867" w:rsidP="00C90867">
      <w:pPr>
        <w:rPr>
          <w:rFonts w:eastAsia="ヒラギノ角ゴ Pro W3"/>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1"/>
        <w:gridCol w:w="4712"/>
      </w:tblGrid>
      <w:tr w:rsidR="00C90867" w:rsidRPr="00C90867" w14:paraId="02EA6792" w14:textId="77777777" w:rsidTr="00771983">
        <w:trPr>
          <w:jc w:val="center"/>
        </w:trPr>
        <w:tc>
          <w:tcPr>
            <w:tcW w:w="0" w:type="auto"/>
            <w:tcBorders>
              <w:top w:val="single" w:sz="4" w:space="0" w:color="auto"/>
              <w:bottom w:val="single" w:sz="6" w:space="0" w:color="auto"/>
            </w:tcBorders>
            <w:shd w:val="clear" w:color="auto" w:fill="E0E0E0"/>
            <w:vAlign w:val="bottom"/>
          </w:tcPr>
          <w:p w14:paraId="6C7AC6F9"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Channels</w:t>
            </w:r>
          </w:p>
        </w:tc>
        <w:tc>
          <w:tcPr>
            <w:tcW w:w="0" w:type="auto"/>
            <w:tcBorders>
              <w:top w:val="single" w:sz="4" w:space="0" w:color="auto"/>
              <w:bottom w:val="single" w:sz="6" w:space="0" w:color="auto"/>
            </w:tcBorders>
            <w:shd w:val="clear" w:color="auto" w:fill="E0E0E0"/>
            <w:vAlign w:val="bottom"/>
          </w:tcPr>
          <w:p w14:paraId="3D302290"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Defining Field Strength, dBµV/m, to be predicted using</w:t>
            </w:r>
          </w:p>
          <w:p w14:paraId="7AAABB8F"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F(50, 90) curves</w:t>
            </w:r>
          </w:p>
        </w:tc>
      </w:tr>
      <w:tr w:rsidR="00C90867" w:rsidRPr="00C90867" w14:paraId="3FA8FC68" w14:textId="77777777" w:rsidTr="00771983">
        <w:trPr>
          <w:jc w:val="center"/>
        </w:trPr>
        <w:tc>
          <w:tcPr>
            <w:tcW w:w="0" w:type="auto"/>
          </w:tcPr>
          <w:p w14:paraId="75940103" w14:textId="77777777" w:rsidR="00C90867" w:rsidRPr="00C201F7" w:rsidRDefault="00C90867" w:rsidP="00C90867">
            <w:pPr>
              <w:keepNext/>
              <w:jc w:val="center"/>
              <w:rPr>
                <w:rFonts w:eastAsia="ヒラギノ角ゴ Pro W3"/>
                <w:color w:val="000000"/>
                <w:szCs w:val="24"/>
              </w:rPr>
            </w:pPr>
            <w:r w:rsidRPr="00C201F7">
              <w:rPr>
                <w:rFonts w:eastAsia="ヒラギノ角ゴ Pro W3"/>
                <w:color w:val="000000"/>
                <w:szCs w:val="24"/>
              </w:rPr>
              <w:t>14 - 51</w:t>
            </w:r>
          </w:p>
        </w:tc>
        <w:tc>
          <w:tcPr>
            <w:tcW w:w="0" w:type="auto"/>
          </w:tcPr>
          <w:p w14:paraId="49F7BA0A" w14:textId="77777777" w:rsidR="00C90867" w:rsidRPr="00C201F7" w:rsidRDefault="00C90867" w:rsidP="00C90867">
            <w:pPr>
              <w:keepNext/>
              <w:jc w:val="center"/>
              <w:rPr>
                <w:rFonts w:eastAsia="ヒラギノ角ゴ Pro W3"/>
                <w:color w:val="000000"/>
                <w:szCs w:val="24"/>
              </w:rPr>
            </w:pPr>
            <w:r w:rsidRPr="00C201F7">
              <w:rPr>
                <w:rFonts w:eastAsia="ヒラギノ角ゴ Pro W3"/>
                <w:color w:val="000000"/>
                <w:szCs w:val="24"/>
              </w:rPr>
              <w:t>41 - 20log</w:t>
            </w:r>
            <w:r w:rsidRPr="00C201F7">
              <w:rPr>
                <w:rFonts w:eastAsia="ヒラギノ角ゴ Pro W3"/>
                <w:color w:val="000000"/>
                <w:szCs w:val="24"/>
                <w:vertAlign w:val="subscript"/>
              </w:rPr>
              <w:t>10</w:t>
            </w:r>
            <w:r w:rsidRPr="00C201F7">
              <w:rPr>
                <w:rFonts w:eastAsia="ヒラギノ角ゴ Pro W3"/>
                <w:color w:val="000000"/>
                <w:szCs w:val="24"/>
              </w:rPr>
              <w:t>[615/(channel mid-frequency in MHz)]</w:t>
            </w:r>
          </w:p>
        </w:tc>
      </w:tr>
    </w:tbl>
    <w:p w14:paraId="50E7F567" w14:textId="77777777" w:rsidR="00C90867" w:rsidRPr="00C201F7" w:rsidRDefault="00C90867" w:rsidP="00C90867">
      <w:pPr>
        <w:spacing w:before="120"/>
        <w:jc w:val="center"/>
        <w:rPr>
          <w:rFonts w:eastAsia="ヒラギノ角ゴ Pro W3"/>
          <w:color w:val="000000"/>
          <w:szCs w:val="22"/>
        </w:rPr>
      </w:pPr>
      <w:bookmarkStart w:id="1029" w:name="Table74_1"/>
      <w:bookmarkStart w:id="1030" w:name="_Ref393266310"/>
      <w:r w:rsidRPr="00C201F7">
        <w:rPr>
          <w:rFonts w:eastAsia="ヒラギノ角ゴ Pro W3"/>
          <w:color w:val="000000"/>
          <w:szCs w:val="22"/>
        </w:rPr>
        <w:t xml:space="preserve">Table </w:t>
      </w:r>
      <w:r w:rsidR="00317F0B" w:rsidRPr="00C201F7">
        <w:rPr>
          <w:rFonts w:eastAsia="ヒラギノ角ゴ Pro W3"/>
          <w:color w:val="000000"/>
          <w:szCs w:val="22"/>
        </w:rPr>
        <w:fldChar w:fldCharType="begin"/>
      </w:r>
      <w:r w:rsidR="00317F0B" w:rsidRPr="00C201F7">
        <w:rPr>
          <w:rFonts w:eastAsia="ヒラギノ角ゴ Pro W3"/>
          <w:color w:val="000000"/>
          <w:szCs w:val="22"/>
        </w:rPr>
        <w:instrText xml:space="preserve"> SEQ Table74 \* MERGEFORMAT </w:instrText>
      </w:r>
      <w:r w:rsidR="00317F0B" w:rsidRPr="00C201F7">
        <w:rPr>
          <w:rFonts w:eastAsia="ヒラギノ角ゴ Pro W3"/>
          <w:color w:val="000000"/>
          <w:szCs w:val="22"/>
        </w:rPr>
        <w:fldChar w:fldCharType="separate"/>
      </w:r>
      <w:r w:rsidR="00656F50">
        <w:rPr>
          <w:rFonts w:eastAsia="ヒラギノ角ゴ Pro W3"/>
          <w:noProof/>
          <w:color w:val="000000"/>
          <w:szCs w:val="22"/>
        </w:rPr>
        <w:t>1</w:t>
      </w:r>
      <w:r w:rsidR="00317F0B" w:rsidRPr="00C201F7">
        <w:rPr>
          <w:rFonts w:eastAsia="ヒラギノ角ゴ Pro W3"/>
          <w:color w:val="000000"/>
          <w:szCs w:val="22"/>
        </w:rPr>
        <w:fldChar w:fldCharType="end"/>
      </w:r>
      <w:bookmarkEnd w:id="1029"/>
      <w:bookmarkEnd w:id="1030"/>
      <w:r w:rsidRPr="00C201F7">
        <w:rPr>
          <w:rFonts w:eastAsia="ヒラギノ角ゴ Pro W3"/>
          <w:color w:val="000000"/>
          <w:szCs w:val="22"/>
        </w:rPr>
        <w:t>.  Field strengths defining the area subject to calculation for UHF digital full-power TV stations</w:t>
      </w:r>
    </w:p>
    <w:p w14:paraId="6DBE3F2A" w14:textId="77777777" w:rsidR="00C90867" w:rsidRPr="00C201F7" w:rsidRDefault="00C90867" w:rsidP="00C90867">
      <w:pPr>
        <w:rPr>
          <w:rFonts w:eastAsia="ヒラギノ角ゴ Pro W3"/>
          <w:color w:val="000000"/>
          <w:szCs w:val="22"/>
        </w:rPr>
      </w:pPr>
    </w:p>
    <w:p w14:paraId="368A2ACA" w14:textId="77777777" w:rsidR="00C90867" w:rsidRPr="00C201F7" w:rsidRDefault="00C90867" w:rsidP="00C90867">
      <w:pPr>
        <w:ind w:firstLine="720"/>
        <w:rPr>
          <w:rFonts w:eastAsia="ヒラギノ角ゴ Pro W3"/>
          <w:color w:val="000000"/>
          <w:szCs w:val="22"/>
        </w:rPr>
      </w:pPr>
      <w:r w:rsidRPr="00C201F7">
        <w:rPr>
          <w:rFonts w:eastAsia="ヒラギノ角ゴ Pro W3"/>
          <w:color w:val="000000"/>
          <w:szCs w:val="22"/>
        </w:rPr>
        <w:t xml:space="preserve">For digital Class A TV stations, service is protected only inside the “protected contour” defined in 47 C.F.R. § 73.6010(c), with the exception that the defining field strength threshold for UHF channels is modified by subtracting a frequency-dependent dipole antenna adjustment factor.  Thus, the area subject to interference calculation for digital Class A TV stations consists of the area within the contours described by the geographic points at which the field strength predicted for 50% of locations and 90% of time by FCC curves is at least as great as the values given in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Table74_2 \h </w:instrText>
      </w:r>
      <w:r w:rsidR="00C201F7" w:rsidRP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2</w:t>
      </w:r>
      <w:r w:rsidR="002E38E6" w:rsidRPr="00C201F7">
        <w:rPr>
          <w:rFonts w:eastAsia="ヒラギノ角ゴ Pro W3"/>
          <w:color w:val="000000"/>
          <w:szCs w:val="22"/>
        </w:rPr>
        <w:fldChar w:fldCharType="end"/>
      </w:r>
      <w:r w:rsidRPr="00C201F7">
        <w:rPr>
          <w:rFonts w:eastAsia="ヒラギノ角ゴ Pro W3"/>
          <w:color w:val="000000"/>
          <w:szCs w:val="22"/>
        </w:rPr>
        <w:t xml:space="preserve"> below.</w:t>
      </w:r>
      <w:r w:rsidRPr="00C201F7">
        <w:rPr>
          <w:rFonts w:eastAsia="ヒラギノ角ゴ Pro W3"/>
          <w:szCs w:val="22"/>
          <w:vertAlign w:val="superscript"/>
        </w:rPr>
        <w:footnoteReference w:id="319"/>
      </w:r>
      <w:r w:rsidRPr="00C201F7">
        <w:rPr>
          <w:rFonts w:eastAsia="ヒラギノ角ゴ Pro W3"/>
          <w:color w:val="000000"/>
          <w:szCs w:val="22"/>
        </w:rPr>
        <w:t xml:space="preserve">  </w:t>
      </w:r>
    </w:p>
    <w:p w14:paraId="6D985D06" w14:textId="77777777" w:rsidR="00C90867" w:rsidRPr="00C201F7" w:rsidRDefault="00C90867" w:rsidP="00C90867">
      <w:pPr>
        <w:keepNext/>
        <w:spacing w:after="120"/>
        <w:jc w:val="center"/>
        <w:rPr>
          <w:rFonts w:ascii="Times New Roman Bold" w:eastAsia="ヒラギノ角ゴ Pro W3" w:hAnsi="Times New Roman Bold" w:hint="eastAsia"/>
          <w:b/>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1"/>
        <w:gridCol w:w="4712"/>
      </w:tblGrid>
      <w:tr w:rsidR="00C90867" w:rsidRPr="00C90867" w14:paraId="6DD75459" w14:textId="77777777" w:rsidTr="00771983">
        <w:trPr>
          <w:jc w:val="center"/>
        </w:trPr>
        <w:tc>
          <w:tcPr>
            <w:tcW w:w="0" w:type="auto"/>
            <w:tcBorders>
              <w:top w:val="single" w:sz="4" w:space="0" w:color="auto"/>
              <w:bottom w:val="single" w:sz="6" w:space="0" w:color="auto"/>
            </w:tcBorders>
            <w:shd w:val="clear" w:color="auto" w:fill="E0E0E0"/>
            <w:vAlign w:val="bottom"/>
          </w:tcPr>
          <w:p w14:paraId="0935A0A0"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Channels</w:t>
            </w:r>
          </w:p>
        </w:tc>
        <w:tc>
          <w:tcPr>
            <w:tcW w:w="0" w:type="auto"/>
            <w:tcBorders>
              <w:top w:val="single" w:sz="4" w:space="0" w:color="auto"/>
              <w:bottom w:val="single" w:sz="6" w:space="0" w:color="auto"/>
            </w:tcBorders>
            <w:shd w:val="clear" w:color="auto" w:fill="E0E0E0"/>
            <w:vAlign w:val="bottom"/>
          </w:tcPr>
          <w:p w14:paraId="695FCDE6"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Defining Field Strength, dBµV/m, to be predicted using</w:t>
            </w:r>
          </w:p>
          <w:p w14:paraId="1B6ADE1A"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F(50, 90) curves</w:t>
            </w:r>
          </w:p>
        </w:tc>
      </w:tr>
      <w:tr w:rsidR="00C90867" w:rsidRPr="00C90867" w14:paraId="404F7047" w14:textId="77777777" w:rsidTr="00771983">
        <w:trPr>
          <w:jc w:val="center"/>
        </w:trPr>
        <w:tc>
          <w:tcPr>
            <w:tcW w:w="0" w:type="auto"/>
          </w:tcPr>
          <w:p w14:paraId="78CBD06A" w14:textId="77777777" w:rsidR="00C90867" w:rsidRPr="00C201F7" w:rsidRDefault="00C90867" w:rsidP="00C90867">
            <w:pPr>
              <w:keepNext/>
              <w:jc w:val="center"/>
              <w:rPr>
                <w:rFonts w:eastAsia="ヒラギノ角ゴ Pro W3"/>
                <w:color w:val="000000"/>
                <w:szCs w:val="24"/>
              </w:rPr>
            </w:pPr>
            <w:r w:rsidRPr="00C201F7">
              <w:rPr>
                <w:rFonts w:eastAsia="ヒラギノ角ゴ Pro W3"/>
                <w:color w:val="000000"/>
                <w:szCs w:val="24"/>
              </w:rPr>
              <w:t>14 - 51</w:t>
            </w:r>
          </w:p>
        </w:tc>
        <w:tc>
          <w:tcPr>
            <w:tcW w:w="0" w:type="auto"/>
          </w:tcPr>
          <w:p w14:paraId="3E077CE7" w14:textId="77777777" w:rsidR="00C90867" w:rsidRPr="00C201F7" w:rsidRDefault="00C90867" w:rsidP="00C90867">
            <w:pPr>
              <w:keepNext/>
              <w:jc w:val="center"/>
              <w:rPr>
                <w:rFonts w:eastAsia="ヒラギノ角ゴ Pro W3"/>
                <w:b/>
                <w:bCs/>
                <w:color w:val="000000"/>
                <w:szCs w:val="24"/>
                <w:lang w:eastAsia="ja-JP"/>
              </w:rPr>
            </w:pPr>
            <w:r w:rsidRPr="00C201F7">
              <w:rPr>
                <w:rFonts w:eastAsia="ヒラギノ角ゴ Pro W3"/>
                <w:color w:val="000000"/>
                <w:szCs w:val="24"/>
              </w:rPr>
              <w:t>51 - 20log</w:t>
            </w:r>
            <w:r w:rsidRPr="00C201F7">
              <w:rPr>
                <w:rFonts w:eastAsia="ヒラギノ角ゴ Pro W3"/>
                <w:color w:val="000000"/>
                <w:szCs w:val="24"/>
                <w:vertAlign w:val="subscript"/>
              </w:rPr>
              <w:t>10</w:t>
            </w:r>
            <w:r w:rsidRPr="00C201F7">
              <w:rPr>
                <w:rFonts w:eastAsia="ヒラギノ角ゴ Pro W3"/>
                <w:color w:val="000000"/>
                <w:szCs w:val="24"/>
              </w:rPr>
              <w:t>[615/(channel mid-frequency in MHz)]</w:t>
            </w:r>
          </w:p>
        </w:tc>
      </w:tr>
    </w:tbl>
    <w:p w14:paraId="42931CC6" w14:textId="77777777" w:rsidR="00C90867" w:rsidRPr="00C201F7" w:rsidRDefault="00C90867" w:rsidP="00C90867">
      <w:pPr>
        <w:spacing w:before="120"/>
        <w:jc w:val="center"/>
        <w:rPr>
          <w:rFonts w:eastAsia="ヒラギノ角ゴ Pro W3"/>
          <w:color w:val="000000"/>
          <w:szCs w:val="22"/>
        </w:rPr>
      </w:pPr>
      <w:bookmarkStart w:id="1031" w:name="Table74_2"/>
      <w:bookmarkStart w:id="1032" w:name="_Ref381785227"/>
      <w:r w:rsidRPr="00C201F7">
        <w:rPr>
          <w:rFonts w:eastAsia="ヒラギノ角ゴ Pro W3"/>
          <w:color w:val="000000"/>
          <w:szCs w:val="22"/>
        </w:rPr>
        <w:t xml:space="preserve">Table </w:t>
      </w:r>
      <w:r w:rsidR="00317F0B" w:rsidRPr="00C201F7">
        <w:rPr>
          <w:rFonts w:eastAsia="ヒラギノ角ゴ Pro W3"/>
          <w:color w:val="000000"/>
          <w:szCs w:val="22"/>
        </w:rPr>
        <w:fldChar w:fldCharType="begin"/>
      </w:r>
      <w:r w:rsidR="00317F0B" w:rsidRPr="00C201F7">
        <w:rPr>
          <w:rFonts w:eastAsia="ヒラギノ角ゴ Pro W3"/>
          <w:color w:val="000000"/>
          <w:szCs w:val="22"/>
        </w:rPr>
        <w:instrText xml:space="preserve"> SEQ Table74 \* MERGEFORMAT </w:instrText>
      </w:r>
      <w:r w:rsidR="00317F0B" w:rsidRPr="00C201F7">
        <w:rPr>
          <w:rFonts w:eastAsia="ヒラギノ角ゴ Pro W3"/>
          <w:color w:val="000000"/>
          <w:szCs w:val="22"/>
        </w:rPr>
        <w:fldChar w:fldCharType="separate"/>
      </w:r>
      <w:r w:rsidR="00656F50">
        <w:rPr>
          <w:rFonts w:eastAsia="ヒラギノ角ゴ Pro W3"/>
          <w:noProof/>
          <w:color w:val="000000"/>
          <w:szCs w:val="22"/>
        </w:rPr>
        <w:t>2</w:t>
      </w:r>
      <w:r w:rsidR="00317F0B" w:rsidRPr="00C201F7">
        <w:rPr>
          <w:rFonts w:eastAsia="ヒラギノ角ゴ Pro W3"/>
          <w:color w:val="000000"/>
          <w:szCs w:val="22"/>
        </w:rPr>
        <w:fldChar w:fldCharType="end"/>
      </w:r>
      <w:bookmarkEnd w:id="1031"/>
      <w:bookmarkEnd w:id="1032"/>
      <w:r w:rsidRPr="00C201F7">
        <w:rPr>
          <w:rFonts w:eastAsia="ヒラギノ角ゴ Pro W3"/>
          <w:color w:val="000000"/>
          <w:szCs w:val="22"/>
        </w:rPr>
        <w:t xml:space="preserve">. </w:t>
      </w:r>
      <w:r w:rsidRPr="00C201F7">
        <w:rPr>
          <w:rFonts w:ascii="Times New Roman Bold" w:eastAsia="ヒラギノ角ゴ Pro W3" w:hAnsi="Times New Roman Bold"/>
          <w:color w:val="000000"/>
          <w:szCs w:val="22"/>
        </w:rPr>
        <w:t xml:space="preserve"> </w:t>
      </w:r>
      <w:r w:rsidRPr="00C201F7">
        <w:rPr>
          <w:rFonts w:eastAsia="ヒラギノ角ゴ Pro W3"/>
          <w:color w:val="000000"/>
          <w:szCs w:val="22"/>
        </w:rPr>
        <w:t>Field strengths defining the area subject to calculation for UHF digital Class A TV stations</w:t>
      </w:r>
    </w:p>
    <w:p w14:paraId="20C3AEA0" w14:textId="77777777" w:rsidR="00C90867" w:rsidRPr="00C201F7" w:rsidRDefault="00C90867" w:rsidP="00C90867">
      <w:pPr>
        <w:rPr>
          <w:rFonts w:eastAsia="ヒラギノ角ゴ Pro W3"/>
          <w:color w:val="000000"/>
          <w:szCs w:val="22"/>
        </w:rPr>
      </w:pPr>
    </w:p>
    <w:p w14:paraId="0E0EE9AC" w14:textId="77777777" w:rsidR="00C90867" w:rsidRPr="00C201F7" w:rsidRDefault="00C90867" w:rsidP="00D50682">
      <w:pPr>
        <w:pStyle w:val="Heading2"/>
        <w:rPr>
          <w:rFonts w:eastAsiaTheme="majorEastAsia"/>
        </w:rPr>
      </w:pPr>
      <w:bookmarkStart w:id="1033" w:name="_Toc396982110"/>
      <w:bookmarkStart w:id="1034" w:name="_Toc397609551"/>
      <w:bookmarkStart w:id="1035" w:name="_Toc397610979"/>
      <w:bookmarkStart w:id="1036" w:name="_Toc397962849"/>
      <w:bookmarkStart w:id="1037" w:name="_Toc398023620"/>
      <w:bookmarkStart w:id="1038" w:name="_Toc398903013"/>
      <w:bookmarkStart w:id="1039" w:name="_Toc398903336"/>
      <w:bookmarkStart w:id="1040" w:name="_Toc398903525"/>
      <w:bookmarkStart w:id="1041" w:name="_Toc398904122"/>
      <w:bookmarkStart w:id="1042" w:name="_Toc398904630"/>
      <w:bookmarkStart w:id="1043" w:name="_Toc401305990"/>
      <w:bookmarkStart w:id="1044" w:name="_Toc401306666"/>
      <w:bookmarkStart w:id="1045" w:name="_Toc401306735"/>
      <w:r w:rsidRPr="00C201F7">
        <w:rPr>
          <w:rFonts w:eastAsiaTheme="majorEastAsia"/>
        </w:rPr>
        <w:t>Application of the Longley-Rice Model to Define DTV Service Area</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14:paraId="13BB73EF" w14:textId="77777777" w:rsidR="00C90867" w:rsidRPr="00C201F7" w:rsidRDefault="00C90867" w:rsidP="00C90867">
      <w:pPr>
        <w:ind w:firstLine="720"/>
        <w:rPr>
          <w:rFonts w:eastAsia="ヒラギノ角ゴ Pro W3"/>
          <w:bCs/>
          <w:color w:val="000000"/>
          <w:szCs w:val="22"/>
        </w:rPr>
      </w:pPr>
      <w:r w:rsidRPr="00C201F7">
        <w:rPr>
          <w:rFonts w:eastAsia="ヒラギノ角ゴ Pro W3"/>
          <w:bCs/>
          <w:color w:val="000000"/>
          <w:szCs w:val="22"/>
        </w:rPr>
        <w:t>The service area subject to interference calculation is divided into trapezoidal cells approximately 2 kilometers on a side across a global grid.</w:t>
      </w:r>
      <w:r w:rsidRPr="00C201F7">
        <w:rPr>
          <w:rFonts w:eastAsia="ヒラギノ角ゴ Pro W3"/>
          <w:bCs/>
          <w:szCs w:val="22"/>
          <w:vertAlign w:val="superscript"/>
        </w:rPr>
        <w:footnoteReference w:id="320"/>
      </w:r>
      <w:r w:rsidRPr="00C201F7">
        <w:rPr>
          <w:rFonts w:eastAsia="ヒラギノ角ゴ Pro W3"/>
          <w:bCs/>
          <w:color w:val="000000"/>
          <w:szCs w:val="22"/>
        </w:rPr>
        <w:t xml:space="preserve"> The Longley-Rice propagation model Version 1.2.2 is applied between the DTV transmitter site and a point in each cell to determine whether the predicted desired field strength is above the value found in </w:t>
      </w:r>
      <w:r w:rsidR="002E38E6" w:rsidRPr="00C201F7">
        <w:rPr>
          <w:rFonts w:eastAsia="ヒラギノ角ゴ Pro W3"/>
          <w:bCs/>
          <w:color w:val="000000"/>
          <w:szCs w:val="22"/>
        </w:rPr>
        <w:fldChar w:fldCharType="begin"/>
      </w:r>
      <w:r w:rsidR="002E38E6" w:rsidRPr="00C201F7">
        <w:rPr>
          <w:rFonts w:eastAsia="ヒラギノ角ゴ Pro W3"/>
          <w:bCs/>
          <w:color w:val="000000"/>
          <w:szCs w:val="22"/>
        </w:rPr>
        <w:instrText xml:space="preserve"> REF Table74_1 \h </w:instrText>
      </w:r>
      <w:r w:rsidR="00C201F7">
        <w:rPr>
          <w:rFonts w:eastAsia="ヒラギノ角ゴ Pro W3"/>
          <w:bCs/>
          <w:color w:val="000000"/>
          <w:szCs w:val="22"/>
        </w:rPr>
        <w:instrText xml:space="preserve"> \* MERGEFORMAT </w:instrText>
      </w:r>
      <w:r w:rsidR="002E38E6" w:rsidRPr="00C201F7">
        <w:rPr>
          <w:rFonts w:eastAsia="ヒラギノ角ゴ Pro W3"/>
          <w:bCs/>
          <w:color w:val="000000"/>
          <w:szCs w:val="22"/>
        </w:rPr>
      </w:r>
      <w:r w:rsidR="002E38E6" w:rsidRPr="00C201F7">
        <w:rPr>
          <w:rFonts w:eastAsia="ヒラギノ角ゴ Pro W3"/>
          <w:bCs/>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1</w:t>
      </w:r>
      <w:r w:rsidR="002E38E6" w:rsidRPr="00C201F7">
        <w:rPr>
          <w:rFonts w:eastAsia="ヒラギノ角ゴ Pro W3"/>
          <w:bCs/>
          <w:color w:val="000000"/>
          <w:szCs w:val="22"/>
        </w:rPr>
        <w:fldChar w:fldCharType="end"/>
      </w:r>
      <w:r w:rsidRPr="00C201F7">
        <w:rPr>
          <w:rFonts w:eastAsia="ヒラギノ角ゴ Pro W3"/>
          <w:bCs/>
          <w:color w:val="000000"/>
          <w:szCs w:val="22"/>
        </w:rPr>
        <w:t xml:space="preserve"> or </w:t>
      </w:r>
      <w:r w:rsidR="002E38E6" w:rsidRPr="00C201F7">
        <w:rPr>
          <w:rFonts w:eastAsia="ヒラギノ角ゴ Pro W3"/>
          <w:bCs/>
          <w:color w:val="000000"/>
          <w:szCs w:val="22"/>
        </w:rPr>
        <w:fldChar w:fldCharType="begin"/>
      </w:r>
      <w:r w:rsidR="002E38E6" w:rsidRPr="00C201F7">
        <w:rPr>
          <w:rFonts w:eastAsia="ヒラギノ角ゴ Pro W3"/>
          <w:bCs/>
          <w:color w:val="000000"/>
          <w:szCs w:val="22"/>
        </w:rPr>
        <w:instrText xml:space="preserve"> REF Table74_2 \h </w:instrText>
      </w:r>
      <w:r w:rsidR="00C201F7">
        <w:rPr>
          <w:rFonts w:eastAsia="ヒラギノ角ゴ Pro W3"/>
          <w:bCs/>
          <w:color w:val="000000"/>
          <w:szCs w:val="22"/>
        </w:rPr>
        <w:instrText xml:space="preserve"> \* MERGEFORMAT </w:instrText>
      </w:r>
      <w:r w:rsidR="002E38E6" w:rsidRPr="00C201F7">
        <w:rPr>
          <w:rFonts w:eastAsia="ヒラギノ角ゴ Pro W3"/>
          <w:bCs/>
          <w:color w:val="000000"/>
          <w:szCs w:val="22"/>
        </w:rPr>
      </w:r>
      <w:r w:rsidR="002E38E6" w:rsidRPr="00C201F7">
        <w:rPr>
          <w:rFonts w:eastAsia="ヒラギノ角ゴ Pro W3"/>
          <w:bCs/>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2</w:t>
      </w:r>
      <w:r w:rsidR="002E38E6" w:rsidRPr="00C201F7">
        <w:rPr>
          <w:rFonts w:eastAsia="ヒラギノ角ゴ Pro W3"/>
          <w:bCs/>
          <w:color w:val="000000"/>
          <w:szCs w:val="22"/>
        </w:rPr>
        <w:fldChar w:fldCharType="end"/>
      </w:r>
      <w:r w:rsidRPr="00C201F7">
        <w:rPr>
          <w:rFonts w:eastAsia="ヒラギノ角ゴ Pro W3"/>
          <w:bCs/>
          <w:color w:val="000000"/>
          <w:szCs w:val="22"/>
        </w:rPr>
        <w:t xml:space="preserve">, for each digital full-power or Class A TV station, respectively, based on the TV station’s operating channel.  For cells with population, the point chosen is the population centroid, as determined using the method implemented in the FCC’s </w:t>
      </w:r>
      <w:r w:rsidRPr="00C201F7">
        <w:rPr>
          <w:rFonts w:eastAsia="ヒラギノ角ゴ Pro W3"/>
          <w:bCs/>
          <w:i/>
          <w:color w:val="000000"/>
          <w:szCs w:val="22"/>
        </w:rPr>
        <w:t>TVStudy</w:t>
      </w:r>
      <w:r w:rsidRPr="00C201F7">
        <w:rPr>
          <w:rFonts w:eastAsia="ヒラギノ角ゴ Pro W3"/>
          <w:bCs/>
          <w:color w:val="000000"/>
          <w:szCs w:val="22"/>
        </w:rPr>
        <w:t xml:space="preserve"> software</w:t>
      </w:r>
      <w:r w:rsidRPr="00C201F7">
        <w:rPr>
          <w:rFonts w:eastAsia="ヒラギノ角ゴ Pro W3"/>
          <w:bCs/>
          <w:szCs w:val="22"/>
          <w:vertAlign w:val="superscript"/>
        </w:rPr>
        <w:footnoteReference w:id="321"/>
      </w:r>
      <w:r w:rsidRPr="00C201F7">
        <w:rPr>
          <w:rFonts w:eastAsia="ヒラギノ角ゴ Pro W3"/>
          <w:bCs/>
          <w:color w:val="000000"/>
          <w:szCs w:val="22"/>
        </w:rPr>
        <w:t xml:space="preserve"> implementing the Longley-Rice model – otherwise the point chosen is the geometric center of the cell  and the point so determined represents the entire cell in all subsequent service and interference calculations.  The station’s directional transmitting antenna patterns (azimuth and elevation), if applicable, are taken into account in determining the effective radiated power (ERP) in the direction of each cell.</w:t>
      </w:r>
      <w:r w:rsidRPr="00C201F7">
        <w:rPr>
          <w:rFonts w:eastAsia="ヒラギノ角ゴ Pro W3"/>
          <w:bCs/>
          <w:szCs w:val="22"/>
          <w:vertAlign w:val="superscript"/>
        </w:rPr>
        <w:t xml:space="preserve"> </w:t>
      </w:r>
    </w:p>
    <w:p w14:paraId="195B5E2F" w14:textId="77777777" w:rsidR="00C90867" w:rsidRPr="00C201F7" w:rsidRDefault="00C90867" w:rsidP="00C90867">
      <w:pPr>
        <w:rPr>
          <w:rFonts w:eastAsia="ヒラギノ角ゴ Pro W3"/>
          <w:bCs/>
          <w:color w:val="000000"/>
          <w:szCs w:val="22"/>
        </w:rPr>
      </w:pPr>
    </w:p>
    <w:p w14:paraId="6138FA0D" w14:textId="553B2B76" w:rsidR="00C90867" w:rsidRPr="00C201F7" w:rsidRDefault="00C90867" w:rsidP="00C90867">
      <w:pPr>
        <w:ind w:firstLine="720"/>
        <w:rPr>
          <w:rFonts w:eastAsia="ヒラギノ角ゴ Pro W3"/>
          <w:color w:val="000000"/>
          <w:szCs w:val="22"/>
        </w:rPr>
      </w:pPr>
      <w:r w:rsidRPr="00C201F7">
        <w:rPr>
          <w:rFonts w:eastAsia="ヒラギノ角ゴ Pro W3"/>
          <w:bCs/>
          <w:color w:val="000000"/>
          <w:szCs w:val="22"/>
        </w:rPr>
        <w:t xml:space="preserve">Those desiring to implement the Longley-Rice model in their own computer program to make these calculations should either download the source code available either through FCC’s </w:t>
      </w:r>
      <w:r w:rsidRPr="00C201F7">
        <w:rPr>
          <w:rFonts w:eastAsia="ヒラギノ角ゴ Pro W3"/>
          <w:bCs/>
          <w:i/>
          <w:color w:val="000000"/>
          <w:szCs w:val="22"/>
        </w:rPr>
        <w:t>TVStudy</w:t>
      </w:r>
      <w:r w:rsidRPr="00C201F7">
        <w:rPr>
          <w:rFonts w:eastAsia="ヒラギノ角ゴ Pro W3"/>
          <w:bCs/>
          <w:color w:val="000000"/>
          <w:szCs w:val="22"/>
        </w:rPr>
        <w:t xml:space="preserve"> software or through NTIA’s website at </w:t>
      </w:r>
      <w:hyperlink r:id="rId31" w:history="1">
        <w:r w:rsidRPr="00C201F7">
          <w:rPr>
            <w:rFonts w:eastAsia="ヒラギノ角ゴ Pro W3"/>
            <w:color w:val="0000FF"/>
            <w:szCs w:val="22"/>
            <w:u w:val="single"/>
          </w:rPr>
          <w:t>http://www.its.bldrdoc.gov/resources/radio-propagation-software/itm/itm.aspx</w:t>
        </w:r>
      </w:hyperlink>
      <w:r w:rsidRPr="00C201F7">
        <w:rPr>
          <w:rFonts w:eastAsia="ヒラギノ角ゴ Pro W3"/>
          <w:bCs/>
          <w:color w:val="000000"/>
          <w:szCs w:val="22"/>
        </w:rPr>
        <w:t>.  However, the point chosen to determine field strength by other independent implementations of the Longley-Rice model must still be either the population centroid for cells with population or the geometric center for cells with no population.</w:t>
      </w:r>
      <w:r w:rsidRPr="00C201F7">
        <w:rPr>
          <w:rFonts w:eastAsia="ヒラギノ角ゴ Pro W3"/>
          <w:color w:val="000000"/>
          <w:szCs w:val="22"/>
        </w:rPr>
        <w:t xml:space="preserve">  Longley-Rice parameter settings for the calculations specified in this Bulletin are shown in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Table74_3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3</w:t>
      </w:r>
      <w:r w:rsidR="002E38E6" w:rsidRPr="00C201F7">
        <w:rPr>
          <w:rFonts w:eastAsia="ヒラギノ角ゴ Pro W3"/>
          <w:color w:val="000000"/>
          <w:szCs w:val="22"/>
        </w:rPr>
        <w:fldChar w:fldCharType="end"/>
      </w:r>
      <w:r w:rsidRPr="00C201F7">
        <w:rPr>
          <w:rFonts w:eastAsia="ヒラギノ角ゴ Pro W3"/>
          <w:color w:val="000000"/>
          <w:szCs w:val="22"/>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52"/>
        <w:gridCol w:w="1132"/>
        <w:gridCol w:w="5392"/>
      </w:tblGrid>
      <w:tr w:rsidR="00C90867" w:rsidRPr="00C201F7" w14:paraId="622D13B6"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E0E0E0"/>
          </w:tcPr>
          <w:p w14:paraId="61DDC1C7" w14:textId="77777777" w:rsidR="00C90867" w:rsidRPr="00C201F7" w:rsidRDefault="00C90867" w:rsidP="00C90867">
            <w:pPr>
              <w:keepNext/>
              <w:spacing w:before="120"/>
              <w:rPr>
                <w:rFonts w:eastAsia="ヒラギノ角ゴ Pro W3"/>
                <w:b/>
                <w:color w:val="000000"/>
                <w:szCs w:val="22"/>
              </w:rPr>
            </w:pPr>
            <w:r w:rsidRPr="00C201F7">
              <w:rPr>
                <w:rFonts w:eastAsia="ヒラギノ角ゴ Pro W3"/>
                <w:b/>
                <w:color w:val="000000"/>
                <w:szCs w:val="22"/>
              </w:rPr>
              <w:t xml:space="preserve">Parameter </w:t>
            </w:r>
          </w:p>
        </w:tc>
        <w:tc>
          <w:tcPr>
            <w:tcW w:w="0" w:type="auto"/>
            <w:tcBorders>
              <w:top w:val="single" w:sz="4" w:space="0" w:color="auto"/>
              <w:left w:val="single" w:sz="6" w:space="0" w:color="auto"/>
              <w:bottom w:val="single" w:sz="6" w:space="0" w:color="auto"/>
              <w:right w:val="single" w:sz="6" w:space="0" w:color="auto"/>
            </w:tcBorders>
            <w:shd w:val="clear" w:color="auto" w:fill="E0E0E0"/>
          </w:tcPr>
          <w:p w14:paraId="135FCF34" w14:textId="77777777" w:rsidR="00C90867" w:rsidRPr="00C201F7" w:rsidRDefault="00C90867" w:rsidP="00C90867">
            <w:pPr>
              <w:keepNext/>
              <w:spacing w:before="120"/>
              <w:jc w:val="center"/>
              <w:rPr>
                <w:rFonts w:eastAsia="ヒラギノ角ゴ Pro W3"/>
                <w:b/>
                <w:color w:val="000000"/>
                <w:szCs w:val="22"/>
              </w:rPr>
            </w:pPr>
            <w:r w:rsidRPr="00C201F7">
              <w:rPr>
                <w:rFonts w:eastAsia="ヒラギノ角ゴ Pro W3"/>
                <w:b/>
                <w:color w:val="000000"/>
                <w:szCs w:val="22"/>
              </w:rPr>
              <w:t>Value</w:t>
            </w:r>
          </w:p>
        </w:tc>
        <w:tc>
          <w:tcPr>
            <w:tcW w:w="0" w:type="auto"/>
            <w:tcBorders>
              <w:top w:val="single" w:sz="4" w:space="0" w:color="auto"/>
              <w:left w:val="single" w:sz="6" w:space="0" w:color="auto"/>
              <w:bottom w:val="single" w:sz="6" w:space="0" w:color="auto"/>
              <w:right w:val="single" w:sz="4" w:space="0" w:color="auto"/>
            </w:tcBorders>
            <w:shd w:val="clear" w:color="auto" w:fill="E0E0E0"/>
          </w:tcPr>
          <w:p w14:paraId="5D9CC48C" w14:textId="77777777" w:rsidR="00C90867" w:rsidRPr="00C201F7" w:rsidRDefault="00C90867" w:rsidP="00C90867">
            <w:pPr>
              <w:keepNext/>
              <w:spacing w:before="120"/>
              <w:rPr>
                <w:rFonts w:eastAsia="ヒラギノ角ゴ Pro W3"/>
                <w:b/>
                <w:color w:val="000000"/>
                <w:szCs w:val="22"/>
              </w:rPr>
            </w:pPr>
            <w:r w:rsidRPr="00C201F7">
              <w:rPr>
                <w:rFonts w:eastAsia="ヒラギノ角ゴ Pro W3"/>
                <w:b/>
                <w:color w:val="000000"/>
                <w:szCs w:val="22"/>
              </w:rPr>
              <w:t>Meaning/Comment</w:t>
            </w:r>
          </w:p>
        </w:tc>
      </w:tr>
      <w:tr w:rsidR="00C90867" w:rsidRPr="00C201F7" w14:paraId="6BD41926"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765A19AF"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EPS</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79985657"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15.0</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64354CE7"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Relative permittivity of ground.</w:t>
            </w:r>
          </w:p>
        </w:tc>
      </w:tr>
      <w:tr w:rsidR="00C90867" w:rsidRPr="00C201F7" w14:paraId="3F74E46E"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42D5C1D6"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SGM (S/m)</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1D7A1279"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0.005</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6F237CBA"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Ground conductivity.</w:t>
            </w:r>
          </w:p>
        </w:tc>
      </w:tr>
      <w:tr w:rsidR="00C90867" w:rsidRPr="00C201F7" w14:paraId="5F1F6A61"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026C295B"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ZSYS</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0A7B2FED"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0.0</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32EA3C7E"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 xml:space="preserve">General System Elevation. Coordinated with setting of EN0. </w:t>
            </w:r>
          </w:p>
        </w:tc>
      </w:tr>
      <w:tr w:rsidR="00C90867" w:rsidRPr="00C201F7" w14:paraId="0072BB18"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5340FA2B"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EN0 (ppm)</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7ECA2D91"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301.0</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2D430DBC"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Surface refractivity in N-units.</w:t>
            </w:r>
          </w:p>
        </w:tc>
      </w:tr>
      <w:tr w:rsidR="00C90867" w:rsidRPr="00C201F7" w14:paraId="0293CDA3"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4C803A5F"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IPOL</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6E4C2042"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0</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797E6FCC"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Denotes horizontal polarization.</w:t>
            </w:r>
          </w:p>
        </w:tc>
      </w:tr>
      <w:tr w:rsidR="00C90867" w:rsidRPr="00C201F7" w14:paraId="668D84C7"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7B44A8AC"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MDVAR</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1407D31D"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3</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0B3AB710"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Calculation Mode (Broadcast).</w:t>
            </w:r>
          </w:p>
        </w:tc>
      </w:tr>
      <w:tr w:rsidR="00C90867" w:rsidRPr="00C201F7" w14:paraId="12C5FFBC"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5E2BA753"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KLIM</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4BBEFD9C"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5</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79141712"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Climate Code (Continental Temperate).</w:t>
            </w:r>
          </w:p>
        </w:tc>
      </w:tr>
      <w:tr w:rsidR="00C90867" w:rsidRPr="00C201F7" w14:paraId="32CFA6D0"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50F07BE1"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XI (km)</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34CD4380"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0.1</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41A35A65"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Terrain sampling interval.</w:t>
            </w:r>
          </w:p>
        </w:tc>
      </w:tr>
      <w:tr w:rsidR="00C90867" w:rsidRPr="00C201F7" w14:paraId="5563DCB9"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633F5666"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HG(1) (m)</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0FE262EC"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30</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7AF99F5E"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Height of the radiation center above ground.</w:t>
            </w:r>
          </w:p>
        </w:tc>
      </w:tr>
      <w:tr w:rsidR="00C90867" w:rsidRPr="00C201F7" w14:paraId="75D79285"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73177D8B"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HG(2) (m)</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6738439E"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10</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7486E3A1"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Height of DTV receiver above ground.</w:t>
            </w:r>
          </w:p>
        </w:tc>
      </w:tr>
      <w:tr w:rsidR="00C90867" w:rsidRPr="00C201F7" w14:paraId="25845B30"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6A1CDC0B"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Time variability (desired signal)</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70328934"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90%</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5DC68FB8" w14:textId="77777777" w:rsidR="00C90867" w:rsidRPr="00C201F7" w:rsidRDefault="00C90867" w:rsidP="00C90867">
            <w:pPr>
              <w:keepNext/>
              <w:spacing w:before="120"/>
              <w:rPr>
                <w:rFonts w:eastAsia="ヒラギノ角ゴ Pro W3"/>
                <w:color w:val="000000"/>
                <w:szCs w:val="22"/>
              </w:rPr>
            </w:pPr>
          </w:p>
        </w:tc>
      </w:tr>
      <w:tr w:rsidR="00C90867" w:rsidRPr="00C201F7" w14:paraId="2B935B6E"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61AB1601"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Time variability (undesired signal)</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7B780ED5"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10%</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47DE05DA" w14:textId="77777777" w:rsidR="00C90867" w:rsidRPr="00C201F7" w:rsidRDefault="00C90867" w:rsidP="00C90867">
            <w:pPr>
              <w:keepNext/>
              <w:spacing w:before="120"/>
              <w:rPr>
                <w:rFonts w:eastAsia="ヒラギノ角ゴ Pro W3"/>
                <w:color w:val="000000"/>
                <w:szCs w:val="22"/>
              </w:rPr>
            </w:pPr>
          </w:p>
        </w:tc>
      </w:tr>
      <w:tr w:rsidR="00C90867" w:rsidRPr="00C201F7" w14:paraId="7617BD9C"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4F275FA1"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Location variability</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348C8712"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50%</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0E268061" w14:textId="77777777" w:rsidR="00C90867" w:rsidRPr="00C201F7" w:rsidRDefault="00C90867" w:rsidP="00C90867">
            <w:pPr>
              <w:keepNext/>
              <w:spacing w:before="120"/>
              <w:rPr>
                <w:rFonts w:eastAsia="ヒラギノ角ゴ Pro W3"/>
                <w:color w:val="000000"/>
                <w:szCs w:val="22"/>
              </w:rPr>
            </w:pPr>
          </w:p>
        </w:tc>
      </w:tr>
      <w:tr w:rsidR="00C90867" w:rsidRPr="00C201F7" w14:paraId="5D19ED4F"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07D2089B"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Confidence variability</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1FA0CA66"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50%</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76816559"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(Also called situational variability)</w:t>
            </w:r>
          </w:p>
        </w:tc>
      </w:tr>
      <w:tr w:rsidR="00C90867" w:rsidRPr="00C201F7" w14:paraId="1CA2719A" w14:textId="77777777" w:rsidTr="00771983">
        <w:trPr>
          <w:jc w:val="center"/>
        </w:trPr>
        <w:tc>
          <w:tcPr>
            <w:tcW w:w="0" w:type="auto"/>
            <w:tcBorders>
              <w:top w:val="single" w:sz="4" w:space="0" w:color="auto"/>
              <w:left w:val="single" w:sz="4" w:space="0" w:color="auto"/>
              <w:bottom w:val="single" w:sz="6" w:space="0" w:color="auto"/>
              <w:right w:val="single" w:sz="6" w:space="0" w:color="auto"/>
            </w:tcBorders>
            <w:shd w:val="clear" w:color="auto" w:fill="auto"/>
          </w:tcPr>
          <w:p w14:paraId="46B1D1C8"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Error Code (KWX = 3)</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2EC9B695" w14:textId="77777777" w:rsidR="00C90867" w:rsidRPr="00C201F7" w:rsidRDefault="00C90867" w:rsidP="00C90867">
            <w:pPr>
              <w:keepNext/>
              <w:keepLines/>
              <w:spacing w:before="120" w:line="276" w:lineRule="auto"/>
              <w:jc w:val="center"/>
              <w:rPr>
                <w:rFonts w:eastAsia="ヒラギノ角ゴ Pro W3"/>
                <w:color w:val="000000"/>
                <w:szCs w:val="22"/>
              </w:rPr>
            </w:pPr>
            <w:r w:rsidRPr="00C201F7">
              <w:rPr>
                <w:rFonts w:eastAsia="ヒラギノ角ゴ Pro W3"/>
                <w:color w:val="000000"/>
                <w:szCs w:val="22"/>
              </w:rPr>
              <w:t>Ignore</w:t>
            </w:r>
          </w:p>
        </w:tc>
        <w:tc>
          <w:tcPr>
            <w:tcW w:w="0" w:type="auto"/>
            <w:tcBorders>
              <w:top w:val="single" w:sz="4" w:space="0" w:color="auto"/>
              <w:left w:val="single" w:sz="6" w:space="0" w:color="auto"/>
              <w:bottom w:val="single" w:sz="6" w:space="0" w:color="auto"/>
              <w:right w:val="single" w:sz="4" w:space="0" w:color="auto"/>
            </w:tcBorders>
            <w:shd w:val="clear" w:color="auto" w:fill="auto"/>
          </w:tcPr>
          <w:p w14:paraId="0B6E2C34" w14:textId="77777777" w:rsidR="00C90867" w:rsidRPr="00C201F7" w:rsidRDefault="00C90867" w:rsidP="00C90867">
            <w:pPr>
              <w:keepNext/>
              <w:spacing w:before="120"/>
              <w:rPr>
                <w:rFonts w:eastAsia="ヒラギノ角ゴ Pro W3"/>
                <w:color w:val="000000"/>
                <w:szCs w:val="22"/>
              </w:rPr>
            </w:pPr>
            <w:r w:rsidRPr="00C201F7">
              <w:rPr>
                <w:rFonts w:eastAsia="ヒラギノ角ゴ Pro W3"/>
                <w:color w:val="000000"/>
                <w:szCs w:val="22"/>
              </w:rPr>
              <w:t>Accept the path loss value that is returned by Longley-Rice code.</w:t>
            </w:r>
          </w:p>
        </w:tc>
      </w:tr>
      <w:tr w:rsidR="00C90867" w:rsidRPr="00C201F7" w14:paraId="01B1A17A" w14:textId="77777777" w:rsidTr="00771983">
        <w:trPr>
          <w:cantSplit/>
          <w:jc w:val="center"/>
        </w:trPr>
        <w:tc>
          <w:tcPr>
            <w:tcW w:w="0" w:type="auto"/>
            <w:gridSpan w:val="3"/>
          </w:tcPr>
          <w:p w14:paraId="1EECE8F4" w14:textId="77777777" w:rsidR="00C90867" w:rsidRPr="00C201F7" w:rsidRDefault="00C90867" w:rsidP="00C90867">
            <w:pPr>
              <w:keepNext/>
              <w:ind w:left="180" w:right="216"/>
              <w:jc w:val="both"/>
              <w:rPr>
                <w:rFonts w:eastAsia="ヒラギノ角ゴ Pro W3"/>
                <w:color w:val="000000"/>
                <w:szCs w:val="22"/>
              </w:rPr>
            </w:pPr>
            <w:r w:rsidRPr="00C201F7">
              <w:rPr>
                <w:rFonts w:eastAsia="ヒラギノ角ゴ Pro W3"/>
                <w:color w:val="000000"/>
                <w:szCs w:val="22"/>
              </w:rPr>
              <w:t>Note: HG(1) is the height of the wireless transmitting antenna radiation center above ground at its specific geographic coordinates, which may be determined by subtracting the ground elevation above mean sea level (AMSL) at the transmitter location from the height of the antenna radiation center AMSL.  However, if ground elevation is retrieved from the terrain elevation database as a function of the transmitter site coordinates, then bilinear interpolation between the surrounding data points in the terrain database shall be used to determine the ground elevation.  Care should be used to ensure that consistent horizontal and vertical datums are employed among all data sets.</w:t>
            </w:r>
          </w:p>
        </w:tc>
      </w:tr>
    </w:tbl>
    <w:p w14:paraId="168C67B7" w14:textId="77777777" w:rsidR="00C90867" w:rsidRPr="00C201F7" w:rsidRDefault="00C90867" w:rsidP="00C90867">
      <w:pPr>
        <w:keepNext/>
        <w:spacing w:before="120"/>
        <w:jc w:val="center"/>
        <w:rPr>
          <w:rFonts w:eastAsia="ヒラギノ角ゴ Pro W3"/>
          <w:color w:val="000000"/>
          <w:szCs w:val="22"/>
          <w:u w:val="single"/>
        </w:rPr>
      </w:pPr>
      <w:bookmarkStart w:id="1046" w:name="Table74_3"/>
      <w:bookmarkStart w:id="1047" w:name="_Ref381785451"/>
      <w:r w:rsidRPr="00C201F7">
        <w:rPr>
          <w:rFonts w:eastAsia="ヒラギノ角ゴ Pro W3"/>
          <w:color w:val="000000"/>
          <w:szCs w:val="22"/>
        </w:rPr>
        <w:t xml:space="preserve">Table </w:t>
      </w:r>
      <w:r w:rsidR="00317F0B" w:rsidRPr="00C201F7">
        <w:rPr>
          <w:rFonts w:eastAsia="ヒラギノ角ゴ Pro W3"/>
          <w:color w:val="000000"/>
          <w:szCs w:val="22"/>
        </w:rPr>
        <w:fldChar w:fldCharType="begin"/>
      </w:r>
      <w:r w:rsidR="00317F0B" w:rsidRPr="00C201F7">
        <w:rPr>
          <w:rFonts w:eastAsia="ヒラギノ角ゴ Pro W3"/>
          <w:color w:val="000000"/>
          <w:szCs w:val="22"/>
        </w:rPr>
        <w:instrText xml:space="preserve"> SEQ Table74 \* MERGEFORMAT </w:instrText>
      </w:r>
      <w:r w:rsidR="00317F0B" w:rsidRPr="00C201F7">
        <w:rPr>
          <w:rFonts w:eastAsia="ヒラギノ角ゴ Pro W3"/>
          <w:color w:val="000000"/>
          <w:szCs w:val="22"/>
        </w:rPr>
        <w:fldChar w:fldCharType="separate"/>
      </w:r>
      <w:r w:rsidR="00656F50">
        <w:rPr>
          <w:rFonts w:eastAsia="ヒラギノ角ゴ Pro W3"/>
          <w:noProof/>
          <w:color w:val="000000"/>
          <w:szCs w:val="22"/>
        </w:rPr>
        <w:t>3</w:t>
      </w:r>
      <w:r w:rsidR="00317F0B" w:rsidRPr="00C201F7">
        <w:rPr>
          <w:rFonts w:eastAsia="ヒラギノ角ゴ Pro W3"/>
          <w:color w:val="000000"/>
          <w:szCs w:val="22"/>
        </w:rPr>
        <w:fldChar w:fldCharType="end"/>
      </w:r>
      <w:bookmarkEnd w:id="1046"/>
      <w:bookmarkEnd w:id="1047"/>
      <w:r w:rsidRPr="00C201F7">
        <w:rPr>
          <w:rFonts w:eastAsia="ヒラギノ角ゴ Pro W3"/>
          <w:color w:val="000000"/>
          <w:szCs w:val="22"/>
        </w:rPr>
        <w:t>.  Longley-Rice parameter values</w:t>
      </w:r>
    </w:p>
    <w:p w14:paraId="23739946" w14:textId="77777777" w:rsidR="00C90867" w:rsidRPr="00C201F7" w:rsidRDefault="00C90867" w:rsidP="00C90867">
      <w:pPr>
        <w:keepNext/>
        <w:ind w:left="270"/>
        <w:rPr>
          <w:rFonts w:ascii="TimesNewRoman" w:eastAsia="ヒラギノ角ゴ Pro W3" w:hAnsi="TimesNewRoman" w:cs="TimesNewRoman"/>
          <w:color w:val="000000"/>
          <w:szCs w:val="22"/>
        </w:rPr>
      </w:pPr>
    </w:p>
    <w:p w14:paraId="24CBC8FB" w14:textId="77777777" w:rsidR="00C90867" w:rsidRPr="00C201F7" w:rsidRDefault="00C90867" w:rsidP="00C90867">
      <w:pPr>
        <w:ind w:firstLine="720"/>
        <w:rPr>
          <w:rFonts w:eastAsia="ヒラギノ角ゴ Pro W3"/>
          <w:color w:val="000000"/>
          <w:szCs w:val="22"/>
        </w:rPr>
      </w:pPr>
      <w:r w:rsidRPr="00C201F7">
        <w:rPr>
          <w:rFonts w:eastAsia="ヒラギノ角ゴ Pro W3"/>
          <w:color w:val="000000"/>
          <w:szCs w:val="22"/>
        </w:rPr>
        <w:t xml:space="preserve">Terrain elevation values at uniformly spaced points between transmitter and receiver must be obtained in the manner used by </w:t>
      </w:r>
      <w:r w:rsidRPr="00C201F7">
        <w:rPr>
          <w:rFonts w:eastAsia="ヒラギノ角ゴ Pro W3"/>
          <w:i/>
          <w:color w:val="000000"/>
          <w:szCs w:val="22"/>
        </w:rPr>
        <w:t>TVStudy</w:t>
      </w:r>
      <w:r w:rsidRPr="00C201F7">
        <w:rPr>
          <w:rFonts w:eastAsia="ヒラギノ角ゴ Pro W3"/>
          <w:color w:val="000000"/>
          <w:szCs w:val="22"/>
        </w:rPr>
        <w:t>.  That</w:t>
      </w:r>
      <w:r w:rsidRPr="00C201F7">
        <w:rPr>
          <w:rFonts w:eastAsia="ヒラギノ角ゴ Pro W3"/>
          <w:i/>
          <w:color w:val="000000"/>
          <w:szCs w:val="22"/>
        </w:rPr>
        <w:t xml:space="preserve"> </w:t>
      </w:r>
      <w:r w:rsidRPr="00C201F7">
        <w:rPr>
          <w:rFonts w:eastAsia="ヒラギノ角ゴ Pro W3"/>
          <w:color w:val="000000"/>
          <w:szCs w:val="22"/>
        </w:rPr>
        <w:t>software uses a terrain elevation database with values approximately every 1 arc-second of latitude and longitude as an input.  The program retrieves elevations from this database at regular intervals with a spacing increment which is chosen at the time the program is run.  Based upon analysis of the effect of the terrain extraction interval on predicted field strength values compared with measured median field strength values, 0.1-kilometer spacing is to be used for terrain extraction intervals.  The elevation of a point of interest is determined by bilinear interpolation of the values retrieved for the corners of the coordinate rectangle in which the point of interest lies.</w:t>
      </w:r>
    </w:p>
    <w:p w14:paraId="38EA01A7" w14:textId="77777777" w:rsidR="00C90867" w:rsidRPr="00C201F7" w:rsidRDefault="00C90867" w:rsidP="00C90867">
      <w:pPr>
        <w:spacing w:after="120"/>
        <w:ind w:firstLine="720"/>
        <w:rPr>
          <w:rFonts w:eastAsia="ヒラギノ角ゴ Pro W3"/>
          <w:color w:val="000000"/>
          <w:szCs w:val="22"/>
        </w:rPr>
      </w:pPr>
    </w:p>
    <w:p w14:paraId="044E2D8D" w14:textId="77777777" w:rsidR="00C90867" w:rsidRPr="00C201F7" w:rsidRDefault="00C90867" w:rsidP="00EE61F6">
      <w:pPr>
        <w:keepNext/>
        <w:numPr>
          <w:ilvl w:val="0"/>
          <w:numId w:val="2"/>
        </w:numPr>
        <w:tabs>
          <w:tab w:val="clear" w:pos="720"/>
        </w:tabs>
        <w:suppressAutoHyphens/>
        <w:spacing w:after="120"/>
        <w:outlineLvl w:val="0"/>
        <w:rPr>
          <w:rFonts w:ascii="Times New Roman Bold" w:hAnsi="Times New Roman Bold"/>
          <w:b/>
          <w:caps/>
          <w:szCs w:val="22"/>
        </w:rPr>
      </w:pPr>
      <w:bookmarkStart w:id="1048" w:name="_Toc396982111"/>
      <w:r w:rsidRPr="00C201F7">
        <w:rPr>
          <w:rFonts w:ascii="Times New Roman Bold" w:hAnsi="Times New Roman Bold"/>
          <w:b/>
          <w:caps/>
          <w:szCs w:val="22"/>
        </w:rPr>
        <w:t>EVALUATION OF INTERFERENCE</w:t>
      </w:r>
      <w:bookmarkEnd w:id="1048"/>
    </w:p>
    <w:p w14:paraId="46363172" w14:textId="77777777" w:rsidR="00C90867" w:rsidRPr="00C201F7" w:rsidRDefault="00C90867" w:rsidP="00D50682">
      <w:pPr>
        <w:pStyle w:val="Heading2"/>
        <w:rPr>
          <w:rFonts w:eastAsiaTheme="majorEastAsia"/>
        </w:rPr>
      </w:pPr>
      <w:bookmarkStart w:id="1049" w:name="_Toc396982112"/>
      <w:bookmarkStart w:id="1050" w:name="_Toc397609552"/>
      <w:bookmarkStart w:id="1051" w:name="_Toc397610980"/>
      <w:bookmarkStart w:id="1052" w:name="_Toc397962850"/>
      <w:bookmarkStart w:id="1053" w:name="_Toc398023621"/>
      <w:bookmarkStart w:id="1054" w:name="_Toc398903014"/>
      <w:bookmarkStart w:id="1055" w:name="_Toc398903337"/>
      <w:bookmarkStart w:id="1056" w:name="_Toc398903526"/>
      <w:bookmarkStart w:id="1057" w:name="_Toc398904123"/>
      <w:bookmarkStart w:id="1058" w:name="_Toc398904631"/>
      <w:bookmarkStart w:id="1059" w:name="_Toc401305991"/>
      <w:bookmarkStart w:id="1060" w:name="_Toc401306667"/>
      <w:bookmarkStart w:id="1061" w:name="_Toc401306736"/>
      <w:r w:rsidRPr="00C201F7">
        <w:rPr>
          <w:rFonts w:eastAsiaTheme="majorEastAsia"/>
        </w:rPr>
        <w:t>Application of the Longley-Rice Model to Determine Interfering Signal Strength</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176943F4" w14:textId="77777777" w:rsidR="00C90867" w:rsidRPr="00C201F7" w:rsidRDefault="00C90867" w:rsidP="00C90867">
      <w:pPr>
        <w:ind w:firstLine="720"/>
        <w:rPr>
          <w:rFonts w:eastAsia="ヒラギノ角ゴ Pro W3"/>
          <w:color w:val="000000"/>
          <w:szCs w:val="22"/>
        </w:rPr>
      </w:pPr>
      <w:r w:rsidRPr="00C201F7">
        <w:rPr>
          <w:rFonts w:eastAsia="ヒラギノ角ゴ Pro W3"/>
          <w:color w:val="000000"/>
          <w:szCs w:val="22"/>
        </w:rPr>
        <w:t>The presence or absence of interference in each grid cell of the area subject to calculation is determined by further application of the Longley-Rice model.  Radio paths between undesired transmitters and each global 2-kilometer grid point inside the service area are examined. The undesired transmitters included in the analysis of each cell are those which are possible sources of interference at that cell, considering their distance from the cell and frequency relationships.  For each such radio path, the Longley-Rice model is applied for median situations (that is, confidence 50%), for 50% of locations, 10% of the time for the prediction of potential interference to TV receivers.  In those cases that error code 3 occurs (KWX = 3), the predicted interfering field strength nevertheless is to be accepted in determining whether there is interference at that location.</w:t>
      </w:r>
    </w:p>
    <w:p w14:paraId="3C60A23C" w14:textId="77777777" w:rsidR="00C90867" w:rsidRPr="00C201F7" w:rsidRDefault="00C90867" w:rsidP="00C90867">
      <w:pPr>
        <w:keepNext/>
        <w:rPr>
          <w:rFonts w:eastAsia="ヒラギノ角ゴ Pro W3"/>
          <w:color w:val="000000"/>
          <w:szCs w:val="22"/>
        </w:rPr>
      </w:pPr>
    </w:p>
    <w:p w14:paraId="623CB348" w14:textId="77777777" w:rsidR="00C90867" w:rsidRPr="00C201F7" w:rsidRDefault="00C90867" w:rsidP="00D50682">
      <w:pPr>
        <w:pStyle w:val="Heading2"/>
        <w:rPr>
          <w:rFonts w:eastAsiaTheme="majorEastAsia"/>
        </w:rPr>
      </w:pPr>
      <w:bookmarkStart w:id="1062" w:name="_Toc396982113"/>
      <w:bookmarkStart w:id="1063" w:name="_Toc397609553"/>
      <w:bookmarkStart w:id="1064" w:name="_Toc397610981"/>
      <w:bookmarkStart w:id="1065" w:name="_Toc397962851"/>
      <w:bookmarkStart w:id="1066" w:name="_Toc398023622"/>
      <w:bookmarkStart w:id="1067" w:name="_Toc398903015"/>
      <w:bookmarkStart w:id="1068" w:name="_Toc398903338"/>
      <w:bookmarkStart w:id="1069" w:name="_Toc398903527"/>
      <w:bookmarkStart w:id="1070" w:name="_Toc398904124"/>
      <w:bookmarkStart w:id="1071" w:name="_Toc398904632"/>
      <w:bookmarkStart w:id="1072" w:name="_Toc401305992"/>
      <w:bookmarkStart w:id="1073" w:name="_Toc401306668"/>
      <w:bookmarkStart w:id="1074" w:name="_Toc401306737"/>
      <w:r w:rsidRPr="00C201F7">
        <w:rPr>
          <w:rFonts w:eastAsiaTheme="majorEastAsia"/>
        </w:rPr>
        <w:t>Areas of Potential Interference</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784B7672" w14:textId="77777777" w:rsidR="00C90867" w:rsidRPr="00C201F7" w:rsidRDefault="00C90867" w:rsidP="00C90867">
      <w:pPr>
        <w:ind w:firstLine="720"/>
        <w:rPr>
          <w:rFonts w:eastAsia="ヒラギノ角ゴ Pro W3"/>
          <w:color w:val="000000"/>
          <w:szCs w:val="22"/>
        </w:rPr>
      </w:pPr>
      <w:r w:rsidRPr="00C201F7">
        <w:rPr>
          <w:rFonts w:eastAsia="ヒラギノ角ゴ Pro W3"/>
          <w:color w:val="000000"/>
          <w:szCs w:val="22"/>
        </w:rPr>
        <w:t>To determine whether the placement of a wireless base station at a particular location would cause interference to any TV station, information about each site in a planned wireless base station deployment is required. Specifically, actual values are required for:</w:t>
      </w:r>
    </w:p>
    <w:p w14:paraId="020BF040" w14:textId="77777777" w:rsidR="00C90867" w:rsidRPr="00C201F7" w:rsidRDefault="00C90867" w:rsidP="00EE61F6">
      <w:pPr>
        <w:numPr>
          <w:ilvl w:val="0"/>
          <w:numId w:val="5"/>
        </w:numPr>
        <w:contextualSpacing/>
        <w:rPr>
          <w:rFonts w:eastAsia="ヒラギノ角ゴ Pro W3"/>
          <w:color w:val="000000"/>
          <w:szCs w:val="22"/>
        </w:rPr>
      </w:pPr>
      <w:r w:rsidRPr="00C201F7">
        <w:rPr>
          <w:rFonts w:eastAsia="ヒラギノ角ゴ Pro W3"/>
          <w:color w:val="000000"/>
          <w:szCs w:val="22"/>
        </w:rPr>
        <w:t xml:space="preserve">effective radiated power (ERP), </w:t>
      </w:r>
    </w:p>
    <w:p w14:paraId="1F0C6C0B" w14:textId="77777777" w:rsidR="00C90867" w:rsidRPr="00C201F7" w:rsidRDefault="00C90867" w:rsidP="00EE61F6">
      <w:pPr>
        <w:numPr>
          <w:ilvl w:val="0"/>
          <w:numId w:val="5"/>
        </w:numPr>
        <w:contextualSpacing/>
        <w:rPr>
          <w:rFonts w:eastAsia="ヒラギノ角ゴ Pro W3"/>
          <w:color w:val="000000"/>
          <w:szCs w:val="22"/>
        </w:rPr>
      </w:pPr>
      <w:r w:rsidRPr="00C201F7">
        <w:rPr>
          <w:rFonts w:eastAsia="ヒラギノ角ゴ Pro W3"/>
          <w:color w:val="000000"/>
          <w:szCs w:val="22"/>
        </w:rPr>
        <w:t xml:space="preserve">geographic location, and </w:t>
      </w:r>
    </w:p>
    <w:p w14:paraId="3A999C98" w14:textId="77777777" w:rsidR="00C90867" w:rsidRPr="00C201F7" w:rsidRDefault="00C90867" w:rsidP="00EE61F6">
      <w:pPr>
        <w:numPr>
          <w:ilvl w:val="0"/>
          <w:numId w:val="5"/>
        </w:numPr>
        <w:contextualSpacing/>
        <w:rPr>
          <w:rFonts w:eastAsia="ヒラギノ角ゴ Pro W3"/>
          <w:color w:val="000000"/>
          <w:szCs w:val="22"/>
        </w:rPr>
      </w:pPr>
      <w:r w:rsidRPr="00C201F7">
        <w:rPr>
          <w:rFonts w:eastAsia="ヒラギノ角ゴ Pro W3"/>
          <w:color w:val="000000"/>
          <w:szCs w:val="22"/>
        </w:rPr>
        <w:t xml:space="preserve">antenna height above average terrain (HAAT) </w:t>
      </w:r>
    </w:p>
    <w:p w14:paraId="32193F59" w14:textId="77777777" w:rsidR="00C90867" w:rsidRPr="00C201F7" w:rsidRDefault="00C90867" w:rsidP="00C90867">
      <w:pPr>
        <w:ind w:left="1440"/>
        <w:contextualSpacing/>
        <w:rPr>
          <w:rFonts w:eastAsia="ヒラギノ角ゴ Pro W3"/>
          <w:color w:val="000000"/>
          <w:szCs w:val="22"/>
        </w:rPr>
      </w:pPr>
    </w:p>
    <w:p w14:paraId="0DA001CB" w14:textId="77777777" w:rsidR="00C90867" w:rsidRPr="00C201F7" w:rsidRDefault="00C90867" w:rsidP="00C90867">
      <w:pPr>
        <w:ind w:firstLine="720"/>
        <w:rPr>
          <w:rFonts w:eastAsia="ヒラギノ角ゴ Pro W3"/>
          <w:color w:val="000000"/>
          <w:szCs w:val="22"/>
        </w:rPr>
      </w:pPr>
      <w:r w:rsidRPr="00C201F7">
        <w:rPr>
          <w:rFonts w:eastAsia="ヒラギノ角ゴ Pro W3"/>
          <w:color w:val="000000"/>
          <w:szCs w:val="22"/>
        </w:rPr>
        <w:t>The wireless transmit antennas may conservatively be assumed to be non-directional in both the azimuth and elevation directions, as these may be simpler to implement. However, actual antenna azimuth and elevation patterns for each planned wireless base station site may be used for increased accuracy by importing these patterns into the software implementing the Longley-Rice model and setting the azimuth orientation (N ° E, T) on a site-by-site basis.</w:t>
      </w:r>
    </w:p>
    <w:p w14:paraId="4E716EA9" w14:textId="77777777" w:rsidR="00C90867" w:rsidRPr="00C201F7" w:rsidRDefault="00C90867" w:rsidP="00C90867">
      <w:pPr>
        <w:rPr>
          <w:rFonts w:eastAsia="ヒラギノ角ゴ Pro W3"/>
          <w:color w:val="000000"/>
          <w:szCs w:val="22"/>
        </w:rPr>
      </w:pPr>
    </w:p>
    <w:p w14:paraId="70AF1FC9" w14:textId="77777777" w:rsidR="00C90867" w:rsidRPr="00C201F7" w:rsidRDefault="00C90867" w:rsidP="00C90867">
      <w:pPr>
        <w:ind w:firstLine="720"/>
        <w:rPr>
          <w:rFonts w:eastAsia="ヒラギノ角ゴ Pro W3"/>
          <w:color w:val="000000"/>
          <w:szCs w:val="22"/>
        </w:rPr>
      </w:pPr>
      <w:r w:rsidRPr="00C201F7">
        <w:rPr>
          <w:rFonts w:eastAsia="ヒラギノ角ゴ Pro W3"/>
          <w:color w:val="000000"/>
          <w:szCs w:val="22"/>
        </w:rPr>
        <w:t xml:space="preserve">The interference analysis for TV reception examines only those cells across the global 2-kilometer grid within the area subject to calculation that have already been determined to have a desired field strength above the threshold for reception given in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Table74_1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1</w:t>
      </w:r>
      <w:r w:rsidR="002E38E6" w:rsidRPr="00C201F7">
        <w:rPr>
          <w:rFonts w:eastAsia="ヒラギノ角ゴ Pro W3"/>
          <w:color w:val="000000"/>
          <w:szCs w:val="22"/>
        </w:rPr>
        <w:fldChar w:fldCharType="end"/>
      </w:r>
      <w:r w:rsidRPr="00C201F7">
        <w:rPr>
          <w:rFonts w:eastAsia="ヒラギノ角ゴ Pro W3"/>
          <w:color w:val="000000"/>
          <w:szCs w:val="22"/>
        </w:rPr>
        <w:t xml:space="preserve"> </w:t>
      </w:r>
      <w:r w:rsidRPr="00C201F7">
        <w:rPr>
          <w:rFonts w:eastAsia="ヒラギノ角ゴ Pro W3"/>
          <w:bCs/>
          <w:color w:val="000000"/>
          <w:szCs w:val="22"/>
        </w:rPr>
        <w:t xml:space="preserve">or </w:t>
      </w:r>
      <w:r w:rsidR="002E38E6" w:rsidRPr="00C201F7">
        <w:rPr>
          <w:rFonts w:eastAsia="ヒラギノ角ゴ Pro W3"/>
          <w:bCs/>
          <w:color w:val="000000"/>
          <w:szCs w:val="22"/>
        </w:rPr>
        <w:fldChar w:fldCharType="begin"/>
      </w:r>
      <w:r w:rsidR="002E38E6" w:rsidRPr="00C201F7">
        <w:rPr>
          <w:rFonts w:eastAsia="ヒラギノ角ゴ Pro W3"/>
          <w:bCs/>
          <w:color w:val="000000"/>
          <w:szCs w:val="22"/>
        </w:rPr>
        <w:instrText xml:space="preserve"> REF Table74_2 \h </w:instrText>
      </w:r>
      <w:r w:rsidR="00C201F7">
        <w:rPr>
          <w:rFonts w:eastAsia="ヒラギノ角ゴ Pro W3"/>
          <w:bCs/>
          <w:color w:val="000000"/>
          <w:szCs w:val="22"/>
        </w:rPr>
        <w:instrText xml:space="preserve"> \* MERGEFORMAT </w:instrText>
      </w:r>
      <w:r w:rsidR="002E38E6" w:rsidRPr="00C201F7">
        <w:rPr>
          <w:rFonts w:eastAsia="ヒラギノ角ゴ Pro W3"/>
          <w:bCs/>
          <w:color w:val="000000"/>
          <w:szCs w:val="22"/>
        </w:rPr>
      </w:r>
      <w:r w:rsidR="002E38E6" w:rsidRPr="00C201F7">
        <w:rPr>
          <w:rFonts w:eastAsia="ヒラギノ角ゴ Pro W3"/>
          <w:bCs/>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2</w:t>
      </w:r>
      <w:r w:rsidR="002E38E6" w:rsidRPr="00C201F7">
        <w:rPr>
          <w:rFonts w:eastAsia="ヒラギノ角ゴ Pro W3"/>
          <w:bCs/>
          <w:color w:val="000000"/>
          <w:szCs w:val="22"/>
        </w:rPr>
        <w:fldChar w:fldCharType="end"/>
      </w:r>
      <w:r w:rsidRPr="00C201F7">
        <w:rPr>
          <w:rFonts w:eastAsia="ヒラギノ角ゴ Pro W3"/>
          <w:bCs/>
          <w:color w:val="000000"/>
          <w:szCs w:val="22"/>
        </w:rPr>
        <w:t>, as appropriate</w:t>
      </w:r>
      <w:r w:rsidRPr="00C201F7">
        <w:rPr>
          <w:rFonts w:eastAsia="ヒラギノ角ゴ Pro W3"/>
          <w:color w:val="000000"/>
          <w:szCs w:val="22"/>
        </w:rPr>
        <w:t>.  A cell on the global 2-kilometer grid is counted as receiving interference to TV if the ratio of the desired field to that of the square root of the sum of the squares (root-sum-square, or RSS) of all of an individual wireless licensee’s undesired wireless interference sources within the appropriate culling distances, defined below, is less than the minimum D/U threshold value for the corresponding spectral overlap between the TV and wireless channels.  The comparison is made after applying the discrimination effect of the receiving TV antenna.</w:t>
      </w:r>
    </w:p>
    <w:p w14:paraId="09634C6C" w14:textId="77777777" w:rsidR="00C90867" w:rsidRPr="00C201F7" w:rsidRDefault="00C90867" w:rsidP="00C90867">
      <w:pPr>
        <w:rPr>
          <w:rFonts w:eastAsia="ヒラギノ角ゴ Pro W3"/>
          <w:color w:val="000000"/>
          <w:szCs w:val="22"/>
        </w:rPr>
      </w:pPr>
    </w:p>
    <w:p w14:paraId="41777C03" w14:textId="77777777" w:rsidR="00C90867" w:rsidRPr="00C201F7" w:rsidRDefault="00C90867" w:rsidP="00D50682">
      <w:pPr>
        <w:pStyle w:val="Heading2"/>
        <w:rPr>
          <w:rFonts w:eastAsiaTheme="majorEastAsia"/>
        </w:rPr>
      </w:pPr>
      <w:bookmarkStart w:id="1075" w:name="_Toc396982114"/>
      <w:bookmarkStart w:id="1076" w:name="_Toc397609554"/>
      <w:bookmarkStart w:id="1077" w:name="_Toc397610982"/>
      <w:bookmarkStart w:id="1078" w:name="_Toc397962852"/>
      <w:bookmarkStart w:id="1079" w:name="_Toc398023623"/>
      <w:bookmarkStart w:id="1080" w:name="_Toc398903016"/>
      <w:bookmarkStart w:id="1081" w:name="_Toc398903339"/>
      <w:bookmarkStart w:id="1082" w:name="_Toc398903528"/>
      <w:bookmarkStart w:id="1083" w:name="_Toc398904125"/>
      <w:bookmarkStart w:id="1084" w:name="_Toc398904633"/>
      <w:bookmarkStart w:id="1085" w:name="_Toc401305993"/>
      <w:bookmarkStart w:id="1086" w:name="_Toc401306669"/>
      <w:bookmarkStart w:id="1087" w:name="_Toc401306738"/>
      <w:r w:rsidRPr="00C201F7">
        <w:rPr>
          <w:rFonts w:eastAsiaTheme="majorEastAsia"/>
        </w:rPr>
        <w:t>DTV D/U Ratios for Co-Channel and Adjacent Channel Operations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14:paraId="0B1683B6" w14:textId="77777777" w:rsidR="00C90867" w:rsidRPr="00C201F7" w:rsidRDefault="00C90867" w:rsidP="00C90867">
      <w:pPr>
        <w:ind w:firstLine="720"/>
        <w:rPr>
          <w:szCs w:val="22"/>
        </w:rPr>
      </w:pPr>
      <w:r w:rsidRPr="00C201F7">
        <w:rPr>
          <w:rFonts w:eastAsia="ヒラギノ角ゴ Pro W3"/>
          <w:color w:val="000000"/>
          <w:szCs w:val="22"/>
        </w:rPr>
        <w:t>Thresholds of interference using the ratio of desired to undesired field strength to protect DTV reception from wireless co-channel interference are computed from the following formula:</w:t>
      </w:r>
      <w:r w:rsidRPr="00C201F7">
        <w:rPr>
          <w:rFonts w:eastAsia="ヒラギノ角ゴ Pro W3"/>
          <w:b/>
          <w:color w:val="000000"/>
          <w:szCs w:val="22"/>
        </w:rPr>
        <w:t xml:space="preserve"> </w:t>
      </w:r>
    </w:p>
    <w:p w14:paraId="79C79DDA" w14:textId="77777777" w:rsidR="00D15BD6" w:rsidRPr="00C201F7" w:rsidRDefault="00D15BD6" w:rsidP="00D15BD6">
      <w:pPr>
        <w:rPr>
          <w:color w:val="000000"/>
          <w:szCs w:val="22"/>
        </w:rPr>
      </w:pPr>
    </w:p>
    <w:p w14:paraId="79FFB1FF" w14:textId="77777777" w:rsidR="00D15BD6" w:rsidRPr="00C201F7" w:rsidRDefault="00D15BD6" w:rsidP="00D15BD6">
      <w:pPr>
        <w:keepNext/>
        <w:jc w:val="center"/>
        <w:rPr>
          <w:color w:val="000000"/>
          <w:szCs w:val="22"/>
        </w:rPr>
      </w:pPr>
      <w:r w:rsidRPr="00C201F7">
        <w:rPr>
          <w:color w:val="000000"/>
          <w:szCs w:val="22"/>
        </w:rPr>
        <w:t>Wireless-into-DTV D/U = 15 + Δ + α – OFR                                        (Eq. 1)</w:t>
      </w:r>
    </w:p>
    <w:p w14:paraId="615C82F0" w14:textId="77777777" w:rsidR="00D15BD6" w:rsidRPr="00C201F7" w:rsidRDefault="00D15BD6" w:rsidP="00D15BD6">
      <w:pPr>
        <w:keepNext/>
        <w:ind w:left="720" w:firstLine="720"/>
        <w:rPr>
          <w:color w:val="000000"/>
          <w:szCs w:val="22"/>
        </w:rPr>
      </w:pPr>
    </w:p>
    <w:p w14:paraId="35182268" w14:textId="77777777" w:rsidR="00D15BD6" w:rsidRPr="00C201F7" w:rsidRDefault="00D15BD6" w:rsidP="00D15BD6">
      <w:pPr>
        <w:keepNext/>
        <w:ind w:left="720" w:firstLine="720"/>
        <w:rPr>
          <w:color w:val="000000"/>
          <w:szCs w:val="22"/>
        </w:rPr>
      </w:pPr>
      <w:r w:rsidRPr="00C201F7">
        <w:rPr>
          <w:color w:val="000000"/>
          <w:szCs w:val="22"/>
        </w:rPr>
        <w:t xml:space="preserve">Where: </w:t>
      </w:r>
    </w:p>
    <w:p w14:paraId="79ECB4DD" w14:textId="77777777" w:rsidR="00D15BD6" w:rsidRPr="00C201F7" w:rsidRDefault="00D15BD6" w:rsidP="00D15BD6">
      <w:pPr>
        <w:keepNext/>
        <w:ind w:left="2160" w:firstLine="720"/>
        <w:rPr>
          <w:color w:val="000000"/>
          <w:szCs w:val="22"/>
        </w:rPr>
      </w:pPr>
      <m:oMathPara>
        <m:oMathParaPr>
          <m:jc m:val="left"/>
        </m:oMathParaPr>
        <m:oMath>
          <m:r>
            <w:rPr>
              <w:rFonts w:ascii="Cambria Math" w:hAnsi="Cambria Math"/>
              <w:color w:val="000000"/>
              <w:szCs w:val="22"/>
            </w:rPr>
            <m:t>∆=</m:t>
          </m:r>
          <m:d>
            <m:dPr>
              <m:begChr m:val="{"/>
              <m:endChr m:val=""/>
              <m:ctrlPr>
                <w:rPr>
                  <w:rFonts w:ascii="Cambria Math" w:eastAsiaTheme="minorHAnsi" w:hAnsi="Cambria Math"/>
                  <w:i/>
                  <w:iCs/>
                  <w:color w:val="000000"/>
                  <w:szCs w:val="22"/>
                </w:rPr>
              </m:ctrlPr>
            </m:dPr>
            <m:e>
              <m:eqArr>
                <m:eqArrPr>
                  <m:ctrlPr>
                    <w:rPr>
                      <w:rFonts w:ascii="Cambria Math" w:eastAsiaTheme="minorHAnsi" w:hAnsi="Cambria Math"/>
                      <w:i/>
                      <w:iCs/>
                      <w:color w:val="000000"/>
                      <w:szCs w:val="22"/>
                    </w:rPr>
                  </m:ctrlPr>
                </m:eqArrPr>
                <m:e>
                  <m:r>
                    <w:rPr>
                      <w:rFonts w:ascii="Cambria Math" w:hAnsi="Cambria Math"/>
                      <w:color w:val="000000"/>
                      <w:szCs w:val="22"/>
                    </w:rPr>
                    <m:t>1</m:t>
                  </m:r>
                  <m:r>
                    <m:rPr>
                      <m:sty m:val="p"/>
                    </m:rPr>
                    <w:rPr>
                      <w:rFonts w:ascii="Cambria Math" w:hAnsi="Cambria Math"/>
                      <w:color w:val="000000"/>
                      <w:szCs w:val="22"/>
                    </w:rPr>
                    <m:t>     co</m:t>
                  </m:r>
                  <m:r>
                    <m:rPr>
                      <m:nor/>
                    </m:rPr>
                    <w:rPr>
                      <w:rFonts w:ascii="Cambria Math" w:hAnsi="Cambria Math"/>
                      <w:color w:val="000000"/>
                      <w:szCs w:val="22"/>
                    </w:rPr>
                    <m:t>-</m:t>
                  </m:r>
                  <m:r>
                    <m:rPr>
                      <m:sty m:val="p"/>
                    </m:rPr>
                    <w:rPr>
                      <w:rFonts w:ascii="Cambria Math" w:hAnsi="Cambria Math"/>
                      <w:color w:val="000000"/>
                      <w:szCs w:val="22"/>
                    </w:rPr>
                    <m:t xml:space="preserve">channel (spectral overlap &gt; 0 MHz)          </m:t>
                  </m:r>
                </m:e>
                <m:e>
                  <m:r>
                    <w:rPr>
                      <w:rFonts w:ascii="Cambria Math" w:hAnsi="Cambria Math"/>
                      <w:color w:val="000000"/>
                      <w:szCs w:val="22"/>
                    </w:rPr>
                    <m:t>0</m:t>
                  </m:r>
                  <m:r>
                    <m:rPr>
                      <m:sty m:val="p"/>
                    </m:rPr>
                    <w:rPr>
                      <w:rFonts w:ascii="Cambria Math" w:hAnsi="Cambria Math"/>
                      <w:color w:val="000000"/>
                      <w:szCs w:val="22"/>
                    </w:rPr>
                    <m:t>     adjacent</m:t>
                  </m:r>
                  <m:r>
                    <m:rPr>
                      <m:nor/>
                    </m:rPr>
                    <w:rPr>
                      <w:rFonts w:ascii="Cambria Math" w:hAnsi="Cambria Math"/>
                      <w:color w:val="000000"/>
                      <w:szCs w:val="22"/>
                    </w:rPr>
                    <m:t>-</m:t>
                  </m:r>
                  <m:r>
                    <m:rPr>
                      <m:sty m:val="p"/>
                    </m:rPr>
                    <w:rPr>
                      <w:rFonts w:ascii="Cambria Math" w:hAnsi="Cambria Math"/>
                      <w:color w:val="000000"/>
                      <w:szCs w:val="22"/>
                    </w:rPr>
                    <m:t>channel (spectral overlap ≤ 0 MHz)</m:t>
                  </m:r>
                </m:e>
              </m:eqArr>
            </m:e>
          </m:d>
        </m:oMath>
      </m:oMathPara>
    </w:p>
    <w:p w14:paraId="1809AA14" w14:textId="5A2FB3A1" w:rsidR="00D15BD6" w:rsidRPr="00C201F7" w:rsidRDefault="00F1278A" w:rsidP="00D15BD6">
      <w:pPr>
        <w:keepNext/>
        <w:ind w:left="1440" w:firstLine="720"/>
        <w:rPr>
          <w:color w:val="000000"/>
          <w:szCs w:val="22"/>
        </w:rPr>
      </w:pPr>
      <m:oMath>
        <m:r>
          <w:rPr>
            <w:rFonts w:ascii="Cambria Math" w:hAnsi="Cambria Math"/>
            <w:color w:val="000000"/>
            <w:szCs w:val="22"/>
          </w:rPr>
          <m:t>∝ =10</m:t>
        </m:r>
        <m:sSub>
          <m:sSubPr>
            <m:ctrlPr>
              <w:rPr>
                <w:rFonts w:ascii="Cambria Math" w:hAnsi="Cambria Math"/>
                <w:i/>
                <w:color w:val="000000"/>
                <w:szCs w:val="22"/>
              </w:rPr>
            </m:ctrlPr>
          </m:sSubPr>
          <m:e>
            <m:r>
              <w:rPr>
                <w:rFonts w:ascii="Cambria Math" w:hAnsi="Cambria Math"/>
                <w:color w:val="000000"/>
                <w:szCs w:val="22"/>
              </w:rPr>
              <m:t>Log</m:t>
            </m:r>
          </m:e>
          <m:sub>
            <m:r>
              <w:rPr>
                <w:rFonts w:ascii="Cambria Math" w:hAnsi="Cambria Math"/>
                <w:color w:val="000000"/>
                <w:szCs w:val="22"/>
              </w:rPr>
              <m:t>10</m:t>
            </m:r>
          </m:sub>
        </m:sSub>
        <m:d>
          <m:dPr>
            <m:begChr m:val="["/>
            <m:endChr m:val="]"/>
            <m:ctrlPr>
              <w:rPr>
                <w:rFonts w:ascii="Cambria Math" w:hAnsi="Cambria Math"/>
                <w:i/>
                <w:color w:val="000000"/>
                <w:szCs w:val="22"/>
              </w:rPr>
            </m:ctrlPr>
          </m:dPr>
          <m:e>
            <m:f>
              <m:fPr>
                <m:ctrlPr>
                  <w:rPr>
                    <w:rFonts w:ascii="Cambria Math" w:hAnsi="Cambria Math"/>
                    <w:i/>
                    <w:color w:val="000000"/>
                    <w:szCs w:val="22"/>
                  </w:rPr>
                </m:ctrlPr>
              </m:fPr>
              <m:num>
                <m:r>
                  <w:rPr>
                    <w:rFonts w:ascii="Cambria Math" w:hAnsi="Cambria Math"/>
                    <w:color w:val="000000"/>
                    <w:szCs w:val="22"/>
                  </w:rPr>
                  <m:t>1</m:t>
                </m:r>
              </m:num>
              <m:den>
                <m:d>
                  <m:dPr>
                    <m:ctrlPr>
                      <w:rPr>
                        <w:rFonts w:ascii="Cambria Math" w:hAnsi="Cambria Math"/>
                        <w:i/>
                        <w:color w:val="000000"/>
                        <w:szCs w:val="22"/>
                      </w:rPr>
                    </m:ctrlPr>
                  </m:dPr>
                  <m:e>
                    <m:r>
                      <w:rPr>
                        <w:rFonts w:ascii="Cambria Math" w:hAnsi="Cambria Math"/>
                        <w:color w:val="000000"/>
                        <w:szCs w:val="22"/>
                      </w:rPr>
                      <m:t>1-</m:t>
                    </m:r>
                    <m:sSup>
                      <m:sSupPr>
                        <m:ctrlPr>
                          <w:rPr>
                            <w:rFonts w:ascii="Cambria Math" w:hAnsi="Cambria Math"/>
                            <w:i/>
                            <w:color w:val="000000"/>
                            <w:szCs w:val="22"/>
                          </w:rPr>
                        </m:ctrlPr>
                      </m:sSupPr>
                      <m:e>
                        <m:r>
                          <w:rPr>
                            <w:rFonts w:ascii="Cambria Math" w:hAnsi="Cambria Math"/>
                            <w:color w:val="000000"/>
                            <w:szCs w:val="22"/>
                          </w:rPr>
                          <m:t>10</m:t>
                        </m:r>
                      </m:e>
                      <m:sup>
                        <m:f>
                          <m:fPr>
                            <m:type m:val="skw"/>
                            <m:ctrlPr>
                              <w:rPr>
                                <w:rFonts w:ascii="Cambria Math" w:hAnsi="Cambria Math"/>
                                <w:i/>
                                <w:color w:val="000000"/>
                                <w:szCs w:val="22"/>
                              </w:rPr>
                            </m:ctrlPr>
                          </m:fPr>
                          <m:num>
                            <m:r>
                              <w:rPr>
                                <w:rFonts w:ascii="Cambria Math" w:hAnsi="Cambria Math"/>
                                <w:color w:val="000000"/>
                                <w:szCs w:val="22"/>
                              </w:rPr>
                              <m:t>-x</m:t>
                            </m:r>
                          </m:num>
                          <m:den>
                            <m:r>
                              <w:rPr>
                                <w:rFonts w:ascii="Cambria Math" w:hAnsi="Cambria Math"/>
                                <w:color w:val="000000"/>
                                <w:szCs w:val="22"/>
                              </w:rPr>
                              <m:t>10</m:t>
                            </m:r>
                          </m:den>
                        </m:f>
                      </m:sup>
                    </m:sSup>
                  </m:e>
                </m:d>
              </m:den>
            </m:f>
          </m:e>
        </m:d>
      </m:oMath>
      <w:r w:rsidR="00D15BD6" w:rsidRPr="00C201F7">
        <w:rPr>
          <w:color w:val="000000"/>
          <w:szCs w:val="22"/>
        </w:rPr>
        <w:t xml:space="preserve">x = S/N </w:t>
      </w:r>
      <w:r>
        <w:rPr>
          <w:color w:val="000000"/>
          <w:szCs w:val="22"/>
        </w:rPr>
        <w:t>–</w:t>
      </w:r>
      <w:r w:rsidR="00D15BD6" w:rsidRPr="00C201F7">
        <w:rPr>
          <w:color w:val="000000"/>
          <w:szCs w:val="22"/>
        </w:rPr>
        <w:t xml:space="preserve"> 15.19 dB</w:t>
      </w:r>
    </w:p>
    <w:p w14:paraId="45CE7B69" w14:textId="77777777" w:rsidR="00D15BD6" w:rsidRPr="00C201F7" w:rsidRDefault="00D15BD6" w:rsidP="00D15BD6">
      <w:pPr>
        <w:keepNext/>
        <w:ind w:left="1440" w:firstLine="720"/>
        <w:rPr>
          <w:color w:val="000000"/>
          <w:szCs w:val="22"/>
        </w:rPr>
      </w:pPr>
      <w:r w:rsidRPr="00C201F7">
        <w:rPr>
          <w:color w:val="000000"/>
          <w:szCs w:val="22"/>
        </w:rPr>
        <w:t>OFR = Off-frequency rejection (see Table 4)</w:t>
      </w:r>
    </w:p>
    <w:p w14:paraId="1D614330" w14:textId="77777777" w:rsidR="00D15BD6" w:rsidRPr="00C201F7" w:rsidRDefault="00D15BD6" w:rsidP="00D15BD6">
      <w:pPr>
        <w:rPr>
          <w:color w:val="1F497D"/>
          <w:szCs w:val="22"/>
        </w:rPr>
      </w:pPr>
    </w:p>
    <w:p w14:paraId="3A5FD616" w14:textId="77777777" w:rsidR="0026139E" w:rsidRDefault="0026139E" w:rsidP="00C90867">
      <w:pPr>
        <w:rPr>
          <w:rFonts w:eastAsia="ヒラギノ角ゴ Pro W3"/>
          <w:color w:val="000000"/>
          <w:szCs w:val="22"/>
        </w:rPr>
      </w:pPr>
    </w:p>
    <w:p w14:paraId="448BD55B" w14:textId="77777777" w:rsidR="00C90867" w:rsidRPr="00C201F7" w:rsidRDefault="00C90867" w:rsidP="00C90867">
      <w:pPr>
        <w:rPr>
          <w:rFonts w:eastAsia="ヒラギノ角ゴ Pro W3"/>
          <w:color w:val="000000"/>
          <w:szCs w:val="22"/>
        </w:rPr>
      </w:pPr>
      <w:r w:rsidRPr="00C201F7">
        <w:rPr>
          <w:rFonts w:eastAsia="ヒラギノ角ゴ Pro W3"/>
          <w:color w:val="000000"/>
          <w:szCs w:val="22"/>
        </w:rPr>
        <w:t xml:space="preserve">The quantity x in Equation 1 is the amount by which the actual desired S/N, computed using Equation 2 below, exceeds the minimum required for DTV reception.  As the desired DTV signal level approaches the minimum level for reception, the D/U ratio will increase exponentially.  </w:t>
      </w:r>
    </w:p>
    <w:p w14:paraId="4384EFA8" w14:textId="77777777" w:rsidR="00C90867" w:rsidRPr="00C201F7" w:rsidRDefault="00C90867" w:rsidP="00C90867">
      <w:pPr>
        <w:rPr>
          <w:rFonts w:eastAsia="ヒラギノ角ゴ Pro W3"/>
          <w:color w:val="000000"/>
          <w:szCs w:val="22"/>
        </w:rPr>
      </w:pPr>
    </w:p>
    <w:p w14:paraId="5DEAD393" w14:textId="77777777" w:rsidR="00C90867" w:rsidRPr="00C201F7" w:rsidRDefault="00C90867" w:rsidP="00C90867">
      <w:pPr>
        <w:ind w:firstLine="720"/>
        <w:rPr>
          <w:rFonts w:eastAsia="ヒラギノ角ゴ Pro W3"/>
          <w:color w:val="000000"/>
          <w:szCs w:val="22"/>
        </w:rPr>
      </w:pPr>
      <w:r w:rsidRPr="00C201F7">
        <w:rPr>
          <w:rFonts w:eastAsia="ヒラギノ角ゴ Pro W3"/>
          <w:color w:val="000000"/>
          <w:szCs w:val="22"/>
        </w:rPr>
        <w:t xml:space="preserve">Because a 5 MHz wireless channel and a 6 MHz DTV channel may not always fully overlap, the total wireless power in the TV channel is a function of the degree of spectral overlap, expressed in integer megahertz (MHz).  In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Table74_4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4</w:t>
      </w:r>
      <w:r w:rsidR="002E38E6" w:rsidRPr="00C201F7">
        <w:rPr>
          <w:rFonts w:eastAsia="ヒラギノ角ゴ Pro W3"/>
          <w:color w:val="000000"/>
          <w:szCs w:val="22"/>
        </w:rPr>
        <w:fldChar w:fldCharType="end"/>
      </w:r>
      <w:r w:rsidRPr="00C201F7">
        <w:rPr>
          <w:rFonts w:eastAsia="ヒラギノ角ゴ Pro W3"/>
          <w:color w:val="000000"/>
          <w:szCs w:val="22"/>
        </w:rPr>
        <w:t xml:space="preserve">, a fully co-channel scenario would correspond to 5 MHz of transmitter/receiver overlap, while a first-adjacent situation would correspond to 0 MHz of overlap.  Partial co-channel overlaps correspond to values of 1, 2, 3, and 4 MHz.  Negative overlap values define the amount of frequency separation between channel edges in the adjacent-channel cases.  The co-channel values at 5 MHz may be used where there is more than 5 MHz of overlap.  Wireless operations with frequency separations more than 5 MHz between channel edges or distance separations greater than the culling distances beyond a DTV station’s noise-limited or protected contour, for full-power and Class A stations, respectively, are not evaluated for interference because the probability of interference beyond those values for each height and/or power combination specified in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Table74_7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7</w:t>
      </w:r>
      <w:r w:rsidR="002E38E6" w:rsidRPr="00C201F7">
        <w:rPr>
          <w:rFonts w:eastAsia="ヒラギノ角ゴ Pro W3"/>
          <w:color w:val="000000"/>
          <w:szCs w:val="22"/>
        </w:rPr>
        <w:fldChar w:fldCharType="end"/>
      </w:r>
      <w:r w:rsidRPr="00C201F7">
        <w:rPr>
          <w:rFonts w:eastAsia="ヒラギノ角ゴ Pro W3"/>
          <w:color w:val="000000"/>
          <w:szCs w:val="22"/>
        </w:rPr>
        <w:t xml:space="preserve"> through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Table74_13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13</w:t>
      </w:r>
      <w:r w:rsidR="002E38E6" w:rsidRPr="00C201F7">
        <w:rPr>
          <w:rFonts w:eastAsia="ヒラギノ角ゴ Pro W3"/>
          <w:color w:val="000000"/>
          <w:szCs w:val="22"/>
        </w:rPr>
        <w:fldChar w:fldCharType="end"/>
      </w:r>
      <w:r w:rsidRPr="00C201F7">
        <w:rPr>
          <w:rFonts w:eastAsia="ヒラギノ角ゴ Pro W3"/>
          <w:color w:val="000000"/>
          <w:szCs w:val="22"/>
        </w:rPr>
        <w:t xml:space="preserve"> below is unlikely.</w:t>
      </w:r>
      <w:bookmarkStart w:id="1088" w:name="_Ref381786069"/>
    </w:p>
    <w:p w14:paraId="14C39C8D" w14:textId="77777777" w:rsidR="00C90867" w:rsidRPr="00C201F7" w:rsidRDefault="00C90867" w:rsidP="00C90867">
      <w:pPr>
        <w:keepNext/>
        <w:spacing w:after="120"/>
        <w:jc w:val="center"/>
        <w:rPr>
          <w:rFonts w:eastAsia="ヒラギノ角ゴ Pro W3"/>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326"/>
        <w:gridCol w:w="516"/>
        <w:gridCol w:w="516"/>
        <w:gridCol w:w="516"/>
        <w:gridCol w:w="516"/>
        <w:gridCol w:w="720"/>
        <w:gridCol w:w="720"/>
        <w:gridCol w:w="720"/>
        <w:gridCol w:w="720"/>
        <w:gridCol w:w="720"/>
        <w:gridCol w:w="720"/>
      </w:tblGrid>
      <w:tr w:rsidR="00C90867" w:rsidRPr="00C90867" w14:paraId="63712F6F" w14:textId="77777777" w:rsidTr="00771983">
        <w:trPr>
          <w:cantSplit/>
          <w:jc w:val="center"/>
        </w:trPr>
        <w:tc>
          <w:tcPr>
            <w:tcW w:w="2246" w:type="dxa"/>
            <w:tcBorders>
              <w:tl2br w:val="single" w:sz="4" w:space="0" w:color="auto"/>
            </w:tcBorders>
            <w:shd w:val="clear" w:color="auto" w:fill="E0E0E0"/>
          </w:tcPr>
          <w:p w14:paraId="2F598126" w14:textId="77777777" w:rsidR="00C90867" w:rsidRPr="00C90867" w:rsidRDefault="00C90867" w:rsidP="00C90867">
            <w:pPr>
              <w:keepNext/>
              <w:ind w:left="270"/>
              <w:jc w:val="right"/>
              <w:rPr>
                <w:rFonts w:eastAsia="ヒラギノ角ゴ Pro W3"/>
                <w:color w:val="000000"/>
                <w:sz w:val="20"/>
                <w:szCs w:val="24"/>
              </w:rPr>
            </w:pPr>
            <w:r w:rsidRPr="00C90867">
              <w:rPr>
                <w:rFonts w:eastAsia="ヒラギノ角ゴ Pro W3"/>
                <w:color w:val="000000"/>
                <w:sz w:val="20"/>
                <w:szCs w:val="24"/>
              </w:rPr>
              <w:t xml:space="preserve">Overlap in MHz        </w:t>
            </w:r>
          </w:p>
          <w:p w14:paraId="17BC63ED" w14:textId="77777777" w:rsidR="00C90867" w:rsidRPr="00C90867" w:rsidRDefault="00C90867" w:rsidP="00C90867">
            <w:pPr>
              <w:keepNext/>
              <w:rPr>
                <w:rFonts w:eastAsia="ヒラギノ角ゴ Pro W3"/>
                <w:color w:val="000000"/>
                <w:sz w:val="20"/>
                <w:szCs w:val="24"/>
              </w:rPr>
            </w:pPr>
            <w:r w:rsidRPr="00C90867">
              <w:rPr>
                <w:rFonts w:eastAsia="ヒラギノ角ゴ Pro W3"/>
                <w:color w:val="000000"/>
                <w:sz w:val="20"/>
                <w:szCs w:val="24"/>
              </w:rPr>
              <w:t>OFR (dB)</w:t>
            </w:r>
          </w:p>
        </w:tc>
        <w:tc>
          <w:tcPr>
            <w:tcW w:w="0" w:type="auto"/>
            <w:shd w:val="clear" w:color="auto" w:fill="E0E0E0"/>
            <w:vAlign w:val="center"/>
          </w:tcPr>
          <w:p w14:paraId="31523BC3"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5</w:t>
            </w:r>
          </w:p>
        </w:tc>
        <w:tc>
          <w:tcPr>
            <w:tcW w:w="516" w:type="dxa"/>
            <w:shd w:val="clear" w:color="auto" w:fill="E0E0E0"/>
            <w:vAlign w:val="center"/>
          </w:tcPr>
          <w:p w14:paraId="3ACB7850"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4</w:t>
            </w:r>
          </w:p>
        </w:tc>
        <w:tc>
          <w:tcPr>
            <w:tcW w:w="516" w:type="dxa"/>
            <w:shd w:val="clear" w:color="auto" w:fill="E0E0E0"/>
            <w:vAlign w:val="center"/>
          </w:tcPr>
          <w:p w14:paraId="2AD3720D"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3</w:t>
            </w:r>
          </w:p>
        </w:tc>
        <w:tc>
          <w:tcPr>
            <w:tcW w:w="516" w:type="dxa"/>
            <w:shd w:val="clear" w:color="auto" w:fill="E0E0E0"/>
            <w:vAlign w:val="center"/>
          </w:tcPr>
          <w:p w14:paraId="0CCB2029"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2</w:t>
            </w:r>
          </w:p>
        </w:tc>
        <w:tc>
          <w:tcPr>
            <w:tcW w:w="516" w:type="dxa"/>
            <w:shd w:val="clear" w:color="auto" w:fill="E0E0E0"/>
            <w:vAlign w:val="center"/>
          </w:tcPr>
          <w:p w14:paraId="679D8AA7"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1</w:t>
            </w:r>
          </w:p>
        </w:tc>
        <w:tc>
          <w:tcPr>
            <w:tcW w:w="720" w:type="dxa"/>
            <w:shd w:val="clear" w:color="auto" w:fill="E0E0E0"/>
            <w:vAlign w:val="center"/>
          </w:tcPr>
          <w:p w14:paraId="21DD06A1"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0</w:t>
            </w:r>
          </w:p>
        </w:tc>
        <w:tc>
          <w:tcPr>
            <w:tcW w:w="720" w:type="dxa"/>
            <w:shd w:val="clear" w:color="auto" w:fill="E0E0E0"/>
            <w:vAlign w:val="center"/>
          </w:tcPr>
          <w:p w14:paraId="37541FC9"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-1</w:t>
            </w:r>
          </w:p>
        </w:tc>
        <w:tc>
          <w:tcPr>
            <w:tcW w:w="720" w:type="dxa"/>
            <w:shd w:val="clear" w:color="auto" w:fill="E0E0E0"/>
            <w:vAlign w:val="center"/>
          </w:tcPr>
          <w:p w14:paraId="31543EEF"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-2</w:t>
            </w:r>
          </w:p>
        </w:tc>
        <w:tc>
          <w:tcPr>
            <w:tcW w:w="720" w:type="dxa"/>
            <w:shd w:val="clear" w:color="auto" w:fill="E0E0E0"/>
            <w:vAlign w:val="center"/>
          </w:tcPr>
          <w:p w14:paraId="07FF134C"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-3</w:t>
            </w:r>
          </w:p>
        </w:tc>
        <w:tc>
          <w:tcPr>
            <w:tcW w:w="720" w:type="dxa"/>
            <w:shd w:val="clear" w:color="auto" w:fill="E0E0E0"/>
            <w:vAlign w:val="center"/>
          </w:tcPr>
          <w:p w14:paraId="5F93EE20"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-4</w:t>
            </w:r>
          </w:p>
        </w:tc>
        <w:tc>
          <w:tcPr>
            <w:tcW w:w="720" w:type="dxa"/>
            <w:shd w:val="clear" w:color="auto" w:fill="E0E0E0"/>
            <w:vAlign w:val="center"/>
          </w:tcPr>
          <w:p w14:paraId="49231F36"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-5</w:t>
            </w:r>
          </w:p>
        </w:tc>
      </w:tr>
      <w:tr w:rsidR="00C90867" w:rsidRPr="00C90867" w14:paraId="6594F4C6" w14:textId="77777777" w:rsidTr="00771983">
        <w:trPr>
          <w:cantSplit/>
          <w:jc w:val="center"/>
        </w:trPr>
        <w:tc>
          <w:tcPr>
            <w:tcW w:w="2246" w:type="dxa"/>
            <w:shd w:val="clear" w:color="auto" w:fill="auto"/>
          </w:tcPr>
          <w:p w14:paraId="0835A6D8" w14:textId="77777777" w:rsidR="00C90867" w:rsidRPr="00C201F7" w:rsidRDefault="00C90867" w:rsidP="00C90867">
            <w:pPr>
              <w:keepNext/>
              <w:rPr>
                <w:rFonts w:eastAsia="ヒラギノ角ゴ Pro W3"/>
                <w:color w:val="000000"/>
                <w:szCs w:val="22"/>
              </w:rPr>
            </w:pPr>
            <w:r w:rsidRPr="00C201F7">
              <w:rPr>
                <w:rFonts w:eastAsia="ヒラギノ角ゴ Pro W3"/>
                <w:color w:val="000000"/>
                <w:szCs w:val="22"/>
              </w:rPr>
              <w:t>Downlink into DTV</w:t>
            </w:r>
          </w:p>
        </w:tc>
        <w:tc>
          <w:tcPr>
            <w:tcW w:w="0" w:type="auto"/>
            <w:shd w:val="clear" w:color="auto" w:fill="auto"/>
            <w:vAlign w:val="center"/>
          </w:tcPr>
          <w:p w14:paraId="0D4E6711"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0</w:t>
            </w:r>
          </w:p>
        </w:tc>
        <w:tc>
          <w:tcPr>
            <w:tcW w:w="516" w:type="dxa"/>
            <w:shd w:val="clear" w:color="auto" w:fill="auto"/>
            <w:vAlign w:val="center"/>
          </w:tcPr>
          <w:p w14:paraId="13D4AC4E"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0.9</w:t>
            </w:r>
          </w:p>
        </w:tc>
        <w:tc>
          <w:tcPr>
            <w:tcW w:w="516" w:type="dxa"/>
            <w:shd w:val="clear" w:color="auto" w:fill="auto"/>
            <w:vAlign w:val="center"/>
          </w:tcPr>
          <w:p w14:paraId="60E2D77E"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2.2</w:t>
            </w:r>
          </w:p>
        </w:tc>
        <w:tc>
          <w:tcPr>
            <w:tcW w:w="516" w:type="dxa"/>
            <w:shd w:val="clear" w:color="auto" w:fill="auto"/>
            <w:vAlign w:val="center"/>
          </w:tcPr>
          <w:p w14:paraId="7971EE96"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3.9</w:t>
            </w:r>
          </w:p>
        </w:tc>
        <w:tc>
          <w:tcPr>
            <w:tcW w:w="516" w:type="dxa"/>
            <w:shd w:val="clear" w:color="auto" w:fill="auto"/>
            <w:vAlign w:val="center"/>
          </w:tcPr>
          <w:p w14:paraId="22DAED53"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6.7</w:t>
            </w:r>
          </w:p>
        </w:tc>
        <w:tc>
          <w:tcPr>
            <w:tcW w:w="720" w:type="dxa"/>
            <w:shd w:val="clear" w:color="auto" w:fill="auto"/>
            <w:vAlign w:val="center"/>
          </w:tcPr>
          <w:p w14:paraId="43CF544E"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17.0</w:t>
            </w:r>
          </w:p>
        </w:tc>
        <w:tc>
          <w:tcPr>
            <w:tcW w:w="720" w:type="dxa"/>
            <w:vAlign w:val="center"/>
          </w:tcPr>
          <w:p w14:paraId="03E2154C"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33</w:t>
            </w:r>
          </w:p>
        </w:tc>
        <w:tc>
          <w:tcPr>
            <w:tcW w:w="720" w:type="dxa"/>
            <w:vAlign w:val="center"/>
          </w:tcPr>
          <w:p w14:paraId="1357B9BD"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33</w:t>
            </w:r>
          </w:p>
        </w:tc>
        <w:tc>
          <w:tcPr>
            <w:tcW w:w="720" w:type="dxa"/>
            <w:vAlign w:val="center"/>
          </w:tcPr>
          <w:p w14:paraId="277D32D2"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33</w:t>
            </w:r>
          </w:p>
        </w:tc>
        <w:tc>
          <w:tcPr>
            <w:tcW w:w="720" w:type="dxa"/>
            <w:vAlign w:val="center"/>
          </w:tcPr>
          <w:p w14:paraId="09136DBF"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33</w:t>
            </w:r>
          </w:p>
        </w:tc>
        <w:tc>
          <w:tcPr>
            <w:tcW w:w="720" w:type="dxa"/>
            <w:vAlign w:val="center"/>
          </w:tcPr>
          <w:p w14:paraId="4965E87E"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33</w:t>
            </w:r>
          </w:p>
        </w:tc>
      </w:tr>
    </w:tbl>
    <w:p w14:paraId="1E7F4951" w14:textId="77777777" w:rsidR="00C90867" w:rsidRPr="00C201F7" w:rsidRDefault="00C90867" w:rsidP="00C90867">
      <w:pPr>
        <w:spacing w:before="120" w:after="120"/>
        <w:jc w:val="center"/>
        <w:rPr>
          <w:rFonts w:eastAsia="ヒラギノ角ゴ Pro W3"/>
          <w:color w:val="000000"/>
          <w:szCs w:val="22"/>
        </w:rPr>
      </w:pPr>
      <w:bookmarkStart w:id="1089" w:name="Table74_4"/>
      <w:bookmarkStart w:id="1090" w:name="_Ref393117201"/>
      <w:r w:rsidRPr="00C201F7">
        <w:rPr>
          <w:rFonts w:eastAsia="ヒラギノ角ゴ Pro W3"/>
          <w:color w:val="000000"/>
          <w:szCs w:val="22"/>
        </w:rPr>
        <w:t xml:space="preserve">Table </w:t>
      </w:r>
      <w:r w:rsidR="00317F0B" w:rsidRPr="00C201F7">
        <w:rPr>
          <w:rFonts w:eastAsia="ヒラギノ角ゴ Pro W3"/>
          <w:color w:val="000000"/>
          <w:szCs w:val="22"/>
        </w:rPr>
        <w:fldChar w:fldCharType="begin"/>
      </w:r>
      <w:r w:rsidR="00317F0B" w:rsidRPr="00C201F7">
        <w:rPr>
          <w:rFonts w:eastAsia="ヒラギノ角ゴ Pro W3"/>
          <w:color w:val="000000"/>
          <w:szCs w:val="22"/>
        </w:rPr>
        <w:instrText xml:space="preserve"> SEQ Table74 \* MERGEFORMAT </w:instrText>
      </w:r>
      <w:r w:rsidR="00317F0B" w:rsidRPr="00C201F7">
        <w:rPr>
          <w:rFonts w:eastAsia="ヒラギノ角ゴ Pro W3"/>
          <w:color w:val="000000"/>
          <w:szCs w:val="22"/>
        </w:rPr>
        <w:fldChar w:fldCharType="separate"/>
      </w:r>
      <w:r w:rsidR="00656F50">
        <w:rPr>
          <w:rFonts w:eastAsia="ヒラギノ角ゴ Pro W3"/>
          <w:noProof/>
          <w:color w:val="000000"/>
          <w:szCs w:val="22"/>
        </w:rPr>
        <w:t>4</w:t>
      </w:r>
      <w:r w:rsidR="00317F0B" w:rsidRPr="00C201F7">
        <w:rPr>
          <w:rFonts w:eastAsia="ヒラギノ角ゴ Pro W3"/>
          <w:color w:val="000000"/>
          <w:szCs w:val="22"/>
        </w:rPr>
        <w:fldChar w:fldCharType="end"/>
      </w:r>
      <w:bookmarkEnd w:id="1089"/>
      <w:bookmarkEnd w:id="1090"/>
      <w:r w:rsidRPr="00C201F7">
        <w:rPr>
          <w:rFonts w:eastAsia="ヒラギノ角ゴ Pro W3"/>
          <w:color w:val="000000"/>
          <w:szCs w:val="22"/>
        </w:rPr>
        <w:t>.  Calculated off-frequency rejection (OFR) values for wireless base station into DTV</w:t>
      </w:r>
    </w:p>
    <w:bookmarkEnd w:id="1088"/>
    <w:p w14:paraId="0649ED86" w14:textId="77777777" w:rsidR="00C90867" w:rsidRDefault="00C90867" w:rsidP="00C90867">
      <w:pPr>
        <w:ind w:firstLine="720"/>
        <w:rPr>
          <w:rFonts w:eastAsia="ヒラギノ角ゴ Pro W3"/>
          <w:iCs/>
          <w:color w:val="000000"/>
          <w:szCs w:val="22"/>
        </w:rPr>
      </w:pPr>
      <w:r w:rsidRPr="00C201F7">
        <w:rPr>
          <w:rFonts w:eastAsia="ヒラギノ角ゴ Pro W3"/>
          <w:iCs/>
          <w:color w:val="000000"/>
          <w:szCs w:val="22"/>
        </w:rPr>
        <w:t>The values for off-frequency rejection (OFR) were derived using NTIA’s MSAM FDR computer program</w:t>
      </w:r>
      <w:r w:rsidRPr="00C201F7">
        <w:rPr>
          <w:rFonts w:eastAsia="ヒラギノ角ゴ Pro W3"/>
          <w:iCs/>
          <w:szCs w:val="22"/>
          <w:vertAlign w:val="superscript"/>
        </w:rPr>
        <w:footnoteReference w:id="322"/>
      </w:r>
      <w:r w:rsidRPr="00C201F7">
        <w:rPr>
          <w:rFonts w:eastAsia="ヒラギノ角ゴ Pro W3"/>
          <w:iCs/>
          <w:color w:val="000000"/>
          <w:szCs w:val="22"/>
        </w:rPr>
        <w:t xml:space="preserve"> using FCC’s emission limits,</w:t>
      </w:r>
      <w:r w:rsidRPr="00C201F7">
        <w:rPr>
          <w:rFonts w:eastAsia="ヒラギノ角ゴ Pro W3"/>
          <w:iCs/>
          <w:szCs w:val="22"/>
          <w:vertAlign w:val="superscript"/>
        </w:rPr>
        <w:footnoteReference w:id="323"/>
      </w:r>
      <w:r w:rsidRPr="00C201F7">
        <w:rPr>
          <w:rFonts w:eastAsia="ヒラギノ角ゴ Pro W3"/>
          <w:iCs/>
          <w:color w:val="000000"/>
          <w:szCs w:val="22"/>
        </w:rPr>
        <w:t xml:space="preserve"> and DTV receiver performance standards published by ATSC for the first-adjacent channel.</w:t>
      </w:r>
      <w:r w:rsidRPr="00C201F7">
        <w:rPr>
          <w:rFonts w:eastAsia="ヒラギノ角ゴ Pro W3"/>
          <w:iCs/>
          <w:szCs w:val="22"/>
          <w:vertAlign w:val="superscript"/>
        </w:rPr>
        <w:footnoteReference w:id="324"/>
      </w:r>
      <w:r w:rsidRPr="00C201F7">
        <w:rPr>
          <w:rFonts w:eastAsia="ヒラギノ角ゴ Pro W3"/>
          <w:iCs/>
          <w:color w:val="000000"/>
          <w:szCs w:val="22"/>
        </w:rPr>
        <w:t xml:space="preserve">  </w:t>
      </w:r>
    </w:p>
    <w:p w14:paraId="09A4E735" w14:textId="77777777" w:rsidR="0026139E" w:rsidRPr="00C201F7" w:rsidRDefault="0026139E" w:rsidP="00C90867">
      <w:pPr>
        <w:ind w:firstLine="720"/>
        <w:rPr>
          <w:rFonts w:eastAsia="ヒラギノ角ゴ Pro W3"/>
          <w:iCs/>
          <w:color w:val="000000"/>
          <w:szCs w:val="22"/>
        </w:rPr>
      </w:pPr>
    </w:p>
    <w:p w14:paraId="2995D9E1" w14:textId="77777777" w:rsidR="00C90867" w:rsidRPr="00C201F7" w:rsidRDefault="00C90867" w:rsidP="00C90867">
      <w:pPr>
        <w:ind w:firstLine="720"/>
        <w:rPr>
          <w:rFonts w:eastAsia="ヒラギノ角ゴ Pro W3"/>
          <w:color w:val="000000"/>
          <w:szCs w:val="22"/>
        </w:rPr>
      </w:pPr>
      <w:r w:rsidRPr="00C201F7">
        <w:rPr>
          <w:rFonts w:eastAsia="ヒラギノ角ゴ Pro W3"/>
          <w:color w:val="000000"/>
          <w:szCs w:val="22"/>
        </w:rPr>
        <w:t xml:space="preserve">To protect DTV reception from wireless downlink interference at various degrees of spectral overlap, the minimum threshold D/U ratios are shown in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Table74_5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5</w:t>
      </w:r>
      <w:r w:rsidR="002E38E6" w:rsidRPr="00C201F7">
        <w:rPr>
          <w:rFonts w:eastAsia="ヒラギノ角ゴ Pro W3"/>
          <w:color w:val="000000"/>
          <w:szCs w:val="22"/>
        </w:rPr>
        <w:fldChar w:fldCharType="end"/>
      </w:r>
      <w:r w:rsidRPr="00C201F7">
        <w:rPr>
          <w:rFonts w:eastAsia="ヒラギノ角ゴ Pro W3"/>
          <w:color w:val="000000"/>
          <w:szCs w:val="22"/>
        </w:rPr>
        <w:t xml:space="preserve">.  These were derived using Equation 1 and the OFR values from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Table74_4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4</w:t>
      </w:r>
      <w:r w:rsidR="002E38E6" w:rsidRPr="00C201F7">
        <w:rPr>
          <w:rFonts w:eastAsia="ヒラギノ角ゴ Pro W3"/>
          <w:color w:val="000000"/>
          <w:szCs w:val="22"/>
        </w:rPr>
        <w:fldChar w:fldCharType="end"/>
      </w:r>
      <w:r w:rsidRPr="00C201F7">
        <w:rPr>
          <w:rFonts w:eastAsia="ヒラギノ角ゴ Pro W3"/>
          <w:color w:val="000000"/>
          <w:szCs w:val="22"/>
        </w:rPr>
        <w:t xml:space="preserve">.  Values of α vary for each cell and are determined by the predicted desired field strength in each cell, the DTV planning factors of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Table74_6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6</w:t>
      </w:r>
      <w:r w:rsidR="002E38E6" w:rsidRPr="00C201F7">
        <w:rPr>
          <w:rFonts w:eastAsia="ヒラギノ角ゴ Pro W3"/>
          <w:color w:val="000000"/>
          <w:szCs w:val="22"/>
        </w:rPr>
        <w:fldChar w:fldCharType="end"/>
      </w:r>
      <w:r w:rsidRPr="00C201F7">
        <w:rPr>
          <w:rFonts w:eastAsia="ヒラギノ角ゴ Pro W3"/>
          <w:color w:val="000000"/>
          <w:szCs w:val="22"/>
        </w:rPr>
        <w:t>, and the S/N of Equation 2.</w:t>
      </w:r>
    </w:p>
    <w:p w14:paraId="74D453FE" w14:textId="77777777" w:rsidR="00C90867" w:rsidRPr="00C201F7" w:rsidRDefault="00C90867" w:rsidP="00C90867">
      <w:pPr>
        <w:spacing w:after="120"/>
        <w:rPr>
          <w:rFonts w:ascii="Times New Roman Bold" w:eastAsia="ヒラギノ角ゴ Pro W3" w:hAnsi="Times New Roman Bold" w:hint="eastAsia"/>
          <w:b/>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74"/>
        <w:gridCol w:w="1027"/>
        <w:gridCol w:w="1027"/>
        <w:gridCol w:w="1027"/>
        <w:gridCol w:w="1027"/>
        <w:gridCol w:w="906"/>
        <w:gridCol w:w="956"/>
        <w:gridCol w:w="1032"/>
      </w:tblGrid>
      <w:tr w:rsidR="00C90867" w:rsidRPr="00C90867" w14:paraId="0C1614B4" w14:textId="77777777" w:rsidTr="00771983">
        <w:trPr>
          <w:jc w:val="center"/>
        </w:trPr>
        <w:tc>
          <w:tcPr>
            <w:tcW w:w="1343" w:type="pct"/>
            <w:tcBorders>
              <w:top w:val="single" w:sz="4" w:space="0" w:color="auto"/>
              <w:bottom w:val="single" w:sz="6" w:space="0" w:color="auto"/>
            </w:tcBorders>
            <w:shd w:val="clear" w:color="auto" w:fill="E0E0E0"/>
            <w:vAlign w:val="center"/>
          </w:tcPr>
          <w:p w14:paraId="10A72D83" w14:textId="77777777" w:rsidR="00C90867" w:rsidRPr="00C201F7" w:rsidRDefault="00C90867" w:rsidP="00C90867">
            <w:pPr>
              <w:keepNext/>
              <w:rPr>
                <w:rFonts w:eastAsia="ヒラギノ角ゴ Pro W3"/>
                <w:color w:val="000000"/>
                <w:sz w:val="20"/>
              </w:rPr>
            </w:pPr>
            <w:r w:rsidRPr="00C201F7">
              <w:rPr>
                <w:rFonts w:eastAsia="ヒラギノ角ゴ Pro W3"/>
                <w:color w:val="000000"/>
                <w:sz w:val="20"/>
              </w:rPr>
              <w:t>Spectral Overlap (MHz)</w:t>
            </w:r>
          </w:p>
        </w:tc>
        <w:tc>
          <w:tcPr>
            <w:tcW w:w="536" w:type="pct"/>
            <w:tcBorders>
              <w:top w:val="single" w:sz="4" w:space="0" w:color="auto"/>
              <w:bottom w:val="single" w:sz="6" w:space="0" w:color="auto"/>
            </w:tcBorders>
            <w:shd w:val="clear" w:color="auto" w:fill="E0E0E0"/>
            <w:vAlign w:val="center"/>
          </w:tcPr>
          <w:p w14:paraId="7889C657" w14:textId="77777777" w:rsidR="00C90867" w:rsidRPr="00C201F7" w:rsidRDefault="00C90867" w:rsidP="00C90867">
            <w:pPr>
              <w:keepNext/>
              <w:jc w:val="center"/>
              <w:rPr>
                <w:rFonts w:eastAsia="ヒラギノ角ゴ Pro W3"/>
                <w:color w:val="000000"/>
                <w:sz w:val="20"/>
              </w:rPr>
            </w:pPr>
            <w:r w:rsidRPr="00C201F7">
              <w:rPr>
                <w:rFonts w:eastAsia="ヒラギノ角ゴ Pro W3"/>
                <w:color w:val="000000"/>
                <w:sz w:val="20"/>
              </w:rPr>
              <w:t>5</w:t>
            </w:r>
          </w:p>
        </w:tc>
        <w:tc>
          <w:tcPr>
            <w:tcW w:w="536" w:type="pct"/>
            <w:tcBorders>
              <w:top w:val="single" w:sz="4" w:space="0" w:color="auto"/>
              <w:bottom w:val="single" w:sz="6" w:space="0" w:color="auto"/>
            </w:tcBorders>
            <w:shd w:val="clear" w:color="auto" w:fill="E0E0E0"/>
            <w:vAlign w:val="center"/>
          </w:tcPr>
          <w:p w14:paraId="588AE9F2" w14:textId="77777777" w:rsidR="00C90867" w:rsidRPr="00C201F7" w:rsidRDefault="00C90867" w:rsidP="00C90867">
            <w:pPr>
              <w:keepNext/>
              <w:jc w:val="center"/>
              <w:rPr>
                <w:rFonts w:eastAsia="ヒラギノ角ゴ Pro W3"/>
                <w:color w:val="000000"/>
                <w:sz w:val="20"/>
              </w:rPr>
            </w:pPr>
            <w:r w:rsidRPr="00C201F7">
              <w:rPr>
                <w:rFonts w:eastAsia="ヒラギノ角ゴ Pro W3"/>
                <w:color w:val="000000"/>
                <w:sz w:val="20"/>
              </w:rPr>
              <w:t>4</w:t>
            </w:r>
          </w:p>
        </w:tc>
        <w:tc>
          <w:tcPr>
            <w:tcW w:w="536" w:type="pct"/>
            <w:tcBorders>
              <w:top w:val="single" w:sz="4" w:space="0" w:color="auto"/>
              <w:bottom w:val="single" w:sz="6" w:space="0" w:color="auto"/>
            </w:tcBorders>
            <w:shd w:val="clear" w:color="auto" w:fill="E0E0E0"/>
            <w:vAlign w:val="center"/>
          </w:tcPr>
          <w:p w14:paraId="643DC9F2" w14:textId="77777777" w:rsidR="00C90867" w:rsidRPr="00C201F7" w:rsidRDefault="00C90867" w:rsidP="00C90867">
            <w:pPr>
              <w:keepNext/>
              <w:jc w:val="center"/>
              <w:rPr>
                <w:rFonts w:eastAsia="ヒラギノ角ゴ Pro W3"/>
                <w:color w:val="000000"/>
                <w:sz w:val="20"/>
              </w:rPr>
            </w:pPr>
            <w:r w:rsidRPr="00C201F7">
              <w:rPr>
                <w:rFonts w:eastAsia="ヒラギノ角ゴ Pro W3"/>
                <w:color w:val="000000"/>
                <w:sz w:val="20"/>
              </w:rPr>
              <w:t>3</w:t>
            </w:r>
          </w:p>
        </w:tc>
        <w:tc>
          <w:tcPr>
            <w:tcW w:w="536" w:type="pct"/>
            <w:tcBorders>
              <w:top w:val="single" w:sz="4" w:space="0" w:color="auto"/>
              <w:bottom w:val="single" w:sz="6" w:space="0" w:color="auto"/>
            </w:tcBorders>
            <w:shd w:val="clear" w:color="auto" w:fill="E0E0E0"/>
            <w:vAlign w:val="center"/>
          </w:tcPr>
          <w:p w14:paraId="31792B5F" w14:textId="77777777" w:rsidR="00C90867" w:rsidRPr="00C201F7" w:rsidRDefault="00C90867" w:rsidP="00C90867">
            <w:pPr>
              <w:keepNext/>
              <w:jc w:val="center"/>
              <w:rPr>
                <w:rFonts w:eastAsia="ヒラギノ角ゴ Pro W3"/>
                <w:color w:val="000000"/>
                <w:sz w:val="20"/>
              </w:rPr>
            </w:pPr>
            <w:r w:rsidRPr="00C201F7">
              <w:rPr>
                <w:rFonts w:eastAsia="ヒラギノ角ゴ Pro W3"/>
                <w:color w:val="000000"/>
                <w:sz w:val="20"/>
              </w:rPr>
              <w:t>2</w:t>
            </w:r>
          </w:p>
        </w:tc>
        <w:tc>
          <w:tcPr>
            <w:tcW w:w="473" w:type="pct"/>
            <w:tcBorders>
              <w:top w:val="single" w:sz="4" w:space="0" w:color="auto"/>
              <w:bottom w:val="single" w:sz="6" w:space="0" w:color="auto"/>
            </w:tcBorders>
            <w:shd w:val="clear" w:color="auto" w:fill="E0E0E0"/>
            <w:vAlign w:val="center"/>
          </w:tcPr>
          <w:p w14:paraId="1081A8EA" w14:textId="77777777" w:rsidR="00C90867" w:rsidRPr="00C201F7" w:rsidRDefault="00C90867" w:rsidP="00C90867">
            <w:pPr>
              <w:keepNext/>
              <w:jc w:val="center"/>
              <w:rPr>
                <w:rFonts w:eastAsia="ヒラギノ角ゴ Pro W3"/>
                <w:color w:val="000000"/>
                <w:sz w:val="20"/>
              </w:rPr>
            </w:pPr>
            <w:r w:rsidRPr="00C201F7">
              <w:rPr>
                <w:rFonts w:eastAsia="ヒラギノ角ゴ Pro W3"/>
                <w:color w:val="000000"/>
                <w:sz w:val="20"/>
              </w:rPr>
              <w:t>1</w:t>
            </w:r>
          </w:p>
        </w:tc>
        <w:tc>
          <w:tcPr>
            <w:tcW w:w="499" w:type="pct"/>
            <w:tcBorders>
              <w:top w:val="single" w:sz="4" w:space="0" w:color="auto"/>
              <w:bottom w:val="single" w:sz="6" w:space="0" w:color="auto"/>
            </w:tcBorders>
            <w:shd w:val="clear" w:color="auto" w:fill="E0E0E0"/>
            <w:vAlign w:val="center"/>
          </w:tcPr>
          <w:p w14:paraId="5939E4D6" w14:textId="77777777" w:rsidR="00C90867" w:rsidRPr="00C201F7" w:rsidRDefault="00C90867" w:rsidP="00C90867">
            <w:pPr>
              <w:keepNext/>
              <w:jc w:val="center"/>
              <w:rPr>
                <w:rFonts w:eastAsia="ヒラギノ角ゴ Pro W3"/>
                <w:color w:val="000000"/>
                <w:sz w:val="20"/>
              </w:rPr>
            </w:pPr>
            <w:r w:rsidRPr="00C201F7">
              <w:rPr>
                <w:rFonts w:eastAsia="ヒラギノ角ゴ Pro W3"/>
                <w:color w:val="000000"/>
                <w:sz w:val="20"/>
              </w:rPr>
              <w:t>0</w:t>
            </w:r>
          </w:p>
        </w:tc>
        <w:tc>
          <w:tcPr>
            <w:tcW w:w="539" w:type="pct"/>
            <w:tcBorders>
              <w:top w:val="single" w:sz="4" w:space="0" w:color="auto"/>
              <w:bottom w:val="single" w:sz="6" w:space="0" w:color="auto"/>
            </w:tcBorders>
            <w:shd w:val="clear" w:color="auto" w:fill="E0E0E0"/>
            <w:vAlign w:val="center"/>
          </w:tcPr>
          <w:p w14:paraId="1D0CB8B1" w14:textId="77777777" w:rsidR="00C90867" w:rsidRPr="00C201F7" w:rsidRDefault="00C90867" w:rsidP="00C90867">
            <w:pPr>
              <w:keepNext/>
              <w:jc w:val="center"/>
              <w:rPr>
                <w:rFonts w:eastAsia="ヒラギノ角ゴ Pro W3"/>
                <w:color w:val="000000"/>
                <w:sz w:val="20"/>
              </w:rPr>
            </w:pPr>
            <w:r w:rsidRPr="00C201F7">
              <w:rPr>
                <w:rFonts w:eastAsia="ヒラギノ角ゴ Pro W3"/>
                <w:color w:val="000000"/>
                <w:sz w:val="20"/>
              </w:rPr>
              <w:t>-1 to -5</w:t>
            </w:r>
            <w:r w:rsidRPr="00C201F7">
              <w:rPr>
                <w:rFonts w:eastAsia="ヒラギノ角ゴ Pro W3"/>
                <w:sz w:val="20"/>
                <w:vertAlign w:val="superscript"/>
              </w:rPr>
              <w:footnoteReference w:id="325"/>
            </w:r>
          </w:p>
        </w:tc>
      </w:tr>
      <w:tr w:rsidR="00C90867" w:rsidRPr="00C90867" w14:paraId="0DBC5163" w14:textId="77777777" w:rsidTr="00771983">
        <w:trPr>
          <w:cantSplit/>
          <w:jc w:val="center"/>
        </w:trPr>
        <w:tc>
          <w:tcPr>
            <w:tcW w:w="1343" w:type="pct"/>
            <w:tcBorders>
              <w:top w:val="single" w:sz="6" w:space="0" w:color="auto"/>
              <w:bottom w:val="single" w:sz="6" w:space="0" w:color="auto"/>
            </w:tcBorders>
            <w:vAlign w:val="center"/>
          </w:tcPr>
          <w:p w14:paraId="4624EBEC" w14:textId="77777777" w:rsidR="00C90867" w:rsidRPr="00C201F7" w:rsidRDefault="00C90867" w:rsidP="00C90867">
            <w:pPr>
              <w:keepNext/>
              <w:rPr>
                <w:rFonts w:eastAsia="ヒラギノ角ゴ Pro W3"/>
                <w:color w:val="000000"/>
                <w:szCs w:val="22"/>
              </w:rPr>
            </w:pPr>
            <w:r w:rsidRPr="00C201F7">
              <w:rPr>
                <w:rFonts w:eastAsia="ヒラギノ角ゴ Pro W3"/>
                <w:color w:val="000000"/>
                <w:szCs w:val="22"/>
              </w:rPr>
              <w:t xml:space="preserve">Downlink into DTV </w:t>
            </w:r>
            <w:r w:rsidRPr="00C201F7">
              <w:rPr>
                <w:rFonts w:eastAsia="ヒラギノ角ゴ Pro W3"/>
                <w:color w:val="000000"/>
                <w:szCs w:val="22"/>
              </w:rPr>
              <w:br/>
              <w:t>D/U Required (dB)</w:t>
            </w:r>
          </w:p>
        </w:tc>
        <w:tc>
          <w:tcPr>
            <w:tcW w:w="536" w:type="pct"/>
            <w:tcBorders>
              <w:top w:val="single" w:sz="6" w:space="0" w:color="auto"/>
              <w:bottom w:val="single" w:sz="6" w:space="0" w:color="auto"/>
            </w:tcBorders>
            <w:vAlign w:val="center"/>
          </w:tcPr>
          <w:p w14:paraId="117B8EDC"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16.0 + α</w:t>
            </w:r>
          </w:p>
        </w:tc>
        <w:tc>
          <w:tcPr>
            <w:tcW w:w="536" w:type="pct"/>
            <w:tcBorders>
              <w:top w:val="single" w:sz="6" w:space="0" w:color="auto"/>
              <w:bottom w:val="single" w:sz="6" w:space="0" w:color="auto"/>
            </w:tcBorders>
            <w:vAlign w:val="center"/>
          </w:tcPr>
          <w:p w14:paraId="4C244465"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15.1 + α</w:t>
            </w:r>
          </w:p>
        </w:tc>
        <w:tc>
          <w:tcPr>
            <w:tcW w:w="536" w:type="pct"/>
            <w:tcBorders>
              <w:top w:val="single" w:sz="6" w:space="0" w:color="auto"/>
              <w:bottom w:val="single" w:sz="6" w:space="0" w:color="auto"/>
            </w:tcBorders>
            <w:vAlign w:val="center"/>
          </w:tcPr>
          <w:p w14:paraId="2660B28E"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13.8 + α</w:t>
            </w:r>
          </w:p>
        </w:tc>
        <w:tc>
          <w:tcPr>
            <w:tcW w:w="536" w:type="pct"/>
            <w:tcBorders>
              <w:top w:val="single" w:sz="6" w:space="0" w:color="auto"/>
              <w:bottom w:val="single" w:sz="6" w:space="0" w:color="auto"/>
            </w:tcBorders>
            <w:vAlign w:val="center"/>
          </w:tcPr>
          <w:p w14:paraId="66AEBF96"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12.1 + α</w:t>
            </w:r>
          </w:p>
        </w:tc>
        <w:tc>
          <w:tcPr>
            <w:tcW w:w="473" w:type="pct"/>
            <w:tcBorders>
              <w:top w:val="single" w:sz="6" w:space="0" w:color="auto"/>
              <w:bottom w:val="single" w:sz="6" w:space="0" w:color="auto"/>
            </w:tcBorders>
            <w:vAlign w:val="center"/>
          </w:tcPr>
          <w:p w14:paraId="58F8BAB4"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9.3 + α</w:t>
            </w:r>
          </w:p>
        </w:tc>
        <w:tc>
          <w:tcPr>
            <w:tcW w:w="499" w:type="pct"/>
            <w:tcBorders>
              <w:top w:val="single" w:sz="6" w:space="0" w:color="auto"/>
              <w:bottom w:val="single" w:sz="6" w:space="0" w:color="auto"/>
            </w:tcBorders>
            <w:vAlign w:val="center"/>
          </w:tcPr>
          <w:p w14:paraId="591F63BB" w14:textId="77777777" w:rsidR="00C90867" w:rsidRPr="00C201F7" w:rsidRDefault="00C90867" w:rsidP="008704F1">
            <w:pPr>
              <w:keepNext/>
              <w:jc w:val="center"/>
              <w:rPr>
                <w:rFonts w:eastAsia="ヒラギノ角ゴ Pro W3"/>
                <w:color w:val="000000"/>
                <w:szCs w:val="22"/>
              </w:rPr>
            </w:pPr>
            <w:r w:rsidRPr="00C201F7">
              <w:rPr>
                <w:rFonts w:eastAsia="ヒラギノ角ゴ Pro W3"/>
                <w:color w:val="000000"/>
                <w:szCs w:val="22"/>
              </w:rPr>
              <w:t>-</w:t>
            </w:r>
            <w:r w:rsidR="008704F1" w:rsidRPr="00C201F7">
              <w:rPr>
                <w:rFonts w:eastAsia="ヒラギノ角ゴ Pro W3"/>
                <w:color w:val="000000"/>
                <w:szCs w:val="22"/>
              </w:rPr>
              <w:t>2</w:t>
            </w:r>
            <w:r w:rsidRPr="00C201F7">
              <w:rPr>
                <w:rFonts w:eastAsia="ヒラギノ角ゴ Pro W3"/>
                <w:color w:val="000000"/>
                <w:szCs w:val="22"/>
              </w:rPr>
              <w:t>.0 + α</w:t>
            </w:r>
          </w:p>
        </w:tc>
        <w:tc>
          <w:tcPr>
            <w:tcW w:w="539" w:type="pct"/>
            <w:tcBorders>
              <w:top w:val="single" w:sz="6" w:space="0" w:color="auto"/>
              <w:bottom w:val="single" w:sz="6" w:space="0" w:color="auto"/>
            </w:tcBorders>
            <w:vAlign w:val="center"/>
          </w:tcPr>
          <w:p w14:paraId="2441DCB2" w14:textId="77777777" w:rsidR="00C90867" w:rsidRPr="00C201F7" w:rsidRDefault="00C90867" w:rsidP="008704F1">
            <w:pPr>
              <w:keepNext/>
              <w:jc w:val="center"/>
              <w:rPr>
                <w:rFonts w:eastAsia="ヒラギノ角ゴ Pro W3"/>
                <w:color w:val="000000"/>
                <w:szCs w:val="22"/>
              </w:rPr>
            </w:pPr>
            <w:r w:rsidRPr="00C201F7">
              <w:rPr>
                <w:rFonts w:eastAsia="ヒラギノ角ゴ Pro W3"/>
                <w:color w:val="000000"/>
                <w:szCs w:val="22"/>
              </w:rPr>
              <w:t>-1</w:t>
            </w:r>
            <w:r w:rsidR="008704F1" w:rsidRPr="00C201F7">
              <w:rPr>
                <w:rFonts w:eastAsia="ヒラギノ角ゴ Pro W3"/>
                <w:color w:val="000000"/>
                <w:szCs w:val="22"/>
              </w:rPr>
              <w:t>8</w:t>
            </w:r>
            <w:r w:rsidRPr="00C201F7">
              <w:rPr>
                <w:rFonts w:eastAsia="ヒラギノ角ゴ Pro W3"/>
                <w:color w:val="000000"/>
                <w:szCs w:val="22"/>
              </w:rPr>
              <w:t xml:space="preserve"> + α</w:t>
            </w:r>
          </w:p>
        </w:tc>
      </w:tr>
    </w:tbl>
    <w:p w14:paraId="0C8B09B3" w14:textId="77777777" w:rsidR="00C90867" w:rsidRPr="00C201F7" w:rsidRDefault="00C90867" w:rsidP="00C90867">
      <w:pPr>
        <w:keepLines/>
        <w:spacing w:before="120"/>
        <w:jc w:val="center"/>
        <w:rPr>
          <w:rFonts w:eastAsia="ヒラギノ角ゴ Pro W3"/>
          <w:color w:val="000000"/>
          <w:szCs w:val="22"/>
        </w:rPr>
      </w:pPr>
      <w:bookmarkStart w:id="1091" w:name="Table74_5"/>
      <w:bookmarkStart w:id="1092" w:name="_Ref392079013"/>
      <w:r w:rsidRPr="00C201F7">
        <w:rPr>
          <w:rFonts w:eastAsia="ヒラギノ角ゴ Pro W3"/>
          <w:color w:val="000000"/>
          <w:szCs w:val="22"/>
        </w:rPr>
        <w:t xml:space="preserve">Table </w:t>
      </w:r>
      <w:r w:rsidR="00317F0B" w:rsidRPr="00C201F7">
        <w:rPr>
          <w:rFonts w:eastAsia="ヒラギノ角ゴ Pro W3"/>
          <w:color w:val="000000"/>
          <w:szCs w:val="22"/>
        </w:rPr>
        <w:fldChar w:fldCharType="begin"/>
      </w:r>
      <w:r w:rsidR="00317F0B" w:rsidRPr="00C201F7">
        <w:rPr>
          <w:rFonts w:eastAsia="ヒラギノ角ゴ Pro W3"/>
          <w:color w:val="000000"/>
          <w:szCs w:val="22"/>
        </w:rPr>
        <w:instrText xml:space="preserve"> SEQ Table74 \* MERGEFORMAT </w:instrText>
      </w:r>
      <w:r w:rsidR="00317F0B" w:rsidRPr="00C201F7">
        <w:rPr>
          <w:rFonts w:eastAsia="ヒラギノ角ゴ Pro W3"/>
          <w:color w:val="000000"/>
          <w:szCs w:val="22"/>
        </w:rPr>
        <w:fldChar w:fldCharType="separate"/>
      </w:r>
      <w:r w:rsidR="00656F50">
        <w:rPr>
          <w:rFonts w:eastAsia="ヒラギノ角ゴ Pro W3"/>
          <w:noProof/>
          <w:color w:val="000000"/>
          <w:szCs w:val="22"/>
        </w:rPr>
        <w:t>5</w:t>
      </w:r>
      <w:r w:rsidR="00317F0B" w:rsidRPr="00C201F7">
        <w:rPr>
          <w:rFonts w:eastAsia="ヒラギノ角ゴ Pro W3"/>
          <w:color w:val="000000"/>
          <w:szCs w:val="22"/>
        </w:rPr>
        <w:fldChar w:fldCharType="end"/>
      </w:r>
      <w:bookmarkEnd w:id="1091"/>
      <w:bookmarkEnd w:id="1092"/>
      <w:r w:rsidRPr="00C201F7">
        <w:rPr>
          <w:rFonts w:eastAsia="ヒラギノ角ゴ Pro W3"/>
          <w:color w:val="000000"/>
          <w:szCs w:val="22"/>
        </w:rPr>
        <w:t>.  Threshold interfering D/U ratios for wireless base station into DTV</w:t>
      </w:r>
    </w:p>
    <w:p w14:paraId="4CFFDD7C" w14:textId="77777777" w:rsidR="00771983" w:rsidRPr="00C201F7" w:rsidRDefault="00771983" w:rsidP="00C90867">
      <w:pPr>
        <w:keepLines/>
        <w:spacing w:before="120"/>
        <w:jc w:val="center"/>
        <w:rPr>
          <w:rFonts w:eastAsia="ヒラギノ角ゴ Pro W3"/>
          <w:color w:val="000000"/>
          <w:szCs w:val="22"/>
        </w:rPr>
      </w:pPr>
    </w:p>
    <w:p w14:paraId="0EE0C680" w14:textId="77777777" w:rsidR="00C90867" w:rsidRPr="00C201F7" w:rsidRDefault="00C90867" w:rsidP="00D50682">
      <w:pPr>
        <w:pStyle w:val="Heading2"/>
        <w:rPr>
          <w:rFonts w:eastAsiaTheme="majorEastAsia"/>
        </w:rPr>
      </w:pPr>
      <w:bookmarkStart w:id="1093" w:name="_Toc396982115"/>
      <w:bookmarkStart w:id="1094" w:name="_Toc397609555"/>
      <w:bookmarkStart w:id="1095" w:name="_Toc397610983"/>
      <w:bookmarkStart w:id="1096" w:name="_Toc397962853"/>
      <w:bookmarkStart w:id="1097" w:name="_Toc398023624"/>
      <w:bookmarkStart w:id="1098" w:name="_Toc398903017"/>
      <w:bookmarkStart w:id="1099" w:name="_Toc398903340"/>
      <w:bookmarkStart w:id="1100" w:name="_Toc398903529"/>
      <w:bookmarkStart w:id="1101" w:name="_Toc398904126"/>
      <w:bookmarkStart w:id="1102" w:name="_Toc398904634"/>
      <w:bookmarkStart w:id="1103" w:name="_Toc401305994"/>
      <w:bookmarkStart w:id="1104" w:name="_Toc401306670"/>
      <w:bookmarkStart w:id="1105" w:name="_Toc401306739"/>
      <w:r w:rsidRPr="00C201F7">
        <w:rPr>
          <w:rFonts w:eastAsiaTheme="majorEastAsia"/>
        </w:rPr>
        <w:t>DTV Planning Factors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0D072DC9" w14:textId="77777777" w:rsidR="00C90867" w:rsidRPr="00C201F7" w:rsidRDefault="00C90867" w:rsidP="00C90867">
      <w:pPr>
        <w:ind w:firstLine="720"/>
        <w:rPr>
          <w:rFonts w:eastAsia="ヒラギノ角ゴ Pro W3"/>
          <w:bCs/>
          <w:color w:val="000000"/>
          <w:szCs w:val="22"/>
        </w:rPr>
      </w:pPr>
      <w:r w:rsidRPr="00C201F7">
        <w:rPr>
          <w:rFonts w:eastAsia="ヒラギノ角ゴ Pro W3"/>
          <w:bCs/>
          <w:color w:val="000000"/>
          <w:szCs w:val="22"/>
        </w:rPr>
        <w:t xml:space="preserve">The field strength values in </w:t>
      </w:r>
      <w:r w:rsidR="002E38E6" w:rsidRPr="00C201F7">
        <w:rPr>
          <w:rFonts w:eastAsia="ヒラギノ角ゴ Pro W3"/>
          <w:bCs/>
          <w:color w:val="000000"/>
          <w:szCs w:val="22"/>
        </w:rPr>
        <w:fldChar w:fldCharType="begin"/>
      </w:r>
      <w:r w:rsidR="002E38E6" w:rsidRPr="00C201F7">
        <w:rPr>
          <w:rFonts w:eastAsia="ヒラギノ角ゴ Pro W3"/>
          <w:bCs/>
          <w:color w:val="000000"/>
          <w:szCs w:val="22"/>
        </w:rPr>
        <w:instrText xml:space="preserve"> REF Table74_1 \h </w:instrText>
      </w:r>
      <w:r w:rsidR="00C201F7">
        <w:rPr>
          <w:rFonts w:eastAsia="ヒラギノ角ゴ Pro W3"/>
          <w:bCs/>
          <w:color w:val="000000"/>
          <w:szCs w:val="22"/>
        </w:rPr>
        <w:instrText xml:space="preserve"> \* MERGEFORMAT </w:instrText>
      </w:r>
      <w:r w:rsidR="002E38E6" w:rsidRPr="00C201F7">
        <w:rPr>
          <w:rFonts w:eastAsia="ヒラギノ角ゴ Pro W3"/>
          <w:bCs/>
          <w:color w:val="000000"/>
          <w:szCs w:val="22"/>
        </w:rPr>
      </w:r>
      <w:r w:rsidR="002E38E6" w:rsidRPr="00C201F7">
        <w:rPr>
          <w:rFonts w:eastAsia="ヒラギノ角ゴ Pro W3"/>
          <w:bCs/>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1</w:t>
      </w:r>
      <w:r w:rsidR="002E38E6" w:rsidRPr="00C201F7">
        <w:rPr>
          <w:rFonts w:eastAsia="ヒラギノ角ゴ Pro W3"/>
          <w:bCs/>
          <w:color w:val="000000"/>
          <w:szCs w:val="22"/>
        </w:rPr>
        <w:fldChar w:fldCharType="end"/>
      </w:r>
      <w:r w:rsidRPr="00C201F7">
        <w:rPr>
          <w:rFonts w:eastAsia="ヒラギノ角ゴ Pro W3"/>
          <w:bCs/>
          <w:color w:val="000000"/>
          <w:szCs w:val="22"/>
        </w:rPr>
        <w:t xml:space="preserve"> and </w:t>
      </w:r>
      <w:r w:rsidR="002E38E6" w:rsidRPr="00C201F7">
        <w:rPr>
          <w:rFonts w:eastAsia="ヒラギノ角ゴ Pro W3"/>
          <w:bCs/>
          <w:color w:val="000000"/>
          <w:szCs w:val="22"/>
        </w:rPr>
        <w:fldChar w:fldCharType="begin"/>
      </w:r>
      <w:r w:rsidR="002E38E6" w:rsidRPr="00C201F7">
        <w:rPr>
          <w:rFonts w:eastAsia="ヒラギノ角ゴ Pro W3"/>
          <w:bCs/>
          <w:color w:val="000000"/>
          <w:szCs w:val="22"/>
        </w:rPr>
        <w:instrText xml:space="preserve"> REF Table74_2 \h </w:instrText>
      </w:r>
      <w:r w:rsidR="00C201F7">
        <w:rPr>
          <w:rFonts w:eastAsia="ヒラギノ角ゴ Pro W3"/>
          <w:bCs/>
          <w:color w:val="000000"/>
          <w:szCs w:val="22"/>
        </w:rPr>
        <w:instrText xml:space="preserve"> \* MERGEFORMAT </w:instrText>
      </w:r>
      <w:r w:rsidR="002E38E6" w:rsidRPr="00C201F7">
        <w:rPr>
          <w:rFonts w:eastAsia="ヒラギノ角ゴ Pro W3"/>
          <w:bCs/>
          <w:color w:val="000000"/>
          <w:szCs w:val="22"/>
        </w:rPr>
      </w:r>
      <w:r w:rsidR="002E38E6" w:rsidRPr="00C201F7">
        <w:rPr>
          <w:rFonts w:eastAsia="ヒラギノ角ゴ Pro W3"/>
          <w:bCs/>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2</w:t>
      </w:r>
      <w:r w:rsidR="002E38E6" w:rsidRPr="00C201F7">
        <w:rPr>
          <w:rFonts w:eastAsia="ヒラギノ角ゴ Pro W3"/>
          <w:bCs/>
          <w:color w:val="000000"/>
          <w:szCs w:val="22"/>
        </w:rPr>
        <w:fldChar w:fldCharType="end"/>
      </w:r>
      <w:r w:rsidRPr="00C201F7">
        <w:rPr>
          <w:rFonts w:eastAsia="ヒラギノ角ゴ Pro W3"/>
          <w:bCs/>
          <w:color w:val="000000"/>
          <w:szCs w:val="22"/>
        </w:rPr>
        <w:t xml:space="preserve"> define the area subject to interference calculations for full-power and Class A UHF DTV stations, respectively. These field strengths are based on the DTV planning factors for UHF shown in </w:t>
      </w:r>
      <w:r w:rsidR="002E38E6" w:rsidRPr="00C201F7">
        <w:rPr>
          <w:rFonts w:eastAsia="ヒラギノ角ゴ Pro W3"/>
          <w:bCs/>
          <w:color w:val="000000"/>
          <w:szCs w:val="22"/>
        </w:rPr>
        <w:fldChar w:fldCharType="begin"/>
      </w:r>
      <w:r w:rsidR="002E38E6" w:rsidRPr="00C201F7">
        <w:rPr>
          <w:rFonts w:eastAsia="ヒラギノ角ゴ Pro W3"/>
          <w:bCs/>
          <w:color w:val="000000"/>
          <w:szCs w:val="22"/>
        </w:rPr>
        <w:instrText xml:space="preserve"> REF Table74_6 \h </w:instrText>
      </w:r>
      <w:r w:rsidR="00C201F7">
        <w:rPr>
          <w:rFonts w:eastAsia="ヒラギノ角ゴ Pro W3"/>
          <w:bCs/>
          <w:color w:val="000000"/>
          <w:szCs w:val="22"/>
        </w:rPr>
        <w:instrText xml:space="preserve"> \* MERGEFORMAT </w:instrText>
      </w:r>
      <w:r w:rsidR="002E38E6" w:rsidRPr="00C201F7">
        <w:rPr>
          <w:rFonts w:eastAsia="ヒラギノ角ゴ Pro W3"/>
          <w:bCs/>
          <w:color w:val="000000"/>
          <w:szCs w:val="22"/>
        </w:rPr>
      </w:r>
      <w:r w:rsidR="002E38E6" w:rsidRPr="00C201F7">
        <w:rPr>
          <w:rFonts w:eastAsia="ヒラギノ角ゴ Pro W3"/>
          <w:bCs/>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6</w:t>
      </w:r>
      <w:r w:rsidR="002E38E6" w:rsidRPr="00C201F7">
        <w:rPr>
          <w:rFonts w:eastAsia="ヒラギノ角ゴ Pro W3"/>
          <w:bCs/>
          <w:color w:val="000000"/>
          <w:szCs w:val="22"/>
        </w:rPr>
        <w:fldChar w:fldCharType="end"/>
      </w:r>
      <w:r w:rsidRPr="00C201F7">
        <w:rPr>
          <w:rFonts w:eastAsia="ヒラギノ角ゴ Pro W3"/>
          <w:bCs/>
          <w:color w:val="000000"/>
          <w:szCs w:val="22"/>
        </w:rPr>
        <w:t xml:space="preserve">.   These planning factors are assumed to characterize the equipment, including antenna systems, used for consumer reception at fixed locations.  They determine the minimum field strength for DTV reception in the UHF band.  </w:t>
      </w:r>
    </w:p>
    <w:p w14:paraId="67744292" w14:textId="77777777" w:rsidR="00C90867" w:rsidRPr="00C201F7" w:rsidRDefault="00C90867" w:rsidP="00C90867">
      <w:pPr>
        <w:keepNext/>
        <w:spacing w:after="120"/>
        <w:jc w:val="center"/>
        <w:rPr>
          <w:rFonts w:eastAsia="ヒラギノ角ゴ Pro W3"/>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51"/>
        <w:gridCol w:w="839"/>
        <w:gridCol w:w="966"/>
      </w:tblGrid>
      <w:tr w:rsidR="00C90867" w:rsidRPr="00C90867" w14:paraId="4C7D4686" w14:textId="77777777" w:rsidTr="00771983">
        <w:trPr>
          <w:jc w:val="center"/>
        </w:trPr>
        <w:tc>
          <w:tcPr>
            <w:tcW w:w="0" w:type="auto"/>
            <w:tcBorders>
              <w:top w:val="single" w:sz="4" w:space="0" w:color="auto"/>
              <w:bottom w:val="single" w:sz="6" w:space="0" w:color="auto"/>
            </w:tcBorders>
            <w:shd w:val="clear" w:color="auto" w:fill="E0E0E0"/>
            <w:vAlign w:val="bottom"/>
          </w:tcPr>
          <w:p w14:paraId="722AD0F9"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Planning Factor</w:t>
            </w:r>
          </w:p>
        </w:tc>
        <w:tc>
          <w:tcPr>
            <w:tcW w:w="0" w:type="auto"/>
            <w:tcBorders>
              <w:top w:val="single" w:sz="4" w:space="0" w:color="auto"/>
              <w:bottom w:val="single" w:sz="6" w:space="0" w:color="auto"/>
            </w:tcBorders>
            <w:shd w:val="clear" w:color="auto" w:fill="E0E0E0"/>
            <w:vAlign w:val="bottom"/>
          </w:tcPr>
          <w:p w14:paraId="6F9FDCE9"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Symbol</w:t>
            </w:r>
          </w:p>
        </w:tc>
        <w:tc>
          <w:tcPr>
            <w:tcW w:w="0" w:type="auto"/>
            <w:tcBorders>
              <w:top w:val="single" w:sz="4" w:space="0" w:color="auto"/>
              <w:bottom w:val="single" w:sz="6" w:space="0" w:color="auto"/>
            </w:tcBorders>
            <w:shd w:val="clear" w:color="auto" w:fill="E0E0E0"/>
            <w:vAlign w:val="bottom"/>
          </w:tcPr>
          <w:p w14:paraId="62EACB9B"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UHF</w:t>
            </w:r>
          </w:p>
          <w:p w14:paraId="6491E7FA" w14:textId="77777777" w:rsidR="00C90867" w:rsidRPr="00C90867" w:rsidRDefault="00C90867" w:rsidP="00C90867">
            <w:pPr>
              <w:keepNext/>
              <w:jc w:val="center"/>
              <w:rPr>
                <w:rFonts w:eastAsia="ヒラギノ角ゴ Pro W3"/>
                <w:color w:val="000000"/>
                <w:sz w:val="20"/>
                <w:szCs w:val="24"/>
              </w:rPr>
            </w:pPr>
            <w:r w:rsidRPr="00C90867">
              <w:rPr>
                <w:rFonts w:eastAsia="ヒラギノ角ゴ Pro W3"/>
                <w:color w:val="000000"/>
                <w:sz w:val="20"/>
                <w:szCs w:val="24"/>
              </w:rPr>
              <w:t>Ch 14-51</w:t>
            </w:r>
          </w:p>
        </w:tc>
      </w:tr>
      <w:tr w:rsidR="00C90867" w:rsidRPr="00C201F7" w14:paraId="5852BEEA" w14:textId="77777777" w:rsidTr="00771983">
        <w:trPr>
          <w:jc w:val="center"/>
        </w:trPr>
        <w:tc>
          <w:tcPr>
            <w:tcW w:w="0" w:type="auto"/>
            <w:tcBorders>
              <w:top w:val="single" w:sz="6" w:space="0" w:color="auto"/>
            </w:tcBorders>
          </w:tcPr>
          <w:p w14:paraId="7D076150" w14:textId="77777777" w:rsidR="00C90867" w:rsidRPr="00C201F7" w:rsidRDefault="00C90867" w:rsidP="00C90867">
            <w:pPr>
              <w:keepNext/>
              <w:rPr>
                <w:rFonts w:eastAsia="ヒラギノ角ゴ Pro W3"/>
                <w:color w:val="000000"/>
                <w:szCs w:val="22"/>
              </w:rPr>
            </w:pPr>
            <w:r w:rsidRPr="00C201F7">
              <w:rPr>
                <w:rFonts w:eastAsia="ヒラギノ角ゴ Pro W3"/>
                <w:color w:val="000000"/>
                <w:szCs w:val="22"/>
              </w:rPr>
              <w:t>Geometric mean frequency (MHz)</w:t>
            </w:r>
          </w:p>
        </w:tc>
        <w:tc>
          <w:tcPr>
            <w:tcW w:w="0" w:type="auto"/>
            <w:tcBorders>
              <w:top w:val="single" w:sz="6" w:space="0" w:color="auto"/>
            </w:tcBorders>
          </w:tcPr>
          <w:p w14:paraId="1F2D23B7"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F</w:t>
            </w:r>
          </w:p>
        </w:tc>
        <w:tc>
          <w:tcPr>
            <w:tcW w:w="0" w:type="auto"/>
            <w:tcBorders>
              <w:top w:val="single" w:sz="6" w:space="0" w:color="auto"/>
            </w:tcBorders>
          </w:tcPr>
          <w:p w14:paraId="21BFDB74"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615</w:t>
            </w:r>
          </w:p>
        </w:tc>
      </w:tr>
      <w:tr w:rsidR="00C90867" w:rsidRPr="00C201F7" w14:paraId="454F9035" w14:textId="77777777" w:rsidTr="00771983">
        <w:trPr>
          <w:jc w:val="center"/>
        </w:trPr>
        <w:tc>
          <w:tcPr>
            <w:tcW w:w="0" w:type="auto"/>
          </w:tcPr>
          <w:p w14:paraId="797305AC" w14:textId="77777777" w:rsidR="00C90867" w:rsidRPr="00C201F7" w:rsidRDefault="00C90867" w:rsidP="00C90867">
            <w:pPr>
              <w:keepNext/>
              <w:rPr>
                <w:rFonts w:eastAsia="ヒラギノ角ゴ Pro W3"/>
                <w:color w:val="000000"/>
                <w:szCs w:val="22"/>
              </w:rPr>
            </w:pPr>
            <w:r w:rsidRPr="00C201F7">
              <w:rPr>
                <w:rFonts w:eastAsia="ヒラギノ角ゴ Pro W3"/>
                <w:color w:val="000000"/>
                <w:szCs w:val="22"/>
              </w:rPr>
              <w:t>Dipole factor (dBm-dBµV/m)</w:t>
            </w:r>
          </w:p>
        </w:tc>
        <w:tc>
          <w:tcPr>
            <w:tcW w:w="0" w:type="auto"/>
          </w:tcPr>
          <w:p w14:paraId="4CADA28D"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K</w:t>
            </w:r>
            <w:r w:rsidRPr="00C201F7">
              <w:rPr>
                <w:rFonts w:eastAsia="ヒラギノ角ゴ Pro W3"/>
                <w:color w:val="000000"/>
                <w:szCs w:val="22"/>
                <w:vertAlign w:val="subscript"/>
              </w:rPr>
              <w:t>d</w:t>
            </w:r>
          </w:p>
        </w:tc>
        <w:tc>
          <w:tcPr>
            <w:tcW w:w="0" w:type="auto"/>
          </w:tcPr>
          <w:p w14:paraId="3C41D9DC"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-130.8</w:t>
            </w:r>
          </w:p>
        </w:tc>
      </w:tr>
      <w:tr w:rsidR="00C90867" w:rsidRPr="00C201F7" w14:paraId="7936AED4" w14:textId="77777777" w:rsidTr="00771983">
        <w:trPr>
          <w:jc w:val="center"/>
        </w:trPr>
        <w:tc>
          <w:tcPr>
            <w:tcW w:w="0" w:type="auto"/>
          </w:tcPr>
          <w:p w14:paraId="185C1F71" w14:textId="77777777" w:rsidR="00C90867" w:rsidRPr="00C201F7" w:rsidRDefault="00C90867" w:rsidP="00C90867">
            <w:pPr>
              <w:keepNext/>
              <w:rPr>
                <w:rFonts w:eastAsia="ヒラギノ角ゴ Pro W3"/>
                <w:color w:val="000000"/>
                <w:szCs w:val="22"/>
              </w:rPr>
            </w:pPr>
            <w:r w:rsidRPr="00C201F7">
              <w:rPr>
                <w:rFonts w:eastAsia="ヒラギノ角ゴ Pro W3"/>
                <w:color w:val="000000"/>
                <w:szCs w:val="22"/>
              </w:rPr>
              <w:t>Dipole factor adjustment</w:t>
            </w:r>
          </w:p>
        </w:tc>
        <w:tc>
          <w:tcPr>
            <w:tcW w:w="0" w:type="auto"/>
          </w:tcPr>
          <w:p w14:paraId="212EF1E4"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K</w:t>
            </w:r>
            <w:r w:rsidRPr="00C201F7">
              <w:rPr>
                <w:rFonts w:eastAsia="ヒラギノ角ゴ Pro W3"/>
                <w:color w:val="000000"/>
                <w:szCs w:val="22"/>
                <w:vertAlign w:val="subscript"/>
              </w:rPr>
              <w:t>a</w:t>
            </w:r>
          </w:p>
        </w:tc>
        <w:tc>
          <w:tcPr>
            <w:tcW w:w="0" w:type="auto"/>
          </w:tcPr>
          <w:p w14:paraId="21028861"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see text</w:t>
            </w:r>
          </w:p>
        </w:tc>
      </w:tr>
      <w:tr w:rsidR="00C90867" w:rsidRPr="00C201F7" w14:paraId="19AE65CF" w14:textId="77777777" w:rsidTr="00771983">
        <w:trPr>
          <w:jc w:val="center"/>
        </w:trPr>
        <w:tc>
          <w:tcPr>
            <w:tcW w:w="0" w:type="auto"/>
          </w:tcPr>
          <w:p w14:paraId="41DDE0B2" w14:textId="77777777" w:rsidR="00C90867" w:rsidRPr="00C201F7" w:rsidRDefault="00C90867" w:rsidP="00C90867">
            <w:pPr>
              <w:keepNext/>
              <w:rPr>
                <w:rFonts w:eastAsia="ヒラギノ角ゴ Pro W3"/>
                <w:color w:val="000000"/>
                <w:szCs w:val="22"/>
              </w:rPr>
            </w:pPr>
            <w:r w:rsidRPr="00C201F7">
              <w:rPr>
                <w:rFonts w:eastAsia="ヒラギノ角ゴ Pro W3"/>
                <w:color w:val="000000"/>
                <w:szCs w:val="22"/>
              </w:rPr>
              <w:t>Thermal noise (dBm)</w:t>
            </w:r>
          </w:p>
        </w:tc>
        <w:tc>
          <w:tcPr>
            <w:tcW w:w="0" w:type="auto"/>
          </w:tcPr>
          <w:p w14:paraId="7801D2DE"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N</w:t>
            </w:r>
            <w:r w:rsidRPr="00C201F7">
              <w:rPr>
                <w:rFonts w:eastAsia="ヒラギノ角ゴ Pro W3"/>
                <w:color w:val="000000"/>
                <w:szCs w:val="22"/>
                <w:vertAlign w:val="subscript"/>
              </w:rPr>
              <w:t>t</w:t>
            </w:r>
          </w:p>
        </w:tc>
        <w:tc>
          <w:tcPr>
            <w:tcW w:w="0" w:type="auto"/>
          </w:tcPr>
          <w:p w14:paraId="7903966A"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-106.2</w:t>
            </w:r>
          </w:p>
        </w:tc>
      </w:tr>
      <w:tr w:rsidR="00C90867" w:rsidRPr="00C201F7" w14:paraId="08600295" w14:textId="77777777" w:rsidTr="00771983">
        <w:trPr>
          <w:jc w:val="center"/>
        </w:trPr>
        <w:tc>
          <w:tcPr>
            <w:tcW w:w="0" w:type="auto"/>
          </w:tcPr>
          <w:p w14:paraId="52846F12" w14:textId="77777777" w:rsidR="00C90867" w:rsidRPr="00C201F7" w:rsidRDefault="00C90867" w:rsidP="00C90867">
            <w:pPr>
              <w:keepNext/>
              <w:rPr>
                <w:rFonts w:eastAsia="ヒラギノ角ゴ Pro W3"/>
                <w:color w:val="000000"/>
                <w:szCs w:val="22"/>
              </w:rPr>
            </w:pPr>
            <w:r w:rsidRPr="00C201F7">
              <w:rPr>
                <w:rFonts w:eastAsia="ヒラギノ角ゴ Pro W3"/>
                <w:color w:val="000000"/>
                <w:szCs w:val="22"/>
              </w:rPr>
              <w:t>Antenna gain (dBd)</w:t>
            </w:r>
          </w:p>
        </w:tc>
        <w:tc>
          <w:tcPr>
            <w:tcW w:w="0" w:type="auto"/>
          </w:tcPr>
          <w:p w14:paraId="3DA5DA35"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G</w:t>
            </w:r>
          </w:p>
        </w:tc>
        <w:tc>
          <w:tcPr>
            <w:tcW w:w="0" w:type="auto"/>
          </w:tcPr>
          <w:p w14:paraId="1EB106D6"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10</w:t>
            </w:r>
          </w:p>
        </w:tc>
      </w:tr>
      <w:tr w:rsidR="00C90867" w:rsidRPr="00C201F7" w14:paraId="2351DE10" w14:textId="77777777" w:rsidTr="00771983">
        <w:trPr>
          <w:jc w:val="center"/>
        </w:trPr>
        <w:tc>
          <w:tcPr>
            <w:tcW w:w="0" w:type="auto"/>
          </w:tcPr>
          <w:p w14:paraId="664FC280" w14:textId="77777777" w:rsidR="00C90867" w:rsidRPr="00C201F7" w:rsidRDefault="00C90867" w:rsidP="00C90867">
            <w:pPr>
              <w:keepNext/>
              <w:rPr>
                <w:rFonts w:eastAsia="ヒラギノ角ゴ Pro W3"/>
                <w:color w:val="000000"/>
                <w:szCs w:val="22"/>
              </w:rPr>
            </w:pPr>
            <w:r w:rsidRPr="00C201F7">
              <w:rPr>
                <w:rFonts w:eastAsia="ヒラギノ角ゴ Pro W3"/>
                <w:color w:val="000000"/>
                <w:szCs w:val="22"/>
              </w:rPr>
              <w:t>Downlead line loss (dB)</w:t>
            </w:r>
          </w:p>
        </w:tc>
        <w:tc>
          <w:tcPr>
            <w:tcW w:w="0" w:type="auto"/>
          </w:tcPr>
          <w:p w14:paraId="1CE5A76E"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L</w:t>
            </w:r>
          </w:p>
        </w:tc>
        <w:tc>
          <w:tcPr>
            <w:tcW w:w="0" w:type="auto"/>
          </w:tcPr>
          <w:p w14:paraId="3154F543"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4</w:t>
            </w:r>
          </w:p>
        </w:tc>
      </w:tr>
      <w:tr w:rsidR="00C90867" w:rsidRPr="00C201F7" w14:paraId="0075FF47" w14:textId="77777777" w:rsidTr="00771983">
        <w:trPr>
          <w:jc w:val="center"/>
        </w:trPr>
        <w:tc>
          <w:tcPr>
            <w:tcW w:w="0" w:type="auto"/>
          </w:tcPr>
          <w:p w14:paraId="16C0D3AC" w14:textId="77777777" w:rsidR="00C90867" w:rsidRPr="00C201F7" w:rsidRDefault="00C90867" w:rsidP="00C90867">
            <w:pPr>
              <w:keepNext/>
              <w:rPr>
                <w:rFonts w:eastAsia="ヒラギノ角ゴ Pro W3"/>
                <w:color w:val="000000"/>
                <w:szCs w:val="22"/>
              </w:rPr>
            </w:pPr>
            <w:r w:rsidRPr="00C201F7">
              <w:rPr>
                <w:rFonts w:eastAsia="ヒラギノ角ゴ Pro W3"/>
                <w:color w:val="000000"/>
                <w:szCs w:val="22"/>
              </w:rPr>
              <w:t>System noise figure (dB)</w:t>
            </w:r>
          </w:p>
        </w:tc>
        <w:tc>
          <w:tcPr>
            <w:tcW w:w="0" w:type="auto"/>
          </w:tcPr>
          <w:p w14:paraId="7E852860"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N</w:t>
            </w:r>
            <w:r w:rsidRPr="00C201F7">
              <w:rPr>
                <w:rFonts w:eastAsia="ヒラギノ角ゴ Pro W3"/>
                <w:color w:val="000000"/>
                <w:szCs w:val="22"/>
                <w:vertAlign w:val="subscript"/>
              </w:rPr>
              <w:t>s</w:t>
            </w:r>
          </w:p>
        </w:tc>
        <w:tc>
          <w:tcPr>
            <w:tcW w:w="0" w:type="auto"/>
          </w:tcPr>
          <w:p w14:paraId="556AE23C" w14:textId="77777777" w:rsidR="00C90867" w:rsidRPr="00C201F7" w:rsidRDefault="00C90867" w:rsidP="00C90867">
            <w:pPr>
              <w:keepNext/>
              <w:jc w:val="center"/>
              <w:rPr>
                <w:rFonts w:eastAsia="ヒラギノ角ゴ Pro W3"/>
                <w:color w:val="000000"/>
                <w:szCs w:val="22"/>
              </w:rPr>
            </w:pPr>
            <w:r w:rsidRPr="00C201F7">
              <w:rPr>
                <w:rFonts w:eastAsia="ヒラギノ角ゴ Pro W3"/>
                <w:color w:val="000000"/>
                <w:szCs w:val="22"/>
              </w:rPr>
              <w:t>7</w:t>
            </w:r>
          </w:p>
        </w:tc>
      </w:tr>
      <w:tr w:rsidR="00C90867" w:rsidRPr="00C201F7" w14:paraId="7AC81324" w14:textId="77777777" w:rsidTr="00771983">
        <w:trPr>
          <w:jc w:val="center"/>
        </w:trPr>
        <w:tc>
          <w:tcPr>
            <w:tcW w:w="0" w:type="auto"/>
          </w:tcPr>
          <w:p w14:paraId="49CEF459" w14:textId="77777777" w:rsidR="00C90867" w:rsidRPr="00C201F7" w:rsidRDefault="00C90867" w:rsidP="00C90867">
            <w:pPr>
              <w:keepNext/>
              <w:rPr>
                <w:rFonts w:eastAsia="ヒラギノ角ゴ Pro W3"/>
                <w:b/>
                <w:bCs/>
                <w:color w:val="000000"/>
                <w:szCs w:val="22"/>
                <w:lang w:eastAsia="ja-JP"/>
              </w:rPr>
            </w:pPr>
            <w:r w:rsidRPr="00C201F7">
              <w:rPr>
                <w:rFonts w:eastAsia="ヒラギノ角ゴ Pro W3"/>
                <w:color w:val="000000"/>
                <w:szCs w:val="22"/>
              </w:rPr>
              <w:t>Required signal-to-Noise ratio (dB)</w:t>
            </w:r>
          </w:p>
        </w:tc>
        <w:tc>
          <w:tcPr>
            <w:tcW w:w="0" w:type="auto"/>
          </w:tcPr>
          <w:p w14:paraId="2380E4F5" w14:textId="77777777" w:rsidR="00C90867" w:rsidRPr="00C201F7" w:rsidRDefault="00C90867" w:rsidP="00C90867">
            <w:pPr>
              <w:keepNext/>
              <w:jc w:val="center"/>
              <w:rPr>
                <w:rFonts w:eastAsia="ヒラギノ角ゴ Pro W3"/>
                <w:b/>
                <w:bCs/>
                <w:color w:val="000000"/>
                <w:szCs w:val="22"/>
                <w:lang w:eastAsia="ja-JP"/>
              </w:rPr>
            </w:pPr>
            <w:r w:rsidRPr="00C201F7">
              <w:rPr>
                <w:rFonts w:eastAsia="ヒラギノ角ゴ Pro W3"/>
                <w:color w:val="000000"/>
                <w:szCs w:val="22"/>
              </w:rPr>
              <w:t>S/N</w:t>
            </w:r>
          </w:p>
        </w:tc>
        <w:tc>
          <w:tcPr>
            <w:tcW w:w="0" w:type="auto"/>
          </w:tcPr>
          <w:p w14:paraId="22DC5C27" w14:textId="77777777" w:rsidR="00C90867" w:rsidRPr="00C201F7" w:rsidRDefault="00C90867" w:rsidP="00C90867">
            <w:pPr>
              <w:keepNext/>
              <w:jc w:val="center"/>
              <w:rPr>
                <w:rFonts w:eastAsia="ヒラギノ角ゴ Pro W3"/>
                <w:b/>
                <w:bCs/>
                <w:color w:val="000000"/>
                <w:szCs w:val="22"/>
                <w:lang w:eastAsia="ja-JP"/>
              </w:rPr>
            </w:pPr>
            <w:r w:rsidRPr="00C201F7">
              <w:rPr>
                <w:rFonts w:eastAsia="ヒラギノ角ゴ Pro W3"/>
                <w:color w:val="000000"/>
                <w:szCs w:val="22"/>
              </w:rPr>
              <w:t>15</w:t>
            </w:r>
          </w:p>
        </w:tc>
      </w:tr>
    </w:tbl>
    <w:p w14:paraId="68933726" w14:textId="77777777" w:rsidR="00C90867" w:rsidRPr="00C201F7" w:rsidRDefault="00C90867" w:rsidP="00C90867">
      <w:pPr>
        <w:keepNext/>
        <w:spacing w:before="120"/>
        <w:jc w:val="center"/>
        <w:rPr>
          <w:rFonts w:eastAsia="ヒラギノ角ゴ Pro W3"/>
          <w:color w:val="000000"/>
          <w:szCs w:val="22"/>
        </w:rPr>
      </w:pPr>
      <w:bookmarkStart w:id="1106" w:name="Table74_6"/>
      <w:bookmarkStart w:id="1107" w:name="_Ref396980636"/>
      <w:r w:rsidRPr="00C201F7">
        <w:rPr>
          <w:rFonts w:eastAsia="ヒラギノ角ゴ Pro W3"/>
          <w:color w:val="000000"/>
          <w:szCs w:val="22"/>
        </w:rPr>
        <w:t xml:space="preserve">Table </w:t>
      </w:r>
      <w:r w:rsidR="00317F0B" w:rsidRPr="00C201F7">
        <w:rPr>
          <w:rFonts w:eastAsia="ヒラギノ角ゴ Pro W3"/>
          <w:color w:val="000000"/>
          <w:szCs w:val="22"/>
        </w:rPr>
        <w:fldChar w:fldCharType="begin"/>
      </w:r>
      <w:r w:rsidR="00317F0B" w:rsidRPr="00C201F7">
        <w:rPr>
          <w:rFonts w:eastAsia="ヒラギノ角ゴ Pro W3"/>
          <w:color w:val="000000"/>
          <w:szCs w:val="22"/>
        </w:rPr>
        <w:instrText xml:space="preserve"> SEQ Table74 \* MERGEFORMAT </w:instrText>
      </w:r>
      <w:r w:rsidR="00317F0B" w:rsidRPr="00C201F7">
        <w:rPr>
          <w:rFonts w:eastAsia="ヒラギノ角ゴ Pro W3"/>
          <w:color w:val="000000"/>
          <w:szCs w:val="22"/>
        </w:rPr>
        <w:fldChar w:fldCharType="separate"/>
      </w:r>
      <w:r w:rsidR="00656F50">
        <w:rPr>
          <w:rFonts w:eastAsia="ヒラギノ角ゴ Pro W3"/>
          <w:noProof/>
          <w:color w:val="000000"/>
          <w:szCs w:val="22"/>
        </w:rPr>
        <w:t>6</w:t>
      </w:r>
      <w:r w:rsidR="00317F0B" w:rsidRPr="00C201F7">
        <w:rPr>
          <w:rFonts w:eastAsia="ヒラギノ角ゴ Pro W3"/>
          <w:color w:val="000000"/>
          <w:szCs w:val="22"/>
        </w:rPr>
        <w:fldChar w:fldCharType="end"/>
      </w:r>
      <w:bookmarkEnd w:id="1106"/>
      <w:bookmarkEnd w:id="1107"/>
      <w:r w:rsidRPr="00C201F7">
        <w:rPr>
          <w:rFonts w:eastAsia="ヒラギノ角ゴ Pro W3"/>
          <w:color w:val="000000"/>
          <w:szCs w:val="22"/>
        </w:rPr>
        <w:t>.  Planning factors for UHF</w:t>
      </w:r>
    </w:p>
    <w:p w14:paraId="72B79C5F" w14:textId="77777777" w:rsidR="00C90867" w:rsidRPr="00C201F7" w:rsidRDefault="00C90867" w:rsidP="00C90867">
      <w:pPr>
        <w:jc w:val="both"/>
        <w:rPr>
          <w:rFonts w:eastAsia="ヒラギノ角ゴ Pro W3"/>
          <w:bCs/>
          <w:color w:val="000000"/>
          <w:szCs w:val="22"/>
        </w:rPr>
      </w:pPr>
    </w:p>
    <w:p w14:paraId="08F6D41D" w14:textId="77777777" w:rsidR="00C90867" w:rsidRPr="00C201F7" w:rsidRDefault="00C90867" w:rsidP="00C90867">
      <w:pPr>
        <w:ind w:firstLine="720"/>
        <w:rPr>
          <w:rFonts w:eastAsia="ヒラギノ角ゴ Pro W3"/>
          <w:bCs/>
          <w:color w:val="000000"/>
          <w:szCs w:val="22"/>
        </w:rPr>
      </w:pPr>
      <w:r w:rsidRPr="00C201F7">
        <w:rPr>
          <w:rFonts w:eastAsia="ヒラギノ角ゴ Pro W3"/>
          <w:bCs/>
          <w:color w:val="000000"/>
          <w:szCs w:val="22"/>
        </w:rPr>
        <w:t>For UHF, the dipole adjustment factor, K</w:t>
      </w:r>
      <w:r w:rsidRPr="00C201F7">
        <w:rPr>
          <w:rFonts w:eastAsia="ヒラギノ角ゴ Pro W3"/>
          <w:bCs/>
          <w:color w:val="000000"/>
          <w:szCs w:val="22"/>
          <w:vertAlign w:val="subscript"/>
        </w:rPr>
        <w:t>a</w:t>
      </w:r>
      <w:r w:rsidRPr="00C201F7">
        <w:rPr>
          <w:rFonts w:eastAsia="ヒラギノ角ゴ Pro W3"/>
          <w:bCs/>
          <w:color w:val="000000"/>
          <w:szCs w:val="22"/>
        </w:rPr>
        <w:t xml:space="preserve"> = 20log</w:t>
      </w:r>
      <w:r w:rsidRPr="00C201F7">
        <w:rPr>
          <w:rFonts w:eastAsia="ヒラギノ角ゴ Pro W3"/>
          <w:bCs/>
          <w:color w:val="000000"/>
          <w:szCs w:val="22"/>
          <w:vertAlign w:val="subscript"/>
        </w:rPr>
        <w:t>10</w:t>
      </w:r>
      <w:r w:rsidRPr="00C201F7">
        <w:rPr>
          <w:rFonts w:eastAsia="ヒラギノ角ゴ Pro W3"/>
          <w:bCs/>
          <w:color w:val="000000"/>
          <w:szCs w:val="22"/>
        </w:rPr>
        <w:t>[615/(channel mid-frequency in MHz)], is added to K</w:t>
      </w:r>
      <w:r w:rsidRPr="00C201F7">
        <w:rPr>
          <w:rFonts w:eastAsia="ヒラギノ角ゴ Pro W3"/>
          <w:bCs/>
          <w:color w:val="000000"/>
          <w:szCs w:val="22"/>
          <w:vertAlign w:val="subscript"/>
        </w:rPr>
        <w:t>d</w:t>
      </w:r>
      <w:r w:rsidRPr="00C201F7">
        <w:rPr>
          <w:rFonts w:eastAsia="ヒラギノ角ゴ Pro W3"/>
          <w:bCs/>
          <w:color w:val="000000"/>
          <w:szCs w:val="22"/>
        </w:rPr>
        <w:t xml:space="preserve"> in each case to account for the fact that field strength requirements are greater for UHF channels above the geometric mean frequency of the historically defined UHF TV band (</w:t>
      </w:r>
      <w:r w:rsidRPr="00C201F7">
        <w:rPr>
          <w:rFonts w:eastAsia="ヒラギノ角ゴ Pro W3"/>
          <w:bCs/>
          <w:i/>
          <w:color w:val="000000"/>
          <w:szCs w:val="22"/>
        </w:rPr>
        <w:t>i.e.</w:t>
      </w:r>
      <w:r w:rsidRPr="00C201F7">
        <w:rPr>
          <w:rFonts w:eastAsia="ヒラギノ角ゴ Pro W3"/>
          <w:bCs/>
          <w:color w:val="000000"/>
          <w:szCs w:val="22"/>
        </w:rPr>
        <w:t xml:space="preserve">, channels 14-69) and smaller for UHF channels below that mean frequency.  The geometric mean frequency, 615 MHz, is approximately the mid-frequency of TV channel 38.  By applying the planning factors in </w:t>
      </w:r>
      <w:r w:rsidR="002E38E6" w:rsidRPr="00C201F7">
        <w:rPr>
          <w:rFonts w:eastAsia="ヒラギノ角ゴ Pro W3"/>
          <w:bCs/>
          <w:color w:val="000000"/>
          <w:szCs w:val="22"/>
        </w:rPr>
        <w:fldChar w:fldCharType="begin"/>
      </w:r>
      <w:r w:rsidR="002E38E6" w:rsidRPr="00C201F7">
        <w:rPr>
          <w:rFonts w:eastAsia="ヒラギノ角ゴ Pro W3"/>
          <w:bCs/>
          <w:color w:val="000000"/>
          <w:szCs w:val="22"/>
        </w:rPr>
        <w:instrText xml:space="preserve"> REF Table74_6 \h </w:instrText>
      </w:r>
      <w:r w:rsidR="00C201F7">
        <w:rPr>
          <w:rFonts w:eastAsia="ヒラギノ角ゴ Pro W3"/>
          <w:bCs/>
          <w:color w:val="000000"/>
          <w:szCs w:val="22"/>
        </w:rPr>
        <w:instrText xml:space="preserve"> \* MERGEFORMAT </w:instrText>
      </w:r>
      <w:r w:rsidR="002E38E6" w:rsidRPr="00C201F7">
        <w:rPr>
          <w:rFonts w:eastAsia="ヒラギノ角ゴ Pro W3"/>
          <w:bCs/>
          <w:color w:val="000000"/>
          <w:szCs w:val="22"/>
        </w:rPr>
      </w:r>
      <w:r w:rsidR="002E38E6" w:rsidRPr="00C201F7">
        <w:rPr>
          <w:rFonts w:eastAsia="ヒラギノ角ゴ Pro W3"/>
          <w:bCs/>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6</w:t>
      </w:r>
      <w:r w:rsidR="002E38E6" w:rsidRPr="00C201F7">
        <w:rPr>
          <w:rFonts w:eastAsia="ヒラギノ角ゴ Pro W3"/>
          <w:bCs/>
          <w:color w:val="000000"/>
          <w:szCs w:val="22"/>
        </w:rPr>
        <w:fldChar w:fldCharType="end"/>
      </w:r>
      <w:r w:rsidRPr="00C201F7">
        <w:rPr>
          <w:rFonts w:eastAsia="ヒラギノ角ゴ Pro W3"/>
          <w:bCs/>
          <w:color w:val="000000"/>
          <w:szCs w:val="22"/>
        </w:rPr>
        <w:t xml:space="preserve"> and using the Longley-Rice model to predict the desired field strength “E,” the predicted signal-to-noise ratio (S/N) is then calculated from the formula:</w:t>
      </w:r>
    </w:p>
    <w:p w14:paraId="003409B9" w14:textId="77777777" w:rsidR="00C90867" w:rsidRPr="00C201F7" w:rsidRDefault="00C90867" w:rsidP="00C90867">
      <w:pPr>
        <w:jc w:val="both"/>
        <w:rPr>
          <w:rFonts w:eastAsia="ヒラギノ角ゴ Pro W3"/>
          <w:bCs/>
          <w:color w:val="000000"/>
          <w:szCs w:val="22"/>
        </w:rPr>
      </w:pPr>
    </w:p>
    <w:p w14:paraId="67659F9F" w14:textId="77777777" w:rsidR="00C90867" w:rsidRPr="00C201F7" w:rsidRDefault="00C90867" w:rsidP="00C90867">
      <w:pPr>
        <w:jc w:val="right"/>
        <w:rPr>
          <w:rFonts w:eastAsia="ヒラギノ角ゴ Pro W3"/>
          <w:bCs/>
          <w:color w:val="000000"/>
          <w:szCs w:val="22"/>
        </w:rPr>
      </w:pPr>
      <w:r w:rsidRPr="00C201F7">
        <w:rPr>
          <w:rFonts w:eastAsia="ヒラギノ角ゴ Pro W3"/>
          <w:bCs/>
          <w:color w:val="000000"/>
          <w:szCs w:val="22"/>
        </w:rPr>
        <w:t xml:space="preserve">S/N = E + </w:t>
      </w:r>
      <w:r w:rsidRPr="00C201F7">
        <w:rPr>
          <w:rFonts w:eastAsia="ヒラギノ角ゴ Pro W3"/>
          <w:color w:val="000000"/>
          <w:szCs w:val="22"/>
        </w:rPr>
        <w:t>K</w:t>
      </w:r>
      <w:r w:rsidRPr="00C201F7">
        <w:rPr>
          <w:rFonts w:eastAsia="ヒラギノ角ゴ Pro W3"/>
          <w:color w:val="000000"/>
          <w:szCs w:val="22"/>
          <w:vertAlign w:val="subscript"/>
        </w:rPr>
        <w:t xml:space="preserve">d </w:t>
      </w:r>
      <w:r w:rsidRPr="00C201F7">
        <w:rPr>
          <w:rFonts w:eastAsia="ヒラギノ角ゴ Pro W3"/>
          <w:color w:val="000000"/>
          <w:szCs w:val="22"/>
        </w:rPr>
        <w:t>+ K</w:t>
      </w:r>
      <w:r w:rsidRPr="00C201F7">
        <w:rPr>
          <w:rFonts w:eastAsia="ヒラギノ角ゴ Pro W3"/>
          <w:color w:val="000000"/>
          <w:szCs w:val="22"/>
          <w:vertAlign w:val="subscript"/>
        </w:rPr>
        <w:t xml:space="preserve">a </w:t>
      </w:r>
      <w:r w:rsidRPr="00C201F7">
        <w:rPr>
          <w:rFonts w:eastAsia="ヒラギノ角ゴ Pro W3"/>
          <w:color w:val="000000"/>
          <w:szCs w:val="22"/>
        </w:rPr>
        <w:t>+ G - L - N</w:t>
      </w:r>
      <w:r w:rsidRPr="00C201F7">
        <w:rPr>
          <w:rFonts w:eastAsia="ヒラギノ角ゴ Pro W3"/>
          <w:color w:val="000000"/>
          <w:szCs w:val="22"/>
          <w:vertAlign w:val="subscript"/>
        </w:rPr>
        <w:t xml:space="preserve">t  </w:t>
      </w:r>
      <w:r w:rsidRPr="00C201F7">
        <w:rPr>
          <w:rFonts w:eastAsia="ヒラギノ角ゴ Pro W3"/>
          <w:color w:val="000000"/>
          <w:szCs w:val="22"/>
        </w:rPr>
        <w:t>- N</w:t>
      </w:r>
      <w:r w:rsidRPr="00C201F7">
        <w:rPr>
          <w:rFonts w:eastAsia="ヒラギノ角ゴ Pro W3"/>
          <w:color w:val="000000"/>
          <w:szCs w:val="22"/>
          <w:vertAlign w:val="subscript"/>
        </w:rPr>
        <w:t>s</w:t>
      </w:r>
      <w:r w:rsidRPr="00C201F7">
        <w:rPr>
          <w:rFonts w:eastAsia="ヒラギノ角ゴ Pro W3"/>
          <w:color w:val="000000"/>
          <w:szCs w:val="22"/>
          <w:vertAlign w:val="subscript"/>
        </w:rPr>
        <w:tab/>
      </w:r>
      <w:r w:rsidRPr="00C201F7">
        <w:rPr>
          <w:rFonts w:eastAsia="ヒラギノ角ゴ Pro W3"/>
          <w:color w:val="000000"/>
          <w:szCs w:val="22"/>
          <w:vertAlign w:val="subscript"/>
        </w:rPr>
        <w:tab/>
      </w:r>
      <w:r w:rsidRPr="00C201F7">
        <w:rPr>
          <w:rFonts w:eastAsia="ヒラギノ角ゴ Pro W3"/>
          <w:color w:val="000000"/>
          <w:szCs w:val="22"/>
          <w:vertAlign w:val="subscript"/>
        </w:rPr>
        <w:tab/>
      </w:r>
      <w:r w:rsidRPr="00C201F7">
        <w:rPr>
          <w:rFonts w:eastAsia="ヒラギノ角ゴ Pro W3"/>
          <w:color w:val="000000"/>
          <w:szCs w:val="22"/>
          <w:vertAlign w:val="subscript"/>
        </w:rPr>
        <w:tab/>
      </w:r>
      <w:r w:rsidRPr="00C201F7">
        <w:rPr>
          <w:rFonts w:eastAsia="ヒラギノ角ゴ Pro W3"/>
          <w:color w:val="000000"/>
          <w:szCs w:val="22"/>
          <w:vertAlign w:val="subscript"/>
        </w:rPr>
        <w:tab/>
      </w:r>
      <w:r w:rsidRPr="00C201F7">
        <w:rPr>
          <w:rFonts w:eastAsia="ヒラギノ角ゴ Pro W3"/>
          <w:color w:val="000000"/>
          <w:szCs w:val="22"/>
        </w:rPr>
        <w:t>(Eq.</w:t>
      </w:r>
      <w:r w:rsidRPr="00C201F7">
        <w:rPr>
          <w:rFonts w:eastAsia="ヒラギノ角ゴ Pro W3"/>
          <w:color w:val="000000"/>
          <w:szCs w:val="22"/>
          <w:vertAlign w:val="subscript"/>
        </w:rPr>
        <w:t xml:space="preserve"> </w:t>
      </w:r>
      <w:r w:rsidRPr="00C201F7">
        <w:rPr>
          <w:rFonts w:eastAsia="ヒラギノ角ゴ Pro W3"/>
          <w:bCs/>
          <w:color w:val="000000"/>
          <w:szCs w:val="22"/>
        </w:rPr>
        <w:t>2)</w:t>
      </w:r>
    </w:p>
    <w:p w14:paraId="26D8F089" w14:textId="77777777" w:rsidR="00F1278A" w:rsidRDefault="00F1278A" w:rsidP="00C90867">
      <w:pPr>
        <w:keepLines/>
        <w:rPr>
          <w:rFonts w:eastAsia="ヒラギノ角ゴ Pro W3"/>
          <w:color w:val="000000"/>
          <w:szCs w:val="22"/>
        </w:rPr>
      </w:pPr>
    </w:p>
    <w:p w14:paraId="4522A103" w14:textId="77777777" w:rsidR="00C90867" w:rsidRPr="00C201F7" w:rsidRDefault="00C90867" w:rsidP="00C90867">
      <w:pPr>
        <w:keepLines/>
        <w:rPr>
          <w:rFonts w:eastAsia="ヒラギノ角ゴ Pro W3"/>
          <w:color w:val="000000"/>
          <w:szCs w:val="22"/>
        </w:rPr>
      </w:pPr>
      <w:r w:rsidRPr="00C201F7">
        <w:rPr>
          <w:rFonts w:eastAsia="ヒラギノ角ゴ Pro W3"/>
          <w:color w:val="000000"/>
          <w:szCs w:val="22"/>
        </w:rPr>
        <w:t xml:space="preserve">The predicted S/N value associated with the field strength of the desired signal in each cell is used, based on the TV station’s operating channel, to determine the applicable interference threshold using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Table74_5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5</w:t>
      </w:r>
      <w:r w:rsidR="002E38E6" w:rsidRPr="00C201F7">
        <w:rPr>
          <w:rFonts w:eastAsia="ヒラギノ角ゴ Pro W3"/>
          <w:color w:val="000000"/>
          <w:szCs w:val="22"/>
        </w:rPr>
        <w:fldChar w:fldCharType="end"/>
      </w:r>
      <w:r w:rsidRPr="00C201F7">
        <w:rPr>
          <w:rFonts w:eastAsia="ヒラギノ角ゴ Pro W3"/>
          <w:color w:val="000000"/>
          <w:szCs w:val="22"/>
        </w:rPr>
        <w:t xml:space="preserve"> and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Table74_6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6</w:t>
      </w:r>
      <w:r w:rsidR="002E38E6" w:rsidRPr="00C201F7">
        <w:rPr>
          <w:rFonts w:eastAsia="ヒラギノ角ゴ Pro W3"/>
          <w:color w:val="000000"/>
          <w:szCs w:val="22"/>
        </w:rPr>
        <w:fldChar w:fldCharType="end"/>
      </w:r>
      <w:r w:rsidRPr="00C201F7">
        <w:rPr>
          <w:rFonts w:eastAsia="ヒラギノ角ゴ Pro W3"/>
          <w:color w:val="000000"/>
          <w:szCs w:val="22"/>
        </w:rPr>
        <w:t xml:space="preserve"> above.</w:t>
      </w:r>
    </w:p>
    <w:p w14:paraId="5C87D252" w14:textId="77777777" w:rsidR="00F96BF8" w:rsidRPr="00C201F7" w:rsidRDefault="00F96BF8" w:rsidP="00C90867">
      <w:pPr>
        <w:keepLines/>
        <w:rPr>
          <w:rFonts w:eastAsia="ヒラギノ角ゴ Pro W3"/>
          <w:color w:val="000000"/>
          <w:szCs w:val="22"/>
        </w:rPr>
      </w:pPr>
    </w:p>
    <w:p w14:paraId="619C72A6" w14:textId="77777777" w:rsidR="00C90867" w:rsidRPr="00C201F7" w:rsidRDefault="00C90867" w:rsidP="00D50682">
      <w:pPr>
        <w:pStyle w:val="Heading2"/>
        <w:rPr>
          <w:rFonts w:eastAsiaTheme="majorEastAsia"/>
        </w:rPr>
      </w:pPr>
      <w:bookmarkStart w:id="1108" w:name="_Toc396982116"/>
      <w:bookmarkStart w:id="1109" w:name="_Toc397609556"/>
      <w:bookmarkStart w:id="1110" w:name="_Toc397610984"/>
      <w:bookmarkStart w:id="1111" w:name="_Toc397962854"/>
      <w:bookmarkStart w:id="1112" w:name="_Toc398023625"/>
      <w:bookmarkStart w:id="1113" w:name="_Toc398903018"/>
      <w:bookmarkStart w:id="1114" w:name="_Toc398903341"/>
      <w:bookmarkStart w:id="1115" w:name="_Toc398903530"/>
      <w:bookmarkStart w:id="1116" w:name="_Toc398904127"/>
      <w:bookmarkStart w:id="1117" w:name="_Toc398904635"/>
      <w:bookmarkStart w:id="1118" w:name="_Toc401305995"/>
      <w:bookmarkStart w:id="1119" w:name="_Toc401306671"/>
      <w:bookmarkStart w:id="1120" w:name="_Toc401306740"/>
      <w:r w:rsidRPr="00C201F7">
        <w:rPr>
          <w:rFonts w:eastAsiaTheme="majorEastAsia"/>
        </w:rPr>
        <w:t>DTV Receiving Antenna Pattern</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14:paraId="432333F5" w14:textId="77777777" w:rsidR="00C90867" w:rsidRPr="00C201F7" w:rsidRDefault="00C90867" w:rsidP="00C90867">
      <w:pPr>
        <w:ind w:firstLine="720"/>
        <w:rPr>
          <w:rFonts w:eastAsia="ヒラギノ角ゴ Pro W3"/>
          <w:color w:val="000000"/>
          <w:szCs w:val="22"/>
        </w:rPr>
      </w:pPr>
      <w:r w:rsidRPr="00C201F7">
        <w:rPr>
          <w:rFonts w:eastAsia="ヒラギノ角ゴ Pro W3"/>
          <w:color w:val="000000"/>
          <w:szCs w:val="22"/>
        </w:rPr>
        <w:t>The TV receiving antenna is assumed to have a directional gain pattern which tends to discriminate against off-axis undesired stations.  This pattern is a planning factor affecting the receiver’s susceptibility to interference.</w:t>
      </w:r>
      <w:r w:rsidRPr="00C201F7">
        <w:rPr>
          <w:rFonts w:eastAsia="ヒラギノ角ゴ Pro W3"/>
          <w:szCs w:val="22"/>
          <w:vertAlign w:val="superscript"/>
        </w:rPr>
        <w:footnoteReference w:id="326"/>
      </w:r>
      <w:r w:rsidRPr="00C201F7">
        <w:rPr>
          <w:rFonts w:eastAsia="ヒラギノ角ゴ Pro W3"/>
          <w:color w:val="000000"/>
          <w:szCs w:val="22"/>
        </w:rPr>
        <w:t xml:space="preserve">  A working group of the FCC Advisory Committee for Advanced Television Service chose the specific form of this pattern.  The discrimination, in relative field, provided by the assumed TV receiving pattern is a fourth-power cosine function of the angle between the lines joining the desired and undesired stations to the reception point.  One of these lines goes directly to the desired station, the other goes to the undesired station.  The discrimination is calculated as the fourth power of the cosine of the angle between these lines but never more than represented by the front-to-back ratio of 14 dB for UHF.  When both desired and undesired stations are on the receive antenna’s boresight, the angle is 0.0 giving a cosine of unity so that there is no discrimination.  When the undesired station is somewhat off-axis, the cosine will be slightly less than unity and the resulting interference field strength is reduced accordingly by this value (while the desired field strength remains unchanged); when the undesired station is far off-axis,</w:t>
      </w:r>
      <w:r w:rsidRPr="00C201F7">
        <w:rPr>
          <w:rFonts w:eastAsia="ヒラギノ角ゴ Pro W3"/>
          <w:szCs w:val="22"/>
          <w:vertAlign w:val="superscript"/>
        </w:rPr>
        <w:footnoteReference w:id="327"/>
      </w:r>
      <w:r w:rsidRPr="00C201F7">
        <w:rPr>
          <w:rFonts w:eastAsia="ヒラギノ角ゴ Pro W3"/>
          <w:color w:val="000000"/>
          <w:szCs w:val="22"/>
        </w:rPr>
        <w:t xml:space="preserve"> the maximum discrimination given by the 14 dB front-to-back ratio is attained, and the resulting interference field strength is reduced by 14 (while the desired field strength still remains unchanged).</w:t>
      </w:r>
    </w:p>
    <w:p w14:paraId="388D2555" w14:textId="77777777" w:rsidR="00C90867" w:rsidRPr="00C201F7" w:rsidRDefault="00C90867" w:rsidP="00C90867">
      <w:pPr>
        <w:rPr>
          <w:rFonts w:eastAsia="ヒラギノ角ゴ Pro W3"/>
          <w:color w:val="000000"/>
          <w:szCs w:val="22"/>
        </w:rPr>
      </w:pPr>
    </w:p>
    <w:p w14:paraId="19DDF3DD" w14:textId="77777777" w:rsidR="00C90867" w:rsidRPr="00C201F7" w:rsidRDefault="00C90867" w:rsidP="00D50682">
      <w:pPr>
        <w:pStyle w:val="Heading2"/>
        <w:rPr>
          <w:rFonts w:eastAsiaTheme="majorEastAsia"/>
        </w:rPr>
      </w:pPr>
      <w:bookmarkStart w:id="1121" w:name="_Toc396982117"/>
      <w:bookmarkStart w:id="1122" w:name="_Toc397609557"/>
      <w:bookmarkStart w:id="1123" w:name="_Toc397610985"/>
      <w:bookmarkStart w:id="1124" w:name="_Toc397962855"/>
      <w:bookmarkStart w:id="1125" w:name="_Toc398023626"/>
      <w:bookmarkStart w:id="1126" w:name="_Toc398903019"/>
      <w:bookmarkStart w:id="1127" w:name="_Toc398903342"/>
      <w:bookmarkStart w:id="1128" w:name="_Toc398903531"/>
      <w:bookmarkStart w:id="1129" w:name="_Toc398904128"/>
      <w:bookmarkStart w:id="1130" w:name="_Toc398904636"/>
      <w:bookmarkStart w:id="1131" w:name="_Toc401305996"/>
      <w:bookmarkStart w:id="1132" w:name="_Toc401306672"/>
      <w:bookmarkStart w:id="1133" w:name="_Toc401306741"/>
      <w:r w:rsidRPr="00C201F7">
        <w:rPr>
          <w:rFonts w:eastAsiaTheme="majorEastAsia"/>
        </w:rPr>
        <w:t>Identification of Potentially Interfering Stations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14:paraId="443FD751" w14:textId="77777777" w:rsidR="00C90867" w:rsidRPr="00C201F7" w:rsidRDefault="00C90867" w:rsidP="00C90867">
      <w:pPr>
        <w:ind w:firstLine="720"/>
        <w:rPr>
          <w:rFonts w:eastAsia="ヒラギノ角ゴ Pro W3"/>
          <w:color w:val="000000"/>
          <w:szCs w:val="22"/>
        </w:rPr>
      </w:pPr>
      <w:r w:rsidRPr="00C201F7">
        <w:rPr>
          <w:rFonts w:eastAsia="ヒラギノ角ゴ Pro W3"/>
          <w:color w:val="000000"/>
          <w:szCs w:val="22"/>
        </w:rPr>
        <w:t>Potential sources of interference are identified as a function of distance for the given ERP, HAAT, and frequency relationship in terms of spectral overlap of each site in a planned wireless deployment.  Spectral overlap is defined as the frequency separation between channel edges of a wireless block and DTV channel.  For wireless bandwidths larger or smaller than 5 MHz, interference evaluations need only consider the separation between the occupied portions of each 5 MHz block.  For example, as shown on Figure 1, for a first-adjacent wireless block/TV channel relationship (otherwise there is 0 MHz spectral overlap for the 5 MHz case) if a 3 MHz LTE signal is being deployed in a 5 MHz block, then the spectral overlap would depend on its position within the 5 MHz block (e.g., 0 MHz if in the 3 MHz nearest to TV (Figure 1a); -1 MHz if centered in the 5 MHz block (Figure 1b); or -2 MHz if furthest from TV (Figure 1c)), and the ERP would be the total in the 5 MHz channel.  Similarly if the two nearest first-adjacent blocks were used contiguously to form a 10 MHz channel, there would be two associated spectral overlaps, 0 MHz and -5 MHz, and the ERP would be determined by the power in each 5 MHz block.</w:t>
      </w:r>
    </w:p>
    <w:p w14:paraId="60341C76" w14:textId="77777777" w:rsidR="00C90867" w:rsidRPr="00C90867" w:rsidRDefault="00C90867" w:rsidP="00C90867">
      <w:pPr>
        <w:keepNext/>
        <w:ind w:firstLine="720"/>
        <w:rPr>
          <w:rFonts w:eastAsia="ヒラギノ角ゴ Pro W3"/>
          <w:color w:val="000000"/>
          <w:sz w:val="24"/>
          <w:szCs w:val="24"/>
        </w:rPr>
      </w:pPr>
      <w:r w:rsidRPr="00C201F7">
        <w:rPr>
          <w:rFonts w:eastAsia="ヒラギノ角ゴ Pro W3"/>
          <w:noProof/>
          <w:color w:val="000000"/>
          <w:szCs w:val="22"/>
        </w:rPr>
        <w:t xml:space="preserve">      </w:t>
      </w:r>
      <w:r w:rsidRPr="00F3761A">
        <w:rPr>
          <w:rFonts w:eastAsia="ヒラギノ角ゴ Pro W3"/>
          <w:noProof/>
          <w:color w:val="000000"/>
          <w:sz w:val="24"/>
          <w:szCs w:val="24"/>
        </w:rPr>
        <w:drawing>
          <wp:inline distT="0" distB="0" distL="0" distR="0" wp14:anchorId="7C183F6C" wp14:editId="494610CA">
            <wp:extent cx="6309360" cy="21575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09360" cy="2157574"/>
                    </a:xfrm>
                    <a:prstGeom prst="rect">
                      <a:avLst/>
                    </a:prstGeom>
                    <a:noFill/>
                  </pic:spPr>
                </pic:pic>
              </a:graphicData>
            </a:graphic>
          </wp:inline>
        </w:drawing>
      </w:r>
    </w:p>
    <w:p w14:paraId="4A34B322" w14:textId="77777777" w:rsidR="00C90867" w:rsidRPr="00C201F7" w:rsidRDefault="00C90867" w:rsidP="00C90867">
      <w:pPr>
        <w:spacing w:before="120" w:after="120"/>
        <w:rPr>
          <w:szCs w:val="22"/>
          <w:lang w:eastAsia="ja-JP"/>
        </w:rPr>
      </w:pPr>
      <w:bookmarkStart w:id="1134" w:name="Figure74_1"/>
      <w:r w:rsidRPr="00C201F7">
        <w:rPr>
          <w:szCs w:val="22"/>
          <w:lang w:eastAsia="ja-JP"/>
        </w:rPr>
        <w:t xml:space="preserve">Figure </w:t>
      </w:r>
      <w:r w:rsidR="00317F0B" w:rsidRPr="00C201F7">
        <w:rPr>
          <w:szCs w:val="22"/>
          <w:lang w:eastAsia="ja-JP"/>
        </w:rPr>
        <w:fldChar w:fldCharType="begin"/>
      </w:r>
      <w:r w:rsidR="00317F0B" w:rsidRPr="00C201F7">
        <w:rPr>
          <w:szCs w:val="22"/>
          <w:lang w:eastAsia="ja-JP"/>
        </w:rPr>
        <w:instrText xml:space="preserve"> SEQ Figure74 \* MERGEFORMAT </w:instrText>
      </w:r>
      <w:r w:rsidR="00317F0B" w:rsidRPr="00C201F7">
        <w:rPr>
          <w:szCs w:val="22"/>
          <w:lang w:eastAsia="ja-JP"/>
        </w:rPr>
        <w:fldChar w:fldCharType="separate"/>
      </w:r>
      <w:r w:rsidR="00656F50">
        <w:rPr>
          <w:noProof/>
          <w:szCs w:val="22"/>
          <w:lang w:eastAsia="ja-JP"/>
        </w:rPr>
        <w:t>1</w:t>
      </w:r>
      <w:r w:rsidR="00317F0B" w:rsidRPr="00C201F7">
        <w:rPr>
          <w:szCs w:val="22"/>
          <w:lang w:eastAsia="ja-JP"/>
        </w:rPr>
        <w:fldChar w:fldCharType="end"/>
      </w:r>
      <w:bookmarkEnd w:id="1134"/>
      <w:r w:rsidRPr="00C201F7">
        <w:rPr>
          <w:szCs w:val="22"/>
          <w:lang w:eastAsia="ja-JP"/>
        </w:rPr>
        <w:t>.  Examples of Spectral Overlap when LTE channel is using only a portion of 5 MHz channel</w:t>
      </w:r>
    </w:p>
    <w:p w14:paraId="62C8F824" w14:textId="77777777" w:rsidR="00C90867" w:rsidRPr="00C201F7" w:rsidRDefault="00C90867" w:rsidP="00C90867">
      <w:pPr>
        <w:rPr>
          <w:rFonts w:eastAsia="ヒラギノ角ゴ Pro W3"/>
          <w:color w:val="000000"/>
          <w:szCs w:val="22"/>
        </w:rPr>
      </w:pPr>
    </w:p>
    <w:p w14:paraId="52E46048" w14:textId="77777777" w:rsidR="00C90867" w:rsidRPr="00C201F7" w:rsidRDefault="00C90867" w:rsidP="00987035">
      <w:pPr>
        <w:keepNext/>
        <w:widowControl/>
        <w:ind w:firstLine="720"/>
        <w:rPr>
          <w:rFonts w:eastAsia="ヒラギノ角ゴ Pro W3"/>
          <w:color w:val="000000"/>
          <w:szCs w:val="22"/>
        </w:rPr>
      </w:pPr>
      <w:r w:rsidRPr="00C201F7">
        <w:rPr>
          <w:rFonts w:eastAsia="ヒラギノ角ゴ Pro W3"/>
          <w:color w:val="000000"/>
          <w:szCs w:val="22"/>
        </w:rPr>
        <w:t xml:space="preserve">The interference analysis is performed independently for each cell in the DTV service area subject to calculation.  Only those wireless base stations with transmitter sites at distances less than the culling distance (corresponding to the wireless base station ERP, HAAT, and spectral overlap) from the edge of a DTV station noise-limited </w:t>
      </w:r>
      <w:r w:rsidR="00022AB3">
        <w:rPr>
          <w:rFonts w:eastAsia="ヒラギノ角ゴ Pro W3"/>
          <w:color w:val="000000"/>
          <w:szCs w:val="22"/>
        </w:rPr>
        <w:t xml:space="preserve">or protected </w:t>
      </w:r>
      <w:r w:rsidRPr="00C201F7">
        <w:rPr>
          <w:rFonts w:eastAsia="ヒラギノ角ゴ Pro W3"/>
          <w:color w:val="000000"/>
          <w:szCs w:val="22"/>
        </w:rPr>
        <w:t xml:space="preserve">contour are to be considered in the interference analysis.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Table74_7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7</w:t>
      </w:r>
      <w:r w:rsidR="002E38E6" w:rsidRPr="00C201F7">
        <w:rPr>
          <w:rFonts w:eastAsia="ヒラギノ角ゴ Pro W3"/>
          <w:color w:val="000000"/>
          <w:szCs w:val="22"/>
        </w:rPr>
        <w:fldChar w:fldCharType="end"/>
      </w:r>
      <w:r w:rsidRPr="00C201F7">
        <w:rPr>
          <w:rFonts w:eastAsia="ヒラギノ角ゴ Pro W3"/>
          <w:color w:val="000000"/>
          <w:szCs w:val="22"/>
        </w:rPr>
        <w:t xml:space="preserve"> through </w:t>
      </w:r>
      <w:r w:rsidR="002E38E6" w:rsidRPr="00C201F7">
        <w:rPr>
          <w:rFonts w:eastAsia="ヒラギノ角ゴ Pro W3"/>
          <w:color w:val="000000"/>
          <w:szCs w:val="22"/>
        </w:rPr>
        <w:fldChar w:fldCharType="begin"/>
      </w:r>
      <w:r w:rsidR="002E38E6" w:rsidRPr="00C201F7">
        <w:rPr>
          <w:rFonts w:eastAsia="ヒラギノ角ゴ Pro W3"/>
          <w:color w:val="000000"/>
          <w:szCs w:val="22"/>
        </w:rPr>
        <w:instrText xml:space="preserve"> REF Table74_13 \h </w:instrText>
      </w:r>
      <w:r w:rsidR="00C201F7">
        <w:rPr>
          <w:rFonts w:eastAsia="ヒラギノ角ゴ Pro W3"/>
          <w:color w:val="000000"/>
          <w:szCs w:val="22"/>
        </w:rPr>
        <w:instrText xml:space="preserve"> \* MERGEFORMAT </w:instrText>
      </w:r>
      <w:r w:rsidR="002E38E6" w:rsidRPr="00C201F7">
        <w:rPr>
          <w:rFonts w:eastAsia="ヒラギノ角ゴ Pro W3"/>
          <w:color w:val="000000"/>
          <w:szCs w:val="22"/>
        </w:rPr>
      </w:r>
      <w:r w:rsidR="002E38E6" w:rsidRPr="00C201F7">
        <w:rPr>
          <w:rFonts w:eastAsia="ヒラギノ角ゴ Pro W3"/>
          <w:color w:val="000000"/>
          <w:szCs w:val="22"/>
        </w:rPr>
        <w:fldChar w:fldCharType="separate"/>
      </w:r>
      <w:r w:rsidR="00656F50" w:rsidRPr="00C201F7">
        <w:rPr>
          <w:rFonts w:eastAsia="ヒラギノ角ゴ Pro W3"/>
          <w:color w:val="000000"/>
          <w:szCs w:val="22"/>
        </w:rPr>
        <w:t xml:space="preserve">Table </w:t>
      </w:r>
      <w:r w:rsidR="00656F50">
        <w:rPr>
          <w:rFonts w:eastAsia="ヒラギノ角ゴ Pro W3"/>
          <w:noProof/>
          <w:color w:val="000000"/>
          <w:szCs w:val="22"/>
        </w:rPr>
        <w:t>13</w:t>
      </w:r>
      <w:r w:rsidR="002E38E6" w:rsidRPr="00C201F7">
        <w:rPr>
          <w:rFonts w:eastAsia="ヒラギノ角ゴ Pro W3"/>
          <w:color w:val="000000"/>
          <w:szCs w:val="22"/>
        </w:rPr>
        <w:fldChar w:fldCharType="end"/>
      </w:r>
      <w:r w:rsidRPr="00C201F7">
        <w:rPr>
          <w:rFonts w:eastAsia="ヒラギノ角ゴ Pro W3"/>
          <w:color w:val="000000"/>
          <w:szCs w:val="22"/>
        </w:rPr>
        <w:t xml:space="preserve"> specify these culling distances, which were derived based on the distance to the UHF F(50,10) {OFR (dB) + 18} dBµV/m contour, depending on the OFR for each spectral overlap case.</w:t>
      </w:r>
    </w:p>
    <w:p w14:paraId="1E4E96E1" w14:textId="77777777" w:rsidR="00C90867" w:rsidRPr="00C201F7" w:rsidRDefault="00C90867" w:rsidP="00C90867">
      <w:pPr>
        <w:rPr>
          <w:rFonts w:eastAsia="ヒラギノ角ゴ Pro W3"/>
          <w:color w:val="000000"/>
          <w:szCs w:val="22"/>
        </w:rPr>
      </w:pPr>
    </w:p>
    <w:tbl>
      <w:tblPr>
        <w:tblStyle w:val="TableGrid"/>
        <w:tblW w:w="5000" w:type="pct"/>
        <w:tblLook w:val="04A0" w:firstRow="1" w:lastRow="0" w:firstColumn="1" w:lastColumn="0" w:noHBand="0" w:noVBand="1"/>
      </w:tblPr>
      <w:tblGrid>
        <w:gridCol w:w="828"/>
        <w:gridCol w:w="1124"/>
        <w:gridCol w:w="953"/>
        <w:gridCol w:w="953"/>
        <w:gridCol w:w="953"/>
        <w:gridCol w:w="953"/>
        <w:gridCol w:w="953"/>
        <w:gridCol w:w="953"/>
        <w:gridCol w:w="953"/>
        <w:gridCol w:w="953"/>
      </w:tblGrid>
      <w:tr w:rsidR="00C90867" w:rsidRPr="00C201F7" w14:paraId="633DABDE" w14:textId="77777777" w:rsidTr="00771983">
        <w:tc>
          <w:tcPr>
            <w:tcW w:w="410" w:type="pct"/>
            <w:vMerge w:val="restart"/>
            <w:shd w:val="clear" w:color="auto" w:fill="F2F2F2" w:themeFill="background1" w:themeFillShade="F2"/>
          </w:tcPr>
          <w:p w14:paraId="47FEFEB8"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HAAT</w:t>
            </w:r>
          </w:p>
          <w:p w14:paraId="1C7EAF8A"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(m):</w:t>
            </w:r>
          </w:p>
        </w:tc>
        <w:tc>
          <w:tcPr>
            <w:tcW w:w="4590" w:type="pct"/>
            <w:gridSpan w:val="9"/>
            <w:shd w:val="clear" w:color="auto" w:fill="D9D9D9" w:themeFill="background1" w:themeFillShade="D9"/>
          </w:tcPr>
          <w:p w14:paraId="4320FAA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ERP (kW) per 5 MHz block:</w:t>
            </w:r>
          </w:p>
        </w:tc>
      </w:tr>
      <w:tr w:rsidR="00C90867" w:rsidRPr="00C201F7" w14:paraId="48E9CBD2" w14:textId="77777777" w:rsidTr="00771983">
        <w:tc>
          <w:tcPr>
            <w:tcW w:w="410" w:type="pct"/>
            <w:vMerge/>
            <w:shd w:val="clear" w:color="auto" w:fill="F2F2F2" w:themeFill="background1" w:themeFillShade="F2"/>
          </w:tcPr>
          <w:p w14:paraId="4FF74880" w14:textId="77777777" w:rsidR="00C90867" w:rsidRPr="00C201F7" w:rsidRDefault="00C90867" w:rsidP="00C90867">
            <w:pPr>
              <w:keepNext/>
              <w:keepLines/>
              <w:rPr>
                <w:rFonts w:eastAsia="ヒラギノ角ゴ Pro W3"/>
                <w:color w:val="000000"/>
                <w:szCs w:val="22"/>
              </w:rPr>
            </w:pPr>
          </w:p>
        </w:tc>
        <w:tc>
          <w:tcPr>
            <w:tcW w:w="590" w:type="pct"/>
            <w:shd w:val="clear" w:color="auto" w:fill="D9D9D9" w:themeFill="background1" w:themeFillShade="D9"/>
          </w:tcPr>
          <w:p w14:paraId="5CA54312"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5</w:t>
            </w:r>
          </w:p>
        </w:tc>
        <w:tc>
          <w:tcPr>
            <w:tcW w:w="500" w:type="pct"/>
            <w:shd w:val="clear" w:color="auto" w:fill="D9D9D9" w:themeFill="background1" w:themeFillShade="D9"/>
          </w:tcPr>
          <w:p w14:paraId="4B0AEAF2"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4</w:t>
            </w:r>
          </w:p>
        </w:tc>
        <w:tc>
          <w:tcPr>
            <w:tcW w:w="500" w:type="pct"/>
            <w:shd w:val="clear" w:color="auto" w:fill="D9D9D9" w:themeFill="background1" w:themeFillShade="D9"/>
          </w:tcPr>
          <w:p w14:paraId="7CE424D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w:t>
            </w:r>
          </w:p>
        </w:tc>
        <w:tc>
          <w:tcPr>
            <w:tcW w:w="500" w:type="pct"/>
            <w:shd w:val="clear" w:color="auto" w:fill="D9D9D9" w:themeFill="background1" w:themeFillShade="D9"/>
          </w:tcPr>
          <w:p w14:paraId="576677F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w:t>
            </w:r>
          </w:p>
        </w:tc>
        <w:tc>
          <w:tcPr>
            <w:tcW w:w="500" w:type="pct"/>
            <w:shd w:val="clear" w:color="auto" w:fill="D9D9D9" w:themeFill="background1" w:themeFillShade="D9"/>
          </w:tcPr>
          <w:p w14:paraId="1116192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w:t>
            </w:r>
          </w:p>
        </w:tc>
        <w:tc>
          <w:tcPr>
            <w:tcW w:w="500" w:type="pct"/>
            <w:shd w:val="clear" w:color="auto" w:fill="D9D9D9" w:themeFill="background1" w:themeFillShade="D9"/>
          </w:tcPr>
          <w:p w14:paraId="17CEAFE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0.75</w:t>
            </w:r>
          </w:p>
        </w:tc>
        <w:tc>
          <w:tcPr>
            <w:tcW w:w="500" w:type="pct"/>
            <w:shd w:val="clear" w:color="auto" w:fill="D9D9D9" w:themeFill="background1" w:themeFillShade="D9"/>
          </w:tcPr>
          <w:p w14:paraId="6F3EEB2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0.5</w:t>
            </w:r>
          </w:p>
        </w:tc>
        <w:tc>
          <w:tcPr>
            <w:tcW w:w="500" w:type="pct"/>
            <w:shd w:val="clear" w:color="auto" w:fill="D9D9D9" w:themeFill="background1" w:themeFillShade="D9"/>
          </w:tcPr>
          <w:p w14:paraId="5BCF7CB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0.25</w:t>
            </w:r>
          </w:p>
        </w:tc>
        <w:tc>
          <w:tcPr>
            <w:tcW w:w="500" w:type="pct"/>
            <w:shd w:val="clear" w:color="auto" w:fill="D9D9D9" w:themeFill="background1" w:themeFillShade="D9"/>
          </w:tcPr>
          <w:p w14:paraId="41F0AB5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0.1</w:t>
            </w:r>
          </w:p>
        </w:tc>
      </w:tr>
      <w:tr w:rsidR="00C90867" w:rsidRPr="00C201F7" w14:paraId="73A5CA9D" w14:textId="77777777" w:rsidTr="00771983">
        <w:tc>
          <w:tcPr>
            <w:tcW w:w="410" w:type="pct"/>
            <w:shd w:val="clear" w:color="auto" w:fill="F2F2F2" w:themeFill="background1" w:themeFillShade="F2"/>
          </w:tcPr>
          <w:p w14:paraId="4C3D1F5D"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305</w:t>
            </w:r>
          </w:p>
        </w:tc>
        <w:tc>
          <w:tcPr>
            <w:tcW w:w="590" w:type="pct"/>
          </w:tcPr>
          <w:p w14:paraId="5FE9181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209</w:t>
            </w:r>
          </w:p>
        </w:tc>
        <w:tc>
          <w:tcPr>
            <w:tcW w:w="500" w:type="pct"/>
          </w:tcPr>
          <w:p w14:paraId="0C4DF40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204</w:t>
            </w:r>
          </w:p>
        </w:tc>
        <w:tc>
          <w:tcPr>
            <w:tcW w:w="500" w:type="pct"/>
          </w:tcPr>
          <w:p w14:paraId="2596DFC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196</w:t>
            </w:r>
          </w:p>
        </w:tc>
        <w:tc>
          <w:tcPr>
            <w:tcW w:w="500" w:type="pct"/>
          </w:tcPr>
          <w:p w14:paraId="281369C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186</w:t>
            </w:r>
          </w:p>
        </w:tc>
        <w:tc>
          <w:tcPr>
            <w:tcW w:w="500" w:type="pct"/>
          </w:tcPr>
          <w:p w14:paraId="0BCCB4C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169</w:t>
            </w:r>
          </w:p>
        </w:tc>
        <w:tc>
          <w:tcPr>
            <w:tcW w:w="500" w:type="pct"/>
          </w:tcPr>
          <w:p w14:paraId="474021D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163</w:t>
            </w:r>
          </w:p>
        </w:tc>
        <w:tc>
          <w:tcPr>
            <w:tcW w:w="500" w:type="pct"/>
          </w:tcPr>
          <w:p w14:paraId="025E1B8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153</w:t>
            </w:r>
          </w:p>
        </w:tc>
        <w:tc>
          <w:tcPr>
            <w:tcW w:w="500" w:type="pct"/>
          </w:tcPr>
          <w:p w14:paraId="6F51EFC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136</w:t>
            </w:r>
          </w:p>
        </w:tc>
        <w:tc>
          <w:tcPr>
            <w:tcW w:w="500" w:type="pct"/>
          </w:tcPr>
          <w:p w14:paraId="35680C1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115</w:t>
            </w:r>
          </w:p>
        </w:tc>
      </w:tr>
      <w:tr w:rsidR="00C90867" w:rsidRPr="00C201F7" w14:paraId="55678356" w14:textId="77777777" w:rsidTr="00771983">
        <w:tc>
          <w:tcPr>
            <w:tcW w:w="410" w:type="pct"/>
            <w:shd w:val="clear" w:color="auto" w:fill="F2F2F2" w:themeFill="background1" w:themeFillShade="F2"/>
          </w:tcPr>
          <w:p w14:paraId="3A5AE292"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200</w:t>
            </w:r>
          </w:p>
        </w:tc>
        <w:tc>
          <w:tcPr>
            <w:tcW w:w="590" w:type="pct"/>
          </w:tcPr>
          <w:p w14:paraId="4BB2C67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197</w:t>
            </w:r>
          </w:p>
        </w:tc>
        <w:tc>
          <w:tcPr>
            <w:tcW w:w="500" w:type="pct"/>
          </w:tcPr>
          <w:p w14:paraId="2475A63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191</w:t>
            </w:r>
          </w:p>
        </w:tc>
        <w:tc>
          <w:tcPr>
            <w:tcW w:w="500" w:type="pct"/>
          </w:tcPr>
          <w:p w14:paraId="5077638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183</w:t>
            </w:r>
          </w:p>
        </w:tc>
        <w:tc>
          <w:tcPr>
            <w:tcW w:w="500" w:type="pct"/>
          </w:tcPr>
          <w:p w14:paraId="0F32051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174</w:t>
            </w:r>
          </w:p>
        </w:tc>
        <w:tc>
          <w:tcPr>
            <w:tcW w:w="500" w:type="pct"/>
          </w:tcPr>
          <w:p w14:paraId="0CF91A8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158</w:t>
            </w:r>
          </w:p>
        </w:tc>
        <w:tc>
          <w:tcPr>
            <w:tcW w:w="500" w:type="pct"/>
          </w:tcPr>
          <w:p w14:paraId="4B7C174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151</w:t>
            </w:r>
          </w:p>
        </w:tc>
        <w:tc>
          <w:tcPr>
            <w:tcW w:w="500" w:type="pct"/>
          </w:tcPr>
          <w:p w14:paraId="7295848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141</w:t>
            </w:r>
          </w:p>
        </w:tc>
        <w:tc>
          <w:tcPr>
            <w:tcW w:w="500" w:type="pct"/>
          </w:tcPr>
          <w:p w14:paraId="6D0B61A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125</w:t>
            </w:r>
          </w:p>
        </w:tc>
        <w:tc>
          <w:tcPr>
            <w:tcW w:w="500" w:type="pct"/>
          </w:tcPr>
          <w:p w14:paraId="68AD24B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104</w:t>
            </w:r>
          </w:p>
        </w:tc>
      </w:tr>
      <w:tr w:rsidR="00C90867" w:rsidRPr="00C201F7" w14:paraId="5D9B8F93" w14:textId="77777777" w:rsidTr="00771983">
        <w:tc>
          <w:tcPr>
            <w:tcW w:w="410" w:type="pct"/>
            <w:shd w:val="clear" w:color="auto" w:fill="F2F2F2" w:themeFill="background1" w:themeFillShade="F2"/>
          </w:tcPr>
          <w:p w14:paraId="7F264CCF"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150</w:t>
            </w:r>
          </w:p>
        </w:tc>
        <w:tc>
          <w:tcPr>
            <w:tcW w:w="590" w:type="pct"/>
          </w:tcPr>
          <w:p w14:paraId="7B5DA7D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190</w:t>
            </w:r>
          </w:p>
        </w:tc>
        <w:tc>
          <w:tcPr>
            <w:tcW w:w="500" w:type="pct"/>
          </w:tcPr>
          <w:p w14:paraId="52FCF30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184</w:t>
            </w:r>
          </w:p>
        </w:tc>
        <w:tc>
          <w:tcPr>
            <w:tcW w:w="500" w:type="pct"/>
          </w:tcPr>
          <w:p w14:paraId="4D04C44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178</w:t>
            </w:r>
          </w:p>
        </w:tc>
        <w:tc>
          <w:tcPr>
            <w:tcW w:w="500" w:type="pct"/>
          </w:tcPr>
          <w:p w14:paraId="4AEB15D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168</w:t>
            </w:r>
          </w:p>
        </w:tc>
        <w:tc>
          <w:tcPr>
            <w:tcW w:w="500" w:type="pct"/>
          </w:tcPr>
          <w:p w14:paraId="37B0989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152</w:t>
            </w:r>
          </w:p>
        </w:tc>
        <w:tc>
          <w:tcPr>
            <w:tcW w:w="500" w:type="pct"/>
          </w:tcPr>
          <w:p w14:paraId="0CDBA6E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145</w:t>
            </w:r>
          </w:p>
        </w:tc>
        <w:tc>
          <w:tcPr>
            <w:tcW w:w="500" w:type="pct"/>
          </w:tcPr>
          <w:p w14:paraId="619E22D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135</w:t>
            </w:r>
          </w:p>
        </w:tc>
        <w:tc>
          <w:tcPr>
            <w:tcW w:w="500" w:type="pct"/>
          </w:tcPr>
          <w:p w14:paraId="0AAC4E4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119</w:t>
            </w:r>
          </w:p>
        </w:tc>
        <w:tc>
          <w:tcPr>
            <w:tcW w:w="500" w:type="pct"/>
          </w:tcPr>
          <w:p w14:paraId="0F44CDE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98</w:t>
            </w:r>
          </w:p>
        </w:tc>
      </w:tr>
      <w:tr w:rsidR="00C90867" w:rsidRPr="00C201F7" w14:paraId="0F2DA8E5" w14:textId="77777777" w:rsidTr="00771983">
        <w:tc>
          <w:tcPr>
            <w:tcW w:w="410" w:type="pct"/>
            <w:shd w:val="clear" w:color="auto" w:fill="F2F2F2" w:themeFill="background1" w:themeFillShade="F2"/>
          </w:tcPr>
          <w:p w14:paraId="33DFDBE3"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100</w:t>
            </w:r>
          </w:p>
        </w:tc>
        <w:tc>
          <w:tcPr>
            <w:tcW w:w="590" w:type="pct"/>
          </w:tcPr>
          <w:p w14:paraId="2E03530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183</w:t>
            </w:r>
          </w:p>
        </w:tc>
        <w:tc>
          <w:tcPr>
            <w:tcW w:w="500" w:type="pct"/>
          </w:tcPr>
          <w:p w14:paraId="5094286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178</w:t>
            </w:r>
          </w:p>
        </w:tc>
        <w:tc>
          <w:tcPr>
            <w:tcW w:w="500" w:type="pct"/>
          </w:tcPr>
          <w:p w14:paraId="5EDEC57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171</w:t>
            </w:r>
          </w:p>
        </w:tc>
        <w:tc>
          <w:tcPr>
            <w:tcW w:w="500" w:type="pct"/>
          </w:tcPr>
          <w:p w14:paraId="234B56F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160</w:t>
            </w:r>
          </w:p>
        </w:tc>
        <w:tc>
          <w:tcPr>
            <w:tcW w:w="500" w:type="pct"/>
          </w:tcPr>
          <w:p w14:paraId="1C53A2D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144</w:t>
            </w:r>
          </w:p>
        </w:tc>
        <w:tc>
          <w:tcPr>
            <w:tcW w:w="500" w:type="pct"/>
          </w:tcPr>
          <w:p w14:paraId="4F9BB20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137</w:t>
            </w:r>
          </w:p>
        </w:tc>
        <w:tc>
          <w:tcPr>
            <w:tcW w:w="500" w:type="pct"/>
          </w:tcPr>
          <w:p w14:paraId="230A9EA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127</w:t>
            </w:r>
          </w:p>
        </w:tc>
        <w:tc>
          <w:tcPr>
            <w:tcW w:w="500" w:type="pct"/>
          </w:tcPr>
          <w:p w14:paraId="69751EC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111</w:t>
            </w:r>
          </w:p>
        </w:tc>
        <w:tc>
          <w:tcPr>
            <w:tcW w:w="500" w:type="pct"/>
          </w:tcPr>
          <w:p w14:paraId="4D2B3F7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91</w:t>
            </w:r>
          </w:p>
        </w:tc>
      </w:tr>
      <w:tr w:rsidR="00C90867" w:rsidRPr="00C201F7" w14:paraId="02480C82" w14:textId="77777777" w:rsidTr="00771983">
        <w:tc>
          <w:tcPr>
            <w:tcW w:w="410" w:type="pct"/>
            <w:shd w:val="clear" w:color="auto" w:fill="F2F2F2" w:themeFill="background1" w:themeFillShade="F2"/>
          </w:tcPr>
          <w:p w14:paraId="65B520AC"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80</w:t>
            </w:r>
          </w:p>
        </w:tc>
        <w:tc>
          <w:tcPr>
            <w:tcW w:w="590" w:type="pct"/>
          </w:tcPr>
          <w:p w14:paraId="70B34B4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180</w:t>
            </w:r>
          </w:p>
        </w:tc>
        <w:tc>
          <w:tcPr>
            <w:tcW w:w="500" w:type="pct"/>
          </w:tcPr>
          <w:p w14:paraId="295B2EF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174</w:t>
            </w:r>
          </w:p>
        </w:tc>
        <w:tc>
          <w:tcPr>
            <w:tcW w:w="500" w:type="pct"/>
          </w:tcPr>
          <w:p w14:paraId="2A24B91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166</w:t>
            </w:r>
          </w:p>
        </w:tc>
        <w:tc>
          <w:tcPr>
            <w:tcW w:w="500" w:type="pct"/>
          </w:tcPr>
          <w:p w14:paraId="5DDD12D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156</w:t>
            </w:r>
          </w:p>
        </w:tc>
        <w:tc>
          <w:tcPr>
            <w:tcW w:w="500" w:type="pct"/>
          </w:tcPr>
          <w:p w14:paraId="05280B5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140</w:t>
            </w:r>
          </w:p>
        </w:tc>
        <w:tc>
          <w:tcPr>
            <w:tcW w:w="500" w:type="pct"/>
          </w:tcPr>
          <w:p w14:paraId="6C479E2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133</w:t>
            </w:r>
          </w:p>
        </w:tc>
        <w:tc>
          <w:tcPr>
            <w:tcW w:w="500" w:type="pct"/>
          </w:tcPr>
          <w:p w14:paraId="128C56E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123</w:t>
            </w:r>
          </w:p>
        </w:tc>
        <w:tc>
          <w:tcPr>
            <w:tcW w:w="500" w:type="pct"/>
          </w:tcPr>
          <w:p w14:paraId="2CEEB01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107</w:t>
            </w:r>
          </w:p>
        </w:tc>
        <w:tc>
          <w:tcPr>
            <w:tcW w:w="500" w:type="pct"/>
          </w:tcPr>
          <w:p w14:paraId="5BE52EF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86</w:t>
            </w:r>
          </w:p>
        </w:tc>
      </w:tr>
      <w:tr w:rsidR="00C90867" w:rsidRPr="00C201F7" w14:paraId="5DE802CA" w14:textId="77777777" w:rsidTr="00771983">
        <w:tc>
          <w:tcPr>
            <w:tcW w:w="410" w:type="pct"/>
            <w:shd w:val="clear" w:color="auto" w:fill="F2F2F2" w:themeFill="background1" w:themeFillShade="F2"/>
          </w:tcPr>
          <w:p w14:paraId="211488FB"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65</w:t>
            </w:r>
          </w:p>
        </w:tc>
        <w:tc>
          <w:tcPr>
            <w:tcW w:w="590" w:type="pct"/>
          </w:tcPr>
          <w:p w14:paraId="2BD7D00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176</w:t>
            </w:r>
          </w:p>
        </w:tc>
        <w:tc>
          <w:tcPr>
            <w:tcW w:w="500" w:type="pct"/>
          </w:tcPr>
          <w:p w14:paraId="1154EBB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170</w:t>
            </w:r>
          </w:p>
        </w:tc>
        <w:tc>
          <w:tcPr>
            <w:tcW w:w="500" w:type="pct"/>
          </w:tcPr>
          <w:p w14:paraId="01E3D4C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163</w:t>
            </w:r>
          </w:p>
        </w:tc>
        <w:tc>
          <w:tcPr>
            <w:tcW w:w="500" w:type="pct"/>
          </w:tcPr>
          <w:p w14:paraId="1C659A9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153</w:t>
            </w:r>
          </w:p>
        </w:tc>
        <w:tc>
          <w:tcPr>
            <w:tcW w:w="500" w:type="pct"/>
          </w:tcPr>
          <w:p w14:paraId="00E8B90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137</w:t>
            </w:r>
          </w:p>
        </w:tc>
        <w:tc>
          <w:tcPr>
            <w:tcW w:w="500" w:type="pct"/>
          </w:tcPr>
          <w:p w14:paraId="7B0FED8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130</w:t>
            </w:r>
          </w:p>
        </w:tc>
        <w:tc>
          <w:tcPr>
            <w:tcW w:w="500" w:type="pct"/>
          </w:tcPr>
          <w:p w14:paraId="2D19458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120</w:t>
            </w:r>
          </w:p>
        </w:tc>
        <w:tc>
          <w:tcPr>
            <w:tcW w:w="500" w:type="pct"/>
          </w:tcPr>
          <w:p w14:paraId="3D8CB1B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104</w:t>
            </w:r>
          </w:p>
        </w:tc>
        <w:tc>
          <w:tcPr>
            <w:tcW w:w="500" w:type="pct"/>
          </w:tcPr>
          <w:p w14:paraId="598BA93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83</w:t>
            </w:r>
          </w:p>
        </w:tc>
      </w:tr>
      <w:tr w:rsidR="00C90867" w:rsidRPr="00C201F7" w14:paraId="6AB9CCCA" w14:textId="77777777" w:rsidTr="00771983">
        <w:tc>
          <w:tcPr>
            <w:tcW w:w="410" w:type="pct"/>
            <w:shd w:val="clear" w:color="auto" w:fill="F2F2F2" w:themeFill="background1" w:themeFillShade="F2"/>
          </w:tcPr>
          <w:p w14:paraId="28BFEEBA"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50</w:t>
            </w:r>
          </w:p>
        </w:tc>
        <w:tc>
          <w:tcPr>
            <w:tcW w:w="590" w:type="pct"/>
          </w:tcPr>
          <w:p w14:paraId="66362C4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172</w:t>
            </w:r>
          </w:p>
        </w:tc>
        <w:tc>
          <w:tcPr>
            <w:tcW w:w="500" w:type="pct"/>
          </w:tcPr>
          <w:p w14:paraId="474CE63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167</w:t>
            </w:r>
          </w:p>
        </w:tc>
        <w:tc>
          <w:tcPr>
            <w:tcW w:w="500" w:type="pct"/>
          </w:tcPr>
          <w:p w14:paraId="6C29EBE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159</w:t>
            </w:r>
          </w:p>
        </w:tc>
        <w:tc>
          <w:tcPr>
            <w:tcW w:w="500" w:type="pct"/>
          </w:tcPr>
          <w:p w14:paraId="1F4C082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150</w:t>
            </w:r>
          </w:p>
        </w:tc>
        <w:tc>
          <w:tcPr>
            <w:tcW w:w="500" w:type="pct"/>
          </w:tcPr>
          <w:p w14:paraId="42E0ED1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133</w:t>
            </w:r>
          </w:p>
        </w:tc>
        <w:tc>
          <w:tcPr>
            <w:tcW w:w="500" w:type="pct"/>
          </w:tcPr>
          <w:p w14:paraId="49F3BAE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126</w:t>
            </w:r>
          </w:p>
        </w:tc>
        <w:tc>
          <w:tcPr>
            <w:tcW w:w="500" w:type="pct"/>
          </w:tcPr>
          <w:p w14:paraId="265546C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117</w:t>
            </w:r>
          </w:p>
        </w:tc>
        <w:tc>
          <w:tcPr>
            <w:tcW w:w="500" w:type="pct"/>
          </w:tcPr>
          <w:p w14:paraId="3089B9A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100</w:t>
            </w:r>
          </w:p>
        </w:tc>
        <w:tc>
          <w:tcPr>
            <w:tcW w:w="500" w:type="pct"/>
          </w:tcPr>
          <w:p w14:paraId="2EA428B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80</w:t>
            </w:r>
          </w:p>
        </w:tc>
      </w:tr>
      <w:tr w:rsidR="00C90867" w:rsidRPr="00C201F7" w14:paraId="6CA76C43" w14:textId="77777777" w:rsidTr="00771983">
        <w:tc>
          <w:tcPr>
            <w:tcW w:w="410" w:type="pct"/>
            <w:shd w:val="clear" w:color="auto" w:fill="F2F2F2" w:themeFill="background1" w:themeFillShade="F2"/>
          </w:tcPr>
          <w:p w14:paraId="74F24DF3"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35</w:t>
            </w:r>
          </w:p>
        </w:tc>
        <w:tc>
          <w:tcPr>
            <w:tcW w:w="590" w:type="pct"/>
          </w:tcPr>
          <w:p w14:paraId="0EA56B0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168</w:t>
            </w:r>
          </w:p>
        </w:tc>
        <w:tc>
          <w:tcPr>
            <w:tcW w:w="500" w:type="pct"/>
          </w:tcPr>
          <w:p w14:paraId="7B088A4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162</w:t>
            </w:r>
          </w:p>
        </w:tc>
        <w:tc>
          <w:tcPr>
            <w:tcW w:w="500" w:type="pct"/>
          </w:tcPr>
          <w:p w14:paraId="11AE3E6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155</w:t>
            </w:r>
          </w:p>
        </w:tc>
        <w:tc>
          <w:tcPr>
            <w:tcW w:w="500" w:type="pct"/>
          </w:tcPr>
          <w:p w14:paraId="649CE9A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145</w:t>
            </w:r>
          </w:p>
        </w:tc>
        <w:tc>
          <w:tcPr>
            <w:tcW w:w="500" w:type="pct"/>
          </w:tcPr>
          <w:p w14:paraId="72BBBB1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129</w:t>
            </w:r>
          </w:p>
        </w:tc>
        <w:tc>
          <w:tcPr>
            <w:tcW w:w="500" w:type="pct"/>
          </w:tcPr>
          <w:p w14:paraId="27069B3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122</w:t>
            </w:r>
          </w:p>
        </w:tc>
        <w:tc>
          <w:tcPr>
            <w:tcW w:w="500" w:type="pct"/>
          </w:tcPr>
          <w:p w14:paraId="437D1F5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113</w:t>
            </w:r>
          </w:p>
        </w:tc>
        <w:tc>
          <w:tcPr>
            <w:tcW w:w="500" w:type="pct"/>
          </w:tcPr>
          <w:p w14:paraId="3228135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97</w:t>
            </w:r>
          </w:p>
        </w:tc>
        <w:tc>
          <w:tcPr>
            <w:tcW w:w="500" w:type="pct"/>
          </w:tcPr>
          <w:p w14:paraId="467AB61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76</w:t>
            </w:r>
          </w:p>
        </w:tc>
      </w:tr>
    </w:tbl>
    <w:p w14:paraId="6DF1281E" w14:textId="77777777" w:rsidR="00C90867" w:rsidRPr="00C201F7" w:rsidRDefault="00C90867" w:rsidP="00C90867">
      <w:pPr>
        <w:keepNext/>
        <w:keepLines/>
        <w:spacing w:before="120"/>
        <w:jc w:val="center"/>
        <w:rPr>
          <w:rFonts w:eastAsia="ヒラギノ角ゴ Pro W3"/>
          <w:color w:val="000000"/>
          <w:szCs w:val="22"/>
        </w:rPr>
      </w:pPr>
      <w:bookmarkStart w:id="1135" w:name="Table74_7"/>
      <w:bookmarkStart w:id="1136" w:name="_Ref392079093"/>
      <w:r w:rsidRPr="00C201F7">
        <w:rPr>
          <w:rFonts w:eastAsia="ヒラギノ角ゴ Pro W3"/>
          <w:color w:val="000000"/>
          <w:szCs w:val="22"/>
        </w:rPr>
        <w:t xml:space="preserve">Table </w:t>
      </w:r>
      <w:r w:rsidR="00317F0B" w:rsidRPr="00C201F7">
        <w:rPr>
          <w:rFonts w:eastAsia="ヒラギノ角ゴ Pro W3"/>
          <w:color w:val="000000"/>
          <w:szCs w:val="22"/>
        </w:rPr>
        <w:fldChar w:fldCharType="begin"/>
      </w:r>
      <w:r w:rsidR="00317F0B" w:rsidRPr="00C201F7">
        <w:rPr>
          <w:rFonts w:eastAsia="ヒラギノ角ゴ Pro W3"/>
          <w:color w:val="000000"/>
          <w:szCs w:val="22"/>
        </w:rPr>
        <w:instrText xml:space="preserve"> SEQ Table74 \* MERGEFORMAT </w:instrText>
      </w:r>
      <w:r w:rsidR="00317F0B" w:rsidRPr="00C201F7">
        <w:rPr>
          <w:rFonts w:eastAsia="ヒラギノ角ゴ Pro W3"/>
          <w:color w:val="000000"/>
          <w:szCs w:val="22"/>
        </w:rPr>
        <w:fldChar w:fldCharType="separate"/>
      </w:r>
      <w:r w:rsidR="00656F50">
        <w:rPr>
          <w:rFonts w:eastAsia="ヒラギノ角ゴ Pro W3"/>
          <w:noProof/>
          <w:color w:val="000000"/>
          <w:szCs w:val="22"/>
        </w:rPr>
        <w:t>7</w:t>
      </w:r>
      <w:r w:rsidR="00317F0B" w:rsidRPr="00C201F7">
        <w:rPr>
          <w:rFonts w:eastAsia="ヒラギノ角ゴ Pro W3"/>
          <w:color w:val="000000"/>
          <w:szCs w:val="22"/>
        </w:rPr>
        <w:fldChar w:fldCharType="end"/>
      </w:r>
      <w:bookmarkEnd w:id="1135"/>
      <w:bookmarkEnd w:id="1136"/>
      <w:r w:rsidRPr="00C201F7">
        <w:rPr>
          <w:rFonts w:eastAsia="ヒラギノ角ゴ Pro W3"/>
          <w:color w:val="000000"/>
          <w:szCs w:val="22"/>
        </w:rPr>
        <w:t xml:space="preserve">.  Culling distances (in km) from DTV noise-limited </w:t>
      </w:r>
      <w:r w:rsidR="00022AB3">
        <w:rPr>
          <w:rFonts w:eastAsia="ヒラギノ角ゴ Pro W3"/>
          <w:color w:val="000000"/>
          <w:szCs w:val="22"/>
        </w:rPr>
        <w:t xml:space="preserve">or protected </w:t>
      </w:r>
      <w:r w:rsidRPr="00C201F7">
        <w:rPr>
          <w:rFonts w:eastAsia="ヒラギノ角ゴ Pro W3"/>
          <w:color w:val="000000"/>
          <w:szCs w:val="22"/>
        </w:rPr>
        <w:t>contour (spectral overlap ≥ 5 MHz)</w:t>
      </w:r>
    </w:p>
    <w:p w14:paraId="579D08C0" w14:textId="77777777" w:rsidR="00C90867" w:rsidRPr="00C201F7" w:rsidRDefault="00C90867" w:rsidP="00C90867">
      <w:pPr>
        <w:rPr>
          <w:rFonts w:eastAsia="ヒラギノ角ゴ Pro W3"/>
          <w:color w:val="000000"/>
          <w:szCs w:val="22"/>
        </w:rPr>
      </w:pPr>
    </w:p>
    <w:tbl>
      <w:tblPr>
        <w:tblStyle w:val="TableGrid"/>
        <w:tblW w:w="5000" w:type="pct"/>
        <w:tblLook w:val="04A0" w:firstRow="1" w:lastRow="0" w:firstColumn="1" w:lastColumn="0" w:noHBand="0" w:noVBand="1"/>
      </w:tblPr>
      <w:tblGrid>
        <w:gridCol w:w="828"/>
        <w:gridCol w:w="1124"/>
        <w:gridCol w:w="953"/>
        <w:gridCol w:w="953"/>
        <w:gridCol w:w="953"/>
        <w:gridCol w:w="953"/>
        <w:gridCol w:w="953"/>
        <w:gridCol w:w="953"/>
        <w:gridCol w:w="953"/>
        <w:gridCol w:w="953"/>
      </w:tblGrid>
      <w:tr w:rsidR="00C90867" w:rsidRPr="00C201F7" w14:paraId="4AC1633F" w14:textId="77777777" w:rsidTr="00771983">
        <w:tc>
          <w:tcPr>
            <w:tcW w:w="410" w:type="pct"/>
            <w:vMerge w:val="restart"/>
            <w:shd w:val="clear" w:color="auto" w:fill="F2F2F2" w:themeFill="background1" w:themeFillShade="F2"/>
          </w:tcPr>
          <w:p w14:paraId="3E657F59"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HAAT</w:t>
            </w:r>
          </w:p>
          <w:p w14:paraId="56D34BC1"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(m):</w:t>
            </w:r>
          </w:p>
        </w:tc>
        <w:tc>
          <w:tcPr>
            <w:tcW w:w="4590" w:type="pct"/>
            <w:gridSpan w:val="9"/>
            <w:shd w:val="clear" w:color="auto" w:fill="D9D9D9" w:themeFill="background1" w:themeFillShade="D9"/>
          </w:tcPr>
          <w:p w14:paraId="030DFD7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ERP (kW) per 5 MHz block:</w:t>
            </w:r>
          </w:p>
        </w:tc>
      </w:tr>
      <w:tr w:rsidR="00C90867" w:rsidRPr="00C201F7" w14:paraId="5587EF07" w14:textId="77777777" w:rsidTr="00771983">
        <w:tc>
          <w:tcPr>
            <w:tcW w:w="410" w:type="pct"/>
            <w:vMerge/>
            <w:shd w:val="clear" w:color="auto" w:fill="F2F2F2" w:themeFill="background1" w:themeFillShade="F2"/>
          </w:tcPr>
          <w:p w14:paraId="78093763" w14:textId="77777777" w:rsidR="00C90867" w:rsidRPr="00C201F7" w:rsidRDefault="00C90867" w:rsidP="00C90867">
            <w:pPr>
              <w:keepNext/>
              <w:keepLines/>
              <w:rPr>
                <w:rFonts w:eastAsia="ヒラギノ角ゴ Pro W3"/>
                <w:color w:val="000000"/>
                <w:szCs w:val="22"/>
              </w:rPr>
            </w:pPr>
          </w:p>
        </w:tc>
        <w:tc>
          <w:tcPr>
            <w:tcW w:w="590" w:type="pct"/>
            <w:shd w:val="clear" w:color="auto" w:fill="D9D9D9" w:themeFill="background1" w:themeFillShade="D9"/>
          </w:tcPr>
          <w:p w14:paraId="149EB718"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5</w:t>
            </w:r>
          </w:p>
        </w:tc>
        <w:tc>
          <w:tcPr>
            <w:tcW w:w="500" w:type="pct"/>
            <w:shd w:val="clear" w:color="auto" w:fill="D9D9D9" w:themeFill="background1" w:themeFillShade="D9"/>
          </w:tcPr>
          <w:p w14:paraId="27E2DD60"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4</w:t>
            </w:r>
          </w:p>
        </w:tc>
        <w:tc>
          <w:tcPr>
            <w:tcW w:w="500" w:type="pct"/>
            <w:shd w:val="clear" w:color="auto" w:fill="D9D9D9" w:themeFill="background1" w:themeFillShade="D9"/>
          </w:tcPr>
          <w:p w14:paraId="4553748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w:t>
            </w:r>
          </w:p>
        </w:tc>
        <w:tc>
          <w:tcPr>
            <w:tcW w:w="500" w:type="pct"/>
            <w:shd w:val="clear" w:color="auto" w:fill="D9D9D9" w:themeFill="background1" w:themeFillShade="D9"/>
          </w:tcPr>
          <w:p w14:paraId="2DAB4CC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w:t>
            </w:r>
          </w:p>
        </w:tc>
        <w:tc>
          <w:tcPr>
            <w:tcW w:w="500" w:type="pct"/>
            <w:shd w:val="clear" w:color="auto" w:fill="D9D9D9" w:themeFill="background1" w:themeFillShade="D9"/>
          </w:tcPr>
          <w:p w14:paraId="1FACEB9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w:t>
            </w:r>
          </w:p>
        </w:tc>
        <w:tc>
          <w:tcPr>
            <w:tcW w:w="500" w:type="pct"/>
            <w:shd w:val="clear" w:color="auto" w:fill="D9D9D9" w:themeFill="background1" w:themeFillShade="D9"/>
          </w:tcPr>
          <w:p w14:paraId="47D711B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0.75</w:t>
            </w:r>
          </w:p>
        </w:tc>
        <w:tc>
          <w:tcPr>
            <w:tcW w:w="500" w:type="pct"/>
            <w:shd w:val="clear" w:color="auto" w:fill="D9D9D9" w:themeFill="background1" w:themeFillShade="D9"/>
          </w:tcPr>
          <w:p w14:paraId="20D0729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0.5</w:t>
            </w:r>
          </w:p>
        </w:tc>
        <w:tc>
          <w:tcPr>
            <w:tcW w:w="500" w:type="pct"/>
            <w:shd w:val="clear" w:color="auto" w:fill="D9D9D9" w:themeFill="background1" w:themeFillShade="D9"/>
          </w:tcPr>
          <w:p w14:paraId="77C949D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0.25</w:t>
            </w:r>
          </w:p>
        </w:tc>
        <w:tc>
          <w:tcPr>
            <w:tcW w:w="500" w:type="pct"/>
            <w:shd w:val="clear" w:color="auto" w:fill="D9D9D9" w:themeFill="background1" w:themeFillShade="D9"/>
          </w:tcPr>
          <w:p w14:paraId="0022E3C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0.1</w:t>
            </w:r>
          </w:p>
        </w:tc>
      </w:tr>
      <w:tr w:rsidR="00C90867" w:rsidRPr="00C201F7" w14:paraId="2F457FF0" w14:textId="77777777" w:rsidTr="00771983">
        <w:tc>
          <w:tcPr>
            <w:tcW w:w="410" w:type="pct"/>
            <w:shd w:val="clear" w:color="auto" w:fill="F2F2F2" w:themeFill="background1" w:themeFillShade="F2"/>
          </w:tcPr>
          <w:p w14:paraId="5AE9B4D0"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305</w:t>
            </w:r>
          </w:p>
        </w:tc>
        <w:tc>
          <w:tcPr>
            <w:tcW w:w="590" w:type="pct"/>
          </w:tcPr>
          <w:p w14:paraId="52CA6C8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205</w:t>
            </w:r>
          </w:p>
        </w:tc>
        <w:tc>
          <w:tcPr>
            <w:tcW w:w="500" w:type="pct"/>
          </w:tcPr>
          <w:p w14:paraId="3AB320A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199</w:t>
            </w:r>
          </w:p>
        </w:tc>
        <w:tc>
          <w:tcPr>
            <w:tcW w:w="500" w:type="pct"/>
          </w:tcPr>
          <w:p w14:paraId="04F8B92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192</w:t>
            </w:r>
          </w:p>
        </w:tc>
        <w:tc>
          <w:tcPr>
            <w:tcW w:w="500" w:type="pct"/>
          </w:tcPr>
          <w:p w14:paraId="54E3EB2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181</w:t>
            </w:r>
          </w:p>
        </w:tc>
        <w:tc>
          <w:tcPr>
            <w:tcW w:w="500" w:type="pct"/>
          </w:tcPr>
          <w:p w14:paraId="46C0224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166</w:t>
            </w:r>
          </w:p>
        </w:tc>
        <w:tc>
          <w:tcPr>
            <w:tcW w:w="500" w:type="pct"/>
          </w:tcPr>
          <w:p w14:paraId="53F0276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159</w:t>
            </w:r>
          </w:p>
        </w:tc>
        <w:tc>
          <w:tcPr>
            <w:tcW w:w="500" w:type="pct"/>
          </w:tcPr>
          <w:p w14:paraId="3F2589C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148</w:t>
            </w:r>
          </w:p>
        </w:tc>
        <w:tc>
          <w:tcPr>
            <w:tcW w:w="500" w:type="pct"/>
          </w:tcPr>
          <w:p w14:paraId="1E23FAA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132</w:t>
            </w:r>
          </w:p>
        </w:tc>
        <w:tc>
          <w:tcPr>
            <w:tcW w:w="500" w:type="pct"/>
          </w:tcPr>
          <w:p w14:paraId="6552A9B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111</w:t>
            </w:r>
          </w:p>
        </w:tc>
      </w:tr>
      <w:tr w:rsidR="00C90867" w:rsidRPr="00C201F7" w14:paraId="6772E180" w14:textId="77777777" w:rsidTr="00771983">
        <w:tc>
          <w:tcPr>
            <w:tcW w:w="410" w:type="pct"/>
            <w:shd w:val="clear" w:color="auto" w:fill="F2F2F2" w:themeFill="background1" w:themeFillShade="F2"/>
          </w:tcPr>
          <w:p w14:paraId="1849E558"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200</w:t>
            </w:r>
          </w:p>
        </w:tc>
        <w:tc>
          <w:tcPr>
            <w:tcW w:w="590" w:type="pct"/>
          </w:tcPr>
          <w:p w14:paraId="65F01B9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192</w:t>
            </w:r>
          </w:p>
        </w:tc>
        <w:tc>
          <w:tcPr>
            <w:tcW w:w="500" w:type="pct"/>
          </w:tcPr>
          <w:p w14:paraId="475E3EC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186</w:t>
            </w:r>
          </w:p>
        </w:tc>
        <w:tc>
          <w:tcPr>
            <w:tcW w:w="500" w:type="pct"/>
          </w:tcPr>
          <w:p w14:paraId="059C100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179</w:t>
            </w:r>
          </w:p>
        </w:tc>
        <w:tc>
          <w:tcPr>
            <w:tcW w:w="500" w:type="pct"/>
          </w:tcPr>
          <w:p w14:paraId="4F1E751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169</w:t>
            </w:r>
          </w:p>
        </w:tc>
        <w:tc>
          <w:tcPr>
            <w:tcW w:w="500" w:type="pct"/>
          </w:tcPr>
          <w:p w14:paraId="5E7EC9D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153</w:t>
            </w:r>
          </w:p>
        </w:tc>
        <w:tc>
          <w:tcPr>
            <w:tcW w:w="500" w:type="pct"/>
          </w:tcPr>
          <w:p w14:paraId="41116EA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146</w:t>
            </w:r>
          </w:p>
        </w:tc>
        <w:tc>
          <w:tcPr>
            <w:tcW w:w="500" w:type="pct"/>
          </w:tcPr>
          <w:p w14:paraId="54CEF60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137</w:t>
            </w:r>
          </w:p>
        </w:tc>
        <w:tc>
          <w:tcPr>
            <w:tcW w:w="500" w:type="pct"/>
          </w:tcPr>
          <w:p w14:paraId="22C2347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121</w:t>
            </w:r>
          </w:p>
        </w:tc>
        <w:tc>
          <w:tcPr>
            <w:tcW w:w="500" w:type="pct"/>
          </w:tcPr>
          <w:p w14:paraId="0F6316E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100</w:t>
            </w:r>
          </w:p>
        </w:tc>
      </w:tr>
      <w:tr w:rsidR="00C90867" w:rsidRPr="00C201F7" w14:paraId="16F624C7" w14:textId="77777777" w:rsidTr="00771983">
        <w:tc>
          <w:tcPr>
            <w:tcW w:w="410" w:type="pct"/>
            <w:shd w:val="clear" w:color="auto" w:fill="F2F2F2" w:themeFill="background1" w:themeFillShade="F2"/>
          </w:tcPr>
          <w:p w14:paraId="3D41EB2E"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150</w:t>
            </w:r>
          </w:p>
        </w:tc>
        <w:tc>
          <w:tcPr>
            <w:tcW w:w="590" w:type="pct"/>
          </w:tcPr>
          <w:p w14:paraId="24E80AF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185</w:t>
            </w:r>
          </w:p>
        </w:tc>
        <w:tc>
          <w:tcPr>
            <w:tcW w:w="500" w:type="pct"/>
          </w:tcPr>
          <w:p w14:paraId="74F99BF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180</w:t>
            </w:r>
          </w:p>
        </w:tc>
        <w:tc>
          <w:tcPr>
            <w:tcW w:w="500" w:type="pct"/>
          </w:tcPr>
          <w:p w14:paraId="26E144B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173</w:t>
            </w:r>
          </w:p>
        </w:tc>
        <w:tc>
          <w:tcPr>
            <w:tcW w:w="500" w:type="pct"/>
          </w:tcPr>
          <w:p w14:paraId="2B15452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164</w:t>
            </w:r>
          </w:p>
        </w:tc>
        <w:tc>
          <w:tcPr>
            <w:tcW w:w="500" w:type="pct"/>
          </w:tcPr>
          <w:p w14:paraId="6A0A662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147</w:t>
            </w:r>
          </w:p>
        </w:tc>
        <w:tc>
          <w:tcPr>
            <w:tcW w:w="500" w:type="pct"/>
          </w:tcPr>
          <w:p w14:paraId="2BFE75A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140</w:t>
            </w:r>
          </w:p>
        </w:tc>
        <w:tc>
          <w:tcPr>
            <w:tcW w:w="500" w:type="pct"/>
          </w:tcPr>
          <w:p w14:paraId="5BF3A4E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131</w:t>
            </w:r>
          </w:p>
        </w:tc>
        <w:tc>
          <w:tcPr>
            <w:tcW w:w="500" w:type="pct"/>
          </w:tcPr>
          <w:p w14:paraId="2D0A6F6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115</w:t>
            </w:r>
          </w:p>
        </w:tc>
        <w:tc>
          <w:tcPr>
            <w:tcW w:w="500" w:type="pct"/>
          </w:tcPr>
          <w:p w14:paraId="0460F72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94</w:t>
            </w:r>
          </w:p>
        </w:tc>
      </w:tr>
      <w:tr w:rsidR="00C90867" w:rsidRPr="00C201F7" w14:paraId="1B9AACFC" w14:textId="77777777" w:rsidTr="00771983">
        <w:tc>
          <w:tcPr>
            <w:tcW w:w="410" w:type="pct"/>
            <w:shd w:val="clear" w:color="auto" w:fill="F2F2F2" w:themeFill="background1" w:themeFillShade="F2"/>
          </w:tcPr>
          <w:p w14:paraId="7BEDB411"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100</w:t>
            </w:r>
          </w:p>
        </w:tc>
        <w:tc>
          <w:tcPr>
            <w:tcW w:w="590" w:type="pct"/>
          </w:tcPr>
          <w:p w14:paraId="6921DED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179</w:t>
            </w:r>
          </w:p>
        </w:tc>
        <w:tc>
          <w:tcPr>
            <w:tcW w:w="500" w:type="pct"/>
          </w:tcPr>
          <w:p w14:paraId="536EE93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173</w:t>
            </w:r>
          </w:p>
        </w:tc>
        <w:tc>
          <w:tcPr>
            <w:tcW w:w="500" w:type="pct"/>
          </w:tcPr>
          <w:p w14:paraId="60F6FB7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166</w:t>
            </w:r>
          </w:p>
        </w:tc>
        <w:tc>
          <w:tcPr>
            <w:tcW w:w="500" w:type="pct"/>
          </w:tcPr>
          <w:p w14:paraId="7E1ACFE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156</w:t>
            </w:r>
          </w:p>
        </w:tc>
        <w:tc>
          <w:tcPr>
            <w:tcW w:w="500" w:type="pct"/>
          </w:tcPr>
          <w:p w14:paraId="65A808B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139</w:t>
            </w:r>
          </w:p>
        </w:tc>
        <w:tc>
          <w:tcPr>
            <w:tcW w:w="500" w:type="pct"/>
          </w:tcPr>
          <w:p w14:paraId="7A646A3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132</w:t>
            </w:r>
          </w:p>
        </w:tc>
        <w:tc>
          <w:tcPr>
            <w:tcW w:w="500" w:type="pct"/>
          </w:tcPr>
          <w:p w14:paraId="794BB03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123</w:t>
            </w:r>
          </w:p>
        </w:tc>
        <w:tc>
          <w:tcPr>
            <w:tcW w:w="500" w:type="pct"/>
          </w:tcPr>
          <w:p w14:paraId="67B4587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107</w:t>
            </w:r>
          </w:p>
        </w:tc>
        <w:tc>
          <w:tcPr>
            <w:tcW w:w="500" w:type="pct"/>
          </w:tcPr>
          <w:p w14:paraId="0CB1C9E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86</w:t>
            </w:r>
          </w:p>
        </w:tc>
      </w:tr>
      <w:tr w:rsidR="00C90867" w:rsidRPr="00C201F7" w14:paraId="4AD6C042" w14:textId="77777777" w:rsidTr="00771983">
        <w:tc>
          <w:tcPr>
            <w:tcW w:w="410" w:type="pct"/>
            <w:shd w:val="clear" w:color="auto" w:fill="F2F2F2" w:themeFill="background1" w:themeFillShade="F2"/>
          </w:tcPr>
          <w:p w14:paraId="17EAF6C6"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80</w:t>
            </w:r>
          </w:p>
        </w:tc>
        <w:tc>
          <w:tcPr>
            <w:tcW w:w="590" w:type="pct"/>
          </w:tcPr>
          <w:p w14:paraId="2C09B86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175</w:t>
            </w:r>
          </w:p>
        </w:tc>
        <w:tc>
          <w:tcPr>
            <w:tcW w:w="500" w:type="pct"/>
          </w:tcPr>
          <w:p w14:paraId="0BF3791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169</w:t>
            </w:r>
          </w:p>
        </w:tc>
        <w:tc>
          <w:tcPr>
            <w:tcW w:w="500" w:type="pct"/>
          </w:tcPr>
          <w:p w14:paraId="167A54D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162</w:t>
            </w:r>
          </w:p>
        </w:tc>
        <w:tc>
          <w:tcPr>
            <w:tcW w:w="500" w:type="pct"/>
          </w:tcPr>
          <w:p w14:paraId="6E16310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152</w:t>
            </w:r>
          </w:p>
        </w:tc>
        <w:tc>
          <w:tcPr>
            <w:tcW w:w="500" w:type="pct"/>
          </w:tcPr>
          <w:p w14:paraId="64646AE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136</w:t>
            </w:r>
          </w:p>
        </w:tc>
        <w:tc>
          <w:tcPr>
            <w:tcW w:w="500" w:type="pct"/>
          </w:tcPr>
          <w:p w14:paraId="7B652B8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128</w:t>
            </w:r>
          </w:p>
        </w:tc>
        <w:tc>
          <w:tcPr>
            <w:tcW w:w="500" w:type="pct"/>
          </w:tcPr>
          <w:p w14:paraId="7344BD0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119</w:t>
            </w:r>
          </w:p>
        </w:tc>
        <w:tc>
          <w:tcPr>
            <w:tcW w:w="500" w:type="pct"/>
          </w:tcPr>
          <w:p w14:paraId="2F158D3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103</w:t>
            </w:r>
          </w:p>
        </w:tc>
        <w:tc>
          <w:tcPr>
            <w:tcW w:w="500" w:type="pct"/>
          </w:tcPr>
          <w:p w14:paraId="68D83E3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82</w:t>
            </w:r>
          </w:p>
        </w:tc>
      </w:tr>
      <w:tr w:rsidR="00C90867" w:rsidRPr="00C201F7" w14:paraId="143A918B" w14:textId="77777777" w:rsidTr="00771983">
        <w:tc>
          <w:tcPr>
            <w:tcW w:w="410" w:type="pct"/>
            <w:shd w:val="clear" w:color="auto" w:fill="F2F2F2" w:themeFill="background1" w:themeFillShade="F2"/>
          </w:tcPr>
          <w:p w14:paraId="2B9A7161"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65</w:t>
            </w:r>
          </w:p>
        </w:tc>
        <w:tc>
          <w:tcPr>
            <w:tcW w:w="590" w:type="pct"/>
          </w:tcPr>
          <w:p w14:paraId="5EFC621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171</w:t>
            </w:r>
          </w:p>
        </w:tc>
        <w:tc>
          <w:tcPr>
            <w:tcW w:w="500" w:type="pct"/>
          </w:tcPr>
          <w:p w14:paraId="134AF92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166</w:t>
            </w:r>
          </w:p>
        </w:tc>
        <w:tc>
          <w:tcPr>
            <w:tcW w:w="500" w:type="pct"/>
          </w:tcPr>
          <w:p w14:paraId="3E43F70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158</w:t>
            </w:r>
          </w:p>
        </w:tc>
        <w:tc>
          <w:tcPr>
            <w:tcW w:w="500" w:type="pct"/>
          </w:tcPr>
          <w:p w14:paraId="5068761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149</w:t>
            </w:r>
          </w:p>
        </w:tc>
        <w:tc>
          <w:tcPr>
            <w:tcW w:w="500" w:type="pct"/>
          </w:tcPr>
          <w:p w14:paraId="5286890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132</w:t>
            </w:r>
          </w:p>
        </w:tc>
        <w:tc>
          <w:tcPr>
            <w:tcW w:w="500" w:type="pct"/>
          </w:tcPr>
          <w:p w14:paraId="0E43880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125</w:t>
            </w:r>
          </w:p>
        </w:tc>
        <w:tc>
          <w:tcPr>
            <w:tcW w:w="500" w:type="pct"/>
          </w:tcPr>
          <w:p w14:paraId="4FC5DD5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116</w:t>
            </w:r>
          </w:p>
        </w:tc>
        <w:tc>
          <w:tcPr>
            <w:tcW w:w="500" w:type="pct"/>
          </w:tcPr>
          <w:p w14:paraId="74C83A6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99</w:t>
            </w:r>
          </w:p>
        </w:tc>
        <w:tc>
          <w:tcPr>
            <w:tcW w:w="500" w:type="pct"/>
          </w:tcPr>
          <w:p w14:paraId="407644C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79</w:t>
            </w:r>
          </w:p>
        </w:tc>
      </w:tr>
      <w:tr w:rsidR="00C90867" w:rsidRPr="00C201F7" w14:paraId="1D3D0D69" w14:textId="77777777" w:rsidTr="00771983">
        <w:tc>
          <w:tcPr>
            <w:tcW w:w="410" w:type="pct"/>
            <w:shd w:val="clear" w:color="auto" w:fill="F2F2F2" w:themeFill="background1" w:themeFillShade="F2"/>
          </w:tcPr>
          <w:p w14:paraId="25EE3AE5"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50</w:t>
            </w:r>
          </w:p>
        </w:tc>
        <w:tc>
          <w:tcPr>
            <w:tcW w:w="590" w:type="pct"/>
          </w:tcPr>
          <w:p w14:paraId="3F561BE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168</w:t>
            </w:r>
          </w:p>
        </w:tc>
        <w:tc>
          <w:tcPr>
            <w:tcW w:w="500" w:type="pct"/>
          </w:tcPr>
          <w:p w14:paraId="6579A6B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162</w:t>
            </w:r>
          </w:p>
        </w:tc>
        <w:tc>
          <w:tcPr>
            <w:tcW w:w="500" w:type="pct"/>
          </w:tcPr>
          <w:p w14:paraId="06FE8C7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155</w:t>
            </w:r>
          </w:p>
        </w:tc>
        <w:tc>
          <w:tcPr>
            <w:tcW w:w="500" w:type="pct"/>
          </w:tcPr>
          <w:p w14:paraId="6E60332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146</w:t>
            </w:r>
          </w:p>
        </w:tc>
        <w:tc>
          <w:tcPr>
            <w:tcW w:w="500" w:type="pct"/>
          </w:tcPr>
          <w:p w14:paraId="7B96812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129</w:t>
            </w:r>
          </w:p>
        </w:tc>
        <w:tc>
          <w:tcPr>
            <w:tcW w:w="500" w:type="pct"/>
          </w:tcPr>
          <w:p w14:paraId="57E4D0D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122</w:t>
            </w:r>
          </w:p>
        </w:tc>
        <w:tc>
          <w:tcPr>
            <w:tcW w:w="500" w:type="pct"/>
          </w:tcPr>
          <w:p w14:paraId="002C99B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112</w:t>
            </w:r>
          </w:p>
        </w:tc>
        <w:tc>
          <w:tcPr>
            <w:tcW w:w="500" w:type="pct"/>
          </w:tcPr>
          <w:p w14:paraId="4A1160D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96</w:t>
            </w:r>
          </w:p>
        </w:tc>
        <w:tc>
          <w:tcPr>
            <w:tcW w:w="500" w:type="pct"/>
          </w:tcPr>
          <w:p w14:paraId="17BBDDE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76</w:t>
            </w:r>
          </w:p>
        </w:tc>
      </w:tr>
      <w:tr w:rsidR="00C90867" w:rsidRPr="00C201F7" w14:paraId="26E6159F" w14:textId="77777777" w:rsidTr="00771983">
        <w:tc>
          <w:tcPr>
            <w:tcW w:w="410" w:type="pct"/>
            <w:shd w:val="clear" w:color="auto" w:fill="F2F2F2" w:themeFill="background1" w:themeFillShade="F2"/>
          </w:tcPr>
          <w:p w14:paraId="4A383FD9"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35</w:t>
            </w:r>
          </w:p>
        </w:tc>
        <w:tc>
          <w:tcPr>
            <w:tcW w:w="590" w:type="pct"/>
          </w:tcPr>
          <w:p w14:paraId="6AF6455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163</w:t>
            </w:r>
          </w:p>
        </w:tc>
        <w:tc>
          <w:tcPr>
            <w:tcW w:w="500" w:type="pct"/>
          </w:tcPr>
          <w:p w14:paraId="04CF0ED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158</w:t>
            </w:r>
          </w:p>
        </w:tc>
        <w:tc>
          <w:tcPr>
            <w:tcW w:w="500" w:type="pct"/>
          </w:tcPr>
          <w:p w14:paraId="16785DA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151</w:t>
            </w:r>
          </w:p>
        </w:tc>
        <w:tc>
          <w:tcPr>
            <w:tcW w:w="500" w:type="pct"/>
          </w:tcPr>
          <w:p w14:paraId="22AD1DC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141</w:t>
            </w:r>
          </w:p>
        </w:tc>
        <w:tc>
          <w:tcPr>
            <w:tcW w:w="500" w:type="pct"/>
          </w:tcPr>
          <w:p w14:paraId="665BC31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125</w:t>
            </w:r>
          </w:p>
        </w:tc>
        <w:tc>
          <w:tcPr>
            <w:tcW w:w="500" w:type="pct"/>
          </w:tcPr>
          <w:p w14:paraId="69582FD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118</w:t>
            </w:r>
          </w:p>
        </w:tc>
        <w:tc>
          <w:tcPr>
            <w:tcW w:w="500" w:type="pct"/>
          </w:tcPr>
          <w:p w14:paraId="7730D0F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108</w:t>
            </w:r>
          </w:p>
        </w:tc>
        <w:tc>
          <w:tcPr>
            <w:tcW w:w="500" w:type="pct"/>
          </w:tcPr>
          <w:p w14:paraId="26CE00A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92</w:t>
            </w:r>
          </w:p>
        </w:tc>
        <w:tc>
          <w:tcPr>
            <w:tcW w:w="500" w:type="pct"/>
          </w:tcPr>
          <w:p w14:paraId="47FBEDF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73</w:t>
            </w:r>
          </w:p>
        </w:tc>
      </w:tr>
    </w:tbl>
    <w:p w14:paraId="63D84143" w14:textId="77777777" w:rsidR="00C90867" w:rsidRPr="00C201F7" w:rsidRDefault="00C90867" w:rsidP="00C90867">
      <w:pPr>
        <w:keepNext/>
        <w:keepLines/>
        <w:spacing w:before="120"/>
        <w:jc w:val="center"/>
        <w:rPr>
          <w:rFonts w:eastAsia="ヒラギノ角ゴ Pro W3"/>
          <w:color w:val="000000"/>
          <w:szCs w:val="22"/>
        </w:rPr>
      </w:pPr>
      <w:bookmarkStart w:id="1137" w:name="Table74_8"/>
      <w:r w:rsidRPr="00C201F7">
        <w:rPr>
          <w:rFonts w:eastAsia="ヒラギノ角ゴ Pro W3"/>
          <w:color w:val="000000"/>
          <w:szCs w:val="22"/>
        </w:rPr>
        <w:t xml:space="preserve">Table </w:t>
      </w:r>
      <w:r w:rsidR="00317F0B" w:rsidRPr="00C201F7">
        <w:rPr>
          <w:rFonts w:eastAsia="ヒラギノ角ゴ Pro W3"/>
          <w:color w:val="000000"/>
          <w:szCs w:val="22"/>
        </w:rPr>
        <w:fldChar w:fldCharType="begin"/>
      </w:r>
      <w:r w:rsidR="00317F0B" w:rsidRPr="00C201F7">
        <w:rPr>
          <w:rFonts w:eastAsia="ヒラギノ角ゴ Pro W3"/>
          <w:color w:val="000000"/>
          <w:szCs w:val="22"/>
        </w:rPr>
        <w:instrText xml:space="preserve"> SEQ Table74 \* MERGEFORMAT </w:instrText>
      </w:r>
      <w:r w:rsidR="00317F0B" w:rsidRPr="00C201F7">
        <w:rPr>
          <w:rFonts w:eastAsia="ヒラギノ角ゴ Pro W3"/>
          <w:color w:val="000000"/>
          <w:szCs w:val="22"/>
        </w:rPr>
        <w:fldChar w:fldCharType="separate"/>
      </w:r>
      <w:r w:rsidR="00656F50">
        <w:rPr>
          <w:rFonts w:eastAsia="ヒラギノ角ゴ Pro W3"/>
          <w:noProof/>
          <w:color w:val="000000"/>
          <w:szCs w:val="22"/>
        </w:rPr>
        <w:t>8</w:t>
      </w:r>
      <w:r w:rsidR="00317F0B" w:rsidRPr="00C201F7">
        <w:rPr>
          <w:rFonts w:eastAsia="ヒラギノ角ゴ Pro W3"/>
          <w:color w:val="000000"/>
          <w:szCs w:val="22"/>
        </w:rPr>
        <w:fldChar w:fldCharType="end"/>
      </w:r>
      <w:bookmarkEnd w:id="1137"/>
      <w:r w:rsidRPr="00C201F7">
        <w:rPr>
          <w:rFonts w:eastAsia="ヒラギノ角ゴ Pro W3"/>
          <w:color w:val="000000"/>
          <w:szCs w:val="22"/>
        </w:rPr>
        <w:t xml:space="preserve">.  Culling distances (in km) from DTV noise-limited </w:t>
      </w:r>
      <w:r w:rsidR="00022AB3">
        <w:rPr>
          <w:rFonts w:eastAsia="ヒラギノ角ゴ Pro W3"/>
          <w:color w:val="000000"/>
          <w:szCs w:val="22"/>
        </w:rPr>
        <w:t xml:space="preserve">or protected </w:t>
      </w:r>
      <w:r w:rsidRPr="00C201F7">
        <w:rPr>
          <w:rFonts w:eastAsia="ヒラギノ角ゴ Pro W3"/>
          <w:color w:val="000000"/>
          <w:szCs w:val="22"/>
        </w:rPr>
        <w:t>contour (spectral overlap = 4 MHz)</w:t>
      </w:r>
    </w:p>
    <w:p w14:paraId="7A4C92A2" w14:textId="77777777" w:rsidR="00C90867" w:rsidRPr="00C201F7" w:rsidRDefault="00C90867" w:rsidP="00C90867">
      <w:pPr>
        <w:rPr>
          <w:rFonts w:eastAsia="ヒラギノ角ゴ Pro W3"/>
          <w:color w:val="000000"/>
          <w:szCs w:val="22"/>
        </w:rPr>
      </w:pPr>
    </w:p>
    <w:tbl>
      <w:tblPr>
        <w:tblStyle w:val="TableGrid"/>
        <w:tblW w:w="5000" w:type="pct"/>
        <w:tblLook w:val="04A0" w:firstRow="1" w:lastRow="0" w:firstColumn="1" w:lastColumn="0" w:noHBand="0" w:noVBand="1"/>
      </w:tblPr>
      <w:tblGrid>
        <w:gridCol w:w="828"/>
        <w:gridCol w:w="1124"/>
        <w:gridCol w:w="953"/>
        <w:gridCol w:w="953"/>
        <w:gridCol w:w="953"/>
        <w:gridCol w:w="953"/>
        <w:gridCol w:w="953"/>
        <w:gridCol w:w="953"/>
        <w:gridCol w:w="953"/>
        <w:gridCol w:w="953"/>
      </w:tblGrid>
      <w:tr w:rsidR="00C90867" w:rsidRPr="00C201F7" w14:paraId="442DB645" w14:textId="77777777" w:rsidTr="00771983">
        <w:tc>
          <w:tcPr>
            <w:tcW w:w="410" w:type="pct"/>
            <w:vMerge w:val="restart"/>
            <w:shd w:val="clear" w:color="auto" w:fill="F2F2F2" w:themeFill="background1" w:themeFillShade="F2"/>
          </w:tcPr>
          <w:p w14:paraId="66A2553F"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HAAT</w:t>
            </w:r>
          </w:p>
          <w:p w14:paraId="7CAD5096"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(m):</w:t>
            </w:r>
          </w:p>
        </w:tc>
        <w:tc>
          <w:tcPr>
            <w:tcW w:w="4590" w:type="pct"/>
            <w:gridSpan w:val="9"/>
            <w:shd w:val="clear" w:color="auto" w:fill="D9D9D9" w:themeFill="background1" w:themeFillShade="D9"/>
          </w:tcPr>
          <w:p w14:paraId="1FF9909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ERP (kW) per 5 MHz block:</w:t>
            </w:r>
          </w:p>
        </w:tc>
      </w:tr>
      <w:tr w:rsidR="00C90867" w:rsidRPr="00C201F7" w14:paraId="356C7408" w14:textId="77777777" w:rsidTr="00771983">
        <w:tc>
          <w:tcPr>
            <w:tcW w:w="410" w:type="pct"/>
            <w:vMerge/>
            <w:shd w:val="clear" w:color="auto" w:fill="F2F2F2" w:themeFill="background1" w:themeFillShade="F2"/>
          </w:tcPr>
          <w:p w14:paraId="28B649BD" w14:textId="77777777" w:rsidR="00C90867" w:rsidRPr="00C201F7" w:rsidRDefault="00C90867" w:rsidP="00C90867">
            <w:pPr>
              <w:keepNext/>
              <w:keepLines/>
              <w:rPr>
                <w:rFonts w:eastAsia="ヒラギノ角ゴ Pro W3"/>
                <w:color w:val="000000"/>
                <w:szCs w:val="22"/>
              </w:rPr>
            </w:pPr>
          </w:p>
        </w:tc>
        <w:tc>
          <w:tcPr>
            <w:tcW w:w="590" w:type="pct"/>
            <w:shd w:val="clear" w:color="auto" w:fill="D9D9D9" w:themeFill="background1" w:themeFillShade="D9"/>
          </w:tcPr>
          <w:p w14:paraId="743794E0"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5</w:t>
            </w:r>
          </w:p>
        </w:tc>
        <w:tc>
          <w:tcPr>
            <w:tcW w:w="500" w:type="pct"/>
            <w:shd w:val="clear" w:color="auto" w:fill="D9D9D9" w:themeFill="background1" w:themeFillShade="D9"/>
          </w:tcPr>
          <w:p w14:paraId="13573E94"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4</w:t>
            </w:r>
          </w:p>
        </w:tc>
        <w:tc>
          <w:tcPr>
            <w:tcW w:w="500" w:type="pct"/>
            <w:shd w:val="clear" w:color="auto" w:fill="D9D9D9" w:themeFill="background1" w:themeFillShade="D9"/>
          </w:tcPr>
          <w:p w14:paraId="1508682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w:t>
            </w:r>
          </w:p>
        </w:tc>
        <w:tc>
          <w:tcPr>
            <w:tcW w:w="500" w:type="pct"/>
            <w:shd w:val="clear" w:color="auto" w:fill="D9D9D9" w:themeFill="background1" w:themeFillShade="D9"/>
          </w:tcPr>
          <w:p w14:paraId="7E9005A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w:t>
            </w:r>
          </w:p>
        </w:tc>
        <w:tc>
          <w:tcPr>
            <w:tcW w:w="500" w:type="pct"/>
            <w:shd w:val="clear" w:color="auto" w:fill="D9D9D9" w:themeFill="background1" w:themeFillShade="D9"/>
          </w:tcPr>
          <w:p w14:paraId="7635593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w:t>
            </w:r>
          </w:p>
        </w:tc>
        <w:tc>
          <w:tcPr>
            <w:tcW w:w="500" w:type="pct"/>
            <w:shd w:val="clear" w:color="auto" w:fill="D9D9D9" w:themeFill="background1" w:themeFillShade="D9"/>
          </w:tcPr>
          <w:p w14:paraId="77AD725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0.75</w:t>
            </w:r>
          </w:p>
        </w:tc>
        <w:tc>
          <w:tcPr>
            <w:tcW w:w="500" w:type="pct"/>
            <w:shd w:val="clear" w:color="auto" w:fill="D9D9D9" w:themeFill="background1" w:themeFillShade="D9"/>
          </w:tcPr>
          <w:p w14:paraId="540782B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0.5</w:t>
            </w:r>
          </w:p>
        </w:tc>
        <w:tc>
          <w:tcPr>
            <w:tcW w:w="500" w:type="pct"/>
            <w:shd w:val="clear" w:color="auto" w:fill="D9D9D9" w:themeFill="background1" w:themeFillShade="D9"/>
          </w:tcPr>
          <w:p w14:paraId="3F2D7E1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0.25</w:t>
            </w:r>
          </w:p>
        </w:tc>
        <w:tc>
          <w:tcPr>
            <w:tcW w:w="500" w:type="pct"/>
            <w:shd w:val="clear" w:color="auto" w:fill="D9D9D9" w:themeFill="background1" w:themeFillShade="D9"/>
          </w:tcPr>
          <w:p w14:paraId="4F4C191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0.1</w:t>
            </w:r>
          </w:p>
        </w:tc>
      </w:tr>
      <w:tr w:rsidR="00C90867" w:rsidRPr="00C201F7" w14:paraId="0FEEA5AE" w14:textId="77777777" w:rsidTr="00771983">
        <w:tc>
          <w:tcPr>
            <w:tcW w:w="410" w:type="pct"/>
            <w:shd w:val="clear" w:color="auto" w:fill="F2F2F2" w:themeFill="background1" w:themeFillShade="F2"/>
          </w:tcPr>
          <w:p w14:paraId="1CAC3279"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305</w:t>
            </w:r>
          </w:p>
        </w:tc>
        <w:tc>
          <w:tcPr>
            <w:tcW w:w="590" w:type="pct"/>
          </w:tcPr>
          <w:p w14:paraId="1518FE1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197</w:t>
            </w:r>
          </w:p>
        </w:tc>
        <w:tc>
          <w:tcPr>
            <w:tcW w:w="500" w:type="pct"/>
          </w:tcPr>
          <w:p w14:paraId="7AD8595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191</w:t>
            </w:r>
          </w:p>
        </w:tc>
        <w:tc>
          <w:tcPr>
            <w:tcW w:w="500" w:type="pct"/>
          </w:tcPr>
          <w:p w14:paraId="58E79BF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183</w:t>
            </w:r>
          </w:p>
        </w:tc>
        <w:tc>
          <w:tcPr>
            <w:tcW w:w="500" w:type="pct"/>
          </w:tcPr>
          <w:p w14:paraId="48584D3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173</w:t>
            </w:r>
          </w:p>
        </w:tc>
        <w:tc>
          <w:tcPr>
            <w:tcW w:w="500" w:type="pct"/>
          </w:tcPr>
          <w:p w14:paraId="7E963C8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158</w:t>
            </w:r>
          </w:p>
        </w:tc>
        <w:tc>
          <w:tcPr>
            <w:tcW w:w="500" w:type="pct"/>
          </w:tcPr>
          <w:p w14:paraId="649DA85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150</w:t>
            </w:r>
          </w:p>
        </w:tc>
        <w:tc>
          <w:tcPr>
            <w:tcW w:w="500" w:type="pct"/>
          </w:tcPr>
          <w:p w14:paraId="0F4FF79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141</w:t>
            </w:r>
          </w:p>
        </w:tc>
        <w:tc>
          <w:tcPr>
            <w:tcW w:w="500" w:type="pct"/>
          </w:tcPr>
          <w:p w14:paraId="09D9F12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124</w:t>
            </w:r>
          </w:p>
        </w:tc>
        <w:tc>
          <w:tcPr>
            <w:tcW w:w="500" w:type="pct"/>
          </w:tcPr>
          <w:p w14:paraId="090495A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104</w:t>
            </w:r>
          </w:p>
        </w:tc>
      </w:tr>
      <w:tr w:rsidR="00C90867" w:rsidRPr="00C201F7" w14:paraId="3B984746" w14:textId="77777777" w:rsidTr="00771983">
        <w:tc>
          <w:tcPr>
            <w:tcW w:w="410" w:type="pct"/>
            <w:shd w:val="clear" w:color="auto" w:fill="F2F2F2" w:themeFill="background1" w:themeFillShade="F2"/>
          </w:tcPr>
          <w:p w14:paraId="5156AE8B"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200</w:t>
            </w:r>
          </w:p>
        </w:tc>
        <w:tc>
          <w:tcPr>
            <w:tcW w:w="590" w:type="pct"/>
          </w:tcPr>
          <w:p w14:paraId="0572FC6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183</w:t>
            </w:r>
          </w:p>
        </w:tc>
        <w:tc>
          <w:tcPr>
            <w:tcW w:w="500" w:type="pct"/>
          </w:tcPr>
          <w:p w14:paraId="27493F6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178</w:t>
            </w:r>
          </w:p>
        </w:tc>
        <w:tc>
          <w:tcPr>
            <w:tcW w:w="500" w:type="pct"/>
          </w:tcPr>
          <w:p w14:paraId="4012194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171</w:t>
            </w:r>
          </w:p>
        </w:tc>
        <w:tc>
          <w:tcPr>
            <w:tcW w:w="500" w:type="pct"/>
          </w:tcPr>
          <w:p w14:paraId="1161725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162</w:t>
            </w:r>
          </w:p>
        </w:tc>
        <w:tc>
          <w:tcPr>
            <w:tcW w:w="500" w:type="pct"/>
          </w:tcPr>
          <w:p w14:paraId="626D605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146</w:t>
            </w:r>
          </w:p>
        </w:tc>
        <w:tc>
          <w:tcPr>
            <w:tcW w:w="500" w:type="pct"/>
          </w:tcPr>
          <w:p w14:paraId="1916659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139</w:t>
            </w:r>
          </w:p>
        </w:tc>
        <w:tc>
          <w:tcPr>
            <w:tcW w:w="500" w:type="pct"/>
          </w:tcPr>
          <w:p w14:paraId="0B44263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129</w:t>
            </w:r>
          </w:p>
        </w:tc>
        <w:tc>
          <w:tcPr>
            <w:tcW w:w="500" w:type="pct"/>
          </w:tcPr>
          <w:p w14:paraId="507B46C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113</w:t>
            </w:r>
          </w:p>
        </w:tc>
        <w:tc>
          <w:tcPr>
            <w:tcW w:w="500" w:type="pct"/>
          </w:tcPr>
          <w:p w14:paraId="2457139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93</w:t>
            </w:r>
          </w:p>
        </w:tc>
      </w:tr>
      <w:tr w:rsidR="00C90867" w:rsidRPr="00C201F7" w14:paraId="38284C43" w14:textId="77777777" w:rsidTr="00771983">
        <w:tc>
          <w:tcPr>
            <w:tcW w:w="410" w:type="pct"/>
            <w:shd w:val="clear" w:color="auto" w:fill="F2F2F2" w:themeFill="background1" w:themeFillShade="F2"/>
          </w:tcPr>
          <w:p w14:paraId="5BF32F14"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150</w:t>
            </w:r>
          </w:p>
        </w:tc>
        <w:tc>
          <w:tcPr>
            <w:tcW w:w="590" w:type="pct"/>
          </w:tcPr>
          <w:p w14:paraId="1B620CA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178</w:t>
            </w:r>
          </w:p>
        </w:tc>
        <w:tc>
          <w:tcPr>
            <w:tcW w:w="500" w:type="pct"/>
          </w:tcPr>
          <w:p w14:paraId="1B8B215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172</w:t>
            </w:r>
          </w:p>
        </w:tc>
        <w:tc>
          <w:tcPr>
            <w:tcW w:w="500" w:type="pct"/>
          </w:tcPr>
          <w:p w14:paraId="438B619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166</w:t>
            </w:r>
          </w:p>
        </w:tc>
        <w:tc>
          <w:tcPr>
            <w:tcW w:w="500" w:type="pct"/>
          </w:tcPr>
          <w:p w14:paraId="552CE82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156</w:t>
            </w:r>
          </w:p>
        </w:tc>
        <w:tc>
          <w:tcPr>
            <w:tcW w:w="500" w:type="pct"/>
          </w:tcPr>
          <w:p w14:paraId="36D20BE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140</w:t>
            </w:r>
          </w:p>
        </w:tc>
        <w:tc>
          <w:tcPr>
            <w:tcW w:w="500" w:type="pct"/>
          </w:tcPr>
          <w:p w14:paraId="331ECB6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133</w:t>
            </w:r>
          </w:p>
        </w:tc>
        <w:tc>
          <w:tcPr>
            <w:tcW w:w="500" w:type="pct"/>
          </w:tcPr>
          <w:p w14:paraId="3F6DC9E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123</w:t>
            </w:r>
          </w:p>
        </w:tc>
        <w:tc>
          <w:tcPr>
            <w:tcW w:w="500" w:type="pct"/>
          </w:tcPr>
          <w:p w14:paraId="71E8093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108</w:t>
            </w:r>
          </w:p>
        </w:tc>
        <w:tc>
          <w:tcPr>
            <w:tcW w:w="500" w:type="pct"/>
          </w:tcPr>
          <w:p w14:paraId="6DB79DA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87</w:t>
            </w:r>
          </w:p>
        </w:tc>
      </w:tr>
      <w:tr w:rsidR="00C90867" w:rsidRPr="00C201F7" w14:paraId="0499EA83" w14:textId="77777777" w:rsidTr="00771983">
        <w:tc>
          <w:tcPr>
            <w:tcW w:w="410" w:type="pct"/>
            <w:shd w:val="clear" w:color="auto" w:fill="F2F2F2" w:themeFill="background1" w:themeFillShade="F2"/>
          </w:tcPr>
          <w:p w14:paraId="7D028785"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100</w:t>
            </w:r>
          </w:p>
        </w:tc>
        <w:tc>
          <w:tcPr>
            <w:tcW w:w="590" w:type="pct"/>
          </w:tcPr>
          <w:p w14:paraId="6515E9B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171</w:t>
            </w:r>
          </w:p>
        </w:tc>
        <w:tc>
          <w:tcPr>
            <w:tcW w:w="500" w:type="pct"/>
          </w:tcPr>
          <w:p w14:paraId="14B3B04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165</w:t>
            </w:r>
          </w:p>
        </w:tc>
        <w:tc>
          <w:tcPr>
            <w:tcW w:w="500" w:type="pct"/>
          </w:tcPr>
          <w:p w14:paraId="4C7E605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158</w:t>
            </w:r>
          </w:p>
        </w:tc>
        <w:tc>
          <w:tcPr>
            <w:tcW w:w="500" w:type="pct"/>
          </w:tcPr>
          <w:p w14:paraId="2743E86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149</w:t>
            </w:r>
          </w:p>
        </w:tc>
        <w:tc>
          <w:tcPr>
            <w:tcW w:w="500" w:type="pct"/>
          </w:tcPr>
          <w:p w14:paraId="7338046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131</w:t>
            </w:r>
          </w:p>
        </w:tc>
        <w:tc>
          <w:tcPr>
            <w:tcW w:w="500" w:type="pct"/>
          </w:tcPr>
          <w:p w14:paraId="470E7BE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124</w:t>
            </w:r>
          </w:p>
        </w:tc>
        <w:tc>
          <w:tcPr>
            <w:tcW w:w="500" w:type="pct"/>
          </w:tcPr>
          <w:p w14:paraId="11B315B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116</w:t>
            </w:r>
          </w:p>
        </w:tc>
        <w:tc>
          <w:tcPr>
            <w:tcW w:w="500" w:type="pct"/>
          </w:tcPr>
          <w:p w14:paraId="1E55096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100</w:t>
            </w:r>
          </w:p>
        </w:tc>
        <w:tc>
          <w:tcPr>
            <w:tcW w:w="500" w:type="pct"/>
          </w:tcPr>
          <w:p w14:paraId="3F56EB9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79</w:t>
            </w:r>
          </w:p>
        </w:tc>
      </w:tr>
      <w:tr w:rsidR="00C90867" w:rsidRPr="00C201F7" w14:paraId="092B2C68" w14:textId="77777777" w:rsidTr="00771983">
        <w:tc>
          <w:tcPr>
            <w:tcW w:w="410" w:type="pct"/>
            <w:shd w:val="clear" w:color="auto" w:fill="F2F2F2" w:themeFill="background1" w:themeFillShade="F2"/>
          </w:tcPr>
          <w:p w14:paraId="1FC65C76"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80</w:t>
            </w:r>
          </w:p>
        </w:tc>
        <w:tc>
          <w:tcPr>
            <w:tcW w:w="590" w:type="pct"/>
          </w:tcPr>
          <w:p w14:paraId="17D5EF8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167</w:t>
            </w:r>
          </w:p>
        </w:tc>
        <w:tc>
          <w:tcPr>
            <w:tcW w:w="500" w:type="pct"/>
          </w:tcPr>
          <w:p w14:paraId="05533E5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161</w:t>
            </w:r>
          </w:p>
        </w:tc>
        <w:tc>
          <w:tcPr>
            <w:tcW w:w="500" w:type="pct"/>
          </w:tcPr>
          <w:p w14:paraId="658BC58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154</w:t>
            </w:r>
          </w:p>
        </w:tc>
        <w:tc>
          <w:tcPr>
            <w:tcW w:w="500" w:type="pct"/>
          </w:tcPr>
          <w:p w14:paraId="3E25CD2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145</w:t>
            </w:r>
          </w:p>
        </w:tc>
        <w:tc>
          <w:tcPr>
            <w:tcW w:w="500" w:type="pct"/>
          </w:tcPr>
          <w:p w14:paraId="4B3BDD0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127</w:t>
            </w:r>
          </w:p>
        </w:tc>
        <w:tc>
          <w:tcPr>
            <w:tcW w:w="500" w:type="pct"/>
          </w:tcPr>
          <w:p w14:paraId="529A640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121</w:t>
            </w:r>
          </w:p>
        </w:tc>
        <w:tc>
          <w:tcPr>
            <w:tcW w:w="500" w:type="pct"/>
          </w:tcPr>
          <w:p w14:paraId="07FC334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112</w:t>
            </w:r>
          </w:p>
        </w:tc>
        <w:tc>
          <w:tcPr>
            <w:tcW w:w="500" w:type="pct"/>
          </w:tcPr>
          <w:p w14:paraId="71477F8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96</w:t>
            </w:r>
          </w:p>
        </w:tc>
        <w:tc>
          <w:tcPr>
            <w:tcW w:w="500" w:type="pct"/>
          </w:tcPr>
          <w:p w14:paraId="5EF5723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75</w:t>
            </w:r>
          </w:p>
        </w:tc>
      </w:tr>
      <w:tr w:rsidR="00C90867" w:rsidRPr="00C201F7" w14:paraId="52104C33" w14:textId="77777777" w:rsidTr="00771983">
        <w:tc>
          <w:tcPr>
            <w:tcW w:w="410" w:type="pct"/>
            <w:shd w:val="clear" w:color="auto" w:fill="F2F2F2" w:themeFill="background1" w:themeFillShade="F2"/>
          </w:tcPr>
          <w:p w14:paraId="58533A64"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65</w:t>
            </w:r>
          </w:p>
        </w:tc>
        <w:tc>
          <w:tcPr>
            <w:tcW w:w="590" w:type="pct"/>
          </w:tcPr>
          <w:p w14:paraId="0BF3F96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163</w:t>
            </w:r>
          </w:p>
        </w:tc>
        <w:tc>
          <w:tcPr>
            <w:tcW w:w="500" w:type="pct"/>
          </w:tcPr>
          <w:p w14:paraId="29B3AD8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158</w:t>
            </w:r>
          </w:p>
        </w:tc>
        <w:tc>
          <w:tcPr>
            <w:tcW w:w="500" w:type="pct"/>
          </w:tcPr>
          <w:p w14:paraId="6D15B87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151</w:t>
            </w:r>
          </w:p>
        </w:tc>
        <w:tc>
          <w:tcPr>
            <w:tcW w:w="500" w:type="pct"/>
          </w:tcPr>
          <w:p w14:paraId="75536B1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142</w:t>
            </w:r>
          </w:p>
        </w:tc>
        <w:tc>
          <w:tcPr>
            <w:tcW w:w="500" w:type="pct"/>
          </w:tcPr>
          <w:p w14:paraId="1C3FA5D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125</w:t>
            </w:r>
          </w:p>
        </w:tc>
        <w:tc>
          <w:tcPr>
            <w:tcW w:w="500" w:type="pct"/>
          </w:tcPr>
          <w:p w14:paraId="50C9551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118</w:t>
            </w:r>
          </w:p>
        </w:tc>
        <w:tc>
          <w:tcPr>
            <w:tcW w:w="500" w:type="pct"/>
          </w:tcPr>
          <w:p w14:paraId="56D2FB9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108</w:t>
            </w:r>
          </w:p>
        </w:tc>
        <w:tc>
          <w:tcPr>
            <w:tcW w:w="500" w:type="pct"/>
          </w:tcPr>
          <w:p w14:paraId="770BE48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92</w:t>
            </w:r>
          </w:p>
        </w:tc>
        <w:tc>
          <w:tcPr>
            <w:tcW w:w="500" w:type="pct"/>
          </w:tcPr>
          <w:p w14:paraId="1E4B83E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73</w:t>
            </w:r>
          </w:p>
        </w:tc>
      </w:tr>
      <w:tr w:rsidR="00C90867" w:rsidRPr="00C201F7" w14:paraId="7ED91D70" w14:textId="77777777" w:rsidTr="00771983">
        <w:tc>
          <w:tcPr>
            <w:tcW w:w="410" w:type="pct"/>
            <w:shd w:val="clear" w:color="auto" w:fill="F2F2F2" w:themeFill="background1" w:themeFillShade="F2"/>
          </w:tcPr>
          <w:p w14:paraId="5648101A"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50</w:t>
            </w:r>
          </w:p>
        </w:tc>
        <w:tc>
          <w:tcPr>
            <w:tcW w:w="590" w:type="pct"/>
          </w:tcPr>
          <w:p w14:paraId="259E8B8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159</w:t>
            </w:r>
          </w:p>
        </w:tc>
        <w:tc>
          <w:tcPr>
            <w:tcW w:w="500" w:type="pct"/>
          </w:tcPr>
          <w:p w14:paraId="4E5BFBA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154</w:t>
            </w:r>
          </w:p>
        </w:tc>
        <w:tc>
          <w:tcPr>
            <w:tcW w:w="500" w:type="pct"/>
          </w:tcPr>
          <w:p w14:paraId="39D243A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148</w:t>
            </w:r>
          </w:p>
        </w:tc>
        <w:tc>
          <w:tcPr>
            <w:tcW w:w="500" w:type="pct"/>
          </w:tcPr>
          <w:p w14:paraId="527A65E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138</w:t>
            </w:r>
          </w:p>
        </w:tc>
        <w:tc>
          <w:tcPr>
            <w:tcW w:w="500" w:type="pct"/>
          </w:tcPr>
          <w:p w14:paraId="3CA397D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121</w:t>
            </w:r>
          </w:p>
        </w:tc>
        <w:tc>
          <w:tcPr>
            <w:tcW w:w="500" w:type="pct"/>
          </w:tcPr>
          <w:p w14:paraId="6B05264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114</w:t>
            </w:r>
          </w:p>
        </w:tc>
        <w:tc>
          <w:tcPr>
            <w:tcW w:w="500" w:type="pct"/>
          </w:tcPr>
          <w:p w14:paraId="3F99CEA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105</w:t>
            </w:r>
          </w:p>
        </w:tc>
        <w:tc>
          <w:tcPr>
            <w:tcW w:w="500" w:type="pct"/>
          </w:tcPr>
          <w:p w14:paraId="0A99AF5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89</w:t>
            </w:r>
          </w:p>
        </w:tc>
        <w:tc>
          <w:tcPr>
            <w:tcW w:w="500" w:type="pct"/>
          </w:tcPr>
          <w:p w14:paraId="44E7775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70</w:t>
            </w:r>
          </w:p>
        </w:tc>
      </w:tr>
      <w:tr w:rsidR="00C90867" w:rsidRPr="00C201F7" w14:paraId="350C49C1" w14:textId="77777777" w:rsidTr="00771983">
        <w:tc>
          <w:tcPr>
            <w:tcW w:w="410" w:type="pct"/>
            <w:shd w:val="clear" w:color="auto" w:fill="F2F2F2" w:themeFill="background1" w:themeFillShade="F2"/>
          </w:tcPr>
          <w:p w14:paraId="6A4B48AC"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35</w:t>
            </w:r>
          </w:p>
        </w:tc>
        <w:tc>
          <w:tcPr>
            <w:tcW w:w="590" w:type="pct"/>
          </w:tcPr>
          <w:p w14:paraId="652FD96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155</w:t>
            </w:r>
          </w:p>
        </w:tc>
        <w:tc>
          <w:tcPr>
            <w:tcW w:w="500" w:type="pct"/>
          </w:tcPr>
          <w:p w14:paraId="77B44C5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150</w:t>
            </w:r>
          </w:p>
        </w:tc>
        <w:tc>
          <w:tcPr>
            <w:tcW w:w="500" w:type="pct"/>
          </w:tcPr>
          <w:p w14:paraId="5AE16C1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143</w:t>
            </w:r>
          </w:p>
        </w:tc>
        <w:tc>
          <w:tcPr>
            <w:tcW w:w="500" w:type="pct"/>
          </w:tcPr>
          <w:p w14:paraId="14FD6B8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133</w:t>
            </w:r>
          </w:p>
        </w:tc>
        <w:tc>
          <w:tcPr>
            <w:tcW w:w="500" w:type="pct"/>
          </w:tcPr>
          <w:p w14:paraId="5912EF7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117</w:t>
            </w:r>
          </w:p>
        </w:tc>
        <w:tc>
          <w:tcPr>
            <w:tcW w:w="500" w:type="pct"/>
          </w:tcPr>
          <w:p w14:paraId="46795E6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110</w:t>
            </w:r>
          </w:p>
        </w:tc>
        <w:tc>
          <w:tcPr>
            <w:tcW w:w="500" w:type="pct"/>
          </w:tcPr>
          <w:p w14:paraId="39277BC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101</w:t>
            </w:r>
          </w:p>
        </w:tc>
        <w:tc>
          <w:tcPr>
            <w:tcW w:w="500" w:type="pct"/>
          </w:tcPr>
          <w:p w14:paraId="3AC4130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85</w:t>
            </w:r>
          </w:p>
        </w:tc>
        <w:tc>
          <w:tcPr>
            <w:tcW w:w="500" w:type="pct"/>
          </w:tcPr>
          <w:p w14:paraId="0F1BB57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66</w:t>
            </w:r>
          </w:p>
        </w:tc>
      </w:tr>
    </w:tbl>
    <w:p w14:paraId="33763034" w14:textId="77777777" w:rsidR="00C90867" w:rsidRDefault="00C90867" w:rsidP="00C90867">
      <w:pPr>
        <w:keepNext/>
        <w:keepLines/>
        <w:spacing w:before="120"/>
        <w:jc w:val="center"/>
        <w:rPr>
          <w:rFonts w:eastAsia="ヒラギノ角ゴ Pro W3"/>
          <w:color w:val="000000"/>
          <w:szCs w:val="22"/>
        </w:rPr>
      </w:pPr>
      <w:bookmarkStart w:id="1138" w:name="Table74_9"/>
      <w:r w:rsidRPr="00C201F7">
        <w:rPr>
          <w:rFonts w:eastAsia="ヒラギノ角ゴ Pro W3"/>
          <w:color w:val="000000"/>
          <w:szCs w:val="22"/>
        </w:rPr>
        <w:t xml:space="preserve">Table </w:t>
      </w:r>
      <w:r w:rsidR="00317F0B" w:rsidRPr="00C201F7">
        <w:rPr>
          <w:rFonts w:eastAsia="ヒラギノ角ゴ Pro W3"/>
          <w:color w:val="000000"/>
          <w:szCs w:val="22"/>
        </w:rPr>
        <w:fldChar w:fldCharType="begin"/>
      </w:r>
      <w:r w:rsidR="00317F0B" w:rsidRPr="00C201F7">
        <w:rPr>
          <w:rFonts w:eastAsia="ヒラギノ角ゴ Pro W3"/>
          <w:color w:val="000000"/>
          <w:szCs w:val="22"/>
        </w:rPr>
        <w:instrText xml:space="preserve"> SEQ Table74 \* MERGEFORMAT </w:instrText>
      </w:r>
      <w:r w:rsidR="00317F0B" w:rsidRPr="00C201F7">
        <w:rPr>
          <w:rFonts w:eastAsia="ヒラギノ角ゴ Pro W3"/>
          <w:color w:val="000000"/>
          <w:szCs w:val="22"/>
        </w:rPr>
        <w:fldChar w:fldCharType="separate"/>
      </w:r>
      <w:r w:rsidR="00656F50">
        <w:rPr>
          <w:rFonts w:eastAsia="ヒラギノ角ゴ Pro W3"/>
          <w:noProof/>
          <w:color w:val="000000"/>
          <w:szCs w:val="22"/>
        </w:rPr>
        <w:t>9</w:t>
      </w:r>
      <w:r w:rsidR="00317F0B" w:rsidRPr="00C201F7">
        <w:rPr>
          <w:rFonts w:eastAsia="ヒラギノ角ゴ Pro W3"/>
          <w:color w:val="000000"/>
          <w:szCs w:val="22"/>
        </w:rPr>
        <w:fldChar w:fldCharType="end"/>
      </w:r>
      <w:bookmarkEnd w:id="1138"/>
      <w:r w:rsidRPr="00C201F7">
        <w:rPr>
          <w:rFonts w:eastAsia="ヒラギノ角ゴ Pro W3"/>
          <w:color w:val="000000"/>
          <w:szCs w:val="22"/>
        </w:rPr>
        <w:t xml:space="preserve">.  Culling distances (in km) from DTV noise-limited </w:t>
      </w:r>
      <w:r w:rsidR="00022AB3">
        <w:rPr>
          <w:rFonts w:eastAsia="ヒラギノ角ゴ Pro W3"/>
          <w:color w:val="000000"/>
          <w:szCs w:val="22"/>
        </w:rPr>
        <w:t xml:space="preserve">or protected </w:t>
      </w:r>
      <w:r w:rsidRPr="00C201F7">
        <w:rPr>
          <w:rFonts w:eastAsia="ヒラギノ角ゴ Pro W3"/>
          <w:color w:val="000000"/>
          <w:szCs w:val="22"/>
        </w:rPr>
        <w:t>contour (spectral overlap = 3 MHz)</w:t>
      </w:r>
    </w:p>
    <w:p w14:paraId="2671C3FA" w14:textId="77777777" w:rsidR="00987035" w:rsidRPr="00C201F7" w:rsidRDefault="00987035" w:rsidP="00C90867">
      <w:pPr>
        <w:keepNext/>
        <w:keepLines/>
        <w:spacing w:before="120"/>
        <w:jc w:val="center"/>
        <w:rPr>
          <w:rFonts w:eastAsia="ヒラギノ角ゴ Pro W3"/>
          <w:color w:val="000000"/>
          <w:szCs w:val="22"/>
        </w:rPr>
      </w:pPr>
    </w:p>
    <w:tbl>
      <w:tblPr>
        <w:tblStyle w:val="TableGrid"/>
        <w:tblW w:w="5000" w:type="pct"/>
        <w:tblLook w:val="04A0" w:firstRow="1" w:lastRow="0" w:firstColumn="1" w:lastColumn="0" w:noHBand="0" w:noVBand="1"/>
      </w:tblPr>
      <w:tblGrid>
        <w:gridCol w:w="828"/>
        <w:gridCol w:w="1123"/>
        <w:gridCol w:w="953"/>
        <w:gridCol w:w="954"/>
        <w:gridCol w:w="954"/>
        <w:gridCol w:w="954"/>
        <w:gridCol w:w="954"/>
        <w:gridCol w:w="954"/>
        <w:gridCol w:w="954"/>
        <w:gridCol w:w="948"/>
      </w:tblGrid>
      <w:tr w:rsidR="00C90867" w:rsidRPr="00C201F7" w14:paraId="502A1B2A" w14:textId="77777777" w:rsidTr="00987035">
        <w:tc>
          <w:tcPr>
            <w:tcW w:w="432" w:type="pct"/>
            <w:vMerge w:val="restart"/>
            <w:shd w:val="clear" w:color="auto" w:fill="F2F2F2" w:themeFill="background1" w:themeFillShade="F2"/>
          </w:tcPr>
          <w:p w14:paraId="7AE5DF7B"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HAAT</w:t>
            </w:r>
          </w:p>
          <w:p w14:paraId="5FBB79FA"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(m):</w:t>
            </w:r>
          </w:p>
        </w:tc>
        <w:tc>
          <w:tcPr>
            <w:tcW w:w="4568" w:type="pct"/>
            <w:gridSpan w:val="9"/>
            <w:shd w:val="clear" w:color="auto" w:fill="D9D9D9" w:themeFill="background1" w:themeFillShade="D9"/>
          </w:tcPr>
          <w:p w14:paraId="3643553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ERP (kW) per 5 MHz block:</w:t>
            </w:r>
          </w:p>
        </w:tc>
      </w:tr>
      <w:tr w:rsidR="00C90867" w:rsidRPr="00C201F7" w14:paraId="3DD46469" w14:textId="77777777" w:rsidTr="00987035">
        <w:tc>
          <w:tcPr>
            <w:tcW w:w="432" w:type="pct"/>
            <w:vMerge/>
            <w:shd w:val="clear" w:color="auto" w:fill="F2F2F2" w:themeFill="background1" w:themeFillShade="F2"/>
          </w:tcPr>
          <w:p w14:paraId="7A610CD2" w14:textId="77777777" w:rsidR="00C90867" w:rsidRPr="00C201F7" w:rsidRDefault="00C90867" w:rsidP="00C90867">
            <w:pPr>
              <w:keepNext/>
              <w:keepLines/>
              <w:rPr>
                <w:rFonts w:eastAsia="ヒラギノ角ゴ Pro W3"/>
                <w:color w:val="000000"/>
                <w:szCs w:val="22"/>
              </w:rPr>
            </w:pPr>
          </w:p>
        </w:tc>
        <w:tc>
          <w:tcPr>
            <w:tcW w:w="587" w:type="pct"/>
            <w:shd w:val="clear" w:color="auto" w:fill="D9D9D9" w:themeFill="background1" w:themeFillShade="D9"/>
          </w:tcPr>
          <w:p w14:paraId="7835CA13"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5</w:t>
            </w:r>
          </w:p>
        </w:tc>
        <w:tc>
          <w:tcPr>
            <w:tcW w:w="498" w:type="pct"/>
            <w:shd w:val="clear" w:color="auto" w:fill="D9D9D9" w:themeFill="background1" w:themeFillShade="D9"/>
          </w:tcPr>
          <w:p w14:paraId="4296296C"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4</w:t>
            </w:r>
          </w:p>
        </w:tc>
        <w:tc>
          <w:tcPr>
            <w:tcW w:w="498" w:type="pct"/>
            <w:shd w:val="clear" w:color="auto" w:fill="D9D9D9" w:themeFill="background1" w:themeFillShade="D9"/>
          </w:tcPr>
          <w:p w14:paraId="15BFEB1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w:t>
            </w:r>
          </w:p>
        </w:tc>
        <w:tc>
          <w:tcPr>
            <w:tcW w:w="498" w:type="pct"/>
            <w:shd w:val="clear" w:color="auto" w:fill="D9D9D9" w:themeFill="background1" w:themeFillShade="D9"/>
          </w:tcPr>
          <w:p w14:paraId="7EAA25B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w:t>
            </w:r>
          </w:p>
        </w:tc>
        <w:tc>
          <w:tcPr>
            <w:tcW w:w="498" w:type="pct"/>
            <w:shd w:val="clear" w:color="auto" w:fill="D9D9D9" w:themeFill="background1" w:themeFillShade="D9"/>
          </w:tcPr>
          <w:p w14:paraId="6076F52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w:t>
            </w:r>
          </w:p>
        </w:tc>
        <w:tc>
          <w:tcPr>
            <w:tcW w:w="498" w:type="pct"/>
            <w:shd w:val="clear" w:color="auto" w:fill="D9D9D9" w:themeFill="background1" w:themeFillShade="D9"/>
          </w:tcPr>
          <w:p w14:paraId="4EA831E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0.75</w:t>
            </w:r>
          </w:p>
        </w:tc>
        <w:tc>
          <w:tcPr>
            <w:tcW w:w="498" w:type="pct"/>
            <w:shd w:val="clear" w:color="auto" w:fill="D9D9D9" w:themeFill="background1" w:themeFillShade="D9"/>
          </w:tcPr>
          <w:p w14:paraId="25908A5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0.5</w:t>
            </w:r>
          </w:p>
        </w:tc>
        <w:tc>
          <w:tcPr>
            <w:tcW w:w="498" w:type="pct"/>
            <w:shd w:val="clear" w:color="auto" w:fill="D9D9D9" w:themeFill="background1" w:themeFillShade="D9"/>
          </w:tcPr>
          <w:p w14:paraId="3517463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0.25</w:t>
            </w:r>
          </w:p>
        </w:tc>
        <w:tc>
          <w:tcPr>
            <w:tcW w:w="498" w:type="pct"/>
            <w:shd w:val="clear" w:color="auto" w:fill="D9D9D9" w:themeFill="background1" w:themeFillShade="D9"/>
          </w:tcPr>
          <w:p w14:paraId="58EE022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0.1</w:t>
            </w:r>
          </w:p>
        </w:tc>
      </w:tr>
      <w:tr w:rsidR="00C90867" w:rsidRPr="00C201F7" w14:paraId="2EC11BE6" w14:textId="77777777" w:rsidTr="00987035">
        <w:tc>
          <w:tcPr>
            <w:tcW w:w="432" w:type="pct"/>
            <w:shd w:val="clear" w:color="auto" w:fill="F2F2F2" w:themeFill="background1" w:themeFillShade="F2"/>
          </w:tcPr>
          <w:p w14:paraId="181CE15F"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305</w:t>
            </w:r>
          </w:p>
        </w:tc>
        <w:tc>
          <w:tcPr>
            <w:tcW w:w="587" w:type="pct"/>
          </w:tcPr>
          <w:p w14:paraId="26FEA91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187</w:t>
            </w:r>
          </w:p>
        </w:tc>
        <w:tc>
          <w:tcPr>
            <w:tcW w:w="498" w:type="pct"/>
          </w:tcPr>
          <w:p w14:paraId="12A9BE4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181</w:t>
            </w:r>
          </w:p>
        </w:tc>
        <w:tc>
          <w:tcPr>
            <w:tcW w:w="498" w:type="pct"/>
          </w:tcPr>
          <w:p w14:paraId="14F6A63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174</w:t>
            </w:r>
          </w:p>
        </w:tc>
        <w:tc>
          <w:tcPr>
            <w:tcW w:w="498" w:type="pct"/>
          </w:tcPr>
          <w:p w14:paraId="5552F9F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166</w:t>
            </w:r>
          </w:p>
        </w:tc>
        <w:tc>
          <w:tcPr>
            <w:tcW w:w="498" w:type="pct"/>
          </w:tcPr>
          <w:p w14:paraId="6B4D950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148</w:t>
            </w:r>
          </w:p>
        </w:tc>
        <w:tc>
          <w:tcPr>
            <w:tcW w:w="498" w:type="pct"/>
          </w:tcPr>
          <w:p w14:paraId="1A5C501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141</w:t>
            </w:r>
          </w:p>
        </w:tc>
        <w:tc>
          <w:tcPr>
            <w:tcW w:w="498" w:type="pct"/>
          </w:tcPr>
          <w:p w14:paraId="6279751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132</w:t>
            </w:r>
          </w:p>
        </w:tc>
        <w:tc>
          <w:tcPr>
            <w:tcW w:w="498" w:type="pct"/>
          </w:tcPr>
          <w:p w14:paraId="688D10E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116</w:t>
            </w:r>
          </w:p>
        </w:tc>
        <w:tc>
          <w:tcPr>
            <w:tcW w:w="498" w:type="pct"/>
          </w:tcPr>
          <w:p w14:paraId="06CE2DD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97</w:t>
            </w:r>
          </w:p>
        </w:tc>
      </w:tr>
      <w:tr w:rsidR="00C90867" w:rsidRPr="00C201F7" w14:paraId="261BEF59" w14:textId="77777777" w:rsidTr="00987035">
        <w:tc>
          <w:tcPr>
            <w:tcW w:w="432" w:type="pct"/>
            <w:shd w:val="clear" w:color="auto" w:fill="F2F2F2" w:themeFill="background1" w:themeFillShade="F2"/>
          </w:tcPr>
          <w:p w14:paraId="41580006"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200</w:t>
            </w:r>
          </w:p>
        </w:tc>
        <w:tc>
          <w:tcPr>
            <w:tcW w:w="587" w:type="pct"/>
          </w:tcPr>
          <w:p w14:paraId="6805CC3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174</w:t>
            </w:r>
          </w:p>
        </w:tc>
        <w:tc>
          <w:tcPr>
            <w:tcW w:w="498" w:type="pct"/>
          </w:tcPr>
          <w:p w14:paraId="4178DC6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170</w:t>
            </w:r>
          </w:p>
        </w:tc>
        <w:tc>
          <w:tcPr>
            <w:tcW w:w="498" w:type="pct"/>
          </w:tcPr>
          <w:p w14:paraId="54AC6DF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163</w:t>
            </w:r>
          </w:p>
        </w:tc>
        <w:tc>
          <w:tcPr>
            <w:tcW w:w="498" w:type="pct"/>
          </w:tcPr>
          <w:p w14:paraId="7603F4B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153</w:t>
            </w:r>
          </w:p>
        </w:tc>
        <w:tc>
          <w:tcPr>
            <w:tcW w:w="498" w:type="pct"/>
          </w:tcPr>
          <w:p w14:paraId="10D136E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137</w:t>
            </w:r>
          </w:p>
        </w:tc>
        <w:tc>
          <w:tcPr>
            <w:tcW w:w="498" w:type="pct"/>
          </w:tcPr>
          <w:p w14:paraId="4534FF8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130</w:t>
            </w:r>
          </w:p>
        </w:tc>
        <w:tc>
          <w:tcPr>
            <w:tcW w:w="498" w:type="pct"/>
          </w:tcPr>
          <w:p w14:paraId="1D3BF1A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121</w:t>
            </w:r>
          </w:p>
        </w:tc>
        <w:tc>
          <w:tcPr>
            <w:tcW w:w="498" w:type="pct"/>
          </w:tcPr>
          <w:p w14:paraId="1FB2671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105</w:t>
            </w:r>
          </w:p>
        </w:tc>
        <w:tc>
          <w:tcPr>
            <w:tcW w:w="498" w:type="pct"/>
          </w:tcPr>
          <w:p w14:paraId="1A28B10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86</w:t>
            </w:r>
          </w:p>
        </w:tc>
      </w:tr>
      <w:tr w:rsidR="00C90867" w:rsidRPr="00C201F7" w14:paraId="3A6D1170" w14:textId="77777777" w:rsidTr="00987035">
        <w:tc>
          <w:tcPr>
            <w:tcW w:w="432" w:type="pct"/>
            <w:shd w:val="clear" w:color="auto" w:fill="F2F2F2" w:themeFill="background1" w:themeFillShade="F2"/>
          </w:tcPr>
          <w:p w14:paraId="18B9FDB4"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150</w:t>
            </w:r>
          </w:p>
        </w:tc>
        <w:tc>
          <w:tcPr>
            <w:tcW w:w="587" w:type="pct"/>
          </w:tcPr>
          <w:p w14:paraId="3246AA1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169</w:t>
            </w:r>
          </w:p>
        </w:tc>
        <w:tc>
          <w:tcPr>
            <w:tcW w:w="498" w:type="pct"/>
          </w:tcPr>
          <w:p w14:paraId="5BF8546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164</w:t>
            </w:r>
          </w:p>
        </w:tc>
        <w:tc>
          <w:tcPr>
            <w:tcW w:w="498" w:type="pct"/>
          </w:tcPr>
          <w:p w14:paraId="60CACCA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157</w:t>
            </w:r>
          </w:p>
        </w:tc>
        <w:tc>
          <w:tcPr>
            <w:tcW w:w="498" w:type="pct"/>
          </w:tcPr>
          <w:p w14:paraId="5F1A2FA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147</w:t>
            </w:r>
          </w:p>
        </w:tc>
        <w:tc>
          <w:tcPr>
            <w:tcW w:w="498" w:type="pct"/>
          </w:tcPr>
          <w:p w14:paraId="0AA4209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131</w:t>
            </w:r>
          </w:p>
        </w:tc>
        <w:tc>
          <w:tcPr>
            <w:tcW w:w="498" w:type="pct"/>
          </w:tcPr>
          <w:p w14:paraId="55824C4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124</w:t>
            </w:r>
          </w:p>
        </w:tc>
        <w:tc>
          <w:tcPr>
            <w:tcW w:w="498" w:type="pct"/>
          </w:tcPr>
          <w:p w14:paraId="02B4B4A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115</w:t>
            </w:r>
          </w:p>
        </w:tc>
        <w:tc>
          <w:tcPr>
            <w:tcW w:w="498" w:type="pct"/>
          </w:tcPr>
          <w:p w14:paraId="69825BD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99</w:t>
            </w:r>
          </w:p>
        </w:tc>
        <w:tc>
          <w:tcPr>
            <w:tcW w:w="498" w:type="pct"/>
          </w:tcPr>
          <w:p w14:paraId="490AB27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80</w:t>
            </w:r>
          </w:p>
        </w:tc>
      </w:tr>
      <w:tr w:rsidR="00C90867" w:rsidRPr="00C201F7" w14:paraId="00BF3427" w14:textId="77777777" w:rsidTr="00987035">
        <w:tc>
          <w:tcPr>
            <w:tcW w:w="432" w:type="pct"/>
            <w:shd w:val="clear" w:color="auto" w:fill="F2F2F2" w:themeFill="background1" w:themeFillShade="F2"/>
          </w:tcPr>
          <w:p w14:paraId="0542D4DA"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100</w:t>
            </w:r>
          </w:p>
        </w:tc>
        <w:tc>
          <w:tcPr>
            <w:tcW w:w="587" w:type="pct"/>
          </w:tcPr>
          <w:p w14:paraId="6FEC568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161</w:t>
            </w:r>
          </w:p>
        </w:tc>
        <w:tc>
          <w:tcPr>
            <w:tcW w:w="498" w:type="pct"/>
          </w:tcPr>
          <w:p w14:paraId="58C0871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156</w:t>
            </w:r>
          </w:p>
        </w:tc>
        <w:tc>
          <w:tcPr>
            <w:tcW w:w="498" w:type="pct"/>
          </w:tcPr>
          <w:p w14:paraId="6D0BFFA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149</w:t>
            </w:r>
          </w:p>
        </w:tc>
        <w:tc>
          <w:tcPr>
            <w:tcW w:w="498" w:type="pct"/>
          </w:tcPr>
          <w:p w14:paraId="005AC81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140</w:t>
            </w:r>
          </w:p>
        </w:tc>
        <w:tc>
          <w:tcPr>
            <w:tcW w:w="498" w:type="pct"/>
          </w:tcPr>
          <w:p w14:paraId="35BBC77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123</w:t>
            </w:r>
          </w:p>
        </w:tc>
        <w:tc>
          <w:tcPr>
            <w:tcW w:w="498" w:type="pct"/>
          </w:tcPr>
          <w:p w14:paraId="7FE1072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116</w:t>
            </w:r>
          </w:p>
        </w:tc>
        <w:tc>
          <w:tcPr>
            <w:tcW w:w="498" w:type="pct"/>
          </w:tcPr>
          <w:p w14:paraId="76DBB42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107</w:t>
            </w:r>
          </w:p>
        </w:tc>
        <w:tc>
          <w:tcPr>
            <w:tcW w:w="498" w:type="pct"/>
          </w:tcPr>
          <w:p w14:paraId="659C739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91</w:t>
            </w:r>
          </w:p>
        </w:tc>
        <w:tc>
          <w:tcPr>
            <w:tcW w:w="498" w:type="pct"/>
          </w:tcPr>
          <w:p w14:paraId="3E0C810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73</w:t>
            </w:r>
          </w:p>
        </w:tc>
      </w:tr>
      <w:tr w:rsidR="00C90867" w:rsidRPr="00C201F7" w14:paraId="3F93DC26" w14:textId="77777777" w:rsidTr="00987035">
        <w:tc>
          <w:tcPr>
            <w:tcW w:w="432" w:type="pct"/>
            <w:shd w:val="clear" w:color="auto" w:fill="F2F2F2" w:themeFill="background1" w:themeFillShade="F2"/>
          </w:tcPr>
          <w:p w14:paraId="424075A3"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80</w:t>
            </w:r>
          </w:p>
        </w:tc>
        <w:tc>
          <w:tcPr>
            <w:tcW w:w="587" w:type="pct"/>
          </w:tcPr>
          <w:p w14:paraId="3DEDD44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157</w:t>
            </w:r>
          </w:p>
        </w:tc>
        <w:tc>
          <w:tcPr>
            <w:tcW w:w="498" w:type="pct"/>
          </w:tcPr>
          <w:p w14:paraId="67F5292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152</w:t>
            </w:r>
          </w:p>
        </w:tc>
        <w:tc>
          <w:tcPr>
            <w:tcW w:w="498" w:type="pct"/>
          </w:tcPr>
          <w:p w14:paraId="43382E4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146</w:t>
            </w:r>
          </w:p>
        </w:tc>
        <w:tc>
          <w:tcPr>
            <w:tcW w:w="498" w:type="pct"/>
          </w:tcPr>
          <w:p w14:paraId="5D536E3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136</w:t>
            </w:r>
          </w:p>
        </w:tc>
        <w:tc>
          <w:tcPr>
            <w:tcW w:w="498" w:type="pct"/>
          </w:tcPr>
          <w:p w14:paraId="64B7544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119</w:t>
            </w:r>
          </w:p>
        </w:tc>
        <w:tc>
          <w:tcPr>
            <w:tcW w:w="498" w:type="pct"/>
          </w:tcPr>
          <w:p w14:paraId="6829C32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112</w:t>
            </w:r>
          </w:p>
        </w:tc>
        <w:tc>
          <w:tcPr>
            <w:tcW w:w="498" w:type="pct"/>
          </w:tcPr>
          <w:p w14:paraId="2531477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103</w:t>
            </w:r>
          </w:p>
        </w:tc>
        <w:tc>
          <w:tcPr>
            <w:tcW w:w="498" w:type="pct"/>
          </w:tcPr>
          <w:p w14:paraId="6E8FDAA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87</w:t>
            </w:r>
          </w:p>
        </w:tc>
        <w:tc>
          <w:tcPr>
            <w:tcW w:w="498" w:type="pct"/>
          </w:tcPr>
          <w:p w14:paraId="1FC40F8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69</w:t>
            </w:r>
          </w:p>
        </w:tc>
      </w:tr>
      <w:tr w:rsidR="00C90867" w:rsidRPr="00C201F7" w14:paraId="08678A23" w14:textId="77777777" w:rsidTr="00987035">
        <w:tc>
          <w:tcPr>
            <w:tcW w:w="432" w:type="pct"/>
            <w:shd w:val="clear" w:color="auto" w:fill="F2F2F2" w:themeFill="background1" w:themeFillShade="F2"/>
          </w:tcPr>
          <w:p w14:paraId="26716331"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65</w:t>
            </w:r>
          </w:p>
        </w:tc>
        <w:tc>
          <w:tcPr>
            <w:tcW w:w="587" w:type="pct"/>
          </w:tcPr>
          <w:p w14:paraId="66F709E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154</w:t>
            </w:r>
          </w:p>
        </w:tc>
        <w:tc>
          <w:tcPr>
            <w:tcW w:w="498" w:type="pct"/>
          </w:tcPr>
          <w:p w14:paraId="2E44624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149</w:t>
            </w:r>
          </w:p>
        </w:tc>
        <w:tc>
          <w:tcPr>
            <w:tcW w:w="498" w:type="pct"/>
          </w:tcPr>
          <w:p w14:paraId="107AF27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143</w:t>
            </w:r>
          </w:p>
        </w:tc>
        <w:tc>
          <w:tcPr>
            <w:tcW w:w="498" w:type="pct"/>
          </w:tcPr>
          <w:p w14:paraId="57B4B3A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132</w:t>
            </w:r>
          </w:p>
        </w:tc>
        <w:tc>
          <w:tcPr>
            <w:tcW w:w="498" w:type="pct"/>
          </w:tcPr>
          <w:p w14:paraId="4A5D8B4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116</w:t>
            </w:r>
          </w:p>
        </w:tc>
        <w:tc>
          <w:tcPr>
            <w:tcW w:w="498" w:type="pct"/>
          </w:tcPr>
          <w:p w14:paraId="01B5DD3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109</w:t>
            </w:r>
          </w:p>
        </w:tc>
        <w:tc>
          <w:tcPr>
            <w:tcW w:w="498" w:type="pct"/>
          </w:tcPr>
          <w:p w14:paraId="38F380E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100</w:t>
            </w:r>
          </w:p>
        </w:tc>
        <w:tc>
          <w:tcPr>
            <w:tcW w:w="498" w:type="pct"/>
          </w:tcPr>
          <w:p w14:paraId="70A62C6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84</w:t>
            </w:r>
          </w:p>
        </w:tc>
        <w:tc>
          <w:tcPr>
            <w:tcW w:w="498" w:type="pct"/>
          </w:tcPr>
          <w:p w14:paraId="3201C17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66</w:t>
            </w:r>
          </w:p>
        </w:tc>
      </w:tr>
      <w:tr w:rsidR="00C90867" w:rsidRPr="00C201F7" w14:paraId="33066ACC" w14:textId="77777777" w:rsidTr="00987035">
        <w:tc>
          <w:tcPr>
            <w:tcW w:w="432" w:type="pct"/>
            <w:shd w:val="clear" w:color="auto" w:fill="F2F2F2" w:themeFill="background1" w:themeFillShade="F2"/>
          </w:tcPr>
          <w:p w14:paraId="072B1205"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50</w:t>
            </w:r>
          </w:p>
        </w:tc>
        <w:tc>
          <w:tcPr>
            <w:tcW w:w="587" w:type="pct"/>
          </w:tcPr>
          <w:p w14:paraId="1A5F113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151</w:t>
            </w:r>
          </w:p>
        </w:tc>
        <w:tc>
          <w:tcPr>
            <w:tcW w:w="498" w:type="pct"/>
          </w:tcPr>
          <w:p w14:paraId="4C24958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146</w:t>
            </w:r>
          </w:p>
        </w:tc>
        <w:tc>
          <w:tcPr>
            <w:tcW w:w="498" w:type="pct"/>
          </w:tcPr>
          <w:p w14:paraId="3288D2A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139</w:t>
            </w:r>
          </w:p>
        </w:tc>
        <w:tc>
          <w:tcPr>
            <w:tcW w:w="498" w:type="pct"/>
          </w:tcPr>
          <w:p w14:paraId="46071C0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129</w:t>
            </w:r>
          </w:p>
        </w:tc>
        <w:tc>
          <w:tcPr>
            <w:tcW w:w="498" w:type="pct"/>
          </w:tcPr>
          <w:p w14:paraId="19CA0E1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112</w:t>
            </w:r>
          </w:p>
        </w:tc>
        <w:tc>
          <w:tcPr>
            <w:tcW w:w="498" w:type="pct"/>
          </w:tcPr>
          <w:p w14:paraId="778B0C8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105</w:t>
            </w:r>
          </w:p>
        </w:tc>
        <w:tc>
          <w:tcPr>
            <w:tcW w:w="498" w:type="pct"/>
          </w:tcPr>
          <w:p w14:paraId="2C6D5DA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96</w:t>
            </w:r>
          </w:p>
        </w:tc>
        <w:tc>
          <w:tcPr>
            <w:tcW w:w="498" w:type="pct"/>
          </w:tcPr>
          <w:p w14:paraId="7AAEC72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81</w:t>
            </w:r>
          </w:p>
        </w:tc>
        <w:tc>
          <w:tcPr>
            <w:tcW w:w="498" w:type="pct"/>
          </w:tcPr>
          <w:p w14:paraId="1E1BFEB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63</w:t>
            </w:r>
          </w:p>
        </w:tc>
      </w:tr>
      <w:tr w:rsidR="00C90867" w:rsidRPr="00C201F7" w14:paraId="7E066F6E" w14:textId="77777777" w:rsidTr="00987035">
        <w:tc>
          <w:tcPr>
            <w:tcW w:w="432" w:type="pct"/>
            <w:shd w:val="clear" w:color="auto" w:fill="F2F2F2" w:themeFill="background1" w:themeFillShade="F2"/>
          </w:tcPr>
          <w:p w14:paraId="183BEB2E"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35</w:t>
            </w:r>
          </w:p>
        </w:tc>
        <w:tc>
          <w:tcPr>
            <w:tcW w:w="587" w:type="pct"/>
          </w:tcPr>
          <w:p w14:paraId="4DB9F9B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146</w:t>
            </w:r>
          </w:p>
        </w:tc>
        <w:tc>
          <w:tcPr>
            <w:tcW w:w="498" w:type="pct"/>
          </w:tcPr>
          <w:p w14:paraId="72AE79B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141</w:t>
            </w:r>
          </w:p>
        </w:tc>
        <w:tc>
          <w:tcPr>
            <w:tcW w:w="498" w:type="pct"/>
          </w:tcPr>
          <w:p w14:paraId="2A8021D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134</w:t>
            </w:r>
          </w:p>
        </w:tc>
        <w:tc>
          <w:tcPr>
            <w:tcW w:w="498" w:type="pct"/>
          </w:tcPr>
          <w:p w14:paraId="109F368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125</w:t>
            </w:r>
          </w:p>
        </w:tc>
        <w:tc>
          <w:tcPr>
            <w:tcW w:w="498" w:type="pct"/>
          </w:tcPr>
          <w:p w14:paraId="46FAE74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108</w:t>
            </w:r>
          </w:p>
        </w:tc>
        <w:tc>
          <w:tcPr>
            <w:tcW w:w="498" w:type="pct"/>
          </w:tcPr>
          <w:p w14:paraId="2288592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102</w:t>
            </w:r>
          </w:p>
        </w:tc>
        <w:tc>
          <w:tcPr>
            <w:tcW w:w="498" w:type="pct"/>
          </w:tcPr>
          <w:p w14:paraId="63D1016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92</w:t>
            </w:r>
          </w:p>
        </w:tc>
        <w:tc>
          <w:tcPr>
            <w:tcW w:w="498" w:type="pct"/>
          </w:tcPr>
          <w:p w14:paraId="642F131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77</w:t>
            </w:r>
          </w:p>
        </w:tc>
        <w:tc>
          <w:tcPr>
            <w:tcW w:w="498" w:type="pct"/>
          </w:tcPr>
          <w:p w14:paraId="7CFC81A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60</w:t>
            </w:r>
          </w:p>
        </w:tc>
      </w:tr>
    </w:tbl>
    <w:p w14:paraId="57EDBCBB" w14:textId="77777777" w:rsidR="00C90867" w:rsidRDefault="00C90867" w:rsidP="00C90867">
      <w:pPr>
        <w:keepNext/>
        <w:keepLines/>
        <w:spacing w:before="120"/>
        <w:jc w:val="center"/>
        <w:rPr>
          <w:rFonts w:eastAsia="ヒラギノ角ゴ Pro W3"/>
          <w:color w:val="000000"/>
          <w:szCs w:val="22"/>
        </w:rPr>
      </w:pPr>
      <w:bookmarkStart w:id="1139" w:name="Table74_10"/>
      <w:r w:rsidRPr="00C201F7">
        <w:rPr>
          <w:rFonts w:eastAsia="ヒラギノ角ゴ Pro W3"/>
          <w:color w:val="000000"/>
          <w:szCs w:val="22"/>
        </w:rPr>
        <w:t xml:space="preserve">Table </w:t>
      </w:r>
      <w:r w:rsidR="00317F0B" w:rsidRPr="00C201F7">
        <w:rPr>
          <w:rFonts w:eastAsia="ヒラギノ角ゴ Pro W3"/>
          <w:color w:val="000000"/>
          <w:szCs w:val="22"/>
        </w:rPr>
        <w:fldChar w:fldCharType="begin"/>
      </w:r>
      <w:r w:rsidR="00317F0B" w:rsidRPr="00C201F7">
        <w:rPr>
          <w:rFonts w:eastAsia="ヒラギノ角ゴ Pro W3"/>
          <w:color w:val="000000"/>
          <w:szCs w:val="22"/>
        </w:rPr>
        <w:instrText xml:space="preserve"> SEQ Table74 \* MERGEFORMAT </w:instrText>
      </w:r>
      <w:r w:rsidR="00317F0B" w:rsidRPr="00C201F7">
        <w:rPr>
          <w:rFonts w:eastAsia="ヒラギノ角ゴ Pro W3"/>
          <w:color w:val="000000"/>
          <w:szCs w:val="22"/>
        </w:rPr>
        <w:fldChar w:fldCharType="separate"/>
      </w:r>
      <w:r w:rsidR="00656F50">
        <w:rPr>
          <w:rFonts w:eastAsia="ヒラギノ角ゴ Pro W3"/>
          <w:noProof/>
          <w:color w:val="000000"/>
          <w:szCs w:val="22"/>
        </w:rPr>
        <w:t>10</w:t>
      </w:r>
      <w:r w:rsidR="00317F0B" w:rsidRPr="00C201F7">
        <w:rPr>
          <w:rFonts w:eastAsia="ヒラギノ角ゴ Pro W3"/>
          <w:color w:val="000000"/>
          <w:szCs w:val="22"/>
        </w:rPr>
        <w:fldChar w:fldCharType="end"/>
      </w:r>
      <w:bookmarkEnd w:id="1139"/>
      <w:r w:rsidRPr="00C201F7">
        <w:rPr>
          <w:rFonts w:eastAsia="ヒラギノ角ゴ Pro W3"/>
          <w:color w:val="000000"/>
          <w:szCs w:val="22"/>
        </w:rPr>
        <w:t xml:space="preserve">.  Culling distances (in km) from DTV noise-limited </w:t>
      </w:r>
      <w:r w:rsidR="00022AB3">
        <w:rPr>
          <w:rFonts w:eastAsia="ヒラギノ角ゴ Pro W3"/>
          <w:color w:val="000000"/>
          <w:szCs w:val="22"/>
        </w:rPr>
        <w:t xml:space="preserve">or protected </w:t>
      </w:r>
      <w:r w:rsidRPr="00C201F7">
        <w:rPr>
          <w:rFonts w:eastAsia="ヒラギノ角ゴ Pro W3"/>
          <w:color w:val="000000"/>
          <w:szCs w:val="22"/>
        </w:rPr>
        <w:t>contour (spectral overlap = 2 MHz)</w:t>
      </w:r>
    </w:p>
    <w:p w14:paraId="7BFCA5CE" w14:textId="77777777" w:rsidR="00987035" w:rsidRPr="00C201F7" w:rsidRDefault="00987035" w:rsidP="00C90867">
      <w:pPr>
        <w:keepNext/>
        <w:keepLines/>
        <w:spacing w:before="120"/>
        <w:jc w:val="center"/>
        <w:rPr>
          <w:rFonts w:eastAsia="ヒラギノ角ゴ Pro W3"/>
          <w:color w:val="000000"/>
          <w:szCs w:val="22"/>
        </w:rPr>
      </w:pPr>
    </w:p>
    <w:tbl>
      <w:tblPr>
        <w:tblStyle w:val="TableGrid"/>
        <w:tblW w:w="5000" w:type="pct"/>
        <w:tblLook w:val="04A0" w:firstRow="1" w:lastRow="0" w:firstColumn="1" w:lastColumn="0" w:noHBand="0" w:noVBand="1"/>
      </w:tblPr>
      <w:tblGrid>
        <w:gridCol w:w="828"/>
        <w:gridCol w:w="1123"/>
        <w:gridCol w:w="953"/>
        <w:gridCol w:w="954"/>
        <w:gridCol w:w="954"/>
        <w:gridCol w:w="954"/>
        <w:gridCol w:w="954"/>
        <w:gridCol w:w="954"/>
        <w:gridCol w:w="954"/>
        <w:gridCol w:w="948"/>
      </w:tblGrid>
      <w:tr w:rsidR="00C90867" w:rsidRPr="00C201F7" w14:paraId="55902345" w14:textId="77777777" w:rsidTr="00987035">
        <w:tc>
          <w:tcPr>
            <w:tcW w:w="432" w:type="pct"/>
            <w:vMerge w:val="restart"/>
            <w:shd w:val="clear" w:color="auto" w:fill="F2F2F2" w:themeFill="background1" w:themeFillShade="F2"/>
          </w:tcPr>
          <w:p w14:paraId="5C2D559E"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HAAT</w:t>
            </w:r>
          </w:p>
          <w:p w14:paraId="523A6F6E"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(m):</w:t>
            </w:r>
          </w:p>
        </w:tc>
        <w:tc>
          <w:tcPr>
            <w:tcW w:w="4568" w:type="pct"/>
            <w:gridSpan w:val="9"/>
            <w:shd w:val="clear" w:color="auto" w:fill="D9D9D9" w:themeFill="background1" w:themeFillShade="D9"/>
          </w:tcPr>
          <w:p w14:paraId="26D1B16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ERP (kW) per 5 MHz block:</w:t>
            </w:r>
          </w:p>
        </w:tc>
      </w:tr>
      <w:tr w:rsidR="00C90867" w:rsidRPr="00C201F7" w14:paraId="06C09FFE" w14:textId="77777777" w:rsidTr="00987035">
        <w:tc>
          <w:tcPr>
            <w:tcW w:w="432" w:type="pct"/>
            <w:vMerge/>
            <w:shd w:val="clear" w:color="auto" w:fill="F2F2F2" w:themeFill="background1" w:themeFillShade="F2"/>
          </w:tcPr>
          <w:p w14:paraId="15A60043" w14:textId="77777777" w:rsidR="00C90867" w:rsidRPr="00C201F7" w:rsidRDefault="00C90867" w:rsidP="00C90867">
            <w:pPr>
              <w:keepNext/>
              <w:keepLines/>
              <w:rPr>
                <w:rFonts w:eastAsia="ヒラギノ角ゴ Pro W3"/>
                <w:color w:val="000000"/>
                <w:szCs w:val="22"/>
              </w:rPr>
            </w:pPr>
          </w:p>
        </w:tc>
        <w:tc>
          <w:tcPr>
            <w:tcW w:w="587" w:type="pct"/>
            <w:shd w:val="clear" w:color="auto" w:fill="D9D9D9" w:themeFill="background1" w:themeFillShade="D9"/>
          </w:tcPr>
          <w:p w14:paraId="1C64B6ED"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5</w:t>
            </w:r>
          </w:p>
        </w:tc>
        <w:tc>
          <w:tcPr>
            <w:tcW w:w="498" w:type="pct"/>
            <w:shd w:val="clear" w:color="auto" w:fill="D9D9D9" w:themeFill="background1" w:themeFillShade="D9"/>
          </w:tcPr>
          <w:p w14:paraId="5ECA587E"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4</w:t>
            </w:r>
          </w:p>
        </w:tc>
        <w:tc>
          <w:tcPr>
            <w:tcW w:w="498" w:type="pct"/>
            <w:shd w:val="clear" w:color="auto" w:fill="D9D9D9" w:themeFill="background1" w:themeFillShade="D9"/>
          </w:tcPr>
          <w:p w14:paraId="13B1D50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w:t>
            </w:r>
          </w:p>
        </w:tc>
        <w:tc>
          <w:tcPr>
            <w:tcW w:w="498" w:type="pct"/>
            <w:shd w:val="clear" w:color="auto" w:fill="D9D9D9" w:themeFill="background1" w:themeFillShade="D9"/>
          </w:tcPr>
          <w:p w14:paraId="2846660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w:t>
            </w:r>
          </w:p>
        </w:tc>
        <w:tc>
          <w:tcPr>
            <w:tcW w:w="498" w:type="pct"/>
            <w:shd w:val="clear" w:color="auto" w:fill="D9D9D9" w:themeFill="background1" w:themeFillShade="D9"/>
          </w:tcPr>
          <w:p w14:paraId="2FC4F76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w:t>
            </w:r>
          </w:p>
        </w:tc>
        <w:tc>
          <w:tcPr>
            <w:tcW w:w="498" w:type="pct"/>
            <w:shd w:val="clear" w:color="auto" w:fill="D9D9D9" w:themeFill="background1" w:themeFillShade="D9"/>
          </w:tcPr>
          <w:p w14:paraId="3253201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0.75</w:t>
            </w:r>
          </w:p>
        </w:tc>
        <w:tc>
          <w:tcPr>
            <w:tcW w:w="498" w:type="pct"/>
            <w:shd w:val="clear" w:color="auto" w:fill="D9D9D9" w:themeFill="background1" w:themeFillShade="D9"/>
          </w:tcPr>
          <w:p w14:paraId="3A03537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0.5</w:t>
            </w:r>
          </w:p>
        </w:tc>
        <w:tc>
          <w:tcPr>
            <w:tcW w:w="498" w:type="pct"/>
            <w:shd w:val="clear" w:color="auto" w:fill="D9D9D9" w:themeFill="background1" w:themeFillShade="D9"/>
          </w:tcPr>
          <w:p w14:paraId="2CA519A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0.25</w:t>
            </w:r>
          </w:p>
        </w:tc>
        <w:tc>
          <w:tcPr>
            <w:tcW w:w="498" w:type="pct"/>
            <w:shd w:val="clear" w:color="auto" w:fill="D9D9D9" w:themeFill="background1" w:themeFillShade="D9"/>
          </w:tcPr>
          <w:p w14:paraId="54D4E77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0.1</w:t>
            </w:r>
          </w:p>
        </w:tc>
      </w:tr>
      <w:tr w:rsidR="00C90867" w:rsidRPr="00C201F7" w14:paraId="0C92D9AC" w14:textId="77777777" w:rsidTr="00987035">
        <w:tc>
          <w:tcPr>
            <w:tcW w:w="432" w:type="pct"/>
            <w:shd w:val="clear" w:color="auto" w:fill="F2F2F2" w:themeFill="background1" w:themeFillShade="F2"/>
          </w:tcPr>
          <w:p w14:paraId="26C68BFF"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305</w:t>
            </w:r>
          </w:p>
        </w:tc>
        <w:tc>
          <w:tcPr>
            <w:tcW w:w="587" w:type="pct"/>
          </w:tcPr>
          <w:p w14:paraId="29F57C5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171</w:t>
            </w:r>
          </w:p>
        </w:tc>
        <w:tc>
          <w:tcPr>
            <w:tcW w:w="498" w:type="pct"/>
          </w:tcPr>
          <w:p w14:paraId="49B10DF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166</w:t>
            </w:r>
          </w:p>
        </w:tc>
        <w:tc>
          <w:tcPr>
            <w:tcW w:w="498" w:type="pct"/>
          </w:tcPr>
          <w:p w14:paraId="2871CB8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160</w:t>
            </w:r>
          </w:p>
        </w:tc>
        <w:tc>
          <w:tcPr>
            <w:tcW w:w="498" w:type="pct"/>
          </w:tcPr>
          <w:p w14:paraId="309A754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149</w:t>
            </w:r>
          </w:p>
        </w:tc>
        <w:tc>
          <w:tcPr>
            <w:tcW w:w="498" w:type="pct"/>
          </w:tcPr>
          <w:p w14:paraId="3092003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133</w:t>
            </w:r>
          </w:p>
        </w:tc>
        <w:tc>
          <w:tcPr>
            <w:tcW w:w="498" w:type="pct"/>
          </w:tcPr>
          <w:p w14:paraId="6C1EBBC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126</w:t>
            </w:r>
          </w:p>
        </w:tc>
        <w:tc>
          <w:tcPr>
            <w:tcW w:w="498" w:type="pct"/>
          </w:tcPr>
          <w:p w14:paraId="7217C3C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116</w:t>
            </w:r>
          </w:p>
        </w:tc>
        <w:tc>
          <w:tcPr>
            <w:tcW w:w="498" w:type="pct"/>
          </w:tcPr>
          <w:p w14:paraId="14BE592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102</w:t>
            </w:r>
          </w:p>
        </w:tc>
        <w:tc>
          <w:tcPr>
            <w:tcW w:w="498" w:type="pct"/>
          </w:tcPr>
          <w:p w14:paraId="656FC98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87</w:t>
            </w:r>
          </w:p>
        </w:tc>
      </w:tr>
      <w:tr w:rsidR="00C90867" w:rsidRPr="00C201F7" w14:paraId="36C00E65" w14:textId="77777777" w:rsidTr="00987035">
        <w:tc>
          <w:tcPr>
            <w:tcW w:w="432" w:type="pct"/>
            <w:shd w:val="clear" w:color="auto" w:fill="F2F2F2" w:themeFill="background1" w:themeFillShade="F2"/>
          </w:tcPr>
          <w:p w14:paraId="78B5539A"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200</w:t>
            </w:r>
          </w:p>
        </w:tc>
        <w:tc>
          <w:tcPr>
            <w:tcW w:w="587" w:type="pct"/>
          </w:tcPr>
          <w:p w14:paraId="5F553D0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159</w:t>
            </w:r>
          </w:p>
        </w:tc>
        <w:tc>
          <w:tcPr>
            <w:tcW w:w="498" w:type="pct"/>
          </w:tcPr>
          <w:p w14:paraId="6412CF3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154</w:t>
            </w:r>
          </w:p>
        </w:tc>
        <w:tc>
          <w:tcPr>
            <w:tcW w:w="498" w:type="pct"/>
          </w:tcPr>
          <w:p w14:paraId="40A562F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147</w:t>
            </w:r>
          </w:p>
        </w:tc>
        <w:tc>
          <w:tcPr>
            <w:tcW w:w="498" w:type="pct"/>
          </w:tcPr>
          <w:p w14:paraId="23D2E86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138</w:t>
            </w:r>
          </w:p>
        </w:tc>
        <w:tc>
          <w:tcPr>
            <w:tcW w:w="498" w:type="pct"/>
          </w:tcPr>
          <w:p w14:paraId="6D2AEAF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121</w:t>
            </w:r>
          </w:p>
        </w:tc>
        <w:tc>
          <w:tcPr>
            <w:tcW w:w="498" w:type="pct"/>
          </w:tcPr>
          <w:p w14:paraId="228427D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115</w:t>
            </w:r>
          </w:p>
        </w:tc>
        <w:tc>
          <w:tcPr>
            <w:tcW w:w="498" w:type="pct"/>
          </w:tcPr>
          <w:p w14:paraId="42F972E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105</w:t>
            </w:r>
          </w:p>
        </w:tc>
        <w:tc>
          <w:tcPr>
            <w:tcW w:w="498" w:type="pct"/>
          </w:tcPr>
          <w:p w14:paraId="76B9847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91</w:t>
            </w:r>
          </w:p>
        </w:tc>
        <w:tc>
          <w:tcPr>
            <w:tcW w:w="498" w:type="pct"/>
          </w:tcPr>
          <w:p w14:paraId="461BE22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75</w:t>
            </w:r>
          </w:p>
        </w:tc>
      </w:tr>
      <w:tr w:rsidR="00C90867" w:rsidRPr="00C201F7" w14:paraId="112E9DFA" w14:textId="77777777" w:rsidTr="00987035">
        <w:tc>
          <w:tcPr>
            <w:tcW w:w="432" w:type="pct"/>
            <w:shd w:val="clear" w:color="auto" w:fill="F2F2F2" w:themeFill="background1" w:themeFillShade="F2"/>
          </w:tcPr>
          <w:p w14:paraId="00F507D2"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150</w:t>
            </w:r>
          </w:p>
        </w:tc>
        <w:tc>
          <w:tcPr>
            <w:tcW w:w="587" w:type="pct"/>
          </w:tcPr>
          <w:p w14:paraId="5339AF9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153</w:t>
            </w:r>
          </w:p>
        </w:tc>
        <w:tc>
          <w:tcPr>
            <w:tcW w:w="498" w:type="pct"/>
          </w:tcPr>
          <w:p w14:paraId="67115B4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148</w:t>
            </w:r>
          </w:p>
        </w:tc>
        <w:tc>
          <w:tcPr>
            <w:tcW w:w="498" w:type="pct"/>
          </w:tcPr>
          <w:p w14:paraId="1FE816B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141</w:t>
            </w:r>
          </w:p>
        </w:tc>
        <w:tc>
          <w:tcPr>
            <w:tcW w:w="498" w:type="pct"/>
          </w:tcPr>
          <w:p w14:paraId="25BCA62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131</w:t>
            </w:r>
          </w:p>
        </w:tc>
        <w:tc>
          <w:tcPr>
            <w:tcW w:w="498" w:type="pct"/>
          </w:tcPr>
          <w:p w14:paraId="513FE69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116</w:t>
            </w:r>
          </w:p>
        </w:tc>
        <w:tc>
          <w:tcPr>
            <w:tcW w:w="498" w:type="pct"/>
          </w:tcPr>
          <w:p w14:paraId="1B7CF07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109</w:t>
            </w:r>
          </w:p>
        </w:tc>
        <w:tc>
          <w:tcPr>
            <w:tcW w:w="498" w:type="pct"/>
          </w:tcPr>
          <w:p w14:paraId="2321CA0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100</w:t>
            </w:r>
          </w:p>
        </w:tc>
        <w:tc>
          <w:tcPr>
            <w:tcW w:w="498" w:type="pct"/>
          </w:tcPr>
          <w:p w14:paraId="624FCB8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85</w:t>
            </w:r>
          </w:p>
        </w:tc>
        <w:tc>
          <w:tcPr>
            <w:tcW w:w="498" w:type="pct"/>
          </w:tcPr>
          <w:p w14:paraId="2A40C0B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69</w:t>
            </w:r>
          </w:p>
        </w:tc>
      </w:tr>
      <w:tr w:rsidR="00C90867" w:rsidRPr="00C201F7" w14:paraId="4DFD9D5A" w14:textId="77777777" w:rsidTr="00987035">
        <w:tc>
          <w:tcPr>
            <w:tcW w:w="432" w:type="pct"/>
            <w:shd w:val="clear" w:color="auto" w:fill="F2F2F2" w:themeFill="background1" w:themeFillShade="F2"/>
          </w:tcPr>
          <w:p w14:paraId="446F43B5"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100</w:t>
            </w:r>
          </w:p>
        </w:tc>
        <w:tc>
          <w:tcPr>
            <w:tcW w:w="587" w:type="pct"/>
          </w:tcPr>
          <w:p w14:paraId="7B853FF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146</w:t>
            </w:r>
          </w:p>
        </w:tc>
        <w:tc>
          <w:tcPr>
            <w:tcW w:w="498" w:type="pct"/>
          </w:tcPr>
          <w:p w14:paraId="41F3859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140</w:t>
            </w:r>
          </w:p>
        </w:tc>
        <w:tc>
          <w:tcPr>
            <w:tcW w:w="498" w:type="pct"/>
          </w:tcPr>
          <w:p w14:paraId="3659387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133</w:t>
            </w:r>
          </w:p>
        </w:tc>
        <w:tc>
          <w:tcPr>
            <w:tcW w:w="498" w:type="pct"/>
          </w:tcPr>
          <w:p w14:paraId="17D9018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123</w:t>
            </w:r>
          </w:p>
        </w:tc>
        <w:tc>
          <w:tcPr>
            <w:tcW w:w="498" w:type="pct"/>
          </w:tcPr>
          <w:p w14:paraId="7B1D7ED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108</w:t>
            </w:r>
          </w:p>
        </w:tc>
        <w:tc>
          <w:tcPr>
            <w:tcW w:w="498" w:type="pct"/>
          </w:tcPr>
          <w:p w14:paraId="35992C7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101</w:t>
            </w:r>
          </w:p>
        </w:tc>
        <w:tc>
          <w:tcPr>
            <w:tcW w:w="498" w:type="pct"/>
          </w:tcPr>
          <w:p w14:paraId="504CC4C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92</w:t>
            </w:r>
          </w:p>
        </w:tc>
        <w:tc>
          <w:tcPr>
            <w:tcW w:w="498" w:type="pct"/>
          </w:tcPr>
          <w:p w14:paraId="2C26BCF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77</w:t>
            </w:r>
          </w:p>
        </w:tc>
        <w:tc>
          <w:tcPr>
            <w:tcW w:w="498" w:type="pct"/>
          </w:tcPr>
          <w:p w14:paraId="652B6CE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63</w:t>
            </w:r>
          </w:p>
        </w:tc>
      </w:tr>
      <w:tr w:rsidR="00C90867" w:rsidRPr="00C201F7" w14:paraId="5680C79A" w14:textId="77777777" w:rsidTr="00987035">
        <w:tc>
          <w:tcPr>
            <w:tcW w:w="432" w:type="pct"/>
            <w:shd w:val="clear" w:color="auto" w:fill="F2F2F2" w:themeFill="background1" w:themeFillShade="F2"/>
          </w:tcPr>
          <w:p w14:paraId="158A71D2"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80</w:t>
            </w:r>
          </w:p>
        </w:tc>
        <w:tc>
          <w:tcPr>
            <w:tcW w:w="587" w:type="pct"/>
          </w:tcPr>
          <w:p w14:paraId="7B3D3CE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142</w:t>
            </w:r>
          </w:p>
        </w:tc>
        <w:tc>
          <w:tcPr>
            <w:tcW w:w="498" w:type="pct"/>
          </w:tcPr>
          <w:p w14:paraId="7755A1C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136</w:t>
            </w:r>
          </w:p>
        </w:tc>
        <w:tc>
          <w:tcPr>
            <w:tcW w:w="498" w:type="pct"/>
          </w:tcPr>
          <w:p w14:paraId="2B2B92D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129</w:t>
            </w:r>
          </w:p>
        </w:tc>
        <w:tc>
          <w:tcPr>
            <w:tcW w:w="498" w:type="pct"/>
          </w:tcPr>
          <w:p w14:paraId="41AC928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120</w:t>
            </w:r>
          </w:p>
        </w:tc>
        <w:tc>
          <w:tcPr>
            <w:tcW w:w="498" w:type="pct"/>
          </w:tcPr>
          <w:p w14:paraId="147E11C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104</w:t>
            </w:r>
          </w:p>
        </w:tc>
        <w:tc>
          <w:tcPr>
            <w:tcW w:w="498" w:type="pct"/>
          </w:tcPr>
          <w:p w14:paraId="437C8C6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97</w:t>
            </w:r>
          </w:p>
        </w:tc>
        <w:tc>
          <w:tcPr>
            <w:tcW w:w="498" w:type="pct"/>
          </w:tcPr>
          <w:p w14:paraId="1C23437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88</w:t>
            </w:r>
          </w:p>
        </w:tc>
        <w:tc>
          <w:tcPr>
            <w:tcW w:w="498" w:type="pct"/>
          </w:tcPr>
          <w:p w14:paraId="0FDF928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73</w:t>
            </w:r>
          </w:p>
        </w:tc>
        <w:tc>
          <w:tcPr>
            <w:tcW w:w="498" w:type="pct"/>
          </w:tcPr>
          <w:p w14:paraId="0F0539A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60</w:t>
            </w:r>
          </w:p>
        </w:tc>
      </w:tr>
      <w:tr w:rsidR="00C90867" w:rsidRPr="00C201F7" w14:paraId="6AF6115C" w14:textId="77777777" w:rsidTr="00987035">
        <w:tc>
          <w:tcPr>
            <w:tcW w:w="432" w:type="pct"/>
            <w:shd w:val="clear" w:color="auto" w:fill="F2F2F2" w:themeFill="background1" w:themeFillShade="F2"/>
          </w:tcPr>
          <w:p w14:paraId="2576514A"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65</w:t>
            </w:r>
          </w:p>
        </w:tc>
        <w:tc>
          <w:tcPr>
            <w:tcW w:w="587" w:type="pct"/>
          </w:tcPr>
          <w:p w14:paraId="47193E6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139</w:t>
            </w:r>
          </w:p>
        </w:tc>
        <w:tc>
          <w:tcPr>
            <w:tcW w:w="498" w:type="pct"/>
          </w:tcPr>
          <w:p w14:paraId="2E7BC9F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133</w:t>
            </w:r>
          </w:p>
        </w:tc>
        <w:tc>
          <w:tcPr>
            <w:tcW w:w="498" w:type="pct"/>
          </w:tcPr>
          <w:p w14:paraId="5DFED1D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126</w:t>
            </w:r>
          </w:p>
        </w:tc>
        <w:tc>
          <w:tcPr>
            <w:tcW w:w="498" w:type="pct"/>
          </w:tcPr>
          <w:p w14:paraId="13C4A37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116</w:t>
            </w:r>
          </w:p>
        </w:tc>
        <w:tc>
          <w:tcPr>
            <w:tcW w:w="498" w:type="pct"/>
          </w:tcPr>
          <w:p w14:paraId="79BF997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100</w:t>
            </w:r>
          </w:p>
        </w:tc>
        <w:tc>
          <w:tcPr>
            <w:tcW w:w="498" w:type="pct"/>
          </w:tcPr>
          <w:p w14:paraId="4670566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94</w:t>
            </w:r>
          </w:p>
        </w:tc>
        <w:tc>
          <w:tcPr>
            <w:tcW w:w="498" w:type="pct"/>
          </w:tcPr>
          <w:p w14:paraId="5EAEBEB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84</w:t>
            </w:r>
          </w:p>
        </w:tc>
        <w:tc>
          <w:tcPr>
            <w:tcW w:w="498" w:type="pct"/>
          </w:tcPr>
          <w:p w14:paraId="70D89AB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71</w:t>
            </w:r>
          </w:p>
        </w:tc>
        <w:tc>
          <w:tcPr>
            <w:tcW w:w="498" w:type="pct"/>
          </w:tcPr>
          <w:p w14:paraId="40B4964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57</w:t>
            </w:r>
          </w:p>
        </w:tc>
      </w:tr>
      <w:tr w:rsidR="00C90867" w:rsidRPr="00C201F7" w14:paraId="24FA9B93" w14:textId="77777777" w:rsidTr="00987035">
        <w:tc>
          <w:tcPr>
            <w:tcW w:w="432" w:type="pct"/>
            <w:shd w:val="clear" w:color="auto" w:fill="F2F2F2" w:themeFill="background1" w:themeFillShade="F2"/>
          </w:tcPr>
          <w:p w14:paraId="7D04E204"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50</w:t>
            </w:r>
          </w:p>
        </w:tc>
        <w:tc>
          <w:tcPr>
            <w:tcW w:w="587" w:type="pct"/>
          </w:tcPr>
          <w:p w14:paraId="3F5FAD5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135</w:t>
            </w:r>
          </w:p>
        </w:tc>
        <w:tc>
          <w:tcPr>
            <w:tcW w:w="498" w:type="pct"/>
          </w:tcPr>
          <w:p w14:paraId="548A90A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130</w:t>
            </w:r>
          </w:p>
        </w:tc>
        <w:tc>
          <w:tcPr>
            <w:tcW w:w="498" w:type="pct"/>
          </w:tcPr>
          <w:p w14:paraId="62DBC4D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123</w:t>
            </w:r>
          </w:p>
        </w:tc>
        <w:tc>
          <w:tcPr>
            <w:tcW w:w="498" w:type="pct"/>
          </w:tcPr>
          <w:p w14:paraId="241B16B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113</w:t>
            </w:r>
          </w:p>
        </w:tc>
        <w:tc>
          <w:tcPr>
            <w:tcW w:w="498" w:type="pct"/>
          </w:tcPr>
          <w:p w14:paraId="3E44381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97</w:t>
            </w:r>
          </w:p>
        </w:tc>
        <w:tc>
          <w:tcPr>
            <w:tcW w:w="498" w:type="pct"/>
          </w:tcPr>
          <w:p w14:paraId="5A278AC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90</w:t>
            </w:r>
          </w:p>
        </w:tc>
        <w:tc>
          <w:tcPr>
            <w:tcW w:w="498" w:type="pct"/>
          </w:tcPr>
          <w:p w14:paraId="3A03499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81</w:t>
            </w:r>
          </w:p>
        </w:tc>
        <w:tc>
          <w:tcPr>
            <w:tcW w:w="498" w:type="pct"/>
          </w:tcPr>
          <w:p w14:paraId="2B2AC4C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67</w:t>
            </w:r>
          </w:p>
        </w:tc>
        <w:tc>
          <w:tcPr>
            <w:tcW w:w="498" w:type="pct"/>
          </w:tcPr>
          <w:p w14:paraId="22CCC6F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54</w:t>
            </w:r>
          </w:p>
        </w:tc>
      </w:tr>
      <w:tr w:rsidR="00C90867" w:rsidRPr="00C201F7" w14:paraId="1E543C72" w14:textId="77777777" w:rsidTr="00987035">
        <w:tc>
          <w:tcPr>
            <w:tcW w:w="432" w:type="pct"/>
            <w:shd w:val="clear" w:color="auto" w:fill="F2F2F2" w:themeFill="background1" w:themeFillShade="F2"/>
          </w:tcPr>
          <w:p w14:paraId="3D2F0AB4"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35</w:t>
            </w:r>
          </w:p>
        </w:tc>
        <w:tc>
          <w:tcPr>
            <w:tcW w:w="587" w:type="pct"/>
          </w:tcPr>
          <w:p w14:paraId="50BA6CF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131</w:t>
            </w:r>
          </w:p>
        </w:tc>
        <w:tc>
          <w:tcPr>
            <w:tcW w:w="498" w:type="pct"/>
          </w:tcPr>
          <w:p w14:paraId="1AF3F85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125</w:t>
            </w:r>
          </w:p>
        </w:tc>
        <w:tc>
          <w:tcPr>
            <w:tcW w:w="498" w:type="pct"/>
          </w:tcPr>
          <w:p w14:paraId="1C8AA73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119</w:t>
            </w:r>
          </w:p>
        </w:tc>
        <w:tc>
          <w:tcPr>
            <w:tcW w:w="498" w:type="pct"/>
          </w:tcPr>
          <w:p w14:paraId="0E3E277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109</w:t>
            </w:r>
          </w:p>
        </w:tc>
        <w:tc>
          <w:tcPr>
            <w:tcW w:w="498" w:type="pct"/>
          </w:tcPr>
          <w:p w14:paraId="017C364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93</w:t>
            </w:r>
          </w:p>
        </w:tc>
        <w:tc>
          <w:tcPr>
            <w:tcW w:w="498" w:type="pct"/>
          </w:tcPr>
          <w:p w14:paraId="153B10E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87</w:t>
            </w:r>
          </w:p>
        </w:tc>
        <w:tc>
          <w:tcPr>
            <w:tcW w:w="498" w:type="pct"/>
          </w:tcPr>
          <w:p w14:paraId="1604DA0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78</w:t>
            </w:r>
          </w:p>
        </w:tc>
        <w:tc>
          <w:tcPr>
            <w:tcW w:w="498" w:type="pct"/>
          </w:tcPr>
          <w:p w14:paraId="532CBE3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64</w:t>
            </w:r>
          </w:p>
        </w:tc>
        <w:tc>
          <w:tcPr>
            <w:tcW w:w="498" w:type="pct"/>
          </w:tcPr>
          <w:p w14:paraId="7689C4E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51</w:t>
            </w:r>
          </w:p>
        </w:tc>
      </w:tr>
    </w:tbl>
    <w:p w14:paraId="209FA992" w14:textId="77777777" w:rsidR="00C90867" w:rsidRDefault="00C90867" w:rsidP="00987035">
      <w:pPr>
        <w:keepNext/>
        <w:keepLines/>
        <w:spacing w:before="120"/>
        <w:jc w:val="center"/>
        <w:rPr>
          <w:rFonts w:eastAsia="ヒラギノ角ゴ Pro W3"/>
          <w:color w:val="000000"/>
          <w:szCs w:val="22"/>
        </w:rPr>
      </w:pPr>
      <w:bookmarkStart w:id="1140" w:name="Table74_11"/>
      <w:r w:rsidRPr="00C201F7">
        <w:rPr>
          <w:rFonts w:eastAsia="ヒラギノ角ゴ Pro W3"/>
          <w:color w:val="000000"/>
          <w:szCs w:val="22"/>
        </w:rPr>
        <w:t xml:space="preserve">Table </w:t>
      </w:r>
      <w:r w:rsidR="00317F0B" w:rsidRPr="00C201F7">
        <w:rPr>
          <w:rFonts w:eastAsia="ヒラギノ角ゴ Pro W3"/>
          <w:color w:val="000000"/>
          <w:szCs w:val="22"/>
        </w:rPr>
        <w:fldChar w:fldCharType="begin"/>
      </w:r>
      <w:r w:rsidR="00317F0B" w:rsidRPr="00C201F7">
        <w:rPr>
          <w:rFonts w:eastAsia="ヒラギノ角ゴ Pro W3"/>
          <w:color w:val="000000"/>
          <w:szCs w:val="22"/>
        </w:rPr>
        <w:instrText xml:space="preserve"> SEQ Table74 \* MERGEFORMAT </w:instrText>
      </w:r>
      <w:r w:rsidR="00317F0B" w:rsidRPr="00C201F7">
        <w:rPr>
          <w:rFonts w:eastAsia="ヒラギノ角ゴ Pro W3"/>
          <w:color w:val="000000"/>
          <w:szCs w:val="22"/>
        </w:rPr>
        <w:fldChar w:fldCharType="separate"/>
      </w:r>
      <w:r w:rsidR="00656F50">
        <w:rPr>
          <w:rFonts w:eastAsia="ヒラギノ角ゴ Pro W3"/>
          <w:noProof/>
          <w:color w:val="000000"/>
          <w:szCs w:val="22"/>
        </w:rPr>
        <w:t>11</w:t>
      </w:r>
      <w:r w:rsidR="00317F0B" w:rsidRPr="00C201F7">
        <w:rPr>
          <w:rFonts w:eastAsia="ヒラギノ角ゴ Pro W3"/>
          <w:color w:val="000000"/>
          <w:szCs w:val="22"/>
        </w:rPr>
        <w:fldChar w:fldCharType="end"/>
      </w:r>
      <w:bookmarkEnd w:id="1140"/>
      <w:r w:rsidRPr="00C201F7">
        <w:rPr>
          <w:rFonts w:eastAsia="ヒラギノ角ゴ Pro W3"/>
          <w:color w:val="000000"/>
          <w:szCs w:val="22"/>
        </w:rPr>
        <w:t xml:space="preserve">.  Culling distances (in km) from DTV noise-limited </w:t>
      </w:r>
      <w:r w:rsidR="00022AB3">
        <w:rPr>
          <w:rFonts w:eastAsia="ヒラギノ角ゴ Pro W3"/>
          <w:color w:val="000000"/>
          <w:szCs w:val="22"/>
        </w:rPr>
        <w:t xml:space="preserve">or protected </w:t>
      </w:r>
      <w:r w:rsidRPr="00C201F7">
        <w:rPr>
          <w:rFonts w:eastAsia="ヒラギノ角ゴ Pro W3"/>
          <w:color w:val="000000"/>
          <w:szCs w:val="22"/>
        </w:rPr>
        <w:t>contour (spectral overlap = 1 MHz)</w:t>
      </w:r>
    </w:p>
    <w:p w14:paraId="51065BCD" w14:textId="1AFB6E13" w:rsidR="00987035" w:rsidRDefault="00987035">
      <w:pPr>
        <w:widowControl/>
        <w:rPr>
          <w:rFonts w:eastAsia="ヒラギノ角ゴ Pro W3"/>
          <w:color w:val="000000"/>
          <w:szCs w:val="22"/>
        </w:rPr>
      </w:pPr>
      <w:r>
        <w:rPr>
          <w:rFonts w:eastAsia="ヒラギノ角ゴ Pro W3"/>
          <w:color w:val="000000"/>
          <w:szCs w:val="22"/>
        </w:rPr>
        <w:br w:type="page"/>
      </w:r>
    </w:p>
    <w:p w14:paraId="3ABA7F15" w14:textId="77777777" w:rsidR="00987035" w:rsidRDefault="00987035" w:rsidP="00987035">
      <w:pPr>
        <w:keepNext/>
        <w:keepLines/>
        <w:spacing w:before="120"/>
        <w:jc w:val="center"/>
        <w:rPr>
          <w:rFonts w:eastAsia="ヒラギノ角ゴ Pro W3"/>
          <w:color w:val="000000"/>
          <w:szCs w:val="22"/>
        </w:rPr>
      </w:pPr>
    </w:p>
    <w:tbl>
      <w:tblPr>
        <w:tblStyle w:val="TableGrid"/>
        <w:tblW w:w="5000" w:type="pct"/>
        <w:tblLook w:val="04A0" w:firstRow="1" w:lastRow="0" w:firstColumn="1" w:lastColumn="0" w:noHBand="0" w:noVBand="1"/>
      </w:tblPr>
      <w:tblGrid>
        <w:gridCol w:w="828"/>
        <w:gridCol w:w="1121"/>
        <w:gridCol w:w="953"/>
        <w:gridCol w:w="954"/>
        <w:gridCol w:w="954"/>
        <w:gridCol w:w="954"/>
        <w:gridCol w:w="954"/>
        <w:gridCol w:w="954"/>
        <w:gridCol w:w="954"/>
        <w:gridCol w:w="950"/>
      </w:tblGrid>
      <w:tr w:rsidR="00C90867" w:rsidRPr="00C201F7" w14:paraId="67A85E42" w14:textId="77777777" w:rsidTr="00987035">
        <w:tc>
          <w:tcPr>
            <w:tcW w:w="432" w:type="pct"/>
            <w:vMerge w:val="restart"/>
            <w:shd w:val="clear" w:color="auto" w:fill="F2F2F2" w:themeFill="background1" w:themeFillShade="F2"/>
          </w:tcPr>
          <w:p w14:paraId="3212F1B7"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HAAT</w:t>
            </w:r>
          </w:p>
          <w:p w14:paraId="1BCFBC05"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(m):</w:t>
            </w:r>
          </w:p>
        </w:tc>
        <w:tc>
          <w:tcPr>
            <w:tcW w:w="4568" w:type="pct"/>
            <w:gridSpan w:val="9"/>
            <w:shd w:val="clear" w:color="auto" w:fill="D9D9D9" w:themeFill="background1" w:themeFillShade="D9"/>
          </w:tcPr>
          <w:p w14:paraId="0B6CCAA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ERP (kW) per 5 MHz block:</w:t>
            </w:r>
          </w:p>
        </w:tc>
      </w:tr>
      <w:tr w:rsidR="00C90867" w:rsidRPr="00C201F7" w14:paraId="19048D6C" w14:textId="77777777" w:rsidTr="00987035">
        <w:tc>
          <w:tcPr>
            <w:tcW w:w="432" w:type="pct"/>
            <w:vMerge/>
            <w:shd w:val="clear" w:color="auto" w:fill="F2F2F2" w:themeFill="background1" w:themeFillShade="F2"/>
          </w:tcPr>
          <w:p w14:paraId="4134FD24" w14:textId="77777777" w:rsidR="00C90867" w:rsidRPr="00C201F7" w:rsidRDefault="00C90867" w:rsidP="00C90867">
            <w:pPr>
              <w:keepNext/>
              <w:keepLines/>
              <w:rPr>
                <w:rFonts w:eastAsia="ヒラギノ角ゴ Pro W3"/>
                <w:color w:val="000000"/>
                <w:szCs w:val="22"/>
              </w:rPr>
            </w:pPr>
          </w:p>
        </w:tc>
        <w:tc>
          <w:tcPr>
            <w:tcW w:w="586" w:type="pct"/>
            <w:shd w:val="clear" w:color="auto" w:fill="D9D9D9" w:themeFill="background1" w:themeFillShade="D9"/>
          </w:tcPr>
          <w:p w14:paraId="28E02EE3"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5</w:t>
            </w:r>
          </w:p>
        </w:tc>
        <w:tc>
          <w:tcPr>
            <w:tcW w:w="498" w:type="pct"/>
            <w:shd w:val="clear" w:color="auto" w:fill="D9D9D9" w:themeFill="background1" w:themeFillShade="D9"/>
          </w:tcPr>
          <w:p w14:paraId="3B738804"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4</w:t>
            </w:r>
          </w:p>
        </w:tc>
        <w:tc>
          <w:tcPr>
            <w:tcW w:w="498" w:type="pct"/>
            <w:shd w:val="clear" w:color="auto" w:fill="D9D9D9" w:themeFill="background1" w:themeFillShade="D9"/>
          </w:tcPr>
          <w:p w14:paraId="5A35DB3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w:t>
            </w:r>
          </w:p>
        </w:tc>
        <w:tc>
          <w:tcPr>
            <w:tcW w:w="498" w:type="pct"/>
            <w:shd w:val="clear" w:color="auto" w:fill="D9D9D9" w:themeFill="background1" w:themeFillShade="D9"/>
          </w:tcPr>
          <w:p w14:paraId="5F27BE0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w:t>
            </w:r>
          </w:p>
        </w:tc>
        <w:tc>
          <w:tcPr>
            <w:tcW w:w="498" w:type="pct"/>
            <w:shd w:val="clear" w:color="auto" w:fill="D9D9D9" w:themeFill="background1" w:themeFillShade="D9"/>
          </w:tcPr>
          <w:p w14:paraId="12B2AFD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w:t>
            </w:r>
          </w:p>
        </w:tc>
        <w:tc>
          <w:tcPr>
            <w:tcW w:w="498" w:type="pct"/>
            <w:shd w:val="clear" w:color="auto" w:fill="D9D9D9" w:themeFill="background1" w:themeFillShade="D9"/>
          </w:tcPr>
          <w:p w14:paraId="6C11CBD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0.75</w:t>
            </w:r>
          </w:p>
        </w:tc>
        <w:tc>
          <w:tcPr>
            <w:tcW w:w="498" w:type="pct"/>
            <w:shd w:val="clear" w:color="auto" w:fill="D9D9D9" w:themeFill="background1" w:themeFillShade="D9"/>
          </w:tcPr>
          <w:p w14:paraId="01C6AC9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0.5</w:t>
            </w:r>
          </w:p>
        </w:tc>
        <w:tc>
          <w:tcPr>
            <w:tcW w:w="498" w:type="pct"/>
            <w:shd w:val="clear" w:color="auto" w:fill="D9D9D9" w:themeFill="background1" w:themeFillShade="D9"/>
          </w:tcPr>
          <w:p w14:paraId="3DD6CAA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0.25</w:t>
            </w:r>
          </w:p>
        </w:tc>
        <w:tc>
          <w:tcPr>
            <w:tcW w:w="495" w:type="pct"/>
            <w:shd w:val="clear" w:color="auto" w:fill="D9D9D9" w:themeFill="background1" w:themeFillShade="D9"/>
          </w:tcPr>
          <w:p w14:paraId="742A622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0.1</w:t>
            </w:r>
          </w:p>
        </w:tc>
      </w:tr>
      <w:tr w:rsidR="00C90867" w:rsidRPr="00C201F7" w14:paraId="4A06108A" w14:textId="77777777" w:rsidTr="00987035">
        <w:tc>
          <w:tcPr>
            <w:tcW w:w="432" w:type="pct"/>
            <w:shd w:val="clear" w:color="auto" w:fill="F2F2F2" w:themeFill="background1" w:themeFillShade="F2"/>
          </w:tcPr>
          <w:p w14:paraId="5EB2297F"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305</w:t>
            </w:r>
          </w:p>
        </w:tc>
        <w:tc>
          <w:tcPr>
            <w:tcW w:w="586" w:type="pct"/>
          </w:tcPr>
          <w:p w14:paraId="73EECEF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115</w:t>
            </w:r>
          </w:p>
        </w:tc>
        <w:tc>
          <w:tcPr>
            <w:tcW w:w="498" w:type="pct"/>
          </w:tcPr>
          <w:p w14:paraId="2B87C8A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110</w:t>
            </w:r>
          </w:p>
        </w:tc>
        <w:tc>
          <w:tcPr>
            <w:tcW w:w="498" w:type="pct"/>
          </w:tcPr>
          <w:p w14:paraId="13299B8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104</w:t>
            </w:r>
          </w:p>
        </w:tc>
        <w:tc>
          <w:tcPr>
            <w:tcW w:w="498" w:type="pct"/>
          </w:tcPr>
          <w:p w14:paraId="3E40D40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97</w:t>
            </w:r>
          </w:p>
        </w:tc>
        <w:tc>
          <w:tcPr>
            <w:tcW w:w="498" w:type="pct"/>
          </w:tcPr>
          <w:p w14:paraId="5813C52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86</w:t>
            </w:r>
          </w:p>
        </w:tc>
        <w:tc>
          <w:tcPr>
            <w:tcW w:w="498" w:type="pct"/>
          </w:tcPr>
          <w:p w14:paraId="098009A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82</w:t>
            </w:r>
          </w:p>
        </w:tc>
        <w:tc>
          <w:tcPr>
            <w:tcW w:w="498" w:type="pct"/>
          </w:tcPr>
          <w:p w14:paraId="0FFEBE8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76</w:t>
            </w:r>
          </w:p>
        </w:tc>
        <w:tc>
          <w:tcPr>
            <w:tcW w:w="498" w:type="pct"/>
          </w:tcPr>
          <w:p w14:paraId="3AE12F9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68</w:t>
            </w:r>
          </w:p>
        </w:tc>
        <w:tc>
          <w:tcPr>
            <w:tcW w:w="495" w:type="pct"/>
          </w:tcPr>
          <w:p w14:paraId="6BEBA42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59</w:t>
            </w:r>
          </w:p>
        </w:tc>
      </w:tr>
      <w:tr w:rsidR="00C90867" w:rsidRPr="00C201F7" w14:paraId="5C5BAF27" w14:textId="77777777" w:rsidTr="00987035">
        <w:tc>
          <w:tcPr>
            <w:tcW w:w="432" w:type="pct"/>
            <w:shd w:val="clear" w:color="auto" w:fill="F2F2F2" w:themeFill="background1" w:themeFillShade="F2"/>
          </w:tcPr>
          <w:p w14:paraId="65B54EFA"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200</w:t>
            </w:r>
          </w:p>
        </w:tc>
        <w:tc>
          <w:tcPr>
            <w:tcW w:w="586" w:type="pct"/>
          </w:tcPr>
          <w:p w14:paraId="77A3CCA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104</w:t>
            </w:r>
          </w:p>
        </w:tc>
        <w:tc>
          <w:tcPr>
            <w:tcW w:w="498" w:type="pct"/>
          </w:tcPr>
          <w:p w14:paraId="61EED17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99</w:t>
            </w:r>
          </w:p>
        </w:tc>
        <w:tc>
          <w:tcPr>
            <w:tcW w:w="498" w:type="pct"/>
          </w:tcPr>
          <w:p w14:paraId="21E7E33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93</w:t>
            </w:r>
          </w:p>
        </w:tc>
        <w:tc>
          <w:tcPr>
            <w:tcW w:w="498" w:type="pct"/>
          </w:tcPr>
          <w:p w14:paraId="58043B9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85</w:t>
            </w:r>
          </w:p>
        </w:tc>
        <w:tc>
          <w:tcPr>
            <w:tcW w:w="498" w:type="pct"/>
          </w:tcPr>
          <w:p w14:paraId="356E4FA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73</w:t>
            </w:r>
          </w:p>
        </w:tc>
        <w:tc>
          <w:tcPr>
            <w:tcW w:w="498" w:type="pct"/>
          </w:tcPr>
          <w:p w14:paraId="63F22D3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70</w:t>
            </w:r>
          </w:p>
        </w:tc>
        <w:tc>
          <w:tcPr>
            <w:tcW w:w="498" w:type="pct"/>
          </w:tcPr>
          <w:p w14:paraId="5CBE046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65</w:t>
            </w:r>
          </w:p>
        </w:tc>
        <w:tc>
          <w:tcPr>
            <w:tcW w:w="498" w:type="pct"/>
          </w:tcPr>
          <w:p w14:paraId="00BCBB3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59</w:t>
            </w:r>
          </w:p>
        </w:tc>
        <w:tc>
          <w:tcPr>
            <w:tcW w:w="495" w:type="pct"/>
          </w:tcPr>
          <w:p w14:paraId="6366085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52</w:t>
            </w:r>
          </w:p>
        </w:tc>
      </w:tr>
      <w:tr w:rsidR="00C90867" w:rsidRPr="00C201F7" w14:paraId="2230D5F3" w14:textId="77777777" w:rsidTr="00987035">
        <w:tc>
          <w:tcPr>
            <w:tcW w:w="432" w:type="pct"/>
            <w:shd w:val="clear" w:color="auto" w:fill="F2F2F2" w:themeFill="background1" w:themeFillShade="F2"/>
          </w:tcPr>
          <w:p w14:paraId="445B4887"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150</w:t>
            </w:r>
          </w:p>
        </w:tc>
        <w:tc>
          <w:tcPr>
            <w:tcW w:w="586" w:type="pct"/>
          </w:tcPr>
          <w:p w14:paraId="7CFA495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98</w:t>
            </w:r>
          </w:p>
        </w:tc>
        <w:tc>
          <w:tcPr>
            <w:tcW w:w="498" w:type="pct"/>
          </w:tcPr>
          <w:p w14:paraId="28DBA64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93</w:t>
            </w:r>
          </w:p>
        </w:tc>
        <w:tc>
          <w:tcPr>
            <w:tcW w:w="498" w:type="pct"/>
          </w:tcPr>
          <w:p w14:paraId="0D87DE2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87</w:t>
            </w:r>
          </w:p>
        </w:tc>
        <w:tc>
          <w:tcPr>
            <w:tcW w:w="498" w:type="pct"/>
          </w:tcPr>
          <w:p w14:paraId="3062FDA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79</w:t>
            </w:r>
          </w:p>
        </w:tc>
        <w:tc>
          <w:tcPr>
            <w:tcW w:w="498" w:type="pct"/>
          </w:tcPr>
          <w:p w14:paraId="60AA987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68</w:t>
            </w:r>
          </w:p>
        </w:tc>
        <w:tc>
          <w:tcPr>
            <w:tcW w:w="498" w:type="pct"/>
          </w:tcPr>
          <w:p w14:paraId="0BA7ACB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65</w:t>
            </w:r>
          </w:p>
        </w:tc>
        <w:tc>
          <w:tcPr>
            <w:tcW w:w="498" w:type="pct"/>
          </w:tcPr>
          <w:p w14:paraId="3A9933F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61</w:t>
            </w:r>
          </w:p>
        </w:tc>
        <w:tc>
          <w:tcPr>
            <w:tcW w:w="498" w:type="pct"/>
          </w:tcPr>
          <w:p w14:paraId="226B0B2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55</w:t>
            </w:r>
          </w:p>
        </w:tc>
        <w:tc>
          <w:tcPr>
            <w:tcW w:w="495" w:type="pct"/>
          </w:tcPr>
          <w:p w14:paraId="7F98C0F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48</w:t>
            </w:r>
          </w:p>
        </w:tc>
      </w:tr>
      <w:tr w:rsidR="00C90867" w:rsidRPr="00C201F7" w14:paraId="0EFCD326" w14:textId="77777777" w:rsidTr="00987035">
        <w:tc>
          <w:tcPr>
            <w:tcW w:w="432" w:type="pct"/>
            <w:shd w:val="clear" w:color="auto" w:fill="F2F2F2" w:themeFill="background1" w:themeFillShade="F2"/>
          </w:tcPr>
          <w:p w14:paraId="468C808D"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100</w:t>
            </w:r>
          </w:p>
        </w:tc>
        <w:tc>
          <w:tcPr>
            <w:tcW w:w="586" w:type="pct"/>
          </w:tcPr>
          <w:p w14:paraId="172C80A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90</w:t>
            </w:r>
          </w:p>
        </w:tc>
        <w:tc>
          <w:tcPr>
            <w:tcW w:w="498" w:type="pct"/>
          </w:tcPr>
          <w:p w14:paraId="21517CC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85</w:t>
            </w:r>
          </w:p>
        </w:tc>
        <w:tc>
          <w:tcPr>
            <w:tcW w:w="498" w:type="pct"/>
          </w:tcPr>
          <w:p w14:paraId="4E2D023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79</w:t>
            </w:r>
          </w:p>
        </w:tc>
        <w:tc>
          <w:tcPr>
            <w:tcW w:w="498" w:type="pct"/>
          </w:tcPr>
          <w:p w14:paraId="2FBBA21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72</w:t>
            </w:r>
          </w:p>
        </w:tc>
        <w:tc>
          <w:tcPr>
            <w:tcW w:w="498" w:type="pct"/>
          </w:tcPr>
          <w:p w14:paraId="4C474F6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62</w:t>
            </w:r>
          </w:p>
        </w:tc>
        <w:tc>
          <w:tcPr>
            <w:tcW w:w="498" w:type="pct"/>
          </w:tcPr>
          <w:p w14:paraId="66BF3CC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59</w:t>
            </w:r>
          </w:p>
        </w:tc>
        <w:tc>
          <w:tcPr>
            <w:tcW w:w="498" w:type="pct"/>
          </w:tcPr>
          <w:p w14:paraId="518C586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55</w:t>
            </w:r>
          </w:p>
        </w:tc>
        <w:tc>
          <w:tcPr>
            <w:tcW w:w="498" w:type="pct"/>
          </w:tcPr>
          <w:p w14:paraId="1027DEF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49</w:t>
            </w:r>
          </w:p>
        </w:tc>
        <w:tc>
          <w:tcPr>
            <w:tcW w:w="495" w:type="pct"/>
          </w:tcPr>
          <w:p w14:paraId="64A0FC5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42</w:t>
            </w:r>
          </w:p>
        </w:tc>
      </w:tr>
      <w:tr w:rsidR="00C90867" w:rsidRPr="00C201F7" w14:paraId="5154E929" w14:textId="77777777" w:rsidTr="00987035">
        <w:tc>
          <w:tcPr>
            <w:tcW w:w="432" w:type="pct"/>
            <w:shd w:val="clear" w:color="auto" w:fill="F2F2F2" w:themeFill="background1" w:themeFillShade="F2"/>
          </w:tcPr>
          <w:p w14:paraId="143D07DD"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80</w:t>
            </w:r>
          </w:p>
        </w:tc>
        <w:tc>
          <w:tcPr>
            <w:tcW w:w="586" w:type="pct"/>
          </w:tcPr>
          <w:p w14:paraId="04635F7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86</w:t>
            </w:r>
          </w:p>
        </w:tc>
        <w:tc>
          <w:tcPr>
            <w:tcW w:w="498" w:type="pct"/>
          </w:tcPr>
          <w:p w14:paraId="7351F1D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81</w:t>
            </w:r>
          </w:p>
        </w:tc>
        <w:tc>
          <w:tcPr>
            <w:tcW w:w="498" w:type="pct"/>
          </w:tcPr>
          <w:p w14:paraId="29B83D0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75</w:t>
            </w:r>
          </w:p>
        </w:tc>
        <w:tc>
          <w:tcPr>
            <w:tcW w:w="498" w:type="pct"/>
          </w:tcPr>
          <w:p w14:paraId="1C0AAAC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69</w:t>
            </w:r>
          </w:p>
        </w:tc>
        <w:tc>
          <w:tcPr>
            <w:tcW w:w="498" w:type="pct"/>
          </w:tcPr>
          <w:p w14:paraId="6046A80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59</w:t>
            </w:r>
          </w:p>
        </w:tc>
        <w:tc>
          <w:tcPr>
            <w:tcW w:w="498" w:type="pct"/>
          </w:tcPr>
          <w:p w14:paraId="11A9DC0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56</w:t>
            </w:r>
          </w:p>
        </w:tc>
        <w:tc>
          <w:tcPr>
            <w:tcW w:w="498" w:type="pct"/>
          </w:tcPr>
          <w:p w14:paraId="3C6BDD0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52</w:t>
            </w:r>
          </w:p>
        </w:tc>
        <w:tc>
          <w:tcPr>
            <w:tcW w:w="498" w:type="pct"/>
          </w:tcPr>
          <w:p w14:paraId="110C1F0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46</w:t>
            </w:r>
          </w:p>
        </w:tc>
        <w:tc>
          <w:tcPr>
            <w:tcW w:w="495" w:type="pct"/>
          </w:tcPr>
          <w:p w14:paraId="190E36B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38</w:t>
            </w:r>
          </w:p>
        </w:tc>
      </w:tr>
      <w:tr w:rsidR="00C90867" w:rsidRPr="00C201F7" w14:paraId="28B5739C" w14:textId="77777777" w:rsidTr="00987035">
        <w:tc>
          <w:tcPr>
            <w:tcW w:w="432" w:type="pct"/>
            <w:shd w:val="clear" w:color="auto" w:fill="F2F2F2" w:themeFill="background1" w:themeFillShade="F2"/>
          </w:tcPr>
          <w:p w14:paraId="4181A0F6"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65</w:t>
            </w:r>
          </w:p>
        </w:tc>
        <w:tc>
          <w:tcPr>
            <w:tcW w:w="586" w:type="pct"/>
          </w:tcPr>
          <w:p w14:paraId="2508D9C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83</w:t>
            </w:r>
          </w:p>
        </w:tc>
        <w:tc>
          <w:tcPr>
            <w:tcW w:w="498" w:type="pct"/>
          </w:tcPr>
          <w:p w14:paraId="5F96998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78</w:t>
            </w:r>
          </w:p>
        </w:tc>
        <w:tc>
          <w:tcPr>
            <w:tcW w:w="498" w:type="pct"/>
          </w:tcPr>
          <w:p w14:paraId="2F8CB6C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73</w:t>
            </w:r>
          </w:p>
        </w:tc>
        <w:tc>
          <w:tcPr>
            <w:tcW w:w="498" w:type="pct"/>
          </w:tcPr>
          <w:p w14:paraId="444C7E8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66</w:t>
            </w:r>
          </w:p>
        </w:tc>
        <w:tc>
          <w:tcPr>
            <w:tcW w:w="498" w:type="pct"/>
          </w:tcPr>
          <w:p w14:paraId="459EEE8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56</w:t>
            </w:r>
          </w:p>
        </w:tc>
        <w:tc>
          <w:tcPr>
            <w:tcW w:w="498" w:type="pct"/>
          </w:tcPr>
          <w:p w14:paraId="7D30FFE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53</w:t>
            </w:r>
          </w:p>
        </w:tc>
        <w:tc>
          <w:tcPr>
            <w:tcW w:w="498" w:type="pct"/>
          </w:tcPr>
          <w:p w14:paraId="5BD5A1A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49</w:t>
            </w:r>
          </w:p>
        </w:tc>
        <w:tc>
          <w:tcPr>
            <w:tcW w:w="498" w:type="pct"/>
          </w:tcPr>
          <w:p w14:paraId="2DA8273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43</w:t>
            </w:r>
          </w:p>
        </w:tc>
        <w:tc>
          <w:tcPr>
            <w:tcW w:w="495" w:type="pct"/>
          </w:tcPr>
          <w:p w14:paraId="26F539C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36</w:t>
            </w:r>
          </w:p>
        </w:tc>
      </w:tr>
      <w:tr w:rsidR="00C90867" w:rsidRPr="00C201F7" w14:paraId="029E679D" w14:textId="77777777" w:rsidTr="00987035">
        <w:tc>
          <w:tcPr>
            <w:tcW w:w="432" w:type="pct"/>
            <w:shd w:val="clear" w:color="auto" w:fill="F2F2F2" w:themeFill="background1" w:themeFillShade="F2"/>
          </w:tcPr>
          <w:p w14:paraId="542100FC"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50</w:t>
            </w:r>
          </w:p>
        </w:tc>
        <w:tc>
          <w:tcPr>
            <w:tcW w:w="586" w:type="pct"/>
          </w:tcPr>
          <w:p w14:paraId="112FB12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80</w:t>
            </w:r>
          </w:p>
        </w:tc>
        <w:tc>
          <w:tcPr>
            <w:tcW w:w="498" w:type="pct"/>
          </w:tcPr>
          <w:p w14:paraId="6DAC8E7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75</w:t>
            </w:r>
          </w:p>
        </w:tc>
        <w:tc>
          <w:tcPr>
            <w:tcW w:w="498" w:type="pct"/>
          </w:tcPr>
          <w:p w14:paraId="0FE369B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70</w:t>
            </w:r>
          </w:p>
        </w:tc>
        <w:tc>
          <w:tcPr>
            <w:tcW w:w="498" w:type="pct"/>
          </w:tcPr>
          <w:p w14:paraId="225C5C2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62</w:t>
            </w:r>
          </w:p>
        </w:tc>
        <w:tc>
          <w:tcPr>
            <w:tcW w:w="498" w:type="pct"/>
          </w:tcPr>
          <w:p w14:paraId="4C479AC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53</w:t>
            </w:r>
          </w:p>
        </w:tc>
        <w:tc>
          <w:tcPr>
            <w:tcW w:w="498" w:type="pct"/>
          </w:tcPr>
          <w:p w14:paraId="720AC6D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50</w:t>
            </w:r>
          </w:p>
        </w:tc>
        <w:tc>
          <w:tcPr>
            <w:tcW w:w="498" w:type="pct"/>
          </w:tcPr>
          <w:p w14:paraId="227B4FE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46</w:t>
            </w:r>
          </w:p>
        </w:tc>
        <w:tc>
          <w:tcPr>
            <w:tcW w:w="498" w:type="pct"/>
          </w:tcPr>
          <w:p w14:paraId="6FB4CEB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40</w:t>
            </w:r>
          </w:p>
        </w:tc>
        <w:tc>
          <w:tcPr>
            <w:tcW w:w="495" w:type="pct"/>
          </w:tcPr>
          <w:p w14:paraId="066C44F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33</w:t>
            </w:r>
          </w:p>
        </w:tc>
      </w:tr>
      <w:tr w:rsidR="00C90867" w:rsidRPr="00C201F7" w14:paraId="23EAFFD0" w14:textId="77777777" w:rsidTr="00987035">
        <w:tc>
          <w:tcPr>
            <w:tcW w:w="432" w:type="pct"/>
            <w:shd w:val="clear" w:color="auto" w:fill="F2F2F2" w:themeFill="background1" w:themeFillShade="F2"/>
          </w:tcPr>
          <w:p w14:paraId="11F9A823"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35</w:t>
            </w:r>
          </w:p>
        </w:tc>
        <w:tc>
          <w:tcPr>
            <w:tcW w:w="586" w:type="pct"/>
          </w:tcPr>
          <w:p w14:paraId="31B3FFB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76</w:t>
            </w:r>
          </w:p>
        </w:tc>
        <w:tc>
          <w:tcPr>
            <w:tcW w:w="498" w:type="pct"/>
          </w:tcPr>
          <w:p w14:paraId="6166C8E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72</w:t>
            </w:r>
          </w:p>
        </w:tc>
        <w:tc>
          <w:tcPr>
            <w:tcW w:w="498" w:type="pct"/>
          </w:tcPr>
          <w:p w14:paraId="3F363E8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66</w:t>
            </w:r>
          </w:p>
        </w:tc>
        <w:tc>
          <w:tcPr>
            <w:tcW w:w="498" w:type="pct"/>
          </w:tcPr>
          <w:p w14:paraId="1F0A91F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59</w:t>
            </w:r>
          </w:p>
        </w:tc>
        <w:tc>
          <w:tcPr>
            <w:tcW w:w="498" w:type="pct"/>
          </w:tcPr>
          <w:p w14:paraId="738FB74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50</w:t>
            </w:r>
          </w:p>
        </w:tc>
        <w:tc>
          <w:tcPr>
            <w:tcW w:w="498" w:type="pct"/>
          </w:tcPr>
          <w:p w14:paraId="6B762DB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46</w:t>
            </w:r>
          </w:p>
        </w:tc>
        <w:tc>
          <w:tcPr>
            <w:tcW w:w="498" w:type="pct"/>
          </w:tcPr>
          <w:p w14:paraId="2FC50ED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42</w:t>
            </w:r>
          </w:p>
        </w:tc>
        <w:tc>
          <w:tcPr>
            <w:tcW w:w="498" w:type="pct"/>
          </w:tcPr>
          <w:p w14:paraId="35D61E1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35</w:t>
            </w:r>
          </w:p>
        </w:tc>
        <w:tc>
          <w:tcPr>
            <w:tcW w:w="495" w:type="pct"/>
          </w:tcPr>
          <w:p w14:paraId="724D8B6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28</w:t>
            </w:r>
          </w:p>
        </w:tc>
      </w:tr>
    </w:tbl>
    <w:p w14:paraId="096483FD" w14:textId="77777777" w:rsidR="00C90867" w:rsidRDefault="00C90867" w:rsidP="00C90867">
      <w:pPr>
        <w:keepNext/>
        <w:keepLines/>
        <w:spacing w:before="120"/>
        <w:jc w:val="center"/>
        <w:rPr>
          <w:rFonts w:eastAsia="ヒラギノ角ゴ Pro W3"/>
          <w:color w:val="000000"/>
          <w:szCs w:val="22"/>
        </w:rPr>
      </w:pPr>
      <w:bookmarkStart w:id="1141" w:name="Table74_12"/>
      <w:r w:rsidRPr="00C201F7">
        <w:rPr>
          <w:rFonts w:eastAsia="ヒラギノ角ゴ Pro W3"/>
          <w:color w:val="000000"/>
          <w:szCs w:val="22"/>
        </w:rPr>
        <w:t xml:space="preserve">Table </w:t>
      </w:r>
      <w:r w:rsidR="00317F0B" w:rsidRPr="00C201F7">
        <w:rPr>
          <w:rFonts w:eastAsia="ヒラギノ角ゴ Pro W3"/>
          <w:color w:val="000000"/>
          <w:szCs w:val="22"/>
        </w:rPr>
        <w:fldChar w:fldCharType="begin"/>
      </w:r>
      <w:r w:rsidR="00317F0B" w:rsidRPr="00C201F7">
        <w:rPr>
          <w:rFonts w:eastAsia="ヒラギノ角ゴ Pro W3"/>
          <w:color w:val="000000"/>
          <w:szCs w:val="22"/>
        </w:rPr>
        <w:instrText xml:space="preserve"> SEQ Table74 \* MERGEFORMAT </w:instrText>
      </w:r>
      <w:r w:rsidR="00317F0B" w:rsidRPr="00C201F7">
        <w:rPr>
          <w:rFonts w:eastAsia="ヒラギノ角ゴ Pro W3"/>
          <w:color w:val="000000"/>
          <w:szCs w:val="22"/>
        </w:rPr>
        <w:fldChar w:fldCharType="separate"/>
      </w:r>
      <w:r w:rsidR="00656F50">
        <w:rPr>
          <w:rFonts w:eastAsia="ヒラギノ角ゴ Pro W3"/>
          <w:noProof/>
          <w:color w:val="000000"/>
          <w:szCs w:val="22"/>
        </w:rPr>
        <w:t>12</w:t>
      </w:r>
      <w:r w:rsidR="00317F0B" w:rsidRPr="00C201F7">
        <w:rPr>
          <w:rFonts w:eastAsia="ヒラギノ角ゴ Pro W3"/>
          <w:color w:val="000000"/>
          <w:szCs w:val="22"/>
        </w:rPr>
        <w:fldChar w:fldCharType="end"/>
      </w:r>
      <w:bookmarkEnd w:id="1141"/>
      <w:r w:rsidRPr="00C201F7">
        <w:rPr>
          <w:rFonts w:eastAsia="ヒラギノ角ゴ Pro W3"/>
          <w:color w:val="000000"/>
          <w:szCs w:val="22"/>
        </w:rPr>
        <w:t xml:space="preserve">.  Culling distances (in km) from DTV noise-limited </w:t>
      </w:r>
      <w:r w:rsidR="00022AB3">
        <w:rPr>
          <w:rFonts w:eastAsia="ヒラギノ角ゴ Pro W3"/>
          <w:color w:val="000000"/>
          <w:szCs w:val="22"/>
        </w:rPr>
        <w:t xml:space="preserve">or protected </w:t>
      </w:r>
      <w:r w:rsidRPr="00C201F7">
        <w:rPr>
          <w:rFonts w:eastAsia="ヒラギノ角ゴ Pro W3"/>
          <w:color w:val="000000"/>
          <w:szCs w:val="22"/>
        </w:rPr>
        <w:t>contour (spectral overlap = 0 MHz)</w:t>
      </w:r>
    </w:p>
    <w:p w14:paraId="16468E3C" w14:textId="77777777" w:rsidR="0026139E" w:rsidRPr="00C201F7" w:rsidRDefault="0026139E" w:rsidP="00C90867">
      <w:pPr>
        <w:keepNext/>
        <w:keepLines/>
        <w:spacing w:before="120"/>
        <w:jc w:val="center"/>
        <w:rPr>
          <w:rFonts w:eastAsia="ヒラギノ角ゴ Pro W3"/>
          <w:color w:val="000000"/>
          <w:szCs w:val="22"/>
        </w:rPr>
      </w:pPr>
    </w:p>
    <w:tbl>
      <w:tblPr>
        <w:tblStyle w:val="TableGrid"/>
        <w:tblW w:w="5000" w:type="pct"/>
        <w:tblLook w:val="04A0" w:firstRow="1" w:lastRow="0" w:firstColumn="1" w:lastColumn="0" w:noHBand="0" w:noVBand="1"/>
      </w:tblPr>
      <w:tblGrid>
        <w:gridCol w:w="828"/>
        <w:gridCol w:w="1123"/>
        <w:gridCol w:w="953"/>
        <w:gridCol w:w="954"/>
        <w:gridCol w:w="954"/>
        <w:gridCol w:w="954"/>
        <w:gridCol w:w="954"/>
        <w:gridCol w:w="954"/>
        <w:gridCol w:w="954"/>
        <w:gridCol w:w="948"/>
      </w:tblGrid>
      <w:tr w:rsidR="00C90867" w:rsidRPr="00C201F7" w14:paraId="145CE5B9" w14:textId="77777777" w:rsidTr="00987035">
        <w:tc>
          <w:tcPr>
            <w:tcW w:w="432" w:type="pct"/>
            <w:vMerge w:val="restart"/>
            <w:shd w:val="clear" w:color="auto" w:fill="F2F2F2" w:themeFill="background1" w:themeFillShade="F2"/>
          </w:tcPr>
          <w:p w14:paraId="545CC9E2"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HAAT</w:t>
            </w:r>
          </w:p>
          <w:p w14:paraId="06B9BB25"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(m):</w:t>
            </w:r>
          </w:p>
        </w:tc>
        <w:tc>
          <w:tcPr>
            <w:tcW w:w="4568" w:type="pct"/>
            <w:gridSpan w:val="9"/>
            <w:shd w:val="clear" w:color="auto" w:fill="D9D9D9" w:themeFill="background1" w:themeFillShade="D9"/>
          </w:tcPr>
          <w:p w14:paraId="1E4D3E5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ERP (kW) per 5 MHz block:</w:t>
            </w:r>
          </w:p>
        </w:tc>
      </w:tr>
      <w:tr w:rsidR="00C90867" w:rsidRPr="00C201F7" w14:paraId="13881B7A" w14:textId="77777777" w:rsidTr="00987035">
        <w:tc>
          <w:tcPr>
            <w:tcW w:w="432" w:type="pct"/>
            <w:vMerge/>
            <w:shd w:val="clear" w:color="auto" w:fill="F2F2F2" w:themeFill="background1" w:themeFillShade="F2"/>
          </w:tcPr>
          <w:p w14:paraId="4AE5AF71" w14:textId="77777777" w:rsidR="00C90867" w:rsidRPr="00C201F7" w:rsidRDefault="00C90867" w:rsidP="00C90867">
            <w:pPr>
              <w:keepNext/>
              <w:keepLines/>
              <w:rPr>
                <w:rFonts w:eastAsia="ヒラギノ角ゴ Pro W3"/>
                <w:color w:val="000000"/>
                <w:szCs w:val="22"/>
              </w:rPr>
            </w:pPr>
          </w:p>
        </w:tc>
        <w:tc>
          <w:tcPr>
            <w:tcW w:w="587" w:type="pct"/>
            <w:shd w:val="clear" w:color="auto" w:fill="D9D9D9" w:themeFill="background1" w:themeFillShade="D9"/>
          </w:tcPr>
          <w:p w14:paraId="68885598"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5</w:t>
            </w:r>
          </w:p>
        </w:tc>
        <w:tc>
          <w:tcPr>
            <w:tcW w:w="498" w:type="pct"/>
            <w:shd w:val="clear" w:color="auto" w:fill="D9D9D9" w:themeFill="background1" w:themeFillShade="D9"/>
          </w:tcPr>
          <w:p w14:paraId="5148965D" w14:textId="77777777" w:rsidR="00C90867" w:rsidRPr="00C201F7" w:rsidRDefault="00C90867" w:rsidP="00C90867">
            <w:pPr>
              <w:keepNext/>
              <w:keepLines/>
              <w:jc w:val="center"/>
              <w:rPr>
                <w:rFonts w:eastAsia="ヒラギノ角ゴ Pro W3"/>
                <w:b/>
                <w:bCs/>
                <w:color w:val="000000"/>
                <w:szCs w:val="22"/>
                <w:lang w:eastAsia="ja-JP"/>
              </w:rPr>
            </w:pPr>
            <w:r w:rsidRPr="00C201F7">
              <w:rPr>
                <w:rFonts w:eastAsia="ヒラギノ角ゴ Pro W3"/>
                <w:color w:val="000000"/>
                <w:szCs w:val="22"/>
              </w:rPr>
              <w:t>4</w:t>
            </w:r>
          </w:p>
        </w:tc>
        <w:tc>
          <w:tcPr>
            <w:tcW w:w="498" w:type="pct"/>
            <w:shd w:val="clear" w:color="auto" w:fill="D9D9D9" w:themeFill="background1" w:themeFillShade="D9"/>
          </w:tcPr>
          <w:p w14:paraId="68BD481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w:t>
            </w:r>
          </w:p>
        </w:tc>
        <w:tc>
          <w:tcPr>
            <w:tcW w:w="498" w:type="pct"/>
            <w:shd w:val="clear" w:color="auto" w:fill="D9D9D9" w:themeFill="background1" w:themeFillShade="D9"/>
          </w:tcPr>
          <w:p w14:paraId="4082D60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w:t>
            </w:r>
          </w:p>
        </w:tc>
        <w:tc>
          <w:tcPr>
            <w:tcW w:w="498" w:type="pct"/>
            <w:shd w:val="clear" w:color="auto" w:fill="D9D9D9" w:themeFill="background1" w:themeFillShade="D9"/>
          </w:tcPr>
          <w:p w14:paraId="765964D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w:t>
            </w:r>
          </w:p>
        </w:tc>
        <w:tc>
          <w:tcPr>
            <w:tcW w:w="498" w:type="pct"/>
            <w:shd w:val="clear" w:color="auto" w:fill="D9D9D9" w:themeFill="background1" w:themeFillShade="D9"/>
          </w:tcPr>
          <w:p w14:paraId="5E7E82F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0.75</w:t>
            </w:r>
          </w:p>
        </w:tc>
        <w:tc>
          <w:tcPr>
            <w:tcW w:w="498" w:type="pct"/>
            <w:shd w:val="clear" w:color="auto" w:fill="D9D9D9" w:themeFill="background1" w:themeFillShade="D9"/>
          </w:tcPr>
          <w:p w14:paraId="367234B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0.5</w:t>
            </w:r>
          </w:p>
        </w:tc>
        <w:tc>
          <w:tcPr>
            <w:tcW w:w="498" w:type="pct"/>
            <w:shd w:val="clear" w:color="auto" w:fill="D9D9D9" w:themeFill="background1" w:themeFillShade="D9"/>
          </w:tcPr>
          <w:p w14:paraId="565C154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0.25</w:t>
            </w:r>
          </w:p>
        </w:tc>
        <w:tc>
          <w:tcPr>
            <w:tcW w:w="498" w:type="pct"/>
            <w:shd w:val="clear" w:color="auto" w:fill="D9D9D9" w:themeFill="background1" w:themeFillShade="D9"/>
          </w:tcPr>
          <w:p w14:paraId="25AA5B9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0.1</w:t>
            </w:r>
          </w:p>
        </w:tc>
      </w:tr>
      <w:tr w:rsidR="00C90867" w:rsidRPr="00C201F7" w14:paraId="05B37D1E" w14:textId="77777777" w:rsidTr="00987035">
        <w:tc>
          <w:tcPr>
            <w:tcW w:w="432" w:type="pct"/>
            <w:shd w:val="clear" w:color="auto" w:fill="F2F2F2" w:themeFill="background1" w:themeFillShade="F2"/>
          </w:tcPr>
          <w:p w14:paraId="6792E192"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305</w:t>
            </w:r>
          </w:p>
        </w:tc>
        <w:tc>
          <w:tcPr>
            <w:tcW w:w="587" w:type="pct"/>
          </w:tcPr>
          <w:p w14:paraId="08E49E7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61</w:t>
            </w:r>
          </w:p>
        </w:tc>
        <w:tc>
          <w:tcPr>
            <w:tcW w:w="498" w:type="pct"/>
          </w:tcPr>
          <w:p w14:paraId="45A021C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59</w:t>
            </w:r>
          </w:p>
        </w:tc>
        <w:tc>
          <w:tcPr>
            <w:tcW w:w="498" w:type="pct"/>
          </w:tcPr>
          <w:p w14:paraId="2B3DCF3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57</w:t>
            </w:r>
          </w:p>
        </w:tc>
        <w:tc>
          <w:tcPr>
            <w:tcW w:w="498" w:type="pct"/>
          </w:tcPr>
          <w:p w14:paraId="7D43B36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53</w:t>
            </w:r>
          </w:p>
        </w:tc>
        <w:tc>
          <w:tcPr>
            <w:tcW w:w="498" w:type="pct"/>
          </w:tcPr>
          <w:p w14:paraId="2946F76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48</w:t>
            </w:r>
          </w:p>
        </w:tc>
        <w:tc>
          <w:tcPr>
            <w:tcW w:w="498" w:type="pct"/>
          </w:tcPr>
          <w:p w14:paraId="228EC54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46</w:t>
            </w:r>
          </w:p>
        </w:tc>
        <w:tc>
          <w:tcPr>
            <w:tcW w:w="498" w:type="pct"/>
          </w:tcPr>
          <w:p w14:paraId="5A32DC8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43</w:t>
            </w:r>
          </w:p>
        </w:tc>
        <w:tc>
          <w:tcPr>
            <w:tcW w:w="498" w:type="pct"/>
          </w:tcPr>
          <w:p w14:paraId="6C42250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37</w:t>
            </w:r>
          </w:p>
        </w:tc>
        <w:tc>
          <w:tcPr>
            <w:tcW w:w="498" w:type="pct"/>
          </w:tcPr>
          <w:p w14:paraId="4093EB3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31</w:t>
            </w:r>
          </w:p>
        </w:tc>
      </w:tr>
      <w:tr w:rsidR="00C90867" w:rsidRPr="00C201F7" w14:paraId="179C6DA1" w14:textId="77777777" w:rsidTr="00987035">
        <w:tc>
          <w:tcPr>
            <w:tcW w:w="432" w:type="pct"/>
            <w:shd w:val="clear" w:color="auto" w:fill="F2F2F2" w:themeFill="background1" w:themeFillShade="F2"/>
          </w:tcPr>
          <w:p w14:paraId="51D39D19"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200</w:t>
            </w:r>
          </w:p>
        </w:tc>
        <w:tc>
          <w:tcPr>
            <w:tcW w:w="587" w:type="pct"/>
          </w:tcPr>
          <w:p w14:paraId="3E3EA09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53</w:t>
            </w:r>
          </w:p>
        </w:tc>
        <w:tc>
          <w:tcPr>
            <w:tcW w:w="498" w:type="pct"/>
          </w:tcPr>
          <w:p w14:paraId="03A2EEB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52</w:t>
            </w:r>
          </w:p>
        </w:tc>
        <w:tc>
          <w:tcPr>
            <w:tcW w:w="498" w:type="pct"/>
          </w:tcPr>
          <w:p w14:paraId="1CAD792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50</w:t>
            </w:r>
          </w:p>
        </w:tc>
        <w:tc>
          <w:tcPr>
            <w:tcW w:w="498" w:type="pct"/>
          </w:tcPr>
          <w:p w14:paraId="460D218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47</w:t>
            </w:r>
          </w:p>
        </w:tc>
        <w:tc>
          <w:tcPr>
            <w:tcW w:w="498" w:type="pct"/>
          </w:tcPr>
          <w:p w14:paraId="00CD4FB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42</w:t>
            </w:r>
          </w:p>
        </w:tc>
        <w:tc>
          <w:tcPr>
            <w:tcW w:w="498" w:type="pct"/>
          </w:tcPr>
          <w:p w14:paraId="5F78782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39</w:t>
            </w:r>
          </w:p>
        </w:tc>
        <w:tc>
          <w:tcPr>
            <w:tcW w:w="498" w:type="pct"/>
          </w:tcPr>
          <w:p w14:paraId="2BA7158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37</w:t>
            </w:r>
          </w:p>
        </w:tc>
        <w:tc>
          <w:tcPr>
            <w:tcW w:w="498" w:type="pct"/>
          </w:tcPr>
          <w:p w14:paraId="43F12C9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32</w:t>
            </w:r>
          </w:p>
        </w:tc>
        <w:tc>
          <w:tcPr>
            <w:tcW w:w="498" w:type="pct"/>
          </w:tcPr>
          <w:p w14:paraId="16495DB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26</w:t>
            </w:r>
          </w:p>
        </w:tc>
      </w:tr>
      <w:tr w:rsidR="00C90867" w:rsidRPr="00C201F7" w14:paraId="4641DCE8" w14:textId="77777777" w:rsidTr="00987035">
        <w:tc>
          <w:tcPr>
            <w:tcW w:w="432" w:type="pct"/>
            <w:shd w:val="clear" w:color="auto" w:fill="F2F2F2" w:themeFill="background1" w:themeFillShade="F2"/>
          </w:tcPr>
          <w:p w14:paraId="6726658B"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150</w:t>
            </w:r>
          </w:p>
        </w:tc>
        <w:tc>
          <w:tcPr>
            <w:tcW w:w="587" w:type="pct"/>
          </w:tcPr>
          <w:p w14:paraId="47127E3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49</w:t>
            </w:r>
          </w:p>
        </w:tc>
        <w:tc>
          <w:tcPr>
            <w:tcW w:w="498" w:type="pct"/>
          </w:tcPr>
          <w:p w14:paraId="2B8082A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48</w:t>
            </w:r>
          </w:p>
        </w:tc>
        <w:tc>
          <w:tcPr>
            <w:tcW w:w="498" w:type="pct"/>
          </w:tcPr>
          <w:p w14:paraId="7C20505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46</w:t>
            </w:r>
          </w:p>
        </w:tc>
        <w:tc>
          <w:tcPr>
            <w:tcW w:w="498" w:type="pct"/>
          </w:tcPr>
          <w:p w14:paraId="7EB75BD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42</w:t>
            </w:r>
          </w:p>
        </w:tc>
        <w:tc>
          <w:tcPr>
            <w:tcW w:w="498" w:type="pct"/>
          </w:tcPr>
          <w:p w14:paraId="5B4A59E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37</w:t>
            </w:r>
          </w:p>
        </w:tc>
        <w:tc>
          <w:tcPr>
            <w:tcW w:w="498" w:type="pct"/>
          </w:tcPr>
          <w:p w14:paraId="4E690D2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35</w:t>
            </w:r>
          </w:p>
        </w:tc>
        <w:tc>
          <w:tcPr>
            <w:tcW w:w="498" w:type="pct"/>
          </w:tcPr>
          <w:p w14:paraId="2F2A572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32</w:t>
            </w:r>
          </w:p>
        </w:tc>
        <w:tc>
          <w:tcPr>
            <w:tcW w:w="498" w:type="pct"/>
          </w:tcPr>
          <w:p w14:paraId="065E3FAC"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28</w:t>
            </w:r>
          </w:p>
        </w:tc>
        <w:tc>
          <w:tcPr>
            <w:tcW w:w="498" w:type="pct"/>
          </w:tcPr>
          <w:p w14:paraId="68BD6E6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23</w:t>
            </w:r>
          </w:p>
        </w:tc>
      </w:tr>
      <w:tr w:rsidR="00C90867" w:rsidRPr="00C201F7" w14:paraId="0059973D" w14:textId="77777777" w:rsidTr="00987035">
        <w:tc>
          <w:tcPr>
            <w:tcW w:w="432" w:type="pct"/>
            <w:shd w:val="clear" w:color="auto" w:fill="F2F2F2" w:themeFill="background1" w:themeFillShade="F2"/>
          </w:tcPr>
          <w:p w14:paraId="67C4888B"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100</w:t>
            </w:r>
          </w:p>
        </w:tc>
        <w:tc>
          <w:tcPr>
            <w:tcW w:w="587" w:type="pct"/>
          </w:tcPr>
          <w:p w14:paraId="79B73BA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43</w:t>
            </w:r>
          </w:p>
        </w:tc>
        <w:tc>
          <w:tcPr>
            <w:tcW w:w="498" w:type="pct"/>
          </w:tcPr>
          <w:p w14:paraId="0578328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42</w:t>
            </w:r>
          </w:p>
        </w:tc>
        <w:tc>
          <w:tcPr>
            <w:tcW w:w="498" w:type="pct"/>
          </w:tcPr>
          <w:p w14:paraId="6F3691F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39</w:t>
            </w:r>
          </w:p>
        </w:tc>
        <w:tc>
          <w:tcPr>
            <w:tcW w:w="498" w:type="pct"/>
          </w:tcPr>
          <w:p w14:paraId="1B89E04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37</w:t>
            </w:r>
          </w:p>
        </w:tc>
        <w:tc>
          <w:tcPr>
            <w:tcW w:w="498" w:type="pct"/>
          </w:tcPr>
          <w:p w14:paraId="136D1AD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32</w:t>
            </w:r>
          </w:p>
        </w:tc>
        <w:tc>
          <w:tcPr>
            <w:tcW w:w="498" w:type="pct"/>
          </w:tcPr>
          <w:p w14:paraId="5BAAB1C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30</w:t>
            </w:r>
          </w:p>
        </w:tc>
        <w:tc>
          <w:tcPr>
            <w:tcW w:w="498" w:type="pct"/>
          </w:tcPr>
          <w:p w14:paraId="3E72B75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27</w:t>
            </w:r>
          </w:p>
        </w:tc>
        <w:tc>
          <w:tcPr>
            <w:tcW w:w="498" w:type="pct"/>
          </w:tcPr>
          <w:p w14:paraId="51F0909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23</w:t>
            </w:r>
          </w:p>
        </w:tc>
        <w:tc>
          <w:tcPr>
            <w:tcW w:w="498" w:type="pct"/>
          </w:tcPr>
          <w:p w14:paraId="14E7169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w:t>
            </w:r>
          </w:p>
        </w:tc>
      </w:tr>
      <w:tr w:rsidR="00C90867" w:rsidRPr="00C201F7" w14:paraId="21EE2B08" w14:textId="77777777" w:rsidTr="00987035">
        <w:tc>
          <w:tcPr>
            <w:tcW w:w="432" w:type="pct"/>
            <w:shd w:val="clear" w:color="auto" w:fill="F2F2F2" w:themeFill="background1" w:themeFillShade="F2"/>
          </w:tcPr>
          <w:p w14:paraId="080BBB7B"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80</w:t>
            </w:r>
          </w:p>
        </w:tc>
        <w:tc>
          <w:tcPr>
            <w:tcW w:w="587" w:type="pct"/>
          </w:tcPr>
          <w:p w14:paraId="452419A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40</w:t>
            </w:r>
          </w:p>
        </w:tc>
        <w:tc>
          <w:tcPr>
            <w:tcW w:w="498" w:type="pct"/>
          </w:tcPr>
          <w:p w14:paraId="14F80355"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38</w:t>
            </w:r>
          </w:p>
        </w:tc>
        <w:tc>
          <w:tcPr>
            <w:tcW w:w="498" w:type="pct"/>
          </w:tcPr>
          <w:p w14:paraId="09A493D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36</w:t>
            </w:r>
          </w:p>
        </w:tc>
        <w:tc>
          <w:tcPr>
            <w:tcW w:w="498" w:type="pct"/>
          </w:tcPr>
          <w:p w14:paraId="09C98A2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33</w:t>
            </w:r>
          </w:p>
        </w:tc>
        <w:tc>
          <w:tcPr>
            <w:tcW w:w="498" w:type="pct"/>
          </w:tcPr>
          <w:p w14:paraId="13C5161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29</w:t>
            </w:r>
          </w:p>
        </w:tc>
        <w:tc>
          <w:tcPr>
            <w:tcW w:w="498" w:type="pct"/>
          </w:tcPr>
          <w:p w14:paraId="0AEC4A3E"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27</w:t>
            </w:r>
          </w:p>
        </w:tc>
        <w:tc>
          <w:tcPr>
            <w:tcW w:w="498" w:type="pct"/>
          </w:tcPr>
          <w:p w14:paraId="25E8EB9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25</w:t>
            </w:r>
          </w:p>
        </w:tc>
        <w:tc>
          <w:tcPr>
            <w:tcW w:w="498" w:type="pct"/>
          </w:tcPr>
          <w:p w14:paraId="73A3BDA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21</w:t>
            </w:r>
          </w:p>
        </w:tc>
        <w:tc>
          <w:tcPr>
            <w:tcW w:w="498" w:type="pct"/>
          </w:tcPr>
          <w:p w14:paraId="6BAE89E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16</w:t>
            </w:r>
          </w:p>
        </w:tc>
      </w:tr>
      <w:tr w:rsidR="00C90867" w:rsidRPr="00C201F7" w14:paraId="70DE372E" w14:textId="77777777" w:rsidTr="00987035">
        <w:tc>
          <w:tcPr>
            <w:tcW w:w="432" w:type="pct"/>
            <w:shd w:val="clear" w:color="auto" w:fill="F2F2F2" w:themeFill="background1" w:themeFillShade="F2"/>
          </w:tcPr>
          <w:p w14:paraId="48F594F8"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65</w:t>
            </w:r>
          </w:p>
        </w:tc>
        <w:tc>
          <w:tcPr>
            <w:tcW w:w="587" w:type="pct"/>
          </w:tcPr>
          <w:p w14:paraId="1060B76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37</w:t>
            </w:r>
          </w:p>
        </w:tc>
        <w:tc>
          <w:tcPr>
            <w:tcW w:w="498" w:type="pct"/>
          </w:tcPr>
          <w:p w14:paraId="6967AA1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36</w:t>
            </w:r>
          </w:p>
        </w:tc>
        <w:tc>
          <w:tcPr>
            <w:tcW w:w="498" w:type="pct"/>
          </w:tcPr>
          <w:p w14:paraId="48F490B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34</w:t>
            </w:r>
          </w:p>
        </w:tc>
        <w:tc>
          <w:tcPr>
            <w:tcW w:w="498" w:type="pct"/>
          </w:tcPr>
          <w:p w14:paraId="695F9E7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31</w:t>
            </w:r>
          </w:p>
        </w:tc>
        <w:tc>
          <w:tcPr>
            <w:tcW w:w="498" w:type="pct"/>
          </w:tcPr>
          <w:p w14:paraId="144EC546"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26</w:t>
            </w:r>
          </w:p>
        </w:tc>
        <w:tc>
          <w:tcPr>
            <w:tcW w:w="498" w:type="pct"/>
          </w:tcPr>
          <w:p w14:paraId="2CF2CEF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25</w:t>
            </w:r>
          </w:p>
        </w:tc>
        <w:tc>
          <w:tcPr>
            <w:tcW w:w="498" w:type="pct"/>
          </w:tcPr>
          <w:p w14:paraId="79F9DC7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22</w:t>
            </w:r>
          </w:p>
        </w:tc>
        <w:tc>
          <w:tcPr>
            <w:tcW w:w="498" w:type="pct"/>
          </w:tcPr>
          <w:p w14:paraId="018B0D0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18</w:t>
            </w:r>
          </w:p>
        </w:tc>
        <w:tc>
          <w:tcPr>
            <w:tcW w:w="498" w:type="pct"/>
          </w:tcPr>
          <w:p w14:paraId="4E7EC87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14</w:t>
            </w:r>
          </w:p>
        </w:tc>
      </w:tr>
      <w:tr w:rsidR="00C90867" w:rsidRPr="00C201F7" w14:paraId="1853342A" w14:textId="77777777" w:rsidTr="00987035">
        <w:tc>
          <w:tcPr>
            <w:tcW w:w="432" w:type="pct"/>
            <w:shd w:val="clear" w:color="auto" w:fill="F2F2F2" w:themeFill="background1" w:themeFillShade="F2"/>
          </w:tcPr>
          <w:p w14:paraId="17F7C7DD"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50</w:t>
            </w:r>
          </w:p>
        </w:tc>
        <w:tc>
          <w:tcPr>
            <w:tcW w:w="587" w:type="pct"/>
          </w:tcPr>
          <w:p w14:paraId="17BB2F59"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34</w:t>
            </w:r>
          </w:p>
        </w:tc>
        <w:tc>
          <w:tcPr>
            <w:tcW w:w="498" w:type="pct"/>
          </w:tcPr>
          <w:p w14:paraId="03141671"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33</w:t>
            </w:r>
          </w:p>
        </w:tc>
        <w:tc>
          <w:tcPr>
            <w:tcW w:w="498" w:type="pct"/>
          </w:tcPr>
          <w:p w14:paraId="34ADADD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30</w:t>
            </w:r>
          </w:p>
        </w:tc>
        <w:tc>
          <w:tcPr>
            <w:tcW w:w="498" w:type="pct"/>
          </w:tcPr>
          <w:p w14:paraId="05F3D5B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28</w:t>
            </w:r>
          </w:p>
        </w:tc>
        <w:tc>
          <w:tcPr>
            <w:tcW w:w="498" w:type="pct"/>
          </w:tcPr>
          <w:p w14:paraId="7659F96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23</w:t>
            </w:r>
          </w:p>
        </w:tc>
        <w:tc>
          <w:tcPr>
            <w:tcW w:w="498" w:type="pct"/>
          </w:tcPr>
          <w:p w14:paraId="74C212A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22</w:t>
            </w:r>
          </w:p>
        </w:tc>
        <w:tc>
          <w:tcPr>
            <w:tcW w:w="498" w:type="pct"/>
          </w:tcPr>
          <w:p w14:paraId="54516A1A"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19</w:t>
            </w:r>
          </w:p>
        </w:tc>
        <w:tc>
          <w:tcPr>
            <w:tcW w:w="498" w:type="pct"/>
          </w:tcPr>
          <w:p w14:paraId="5260498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w:t>
            </w:r>
          </w:p>
        </w:tc>
        <w:tc>
          <w:tcPr>
            <w:tcW w:w="498" w:type="pct"/>
          </w:tcPr>
          <w:p w14:paraId="52F190F7"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12</w:t>
            </w:r>
          </w:p>
        </w:tc>
      </w:tr>
      <w:tr w:rsidR="00C90867" w:rsidRPr="00C201F7" w14:paraId="32FD7D43" w14:textId="77777777" w:rsidTr="00987035">
        <w:tc>
          <w:tcPr>
            <w:tcW w:w="432" w:type="pct"/>
            <w:shd w:val="clear" w:color="auto" w:fill="F2F2F2" w:themeFill="background1" w:themeFillShade="F2"/>
          </w:tcPr>
          <w:p w14:paraId="4B050054" w14:textId="77777777" w:rsidR="00C90867" w:rsidRPr="00C201F7" w:rsidRDefault="00C90867" w:rsidP="00C90867">
            <w:pPr>
              <w:keepNext/>
              <w:keepLines/>
              <w:rPr>
                <w:rFonts w:eastAsia="ヒラギノ角ゴ Pro W3"/>
                <w:color w:val="000000"/>
                <w:szCs w:val="22"/>
              </w:rPr>
            </w:pPr>
            <w:r w:rsidRPr="00C201F7">
              <w:rPr>
                <w:rFonts w:eastAsia="ヒラギノ角ゴ Pro W3"/>
                <w:color w:val="000000"/>
                <w:szCs w:val="22"/>
              </w:rPr>
              <w:t>35</w:t>
            </w:r>
          </w:p>
        </w:tc>
        <w:tc>
          <w:tcPr>
            <w:tcW w:w="587" w:type="pct"/>
          </w:tcPr>
          <w:p w14:paraId="19EA84E3"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29</w:t>
            </w:r>
          </w:p>
        </w:tc>
        <w:tc>
          <w:tcPr>
            <w:tcW w:w="498" w:type="pct"/>
          </w:tcPr>
          <w:p w14:paraId="54F8C14B"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28</w:t>
            </w:r>
          </w:p>
        </w:tc>
        <w:tc>
          <w:tcPr>
            <w:tcW w:w="498" w:type="pct"/>
          </w:tcPr>
          <w:p w14:paraId="661C495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26</w:t>
            </w:r>
          </w:p>
        </w:tc>
        <w:tc>
          <w:tcPr>
            <w:tcW w:w="498" w:type="pct"/>
          </w:tcPr>
          <w:p w14:paraId="66375CEF"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23</w:t>
            </w:r>
          </w:p>
        </w:tc>
        <w:tc>
          <w:tcPr>
            <w:tcW w:w="498" w:type="pct"/>
          </w:tcPr>
          <w:p w14:paraId="74F52918"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19</w:t>
            </w:r>
          </w:p>
        </w:tc>
        <w:tc>
          <w:tcPr>
            <w:tcW w:w="498" w:type="pct"/>
          </w:tcPr>
          <w:p w14:paraId="7C36699D"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17</w:t>
            </w:r>
          </w:p>
        </w:tc>
        <w:tc>
          <w:tcPr>
            <w:tcW w:w="498" w:type="pct"/>
          </w:tcPr>
          <w:p w14:paraId="4E7E9B74"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15</w:t>
            </w:r>
          </w:p>
        </w:tc>
        <w:tc>
          <w:tcPr>
            <w:tcW w:w="498" w:type="pct"/>
          </w:tcPr>
          <w:p w14:paraId="6A1E8EE0"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13</w:t>
            </w:r>
          </w:p>
        </w:tc>
        <w:tc>
          <w:tcPr>
            <w:tcW w:w="498" w:type="pct"/>
          </w:tcPr>
          <w:p w14:paraId="315C0A22" w14:textId="77777777" w:rsidR="00C90867" w:rsidRPr="00C201F7" w:rsidRDefault="00C90867" w:rsidP="00C90867">
            <w:pPr>
              <w:keepNext/>
              <w:keepLines/>
              <w:jc w:val="center"/>
              <w:rPr>
                <w:rFonts w:eastAsia="ヒラギノ角ゴ Pro W3"/>
                <w:color w:val="000000"/>
                <w:szCs w:val="22"/>
              </w:rPr>
            </w:pPr>
            <w:r w:rsidRPr="00C201F7">
              <w:rPr>
                <w:rFonts w:eastAsia="ヒラギノ角ゴ Pro W3"/>
                <w:color w:val="000000"/>
                <w:szCs w:val="22"/>
              </w:rPr>
              <w:t>10</w:t>
            </w:r>
          </w:p>
        </w:tc>
      </w:tr>
    </w:tbl>
    <w:p w14:paraId="41BB550C" w14:textId="77777777" w:rsidR="00C90867" w:rsidRPr="00C201F7" w:rsidRDefault="00C90867" w:rsidP="00C90867">
      <w:pPr>
        <w:keepNext/>
        <w:keepLines/>
        <w:spacing w:before="120"/>
        <w:jc w:val="center"/>
        <w:rPr>
          <w:rFonts w:eastAsia="ヒラギノ角ゴ Pro W3"/>
          <w:color w:val="000000"/>
          <w:szCs w:val="22"/>
        </w:rPr>
      </w:pPr>
      <w:bookmarkStart w:id="1142" w:name="Table74_13"/>
      <w:bookmarkStart w:id="1143" w:name="_Ref392079100"/>
      <w:r w:rsidRPr="00C201F7">
        <w:rPr>
          <w:rFonts w:eastAsia="ヒラギノ角ゴ Pro W3"/>
          <w:color w:val="000000"/>
          <w:szCs w:val="22"/>
        </w:rPr>
        <w:t xml:space="preserve">Table </w:t>
      </w:r>
      <w:r w:rsidR="00317F0B" w:rsidRPr="00C201F7">
        <w:rPr>
          <w:rFonts w:eastAsia="ヒラギノ角ゴ Pro W3"/>
          <w:color w:val="000000"/>
          <w:szCs w:val="22"/>
        </w:rPr>
        <w:fldChar w:fldCharType="begin"/>
      </w:r>
      <w:r w:rsidR="00317F0B" w:rsidRPr="00C201F7">
        <w:rPr>
          <w:rFonts w:eastAsia="ヒラギノ角ゴ Pro W3"/>
          <w:color w:val="000000"/>
          <w:szCs w:val="22"/>
        </w:rPr>
        <w:instrText xml:space="preserve"> SEQ Table74 \* MERGEFORMAT </w:instrText>
      </w:r>
      <w:r w:rsidR="00317F0B" w:rsidRPr="00C201F7">
        <w:rPr>
          <w:rFonts w:eastAsia="ヒラギノ角ゴ Pro W3"/>
          <w:color w:val="000000"/>
          <w:szCs w:val="22"/>
        </w:rPr>
        <w:fldChar w:fldCharType="separate"/>
      </w:r>
      <w:r w:rsidR="00656F50">
        <w:rPr>
          <w:rFonts w:eastAsia="ヒラギノ角ゴ Pro W3"/>
          <w:noProof/>
          <w:color w:val="000000"/>
          <w:szCs w:val="22"/>
        </w:rPr>
        <w:t>13</w:t>
      </w:r>
      <w:r w:rsidR="00317F0B" w:rsidRPr="00C201F7">
        <w:rPr>
          <w:rFonts w:eastAsia="ヒラギノ角ゴ Pro W3"/>
          <w:color w:val="000000"/>
          <w:szCs w:val="22"/>
        </w:rPr>
        <w:fldChar w:fldCharType="end"/>
      </w:r>
      <w:bookmarkEnd w:id="1142"/>
      <w:bookmarkEnd w:id="1143"/>
      <w:r w:rsidRPr="00C201F7">
        <w:rPr>
          <w:rFonts w:eastAsia="ヒラギノ角ゴ Pro W3"/>
          <w:color w:val="000000"/>
          <w:szCs w:val="22"/>
        </w:rPr>
        <w:t>.  Culling distances (in km) from DTV noise-limited</w:t>
      </w:r>
      <w:r w:rsidR="00022AB3">
        <w:rPr>
          <w:rFonts w:eastAsia="ヒラギノ角ゴ Pro W3"/>
          <w:color w:val="000000"/>
          <w:szCs w:val="22"/>
        </w:rPr>
        <w:t xml:space="preserve"> or protected</w:t>
      </w:r>
      <w:r w:rsidRPr="00C201F7">
        <w:rPr>
          <w:rFonts w:eastAsia="ヒラギノ角ゴ Pro W3"/>
          <w:color w:val="000000"/>
          <w:szCs w:val="22"/>
        </w:rPr>
        <w:t xml:space="preserve"> contour (spectral overlap &lt; 0, ≥ -5 MHz)</w:t>
      </w:r>
    </w:p>
    <w:p w14:paraId="4ABA81CE" w14:textId="77777777" w:rsidR="00C90867" w:rsidRPr="00C201F7" w:rsidRDefault="00C90867" w:rsidP="00C90867">
      <w:pPr>
        <w:rPr>
          <w:rFonts w:eastAsia="ヒラギノ角ゴ Pro W3"/>
          <w:color w:val="000000"/>
          <w:szCs w:val="22"/>
        </w:rPr>
      </w:pPr>
    </w:p>
    <w:p w14:paraId="70128A82" w14:textId="77777777" w:rsidR="00C90867" w:rsidRPr="00C201F7" w:rsidRDefault="00C90867" w:rsidP="00D50682">
      <w:pPr>
        <w:pStyle w:val="Heading2"/>
        <w:rPr>
          <w:rFonts w:eastAsiaTheme="majorEastAsia"/>
        </w:rPr>
      </w:pPr>
      <w:bookmarkStart w:id="1144" w:name="_Toc396982118"/>
      <w:bookmarkStart w:id="1145" w:name="_Toc397609558"/>
      <w:bookmarkStart w:id="1146" w:name="_Toc397610986"/>
      <w:bookmarkStart w:id="1147" w:name="_Toc397962856"/>
      <w:bookmarkStart w:id="1148" w:name="_Toc398023627"/>
      <w:bookmarkStart w:id="1149" w:name="_Toc398903020"/>
      <w:bookmarkStart w:id="1150" w:name="_Toc398903343"/>
      <w:bookmarkStart w:id="1151" w:name="_Toc398903532"/>
      <w:bookmarkStart w:id="1152" w:name="_Toc398904129"/>
      <w:bookmarkStart w:id="1153" w:name="_Toc398904637"/>
      <w:bookmarkStart w:id="1154" w:name="_Toc401305997"/>
      <w:bookmarkStart w:id="1155" w:name="_Toc401306673"/>
      <w:bookmarkStart w:id="1156" w:name="_Toc401306742"/>
      <w:r w:rsidRPr="00C201F7">
        <w:rPr>
          <w:rFonts w:eastAsiaTheme="majorEastAsia"/>
        </w:rPr>
        <w:t>Engineering Databases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00D92EEF" w14:textId="4FE0292E" w:rsidR="00D50682" w:rsidRDefault="00C90867" w:rsidP="00D50682">
      <w:pPr>
        <w:ind w:firstLine="720"/>
        <w:rPr>
          <w:rFonts w:eastAsia="ヒラギノ角ゴ Pro W3"/>
          <w:color w:val="000000"/>
          <w:szCs w:val="22"/>
        </w:rPr>
        <w:sectPr w:rsidR="00D50682" w:rsidSect="00987035">
          <w:footnotePr>
            <w:numRestart w:val="eachSect"/>
          </w:footnotePr>
          <w:endnotePr>
            <w:numFmt w:val="decimal"/>
          </w:endnotePr>
          <w:pgSz w:w="12240" w:h="15840"/>
          <w:pgMar w:top="1440" w:right="1440" w:bottom="720" w:left="1440" w:header="720" w:footer="720" w:gutter="0"/>
          <w:cols w:space="720"/>
          <w:noEndnote/>
          <w:titlePg/>
          <w:docGrid w:linePitch="299"/>
        </w:sectPr>
      </w:pPr>
      <w:r w:rsidRPr="00C201F7">
        <w:rPr>
          <w:rFonts w:eastAsia="ヒラギノ角ゴ Pro W3"/>
          <w:i/>
          <w:color w:val="000000"/>
          <w:szCs w:val="22"/>
        </w:rPr>
        <w:t>DTV Engineering Data.</w:t>
      </w:r>
      <w:r w:rsidRPr="00C201F7">
        <w:rPr>
          <w:rFonts w:eastAsia="ヒラギノ角ゴ Pro W3"/>
          <w:color w:val="000000"/>
          <w:szCs w:val="22"/>
        </w:rPr>
        <w:t xml:space="preserve">  Engineering data for TV stations in the U.S. (including full-power DTV and Class A) is available from the FCC.  Data for individual stations can be found at </w:t>
      </w:r>
      <w:hyperlink r:id="rId33" w:history="1">
        <w:r w:rsidRPr="00C201F7">
          <w:rPr>
            <w:rFonts w:eastAsia="ヒラギノ角ゴ Pro W3"/>
            <w:color w:val="0000FF"/>
            <w:szCs w:val="22"/>
            <w:u w:val="single"/>
          </w:rPr>
          <w:t>http://www.fcc.gov/mb/video/tvq.html</w:t>
        </w:r>
      </w:hyperlink>
      <w:r w:rsidRPr="00C201F7">
        <w:rPr>
          <w:rFonts w:eastAsia="ヒラギノ角ゴ Pro W3"/>
          <w:color w:val="000000"/>
          <w:szCs w:val="22"/>
        </w:rPr>
        <w:t xml:space="preserve">, and consolidated data for all authorized stations can be found at </w:t>
      </w:r>
      <w:hyperlink r:id="rId34" w:history="1">
        <w:r w:rsidRPr="00C201F7">
          <w:rPr>
            <w:rFonts w:eastAsia="ヒラギノ角ゴ Pro W3"/>
            <w:color w:val="0000FF"/>
            <w:szCs w:val="22"/>
            <w:u w:val="single"/>
          </w:rPr>
          <w:t>ftp://ftp.fcc.gov/pub/Bureaus/MB/Databases/cdbs/</w:t>
        </w:r>
      </w:hyperlink>
      <w:r w:rsidRPr="00C201F7">
        <w:rPr>
          <w:rFonts w:eastAsia="ヒラギノ角ゴ Pro W3"/>
          <w:color w:val="000000"/>
          <w:szCs w:val="22"/>
        </w:rPr>
        <w:t>.  Where more than one authorization exists for a particular station, the record associated with the facility actually operating shall be used.  Where specific elevation pattern data are not provided in the engineering data, a generic elevation pattern may be used as described generally in OET Bulletin No. 69 or in the rules.</w:t>
      </w:r>
      <w:r w:rsidRPr="00C201F7">
        <w:rPr>
          <w:rFonts w:eastAsia="ヒラギノ角ゴ Pro W3"/>
          <w:szCs w:val="22"/>
          <w:vertAlign w:val="superscript"/>
        </w:rPr>
        <w:footnoteReference w:id="328"/>
      </w:r>
      <w:r w:rsidRPr="00C201F7">
        <w:rPr>
          <w:rFonts w:eastAsia="ヒラギノ角ゴ Pro W3"/>
          <w:color w:val="000000"/>
          <w:szCs w:val="22"/>
        </w:rPr>
        <w:t xml:space="preserve">  The generic elevation pattern should, however, be offset by the amount of electrical beam tilt specified in the CDBS.</w:t>
      </w:r>
    </w:p>
    <w:p w14:paraId="7C45B708" w14:textId="26EA45C4" w:rsidR="00E43935" w:rsidRDefault="001E6416" w:rsidP="00D50682">
      <w:pPr>
        <w:ind w:firstLine="720"/>
        <w:jc w:val="center"/>
        <w:rPr>
          <w:b/>
        </w:rPr>
      </w:pPr>
      <w:r w:rsidRPr="006A744E">
        <w:rPr>
          <w:b/>
        </w:rPr>
        <w:t xml:space="preserve">APPENDIX </w:t>
      </w:r>
      <w:r>
        <w:rPr>
          <w:b/>
        </w:rPr>
        <w:t>F</w:t>
      </w:r>
    </w:p>
    <w:p w14:paraId="1C1C7718" w14:textId="77777777" w:rsidR="00E43935" w:rsidRDefault="00E43935" w:rsidP="001E6416">
      <w:pPr>
        <w:jc w:val="center"/>
        <w:rPr>
          <w:b/>
        </w:rPr>
      </w:pPr>
    </w:p>
    <w:p w14:paraId="70822BD8" w14:textId="3D7BD84E" w:rsidR="001E6416" w:rsidRPr="006A744E" w:rsidRDefault="001E6416" w:rsidP="001E6416">
      <w:pPr>
        <w:jc w:val="center"/>
        <w:rPr>
          <w:b/>
        </w:rPr>
      </w:pPr>
      <w:r w:rsidRPr="006A744E">
        <w:rPr>
          <w:b/>
        </w:rPr>
        <w:t xml:space="preserve"> FINAL REGULATORY FLEXIBILITY ANALYSIS</w:t>
      </w:r>
    </w:p>
    <w:p w14:paraId="4CD8F14F" w14:textId="77777777" w:rsidR="001E6416" w:rsidRDefault="001E6416" w:rsidP="001E6416">
      <w:pPr>
        <w:widowControl/>
        <w:autoSpaceDE w:val="0"/>
        <w:autoSpaceDN w:val="0"/>
        <w:adjustRightInd w:val="0"/>
      </w:pPr>
    </w:p>
    <w:p w14:paraId="39AE36A5" w14:textId="77777777" w:rsidR="001E6416" w:rsidRDefault="001E6416" w:rsidP="00EE61F6">
      <w:pPr>
        <w:pStyle w:val="ParaNum"/>
        <w:numPr>
          <w:ilvl w:val="0"/>
          <w:numId w:val="12"/>
        </w:numPr>
        <w:snapToGrid w:val="0"/>
        <w:spacing w:after="220"/>
        <w:ind w:left="0"/>
        <w:jc w:val="both"/>
      </w:pPr>
      <w:r>
        <w:t>As required by the Regulatory Flexibility Act of 1980, as amended (RFA),</w:t>
      </w:r>
      <w:r>
        <w:rPr>
          <w:vertAlign w:val="superscript"/>
        </w:rPr>
        <w:footnoteReference w:id="329"/>
      </w:r>
      <w:r>
        <w:t xml:space="preserve"> an Initial Regulatory Flexibility Analysis (IRFA) was incorporated in the </w:t>
      </w:r>
      <w:r>
        <w:rPr>
          <w:i/>
        </w:rPr>
        <w:t>Notice of Proposed Rulemaking (NPRM</w:t>
      </w:r>
      <w:r>
        <w:t>) in ET Docket No. 12-268.</w:t>
      </w:r>
      <w:r>
        <w:rPr>
          <w:rStyle w:val="FootnoteReference"/>
        </w:rPr>
        <w:footnoteReference w:id="330"/>
      </w:r>
      <w:r>
        <w:t xml:space="preserve">  The Commission sought written public comment on the proposals in the </w:t>
      </w:r>
      <w:r>
        <w:rPr>
          <w:i/>
        </w:rPr>
        <w:t>NPRM</w:t>
      </w:r>
      <w:r>
        <w:t>, including comment on the IRFA.</w:t>
      </w:r>
      <w:r>
        <w:rPr>
          <w:rStyle w:val="FootnoteReference"/>
        </w:rPr>
        <w:footnoteReference w:id="331"/>
      </w:r>
      <w:r>
        <w:t xml:space="preserve">  This present Final Regulatory Flexibility Analysis (FRFA) conforms to the RFA.</w:t>
      </w:r>
      <w:r>
        <w:rPr>
          <w:vertAlign w:val="superscript"/>
        </w:rPr>
        <w:footnoteReference w:id="332"/>
      </w:r>
    </w:p>
    <w:p w14:paraId="6B7334B3" w14:textId="77777777" w:rsidR="001E6416" w:rsidRPr="0073743A" w:rsidRDefault="001E6416" w:rsidP="00D50682">
      <w:pPr>
        <w:pStyle w:val="Heading2"/>
        <w:numPr>
          <w:ilvl w:val="1"/>
          <w:numId w:val="33"/>
        </w:numPr>
      </w:pPr>
      <w:bookmarkStart w:id="1157" w:name="_Toc398903021"/>
      <w:bookmarkStart w:id="1158" w:name="_Toc398903344"/>
      <w:bookmarkStart w:id="1159" w:name="_Toc398903533"/>
      <w:bookmarkStart w:id="1160" w:name="_Toc398904130"/>
      <w:bookmarkStart w:id="1161" w:name="_Toc398904638"/>
      <w:bookmarkStart w:id="1162" w:name="_Toc401305998"/>
      <w:bookmarkStart w:id="1163" w:name="_Toc401306674"/>
      <w:bookmarkStart w:id="1164" w:name="_Toc401306743"/>
      <w:r w:rsidRPr="0073743A">
        <w:t xml:space="preserve">Need for, and Objective of, the </w:t>
      </w:r>
      <w:r w:rsidRPr="00D50682">
        <w:rPr>
          <w:i/>
        </w:rPr>
        <w:t>Second Report &amp; Order</w:t>
      </w:r>
      <w:r w:rsidRPr="0073743A">
        <w:t>.</w:t>
      </w:r>
      <w:bookmarkEnd w:id="1157"/>
      <w:bookmarkEnd w:id="1158"/>
      <w:bookmarkEnd w:id="1159"/>
      <w:bookmarkEnd w:id="1160"/>
      <w:bookmarkEnd w:id="1161"/>
      <w:bookmarkEnd w:id="1162"/>
      <w:bookmarkEnd w:id="1163"/>
      <w:bookmarkEnd w:id="1164"/>
    </w:p>
    <w:p w14:paraId="3DB9B249" w14:textId="77777777" w:rsidR="001E6416" w:rsidRPr="00F07005" w:rsidRDefault="001E6416" w:rsidP="00EE61F6">
      <w:pPr>
        <w:pStyle w:val="ParaNum"/>
        <w:numPr>
          <w:ilvl w:val="0"/>
          <w:numId w:val="12"/>
        </w:numPr>
        <w:snapToGrid w:val="0"/>
        <w:spacing w:after="220"/>
        <w:ind w:left="0"/>
        <w:jc w:val="both"/>
      </w:pPr>
      <w:r>
        <w:t xml:space="preserve">In this </w:t>
      </w:r>
      <w:r w:rsidRPr="0094519D">
        <w:rPr>
          <w:i/>
        </w:rPr>
        <w:t xml:space="preserve">Second Report </w:t>
      </w:r>
      <w:r>
        <w:rPr>
          <w:i/>
        </w:rPr>
        <w:t xml:space="preserve">&amp; </w:t>
      </w:r>
      <w:r w:rsidRPr="0094519D">
        <w:rPr>
          <w:i/>
        </w:rPr>
        <w:t>Order</w:t>
      </w:r>
      <w:r>
        <w:t xml:space="preserve">, the Commission </w:t>
      </w:r>
      <w:r w:rsidRPr="00F07005">
        <w:t>address</w:t>
      </w:r>
      <w:r>
        <w:t>es</w:t>
      </w:r>
      <w:r w:rsidRPr="00F07005">
        <w:t xml:space="preserve"> several outstanding issues</w:t>
      </w:r>
      <w:r>
        <w:t xml:space="preserve"> related to the</w:t>
      </w:r>
      <w:r w:rsidRPr="00F07005">
        <w:t xml:space="preserve"> </w:t>
      </w:r>
      <w:r w:rsidRPr="00F07005">
        <w:rPr>
          <w:i/>
        </w:rPr>
        <w:t>Incentive Auction R&amp;O</w:t>
      </w:r>
      <w:r w:rsidRPr="00F07005">
        <w:t>.</w:t>
      </w:r>
      <w:r w:rsidRPr="00F07005">
        <w:rPr>
          <w:sz w:val="20"/>
          <w:vertAlign w:val="superscript"/>
        </w:rPr>
        <w:footnoteReference w:id="333"/>
      </w:r>
      <w:r w:rsidRPr="00F07005">
        <w:t xml:space="preserve">  </w:t>
      </w:r>
      <w:r w:rsidRPr="005B4C0E">
        <w:t>First, we address and reject proposals for additional limits on any new interference between television</w:t>
      </w:r>
      <w:r w:rsidRPr="00F07005">
        <w:t xml:space="preserve"> stations as result of the repacking process.</w:t>
      </w:r>
      <w:r w:rsidRPr="00F07005">
        <w:rPr>
          <w:sz w:val="20"/>
          <w:vertAlign w:val="superscript"/>
        </w:rPr>
        <w:footnoteReference w:id="334"/>
      </w:r>
      <w:r w:rsidRPr="00F07005">
        <w:t xml:space="preserve">  Second, we establish a methodology and </w:t>
      </w:r>
      <w:r>
        <w:t xml:space="preserve">the associated </w:t>
      </w:r>
      <w:r w:rsidRPr="00F07005">
        <w:t>input values to predict inter-service interference between television and wireless services in certain areas for use during the incentive auction</w:t>
      </w:r>
      <w:r>
        <w:t xml:space="preserve"> (ISIX Methodology)</w:t>
      </w:r>
      <w:r w:rsidRPr="00F07005">
        <w:t>.</w:t>
      </w:r>
      <w:r w:rsidRPr="00F07005">
        <w:rPr>
          <w:sz w:val="20"/>
          <w:vertAlign w:val="superscript"/>
        </w:rPr>
        <w:footnoteReference w:id="335"/>
      </w:r>
      <w:r w:rsidRPr="00F07005">
        <w:t xml:space="preserve">  </w:t>
      </w:r>
    </w:p>
    <w:p w14:paraId="17F96CB8" w14:textId="77777777" w:rsidR="001E6416" w:rsidRDefault="001E6416" w:rsidP="00D50682">
      <w:pPr>
        <w:pStyle w:val="Heading2"/>
      </w:pPr>
      <w:bookmarkStart w:id="1165" w:name="_Toc398903022"/>
      <w:bookmarkStart w:id="1166" w:name="_Toc398903345"/>
      <w:bookmarkStart w:id="1167" w:name="_Toc398903534"/>
      <w:bookmarkStart w:id="1168" w:name="_Toc398904131"/>
      <w:bookmarkStart w:id="1169" w:name="_Toc398904639"/>
      <w:bookmarkStart w:id="1170" w:name="_Toc401305999"/>
      <w:bookmarkStart w:id="1171" w:name="_Toc401306675"/>
      <w:bookmarkStart w:id="1172" w:name="_Toc401306744"/>
      <w:r>
        <w:t>Summary of Significant Issues Raised by Public Comments in Response to the IRFA.</w:t>
      </w:r>
      <w:bookmarkEnd w:id="1165"/>
      <w:bookmarkEnd w:id="1166"/>
      <w:bookmarkEnd w:id="1167"/>
      <w:bookmarkEnd w:id="1168"/>
      <w:bookmarkEnd w:id="1169"/>
      <w:bookmarkEnd w:id="1170"/>
      <w:bookmarkEnd w:id="1171"/>
      <w:bookmarkEnd w:id="1172"/>
    </w:p>
    <w:p w14:paraId="56CC8C49" w14:textId="77777777" w:rsidR="001E6416" w:rsidRPr="00653DEF" w:rsidRDefault="001E6416" w:rsidP="00EE61F6">
      <w:pPr>
        <w:pStyle w:val="ParaNum"/>
        <w:numPr>
          <w:ilvl w:val="0"/>
          <w:numId w:val="12"/>
        </w:numPr>
        <w:snapToGrid w:val="0"/>
        <w:spacing w:after="220"/>
        <w:ind w:left="0"/>
        <w:jc w:val="both"/>
      </w:pPr>
      <w:r>
        <w:t xml:space="preserve">No comments were filed in direct response to the IRFA.  </w:t>
      </w:r>
    </w:p>
    <w:p w14:paraId="002EA444" w14:textId="77777777" w:rsidR="001E6416" w:rsidRDefault="001E6416" w:rsidP="005B7381">
      <w:pPr>
        <w:pStyle w:val="Heading2"/>
      </w:pPr>
      <w:bookmarkStart w:id="1173" w:name="_Toc398903023"/>
      <w:bookmarkStart w:id="1174" w:name="_Toc398903346"/>
      <w:bookmarkStart w:id="1175" w:name="_Toc398903535"/>
      <w:bookmarkStart w:id="1176" w:name="_Toc398904132"/>
      <w:bookmarkStart w:id="1177" w:name="_Toc398904640"/>
      <w:bookmarkStart w:id="1178" w:name="_Toc401306000"/>
      <w:bookmarkStart w:id="1179" w:name="_Toc401306676"/>
      <w:bookmarkStart w:id="1180" w:name="_Toc401306745"/>
      <w:r>
        <w:t>Response to Comments by the Chief Counsel for Advocacy of the Small Business Administration.</w:t>
      </w:r>
      <w:bookmarkEnd w:id="1173"/>
      <w:bookmarkEnd w:id="1174"/>
      <w:bookmarkEnd w:id="1175"/>
      <w:bookmarkEnd w:id="1176"/>
      <w:bookmarkEnd w:id="1177"/>
      <w:bookmarkEnd w:id="1178"/>
      <w:bookmarkEnd w:id="1179"/>
      <w:bookmarkEnd w:id="1180"/>
    </w:p>
    <w:p w14:paraId="18606CB8" w14:textId="77777777" w:rsidR="001E6416" w:rsidRDefault="001E6416" w:rsidP="005B7381">
      <w:pPr>
        <w:pStyle w:val="ParaNum"/>
        <w:keepNext/>
        <w:widowControl/>
        <w:numPr>
          <w:ilvl w:val="0"/>
          <w:numId w:val="12"/>
        </w:numPr>
        <w:snapToGrid w:val="0"/>
        <w:spacing w:after="220"/>
        <w:ind w:left="0"/>
        <w:jc w:val="both"/>
      </w:pPr>
      <w: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14:paraId="4637822C" w14:textId="77777777" w:rsidR="001E6416" w:rsidRDefault="001E6416" w:rsidP="00D50682">
      <w:pPr>
        <w:pStyle w:val="Heading2"/>
      </w:pPr>
      <w:bookmarkStart w:id="1181" w:name="_Toc398903024"/>
      <w:bookmarkStart w:id="1182" w:name="_Toc398903347"/>
      <w:bookmarkStart w:id="1183" w:name="_Toc398903536"/>
      <w:bookmarkStart w:id="1184" w:name="_Toc398904133"/>
      <w:bookmarkStart w:id="1185" w:name="_Toc398904641"/>
      <w:bookmarkStart w:id="1186" w:name="_Toc401306001"/>
      <w:bookmarkStart w:id="1187" w:name="_Toc401306677"/>
      <w:bookmarkStart w:id="1188" w:name="_Toc401306746"/>
      <w:r>
        <w:t>Description and Estimate of the Number of Small Entities to Which the Rules Will Apply.</w:t>
      </w:r>
      <w:bookmarkEnd w:id="1181"/>
      <w:bookmarkEnd w:id="1182"/>
      <w:bookmarkEnd w:id="1183"/>
      <w:bookmarkEnd w:id="1184"/>
      <w:bookmarkEnd w:id="1185"/>
      <w:bookmarkEnd w:id="1186"/>
      <w:bookmarkEnd w:id="1187"/>
      <w:bookmarkEnd w:id="1188"/>
    </w:p>
    <w:p w14:paraId="5A89A416" w14:textId="77777777" w:rsidR="001E6416" w:rsidRPr="00CB64D1" w:rsidRDefault="001E6416" w:rsidP="00EE61F6">
      <w:pPr>
        <w:pStyle w:val="ParaNum"/>
        <w:numPr>
          <w:ilvl w:val="0"/>
          <w:numId w:val="12"/>
        </w:numPr>
        <w:snapToGrid w:val="0"/>
        <w:spacing w:after="220"/>
        <w:ind w:left="0"/>
        <w:jc w:val="both"/>
      </w:pPr>
      <w:r>
        <w:t>The RFA directs agencies to provide a description of and, where feasible, an estimate of the number of small entities that may be affected by the proposed rules, if adopted.</w:t>
      </w:r>
      <w:r>
        <w:rPr>
          <w:rStyle w:val="FootnoteReference"/>
        </w:rPr>
        <w:footnoteReference w:id="336"/>
      </w:r>
      <w:r>
        <w:t xml:space="preserve">  The RFA generally defines the term "small entity" as having the same meaning as the terms "small business," "small organization," and "small governmental jurisdiction." In addition, the term "small business" has the same meaning as the term "small business concern" under the Small Business Act.</w:t>
      </w:r>
      <w:r>
        <w:rPr>
          <w:rStyle w:val="FootnoteReference"/>
        </w:rPr>
        <w:footnoteReference w:id="337"/>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338"/>
      </w:r>
    </w:p>
    <w:p w14:paraId="6D68C4B2" w14:textId="6053C841" w:rsidR="001E6416" w:rsidRPr="00F206DB" w:rsidRDefault="001E6416" w:rsidP="00EE61F6">
      <w:pPr>
        <w:pStyle w:val="ParaNum"/>
        <w:numPr>
          <w:ilvl w:val="0"/>
          <w:numId w:val="12"/>
        </w:numPr>
        <w:snapToGrid w:val="0"/>
        <w:spacing w:after="220"/>
        <w:ind w:left="0"/>
        <w:jc w:val="both"/>
      </w:pPr>
      <w:r w:rsidRPr="00F206DB">
        <w:rPr>
          <w:i/>
        </w:rPr>
        <w:t>Television Broadcasting</w:t>
      </w:r>
      <w:r w:rsidRPr="00F206DB">
        <w:t>.  This economic census category “comprises establishments primarily engaged in broadcasting images together with sound.  These establishments operate television broadcasting studios and facilities for the programming and transmission of programs to the public.”</w:t>
      </w:r>
      <w:r w:rsidRPr="00F206DB">
        <w:rPr>
          <w:rStyle w:val="FootnoteReference"/>
        </w:rPr>
        <w:footnoteReference w:id="339"/>
      </w:r>
      <w:r w:rsidRPr="00F206DB">
        <w:t xml:space="preserve">  The SBA has created the following small business size standard for Television Broadcasting firms: those having $</w:t>
      </w:r>
      <w:r w:rsidR="005A679D">
        <w:t>38.5</w:t>
      </w:r>
      <w:r w:rsidRPr="00F206DB">
        <w:t xml:space="preserve"> million or less in annual receipts.</w:t>
      </w:r>
      <w:r w:rsidRPr="00F206DB">
        <w:rPr>
          <w:rStyle w:val="FootnoteReference"/>
        </w:rPr>
        <w:footnoteReference w:id="340"/>
      </w:r>
      <w:r w:rsidRPr="00F206DB">
        <w:t xml:space="preserve">  The Commission has estimated the number of licensed commercial television stations to be 1,388.</w:t>
      </w:r>
      <w:r w:rsidRPr="00F206DB">
        <w:rPr>
          <w:rStyle w:val="FootnoteReference"/>
        </w:rPr>
        <w:footnoteReference w:id="341"/>
      </w:r>
      <w:r w:rsidRPr="00F206DB">
        <w:t xml:space="preserve">  In addition, according to Commission staff review of the BIA Advisory Services, LLC’s </w:t>
      </w:r>
      <w:r w:rsidRPr="00F206DB">
        <w:rPr>
          <w:i/>
        </w:rPr>
        <w:t>Media Access Pro Television Database</w:t>
      </w:r>
      <w:r w:rsidRPr="00F206DB">
        <w:t xml:space="preserve"> on March 28, 2012, about 950 of an estimated 1,300 commercial television stations (or approximately 73 percent) had revenues of $</w:t>
      </w:r>
      <w:r w:rsidR="005A679D">
        <w:t>38.5</w:t>
      </w:r>
      <w:r w:rsidRPr="00F206DB">
        <w:t xml:space="preserve"> million or less.</w:t>
      </w:r>
      <w:r w:rsidRPr="00F206DB">
        <w:rPr>
          <w:rStyle w:val="FootnoteReference"/>
        </w:rPr>
        <w:footnoteReference w:id="342"/>
      </w:r>
      <w:r w:rsidRPr="00F206DB">
        <w:t xml:space="preserve">  We therefore estimate that the majority of commercial television broadcasters are small entities.</w:t>
      </w:r>
    </w:p>
    <w:p w14:paraId="674EBF4C" w14:textId="77777777" w:rsidR="001E6416" w:rsidRPr="00F206DB" w:rsidRDefault="001E6416" w:rsidP="00EE61F6">
      <w:pPr>
        <w:pStyle w:val="ParaNum"/>
        <w:numPr>
          <w:ilvl w:val="0"/>
          <w:numId w:val="12"/>
        </w:numPr>
        <w:snapToGrid w:val="0"/>
        <w:spacing w:after="220"/>
        <w:ind w:left="0"/>
        <w:jc w:val="both"/>
      </w:pPr>
      <w:r w:rsidRPr="00F206DB">
        <w:t>We note, however, that in assessing whether a business concern qualifies as small under the above definition, business (control) affiliations must be included.</w:t>
      </w:r>
      <w:r w:rsidRPr="00F206DB">
        <w:rPr>
          <w:vertAlign w:val="superscript"/>
        </w:rPr>
        <w:footnoteReference w:id="343"/>
      </w:r>
      <w:r w:rsidRPr="00F206DB">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530DB055" w14:textId="77777777" w:rsidR="001E6416" w:rsidRPr="00F206DB" w:rsidRDefault="001E6416" w:rsidP="00EE61F6">
      <w:pPr>
        <w:pStyle w:val="ParaNum"/>
        <w:numPr>
          <w:ilvl w:val="0"/>
          <w:numId w:val="12"/>
        </w:numPr>
        <w:snapToGrid w:val="0"/>
        <w:spacing w:after="220"/>
        <w:ind w:left="0"/>
        <w:jc w:val="both"/>
      </w:pPr>
      <w:r w:rsidRPr="00F206DB">
        <w:t>In addition, the Commission has estimated the number of licensed noncommercial educational (“NCE”) television stations to be 396.</w:t>
      </w:r>
      <w:r w:rsidRPr="00F206DB">
        <w:rPr>
          <w:rStyle w:val="FootnoteReference"/>
        </w:rPr>
        <w:footnoteReference w:id="344"/>
      </w:r>
      <w:r w:rsidRPr="00F206DB">
        <w:t xml:space="preserve">  These stations are non-profit, and therefore considered to be small entities.</w:t>
      </w:r>
      <w:r w:rsidRPr="00F206DB">
        <w:rPr>
          <w:rStyle w:val="FootnoteReference"/>
        </w:rPr>
        <w:footnoteReference w:id="345"/>
      </w:r>
    </w:p>
    <w:p w14:paraId="4F329208" w14:textId="77777777" w:rsidR="001E6416" w:rsidRDefault="001E6416" w:rsidP="00EE61F6">
      <w:pPr>
        <w:pStyle w:val="ParaNum"/>
        <w:numPr>
          <w:ilvl w:val="0"/>
          <w:numId w:val="12"/>
        </w:numPr>
        <w:snapToGrid w:val="0"/>
        <w:spacing w:after="220"/>
        <w:ind w:left="0"/>
        <w:jc w:val="both"/>
      </w:pPr>
      <w:r w:rsidRPr="00F206DB">
        <w:t>There are also 2,414 LPTV stations, including Class A stations, and 4,046 TV translator stations.</w:t>
      </w:r>
      <w:r w:rsidRPr="00F206DB">
        <w:rPr>
          <w:rStyle w:val="FootnoteReference"/>
        </w:rPr>
        <w:footnoteReference w:id="346"/>
      </w:r>
      <w:r w:rsidRPr="00F206DB">
        <w:t xml:space="preserve">  Given the nature of these services, we will presume that all of these entities qualify as small entities under the above SBA small business size standard.</w:t>
      </w:r>
    </w:p>
    <w:p w14:paraId="62191EFC" w14:textId="77777777" w:rsidR="001E6416" w:rsidRPr="00AB0563" w:rsidRDefault="001E6416" w:rsidP="00EE61F6">
      <w:pPr>
        <w:pStyle w:val="ParaNum"/>
        <w:numPr>
          <w:ilvl w:val="0"/>
          <w:numId w:val="12"/>
        </w:numPr>
        <w:snapToGrid w:val="0"/>
        <w:spacing w:after="220"/>
        <w:ind w:left="0"/>
        <w:jc w:val="both"/>
      </w:pPr>
      <w:r w:rsidRPr="00AB0563">
        <w:rPr>
          <w:i/>
        </w:rPr>
        <w:t>Radio and Television Broadcasting and Wireless Communications Equipment Manufacturing.</w:t>
      </w:r>
      <w:r w:rsidRPr="00AB0563">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 The SBA has developed a small business size standard for Radio and Television Broadcasting and Wireless Communications Equipment Manufacturing, which is: all such firms having 750 or fewer employees. According to Census Bureau data for 2007, there were a total of 939 establishments in this category that operated for part or all of the entire year. Of this total, 912 had less than 500 employees and 17 had more than 1000 employees. Thus, under that size standard, the majority of firms can be considered small.</w:t>
      </w:r>
    </w:p>
    <w:p w14:paraId="78C6A0D4" w14:textId="77777777" w:rsidR="001E6416" w:rsidRPr="00726CB4" w:rsidRDefault="001E6416" w:rsidP="00EE61F6">
      <w:pPr>
        <w:pStyle w:val="ParaNum"/>
        <w:numPr>
          <w:ilvl w:val="0"/>
          <w:numId w:val="12"/>
        </w:numPr>
        <w:spacing w:after="220"/>
        <w:ind w:left="0"/>
        <w:jc w:val="both"/>
      </w:pPr>
      <w:r w:rsidRPr="00AB0563">
        <w:rPr>
          <w:i/>
        </w:rPr>
        <w:t>Audio and Video Equipment Manufacturing</w:t>
      </w:r>
      <w:r w:rsidRPr="00AB0563">
        <w:t>. The SBA has classified the manufacturing of audio and video equipment under in NAICS Codes classification scheme as an industry in which a manufacturer is small if it has less than 750 employees.</w:t>
      </w:r>
      <w:r w:rsidRPr="00AB0563">
        <w:rPr>
          <w:vertAlign w:val="superscript"/>
        </w:rPr>
        <w:t xml:space="preserve"> </w:t>
      </w:r>
      <w:r w:rsidRPr="00AB0563">
        <w:t>Data contained in the 2007 U.S. Census indicate that 492 establishments operated in that industry for all or part of that year. In that year, 488 establishments had fewer than 500 employees; and only 1 had more than 1000 employees. Thus, under the applicable size standard, a majority of manufacturers of audio and video equipment may be considered small.</w:t>
      </w:r>
    </w:p>
    <w:p w14:paraId="7714EBCF" w14:textId="77777777" w:rsidR="001E6416" w:rsidRPr="00DC387F" w:rsidRDefault="001E6416" w:rsidP="00EE61F6">
      <w:pPr>
        <w:pStyle w:val="ParaNum"/>
        <w:numPr>
          <w:ilvl w:val="0"/>
          <w:numId w:val="12"/>
        </w:numPr>
        <w:snapToGrid w:val="0"/>
        <w:spacing w:after="220"/>
        <w:ind w:left="0"/>
        <w:jc w:val="both"/>
        <w:rPr>
          <w:color w:val="000000"/>
          <w:spacing w:val="-3"/>
        </w:rPr>
      </w:pPr>
      <w:r w:rsidRPr="00DC387F">
        <w:rPr>
          <w:i/>
          <w:kern w:val="0"/>
        </w:rPr>
        <w:t>Wireless Telecommunications Carriers (except satellite)</w:t>
      </w:r>
      <w:r w:rsidRPr="00DC387F">
        <w:rPr>
          <w:kern w:val="0"/>
        </w:rPr>
        <w:t xml:space="preserve">.  The Census </w:t>
      </w:r>
      <w:r w:rsidRPr="00F206DB">
        <w:t>Bureau defines this category as follows: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F206DB">
        <w:rPr>
          <w:sz w:val="20"/>
          <w:vertAlign w:val="superscript"/>
        </w:rPr>
        <w:footnoteReference w:id="347"/>
      </w:r>
      <w:r w:rsidRPr="00F206DB">
        <w:t xml:space="preserve">  The appropriate size standard under SBA rules is for the category Wireless Telecommunications Carriers (except Satellite).  The size standard for that category is that a business is small if it has 1,500 or fewer employees.</w:t>
      </w:r>
      <w:r w:rsidRPr="00F206DB">
        <w:rPr>
          <w:sz w:val="20"/>
          <w:vertAlign w:val="superscript"/>
        </w:rPr>
        <w:footnoteReference w:id="348"/>
      </w:r>
      <w:r w:rsidRPr="00F206DB">
        <w:t xml:space="preserve">  For this category, census data for 2007 show that there were 1,383 firms that operated for the entire year.</w:t>
      </w:r>
      <w:r w:rsidRPr="00F206DB">
        <w:rPr>
          <w:sz w:val="20"/>
          <w:vertAlign w:val="superscript"/>
        </w:rPr>
        <w:footnoteReference w:id="349"/>
      </w:r>
      <w:r w:rsidRPr="00F206DB">
        <w:t xml:space="preserve">  Of this total, 1,368 firms had employment of 999 or fewer employees and 15 had employment of 1000 employees or more.</w:t>
      </w:r>
      <w:r w:rsidRPr="00F206DB">
        <w:rPr>
          <w:sz w:val="20"/>
          <w:vertAlign w:val="superscript"/>
        </w:rPr>
        <w:footnoteReference w:id="350"/>
      </w:r>
      <w:r w:rsidRPr="00F206DB">
        <w:t xml:space="preserve">  Similarly, according to Commission data, 413 carriers reported that they were engaged in the provision of wireless telephony, including cellular service, PCS, and Specialized Mobile Radio (“SMR”) Telephony services.</w:t>
      </w:r>
      <w:r w:rsidRPr="00F206DB">
        <w:rPr>
          <w:sz w:val="20"/>
          <w:vertAlign w:val="superscript"/>
        </w:rPr>
        <w:footnoteReference w:id="351"/>
      </w:r>
      <w:r w:rsidRPr="00F206DB">
        <w:t xml:space="preserve">  Of these, an estimated 261 have 1,500 or fewer employees and 152 have more than 1,500 employees.</w:t>
      </w:r>
      <w:r w:rsidRPr="00F206DB">
        <w:rPr>
          <w:sz w:val="20"/>
          <w:vertAlign w:val="superscript"/>
        </w:rPr>
        <w:footnoteReference w:id="352"/>
      </w:r>
      <w:r w:rsidRPr="00F206DB">
        <w:t xml:space="preserve">  Consequently, the Commission estimates that approximately half or more of these firms can be considered small.  Thus, using available data, we estimate that the majority of wireless firms can be considered small.</w:t>
      </w:r>
    </w:p>
    <w:p w14:paraId="78A75BB5" w14:textId="77777777" w:rsidR="001E6416" w:rsidRDefault="001E6416" w:rsidP="00D50682">
      <w:pPr>
        <w:pStyle w:val="Heading2"/>
      </w:pPr>
      <w:bookmarkStart w:id="1189" w:name="_Toc398903025"/>
      <w:bookmarkStart w:id="1190" w:name="_Toc398903348"/>
      <w:bookmarkStart w:id="1191" w:name="_Toc398903537"/>
      <w:bookmarkStart w:id="1192" w:name="_Toc398904134"/>
      <w:bookmarkStart w:id="1193" w:name="_Toc398904642"/>
      <w:bookmarkStart w:id="1194" w:name="_Toc401306002"/>
      <w:bookmarkStart w:id="1195" w:name="_Toc401306678"/>
      <w:bookmarkStart w:id="1196" w:name="_Toc401306747"/>
      <w:r>
        <w:t>Description of Projected Reporting, Recordkeeping, and Other Compliance Requirements for Small Entities.</w:t>
      </w:r>
      <w:bookmarkEnd w:id="1189"/>
      <w:bookmarkEnd w:id="1190"/>
      <w:bookmarkEnd w:id="1191"/>
      <w:bookmarkEnd w:id="1192"/>
      <w:bookmarkEnd w:id="1193"/>
      <w:bookmarkEnd w:id="1194"/>
      <w:bookmarkEnd w:id="1195"/>
      <w:bookmarkEnd w:id="1196"/>
    </w:p>
    <w:p w14:paraId="4776242B" w14:textId="77777777" w:rsidR="001E6416" w:rsidRDefault="001E6416" w:rsidP="00EE61F6">
      <w:pPr>
        <w:pStyle w:val="ParaNum"/>
        <w:numPr>
          <w:ilvl w:val="0"/>
          <w:numId w:val="12"/>
        </w:numPr>
        <w:snapToGrid w:val="0"/>
        <w:spacing w:after="220"/>
        <w:ind w:left="0"/>
        <w:jc w:val="both"/>
      </w:pPr>
      <w:r w:rsidRPr="00A6450B">
        <w:t xml:space="preserve">The </w:t>
      </w:r>
      <w:r w:rsidRPr="00CB64D1">
        <w:rPr>
          <w:i/>
        </w:rPr>
        <w:t>Second Report &amp; Order</w:t>
      </w:r>
      <w:r>
        <w:t xml:space="preserve"> provides that</w:t>
      </w:r>
      <w:r w:rsidRPr="00B5229B">
        <w:t xml:space="preserve">, if a </w:t>
      </w:r>
      <w:r>
        <w:t xml:space="preserve">full power or Class A </w:t>
      </w:r>
      <w:r w:rsidRPr="00B5229B">
        <w:t xml:space="preserve">station is predicted to receive </w:t>
      </w:r>
      <w:r>
        <w:t xml:space="preserve">aggregate </w:t>
      </w:r>
      <w:r w:rsidRPr="00B5229B">
        <w:t xml:space="preserve">new interference above one percent on the final channel assigned to it following the repacking process, </w:t>
      </w:r>
      <w:r>
        <w:t xml:space="preserve">it may </w:t>
      </w:r>
      <w:r w:rsidRPr="00B5229B">
        <w:rPr>
          <w:rFonts w:eastAsia="Calibri"/>
        </w:rPr>
        <w:t xml:space="preserve">file an application proposing an alternate channel or expanded facilities in a priority filing window, along with a limited number of other stations that have been assigned the same priority.  This </w:t>
      </w:r>
      <w:r w:rsidRPr="00DC387F">
        <w:t>opportunity</w:t>
      </w:r>
      <w:r w:rsidRPr="00B5229B">
        <w:rPr>
          <w:rFonts w:eastAsia="Calibri"/>
        </w:rPr>
        <w:t xml:space="preserve"> will be available to any station entitled to protection in the repacking process that is predicted to experience aggregate new interference in excess of one percent, regardless of whether that station was reassigned to a new channel in the repacking process</w:t>
      </w:r>
      <w:r>
        <w:t xml:space="preserve">.  </w:t>
      </w:r>
    </w:p>
    <w:p w14:paraId="1A565160" w14:textId="77777777" w:rsidR="001E6416" w:rsidRDefault="001E6416" w:rsidP="00D50682">
      <w:pPr>
        <w:pStyle w:val="Heading2"/>
      </w:pPr>
      <w:bookmarkStart w:id="1197" w:name="_Toc398903026"/>
      <w:bookmarkStart w:id="1198" w:name="_Toc398903349"/>
      <w:bookmarkStart w:id="1199" w:name="_Toc398903538"/>
      <w:bookmarkStart w:id="1200" w:name="_Toc398904135"/>
      <w:bookmarkStart w:id="1201" w:name="_Toc398904643"/>
      <w:bookmarkStart w:id="1202" w:name="_Toc401306003"/>
      <w:bookmarkStart w:id="1203" w:name="_Toc401306679"/>
      <w:bookmarkStart w:id="1204" w:name="_Toc401306748"/>
      <w:r>
        <w:t>Steps Taken to Minimize Significant Economic Impact on Small Entities, and Significant Alternatives Considered</w:t>
      </w:r>
      <w:bookmarkEnd w:id="1197"/>
      <w:bookmarkEnd w:id="1198"/>
      <w:bookmarkEnd w:id="1199"/>
      <w:bookmarkEnd w:id="1200"/>
      <w:bookmarkEnd w:id="1201"/>
      <w:bookmarkEnd w:id="1202"/>
      <w:bookmarkEnd w:id="1203"/>
      <w:bookmarkEnd w:id="1204"/>
    </w:p>
    <w:p w14:paraId="7C7C9BD9" w14:textId="77777777" w:rsidR="001E6416" w:rsidRDefault="001E6416" w:rsidP="00EE61F6">
      <w:pPr>
        <w:pStyle w:val="ParaNum"/>
        <w:numPr>
          <w:ilvl w:val="0"/>
          <w:numId w:val="12"/>
        </w:numPr>
        <w:snapToGrid w:val="0"/>
        <w:spacing w:after="220"/>
        <w:ind w:left="0"/>
        <w:jc w:val="both"/>
        <w:rPr>
          <w:color w:val="000000"/>
        </w:rPr>
      </w:pPr>
      <w:r>
        <w:rPr>
          <w:color w:val="000000"/>
        </w:rPr>
        <w:t xml:space="preserve">The </w:t>
      </w:r>
      <w:r w:rsidRPr="00DC387F">
        <w:t>RFA</w:t>
      </w:r>
      <w:r>
        <w:rPr>
          <w:color w:val="000000"/>
        </w:rPr>
        <w:t xml:space="preserve">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353"/>
      </w:r>
    </w:p>
    <w:p w14:paraId="5373DB14" w14:textId="77777777" w:rsidR="001E6416" w:rsidRDefault="001E6416" w:rsidP="00EE61F6">
      <w:pPr>
        <w:pStyle w:val="ParaNum"/>
        <w:numPr>
          <w:ilvl w:val="0"/>
          <w:numId w:val="12"/>
        </w:numPr>
        <w:snapToGrid w:val="0"/>
        <w:spacing w:after="220"/>
        <w:ind w:left="0"/>
        <w:jc w:val="both"/>
        <w:rPr>
          <w:color w:val="000000"/>
        </w:rPr>
      </w:pPr>
      <w:r>
        <w:t xml:space="preserve">The Commission believes that applying the same rules equally to all entities in this context promotes fairness.  The Commission does not believe that the costs and/or administrative burdens associated with the rules will unduly burden small entities.  Moreover, the revisions the Commission adopts should benefit small entities by providing them with a safeguard in the event of aggregate </w:t>
      </w:r>
      <w:r w:rsidRPr="00B5229B">
        <w:t>new interference above one percent</w:t>
      </w:r>
      <w:r>
        <w:t>.</w:t>
      </w:r>
    </w:p>
    <w:p w14:paraId="1EA862DD" w14:textId="77777777" w:rsidR="001E6416" w:rsidRPr="002E65CE" w:rsidRDefault="001E6416" w:rsidP="00D50682">
      <w:pPr>
        <w:pStyle w:val="Heading2"/>
        <w:numPr>
          <w:ilvl w:val="0"/>
          <w:numId w:val="0"/>
        </w:numPr>
        <w:rPr>
          <w:u w:val="single"/>
        </w:rPr>
      </w:pPr>
      <w:bookmarkStart w:id="1205" w:name="_Toc398903027"/>
      <w:bookmarkStart w:id="1206" w:name="_Toc398903350"/>
      <w:bookmarkStart w:id="1207" w:name="_Toc398903539"/>
      <w:bookmarkStart w:id="1208" w:name="_Toc398904136"/>
      <w:bookmarkStart w:id="1209" w:name="_Toc398904644"/>
      <w:bookmarkStart w:id="1210" w:name="_Toc401306004"/>
      <w:bookmarkStart w:id="1211" w:name="_Toc401306680"/>
      <w:bookmarkStart w:id="1212" w:name="_Toc401306749"/>
      <w:r w:rsidRPr="002E65CE">
        <w:rPr>
          <w:u w:val="single"/>
        </w:rPr>
        <w:t>Report to Congress</w:t>
      </w:r>
      <w:bookmarkEnd w:id="1205"/>
      <w:bookmarkEnd w:id="1206"/>
      <w:bookmarkEnd w:id="1207"/>
      <w:bookmarkEnd w:id="1208"/>
      <w:bookmarkEnd w:id="1209"/>
      <w:bookmarkEnd w:id="1210"/>
      <w:bookmarkEnd w:id="1211"/>
      <w:bookmarkEnd w:id="1212"/>
      <w:r w:rsidRPr="002E65CE">
        <w:rPr>
          <w:u w:val="single"/>
        </w:rPr>
        <w:t xml:space="preserve"> </w:t>
      </w:r>
    </w:p>
    <w:p w14:paraId="529D0D7A" w14:textId="77777777" w:rsidR="00CB3B44" w:rsidRDefault="001E6416" w:rsidP="00CB3B44">
      <w:pPr>
        <w:pStyle w:val="ParaNum"/>
        <w:numPr>
          <w:ilvl w:val="0"/>
          <w:numId w:val="12"/>
        </w:numPr>
        <w:snapToGrid w:val="0"/>
        <w:spacing w:after="220"/>
        <w:ind w:left="0"/>
        <w:rPr>
          <w:color w:val="000000"/>
        </w:rPr>
        <w:sectPr w:rsidR="00CB3B44" w:rsidSect="00EE61F6">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pPr>
      <w:r>
        <w:rPr>
          <w:kern w:val="0"/>
        </w:rPr>
        <w:t xml:space="preserve">The </w:t>
      </w:r>
      <w:r w:rsidRPr="00DC387F">
        <w:t>Commission</w:t>
      </w:r>
      <w:r>
        <w:rPr>
          <w:kern w:val="0"/>
        </w:rPr>
        <w:t xml:space="preserve"> will send a copy of the </w:t>
      </w:r>
      <w:r w:rsidRPr="00932477">
        <w:rPr>
          <w:i/>
          <w:kern w:val="0"/>
        </w:rPr>
        <w:t>Second Report &amp; Order</w:t>
      </w:r>
      <w:r>
        <w:rPr>
          <w:kern w:val="0"/>
        </w:rPr>
        <w:t xml:space="preserve">, including this </w:t>
      </w:r>
      <w:r w:rsidRPr="00A57CB2">
        <w:rPr>
          <w:color w:val="000000"/>
        </w:rPr>
        <w:t>FRFA, in a report to Congress</w:t>
      </w:r>
      <w:r w:rsidRPr="00432201">
        <w:t xml:space="preserve"> </w:t>
      </w:r>
      <w:r>
        <w:t>and the Government Accountability Office</w:t>
      </w:r>
      <w:r w:rsidRPr="00A57CB2">
        <w:rPr>
          <w:color w:val="000000"/>
        </w:rPr>
        <w:t xml:space="preserve"> pursuant to the Congressional Review Act.</w:t>
      </w:r>
      <w:r w:rsidRPr="00DC387F">
        <w:rPr>
          <w:color w:val="000000"/>
          <w:vertAlign w:val="superscript"/>
        </w:rPr>
        <w:footnoteReference w:id="354"/>
      </w:r>
      <w:r w:rsidRPr="00A57CB2">
        <w:rPr>
          <w:color w:val="000000"/>
        </w:rPr>
        <w:t xml:space="preserve">  In addition, the Commission will send a copy of the </w:t>
      </w:r>
      <w:r w:rsidRPr="00DC387F">
        <w:rPr>
          <w:i/>
          <w:color w:val="000000"/>
        </w:rPr>
        <w:t>Second Report &amp; Order</w:t>
      </w:r>
      <w:r w:rsidRPr="00A57CB2">
        <w:rPr>
          <w:color w:val="000000"/>
        </w:rPr>
        <w:t xml:space="preserve">, including this FRFA, to the Chief Counsel for Advocacy of the SBA.  A copy of the </w:t>
      </w:r>
      <w:r w:rsidRPr="00DC387F">
        <w:rPr>
          <w:i/>
          <w:color w:val="000000"/>
        </w:rPr>
        <w:t>Second Report and Order</w:t>
      </w:r>
      <w:r w:rsidRPr="00A57CB2">
        <w:rPr>
          <w:color w:val="000000"/>
        </w:rPr>
        <w:t xml:space="preserve"> and FRFA (or summaries thereof) will also be published in the </w:t>
      </w:r>
      <w:r w:rsidRPr="00DC387F">
        <w:rPr>
          <w:i/>
          <w:color w:val="000000"/>
        </w:rPr>
        <w:t>Federal Register</w:t>
      </w:r>
      <w:r w:rsidRPr="00A57CB2">
        <w:rPr>
          <w:color w:val="000000"/>
        </w:rPr>
        <w:t>.</w:t>
      </w:r>
    </w:p>
    <w:p w14:paraId="0D6B3200" w14:textId="77777777" w:rsidR="00D01FE7" w:rsidRDefault="001E6416" w:rsidP="001E6416">
      <w:pPr>
        <w:jc w:val="center"/>
        <w:rPr>
          <w:b/>
        </w:rPr>
      </w:pPr>
      <w:r w:rsidRPr="006A744E">
        <w:rPr>
          <w:b/>
        </w:rPr>
        <w:t xml:space="preserve">APPENDIX </w:t>
      </w:r>
      <w:r>
        <w:rPr>
          <w:b/>
        </w:rPr>
        <w:t>G</w:t>
      </w:r>
      <w:r w:rsidRPr="006A744E">
        <w:rPr>
          <w:b/>
        </w:rPr>
        <w:t xml:space="preserve"> </w:t>
      </w:r>
    </w:p>
    <w:p w14:paraId="4C4B6407" w14:textId="77777777" w:rsidR="00D01FE7" w:rsidRDefault="00D01FE7" w:rsidP="001E6416">
      <w:pPr>
        <w:jc w:val="center"/>
        <w:rPr>
          <w:b/>
        </w:rPr>
      </w:pPr>
    </w:p>
    <w:p w14:paraId="329945EA" w14:textId="0349348B" w:rsidR="001E6416" w:rsidRDefault="001E6416" w:rsidP="001E6416">
      <w:pPr>
        <w:jc w:val="center"/>
        <w:rPr>
          <w:b/>
        </w:rPr>
      </w:pPr>
      <w:r w:rsidRPr="006A744E">
        <w:rPr>
          <w:b/>
        </w:rPr>
        <w:t xml:space="preserve"> INITIAL REGULATORY FLEXIBILITY ANALYSIS</w:t>
      </w:r>
    </w:p>
    <w:p w14:paraId="3D1BDE8D" w14:textId="77777777" w:rsidR="001E6416" w:rsidRDefault="001E6416" w:rsidP="001E6416">
      <w:pPr>
        <w:jc w:val="center"/>
        <w:rPr>
          <w:b/>
        </w:rPr>
      </w:pPr>
    </w:p>
    <w:p w14:paraId="71359811" w14:textId="77777777" w:rsidR="001E6416" w:rsidRPr="002C283B" w:rsidRDefault="001E6416" w:rsidP="00EE61F6">
      <w:pPr>
        <w:pStyle w:val="ParaNum"/>
        <w:numPr>
          <w:ilvl w:val="0"/>
          <w:numId w:val="15"/>
        </w:numPr>
        <w:snapToGrid w:val="0"/>
        <w:spacing w:after="220"/>
        <w:jc w:val="both"/>
      </w:pPr>
      <w:r w:rsidRPr="002C283B">
        <w:t>As required by the Regulatory Flexibility Act (RFA),</w:t>
      </w:r>
      <w:r w:rsidRPr="002C283B">
        <w:rPr>
          <w:rStyle w:val="FootnoteReference"/>
          <w:color w:val="000000"/>
          <w:spacing w:val="-3"/>
        </w:rPr>
        <w:footnoteReference w:id="355"/>
      </w:r>
      <w:r w:rsidRPr="002C283B">
        <w:t xml:space="preserve"> the Commission has prepared this present Initial Regulatory Flexibility Analysis (IRFA) of the possible significant economic impact on small entities by the policies and rules proposed in this </w:t>
      </w:r>
      <w:r w:rsidRPr="00C7693D">
        <w:rPr>
          <w:i/>
        </w:rPr>
        <w:t>Further Notice of Proposed Rule Making</w:t>
      </w:r>
      <w:r w:rsidRPr="002C283B">
        <w:t xml:space="preserve"> (</w:t>
      </w:r>
      <w:r w:rsidRPr="00C7693D">
        <w:rPr>
          <w:i/>
        </w:rPr>
        <w:t>FNPRM</w:t>
      </w:r>
      <w:r w:rsidRPr="002C283B">
        <w:t xml:space="preserve">).  Written public comments are requested on this IRFA.  Comments must be identified as responses to the IRFA and must be filed by the deadlines for comments provided on the first page of this </w:t>
      </w:r>
      <w:r w:rsidRPr="00C7693D">
        <w:rPr>
          <w:i/>
        </w:rPr>
        <w:t>FNPRM</w:t>
      </w:r>
      <w:r w:rsidRPr="002C283B">
        <w:t xml:space="preserve">.  The Commission will send a copy of this </w:t>
      </w:r>
      <w:r w:rsidRPr="00C7693D">
        <w:rPr>
          <w:i/>
        </w:rPr>
        <w:t>FNPRM</w:t>
      </w:r>
      <w:r w:rsidRPr="002C283B">
        <w:t>, including this IRFA, to the Chief Counsel for Advocacy of the Small Business Administration (SBA).</w:t>
      </w:r>
      <w:r w:rsidRPr="002C283B">
        <w:rPr>
          <w:rStyle w:val="FootnoteReference"/>
          <w:spacing w:val="-3"/>
        </w:rPr>
        <w:footnoteReference w:id="356"/>
      </w:r>
      <w:r w:rsidRPr="002C283B">
        <w:t xml:space="preserve">  In addition, the </w:t>
      </w:r>
      <w:r w:rsidRPr="00C7693D">
        <w:rPr>
          <w:i/>
        </w:rPr>
        <w:t>FNPRM</w:t>
      </w:r>
      <w:r w:rsidRPr="002C283B">
        <w:t xml:space="preserve"> and IRFA (or summaries thereof) will be published in the Federal Register.</w:t>
      </w:r>
      <w:r w:rsidRPr="002C283B">
        <w:rPr>
          <w:rStyle w:val="FootnoteReference"/>
          <w:spacing w:val="-3"/>
        </w:rPr>
        <w:footnoteReference w:id="357"/>
      </w:r>
    </w:p>
    <w:p w14:paraId="3017C401" w14:textId="77777777" w:rsidR="001E6416" w:rsidRPr="00C7693D" w:rsidRDefault="001E6416" w:rsidP="00EE61F6">
      <w:pPr>
        <w:pStyle w:val="ListParagraph"/>
        <w:numPr>
          <w:ilvl w:val="0"/>
          <w:numId w:val="14"/>
        </w:num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snapToGrid w:val="0"/>
        <w:spacing w:after="220"/>
        <w:rPr>
          <w:b/>
          <w:spacing w:val="-3"/>
        </w:rPr>
      </w:pPr>
      <w:r w:rsidRPr="00C7693D">
        <w:rPr>
          <w:b/>
          <w:spacing w:val="-3"/>
        </w:rPr>
        <w:t>Need for, and Objectives of, the Proposed Rules.</w:t>
      </w:r>
    </w:p>
    <w:p w14:paraId="1AC72FB6" w14:textId="77777777" w:rsidR="001E6416" w:rsidRPr="00C7693D" w:rsidRDefault="001E6416" w:rsidP="00EE61F6">
      <w:pPr>
        <w:pStyle w:val="ParaNum"/>
        <w:numPr>
          <w:ilvl w:val="0"/>
          <w:numId w:val="15"/>
        </w:numPr>
        <w:snapToGrid w:val="0"/>
        <w:spacing w:after="220"/>
        <w:ind w:left="-9"/>
        <w:jc w:val="both"/>
      </w:pPr>
      <w:r>
        <w:t xml:space="preserve">The </w:t>
      </w:r>
      <w:r w:rsidRPr="000563FE">
        <w:rPr>
          <w:i/>
        </w:rPr>
        <w:t>FNPRM</w:t>
      </w:r>
      <w:r>
        <w:t xml:space="preserve"> addresses issues that arise from the </w:t>
      </w:r>
      <w:r w:rsidRPr="001C0EB8">
        <w:rPr>
          <w:i/>
        </w:rPr>
        <w:t>Incentive Auction R&amp;O</w:t>
      </w:r>
      <w:r>
        <w:t xml:space="preserve"> to repurpose a portion of the broadcast spectrum for new wireless services and proposes rules governing the interference in the 600 MHz Band following the incentive auction.</w:t>
      </w:r>
      <w:r>
        <w:rPr>
          <w:rStyle w:val="FootnoteReference"/>
        </w:rPr>
        <w:footnoteReference w:id="358"/>
      </w:r>
      <w:r>
        <w:t xml:space="preserve"> </w:t>
      </w:r>
      <w:r w:rsidRPr="00C7693D">
        <w:t xml:space="preserve">In the </w:t>
      </w:r>
      <w:r w:rsidRPr="00C7693D">
        <w:rPr>
          <w:i/>
        </w:rPr>
        <w:t>Incentive Auction R&amp;O</w:t>
      </w:r>
      <w:r w:rsidRPr="00C7693D">
        <w:t>, we adopted a flexible band plan framework that accommodates market variation.</w:t>
      </w:r>
      <w:r w:rsidRPr="00C7693D">
        <w:rPr>
          <w:sz w:val="20"/>
          <w:vertAlign w:val="superscript"/>
        </w:rPr>
        <w:footnoteReference w:id="359"/>
      </w:r>
      <w:r w:rsidRPr="00C7693D">
        <w:t xml:space="preserve">  Market variation occurs where broadcast stations remain on spectrum that is repurposed for wireless broadband under the 600 MHz Band Plan.</w:t>
      </w:r>
      <w:r w:rsidRPr="00C7693D">
        <w:rPr>
          <w:sz w:val="20"/>
          <w:vertAlign w:val="superscript"/>
        </w:rPr>
        <w:footnoteReference w:id="360"/>
      </w:r>
      <w:r w:rsidRPr="00C7693D">
        <w:t xml:space="preserve">  </w:t>
      </w:r>
      <w:r>
        <w:t xml:space="preserve">The </w:t>
      </w:r>
      <w:r w:rsidRPr="007E48CF">
        <w:rPr>
          <w:i/>
        </w:rPr>
        <w:t>FNPRM</w:t>
      </w:r>
      <w:r>
        <w:t xml:space="preserve"> proposes rules for the protection of broadcast services from wireless operations in the 600 MHz Band when co-channel or adjacent channel and for the protection of wireless license areas from broadcast television stations seeking to expand their contours.  It proposes a methodology in OET Bulletin No. 74 for predicting when a wireless base station will cause interference to a broadcast station.  It proposes </w:t>
      </w:r>
      <w:r w:rsidRPr="00F733A8">
        <w:t xml:space="preserve">to </w:t>
      </w:r>
      <w:r>
        <w:t>require wireless user equipment to operate</w:t>
      </w:r>
      <w:r w:rsidRPr="00F733A8">
        <w:t xml:space="preserve"> outside </w:t>
      </w:r>
      <w:r>
        <w:t xml:space="preserve">of certain </w:t>
      </w:r>
      <w:r w:rsidRPr="00F733A8">
        <w:t xml:space="preserve">separation distances from the </w:t>
      </w:r>
      <w:r>
        <w:t>broadcast</w:t>
      </w:r>
      <w:r w:rsidRPr="00F733A8">
        <w:t xml:space="preserve"> station contours</w:t>
      </w:r>
      <w:r>
        <w:t xml:space="preserve"> to avoid interference to television reception</w:t>
      </w:r>
      <w:r w:rsidRPr="00EC5488">
        <w:t xml:space="preserve">.  In the event that wireless operations actually cause harmful interference to television reception in the 600 MHz Band where interference was not predicted to occur, </w:t>
      </w:r>
      <w:r>
        <w:t xml:space="preserve">the </w:t>
      </w:r>
      <w:r w:rsidRPr="00EC5488">
        <w:rPr>
          <w:i/>
        </w:rPr>
        <w:t>FNPRM</w:t>
      </w:r>
      <w:r>
        <w:t xml:space="preserve"> </w:t>
      </w:r>
      <w:r w:rsidRPr="00EC5488">
        <w:t>propose</w:t>
      </w:r>
      <w:r>
        <w:t>s</w:t>
      </w:r>
      <w:r w:rsidRPr="00EC5488">
        <w:t xml:space="preserve"> to require wireless providers to take action to eliminate the interference.</w:t>
      </w:r>
      <w:r>
        <w:t xml:space="preserve">  The </w:t>
      </w:r>
      <w:r w:rsidRPr="00EC5488">
        <w:rPr>
          <w:i/>
        </w:rPr>
        <w:t>FNPRM</w:t>
      </w:r>
      <w:r>
        <w:t xml:space="preserve"> </w:t>
      </w:r>
      <w:r w:rsidRPr="00EC5488">
        <w:t>seek</w:t>
      </w:r>
      <w:r>
        <w:t>s</w:t>
      </w:r>
      <w:r w:rsidRPr="00EC5488">
        <w:t xml:space="preserve"> comment on appropriate wireless licensee obligations, both with respect to technical requirements and service rules.</w:t>
      </w:r>
      <w:r w:rsidRPr="00F92DB1">
        <w:t xml:space="preserve">  </w:t>
      </w:r>
      <w:r w:rsidRPr="00EC5488">
        <w:t>The</w:t>
      </w:r>
      <w:r>
        <w:t xml:space="preserve"> </w:t>
      </w:r>
      <w:r w:rsidRPr="001C0EB8">
        <w:rPr>
          <w:i/>
        </w:rPr>
        <w:t>FNPRM</w:t>
      </w:r>
      <w:r>
        <w:t xml:space="preserve"> also proposes to adopt the ISIX Methodology to predict whether LPTV or TV Translators will cause interference to a wireless system in the 600 MHz Band.  The </w:t>
      </w:r>
      <w:r w:rsidRPr="003A3641">
        <w:rPr>
          <w:i/>
        </w:rPr>
        <w:t>FNPRM</w:t>
      </w:r>
      <w:r>
        <w:t xml:space="preserve"> </w:t>
      </w:r>
      <w:r w:rsidRPr="003A3641">
        <w:t xml:space="preserve">also proposes use </w:t>
      </w:r>
      <w:r>
        <w:t xml:space="preserve">of </w:t>
      </w:r>
      <w:r w:rsidRPr="003A3641">
        <w:t xml:space="preserve">the ISIX Methodology and inputs, as detailed in the proposed OET-74, </w:t>
      </w:r>
      <w:r>
        <w:t xml:space="preserve">for ensuring that wireless services that are deployed during the 39-month transition period do not cause interference to broadcast television stations that have not yet transitioned to their final channel assignments.  </w:t>
      </w:r>
    </w:p>
    <w:p w14:paraId="667E0852" w14:textId="77777777" w:rsidR="001E6416" w:rsidRPr="002C283B" w:rsidRDefault="001E6416" w:rsidP="00D01FE7">
      <w:pPr>
        <w:keepNext/>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r w:rsidRPr="002C283B">
        <w:rPr>
          <w:b/>
          <w:color w:val="000000"/>
          <w:spacing w:val="-3"/>
        </w:rPr>
        <w:tab/>
        <w:t>B.</w:t>
      </w:r>
      <w:r w:rsidRPr="002C283B">
        <w:rPr>
          <w:b/>
          <w:color w:val="000000"/>
          <w:spacing w:val="-3"/>
        </w:rPr>
        <w:tab/>
        <w:t>Legal Basis.</w:t>
      </w:r>
    </w:p>
    <w:p w14:paraId="0C121C44" w14:textId="77777777" w:rsidR="001E6416" w:rsidRPr="002C283B" w:rsidRDefault="001E6416" w:rsidP="00D01FE7">
      <w:pPr>
        <w:keepNext/>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14:paraId="2DD31474" w14:textId="77777777" w:rsidR="001E6416" w:rsidRPr="002C283B" w:rsidRDefault="001E6416" w:rsidP="00D01FE7">
      <w:pPr>
        <w:pStyle w:val="ParaNum"/>
        <w:keepNext/>
        <w:widowControl/>
        <w:numPr>
          <w:ilvl w:val="0"/>
          <w:numId w:val="15"/>
        </w:numPr>
        <w:snapToGrid w:val="0"/>
        <w:ind w:left="0"/>
        <w:jc w:val="both"/>
        <w:rPr>
          <w:color w:val="000000"/>
          <w:spacing w:val="-3"/>
        </w:rPr>
      </w:pPr>
      <w:r w:rsidRPr="002C283B">
        <w:rPr>
          <w:color w:val="000000"/>
          <w:spacing w:val="-3"/>
        </w:rPr>
        <w:t xml:space="preserve">The proposed action is authorized under </w:t>
      </w:r>
      <w:r w:rsidRPr="00E87246">
        <w:t xml:space="preserve">Sections 1, 4, 301, 303, 307, 308, 309, 310, 316, 319, 332, and 403 of the Communications Act of 1934, as amended, and sections 6004, 6402, 6403, 6404, and 6407 of </w:t>
      </w:r>
      <w:r w:rsidRPr="00E87246">
        <w:rPr>
          <w:color w:val="000000"/>
        </w:rPr>
        <w:t xml:space="preserve">Middle Class Tax Relief and Job Creation Act of 2012, Pub. L. No. 112-96, 126 Stat. 156, </w:t>
      </w:r>
      <w:r w:rsidRPr="00E87246">
        <w:t>47 U.S.C. §§ 151, 154, 301, 303, 307, 308, 309, 310, 316, 319, 332, 403</w:t>
      </w:r>
      <w:r>
        <w:t xml:space="preserve">, </w:t>
      </w:r>
      <w:r w:rsidRPr="00E87246">
        <w:t>1404, 1452, and 1454</w:t>
      </w:r>
      <w:r w:rsidRPr="002C283B">
        <w:t>.</w:t>
      </w:r>
    </w:p>
    <w:p w14:paraId="15C45F04" w14:textId="77777777" w:rsidR="001E6416" w:rsidRPr="002C283B" w:rsidRDefault="001E6416" w:rsidP="001E6416">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14:paraId="297DCAC3" w14:textId="77777777" w:rsidR="001E6416" w:rsidRPr="002C283B" w:rsidRDefault="001E6416" w:rsidP="001E6416">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b/>
          <w:color w:val="000000"/>
        </w:rPr>
      </w:pPr>
      <w:r w:rsidRPr="002C283B">
        <w:rPr>
          <w:b/>
          <w:color w:val="000000"/>
          <w:spacing w:val="-3"/>
        </w:rPr>
        <w:tab/>
        <w:t>C.</w:t>
      </w:r>
      <w:r w:rsidRPr="002C283B">
        <w:rPr>
          <w:b/>
          <w:color w:val="000000"/>
          <w:spacing w:val="-3"/>
        </w:rPr>
        <w:tab/>
      </w:r>
      <w:r w:rsidRPr="002C283B">
        <w:rPr>
          <w:b/>
          <w:color w:val="000000"/>
        </w:rPr>
        <w:t>Description and Estimate of the Number of Small Entities To Which the Proposed Rules Will Apply.</w:t>
      </w:r>
    </w:p>
    <w:p w14:paraId="59D8580E" w14:textId="77777777" w:rsidR="001E6416" w:rsidRPr="002C283B" w:rsidRDefault="001E6416" w:rsidP="001E6416">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b/>
          <w:color w:val="000000"/>
        </w:rPr>
      </w:pPr>
    </w:p>
    <w:p w14:paraId="5BB6FA49" w14:textId="77777777" w:rsidR="001E6416" w:rsidRDefault="001E6416" w:rsidP="00EE61F6">
      <w:pPr>
        <w:pStyle w:val="ParaNum"/>
        <w:numPr>
          <w:ilvl w:val="0"/>
          <w:numId w:val="15"/>
        </w:numPr>
        <w:snapToGrid w:val="0"/>
        <w:spacing w:after="220"/>
        <w:ind w:left="0"/>
        <w:jc w:val="both"/>
        <w:rPr>
          <w:color w:val="000000"/>
          <w:spacing w:val="-3"/>
        </w:rPr>
      </w:pPr>
      <w:r w:rsidRPr="002C283B">
        <w:t xml:space="preserve">The RFA directs agencies to provide a </w:t>
      </w:r>
      <w:r w:rsidRPr="002C283B">
        <w:rPr>
          <w:color w:val="000000"/>
          <w:spacing w:val="-3"/>
        </w:rPr>
        <w:t>description</w:t>
      </w:r>
      <w:r w:rsidRPr="002C283B">
        <w:t xml:space="preserve"> of and, where feasible, an estimate of the number of small entities that may be affected by the proposed rules, if adopted.</w:t>
      </w:r>
      <w:r w:rsidRPr="002C283B">
        <w:rPr>
          <w:rStyle w:val="FootnoteReference"/>
        </w:rPr>
        <w:footnoteReference w:id="361"/>
      </w:r>
      <w:r w:rsidRPr="002C283B">
        <w:t xml:space="preserve">  The RFA generally defines the term "small entity" as having the same meaning as the terms "small business," "small organization," and "small governmental jurisdiction."</w:t>
      </w:r>
      <w:r w:rsidRPr="002C283B">
        <w:rPr>
          <w:rStyle w:val="FootnoteReference"/>
        </w:rPr>
        <w:footnoteReference w:id="362"/>
      </w:r>
      <w:r w:rsidRPr="002C283B">
        <w:t xml:space="preserve">  In addition, the term "small business" has the same meaning as the term "small business concern" under the Small Business Act.</w:t>
      </w:r>
      <w:r w:rsidRPr="002C283B">
        <w:rPr>
          <w:rStyle w:val="FootnoteReference"/>
        </w:rPr>
        <w:footnoteReference w:id="363"/>
      </w:r>
      <w:r w:rsidRPr="002C283B">
        <w:t xml:space="preserve">  A small business concern is one which:  (1) is independently owned and operated; (2) is not dominant in its field of operation; and (3) satisfies any additional criteria established by the SBA.</w:t>
      </w:r>
      <w:r w:rsidRPr="002C283B">
        <w:rPr>
          <w:rStyle w:val="FootnoteReference"/>
        </w:rPr>
        <w:footnoteReference w:id="364"/>
      </w:r>
    </w:p>
    <w:p w14:paraId="15AC9D43" w14:textId="0C5BAB85" w:rsidR="001E6416" w:rsidRPr="00F206DB" w:rsidRDefault="001E6416" w:rsidP="00EE61F6">
      <w:pPr>
        <w:pStyle w:val="ParaNum"/>
        <w:numPr>
          <w:ilvl w:val="0"/>
          <w:numId w:val="15"/>
        </w:numPr>
        <w:snapToGrid w:val="0"/>
        <w:spacing w:after="220"/>
        <w:ind w:left="0"/>
        <w:jc w:val="both"/>
      </w:pPr>
      <w:r w:rsidRPr="00F206DB">
        <w:rPr>
          <w:i/>
        </w:rPr>
        <w:t>Television Broadcasting</w:t>
      </w:r>
      <w:r w:rsidRPr="00F206DB">
        <w:t>.  This economic census category “comprises establishments primarily engaged in broadcasting images together with sound.  These establishments operate television broadcasting studios and facilities for the programming and transmission of programs to the public.”</w:t>
      </w:r>
      <w:r w:rsidRPr="00F206DB">
        <w:rPr>
          <w:rStyle w:val="FootnoteReference"/>
        </w:rPr>
        <w:footnoteReference w:id="365"/>
      </w:r>
      <w:r w:rsidRPr="00F206DB">
        <w:t xml:space="preserve">  The SBA has created the following small business size standard for Television Broadcasting firms: those having $</w:t>
      </w:r>
      <w:r w:rsidR="00D01FE7">
        <w:t>38.5</w:t>
      </w:r>
      <w:r w:rsidRPr="00F206DB">
        <w:t xml:space="preserve"> million or less in annual receipts.</w:t>
      </w:r>
      <w:r w:rsidRPr="00F206DB">
        <w:rPr>
          <w:rStyle w:val="FootnoteReference"/>
        </w:rPr>
        <w:footnoteReference w:id="366"/>
      </w:r>
      <w:r w:rsidRPr="00F206DB">
        <w:t xml:space="preserve">  The Commission has estimated the number of licensed commercial television stations to be 1,388.</w:t>
      </w:r>
      <w:r w:rsidRPr="00F206DB">
        <w:rPr>
          <w:rStyle w:val="FootnoteReference"/>
        </w:rPr>
        <w:footnoteReference w:id="367"/>
      </w:r>
      <w:r w:rsidRPr="00F206DB">
        <w:t xml:space="preserve">  In addition, according to Commission staff review of the BIA Advisory Services, LLC’s </w:t>
      </w:r>
      <w:r w:rsidRPr="00F206DB">
        <w:rPr>
          <w:i/>
        </w:rPr>
        <w:t>Media Access Pro Television Database</w:t>
      </w:r>
      <w:r w:rsidRPr="00F206DB">
        <w:t xml:space="preserve"> on March 28, 2012, about 950 of an estimated 1,300 commercial television stations (or approximately 73 percent) had revenues of $</w:t>
      </w:r>
      <w:r w:rsidR="00D01FE7">
        <w:t>38.5</w:t>
      </w:r>
      <w:r w:rsidRPr="00F206DB">
        <w:t xml:space="preserve"> million or less.</w:t>
      </w:r>
      <w:r w:rsidRPr="00F206DB">
        <w:rPr>
          <w:rStyle w:val="FootnoteReference"/>
        </w:rPr>
        <w:footnoteReference w:id="368"/>
      </w:r>
      <w:r w:rsidRPr="00F206DB">
        <w:t xml:space="preserve">  We therefore estimate that the majority of commercial television broadcasters are small entities.</w:t>
      </w:r>
    </w:p>
    <w:p w14:paraId="1A19C58B" w14:textId="77777777" w:rsidR="001E6416" w:rsidRPr="00F206DB" w:rsidRDefault="001E6416" w:rsidP="00EE61F6">
      <w:pPr>
        <w:pStyle w:val="ParaNum"/>
        <w:numPr>
          <w:ilvl w:val="0"/>
          <w:numId w:val="15"/>
        </w:numPr>
        <w:snapToGrid w:val="0"/>
        <w:spacing w:after="220"/>
        <w:ind w:left="0"/>
        <w:jc w:val="both"/>
      </w:pPr>
      <w:r w:rsidRPr="00F206DB">
        <w:t>We note, however, that in assessing whether a business concern qualifies as small under the above definition, business (control) affiliations must be included.</w:t>
      </w:r>
      <w:r w:rsidRPr="00F206DB">
        <w:rPr>
          <w:vertAlign w:val="superscript"/>
        </w:rPr>
        <w:footnoteReference w:id="369"/>
      </w:r>
      <w:r w:rsidRPr="00F206DB">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69BC33CB" w14:textId="4690E17C" w:rsidR="001E6416" w:rsidRPr="00F206DB" w:rsidRDefault="001E6416" w:rsidP="00EE61F6">
      <w:pPr>
        <w:pStyle w:val="ParaNum"/>
        <w:numPr>
          <w:ilvl w:val="0"/>
          <w:numId w:val="15"/>
        </w:numPr>
        <w:snapToGrid w:val="0"/>
        <w:spacing w:after="220"/>
        <w:ind w:left="0"/>
        <w:jc w:val="both"/>
      </w:pPr>
      <w:r w:rsidRPr="00F206DB">
        <w:t>In addition, the Commission has estimated the number of licensed noncommercial educational (“NCE”) television stations to be 39</w:t>
      </w:r>
      <w:r w:rsidR="00D01FE7">
        <w:t>5</w:t>
      </w:r>
      <w:r w:rsidRPr="00F206DB">
        <w:t>.</w:t>
      </w:r>
      <w:r w:rsidRPr="00F206DB">
        <w:rPr>
          <w:rStyle w:val="FootnoteReference"/>
        </w:rPr>
        <w:footnoteReference w:id="370"/>
      </w:r>
      <w:r w:rsidRPr="00F206DB">
        <w:t xml:space="preserve">  These stations are non-profit, and therefore considered to be small entities.</w:t>
      </w:r>
      <w:r w:rsidRPr="00F206DB">
        <w:rPr>
          <w:rStyle w:val="FootnoteReference"/>
        </w:rPr>
        <w:footnoteReference w:id="371"/>
      </w:r>
    </w:p>
    <w:p w14:paraId="741BEBD4" w14:textId="77777777" w:rsidR="001E6416" w:rsidRDefault="001E6416" w:rsidP="00EE61F6">
      <w:pPr>
        <w:pStyle w:val="ParaNum"/>
        <w:numPr>
          <w:ilvl w:val="0"/>
          <w:numId w:val="15"/>
        </w:numPr>
        <w:snapToGrid w:val="0"/>
        <w:spacing w:after="220"/>
        <w:ind w:left="0"/>
        <w:jc w:val="both"/>
      </w:pPr>
      <w:r w:rsidRPr="00F206DB">
        <w:t>There are also 2,414 LPTV stations, including Class A stations, and 4,046 TV translator stations.</w:t>
      </w:r>
      <w:r w:rsidRPr="00F206DB">
        <w:rPr>
          <w:rStyle w:val="FootnoteReference"/>
        </w:rPr>
        <w:footnoteReference w:id="372"/>
      </w:r>
      <w:r w:rsidRPr="00F206DB">
        <w:t xml:space="preserve">  Given the nature of these services, we will presume that all of these entities qualify as small entities under the above SBA small business size standard.</w:t>
      </w:r>
    </w:p>
    <w:p w14:paraId="6E33123C" w14:textId="77777777" w:rsidR="001E6416" w:rsidRPr="000563FE" w:rsidRDefault="001E6416" w:rsidP="00EE61F6">
      <w:pPr>
        <w:pStyle w:val="ParaNum"/>
        <w:numPr>
          <w:ilvl w:val="0"/>
          <w:numId w:val="15"/>
        </w:numPr>
        <w:snapToGrid w:val="0"/>
        <w:spacing w:after="220"/>
        <w:ind w:left="0"/>
        <w:jc w:val="both"/>
      </w:pPr>
      <w:r w:rsidRPr="000563FE">
        <w:rPr>
          <w:i/>
        </w:rPr>
        <w:t>Radio and Television Broadcasting and Wireless Communications Equipment Manufacturing.</w:t>
      </w:r>
      <w:r w:rsidRPr="000563FE">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 The SBA has developed a small business size standard for Radio and Television Broadcasting and Wireless Communications Equipment Manufacturing, which is: all such firms having 750 or fewer employees. According to Census Bureau data for 2007, there were a total of 939 establishments in this category that operated for part or all of the entire year. Of this total, 912 had less than 500 employees and 17 had more than 1000 employees. Thus, under that size standard, the majority of firms can be considered small.</w:t>
      </w:r>
    </w:p>
    <w:p w14:paraId="384F6921" w14:textId="77777777" w:rsidR="001E6416" w:rsidRPr="00726CB4" w:rsidRDefault="001E6416" w:rsidP="00EE61F6">
      <w:pPr>
        <w:pStyle w:val="ParaNum"/>
        <w:numPr>
          <w:ilvl w:val="0"/>
          <w:numId w:val="15"/>
        </w:numPr>
        <w:spacing w:after="220"/>
        <w:ind w:left="0"/>
        <w:jc w:val="both"/>
      </w:pPr>
      <w:r w:rsidRPr="000563FE">
        <w:rPr>
          <w:i/>
        </w:rPr>
        <w:t>Audio and Video Equipment Manufacturing</w:t>
      </w:r>
      <w:r w:rsidRPr="000563FE">
        <w:t>. The SBA has classified the manufacturing of audio and video equipment under in NAICS Codes classification scheme as an industry in which a manufacturer is small if it has less than 750 employees.</w:t>
      </w:r>
      <w:r w:rsidRPr="000563FE">
        <w:rPr>
          <w:vertAlign w:val="superscript"/>
        </w:rPr>
        <w:t xml:space="preserve"> </w:t>
      </w:r>
      <w:r w:rsidRPr="000563FE">
        <w:t>Data contained in the 2007 U.S. Census indicate that 492 establishments operated in that industry for all or part of that year. In that year, 488 establishments had fewer than 500 employees; and only 1 had more than 1000 employees. Thus, under the applicable size standard, a majority of manufacturers of audio and video equipment may be considered small.</w:t>
      </w:r>
    </w:p>
    <w:p w14:paraId="5980EF07" w14:textId="77777777" w:rsidR="001E6416" w:rsidRPr="00726CB4" w:rsidRDefault="001E6416" w:rsidP="00EE61F6">
      <w:pPr>
        <w:pStyle w:val="ParaNum"/>
        <w:numPr>
          <w:ilvl w:val="0"/>
          <w:numId w:val="15"/>
        </w:numPr>
        <w:snapToGrid w:val="0"/>
        <w:spacing w:after="220"/>
        <w:ind w:left="0"/>
        <w:jc w:val="both"/>
        <w:rPr>
          <w:color w:val="000000"/>
          <w:spacing w:val="-3"/>
        </w:rPr>
      </w:pPr>
      <w:r w:rsidRPr="00F206DB">
        <w:rPr>
          <w:i/>
          <w:kern w:val="0"/>
        </w:rPr>
        <w:t>Wireless Telecommunications Carriers (except satellite)</w:t>
      </w:r>
      <w:r w:rsidRPr="00F206DB">
        <w:rPr>
          <w:kern w:val="0"/>
        </w:rPr>
        <w:t xml:space="preserve">.  The Census </w:t>
      </w:r>
      <w:r w:rsidRPr="00F206DB">
        <w:t>Bureau defines this category as follows: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F206DB">
        <w:rPr>
          <w:sz w:val="20"/>
          <w:vertAlign w:val="superscript"/>
        </w:rPr>
        <w:footnoteReference w:id="373"/>
      </w:r>
      <w:r w:rsidRPr="00F206DB">
        <w:t xml:space="preserve">  The appropriate size standard under SBA rules is for the category Wireless Telecommunications Carriers (except Satellite).  The size standard for that category is that a business is small if it has 1,500 or fewer employees.</w:t>
      </w:r>
      <w:r w:rsidRPr="00F206DB">
        <w:rPr>
          <w:sz w:val="20"/>
          <w:vertAlign w:val="superscript"/>
        </w:rPr>
        <w:footnoteReference w:id="374"/>
      </w:r>
      <w:r w:rsidRPr="00F206DB">
        <w:t xml:space="preserve">  For this category, census data for 2007 show that there were 1,383 firms that operated for the entire year.</w:t>
      </w:r>
      <w:r w:rsidRPr="00F206DB">
        <w:rPr>
          <w:sz w:val="20"/>
          <w:vertAlign w:val="superscript"/>
        </w:rPr>
        <w:footnoteReference w:id="375"/>
      </w:r>
      <w:r w:rsidRPr="00F206DB">
        <w:t xml:space="preserve">  Of this total, 1,368 firms had employment of 999 or fewer employees and 15 had employment of 1000 employees or more.</w:t>
      </w:r>
      <w:r w:rsidRPr="00F206DB">
        <w:rPr>
          <w:sz w:val="20"/>
          <w:vertAlign w:val="superscript"/>
        </w:rPr>
        <w:footnoteReference w:id="376"/>
      </w:r>
      <w:r w:rsidRPr="00F206DB">
        <w:t xml:space="preserve">  Similarly, according to Commission data, 413 carriers reported that they were engaged in the provision of wireless telephony, including cellular service, PCS, and Specialized Mobile Radio (“SMR”) Telephony services.</w:t>
      </w:r>
      <w:r w:rsidRPr="00F206DB">
        <w:rPr>
          <w:sz w:val="20"/>
          <w:vertAlign w:val="superscript"/>
        </w:rPr>
        <w:footnoteReference w:id="377"/>
      </w:r>
      <w:r w:rsidRPr="00F206DB">
        <w:t xml:space="preserve">  Of these, an estimated 261 have 1,500 or fewer employees and 152 have more than 1,500 employees.</w:t>
      </w:r>
      <w:r w:rsidRPr="00F206DB">
        <w:rPr>
          <w:sz w:val="20"/>
          <w:vertAlign w:val="superscript"/>
        </w:rPr>
        <w:footnoteReference w:id="378"/>
      </w:r>
      <w:r w:rsidRPr="00F206DB">
        <w:t xml:space="preserve">  Consequently, the Commission estimates that approximately half or more of these firms can be considered small.  Thus, using available data, we estimate that the majority of wireless firms can be considered small.</w:t>
      </w:r>
    </w:p>
    <w:p w14:paraId="425EC9CB" w14:textId="77777777" w:rsidR="001E6416" w:rsidRPr="002C283B" w:rsidRDefault="001E6416" w:rsidP="001E6416">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spacing w:after="220"/>
        <w:ind w:left="720" w:hanging="720"/>
      </w:pPr>
      <w:r w:rsidRPr="002C283B">
        <w:rPr>
          <w:b/>
          <w:color w:val="000000"/>
          <w:szCs w:val="22"/>
        </w:rPr>
        <w:tab/>
        <w:t>D.</w:t>
      </w:r>
      <w:r w:rsidRPr="002C283B">
        <w:rPr>
          <w:b/>
          <w:color w:val="000000"/>
          <w:szCs w:val="22"/>
        </w:rPr>
        <w:tab/>
        <w:t>Description of Projected Reporting, Recordkeeping, and Other Compliance Requirements</w:t>
      </w:r>
    </w:p>
    <w:p w14:paraId="497039F3" w14:textId="77777777" w:rsidR="001E6416" w:rsidRDefault="001E6416" w:rsidP="00EE61F6">
      <w:pPr>
        <w:pStyle w:val="ParaNum"/>
        <w:numPr>
          <w:ilvl w:val="0"/>
          <w:numId w:val="15"/>
        </w:numPr>
        <w:snapToGrid w:val="0"/>
        <w:spacing w:after="220"/>
        <w:ind w:left="0"/>
      </w:pPr>
      <w:r w:rsidRPr="002C283B">
        <w:t xml:space="preserve">The </w:t>
      </w:r>
      <w:r w:rsidRPr="00335222">
        <w:rPr>
          <w:i/>
        </w:rPr>
        <w:t>FNPRM</w:t>
      </w:r>
      <w:r w:rsidRPr="002C283B">
        <w:t xml:space="preserve"> proposes </w:t>
      </w:r>
      <w:r>
        <w:t xml:space="preserve">to establish the following reporting, </w:t>
      </w:r>
      <w:r w:rsidRPr="002C283B">
        <w:t>recordkeeping</w:t>
      </w:r>
      <w:r>
        <w:t>,</w:t>
      </w:r>
      <w:r w:rsidRPr="002C283B">
        <w:t xml:space="preserve"> </w:t>
      </w:r>
      <w:r>
        <w:t>and compliance requirements.  All wireless providers that hold licenses to operate co-channel or adjacent channel to a television station would perform an interference analysis using the methodology in OET-74 prior to deploying a base station within the set culling distance</w:t>
      </w:r>
      <w:r w:rsidRPr="002C283B">
        <w:t>.</w:t>
      </w:r>
      <w:r>
        <w:t xml:space="preserve">  The rule proposes that wireless licensees retain the latest copy of its interference analysis for each co-channel or adjacent channel Partial Economic Area (PEA) license area where any of its base stations fall within the specified OET-74 culling distances and make the analysis available to the Commission or a subject television station upon request in cases where there are complaints of interference from either the subject television station, a station viewer or the Commission.  </w:t>
      </w:r>
      <w:r w:rsidRPr="00AD532A">
        <w:t xml:space="preserve">In addition, in the event that a television station and a 600 MHz Band wireless licensee do not reach resolution of an interference complaint, the </w:t>
      </w:r>
      <w:r w:rsidRPr="00AD532A">
        <w:rPr>
          <w:i/>
        </w:rPr>
        <w:t>FNPRM</w:t>
      </w:r>
      <w:r w:rsidRPr="00AD532A">
        <w:t xml:space="preserve"> proposes that they can submit a claim of harmful interference to the Commission.</w:t>
      </w:r>
      <w:r>
        <w:t xml:space="preserve">  The </w:t>
      </w:r>
      <w:r w:rsidRPr="00CE2BDC">
        <w:rPr>
          <w:i/>
        </w:rPr>
        <w:t>FNPRM</w:t>
      </w:r>
      <w:r>
        <w:t xml:space="preserve"> also proposes that w</w:t>
      </w:r>
      <w:r w:rsidRPr="00AD532A">
        <w:t xml:space="preserve">hen a 600 MHz Band wireless licensee files a construction notification, </w:t>
      </w:r>
      <w:r>
        <w:t>it</w:t>
      </w:r>
      <w:r w:rsidRPr="00AD532A">
        <w:t xml:space="preserve"> use the ISIX Methodology for certain interference cases and the methodology in proposed OET Bulletin 74 in another</w:t>
      </w:r>
      <w:r>
        <w:t xml:space="preserve"> interference </w:t>
      </w:r>
      <w:r w:rsidRPr="00AD532A">
        <w:t xml:space="preserve">case to demonstrate </w:t>
      </w:r>
      <w:r>
        <w:t xml:space="preserve">that it </w:t>
      </w:r>
      <w:r w:rsidRPr="00AD532A">
        <w:t xml:space="preserve">cannot serve </w:t>
      </w:r>
      <w:r>
        <w:t xml:space="preserve">its </w:t>
      </w:r>
      <w:r w:rsidRPr="00AD532A">
        <w:t>entire PEA service area, among other evidence.</w:t>
      </w:r>
      <w:r>
        <w:t xml:space="preserve">  </w:t>
      </w:r>
      <w:r w:rsidRPr="00D06334">
        <w:t xml:space="preserve">The </w:t>
      </w:r>
      <w:r w:rsidRPr="00CE2BDC">
        <w:rPr>
          <w:i/>
        </w:rPr>
        <w:t>FNPRM</w:t>
      </w:r>
      <w:r w:rsidRPr="00D06334">
        <w:t xml:space="preserve"> also tentatively concludes that broadcast licensees who operate in the 600 MHz Band can demonstrate non-interference to a wireless licensee’s service area by showing that a proposed modification will not expand its contour in the direction of a co-channel or adjacent channel wireless licensee</w:t>
      </w:r>
      <w:r w:rsidRPr="00CE2BDC">
        <w:t xml:space="preserve">.  The </w:t>
      </w:r>
      <w:r w:rsidRPr="00CE2BDC">
        <w:rPr>
          <w:i/>
        </w:rPr>
        <w:t>FNPRM</w:t>
      </w:r>
      <w:r w:rsidRPr="00CE2BDC">
        <w:t xml:space="preserve"> also proposes that, in the event that a wireless provider seeks to commence operations prior to the end of the 39-month </w:t>
      </w:r>
      <w:r>
        <w:t>t</w:t>
      </w:r>
      <w:r w:rsidRPr="00CE2BDC">
        <w:t xml:space="preserve">ransition </w:t>
      </w:r>
      <w:r>
        <w:t>p</w:t>
      </w:r>
      <w:r w:rsidRPr="00CE2BDC">
        <w:t xml:space="preserve">eriod and there are co-channel or adjacent-channel broadcast television stations in the wireless licensee’s downlink spectrum within the culling distances specified in OET-74, the wireless provider will use OET-74 to predict whether its operations will cause harmful interference to the subject television stations.  The </w:t>
      </w:r>
      <w:r w:rsidRPr="00CE2BDC">
        <w:rPr>
          <w:i/>
        </w:rPr>
        <w:t>FNPRM</w:t>
      </w:r>
      <w:r w:rsidRPr="00CE2BDC">
        <w:t xml:space="preserve"> proposes to require the wireless licensee to retain the latest copy of the OET-74 study and make it available to the Commission and to a subject television station upon request if there are complaints of interference either from a subject television station, a member of the public, or the Commission.</w:t>
      </w:r>
      <w:r w:rsidRPr="00AD532A">
        <w:t xml:space="preserve"> </w:t>
      </w:r>
      <w:r>
        <w:t xml:space="preserve">  </w:t>
      </w:r>
    </w:p>
    <w:p w14:paraId="716C0ADF" w14:textId="77777777" w:rsidR="001E6416" w:rsidRPr="002C283B" w:rsidRDefault="001E6416" w:rsidP="00EE61F6">
      <w:pPr>
        <w:widowControl/>
        <w:numPr>
          <w:ilvl w:val="0"/>
          <w:numId w:val="13"/>
        </w:numPr>
        <w:tabs>
          <w:tab w:val="clear" w:pos="720"/>
          <w:tab w:val="left" w:pos="0"/>
          <w:tab w:val="left" w:pos="1170"/>
          <w:tab w:val="num" w:pos="1440"/>
          <w:tab w:val="left" w:pos="2160"/>
          <w:tab w:val="left" w:pos="2880"/>
          <w:tab w:val="left" w:pos="3420"/>
          <w:tab w:val="left" w:pos="3690"/>
          <w:tab w:val="left" w:pos="4320"/>
          <w:tab w:val="left" w:pos="4680"/>
          <w:tab w:val="left" w:pos="5760"/>
          <w:tab w:val="left" w:pos="6570"/>
          <w:tab w:val="left" w:pos="7200"/>
        </w:tabs>
        <w:suppressAutoHyphens/>
        <w:snapToGrid w:val="0"/>
        <w:spacing w:after="220"/>
        <w:ind w:left="1440"/>
        <w:jc w:val="both"/>
        <w:rPr>
          <w:b/>
          <w:color w:val="000000"/>
        </w:rPr>
      </w:pPr>
      <w:r w:rsidRPr="002C283B">
        <w:rPr>
          <w:b/>
          <w:color w:val="000000"/>
        </w:rPr>
        <w:t>Steps Taken to Minimize Significant Economic Impact on Small Entities, and Significant Alternatives Considered</w:t>
      </w:r>
    </w:p>
    <w:p w14:paraId="58EA06EB" w14:textId="77777777" w:rsidR="001E6416" w:rsidRDefault="001E6416" w:rsidP="005B7381">
      <w:pPr>
        <w:pStyle w:val="ParaNum"/>
        <w:keepNext/>
        <w:widowControl/>
        <w:numPr>
          <w:ilvl w:val="0"/>
          <w:numId w:val="15"/>
        </w:numPr>
        <w:snapToGrid w:val="0"/>
        <w:spacing w:after="220"/>
        <w:ind w:left="0"/>
        <w:jc w:val="both"/>
      </w:pPr>
      <w:r w:rsidRPr="002C283B">
        <w:t xml:space="preserve">The RFA requires an agency to describe any significant alternatives </w:t>
      </w:r>
      <w:r w:rsidRPr="002C283B">
        <w:rPr>
          <w:color w:val="000000"/>
        </w:rPr>
        <w:t>that</w:t>
      </w:r>
      <w:r w:rsidRPr="002C283B">
        <w:t xml:space="preserve">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2C283B">
        <w:rPr>
          <w:rStyle w:val="FootnoteReference"/>
        </w:rPr>
        <w:footnoteReference w:id="379"/>
      </w:r>
    </w:p>
    <w:p w14:paraId="25185398" w14:textId="0F65896A" w:rsidR="001E6416" w:rsidRPr="00213BF2" w:rsidRDefault="001E6416" w:rsidP="00EE61F6">
      <w:pPr>
        <w:pStyle w:val="ParaNum"/>
        <w:numPr>
          <w:ilvl w:val="0"/>
          <w:numId w:val="15"/>
        </w:numPr>
        <w:snapToGrid w:val="0"/>
        <w:spacing w:after="220"/>
        <w:ind w:left="0"/>
        <w:jc w:val="both"/>
      </w:pPr>
      <w:r w:rsidRPr="00213BF2">
        <w:t>Th</w:t>
      </w:r>
      <w:r>
        <w:t>e</w:t>
      </w:r>
      <w:r w:rsidRPr="00213BF2">
        <w:t xml:space="preserve"> proposed </w:t>
      </w:r>
      <w:r>
        <w:t xml:space="preserve">reporting, </w:t>
      </w:r>
      <w:r w:rsidRPr="00213BF2">
        <w:t>recordkeeping</w:t>
      </w:r>
      <w:r>
        <w:t>, and compliance</w:t>
      </w:r>
      <w:r w:rsidRPr="00213BF2">
        <w:t xml:space="preserve"> requirement</w:t>
      </w:r>
      <w:r>
        <w:t>s</w:t>
      </w:r>
      <w:r w:rsidRPr="00213BF2">
        <w:t xml:space="preserve"> will apply to all entities in the same manner.  The Commission believes that applying the same rules equally to all entities in this context promotes fairness.  The Commission does not believe that the costs and/or administrative burdens associated with the rules will unduly burden small entities.  Wireless providers may use either the Commission’s </w:t>
      </w:r>
      <w:r w:rsidRPr="00213BF2">
        <w:rPr>
          <w:i/>
        </w:rPr>
        <w:t>TVStudy</w:t>
      </w:r>
      <w:r w:rsidRPr="00213BF2">
        <w:t xml:space="preserve"> software available for free online at </w:t>
      </w:r>
      <w:hyperlink r:id="rId35" w:history="1">
        <w:r w:rsidRPr="00213BF2">
          <w:rPr>
            <w:rStyle w:val="Hyperlink"/>
          </w:rPr>
          <w:t>http://data.fcc.gov/download/incentive-auctions/OET-69/</w:t>
        </w:r>
      </w:hyperlink>
      <w:r w:rsidRPr="00213BF2">
        <w:t xml:space="preserve"> or their own network planning software in which they can incorporate the Longley-Rice Fortran Code included with the </w:t>
      </w:r>
      <w:r w:rsidRPr="00213BF2">
        <w:rPr>
          <w:i/>
        </w:rPr>
        <w:t>TVStudy</w:t>
      </w:r>
      <w:r w:rsidRPr="00213BF2">
        <w:t xml:space="preserve"> source code, to perform the OET-74 analysis.  </w:t>
      </w:r>
    </w:p>
    <w:p w14:paraId="314BA91D" w14:textId="77777777" w:rsidR="001E6416" w:rsidRPr="002C283B" w:rsidRDefault="001E6416" w:rsidP="001E6416">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spacing w:after="220"/>
        <w:rPr>
          <w:b/>
          <w:color w:val="000000"/>
        </w:rPr>
      </w:pPr>
      <w:r w:rsidRPr="002C283B">
        <w:rPr>
          <w:b/>
          <w:color w:val="000000"/>
        </w:rPr>
        <w:tab/>
        <w:t>F.</w:t>
      </w:r>
      <w:r w:rsidRPr="002C283B">
        <w:rPr>
          <w:b/>
          <w:color w:val="000000"/>
        </w:rPr>
        <w:tab/>
        <w:t>Federal Rules that May Duplicate, Overlap, or Conflict With the Proposed Rule</w:t>
      </w:r>
    </w:p>
    <w:p w14:paraId="3EA38E88" w14:textId="77777777" w:rsidR="001E6416" w:rsidRDefault="001E6416" w:rsidP="00EE61F6">
      <w:pPr>
        <w:pStyle w:val="ParaNum"/>
        <w:widowControl/>
        <w:numPr>
          <w:ilvl w:val="0"/>
          <w:numId w:val="15"/>
        </w:numPr>
        <w:snapToGrid w:val="0"/>
        <w:spacing w:after="220"/>
        <w:ind w:left="0"/>
      </w:pPr>
      <w:r w:rsidRPr="002C283B">
        <w:t>None.</w:t>
      </w:r>
    </w:p>
    <w:p w14:paraId="5BD0E6C4" w14:textId="77777777" w:rsidR="004E1388" w:rsidRDefault="004E1388">
      <w:pPr>
        <w:widowControl/>
        <w:sectPr w:rsidR="004E1388" w:rsidSect="00CB3B44">
          <w:footnotePr>
            <w:numRestart w:val="eachSect"/>
          </w:footnotePr>
          <w:endnotePr>
            <w:numFmt w:val="decimal"/>
          </w:endnotePr>
          <w:pgSz w:w="12240" w:h="15840"/>
          <w:pgMar w:top="1440" w:right="1440" w:bottom="720" w:left="1440" w:header="720" w:footer="720" w:gutter="0"/>
          <w:cols w:space="720"/>
          <w:noEndnote/>
          <w:titlePg/>
          <w:docGrid w:linePitch="299"/>
        </w:sectPr>
      </w:pPr>
    </w:p>
    <w:p w14:paraId="2967C26C" w14:textId="77777777" w:rsidR="00853252" w:rsidRDefault="00853252" w:rsidP="00853252">
      <w:pPr>
        <w:spacing w:after="240"/>
        <w:jc w:val="center"/>
      </w:pPr>
      <w:r>
        <w:rPr>
          <w:b/>
        </w:rPr>
        <w:t>STATEMENT OF</w:t>
      </w:r>
      <w:r>
        <w:rPr>
          <w:b/>
        </w:rPr>
        <w:br/>
        <w:t>COMMISSIONER AJIT PAI</w:t>
      </w:r>
    </w:p>
    <w:p w14:paraId="0C9A779D" w14:textId="77777777" w:rsidR="00853252" w:rsidRDefault="00853252" w:rsidP="00853252">
      <w:pPr>
        <w:ind w:left="720" w:hanging="720"/>
      </w:pPr>
      <w:r>
        <w:t>Re:</w:t>
      </w:r>
      <w:r>
        <w:tab/>
      </w:r>
      <w:r w:rsidRPr="00414297">
        <w:rPr>
          <w:i/>
        </w:rPr>
        <w:t>Expanding the Economic and Innovation Opportunities of Spectrum Through Incentive Auctions</w:t>
      </w:r>
      <w:r>
        <w:t xml:space="preserve">, GN Docket No. 12-268; </w:t>
      </w:r>
      <w:r w:rsidRPr="00414297">
        <w:rPr>
          <w:i/>
        </w:rPr>
        <w:t>Office of Engineering and Technology Releases and Seeks Comment on Updated OET-69 Software</w:t>
      </w:r>
      <w:r>
        <w:t xml:space="preserve">, ET Docket No. 13-26; </w:t>
      </w:r>
      <w:r w:rsidRPr="00414297">
        <w:rPr>
          <w:i/>
        </w:rPr>
        <w:t xml:space="preserve">Office of Engineering and Technology Seeks to Supplement the Incentive Auction Proceeding Record Regarding Potential Interference Between Broadcast </w:t>
      </w:r>
      <w:r>
        <w:rPr>
          <w:i/>
        </w:rPr>
        <w:t>Television and Wireless Services</w:t>
      </w:r>
      <w:r>
        <w:t xml:space="preserve">, </w:t>
      </w:r>
      <w:r w:rsidRPr="00414297">
        <w:t>ET Docket No. 14-14</w:t>
      </w:r>
      <w:r>
        <w:t>.</w:t>
      </w:r>
    </w:p>
    <w:p w14:paraId="05F1C23C" w14:textId="77777777" w:rsidR="00853252" w:rsidRDefault="00853252" w:rsidP="00853252">
      <w:pPr>
        <w:ind w:left="720" w:hanging="720"/>
      </w:pPr>
    </w:p>
    <w:p w14:paraId="1CEB755D" w14:textId="77777777" w:rsidR="00853252" w:rsidRDefault="00853252" w:rsidP="00853252">
      <w:pPr>
        <w:ind w:firstLine="720"/>
      </w:pPr>
      <w:r>
        <w:t>During the course of this proceeding, I have urged the Commission to implement the incentive auction in a manner that is fair to all stakeholders and to respect the laws of physics.</w:t>
      </w:r>
      <w:r>
        <w:rPr>
          <w:rStyle w:val="FootnoteReference"/>
        </w:rPr>
        <w:footnoteReference w:id="380"/>
      </w:r>
      <w:r>
        <w:t xml:space="preserve">  In my view, the portions of today’s item designed to avoid inter-service interference between wireless services and broadcast television stay true to these principles.  I commend the staff for their hard work on these highly technical issues.</w:t>
      </w:r>
    </w:p>
    <w:p w14:paraId="26B51A57" w14:textId="77777777" w:rsidR="00853252" w:rsidRDefault="00853252" w:rsidP="00853252">
      <w:pPr>
        <w:ind w:firstLine="720"/>
      </w:pPr>
    </w:p>
    <w:p w14:paraId="10023486" w14:textId="77777777" w:rsidR="00853252" w:rsidRDefault="00853252" w:rsidP="00853252">
      <w:pPr>
        <w:ind w:firstLine="720"/>
      </w:pPr>
      <w:r>
        <w:t xml:space="preserve">With respect to the issue of aggregate interference, I came to this item inclined to support some type of cap.  But for two reasons, I’ve concluded that the Commission’s decision not to impose a cap is the correct one.  </w:t>
      </w:r>
      <w:r w:rsidRPr="002A6D94">
        <w:rPr>
          <w:i/>
        </w:rPr>
        <w:t>First</w:t>
      </w:r>
      <w:r>
        <w:t>, as detailed in this item,</w:t>
      </w:r>
      <w:r>
        <w:rPr>
          <w:rStyle w:val="FootnoteReference"/>
        </w:rPr>
        <w:footnoteReference w:id="381"/>
      </w:r>
      <w:r>
        <w:t xml:space="preserve"> our staff’s analysis demonstrates that few stations are likely to receive aggregate new interference above one percent as a result of the repack.  </w:t>
      </w:r>
      <w:r w:rsidRPr="001A1BCC">
        <w:t>And</w:t>
      </w:r>
      <w:r w:rsidRPr="002A6D94">
        <w:rPr>
          <w:i/>
        </w:rPr>
        <w:t xml:space="preserve"> second</w:t>
      </w:r>
      <w:r>
        <w:t>, given the auction-design decisions made by the Commission in May, an aggregate cap would substantially complicate and slow down the reverse auction.  To be sure, I did not agree with many of the decisions made back in May.  But as Idina Menzel reminds us in the Oscar-winning song “Let It Go,” “the past is in the past!”</w:t>
      </w:r>
    </w:p>
    <w:p w14:paraId="0CC04B55" w14:textId="77777777" w:rsidR="00853252" w:rsidRDefault="00853252" w:rsidP="00853252">
      <w:pPr>
        <w:ind w:firstLine="720"/>
      </w:pPr>
    </w:p>
    <w:p w14:paraId="3FA5B3F3" w14:textId="77777777" w:rsidR="00853252" w:rsidRDefault="00853252" w:rsidP="00853252">
      <w:pPr>
        <w:ind w:firstLine="720"/>
      </w:pPr>
      <w:r>
        <w:t xml:space="preserve">Finally, in recent days, broadcasters have argued that as a result of channel changes, some stations could see the population they serve reduced by 6 to 10 percent following the repack.  This is an important concern.  However, today’s item addresses whether there should be a cap on population loss caused by interference, </w:t>
      </w:r>
      <w:r w:rsidRPr="00A36166">
        <w:rPr>
          <w:i/>
        </w:rPr>
        <w:t>not</w:t>
      </w:r>
      <w:r>
        <w:t xml:space="preserve"> channel changes.  I hope we will address that concern in a future item, but in any event will vote to approve this one.</w:t>
      </w:r>
    </w:p>
    <w:p w14:paraId="6688CE85" w14:textId="77777777" w:rsidR="00853252" w:rsidRPr="002C283B" w:rsidRDefault="00853252" w:rsidP="00853252">
      <w:pPr>
        <w:pStyle w:val="ParaNum"/>
        <w:widowControl/>
        <w:numPr>
          <w:ilvl w:val="0"/>
          <w:numId w:val="0"/>
        </w:numPr>
        <w:snapToGrid w:val="0"/>
        <w:spacing w:after="220"/>
        <w:ind w:firstLine="720"/>
      </w:pPr>
    </w:p>
    <w:sectPr w:rsidR="00853252" w:rsidRPr="002C283B" w:rsidSect="004E1388">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082FB" w14:textId="77777777" w:rsidR="00850453" w:rsidRDefault="00850453">
      <w:pPr>
        <w:spacing w:line="20" w:lineRule="exact"/>
      </w:pPr>
    </w:p>
  </w:endnote>
  <w:endnote w:type="continuationSeparator" w:id="0">
    <w:p w14:paraId="07138771" w14:textId="77777777" w:rsidR="00850453" w:rsidRDefault="00850453">
      <w:r>
        <w:t xml:space="preserve"> </w:t>
      </w:r>
    </w:p>
  </w:endnote>
  <w:endnote w:type="continuationNotice" w:id="1">
    <w:p w14:paraId="0DBA1CAA" w14:textId="77777777" w:rsidR="00850453" w:rsidRDefault="008504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Rolinga Renner Extravaganza">
    <w:altName w:val="Courier New"/>
    <w:charset w:val="00"/>
    <w:family w:val="auto"/>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ADA0" w14:textId="77777777" w:rsidR="00850453" w:rsidRDefault="00850453" w:rsidP="0055614C">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2076BDD3" w14:textId="77777777" w:rsidR="00850453" w:rsidRDefault="00850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162552"/>
      <w:docPartObj>
        <w:docPartGallery w:val="Page Numbers (Bottom of Page)"/>
        <w:docPartUnique/>
      </w:docPartObj>
    </w:sdtPr>
    <w:sdtEndPr>
      <w:rPr>
        <w:noProof/>
      </w:rPr>
    </w:sdtEndPr>
    <w:sdtContent>
      <w:p w14:paraId="3BE0C735" w14:textId="77777777" w:rsidR="00850453" w:rsidRDefault="00850453">
        <w:pPr>
          <w:pStyle w:val="Footer"/>
          <w:jc w:val="center"/>
        </w:pPr>
        <w:r>
          <w:fldChar w:fldCharType="begin"/>
        </w:r>
        <w:r>
          <w:instrText xml:space="preserve"> PAGE   \* MERGEFORMAT </w:instrText>
        </w:r>
        <w:r>
          <w:fldChar w:fldCharType="separate"/>
        </w:r>
        <w:r w:rsidR="000302D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67250" w14:textId="3AA48509" w:rsidR="00850453" w:rsidRDefault="0085045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131A" w14:textId="77777777" w:rsidR="00850453" w:rsidRDefault="00850453" w:rsidP="0055614C">
    <w:pPr>
      <w:pStyle w:val="Footer"/>
      <w:framePr w:wrap="around" w:vAnchor="text" w:hAnchor="margin" w:xAlign="center" w:y="1"/>
    </w:pPr>
    <w:r>
      <w:fldChar w:fldCharType="begin"/>
    </w:r>
    <w:r>
      <w:instrText xml:space="preserve">PAGE  </w:instrText>
    </w:r>
    <w:r>
      <w:fldChar w:fldCharType="separate"/>
    </w:r>
    <w:r w:rsidR="00A75CDC">
      <w:rPr>
        <w:noProof/>
      </w:rPr>
      <w:t>97</w:t>
    </w:r>
    <w:r>
      <w:fldChar w:fldCharType="end"/>
    </w:r>
  </w:p>
  <w:p w14:paraId="302A8AB6" w14:textId="77777777" w:rsidR="00850453" w:rsidRDefault="00850453">
    <w:pPr>
      <w:suppressAutoHyphens/>
      <w:spacing w:line="227"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93357"/>
      <w:docPartObj>
        <w:docPartGallery w:val="Page Numbers (Bottom of Page)"/>
        <w:docPartUnique/>
      </w:docPartObj>
    </w:sdtPr>
    <w:sdtEndPr>
      <w:rPr>
        <w:noProof/>
      </w:rPr>
    </w:sdtEndPr>
    <w:sdtContent>
      <w:p w14:paraId="1C53C96E" w14:textId="77777777" w:rsidR="00850453" w:rsidRDefault="00850453">
        <w:pPr>
          <w:pStyle w:val="Footer"/>
          <w:jc w:val="center"/>
        </w:pPr>
        <w:r>
          <w:fldChar w:fldCharType="begin"/>
        </w:r>
        <w:r>
          <w:instrText xml:space="preserve"> PAGE   \* MERGEFORMAT </w:instrText>
        </w:r>
        <w:r>
          <w:fldChar w:fldCharType="separate"/>
        </w:r>
        <w:r w:rsidR="00A75CDC">
          <w:rPr>
            <w:noProof/>
          </w:rPr>
          <w:t>98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FC13" w14:textId="77777777" w:rsidR="00850453" w:rsidRDefault="00850453">
      <w:r>
        <w:separator/>
      </w:r>
    </w:p>
  </w:footnote>
  <w:footnote w:type="continuationSeparator" w:id="0">
    <w:p w14:paraId="220C5B73" w14:textId="77777777" w:rsidR="00850453" w:rsidRDefault="00850453" w:rsidP="00C721AC">
      <w:pPr>
        <w:spacing w:before="120"/>
        <w:rPr>
          <w:sz w:val="20"/>
        </w:rPr>
      </w:pPr>
      <w:r>
        <w:rPr>
          <w:sz w:val="20"/>
        </w:rPr>
        <w:t xml:space="preserve">(Continued from previous page)  </w:t>
      </w:r>
      <w:r>
        <w:rPr>
          <w:sz w:val="20"/>
        </w:rPr>
        <w:separator/>
      </w:r>
    </w:p>
  </w:footnote>
  <w:footnote w:type="continuationNotice" w:id="1">
    <w:p w14:paraId="26C5D01D" w14:textId="77777777" w:rsidR="00850453" w:rsidRDefault="00850453" w:rsidP="00C721AC">
      <w:pPr>
        <w:jc w:val="right"/>
        <w:rPr>
          <w:sz w:val="20"/>
        </w:rPr>
      </w:pPr>
      <w:r>
        <w:rPr>
          <w:sz w:val="20"/>
        </w:rPr>
        <w:t>(continued….)</w:t>
      </w:r>
    </w:p>
  </w:footnote>
  <w:footnote w:id="2">
    <w:p w14:paraId="75908470" w14:textId="77777777" w:rsidR="00850453" w:rsidRDefault="00850453" w:rsidP="005B10F9">
      <w:pPr>
        <w:pStyle w:val="FootnoteText"/>
      </w:pPr>
      <w:r>
        <w:rPr>
          <w:rStyle w:val="FootnoteReference"/>
        </w:rPr>
        <w:footnoteRef/>
      </w:r>
      <w:r>
        <w:t xml:space="preserve"> </w:t>
      </w:r>
      <w:r>
        <w:rPr>
          <w:i/>
        </w:rPr>
        <w:t xml:space="preserve">See </w:t>
      </w:r>
      <w:r w:rsidRPr="004B69BB">
        <w:rPr>
          <w:i/>
        </w:rPr>
        <w:t>Expanding the Economic</w:t>
      </w:r>
      <w:r>
        <w:rPr>
          <w:i/>
        </w:rPr>
        <w:t xml:space="preserve"> </w:t>
      </w:r>
      <w:r w:rsidRPr="004B69BB">
        <w:rPr>
          <w:i/>
        </w:rPr>
        <w:t xml:space="preserve">and Innovation Opportunities of Spectrum Through Incentive Auctions, </w:t>
      </w:r>
      <w:r w:rsidRPr="004B69BB">
        <w:t xml:space="preserve">GN Docket No. 12-268, </w:t>
      </w:r>
      <w:r>
        <w:t>Report and Order</w:t>
      </w:r>
      <w:r w:rsidRPr="004B69BB">
        <w:t>, 2</w:t>
      </w:r>
      <w:r>
        <w:t>9</w:t>
      </w:r>
      <w:r w:rsidRPr="004B69BB">
        <w:t xml:space="preserve"> FCC Rcd </w:t>
      </w:r>
      <w:r>
        <w:t xml:space="preserve">6567 </w:t>
      </w:r>
      <w:r w:rsidRPr="004B69BB">
        <w:t>(201</w:t>
      </w:r>
      <w:r>
        <w:t>4</w:t>
      </w:r>
      <w:r w:rsidRPr="004B69BB">
        <w:t>) (</w:t>
      </w:r>
      <w:r>
        <w:rPr>
          <w:i/>
        </w:rPr>
        <w:t>Incentive Auction R&amp;O</w:t>
      </w:r>
      <w:r w:rsidRPr="004B69BB">
        <w:t>).</w:t>
      </w:r>
    </w:p>
  </w:footnote>
  <w:footnote w:id="3">
    <w:p w14:paraId="4435B7F2" w14:textId="77777777" w:rsidR="00850453" w:rsidRPr="009278BF" w:rsidRDefault="00850453" w:rsidP="00F07005">
      <w:pPr>
        <w:pStyle w:val="FootnoteText"/>
      </w:pPr>
      <w:r>
        <w:rPr>
          <w:rStyle w:val="FootnoteReference"/>
        </w:rPr>
        <w:footnoteRef/>
      </w:r>
      <w:r>
        <w:t xml:space="preserve"> </w:t>
      </w:r>
      <w:r>
        <w:rPr>
          <w:i/>
        </w:rPr>
        <w:t xml:space="preserve">See id. </w:t>
      </w:r>
      <w:r>
        <w:t xml:space="preserve">at 6651, para. 182.  We adopted a 0.5 percent “pairwise” or station-to-station limit on any new interference as a result of the repacking process in the </w:t>
      </w:r>
      <w:r>
        <w:rPr>
          <w:i/>
        </w:rPr>
        <w:t>Incentive Auction R&amp;O</w:t>
      </w:r>
      <w:r>
        <w:t xml:space="preserve">.  </w:t>
      </w:r>
      <w:r>
        <w:rPr>
          <w:i/>
        </w:rPr>
        <w:t xml:space="preserve">See id. </w:t>
      </w:r>
      <w:r>
        <w:t xml:space="preserve">at 6649-51, paras. 179-81. </w:t>
      </w:r>
    </w:p>
  </w:footnote>
  <w:footnote w:id="4">
    <w:p w14:paraId="5BDE911C" w14:textId="77777777" w:rsidR="00850453" w:rsidRPr="00380B69" w:rsidRDefault="00850453" w:rsidP="00F07005">
      <w:pPr>
        <w:pStyle w:val="FootnoteText"/>
      </w:pPr>
      <w:r>
        <w:rPr>
          <w:rStyle w:val="FootnoteReference"/>
        </w:rPr>
        <w:footnoteRef/>
      </w:r>
      <w:r>
        <w:t xml:space="preserve"> </w:t>
      </w:r>
      <w:r>
        <w:rPr>
          <w:i/>
        </w:rPr>
        <w:t xml:space="preserve">See id. </w:t>
      </w:r>
      <w:r>
        <w:t xml:space="preserve">at 6605-6, paras. 82-84.  We will address the specific uses to be made of the interference predictions in the forthcoming </w:t>
      </w:r>
      <w:r>
        <w:rPr>
          <w:i/>
        </w:rPr>
        <w:t xml:space="preserve">Comment PN </w:t>
      </w:r>
      <w:r>
        <w:t xml:space="preserve">on final auction procedures.  </w:t>
      </w:r>
      <w:r>
        <w:rPr>
          <w:i/>
        </w:rPr>
        <w:t>See infra</w:t>
      </w:r>
      <w:r>
        <w:t xml:space="preserve"> note </w:t>
      </w:r>
      <w:r>
        <w:fldChar w:fldCharType="begin"/>
      </w:r>
      <w:r>
        <w:instrText xml:space="preserve"> NOTEREF _Ref271552171 \h </w:instrText>
      </w:r>
      <w:r>
        <w:fldChar w:fldCharType="separate"/>
      </w:r>
      <w:r>
        <w:t>79</w:t>
      </w:r>
      <w:r>
        <w:fldChar w:fldCharType="end"/>
      </w:r>
      <w:r>
        <w:t>.</w:t>
      </w:r>
    </w:p>
  </w:footnote>
  <w:footnote w:id="5">
    <w:p w14:paraId="0471C2FB" w14:textId="77777777" w:rsidR="00850453" w:rsidRPr="002136F9" w:rsidRDefault="00850453" w:rsidP="00F07005">
      <w:pPr>
        <w:pStyle w:val="FootnoteText"/>
      </w:pPr>
      <w:r>
        <w:rPr>
          <w:rStyle w:val="FootnoteReference"/>
        </w:rPr>
        <w:footnoteRef/>
      </w:r>
      <w:r>
        <w:t xml:space="preserve"> </w:t>
      </w:r>
      <w:r>
        <w:rPr>
          <w:i/>
        </w:rPr>
        <w:t>See Incentive Auction R&amp;O</w:t>
      </w:r>
      <w:r>
        <w:t>, 29 FCC Rcd</w:t>
      </w:r>
      <w:r>
        <w:rPr>
          <w:i/>
        </w:rPr>
        <w:t xml:space="preserve"> </w:t>
      </w:r>
      <w:r>
        <w:t xml:space="preserve">at 6605-6, paras. 82-84.  The “600 MHz Band” refers to UHF spectrum that will be repurposed for new, flexible uses following the incentive auction.  </w:t>
      </w:r>
      <w:r>
        <w:rPr>
          <w:i/>
        </w:rPr>
        <w:t xml:space="preserve">See id. </w:t>
      </w:r>
      <w:r>
        <w:t xml:space="preserve">at  6571, para. 5.   </w:t>
      </w:r>
    </w:p>
  </w:footnote>
  <w:footnote w:id="6">
    <w:p w14:paraId="1B51C890" w14:textId="77777777" w:rsidR="00850453" w:rsidRPr="00820467" w:rsidRDefault="00850453" w:rsidP="00B5229B">
      <w:pPr>
        <w:pStyle w:val="FootnoteText"/>
      </w:pPr>
      <w:r w:rsidRPr="00820467">
        <w:rPr>
          <w:rStyle w:val="FootnoteReference"/>
        </w:rPr>
        <w:footnoteRef/>
      </w:r>
      <w:r w:rsidRPr="00820467">
        <w:t xml:space="preserve"> </w:t>
      </w:r>
      <w:r>
        <w:rPr>
          <w:i/>
        </w:rPr>
        <w:t xml:space="preserve">See id </w:t>
      </w:r>
      <w:r>
        <w:t>at 6649, para. 178.</w:t>
      </w:r>
    </w:p>
  </w:footnote>
  <w:footnote w:id="7">
    <w:p w14:paraId="2B880AB0" w14:textId="77777777" w:rsidR="00850453" w:rsidRDefault="00850453">
      <w:pPr>
        <w:pStyle w:val="FootnoteText"/>
      </w:pPr>
      <w:r>
        <w:rPr>
          <w:rStyle w:val="FootnoteReference"/>
        </w:rPr>
        <w:footnoteRef/>
      </w:r>
      <w:r>
        <w:t xml:space="preserve"> </w:t>
      </w:r>
      <w:r w:rsidRPr="00A3136A">
        <w:rPr>
          <w:i/>
        </w:rPr>
        <w:t>See</w:t>
      </w:r>
      <w:r w:rsidRPr="00420A99">
        <w:t xml:space="preserve"> Middle Class Tax Relief and Job Creation Act</w:t>
      </w:r>
      <w:r>
        <w:t xml:space="preserve"> of 2012, Pub. L. No. 112-96, § 6403(b)(2)</w:t>
      </w:r>
      <w:r w:rsidRPr="00420A99">
        <w:t xml:space="preserve"> (codified at 47 U.S.C. § 1452), 126 Stat. 156 (2012) (Spectrum Act)</w:t>
      </w:r>
      <w:r>
        <w:t>.</w:t>
      </w:r>
    </w:p>
  </w:footnote>
  <w:footnote w:id="8">
    <w:p w14:paraId="1D0EDBA1" w14:textId="77777777" w:rsidR="00850453" w:rsidRDefault="00850453" w:rsidP="00B5229B">
      <w:pPr>
        <w:pStyle w:val="FootnoteText"/>
      </w:pPr>
      <w:r>
        <w:rPr>
          <w:rStyle w:val="FootnoteReference"/>
        </w:rPr>
        <w:footnoteRef/>
      </w:r>
      <w:r>
        <w:t xml:space="preserve"> </w:t>
      </w:r>
      <w:r w:rsidRPr="006A744E">
        <w:rPr>
          <w:i/>
        </w:rPr>
        <w:t>Id</w:t>
      </w:r>
      <w:r>
        <w:t>.</w:t>
      </w:r>
    </w:p>
  </w:footnote>
  <w:footnote w:id="9">
    <w:p w14:paraId="5E0C7339" w14:textId="77777777" w:rsidR="00850453" w:rsidRPr="00C71549" w:rsidRDefault="00850453" w:rsidP="00B5229B">
      <w:pPr>
        <w:pStyle w:val="FootnoteText"/>
      </w:pPr>
      <w:r>
        <w:rPr>
          <w:rStyle w:val="FootnoteReference"/>
        </w:rPr>
        <w:footnoteRef/>
      </w:r>
      <w:r>
        <w:t xml:space="preserve"> </w:t>
      </w:r>
      <w:r>
        <w:rPr>
          <w:i/>
        </w:rPr>
        <w:t>Incentive Auction R&amp;O</w:t>
      </w:r>
      <w:r>
        <w:t xml:space="preserve">, 29 FCC Rcd at 6622-23, para. 122.  </w:t>
      </w:r>
      <w:r>
        <w:rPr>
          <w:i/>
        </w:rPr>
        <w:t xml:space="preserve">See id. </w:t>
      </w:r>
      <w:r>
        <w:t>at 6623-24, para. 123.</w:t>
      </w:r>
    </w:p>
  </w:footnote>
  <w:footnote w:id="10">
    <w:p w14:paraId="1EAD3357" w14:textId="77777777" w:rsidR="00850453" w:rsidRPr="00820467" w:rsidRDefault="00850453" w:rsidP="00B5229B">
      <w:pPr>
        <w:pStyle w:val="FootnoteText"/>
      </w:pPr>
      <w:r w:rsidRPr="00820467">
        <w:rPr>
          <w:rStyle w:val="FootnoteReference"/>
        </w:rPr>
        <w:footnoteRef/>
      </w:r>
      <w:r w:rsidRPr="00820467">
        <w:t xml:space="preserve"> </w:t>
      </w:r>
      <w:r>
        <w:rPr>
          <w:i/>
        </w:rPr>
        <w:t>Id.</w:t>
      </w:r>
      <w:r>
        <w:t xml:space="preserve"> at 6649, para. 178.</w:t>
      </w:r>
    </w:p>
  </w:footnote>
  <w:footnote w:id="11">
    <w:p w14:paraId="75975E14" w14:textId="77777777" w:rsidR="00850453" w:rsidRPr="003905F9" w:rsidRDefault="00850453" w:rsidP="00B5229B">
      <w:pPr>
        <w:pStyle w:val="FootnoteText"/>
      </w:pPr>
      <w:r>
        <w:rPr>
          <w:rStyle w:val="FootnoteReference"/>
        </w:rPr>
        <w:footnoteRef/>
      </w:r>
      <w:r>
        <w:t xml:space="preserve"> </w:t>
      </w:r>
      <w:r>
        <w:rPr>
          <w:i/>
        </w:rPr>
        <w:t>Id.</w:t>
      </w:r>
      <w:r>
        <w:t xml:space="preserve"> at 6649, para. 178 n.598.</w:t>
      </w:r>
    </w:p>
  </w:footnote>
  <w:footnote w:id="12">
    <w:p w14:paraId="4B011E6D" w14:textId="77777777" w:rsidR="00850453" w:rsidRDefault="00850453" w:rsidP="00B5229B">
      <w:pPr>
        <w:pStyle w:val="FootnoteText"/>
      </w:pPr>
      <w:r>
        <w:rPr>
          <w:rStyle w:val="FootnoteReference"/>
        </w:rPr>
        <w:footnoteRef/>
      </w:r>
      <w:r>
        <w:t xml:space="preserve"> </w:t>
      </w:r>
      <w:r>
        <w:rPr>
          <w:i/>
        </w:rPr>
        <w:t>Id.</w:t>
      </w:r>
      <w:r>
        <w:t xml:space="preserve"> at 6651, para. 182.  </w:t>
      </w:r>
      <w:r>
        <w:rPr>
          <w:i/>
        </w:rPr>
        <w:t xml:space="preserve">See </w:t>
      </w:r>
      <w:r w:rsidRPr="00840BE9">
        <w:t xml:space="preserve">Comments of the National Association of Broadcasters, GN Docket No. 12-268 at 20-21 (filed Jan. 25, 2013) (NAB </w:t>
      </w:r>
      <w:r>
        <w:t xml:space="preserve">NPRM </w:t>
      </w:r>
      <w:r w:rsidRPr="00840BE9">
        <w:t>Comments)</w:t>
      </w:r>
      <w:r>
        <w:t xml:space="preserve">; </w:t>
      </w:r>
      <w:r w:rsidRPr="00C812C7">
        <w:rPr>
          <w:i/>
        </w:rPr>
        <w:t>see also</w:t>
      </w:r>
      <w:r>
        <w:t xml:space="preserve"> </w:t>
      </w:r>
      <w:r w:rsidRPr="00840BE9">
        <w:t xml:space="preserve">Comments of ABC Television Affiliates Association et al., GN Docket No. 12-268 at 3 (filed Jan. 25, 2013); Comments of Univision Communications, GN Docket No. 12-268 at 7 (filed Jan. 25, 2013); Comments of Belo Corp., GN Docket No. 12-268 at 14-15 (filed Jan. 25, 2013); </w:t>
      </w:r>
      <w:r>
        <w:t xml:space="preserve">Comments of Tribune Co., GN Docket No. 12-268 at 17 (filed Jan. 25, 2013); Comments of the Broadcast Networks, GN Docket No. 12-268, at 7 (filed Jan. 25, 2013) (Broadcast Networks NPRM Comments); </w:t>
      </w:r>
      <w:r w:rsidRPr="00840BE9">
        <w:t>Reply Comments of the National Association of Broadcasters, GN Docket No. 12-268 at 43-44 (filed Mar. 12, 2013).</w:t>
      </w:r>
    </w:p>
  </w:footnote>
  <w:footnote w:id="13">
    <w:p w14:paraId="04F90A80" w14:textId="77777777" w:rsidR="00850453" w:rsidRDefault="00850453" w:rsidP="00B5229B">
      <w:pPr>
        <w:pStyle w:val="FootnoteText"/>
      </w:pPr>
      <w:r>
        <w:rPr>
          <w:rStyle w:val="FootnoteReference"/>
        </w:rPr>
        <w:footnoteRef/>
      </w:r>
      <w:r>
        <w:t xml:space="preserve"> </w:t>
      </w:r>
      <w:r>
        <w:rPr>
          <w:i/>
        </w:rPr>
        <w:t>Incentive Auction R&amp;O</w:t>
      </w:r>
      <w:r>
        <w:t xml:space="preserve">, 29 FCC Rcd at 6651, para. 182.  </w:t>
      </w:r>
      <w:r w:rsidRPr="0068582C">
        <w:rPr>
          <w:i/>
        </w:rPr>
        <w:t>See</w:t>
      </w:r>
      <w:r w:rsidRPr="0068582C">
        <w:t xml:space="preserve"> NAB NPRM Comments at 20-21; </w:t>
      </w:r>
      <w:r w:rsidRPr="00820467">
        <w:t>Comments of ABC Televisi</w:t>
      </w:r>
      <w:r>
        <w:t xml:space="preserve">on Affiliates Association </w:t>
      </w:r>
      <w:r w:rsidRPr="00820467">
        <w:t>at 3</w:t>
      </w:r>
      <w:r>
        <w:t xml:space="preserve"> (filed Jan. 25, 2013)</w:t>
      </w:r>
      <w:r w:rsidRPr="00820467">
        <w:t>; Comments of Univision Communications</w:t>
      </w:r>
      <w:r>
        <w:t xml:space="preserve"> </w:t>
      </w:r>
      <w:r w:rsidRPr="00820467">
        <w:t>at 7</w:t>
      </w:r>
      <w:r>
        <w:t xml:space="preserve"> (filed Jan. 25, 2013)</w:t>
      </w:r>
      <w:r w:rsidRPr="00820467">
        <w:t>; Comments of Belo Corp. at 14-15</w:t>
      </w:r>
      <w:r>
        <w:t xml:space="preserve"> (filed Jan. 25, 2013)</w:t>
      </w:r>
      <w:r w:rsidRPr="00820467">
        <w:t>;</w:t>
      </w:r>
      <w:r>
        <w:t xml:space="preserve"> </w:t>
      </w:r>
      <w:r w:rsidRPr="00820467">
        <w:t>Reply</w:t>
      </w:r>
      <w:r>
        <w:t xml:space="preserve"> Comments of the National Association of Broadcasters</w:t>
      </w:r>
      <w:r w:rsidRPr="00820467">
        <w:t xml:space="preserve"> at 43-44</w:t>
      </w:r>
      <w:r>
        <w:t xml:space="preserve"> (filed Mar. 12, 2013)</w:t>
      </w:r>
      <w:r w:rsidRPr="00820467">
        <w:t>.</w:t>
      </w:r>
    </w:p>
  </w:footnote>
  <w:footnote w:id="14">
    <w:p w14:paraId="61148E3D" w14:textId="77777777" w:rsidR="00850453" w:rsidRDefault="00850453" w:rsidP="00B5229B">
      <w:pPr>
        <w:pStyle w:val="FootnoteText"/>
      </w:pPr>
      <w:r>
        <w:rPr>
          <w:rStyle w:val="FootnoteReference"/>
        </w:rPr>
        <w:footnoteRef/>
      </w:r>
      <w:r>
        <w:t xml:space="preserve"> </w:t>
      </w:r>
      <w:r>
        <w:rPr>
          <w:i/>
        </w:rPr>
        <w:t>Incentive Auction R&amp;O</w:t>
      </w:r>
      <w:r>
        <w:t>, 29 FCC Rcd at 6651, para. 182 (quoting</w:t>
      </w:r>
      <w:r>
        <w:rPr>
          <w:i/>
        </w:rPr>
        <w:t xml:space="preserve"> </w:t>
      </w:r>
      <w:r>
        <w:t>NAB NPRM Comments at 20-21).</w:t>
      </w:r>
    </w:p>
  </w:footnote>
  <w:footnote w:id="15">
    <w:p w14:paraId="6CA1ADC6" w14:textId="77777777" w:rsidR="00850453" w:rsidRDefault="00850453" w:rsidP="00B5229B">
      <w:pPr>
        <w:pStyle w:val="FootnoteText"/>
      </w:pPr>
      <w:r>
        <w:rPr>
          <w:rStyle w:val="FootnoteReference"/>
        </w:rPr>
        <w:footnoteRef/>
      </w:r>
      <w:r>
        <w:t xml:space="preserve"> NAB NPRM Comments at 21.</w:t>
      </w:r>
    </w:p>
  </w:footnote>
  <w:footnote w:id="16">
    <w:p w14:paraId="11946930" w14:textId="77777777" w:rsidR="00850453" w:rsidRPr="00B577DE" w:rsidRDefault="00850453" w:rsidP="00B5229B">
      <w:pPr>
        <w:pStyle w:val="FootnoteText"/>
      </w:pPr>
      <w:r>
        <w:rPr>
          <w:rStyle w:val="FootnoteReference"/>
        </w:rPr>
        <w:footnoteRef/>
      </w:r>
      <w:r>
        <w:t xml:space="preserve"> </w:t>
      </w:r>
      <w:r>
        <w:rPr>
          <w:i/>
        </w:rPr>
        <w:t>Incentive Auction R&amp;O</w:t>
      </w:r>
      <w:r>
        <w:t>, 29 FCC Rcd at 6651, para. 182.</w:t>
      </w:r>
    </w:p>
  </w:footnote>
  <w:footnote w:id="17">
    <w:p w14:paraId="05940B6A" w14:textId="77777777" w:rsidR="00850453" w:rsidRDefault="00850453" w:rsidP="00B5229B">
      <w:pPr>
        <w:pStyle w:val="FootnoteText"/>
      </w:pPr>
      <w:r>
        <w:rPr>
          <w:rStyle w:val="FootnoteReference"/>
        </w:rPr>
        <w:footnoteRef/>
      </w:r>
      <w:r>
        <w:t xml:space="preserve"> </w:t>
      </w:r>
      <w:r w:rsidRPr="00C812C7">
        <w:rPr>
          <w:i/>
        </w:rPr>
        <w:t>Incentive Auction Task Force Releases Updated Constraint File Data Using Actual Channels and Staff Analysis Regarding Pairwise Approach to Preserving Population Served</w:t>
      </w:r>
      <w:r>
        <w:t>, GN Docket No. 12-268, ET Docket No. 13-26, Public Notice, 29 FCC Rcd 5687 (June 2, 2014) (</w:t>
      </w:r>
      <w:r w:rsidRPr="00C812C7">
        <w:rPr>
          <w:i/>
        </w:rPr>
        <w:t>Aggregate Interference PN</w:t>
      </w:r>
      <w:r>
        <w:t>).</w:t>
      </w:r>
    </w:p>
  </w:footnote>
  <w:footnote w:id="18">
    <w:p w14:paraId="1B86A518" w14:textId="77777777" w:rsidR="00850453" w:rsidRPr="00632BDE" w:rsidRDefault="00850453" w:rsidP="00B5229B">
      <w:pPr>
        <w:pStyle w:val="FootnoteText"/>
      </w:pPr>
      <w:r>
        <w:rPr>
          <w:rStyle w:val="FootnoteReference"/>
        </w:rPr>
        <w:footnoteRef/>
      </w:r>
      <w:r>
        <w:t xml:space="preserve"> The updated constraint files were released in conjunction with the </w:t>
      </w:r>
      <w:r>
        <w:rPr>
          <w:i/>
        </w:rPr>
        <w:t>Aggregate Interference PN</w:t>
      </w:r>
      <w:r>
        <w:t xml:space="preserve">.  Each constraint file includes a “domain” file and an “interference-paired” file.  </w:t>
      </w:r>
      <w:r>
        <w:rPr>
          <w:i/>
        </w:rPr>
        <w:t xml:space="preserve">See </w:t>
      </w:r>
      <w:r w:rsidRPr="005B4C0E">
        <w:rPr>
          <w:i/>
        </w:rPr>
        <w:t>Incenti</w:t>
      </w:r>
      <w:r w:rsidRPr="00181AFC">
        <w:rPr>
          <w:i/>
        </w:rPr>
        <w:t>ve Auction R&amp;O</w:t>
      </w:r>
      <w:r>
        <w:t xml:space="preserve">, 29 FCC Rcd at 6619-20, para. 114.  </w:t>
      </w:r>
      <w:r>
        <w:rPr>
          <w:i/>
        </w:rPr>
        <w:t>See also infra</w:t>
      </w:r>
      <w:r>
        <w:t xml:space="preserve"> para. </w:t>
      </w:r>
      <w:r>
        <w:fldChar w:fldCharType="begin"/>
      </w:r>
      <w:r>
        <w:instrText xml:space="preserve"> REF _Ref269556992 \r \h </w:instrText>
      </w:r>
      <w:r>
        <w:fldChar w:fldCharType="separate"/>
      </w:r>
      <w:r>
        <w:t>8</w:t>
      </w:r>
      <w:r>
        <w:fldChar w:fldCharType="end"/>
      </w:r>
      <w:r>
        <w:t xml:space="preserve">.  The updated constraint files were based on calculations of the coverage of a station and the interference between stations replicated on “actual channels,” or every possible channel that could be assigned to a station during the repacking process (as opposed to a single proxy channel).  </w:t>
      </w:r>
      <w:r>
        <w:rPr>
          <w:i/>
        </w:rPr>
        <w:t>See Aggregate Interference PN</w:t>
      </w:r>
      <w:r>
        <w:t>, 29 FCC Rcd at 5689.</w:t>
      </w:r>
    </w:p>
  </w:footnote>
  <w:footnote w:id="19">
    <w:p w14:paraId="17785D6B" w14:textId="77777777" w:rsidR="00850453" w:rsidRPr="00E20CEC" w:rsidRDefault="00850453" w:rsidP="00B5229B">
      <w:pPr>
        <w:pStyle w:val="FootnoteText"/>
        <w:rPr>
          <w:i/>
        </w:rPr>
      </w:pPr>
      <w:r>
        <w:rPr>
          <w:rStyle w:val="FootnoteReference"/>
        </w:rPr>
        <w:footnoteRef/>
      </w:r>
      <w:r>
        <w:t xml:space="preserve"> </w:t>
      </w:r>
      <w:r w:rsidRPr="00573FDB">
        <w:rPr>
          <w:i/>
        </w:rPr>
        <w:t>Aggregate Interference PN</w:t>
      </w:r>
      <w:r>
        <w:t xml:space="preserve">, 29 FCC Rcd at 5204-04, Appendix.  Because the amount of spectrum recovered in the incentive auction depends on a number of factors, </w:t>
      </w:r>
      <w:r>
        <w:rPr>
          <w:i/>
        </w:rPr>
        <w:t>Incentive Auction R&amp;O</w:t>
      </w:r>
      <w:r>
        <w:t xml:space="preserve"> adopted a 600 MHz Band Plan that includes a number of specific band plans for different spectrum recovery scenarios.  </w:t>
      </w:r>
      <w:r>
        <w:rPr>
          <w:i/>
        </w:rPr>
        <w:t>See Incentive Auction R&amp;O</w:t>
      </w:r>
      <w:r>
        <w:t xml:space="preserve">, 29 FCC Rcd at 7018-25, App. C, paras. 117-40.  </w:t>
      </w:r>
    </w:p>
  </w:footnote>
  <w:footnote w:id="20">
    <w:p w14:paraId="7FA48139" w14:textId="77777777" w:rsidR="00850453" w:rsidRDefault="00850453" w:rsidP="00B5229B">
      <w:pPr>
        <w:pStyle w:val="FootnoteText"/>
      </w:pPr>
      <w:r>
        <w:rPr>
          <w:rStyle w:val="FootnoteReference"/>
        </w:rPr>
        <w:footnoteRef/>
      </w:r>
      <w:r>
        <w:rPr>
          <w:rFonts w:eastAsia="Calibri"/>
        </w:rPr>
        <w:t xml:space="preserve"> </w:t>
      </w:r>
      <w:r>
        <w:t xml:space="preserve">In response to a subsequent request by NAB, the staff released the raw results of its full simulations.  </w:t>
      </w:r>
      <w:r w:rsidRPr="008779B8">
        <w:rPr>
          <w:i/>
        </w:rPr>
        <w:t>See</w:t>
      </w:r>
      <w:r>
        <w:t xml:space="preserve"> Letter from Gary Epstein, Chair, Incentive Auction Task Force, to Rick Kaplan, Executive Vice President, Strategic Planning, NAB, GN Docket No. 12-268, ET Docket No. 13-26 (filed June 30, 2014).  These results are also available on the LEARN website, http://fcc.gov/learn, under the Repacking section, or directly at </w:t>
      </w:r>
      <w:r w:rsidRPr="006F6AC3">
        <w:t>http://data.fcc.gov/download/incentive-auctions/Simulation_Results/</w:t>
      </w:r>
      <w:r>
        <w:t>.</w:t>
      </w:r>
    </w:p>
  </w:footnote>
  <w:footnote w:id="21">
    <w:p w14:paraId="64FE601D" w14:textId="77777777" w:rsidR="00850453" w:rsidRPr="00103B0E" w:rsidRDefault="00850453" w:rsidP="00B5229B">
      <w:pPr>
        <w:pStyle w:val="FootnoteText"/>
      </w:pPr>
      <w:r w:rsidRPr="00103B0E">
        <w:rPr>
          <w:rStyle w:val="FootnoteReference"/>
        </w:rPr>
        <w:footnoteRef/>
      </w:r>
      <w:r w:rsidRPr="00103B0E">
        <w:t xml:space="preserve"> </w:t>
      </w:r>
      <w:r w:rsidRPr="00D826B6">
        <w:rPr>
          <w:i/>
        </w:rPr>
        <w:t>Aggregate Interference PN</w:t>
      </w:r>
      <w:r>
        <w:t>, 29 FCC Rcd at 5705-08, Appendix.</w:t>
      </w:r>
    </w:p>
  </w:footnote>
  <w:footnote w:id="22">
    <w:p w14:paraId="0DBA34D8" w14:textId="77777777" w:rsidR="00850453" w:rsidRPr="00103B0E" w:rsidRDefault="00850453" w:rsidP="00B5229B">
      <w:pPr>
        <w:pStyle w:val="FootnoteText"/>
      </w:pPr>
      <w:r w:rsidRPr="00103B0E">
        <w:rPr>
          <w:rStyle w:val="FootnoteReference"/>
        </w:rPr>
        <w:footnoteRef/>
      </w:r>
      <w:r w:rsidRPr="00103B0E">
        <w:t xml:space="preserve"> </w:t>
      </w:r>
      <w:r>
        <w:rPr>
          <w:i/>
        </w:rPr>
        <w:t>Id</w:t>
      </w:r>
      <w:r>
        <w:t>.  The remaining 11 percent of stations were predicted to receive between 0.5 and 1 percent aggregate new interference.</w:t>
      </w:r>
    </w:p>
  </w:footnote>
  <w:footnote w:id="23">
    <w:p w14:paraId="3B8A030F" w14:textId="77777777" w:rsidR="00850453" w:rsidRDefault="00850453" w:rsidP="00B5229B">
      <w:pPr>
        <w:pStyle w:val="FootnoteText"/>
      </w:pPr>
      <w:r>
        <w:rPr>
          <w:rStyle w:val="FootnoteReference"/>
        </w:rPr>
        <w:footnoteRef/>
      </w:r>
      <w:r>
        <w:t xml:space="preserve"> </w:t>
      </w:r>
      <w:r>
        <w:rPr>
          <w:i/>
        </w:rPr>
        <w:t>See</w:t>
      </w:r>
      <w:r w:rsidRPr="00E535BD">
        <w:t xml:space="preserve"> </w:t>
      </w:r>
      <w:r w:rsidRPr="00103B0E">
        <w:t xml:space="preserve">NAB </w:t>
      </w:r>
      <w:r>
        <w:t xml:space="preserve">NPRM </w:t>
      </w:r>
      <w:r w:rsidRPr="00103B0E">
        <w:t>Comments at 30.</w:t>
      </w:r>
    </w:p>
  </w:footnote>
  <w:footnote w:id="24">
    <w:p w14:paraId="38A41FF4" w14:textId="3C9B36A9" w:rsidR="00850453" w:rsidRDefault="00850453" w:rsidP="00B5229B">
      <w:pPr>
        <w:pStyle w:val="FootnoteText"/>
      </w:pPr>
      <w:r>
        <w:rPr>
          <w:rStyle w:val="FootnoteReference"/>
        </w:rPr>
        <w:footnoteRef/>
      </w:r>
      <w:r>
        <w:t xml:space="preserve"> </w:t>
      </w:r>
      <w:r w:rsidRPr="00E27300">
        <w:rPr>
          <w:i/>
        </w:rPr>
        <w:t xml:space="preserve">See </w:t>
      </w:r>
      <w:r>
        <w:rPr>
          <w:i/>
        </w:rPr>
        <w:t>Incentive Auction R&amp;O</w:t>
      </w:r>
      <w:r>
        <w:t xml:space="preserve">, 29 FCC Rcd at 6646-47, para. 172.  </w:t>
      </w:r>
    </w:p>
  </w:footnote>
  <w:footnote w:id="25">
    <w:p w14:paraId="0B6AB4C0" w14:textId="77777777" w:rsidR="00850453" w:rsidRPr="00103B0E" w:rsidRDefault="00850453" w:rsidP="00B5229B">
      <w:pPr>
        <w:pStyle w:val="FootnoteText"/>
      </w:pPr>
      <w:r w:rsidRPr="00103B0E">
        <w:rPr>
          <w:rStyle w:val="FootnoteReference"/>
        </w:rPr>
        <w:footnoteRef/>
      </w:r>
      <w:r w:rsidRPr="00103B0E">
        <w:t xml:space="preserve"> </w:t>
      </w:r>
      <w:r w:rsidRPr="00D826B6">
        <w:rPr>
          <w:i/>
        </w:rPr>
        <w:t>Aggregate Interference PN</w:t>
      </w:r>
      <w:r>
        <w:t>, 29 FCC Rcd at 5706-08, Appendix.</w:t>
      </w:r>
    </w:p>
  </w:footnote>
  <w:footnote w:id="26">
    <w:p w14:paraId="17A4ECD0" w14:textId="77777777" w:rsidR="00850453" w:rsidRPr="00103B0E" w:rsidRDefault="00850453" w:rsidP="00B5229B">
      <w:pPr>
        <w:pStyle w:val="FootnoteText"/>
      </w:pPr>
      <w:r w:rsidRPr="00103B0E">
        <w:rPr>
          <w:rStyle w:val="FootnoteReference"/>
        </w:rPr>
        <w:footnoteRef/>
      </w:r>
      <w:r w:rsidRPr="00103B0E">
        <w:t xml:space="preserve"> </w:t>
      </w:r>
      <w:r>
        <w:rPr>
          <w:i/>
        </w:rPr>
        <w:t>Id</w:t>
      </w:r>
      <w:r>
        <w:t>.</w:t>
      </w:r>
    </w:p>
  </w:footnote>
  <w:footnote w:id="27">
    <w:p w14:paraId="2D1DB0D8" w14:textId="77777777" w:rsidR="00850453" w:rsidRPr="001675EB" w:rsidRDefault="00850453" w:rsidP="00B5229B">
      <w:pPr>
        <w:pStyle w:val="FootnoteText"/>
      </w:pPr>
      <w:r>
        <w:rPr>
          <w:rStyle w:val="FootnoteReference"/>
        </w:rPr>
        <w:footnoteRef/>
      </w:r>
      <w:r>
        <w:t xml:space="preserve"> </w:t>
      </w:r>
      <w:r>
        <w:rPr>
          <w:i/>
        </w:rPr>
        <w:t xml:space="preserve">See </w:t>
      </w:r>
      <w:r>
        <w:t xml:space="preserve">Comments of the National Association of Broadcasters, GN Docket No. 12-268 (filed July 2, 2014) (NAB Aggregate Interference PN Comments); </w:t>
      </w:r>
      <w:r w:rsidRPr="00CA6B47">
        <w:rPr>
          <w:i/>
        </w:rPr>
        <w:t xml:space="preserve">see </w:t>
      </w:r>
      <w:r>
        <w:rPr>
          <w:i/>
        </w:rPr>
        <w:t>supra</w:t>
      </w:r>
      <w:r>
        <w:t xml:space="preserve"> note </w:t>
      </w:r>
      <w:r>
        <w:fldChar w:fldCharType="begin"/>
      </w:r>
      <w:r>
        <w:instrText xml:space="preserve"> NOTEREF _Ref270775020 \h </w:instrText>
      </w:r>
      <w:r>
        <w:fldChar w:fldCharType="separate"/>
      </w:r>
      <w:r>
        <w:t>18</w:t>
      </w:r>
      <w:r>
        <w:fldChar w:fldCharType="end"/>
      </w:r>
      <w:r>
        <w:t>.</w:t>
      </w:r>
    </w:p>
  </w:footnote>
  <w:footnote w:id="28">
    <w:p w14:paraId="67161AAB" w14:textId="77777777" w:rsidR="00850453" w:rsidRDefault="00850453" w:rsidP="00B5229B">
      <w:pPr>
        <w:pStyle w:val="FootnoteText"/>
      </w:pPr>
      <w:r>
        <w:rPr>
          <w:rStyle w:val="FootnoteReference"/>
        </w:rPr>
        <w:footnoteRef/>
      </w:r>
      <w:r>
        <w:t xml:space="preserve"> NAB Aggregate Interference PN Comments at 7-8 (“</w:t>
      </w:r>
      <w:r w:rsidRPr="0051629F">
        <w:t>The aggregate results, however, are based on an interference paired file containing possible errors that could affect the generation of</w:t>
      </w:r>
      <w:r>
        <w:t xml:space="preserve"> t</w:t>
      </w:r>
      <w:r w:rsidRPr="0051629F">
        <w:t>hese repacking scenarios and ultimately the aggregate interference results.</w:t>
      </w:r>
      <w:r>
        <w:t>”).</w:t>
      </w:r>
    </w:p>
  </w:footnote>
  <w:footnote w:id="29">
    <w:p w14:paraId="560A07E8" w14:textId="77777777" w:rsidR="00850453" w:rsidRPr="0051629F" w:rsidRDefault="00850453" w:rsidP="00B5229B">
      <w:pPr>
        <w:pStyle w:val="FootnoteText"/>
        <w:rPr>
          <w:i/>
        </w:rPr>
      </w:pPr>
      <w:r>
        <w:rPr>
          <w:rStyle w:val="FootnoteReference"/>
        </w:rPr>
        <w:footnoteRef/>
      </w:r>
      <w:r>
        <w:t xml:space="preserve"> </w:t>
      </w:r>
      <w:r>
        <w:rPr>
          <w:i/>
        </w:rPr>
        <w:t>See Incentive Auction R&amp;O</w:t>
      </w:r>
      <w:r>
        <w:t xml:space="preserve">, 29 FCC Rcd at 6619-20, para. 114.  Fixed constraints are “incumbents in the bands other than domestic television stations that are entitled to interference protection at fixed geographic locations and on specific channels.  </w:t>
      </w:r>
      <w:r>
        <w:rPr>
          <w:i/>
        </w:rPr>
        <w:t>Id.</w:t>
      </w:r>
    </w:p>
  </w:footnote>
  <w:footnote w:id="30">
    <w:p w14:paraId="59DE3DCD" w14:textId="77777777" w:rsidR="00850453" w:rsidRDefault="00850453" w:rsidP="00B5229B">
      <w:pPr>
        <w:pStyle w:val="FootnoteText"/>
      </w:pPr>
      <w:r>
        <w:rPr>
          <w:rStyle w:val="FootnoteReference"/>
        </w:rPr>
        <w:footnoteRef/>
      </w:r>
      <w:r>
        <w:t xml:space="preserve"> NAB Aggregate Interference PN Comments at 3-6.</w:t>
      </w:r>
    </w:p>
  </w:footnote>
  <w:footnote w:id="31">
    <w:p w14:paraId="3DF5B83D" w14:textId="77777777" w:rsidR="00850453" w:rsidRDefault="00850453" w:rsidP="00B5229B">
      <w:pPr>
        <w:pStyle w:val="FootnoteText"/>
      </w:pPr>
      <w:r>
        <w:rPr>
          <w:rStyle w:val="FootnoteReference"/>
        </w:rPr>
        <w:footnoteRef/>
      </w:r>
      <w:r>
        <w:t xml:space="preserve"> NAB Aggregate Interference PN Comments at 4.</w:t>
      </w:r>
    </w:p>
  </w:footnote>
  <w:footnote w:id="32">
    <w:p w14:paraId="16A9E30A" w14:textId="77777777" w:rsidR="00850453" w:rsidRDefault="00850453" w:rsidP="00B5229B">
      <w:pPr>
        <w:pStyle w:val="FootnoteText"/>
      </w:pPr>
      <w:r>
        <w:rPr>
          <w:rStyle w:val="FootnoteReference"/>
        </w:rPr>
        <w:footnoteRef/>
      </w:r>
      <w:r>
        <w:t xml:space="preserve"> The predicted interference may change as either the “desired station” (</w:t>
      </w:r>
      <w:r w:rsidRPr="00C01C73">
        <w:rPr>
          <w:i/>
        </w:rPr>
        <w:t>i.e</w:t>
      </w:r>
      <w:r>
        <w:t>., the station receiving interference, also referred to as the “study” station) or the “undesired station” (</w:t>
      </w:r>
      <w:r w:rsidRPr="000120A6">
        <w:rPr>
          <w:i/>
        </w:rPr>
        <w:t>i.e</w:t>
      </w:r>
      <w:r>
        <w:t>., the station causing interference) changes channels.</w:t>
      </w:r>
    </w:p>
  </w:footnote>
  <w:footnote w:id="33">
    <w:p w14:paraId="0E77B92C" w14:textId="77777777" w:rsidR="00850453" w:rsidRDefault="00850453" w:rsidP="00B5229B">
      <w:pPr>
        <w:pStyle w:val="FootnoteText"/>
      </w:pPr>
      <w:r>
        <w:rPr>
          <w:rStyle w:val="FootnoteReference"/>
        </w:rPr>
        <w:footnoteRef/>
      </w:r>
      <w:r>
        <w:t xml:space="preserve"> NAB Aggregate Interference PN Comments at 4.</w:t>
      </w:r>
    </w:p>
  </w:footnote>
  <w:footnote w:id="34">
    <w:p w14:paraId="22078BDA" w14:textId="77777777" w:rsidR="00850453" w:rsidRPr="00317684" w:rsidRDefault="00850453" w:rsidP="00B5229B">
      <w:pPr>
        <w:pStyle w:val="FootnoteText"/>
      </w:pPr>
      <w:r>
        <w:rPr>
          <w:rStyle w:val="FootnoteReference"/>
        </w:rPr>
        <w:footnoteRef/>
      </w:r>
      <w:r>
        <w:t xml:space="preserve"> A station’s service area is divided into approximately square grid cells to evaluate signal strength, or coverage, and any interference for purposes of the repacking analysis.  </w:t>
      </w:r>
      <w:r>
        <w:rPr>
          <w:i/>
        </w:rPr>
        <w:t>See Incentive Auction R&amp;O</w:t>
      </w:r>
      <w:r>
        <w:t>, 29 FCC Rcd at 6626-27, para. 131.</w:t>
      </w:r>
    </w:p>
  </w:footnote>
  <w:footnote w:id="35">
    <w:p w14:paraId="168CECE2" w14:textId="77777777" w:rsidR="00850453" w:rsidRDefault="00850453" w:rsidP="00B5229B">
      <w:pPr>
        <w:pStyle w:val="FootnoteText"/>
      </w:pPr>
      <w:r>
        <w:rPr>
          <w:rStyle w:val="FootnoteReference"/>
        </w:rPr>
        <w:footnoteRef/>
      </w:r>
      <w:r>
        <w:t xml:space="preserve"> The desired-to-undesired channel ratio (D/U ratio) is a function of the predicted propagation of signals of either the desired station or the undesired station on different channels.  At the edge of a station’s contour where a desired station’s signal is weaker, small predicted propagation changes and the interaction between overlapping signals are more likely to cause a D/U ratio to fall below the applicable thresholds, even for a one-channel difference.</w:t>
      </w:r>
    </w:p>
  </w:footnote>
  <w:footnote w:id="36">
    <w:p w14:paraId="376866E7" w14:textId="77777777" w:rsidR="00850453" w:rsidRDefault="00850453" w:rsidP="00B5229B">
      <w:pPr>
        <w:pStyle w:val="FootnoteText"/>
      </w:pPr>
      <w:r>
        <w:rPr>
          <w:rStyle w:val="FootnoteReference"/>
        </w:rPr>
        <w:footnoteRef/>
      </w:r>
      <w:r>
        <w:t xml:space="preserve"> This particular cell has a population of </w:t>
      </w:r>
      <w:r w:rsidRPr="00D2260B">
        <w:t>ten thousand people</w:t>
      </w:r>
      <w:r>
        <w:t>; s</w:t>
      </w:r>
      <w:r w:rsidRPr="00D2260B">
        <w:t>tation 35862 ha</w:t>
      </w:r>
      <w:r>
        <w:t>s</w:t>
      </w:r>
      <w:r w:rsidRPr="00D2260B">
        <w:t xml:space="preserve"> an interference-free population of 1.933 million people.</w:t>
      </w:r>
    </w:p>
  </w:footnote>
  <w:footnote w:id="37">
    <w:p w14:paraId="3B408CBA" w14:textId="77777777" w:rsidR="00850453" w:rsidRDefault="00850453" w:rsidP="00B5229B">
      <w:pPr>
        <w:pStyle w:val="FootnoteText"/>
      </w:pPr>
      <w:r>
        <w:rPr>
          <w:rStyle w:val="FootnoteReference"/>
        </w:rPr>
        <w:footnoteRef/>
      </w:r>
      <w:r>
        <w:t xml:space="preserve"> NAB Aggregate Interference PN Comments at 5.  The “upper adjacent channel” refers to the channel immediately above a given channel in frequency.  For example, Channel 3 is the “upper adjacent channel” with respect to Channel 2.</w:t>
      </w:r>
    </w:p>
  </w:footnote>
  <w:footnote w:id="38">
    <w:p w14:paraId="3663891F" w14:textId="77777777" w:rsidR="00850453" w:rsidRDefault="00850453" w:rsidP="00B5229B">
      <w:pPr>
        <w:pStyle w:val="FootnoteText"/>
      </w:pPr>
      <w:r>
        <w:rPr>
          <w:rStyle w:val="FootnoteReference"/>
        </w:rPr>
        <w:footnoteRef/>
      </w:r>
      <w:r>
        <w:t xml:space="preserve"> </w:t>
      </w:r>
      <w:r>
        <w:rPr>
          <w:i/>
        </w:rPr>
        <w:t xml:space="preserve">See </w:t>
      </w:r>
      <w:r>
        <w:t>NAB Aggregate Interference PN Comments at 5-6.  The “lower adjacent channel” refers to the channel immediately below a given channel in frequency.  For example, Channel 3 is the “lower adjacent channel” with respect to Channel 4.</w:t>
      </w:r>
    </w:p>
  </w:footnote>
  <w:footnote w:id="39">
    <w:p w14:paraId="23904407" w14:textId="77777777" w:rsidR="00850453" w:rsidRDefault="00850453" w:rsidP="00B5229B">
      <w:pPr>
        <w:pStyle w:val="FootnoteText"/>
      </w:pPr>
      <w:r>
        <w:rPr>
          <w:rStyle w:val="FootnoteReference"/>
        </w:rPr>
        <w:footnoteRef/>
      </w:r>
      <w:r>
        <w:t xml:space="preserve"> </w:t>
      </w:r>
      <w:r>
        <w:rPr>
          <w:i/>
        </w:rPr>
        <w:t xml:space="preserve">See </w:t>
      </w:r>
      <w:r w:rsidRPr="00CF0D1E">
        <w:rPr>
          <w:i/>
        </w:rPr>
        <w:t>Repacking</w:t>
      </w:r>
      <w:r w:rsidRPr="00CF0D1E">
        <w:t xml:space="preserve"> </w:t>
      </w:r>
      <w:r w:rsidRPr="00CF0D1E">
        <w:rPr>
          <w:i/>
        </w:rPr>
        <w:t xml:space="preserve">Data PN, </w:t>
      </w:r>
      <w:r w:rsidRPr="00CF0D1E">
        <w:t>28 FCC Rcd</w:t>
      </w:r>
      <w:r>
        <w:t xml:space="preserve"> at 10400-01.  Interference between a pair of stations is generally not symmetric:  the interference station B is predicted to cause to station A is not necessarily the same as the interference station A is predicted to cause to station B.  </w:t>
      </w:r>
      <w:r>
        <w:rPr>
          <w:i/>
        </w:rPr>
        <w:t>Id.</w:t>
      </w:r>
      <w:r>
        <w:t xml:space="preserve">  In determining whether stations can co-exist in a particular channel relationship, predicted interference in both directions must be examined.  </w:t>
      </w:r>
      <w:r w:rsidRPr="00C01C73">
        <w:rPr>
          <w:i/>
        </w:rPr>
        <w:t>Id</w:t>
      </w:r>
      <w:r>
        <w:t xml:space="preserve">.  This </w:t>
      </w:r>
      <w:r w:rsidRPr="00D2260B">
        <w:t xml:space="preserve">approach </w:t>
      </w:r>
      <w:r>
        <w:t xml:space="preserve">of identifying constraints regardless of whether the constraint results from causing or receiving interference </w:t>
      </w:r>
      <w:r w:rsidRPr="00D2260B">
        <w:t xml:space="preserve">makes </w:t>
      </w:r>
      <w:r>
        <w:t>analyz</w:t>
      </w:r>
      <w:r w:rsidRPr="00D2260B">
        <w:t xml:space="preserve">ing the constraint files easier for individual stations </w:t>
      </w:r>
      <w:r>
        <w:t xml:space="preserve">by avoiding the need to analyze </w:t>
      </w:r>
      <w:r w:rsidRPr="00D2260B">
        <w:t>inverse relationships.</w:t>
      </w:r>
    </w:p>
  </w:footnote>
  <w:footnote w:id="40">
    <w:p w14:paraId="708E8B3E" w14:textId="77777777" w:rsidR="00850453" w:rsidRDefault="00850453" w:rsidP="00B5229B">
      <w:pPr>
        <w:pStyle w:val="FootnoteText"/>
      </w:pPr>
      <w:r>
        <w:rPr>
          <w:rStyle w:val="FootnoteReference"/>
        </w:rPr>
        <w:footnoteRef/>
      </w:r>
      <w:r>
        <w:t xml:space="preserve"> </w:t>
      </w:r>
      <w:r w:rsidRPr="00BC2A99">
        <w:rPr>
          <w:i/>
        </w:rPr>
        <w:t xml:space="preserve">See </w:t>
      </w:r>
      <w:r>
        <w:rPr>
          <w:i/>
        </w:rPr>
        <w:t>Incentive Auction R&amp;O</w:t>
      </w:r>
      <w:r>
        <w:t>, 29 FCC Rcd at 6709, para. 328.</w:t>
      </w:r>
    </w:p>
  </w:footnote>
  <w:footnote w:id="41">
    <w:p w14:paraId="2780CD66" w14:textId="77777777" w:rsidR="00850453" w:rsidRDefault="00850453" w:rsidP="00B5229B">
      <w:pPr>
        <w:pStyle w:val="FootnoteText"/>
      </w:pPr>
      <w:r>
        <w:rPr>
          <w:rStyle w:val="FootnoteReference"/>
        </w:rPr>
        <w:footnoteRef/>
      </w:r>
      <w:r>
        <w:t xml:space="preserve"> Hypothetically, the recovery of more spectrum could lead to stations being repacked more “tightly,” in the sense that the final channel assignment scheme may contain fewer vacant channels in major markets because the remaining TV bands are smaller.  Due to the pairwise constraints, such an outcome would not result from low participation rates in the reverse auction, however.  Contrary to NAB’s argument, aggregate new interference of more than one percent is </w:t>
      </w:r>
      <w:r>
        <w:rPr>
          <w:i/>
        </w:rPr>
        <w:t xml:space="preserve">less </w:t>
      </w:r>
      <w:r>
        <w:t xml:space="preserve">likely under scenarios in which the incentive auction recovers less spectrum than 84 or 126 MHz, due to the greater number of channels that would be available in the remaining TV bands.      </w:t>
      </w:r>
    </w:p>
  </w:footnote>
  <w:footnote w:id="42">
    <w:p w14:paraId="13548FE9" w14:textId="77777777" w:rsidR="00850453" w:rsidRDefault="00850453" w:rsidP="00B5229B">
      <w:pPr>
        <w:pStyle w:val="FootnoteText"/>
      </w:pPr>
      <w:r>
        <w:rPr>
          <w:rStyle w:val="FootnoteReference"/>
        </w:rPr>
        <w:footnoteRef/>
      </w:r>
      <w:r>
        <w:t xml:space="preserve"> </w:t>
      </w:r>
      <w:r w:rsidRPr="00D826B6">
        <w:rPr>
          <w:i/>
        </w:rPr>
        <w:t>Aggregate Interference PN</w:t>
      </w:r>
      <w:r>
        <w:t xml:space="preserve">, 29 FCC Rcd at 5706-08, </w:t>
      </w:r>
      <w:r w:rsidRPr="00816F4B">
        <w:t>Appendix</w:t>
      </w:r>
      <w:r w:rsidRPr="00612A00">
        <w:t>.</w:t>
      </w:r>
      <w:r>
        <w:t xml:space="preserve">  </w:t>
      </w:r>
      <w:r>
        <w:rPr>
          <w:rFonts w:eastAsia="Calibri"/>
        </w:rPr>
        <w:t>NAB suggests that the staff conduct simulations with participation rates ranging from 10 to 100 percent.  NAB Aggregate Interference PN Comments at 8.</w:t>
      </w:r>
    </w:p>
  </w:footnote>
  <w:footnote w:id="43">
    <w:p w14:paraId="2E21868F" w14:textId="77777777" w:rsidR="00850453" w:rsidRPr="006C756E" w:rsidRDefault="00850453" w:rsidP="00B5229B">
      <w:pPr>
        <w:pStyle w:val="FootnoteText"/>
      </w:pPr>
      <w:r>
        <w:rPr>
          <w:rStyle w:val="FootnoteReference"/>
        </w:rPr>
        <w:footnoteRef/>
      </w:r>
      <w:r>
        <w:t xml:space="preserve"> As can be determined from the raw results released by the staff, </w:t>
      </w:r>
      <w:r>
        <w:rPr>
          <w:i/>
        </w:rPr>
        <w:t>see supra</w:t>
      </w:r>
      <w:r>
        <w:t xml:space="preserve"> note </w:t>
      </w:r>
      <w:r>
        <w:fldChar w:fldCharType="begin"/>
      </w:r>
      <w:r>
        <w:instrText xml:space="preserve"> NOTEREF _Ref269572056 \h </w:instrText>
      </w:r>
      <w:r>
        <w:fldChar w:fldCharType="separate"/>
      </w:r>
      <w:r>
        <w:t>19</w:t>
      </w:r>
      <w:r>
        <w:fldChar w:fldCharType="end"/>
      </w:r>
      <w:r>
        <w:t>, across all 100 simulations, 99.78 percent of stations were selected by the simulation algorithm to be remain on-air as part of a repacked channel plan in at least one scenario.</w:t>
      </w:r>
    </w:p>
  </w:footnote>
  <w:footnote w:id="44">
    <w:p w14:paraId="5733D62B" w14:textId="1616343C" w:rsidR="00850453" w:rsidRPr="00337C43" w:rsidRDefault="00850453" w:rsidP="00B5229B">
      <w:pPr>
        <w:pStyle w:val="FootnoteText"/>
      </w:pPr>
      <w:r>
        <w:rPr>
          <w:rStyle w:val="FootnoteReference"/>
        </w:rPr>
        <w:footnoteRef/>
      </w:r>
      <w:r>
        <w:t xml:space="preserve"> NAB Aggregate Interference PN Comments at 7.  </w:t>
      </w:r>
      <w:r w:rsidRPr="006D63C8">
        <w:t>NAB</w:t>
      </w:r>
      <w:r>
        <w:t>’s suggestion that the staff analysis is incomplete because it</w:t>
      </w:r>
      <w:r w:rsidRPr="006D63C8">
        <w:t xml:space="preserve"> pertain</w:t>
      </w:r>
      <w:r>
        <w:t>s</w:t>
      </w:r>
      <w:r w:rsidRPr="006D63C8">
        <w:t xml:space="preserve"> only to </w:t>
      </w:r>
      <w:r>
        <w:t xml:space="preserve">preserving </w:t>
      </w:r>
      <w:r w:rsidRPr="006D63C8">
        <w:t>population served</w:t>
      </w:r>
      <w:r>
        <w:t>,</w:t>
      </w:r>
      <w:r w:rsidRPr="006D63C8">
        <w:t xml:space="preserve"> and not </w:t>
      </w:r>
      <w:r>
        <w:t xml:space="preserve">preserving </w:t>
      </w:r>
      <w:r w:rsidRPr="006D63C8">
        <w:t xml:space="preserve">coverage area, </w:t>
      </w:r>
      <w:r w:rsidRPr="00A03008">
        <w:rPr>
          <w:i/>
        </w:rPr>
        <w:t>see</w:t>
      </w:r>
      <w:r>
        <w:t xml:space="preserve"> NAB Aggregate Interference PN Comments at 9, lacks merit.  The purpose of the analysis was limited to studying the potential for new aggregate interference under the constraints established in the </w:t>
      </w:r>
      <w:r w:rsidRPr="006A744E">
        <w:rPr>
          <w:i/>
        </w:rPr>
        <w:t xml:space="preserve">Incentive Auction </w:t>
      </w:r>
      <w:r w:rsidRPr="00181AFC">
        <w:rPr>
          <w:i/>
        </w:rPr>
        <w:t>R&amp;O</w:t>
      </w:r>
      <w:r>
        <w:rPr>
          <w:i/>
        </w:rPr>
        <w:t xml:space="preserve"> </w:t>
      </w:r>
      <w:r>
        <w:t>for preserving population served.  W</w:t>
      </w:r>
      <w:r w:rsidRPr="006D63C8">
        <w:t xml:space="preserve">e </w:t>
      </w:r>
      <w:r>
        <w:t>establish</w:t>
      </w:r>
      <w:r w:rsidRPr="006D63C8">
        <w:t>ed</w:t>
      </w:r>
      <w:r>
        <w:t xml:space="preserve"> different constraints </w:t>
      </w:r>
      <w:r w:rsidRPr="006D63C8">
        <w:t>to preserve coverage area.</w:t>
      </w:r>
      <w:r>
        <w:t xml:space="preserve">  </w:t>
      </w:r>
      <w:r w:rsidRPr="006D63C8">
        <w:rPr>
          <w:i/>
        </w:rPr>
        <w:t xml:space="preserve">See </w:t>
      </w:r>
      <w:r>
        <w:rPr>
          <w:i/>
        </w:rPr>
        <w:t>Incentive Auction R&amp;O</w:t>
      </w:r>
      <w:r>
        <w:t xml:space="preserve">, 29 FCC Rcd at 6568-69, para. 166; </w:t>
      </w:r>
      <w:r w:rsidRPr="009F189E">
        <w:rPr>
          <w:i/>
        </w:rPr>
        <w:t xml:space="preserve">see also </w:t>
      </w:r>
      <w:r>
        <w:rPr>
          <w:i/>
        </w:rPr>
        <w:t>Expanding the Economic and Innovation Opportunities of Spectrum Through Incentive Auctions,</w:t>
      </w:r>
      <w:r>
        <w:t xml:space="preserve"> GN Docket No. 12-268, Declaratory Ruling, FCC 14-143, para. 5 (September 30, 2014).</w:t>
      </w:r>
    </w:p>
  </w:footnote>
  <w:footnote w:id="45">
    <w:p w14:paraId="7AAC0EA0" w14:textId="77777777" w:rsidR="00850453" w:rsidRDefault="00850453" w:rsidP="00B5229B">
      <w:pPr>
        <w:pStyle w:val="FootnoteText"/>
      </w:pPr>
      <w:r>
        <w:rPr>
          <w:rStyle w:val="FootnoteReference"/>
        </w:rPr>
        <w:footnoteRef/>
      </w:r>
      <w:r>
        <w:t xml:space="preserve"> NAB Aggregate Interference PN Comments at 3, 9; </w:t>
      </w:r>
      <w:r w:rsidRPr="00825CF3">
        <w:rPr>
          <w:i/>
        </w:rPr>
        <w:t>see</w:t>
      </w:r>
      <w:r>
        <w:t xml:space="preserve"> Reply Comments of Cohen, Dippell, and Everist, P.C. (filed July 22, 2014); Letter from Preston Padden, Executive Director, Expanding Opportunities for Broadcasters Coalition, to Marlene H. Dortch, Secretary, FCC, GN Docket No. 12-268 (filed June 30, 2014).</w:t>
      </w:r>
    </w:p>
  </w:footnote>
  <w:footnote w:id="46">
    <w:p w14:paraId="35BA1C9E" w14:textId="77777777" w:rsidR="00850453" w:rsidRPr="00A35C24" w:rsidRDefault="00850453" w:rsidP="00B5229B">
      <w:pPr>
        <w:pStyle w:val="FootnoteText"/>
      </w:pPr>
      <w:r>
        <w:rPr>
          <w:rStyle w:val="FootnoteReference"/>
        </w:rPr>
        <w:footnoteRef/>
      </w:r>
      <w:r>
        <w:t xml:space="preserve"> </w:t>
      </w:r>
      <w:r>
        <w:rPr>
          <w:i/>
        </w:rPr>
        <w:t>See Incentive Auction R&amp;O</w:t>
      </w:r>
      <w:r>
        <w:t>, 29 FCC Rcd at 6633-34, para. 143.</w:t>
      </w:r>
    </w:p>
  </w:footnote>
  <w:footnote w:id="47">
    <w:p w14:paraId="3FE8A30E" w14:textId="77777777" w:rsidR="00850453" w:rsidRPr="00963CD4" w:rsidRDefault="00850453" w:rsidP="00B5229B">
      <w:pPr>
        <w:pStyle w:val="FootnoteText"/>
      </w:pPr>
      <w:r>
        <w:rPr>
          <w:rStyle w:val="FootnoteReference"/>
        </w:rPr>
        <w:footnoteRef/>
      </w:r>
      <w:r>
        <w:t xml:space="preserve"> </w:t>
      </w:r>
      <w:r>
        <w:rPr>
          <w:i/>
        </w:rPr>
        <w:t>See Repacking Data PN</w:t>
      </w:r>
      <w:r>
        <w:t>, 28 FCC Rcd at 10375-411, Technical Appendix.</w:t>
      </w:r>
    </w:p>
  </w:footnote>
  <w:footnote w:id="48">
    <w:p w14:paraId="5AC418C4" w14:textId="77777777" w:rsidR="00850453" w:rsidRDefault="00850453" w:rsidP="00B5229B">
      <w:pPr>
        <w:pStyle w:val="FootnoteText"/>
      </w:pPr>
      <w:r>
        <w:rPr>
          <w:rStyle w:val="FootnoteReference"/>
        </w:rPr>
        <w:footnoteRef/>
      </w:r>
      <w:r>
        <w:t xml:space="preserve"> </w:t>
      </w:r>
      <w:r>
        <w:rPr>
          <w:i/>
        </w:rPr>
        <w:t xml:space="preserve">See </w:t>
      </w:r>
      <w:r w:rsidRPr="00BC2A99">
        <w:rPr>
          <w:i/>
        </w:rPr>
        <w:t>Feasibility Checking PN</w:t>
      </w:r>
      <w:r>
        <w:t>, 29 FCC Rcd at 51-53, Appendix.</w:t>
      </w:r>
    </w:p>
  </w:footnote>
  <w:footnote w:id="49">
    <w:p w14:paraId="2FF6F863" w14:textId="77777777" w:rsidR="00850453" w:rsidRDefault="00850453" w:rsidP="00B5229B">
      <w:pPr>
        <w:pStyle w:val="FootnoteText"/>
      </w:pPr>
      <w:r>
        <w:rPr>
          <w:rStyle w:val="FootnoteReference"/>
        </w:rPr>
        <w:footnoteRef/>
      </w:r>
      <w:r>
        <w:t xml:space="preserve"> </w:t>
      </w:r>
      <w:r w:rsidRPr="00687E88">
        <w:rPr>
          <w:i/>
        </w:rPr>
        <w:t>See</w:t>
      </w:r>
      <w:r>
        <w:t xml:space="preserve"> LEARN Workshop on Feasibility Checking During Repacking Process, FCC (Feb. 21, 2014), </w:t>
      </w:r>
      <w:r w:rsidRPr="00687E88">
        <w:rPr>
          <w:i/>
        </w:rPr>
        <w:t>available at</w:t>
      </w:r>
      <w:r>
        <w:t xml:space="preserve"> </w:t>
      </w:r>
      <w:r w:rsidRPr="00816F4B">
        <w:t>http://www.fcc.gov/events/learn-workshop-feasibility-checking-during-repacking-process</w:t>
      </w:r>
      <w:r>
        <w:t>.</w:t>
      </w:r>
      <w:r w:rsidRPr="00874410">
        <w:t xml:space="preserve"> </w:t>
      </w:r>
      <w:r>
        <w:t xml:space="preserve"> Based on information released by the staff, at least two interested parties have conducted their own analyses in order to comment on the repacking approach.  </w:t>
      </w:r>
      <w:r w:rsidRPr="00B50C9C">
        <w:rPr>
          <w:i/>
        </w:rPr>
        <w:t>See</w:t>
      </w:r>
      <w:r>
        <w:t xml:space="preserve"> Letter from Brian J. Benison, Director, Federal Regulatory, AT&amp;T, to Marlene H. Dortch, Secretary, FCC, GN Docket No. 12-268 (filed June 17, 2014); Letter from Trey Hanbury, Counsel for T-Mobile, to Marlene H. Dortch, Secretary, FCC, GN Docket No. 12-268 (filed September 9, 2014).</w:t>
      </w:r>
    </w:p>
  </w:footnote>
  <w:footnote w:id="50">
    <w:p w14:paraId="30A3B7FF" w14:textId="77777777" w:rsidR="00850453" w:rsidRDefault="00850453" w:rsidP="00B5229B">
      <w:pPr>
        <w:pStyle w:val="FootnoteText"/>
      </w:pPr>
      <w:r>
        <w:rPr>
          <w:rStyle w:val="FootnoteReference"/>
        </w:rPr>
        <w:footnoteRef/>
      </w:r>
      <w:r>
        <w:t xml:space="preserve"> We note that we anticipate publicly releasing the source code to the </w:t>
      </w:r>
      <w:r w:rsidRPr="00A56C58">
        <w:rPr>
          <w:rFonts w:eastAsia="Calibri"/>
        </w:rPr>
        <w:t xml:space="preserve">software </w:t>
      </w:r>
      <w:r>
        <w:rPr>
          <w:rFonts w:eastAsia="Calibri"/>
        </w:rPr>
        <w:t xml:space="preserve">used to </w:t>
      </w:r>
      <w:r w:rsidRPr="00A56C58">
        <w:rPr>
          <w:rFonts w:eastAsia="Calibri"/>
        </w:rPr>
        <w:t>generate constraint files and perform feasibility checks</w:t>
      </w:r>
      <w:r>
        <w:t xml:space="preserve"> in the future, consistent with our practice in this proceeding of releasing such information as appropriate in the interest of transparency and in consideration of the ongoing, internal deliberations regarding it.   </w:t>
      </w:r>
    </w:p>
  </w:footnote>
  <w:footnote w:id="51">
    <w:p w14:paraId="13D676CC" w14:textId="77777777" w:rsidR="00850453" w:rsidRDefault="00850453" w:rsidP="00B5229B">
      <w:pPr>
        <w:pStyle w:val="FootnoteText"/>
      </w:pPr>
      <w:r>
        <w:rPr>
          <w:rStyle w:val="FootnoteReference"/>
        </w:rPr>
        <w:footnoteRef/>
      </w:r>
      <w:r>
        <w:t xml:space="preserve"> </w:t>
      </w:r>
      <w:r>
        <w:rPr>
          <w:i/>
        </w:rPr>
        <w:t>See Incentive Auction R&amp;O</w:t>
      </w:r>
      <w:r>
        <w:t>, 29 FCC Rcd at 6621, para. 118.</w:t>
      </w:r>
    </w:p>
  </w:footnote>
  <w:footnote w:id="52">
    <w:p w14:paraId="25983CB0" w14:textId="77777777" w:rsidR="00850453" w:rsidRPr="00103B0E" w:rsidRDefault="00850453" w:rsidP="00B5229B">
      <w:pPr>
        <w:pStyle w:val="FootnoteText"/>
      </w:pPr>
      <w:r w:rsidRPr="00103B0E">
        <w:rPr>
          <w:rStyle w:val="FootnoteReference"/>
        </w:rPr>
        <w:footnoteRef/>
      </w:r>
      <w:r w:rsidRPr="00103B0E">
        <w:t xml:space="preserve"> </w:t>
      </w:r>
      <w:r w:rsidRPr="00103B0E">
        <w:rPr>
          <w:i/>
        </w:rPr>
        <w:t xml:space="preserve">See </w:t>
      </w:r>
      <w:r>
        <w:rPr>
          <w:i/>
        </w:rPr>
        <w:t>id</w:t>
      </w:r>
      <w:r>
        <w:t>.</w:t>
      </w:r>
    </w:p>
  </w:footnote>
  <w:footnote w:id="53">
    <w:p w14:paraId="5C5CF7D7" w14:textId="77777777" w:rsidR="00850453" w:rsidRPr="00801C46" w:rsidRDefault="00850453" w:rsidP="00B5229B">
      <w:pPr>
        <w:pStyle w:val="FootnoteText"/>
      </w:pPr>
      <w:r>
        <w:rPr>
          <w:rStyle w:val="FootnoteReference"/>
        </w:rPr>
        <w:footnoteRef/>
      </w:r>
      <w:r>
        <w:t xml:space="preserve"> We will seek comment in the upcoming </w:t>
      </w:r>
      <w:r w:rsidRPr="00825CF3">
        <w:rPr>
          <w:i/>
        </w:rPr>
        <w:t>Comment PN</w:t>
      </w:r>
      <w:r>
        <w:t xml:space="preserve"> on additional final channel assignment optimization objectives, including minimizing relocation costs and reducing channel moves.  </w:t>
      </w:r>
      <w:r>
        <w:rPr>
          <w:i/>
        </w:rPr>
        <w:t>I</w:t>
      </w:r>
      <w:r w:rsidRPr="00825CF3">
        <w:rPr>
          <w:i/>
        </w:rPr>
        <w:t>d</w:t>
      </w:r>
      <w:r>
        <w:t>.</w:t>
      </w:r>
    </w:p>
  </w:footnote>
  <w:footnote w:id="54">
    <w:p w14:paraId="1B721176" w14:textId="77777777" w:rsidR="00850453" w:rsidRDefault="00850453" w:rsidP="00B5229B">
      <w:pPr>
        <w:pStyle w:val="FootnoteText"/>
      </w:pPr>
      <w:r>
        <w:rPr>
          <w:rStyle w:val="FootnoteReference"/>
        </w:rPr>
        <w:footnoteRef/>
      </w:r>
      <w:r>
        <w:t xml:space="preserve"> </w:t>
      </w:r>
      <w:r w:rsidRPr="00825CF3">
        <w:rPr>
          <w:i/>
        </w:rPr>
        <w:t>See</w:t>
      </w:r>
      <w:r>
        <w:t xml:space="preserve"> NAB NPRM Comments at 20; </w:t>
      </w:r>
      <w:r w:rsidRPr="00825CF3">
        <w:rPr>
          <w:i/>
        </w:rPr>
        <w:t>see also</w:t>
      </w:r>
      <w:r>
        <w:t xml:space="preserve"> Broadcast Networks NPRM Comments at 7.</w:t>
      </w:r>
    </w:p>
  </w:footnote>
  <w:footnote w:id="55">
    <w:p w14:paraId="02148ADA" w14:textId="77777777" w:rsidR="00850453" w:rsidRPr="00103B0E" w:rsidRDefault="00850453" w:rsidP="00B5229B">
      <w:pPr>
        <w:pStyle w:val="FootnoteText"/>
      </w:pPr>
      <w:r w:rsidRPr="00103B0E">
        <w:rPr>
          <w:rStyle w:val="FootnoteReference"/>
        </w:rPr>
        <w:footnoteRef/>
      </w:r>
      <w:r w:rsidRPr="00103B0E">
        <w:t xml:space="preserve"> </w:t>
      </w:r>
      <w:r w:rsidRPr="00A3700C">
        <w:t xml:space="preserve">We established an application filing window in the </w:t>
      </w:r>
      <w:r w:rsidRPr="00EA7939">
        <w:rPr>
          <w:i/>
        </w:rPr>
        <w:t>Incentive Auction R&amp;O</w:t>
      </w:r>
      <w:r>
        <w:rPr>
          <w:i/>
        </w:rPr>
        <w:t xml:space="preserve"> </w:t>
      </w:r>
      <w:r w:rsidRPr="00A3700C">
        <w:t xml:space="preserve">for stations to propose alternate channels and expanded facilities following the repacking process.  </w:t>
      </w:r>
      <w:r>
        <w:rPr>
          <w:i/>
        </w:rPr>
        <w:t>Incentive Auction R&amp;O</w:t>
      </w:r>
      <w:r w:rsidRPr="00A3700C">
        <w:t xml:space="preserve">, 29 FCC Rcd at </w:t>
      </w:r>
      <w:r>
        <w:t>6793</w:t>
      </w:r>
      <w:r w:rsidRPr="00A3700C">
        <w:t xml:space="preserve">, para. 553.  </w:t>
      </w:r>
      <w:r>
        <w:t>W</w:t>
      </w:r>
      <w:r w:rsidRPr="00A3700C">
        <w:t xml:space="preserve">e announced a filing priority </w:t>
      </w:r>
      <w:r>
        <w:t>for</w:t>
      </w:r>
      <w:r w:rsidRPr="00A3700C">
        <w:t xml:space="preserve"> stations unable to construct facilities that meet the technical parameters specified for their new channel for reasons beyond their control.  </w:t>
      </w:r>
      <w:r w:rsidRPr="00A3700C">
        <w:rPr>
          <w:i/>
        </w:rPr>
        <w:t>See</w:t>
      </w:r>
      <w:r w:rsidRPr="00A3700C">
        <w:t xml:space="preserve"> 47 C.F.R. § 73.3700(b)(1)(iv) (providing a priority to stations that, for reasons beyond their control, cannot construct facilities that meet the technical parameters specified in the </w:t>
      </w:r>
      <w:r w:rsidRPr="00A3700C">
        <w:rPr>
          <w:i/>
        </w:rPr>
        <w:t>Channel Reassignment Public Notice</w:t>
      </w:r>
      <w:r w:rsidRPr="00A3700C">
        <w:t xml:space="preserve">); </w:t>
      </w:r>
      <w:r>
        <w:rPr>
          <w:i/>
        </w:rPr>
        <w:t>Incentive Auction R&amp;O</w:t>
      </w:r>
      <w:r w:rsidRPr="00A3700C">
        <w:t xml:space="preserve">, 29 FCC Rcd at </w:t>
      </w:r>
      <w:r>
        <w:t>6794</w:t>
      </w:r>
      <w:r w:rsidRPr="00A3700C">
        <w:t>, para. 554.</w:t>
      </w:r>
    </w:p>
  </w:footnote>
  <w:footnote w:id="56">
    <w:p w14:paraId="691F7C66" w14:textId="77777777" w:rsidR="00850453" w:rsidRPr="00103B0E" w:rsidRDefault="00850453" w:rsidP="00B5229B">
      <w:pPr>
        <w:pStyle w:val="FootnoteText"/>
      </w:pPr>
      <w:r w:rsidRPr="00103B0E">
        <w:rPr>
          <w:rStyle w:val="FootnoteReference"/>
        </w:rPr>
        <w:footnoteRef/>
      </w:r>
      <w:r w:rsidRPr="00103B0E">
        <w:t xml:space="preserve"> Courts have repeatedly held that it is reasonable for the agency to rely on a waiver process to address any unforeseen shortcomings that might arise in specific instances.  </w:t>
      </w:r>
      <w:r w:rsidRPr="00103B0E">
        <w:rPr>
          <w:i/>
        </w:rPr>
        <w:t>See Vt. Pub. Serv. Bd. v. FCC</w:t>
      </w:r>
      <w:r w:rsidRPr="00103B0E">
        <w:t xml:space="preserve">, 661 F.3d 54, 65 (D.C. Cir. 2011) (finding a waiver process provided a reasonable means to update stale line count data used in a model for determining universal service support); </w:t>
      </w:r>
      <w:r w:rsidRPr="00103B0E">
        <w:rPr>
          <w:i/>
        </w:rPr>
        <w:t>Rural Cellular Association v. FCC</w:t>
      </w:r>
      <w:r w:rsidRPr="00103B0E">
        <w:t xml:space="preserve">, 588 F.3d 1095, 1104 (D.C. Cir. 2009) (discussing, with approval, a waiver process used to provide certain wireless carriers additional support should an interim cap render support insufficient); </w:t>
      </w:r>
      <w:r w:rsidRPr="00103B0E">
        <w:rPr>
          <w:i/>
        </w:rPr>
        <w:t>Rural Cellular Association v. FCC</w:t>
      </w:r>
      <w:r w:rsidRPr="00103B0E">
        <w:t xml:space="preserve">, 685 F.3d 1083, 1095 (D.C Cir. 2012) (same); </w:t>
      </w:r>
      <w:r w:rsidRPr="00103B0E">
        <w:rPr>
          <w:i/>
        </w:rPr>
        <w:t>Alenco</w:t>
      </w:r>
      <w:r w:rsidRPr="00103B0E">
        <w:t xml:space="preserve">, 201 F.3d at 622 (finding a single carrier’s reduced rate of return under an operating expenses cap “at most </w:t>
      </w:r>
      <w:r>
        <w:t>. . .</w:t>
      </w:r>
      <w:r w:rsidRPr="00103B0E">
        <w:t xml:space="preserve"> presents an anomaly that can be addressed by a request for a waiver”).</w:t>
      </w:r>
    </w:p>
  </w:footnote>
  <w:footnote w:id="57">
    <w:p w14:paraId="77F43F87" w14:textId="77777777" w:rsidR="00850453" w:rsidRPr="006E51BF" w:rsidRDefault="00850453" w:rsidP="00B5229B">
      <w:pPr>
        <w:pStyle w:val="FootnoteText"/>
      </w:pPr>
      <w:r>
        <w:rPr>
          <w:rStyle w:val="FootnoteReference"/>
        </w:rPr>
        <w:footnoteRef/>
      </w:r>
      <w:r>
        <w:t xml:space="preserve"> </w:t>
      </w:r>
      <w:r>
        <w:rPr>
          <w:i/>
        </w:rPr>
        <w:t>See Incentive Auction R&amp;O</w:t>
      </w:r>
      <w:r>
        <w:t>, 29 FCC Rcd at 6570, para. 2.</w:t>
      </w:r>
    </w:p>
  </w:footnote>
  <w:footnote w:id="58">
    <w:p w14:paraId="70361327" w14:textId="77777777" w:rsidR="00850453" w:rsidRPr="006E51BF" w:rsidRDefault="00850453" w:rsidP="00B5229B">
      <w:pPr>
        <w:pStyle w:val="FootnoteText"/>
      </w:pPr>
      <w:r>
        <w:rPr>
          <w:rStyle w:val="FootnoteReference"/>
        </w:rPr>
        <w:footnoteRef/>
      </w:r>
      <w:r>
        <w:t xml:space="preserve"> </w:t>
      </w:r>
      <w:r>
        <w:rPr>
          <w:i/>
        </w:rPr>
        <w:t>See Incentive Auction R&amp;O</w:t>
      </w:r>
      <w:r>
        <w:t>, 29 FCC Rcd at 6618, para. 111 n.362 (“</w:t>
      </w:r>
      <w:r w:rsidRPr="00E27300">
        <w:t xml:space="preserve">Broadcast stations may drop out of the </w:t>
      </w:r>
      <w:r>
        <w:t xml:space="preserve">[reverse auction] </w:t>
      </w:r>
      <w:r w:rsidRPr="00E27300">
        <w:t>bidding or not participate in the first place if they must wait for days, weeks or even months to find out whether their bids are accepted. Excessively long reverse auction stages would also impose costs on bidders in the forward auction. Because closing the incentive auction requires completion of the final stage of both the forward and the reverse auction, the possibility of significant delay in the latter could discourage participation in the forward auction, as well.</w:t>
      </w:r>
      <w:r>
        <w:t>”).</w:t>
      </w:r>
    </w:p>
  </w:footnote>
  <w:footnote w:id="59">
    <w:p w14:paraId="6589BBC6" w14:textId="77777777" w:rsidR="00850453" w:rsidRPr="00B3306A" w:rsidRDefault="00850453" w:rsidP="00B5229B">
      <w:pPr>
        <w:pStyle w:val="FootnoteText"/>
      </w:pPr>
      <w:r>
        <w:rPr>
          <w:rStyle w:val="FootnoteReference"/>
        </w:rPr>
        <w:footnoteRef/>
      </w:r>
      <w:r>
        <w:t xml:space="preserve"> </w:t>
      </w:r>
      <w:r>
        <w:rPr>
          <w:i/>
        </w:rPr>
        <w:t>See Incentive Auction R&amp;O</w:t>
      </w:r>
      <w:r>
        <w:t>, 29 FCC Rcd at 6621, para. 117.</w:t>
      </w:r>
    </w:p>
  </w:footnote>
  <w:footnote w:id="60">
    <w:p w14:paraId="6FF57777" w14:textId="77777777" w:rsidR="00850453" w:rsidRDefault="00850453" w:rsidP="00B5229B">
      <w:pPr>
        <w:pStyle w:val="FootnoteText"/>
      </w:pPr>
      <w:r>
        <w:rPr>
          <w:rStyle w:val="FootnoteReference"/>
        </w:rPr>
        <w:footnoteRef/>
      </w:r>
      <w:r>
        <w:t xml:space="preserve"> Furthermore, even if it were possible to pre-calculate and store all possible cell-based interference data in a manner that could be quickly checked during the reverse auction, the satisfiability solvers that the staff have primarily used to conduct research on feasibility checking, </w:t>
      </w:r>
      <w:r w:rsidRPr="00825CF3">
        <w:rPr>
          <w:i/>
        </w:rPr>
        <w:t>see</w:t>
      </w:r>
      <w:r>
        <w:t xml:space="preserve"> </w:t>
      </w:r>
      <w:r w:rsidRPr="00BC28BA">
        <w:rPr>
          <w:i/>
        </w:rPr>
        <w:t>Feasibility Checking PN</w:t>
      </w:r>
      <w:r>
        <w:t xml:space="preserve">, 29 FCC at 51-52, Appendix, do not allow for constraints that are the sums of real variables, </w:t>
      </w:r>
      <w:r w:rsidRPr="002C3378">
        <w:t>as would be needed for representing aggregate interference constraints</w:t>
      </w:r>
      <w:r>
        <w:t>.</w:t>
      </w:r>
    </w:p>
  </w:footnote>
  <w:footnote w:id="61">
    <w:p w14:paraId="36F4F695" w14:textId="77777777" w:rsidR="00850453" w:rsidRDefault="00850453" w:rsidP="00B5229B">
      <w:pPr>
        <w:pStyle w:val="FootnoteText"/>
      </w:pPr>
      <w:r>
        <w:rPr>
          <w:rStyle w:val="FootnoteReference"/>
        </w:rPr>
        <w:footnoteRef/>
      </w:r>
      <w:r>
        <w:t xml:space="preserve"> </w:t>
      </w:r>
      <w:r w:rsidRPr="00825CF3">
        <w:rPr>
          <w:i/>
        </w:rPr>
        <w:t>See</w:t>
      </w:r>
      <w:r>
        <w:t xml:space="preserve"> Comments of Block Communications, Inc., GN Docket No. 12-268 at 3-4 (filed July 2, 2014); NAB Aggregate Interference PN Comments at 8-9 (“[I]</w:t>
      </w:r>
      <w:r w:rsidRPr="00F8267C">
        <w:t xml:space="preserve">f the staff is confident that its pool of 100 unique repacking scenarios is truly representative of likely auction outcomes, there is no reason </w:t>
      </w:r>
      <w:r w:rsidRPr="00F8267C">
        <w:rPr>
          <w:i/>
          <w:iCs/>
        </w:rPr>
        <w:t xml:space="preserve">not </w:t>
      </w:r>
      <w:r w:rsidRPr="00F8267C">
        <w:t>to adopt an aggregate interference cap that, according to the staff’s analysis, is extraordinarily unlikely to constrain the Commission’s ability to repack broadcast television stations.</w:t>
      </w:r>
      <w:r>
        <w:t>”).</w:t>
      </w:r>
    </w:p>
  </w:footnote>
  <w:footnote w:id="62">
    <w:p w14:paraId="6EA490C3" w14:textId="77777777" w:rsidR="00850453" w:rsidRPr="00E2263D" w:rsidRDefault="00850453" w:rsidP="00B5229B">
      <w:pPr>
        <w:pStyle w:val="FootnoteText"/>
      </w:pPr>
      <w:r>
        <w:rPr>
          <w:rStyle w:val="FootnoteReference"/>
        </w:rPr>
        <w:footnoteRef/>
      </w:r>
      <w:r>
        <w:t xml:space="preserve"> </w:t>
      </w:r>
      <w:r>
        <w:rPr>
          <w:i/>
        </w:rPr>
        <w:t xml:space="preserve">See Incentive Auction R&amp;O, </w:t>
      </w:r>
      <w:r>
        <w:t>29 FCC Rcd at 6622-25, paras. 120-26.</w:t>
      </w:r>
    </w:p>
  </w:footnote>
  <w:footnote w:id="63">
    <w:p w14:paraId="3A52727D" w14:textId="77777777" w:rsidR="00850453" w:rsidRPr="00103B0E" w:rsidRDefault="00850453" w:rsidP="00B5229B">
      <w:pPr>
        <w:pStyle w:val="FootnoteText"/>
      </w:pPr>
      <w:r w:rsidRPr="00103B0E">
        <w:rPr>
          <w:rStyle w:val="FootnoteReference"/>
        </w:rPr>
        <w:footnoteRef/>
      </w:r>
      <w:r w:rsidRPr="00103B0E">
        <w:t xml:space="preserve"> </w:t>
      </w:r>
      <w:r w:rsidRPr="00103B0E">
        <w:rPr>
          <w:i/>
        </w:rPr>
        <w:t>See, e.g., WildEarth Guardians v. Pub. Serv. Co. of Colorado</w:t>
      </w:r>
      <w:r w:rsidRPr="00103B0E">
        <w:t xml:space="preserve">, 690 F.3d 1174, 1186-87 (10th Cir. 2012) (explaining that while “[i]t is possible [a utility] could have done more” to achieve Clean Air Act compliance, “doing so would have resulted in significant costs and delay” such that it was reasonable for the utility “to work towards </w:t>
      </w:r>
      <w:r>
        <w:t>. . .</w:t>
      </w:r>
      <w:r w:rsidRPr="00103B0E">
        <w:t xml:space="preserve"> compliance while continuing construction”); </w:t>
      </w:r>
      <w:r w:rsidRPr="00103B0E">
        <w:rPr>
          <w:i/>
        </w:rPr>
        <w:t>Grand Trunk Western R.R. Inc. v. Bhd. of Maint. of Way Employees</w:t>
      </w:r>
      <w:r w:rsidRPr="00103B0E">
        <w:t xml:space="preserve">, 497 F.3d 568, 572 (6th Cir. 2007) (holding that “it would not be reasonable to require [the union] to engage in a third round of direct negotiations that are unlikely to success where to previous rounds of direct negotiation and mediation have failed”);  </w:t>
      </w:r>
      <w:r w:rsidRPr="00103B0E">
        <w:rPr>
          <w:i/>
        </w:rPr>
        <w:t>Price</w:t>
      </w:r>
      <w:r w:rsidRPr="00103B0E">
        <w:t xml:space="preserve">, 416 F.3d at 1347-48 (11th Cir. 2005) (holding that it was unreasonable to require a libel plaintiff </w:t>
      </w:r>
      <w:r>
        <w:t>to</w:t>
      </w:r>
      <w:r w:rsidRPr="00103B0E">
        <w:t xml:space="preserve"> depose seventeen individuals to identify a confidential informant when deposing the four women from whom he was most likely to discover the identity).</w:t>
      </w:r>
    </w:p>
  </w:footnote>
  <w:footnote w:id="64">
    <w:p w14:paraId="07FF03C0" w14:textId="77777777" w:rsidR="00850453" w:rsidRDefault="00850453" w:rsidP="00B5229B">
      <w:pPr>
        <w:pStyle w:val="FootnoteText"/>
      </w:pPr>
      <w:r>
        <w:rPr>
          <w:rStyle w:val="FootnoteReference"/>
        </w:rPr>
        <w:footnoteRef/>
      </w:r>
      <w:r>
        <w:t xml:space="preserve"> </w:t>
      </w:r>
      <w:r>
        <w:rPr>
          <w:i/>
        </w:rPr>
        <w:t xml:space="preserve">See </w:t>
      </w:r>
      <w:r>
        <w:t>NAB NPRM Comments at 18-19 (arguing that, in the absence of a cap,</w:t>
      </w:r>
      <w:r w:rsidRPr="006D63C8">
        <w:t xml:space="preserve"> “a station’s alternative to participation [would be] an uncertain future involving a forced relocation to another channel that might cause it greater interference (or in</w:t>
      </w:r>
      <w:r>
        <w:t>creased cost, for that matter).”).</w:t>
      </w:r>
      <w:r w:rsidRPr="006D63C8">
        <w:t xml:space="preserve"> </w:t>
      </w:r>
      <w:r>
        <w:t xml:space="preserve"> </w:t>
      </w:r>
    </w:p>
  </w:footnote>
  <w:footnote w:id="65">
    <w:p w14:paraId="5D3F8429" w14:textId="77777777" w:rsidR="00850453" w:rsidRPr="00C6561A" w:rsidRDefault="00850453" w:rsidP="00B5229B">
      <w:pPr>
        <w:pStyle w:val="FootnoteText"/>
      </w:pPr>
      <w:r>
        <w:rPr>
          <w:rStyle w:val="FootnoteReference"/>
        </w:rPr>
        <w:footnoteRef/>
      </w:r>
      <w:r>
        <w:t xml:space="preserve"> </w:t>
      </w:r>
      <w:r>
        <w:rPr>
          <w:i/>
        </w:rPr>
        <w:t>See Incentive Auction R&amp;O</w:t>
      </w:r>
      <w:r>
        <w:t>, 29 FCC Rcd at 6831, para. 647.</w:t>
      </w:r>
    </w:p>
  </w:footnote>
  <w:footnote w:id="66">
    <w:p w14:paraId="68BE0790" w14:textId="77777777" w:rsidR="00850453" w:rsidRPr="00103B0E" w:rsidRDefault="00850453" w:rsidP="00B5229B">
      <w:pPr>
        <w:pStyle w:val="FootnoteText"/>
      </w:pPr>
      <w:r w:rsidRPr="00103B0E">
        <w:rPr>
          <w:rStyle w:val="FootnoteReference"/>
        </w:rPr>
        <w:footnoteRef/>
      </w:r>
      <w:r w:rsidRPr="00103B0E">
        <w:t xml:space="preserve"> NAB </w:t>
      </w:r>
      <w:r>
        <w:t xml:space="preserve">NPRM </w:t>
      </w:r>
      <w:r w:rsidRPr="00103B0E">
        <w:t>Comments at 21.</w:t>
      </w:r>
    </w:p>
  </w:footnote>
  <w:footnote w:id="67">
    <w:p w14:paraId="5D350404" w14:textId="77777777" w:rsidR="00850453" w:rsidRDefault="00850453" w:rsidP="00B5229B">
      <w:pPr>
        <w:pStyle w:val="FootnoteText"/>
      </w:pPr>
      <w:r>
        <w:rPr>
          <w:rStyle w:val="FootnoteReference"/>
        </w:rPr>
        <w:footnoteRef/>
      </w:r>
      <w:r>
        <w:t xml:space="preserve"> </w:t>
      </w:r>
      <w:r>
        <w:rPr>
          <w:i/>
        </w:rPr>
        <w:t>Incentive Auction R&amp;O</w:t>
      </w:r>
      <w:r>
        <w:t>, 29 FCC Rcd at 6624, para. 124.</w:t>
      </w:r>
    </w:p>
  </w:footnote>
  <w:footnote w:id="68">
    <w:p w14:paraId="55E7EC16" w14:textId="77777777" w:rsidR="00850453" w:rsidRDefault="00850453" w:rsidP="00B5229B">
      <w:pPr>
        <w:pStyle w:val="FootnoteText"/>
      </w:pPr>
      <w:r>
        <w:rPr>
          <w:rStyle w:val="FootnoteReference"/>
        </w:rPr>
        <w:footnoteRef/>
      </w:r>
      <w:r>
        <w:t xml:space="preserve"> </w:t>
      </w:r>
      <w:r>
        <w:rPr>
          <w:i/>
        </w:rPr>
        <w:t>Incentive Auction R&amp;O</w:t>
      </w:r>
      <w:r>
        <w:t>, 29 FCC Rcd at 6650, para. 180 (“[W]</w:t>
      </w:r>
      <w:r w:rsidRPr="00E27300">
        <w:t>e agree with NAB and other broadcasters that section 6403(b)(2) of the</w:t>
      </w:r>
      <w:r>
        <w:t xml:space="preserve"> Spectrum Act’s charge that we ‘</w:t>
      </w:r>
      <w:r w:rsidRPr="00E27300">
        <w:t xml:space="preserve">make all reasonable efforts to preserve </w:t>
      </w:r>
      <w:r>
        <w:t>. . .</w:t>
      </w:r>
      <w:r w:rsidRPr="00E27300">
        <w:t xml:space="preserve"> the population served of each broadcast television</w:t>
      </w:r>
      <w:r>
        <w:t xml:space="preserve"> licensee’</w:t>
      </w:r>
      <w:r w:rsidRPr="00E27300">
        <w:t xml:space="preserve"> directs us to protect service to the specific viewers who had access to a station’s signal as of February 22, 2012. </w:t>
      </w:r>
      <w:r>
        <w:t xml:space="preserve"> </w:t>
      </w:r>
      <w:r w:rsidRPr="00E27300">
        <w:t>Interpreting the preservation mandate to refer to existing viewers as of this date seems most consistent with the statutory language and legislative history, as well as Commission precedent.</w:t>
      </w:r>
      <w:r>
        <w:t>”).</w:t>
      </w:r>
    </w:p>
  </w:footnote>
  <w:footnote w:id="69">
    <w:p w14:paraId="3D58F1A4" w14:textId="77777777" w:rsidR="00850453" w:rsidRPr="00103B0E" w:rsidRDefault="00850453" w:rsidP="00B5229B">
      <w:pPr>
        <w:pStyle w:val="FootnoteText"/>
      </w:pPr>
      <w:r w:rsidRPr="00103B0E">
        <w:rPr>
          <w:rStyle w:val="FootnoteReference"/>
        </w:rPr>
        <w:footnoteRef/>
      </w:r>
      <w:r>
        <w:rPr>
          <w:rFonts w:eastAsia="Calibri"/>
        </w:rPr>
        <w:t xml:space="preserve"> 47 C.F.R. </w:t>
      </w:r>
      <w:r w:rsidRPr="00103B0E">
        <w:t>§ 73.616.</w:t>
      </w:r>
      <w:r>
        <w:t xml:space="preserve">  </w:t>
      </w:r>
      <w:r>
        <w:rPr>
          <w:rFonts w:eastAsia="Calibri"/>
          <w:i/>
          <w:szCs w:val="22"/>
        </w:rPr>
        <w:t xml:space="preserve">See also supra </w:t>
      </w:r>
      <w:r>
        <w:rPr>
          <w:rFonts w:eastAsia="Calibri"/>
          <w:szCs w:val="22"/>
        </w:rPr>
        <w:t xml:space="preserve">note </w:t>
      </w:r>
      <w:r>
        <w:rPr>
          <w:rFonts w:eastAsia="Calibri"/>
          <w:szCs w:val="22"/>
        </w:rPr>
        <w:fldChar w:fldCharType="begin"/>
      </w:r>
      <w:r>
        <w:rPr>
          <w:rFonts w:eastAsia="Calibri"/>
          <w:szCs w:val="22"/>
        </w:rPr>
        <w:instrText xml:space="preserve"> NOTEREF _Ref270775302 \h </w:instrText>
      </w:r>
      <w:r>
        <w:rPr>
          <w:rFonts w:eastAsia="Calibri"/>
          <w:szCs w:val="22"/>
        </w:rPr>
      </w:r>
      <w:r>
        <w:rPr>
          <w:rFonts w:eastAsia="Calibri"/>
          <w:szCs w:val="22"/>
        </w:rPr>
        <w:fldChar w:fldCharType="separate"/>
      </w:r>
      <w:r>
        <w:rPr>
          <w:rFonts w:eastAsia="Calibri"/>
          <w:szCs w:val="22"/>
        </w:rPr>
        <w:t>23</w:t>
      </w:r>
      <w:r>
        <w:rPr>
          <w:rFonts w:eastAsia="Calibri"/>
          <w:szCs w:val="22"/>
        </w:rPr>
        <w:fldChar w:fldCharType="end"/>
      </w:r>
      <w:r>
        <w:t>.</w:t>
      </w:r>
    </w:p>
  </w:footnote>
  <w:footnote w:id="70">
    <w:p w14:paraId="2D7F61E7" w14:textId="77777777" w:rsidR="00850453" w:rsidRPr="0081434B" w:rsidRDefault="00850453" w:rsidP="0045441F">
      <w:pPr>
        <w:pStyle w:val="FootnoteText"/>
      </w:pPr>
      <w:r w:rsidRPr="0081434B">
        <w:rPr>
          <w:rStyle w:val="FootnoteReference"/>
        </w:rPr>
        <w:footnoteRef/>
      </w:r>
      <w:r w:rsidRPr="0081434B">
        <w:t xml:space="preserve"> Letter from Rick Kaplan, Executive Vice President, Strategic Planning, NAB, to Marlene H. Dortch, Secretary, FCC, GN Docket No. 12-268, ET Docket No. 13-26 at 2 (filed September 24, 2014) (NAB 9/24/2014 Ex Parte); </w:t>
      </w:r>
      <w:r w:rsidRPr="0081434B">
        <w:rPr>
          <w:i/>
        </w:rPr>
        <w:t>see</w:t>
      </w:r>
      <w:r w:rsidRPr="0081434B">
        <w:t xml:space="preserve"> Letter from Rick Kaplan, Executive Vice President, Strategic Planning, NAB, to Marlene H. Dortch, Secretary, FCC, GN Docket No. 12-268, ET Docket No. 13-26 (filed </w:t>
      </w:r>
      <w:r>
        <w:t>October 9</w:t>
      </w:r>
      <w:r w:rsidRPr="0081434B">
        <w:t xml:space="preserve">, 2014); Letter from </w:t>
      </w:r>
      <w:r>
        <w:t>Patrick McFadden, Vice President, Strategic Planning</w:t>
      </w:r>
      <w:r w:rsidRPr="0081434B">
        <w:t xml:space="preserve">, NAB, to Marlene H. Dortch, Secretary, FCC, GN Docket No. 12-268, ET Docket No. 13-26 (filed October </w:t>
      </w:r>
      <w:r>
        <w:t>9</w:t>
      </w:r>
      <w:r w:rsidRPr="0081434B">
        <w:t>, 2014).</w:t>
      </w:r>
    </w:p>
  </w:footnote>
  <w:footnote w:id="71">
    <w:p w14:paraId="0ADBAF37" w14:textId="77777777" w:rsidR="00850453" w:rsidRPr="0081434B" w:rsidRDefault="00850453" w:rsidP="0045441F">
      <w:pPr>
        <w:pStyle w:val="FootnoteText"/>
      </w:pPr>
      <w:r w:rsidRPr="0081434B">
        <w:rPr>
          <w:rStyle w:val="FootnoteReference"/>
        </w:rPr>
        <w:footnoteRef/>
      </w:r>
      <w:r w:rsidRPr="0081434B">
        <w:t xml:space="preserve"> NAB 9/24/2014 Ex Parte at 2.  </w:t>
      </w:r>
    </w:p>
  </w:footnote>
  <w:footnote w:id="72">
    <w:p w14:paraId="28DD91B8" w14:textId="77777777" w:rsidR="00850453" w:rsidRPr="0081434B" w:rsidRDefault="00850453" w:rsidP="0045441F">
      <w:pPr>
        <w:spacing w:after="120"/>
      </w:pPr>
      <w:r w:rsidRPr="0081434B">
        <w:rPr>
          <w:rStyle w:val="FootnoteReference"/>
        </w:rPr>
        <w:footnoteRef/>
      </w:r>
      <w:r w:rsidRPr="0081434B">
        <w:rPr>
          <w:sz w:val="20"/>
        </w:rPr>
        <w:t xml:space="preserve"> We also decline to address here the additional issues raised in NAB’s recent </w:t>
      </w:r>
      <w:r w:rsidRPr="0081434B">
        <w:rPr>
          <w:i/>
          <w:sz w:val="20"/>
        </w:rPr>
        <w:t xml:space="preserve">ex parte </w:t>
      </w:r>
      <w:r w:rsidRPr="0081434B">
        <w:rPr>
          <w:sz w:val="20"/>
        </w:rPr>
        <w:t>filings, which are likewise unrelated to its proposed interference caps</w:t>
      </w:r>
      <w:r>
        <w:rPr>
          <w:sz w:val="20"/>
        </w:rPr>
        <w:t xml:space="preserve"> discussed above</w:t>
      </w:r>
      <w:r w:rsidRPr="0081434B">
        <w:rPr>
          <w:sz w:val="20"/>
        </w:rPr>
        <w:t>.</w:t>
      </w:r>
    </w:p>
  </w:footnote>
  <w:footnote w:id="73">
    <w:p w14:paraId="572C1749" w14:textId="7CF71830" w:rsidR="00850453" w:rsidRPr="0081434B" w:rsidRDefault="00850453" w:rsidP="0045441F">
      <w:pPr>
        <w:pStyle w:val="FootnoteText"/>
      </w:pPr>
      <w:r w:rsidRPr="0081434B">
        <w:rPr>
          <w:rStyle w:val="FootnoteReference"/>
        </w:rPr>
        <w:footnoteRef/>
      </w:r>
      <w:r w:rsidRPr="0081434B">
        <w:t xml:space="preserve"> The Affiliates Associations proposed a 0.5 percent cap on terrain losses</w:t>
      </w:r>
      <w:r>
        <w:t xml:space="preserve"> </w:t>
      </w:r>
      <w:r w:rsidRPr="00F66857">
        <w:t>or, alternatively, expanding station contours to compensate for terrain losses,</w:t>
      </w:r>
      <w:r w:rsidRPr="0081434B" w:rsidDel="00F66857">
        <w:t xml:space="preserve"> </w:t>
      </w:r>
      <w:r w:rsidRPr="0081434B">
        <w:t xml:space="preserve">but not a cap on any resulting viewer losses.  </w:t>
      </w:r>
      <w:r w:rsidRPr="0081434B">
        <w:rPr>
          <w:i/>
        </w:rPr>
        <w:t>Incentive Auction R&amp;O</w:t>
      </w:r>
      <w:r w:rsidRPr="0081434B">
        <w:t xml:space="preserve">, 29 FCC Rcd at </w:t>
      </w:r>
      <w:r>
        <w:t xml:space="preserve">6645-46, </w:t>
      </w:r>
      <w:r w:rsidRPr="0081434B">
        <w:t xml:space="preserve">para. 169. </w:t>
      </w:r>
      <w:r>
        <w:t xml:space="preserve"> </w:t>
      </w:r>
    </w:p>
  </w:footnote>
  <w:footnote w:id="74">
    <w:p w14:paraId="51862462" w14:textId="77777777" w:rsidR="00850453" w:rsidRPr="0081434B" w:rsidRDefault="00850453" w:rsidP="0045441F">
      <w:pPr>
        <w:pStyle w:val="FootnoteText"/>
      </w:pPr>
      <w:r w:rsidRPr="0081434B">
        <w:rPr>
          <w:rStyle w:val="FootnoteReference"/>
        </w:rPr>
        <w:footnoteRef/>
      </w:r>
      <w:r w:rsidRPr="0081434B">
        <w:t xml:space="preserve"> </w:t>
      </w:r>
      <w:r w:rsidRPr="0081434B">
        <w:rPr>
          <w:i/>
        </w:rPr>
        <w:t>See supra</w:t>
      </w:r>
      <w:r w:rsidRPr="0081434B">
        <w:t xml:space="preserve">, note [11].  </w:t>
      </w:r>
    </w:p>
  </w:footnote>
  <w:footnote w:id="75">
    <w:p w14:paraId="222EADC7" w14:textId="77777777" w:rsidR="00850453" w:rsidRPr="0081434B" w:rsidRDefault="00850453" w:rsidP="0045441F">
      <w:pPr>
        <w:pStyle w:val="FootnoteText"/>
      </w:pPr>
      <w:r w:rsidRPr="0081434B">
        <w:rPr>
          <w:rStyle w:val="FootnoteReference"/>
        </w:rPr>
        <w:footnoteRef/>
      </w:r>
      <w:r w:rsidRPr="0081434B">
        <w:t xml:space="preserve"> </w:t>
      </w:r>
      <w:r w:rsidRPr="0081434B">
        <w:rPr>
          <w:i/>
        </w:rPr>
        <w:t>See supra</w:t>
      </w:r>
      <w:r w:rsidRPr="0081434B">
        <w:t xml:space="preserve">, note [43].  </w:t>
      </w:r>
    </w:p>
  </w:footnote>
  <w:footnote w:id="76">
    <w:p w14:paraId="16B670D1" w14:textId="77777777" w:rsidR="00850453" w:rsidRPr="0081434B" w:rsidRDefault="00850453" w:rsidP="0045441F">
      <w:pPr>
        <w:pStyle w:val="FootnoteText"/>
      </w:pPr>
      <w:r w:rsidRPr="0081434B">
        <w:rPr>
          <w:rStyle w:val="FootnoteReference"/>
        </w:rPr>
        <w:footnoteRef/>
      </w:r>
      <w:r>
        <w:t xml:space="preserve"> </w:t>
      </w:r>
      <w:r>
        <w:rPr>
          <w:i/>
        </w:rPr>
        <w:t>See supra</w:t>
      </w:r>
      <w:r>
        <w:t>, paras. [14-15]</w:t>
      </w:r>
      <w:r w:rsidRPr="0081434B">
        <w:t>.</w:t>
      </w:r>
    </w:p>
  </w:footnote>
  <w:footnote w:id="77">
    <w:p w14:paraId="7012CF8D" w14:textId="77777777" w:rsidR="00850453" w:rsidRPr="0081434B" w:rsidRDefault="00850453" w:rsidP="0045441F">
      <w:pPr>
        <w:pStyle w:val="FootnoteText"/>
      </w:pPr>
      <w:r w:rsidRPr="0081434B">
        <w:rPr>
          <w:rStyle w:val="FootnoteReference"/>
        </w:rPr>
        <w:footnoteRef/>
      </w:r>
      <w:r w:rsidRPr="0081434B">
        <w:t xml:space="preserve"> </w:t>
      </w:r>
      <w:r>
        <w:rPr>
          <w:i/>
        </w:rPr>
        <w:t xml:space="preserve">See </w:t>
      </w:r>
      <w:r w:rsidRPr="0081434B">
        <w:rPr>
          <w:i/>
        </w:rPr>
        <w:t>Incentive Auction R&amp;O</w:t>
      </w:r>
      <w:r>
        <w:t xml:space="preserve">, 29 FCC Rcd at 6648, para. 174 (“The majority of UHF stations will be assigned to channels that are lower in the band than their original channels, because under the 600 MHz Band Plan the Commission will be seeking to repurpose UHF spectrum contiguously from channel 51 down, meaning that stations being reassigned to new channels within the UHF band generally will be assigned to channels lower in the band.  Such stations are likely to experience </w:t>
      </w:r>
      <w:r>
        <w:rPr>
          <w:i/>
        </w:rPr>
        <w:t xml:space="preserve">decreases </w:t>
      </w:r>
      <w:r>
        <w:t>rather than increases in coverage lost to terrain within their contours due to the superior propagation characteristics of their lower frequencies.”)</w:t>
      </w:r>
      <w:r w:rsidRPr="0081434B">
        <w:t>.</w:t>
      </w:r>
    </w:p>
  </w:footnote>
  <w:footnote w:id="78">
    <w:p w14:paraId="1CB134F5" w14:textId="77777777" w:rsidR="00850453" w:rsidRPr="0081434B" w:rsidRDefault="00850453" w:rsidP="0045441F">
      <w:pPr>
        <w:pStyle w:val="FootnoteText"/>
      </w:pPr>
      <w:r w:rsidRPr="0081434B">
        <w:rPr>
          <w:rStyle w:val="FootnoteReference"/>
        </w:rPr>
        <w:footnoteRef/>
      </w:r>
      <w:r w:rsidRPr="0081434B">
        <w:t xml:space="preserve"> </w:t>
      </w:r>
      <w:r>
        <w:rPr>
          <w:i/>
        </w:rPr>
        <w:t>See supra</w:t>
      </w:r>
      <w:r>
        <w:t>, note. [52] and accompanying text.</w:t>
      </w:r>
    </w:p>
  </w:footnote>
  <w:footnote w:id="79">
    <w:p w14:paraId="183AFEC4" w14:textId="77777777" w:rsidR="00850453" w:rsidRPr="00A061F6" w:rsidRDefault="00850453">
      <w:pPr>
        <w:pStyle w:val="FootnoteText"/>
      </w:pPr>
      <w:r>
        <w:rPr>
          <w:rStyle w:val="FootnoteReference"/>
        </w:rPr>
        <w:footnoteRef/>
      </w:r>
      <w:r>
        <w:t xml:space="preserve"> We will use </w:t>
      </w:r>
      <w:r w:rsidRPr="006A744E">
        <w:rPr>
          <w:i/>
        </w:rPr>
        <w:t>TVStudy</w:t>
      </w:r>
      <w:r>
        <w:t xml:space="preserve"> to run the ISIX calculations during the incentive auction.</w:t>
      </w:r>
    </w:p>
  </w:footnote>
  <w:footnote w:id="80">
    <w:p w14:paraId="2A4C650B" w14:textId="77777777" w:rsidR="00850453" w:rsidRPr="00BA5E09" w:rsidRDefault="00850453" w:rsidP="00DB205F">
      <w:pPr>
        <w:pStyle w:val="FootnoteText"/>
      </w:pPr>
      <w:r>
        <w:rPr>
          <w:rStyle w:val="FootnoteReference"/>
        </w:rPr>
        <w:footnoteRef/>
      </w:r>
      <w:r>
        <w:t xml:space="preserve"> We will address the specific uses to be made of the ISIX Methodology during the auction in detail in the forthcoming </w:t>
      </w:r>
      <w:r w:rsidRPr="00BA5E09">
        <w:rPr>
          <w:i/>
        </w:rPr>
        <w:t>Comment PN</w:t>
      </w:r>
      <w:r>
        <w:t xml:space="preserve"> on auction procedures.  The “600 MHz Band” refers to the spectrum that will be repurposed for new, flexible uses through the incentive auction.  The 600 MHz Band Plan the Commission adopted in the </w:t>
      </w:r>
      <w:r w:rsidRPr="00BA5E09">
        <w:rPr>
          <w:i/>
        </w:rPr>
        <w:t>Incentive Auction R&amp;O</w:t>
      </w:r>
      <w:r>
        <w:rPr>
          <w:i/>
        </w:rPr>
        <w:t xml:space="preserve"> </w:t>
      </w:r>
      <w:r>
        <w:t xml:space="preserve">consists of paired uplink and downlink bands which will be offered in 5+5 megahertz blocks.  The uplink band will begin at channel 51 (698 MHz) and expand downward, followed by a duplex gap and then the downlink band.  </w:t>
      </w:r>
      <w:r w:rsidRPr="00BA5E09">
        <w:rPr>
          <w:i/>
        </w:rPr>
        <w:t>See</w:t>
      </w:r>
      <w:r>
        <w:rPr>
          <w:i/>
        </w:rPr>
        <w:t xml:space="preserve"> Incentive Auction R&amp;O, </w:t>
      </w:r>
      <w:r w:rsidRPr="00BA5E09">
        <w:t xml:space="preserve">29 FCC Rcd </w:t>
      </w:r>
      <w:r>
        <w:t>6575</w:t>
      </w:r>
      <w:r w:rsidRPr="00BA5E09">
        <w:t>, para. 17.</w:t>
      </w:r>
    </w:p>
  </w:footnote>
  <w:footnote w:id="81">
    <w:p w14:paraId="4FCD278B" w14:textId="77777777" w:rsidR="00850453" w:rsidRDefault="00850453" w:rsidP="00DB205F">
      <w:pPr>
        <w:pStyle w:val="FootnoteText"/>
      </w:pPr>
      <w:r>
        <w:rPr>
          <w:rStyle w:val="FootnoteReference"/>
        </w:rPr>
        <w:footnoteRef/>
      </w:r>
      <w:r>
        <w:t xml:space="preserve"> Threshold determinations for wireless license impairments will be addressed in </w:t>
      </w:r>
      <w:r w:rsidRPr="00394671">
        <w:t xml:space="preserve">the </w:t>
      </w:r>
      <w:r w:rsidRPr="00394671">
        <w:rPr>
          <w:i/>
        </w:rPr>
        <w:t>Comment PN.</w:t>
      </w:r>
    </w:p>
  </w:footnote>
  <w:footnote w:id="82">
    <w:p w14:paraId="0C72E374" w14:textId="77777777" w:rsidR="00850453" w:rsidRPr="009F4F0D" w:rsidRDefault="00850453" w:rsidP="00DB205F">
      <w:pPr>
        <w:pStyle w:val="FootnoteText"/>
      </w:pPr>
      <w:r>
        <w:rPr>
          <w:rStyle w:val="FootnoteReference"/>
        </w:rPr>
        <w:footnoteRef/>
      </w:r>
      <w:r>
        <w:t xml:space="preserve"> </w:t>
      </w:r>
      <w:r>
        <w:rPr>
          <w:i/>
          <w:iCs/>
        </w:rPr>
        <w:t xml:space="preserve">Incentive Auction R&amp;O, </w:t>
      </w:r>
      <w:r>
        <w:rPr>
          <w:iCs/>
        </w:rPr>
        <w:t>29 FCC Rcd</w:t>
      </w:r>
      <w:r>
        <w:rPr>
          <w:i/>
          <w:iCs/>
        </w:rPr>
        <w:t xml:space="preserve"> </w:t>
      </w:r>
      <w:r>
        <w:t>at 6606, para. 86 n</w:t>
      </w:r>
      <w:r w:rsidRPr="005172C0">
        <w:t>. 276.</w:t>
      </w:r>
    </w:p>
  </w:footnote>
  <w:footnote w:id="83">
    <w:p w14:paraId="2E8C9875" w14:textId="77777777" w:rsidR="00850453" w:rsidRPr="00C91582" w:rsidRDefault="00850453" w:rsidP="00DB205F">
      <w:pPr>
        <w:pStyle w:val="FootnoteText"/>
      </w:pPr>
      <w:r>
        <w:rPr>
          <w:rStyle w:val="FootnoteReference"/>
        </w:rPr>
        <w:footnoteRef/>
      </w:r>
      <w:r>
        <w:t xml:space="preserve"> </w:t>
      </w:r>
      <w:r w:rsidRPr="00BF4166">
        <w:rPr>
          <w:i/>
        </w:rPr>
        <w:t>See</w:t>
      </w:r>
      <w:r>
        <w:rPr>
          <w:i/>
        </w:rPr>
        <w:t xml:space="preserve"> generally infra, </w:t>
      </w:r>
      <w:r w:rsidRPr="00F044E8">
        <w:rPr>
          <w:i/>
        </w:rPr>
        <w:t xml:space="preserve">FNPRM </w:t>
      </w:r>
      <w:r w:rsidRPr="00F044E8">
        <w:t>at paras.</w:t>
      </w:r>
      <w:r w:rsidRPr="00F044E8">
        <w:fldChar w:fldCharType="begin"/>
      </w:r>
      <w:r w:rsidRPr="00F044E8">
        <w:instrText xml:space="preserve"> REF _Ref398030060 \r \h </w:instrText>
      </w:r>
      <w:r>
        <w:instrText xml:space="preserve"> \* MERGEFORMAT </w:instrText>
      </w:r>
      <w:r w:rsidRPr="00F044E8">
        <w:fldChar w:fldCharType="separate"/>
      </w:r>
      <w:r>
        <w:t>68</w:t>
      </w:r>
      <w:r w:rsidRPr="00F044E8">
        <w:fldChar w:fldCharType="end"/>
      </w:r>
      <w:r w:rsidRPr="00F044E8">
        <w:t>-</w:t>
      </w:r>
      <w:r w:rsidRPr="00F044E8">
        <w:fldChar w:fldCharType="begin"/>
      </w:r>
      <w:r w:rsidRPr="00F044E8">
        <w:instrText xml:space="preserve"> REF _Ref398030073 \r \h </w:instrText>
      </w:r>
      <w:r>
        <w:instrText xml:space="preserve"> \* MERGEFORMAT </w:instrText>
      </w:r>
      <w:r w:rsidRPr="00F044E8">
        <w:fldChar w:fldCharType="separate"/>
      </w:r>
      <w:r>
        <w:t>73</w:t>
      </w:r>
      <w:r w:rsidRPr="00F044E8">
        <w:fldChar w:fldCharType="end"/>
      </w:r>
      <w:r w:rsidRPr="00F044E8">
        <w:t>.</w:t>
      </w:r>
    </w:p>
  </w:footnote>
  <w:footnote w:id="84">
    <w:p w14:paraId="62C186A3" w14:textId="77777777" w:rsidR="00850453" w:rsidRDefault="00850453">
      <w:pPr>
        <w:pStyle w:val="FootnoteText"/>
      </w:pPr>
      <w:r>
        <w:rPr>
          <w:rStyle w:val="FootnoteReference"/>
        </w:rPr>
        <w:footnoteRef/>
      </w:r>
      <w:r>
        <w:t xml:space="preserve"> </w:t>
      </w:r>
      <w:r w:rsidRPr="00876786">
        <w:t xml:space="preserve">National Public Radio’s Comments regarding interference between DTV Channel 6 and noncommercial educational (“NCE”) FM radio are beyond the scope of the ISIX PN. </w:t>
      </w:r>
      <w:r w:rsidRPr="00FB4444">
        <w:rPr>
          <w:i/>
        </w:rPr>
        <w:t xml:space="preserve"> See</w:t>
      </w:r>
      <w:r w:rsidRPr="00876786">
        <w:t xml:space="preserve"> Comments of National Public Radio, Inc. (filed March 18, 2014).</w:t>
      </w:r>
    </w:p>
  </w:footnote>
  <w:footnote w:id="85">
    <w:p w14:paraId="3556F5A7" w14:textId="77777777" w:rsidR="00850453" w:rsidRDefault="00850453" w:rsidP="00DB205F">
      <w:pPr>
        <w:pStyle w:val="FootnoteText"/>
      </w:pPr>
      <w:r>
        <w:rPr>
          <w:rStyle w:val="FootnoteReference"/>
        </w:rPr>
        <w:footnoteRef/>
      </w:r>
      <w:r>
        <w:t xml:space="preserve"> For example, to determine spectrum clearing targets, we anticipate that we will need to estimate the population affected by impairments to prospective 600 MHz Band license areas.  </w:t>
      </w:r>
      <w:r>
        <w:rPr>
          <w:i/>
        </w:rPr>
        <w:t>See Incentive Auction R&amp;O</w:t>
      </w:r>
      <w:r>
        <w:t xml:space="preserve">, 29 FCC Rcd at 6605-6, para. 84, 6620, para. 116.  Information about impairments also will be necessary to determine what bidding category particular licenses fall within, and we anticipate providing information about impairments to forward auction bidders as appropriate during the bidding process.  </w:t>
      </w:r>
      <w:r>
        <w:rPr>
          <w:i/>
        </w:rPr>
        <w:t>See Incentive Auction R&amp;O</w:t>
      </w:r>
      <w:r>
        <w:t>, 29 FCC Rcd at 6775-6, para. 506.</w:t>
      </w:r>
    </w:p>
  </w:footnote>
  <w:footnote w:id="86">
    <w:p w14:paraId="641AEAB9" w14:textId="77777777" w:rsidR="00850453" w:rsidRPr="001B68C7" w:rsidRDefault="00850453" w:rsidP="00DB205F">
      <w:pPr>
        <w:pStyle w:val="FootnoteText"/>
      </w:pPr>
      <w:r>
        <w:rPr>
          <w:rStyle w:val="FootnoteReference"/>
        </w:rPr>
        <w:footnoteRef/>
      </w:r>
      <w:r>
        <w:t xml:space="preserve"> </w:t>
      </w:r>
      <w:r>
        <w:rPr>
          <w:i/>
        </w:rPr>
        <w:t>See Incentive Auction R&amp;O</w:t>
      </w:r>
      <w:r>
        <w:t>, 29 FCC Rcd at 6574, para. 15.</w:t>
      </w:r>
    </w:p>
  </w:footnote>
  <w:footnote w:id="87">
    <w:p w14:paraId="77AB99FD" w14:textId="28DD0554" w:rsidR="00850453" w:rsidRDefault="00850453">
      <w:pPr>
        <w:pStyle w:val="FootnoteText"/>
      </w:pPr>
      <w:r>
        <w:rPr>
          <w:rStyle w:val="FootnoteReference"/>
        </w:rPr>
        <w:footnoteRef/>
      </w:r>
      <w:r>
        <w:t xml:space="preserve"> </w:t>
      </w:r>
      <w:r w:rsidRPr="00876786">
        <w:t xml:space="preserve">Despite Joint Broadcasters’ claims, the </w:t>
      </w:r>
      <w:r w:rsidRPr="00EA7939">
        <w:rPr>
          <w:i/>
        </w:rPr>
        <w:t>ISIX PN</w:t>
      </w:r>
      <w:r w:rsidRPr="00876786">
        <w:t xml:space="preserve"> clearly proposed that the ISIX Methodology would be used in determining “impairments” during the auction.  </w:t>
      </w:r>
      <w:r w:rsidRPr="00E85423">
        <w:rPr>
          <w:i/>
          <w:iCs/>
        </w:rPr>
        <w:t>Office of Engineering and Technology Seeks to Supplement the Incentive Auction Proceeding Record</w:t>
      </w:r>
      <w:r>
        <w:rPr>
          <w:i/>
          <w:iCs/>
        </w:rPr>
        <w:t xml:space="preserve"> </w:t>
      </w:r>
      <w:r w:rsidRPr="00E85423">
        <w:rPr>
          <w:i/>
          <w:iCs/>
        </w:rPr>
        <w:t>Regarding Potential Interference Between Broadcast Television and Wireless Services</w:t>
      </w:r>
      <w:r w:rsidRPr="00E85423">
        <w:t>, Public Notice,</w:t>
      </w:r>
      <w:r>
        <w:t xml:space="preserve"> 29 FCC Rcd 712,</w:t>
      </w:r>
      <w:r w:rsidRPr="00264F29">
        <w:t xml:space="preserve"> </w:t>
      </w:r>
      <w:r w:rsidRPr="00876786">
        <w:t>715, 718, 724-25</w:t>
      </w:r>
      <w:r>
        <w:t xml:space="preserve"> </w:t>
      </w:r>
      <w:r w:rsidRPr="00E85423">
        <w:t>(2014)</w:t>
      </w:r>
      <w:r>
        <w:t xml:space="preserve"> (“ISIX PN”)</w:t>
      </w:r>
      <w:r w:rsidRPr="00876786">
        <w:t>;</w:t>
      </w:r>
      <w:r w:rsidRPr="006A744E">
        <w:rPr>
          <w:i/>
        </w:rPr>
        <w:t xml:space="preserve"> see</w:t>
      </w:r>
      <w:r w:rsidRPr="00876786">
        <w:t xml:space="preserve"> Joint Broadcasters </w:t>
      </w:r>
      <w:r w:rsidRPr="006A744E">
        <w:rPr>
          <w:i/>
        </w:rPr>
        <w:t>ISIX PN</w:t>
      </w:r>
      <w:r w:rsidRPr="00876786">
        <w:t xml:space="preserve"> Comments at 3-4, 8, 10, 11.  To the extent Joint Broadcasters believe that the </w:t>
      </w:r>
      <w:r w:rsidRPr="00EA7939">
        <w:rPr>
          <w:i/>
        </w:rPr>
        <w:t>ISIX PN</w:t>
      </w:r>
      <w:r w:rsidRPr="00876786">
        <w:t xml:space="preserve"> was unclear as to whether the ISIX Methodology would also be used to assess interference post-auction, this issue is moot in light of the </w:t>
      </w:r>
      <w:r w:rsidRPr="006A744E">
        <w:rPr>
          <w:i/>
        </w:rPr>
        <w:t>FNPRM</w:t>
      </w:r>
      <w:r w:rsidRPr="00876786">
        <w:t xml:space="preserve"> on this issue.  </w:t>
      </w:r>
    </w:p>
  </w:footnote>
  <w:footnote w:id="88">
    <w:p w14:paraId="0D3F7680" w14:textId="77777777" w:rsidR="00850453" w:rsidRPr="00000603" w:rsidRDefault="00850453" w:rsidP="006873A6">
      <w:pPr>
        <w:pStyle w:val="FootnoteText"/>
      </w:pPr>
      <w:r>
        <w:rPr>
          <w:rStyle w:val="FootnoteReference"/>
        </w:rPr>
        <w:footnoteRef/>
      </w:r>
      <w:r>
        <w:t xml:space="preserve"> </w:t>
      </w:r>
      <w:r w:rsidRPr="00EA7939">
        <w:rPr>
          <w:i/>
        </w:rPr>
        <w:t>Incentive Auction R&amp;O</w:t>
      </w:r>
      <w:r>
        <w:rPr>
          <w:i/>
        </w:rPr>
        <w:t xml:space="preserve">, </w:t>
      </w:r>
      <w:r>
        <w:t>29 FCC Rcd at 6605, para. 82 (discussing how the 600 MHz Band Plan can accommodate market variation to avoid restricting the amount of repurposed spectrum that is available in most areas nationwide).</w:t>
      </w:r>
    </w:p>
  </w:footnote>
  <w:footnote w:id="89">
    <w:p w14:paraId="56B1BC14" w14:textId="77777777" w:rsidR="00850453" w:rsidRPr="00351CCB" w:rsidRDefault="00850453">
      <w:pPr>
        <w:pStyle w:val="FootnoteText"/>
      </w:pPr>
      <w:r>
        <w:rPr>
          <w:rStyle w:val="FootnoteReference"/>
        </w:rPr>
        <w:footnoteRef/>
      </w:r>
      <w:r>
        <w:t xml:space="preserve"> </w:t>
      </w:r>
      <w:r w:rsidRPr="00EA7939">
        <w:rPr>
          <w:i/>
        </w:rPr>
        <w:t xml:space="preserve">See Incentive Auction R&amp;O, </w:t>
      </w:r>
      <w:r>
        <w:t>29 FCC Rcd at 6604-6607, paras. 81-87.</w:t>
      </w:r>
    </w:p>
  </w:footnote>
  <w:footnote w:id="90">
    <w:p w14:paraId="7B893237" w14:textId="77777777" w:rsidR="00850453" w:rsidRDefault="00850453">
      <w:pPr>
        <w:pStyle w:val="FootnoteText"/>
      </w:pPr>
      <w:r>
        <w:rPr>
          <w:rStyle w:val="FootnoteReference"/>
        </w:rPr>
        <w:footnoteRef/>
      </w:r>
      <w:r>
        <w:t xml:space="preserve"> </w:t>
      </w:r>
      <w:r w:rsidRPr="00F3761A">
        <w:rPr>
          <w:i/>
        </w:rPr>
        <w:t>See</w:t>
      </w:r>
      <w:r>
        <w:t xml:space="preserve"> </w:t>
      </w:r>
      <w:r>
        <w:rPr>
          <w:i/>
        </w:rPr>
        <w:t xml:space="preserve">Incentive Auction R&amp;O, </w:t>
      </w:r>
      <w:r w:rsidRPr="00F3761A">
        <w:t>29 FCC Rcd at 6575,</w:t>
      </w:r>
      <w:r w:rsidRPr="004E2245">
        <w:rPr>
          <w:i/>
        </w:rPr>
        <w:t xml:space="preserve"> </w:t>
      </w:r>
      <w:r>
        <w:t>para. 17, n</w:t>
      </w:r>
      <w:r w:rsidRPr="00C4049D">
        <w:t xml:space="preserve"> 29</w:t>
      </w:r>
      <w:r>
        <w:t xml:space="preserve">. </w:t>
      </w:r>
    </w:p>
  </w:footnote>
  <w:footnote w:id="91">
    <w:p w14:paraId="595857D9" w14:textId="77777777" w:rsidR="00850453" w:rsidRDefault="00850453" w:rsidP="006873A6">
      <w:pPr>
        <w:pStyle w:val="FootnoteText"/>
      </w:pPr>
      <w:r>
        <w:rPr>
          <w:rStyle w:val="FootnoteReference"/>
        </w:rPr>
        <w:footnoteRef/>
      </w:r>
      <w:r>
        <w:t xml:space="preserve"> </w:t>
      </w:r>
      <w:r w:rsidRPr="004E2245">
        <w:rPr>
          <w:i/>
        </w:rPr>
        <w:t>See</w:t>
      </w:r>
      <w:r w:rsidRPr="00C4049D">
        <w:rPr>
          <w:i/>
        </w:rPr>
        <w:t xml:space="preserve"> </w:t>
      </w:r>
      <w:r>
        <w:rPr>
          <w:i/>
        </w:rPr>
        <w:t xml:space="preserve">id.  </w:t>
      </w:r>
      <w:r>
        <w:t xml:space="preserve">While we decided to accommodate market variation, we recognized the advantages to having a generally consistent band plan.  </w:t>
      </w:r>
      <w:r>
        <w:rPr>
          <w:i/>
        </w:rPr>
        <w:t>See id.</w:t>
      </w:r>
      <w:r>
        <w:t>, 29 FCC Rcd 6605</w:t>
      </w:r>
      <w:r>
        <w:rPr>
          <w:i/>
        </w:rPr>
        <w:t xml:space="preserve"> </w:t>
      </w:r>
      <w:r>
        <w:t xml:space="preserve">at para. 83.  We will decide how much market variation to accommodate under different spectrum recovery scenarios in the forthcoming </w:t>
      </w:r>
      <w:r>
        <w:rPr>
          <w:i/>
        </w:rPr>
        <w:t xml:space="preserve">Comment PN </w:t>
      </w:r>
      <w:r>
        <w:t xml:space="preserve">on final auction procedures.  </w:t>
      </w:r>
      <w:r>
        <w:rPr>
          <w:i/>
        </w:rPr>
        <w:t>See id.</w:t>
      </w:r>
      <w:r>
        <w:t>, 29 FCC Rcd 6605</w:t>
      </w:r>
      <w:r>
        <w:rPr>
          <w:i/>
        </w:rPr>
        <w:t xml:space="preserve"> </w:t>
      </w:r>
      <w:r>
        <w:t>at para. 84.</w:t>
      </w:r>
      <w:r>
        <w:rPr>
          <w:i/>
        </w:rPr>
        <w:t xml:space="preserve"> </w:t>
      </w:r>
    </w:p>
  </w:footnote>
  <w:footnote w:id="92">
    <w:p w14:paraId="2D2F0104" w14:textId="77777777" w:rsidR="00850453" w:rsidRDefault="00850453">
      <w:pPr>
        <w:pStyle w:val="FootnoteText"/>
      </w:pPr>
      <w:r>
        <w:rPr>
          <w:rStyle w:val="FootnoteReference"/>
        </w:rPr>
        <w:footnoteRef/>
      </w:r>
      <w:r>
        <w:t xml:space="preserve"> </w:t>
      </w:r>
      <w:r w:rsidRPr="002A435B">
        <w:rPr>
          <w:i/>
        </w:rPr>
        <w:t>See</w:t>
      </w:r>
      <w:r>
        <w:t xml:space="preserve"> 47 C.F.R. § 73.3700 (a)(1).  The term “broadcast television station” or “television station” as used in this section and in the companion </w:t>
      </w:r>
      <w:r>
        <w:rPr>
          <w:i/>
        </w:rPr>
        <w:t xml:space="preserve">FNPRM </w:t>
      </w:r>
      <w:r>
        <w:t xml:space="preserve">is limited to full power television stations and Class A television stations that will remain on the air following the incentive auction.  </w:t>
      </w:r>
      <w:r w:rsidRPr="00BF4166">
        <w:rPr>
          <w:i/>
        </w:rPr>
        <w:t>See</w:t>
      </w:r>
      <w:r>
        <w:t xml:space="preserve"> </w:t>
      </w:r>
      <w:r w:rsidRPr="00EA7939">
        <w:rPr>
          <w:i/>
        </w:rPr>
        <w:t>Incentive Auction R&amp;O</w:t>
      </w:r>
      <w:r>
        <w:t xml:space="preserve">, section </w:t>
      </w:r>
      <w:r w:rsidRPr="00544D32">
        <w:t>III.B.3a.</w:t>
      </w:r>
      <w:r>
        <w:t xml:space="preserve">  </w:t>
      </w:r>
    </w:p>
  </w:footnote>
  <w:footnote w:id="93">
    <w:p w14:paraId="7F46C07B" w14:textId="77777777" w:rsidR="00850453" w:rsidRDefault="00850453" w:rsidP="00ED5888">
      <w:pPr>
        <w:pStyle w:val="FootnoteText"/>
      </w:pPr>
      <w:r>
        <w:rPr>
          <w:rStyle w:val="FootnoteReference"/>
        </w:rPr>
        <w:footnoteRef/>
      </w:r>
      <w:r>
        <w:t xml:space="preserve"> </w:t>
      </w:r>
      <w:r w:rsidRPr="004E2245">
        <w:rPr>
          <w:i/>
        </w:rPr>
        <w:t>See</w:t>
      </w:r>
      <w:r>
        <w:t xml:space="preserve"> Letter from Rick Kaplan, NAB to Marlene H. Dortch, Secretary, FCC, GN Docket No. 12-268 (Jul. 10, 2013) (NAB July 10, 2013 ex parte) (arguing that geographic separation is the “only reliable method of interference protection […] and that the distance separation requirements to avoid DTV to wireless interference will be much greater than the established distance requirements to avoid wireless to DTV interference.”).  </w:t>
      </w:r>
      <w:r w:rsidRPr="00E710BE">
        <w:rPr>
          <w:i/>
        </w:rPr>
        <w:t>Id.</w:t>
      </w:r>
      <w:r>
        <w:t xml:space="preserve"> at 1; </w:t>
      </w:r>
      <w:r w:rsidRPr="004E2245">
        <w:rPr>
          <w:i/>
        </w:rPr>
        <w:t>see</w:t>
      </w:r>
      <w:r>
        <w:rPr>
          <w:i/>
        </w:rPr>
        <w:t xml:space="preserve"> also</w:t>
      </w:r>
      <w:r>
        <w:t xml:space="preserve"> Qualcomm </w:t>
      </w:r>
      <w:r w:rsidRPr="004E2245">
        <w:rPr>
          <w:i/>
        </w:rPr>
        <w:t>Supplemental Band Plan PN</w:t>
      </w:r>
      <w:r>
        <w:t xml:space="preserve"> Comments at iii, 14.  Qualcomm advocates separation distances between television and wireless user equipment of approximately 500 km or 310 miles, and 100 km for television to wireless base stations.  </w:t>
      </w:r>
      <w:r w:rsidRPr="00654916">
        <w:rPr>
          <w:i/>
        </w:rPr>
        <w:t>See id.</w:t>
      </w:r>
      <w:r>
        <w:t xml:space="preserve"> at 14.</w:t>
      </w:r>
    </w:p>
  </w:footnote>
  <w:footnote w:id="94">
    <w:p w14:paraId="58531A34" w14:textId="77777777" w:rsidR="00850453" w:rsidRPr="000F0EB3" w:rsidRDefault="00850453" w:rsidP="006873A6">
      <w:pPr>
        <w:pStyle w:val="FootnoteText"/>
      </w:pPr>
      <w:r>
        <w:rPr>
          <w:rStyle w:val="FootnoteReference"/>
        </w:rPr>
        <w:footnoteRef/>
      </w:r>
      <w:r>
        <w:t xml:space="preserve"> </w:t>
      </w:r>
      <w:r w:rsidRPr="000F0EB3">
        <w:rPr>
          <w:i/>
        </w:rPr>
        <w:t>See</w:t>
      </w:r>
      <w:r>
        <w:t xml:space="preserve"> </w:t>
      </w:r>
      <w:r w:rsidRPr="000F0EB3">
        <w:rPr>
          <w:i/>
        </w:rPr>
        <w:t>Incentive Auction R&amp;O</w:t>
      </w:r>
      <w:r>
        <w:t>, 29 FCC Rcd at 6605-4, para. 84.</w:t>
      </w:r>
    </w:p>
  </w:footnote>
  <w:footnote w:id="95">
    <w:p w14:paraId="07212FE9" w14:textId="77777777" w:rsidR="00850453" w:rsidRPr="00AE1996" w:rsidRDefault="00850453" w:rsidP="00D84C1E">
      <w:pPr>
        <w:pStyle w:val="FootnoteText"/>
      </w:pPr>
      <w:r>
        <w:rPr>
          <w:rStyle w:val="FootnoteReference"/>
        </w:rPr>
        <w:footnoteRef/>
      </w:r>
      <w:r>
        <w:t xml:space="preserve"> </w:t>
      </w:r>
      <w:r w:rsidRPr="00264F29">
        <w:rPr>
          <w:i/>
        </w:rPr>
        <w:t>See generally</w:t>
      </w:r>
      <w:r>
        <w:t xml:space="preserve"> </w:t>
      </w:r>
      <w:r w:rsidRPr="00264F29">
        <w:rPr>
          <w:i/>
        </w:rPr>
        <w:t>ISIX PN</w:t>
      </w:r>
      <w:r>
        <w:t>, 29 FCC Rcd 712</w:t>
      </w:r>
      <w:r w:rsidRPr="00E85423">
        <w:t>.</w:t>
      </w:r>
      <w:r>
        <w:t xml:space="preserve">  On February 21, 2014, the Commission also hosted a LEARN Workshop to discuss the methodology described in the </w:t>
      </w:r>
      <w:r w:rsidRPr="00AE1996">
        <w:rPr>
          <w:i/>
        </w:rPr>
        <w:t>ISIX PN</w:t>
      </w:r>
      <w:r>
        <w:t xml:space="preserve">.  </w:t>
      </w:r>
      <w:r w:rsidRPr="00AE1996">
        <w:rPr>
          <w:i/>
        </w:rPr>
        <w:t>See</w:t>
      </w:r>
      <w:r>
        <w:t xml:space="preserve"> </w:t>
      </w:r>
      <w:r w:rsidRPr="00AE1996">
        <w:rPr>
          <w:i/>
        </w:rPr>
        <w:t>Incentive Auction Task Force Announces Date for Workshops on Feasibility Checking and Inter-Service Interference</w:t>
      </w:r>
      <w:r>
        <w:t>, Public Notice, 29 FCC Rcd 748 (Jan. 30, 2014).</w:t>
      </w:r>
    </w:p>
  </w:footnote>
  <w:footnote w:id="96">
    <w:p w14:paraId="1F37AA27" w14:textId="77777777" w:rsidR="00850453" w:rsidRDefault="00850453" w:rsidP="006873A6">
      <w:pPr>
        <w:pStyle w:val="FootnoteText"/>
      </w:pPr>
      <w:r>
        <w:rPr>
          <w:rStyle w:val="FootnoteReference"/>
        </w:rPr>
        <w:footnoteRef/>
      </w:r>
      <w:r>
        <w:t xml:space="preserve"> </w:t>
      </w:r>
      <w:r w:rsidRPr="00232924">
        <w:rPr>
          <w:i/>
        </w:rPr>
        <w:t>ISIX PN</w:t>
      </w:r>
      <w:r>
        <w:rPr>
          <w:i/>
        </w:rPr>
        <w:t xml:space="preserve">, </w:t>
      </w:r>
      <w:r w:rsidRPr="00F35E79">
        <w:t>29 FCC Rcd at 715</w:t>
      </w:r>
      <w:r>
        <w:t xml:space="preserve">. </w:t>
      </w:r>
    </w:p>
  </w:footnote>
  <w:footnote w:id="97">
    <w:p w14:paraId="35876FF6" w14:textId="77777777" w:rsidR="00850453" w:rsidRPr="00735E71" w:rsidRDefault="00850453" w:rsidP="00384518">
      <w:pPr>
        <w:pStyle w:val="FootnoteText"/>
      </w:pPr>
      <w:r>
        <w:rPr>
          <w:rStyle w:val="FootnoteReference"/>
        </w:rPr>
        <w:footnoteRef/>
      </w:r>
      <w:r>
        <w:t xml:space="preserve"> </w:t>
      </w:r>
      <w:r w:rsidRPr="008E270B">
        <w:rPr>
          <w:i/>
        </w:rPr>
        <w:t>ISIX PN</w:t>
      </w:r>
      <w:r>
        <w:t xml:space="preserve">, </w:t>
      </w:r>
      <w:r w:rsidRPr="00830A12">
        <w:t>29</w:t>
      </w:r>
      <w:r w:rsidRPr="0002234D">
        <w:t xml:space="preserve"> FCC Rcd </w:t>
      </w:r>
      <w:r>
        <w:t>at 716.</w:t>
      </w:r>
    </w:p>
  </w:footnote>
  <w:footnote w:id="98">
    <w:p w14:paraId="27DF0962" w14:textId="77777777" w:rsidR="00850453" w:rsidRDefault="00850453" w:rsidP="00384518">
      <w:pPr>
        <w:pStyle w:val="FootnoteText"/>
      </w:pPr>
      <w:r>
        <w:rPr>
          <w:rStyle w:val="FootnoteReference"/>
        </w:rPr>
        <w:footnoteRef/>
      </w:r>
      <w:r>
        <w:t xml:space="preserve"> </w:t>
      </w:r>
      <w:r w:rsidRPr="000A1509">
        <w:rPr>
          <w:i/>
        </w:rPr>
        <w:t>I</w:t>
      </w:r>
      <w:r>
        <w:rPr>
          <w:i/>
        </w:rPr>
        <w:t xml:space="preserve">ncentive </w:t>
      </w:r>
      <w:r w:rsidRPr="000A1509">
        <w:rPr>
          <w:i/>
        </w:rPr>
        <w:t>A</w:t>
      </w:r>
      <w:r>
        <w:rPr>
          <w:i/>
        </w:rPr>
        <w:t>uction</w:t>
      </w:r>
      <w:r w:rsidRPr="000A1509">
        <w:rPr>
          <w:i/>
        </w:rPr>
        <w:t xml:space="preserve"> R&amp;O</w:t>
      </w:r>
      <w:r>
        <w:t>, 29 FCC Rcd at 6593-4, at paras. 62-64.</w:t>
      </w:r>
    </w:p>
  </w:footnote>
  <w:footnote w:id="99">
    <w:p w14:paraId="3277C659" w14:textId="77777777" w:rsidR="00850453" w:rsidRDefault="00850453" w:rsidP="001769BE">
      <w:pPr>
        <w:pStyle w:val="FootnoteText"/>
      </w:pPr>
      <w:r w:rsidRPr="00DC162B">
        <w:rPr>
          <w:rStyle w:val="FootnoteReference"/>
        </w:rPr>
        <w:footnoteRef/>
      </w:r>
      <w:r w:rsidRPr="00DC162B">
        <w:t xml:space="preserve"> </w:t>
      </w:r>
      <w:r w:rsidRPr="00AA3CDA">
        <w:rPr>
          <w:i/>
        </w:rPr>
        <w:t>See ISIX PN</w:t>
      </w:r>
      <w:r>
        <w:rPr>
          <w:i/>
        </w:rPr>
        <w:t>,</w:t>
      </w:r>
      <w:r>
        <w:t xml:space="preserve"> 29 FCC Rcd</w:t>
      </w:r>
      <w:r w:rsidRPr="00AA3CDA">
        <w:t xml:space="preserve"> at 723-724</w:t>
      </w:r>
      <w:r w:rsidRPr="00964AA0">
        <w:t>.</w:t>
      </w:r>
      <w:r>
        <w:t xml:space="preserve">  Co-channel operations are identified in the tables as +5MHz to +1 MHz and adjacent channel operations are identified as 0MHz to -5MHz.</w:t>
      </w:r>
    </w:p>
  </w:footnote>
  <w:footnote w:id="100">
    <w:p w14:paraId="380124B1" w14:textId="77777777" w:rsidR="00850453" w:rsidRPr="00D32C9B" w:rsidRDefault="00850453" w:rsidP="006873A6">
      <w:pPr>
        <w:pStyle w:val="FootnoteText"/>
      </w:pPr>
      <w:r>
        <w:rPr>
          <w:rStyle w:val="FootnoteReference"/>
        </w:rPr>
        <w:footnoteRef/>
      </w:r>
      <w:r>
        <w:t xml:space="preserve"> </w:t>
      </w:r>
      <w:r w:rsidRPr="0098050A">
        <w:rPr>
          <w:i/>
        </w:rPr>
        <w:t>ISIX PN</w:t>
      </w:r>
      <w:r w:rsidRPr="00AF3B91">
        <w:t>,</w:t>
      </w:r>
      <w:r>
        <w:t xml:space="preserve"> </w:t>
      </w:r>
      <w:r w:rsidRPr="0002234D">
        <w:t>29 FCC Rcd at</w:t>
      </w:r>
      <w:r>
        <w:t xml:space="preserve"> 713-715.</w:t>
      </w:r>
      <w:r w:rsidRPr="00D32C9B">
        <w:t xml:space="preserve"> </w:t>
      </w:r>
      <w:r>
        <w:t xml:space="preserve"> The record reflects general accord over the four interference scenarios identified in the </w:t>
      </w:r>
      <w:r w:rsidRPr="00DB6332">
        <w:rPr>
          <w:i/>
        </w:rPr>
        <w:t>ISIX PN</w:t>
      </w:r>
      <w:r>
        <w:t>.</w:t>
      </w:r>
      <w:r w:rsidRPr="00D32C9B">
        <w:rPr>
          <w:i/>
        </w:rPr>
        <w:t xml:space="preserve"> </w:t>
      </w:r>
      <w:r>
        <w:rPr>
          <w:i/>
        </w:rPr>
        <w:t xml:space="preserve"> </w:t>
      </w:r>
      <w:r w:rsidRPr="00DB6332">
        <w:rPr>
          <w:i/>
        </w:rPr>
        <w:t>See</w:t>
      </w:r>
      <w:r>
        <w:t xml:space="preserve"> CTIA Comments at 5-6; Ericsson Comments at 2.</w:t>
      </w:r>
      <w:r w:rsidRPr="00C77AB2">
        <w:t xml:space="preserve"> </w:t>
      </w:r>
      <w:r>
        <w:t xml:space="preserve"> Ericsson, however, states that interference cases 2 and 4 pose significantly lower risk to use of the 600 MHz Band for wireless broadband and may generally be ignored in deference to cases 3 and 1 respectively.  </w:t>
      </w:r>
      <w:r w:rsidRPr="00C77AB2">
        <w:rPr>
          <w:i/>
        </w:rPr>
        <w:t>See</w:t>
      </w:r>
      <w:r>
        <w:t xml:space="preserve"> Ericsson Comments at 4.  CTIA maintains that Case 1 is the “worst case” scenario requiring large exclusion zones, Case 2 is likely to require less separation distance that Case 1, Case 3 is more complicated, and Case 4 is most likely to be an adjacent channel interference problem.  </w:t>
      </w:r>
      <w:r w:rsidRPr="00C77AB2">
        <w:rPr>
          <w:i/>
        </w:rPr>
        <w:t>See</w:t>
      </w:r>
      <w:r>
        <w:t xml:space="preserve"> CTIA Comments at 4-5.</w:t>
      </w:r>
    </w:p>
  </w:footnote>
  <w:footnote w:id="101">
    <w:p w14:paraId="1EE96468" w14:textId="77777777" w:rsidR="00850453" w:rsidRDefault="00850453" w:rsidP="00830B28">
      <w:pPr>
        <w:pStyle w:val="FootnoteText"/>
      </w:pPr>
      <w:r>
        <w:rPr>
          <w:rStyle w:val="FootnoteReference"/>
        </w:rPr>
        <w:footnoteRef/>
      </w:r>
      <w:r>
        <w:t xml:space="preserve"> The 600 MHz Band Plan</w:t>
      </w:r>
      <w:r>
        <w:rPr>
          <w:i/>
        </w:rPr>
        <w:t xml:space="preserve"> </w:t>
      </w:r>
      <w:r>
        <w:t xml:space="preserve">includes specific paired uplink and downlink bands.  </w:t>
      </w:r>
      <w:r>
        <w:rPr>
          <w:i/>
        </w:rPr>
        <w:t>See Incentive Auction R&amp;O</w:t>
      </w:r>
      <w:r>
        <w:t xml:space="preserve">, 29 FCC Rcd at 6587-90, paras. 51-57.  The determination of where in the 600 MHz Band television stations will be placed in case of market variation will be addressed in </w:t>
      </w:r>
      <w:r w:rsidRPr="00394671">
        <w:t xml:space="preserve">the </w:t>
      </w:r>
      <w:r w:rsidRPr="00F3068F">
        <w:rPr>
          <w:i/>
        </w:rPr>
        <w:t>Comment PN</w:t>
      </w:r>
      <w:r w:rsidRPr="00394671">
        <w:t>.</w:t>
      </w:r>
    </w:p>
  </w:footnote>
  <w:footnote w:id="102">
    <w:p w14:paraId="7ABDB5E8" w14:textId="77777777" w:rsidR="00850453" w:rsidRDefault="00850453" w:rsidP="007A4A91">
      <w:pPr>
        <w:pStyle w:val="FootnoteText"/>
      </w:pPr>
      <w:r>
        <w:rPr>
          <w:rStyle w:val="FootnoteReference"/>
        </w:rPr>
        <w:footnoteRef/>
      </w:r>
      <w:r>
        <w:t xml:space="preserve"> </w:t>
      </w:r>
      <w:r w:rsidRPr="00BF4166">
        <w:rPr>
          <w:i/>
        </w:rPr>
        <w:t>See</w:t>
      </w:r>
      <w:r>
        <w:t xml:space="preserve"> </w:t>
      </w:r>
      <w:r>
        <w:rPr>
          <w:i/>
        </w:rPr>
        <w:t xml:space="preserve">ISIX PN, </w:t>
      </w:r>
      <w:r w:rsidRPr="00BF4166">
        <w:t>29 FCC Rcd at 727</w:t>
      </w:r>
      <w:r w:rsidRPr="00B807A7">
        <w:t xml:space="preserve">.  The Longley-Rice model evaluates </w:t>
      </w:r>
      <w:r>
        <w:t>television</w:t>
      </w:r>
      <w:r w:rsidRPr="00B807A7">
        <w:t xml:space="preserve"> coverage and interference. </w:t>
      </w:r>
      <w:r w:rsidRPr="00B807A7">
        <w:rPr>
          <w:i/>
        </w:rPr>
        <w:t>See</w:t>
      </w:r>
      <w:r w:rsidRPr="00B807A7">
        <w:t xml:space="preserve"> </w:t>
      </w:r>
      <w:r w:rsidRPr="00B807A7">
        <w:rPr>
          <w:bCs/>
        </w:rPr>
        <w:t>NTIA</w:t>
      </w:r>
      <w:r w:rsidRPr="00304FDE">
        <w:rPr>
          <w:bCs/>
        </w:rPr>
        <w:t xml:space="preserve"> Report 82-100, </w:t>
      </w:r>
      <w:r w:rsidRPr="00304FDE">
        <w:rPr>
          <w:bCs/>
          <w:i/>
          <w:iCs/>
        </w:rPr>
        <w:t>A Guide to the Use of the ITS Irregular Terrain Model in the Area Prediction</w:t>
      </w:r>
      <w:r>
        <w:rPr>
          <w:bCs/>
          <w:i/>
          <w:iCs/>
        </w:rPr>
        <w:t xml:space="preserve"> </w:t>
      </w:r>
      <w:r w:rsidRPr="00304FDE">
        <w:rPr>
          <w:bCs/>
          <w:i/>
          <w:iCs/>
        </w:rPr>
        <w:t>Mode</w:t>
      </w:r>
      <w:r w:rsidRPr="00304FDE">
        <w:rPr>
          <w:bCs/>
        </w:rPr>
        <w:t>, authors G.A. Hufford, A.G. Longley and W.A. Kissick, U.S. Department of Commerce,</w:t>
      </w:r>
      <w:r>
        <w:rPr>
          <w:bCs/>
        </w:rPr>
        <w:t xml:space="preserve"> </w:t>
      </w:r>
      <w:r w:rsidRPr="00304FDE">
        <w:rPr>
          <w:bCs/>
        </w:rPr>
        <w:t xml:space="preserve">April 1982. </w:t>
      </w:r>
      <w:r>
        <w:rPr>
          <w:bCs/>
        </w:rPr>
        <w:t xml:space="preserve"> </w:t>
      </w:r>
      <w:r>
        <w:t xml:space="preserve">Although the </w:t>
      </w:r>
      <w:r w:rsidRPr="00BB15EB">
        <w:rPr>
          <w:i/>
        </w:rPr>
        <w:t>ISIX PN</w:t>
      </w:r>
      <w:r>
        <w:t xml:space="preserve"> described a methodology and input values to predict interference from television to wireless services and vice versa, it did not propose rules limiting interference between these services.  </w:t>
      </w:r>
      <w:r w:rsidRPr="0060104A">
        <w:rPr>
          <w:i/>
        </w:rPr>
        <w:t>ISIX PN</w:t>
      </w:r>
      <w:r>
        <w:t>, 29 FCC Rcd</w:t>
      </w:r>
      <w:r w:rsidRPr="0060104A">
        <w:t xml:space="preserve"> at 718.</w:t>
      </w:r>
      <w:r>
        <w:t xml:space="preserve">  Rules limiting harmful interference to television from wireless services are proposed in the companion </w:t>
      </w:r>
      <w:r w:rsidRPr="00BF4166">
        <w:rPr>
          <w:i/>
        </w:rPr>
        <w:t>FNPRM</w:t>
      </w:r>
      <w:r>
        <w:rPr>
          <w:i/>
        </w:rPr>
        <w:t xml:space="preserve"> infra</w:t>
      </w:r>
      <w:r>
        <w:t>.</w:t>
      </w:r>
    </w:p>
  </w:footnote>
  <w:footnote w:id="103">
    <w:p w14:paraId="5AF87419" w14:textId="77777777" w:rsidR="00850453" w:rsidRDefault="00850453" w:rsidP="006873A6">
      <w:pPr>
        <w:pStyle w:val="FootnoteText"/>
      </w:pPr>
      <w:r>
        <w:rPr>
          <w:rStyle w:val="FootnoteReference"/>
        </w:rPr>
        <w:footnoteRef/>
      </w:r>
      <w:r>
        <w:t xml:space="preserve"> </w:t>
      </w:r>
      <w:r w:rsidRPr="005618AF">
        <w:rPr>
          <w:i/>
        </w:rPr>
        <w:t>ISIX PN</w:t>
      </w:r>
      <w:r>
        <w:t xml:space="preserve">, </w:t>
      </w:r>
      <w:r w:rsidRPr="0002234D">
        <w:t xml:space="preserve">29 FCC Rcd </w:t>
      </w:r>
      <w:r>
        <w:t xml:space="preserve">at 717; </w:t>
      </w:r>
      <w:r w:rsidRPr="005618AF">
        <w:rPr>
          <w:i/>
        </w:rPr>
        <w:t xml:space="preserve">see </w:t>
      </w:r>
      <w:r w:rsidRPr="00CC4B91">
        <w:rPr>
          <w:i/>
        </w:rPr>
        <w:t>also id.</w:t>
      </w:r>
      <w:r w:rsidRPr="00CC4B91">
        <w:t xml:space="preserve"> at 727</w:t>
      </w:r>
      <w:r>
        <w:t>.  The only proposed differences in the treatment of Case 1 and Case 2 are the values of the receiver height (30 meters and 1.5 meters respectively), antenna gain (13.8dBd and -2.2 dBd), line loss (1dB and 0dB</w:t>
      </w:r>
      <w:r w:rsidRPr="00797622">
        <w:t>), and threshold sensitivity  (-101.5dBm and -100 dBm)</w:t>
      </w:r>
      <w:r>
        <w:t>, as well as the proposal to consider clutter loss for Case 2</w:t>
      </w:r>
      <w:r w:rsidRPr="00797622">
        <w:t>.</w:t>
      </w:r>
      <w:r>
        <w:t xml:space="preserve">  </w:t>
      </w:r>
    </w:p>
  </w:footnote>
  <w:footnote w:id="104">
    <w:p w14:paraId="088AD5CD" w14:textId="77777777" w:rsidR="00850453" w:rsidRDefault="00850453" w:rsidP="00A560D5">
      <w:pPr>
        <w:pStyle w:val="FootnoteText"/>
      </w:pPr>
      <w:r>
        <w:rPr>
          <w:rStyle w:val="FootnoteReference"/>
        </w:rPr>
        <w:footnoteRef/>
      </w:r>
      <w:r>
        <w:t xml:space="preserve"> </w:t>
      </w:r>
      <w:r w:rsidRPr="00CA2751">
        <w:rPr>
          <w:i/>
        </w:rPr>
        <w:t>ISIX PN</w:t>
      </w:r>
      <w:r>
        <w:t xml:space="preserve">, 29 FCC Rcd. at 717.  </w:t>
      </w:r>
    </w:p>
  </w:footnote>
  <w:footnote w:id="105">
    <w:p w14:paraId="5138D078" w14:textId="77777777" w:rsidR="00850453" w:rsidRDefault="00850453">
      <w:pPr>
        <w:pStyle w:val="FootnoteText"/>
      </w:pPr>
      <w:r>
        <w:rPr>
          <w:rStyle w:val="FootnoteReference"/>
        </w:rPr>
        <w:footnoteRef/>
      </w:r>
      <w:r>
        <w:t xml:space="preserve"> </w:t>
      </w:r>
      <w:r w:rsidRPr="00EA7939">
        <w:rPr>
          <w:i/>
        </w:rPr>
        <w:t>ISIX PN</w:t>
      </w:r>
      <w:r w:rsidRPr="00EA7939">
        <w:t>, 29 FCC Rcd. at 72</w:t>
      </w:r>
      <w:r>
        <w:t>4</w:t>
      </w:r>
      <w:r w:rsidRPr="00EA7939">
        <w:t xml:space="preserve">. </w:t>
      </w:r>
      <w:r w:rsidRPr="00EA7939">
        <w:rPr>
          <w:i/>
        </w:rPr>
        <w:t xml:space="preserve"> See</w:t>
      </w:r>
      <w:r w:rsidRPr="00EA7939">
        <w:t xml:space="preserve"> OET Bulletin No. 69 at 11 (calling for division of a television station’s service area into two-kilometer grid cells to predict interference between television stations).</w:t>
      </w:r>
    </w:p>
  </w:footnote>
  <w:footnote w:id="106">
    <w:p w14:paraId="0BA271E0" w14:textId="77777777" w:rsidR="00850453" w:rsidRDefault="00850453">
      <w:pPr>
        <w:pStyle w:val="FootnoteText"/>
      </w:pPr>
      <w:r>
        <w:rPr>
          <w:rStyle w:val="FootnoteReference"/>
        </w:rPr>
        <w:footnoteRef/>
      </w:r>
      <w:r>
        <w:t xml:space="preserve"> The population centroid is the fixed point in each cell of the grid based on the distribution of population in that cell, where field strength predictions are evaluated. </w:t>
      </w:r>
    </w:p>
  </w:footnote>
  <w:footnote w:id="107">
    <w:p w14:paraId="71F74F86" w14:textId="77777777" w:rsidR="00850453" w:rsidRDefault="00850453" w:rsidP="006873A6">
      <w:pPr>
        <w:pStyle w:val="FootnoteText"/>
      </w:pPr>
      <w:r>
        <w:rPr>
          <w:rStyle w:val="FootnoteReference"/>
        </w:rPr>
        <w:footnoteRef/>
      </w:r>
      <w:r>
        <w:t xml:space="preserve"> Calculation distances from the DTV facility to the grid point would be set for a 0 dBµV/m F(50,10) contour at a minimum height above average terrain (HAAT) of 50 meters.  This generally equates to a distance of about 500 kilometers but varies based on terrain and DTV facility parameters. </w:t>
      </w:r>
    </w:p>
  </w:footnote>
  <w:footnote w:id="108">
    <w:p w14:paraId="37B2CDE1" w14:textId="77777777" w:rsidR="00850453" w:rsidRDefault="00850453" w:rsidP="00895B5F">
      <w:pPr>
        <w:pStyle w:val="FootnoteText"/>
      </w:pPr>
      <w:r>
        <w:rPr>
          <w:rStyle w:val="FootnoteReference"/>
        </w:rPr>
        <w:footnoteRef/>
      </w:r>
      <w:r>
        <w:t xml:space="preserve"> The </w:t>
      </w:r>
      <w:r w:rsidRPr="00F13FAA">
        <w:rPr>
          <w:i/>
        </w:rPr>
        <w:t>ISIX PN</w:t>
      </w:r>
      <w:r w:rsidRPr="00F13FAA">
        <w:t xml:space="preserve"> proposed</w:t>
      </w:r>
      <w:r>
        <w:t xml:space="preserve"> to apply the field strength thresholds listed in Table 4 of the </w:t>
      </w:r>
      <w:r w:rsidRPr="00D34DD8">
        <w:rPr>
          <w:i/>
        </w:rPr>
        <w:t>ISIX PN</w:t>
      </w:r>
      <w:r>
        <w:t xml:space="preserve">.  Those thresholds, repeated below, are based on technical assumptions regarding the wireless receivers (both base stations and user equipment) that appear respectively in Tables 5 and 6 in the </w:t>
      </w:r>
      <w:r w:rsidRPr="00D34DD8">
        <w:rPr>
          <w:i/>
        </w:rPr>
        <w:t>ISIX PN</w:t>
      </w:r>
      <w: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65"/>
        <w:gridCol w:w="601"/>
        <w:gridCol w:w="601"/>
        <w:gridCol w:w="601"/>
        <w:gridCol w:w="601"/>
        <w:gridCol w:w="601"/>
        <w:gridCol w:w="601"/>
        <w:gridCol w:w="601"/>
        <w:gridCol w:w="601"/>
        <w:gridCol w:w="601"/>
        <w:gridCol w:w="601"/>
        <w:gridCol w:w="601"/>
      </w:tblGrid>
      <w:tr w:rsidR="00850453" w14:paraId="6DDF7184" w14:textId="77777777" w:rsidTr="00C973DD">
        <w:trPr>
          <w:jc w:val="center"/>
        </w:trPr>
        <w:tc>
          <w:tcPr>
            <w:tcW w:w="0" w:type="auto"/>
            <w:tcBorders>
              <w:top w:val="single" w:sz="4" w:space="0" w:color="auto"/>
              <w:left w:val="single" w:sz="4" w:space="0" w:color="auto"/>
              <w:bottom w:val="single" w:sz="6" w:space="0" w:color="auto"/>
              <w:right w:val="single" w:sz="6" w:space="0" w:color="auto"/>
            </w:tcBorders>
            <w:shd w:val="clear" w:color="auto" w:fill="E0E0E0"/>
            <w:vAlign w:val="center"/>
          </w:tcPr>
          <w:p w14:paraId="6190F080" w14:textId="77777777" w:rsidR="00850453" w:rsidRDefault="00850453" w:rsidP="00C80467">
            <w:pPr>
              <w:keepNext/>
              <w:keepLines/>
              <w:jc w:val="center"/>
              <w:rPr>
                <w:sz w:val="20"/>
              </w:rPr>
            </w:pPr>
            <w:r>
              <w:rPr>
                <w:sz w:val="20"/>
              </w:rPr>
              <w:t>Spectral Overlap (MHz)</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tcPr>
          <w:p w14:paraId="10674E72" w14:textId="77777777" w:rsidR="00850453" w:rsidRDefault="00850453" w:rsidP="00715F5F">
            <w:pPr>
              <w:keepNext/>
              <w:keepLines/>
              <w:jc w:val="center"/>
              <w:rPr>
                <w:sz w:val="20"/>
              </w:rPr>
            </w:pPr>
            <w:r>
              <w:rPr>
                <w:sz w:val="20"/>
              </w:rPr>
              <w:t>5</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tcPr>
          <w:p w14:paraId="66392D20" w14:textId="77777777" w:rsidR="00850453" w:rsidRDefault="00850453" w:rsidP="00715F5F">
            <w:pPr>
              <w:keepNext/>
              <w:keepLines/>
              <w:jc w:val="center"/>
              <w:rPr>
                <w:sz w:val="20"/>
              </w:rPr>
            </w:pPr>
            <w:r>
              <w:rPr>
                <w:sz w:val="20"/>
              </w:rPr>
              <w:t>4</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tcPr>
          <w:p w14:paraId="3A8509EE" w14:textId="77777777" w:rsidR="00850453" w:rsidRDefault="00850453" w:rsidP="00715F5F">
            <w:pPr>
              <w:keepNext/>
              <w:keepLines/>
              <w:jc w:val="center"/>
              <w:rPr>
                <w:sz w:val="20"/>
              </w:rPr>
            </w:pPr>
            <w:r>
              <w:rPr>
                <w:sz w:val="20"/>
              </w:rPr>
              <w:t>3</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tcPr>
          <w:p w14:paraId="1CDAB91E" w14:textId="77777777" w:rsidR="00850453" w:rsidRDefault="00850453" w:rsidP="00715F5F">
            <w:pPr>
              <w:keepNext/>
              <w:keepLines/>
              <w:jc w:val="center"/>
              <w:rPr>
                <w:sz w:val="20"/>
              </w:rPr>
            </w:pPr>
            <w:r>
              <w:rPr>
                <w:sz w:val="20"/>
              </w:rPr>
              <w:t>2</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tcPr>
          <w:p w14:paraId="0DFC7C95" w14:textId="77777777" w:rsidR="00850453" w:rsidRDefault="00850453" w:rsidP="00715F5F">
            <w:pPr>
              <w:keepNext/>
              <w:keepLines/>
              <w:jc w:val="center"/>
              <w:rPr>
                <w:sz w:val="20"/>
              </w:rPr>
            </w:pPr>
            <w:r>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tcPr>
          <w:p w14:paraId="2A441AF3" w14:textId="77777777" w:rsidR="00850453" w:rsidRDefault="00850453" w:rsidP="00715F5F">
            <w:pPr>
              <w:keepNext/>
              <w:keepLines/>
              <w:jc w:val="center"/>
              <w:rPr>
                <w:sz w:val="20"/>
              </w:rPr>
            </w:pPr>
            <w:r>
              <w:rPr>
                <w:sz w:val="20"/>
              </w:rPr>
              <w:t>0</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tcPr>
          <w:p w14:paraId="11CAA64F" w14:textId="77777777" w:rsidR="00850453" w:rsidRDefault="00850453" w:rsidP="00715F5F">
            <w:pPr>
              <w:keepNext/>
              <w:keepLines/>
              <w:jc w:val="center"/>
              <w:rPr>
                <w:sz w:val="20"/>
              </w:rPr>
            </w:pPr>
            <w:r>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tcPr>
          <w:p w14:paraId="265AE9DC" w14:textId="77777777" w:rsidR="00850453" w:rsidRDefault="00850453" w:rsidP="00715F5F">
            <w:pPr>
              <w:keepNext/>
              <w:keepLines/>
              <w:jc w:val="center"/>
              <w:rPr>
                <w:sz w:val="20"/>
              </w:rPr>
            </w:pPr>
            <w:r>
              <w:rPr>
                <w:sz w:val="20"/>
              </w:rPr>
              <w:t>-2</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tcPr>
          <w:p w14:paraId="08CA6981" w14:textId="77777777" w:rsidR="00850453" w:rsidRDefault="00850453" w:rsidP="00715F5F">
            <w:pPr>
              <w:keepNext/>
              <w:keepLines/>
              <w:jc w:val="center"/>
              <w:rPr>
                <w:sz w:val="20"/>
              </w:rPr>
            </w:pPr>
            <w:r>
              <w:rPr>
                <w:sz w:val="20"/>
              </w:rPr>
              <w:t>-3</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tcPr>
          <w:p w14:paraId="583E1F67" w14:textId="77777777" w:rsidR="00850453" w:rsidRDefault="00850453" w:rsidP="00715F5F">
            <w:pPr>
              <w:keepNext/>
              <w:keepLines/>
              <w:jc w:val="center"/>
              <w:rPr>
                <w:sz w:val="20"/>
              </w:rPr>
            </w:pPr>
            <w:r>
              <w:rPr>
                <w:sz w:val="20"/>
              </w:rPr>
              <w:t>-4</w:t>
            </w:r>
          </w:p>
        </w:tc>
        <w:tc>
          <w:tcPr>
            <w:tcW w:w="0" w:type="auto"/>
            <w:tcBorders>
              <w:top w:val="single" w:sz="4" w:space="0" w:color="auto"/>
              <w:left w:val="single" w:sz="6" w:space="0" w:color="auto"/>
              <w:bottom w:val="single" w:sz="6" w:space="0" w:color="auto"/>
              <w:right w:val="single" w:sz="4" w:space="0" w:color="auto"/>
            </w:tcBorders>
            <w:shd w:val="clear" w:color="auto" w:fill="E0E0E0"/>
            <w:vAlign w:val="center"/>
          </w:tcPr>
          <w:p w14:paraId="62478C55" w14:textId="77777777" w:rsidR="00850453" w:rsidRDefault="00850453" w:rsidP="00715F5F">
            <w:pPr>
              <w:keepNext/>
              <w:keepLines/>
              <w:jc w:val="center"/>
              <w:rPr>
                <w:sz w:val="20"/>
              </w:rPr>
            </w:pPr>
            <w:r>
              <w:rPr>
                <w:sz w:val="20"/>
              </w:rPr>
              <w:t>-5</w:t>
            </w:r>
          </w:p>
        </w:tc>
      </w:tr>
      <w:tr w:rsidR="00850453" w14:paraId="4366243F" w14:textId="77777777" w:rsidTr="00C973DD">
        <w:trPr>
          <w:cantSplit/>
          <w:jc w:val="center"/>
        </w:trPr>
        <w:tc>
          <w:tcPr>
            <w:tcW w:w="0" w:type="auto"/>
            <w:tcBorders>
              <w:top w:val="single" w:sz="6" w:space="0" w:color="auto"/>
              <w:left w:val="single" w:sz="4" w:space="0" w:color="auto"/>
              <w:bottom w:val="single" w:sz="6" w:space="0" w:color="auto"/>
              <w:right w:val="single" w:sz="6" w:space="0" w:color="auto"/>
            </w:tcBorders>
            <w:vAlign w:val="center"/>
          </w:tcPr>
          <w:p w14:paraId="3012D096" w14:textId="77777777" w:rsidR="00850453" w:rsidRDefault="00850453" w:rsidP="00C80467">
            <w:pPr>
              <w:keepNext/>
              <w:keepLines/>
            </w:pPr>
            <w:r>
              <w:t>DTV Field Strength</w:t>
            </w:r>
          </w:p>
          <w:p w14:paraId="5CD8D93E" w14:textId="77777777" w:rsidR="00850453" w:rsidRDefault="00850453" w:rsidP="00C80467">
            <w:pPr>
              <w:keepNext/>
              <w:keepLines/>
            </w:pPr>
            <w:r>
              <w:t>into Wireless Uplink (dBµV/m)</w:t>
            </w:r>
          </w:p>
        </w:tc>
        <w:tc>
          <w:tcPr>
            <w:tcW w:w="0" w:type="auto"/>
            <w:tcBorders>
              <w:top w:val="single" w:sz="6" w:space="0" w:color="auto"/>
              <w:left w:val="single" w:sz="6" w:space="0" w:color="auto"/>
              <w:bottom w:val="single" w:sz="6" w:space="0" w:color="auto"/>
              <w:right w:val="single" w:sz="6" w:space="0" w:color="auto"/>
            </w:tcBorders>
            <w:vAlign w:val="center"/>
          </w:tcPr>
          <w:p w14:paraId="0612F5B2" w14:textId="77777777" w:rsidR="00850453" w:rsidRDefault="00850453" w:rsidP="00715F5F">
            <w:pPr>
              <w:keepNext/>
              <w:keepLines/>
              <w:jc w:val="center"/>
            </w:pPr>
            <w:r>
              <w:t>17.3</w:t>
            </w:r>
          </w:p>
        </w:tc>
        <w:tc>
          <w:tcPr>
            <w:tcW w:w="0" w:type="auto"/>
            <w:tcBorders>
              <w:top w:val="single" w:sz="6" w:space="0" w:color="auto"/>
              <w:left w:val="single" w:sz="6" w:space="0" w:color="auto"/>
              <w:bottom w:val="single" w:sz="6" w:space="0" w:color="auto"/>
              <w:right w:val="single" w:sz="6" w:space="0" w:color="auto"/>
            </w:tcBorders>
            <w:vAlign w:val="center"/>
          </w:tcPr>
          <w:p w14:paraId="20685CCC" w14:textId="77777777" w:rsidR="00850453" w:rsidRDefault="00850453" w:rsidP="00715F5F">
            <w:pPr>
              <w:keepNext/>
              <w:keepLines/>
              <w:jc w:val="center"/>
            </w:pPr>
            <w:r>
              <w:t>18.2</w:t>
            </w:r>
          </w:p>
        </w:tc>
        <w:tc>
          <w:tcPr>
            <w:tcW w:w="0" w:type="auto"/>
            <w:tcBorders>
              <w:top w:val="single" w:sz="6" w:space="0" w:color="auto"/>
              <w:left w:val="single" w:sz="6" w:space="0" w:color="auto"/>
              <w:bottom w:val="single" w:sz="6" w:space="0" w:color="auto"/>
              <w:right w:val="single" w:sz="6" w:space="0" w:color="auto"/>
            </w:tcBorders>
            <w:vAlign w:val="center"/>
          </w:tcPr>
          <w:p w14:paraId="5EBCBB40" w14:textId="77777777" w:rsidR="00850453" w:rsidRDefault="00850453" w:rsidP="00715F5F">
            <w:pPr>
              <w:keepNext/>
              <w:keepLines/>
              <w:jc w:val="center"/>
            </w:pPr>
            <w:r>
              <w:t>19.5</w:t>
            </w:r>
          </w:p>
        </w:tc>
        <w:tc>
          <w:tcPr>
            <w:tcW w:w="0" w:type="auto"/>
            <w:tcBorders>
              <w:top w:val="single" w:sz="6" w:space="0" w:color="auto"/>
              <w:left w:val="single" w:sz="6" w:space="0" w:color="auto"/>
              <w:bottom w:val="single" w:sz="6" w:space="0" w:color="auto"/>
              <w:right w:val="single" w:sz="6" w:space="0" w:color="auto"/>
            </w:tcBorders>
            <w:vAlign w:val="center"/>
          </w:tcPr>
          <w:p w14:paraId="0968687C" w14:textId="77777777" w:rsidR="00850453" w:rsidRDefault="00850453" w:rsidP="00715F5F">
            <w:pPr>
              <w:keepNext/>
              <w:keepLines/>
              <w:jc w:val="center"/>
            </w:pPr>
            <w:r>
              <w:t>21.2</w:t>
            </w:r>
          </w:p>
        </w:tc>
        <w:tc>
          <w:tcPr>
            <w:tcW w:w="0" w:type="auto"/>
            <w:tcBorders>
              <w:top w:val="single" w:sz="6" w:space="0" w:color="auto"/>
              <w:left w:val="single" w:sz="6" w:space="0" w:color="auto"/>
              <w:bottom w:val="single" w:sz="6" w:space="0" w:color="auto"/>
              <w:right w:val="single" w:sz="6" w:space="0" w:color="auto"/>
            </w:tcBorders>
            <w:vAlign w:val="center"/>
          </w:tcPr>
          <w:p w14:paraId="057D158C" w14:textId="77777777" w:rsidR="00850453" w:rsidRDefault="00850453" w:rsidP="00715F5F">
            <w:pPr>
              <w:keepNext/>
              <w:keepLines/>
              <w:jc w:val="center"/>
            </w:pPr>
            <w:r>
              <w:t>24.0</w:t>
            </w:r>
          </w:p>
        </w:tc>
        <w:tc>
          <w:tcPr>
            <w:tcW w:w="0" w:type="auto"/>
            <w:tcBorders>
              <w:top w:val="single" w:sz="6" w:space="0" w:color="auto"/>
              <w:left w:val="single" w:sz="6" w:space="0" w:color="auto"/>
              <w:bottom w:val="single" w:sz="6" w:space="0" w:color="auto"/>
              <w:right w:val="single" w:sz="6" w:space="0" w:color="auto"/>
            </w:tcBorders>
            <w:vAlign w:val="center"/>
          </w:tcPr>
          <w:p w14:paraId="2AB04DB0" w14:textId="77777777" w:rsidR="00850453" w:rsidRDefault="00850453" w:rsidP="00715F5F">
            <w:pPr>
              <w:keepNext/>
              <w:keepLines/>
              <w:jc w:val="center"/>
            </w:pPr>
            <w:r>
              <w:t>34.4</w:t>
            </w:r>
          </w:p>
        </w:tc>
        <w:tc>
          <w:tcPr>
            <w:tcW w:w="0" w:type="auto"/>
            <w:tcBorders>
              <w:top w:val="single" w:sz="6" w:space="0" w:color="auto"/>
              <w:left w:val="single" w:sz="6" w:space="0" w:color="auto"/>
              <w:bottom w:val="single" w:sz="6" w:space="0" w:color="auto"/>
              <w:right w:val="single" w:sz="6" w:space="0" w:color="auto"/>
            </w:tcBorders>
            <w:vAlign w:val="center"/>
          </w:tcPr>
          <w:p w14:paraId="48A12AC2" w14:textId="77777777" w:rsidR="00850453" w:rsidRDefault="00850453" w:rsidP="00715F5F">
            <w:pPr>
              <w:keepNext/>
              <w:keepLines/>
              <w:jc w:val="center"/>
            </w:pPr>
            <w:r>
              <w:t>61.4</w:t>
            </w:r>
          </w:p>
        </w:tc>
        <w:tc>
          <w:tcPr>
            <w:tcW w:w="0" w:type="auto"/>
            <w:tcBorders>
              <w:top w:val="single" w:sz="6" w:space="0" w:color="auto"/>
              <w:left w:val="single" w:sz="6" w:space="0" w:color="auto"/>
              <w:bottom w:val="single" w:sz="6" w:space="0" w:color="auto"/>
              <w:right w:val="single" w:sz="6" w:space="0" w:color="auto"/>
            </w:tcBorders>
            <w:vAlign w:val="center"/>
          </w:tcPr>
          <w:p w14:paraId="69F23BCD" w14:textId="77777777" w:rsidR="00850453" w:rsidRDefault="00850453" w:rsidP="00715F5F">
            <w:pPr>
              <w:keepNext/>
              <w:keepLines/>
              <w:jc w:val="center"/>
            </w:pPr>
            <w:r>
              <w:t>62.5</w:t>
            </w:r>
          </w:p>
        </w:tc>
        <w:tc>
          <w:tcPr>
            <w:tcW w:w="0" w:type="auto"/>
            <w:tcBorders>
              <w:top w:val="single" w:sz="6" w:space="0" w:color="auto"/>
              <w:left w:val="single" w:sz="6" w:space="0" w:color="auto"/>
              <w:bottom w:val="single" w:sz="6" w:space="0" w:color="auto"/>
              <w:right w:val="single" w:sz="6" w:space="0" w:color="auto"/>
            </w:tcBorders>
            <w:vAlign w:val="center"/>
          </w:tcPr>
          <w:p w14:paraId="0CED13D3" w14:textId="77777777" w:rsidR="00850453" w:rsidRDefault="00850453" w:rsidP="00715F5F">
            <w:pPr>
              <w:keepNext/>
              <w:keepLines/>
              <w:jc w:val="center"/>
            </w:pPr>
            <w:r>
              <w:t>63.7</w:t>
            </w:r>
          </w:p>
        </w:tc>
        <w:tc>
          <w:tcPr>
            <w:tcW w:w="0" w:type="auto"/>
            <w:tcBorders>
              <w:top w:val="single" w:sz="6" w:space="0" w:color="auto"/>
              <w:left w:val="single" w:sz="6" w:space="0" w:color="auto"/>
              <w:bottom w:val="single" w:sz="6" w:space="0" w:color="auto"/>
              <w:right w:val="single" w:sz="6" w:space="0" w:color="auto"/>
            </w:tcBorders>
            <w:vAlign w:val="center"/>
          </w:tcPr>
          <w:p w14:paraId="7E1E2BCA" w14:textId="77777777" w:rsidR="00850453" w:rsidRDefault="00850453" w:rsidP="00715F5F">
            <w:pPr>
              <w:keepNext/>
              <w:keepLines/>
              <w:jc w:val="center"/>
            </w:pPr>
            <w:r>
              <w:t>65.5</w:t>
            </w:r>
          </w:p>
        </w:tc>
        <w:tc>
          <w:tcPr>
            <w:tcW w:w="0" w:type="auto"/>
            <w:tcBorders>
              <w:top w:val="single" w:sz="6" w:space="0" w:color="auto"/>
              <w:left w:val="single" w:sz="6" w:space="0" w:color="auto"/>
              <w:bottom w:val="single" w:sz="6" w:space="0" w:color="auto"/>
              <w:right w:val="single" w:sz="4" w:space="0" w:color="auto"/>
            </w:tcBorders>
            <w:vAlign w:val="center"/>
          </w:tcPr>
          <w:p w14:paraId="6682CFAE" w14:textId="77777777" w:rsidR="00850453" w:rsidRDefault="00850453" w:rsidP="00715F5F">
            <w:pPr>
              <w:keepNext/>
              <w:keepLines/>
              <w:jc w:val="center"/>
            </w:pPr>
            <w:r>
              <w:t>68.6</w:t>
            </w:r>
          </w:p>
        </w:tc>
      </w:tr>
      <w:tr w:rsidR="00850453" w14:paraId="2E75B6BB" w14:textId="77777777" w:rsidTr="00C973DD">
        <w:trPr>
          <w:cantSplit/>
          <w:jc w:val="center"/>
        </w:trPr>
        <w:tc>
          <w:tcPr>
            <w:tcW w:w="0" w:type="auto"/>
            <w:tcBorders>
              <w:top w:val="single" w:sz="6" w:space="0" w:color="auto"/>
              <w:left w:val="single" w:sz="4" w:space="0" w:color="auto"/>
              <w:bottom w:val="single" w:sz="4" w:space="0" w:color="auto"/>
              <w:right w:val="single" w:sz="6" w:space="0" w:color="auto"/>
            </w:tcBorders>
            <w:vAlign w:val="center"/>
          </w:tcPr>
          <w:p w14:paraId="40895D27" w14:textId="77777777" w:rsidR="00850453" w:rsidRDefault="00850453" w:rsidP="00C80467">
            <w:pPr>
              <w:keepLines/>
            </w:pPr>
            <w:r>
              <w:t>DTV Field Strength</w:t>
            </w:r>
          </w:p>
          <w:p w14:paraId="70C779F5" w14:textId="77777777" w:rsidR="00850453" w:rsidRDefault="00850453" w:rsidP="00C80467">
            <w:pPr>
              <w:keepLines/>
            </w:pPr>
            <w:r>
              <w:t>into Wireless Downlink (dBµV/m)</w:t>
            </w:r>
          </w:p>
        </w:tc>
        <w:tc>
          <w:tcPr>
            <w:tcW w:w="0" w:type="auto"/>
            <w:tcBorders>
              <w:top w:val="single" w:sz="6" w:space="0" w:color="auto"/>
              <w:left w:val="single" w:sz="6" w:space="0" w:color="auto"/>
              <w:bottom w:val="single" w:sz="4" w:space="0" w:color="auto"/>
              <w:right w:val="single" w:sz="6" w:space="0" w:color="auto"/>
            </w:tcBorders>
            <w:vAlign w:val="center"/>
          </w:tcPr>
          <w:p w14:paraId="2F9E8F36" w14:textId="77777777" w:rsidR="00850453" w:rsidRDefault="00850453" w:rsidP="00715F5F">
            <w:pPr>
              <w:keepLines/>
              <w:jc w:val="center"/>
            </w:pPr>
            <w:r>
              <w:t>33.8</w:t>
            </w:r>
          </w:p>
        </w:tc>
        <w:tc>
          <w:tcPr>
            <w:tcW w:w="0" w:type="auto"/>
            <w:tcBorders>
              <w:top w:val="single" w:sz="6" w:space="0" w:color="auto"/>
              <w:left w:val="single" w:sz="6" w:space="0" w:color="auto"/>
              <w:bottom w:val="single" w:sz="4" w:space="0" w:color="auto"/>
              <w:right w:val="single" w:sz="6" w:space="0" w:color="auto"/>
            </w:tcBorders>
            <w:vAlign w:val="center"/>
          </w:tcPr>
          <w:p w14:paraId="70E8D0F9" w14:textId="77777777" w:rsidR="00850453" w:rsidRDefault="00850453" w:rsidP="00715F5F">
            <w:pPr>
              <w:keepNext/>
              <w:keepLines/>
              <w:jc w:val="center"/>
            </w:pPr>
            <w:r>
              <w:t>34.7</w:t>
            </w:r>
          </w:p>
        </w:tc>
        <w:tc>
          <w:tcPr>
            <w:tcW w:w="0" w:type="auto"/>
            <w:tcBorders>
              <w:top w:val="single" w:sz="6" w:space="0" w:color="auto"/>
              <w:left w:val="single" w:sz="6" w:space="0" w:color="auto"/>
              <w:bottom w:val="single" w:sz="4" w:space="0" w:color="auto"/>
              <w:right w:val="single" w:sz="6" w:space="0" w:color="auto"/>
            </w:tcBorders>
            <w:vAlign w:val="center"/>
          </w:tcPr>
          <w:p w14:paraId="2EA5CFCD" w14:textId="77777777" w:rsidR="00850453" w:rsidRDefault="00850453" w:rsidP="00715F5F">
            <w:pPr>
              <w:keepNext/>
              <w:keepLines/>
              <w:jc w:val="center"/>
            </w:pPr>
            <w:r>
              <w:t>36.0</w:t>
            </w:r>
          </w:p>
        </w:tc>
        <w:tc>
          <w:tcPr>
            <w:tcW w:w="0" w:type="auto"/>
            <w:tcBorders>
              <w:top w:val="single" w:sz="6" w:space="0" w:color="auto"/>
              <w:left w:val="single" w:sz="6" w:space="0" w:color="auto"/>
              <w:bottom w:val="single" w:sz="4" w:space="0" w:color="auto"/>
              <w:right w:val="single" w:sz="6" w:space="0" w:color="auto"/>
            </w:tcBorders>
            <w:vAlign w:val="center"/>
          </w:tcPr>
          <w:p w14:paraId="2A21C251" w14:textId="77777777" w:rsidR="00850453" w:rsidRDefault="00850453" w:rsidP="00715F5F">
            <w:pPr>
              <w:keepNext/>
              <w:keepLines/>
              <w:jc w:val="center"/>
            </w:pPr>
            <w:r>
              <w:t>37.6</w:t>
            </w:r>
          </w:p>
        </w:tc>
        <w:tc>
          <w:tcPr>
            <w:tcW w:w="0" w:type="auto"/>
            <w:tcBorders>
              <w:top w:val="single" w:sz="6" w:space="0" w:color="auto"/>
              <w:left w:val="single" w:sz="6" w:space="0" w:color="auto"/>
              <w:bottom w:val="single" w:sz="4" w:space="0" w:color="auto"/>
              <w:right w:val="single" w:sz="6" w:space="0" w:color="auto"/>
            </w:tcBorders>
            <w:vAlign w:val="center"/>
          </w:tcPr>
          <w:p w14:paraId="6C2864E8" w14:textId="77777777" w:rsidR="00850453" w:rsidRDefault="00850453" w:rsidP="00715F5F">
            <w:pPr>
              <w:keepNext/>
              <w:keepLines/>
              <w:jc w:val="center"/>
            </w:pPr>
            <w:r>
              <w:t>40.4</w:t>
            </w:r>
          </w:p>
        </w:tc>
        <w:tc>
          <w:tcPr>
            <w:tcW w:w="0" w:type="auto"/>
            <w:tcBorders>
              <w:top w:val="single" w:sz="6" w:space="0" w:color="auto"/>
              <w:left w:val="single" w:sz="6" w:space="0" w:color="auto"/>
              <w:bottom w:val="single" w:sz="4" w:space="0" w:color="auto"/>
              <w:right w:val="single" w:sz="6" w:space="0" w:color="auto"/>
            </w:tcBorders>
            <w:vAlign w:val="center"/>
          </w:tcPr>
          <w:p w14:paraId="64B3FD0F" w14:textId="77777777" w:rsidR="00850453" w:rsidRDefault="00850453" w:rsidP="00715F5F">
            <w:pPr>
              <w:keepNext/>
              <w:keepLines/>
              <w:jc w:val="center"/>
            </w:pPr>
            <w:r>
              <w:t>50.7</w:t>
            </w:r>
          </w:p>
        </w:tc>
        <w:tc>
          <w:tcPr>
            <w:tcW w:w="0" w:type="auto"/>
            <w:tcBorders>
              <w:top w:val="single" w:sz="6" w:space="0" w:color="auto"/>
              <w:left w:val="single" w:sz="6" w:space="0" w:color="auto"/>
              <w:bottom w:val="single" w:sz="4" w:space="0" w:color="auto"/>
              <w:right w:val="single" w:sz="6" w:space="0" w:color="auto"/>
            </w:tcBorders>
            <w:vAlign w:val="center"/>
          </w:tcPr>
          <w:p w14:paraId="68000E20" w14:textId="77777777" w:rsidR="00850453" w:rsidRDefault="00850453" w:rsidP="00715F5F">
            <w:pPr>
              <w:keepNext/>
              <w:keepLines/>
              <w:jc w:val="center"/>
            </w:pPr>
            <w:r>
              <w:t>65.8</w:t>
            </w:r>
          </w:p>
        </w:tc>
        <w:tc>
          <w:tcPr>
            <w:tcW w:w="0" w:type="auto"/>
            <w:tcBorders>
              <w:top w:val="single" w:sz="6" w:space="0" w:color="auto"/>
              <w:left w:val="single" w:sz="6" w:space="0" w:color="auto"/>
              <w:bottom w:val="single" w:sz="4" w:space="0" w:color="auto"/>
              <w:right w:val="single" w:sz="6" w:space="0" w:color="auto"/>
            </w:tcBorders>
            <w:vAlign w:val="center"/>
          </w:tcPr>
          <w:p w14:paraId="652ACE1F" w14:textId="77777777" w:rsidR="00850453" w:rsidRDefault="00850453" w:rsidP="00715F5F">
            <w:pPr>
              <w:keepLines/>
              <w:jc w:val="center"/>
            </w:pPr>
            <w:r>
              <w:t>66.6</w:t>
            </w:r>
          </w:p>
        </w:tc>
        <w:tc>
          <w:tcPr>
            <w:tcW w:w="0" w:type="auto"/>
            <w:tcBorders>
              <w:top w:val="single" w:sz="6" w:space="0" w:color="auto"/>
              <w:left w:val="single" w:sz="6" w:space="0" w:color="auto"/>
              <w:bottom w:val="single" w:sz="4" w:space="0" w:color="auto"/>
              <w:right w:val="single" w:sz="6" w:space="0" w:color="auto"/>
            </w:tcBorders>
            <w:vAlign w:val="center"/>
          </w:tcPr>
          <w:p w14:paraId="363255B3" w14:textId="77777777" w:rsidR="00850453" w:rsidRDefault="00850453" w:rsidP="00715F5F">
            <w:pPr>
              <w:keepLines/>
              <w:jc w:val="center"/>
            </w:pPr>
            <w:r>
              <w:t>67.6</w:t>
            </w:r>
          </w:p>
        </w:tc>
        <w:tc>
          <w:tcPr>
            <w:tcW w:w="0" w:type="auto"/>
            <w:tcBorders>
              <w:top w:val="single" w:sz="6" w:space="0" w:color="auto"/>
              <w:left w:val="single" w:sz="6" w:space="0" w:color="auto"/>
              <w:bottom w:val="single" w:sz="4" w:space="0" w:color="auto"/>
              <w:right w:val="single" w:sz="6" w:space="0" w:color="auto"/>
            </w:tcBorders>
            <w:vAlign w:val="center"/>
          </w:tcPr>
          <w:p w14:paraId="440E9715" w14:textId="77777777" w:rsidR="00850453" w:rsidRDefault="00850453" w:rsidP="00715F5F">
            <w:pPr>
              <w:keepLines/>
              <w:jc w:val="center"/>
            </w:pPr>
            <w:r>
              <w:t>68.9</w:t>
            </w:r>
          </w:p>
        </w:tc>
        <w:tc>
          <w:tcPr>
            <w:tcW w:w="0" w:type="auto"/>
            <w:tcBorders>
              <w:top w:val="single" w:sz="6" w:space="0" w:color="auto"/>
              <w:left w:val="single" w:sz="6" w:space="0" w:color="auto"/>
              <w:bottom w:val="single" w:sz="4" w:space="0" w:color="auto"/>
              <w:right w:val="single" w:sz="4" w:space="0" w:color="auto"/>
            </w:tcBorders>
            <w:vAlign w:val="center"/>
          </w:tcPr>
          <w:p w14:paraId="7EC6DF69" w14:textId="77777777" w:rsidR="00850453" w:rsidRDefault="00850453" w:rsidP="00715F5F">
            <w:pPr>
              <w:keepLines/>
              <w:jc w:val="center"/>
            </w:pPr>
            <w:r>
              <w:t>70.8</w:t>
            </w:r>
          </w:p>
        </w:tc>
      </w:tr>
    </w:tbl>
    <w:p w14:paraId="74EFF9E0" w14:textId="77777777" w:rsidR="00850453" w:rsidRDefault="00850453" w:rsidP="00895B5F">
      <w:pPr>
        <w:pStyle w:val="FootnoteText"/>
      </w:pPr>
    </w:p>
  </w:footnote>
  <w:footnote w:id="109">
    <w:p w14:paraId="3551ED54" w14:textId="77777777" w:rsidR="00850453" w:rsidRDefault="00850453">
      <w:pPr>
        <w:pStyle w:val="FootnoteText"/>
      </w:pPr>
      <w:r>
        <w:rPr>
          <w:rStyle w:val="FootnoteReference"/>
        </w:rPr>
        <w:footnoteRef/>
      </w:r>
      <w:r>
        <w:t xml:space="preserve"> Clutter loss refers to predicted losses in signal strength due to local obstacles such as foliage or buildings; losses associated with the category of clutter at a receiver are added to predicted propagation loss to arrive at total path loss between a transmitter and receiver.  The proposed clutter loss values were listed in Table 15 of the </w:t>
      </w:r>
      <w:r w:rsidRPr="00F3761A">
        <w:rPr>
          <w:i/>
        </w:rPr>
        <w:t>ISIX PN</w:t>
      </w:r>
      <w:r>
        <w:t xml:space="preserve">.  </w:t>
      </w:r>
      <w:r w:rsidRPr="00F3761A">
        <w:rPr>
          <w:i/>
        </w:rPr>
        <w:t>See</w:t>
      </w:r>
      <w:r>
        <w:t xml:space="preserve"> </w:t>
      </w:r>
      <w:r w:rsidRPr="00F3761A">
        <w:rPr>
          <w:i/>
        </w:rPr>
        <w:t>ISIX PN</w:t>
      </w:r>
      <w:r>
        <w:t>, 29 FCC Rcd at 737.</w:t>
      </w:r>
    </w:p>
  </w:footnote>
  <w:footnote w:id="110">
    <w:p w14:paraId="230A792C" w14:textId="77777777" w:rsidR="00850453" w:rsidRPr="00B51A45" w:rsidRDefault="00850453">
      <w:pPr>
        <w:pStyle w:val="FootnoteText"/>
      </w:pPr>
      <w:r>
        <w:rPr>
          <w:rStyle w:val="FootnoteReference"/>
        </w:rPr>
        <w:footnoteRef/>
      </w:r>
      <w:r>
        <w:t xml:space="preserve"> </w:t>
      </w:r>
      <w:r>
        <w:rPr>
          <w:i/>
        </w:rPr>
        <w:t>ISIX PN</w:t>
      </w:r>
      <w:r>
        <w:t>, 29 FCC Rcd at 725.</w:t>
      </w:r>
    </w:p>
  </w:footnote>
  <w:footnote w:id="111">
    <w:p w14:paraId="63D755AA" w14:textId="77777777" w:rsidR="00850453" w:rsidRDefault="00850453" w:rsidP="006873A6">
      <w:pPr>
        <w:pStyle w:val="FootnoteText"/>
      </w:pPr>
      <w:r>
        <w:rPr>
          <w:rStyle w:val="FootnoteReference"/>
        </w:rPr>
        <w:footnoteRef/>
      </w:r>
      <w:r>
        <w:t xml:space="preserve"> </w:t>
      </w:r>
      <w:r w:rsidRPr="00C1588C">
        <w:rPr>
          <w:i/>
        </w:rPr>
        <w:t>ISIX PN</w:t>
      </w:r>
      <w:r>
        <w:t xml:space="preserve">, 29 FCC Rcd. at 725. </w:t>
      </w:r>
      <w:r w:rsidRPr="0074704F">
        <w:rPr>
          <w:i/>
        </w:rPr>
        <w:t xml:space="preserve"> See</w:t>
      </w:r>
      <w:r>
        <w:t xml:space="preserve"> OET Bulletin No. 69 at 11 (calling for division of a television station’s service area or contour into ten-kilometer grid cells to predict interference between DTV stations).  The term “contour” refers to either the “noise-limited contour” for full power television stations or “protected contour” for Class A television stations.  </w:t>
      </w:r>
      <w:r w:rsidRPr="00D20288">
        <w:rPr>
          <w:i/>
        </w:rPr>
        <w:t>See</w:t>
      </w:r>
      <w:r>
        <w:t xml:space="preserve"> 47 C.F.R. §§ 73.622(e), 73.6010.</w:t>
      </w:r>
    </w:p>
  </w:footnote>
  <w:footnote w:id="112">
    <w:p w14:paraId="56FE3BF0" w14:textId="77777777" w:rsidR="00850453" w:rsidRDefault="00850453" w:rsidP="003F4CB5">
      <w:pPr>
        <w:pStyle w:val="FootnoteText"/>
      </w:pPr>
      <w:r>
        <w:rPr>
          <w:rStyle w:val="FootnoteReference"/>
        </w:rPr>
        <w:footnoteRef/>
      </w:r>
      <w:r>
        <w:t xml:space="preserve"> </w:t>
      </w:r>
      <w:r w:rsidRPr="00895AA7">
        <w:rPr>
          <w:i/>
        </w:rPr>
        <w:t>ISIX PN</w:t>
      </w:r>
      <w:r>
        <w:t>, 29 FCC Rcd at 725, 733, Table 10.</w:t>
      </w:r>
    </w:p>
  </w:footnote>
  <w:footnote w:id="113">
    <w:p w14:paraId="724E5694" w14:textId="77777777" w:rsidR="00850453" w:rsidRPr="005B39A5" w:rsidRDefault="00850453" w:rsidP="00895B5F">
      <w:pPr>
        <w:pStyle w:val="FootnoteText"/>
      </w:pPr>
      <w:r>
        <w:rPr>
          <w:rStyle w:val="FootnoteReference"/>
        </w:rPr>
        <w:footnoteRef/>
      </w:r>
      <w:r>
        <w:t xml:space="preserve"> </w:t>
      </w:r>
      <w:r w:rsidRPr="00BF4166">
        <w:t>The desired to undesired ratio (D/U) is a measure of how much the electric field strength of the desired signal exceeds the field strength of the undesired signal at the measurement point.   When the desired signal is very strong in relation to the interfering signal, the D/U ratio is large.  As the field strength of the interfering signal approaches the field strength of the desired signal, the D/U ratio decreases and interference is more likely to occur.  The D/U threshold sets the minimum D/U ratio that can be tolerated by the desired receiver before interference is assumed to occur.</w:t>
      </w:r>
    </w:p>
  </w:footnote>
  <w:footnote w:id="114">
    <w:p w14:paraId="425C574A" w14:textId="77777777" w:rsidR="00850453" w:rsidRDefault="00850453" w:rsidP="006873A6">
      <w:pPr>
        <w:pStyle w:val="FootnoteText"/>
      </w:pPr>
      <w:r>
        <w:rPr>
          <w:rStyle w:val="FootnoteReference"/>
        </w:rPr>
        <w:footnoteRef/>
      </w:r>
      <w:r>
        <w:t xml:space="preserve"> </w:t>
      </w:r>
      <w:r w:rsidRPr="00F35E79">
        <w:rPr>
          <w:i/>
        </w:rPr>
        <w:t>ISIX PN</w:t>
      </w:r>
      <w:r>
        <w:t>, 29 FCC Rcd at 732, Table 8.</w:t>
      </w:r>
    </w:p>
  </w:footnote>
  <w:footnote w:id="115">
    <w:p w14:paraId="6B8D7E88" w14:textId="77777777" w:rsidR="00850453" w:rsidRDefault="00850453" w:rsidP="006873A6">
      <w:pPr>
        <w:pStyle w:val="FootnoteText"/>
      </w:pPr>
      <w:r>
        <w:rPr>
          <w:rStyle w:val="FootnoteReference"/>
        </w:rPr>
        <w:footnoteRef/>
      </w:r>
      <w:r>
        <w:t xml:space="preserve"> </w:t>
      </w:r>
      <w:r w:rsidRPr="00F35E79">
        <w:rPr>
          <w:i/>
        </w:rPr>
        <w:t>ISIX PN</w:t>
      </w:r>
      <w:r>
        <w:t>, 29 FCC Rcd at 732, Table 8 (D/U ratios above the proposed threshold in the Table reflect no interference to television, while D/U ratios below the proposed threshold reflect interference to television).</w:t>
      </w:r>
    </w:p>
  </w:footnote>
  <w:footnote w:id="116">
    <w:p w14:paraId="2E3C20A4" w14:textId="77777777" w:rsidR="00850453" w:rsidRDefault="00850453" w:rsidP="006873A6">
      <w:pPr>
        <w:pStyle w:val="FootnoteText"/>
      </w:pPr>
      <w:r>
        <w:rPr>
          <w:rStyle w:val="FootnoteReference"/>
        </w:rPr>
        <w:footnoteRef/>
      </w:r>
      <w:r>
        <w:t xml:space="preserve"> </w:t>
      </w:r>
      <w:r w:rsidRPr="00D35B95">
        <w:rPr>
          <w:i/>
        </w:rPr>
        <w:t xml:space="preserve">ISIX </w:t>
      </w:r>
      <w:r w:rsidRPr="00566DF0">
        <w:rPr>
          <w:i/>
        </w:rPr>
        <w:t>PN</w:t>
      </w:r>
      <w:r>
        <w:t xml:space="preserve">, 29 FCC Rcd </w:t>
      </w:r>
      <w:r w:rsidRPr="00566DF0">
        <w:t>at 735.</w:t>
      </w:r>
    </w:p>
  </w:footnote>
  <w:footnote w:id="117">
    <w:p w14:paraId="53BD0985" w14:textId="03023CFF" w:rsidR="00850453" w:rsidRDefault="00850453" w:rsidP="006873A6">
      <w:pPr>
        <w:pStyle w:val="FootnoteText"/>
      </w:pPr>
      <w:r>
        <w:rPr>
          <w:rStyle w:val="FootnoteReference"/>
        </w:rPr>
        <w:footnoteRef/>
      </w:r>
      <w:r>
        <w:t xml:space="preserve"> </w:t>
      </w:r>
      <w:r w:rsidRPr="00141541">
        <w:rPr>
          <w:i/>
        </w:rPr>
        <w:t>ISIX PN</w:t>
      </w:r>
      <w:r>
        <w:t>, 29 FCC Rcd at 729.</w:t>
      </w:r>
      <w:r w:rsidRPr="00B9077C">
        <w:t xml:space="preserve"> </w:t>
      </w:r>
      <w:r w:rsidRPr="00FC37E7">
        <w:t xml:space="preserve">Such warning messages </w:t>
      </w:r>
      <w:r>
        <w:t xml:space="preserve">or flags (code 3) </w:t>
      </w:r>
      <w:r w:rsidRPr="00FC37E7">
        <w:t>are generated when the obstacle nearest to either the transmit or receive location along the propagation path is significantly above</w:t>
      </w:r>
      <w:r>
        <w:t xml:space="preserve"> or below</w:t>
      </w:r>
      <w:r w:rsidRPr="00FC37E7">
        <w:t xml:space="preserve"> the height of the transmit or receive antenna</w:t>
      </w:r>
      <w:r>
        <w:t xml:space="preserve">.  Specifically, they are generated when the absolute value of the horizontal elevation angle to the nearest terrain obstacle is greater than 0.2 radians, or approximately 11.5 degrees.  </w:t>
      </w:r>
      <w:r w:rsidRPr="00AF2094">
        <w:t>See NTIA Institute for Telecommunication Sciences (ITS), Description of the ITM/Longley-Rice Model, available at:</w:t>
      </w:r>
      <w:r>
        <w:t xml:space="preserve"> </w:t>
      </w:r>
      <w:r w:rsidRPr="00AF2094">
        <w:t xml:space="preserve"> </w:t>
      </w:r>
      <w:hyperlink r:id="rId1" w:history="1">
        <w:r w:rsidRPr="006A744E">
          <w:rPr>
            <w:color w:val="0000FF"/>
            <w:u w:val="single"/>
          </w:rPr>
          <w:t>http://www.its.bldrdoc.gov/media/35869/itm.pdf</w:t>
        </w:r>
      </w:hyperlink>
      <w:r w:rsidRPr="00AF2094">
        <w:t>, sections 2, 5, 7, and 8.</w:t>
      </w:r>
    </w:p>
  </w:footnote>
  <w:footnote w:id="118">
    <w:p w14:paraId="16231A45" w14:textId="77777777" w:rsidR="00850453" w:rsidRDefault="00850453">
      <w:pPr>
        <w:pStyle w:val="FootnoteText"/>
      </w:pPr>
      <w:r>
        <w:rPr>
          <w:rStyle w:val="FootnoteReference"/>
        </w:rPr>
        <w:footnoteRef/>
      </w:r>
      <w:r>
        <w:t xml:space="preserve"> </w:t>
      </w:r>
      <w:r w:rsidRPr="00F3761A">
        <w:rPr>
          <w:i/>
        </w:rPr>
        <w:t>ISIX PN</w:t>
      </w:r>
      <w:r>
        <w:t>, 29 FCC Rcd at 716.</w:t>
      </w:r>
    </w:p>
  </w:footnote>
  <w:footnote w:id="119">
    <w:p w14:paraId="5BB39292" w14:textId="77777777" w:rsidR="00850453" w:rsidRPr="00EA73DB" w:rsidRDefault="00850453" w:rsidP="006873A6">
      <w:pPr>
        <w:pStyle w:val="FootnoteText"/>
      </w:pPr>
      <w:r>
        <w:rPr>
          <w:rStyle w:val="FootnoteReference"/>
        </w:rPr>
        <w:footnoteRef/>
      </w:r>
      <w:r>
        <w:t xml:space="preserve"> </w:t>
      </w:r>
      <w:r w:rsidRPr="00EA73DB">
        <w:rPr>
          <w:i/>
        </w:rPr>
        <w:t>ISIX PN</w:t>
      </w:r>
      <w:r>
        <w:t>, 29 FCC Rcd at 716.  The DTV-to-DTV interference protection ratios are set forth in 47 C.F.R. § 73.623(c).</w:t>
      </w:r>
    </w:p>
  </w:footnote>
  <w:footnote w:id="120">
    <w:p w14:paraId="130ACC26" w14:textId="77777777" w:rsidR="00850453" w:rsidRDefault="00850453" w:rsidP="006873A6">
      <w:pPr>
        <w:pStyle w:val="FootnoteText"/>
      </w:pPr>
      <w:r>
        <w:rPr>
          <w:rStyle w:val="FootnoteReference"/>
        </w:rPr>
        <w:footnoteRef/>
      </w:r>
      <w:r>
        <w:t xml:space="preserve"> </w:t>
      </w:r>
      <w:r w:rsidRPr="00E93121">
        <w:rPr>
          <w:i/>
        </w:rPr>
        <w:t>See, e.g.</w:t>
      </w:r>
      <w:r>
        <w:t>, SBE Comments at 6, Joint Broadcasters Comments at  18-24.</w:t>
      </w:r>
    </w:p>
  </w:footnote>
  <w:footnote w:id="121">
    <w:p w14:paraId="204690DE" w14:textId="77777777" w:rsidR="00850453" w:rsidRDefault="00850453" w:rsidP="00A560D5">
      <w:pPr>
        <w:pStyle w:val="FootnoteText"/>
      </w:pPr>
      <w:r>
        <w:rPr>
          <w:rStyle w:val="FootnoteReference"/>
        </w:rPr>
        <w:footnoteRef/>
      </w:r>
      <w:r>
        <w:t xml:space="preserve"> </w:t>
      </w:r>
      <w:r w:rsidRPr="0017712B">
        <w:rPr>
          <w:i/>
        </w:rPr>
        <w:t>See</w:t>
      </w:r>
      <w:r>
        <w:rPr>
          <w:i/>
        </w:rPr>
        <w:t xml:space="preserve"> Office of Engineering and Technology Seeks Comment on Measurements of LTE into DTV Interference, </w:t>
      </w:r>
      <w:r>
        <w:t>Public Notice,</w:t>
      </w:r>
      <w:r>
        <w:rPr>
          <w:i/>
        </w:rPr>
        <w:t xml:space="preserve"> </w:t>
      </w:r>
      <w:r w:rsidRPr="00E96ECB">
        <w:t>GN Docket No. 12-268, ET Docket No. 14-</w:t>
      </w:r>
      <w:r w:rsidRPr="005327FE">
        <w:t>14,</w:t>
      </w:r>
      <w:r w:rsidRPr="005327FE">
        <w:rPr>
          <w:i/>
        </w:rPr>
        <w:t xml:space="preserve"> </w:t>
      </w:r>
      <w:r w:rsidRPr="005327FE">
        <w:t>DA 14-852 (Jun</w:t>
      </w:r>
      <w:r>
        <w:t xml:space="preserve">. 20, 2014) (“Measurements PN”). </w:t>
      </w:r>
    </w:p>
  </w:footnote>
  <w:footnote w:id="122">
    <w:p w14:paraId="4E305DEE" w14:textId="77777777" w:rsidR="00850453" w:rsidRDefault="00850453" w:rsidP="006873A6">
      <w:pPr>
        <w:pStyle w:val="FootnoteText"/>
      </w:pPr>
      <w:r>
        <w:rPr>
          <w:rStyle w:val="FootnoteReference"/>
        </w:rPr>
        <w:footnoteRef/>
      </w:r>
      <w:r>
        <w:t xml:space="preserve"> Letter from Julie M. Kearney, CEA to Marlene H. Dortch, Secretary, FCC, GN Docket No. 12-268, ET Docket No. 14-14 (filed May 22, 2014) (“CEA Measurements Report”). CEA </w:t>
      </w:r>
      <w:r w:rsidRPr="00D25FC1">
        <w:t xml:space="preserve">tested </w:t>
      </w:r>
      <w:r w:rsidRPr="00F3761A">
        <w:t>television receivers from the model years 2006, 2012, and 2013.</w:t>
      </w:r>
    </w:p>
  </w:footnote>
  <w:footnote w:id="123">
    <w:p w14:paraId="30903FAA" w14:textId="77777777" w:rsidR="00850453" w:rsidRDefault="00850453" w:rsidP="006873A6">
      <w:pPr>
        <w:pStyle w:val="FootnoteText"/>
      </w:pPr>
      <w:r>
        <w:rPr>
          <w:rStyle w:val="FootnoteReference"/>
        </w:rPr>
        <w:footnoteRef/>
      </w:r>
      <w:r>
        <w:t xml:space="preserve"> </w:t>
      </w:r>
      <w:r w:rsidRPr="0017712B">
        <w:rPr>
          <w:i/>
        </w:rPr>
        <w:t>See</w:t>
      </w:r>
      <w:r>
        <w:rPr>
          <w:i/>
        </w:rPr>
        <w:t xml:space="preserve"> generally </w:t>
      </w:r>
      <w:r w:rsidRPr="00DF1D38">
        <w:rPr>
          <w:i/>
        </w:rPr>
        <w:t>Measurements PN</w:t>
      </w:r>
      <w:r>
        <w:rPr>
          <w:i/>
        </w:rPr>
        <w:t xml:space="preserve">, </w:t>
      </w:r>
      <w:r w:rsidRPr="006A744E">
        <w:t>DA</w:t>
      </w:r>
      <w:r>
        <w:t xml:space="preserve"> 14-852. </w:t>
      </w:r>
    </w:p>
  </w:footnote>
  <w:footnote w:id="124">
    <w:p w14:paraId="28E72C2F" w14:textId="77777777" w:rsidR="00850453" w:rsidRPr="00910934" w:rsidRDefault="00850453" w:rsidP="00910934">
      <w:pPr>
        <w:pStyle w:val="FootnoteText"/>
      </w:pPr>
      <w:r>
        <w:rPr>
          <w:rStyle w:val="FootnoteReference"/>
        </w:rPr>
        <w:footnoteRef/>
      </w:r>
      <w:r>
        <w:t xml:space="preserve"> </w:t>
      </w:r>
      <w:r w:rsidRPr="00BF4166">
        <w:t xml:space="preserve">Off Frequency Rejection (OFR) is </w:t>
      </w:r>
      <w:r>
        <w:t>a</w:t>
      </w:r>
      <w:r w:rsidRPr="00BF4166">
        <w:t xml:space="preserve"> reduction in </w:t>
      </w:r>
      <w:r>
        <w:t xml:space="preserve">a receiver’s susceptibility to interference that occurs when an </w:t>
      </w:r>
      <w:r w:rsidRPr="00BF4166">
        <w:t xml:space="preserve">interfering signal </w:t>
      </w:r>
      <w:r>
        <w:t xml:space="preserve">does not fully occupy the band to which the receiver is tuned.  </w:t>
      </w:r>
      <w:r w:rsidRPr="00BF4166">
        <w:t>OFR is a result of the rolloff of the transmitter emission mask and the receiver selectivity filters attenuating out-of-band emissions. </w:t>
      </w:r>
    </w:p>
  </w:footnote>
  <w:footnote w:id="125">
    <w:p w14:paraId="4796CF3B" w14:textId="77777777" w:rsidR="00850453" w:rsidRDefault="00850453" w:rsidP="006873A6">
      <w:pPr>
        <w:pStyle w:val="FootnoteText"/>
      </w:pPr>
      <w:r>
        <w:rPr>
          <w:rStyle w:val="FootnoteReference"/>
        </w:rPr>
        <w:footnoteRef/>
      </w:r>
      <w:r>
        <w:t xml:space="preserve"> </w:t>
      </w:r>
      <w:r w:rsidRPr="00B85A88">
        <w:rPr>
          <w:i/>
        </w:rPr>
        <w:t>See</w:t>
      </w:r>
      <w:r>
        <w:t xml:space="preserve"> </w:t>
      </w:r>
      <w:r w:rsidRPr="00B85A88">
        <w:rPr>
          <w:i/>
        </w:rPr>
        <w:t>Measurements PN</w:t>
      </w:r>
      <w:r>
        <w:t xml:space="preserve"> </w:t>
      </w:r>
      <w:r w:rsidRPr="008E270B">
        <w:t xml:space="preserve">at </w:t>
      </w:r>
      <w:r>
        <w:t>2.</w:t>
      </w:r>
    </w:p>
  </w:footnote>
  <w:footnote w:id="126">
    <w:p w14:paraId="7F98E132" w14:textId="77777777" w:rsidR="00850453" w:rsidRDefault="00850453">
      <w:pPr>
        <w:pStyle w:val="FootnoteText"/>
      </w:pPr>
      <w:r>
        <w:rPr>
          <w:rStyle w:val="FootnoteReference"/>
        </w:rPr>
        <w:footnoteRef/>
      </w:r>
      <w:r>
        <w:t xml:space="preserve"> </w:t>
      </w:r>
      <w:r w:rsidRPr="008F59CE">
        <w:rPr>
          <w:i/>
        </w:rPr>
        <w:t>See ISIX PN</w:t>
      </w:r>
      <w:r>
        <w:t xml:space="preserve">, </w:t>
      </w:r>
      <w:r w:rsidRPr="00D25FC1">
        <w:t xml:space="preserve">29 FCC </w:t>
      </w:r>
      <w:r w:rsidRPr="00F3761A">
        <w:t>Rcd at 714-715</w:t>
      </w:r>
      <w:r w:rsidRPr="00D25FC1">
        <w:t>.</w:t>
      </w:r>
    </w:p>
  </w:footnote>
  <w:footnote w:id="127">
    <w:p w14:paraId="27044868" w14:textId="77777777" w:rsidR="00850453" w:rsidRDefault="00850453">
      <w:pPr>
        <w:pStyle w:val="FootnoteText"/>
      </w:pPr>
      <w:r>
        <w:rPr>
          <w:rStyle w:val="FootnoteReference"/>
        </w:rPr>
        <w:footnoteRef/>
      </w:r>
      <w:r>
        <w:t xml:space="preserve"> </w:t>
      </w:r>
      <w:r w:rsidRPr="008F59CE">
        <w:rPr>
          <w:i/>
        </w:rPr>
        <w:t xml:space="preserve">See ISIX </w:t>
      </w:r>
      <w:r w:rsidRPr="00D25FC1">
        <w:rPr>
          <w:i/>
        </w:rPr>
        <w:t>PN</w:t>
      </w:r>
      <w:r w:rsidRPr="00D25FC1">
        <w:t xml:space="preserve">, 29 FCC </w:t>
      </w:r>
      <w:r w:rsidRPr="00F3761A">
        <w:t>Rcd at 715.</w:t>
      </w:r>
    </w:p>
  </w:footnote>
  <w:footnote w:id="128">
    <w:p w14:paraId="6A5A8064" w14:textId="77777777" w:rsidR="00850453" w:rsidRPr="00197C45" w:rsidRDefault="00850453">
      <w:pPr>
        <w:pStyle w:val="FootnoteText"/>
      </w:pPr>
      <w:r>
        <w:rPr>
          <w:rStyle w:val="FootnoteReference"/>
        </w:rPr>
        <w:footnoteRef/>
      </w:r>
      <w:r>
        <w:t xml:space="preserve"> </w:t>
      </w:r>
      <w:r w:rsidRPr="00DF1D38">
        <w:rPr>
          <w:i/>
        </w:rPr>
        <w:t>See</w:t>
      </w:r>
      <w:r>
        <w:rPr>
          <w:i/>
        </w:rPr>
        <w:t xml:space="preserve"> ISIX </w:t>
      </w:r>
      <w:r w:rsidRPr="00D25FC1">
        <w:rPr>
          <w:i/>
        </w:rPr>
        <w:t>PN,</w:t>
      </w:r>
      <w:r w:rsidRPr="00D25FC1">
        <w:t xml:space="preserve"> 29 FCC </w:t>
      </w:r>
      <w:r w:rsidRPr="00F3761A">
        <w:t>Rcd at 727.</w:t>
      </w:r>
      <w:r>
        <w:t xml:space="preserve">  </w:t>
      </w:r>
      <w:r w:rsidRPr="00A367C2">
        <w:rPr>
          <w:i/>
        </w:rPr>
        <w:t>See</w:t>
      </w:r>
      <w:r>
        <w:t xml:space="preserve"> July 10, 2013 NAB Ex Parte; Joint Broadcasters Comments at 39. </w:t>
      </w:r>
    </w:p>
  </w:footnote>
  <w:footnote w:id="129">
    <w:p w14:paraId="2CFC6887" w14:textId="77777777" w:rsidR="00850453" w:rsidRDefault="00850453">
      <w:pPr>
        <w:pStyle w:val="FootnoteText"/>
      </w:pPr>
      <w:r>
        <w:rPr>
          <w:rStyle w:val="FootnoteReference"/>
        </w:rPr>
        <w:footnoteRef/>
      </w:r>
      <w:r>
        <w:t xml:space="preserve"> The </w:t>
      </w:r>
      <w:r w:rsidRPr="00384518">
        <w:rPr>
          <w:i/>
        </w:rPr>
        <w:t>ISIX PN</w:t>
      </w:r>
      <w:r>
        <w:t xml:space="preserve"> did not propose to consider clutter loss for Case 1.</w:t>
      </w:r>
    </w:p>
  </w:footnote>
  <w:footnote w:id="130">
    <w:p w14:paraId="6A42C19B" w14:textId="77777777" w:rsidR="00850453" w:rsidRDefault="00850453" w:rsidP="00143769">
      <w:pPr>
        <w:pStyle w:val="FootnoteText"/>
      </w:pPr>
      <w:r>
        <w:rPr>
          <w:rStyle w:val="FootnoteReference"/>
        </w:rPr>
        <w:footnoteRef/>
      </w:r>
      <w:r>
        <w:t xml:space="preserve"> </w:t>
      </w:r>
      <w:r w:rsidRPr="009B75D4">
        <w:rPr>
          <w:i/>
        </w:rPr>
        <w:t>See</w:t>
      </w:r>
      <w:r>
        <w:t xml:space="preserve"> Transmit Comments at 3, 4G Americas Comments at 9, CTIA Comments at 7.</w:t>
      </w:r>
    </w:p>
  </w:footnote>
  <w:footnote w:id="131">
    <w:p w14:paraId="1E0A4ADA" w14:textId="77777777" w:rsidR="00850453" w:rsidRDefault="00850453">
      <w:pPr>
        <w:pStyle w:val="FootnoteText"/>
      </w:pPr>
      <w:r>
        <w:rPr>
          <w:rStyle w:val="FootnoteReference"/>
        </w:rPr>
        <w:footnoteRef/>
      </w:r>
      <w:r>
        <w:t xml:space="preserve"> The 2006 National Land Clutter Database (NLCD) is available from the Multi-Resolution Land Characteristics Consortium (MRLC) at http://www.mrlc.gov/nlcd2006.php</w:t>
      </w:r>
    </w:p>
  </w:footnote>
  <w:footnote w:id="132">
    <w:p w14:paraId="0BE6441F" w14:textId="77777777" w:rsidR="00850453" w:rsidRDefault="00850453" w:rsidP="007B71E8">
      <w:pPr>
        <w:pStyle w:val="FootnoteText"/>
      </w:pPr>
      <w:r>
        <w:rPr>
          <w:rStyle w:val="FootnoteReference"/>
        </w:rPr>
        <w:footnoteRef/>
      </w:r>
      <w:r>
        <w:t xml:space="preserve"> </w:t>
      </w:r>
      <w:r w:rsidRPr="00D50967">
        <w:rPr>
          <w:i/>
        </w:rPr>
        <w:t>See</w:t>
      </w:r>
      <w:r>
        <w:rPr>
          <w:i/>
        </w:rPr>
        <w:t xml:space="preserve"> ISIX </w:t>
      </w:r>
      <w:r w:rsidRPr="0060104A">
        <w:rPr>
          <w:i/>
        </w:rPr>
        <w:t>PN</w:t>
      </w:r>
      <w:r>
        <w:t>, 29 FCC Rcd</w:t>
      </w:r>
      <w:r w:rsidRPr="0060104A">
        <w:rPr>
          <w:i/>
        </w:rPr>
        <w:t xml:space="preserve"> </w:t>
      </w:r>
      <w:r w:rsidRPr="0060104A">
        <w:t>at 736-737.</w:t>
      </w:r>
      <w:r>
        <w:t xml:space="preserve">  The clutter value to be selected would correspond to the clutter value at the population centroid or geometric center of the grid cell.  </w:t>
      </w:r>
    </w:p>
  </w:footnote>
  <w:footnote w:id="133">
    <w:p w14:paraId="1BD01236" w14:textId="77777777" w:rsidR="00850453" w:rsidRDefault="00850453" w:rsidP="0009433C">
      <w:pPr>
        <w:pStyle w:val="FootnoteText"/>
      </w:pPr>
      <w:r>
        <w:rPr>
          <w:rStyle w:val="FootnoteReference"/>
        </w:rPr>
        <w:footnoteRef/>
      </w:r>
      <w:r>
        <w:t xml:space="preserve"> </w:t>
      </w:r>
      <w:r w:rsidRPr="0033005E">
        <w:rPr>
          <w:i/>
        </w:rPr>
        <w:t>See</w:t>
      </w:r>
      <w:r>
        <w:t xml:space="preserve"> Comments of the National Association of Broadcasters, ABC Television Affiliates Association, FBC Television Affiliates Association, CBS Television Network Affiliates Association, NBC Television Affiliates, the Association of Public Television Stations, the Corporation for Public Broadcasting, and the Public Broadcasting Service (collectively the “Joint Broadcasters”), GN Docket No. 12-268, ET Docket No. 14-14, at 29-30 (filed Mar. 18, 2014)(arguing that any inter-service interference methodology should be based on “long-standing use of FCC’s F(50,10) prediction statistics”); SBE Comments at 5-6 (arguing that the FCC should use a conservative approach to minimize the likelihood of interference and that a F(50,10) would be more appropriate for predicting interference from DTV into wireless services).</w:t>
      </w:r>
      <w:r>
        <w:rPr>
          <w:i/>
        </w:rPr>
        <w:t xml:space="preserve">  </w:t>
      </w:r>
      <w:r>
        <w:t>The F(50,10) statistical measure is more conservative because 90 percent of the time the strength of the interfering signal will be less than predicted.</w:t>
      </w:r>
    </w:p>
  </w:footnote>
  <w:footnote w:id="134">
    <w:p w14:paraId="185756E5" w14:textId="77777777" w:rsidR="00850453" w:rsidRDefault="00850453" w:rsidP="00905439">
      <w:pPr>
        <w:pStyle w:val="FootnoteText"/>
      </w:pPr>
      <w:r>
        <w:rPr>
          <w:rStyle w:val="FootnoteReference"/>
        </w:rPr>
        <w:footnoteRef/>
      </w:r>
      <w:r>
        <w:t xml:space="preserve"> </w:t>
      </w:r>
      <w:r w:rsidRPr="00D039BD">
        <w:rPr>
          <w:i/>
        </w:rPr>
        <w:t>See</w:t>
      </w:r>
      <w:r>
        <w:rPr>
          <w:i/>
        </w:rPr>
        <w:t xml:space="preserve"> </w:t>
      </w:r>
      <w:r w:rsidRPr="00D039BD">
        <w:t>Letter</w:t>
      </w:r>
      <w:r>
        <w:rPr>
          <w:i/>
        </w:rPr>
        <w:t xml:space="preserve"> </w:t>
      </w:r>
      <w:r w:rsidRPr="00D039BD">
        <w:t>fr</w:t>
      </w:r>
      <w:r>
        <w:t xml:space="preserve">om AJ Burton, Counsel to T-Mobile USA, Inc. to Marlene H. Dortch, Secretary, FCC, ET Docket No. 14-14, GN Docket No. 12-268 (filed Jun. 13, 2014) (“T-Mobile Ex Parte”); </w:t>
      </w:r>
      <w:r w:rsidRPr="00B373D2">
        <w:rPr>
          <w:i/>
        </w:rPr>
        <w:t>see also</w:t>
      </w:r>
      <w:r>
        <w:t xml:space="preserve"> Letter from Brian J. Benison, AT&amp;T Services, Leona Hochstein, Verizon, Chris Wieczorek, T-Mobile to Marlene H. Dortch, FCC, GN Docket 12-268 (filed Jun. 13, 2014) (“Wireless Joint Letter”).  </w:t>
      </w:r>
      <w:r>
        <w:rPr>
          <w:i/>
        </w:rPr>
        <w:t xml:space="preserve">But see </w:t>
      </w:r>
      <w:r>
        <w:t>Sprint Comments at 8, 9 n. 10 (arguing</w:t>
      </w:r>
      <w:r w:rsidRPr="00E760BE">
        <w:t xml:space="preserve"> </w:t>
      </w:r>
      <w:r>
        <w:t xml:space="preserve">that </w:t>
      </w:r>
      <w:r w:rsidRPr="00E760BE">
        <w:t xml:space="preserve">wireless operators set high standards for </w:t>
      </w:r>
      <w:r>
        <w:t xml:space="preserve">network </w:t>
      </w:r>
      <w:r w:rsidRPr="00E760BE">
        <w:t>reliabi</w:t>
      </w:r>
      <w:r>
        <w:t>lity, the F(50,10) measure would provide operators with a better understanding of</w:t>
      </w:r>
      <w:r w:rsidRPr="00E760BE">
        <w:t xml:space="preserve"> potential</w:t>
      </w:r>
      <w:r>
        <w:t xml:space="preserve"> impairment, and the</w:t>
      </w:r>
      <w:r w:rsidRPr="00E760BE">
        <w:t xml:space="preserve"> F(50,50) </w:t>
      </w:r>
      <w:r>
        <w:t xml:space="preserve">measure may </w:t>
      </w:r>
      <w:r w:rsidRPr="00E760BE">
        <w:t>chill forward auction partic</w:t>
      </w:r>
      <w:r>
        <w:t>ipation)</w:t>
      </w:r>
      <w:r w:rsidRPr="00E760BE">
        <w:t>.</w:t>
      </w:r>
    </w:p>
  </w:footnote>
  <w:footnote w:id="135">
    <w:p w14:paraId="69AD4849" w14:textId="77777777" w:rsidR="00850453" w:rsidRDefault="00850453" w:rsidP="0009433C">
      <w:pPr>
        <w:pStyle w:val="FootnoteText"/>
      </w:pPr>
      <w:r w:rsidRPr="004F24EA">
        <w:rPr>
          <w:rStyle w:val="FootnoteReference"/>
        </w:rPr>
        <w:footnoteRef/>
      </w:r>
      <w:r w:rsidRPr="00F3761A">
        <w:t xml:space="preserve"> </w:t>
      </w:r>
      <w:r w:rsidRPr="00F3761A">
        <w:rPr>
          <w:i/>
        </w:rPr>
        <w:t>See</w:t>
      </w:r>
      <w:r w:rsidRPr="00F3761A">
        <w:t xml:space="preserve"> T-Mobile Ex Parte at 1-2 (</w:t>
      </w:r>
      <w:r>
        <w:t>“</w:t>
      </w:r>
      <w:r w:rsidRPr="00F3761A">
        <w:t xml:space="preserve">unlike </w:t>
      </w:r>
      <w:r>
        <w:t>noise-limited broadcast television, LTE systems are  interference-limited”</w:t>
      </w:r>
      <w:r w:rsidRPr="00F3761A">
        <w:t xml:space="preserve">);  </w:t>
      </w:r>
      <w:r w:rsidRPr="00F3761A">
        <w:rPr>
          <w:i/>
        </w:rPr>
        <w:t>see also</w:t>
      </w:r>
      <w:r w:rsidRPr="00F3761A">
        <w:t xml:space="preserve"> 4G Americas Comments at 4 (</w:t>
      </w:r>
      <w:r>
        <w:t>“OET correctly notes that advances in mobile technology, such as Multiple-Input Multiple-Output (MIMO) antenna technology and resource block provisioning, will enable mobile operators to mitigate potential interference).</w:t>
      </w:r>
    </w:p>
  </w:footnote>
  <w:footnote w:id="136">
    <w:p w14:paraId="37BB0218" w14:textId="77777777" w:rsidR="00850453" w:rsidRDefault="00850453">
      <w:pPr>
        <w:pStyle w:val="FootnoteText"/>
      </w:pPr>
      <w:r>
        <w:rPr>
          <w:rStyle w:val="FootnoteReference"/>
        </w:rPr>
        <w:footnoteRef/>
      </w:r>
      <w:r>
        <w:t xml:space="preserve"> </w:t>
      </w:r>
      <w:r w:rsidRPr="00D31731">
        <w:t>Letter from</w:t>
      </w:r>
      <w:r>
        <w:rPr>
          <w:i/>
        </w:rPr>
        <w:t xml:space="preserve"> </w:t>
      </w:r>
      <w:r>
        <w:t xml:space="preserve"> Dean R. Brenner, Qualcomm, to Marlene Dortch, FCC, GN Docket No. 12-268, ET Docket No. 14-14 (filed Mar. 18, 2014) (“Qualcomm Ex Parte”).  Qualcomm proposed an antenna gain of -6 dBi and a noise figure of 9 dB, instead of 0 dBi and 7.5 dB, respectively, as proposed in the </w:t>
      </w:r>
      <w:r w:rsidRPr="005C3657">
        <w:rPr>
          <w:i/>
        </w:rPr>
        <w:t>ISIX PN</w:t>
      </w:r>
      <w:r>
        <w:t xml:space="preserve">.  </w:t>
      </w:r>
      <w:r>
        <w:rPr>
          <w:i/>
        </w:rPr>
        <w:t xml:space="preserve">See </w:t>
      </w:r>
      <w:r w:rsidRPr="0060104A">
        <w:rPr>
          <w:i/>
        </w:rPr>
        <w:t>ISIX PN</w:t>
      </w:r>
      <w:r>
        <w:rPr>
          <w:i/>
        </w:rPr>
        <w:t xml:space="preserve"> </w:t>
      </w:r>
      <w:r w:rsidRPr="0060104A">
        <w:t>at</w:t>
      </w:r>
      <w:r>
        <w:t xml:space="preserve"> 731, Table 6.</w:t>
      </w:r>
    </w:p>
  </w:footnote>
  <w:footnote w:id="137">
    <w:p w14:paraId="1C4C29F0" w14:textId="77777777" w:rsidR="00850453" w:rsidRDefault="00850453">
      <w:pPr>
        <w:pStyle w:val="FootnoteText"/>
      </w:pPr>
      <w:r>
        <w:rPr>
          <w:rStyle w:val="FootnoteReference"/>
        </w:rPr>
        <w:footnoteRef/>
      </w:r>
      <w:r>
        <w:t xml:space="preserve"> A receiver’s “noise figure” is an expression of the level of radiofrequency noise energy that is generated within the device itself as a result of its design and operation.</w:t>
      </w:r>
    </w:p>
  </w:footnote>
  <w:footnote w:id="138">
    <w:p w14:paraId="30F1A026" w14:textId="77777777" w:rsidR="00850453" w:rsidRDefault="00850453">
      <w:pPr>
        <w:pStyle w:val="FootnoteText"/>
      </w:pPr>
      <w:r>
        <w:rPr>
          <w:rStyle w:val="FootnoteReference"/>
        </w:rPr>
        <w:footnoteRef/>
      </w:r>
      <w:r>
        <w:t xml:space="preserve"> </w:t>
      </w:r>
      <w:r w:rsidRPr="00BF4166">
        <w:rPr>
          <w:iCs/>
        </w:rPr>
        <w:t xml:space="preserve">The effective noise figure of 7.5 dB </w:t>
      </w:r>
      <w:r>
        <w:rPr>
          <w:iCs/>
        </w:rPr>
        <w:t>proposed</w:t>
      </w:r>
      <w:r w:rsidRPr="00BF4166">
        <w:rPr>
          <w:iCs/>
        </w:rPr>
        <w:t xml:space="preserve"> in the </w:t>
      </w:r>
      <w:r w:rsidRPr="00BF4166">
        <w:rPr>
          <w:i/>
          <w:iCs/>
        </w:rPr>
        <w:t>ISIX PN</w:t>
      </w:r>
      <w:r w:rsidRPr="00BF4166">
        <w:rPr>
          <w:iCs/>
        </w:rPr>
        <w:t xml:space="preserve"> reflects the receiver noise figure of 9 dB plus an assumed minimum signal-to-noise (SNR) ratio of -1 dB plus an implementation margin (IM) of 2.5 dB.  </w:t>
      </w:r>
      <w:r w:rsidRPr="00BF4166">
        <w:rPr>
          <w:i/>
          <w:iCs/>
        </w:rPr>
        <w:t>See ISIX PN</w:t>
      </w:r>
      <w:r>
        <w:rPr>
          <w:i/>
          <w:iCs/>
        </w:rPr>
        <w:t xml:space="preserve">, </w:t>
      </w:r>
      <w:r>
        <w:rPr>
          <w:iCs/>
        </w:rPr>
        <w:t>29 FCC Rcd</w:t>
      </w:r>
      <w:r w:rsidRPr="00BF4166">
        <w:rPr>
          <w:iCs/>
        </w:rPr>
        <w:t xml:space="preserve"> at </w:t>
      </w:r>
      <w:r>
        <w:rPr>
          <w:iCs/>
        </w:rPr>
        <w:t>731</w:t>
      </w:r>
      <w:r w:rsidRPr="00BF4166">
        <w:rPr>
          <w:iCs/>
        </w:rPr>
        <w:t xml:space="preserve">, Table 6; </w:t>
      </w:r>
      <w:r w:rsidRPr="00BF4166">
        <w:rPr>
          <w:i/>
          <w:iCs/>
        </w:rPr>
        <w:t>see also LTE for UMTS: Evolution to LTE-Advanced</w:t>
      </w:r>
      <w:r w:rsidRPr="00BF4166">
        <w:t>, Holma, H. and Toskala, A., Section 14.8, Wiley, 2011.</w:t>
      </w:r>
    </w:p>
  </w:footnote>
  <w:footnote w:id="139">
    <w:p w14:paraId="4099A1FA" w14:textId="77777777" w:rsidR="00850453" w:rsidRDefault="00850453" w:rsidP="004666B0">
      <w:pPr>
        <w:pStyle w:val="FootnoteText"/>
      </w:pPr>
      <w:r>
        <w:rPr>
          <w:rStyle w:val="FootnoteReference"/>
        </w:rPr>
        <w:footnoteRef/>
      </w:r>
      <w:r>
        <w:t xml:space="preserve"> </w:t>
      </w:r>
      <w:r>
        <w:rPr>
          <w:lang w:eastAsia="ja-JP"/>
        </w:rPr>
        <w:t xml:space="preserve">For Case 1, Joint Broadcasters’ approach would calculate contours for individual television stations </w:t>
      </w:r>
      <w:r>
        <w:t xml:space="preserve">using the same methodology used to compute DTV noise-limited service contours, the television station’s transmitter operating parameters, the FCC F(50,10) values, and the field strength limits specified in Table 4 of the </w:t>
      </w:r>
      <w:r w:rsidRPr="00921BDD">
        <w:rPr>
          <w:i/>
        </w:rPr>
        <w:t>ISIX PN</w:t>
      </w:r>
      <w:r>
        <w:t xml:space="preserve">.  </w:t>
      </w:r>
      <w:r w:rsidRPr="00C92A16">
        <w:rPr>
          <w:i/>
        </w:rPr>
        <w:t xml:space="preserve">See </w:t>
      </w:r>
      <w:r w:rsidRPr="00082BF7">
        <w:t xml:space="preserve">Joint Broadcasters Comments at </w:t>
      </w:r>
      <w:r>
        <w:t>38</w:t>
      </w:r>
      <w:r w:rsidRPr="00082BF7">
        <w:t>.</w:t>
      </w:r>
      <w:r>
        <w:t xml:space="preserve">  Joint Broadcasters also adjusted the proposed interference thresholds for Case 1 by 3.5 dB to reflect the maximum allowable wireless base station antenna height of 305 meters rather than 30 meters assumed in the </w:t>
      </w:r>
      <w:r w:rsidRPr="00EA7939">
        <w:rPr>
          <w:i/>
        </w:rPr>
        <w:t>ISIX PN</w:t>
      </w:r>
      <w:r>
        <w:t xml:space="preserve">.  </w:t>
      </w:r>
      <w:r w:rsidRPr="003C6156">
        <w:rPr>
          <w:i/>
        </w:rPr>
        <w:t>Id.</w:t>
      </w:r>
      <w:r>
        <w:rPr>
          <w:i/>
        </w:rPr>
        <w:t xml:space="preserve">  </w:t>
      </w:r>
      <w:r>
        <w:t xml:space="preserve">The contour distances would then be used to determine whether wireless operation in a spectrum block in a service area is impaired and the percentage and location of any interference contour overlap in that area.  </w:t>
      </w:r>
      <w:r w:rsidRPr="004D7514">
        <w:rPr>
          <w:i/>
        </w:rPr>
        <w:t>Id</w:t>
      </w:r>
      <w:r>
        <w:t>.</w:t>
      </w:r>
    </w:p>
  </w:footnote>
  <w:footnote w:id="140">
    <w:p w14:paraId="60E7DB4B" w14:textId="77777777" w:rsidR="00850453" w:rsidRDefault="00850453" w:rsidP="004666B0">
      <w:pPr>
        <w:pStyle w:val="FootnoteText"/>
      </w:pPr>
      <w:r>
        <w:rPr>
          <w:rStyle w:val="FootnoteReference"/>
        </w:rPr>
        <w:footnoteRef/>
      </w:r>
      <w:r>
        <w:t xml:space="preserve"> Joint Broadcasters’ approach is based on FCC curves as those appear in 47 C.F.R. § 73.699.  These curves only consider terrain that is between two and ten miles from the DTV transmitter site. </w:t>
      </w:r>
    </w:p>
  </w:footnote>
  <w:footnote w:id="141">
    <w:p w14:paraId="39D4C688" w14:textId="77777777" w:rsidR="00850453" w:rsidRDefault="00850453" w:rsidP="00BD0841">
      <w:pPr>
        <w:pStyle w:val="FootnoteText"/>
      </w:pPr>
      <w:r>
        <w:rPr>
          <w:rStyle w:val="FootnoteReference"/>
        </w:rPr>
        <w:footnoteRef/>
      </w:r>
      <w:r>
        <w:t xml:space="preserve"> For Case 2, the Joint Broadcasters request that co-channel wireless handset operations be prohibited within five kilometers of the noise-limited service contour of a co-channel DTV station and that adjacent-channel wireless handset operations be prohibited within the contour of an adjacent-channel DTV station.  </w:t>
      </w:r>
      <w:r w:rsidRPr="0039233F">
        <w:rPr>
          <w:i/>
        </w:rPr>
        <w:t xml:space="preserve">See </w:t>
      </w:r>
      <w:r>
        <w:t>Joint Broadcasters Comments at 38-39.</w:t>
      </w:r>
    </w:p>
  </w:footnote>
  <w:footnote w:id="142">
    <w:p w14:paraId="32D113AB" w14:textId="77777777" w:rsidR="00850453" w:rsidRDefault="00850453" w:rsidP="00BD0841">
      <w:pPr>
        <w:pStyle w:val="FootnoteText"/>
      </w:pPr>
      <w:r>
        <w:rPr>
          <w:rStyle w:val="FootnoteReference"/>
        </w:rPr>
        <w:footnoteRef/>
      </w:r>
      <w:r>
        <w:t xml:space="preserve"> </w:t>
      </w:r>
      <w:r w:rsidRPr="006A744E">
        <w:rPr>
          <w:i/>
        </w:rPr>
        <w:t>See</w:t>
      </w:r>
      <w:r>
        <w:t xml:space="preserve"> </w:t>
      </w:r>
      <w:r w:rsidRPr="00F044E8">
        <w:rPr>
          <w:i/>
        </w:rPr>
        <w:t>supra</w:t>
      </w:r>
      <w:r>
        <w:rPr>
          <w:i/>
        </w:rPr>
        <w:t>,</w:t>
      </w:r>
      <w:r>
        <w:t xml:space="preserve"> para. </w:t>
      </w:r>
      <w:r>
        <w:fldChar w:fldCharType="begin"/>
      </w:r>
      <w:r>
        <w:instrText xml:space="preserve"> REF _Ref398030124 \r \h </w:instrText>
      </w:r>
      <w:r>
        <w:fldChar w:fldCharType="separate"/>
      </w:r>
      <w:r>
        <w:t>31</w:t>
      </w:r>
      <w:r>
        <w:fldChar w:fldCharType="end"/>
      </w:r>
      <w:r>
        <w:t>.  It is possible for a 600 MHz license to be impaired by both a Case 1 interference scenario (</w:t>
      </w:r>
      <w:r w:rsidRPr="006A4D42">
        <w:rPr>
          <w:i/>
        </w:rPr>
        <w:t>i.e</w:t>
      </w:r>
      <w:r>
        <w:t>., a DTV station  in license’s uplink frequencies interfering with wireless base stations) and a Case 2 scenario (</w:t>
      </w:r>
      <w:r w:rsidRPr="00445059">
        <w:rPr>
          <w:i/>
        </w:rPr>
        <w:t>i.e</w:t>
      </w:r>
      <w:r>
        <w:t xml:space="preserve">., a different DTV station in the license’s downlink frequencies interfering with wireless user equipment).  </w:t>
      </w:r>
    </w:p>
  </w:footnote>
  <w:footnote w:id="143">
    <w:p w14:paraId="19EC4CCF" w14:textId="77777777" w:rsidR="00850453" w:rsidRDefault="00850453" w:rsidP="00C31DC4">
      <w:pPr>
        <w:pStyle w:val="FootnoteText"/>
      </w:pPr>
      <w:r>
        <w:rPr>
          <w:rStyle w:val="FootnoteReference"/>
        </w:rPr>
        <w:footnoteRef/>
      </w:r>
      <w:r>
        <w:t xml:space="preserve"> Joint Broadcasters Comments at 31; </w:t>
      </w:r>
      <w:r w:rsidRPr="006A744E">
        <w:rPr>
          <w:i/>
        </w:rPr>
        <w:t>See</w:t>
      </w:r>
      <w:r>
        <w:t xml:space="preserve"> SBE Comments at 2 (arguing </w:t>
      </w:r>
      <w:r>
        <w:rPr>
          <w:lang w:eastAsia="ja-JP"/>
        </w:rPr>
        <w:t xml:space="preserve">that the Commission should use fixed geographic separation distances “precisely </w:t>
      </w:r>
      <w:r w:rsidRPr="00724571">
        <w:rPr>
          <w:i/>
          <w:lang w:eastAsia="ja-JP"/>
        </w:rPr>
        <w:t>because</w:t>
      </w:r>
      <w:r>
        <w:rPr>
          <w:lang w:eastAsia="ja-JP"/>
        </w:rPr>
        <w:t xml:space="preserve"> they are conservative, and create the best opportunity to avoid interference </w:t>
      </w:r>
      <w:r w:rsidRPr="00724571">
        <w:rPr>
          <w:i/>
          <w:lang w:eastAsia="ja-JP"/>
        </w:rPr>
        <w:t>ex ante</w:t>
      </w:r>
      <w:r>
        <w:rPr>
          <w:lang w:eastAsia="ja-JP"/>
        </w:rPr>
        <w:t>”).</w:t>
      </w:r>
    </w:p>
  </w:footnote>
  <w:footnote w:id="144">
    <w:p w14:paraId="194B51D5" w14:textId="77777777" w:rsidR="00850453" w:rsidRPr="00A061F6" w:rsidRDefault="00850453" w:rsidP="00C31DC4">
      <w:pPr>
        <w:pStyle w:val="FootnoteText"/>
      </w:pPr>
      <w:r>
        <w:rPr>
          <w:rStyle w:val="FootnoteReference"/>
        </w:rPr>
        <w:footnoteRef/>
      </w:r>
      <w:r>
        <w:t xml:space="preserve"> For the reasons below</w:t>
      </w:r>
      <w:r w:rsidRPr="00B85767">
        <w:t xml:space="preserve">, we find in Case 4 </w:t>
      </w:r>
      <w:r>
        <w:t xml:space="preserve">that </w:t>
      </w:r>
      <w:r w:rsidRPr="00B85767">
        <w:t>a simpler</w:t>
      </w:r>
      <w:r>
        <w:t>, fixed-distance</w:t>
      </w:r>
      <w:r w:rsidRPr="00B85767">
        <w:t xml:space="preserve"> approach</w:t>
      </w:r>
      <w:r>
        <w:t xml:space="preserve"> is warranted</w:t>
      </w:r>
      <w:r w:rsidRPr="00B85767">
        <w:t>.</w:t>
      </w:r>
      <w:r>
        <w:t xml:space="preserve">  </w:t>
      </w:r>
      <w:r>
        <w:rPr>
          <w:i/>
        </w:rPr>
        <w:t>See inf</w:t>
      </w:r>
      <w:r w:rsidRPr="004706BB">
        <w:rPr>
          <w:i/>
        </w:rPr>
        <w:t>ra</w:t>
      </w:r>
      <w:r>
        <w:rPr>
          <w:i/>
        </w:rPr>
        <w:t>,</w:t>
      </w:r>
      <w:r>
        <w:t xml:space="preserve"> paras. </w:t>
      </w:r>
      <w:r>
        <w:fldChar w:fldCharType="begin"/>
      </w:r>
      <w:r>
        <w:instrText xml:space="preserve"> REF _Ref398030204 \r \h </w:instrText>
      </w:r>
      <w:r>
        <w:fldChar w:fldCharType="separate"/>
      </w:r>
      <w:r>
        <w:t>56</w:t>
      </w:r>
      <w:r>
        <w:fldChar w:fldCharType="end"/>
      </w:r>
      <w:r>
        <w:t>-</w:t>
      </w:r>
      <w:r>
        <w:fldChar w:fldCharType="begin"/>
      </w:r>
      <w:r>
        <w:instrText xml:space="preserve"> REF _Ref398030212 \r \h </w:instrText>
      </w:r>
      <w:r>
        <w:fldChar w:fldCharType="separate"/>
      </w:r>
      <w:r>
        <w:t>58</w:t>
      </w:r>
      <w:r>
        <w:fldChar w:fldCharType="end"/>
      </w:r>
      <w:r>
        <w:t xml:space="preserve">. We note that the Joint Broadcasters’ emphasis on the ISIX Methodology’s computational complexity, </w:t>
      </w:r>
      <w:r w:rsidRPr="006A744E">
        <w:rPr>
          <w:i/>
        </w:rPr>
        <w:t>see</w:t>
      </w:r>
      <w:r>
        <w:rPr>
          <w:i/>
        </w:rPr>
        <w:t xml:space="preserve"> </w:t>
      </w:r>
      <w:r>
        <w:t xml:space="preserve">Joint Broadcasters Comments at 34-35, is unpersuasive: the required computations mostly will be completed prior to the incentive auction, and will not impact the Commission’s ability to conduct the incentive auction bidding process with the speed necessary for the auction’s success.  </w:t>
      </w:r>
      <w:r w:rsidRPr="006A744E">
        <w:rPr>
          <w:i/>
        </w:rPr>
        <w:t>See supra</w:t>
      </w:r>
      <w:r>
        <w:rPr>
          <w:i/>
        </w:rPr>
        <w:t>,</w:t>
      </w:r>
      <w:r>
        <w:t xml:space="preserve"> para </w:t>
      </w:r>
      <w:r>
        <w:fldChar w:fldCharType="begin"/>
      </w:r>
      <w:r>
        <w:instrText xml:space="preserve"> REF _Ref270235743 \r \h </w:instrText>
      </w:r>
      <w:r>
        <w:fldChar w:fldCharType="separate"/>
      </w:r>
      <w:r>
        <w:t>16</w:t>
      </w:r>
      <w:r>
        <w:fldChar w:fldCharType="end"/>
      </w:r>
      <w:r>
        <w:t>.</w:t>
      </w:r>
    </w:p>
  </w:footnote>
  <w:footnote w:id="145">
    <w:p w14:paraId="798F076E" w14:textId="77777777" w:rsidR="00850453" w:rsidRDefault="00850453" w:rsidP="00C31DC4">
      <w:pPr>
        <w:pStyle w:val="FootnoteText"/>
      </w:pPr>
      <w:r>
        <w:rPr>
          <w:rStyle w:val="FootnoteReference"/>
        </w:rPr>
        <w:footnoteRef/>
      </w:r>
      <w:r>
        <w:t xml:space="preserve">  </w:t>
      </w:r>
      <w:r w:rsidRPr="00EB71B2">
        <w:rPr>
          <w:i/>
        </w:rPr>
        <w:t>See e.g.</w:t>
      </w:r>
      <w:r>
        <w:t xml:space="preserve">, 4G Americas at 5-8 (ISIX Methodology is “a fundamentally sound approach to predicting and preventing the possibility of interference between LTE broadband service and ATSC broadcast television service”); CTIA at 3-7 (“the overall framework presented in the Public Notice is fundamentally correct and appears to have the building blocks needed to model this intricate interference environment.”); Ericsson at 2-6 (“generally accepts that the proposed methodology in the Public Notice can provide reasonable guidance on minimum separation distances between DTV operation and mobile broadband frequencies”); Sprint at 3-10 (supports ISIX Methodology with the following changes for predicting interference to wireless services: (1) “the Commission should additionally provide information on the number of grid cells that were analyzed within the wireless market and a percentage indicating how many of those grid cells were considered impaired based on modeling”; (2) calculate field strength for television to wireless interference using F(50, 10) values; and (3) auction spectrum in areas where D/U ratios are minimally exceeded); Transmit at 3 (agrees that a computer modeling approach will “provide better accuracy and result in a better approach” than a fixed-distance approach but cautions that “some consideration should be given to the optimum grid size for the calculations to balance the likely impact and ease of calculation”). </w:t>
      </w:r>
    </w:p>
  </w:footnote>
  <w:footnote w:id="146">
    <w:p w14:paraId="7F1D09DB" w14:textId="77777777" w:rsidR="00850453" w:rsidRPr="00EA73DB" w:rsidRDefault="00850453" w:rsidP="00CB30CE">
      <w:pPr>
        <w:pStyle w:val="FootnoteText"/>
      </w:pPr>
      <w:r>
        <w:rPr>
          <w:rStyle w:val="FootnoteReference"/>
        </w:rPr>
        <w:footnoteRef/>
      </w:r>
      <w:r>
        <w:t xml:space="preserve"> </w:t>
      </w:r>
      <w:r>
        <w:rPr>
          <w:i/>
        </w:rPr>
        <w:t>See supra</w:t>
      </w:r>
      <w:r>
        <w:t xml:space="preserve">, para. </w:t>
      </w:r>
      <w:r>
        <w:fldChar w:fldCharType="begin"/>
      </w:r>
      <w:r>
        <w:instrText xml:space="preserve"> REF _Ref398034045 \r \h </w:instrText>
      </w:r>
      <w:r>
        <w:fldChar w:fldCharType="separate"/>
      </w:r>
      <w:r>
        <w:t>34</w:t>
      </w:r>
      <w:r>
        <w:fldChar w:fldCharType="end"/>
      </w:r>
      <w:r>
        <w:t xml:space="preserve">; </w:t>
      </w:r>
      <w:r w:rsidRPr="00EA73DB">
        <w:rPr>
          <w:i/>
        </w:rPr>
        <w:t>ISIX PN</w:t>
      </w:r>
      <w:r>
        <w:t xml:space="preserve">, 29 FCC Rcd at 716.  </w:t>
      </w:r>
      <w:r w:rsidRPr="00876786">
        <w:t xml:space="preserve">As explained in the </w:t>
      </w:r>
      <w:r w:rsidRPr="00EA7939">
        <w:rPr>
          <w:i/>
        </w:rPr>
        <w:t>Incentive Auction R&amp;O</w:t>
      </w:r>
      <w:r w:rsidRPr="00876786">
        <w:t xml:space="preserve">, we assume LTE for wireless operations as the “typical case . . . because commenters have suggested it is a likely technology to be used in this band.”  </w:t>
      </w:r>
      <w:r w:rsidRPr="00EA7939">
        <w:rPr>
          <w:i/>
        </w:rPr>
        <w:t>Incentive Auction R&amp;O</w:t>
      </w:r>
      <w:r w:rsidRPr="00876786">
        <w:t xml:space="preserve">, 29 FCC Rcd at </w:t>
      </w:r>
      <w:r w:rsidRPr="00544D32">
        <w:t>6589-90, para. 55; but</w:t>
      </w:r>
      <w:r w:rsidRPr="00876786">
        <w:t xml:space="preserve"> </w:t>
      </w:r>
      <w:r w:rsidRPr="00EA7939">
        <w:rPr>
          <w:i/>
        </w:rPr>
        <w:t>see</w:t>
      </w:r>
      <w:r w:rsidRPr="00876786">
        <w:t xml:space="preserve"> Comments of Cohen, Dippell, and Everist, P.C. (filed March 18, 2014).</w:t>
      </w:r>
    </w:p>
  </w:footnote>
  <w:footnote w:id="147">
    <w:p w14:paraId="1810235A" w14:textId="77777777" w:rsidR="00850453" w:rsidRPr="00E93121" w:rsidRDefault="00850453" w:rsidP="0066116B">
      <w:pPr>
        <w:pStyle w:val="FootnoteText"/>
        <w:rPr>
          <w:i/>
        </w:rPr>
      </w:pPr>
      <w:r>
        <w:rPr>
          <w:rStyle w:val="FootnoteReference"/>
        </w:rPr>
        <w:footnoteRef/>
      </w:r>
      <w:r>
        <w:t xml:space="preserve"> </w:t>
      </w:r>
      <w:r w:rsidRPr="00594ABB">
        <w:rPr>
          <w:i/>
        </w:rPr>
        <w:t>See</w:t>
      </w:r>
      <w:r>
        <w:t xml:space="preserve"> </w:t>
      </w:r>
      <w:r w:rsidRPr="006A744E">
        <w:t>SBE Comments at 6; Joint Broadcasters at 18-24</w:t>
      </w:r>
      <w:r w:rsidRPr="009768D8">
        <w:t>.</w:t>
      </w:r>
    </w:p>
  </w:footnote>
  <w:footnote w:id="148">
    <w:p w14:paraId="3E28F2DC" w14:textId="77777777" w:rsidR="00850453" w:rsidRDefault="00850453">
      <w:pPr>
        <w:pStyle w:val="FootnoteText"/>
      </w:pPr>
      <w:r>
        <w:rPr>
          <w:rStyle w:val="FootnoteReference"/>
        </w:rPr>
        <w:footnoteRef/>
      </w:r>
      <w:r>
        <w:t xml:space="preserve"> </w:t>
      </w:r>
      <w:r w:rsidRPr="006A744E">
        <w:rPr>
          <w:i/>
        </w:rPr>
        <w:t>See generally Measurements PN</w:t>
      </w:r>
      <w:r>
        <w:t>, DA 14-852.</w:t>
      </w:r>
    </w:p>
  </w:footnote>
  <w:footnote w:id="149">
    <w:p w14:paraId="43F9C07B" w14:textId="77777777" w:rsidR="00850453" w:rsidRDefault="00850453" w:rsidP="003200DD">
      <w:pPr>
        <w:pStyle w:val="FootnoteText"/>
      </w:pPr>
      <w:r>
        <w:rPr>
          <w:rStyle w:val="FootnoteReference"/>
        </w:rPr>
        <w:footnoteRef/>
      </w:r>
      <w:r>
        <w:t xml:space="preserve"> The thresholds we adopt for adjacent channel operations will provide protection that is several dB or more greater than that proposed in the </w:t>
      </w:r>
      <w:r w:rsidRPr="006A744E">
        <w:rPr>
          <w:i/>
        </w:rPr>
        <w:t>ISIX PN</w:t>
      </w:r>
      <w:r>
        <w:t xml:space="preserve">, where spectral overlap is less or equal to 0 MHz.  </w:t>
      </w:r>
      <w:r w:rsidRPr="00EA7939">
        <w:rPr>
          <w:i/>
        </w:rPr>
        <w:t>See infra</w:t>
      </w:r>
      <w:r>
        <w:t xml:space="preserve">, para. </w:t>
      </w:r>
      <w:r>
        <w:fldChar w:fldCharType="begin"/>
      </w:r>
      <w:r>
        <w:instrText xml:space="preserve"> REF _Ref398031882 \r \h </w:instrText>
      </w:r>
      <w:r>
        <w:fldChar w:fldCharType="separate"/>
      </w:r>
      <w:r>
        <w:t>47</w:t>
      </w:r>
      <w:r>
        <w:fldChar w:fldCharType="end"/>
      </w:r>
      <w:r>
        <w:t>.</w:t>
      </w:r>
    </w:p>
  </w:footnote>
  <w:footnote w:id="150">
    <w:p w14:paraId="5F5A115D" w14:textId="77777777" w:rsidR="00850453" w:rsidRDefault="00850453">
      <w:pPr>
        <w:pStyle w:val="FootnoteText"/>
      </w:pPr>
      <w:r>
        <w:rPr>
          <w:rStyle w:val="FootnoteReference"/>
        </w:rPr>
        <w:footnoteRef/>
      </w:r>
      <w:r>
        <w:t xml:space="preserve"> </w:t>
      </w:r>
      <w:r w:rsidRPr="006A744E">
        <w:rPr>
          <w:i/>
        </w:rPr>
        <w:t>See Measurements PN</w:t>
      </w:r>
      <w:r>
        <w:t xml:space="preserve"> at X. NAB argues that its data indicates that the D/U values for LTE-to-DTV interference for a 5 MHz LTE signal was 2.7 and 0.6 dB worse than that measured for DTV-to-DTV interference</w:t>
      </w:r>
      <w:r w:rsidRPr="005B39A5">
        <w:t>).</w:t>
      </w:r>
      <w:r w:rsidRPr="00BF4166">
        <w:t xml:space="preserve"> </w:t>
      </w:r>
      <w:r>
        <w:t xml:space="preserve"> </w:t>
      </w:r>
      <w:r w:rsidRPr="006A744E">
        <w:rPr>
          <w:i/>
        </w:rPr>
        <w:t>See</w:t>
      </w:r>
      <w:r>
        <w:t xml:space="preserve"> NAB </w:t>
      </w:r>
      <w:r w:rsidRPr="006A744E">
        <w:rPr>
          <w:i/>
        </w:rPr>
        <w:t>Measurements PN</w:t>
      </w:r>
      <w:r>
        <w:t xml:space="preserve"> Comments at 15. The 2.7 value that NAB refers to </w:t>
      </w:r>
      <w:r w:rsidRPr="00BF4166">
        <w:t>reflect</w:t>
      </w:r>
      <w:r>
        <w:t>s</w:t>
      </w:r>
      <w:r w:rsidRPr="00BF4166">
        <w:t xml:space="preserve"> measurements on the </w:t>
      </w:r>
      <w:r>
        <w:t xml:space="preserve">digital-to-analog converter box discussed below.  The 0.6 value for </w:t>
      </w:r>
      <w:r w:rsidRPr="00BF4166">
        <w:t xml:space="preserve">the newest </w:t>
      </w:r>
      <w:r>
        <w:t>receiver model tested is consistent with</w:t>
      </w:r>
      <w:r w:rsidRPr="00BF4166">
        <w:t xml:space="preserve"> CEA</w:t>
      </w:r>
      <w:r>
        <w:t xml:space="preserve"> data reflecting that a</w:t>
      </w:r>
      <w:r w:rsidRPr="00BF4166">
        <w:t xml:space="preserve"> median 0.9 dB increase</w:t>
      </w:r>
      <w:r>
        <w:t xml:space="preserve">d D/U ratio is required to prevent LTE interference to newer DTV </w:t>
      </w:r>
      <w:r w:rsidRPr="00BF4166">
        <w:t>receiver</w:t>
      </w:r>
      <w:r>
        <w:t xml:space="preserve"> model</w:t>
      </w:r>
      <w:r w:rsidRPr="00BF4166">
        <w:t>s</w:t>
      </w:r>
      <w:r>
        <w:t xml:space="preserve">.  </w:t>
      </w:r>
      <w:r w:rsidRPr="008F59CE">
        <w:rPr>
          <w:i/>
        </w:rPr>
        <w:t>See</w:t>
      </w:r>
      <w:r w:rsidRPr="008F59CE">
        <w:t xml:space="preserve"> CEA Measurements Reports, Table G-2</w:t>
      </w:r>
      <w:r>
        <w:t>.</w:t>
      </w:r>
      <w:r w:rsidRPr="008F59CE">
        <w:t xml:space="preserve"> </w:t>
      </w:r>
      <w:r w:rsidRPr="0066449C">
        <w:t xml:space="preserve"> The D/U ratios we adopt in this Order</w:t>
      </w:r>
      <w:r>
        <w:t xml:space="preserve"> </w:t>
      </w:r>
      <w:r w:rsidRPr="00BF4166">
        <w:t xml:space="preserve">will effectively </w:t>
      </w:r>
      <w:r>
        <w:t>address</w:t>
      </w:r>
      <w:r w:rsidRPr="00BF4166">
        <w:t xml:space="preserve"> the </w:t>
      </w:r>
      <w:r>
        <w:t>slightly increased LTE signal interference risk reflected in the data</w:t>
      </w:r>
      <w:r w:rsidRPr="00BF4166">
        <w:t>. </w:t>
      </w:r>
    </w:p>
  </w:footnote>
  <w:footnote w:id="151">
    <w:p w14:paraId="1D58FF18" w14:textId="77777777" w:rsidR="00850453" w:rsidRDefault="00850453" w:rsidP="00636552">
      <w:pPr>
        <w:pStyle w:val="FootnoteText"/>
      </w:pPr>
      <w:r>
        <w:rPr>
          <w:rStyle w:val="FootnoteReference"/>
        </w:rPr>
        <w:footnoteRef/>
      </w:r>
      <w:r>
        <w:t xml:space="preserve"> </w:t>
      </w:r>
      <w:r w:rsidRPr="00241269">
        <w:rPr>
          <w:i/>
        </w:rPr>
        <w:t>See</w:t>
      </w:r>
      <w:r>
        <w:t xml:space="preserve"> OET-69, Table 5A; </w:t>
      </w:r>
      <w:r w:rsidRPr="00310E60">
        <w:rPr>
          <w:i/>
        </w:rPr>
        <w:t>see also</w:t>
      </w:r>
      <w:r>
        <w:t xml:space="preserve"> App. A, Technical Appendix, at para. </w:t>
      </w:r>
      <w:r>
        <w:fldChar w:fldCharType="begin"/>
      </w:r>
      <w:r>
        <w:instrText xml:space="preserve"> REF _Ref398033709 \r \h </w:instrText>
      </w:r>
      <w:r>
        <w:fldChar w:fldCharType="separate"/>
      </w:r>
      <w:r>
        <w:t>22</w:t>
      </w:r>
      <w:r>
        <w:fldChar w:fldCharType="end"/>
      </w:r>
      <w:r>
        <w:t>, Table 7.</w:t>
      </w:r>
    </w:p>
  </w:footnote>
  <w:footnote w:id="152">
    <w:p w14:paraId="7A3EFB2E" w14:textId="77777777" w:rsidR="00850453" w:rsidRDefault="00850453" w:rsidP="001A4338">
      <w:pPr>
        <w:pStyle w:val="FootnoteText"/>
      </w:pPr>
      <w:r>
        <w:rPr>
          <w:rStyle w:val="FootnoteReference"/>
        </w:rPr>
        <w:footnoteRef/>
      </w:r>
      <w:r>
        <w:t xml:space="preserve"> </w:t>
      </w:r>
      <w:r w:rsidRPr="00310E60">
        <w:rPr>
          <w:i/>
        </w:rPr>
        <w:t>See</w:t>
      </w:r>
      <w:r>
        <w:t xml:space="preserve"> App. A, Technical Appendix at para. </w:t>
      </w:r>
      <w:r>
        <w:fldChar w:fldCharType="begin"/>
      </w:r>
      <w:r>
        <w:instrText xml:space="preserve"> REF _Ref397928766 \r \h </w:instrText>
      </w:r>
      <w:r>
        <w:fldChar w:fldCharType="separate"/>
      </w:r>
      <w:r>
        <w:t>30</w:t>
      </w:r>
      <w:r>
        <w:fldChar w:fldCharType="end"/>
      </w:r>
      <w:r>
        <w:t xml:space="preserve">, n. </w:t>
      </w:r>
      <w:r>
        <w:fldChar w:fldCharType="begin"/>
      </w:r>
      <w:r>
        <w:instrText xml:space="preserve"> NOTEREF _Ref398033848 \h </w:instrText>
      </w:r>
      <w:r>
        <w:fldChar w:fldCharType="separate"/>
      </w:r>
      <w:r>
        <w:t>28</w:t>
      </w:r>
      <w:r>
        <w:fldChar w:fldCharType="end"/>
      </w:r>
      <w:r>
        <w:t xml:space="preserve">, Table 12. </w:t>
      </w:r>
    </w:p>
  </w:footnote>
  <w:footnote w:id="153">
    <w:p w14:paraId="5D370E24" w14:textId="77777777" w:rsidR="00850453" w:rsidRDefault="00850453">
      <w:pPr>
        <w:pStyle w:val="FootnoteText"/>
      </w:pPr>
      <w:r>
        <w:rPr>
          <w:rStyle w:val="FootnoteReference"/>
        </w:rPr>
        <w:footnoteRef/>
      </w:r>
      <w:r>
        <w:t xml:space="preserve"> </w:t>
      </w:r>
      <w:r w:rsidRPr="00C62E2D">
        <w:rPr>
          <w:i/>
        </w:rPr>
        <w:t>See</w:t>
      </w:r>
      <w:r>
        <w:t xml:space="preserve"> </w:t>
      </w:r>
      <w:r w:rsidRPr="00C62E2D">
        <w:rPr>
          <w:i/>
        </w:rPr>
        <w:t>Measurements PN</w:t>
      </w:r>
      <w:r>
        <w:t xml:space="preserve"> at 8, Table 1 (references to Receiver 1 (Rx1)). </w:t>
      </w:r>
    </w:p>
  </w:footnote>
  <w:footnote w:id="154">
    <w:p w14:paraId="242673CA" w14:textId="77777777" w:rsidR="00850453" w:rsidRDefault="00850453">
      <w:pPr>
        <w:pStyle w:val="FootnoteText"/>
      </w:pPr>
      <w:r w:rsidRPr="006315B3">
        <w:rPr>
          <w:rStyle w:val="FootnoteReference"/>
        </w:rPr>
        <w:footnoteRef/>
      </w:r>
      <w:r w:rsidRPr="006315B3">
        <w:t xml:space="preserve"> Analog-only television receivers have not been </w:t>
      </w:r>
      <w:r>
        <w:t xml:space="preserve">shipped in or imported into the United States </w:t>
      </w:r>
      <w:r w:rsidRPr="0066449C">
        <w:t xml:space="preserve">since 2007.  </w:t>
      </w:r>
      <w:r w:rsidRPr="0066449C">
        <w:rPr>
          <w:i/>
        </w:rPr>
        <w:t>See</w:t>
      </w:r>
      <w:r w:rsidRPr="0066449C">
        <w:t xml:space="preserve"> </w:t>
      </w:r>
      <w:r w:rsidRPr="0066449C">
        <w:rPr>
          <w:i/>
        </w:rPr>
        <w:t>Requirements for Digital Television Receiving Capability</w:t>
      </w:r>
      <w:r w:rsidRPr="0066449C">
        <w:t xml:space="preserve">, ET Docket No. 05-24, Second Report and Order, </w:t>
      </w:r>
      <w:r w:rsidRPr="00705BB8">
        <w:t>20 FCC Rcd 18607 (2005</w:t>
      </w:r>
      <w:r w:rsidRPr="00D456DA">
        <w:t>) (requir</w:t>
      </w:r>
      <w:r>
        <w:t>ing</w:t>
      </w:r>
      <w:r w:rsidRPr="00D456DA">
        <w:t xml:space="preserve"> TV receivers to include digital reception capacity by March 1, 2006 for TV receivers with screen sizes 25-36 inches and by March 1, 2007 for TV receivers with screen sizes 13-24 inches).</w:t>
      </w:r>
      <w:r w:rsidRPr="00BA2E93">
        <w:t xml:space="preserve"> </w:t>
      </w:r>
    </w:p>
  </w:footnote>
  <w:footnote w:id="155">
    <w:p w14:paraId="7234D7C2" w14:textId="77777777" w:rsidR="00850453" w:rsidRPr="00CB5281" w:rsidRDefault="00850453" w:rsidP="00FC1DCF">
      <w:pPr>
        <w:spacing w:after="120"/>
      </w:pPr>
      <w:r>
        <w:rPr>
          <w:rStyle w:val="FootnoteReference"/>
        </w:rPr>
        <w:footnoteRef/>
      </w:r>
      <w:r>
        <w:t xml:space="preserve"> </w:t>
      </w:r>
      <w:r>
        <w:rPr>
          <w:sz w:val="20"/>
        </w:rPr>
        <w:t xml:space="preserve">In 2002, the Commission established a phased-in schedule for the requirement that all television receivers shipped in interstate commerce or imported into the United States be equipped with a digital tuner.  </w:t>
      </w:r>
      <w:r w:rsidRPr="00F515EF">
        <w:rPr>
          <w:i/>
          <w:sz w:val="20"/>
        </w:rPr>
        <w:t>See</w:t>
      </w:r>
      <w:r w:rsidRPr="00F515EF">
        <w:rPr>
          <w:sz w:val="20"/>
        </w:rPr>
        <w:t xml:space="preserve"> </w:t>
      </w:r>
      <w:r w:rsidRPr="00F515EF">
        <w:rPr>
          <w:i/>
          <w:sz w:val="20"/>
        </w:rPr>
        <w:t>Review of the Commission</w:t>
      </w:r>
      <w:r>
        <w:rPr>
          <w:i/>
          <w:sz w:val="20"/>
        </w:rPr>
        <w:t>’</w:t>
      </w:r>
      <w:r w:rsidRPr="00F515EF">
        <w:rPr>
          <w:i/>
          <w:sz w:val="20"/>
        </w:rPr>
        <w:t>s Rules and Policies Affecting the Conversion to Digital Television</w:t>
      </w:r>
      <w:r w:rsidRPr="00F515EF">
        <w:rPr>
          <w:sz w:val="20"/>
        </w:rPr>
        <w:t>,  MM Docket No. 00-39, Second Report and Order and Second Memorandum Opinion and Order, 17 FCC Rcd 15978 (2002),</w:t>
      </w:r>
      <w:r w:rsidRPr="00F515EF">
        <w:rPr>
          <w:i/>
          <w:color w:val="000000"/>
          <w:sz w:val="20"/>
          <w:shd w:val="clear" w:color="auto" w:fill="FFFFFF"/>
        </w:rPr>
        <w:t xml:space="preserve"> aff’d, Consumer Electronics Ass’n v. FCC</w:t>
      </w:r>
      <w:r w:rsidRPr="00F515EF">
        <w:rPr>
          <w:color w:val="000000"/>
          <w:sz w:val="20"/>
          <w:shd w:val="clear" w:color="auto" w:fill="FFFFFF"/>
        </w:rPr>
        <w:t>, 347 F.3d 291 (D.C. Cir. 2003)</w:t>
      </w:r>
      <w:r w:rsidRPr="00F515EF">
        <w:rPr>
          <w:sz w:val="20"/>
        </w:rPr>
        <w:t>.</w:t>
      </w:r>
      <w:r>
        <w:rPr>
          <w:sz w:val="20"/>
        </w:rPr>
        <w:t xml:space="preserve">  Under that schedule, no television receiver could be shipped in interstate commerce or imported into the United States without a digital tuner after July 2007.</w:t>
      </w:r>
    </w:p>
  </w:footnote>
  <w:footnote w:id="156">
    <w:p w14:paraId="70462356" w14:textId="77777777" w:rsidR="00850453" w:rsidRDefault="00850453" w:rsidP="003754FB">
      <w:pPr>
        <w:pStyle w:val="FootnoteText"/>
      </w:pPr>
      <w:r>
        <w:rPr>
          <w:rStyle w:val="FootnoteReference"/>
        </w:rPr>
        <w:footnoteRef/>
      </w:r>
      <w:r>
        <w:t xml:space="preserve"> </w:t>
      </w:r>
      <w:r w:rsidRPr="003200DD">
        <w:rPr>
          <w:i/>
        </w:rPr>
        <w:t>See Incentive Auction R&amp;O</w:t>
      </w:r>
      <w:r>
        <w:t xml:space="preserve">, 29 FCC Rcd at 6796, para. 559 (defining the </w:t>
      </w:r>
      <w:r w:rsidRPr="004D22FD">
        <w:t>“Post-Auction Transition Period”</w:t>
      </w:r>
      <w:r>
        <w:t xml:space="preserve"> as the 39-month transition period</w:t>
      </w:r>
      <w:r w:rsidRPr="004D22FD">
        <w:t xml:space="preserve"> for broadcasters that are assigned new channels in the repacking process and winning UHF-to-VHF and high-VHF-to-low-VHF bidders</w:t>
      </w:r>
      <w:r>
        <w:t xml:space="preserve"> to relocate to their new channels.</w:t>
      </w:r>
      <w:r w:rsidRPr="004D22FD">
        <w:t xml:space="preserve"> The Post-Auction Transition Period will include (1) the three-month period beginning upon the release of the Channel Reassignment PN, during which broadcasters will complete and file their construction permit applications,  followed by (2) a 36-month period consisting </w:t>
      </w:r>
      <w:r>
        <w:t>of varied construction deadline)</w:t>
      </w:r>
      <w:r w:rsidRPr="004D22FD">
        <w:t>.</w:t>
      </w:r>
      <w:r>
        <w:t xml:space="preserve"> </w:t>
      </w:r>
      <w:r w:rsidRPr="00EA7939">
        <w:rPr>
          <w:i/>
        </w:rPr>
        <w:t>See id.</w:t>
      </w:r>
    </w:p>
  </w:footnote>
  <w:footnote w:id="157">
    <w:p w14:paraId="4DC68FCE" w14:textId="77777777" w:rsidR="00850453" w:rsidRDefault="00850453" w:rsidP="00892FDD">
      <w:pPr>
        <w:pStyle w:val="FootnoteText"/>
      </w:pPr>
      <w:r>
        <w:rPr>
          <w:rStyle w:val="FootnoteReference"/>
        </w:rPr>
        <w:footnoteRef/>
      </w:r>
      <w:r>
        <w:t xml:space="preserve"> </w:t>
      </w:r>
      <w:r w:rsidRPr="00116718">
        <w:t xml:space="preserve">CEA notes that the newer models of receivers tested represented an estimated 85 percent of DTV </w:t>
      </w:r>
      <w:r>
        <w:t xml:space="preserve">receiver </w:t>
      </w:r>
      <w:r w:rsidRPr="00116718">
        <w:t>shipments in the U.S. in the period 2012-2013.</w:t>
      </w:r>
      <w:r>
        <w:t xml:space="preserve">  </w:t>
      </w:r>
      <w:r w:rsidRPr="00116718">
        <w:rPr>
          <w:i/>
        </w:rPr>
        <w:t>CEA Measurements Report</w:t>
      </w:r>
      <w:r>
        <w:t xml:space="preserve"> at 1.  CEA tested DTV receivers from model years 2006, 2012 and 2013.  We also note that we have no reason, and NAB identifies none, to believe that there would be any significant difference in the performance of 2007-2011 models from the 2006 and 2012-2013 models tested.  </w:t>
      </w:r>
      <w:r>
        <w:rPr>
          <w:i/>
        </w:rPr>
        <w:t xml:space="preserve">See </w:t>
      </w:r>
      <w:r>
        <w:t xml:space="preserve">NAB </w:t>
      </w:r>
      <w:r w:rsidRPr="006A744E">
        <w:rPr>
          <w:i/>
        </w:rPr>
        <w:t>Measurements PN</w:t>
      </w:r>
      <w:r>
        <w:t xml:space="preserve"> Comments at 10.  Through 2007, comprehensive testing conducted by the FCC Laboratory identified that all receivers included in its tests were single-conversion tuners with an intermediate frequency (IF) of 44 MHz.  </w:t>
      </w:r>
      <w:r w:rsidRPr="007C1339">
        <w:rPr>
          <w:i/>
          <w:iCs/>
        </w:rPr>
        <w:t>See</w:t>
      </w:r>
      <w:r w:rsidRPr="007C1339">
        <w:t xml:space="preserve"> Stephen R. Martin, “Interference Rejection Thresholds of Consumer Digital Television Receivers Available in 2005 and 2006,” </w:t>
      </w:r>
      <w:r w:rsidRPr="007C1339">
        <w:rPr>
          <w:u w:val="single"/>
        </w:rPr>
        <w:t>FCC/OET Report 07-TR-1003</w:t>
      </w:r>
      <w:r w:rsidRPr="007C1339">
        <w:t>, March 30, 2007.</w:t>
      </w:r>
      <w:r>
        <w:t xml:space="preserve">  The concept of “low-IF” tuners, with intermediate frequencies much lower than conventional receivers, was introduced in 2008, and tuners of this type were made available in the marketplace not long afterward.  </w:t>
      </w:r>
      <w:r w:rsidRPr="004E08A4">
        <w:rPr>
          <w:i/>
          <w:iCs/>
        </w:rPr>
        <w:t xml:space="preserve">See </w:t>
      </w:r>
      <w:r w:rsidRPr="004E08A4">
        <w:t xml:space="preserve">Lerstaveesin, S., </w:t>
      </w:r>
      <w:r w:rsidRPr="004E08A4">
        <w:rPr>
          <w:i/>
          <w:iCs/>
        </w:rPr>
        <w:t>et. al.</w:t>
      </w:r>
      <w:r w:rsidRPr="004E08A4">
        <w:t xml:space="preserve">, </w:t>
      </w:r>
      <w:r w:rsidRPr="004E08A4">
        <w:rPr>
          <w:i/>
          <w:iCs/>
        </w:rPr>
        <w:t>A 48–860 MHz CMOS Low-IF Direct-Conversion DTV Tuner</w:t>
      </w:r>
      <w:r w:rsidRPr="004E08A4">
        <w:t>, IEEE Journal of Solid-State Circuits, 43(9):2013-2024, September 2008.</w:t>
      </w:r>
      <w:r>
        <w:t xml:space="preserve">  The more recent testing conducted by both OET and CEA includes these</w:t>
      </w:r>
      <w:r w:rsidRPr="00BD3472">
        <w:t xml:space="preserve"> two classes of receivers – those with conventional IF frequencies</w:t>
      </w:r>
      <w:r>
        <w:t>, representing receivers commercially available until 2009</w:t>
      </w:r>
      <w:r w:rsidRPr="00BD3472">
        <w:t xml:space="preserve">, and those with newer </w:t>
      </w:r>
      <w:r>
        <w:t>“low-</w:t>
      </w:r>
      <w:r w:rsidRPr="00BD3472">
        <w:t>IF</w:t>
      </w:r>
      <w:r>
        <w:t>” tuners, representing a significant percentage of commercially available receivers along with conventional receivers still in the marketplace 2009 and after</w:t>
      </w:r>
      <w:r w:rsidRPr="00BD3472">
        <w:t>.</w:t>
      </w:r>
    </w:p>
  </w:footnote>
  <w:footnote w:id="158">
    <w:p w14:paraId="5587AB86" w14:textId="77777777" w:rsidR="00850453" w:rsidRDefault="00850453" w:rsidP="00892FDD">
      <w:pPr>
        <w:pStyle w:val="FootnoteText"/>
      </w:pPr>
      <w:r>
        <w:rPr>
          <w:rStyle w:val="FootnoteReference"/>
        </w:rPr>
        <w:footnoteRef/>
      </w:r>
      <w:r>
        <w:t xml:space="preserve"> </w:t>
      </w:r>
      <w:r w:rsidRPr="009A2C49">
        <w:t>T</w:t>
      </w:r>
      <w:r w:rsidRPr="007C1339">
        <w:t>he set top box examined in the OET study performed closest to median (</w:t>
      </w:r>
      <w:r w:rsidRPr="007C1339">
        <w:rPr>
          <w:i/>
          <w:iCs/>
        </w:rPr>
        <w:t>i.e.</w:t>
      </w:r>
      <w:r w:rsidRPr="007C1339">
        <w:t xml:space="preserve">, the most typical) across all receiver performance tests conducted in OET’s previous measurement reports.  </w:t>
      </w:r>
      <w:r w:rsidRPr="007C1339">
        <w:rPr>
          <w:i/>
          <w:iCs/>
        </w:rPr>
        <w:t>See</w:t>
      </w:r>
      <w:r w:rsidRPr="007C1339">
        <w:t xml:space="preserve"> Stephen R. Martin, “Interference Rejection Thresholds of Consumer Digital Television Receivers Available in 2005 and 2006,” </w:t>
      </w:r>
      <w:r w:rsidRPr="007C1339">
        <w:rPr>
          <w:u w:val="single"/>
        </w:rPr>
        <w:t>FCC/OET Report 07-TR-1003</w:t>
      </w:r>
      <w:r w:rsidRPr="007C1339">
        <w:t xml:space="preserve">, March 30, 2007.  </w:t>
      </w:r>
      <w:r w:rsidRPr="007C1339">
        <w:rPr>
          <w:i/>
          <w:iCs/>
        </w:rPr>
        <w:t>See also</w:t>
      </w:r>
      <w:r w:rsidRPr="007C1339">
        <w:t xml:space="preserve"> “Tests of ATSC 8-VSB Reception Performance of Consumer Digital Television Receivers Available in 2005,” </w:t>
      </w:r>
      <w:r w:rsidRPr="007C1339">
        <w:rPr>
          <w:u w:val="single"/>
        </w:rPr>
        <w:t>FCC/OET Report TR-05-1017</w:t>
      </w:r>
      <w:r w:rsidRPr="007C1339">
        <w:t xml:space="preserve"> November 2, 2005.  </w:t>
      </w:r>
      <w:r>
        <w:t>T</w:t>
      </w:r>
      <w:r w:rsidRPr="007C1339">
        <w:t>he median performance of the tested set top box across all previous testing lend</w:t>
      </w:r>
      <w:r>
        <w:t>s</w:t>
      </w:r>
      <w:r w:rsidRPr="007C1339">
        <w:t xml:space="preserve"> credence to reliance on its performance as a measure of the central tendency of population</w:t>
      </w:r>
      <w:r>
        <w:t>.</w:t>
      </w:r>
      <w:r w:rsidRPr="007C1339">
        <w:t xml:space="preserve"> </w:t>
      </w:r>
    </w:p>
  </w:footnote>
  <w:footnote w:id="159">
    <w:p w14:paraId="50CC1DC7" w14:textId="77777777" w:rsidR="00850453" w:rsidRDefault="00850453" w:rsidP="00892FDD">
      <w:pPr>
        <w:pStyle w:val="FootnoteText"/>
      </w:pPr>
      <w:r>
        <w:rPr>
          <w:rStyle w:val="FootnoteReference"/>
        </w:rPr>
        <w:footnoteRef/>
      </w:r>
      <w:r>
        <w:t xml:space="preserve"> </w:t>
      </w:r>
      <w:r w:rsidRPr="009D0732">
        <w:rPr>
          <w:i/>
        </w:rPr>
        <w:t>See</w:t>
      </w:r>
      <w:r>
        <w:t xml:space="preserve"> NAB </w:t>
      </w:r>
      <w:r w:rsidRPr="006A744E">
        <w:rPr>
          <w:i/>
        </w:rPr>
        <w:t>Measurements PN</w:t>
      </w:r>
      <w:r>
        <w:t xml:space="preserve"> Comments at 8 (contending that the number of DTV receivers examined was too small); </w:t>
      </w:r>
      <w:r w:rsidRPr="00D50967">
        <w:rPr>
          <w:i/>
        </w:rPr>
        <w:t>see also</w:t>
      </w:r>
      <w:r w:rsidRPr="00D50967">
        <w:t xml:space="preserve"> </w:t>
      </w:r>
      <w:r>
        <w:t xml:space="preserve">ATBA </w:t>
      </w:r>
      <w:r w:rsidRPr="006A744E">
        <w:rPr>
          <w:i/>
        </w:rPr>
        <w:t>Measurements PN</w:t>
      </w:r>
      <w:r>
        <w:t xml:space="preserve"> Comments at 5.</w:t>
      </w:r>
    </w:p>
  </w:footnote>
  <w:footnote w:id="160">
    <w:p w14:paraId="419F3CED" w14:textId="77777777" w:rsidR="00850453" w:rsidRPr="00E70343" w:rsidRDefault="00850453" w:rsidP="00876E5F">
      <w:pPr>
        <w:pStyle w:val="FootnoteText"/>
      </w:pPr>
      <w:r>
        <w:rPr>
          <w:rStyle w:val="FootnoteReference"/>
        </w:rPr>
        <w:footnoteRef/>
      </w:r>
      <w:r>
        <w:t xml:space="preserve"> NAB </w:t>
      </w:r>
      <w:r w:rsidRPr="006A744E">
        <w:rPr>
          <w:i/>
        </w:rPr>
        <w:t>Measurements PN</w:t>
      </w:r>
      <w:r>
        <w:t xml:space="preserve"> Comments at 3.  There are certain combinations of channels in the UHF band that may interfere with television reception, primarily as a result of receiver performance.  Taboo channels (</w:t>
      </w:r>
      <w:r>
        <w:rPr>
          <w:i/>
          <w:iCs/>
        </w:rPr>
        <w:t>e.g.</w:t>
      </w:r>
      <w:r>
        <w:t xml:space="preserve">, channels ± 2, 3, 4, 5, 7, 8, 14, and 15 in relation to the desired channel) exist as a result of these performance issues, where ± 2, 3, 4, 5, arise principally due to poor receiver selectivity and third-order intermodulation products generated within the receiver under certain conditions, and ± 7, 8, 14, and 15 arise due to interactions with the local oscillator frequency of the receiver, which has characteristically been set at 44 MHz.  Technical solutions exist to improve the performance of TV receivers on these taboo channels; for instance: tracking filters could improve selectivity, double conversion tuners could improve intermodulation, and low-IF tuners could improve resiliency against interactions at 44 MHz from the desired channel.  Some receivers made available more recently have already been designed this way.  </w:t>
      </w:r>
      <w:r>
        <w:rPr>
          <w:i/>
          <w:iCs/>
        </w:rPr>
        <w:t>See e.g.</w:t>
      </w:r>
      <w:r>
        <w:t xml:space="preserve">, Stephen R. Martin, </w:t>
      </w:r>
      <w:r>
        <w:rPr>
          <w:i/>
          <w:iCs/>
        </w:rPr>
        <w:t>DTV Converter Box Test Program—Results and Lessons Learned</w:t>
      </w:r>
      <w:r>
        <w:t xml:space="preserve">, </w:t>
      </w:r>
      <w:r>
        <w:rPr>
          <w:u w:val="single"/>
        </w:rPr>
        <w:t>FCC/OET Report 09-TR-1003</w:t>
      </w:r>
      <w:r>
        <w:t xml:space="preserve">, October 9, 2009, Chapter 4.  </w:t>
      </w:r>
      <w:r>
        <w:rPr>
          <w:i/>
          <w:iCs/>
        </w:rPr>
        <w:t>See also</w:t>
      </w:r>
      <w:r>
        <w:t xml:space="preserve"> Lerstaveesin, S., </w:t>
      </w:r>
      <w:r>
        <w:rPr>
          <w:i/>
          <w:iCs/>
        </w:rPr>
        <w:t>et. al.</w:t>
      </w:r>
      <w:r>
        <w:t xml:space="preserve">, </w:t>
      </w:r>
      <w:r>
        <w:rPr>
          <w:i/>
          <w:iCs/>
        </w:rPr>
        <w:t>A 48–860 MHz CMOS Low-IF Direct-Conversion DTV Tuner</w:t>
      </w:r>
      <w:r>
        <w:t>, IEEE Journal of Solid-State Circuits, 43(9):2013-2024, September 2008.</w:t>
      </w:r>
      <w:r w:rsidRPr="00F3761A">
        <w:t xml:space="preserve"> </w:t>
      </w:r>
      <w:r>
        <w:t xml:space="preserve"> “Splatter” refers to </w:t>
      </w:r>
      <w:r w:rsidRPr="00F3761A">
        <w:t>noise in the desired channel caused by adjacent channel interference or third order intermodulation products</w:t>
      </w:r>
      <w:r w:rsidRPr="00E70343">
        <w:t xml:space="preserve">. </w:t>
      </w:r>
      <w:r>
        <w:t xml:space="preserve"> </w:t>
      </w:r>
      <w:r w:rsidRPr="00F3761A">
        <w:t xml:space="preserve">Splatter arises principally due to adjacent-channel leakage into the desired channel from the sideband attenuation performance of the emission filter and third-order intermodulation products generated within the transmitter.  </w:t>
      </w:r>
      <w:r w:rsidRPr="00E93121">
        <w:rPr>
          <w:i/>
        </w:rPr>
        <w:t>See, e.g.</w:t>
      </w:r>
      <w:r w:rsidRPr="00F3761A">
        <w:t xml:space="preserve">, Sgrignoli, G., </w:t>
      </w:r>
      <w:r w:rsidRPr="00F3761A">
        <w:rPr>
          <w:i/>
          <w:iCs/>
        </w:rPr>
        <w:t>DTV Repeater Emission Mask Analysis</w:t>
      </w:r>
      <w:r w:rsidRPr="00F3761A">
        <w:t>, IEEE Transactions on Broadcasting, 49(1):32-80, March 2003</w:t>
      </w:r>
      <w:r>
        <w:t>.</w:t>
      </w:r>
    </w:p>
  </w:footnote>
  <w:footnote w:id="161">
    <w:p w14:paraId="14F11D94" w14:textId="77777777" w:rsidR="00850453" w:rsidRDefault="00850453" w:rsidP="00FF416D">
      <w:pPr>
        <w:pStyle w:val="FootnoteText"/>
      </w:pPr>
      <w:r>
        <w:rPr>
          <w:rStyle w:val="FootnoteReference"/>
        </w:rPr>
        <w:footnoteRef/>
      </w:r>
      <w:r>
        <w:t xml:space="preserve"> </w:t>
      </w:r>
      <w:r w:rsidRPr="00AE1077">
        <w:rPr>
          <w:i/>
        </w:rPr>
        <w:t>See</w:t>
      </w:r>
      <w:r>
        <w:t xml:space="preserve"> OET-69 at 8.  The Commission’s rules do contain one reference to taboo interference in the table showing DTV-to-analog protection, but that table is no longer applicable following the completion of the DTV transition for full power stations in 2007.  </w:t>
      </w:r>
      <w:r w:rsidRPr="008A1C38">
        <w:rPr>
          <w:i/>
        </w:rPr>
        <w:t>See</w:t>
      </w:r>
      <w:r>
        <w:rPr>
          <w:i/>
        </w:rPr>
        <w:t xml:space="preserve"> </w:t>
      </w:r>
      <w:r>
        <w:t>47 C.F.R. § 73.623(c)(2).</w:t>
      </w:r>
    </w:p>
  </w:footnote>
  <w:footnote w:id="162">
    <w:p w14:paraId="01086334" w14:textId="77777777" w:rsidR="00850453" w:rsidRDefault="00850453" w:rsidP="00876E5F">
      <w:pPr>
        <w:pStyle w:val="FootnoteText"/>
      </w:pPr>
      <w:r>
        <w:rPr>
          <w:rStyle w:val="FootnoteReference"/>
        </w:rPr>
        <w:footnoteRef/>
      </w:r>
      <w:r>
        <w:t xml:space="preserve"> We note that the ATSC DTV receiver performance guidelines include performance standards to address the presence of these conditions.  </w:t>
      </w:r>
      <w:r w:rsidRPr="00DF1D38">
        <w:rPr>
          <w:i/>
        </w:rPr>
        <w:t>See</w:t>
      </w:r>
      <w:r w:rsidRPr="006315B3">
        <w:t xml:space="preserve"> ATSC Recommended Practice A/74: Receiver Performance Guidelines, section 5.4.3, Taboo Channel Rejection, 7 Apr. 2010, available at http://www.atsc.org/cms/standards/a_74-2010.pdf (last visited May 1, 2014).  </w:t>
      </w:r>
    </w:p>
  </w:footnote>
  <w:footnote w:id="163">
    <w:p w14:paraId="39D26A5A" w14:textId="77777777" w:rsidR="00850453" w:rsidRDefault="00850453" w:rsidP="00876E5F">
      <w:pPr>
        <w:pStyle w:val="FootnoteText"/>
      </w:pPr>
      <w:r>
        <w:rPr>
          <w:rStyle w:val="FootnoteReference"/>
        </w:rPr>
        <w:footnoteRef/>
      </w:r>
      <w:r>
        <w:t xml:space="preserve"> </w:t>
      </w:r>
      <w:r w:rsidRPr="00447721">
        <w:t xml:space="preserve">Sinclair </w:t>
      </w:r>
      <w:r>
        <w:t xml:space="preserve">and Linley Gumm and Charles Rhodes </w:t>
      </w:r>
      <w:r w:rsidRPr="00447721">
        <w:t xml:space="preserve">argue that the </w:t>
      </w:r>
      <w:r>
        <w:t xml:space="preserve">600 MHz Band’s </w:t>
      </w:r>
      <w:r w:rsidRPr="00447721">
        <w:t xml:space="preserve">broad </w:t>
      </w:r>
      <w:r>
        <w:t xml:space="preserve">LTE operating </w:t>
      </w:r>
      <w:r w:rsidRPr="00447721">
        <w:t xml:space="preserve">bandwidths (up to 20 MHz) and the </w:t>
      </w:r>
      <w:r>
        <w:t xml:space="preserve">potential for </w:t>
      </w:r>
      <w:r w:rsidRPr="00447721">
        <w:t xml:space="preserve">adjacent broadcast </w:t>
      </w:r>
      <w:r>
        <w:t xml:space="preserve">services on 6 MHz </w:t>
      </w:r>
      <w:r w:rsidRPr="00447721">
        <w:t xml:space="preserve">channels </w:t>
      </w:r>
      <w:r>
        <w:t>necessitate addressing taboo interference in the ISIX Methodology</w:t>
      </w:r>
      <w:r w:rsidRPr="00447721">
        <w:t xml:space="preserve">. </w:t>
      </w:r>
      <w:r>
        <w:t xml:space="preserve"> </w:t>
      </w:r>
      <w:r w:rsidRPr="00447721">
        <w:rPr>
          <w:i/>
        </w:rPr>
        <w:t>See</w:t>
      </w:r>
      <w:r>
        <w:t xml:space="preserve"> Comments of Sinclair Broadcast Group, Inc., ET Docket No. 14-14, GN Docket No. 12-268, at 6-7 (filed Mar. 18, 2014), Comments of Linley Gumm and Charles Rhodes, ET Docket No. 14-14, GN Docket No. 12-268 (filed Feb. 24, 2014). </w:t>
      </w:r>
      <w:r w:rsidRPr="00447721">
        <w:t xml:space="preserve"> However, </w:t>
      </w:r>
      <w:r>
        <w:t>there are situations under the current rules where multiple DTV signals occupy channels on broad bandwidths that are similar to the situation that concern Sinclair</w:t>
      </w:r>
      <w:r w:rsidRPr="00642556">
        <w:t xml:space="preserve"> </w:t>
      </w:r>
      <w:r>
        <w:t>and Mr. Gumm and Mr. Rhodes and we have no reports of verified interference from multiple interferers, IM3 or splatter</w:t>
      </w:r>
      <w:r w:rsidRPr="00447721">
        <w:t>.</w:t>
      </w:r>
      <w:r>
        <w:t xml:space="preserve">  While it is conceivable that taboo-like signal patterns could occur from LTE operations to DTV services, we believe that the cellular nature of the LTE operations would minimize the statistical likelihood that such interference effects would actually affect DTV services</w:t>
      </w:r>
      <w:r w:rsidRPr="00447721">
        <w:t>.</w:t>
      </w:r>
    </w:p>
  </w:footnote>
  <w:footnote w:id="164">
    <w:p w14:paraId="5846DBD5" w14:textId="77777777" w:rsidR="00850453" w:rsidRDefault="00850453">
      <w:pPr>
        <w:pStyle w:val="FootnoteText"/>
      </w:pPr>
      <w:r>
        <w:rPr>
          <w:rStyle w:val="FootnoteReference"/>
        </w:rPr>
        <w:footnoteRef/>
      </w:r>
      <w:r>
        <w:t xml:space="preserve"> </w:t>
      </w:r>
      <w:r w:rsidRPr="006A744E">
        <w:rPr>
          <w:i/>
        </w:rPr>
        <w:t xml:space="preserve">See </w:t>
      </w:r>
      <w:r>
        <w:t xml:space="preserve">NAB </w:t>
      </w:r>
      <w:r w:rsidRPr="006A744E">
        <w:rPr>
          <w:i/>
        </w:rPr>
        <w:t>Measurements PN</w:t>
      </w:r>
      <w:r>
        <w:t xml:space="preserve"> Comments at 14, n. 33.</w:t>
      </w:r>
    </w:p>
  </w:footnote>
  <w:footnote w:id="165">
    <w:p w14:paraId="316C5737" w14:textId="77777777" w:rsidR="00850453" w:rsidRDefault="00850453">
      <w:pPr>
        <w:pStyle w:val="FootnoteText"/>
      </w:pPr>
      <w:r>
        <w:rPr>
          <w:rStyle w:val="FootnoteReference"/>
        </w:rPr>
        <w:footnoteRef/>
      </w:r>
      <w:r>
        <w:t xml:space="preserve"> </w:t>
      </w:r>
      <w:r w:rsidRPr="006A744E">
        <w:rPr>
          <w:i/>
        </w:rPr>
        <w:t>See</w:t>
      </w:r>
      <w:r>
        <w:t xml:space="preserve"> 47 C.F.R. § 73.616 (rules do not consider DTV-to-DTV IM3 interference).</w:t>
      </w:r>
    </w:p>
  </w:footnote>
  <w:footnote w:id="166">
    <w:p w14:paraId="245AB4D8" w14:textId="77777777" w:rsidR="00850453" w:rsidRDefault="00850453">
      <w:pPr>
        <w:pStyle w:val="FootnoteText"/>
      </w:pPr>
      <w:r>
        <w:rPr>
          <w:rStyle w:val="FootnoteReference"/>
        </w:rPr>
        <w:footnoteRef/>
      </w:r>
      <w:r>
        <w:t xml:space="preserve"> </w:t>
      </w:r>
      <w:r w:rsidRPr="008C65E0">
        <w:rPr>
          <w:i/>
        </w:rPr>
        <w:t>See supra</w:t>
      </w:r>
      <w:r>
        <w:rPr>
          <w:i/>
        </w:rPr>
        <w:t>,</w:t>
      </w:r>
      <w:r>
        <w:t xml:space="preserve"> n. </w:t>
      </w:r>
      <w:r>
        <w:fldChar w:fldCharType="begin"/>
      </w:r>
      <w:r>
        <w:instrText xml:space="preserve"> NOTEREF _Ref398030316 \h </w:instrText>
      </w:r>
      <w:r>
        <w:fldChar w:fldCharType="separate"/>
      </w:r>
      <w:r>
        <w:t>123</w:t>
      </w:r>
      <w:r>
        <w:fldChar w:fldCharType="end"/>
      </w:r>
      <w:r>
        <w:t xml:space="preserve">. </w:t>
      </w:r>
    </w:p>
  </w:footnote>
  <w:footnote w:id="167">
    <w:p w14:paraId="46D89078" w14:textId="77777777" w:rsidR="00850453" w:rsidRDefault="00850453" w:rsidP="00A639EA">
      <w:pPr>
        <w:pStyle w:val="FootnoteText"/>
      </w:pPr>
      <w:r>
        <w:rPr>
          <w:rStyle w:val="FootnoteReference"/>
        </w:rPr>
        <w:footnoteRef/>
      </w:r>
      <w:r>
        <w:t xml:space="preserve"> </w:t>
      </w:r>
      <w:r w:rsidRPr="00F3761A">
        <w:rPr>
          <w:i/>
        </w:rPr>
        <w:t>See</w:t>
      </w:r>
      <w:r>
        <w:t xml:space="preserve"> NAB Measurements Comments at 14-15.  Asymmetry can be manifested in either edge of the signal.  </w:t>
      </w:r>
    </w:p>
  </w:footnote>
  <w:footnote w:id="168">
    <w:p w14:paraId="7D2B28CD" w14:textId="77777777" w:rsidR="00850453" w:rsidRDefault="00850453">
      <w:pPr>
        <w:pStyle w:val="FootnoteText"/>
      </w:pPr>
      <w:r>
        <w:rPr>
          <w:rStyle w:val="FootnoteReference"/>
        </w:rPr>
        <w:footnoteRef/>
      </w:r>
      <w:r>
        <w:t xml:space="preserve"> </w:t>
      </w:r>
      <w:r w:rsidRPr="008F59CE">
        <w:rPr>
          <w:i/>
        </w:rPr>
        <w:t>See</w:t>
      </w:r>
      <w:r w:rsidRPr="00705BB8">
        <w:t xml:space="preserve"> NAB </w:t>
      </w:r>
      <w:r>
        <w:t>Measurements C</w:t>
      </w:r>
      <w:r w:rsidRPr="00705BB8">
        <w:t xml:space="preserve">omments at 17.  </w:t>
      </w:r>
    </w:p>
  </w:footnote>
  <w:footnote w:id="169">
    <w:p w14:paraId="7BC93F2C" w14:textId="77777777" w:rsidR="00850453" w:rsidRDefault="00850453" w:rsidP="00A639EA">
      <w:pPr>
        <w:pStyle w:val="FootnoteText"/>
      </w:pPr>
      <w:r>
        <w:rPr>
          <w:rStyle w:val="FootnoteReference"/>
        </w:rPr>
        <w:footnoteRef/>
      </w:r>
      <w:r>
        <w:t xml:space="preserve"> </w:t>
      </w:r>
      <w:r w:rsidRPr="00705BB8">
        <w:t xml:space="preserve">The D/U ratios we are adopting for </w:t>
      </w:r>
      <w:r>
        <w:t>+1 MHz spectral overlap</w:t>
      </w:r>
      <w:r w:rsidRPr="00705BB8">
        <w:t xml:space="preserve"> will provide a D/U threshold of 9.3 + α</w:t>
      </w:r>
      <w:r>
        <w:t>, where α is the signal-to-noise ramp function</w:t>
      </w:r>
      <w:r w:rsidRPr="00705BB8">
        <w:t xml:space="preserve">.  </w:t>
      </w:r>
      <w:r w:rsidRPr="000603F9">
        <w:t xml:space="preserve">In the case of a moderate desired signal level (-54.7 dBm) that NAB </w:t>
      </w:r>
      <w:r>
        <w:t>points to</w:t>
      </w:r>
      <w:r w:rsidRPr="000603F9">
        <w:t xml:space="preserve">, α will be nearly 0 dB and the D/U threshold for a +1 MHz overlap will be approximately 9.3 dB.  This threshold between 1.8 and 21.7 dB </w:t>
      </w:r>
      <w:r>
        <w:t xml:space="preserve">is </w:t>
      </w:r>
      <w:r w:rsidRPr="000603F9">
        <w:t>greater than OET’s measured required LTE-to-DTV D/U values on either the upper or lower edge of the DTV signal</w:t>
      </w:r>
      <w:r>
        <w:t xml:space="preserve">. </w:t>
      </w:r>
    </w:p>
  </w:footnote>
  <w:footnote w:id="170">
    <w:p w14:paraId="7289812E" w14:textId="77777777" w:rsidR="00850453" w:rsidRPr="00AA6FB2" w:rsidRDefault="00850453" w:rsidP="00A639EA">
      <w:pPr>
        <w:pStyle w:val="FootnoteText"/>
      </w:pPr>
      <w:r>
        <w:rPr>
          <w:rStyle w:val="FootnoteReference"/>
        </w:rPr>
        <w:footnoteRef/>
      </w:r>
      <w:r>
        <w:t xml:space="preserve"> </w:t>
      </w:r>
      <w:r w:rsidRPr="00BF4166">
        <w:rPr>
          <w:i/>
        </w:rPr>
        <w:t>See</w:t>
      </w:r>
      <w:r w:rsidRPr="00BF4166">
        <w:t xml:space="preserve"> </w:t>
      </w:r>
      <w:r w:rsidRPr="00BF4166">
        <w:rPr>
          <w:i/>
        </w:rPr>
        <w:t>Measurements PN</w:t>
      </w:r>
      <w:r w:rsidRPr="00BF4166">
        <w:t xml:space="preserve"> at 14 (measurements at 0 MHz spectral overlap show D/U ratios of at least -35 dB while our D/U ratio for 0 MHz in the ISIX Methodology is -</w:t>
      </w:r>
      <w:r>
        <w:t>2</w:t>
      </w:r>
      <w:r w:rsidRPr="00BF4166">
        <w:t xml:space="preserve"> dB – 3</w:t>
      </w:r>
      <w:r>
        <w:t>3</w:t>
      </w:r>
      <w:r w:rsidRPr="00BF4166">
        <w:t xml:space="preserve"> dB more conservative).</w:t>
      </w:r>
    </w:p>
  </w:footnote>
  <w:footnote w:id="171">
    <w:p w14:paraId="202DA7D7" w14:textId="77777777" w:rsidR="00850453" w:rsidRDefault="00850453">
      <w:pPr>
        <w:pStyle w:val="FootnoteText"/>
      </w:pPr>
      <w:r>
        <w:rPr>
          <w:rStyle w:val="FootnoteReference"/>
        </w:rPr>
        <w:footnoteRef/>
      </w:r>
      <w:r>
        <w:t xml:space="preserve"> </w:t>
      </w:r>
      <w:r w:rsidRPr="00646CD6">
        <w:t xml:space="preserve">While the wireless community supports the use of clutter, </w:t>
      </w:r>
      <w:r w:rsidRPr="00646CD6">
        <w:rPr>
          <w:i/>
        </w:rPr>
        <w:t>see</w:t>
      </w:r>
      <w:r w:rsidRPr="00646CD6">
        <w:t xml:space="preserve"> Transmit Comments at 3, 4G Americas Comments at 9, CTIA Comments at 7, the Joint Broadcasters oppose it</w:t>
      </w:r>
      <w:r>
        <w:t xml:space="preserve">, arguing </w:t>
      </w:r>
      <w:r w:rsidRPr="00646CD6">
        <w:t>that the application of clutter adjustments “severely and artificially understates undesired signal strength while overstating desired signal strength</w:t>
      </w:r>
      <w:r>
        <w:t>,</w:t>
      </w:r>
      <w:r w:rsidRPr="00646CD6">
        <w:t>”</w:t>
      </w:r>
      <w:r>
        <w:t xml:space="preserve"> that </w:t>
      </w:r>
      <w:r w:rsidRPr="00646CD6">
        <w:t>there is no technical rationale for applying clutter in only some of the interference scenarios</w:t>
      </w:r>
      <w:r>
        <w:t xml:space="preserve"> and not others, </w:t>
      </w:r>
      <w:r w:rsidRPr="00646CD6">
        <w:t xml:space="preserve">and </w:t>
      </w:r>
      <w:r>
        <w:t xml:space="preserve">that </w:t>
      </w:r>
      <w:r w:rsidRPr="00646CD6">
        <w:t xml:space="preserve">there is no basis for </w:t>
      </w:r>
      <w:r>
        <w:t>choos</w:t>
      </w:r>
      <w:r w:rsidRPr="00646CD6">
        <w:t xml:space="preserve">ing one </w:t>
      </w:r>
      <w:r>
        <w:t xml:space="preserve">clutter </w:t>
      </w:r>
      <w:r w:rsidRPr="00646CD6">
        <w:t>value for a four</w:t>
      </w:r>
      <w:r>
        <w:t>-</w:t>
      </w:r>
      <w:r w:rsidRPr="00646CD6">
        <w:t>square kilometer area.  Joint Broadcasters Comments at 25-</w:t>
      </w:r>
      <w:r>
        <w:t>2</w:t>
      </w:r>
      <w:r w:rsidRPr="00646CD6">
        <w:t xml:space="preserve">6.  Joint Broadcasters also claim that clutter should not be used in determining separation distances necessary between DTV and wireless base stations.  </w:t>
      </w:r>
      <w:r w:rsidRPr="00646CD6">
        <w:rPr>
          <w:i/>
        </w:rPr>
        <w:t>Id.</w:t>
      </w:r>
      <w:r w:rsidRPr="00646CD6">
        <w:t xml:space="preserve"> at ii, 25-28;</w:t>
      </w:r>
      <w:r w:rsidRPr="00646CD6">
        <w:rPr>
          <w:i/>
        </w:rPr>
        <w:t xml:space="preserve"> see also</w:t>
      </w:r>
      <w:r w:rsidRPr="00646CD6">
        <w:t xml:space="preserve"> SBE Comments at 4 (“inclusion of clutter losses in the analysis does not provide a sufficiently conservative and safe result and may well under-predict interference”).</w:t>
      </w:r>
    </w:p>
  </w:footnote>
  <w:footnote w:id="172">
    <w:p w14:paraId="128CACC3" w14:textId="77777777" w:rsidR="00850453" w:rsidRDefault="00850453">
      <w:pPr>
        <w:pStyle w:val="FootnoteText"/>
      </w:pPr>
      <w:r>
        <w:rPr>
          <w:rStyle w:val="FootnoteReference"/>
        </w:rPr>
        <w:footnoteRef/>
      </w:r>
      <w:r>
        <w:t xml:space="preserve"> </w:t>
      </w:r>
      <w:r w:rsidRPr="008C65E0">
        <w:rPr>
          <w:i/>
        </w:rPr>
        <w:t>See supra</w:t>
      </w:r>
      <w:r>
        <w:rPr>
          <w:i/>
        </w:rPr>
        <w:t>,</w:t>
      </w:r>
      <w:r>
        <w:t xml:space="preserve"> para. </w:t>
      </w:r>
      <w:r>
        <w:fldChar w:fldCharType="begin"/>
      </w:r>
      <w:r>
        <w:instrText xml:space="preserve"> REF _Ref398030359 \r \h </w:instrText>
      </w:r>
      <w:r>
        <w:fldChar w:fldCharType="separate"/>
      </w:r>
      <w:r>
        <w:t>36</w:t>
      </w:r>
      <w:r>
        <w:fldChar w:fldCharType="end"/>
      </w:r>
      <w:r>
        <w:t>.</w:t>
      </w:r>
    </w:p>
  </w:footnote>
  <w:footnote w:id="173">
    <w:p w14:paraId="39CC7D85" w14:textId="536F1BAB" w:rsidR="00850453" w:rsidRDefault="00850453" w:rsidP="008837C2">
      <w:pPr>
        <w:pStyle w:val="FootnoteText"/>
      </w:pPr>
      <w:r>
        <w:rPr>
          <w:rStyle w:val="FootnoteReference"/>
        </w:rPr>
        <w:footnoteRef/>
      </w:r>
      <w:r>
        <w:rPr>
          <w:i/>
        </w:rPr>
        <w:t xml:space="preserve"> </w:t>
      </w:r>
      <w:r>
        <w:t xml:space="preserve">The Hata model (also referred to as Okumura-Hata  model) is based on empirical measurements and is valid from 150 MHz to 1500 MHz.  </w:t>
      </w:r>
      <w:r>
        <w:rPr>
          <w:i/>
        </w:rPr>
        <w:t>See</w:t>
      </w:r>
      <w:r>
        <w:t xml:space="preserve"> Hata, Masaharu, </w:t>
      </w:r>
      <w:r w:rsidRPr="006A744E">
        <w:rPr>
          <w:i/>
        </w:rPr>
        <w:t>Empirical Formula for Propagation Loss in Land Mobile Radio Services</w:t>
      </w:r>
      <w:r>
        <w:t xml:space="preserve">, </w:t>
      </w:r>
      <w:r w:rsidRPr="00FA3C78">
        <w:rPr>
          <w:rStyle w:val="Emphasis"/>
          <w:i w:val="0"/>
        </w:rPr>
        <w:t>IEEE Transactions on Vehicular Technology</w:t>
      </w:r>
      <w:r>
        <w:t xml:space="preserve">, Vol. VT-29, No. 3, pp. 317-325, August 1980 (Hata Paper).  The Hata model extended the Okumura model to derive correction factors for city and suburban environments.  </w:t>
      </w:r>
      <w:r w:rsidRPr="00D06C59">
        <w:rPr>
          <w:i/>
        </w:rPr>
        <w:t>See</w:t>
      </w:r>
      <w:r>
        <w:t xml:space="preserve"> </w:t>
      </w:r>
      <w:hyperlink r:id="rId2" w:history="1">
        <w:r>
          <w:rPr>
            <w:rStyle w:val="Hyperlink"/>
          </w:rPr>
          <w:t>http://ieeexplore.ieee.org/stamp/stamp.jsp?arnumber=1622772&amp;isnumber=34048</w:t>
        </w:r>
      </w:hyperlink>
      <w:r>
        <w:t xml:space="preserve">.  Okumura, T., Ohmori, E., and Fukeda, K., </w:t>
      </w:r>
      <w:r w:rsidRPr="006A744E">
        <w:rPr>
          <w:i/>
        </w:rPr>
        <w:t>Field Strength and Its Variability in VHF and UHF Land Mobile Service</w:t>
      </w:r>
      <w:r>
        <w:t xml:space="preserve">, </w:t>
      </w:r>
      <w:r w:rsidRPr="006A744E">
        <w:rPr>
          <w:iCs/>
        </w:rPr>
        <w:t>Review Electrical Communication Laboratory</w:t>
      </w:r>
      <w:r>
        <w:t xml:space="preserve">, Vol. 16, No. 9-10, pp. 825-873, September-October 1968.  </w:t>
      </w:r>
      <w:r>
        <w:rPr>
          <w:i/>
        </w:rPr>
        <w:t xml:space="preserve">See </w:t>
      </w:r>
      <w:r>
        <w:t xml:space="preserve">CTIA Comments at 7 (noting that models other than Longley-Rice may be preferable given the differences between LTE and high powered broadcast television transmission); 4G Americas Comments at 8-9 (supporting use of the Hata model for distances over 40 </w:t>
      </w:r>
      <w:r w:rsidRPr="00C90867">
        <w:t>kilometers because it was originally developed</w:t>
      </w:r>
      <w:r>
        <w:t xml:space="preserve"> for non-line-of-s</w:t>
      </w:r>
      <w:r w:rsidRPr="00DC68B6">
        <w:t>ight</w:t>
      </w:r>
      <w:r>
        <w:t xml:space="preserve"> signal propagation</w:t>
      </w:r>
      <w:r w:rsidRPr="00DC68B6">
        <w:t xml:space="preserve"> paths in urban environments </w:t>
      </w:r>
      <w:r>
        <w:t xml:space="preserve">that are </w:t>
      </w:r>
      <w:r w:rsidRPr="00DC68B6">
        <w:t>typical of mobile</w:t>
      </w:r>
      <w:r>
        <w:t xml:space="preserve"> wireless</w:t>
      </w:r>
      <w:r w:rsidRPr="00DC68B6">
        <w:t xml:space="preserve"> services); Ericsson Comments at 5 (</w:t>
      </w:r>
      <w:r>
        <w:t>supporting</w:t>
      </w:r>
      <w:r w:rsidRPr="00DC68B6">
        <w:t xml:space="preserve"> use of the extended Hata propagation model)</w:t>
      </w:r>
      <w:r>
        <w:t xml:space="preserve">;  </w:t>
      </w:r>
    </w:p>
  </w:footnote>
  <w:footnote w:id="174">
    <w:p w14:paraId="74F8387F" w14:textId="77777777" w:rsidR="00850453" w:rsidRDefault="00850453">
      <w:pPr>
        <w:pStyle w:val="FootnoteText"/>
      </w:pPr>
      <w:r>
        <w:rPr>
          <w:rStyle w:val="FootnoteReference"/>
        </w:rPr>
        <w:footnoteRef/>
      </w:r>
      <w:r>
        <w:t xml:space="preserve"> The free space propagation model assumes that radio signals are attenuated only by the spreading that occurs with distance.</w:t>
      </w:r>
      <w:r w:rsidRPr="00451D87">
        <w:t xml:space="preserve"> </w:t>
      </w:r>
      <w:r>
        <w:t xml:space="preserve"> SBE Comments at 5 (supporting use of a free space propagation model for distances of less than five kilometers)</w:t>
      </w:r>
      <w:r w:rsidRPr="00DC68B6">
        <w:t>.</w:t>
      </w:r>
    </w:p>
  </w:footnote>
  <w:footnote w:id="175">
    <w:p w14:paraId="719C5087" w14:textId="77777777" w:rsidR="00850453" w:rsidRDefault="00850453" w:rsidP="00BC57A0">
      <w:pPr>
        <w:pStyle w:val="FootnoteText"/>
      </w:pPr>
      <w:r>
        <w:rPr>
          <w:rStyle w:val="FootnoteReference"/>
        </w:rPr>
        <w:footnoteRef/>
      </w:r>
      <w:r>
        <w:t xml:space="preserve"> </w:t>
      </w:r>
      <w:r w:rsidRPr="0098050A">
        <w:rPr>
          <w:i/>
        </w:rPr>
        <w:t>ISIX PN</w:t>
      </w:r>
      <w:r>
        <w:t xml:space="preserve">, </w:t>
      </w:r>
      <w:r w:rsidRPr="0002234D">
        <w:t xml:space="preserve">29 FCC Rcd </w:t>
      </w:r>
      <w:r>
        <w:t xml:space="preserve">at 717; </w:t>
      </w:r>
      <w:r w:rsidRPr="00E83627">
        <w:rPr>
          <w:i/>
        </w:rPr>
        <w:t>see also</w:t>
      </w:r>
      <w:r>
        <w:t xml:space="preserve"> OET-69. </w:t>
      </w:r>
    </w:p>
  </w:footnote>
  <w:footnote w:id="176">
    <w:p w14:paraId="14CA3691" w14:textId="77777777" w:rsidR="00850453" w:rsidRDefault="00850453" w:rsidP="00854036">
      <w:pPr>
        <w:pStyle w:val="FootnoteText"/>
      </w:pPr>
      <w:r>
        <w:rPr>
          <w:rStyle w:val="FootnoteReference"/>
        </w:rPr>
        <w:footnoteRef/>
      </w:r>
      <w:r>
        <w:t xml:space="preserve"> </w:t>
      </w:r>
      <w:r>
        <w:rPr>
          <w:i/>
        </w:rPr>
        <w:t xml:space="preserve">See </w:t>
      </w:r>
      <w:r w:rsidRPr="004A5600">
        <w:rPr>
          <w:i/>
        </w:rPr>
        <w:t xml:space="preserve">supra n. </w:t>
      </w:r>
      <w:r w:rsidRPr="00EE61F6">
        <w:t>164</w:t>
      </w:r>
      <w:r w:rsidRPr="004A5600">
        <w:t xml:space="preserve"> (</w:t>
      </w:r>
      <w:r w:rsidRPr="00F3761A">
        <w:t>Hata</w:t>
      </w:r>
      <w:r>
        <w:t xml:space="preserve"> </w:t>
      </w:r>
      <w:r w:rsidRPr="00F3761A">
        <w:t>Paper).</w:t>
      </w:r>
      <w:r w:rsidRPr="004A5600">
        <w:rPr>
          <w:rFonts w:ascii="Calibri" w:eastAsiaTheme="minorHAnsi" w:hAnsi="Calibri"/>
          <w:szCs w:val="22"/>
        </w:rPr>
        <w:t xml:space="preserve">  </w:t>
      </w:r>
      <w:r w:rsidRPr="004A5600">
        <w:t>The</w:t>
      </w:r>
      <w:r w:rsidRPr="007E589D">
        <w:t xml:space="preserve"> empirical Hata model is not as well suited for propagation prediction over irregular terrain as is the deterministic Longley-Rice model.</w:t>
      </w:r>
      <w:r>
        <w:t xml:space="preserve"> </w:t>
      </w:r>
      <w:r w:rsidRPr="007E589D">
        <w:t xml:space="preserve"> </w:t>
      </w:r>
      <w:r w:rsidRPr="007E589D">
        <w:rPr>
          <w:i/>
          <w:iCs/>
        </w:rPr>
        <w:t>See</w:t>
      </w:r>
      <w:r w:rsidRPr="007E589D">
        <w:t xml:space="preserve"> Rappaport, T. S., </w:t>
      </w:r>
      <w:r w:rsidRPr="007E589D">
        <w:rPr>
          <w:i/>
          <w:iCs/>
        </w:rPr>
        <w:t>Wireless Communications: Principles and Practice</w:t>
      </w:r>
      <w:r w:rsidRPr="007E589D">
        <w:t xml:space="preserve">, Prentice Hall, 2nd Edition, 2002, at 145-152.  Further as indicated by commenters, the Hata model is not intended for use at distances larger than 40 kilometers. </w:t>
      </w:r>
      <w:r>
        <w:t xml:space="preserve"> </w:t>
      </w:r>
      <w:r w:rsidRPr="007E589D">
        <w:rPr>
          <w:i/>
          <w:iCs/>
        </w:rPr>
        <w:t>See</w:t>
      </w:r>
      <w:r w:rsidRPr="007E589D">
        <w:t xml:space="preserve"> 4G Americas Comments at 9, </w:t>
      </w:r>
      <w:r w:rsidRPr="0046652F">
        <w:t>Ericsson</w:t>
      </w:r>
      <w:r w:rsidRPr="007E589D">
        <w:t xml:space="preserve"> Comments at 5</w:t>
      </w:r>
      <w:r>
        <w:t xml:space="preserve">; </w:t>
      </w:r>
      <w:r w:rsidRPr="008F59CE">
        <w:rPr>
          <w:i/>
        </w:rPr>
        <w:t>s</w:t>
      </w:r>
      <w:r w:rsidRPr="00C65C4A">
        <w:rPr>
          <w:i/>
        </w:rPr>
        <w:t>ee</w:t>
      </w:r>
      <w:r w:rsidRPr="0039283B">
        <w:rPr>
          <w:i/>
        </w:rPr>
        <w:t xml:space="preserve"> </w:t>
      </w:r>
      <w:r w:rsidRPr="0046652F">
        <w:rPr>
          <w:i/>
        </w:rPr>
        <w:t>also</w:t>
      </w:r>
      <w:r w:rsidRPr="0046652F">
        <w:t xml:space="preserve"> Ericsson Comments at 6 (recognizing that the</w:t>
      </w:r>
      <w:r>
        <w:t xml:space="preserve"> Longley-Rice model has certain advantages including the “validity of long distances and can handle the effect of curvature of the earth”).</w:t>
      </w:r>
    </w:p>
  </w:footnote>
  <w:footnote w:id="177">
    <w:p w14:paraId="2C9C2554" w14:textId="77777777" w:rsidR="00850453" w:rsidRDefault="00850453">
      <w:pPr>
        <w:pStyle w:val="FootnoteText"/>
      </w:pPr>
      <w:r>
        <w:rPr>
          <w:rStyle w:val="FootnoteReference"/>
        </w:rPr>
        <w:footnoteRef/>
      </w:r>
      <w:r w:rsidRPr="008F59CE">
        <w:rPr>
          <w:i/>
        </w:rPr>
        <w:t xml:space="preserve"> See</w:t>
      </w:r>
      <w:r w:rsidRPr="00031AC9">
        <w:t xml:space="preserve"> Kasampalis, S., et. al., </w:t>
      </w:r>
      <w:r w:rsidRPr="006A744E">
        <w:rPr>
          <w:i/>
        </w:rPr>
        <w:t>Comparison of Longley-Rice, ITU-R P.1546 and Hata-Davidson propagation models for DVB-T coverage prediction</w:t>
      </w:r>
      <w:r w:rsidRPr="00031AC9">
        <w:t xml:space="preserve">, IEEE International Symposium on Broadband Multimedia Systems and Broadcasting (BMSB), 2014. </w:t>
      </w:r>
    </w:p>
  </w:footnote>
  <w:footnote w:id="178">
    <w:p w14:paraId="7D50DA62" w14:textId="77777777" w:rsidR="00850453" w:rsidRDefault="00850453" w:rsidP="0069764B">
      <w:pPr>
        <w:pStyle w:val="FootnoteText"/>
      </w:pPr>
      <w:r>
        <w:rPr>
          <w:rStyle w:val="FootnoteReference"/>
        </w:rPr>
        <w:footnoteRef/>
      </w:r>
      <w:r>
        <w:t xml:space="preserve"> As demonstrated by Sprint, the Longley-Rice model produces results akin to both the Hata model and the FCC curves at distances on the order of tens of kilometers.  See Sprint Comments at 5-6, 16-28. </w:t>
      </w:r>
    </w:p>
  </w:footnote>
  <w:footnote w:id="179">
    <w:p w14:paraId="21D6DDC3" w14:textId="77777777" w:rsidR="00850453" w:rsidRDefault="00850453" w:rsidP="00854036">
      <w:pPr>
        <w:pStyle w:val="FootnoteText"/>
      </w:pPr>
      <w:r>
        <w:rPr>
          <w:rStyle w:val="FootnoteReference"/>
        </w:rPr>
        <w:footnoteRef/>
      </w:r>
      <w:r>
        <w:t xml:space="preserve"> 4G Americas Comments at 9 (</w:t>
      </w:r>
      <w:r w:rsidRPr="00FC37E7">
        <w:t>support</w:t>
      </w:r>
      <w:r>
        <w:t>ing</w:t>
      </w:r>
      <w:r w:rsidRPr="00FC37E7">
        <w:t xml:space="preserve"> the use of </w:t>
      </w:r>
      <w:r>
        <w:t xml:space="preserve">Hata for distances less than 40 kilometers and </w:t>
      </w:r>
      <w:r w:rsidRPr="00FC37E7">
        <w:t xml:space="preserve">Longley-Rice over </w:t>
      </w:r>
      <w:r>
        <w:t xml:space="preserve">longer </w:t>
      </w:r>
      <w:r w:rsidRPr="00FC37E7">
        <w:t>distances</w:t>
      </w:r>
      <w:r>
        <w:t xml:space="preserve">).  </w:t>
      </w:r>
    </w:p>
  </w:footnote>
  <w:footnote w:id="180">
    <w:p w14:paraId="4B063491" w14:textId="77777777" w:rsidR="00850453" w:rsidRDefault="00850453" w:rsidP="00854036">
      <w:pPr>
        <w:pStyle w:val="FootnoteText"/>
      </w:pPr>
      <w:r>
        <w:rPr>
          <w:rStyle w:val="FootnoteReference"/>
        </w:rPr>
        <w:footnoteRef/>
      </w:r>
      <w:r>
        <w:t xml:space="preserve"> </w:t>
      </w:r>
      <w:r w:rsidRPr="006A744E">
        <w:rPr>
          <w:i/>
        </w:rPr>
        <w:t>See</w:t>
      </w:r>
      <w:r>
        <w:t xml:space="preserve"> SBE Comments at 5.  We note that the </w:t>
      </w:r>
      <w:r w:rsidRPr="00FC37E7">
        <w:t xml:space="preserve">Longley-Rice </w:t>
      </w:r>
      <w:r>
        <w:t>model uses</w:t>
      </w:r>
      <w:r w:rsidRPr="00FC37E7">
        <w:t xml:space="preserve"> a free-space propagation model over short distances</w:t>
      </w:r>
      <w:r w:rsidRPr="00166911">
        <w:t>.</w:t>
      </w:r>
      <w:r>
        <w:t xml:space="preserve">  </w:t>
      </w:r>
      <w:r w:rsidRPr="008F59CE">
        <w:rPr>
          <w:i/>
        </w:rPr>
        <w:t>See</w:t>
      </w:r>
      <w:r w:rsidRPr="00031AC9">
        <w:t xml:space="preserve"> NTIA Report 82-100, </w:t>
      </w:r>
      <w:r w:rsidRPr="006A744E">
        <w:rPr>
          <w:i/>
        </w:rPr>
        <w:t>A Guide to the Use of the ITS Irregular Terrain Model in the Area Prediction Mode</w:t>
      </w:r>
      <w:r w:rsidRPr="00031AC9">
        <w:t>, authors G.A. Hufford, A.G. Longley and W.A. Kissick, U.S. Department of Commerce, April 1982, Figure 1 at 11</w:t>
      </w:r>
      <w:r>
        <w:t xml:space="preserve">, </w:t>
      </w:r>
      <w:r w:rsidRPr="00031AC9">
        <w:t xml:space="preserve">Section 4 at 17. </w:t>
      </w:r>
    </w:p>
  </w:footnote>
  <w:footnote w:id="181">
    <w:p w14:paraId="481B7764" w14:textId="77777777" w:rsidR="00850453" w:rsidRDefault="00850453" w:rsidP="00892FDD">
      <w:pPr>
        <w:pStyle w:val="FootnoteText"/>
      </w:pPr>
      <w:r>
        <w:rPr>
          <w:rStyle w:val="FootnoteReference"/>
        </w:rPr>
        <w:footnoteRef/>
      </w:r>
      <w:r>
        <w:t xml:space="preserve"> </w:t>
      </w:r>
      <w:r w:rsidRPr="00AD14A0">
        <w:t xml:space="preserve">Joint Broadcasters propose using the distance tables specified in section 27.60 of our rules, </w:t>
      </w:r>
      <w:r>
        <w:t xml:space="preserve">noting </w:t>
      </w:r>
      <w:r w:rsidRPr="00AD14A0">
        <w:t>that the distances would be based on actual DTV operating facilities.</w:t>
      </w:r>
      <w:r>
        <w:t xml:space="preserve">  </w:t>
      </w:r>
      <w:r w:rsidRPr="00C01A12">
        <w:rPr>
          <w:i/>
        </w:rPr>
        <w:t xml:space="preserve">See </w:t>
      </w:r>
      <w:r>
        <w:t xml:space="preserve">Joint Broadcasters Comments at 39-40; </w:t>
      </w:r>
      <w:r w:rsidRPr="00C01A12">
        <w:rPr>
          <w:i/>
        </w:rPr>
        <w:t>see also</w:t>
      </w:r>
      <w:r>
        <w:t xml:space="preserve"> 47 C.F.R. § 27.60(b); </w:t>
      </w:r>
      <w:r w:rsidRPr="004706BB">
        <w:rPr>
          <w:i/>
        </w:rPr>
        <w:t>but see</w:t>
      </w:r>
      <w:r>
        <w:t xml:space="preserve"> CTIA Comments at 6-7 (“[U]</w:t>
      </w:r>
      <w:r w:rsidRPr="0092265D">
        <w:t>sing a rigid approach such as that previously utilized by the</w:t>
      </w:r>
      <w:r>
        <w:t xml:space="preserve"> </w:t>
      </w:r>
      <w:r w:rsidRPr="0092265D">
        <w:t>Commission under Section 27.60 of the rules, or any other pre-defined radius for exclusion</w:t>
      </w:r>
      <w:r>
        <w:t xml:space="preserve"> </w:t>
      </w:r>
      <w:r w:rsidRPr="0092265D">
        <w:t>zones, would result in spectral inefficiency,</w:t>
      </w:r>
      <w:r>
        <w:t xml:space="preserve"> </w:t>
      </w:r>
      <w:r w:rsidRPr="0092265D">
        <w:t>something that simply cannot be afforded given the current spectrum shortage.</w:t>
      </w:r>
      <w:r>
        <w:t xml:space="preserve">”).  </w:t>
      </w:r>
      <w:r w:rsidRPr="00AD14A0">
        <w:t xml:space="preserve">Joint Broadcasters propose </w:t>
      </w:r>
      <w:r>
        <w:t xml:space="preserve">to </w:t>
      </w:r>
      <w:r w:rsidRPr="00AD14A0">
        <w:t xml:space="preserve">use the FCC F(50, 10) curves along with the D/U ratios specified in Table 8 of the Appendix to the </w:t>
      </w:r>
      <w:r w:rsidRPr="00AD14A0">
        <w:rPr>
          <w:i/>
        </w:rPr>
        <w:t>ISIX PN</w:t>
      </w:r>
      <w:r w:rsidRPr="00AD14A0">
        <w:t xml:space="preserve"> to adjust the distances for specific co-channel or adjacent channel frequency overlap.</w:t>
      </w:r>
      <w:r>
        <w:t xml:space="preserve">  </w:t>
      </w:r>
      <w:r w:rsidRPr="00C01A12">
        <w:rPr>
          <w:i/>
        </w:rPr>
        <w:t xml:space="preserve">See </w:t>
      </w:r>
      <w:r>
        <w:t>Joint Broadcasters Comments at 39-40.  The separation distances would be calculated using the desired DTV signal level set nominally to 41 dBμ (DTV contour) with D/U ratios applied to determine the applicable F(50,10) field strength contour using the maximum antenna height and transmitter power for the wireless base station permitted under the 600 MHz rules</w:t>
      </w:r>
      <w:r w:rsidRPr="00D50967">
        <w:t xml:space="preserve">.  </w:t>
      </w:r>
      <w:r w:rsidRPr="00EF7EFB">
        <w:rPr>
          <w:i/>
        </w:rPr>
        <w:t>See id</w:t>
      </w:r>
      <w:r>
        <w:t xml:space="preserve">.  </w:t>
      </w:r>
      <w:r w:rsidRPr="00AD14A0">
        <w:t>Wireless operation outside these distances would be deemed unimpaired.</w:t>
      </w:r>
    </w:p>
  </w:footnote>
  <w:footnote w:id="182">
    <w:p w14:paraId="60C01390" w14:textId="77777777" w:rsidR="00850453" w:rsidRDefault="00850453" w:rsidP="00892FDD">
      <w:pPr>
        <w:pStyle w:val="FootnoteText"/>
      </w:pPr>
      <w:r>
        <w:rPr>
          <w:rStyle w:val="FootnoteReference"/>
        </w:rPr>
        <w:footnoteRef/>
      </w:r>
      <w:r>
        <w:t xml:space="preserve"> Joint Broadcasters’ approach consistently predicts larger impairments than the ISIX Methodology where the operations are co-channel (</w:t>
      </w:r>
      <w:r w:rsidRPr="006A4D42">
        <w:rPr>
          <w:i/>
        </w:rPr>
        <w:t>i.e</w:t>
      </w:r>
      <w:r>
        <w:t>., where the spectral overlap between television and wireless is between 1 and 5 MHz).  Where the operations are adjacent channel (</w:t>
      </w:r>
      <w:r w:rsidRPr="006A4D42">
        <w:rPr>
          <w:i/>
        </w:rPr>
        <w:t>i.e</w:t>
      </w:r>
      <w:r>
        <w:t xml:space="preserve">., where the spectral overlap is between -5MHz and 0), the Joint Broadcasters’ approach may predict smaller impairments than the ISIX Methodology.  </w:t>
      </w:r>
    </w:p>
  </w:footnote>
  <w:footnote w:id="183">
    <w:p w14:paraId="43BB6C28" w14:textId="77777777" w:rsidR="00850453" w:rsidRPr="0062543C" w:rsidRDefault="00850453">
      <w:pPr>
        <w:pStyle w:val="FootnoteText"/>
      </w:pPr>
      <w:r>
        <w:rPr>
          <w:rStyle w:val="FootnoteReference"/>
        </w:rPr>
        <w:footnoteRef/>
      </w:r>
      <w:r>
        <w:t xml:space="preserve"> </w:t>
      </w:r>
      <w:r>
        <w:rPr>
          <w:i/>
        </w:rPr>
        <w:t>See Incentive Auction R&amp;O</w:t>
      </w:r>
      <w:r>
        <w:t>, 29 FCC Rcd at 6620-21, para. 116.</w:t>
      </w:r>
    </w:p>
  </w:footnote>
  <w:footnote w:id="184">
    <w:p w14:paraId="08310324" w14:textId="77777777" w:rsidR="00850453" w:rsidRDefault="00850453">
      <w:pPr>
        <w:pStyle w:val="FootnoteText"/>
      </w:pPr>
      <w:r>
        <w:rPr>
          <w:rStyle w:val="FootnoteReference"/>
        </w:rPr>
        <w:footnoteRef/>
      </w:r>
      <w:r>
        <w:t xml:space="preserve"> As stated above, we will address exactly how to use the ISIX Methodology’s results in conducting the incentive auction in the forthcoming </w:t>
      </w:r>
      <w:r>
        <w:rPr>
          <w:i/>
        </w:rPr>
        <w:t xml:space="preserve">Comment PN </w:t>
      </w:r>
      <w:r>
        <w:t xml:space="preserve">on final auction procedures.  </w:t>
      </w:r>
      <w:r>
        <w:rPr>
          <w:i/>
        </w:rPr>
        <w:t>See supra</w:t>
      </w:r>
      <w:r>
        <w:t xml:space="preserve">, para. </w:t>
      </w:r>
      <w:r>
        <w:fldChar w:fldCharType="begin"/>
      </w:r>
      <w:r>
        <w:instrText xml:space="preserve"> REF _Ref398030451 \r \h </w:instrText>
      </w:r>
      <w:r>
        <w:fldChar w:fldCharType="separate"/>
      </w:r>
      <w:r>
        <w:t>24</w:t>
      </w:r>
      <w:r>
        <w:fldChar w:fldCharType="end"/>
      </w:r>
      <w:r>
        <w:t xml:space="preserve">. </w:t>
      </w:r>
    </w:p>
  </w:footnote>
  <w:footnote w:id="185">
    <w:p w14:paraId="5B522FED" w14:textId="77777777" w:rsidR="00850453" w:rsidRPr="00AF3841" w:rsidRDefault="00850453" w:rsidP="00785D5A">
      <w:pPr>
        <w:pStyle w:val="FootnoteText"/>
      </w:pPr>
      <w:r>
        <w:rPr>
          <w:rStyle w:val="FootnoteReference"/>
        </w:rPr>
        <w:footnoteRef/>
      </w:r>
      <w:r>
        <w:t xml:space="preserve"> Joint Broadcasters Comments at 13.  </w:t>
      </w:r>
      <w:r w:rsidRPr="0067496D">
        <w:rPr>
          <w:i/>
        </w:rPr>
        <w:t>See</w:t>
      </w:r>
      <w:r>
        <w:t xml:space="preserve"> SBE Comments at 7.  We disagree with the Joint Broadcasters’ claim that assuming ten kilometer uniform spacing of wireless base stations underestimates the potential for wireless interference to television stations.  </w:t>
      </w:r>
      <w:r w:rsidRPr="006A744E">
        <w:rPr>
          <w:i/>
        </w:rPr>
        <w:t>See</w:t>
      </w:r>
      <w:r>
        <w:t xml:space="preserve"> Joint Broadcasters </w:t>
      </w:r>
      <w:r w:rsidRPr="006A744E">
        <w:rPr>
          <w:i/>
        </w:rPr>
        <w:t>ISIX PN</w:t>
      </w:r>
      <w:r>
        <w:rPr>
          <w:i/>
        </w:rPr>
        <w:t xml:space="preserve"> </w:t>
      </w:r>
      <w:r>
        <w:t xml:space="preserve">Comments at 17-18.  Because we designate an entire county as restring even if only a single base station within the county is predicted to cause interference, we do not believe an assumption underestimates the potential for interference.  Similarly, we believe our decision to designate an entire county as restricted even if only a single base station causes interference is reasonable in light of the need to assume a hypothetical deployment of base stations.  </w:t>
      </w:r>
      <w:r w:rsidRPr="006A744E">
        <w:rPr>
          <w:i/>
        </w:rPr>
        <w:t>See</w:t>
      </w:r>
      <w:r>
        <w:t xml:space="preserve"> CTIA Comments at 7; Sprint Comments at 13.</w:t>
      </w:r>
    </w:p>
  </w:footnote>
  <w:footnote w:id="186">
    <w:p w14:paraId="7B058B9C" w14:textId="77777777" w:rsidR="00850453" w:rsidRPr="00972F60" w:rsidRDefault="00850453" w:rsidP="00585CE6">
      <w:pPr>
        <w:pStyle w:val="FootnoteText"/>
      </w:pPr>
      <w:r>
        <w:rPr>
          <w:rStyle w:val="FootnoteReference"/>
        </w:rPr>
        <w:footnoteRef/>
      </w:r>
      <w:r>
        <w:t xml:space="preserve"> </w:t>
      </w:r>
      <w:r w:rsidRPr="00D26556">
        <w:rPr>
          <w:i/>
        </w:rPr>
        <w:t>See</w:t>
      </w:r>
      <w:r w:rsidRPr="00D26556">
        <w:t xml:space="preserve"> </w:t>
      </w:r>
      <w:r w:rsidRPr="00F35E79">
        <w:t>Revision of Part 15 of the Commission’s Rules Regarding Ultra-Wideband Transmission Systems</w:t>
      </w:r>
      <w:r w:rsidRPr="00D26556">
        <w:t xml:space="preserve">, ET Docket No. 98-153, Memorandum Opinion and Order, 18 FCC Rcd 3857, 3908, ¶ 130 (2003) (rejecting interference analysis that assumed that UWB devices would operate at peak power limit authorized in </w:t>
      </w:r>
      <w:r>
        <w:t>FC</w:t>
      </w:r>
      <w:r w:rsidRPr="00D26556">
        <w:t xml:space="preserve">C rules), </w:t>
      </w:r>
      <w:r w:rsidRPr="00F35E79">
        <w:t>aff’d</w:t>
      </w:r>
      <w:r w:rsidRPr="00D26556">
        <w:t xml:space="preserve"> 19 FCC Rcd 24588, 24600, ¶ 94 (2004), </w:t>
      </w:r>
      <w:r w:rsidRPr="00F35E79">
        <w:t>aff’d</w:t>
      </w:r>
      <w:r w:rsidRPr="00D26556">
        <w:t xml:space="preserve"> 25 FCC Rcd 11390 (2010)</w:t>
      </w:r>
      <w:r>
        <w:t xml:space="preserve">; </w:t>
      </w:r>
      <w:r w:rsidRPr="00AF3B91">
        <w:rPr>
          <w:i/>
        </w:rPr>
        <w:t>see also</w:t>
      </w:r>
      <w:r>
        <w:t xml:space="preserve"> Amendment of Part 15 of the Commission’s Rules Regarding Spread Spectrum Devices, ET Docket No. 99-231, </w:t>
      </w:r>
      <w:r>
        <w:rPr>
          <w:i/>
          <w:iCs/>
        </w:rPr>
        <w:t>Report and Order</w:t>
      </w:r>
      <w:r>
        <w:t>, 15 FCC Rcd 16244, 16248 para. 11 (2000) (FCC makes assumptions about real world scenarios rather than assuming equipment operates at maximum power);</w:t>
      </w:r>
      <w:r>
        <w:rPr>
          <w:i/>
          <w:iCs/>
        </w:rPr>
        <w:t xml:space="preserve"> </w:t>
      </w:r>
      <w:r>
        <w:t xml:space="preserve">Revision of Parts 2 and 15 of the Commission’s Rules to Permit Unlicensed National Information Infrastructure (U-NII) devices in the 5 GHz band, ET Docket No. 03-122, </w:t>
      </w:r>
      <w:r>
        <w:rPr>
          <w:i/>
          <w:iCs/>
        </w:rPr>
        <w:t>Report and Order</w:t>
      </w:r>
      <w:r>
        <w:t xml:space="preserve">, </w:t>
      </w:r>
      <w:r>
        <w:rPr>
          <w:color w:val="333333"/>
          <w:shd w:val="clear" w:color="auto" w:fill="FFFFFF"/>
        </w:rPr>
        <w:t>18 FCC Rcd 2448,</w:t>
      </w:r>
      <w:r>
        <w:t xml:space="preserve"> 2458,  n. 50 (2003) (FCC assumes not all operations will be conducted at maximum power limit); </w:t>
      </w:r>
      <w:r>
        <w:rPr>
          <w:i/>
        </w:rPr>
        <w:t>see also</w:t>
      </w:r>
      <w:r>
        <w:t xml:space="preserve"> Improving Public Safety Communications in the 800 MHz Band, ET Docket No. 00-258, </w:t>
      </w:r>
      <w:r>
        <w:rPr>
          <w:i/>
          <w:iCs/>
        </w:rPr>
        <w:t>Supplemental Order and Order on Reconsideration</w:t>
      </w:r>
      <w:r>
        <w:t>, 19 FCC Rcd 25120, 25139, para. 41 (2004) (FCC selects interference thresholds that fall within the “range of reason”).</w:t>
      </w:r>
    </w:p>
  </w:footnote>
  <w:footnote w:id="187">
    <w:p w14:paraId="1EC9CAD2" w14:textId="4EF204E7" w:rsidR="00850453" w:rsidRDefault="00850453" w:rsidP="00585CE6">
      <w:pPr>
        <w:pStyle w:val="FootnoteText"/>
      </w:pPr>
      <w:r>
        <w:rPr>
          <w:rStyle w:val="FootnoteReference"/>
        </w:rPr>
        <w:footnoteRef/>
      </w:r>
      <w:r>
        <w:t xml:space="preserve"> Sprint Comments at 5, n. 6 and 10.  Sprint notes that “each auction bidder can, on its own accord, make adjustments to the interference assessment it uses to inform its bidding decision (and deployment choices), based on its specific guidelines and expectations.”  </w:t>
      </w:r>
      <w:r w:rsidRPr="00A22AA6">
        <w:rPr>
          <w:i/>
        </w:rPr>
        <w:t>Id.</w:t>
      </w:r>
    </w:p>
  </w:footnote>
  <w:footnote w:id="188">
    <w:p w14:paraId="3E76AA8A" w14:textId="77777777" w:rsidR="00850453" w:rsidRDefault="00850453" w:rsidP="004C48BF">
      <w:pPr>
        <w:pStyle w:val="FootnoteText"/>
      </w:pPr>
      <w:r w:rsidRPr="007F1368">
        <w:rPr>
          <w:rStyle w:val="FootnoteReference"/>
        </w:rPr>
        <w:footnoteRef/>
      </w:r>
      <w:r w:rsidRPr="007F1368">
        <w:t xml:space="preserve"> </w:t>
      </w:r>
      <w:r w:rsidRPr="007A1867">
        <w:rPr>
          <w:i/>
        </w:rPr>
        <w:t xml:space="preserve">See </w:t>
      </w:r>
      <w:r>
        <w:rPr>
          <w:i/>
        </w:rPr>
        <w:t xml:space="preserve">infra, </w:t>
      </w:r>
      <w:r w:rsidRPr="007A1867">
        <w:rPr>
          <w:i/>
        </w:rPr>
        <w:t>FNPRM</w:t>
      </w:r>
      <w:r w:rsidRPr="007F1368">
        <w:t xml:space="preserve"> at </w:t>
      </w:r>
      <w:r>
        <w:t>paras</w:t>
      </w:r>
      <w:r w:rsidRPr="007F1368">
        <w:t>.</w:t>
      </w:r>
      <w:r>
        <w:t xml:space="preserve"> </w:t>
      </w:r>
      <w:r>
        <w:fldChar w:fldCharType="begin"/>
      </w:r>
      <w:r>
        <w:instrText xml:space="preserve"> REF _Ref398030060 \r \h </w:instrText>
      </w:r>
      <w:r>
        <w:fldChar w:fldCharType="separate"/>
      </w:r>
      <w:r>
        <w:t>68</w:t>
      </w:r>
      <w:r>
        <w:fldChar w:fldCharType="end"/>
      </w:r>
      <w:r>
        <w:t>-</w:t>
      </w:r>
      <w:r>
        <w:fldChar w:fldCharType="begin"/>
      </w:r>
      <w:r>
        <w:instrText xml:space="preserve"> REF _Ref398030514 \r \h </w:instrText>
      </w:r>
      <w:r>
        <w:fldChar w:fldCharType="separate"/>
      </w:r>
      <w:r>
        <w:t>72</w:t>
      </w:r>
      <w:r>
        <w:fldChar w:fldCharType="end"/>
      </w:r>
      <w:r>
        <w:t>.</w:t>
      </w:r>
    </w:p>
  </w:footnote>
  <w:footnote w:id="189">
    <w:p w14:paraId="69793836" w14:textId="4F973751" w:rsidR="00850453" w:rsidRDefault="00850453" w:rsidP="00B23FEA">
      <w:pPr>
        <w:pStyle w:val="FootnoteText"/>
      </w:pPr>
      <w:r>
        <w:rPr>
          <w:rStyle w:val="FootnoteReference"/>
        </w:rPr>
        <w:footnoteRef/>
      </w:r>
      <w:r>
        <w:t xml:space="preserve"> </w:t>
      </w:r>
      <w:r w:rsidRPr="007D312C">
        <w:rPr>
          <w:i/>
        </w:rPr>
        <w:t>See</w:t>
      </w:r>
      <w:r w:rsidRPr="00696E2F">
        <w:t xml:space="preserve"> </w:t>
      </w:r>
      <w:r>
        <w:rPr>
          <w:i/>
        </w:rPr>
        <w:t xml:space="preserve">ISIX PN, </w:t>
      </w:r>
      <w:r w:rsidRPr="007D312C">
        <w:t>29 FCC Rcd at 733</w:t>
      </w:r>
      <w:r>
        <w:t>; Letter from Steve B. Sharkey, Chief, Engineering and Technology Policy for T-Mobile USA, Inc. to Marlene H. Dortch, Secretary, FCC, GN Docket No. 12-268 (filed May 7, 2014), (“T-Mobile Letter”) (noting that “[f]</w:t>
      </w:r>
      <w:r w:rsidRPr="007E6522">
        <w:t xml:space="preserve">or LTE base station power, typical LTE equipment is configured to transmit at 43 dBm </w:t>
      </w:r>
      <w:r>
        <w:t xml:space="preserve">[20 watts] </w:t>
      </w:r>
      <w:r w:rsidRPr="007E6522">
        <w:t>for tower top mounted radio units and 46 dBm</w:t>
      </w:r>
      <w:r>
        <w:t xml:space="preserve"> [40 watts]</w:t>
      </w:r>
      <w:r w:rsidRPr="007E6522">
        <w:t xml:space="preserve"> for ground based radio units. </w:t>
      </w:r>
      <w:r>
        <w:t xml:space="preserve"> </w:t>
      </w:r>
      <w:r w:rsidRPr="007E6522">
        <w:t>Antenna gain, MIMO, and different LTE channel bandwidths increase the maximum equivalent isotropically radiated power (EIRP) of the base station transmitter per the transmitter cha</w:t>
      </w:r>
      <w:r>
        <w:t xml:space="preserve">racteristics submitted to CSMAC.”); </w:t>
      </w:r>
      <w:r w:rsidRPr="007E6522">
        <w:t>Commerce Spectrum Management Advisory Committee</w:t>
      </w:r>
      <w:r>
        <w:t xml:space="preserve"> (CSMAC)</w:t>
      </w:r>
      <w:r w:rsidRPr="007E6522">
        <w:t>, L</w:t>
      </w:r>
      <w:r>
        <w:t xml:space="preserve">TE </w:t>
      </w:r>
      <w:r w:rsidRPr="007E6522">
        <w:t>(</w:t>
      </w:r>
      <w:r>
        <w:t>FDD</w:t>
      </w:r>
      <w:r w:rsidRPr="007E6522">
        <w:t>)</w:t>
      </w:r>
      <w:r>
        <w:t xml:space="preserve"> </w:t>
      </w:r>
      <w:r w:rsidRPr="007E6522">
        <w:t>Transmitter C</w:t>
      </w:r>
      <w:r>
        <w:t>h</w:t>
      </w:r>
      <w:r w:rsidRPr="007E6522">
        <w:t>aracteristics, at</w:t>
      </w:r>
      <w:r>
        <w:t xml:space="preserve"> </w:t>
      </w:r>
      <w:r w:rsidRPr="007E6522">
        <w:t>1, available at</w:t>
      </w:r>
      <w:r>
        <w:t xml:space="preserve"> </w:t>
      </w:r>
      <w:hyperlink r:id="rId3" w:history="1">
        <w:r w:rsidRPr="000908C7">
          <w:rPr>
            <w:rStyle w:val="Hyperlink"/>
          </w:rPr>
          <w:t>http://www.ntia.doc.gov/files/ntia/meetings/lte_technical_characteristics_0.doc</w:t>
        </w:r>
      </w:hyperlink>
      <w:r>
        <w:t xml:space="preserve"> </w:t>
      </w:r>
      <w:r w:rsidRPr="007E6522">
        <w:t>(last visited May 6, 2014)</w:t>
      </w:r>
      <w:r>
        <w:t xml:space="preserve"> (CSMAC data, showing values within 1dB of those we adopt in this Order;   </w:t>
      </w:r>
      <w:hyperlink r:id="rId4" w:history="1">
        <w:r w:rsidRPr="000908C7">
          <w:rPr>
            <w:rStyle w:val="Hyperlink"/>
          </w:rPr>
          <w:t>http://www.alcatel-lucent.com/products/multi-carrier-remote-radio-head</w:t>
        </w:r>
      </w:hyperlink>
      <w:r>
        <w:t xml:space="preserve"> (last visited Apr. 30, 2014) (indicating availability of 2x40W LTE transmitters from wireless equipment manufacturers); </w:t>
      </w:r>
      <w:r w:rsidRPr="001067FD">
        <w:rPr>
          <w:i/>
        </w:rPr>
        <w:t>Incentive Auction R&amp;O</w:t>
      </w:r>
      <w:r>
        <w:t>,</w:t>
      </w:r>
      <w:r w:rsidRPr="001067FD">
        <w:rPr>
          <w:i/>
        </w:rPr>
        <w:t xml:space="preserve"> </w:t>
      </w:r>
      <w:r>
        <w:t>29 FCC Rcd at 7001, App. C, n. 197</w:t>
      </w:r>
      <w:r>
        <w:rPr>
          <w:i/>
        </w:rPr>
        <w:t xml:space="preserve"> </w:t>
      </w:r>
      <w:r>
        <w:t>(showing detailed power calculations supporting the values in the Order).</w:t>
      </w:r>
    </w:p>
  </w:footnote>
  <w:footnote w:id="190">
    <w:p w14:paraId="6A6E65C7" w14:textId="77777777" w:rsidR="00850453" w:rsidRDefault="00850453" w:rsidP="00DE262E">
      <w:pPr>
        <w:pStyle w:val="FootnoteText"/>
      </w:pPr>
      <w:r>
        <w:rPr>
          <w:rStyle w:val="FootnoteReference"/>
        </w:rPr>
        <w:footnoteRef/>
      </w:r>
      <w:r>
        <w:t xml:space="preserve"> OET evaluated several commercially available panel antennas made by well-known manufacturers that o</w:t>
      </w:r>
      <w:r w:rsidRPr="00B9660B">
        <w:t xml:space="preserve">perate on bands </w:t>
      </w:r>
      <w:r>
        <w:t>near the</w:t>
      </w:r>
      <w:r w:rsidRPr="00B9660B">
        <w:t xml:space="preserve"> 600 M</w:t>
      </w:r>
      <w:r>
        <w:t xml:space="preserve">Hz Band.  Antennas intended for operation in frequencies between </w:t>
      </w:r>
      <w:r w:rsidRPr="00B9660B">
        <w:t>400</w:t>
      </w:r>
      <w:r>
        <w:t xml:space="preserve"> and </w:t>
      </w:r>
      <w:r w:rsidRPr="00B9660B">
        <w:t>500 MHz</w:t>
      </w:r>
      <w:r>
        <w:t xml:space="preserve"> (</w:t>
      </w:r>
      <w:r w:rsidRPr="00DE262E">
        <w:t>CommScope DB654DG65A-C and Kathrein 741518</w:t>
      </w:r>
      <w:r>
        <w:t xml:space="preserve">) </w:t>
      </w:r>
      <w:r w:rsidRPr="00B9660B">
        <w:t>had an average gain of a</w:t>
      </w:r>
      <w:r>
        <w:t>pproximately</w:t>
      </w:r>
      <w:r w:rsidRPr="00B9660B">
        <w:t xml:space="preserve"> 14 dBi.</w:t>
      </w:r>
      <w:r>
        <w:t xml:space="preserve">  Antennas intended for operation in frequencies between </w:t>
      </w:r>
      <w:r w:rsidRPr="00B9660B">
        <w:t>700</w:t>
      </w:r>
      <w:r>
        <w:t xml:space="preserve"> and </w:t>
      </w:r>
      <w:r w:rsidRPr="00B9660B">
        <w:t xml:space="preserve">900 MHz </w:t>
      </w:r>
      <w:r>
        <w:t>(</w:t>
      </w:r>
      <w:r w:rsidRPr="00DE262E">
        <w:t>Commscope 5UPX0805F, SBNH-1D4545A, and SBNH-1D6565B-V1; and RFS APX75-864014-CT0 and APX75-866512-CT0</w:t>
      </w:r>
      <w:r>
        <w:t xml:space="preserve">) </w:t>
      </w:r>
      <w:r w:rsidRPr="00B9660B">
        <w:t xml:space="preserve">had an average gain of </w:t>
      </w:r>
      <w:r>
        <w:t>approximately</w:t>
      </w:r>
      <w:r w:rsidRPr="00B9660B">
        <w:t xml:space="preserve"> 16 dBi.</w:t>
      </w:r>
      <w:r>
        <w:t xml:space="preserve">  Based on the average</w:t>
      </w:r>
      <w:r w:rsidRPr="00B9660B">
        <w:t xml:space="preserve"> </w:t>
      </w:r>
      <w:r>
        <w:t xml:space="preserve">of </w:t>
      </w:r>
      <w:r w:rsidRPr="00B9660B">
        <w:t xml:space="preserve">these typical antenna gains, we expect that </w:t>
      </w:r>
      <w:r>
        <w:t>a</w:t>
      </w:r>
      <w:r w:rsidRPr="00B9660B">
        <w:t xml:space="preserve"> typical </w:t>
      </w:r>
      <w:r>
        <w:t xml:space="preserve">panel </w:t>
      </w:r>
      <w:r w:rsidRPr="00B9660B">
        <w:t xml:space="preserve">antenna </w:t>
      </w:r>
      <w:r>
        <w:t xml:space="preserve">in the 600 MHz Band </w:t>
      </w:r>
      <w:r w:rsidRPr="00B9660B">
        <w:t xml:space="preserve">will </w:t>
      </w:r>
      <w:r>
        <w:t>have a gain of approximately</w:t>
      </w:r>
      <w:r w:rsidRPr="00B9660B">
        <w:t xml:space="preserve"> 15 dBi (12.8 dBd)</w:t>
      </w:r>
      <w:r>
        <w:t xml:space="preserve">. </w:t>
      </w:r>
    </w:p>
  </w:footnote>
  <w:footnote w:id="191">
    <w:p w14:paraId="28436E4B" w14:textId="77777777" w:rsidR="00850453" w:rsidRDefault="00850453">
      <w:pPr>
        <w:pStyle w:val="FootnoteText"/>
      </w:pPr>
      <w:r>
        <w:rPr>
          <w:rStyle w:val="FootnoteReference"/>
        </w:rPr>
        <w:footnoteRef/>
      </w:r>
      <w:r>
        <w:t xml:space="preserve"> </w:t>
      </w:r>
      <w:r w:rsidRPr="00F3761A">
        <w:t>19 dBW (80watts) – 1 dB + 12.8 dBd (15 dBi) = 30.8 dBW ~ 1200 W / 10 MHz channel = 120 W/MHz</w:t>
      </w:r>
      <w:r>
        <w:t>.</w:t>
      </w:r>
    </w:p>
  </w:footnote>
  <w:footnote w:id="192">
    <w:p w14:paraId="3DEAF569" w14:textId="77777777" w:rsidR="00850453" w:rsidRDefault="00850453" w:rsidP="00B23FEA">
      <w:pPr>
        <w:pStyle w:val="FootnoteText"/>
      </w:pPr>
      <w:r>
        <w:rPr>
          <w:rStyle w:val="FootnoteReference"/>
        </w:rPr>
        <w:footnoteRef/>
      </w:r>
      <w:r>
        <w:t xml:space="preserve"> </w:t>
      </w:r>
      <w:r>
        <w:rPr>
          <w:i/>
        </w:rPr>
        <w:t>ISIX PN</w:t>
      </w:r>
      <w:r>
        <w:t>, 29 FCC Rcd</w:t>
      </w:r>
      <w:r>
        <w:rPr>
          <w:i/>
        </w:rPr>
        <w:t xml:space="preserve"> </w:t>
      </w:r>
      <w:r w:rsidRPr="00FA2BEE">
        <w:t xml:space="preserve">at </w:t>
      </w:r>
      <w:r>
        <w:t>733</w:t>
      </w:r>
      <w:r w:rsidRPr="00FA2BEE">
        <w:t>, n. 22.</w:t>
      </w:r>
    </w:p>
  </w:footnote>
  <w:footnote w:id="193">
    <w:p w14:paraId="79D57F87" w14:textId="48F18ED1" w:rsidR="00850453" w:rsidRDefault="00850453">
      <w:pPr>
        <w:pStyle w:val="FootnoteText"/>
      </w:pPr>
      <w:r>
        <w:rPr>
          <w:rStyle w:val="FootnoteReference"/>
        </w:rPr>
        <w:footnoteRef/>
      </w:r>
      <w:r>
        <w:t xml:space="preserve"> </w:t>
      </w:r>
      <w:r>
        <w:rPr>
          <w:i/>
          <w:iCs/>
        </w:rPr>
        <w:t>See</w:t>
      </w:r>
      <w:r>
        <w:t xml:space="preserve"> Commerce Spectrum Management Advisory Committee, Working Group 1 – 1675-1710 MHz Meteorological-Satellite, at Appendix 3-5, Final Report, Rev. 1, available at </w:t>
      </w:r>
      <w:hyperlink r:id="rId5" w:history="1">
        <w:r>
          <w:rPr>
            <w:rStyle w:val="Hyperlink"/>
          </w:rPr>
          <w:t>http://www.ntia.doc.gov/files/ntia/publications/wg1_report_07232013.pdf</w:t>
        </w:r>
      </w:hyperlink>
      <w:r>
        <w:t xml:space="preserve"> (CSMAC Final Report) (the same table provides for antenna height of 45 meters for rural deployment).</w:t>
      </w:r>
    </w:p>
  </w:footnote>
  <w:footnote w:id="194">
    <w:p w14:paraId="0E8A5BB3" w14:textId="77777777" w:rsidR="00850453" w:rsidRDefault="00850453" w:rsidP="00890ECE">
      <w:pPr>
        <w:pStyle w:val="FootnoteText"/>
      </w:pPr>
      <w:r>
        <w:rPr>
          <w:rStyle w:val="FootnoteReference"/>
        </w:rPr>
        <w:footnoteRef/>
      </w:r>
      <w:r>
        <w:t xml:space="preserve"> </w:t>
      </w:r>
      <w:r w:rsidRPr="007F7B03">
        <w:rPr>
          <w:i/>
        </w:rPr>
        <w:t>See</w:t>
      </w:r>
      <w:r>
        <w:t xml:space="preserve"> Letter from Steve B. Sharkey, T-Mobile USA, Inc. to Marlene H. Dortch, GN Docket No. 12-268, at 1, n.1 (May 7, 2014) (T-Mobile Ex Parte) (noting that T-Mobile’s mean antenna height above ground is approximately 31 meters, with lower and higher variations in different parts of the country).</w:t>
      </w:r>
    </w:p>
  </w:footnote>
  <w:footnote w:id="195">
    <w:p w14:paraId="6CECAD07" w14:textId="77777777" w:rsidR="00850453" w:rsidRDefault="00850453" w:rsidP="00CE7668">
      <w:pPr>
        <w:pStyle w:val="FootnoteText"/>
      </w:pPr>
      <w:r>
        <w:rPr>
          <w:rStyle w:val="FootnoteReference"/>
        </w:rPr>
        <w:footnoteRef/>
      </w:r>
      <w:r>
        <w:t xml:space="preserve"> </w:t>
      </w:r>
      <w:r w:rsidRPr="001B49A5">
        <w:rPr>
          <w:i/>
        </w:rPr>
        <w:t>See</w:t>
      </w:r>
      <w:r>
        <w:t xml:space="preserve"> Joint Broadcasters Comments at 12-15.</w:t>
      </w:r>
      <w:r w:rsidRPr="004C2891">
        <w:t xml:space="preserve"> </w:t>
      </w:r>
      <w:r w:rsidRPr="00BA5E09">
        <w:rPr>
          <w:i/>
        </w:rPr>
        <w:t>See</w:t>
      </w:r>
      <w:r>
        <w:t xml:space="preserve">, </w:t>
      </w:r>
      <w:r w:rsidRPr="00BA5E09">
        <w:rPr>
          <w:i/>
        </w:rPr>
        <w:t>e.g.</w:t>
      </w:r>
      <w:r>
        <w:t xml:space="preserve">, </w:t>
      </w:r>
      <w:r w:rsidRPr="000F1927">
        <w:t>Letter from Steve B. Sharkey, Chief, Engineering and Technology Policy for T-Mobile USA, Inc. to Marlene H. Dortch, Secretary, FCC, GN Docket No. 12-268 (filed May 7, 2014), (“T-Mobile Letter”)</w:t>
      </w:r>
      <w:r>
        <w:t>.  T-Mobile specifies its “</w:t>
      </w:r>
      <w:r w:rsidRPr="000F1927">
        <w:t>mean antenna height above ground</w:t>
      </w:r>
      <w:r>
        <w:t>”</w:t>
      </w:r>
      <w:r w:rsidRPr="000F1927">
        <w:t xml:space="preserve"> </w:t>
      </w:r>
      <w:r>
        <w:t>is</w:t>
      </w:r>
      <w:r w:rsidRPr="000F1927">
        <w:t xml:space="preserve"> </w:t>
      </w:r>
      <w:r>
        <w:t>“</w:t>
      </w:r>
      <w:r w:rsidRPr="000F1927">
        <w:t>approximately 31 meters</w:t>
      </w:r>
      <w:r>
        <w:t xml:space="preserve">,” with a range between 15 and 45 meters.  If T-Mobile’s antennas were top-mounted, they would be closer to the 50 to 75 meter range asserted by Joint Broadcasters.  </w:t>
      </w:r>
      <w:r w:rsidRPr="00BA5E09">
        <w:rPr>
          <w:i/>
        </w:rPr>
        <w:t>See</w:t>
      </w:r>
      <w:r>
        <w:t xml:space="preserve"> Joint Broadcasters Comments at 13-14.  In wireless telecommunications systems, the tower is the supporting structure, and the antenna is the radiating structure.  Thus, the antenna height, rather than the tower height, would be the factor to consider in interference analyses from these wireless systems.</w:t>
      </w:r>
    </w:p>
  </w:footnote>
  <w:footnote w:id="196">
    <w:p w14:paraId="4EB6DEED" w14:textId="77777777" w:rsidR="00850453" w:rsidRDefault="00850453">
      <w:pPr>
        <w:pStyle w:val="FootnoteText"/>
      </w:pPr>
      <w:r>
        <w:rPr>
          <w:rStyle w:val="FootnoteReference"/>
        </w:rPr>
        <w:footnoteRef/>
      </w:r>
      <w:r>
        <w:t xml:space="preserve"> </w:t>
      </w:r>
      <w:r w:rsidRPr="00C90F00">
        <w:t xml:space="preserve">These sites </w:t>
      </w:r>
      <w:r>
        <w:t xml:space="preserve">include </w:t>
      </w:r>
      <w:r w:rsidRPr="00C90F00">
        <w:t>antenna installations on public or private structures, such as buildings, light poles, and water towers, many of which are lower than the heights cited by Joint Broadcasters</w:t>
      </w:r>
      <w:r>
        <w:t xml:space="preserve">.  See </w:t>
      </w:r>
      <w:r w:rsidRPr="00BA5E09">
        <w:rPr>
          <w:i/>
        </w:rPr>
        <w:t>Acceleration of Broadband Deployment by Improving Wireless Facilities Siting Policies</w:t>
      </w:r>
      <w:r>
        <w:t xml:space="preserve">, </w:t>
      </w:r>
      <w:r w:rsidRPr="00F044B0">
        <w:t>WT Docket No. 13-238</w:t>
      </w:r>
      <w:r>
        <w:t>, Notice of Proposed Rulemaking, 28 FCC Rcd 14241 (2013) (noting that modern wireless antennas are often mounted on “</w:t>
      </w:r>
      <w:r w:rsidRPr="002C5CB1">
        <w:t>utility poles, street lamps, water towers, or rooftops</w:t>
      </w:r>
      <w:r>
        <w:t>”).</w:t>
      </w:r>
    </w:p>
  </w:footnote>
  <w:footnote w:id="197">
    <w:p w14:paraId="58930DD3" w14:textId="6CAD6957" w:rsidR="00850453" w:rsidRDefault="00850453" w:rsidP="00CE7668">
      <w:pPr>
        <w:pStyle w:val="FootnoteText"/>
      </w:pPr>
      <w:r>
        <w:rPr>
          <w:rStyle w:val="FootnoteReference"/>
        </w:rPr>
        <w:footnoteRef/>
      </w:r>
      <w:r>
        <w:t xml:space="preserve"> </w:t>
      </w:r>
      <w:r w:rsidRPr="00310E60">
        <w:rPr>
          <w:i/>
        </w:rPr>
        <w:t>See</w:t>
      </w:r>
      <w:r>
        <w:t xml:space="preserve"> Joint Broadcasters Comments at 13-14.</w:t>
      </w:r>
      <w:r w:rsidRPr="004C2891">
        <w:t xml:space="preserve"> </w:t>
      </w:r>
      <w:r>
        <w:t xml:space="preserve"> Along with American Tower, Crown Castle International, SBA Communications, and KGI Wireless round out the top four companies in the United States that own or manage more than 10,000 structures.  However, there are many other smaller tower owners and managers, as well as many towers which are owned and managed by wireless providers themselves.  </w:t>
      </w:r>
      <w:r w:rsidRPr="00BA5E09">
        <w:rPr>
          <w:i/>
        </w:rPr>
        <w:t>See</w:t>
      </w:r>
      <w:r>
        <w:t xml:space="preserve"> FCC Antenna Structure Registration (ASR) database, which consists mainly of antenna structures taller than 200 feet or located in an airport glide slope path.  </w:t>
      </w:r>
      <w:r w:rsidRPr="00BA5E09">
        <w:rPr>
          <w:i/>
        </w:rPr>
        <w:t>See also</w:t>
      </w:r>
      <w:r>
        <w:t xml:space="preserve"> </w:t>
      </w:r>
      <w:hyperlink r:id="rId6" w:history="1">
        <w:r w:rsidRPr="007909D8">
          <w:rPr>
            <w:rStyle w:val="Hyperlink"/>
          </w:rPr>
          <w:t>http://www.wirelessestimator.com/t_content.cfm?pagename=US-Cell-Tower-Companies-Complete-List</w:t>
        </w:r>
      </w:hyperlink>
      <w:r>
        <w:t xml:space="preserve"> for an unofficial list of tower owner and management companies.</w:t>
      </w:r>
    </w:p>
  </w:footnote>
  <w:footnote w:id="198">
    <w:p w14:paraId="1C864ECA" w14:textId="77777777" w:rsidR="00850453" w:rsidRPr="00D17EF4" w:rsidRDefault="00850453">
      <w:pPr>
        <w:pStyle w:val="FootnoteText"/>
      </w:pPr>
      <w:r>
        <w:rPr>
          <w:rStyle w:val="FootnoteReference"/>
        </w:rPr>
        <w:footnoteRef/>
      </w:r>
      <w:r>
        <w:t xml:space="preserve"> </w:t>
      </w:r>
      <w:r>
        <w:rPr>
          <w:i/>
        </w:rPr>
        <w:t>See Incentive Auction R&amp;O</w:t>
      </w:r>
      <w:r>
        <w:t>, 29 FCC Rcd at 6640-41, para. 160.</w:t>
      </w:r>
    </w:p>
  </w:footnote>
  <w:footnote w:id="199">
    <w:p w14:paraId="67896DE0" w14:textId="77777777" w:rsidR="00850453" w:rsidRDefault="00850453">
      <w:pPr>
        <w:pStyle w:val="FootnoteText"/>
      </w:pPr>
      <w:r>
        <w:rPr>
          <w:rStyle w:val="FootnoteReference"/>
        </w:rPr>
        <w:footnoteRef/>
      </w:r>
      <w:r>
        <w:t xml:space="preserve"> </w:t>
      </w:r>
      <w:r>
        <w:rPr>
          <w:i/>
        </w:rPr>
        <w:t>See Incentive Auction R&amp;O</w:t>
      </w:r>
      <w:r>
        <w:t>, 29 FCC Rcd at 6640-41, para. 160.</w:t>
      </w:r>
    </w:p>
  </w:footnote>
  <w:footnote w:id="200">
    <w:p w14:paraId="1E492A0E" w14:textId="77777777" w:rsidR="00850453" w:rsidRDefault="00850453">
      <w:pPr>
        <w:pStyle w:val="FootnoteText"/>
      </w:pPr>
      <w:r>
        <w:rPr>
          <w:rStyle w:val="FootnoteReference"/>
        </w:rPr>
        <w:footnoteRef/>
      </w:r>
      <w:r>
        <w:t xml:space="preserve"> The most common cause of the “error code 3” warning message is that the absolute value of the angle to the horizon from either the transmitter or receiver exceeds 200 milliradians.  Since the ISIX Methodology will assume hypothetical wireless base station locations uniformly placed every ten kilometers at 30 meters HAAT, this warning message will likely occur more frequently than with actual transmitters placed for optimal coverage in light of terrain conditions.  However, a staff comparison of Longley-Rice model versus Television Allocations Study Organization (TASO) measured data shows a difference in median value of absolute error between the predicted value and the measured value of less than 1 dB when the warning flag is present.  Staff examined TASO measured data for sites KJEO (Fresno, California), WAFB (Baton Rouge, Louisiana), WBRE (Wilkes Barre, Pennsylvania), WBUF (Buffalo, New York), WHYY (Philadelphia, Pennsylvania), WHYN (Springfield, Massachusetts), WMTV (Madison, Wisconsin) and WUHF (New York, New York), comparing two thousand forty five points.  Approximately 38 percent of those points generated an “error code 3” warning message.  The difference in the median error when a warning message was generated was 0.8 dB. </w:t>
      </w:r>
    </w:p>
  </w:footnote>
  <w:footnote w:id="201">
    <w:p w14:paraId="77DF2257" w14:textId="77777777" w:rsidR="00850453" w:rsidRDefault="00850453" w:rsidP="007A1867">
      <w:pPr>
        <w:pStyle w:val="FootnoteText"/>
      </w:pPr>
      <w:r>
        <w:rPr>
          <w:rStyle w:val="FootnoteReference"/>
        </w:rPr>
        <w:footnoteRef/>
      </w:r>
      <w:r>
        <w:t xml:space="preserve"> </w:t>
      </w:r>
      <w:r w:rsidRPr="0067496D">
        <w:rPr>
          <w:i/>
        </w:rPr>
        <w:t>See</w:t>
      </w:r>
      <w:r>
        <w:t xml:space="preserve">, </w:t>
      </w:r>
      <w:r w:rsidRPr="0033005E">
        <w:rPr>
          <w:i/>
        </w:rPr>
        <w:t>e.g.</w:t>
      </w:r>
      <w:r>
        <w:t>, SBE Comments at 6, Joint Broadcasters Comments at ii, 15-18.</w:t>
      </w:r>
    </w:p>
  </w:footnote>
  <w:footnote w:id="202">
    <w:p w14:paraId="463559D8" w14:textId="77777777" w:rsidR="00850453" w:rsidRPr="00031AC9" w:rsidRDefault="00850453" w:rsidP="00E93121">
      <w:pPr>
        <w:spacing w:after="120"/>
      </w:pPr>
      <w:r>
        <w:rPr>
          <w:rStyle w:val="FootnoteReference"/>
        </w:rPr>
        <w:footnoteRef/>
      </w:r>
      <w:r>
        <w:t xml:space="preserve"> </w:t>
      </w:r>
      <w:r w:rsidRPr="00031AC9">
        <w:rPr>
          <w:sz w:val="20"/>
        </w:rPr>
        <w:t xml:space="preserve">The RSS method squares the signal strength levels of the individual signals to be aggregated, adds those values, and takes the square root of the sum.  As multiple wireless transmitters are expected to be located at different distances from a DTV receiver, their signals will not be fully synchronized and so there should be no correlation of their signals.  With uncorrelated signals, the instantaneous power is not synchronized, </w:t>
      </w:r>
      <w:r>
        <w:rPr>
          <w:sz w:val="20"/>
        </w:rPr>
        <w:t xml:space="preserve">and </w:t>
      </w:r>
      <w:r w:rsidRPr="00031AC9">
        <w:rPr>
          <w:sz w:val="20"/>
        </w:rPr>
        <w:t xml:space="preserve">the peaks, lows, and intermediate levels of the individual signals will add together to be a higher value when both signals are at high levels and cancel each other when one is at a high level and the other is at a low level.  The RSS method is for determining the combined signal level in such cases.  </w:t>
      </w:r>
      <w:r w:rsidRPr="008F59CE">
        <w:rPr>
          <w:i/>
          <w:sz w:val="20"/>
        </w:rPr>
        <w:t>See</w:t>
      </w:r>
      <w:r w:rsidRPr="00031AC9">
        <w:rPr>
          <w:sz w:val="20"/>
        </w:rPr>
        <w:t xml:space="preserve"> Qualcomm Incorporated Petition for Declaratory Ruling, WT Docket No. 05-7, </w:t>
      </w:r>
      <w:r w:rsidRPr="005172C0">
        <w:rPr>
          <w:sz w:val="20"/>
        </w:rPr>
        <w:t xml:space="preserve">Order, </w:t>
      </w:r>
      <w:r w:rsidRPr="00EA7DD5">
        <w:rPr>
          <w:sz w:val="20"/>
        </w:rPr>
        <w:t xml:space="preserve">21 </w:t>
      </w:r>
      <w:r w:rsidRPr="00F3761A">
        <w:rPr>
          <w:sz w:val="20"/>
        </w:rPr>
        <w:t xml:space="preserve">FCC Rcd. </w:t>
      </w:r>
      <w:r w:rsidRPr="005172C0">
        <w:rPr>
          <w:sz w:val="20"/>
        </w:rPr>
        <w:t>11683</w:t>
      </w:r>
      <w:r w:rsidRPr="00EA7DD5">
        <w:rPr>
          <w:sz w:val="20"/>
        </w:rPr>
        <w:t xml:space="preserve"> (</w:t>
      </w:r>
      <w:r w:rsidRPr="00031AC9">
        <w:rPr>
          <w:sz w:val="20"/>
        </w:rPr>
        <w:t>2006</w:t>
      </w:r>
      <w:r>
        <w:rPr>
          <w:sz w:val="20"/>
        </w:rPr>
        <w:t xml:space="preserve">). </w:t>
      </w:r>
    </w:p>
  </w:footnote>
  <w:footnote w:id="203">
    <w:p w14:paraId="07C47F3A" w14:textId="77777777" w:rsidR="00850453" w:rsidRDefault="00850453" w:rsidP="00457857">
      <w:pPr>
        <w:pStyle w:val="FootnoteText"/>
      </w:pPr>
      <w:r>
        <w:rPr>
          <w:rStyle w:val="FootnoteReference"/>
        </w:rPr>
        <w:footnoteRef/>
      </w:r>
      <w:r>
        <w:t xml:space="preserve"> Joint Broadcasters Comments at 17.</w:t>
      </w:r>
    </w:p>
  </w:footnote>
  <w:footnote w:id="204">
    <w:p w14:paraId="185179B0" w14:textId="77777777" w:rsidR="00850453" w:rsidRDefault="00850453">
      <w:pPr>
        <w:pStyle w:val="FootnoteText"/>
      </w:pPr>
      <w:r>
        <w:rPr>
          <w:rStyle w:val="FootnoteReference"/>
        </w:rPr>
        <w:footnoteRef/>
      </w:r>
      <w:r>
        <w:t xml:space="preserve"> The ISIX Methodology assumes</w:t>
      </w:r>
      <w:r w:rsidRPr="004E4011">
        <w:t xml:space="preserve"> a hypothetical deployment </w:t>
      </w:r>
      <w:r>
        <w:t xml:space="preserve">of wireless base stations uniformly spaced at ten kilometers apart </w:t>
      </w:r>
      <w:r w:rsidRPr="004E4011">
        <w:t>when predicting interference</w:t>
      </w:r>
      <w:r>
        <w:t xml:space="preserve"> from wireless base stations to DTV</w:t>
      </w:r>
      <w:r w:rsidRPr="004E4011">
        <w:t xml:space="preserve">. </w:t>
      </w:r>
      <w:r>
        <w:t xml:space="preserve"> </w:t>
      </w:r>
      <w:r w:rsidRPr="00EA7939">
        <w:rPr>
          <w:i/>
        </w:rPr>
        <w:t>See</w:t>
      </w:r>
      <w:r>
        <w:t xml:space="preserve"> </w:t>
      </w:r>
      <w:r>
        <w:rPr>
          <w:i/>
        </w:rPr>
        <w:t>ISIX PN,</w:t>
      </w:r>
      <w:r>
        <w:t xml:space="preserve"> 29 FCC Rcd at 725; </w:t>
      </w:r>
      <w:r w:rsidRPr="006A744E">
        <w:rPr>
          <w:i/>
        </w:rPr>
        <w:t>see also</w:t>
      </w:r>
      <w:r>
        <w:t xml:space="preserve">, App. A, Technical Appendix at para. </w:t>
      </w:r>
      <w:r>
        <w:fldChar w:fldCharType="begin"/>
      </w:r>
      <w:r>
        <w:instrText xml:space="preserve"> REF _Ref398033392 \r \h </w:instrText>
      </w:r>
      <w:r>
        <w:fldChar w:fldCharType="separate"/>
      </w:r>
      <w:r>
        <w:t>16</w:t>
      </w:r>
      <w:r>
        <w:fldChar w:fldCharType="end"/>
      </w:r>
      <w:r>
        <w:t xml:space="preserve">. </w:t>
      </w:r>
      <w:r>
        <w:rPr>
          <w:i/>
        </w:rPr>
        <w:t xml:space="preserve"> </w:t>
      </w:r>
      <w:r>
        <w:t>A</w:t>
      </w:r>
      <w:r w:rsidRPr="004E4011">
        <w:t>ggregat</w:t>
      </w:r>
      <w:r>
        <w:t>ing</w:t>
      </w:r>
      <w:r w:rsidRPr="004E4011">
        <w:t xml:space="preserve"> the </w:t>
      </w:r>
      <w:r>
        <w:t xml:space="preserve">potential interference of each hypothetical base station in each cell at a distance of 500 kilometers in all directions from the DTV station could result in aggregating up to nearly 8,000 hypothetical base stations.   The aggregation of this many hypothetical locations is neither practical nor realistic.    </w:t>
      </w:r>
    </w:p>
  </w:footnote>
  <w:footnote w:id="205">
    <w:p w14:paraId="08B60F76" w14:textId="77777777" w:rsidR="00850453" w:rsidRDefault="00850453" w:rsidP="00457857">
      <w:pPr>
        <w:pStyle w:val="FootnoteText"/>
      </w:pPr>
      <w:r>
        <w:rPr>
          <w:rStyle w:val="FootnoteReference"/>
        </w:rPr>
        <w:footnoteRef/>
      </w:r>
      <w:r>
        <w:t xml:space="preserve"> </w:t>
      </w:r>
      <w:r w:rsidRPr="007A1867">
        <w:rPr>
          <w:i/>
        </w:rPr>
        <w:t>See infra</w:t>
      </w:r>
      <w:r>
        <w:rPr>
          <w:i/>
        </w:rPr>
        <w:t>,</w:t>
      </w:r>
      <w:r>
        <w:t xml:space="preserve"> </w:t>
      </w:r>
      <w:r w:rsidRPr="00F044E8">
        <w:rPr>
          <w:i/>
        </w:rPr>
        <w:t>FNPRM</w:t>
      </w:r>
      <w:r>
        <w:t xml:space="preserve"> at para. </w:t>
      </w:r>
      <w:r>
        <w:fldChar w:fldCharType="begin"/>
      </w:r>
      <w:r>
        <w:instrText xml:space="preserve"> REF _Ref398030626 \r \h </w:instrText>
      </w:r>
      <w:r>
        <w:fldChar w:fldCharType="separate"/>
      </w:r>
      <w:r>
        <w:t>70</w:t>
      </w:r>
      <w:r>
        <w:fldChar w:fldCharType="end"/>
      </w:r>
      <w:r>
        <w:t>.  We note that, under the approach we adopt for Case 3 during the auction, the ISIX Methodology effectively will treat all hypothetical base stations in each county as causing interference.</w:t>
      </w:r>
    </w:p>
  </w:footnote>
  <w:footnote w:id="206">
    <w:p w14:paraId="4B7BD006" w14:textId="77777777" w:rsidR="00850453" w:rsidRDefault="00850453" w:rsidP="007C6717">
      <w:pPr>
        <w:pStyle w:val="FootnoteText"/>
      </w:pPr>
      <w:r>
        <w:rPr>
          <w:rStyle w:val="FootnoteReference"/>
        </w:rPr>
        <w:footnoteRef/>
      </w:r>
      <w:r>
        <w:t xml:space="preserve"> </w:t>
      </w:r>
      <w:r>
        <w:rPr>
          <w:i/>
        </w:rPr>
        <w:t xml:space="preserve">See </w:t>
      </w:r>
      <w:r w:rsidRPr="00895AA7">
        <w:rPr>
          <w:i/>
        </w:rPr>
        <w:t>ISIX PN</w:t>
      </w:r>
      <w:r>
        <w:t xml:space="preserve">, </w:t>
      </w:r>
      <w:r w:rsidRPr="0002234D">
        <w:t xml:space="preserve">29 FCC Rcd </w:t>
      </w:r>
      <w:r>
        <w:t>at 727. (indicating that the NAB suggested a uniform separation distance of five kilometers for co-channel operations). Therefore, wireless licenses that will be co-channel or adjacent-channel to a television station in the uplink 600 MHz spectrum, will have impairments that cover the area of the station’s contour and an additional five kilometers if the television station is co-channel, or one half kilometer if the television station is adjacent channel to the wireless operations.</w:t>
      </w:r>
    </w:p>
  </w:footnote>
  <w:footnote w:id="207">
    <w:p w14:paraId="67E84BD2" w14:textId="77777777" w:rsidR="00850453" w:rsidRDefault="00850453" w:rsidP="00F16953">
      <w:pPr>
        <w:pStyle w:val="FootnoteText"/>
      </w:pPr>
      <w:r>
        <w:rPr>
          <w:rStyle w:val="FootnoteReference"/>
        </w:rPr>
        <w:footnoteRef/>
      </w:r>
      <w:r>
        <w:t xml:space="preserve">  Wireless User Equipment is assumed to transmit with a radiated power of 0.12 W/5MHz ERP and operate at a height of 1.5 meters.  </w:t>
      </w:r>
      <w:r w:rsidRPr="00D63E8A">
        <w:rPr>
          <w:i/>
        </w:rPr>
        <w:t>See</w:t>
      </w:r>
      <w:r>
        <w:t xml:space="preserve"> App. A, Technical Appendix at. n.</w:t>
      </w:r>
      <w:r>
        <w:fldChar w:fldCharType="begin"/>
      </w:r>
      <w:r>
        <w:instrText xml:space="preserve"> NOTEREF _Ref398033522 \h </w:instrText>
      </w:r>
      <w:r>
        <w:fldChar w:fldCharType="separate"/>
      </w:r>
      <w:r>
        <w:t>22</w:t>
      </w:r>
      <w:r>
        <w:fldChar w:fldCharType="end"/>
      </w:r>
      <w:r>
        <w:t xml:space="preserve">; </w:t>
      </w:r>
      <w:r w:rsidRPr="00A367C2">
        <w:rPr>
          <w:i/>
        </w:rPr>
        <w:t>see also ISIX PN</w:t>
      </w:r>
      <w:r>
        <w:t xml:space="preserve">, 29 FCC Rcd </w:t>
      </w:r>
      <w:r w:rsidRPr="005172C0">
        <w:t>at</w:t>
      </w:r>
      <w:r w:rsidRPr="00F3761A">
        <w:t xml:space="preserve"> 734 (Table 11).</w:t>
      </w:r>
    </w:p>
  </w:footnote>
  <w:footnote w:id="208">
    <w:p w14:paraId="55B1A8BB" w14:textId="38677907" w:rsidR="00850453" w:rsidRDefault="00850453" w:rsidP="00144017">
      <w:pPr>
        <w:pStyle w:val="FootnoteText"/>
      </w:pPr>
      <w:r>
        <w:rPr>
          <w:rStyle w:val="FootnoteReference"/>
        </w:rPr>
        <w:footnoteRef/>
      </w:r>
      <w:r>
        <w:t xml:space="preserve"> </w:t>
      </w:r>
      <w:r w:rsidRPr="00EF33BF">
        <w:rPr>
          <w:i/>
        </w:rPr>
        <w:t>See</w:t>
      </w:r>
      <w:r w:rsidRPr="00EF33BF">
        <w:t xml:space="preserve"> </w:t>
      </w:r>
      <w:r>
        <w:t xml:space="preserve">Table 1, </w:t>
      </w:r>
      <w:r w:rsidRPr="00EF33BF">
        <w:t xml:space="preserve">NTIA Report 82-100,  </w:t>
      </w:r>
      <w:r w:rsidRPr="00EF33BF">
        <w:rPr>
          <w:i/>
        </w:rPr>
        <w:t>A Guide to the Use of the ITS Irregular Terrain  Model in the Area Prediction Mode</w:t>
      </w:r>
      <w:r w:rsidRPr="00EF33BF">
        <w:t>, G.A. Hufford, A.G. Longley and W.A. Kissick, U.S. Department of Commerce, April 1982.</w:t>
      </w:r>
      <w:r>
        <w:t xml:space="preserve">  The original design limitations to the ITS ITM specified an input distance range between one and 2,000 kilometers.  </w:t>
      </w:r>
      <w:r w:rsidRPr="00B93D93">
        <w:rPr>
          <w:i/>
          <w:iCs/>
        </w:rPr>
        <w:t>See</w:t>
      </w:r>
      <w:r>
        <w:rPr>
          <w:i/>
          <w:iCs/>
        </w:rPr>
        <w:t xml:space="preserve"> also</w:t>
      </w:r>
      <w:r w:rsidRPr="00B93D93">
        <w:t xml:space="preserve"> Daniel, W. and Wong, H., “Propagation in Suburban Areas at Distances less than Ten Miles,” </w:t>
      </w:r>
      <w:r w:rsidRPr="00B93D93">
        <w:rPr>
          <w:u w:val="single"/>
        </w:rPr>
        <w:t>FCC/OET TM 91-1</w:t>
      </w:r>
      <w:r w:rsidRPr="00B93D93">
        <w:t>, Federal Communications Commission, Office of Engineering and Technology, January 25, 1991.”</w:t>
      </w:r>
      <w:r>
        <w:t xml:space="preserve">  </w:t>
      </w:r>
      <w:hyperlink r:id="rId7" w:history="1">
        <w:r w:rsidRPr="00F9264C">
          <w:t>http://www.fcc.gov/oet/info/documents/technical/tm91-1.pdf</w:t>
        </w:r>
      </w:hyperlink>
      <w:r>
        <w:t>.  This report states that pr</w:t>
      </w:r>
      <w:r w:rsidRPr="00B93D93">
        <w:t xml:space="preserve">ediction models </w:t>
      </w:r>
      <w:r>
        <w:t>like Longley-Rice “</w:t>
      </w:r>
      <w:r w:rsidRPr="00B93D93">
        <w:t>are generally intended for</w:t>
      </w:r>
      <w:r>
        <w:t xml:space="preserve"> </w:t>
      </w:r>
      <w:r w:rsidRPr="00B93D93">
        <w:t>use at greater distances and were based on, and verified with, empirical data</w:t>
      </w:r>
      <w:r>
        <w:t xml:space="preserve"> </w:t>
      </w:r>
      <w:r w:rsidRPr="00B93D93">
        <w:t>fr</w:t>
      </w:r>
      <w:r>
        <w:t xml:space="preserve">om these greater distances.”  When predicting field strengths at </w:t>
      </w:r>
      <w:r w:rsidRPr="00B93D93">
        <w:t>shorter distances</w:t>
      </w:r>
      <w:r>
        <w:t>, these models “</w:t>
      </w:r>
      <w:r w:rsidRPr="00B93D93">
        <w:t>generally revert to classical free space or plane earth propagation equations</w:t>
      </w:r>
      <w:r>
        <w:t xml:space="preserve"> at these shorter distances,” depending on the “</w:t>
      </w:r>
      <w:r w:rsidRPr="008044A1">
        <w:t xml:space="preserve">first </w:t>
      </w:r>
      <w:r>
        <w:t>F</w:t>
      </w:r>
      <w:r w:rsidRPr="008044A1">
        <w:t>resnel zone clearance between the</w:t>
      </w:r>
      <w:r>
        <w:t xml:space="preserve"> </w:t>
      </w:r>
      <w:r w:rsidRPr="008044A1">
        <w:t>transmitting and receiving antennas,</w:t>
      </w:r>
      <w:r>
        <w:t>”</w:t>
      </w:r>
    </w:p>
  </w:footnote>
  <w:footnote w:id="209">
    <w:p w14:paraId="1BA2E7ED" w14:textId="77777777" w:rsidR="00850453" w:rsidRDefault="00850453" w:rsidP="00515FC7">
      <w:pPr>
        <w:pStyle w:val="FootnoteText"/>
      </w:pPr>
      <w:r>
        <w:rPr>
          <w:rStyle w:val="FootnoteReference"/>
        </w:rPr>
        <w:footnoteRef/>
      </w:r>
      <w:r>
        <w:t xml:space="preserve">  As the </w:t>
      </w:r>
      <w:r w:rsidRPr="00C30F9C">
        <w:rPr>
          <w:i/>
        </w:rPr>
        <w:t>ISIX PN</w:t>
      </w:r>
      <w:r>
        <w:t xml:space="preserve"> acknowledged that the Longley-Rice model may not be appropriate for Case 4 because it involves short distances.</w:t>
      </w:r>
      <w:r w:rsidRPr="00515FC7">
        <w:rPr>
          <w:rStyle w:val="FootnoteReference"/>
        </w:rPr>
        <w:t xml:space="preserve"> </w:t>
      </w:r>
      <w:r>
        <w:t xml:space="preserve">  </w:t>
      </w:r>
      <w:r w:rsidRPr="00F93B05">
        <w:rPr>
          <w:i/>
        </w:rPr>
        <w:t>ISIX PN</w:t>
      </w:r>
      <w:r>
        <w:rPr>
          <w:i/>
        </w:rPr>
        <w:t>,</w:t>
      </w:r>
      <w:r>
        <w:t xml:space="preserve"> </w:t>
      </w:r>
      <w:r w:rsidRPr="0002234D">
        <w:t xml:space="preserve">29 FCC Rcd </w:t>
      </w:r>
      <w:r>
        <w:t>at 717, n. 12.</w:t>
      </w:r>
    </w:p>
  </w:footnote>
  <w:footnote w:id="210">
    <w:p w14:paraId="53A82858" w14:textId="77777777" w:rsidR="00850453" w:rsidRDefault="00850453">
      <w:pPr>
        <w:pStyle w:val="FootnoteText"/>
      </w:pPr>
      <w:r>
        <w:rPr>
          <w:rStyle w:val="FootnoteReference"/>
        </w:rPr>
        <w:footnoteRef/>
      </w:r>
      <w:r>
        <w:t xml:space="preserve"> We note that the application of this distance requirement applies to wireless providers who would manage their network to ensure that spacing distance is properly maintained.  This requirement would not be apparent to wireless users and would not require them to take any actions to affect compliance.</w:t>
      </w:r>
    </w:p>
  </w:footnote>
  <w:footnote w:id="211">
    <w:p w14:paraId="7520891D" w14:textId="4936C5F9" w:rsidR="00850453" w:rsidRDefault="00850453" w:rsidP="00A87332">
      <w:pPr>
        <w:pStyle w:val="FootnoteText"/>
      </w:pPr>
      <w:r>
        <w:rPr>
          <w:rStyle w:val="FootnoteReference"/>
        </w:rPr>
        <w:footnoteRef/>
      </w:r>
      <w:r>
        <w:t xml:space="preserve"> </w:t>
      </w:r>
      <w:r w:rsidRPr="00A87332">
        <w:t>See</w:t>
      </w:r>
      <w:r w:rsidRPr="006A744E">
        <w:t xml:space="preserve"> FCC/OET TM 91-1</w:t>
      </w:r>
      <w:r w:rsidRPr="00B93D93">
        <w:t>, Federal Communications Commission, Office of Engineering and Technology, January 25, 1991</w:t>
      </w:r>
      <w:r>
        <w:t xml:space="preserve">, </w:t>
      </w:r>
      <w:hyperlink r:id="rId8" w:history="1">
        <w:r w:rsidRPr="006A744E">
          <w:t>http://www.fcc.gov/oet/info/documents/technical/tm91-1.pdf</w:t>
        </w:r>
      </w:hyperlink>
    </w:p>
  </w:footnote>
  <w:footnote w:id="212">
    <w:p w14:paraId="7C3912DF" w14:textId="77777777" w:rsidR="00850453" w:rsidRPr="001E0809" w:rsidRDefault="00850453" w:rsidP="00111E66">
      <w:pPr>
        <w:pStyle w:val="FootnoteText"/>
      </w:pPr>
      <w:r>
        <w:rPr>
          <w:rStyle w:val="FootnoteReference"/>
        </w:rPr>
        <w:footnoteRef/>
      </w:r>
      <w:r>
        <w:t xml:space="preserve"> </w:t>
      </w:r>
      <w:r w:rsidRPr="00CF0F0B">
        <w:rPr>
          <w:i/>
        </w:rPr>
        <w:t xml:space="preserve">See </w:t>
      </w:r>
      <w:r w:rsidRPr="001E0809">
        <w:t>Joint Broadcaster</w:t>
      </w:r>
      <w:r>
        <w:t>s</w:t>
      </w:r>
      <w:r w:rsidRPr="001E0809">
        <w:t xml:space="preserve"> Comments at 4-8</w:t>
      </w:r>
      <w:r>
        <w:t xml:space="preserve">; </w:t>
      </w:r>
      <w:r w:rsidRPr="00E13D03">
        <w:rPr>
          <w:i/>
        </w:rPr>
        <w:t>see also</w:t>
      </w:r>
      <w:r>
        <w:t xml:space="preserve"> </w:t>
      </w:r>
      <w:r w:rsidRPr="001E0809">
        <w:t xml:space="preserve">NAB </w:t>
      </w:r>
      <w:r w:rsidRPr="006A744E">
        <w:rPr>
          <w:i/>
        </w:rPr>
        <w:t>Measurements PN</w:t>
      </w:r>
      <w:r w:rsidRPr="001E0809">
        <w:t xml:space="preserve"> Comments at 5</w:t>
      </w:r>
      <w:r>
        <w:t>.</w:t>
      </w:r>
    </w:p>
  </w:footnote>
  <w:footnote w:id="213">
    <w:p w14:paraId="3495E03C" w14:textId="77777777" w:rsidR="00850453" w:rsidRPr="001E0809" w:rsidRDefault="00850453" w:rsidP="00111E66">
      <w:pPr>
        <w:pStyle w:val="FootnoteText"/>
      </w:pPr>
      <w:r w:rsidRPr="001E0809">
        <w:rPr>
          <w:rStyle w:val="FootnoteReference"/>
        </w:rPr>
        <w:footnoteRef/>
      </w:r>
      <w:r w:rsidRPr="001E0809">
        <w:t xml:space="preserve"> Spectrum Act § 6403(b)(2).</w:t>
      </w:r>
    </w:p>
  </w:footnote>
  <w:footnote w:id="214">
    <w:p w14:paraId="3FA3BE8B" w14:textId="77777777" w:rsidR="00850453" w:rsidRPr="001E0809" w:rsidRDefault="00850453" w:rsidP="00111E66">
      <w:pPr>
        <w:pStyle w:val="FootnoteText"/>
      </w:pPr>
      <w:r w:rsidRPr="001E0809">
        <w:rPr>
          <w:rStyle w:val="FootnoteReference"/>
        </w:rPr>
        <w:footnoteRef/>
      </w:r>
      <w:r w:rsidRPr="001E0809">
        <w:t xml:space="preserve"> </w:t>
      </w:r>
      <w:r w:rsidRPr="001E0809">
        <w:rPr>
          <w:i/>
        </w:rPr>
        <w:t xml:space="preserve">See </w:t>
      </w:r>
      <w:r w:rsidRPr="001E0809">
        <w:t>Joint Broadcaster</w:t>
      </w:r>
      <w:r>
        <w:t>s</w:t>
      </w:r>
      <w:r w:rsidRPr="001E0809">
        <w:t xml:space="preserve"> Comments at 3 (“Use of the proposed new OET methodology as a basis for interference protection following the auction would contravene provisions of the Spectrum Act, which require the Commission to preserve the coverage area and population served of broadcast stations in accordance with OET-69.”); </w:t>
      </w:r>
      <w:r w:rsidRPr="00305C2A">
        <w:rPr>
          <w:i/>
        </w:rPr>
        <w:t>id</w:t>
      </w:r>
      <w:r>
        <w:t xml:space="preserve">. at 6 (referring to the duty to use “all reasonable efforts” to preserve coverage area and population served “using the OET-69 methodology”); </w:t>
      </w:r>
      <w:r w:rsidRPr="001E0809">
        <w:rPr>
          <w:i/>
        </w:rPr>
        <w:t>see also</w:t>
      </w:r>
      <w:r w:rsidRPr="001E0809">
        <w:t xml:space="preserve"> NAB </w:t>
      </w:r>
      <w:r w:rsidRPr="00EA7939">
        <w:rPr>
          <w:i/>
        </w:rPr>
        <w:t>Measurements PN</w:t>
      </w:r>
      <w:r>
        <w:t xml:space="preserve"> </w:t>
      </w:r>
      <w:r w:rsidRPr="001E0809">
        <w:t xml:space="preserve">Comments at 5 (stating that if “the Commission intended to use [the methodology proposed in the </w:t>
      </w:r>
      <w:r w:rsidRPr="00EA7939">
        <w:rPr>
          <w:i/>
        </w:rPr>
        <w:t>ISIX PN</w:t>
      </w:r>
      <w:r w:rsidRPr="001E0809">
        <w:t>] as a basis for interference protection following the auction,” such a result “would contravene the express provisions of the Spectrum Act and would prove legally unsustainable”).</w:t>
      </w:r>
    </w:p>
  </w:footnote>
  <w:footnote w:id="215">
    <w:p w14:paraId="07D1AEF2" w14:textId="77777777" w:rsidR="00850453" w:rsidRDefault="00850453" w:rsidP="007B2711">
      <w:pPr>
        <w:pStyle w:val="FootnoteText"/>
      </w:pPr>
      <w:r>
        <w:rPr>
          <w:rStyle w:val="FootnoteReference"/>
        </w:rPr>
        <w:footnoteRef/>
      </w:r>
      <w:r>
        <w:t xml:space="preserve"> We note that the broadcasters’ arguments are misplaced insofar as the ISIX Methodology adopted in this </w:t>
      </w:r>
      <w:r w:rsidRPr="00940DE8">
        <w:rPr>
          <w:i/>
        </w:rPr>
        <w:t>Second Report and Order</w:t>
      </w:r>
      <w:r>
        <w:t xml:space="preserve"> is concerned.  As discussed above, we will use the ISIX Methodology we adopt here during the incentive auction only.  Issues pertaining to the </w:t>
      </w:r>
      <w:r w:rsidRPr="00940DE8">
        <w:rPr>
          <w:i/>
        </w:rPr>
        <w:t>preservation</w:t>
      </w:r>
      <w:r>
        <w:t xml:space="preserve"> of existing broadcast service in an inter-service interference environment following the incentive auction are discussed in the </w:t>
      </w:r>
      <w:r w:rsidRPr="00940DE8">
        <w:rPr>
          <w:i/>
        </w:rPr>
        <w:t>FNPRM</w:t>
      </w:r>
      <w:r>
        <w:t>.  Nonetheless, because broadcasters have put forth a statutory claim, we address that claim here.</w:t>
      </w:r>
    </w:p>
  </w:footnote>
  <w:footnote w:id="216">
    <w:p w14:paraId="1231223B" w14:textId="77777777" w:rsidR="00850453" w:rsidRPr="001E0809" w:rsidRDefault="00850453" w:rsidP="007B2711">
      <w:pPr>
        <w:pStyle w:val="FootnoteText"/>
      </w:pPr>
      <w:r w:rsidRPr="001E0809">
        <w:rPr>
          <w:rStyle w:val="FootnoteReference"/>
        </w:rPr>
        <w:footnoteRef/>
      </w:r>
      <w:r w:rsidRPr="001E0809">
        <w:t xml:space="preserve"> </w:t>
      </w:r>
      <w:r w:rsidRPr="001E0809">
        <w:rPr>
          <w:i/>
        </w:rPr>
        <w:t>See Incentive Auction R&amp;O</w:t>
      </w:r>
      <w:r>
        <w:rPr>
          <w:i/>
        </w:rPr>
        <w:t xml:space="preserve">, </w:t>
      </w:r>
      <w:r>
        <w:t>29 FCC Rcd</w:t>
      </w:r>
      <w:r w:rsidRPr="001E0809">
        <w:t xml:space="preserve"> at </w:t>
      </w:r>
      <w:r>
        <w:t xml:space="preserve">6575, para. </w:t>
      </w:r>
      <w:r w:rsidRPr="001E0809">
        <w:t>19.  Joint Broadcasters claim that the “Spectrum Act specifies the methodology that must be used in the incentive auction to determine coverage area and population served for each broadcaster,” but “the Commission has not articulated an interpretation of Section 6403(b)(2) of the Spectrum Act that would permit the use of a different methodology.”  Joint Broadcaster</w:t>
      </w:r>
      <w:r>
        <w:t>s</w:t>
      </w:r>
      <w:r w:rsidRPr="001E0809">
        <w:t xml:space="preserve"> Comments at 9.  In fact, we are not using a “different methodology” to determine coverage area and population served.  As required by Section 6403(b)(2), we will use “the methodology described in OET Bulletin 69” to make such determinations.</w:t>
      </w:r>
    </w:p>
  </w:footnote>
  <w:footnote w:id="217">
    <w:p w14:paraId="01FADA46" w14:textId="77777777" w:rsidR="00850453" w:rsidRDefault="00850453" w:rsidP="007B2711">
      <w:pPr>
        <w:pStyle w:val="FootnoteText"/>
      </w:pPr>
      <w:r>
        <w:rPr>
          <w:rStyle w:val="FootnoteReference"/>
        </w:rPr>
        <w:footnoteRef/>
      </w:r>
      <w:r>
        <w:t xml:space="preserve"> </w:t>
      </w:r>
      <w:r w:rsidRPr="004D15A5">
        <w:t>OET Bulletin 69</w:t>
      </w:r>
      <w:r>
        <w:t xml:space="preserve"> provides for evaluating potential interference between television stations, but it does not provide for evaluating the impact of wireless operations on television station operations.  In other words, as the Joint Broadcasters seem to acknowledge by advocating a fixed distance-based approach in contradiction to their statutory argument, OET Bulletin 69 is not designed to predict inter-service interference.  </w:t>
      </w:r>
      <w:r w:rsidRPr="001E0809">
        <w:rPr>
          <w:i/>
        </w:rPr>
        <w:t xml:space="preserve">See </w:t>
      </w:r>
      <w:r w:rsidRPr="00CE7668">
        <w:t>OET Bulletin 69 at 7</w:t>
      </w:r>
      <w:r>
        <w:t xml:space="preserve">; </w:t>
      </w:r>
      <w:r w:rsidRPr="000E4088">
        <w:rPr>
          <w:i/>
        </w:rPr>
        <w:t>see also</w:t>
      </w:r>
      <w:r>
        <w:t xml:space="preserve"> </w:t>
      </w:r>
      <w:r w:rsidRPr="001E0809">
        <w:t>Joint Broadcaster</w:t>
      </w:r>
      <w:r>
        <w:t>s</w:t>
      </w:r>
      <w:r w:rsidRPr="001E0809">
        <w:t xml:space="preserve"> Comments at 39-40</w:t>
      </w:r>
      <w:r>
        <w:t xml:space="preserve"> (supporting a fixed-distance approach to preventing inter-service interference rather than “the </w:t>
      </w:r>
      <w:r w:rsidRPr="004D15A5">
        <w:t>methodology described in OET Bulletin 69</w:t>
      </w:r>
      <w:r>
        <w:t>”).  We note</w:t>
      </w:r>
      <w:r w:rsidRPr="00CE7668">
        <w:t>,</w:t>
      </w:r>
      <w:r>
        <w:t xml:space="preserve"> however, that</w:t>
      </w:r>
      <w:r w:rsidRPr="00CE7668">
        <w:t xml:space="preserve"> the</w:t>
      </w:r>
      <w:r w:rsidRPr="004E6A54">
        <w:t xml:space="preserve"> </w:t>
      </w:r>
      <w:r>
        <w:t xml:space="preserve">Commission has used OET Bulletin </w:t>
      </w:r>
      <w:r w:rsidRPr="00CE7668">
        <w:t>69, with adjustments, to predict interference between wireless services and television stations</w:t>
      </w:r>
      <w:r>
        <w:t xml:space="preserve">, </w:t>
      </w:r>
      <w:r>
        <w:rPr>
          <w:i/>
        </w:rPr>
        <w:t>se</w:t>
      </w:r>
      <w:r w:rsidRPr="00CE7668">
        <w:rPr>
          <w:i/>
        </w:rPr>
        <w:t>e</w:t>
      </w:r>
      <w:r w:rsidRPr="00CE7668">
        <w:t xml:space="preserve"> </w:t>
      </w:r>
      <w:r w:rsidRPr="00CE7668">
        <w:rPr>
          <w:i/>
        </w:rPr>
        <w:t>Qualcomm Incorporated Petition for Declaratory Ruling</w:t>
      </w:r>
      <w:r w:rsidRPr="00CE7668">
        <w:t>, WT Docket No. 05-7, Order, 21 FCC Rcd 11683 (2006)</w:t>
      </w:r>
      <w:r>
        <w:t>, and that the</w:t>
      </w:r>
      <w:r w:rsidRPr="00CE7668">
        <w:t xml:space="preserve"> ISIX </w:t>
      </w:r>
      <w:r>
        <w:t>M</w:t>
      </w:r>
      <w:r w:rsidRPr="00CE7668">
        <w:t>ethodology</w:t>
      </w:r>
      <w:r w:rsidRPr="00C702FF">
        <w:rPr>
          <w:color w:val="1F497D"/>
        </w:rPr>
        <w:t xml:space="preserve"> </w:t>
      </w:r>
      <w:r w:rsidRPr="000E4088">
        <w:rPr>
          <w:color w:val="000000" w:themeColor="text1"/>
        </w:rPr>
        <w:t xml:space="preserve">we adopt </w:t>
      </w:r>
      <w:r w:rsidRPr="00BF4166">
        <w:t>uses some of the major concepts in the methodology described in OET</w:t>
      </w:r>
      <w:r>
        <w:t xml:space="preserve"> Bulletin </w:t>
      </w:r>
      <w:r w:rsidRPr="00BF4166">
        <w:t>69.</w:t>
      </w:r>
    </w:p>
  </w:footnote>
  <w:footnote w:id="218">
    <w:p w14:paraId="0F9462AF" w14:textId="77777777" w:rsidR="00850453" w:rsidRPr="005D7EFF" w:rsidRDefault="00850453" w:rsidP="007B2711">
      <w:pPr>
        <w:pStyle w:val="FootnoteText"/>
      </w:pPr>
      <w:r w:rsidRPr="001E0809">
        <w:rPr>
          <w:rStyle w:val="FootnoteReference"/>
        </w:rPr>
        <w:footnoteRef/>
      </w:r>
      <w:r w:rsidRPr="001E0809">
        <w:t xml:space="preserve"> As the Joint Broadcasters acknowledge, “Section 6403(b)(2) provides the standard against which the adequacy of the incentive auction and repacking process must be measured:  namely, coverage area and population served of each broadcast station using OET-69 . . . .  In conducting the incentive auction, the Commission ‘shall make all reasonable efforts’ to preserve those values . . . .’”  </w:t>
      </w:r>
      <w:r w:rsidRPr="001E0809">
        <w:rPr>
          <w:i/>
        </w:rPr>
        <w:t xml:space="preserve">See </w:t>
      </w:r>
      <w:r w:rsidRPr="001E0809">
        <w:t>Joint Broadcaster</w:t>
      </w:r>
      <w:r>
        <w:t>s</w:t>
      </w:r>
      <w:r w:rsidRPr="001E0809">
        <w:t xml:space="preserve"> Comme</w:t>
      </w:r>
      <w:r w:rsidRPr="005D7EFF">
        <w:t>nts at 5.</w:t>
      </w:r>
    </w:p>
  </w:footnote>
  <w:footnote w:id="219">
    <w:p w14:paraId="4A9A9058" w14:textId="77777777" w:rsidR="00850453" w:rsidRDefault="00850453">
      <w:pPr>
        <w:pStyle w:val="FootnoteText"/>
      </w:pPr>
      <w:r>
        <w:rPr>
          <w:rStyle w:val="FootnoteReference"/>
        </w:rPr>
        <w:footnoteRef/>
      </w:r>
      <w:r>
        <w:t xml:space="preserve"> </w:t>
      </w:r>
      <w:r w:rsidRPr="008C65E0">
        <w:rPr>
          <w:i/>
        </w:rPr>
        <w:t>See supra</w:t>
      </w:r>
      <w:r>
        <w:rPr>
          <w:i/>
        </w:rPr>
        <w:t>,</w:t>
      </w:r>
      <w:r>
        <w:t xml:space="preserve"> para. </w:t>
      </w:r>
      <w:r>
        <w:fldChar w:fldCharType="begin"/>
      </w:r>
      <w:r>
        <w:instrText xml:space="preserve"> REF _Ref398030717 \r \h </w:instrText>
      </w:r>
      <w:r>
        <w:fldChar w:fldCharType="separate"/>
      </w:r>
      <w:r>
        <w:t>26</w:t>
      </w:r>
      <w:r>
        <w:fldChar w:fldCharType="end"/>
      </w:r>
      <w:r>
        <w:t xml:space="preserve">. </w:t>
      </w:r>
    </w:p>
  </w:footnote>
  <w:footnote w:id="220">
    <w:p w14:paraId="26A0565D" w14:textId="77777777" w:rsidR="00850453" w:rsidRDefault="00850453" w:rsidP="00F92DB1">
      <w:pPr>
        <w:pStyle w:val="FootnoteText"/>
      </w:pPr>
      <w:r>
        <w:rPr>
          <w:rStyle w:val="FootnoteReference"/>
        </w:rPr>
        <w:footnoteRef/>
      </w:r>
      <w:r>
        <w:t xml:space="preserve"> We will address where to place any broadcast television stations that are assigned channels in the 600 MHz Band in the forthcoming </w:t>
      </w:r>
      <w:r>
        <w:rPr>
          <w:i/>
        </w:rPr>
        <w:t>Comment PN</w:t>
      </w:r>
      <w:r>
        <w:t xml:space="preserve">.  </w:t>
      </w:r>
    </w:p>
  </w:footnote>
  <w:footnote w:id="221">
    <w:p w14:paraId="701DF1D1" w14:textId="77777777" w:rsidR="00850453" w:rsidRDefault="00850453">
      <w:pPr>
        <w:pStyle w:val="FootnoteText"/>
      </w:pPr>
      <w:r>
        <w:rPr>
          <w:rStyle w:val="FootnoteReference"/>
        </w:rPr>
        <w:footnoteRef/>
      </w:r>
      <w:r>
        <w:t xml:space="preserve"> </w:t>
      </w:r>
      <w:r w:rsidRPr="008C65E0">
        <w:rPr>
          <w:i/>
        </w:rPr>
        <w:t>See supra</w:t>
      </w:r>
      <w:r>
        <w:rPr>
          <w:i/>
        </w:rPr>
        <w:t>,</w:t>
      </w:r>
      <w:r>
        <w:t xml:space="preserve"> paras. </w:t>
      </w:r>
      <w:r>
        <w:fldChar w:fldCharType="begin"/>
      </w:r>
      <w:r>
        <w:instrText xml:space="preserve"> REF _Ref397928766 \r \h </w:instrText>
      </w:r>
      <w:r>
        <w:fldChar w:fldCharType="separate"/>
      </w:r>
      <w:r>
        <w:t>30</w:t>
      </w:r>
      <w:r>
        <w:fldChar w:fldCharType="end"/>
      </w:r>
      <w:r>
        <w:t>-</w:t>
      </w:r>
      <w:r>
        <w:fldChar w:fldCharType="begin"/>
      </w:r>
      <w:r>
        <w:instrText xml:space="preserve"> REF _Ref398030124 \r \h </w:instrText>
      </w:r>
      <w:r>
        <w:fldChar w:fldCharType="separate"/>
      </w:r>
      <w:r>
        <w:t>31</w:t>
      </w:r>
      <w:r>
        <w:fldChar w:fldCharType="end"/>
      </w:r>
      <w:r>
        <w:t>.</w:t>
      </w:r>
    </w:p>
  </w:footnote>
  <w:footnote w:id="222">
    <w:p w14:paraId="47D2DC6E" w14:textId="77777777" w:rsidR="00850453" w:rsidRDefault="00850453" w:rsidP="00F92DB1">
      <w:pPr>
        <w:pStyle w:val="FootnoteText"/>
      </w:pPr>
      <w:r>
        <w:rPr>
          <w:rStyle w:val="FootnoteReference"/>
        </w:rPr>
        <w:footnoteRef/>
      </w:r>
      <w:r>
        <w:t xml:space="preserve"> </w:t>
      </w:r>
      <w:r w:rsidRPr="008C65E0">
        <w:rPr>
          <w:i/>
        </w:rPr>
        <w:t xml:space="preserve">See </w:t>
      </w:r>
      <w:r>
        <w:rPr>
          <w:i/>
        </w:rPr>
        <w:t>id</w:t>
      </w:r>
      <w:r>
        <w:t>.</w:t>
      </w:r>
    </w:p>
  </w:footnote>
  <w:footnote w:id="223">
    <w:p w14:paraId="7F5F4B63" w14:textId="77777777" w:rsidR="00850453" w:rsidRPr="00FB35DC" w:rsidRDefault="00850453" w:rsidP="00F92DB1">
      <w:pPr>
        <w:pStyle w:val="FootnoteText"/>
      </w:pPr>
      <w:r>
        <w:rPr>
          <w:rStyle w:val="FootnoteReference"/>
        </w:rPr>
        <w:footnoteRef/>
      </w:r>
      <w:r>
        <w:t xml:space="preserve"> </w:t>
      </w:r>
      <w:r>
        <w:rPr>
          <w:i/>
        </w:rPr>
        <w:t>See Incentive Auction R&amp;O</w:t>
      </w:r>
      <w:r>
        <w:t xml:space="preserve">, 29 FCC Rcd at 6606, para. 86 (“licensees with impaired licenses will be limited to operation within the boundaries permitted under the inter-service interference rules we adopt.”) </w:t>
      </w:r>
    </w:p>
  </w:footnote>
  <w:footnote w:id="224">
    <w:p w14:paraId="05DC1698" w14:textId="77777777" w:rsidR="00850453" w:rsidRDefault="00850453" w:rsidP="00F92DB1">
      <w:pPr>
        <w:pStyle w:val="FootnoteText"/>
      </w:pPr>
      <w:r>
        <w:rPr>
          <w:rStyle w:val="FootnoteReference"/>
        </w:rPr>
        <w:footnoteRef/>
      </w:r>
      <w:r>
        <w:t xml:space="preserve"> </w:t>
      </w:r>
      <w:r w:rsidRPr="00205EAA">
        <w:rPr>
          <w:i/>
        </w:rPr>
        <w:t>See</w:t>
      </w:r>
      <w:r>
        <w:t xml:space="preserve"> App. E.</w:t>
      </w:r>
    </w:p>
  </w:footnote>
  <w:footnote w:id="225">
    <w:p w14:paraId="675B81FC" w14:textId="77777777" w:rsidR="00850453" w:rsidRDefault="00850453" w:rsidP="00F92DB1">
      <w:pPr>
        <w:pStyle w:val="FootnoteText"/>
      </w:pPr>
      <w:r>
        <w:rPr>
          <w:rStyle w:val="FootnoteReference"/>
        </w:rPr>
        <w:footnoteRef/>
      </w:r>
      <w:r>
        <w:t xml:space="preserve"> </w:t>
      </w:r>
      <w:r w:rsidRPr="00A555B7">
        <w:rPr>
          <w:i/>
        </w:rPr>
        <w:t>See supra</w:t>
      </w:r>
      <w:r>
        <w:rPr>
          <w:i/>
        </w:rPr>
        <w:t>,</w:t>
      </w:r>
      <w:r>
        <w:t xml:space="preserve"> para. </w:t>
      </w:r>
      <w:r>
        <w:fldChar w:fldCharType="begin"/>
      </w:r>
      <w:r>
        <w:instrText xml:space="preserve"> REF _Ref398030204 \r \h </w:instrText>
      </w:r>
      <w:r>
        <w:fldChar w:fldCharType="separate"/>
      </w:r>
      <w:r>
        <w:t>56</w:t>
      </w:r>
      <w:r>
        <w:fldChar w:fldCharType="end"/>
      </w:r>
      <w:r>
        <w:t>.</w:t>
      </w:r>
    </w:p>
  </w:footnote>
  <w:footnote w:id="226">
    <w:p w14:paraId="3C96864D" w14:textId="77777777" w:rsidR="00850453" w:rsidRDefault="00850453">
      <w:pPr>
        <w:pStyle w:val="FootnoteText"/>
      </w:pPr>
      <w:r>
        <w:rPr>
          <w:rStyle w:val="FootnoteReference"/>
        </w:rPr>
        <w:footnoteRef/>
      </w:r>
      <w:r>
        <w:t xml:space="preserve"> </w:t>
      </w:r>
      <w:r w:rsidRPr="00EA7939">
        <w:rPr>
          <w:i/>
        </w:rPr>
        <w:t>See Incentive Auction R&amp;O</w:t>
      </w:r>
      <w:r>
        <w:t xml:space="preserve">, 29 FCC Rcd at 6606, para. 87. </w:t>
      </w:r>
    </w:p>
  </w:footnote>
  <w:footnote w:id="227">
    <w:p w14:paraId="75AB0512" w14:textId="77777777" w:rsidR="00850453" w:rsidRDefault="00850453">
      <w:pPr>
        <w:pStyle w:val="FootnoteText"/>
      </w:pPr>
      <w:r>
        <w:rPr>
          <w:rStyle w:val="FootnoteReference"/>
        </w:rPr>
        <w:footnoteRef/>
      </w:r>
      <w:r>
        <w:t xml:space="preserve"> See Incentive Auction R7O, 29 FCC Rcd at 6796, para. 559  (defining the </w:t>
      </w:r>
      <w:r w:rsidRPr="004D22FD">
        <w:t>“Post-Auction Transition Period”</w:t>
      </w:r>
      <w:r>
        <w:t xml:space="preserve"> as the 39-month transition period</w:t>
      </w:r>
      <w:r w:rsidRPr="004D22FD">
        <w:t xml:space="preserve"> for broadcasters that are assigned new channels in the repacking process and winning UHF-to-VHF and high-VHF-to-low-VHF bidders</w:t>
      </w:r>
      <w:r>
        <w:t xml:space="preserve"> to relocate to their new channels.</w:t>
      </w:r>
      <w:r w:rsidRPr="004D22FD">
        <w:t xml:space="preserve"> The Post-Auction Transition Period will include (1) the three-month period beginning upon the release of the Channel Reassignment PN, during which broadcasters will complete and file their construction permit applications, followed by (2) a 36-month period consisting </w:t>
      </w:r>
      <w:r>
        <w:t>of varied construction deadline)</w:t>
      </w:r>
      <w:r w:rsidRPr="004D22FD">
        <w:t>.</w:t>
      </w:r>
      <w:r>
        <w:t xml:space="preserve"> </w:t>
      </w:r>
      <w:r w:rsidRPr="00EA7939">
        <w:rPr>
          <w:i/>
        </w:rPr>
        <w:t>See id.</w:t>
      </w:r>
    </w:p>
  </w:footnote>
  <w:footnote w:id="228">
    <w:p w14:paraId="3CEE8038" w14:textId="77777777" w:rsidR="00850453" w:rsidRDefault="00850453" w:rsidP="00F92DB1">
      <w:pPr>
        <w:pStyle w:val="FootnoteText"/>
      </w:pPr>
      <w:r>
        <w:rPr>
          <w:rStyle w:val="FootnoteReference"/>
        </w:rPr>
        <w:footnoteRef/>
      </w:r>
      <w:r>
        <w:t xml:space="preserve"> </w:t>
      </w:r>
      <w:r w:rsidRPr="00E12A4B">
        <w:rPr>
          <w:i/>
        </w:rPr>
        <w:t>See</w:t>
      </w:r>
      <w:r>
        <w:rPr>
          <w:i/>
        </w:rPr>
        <w:t xml:space="preserve"> </w:t>
      </w:r>
      <w:r w:rsidRPr="004F2766">
        <w:rPr>
          <w:i/>
        </w:rPr>
        <w:t>ISIX PN</w:t>
      </w:r>
      <w:r>
        <w:t xml:space="preserve">, </w:t>
      </w:r>
      <w:r w:rsidRPr="004F2766">
        <w:t>29</w:t>
      </w:r>
      <w:r w:rsidRPr="0002234D">
        <w:t xml:space="preserve"> FCC Rcd </w:t>
      </w:r>
      <w:r w:rsidRPr="00E12A4B">
        <w:t>at 7</w:t>
      </w:r>
      <w:r>
        <w:t>18</w:t>
      </w:r>
      <w:r w:rsidRPr="00E12A4B">
        <w:t>.</w:t>
      </w:r>
      <w:r w:rsidRPr="00F17E4E">
        <w:t xml:space="preserve"> </w:t>
      </w:r>
      <w:r>
        <w:t xml:space="preserve"> As noted in the </w:t>
      </w:r>
      <w:r w:rsidRPr="00D7516E">
        <w:rPr>
          <w:i/>
        </w:rPr>
        <w:t>ISIX PN</w:t>
      </w:r>
      <w:r>
        <w:t xml:space="preserve">, the ISIX Methodology predicts interference from wireless operations to DTV but does not address the limits that should be applied to such interference.  </w:t>
      </w:r>
      <w:r w:rsidRPr="00F17E4E">
        <w:rPr>
          <w:i/>
        </w:rPr>
        <w:t>See id.</w:t>
      </w:r>
      <w:r>
        <w:rPr>
          <w:i/>
        </w:rPr>
        <w:t xml:space="preserve">  </w:t>
      </w:r>
      <w:r w:rsidRPr="00F92DB1">
        <w:t xml:space="preserve">Wireless commenters </w:t>
      </w:r>
      <w:r>
        <w:t xml:space="preserve">support </w:t>
      </w:r>
      <w:r w:rsidRPr="00F92DB1">
        <w:t>a</w:t>
      </w:r>
      <w:r>
        <w:t>llowing</w:t>
      </w:r>
      <w:r w:rsidRPr="00F92DB1">
        <w:t xml:space="preserve"> </w:t>
      </w:r>
      <w:r w:rsidRPr="00F92DB1">
        <w:rPr>
          <w:i/>
        </w:rPr>
        <w:t>de minimis</w:t>
      </w:r>
      <w:r w:rsidRPr="00F92DB1">
        <w:t xml:space="preserve"> amount of interference.</w:t>
      </w:r>
      <w:r>
        <w:t xml:space="preserve">  For example, Sprint and 4G Americas believe that interference from wireless service predicted within the DTV service contour should be treated the same way as interference between DTV stations.  </w:t>
      </w:r>
      <w:r w:rsidRPr="00E977A0">
        <w:rPr>
          <w:i/>
        </w:rPr>
        <w:t>See</w:t>
      </w:r>
      <w:r>
        <w:rPr>
          <w:i/>
        </w:rPr>
        <w:t xml:space="preserve"> </w:t>
      </w:r>
      <w:r>
        <w:t>4G Americas at 6; Sprint Comments at 11.</w:t>
      </w:r>
    </w:p>
  </w:footnote>
  <w:footnote w:id="229">
    <w:p w14:paraId="24B9C7C7" w14:textId="77777777" w:rsidR="00850453" w:rsidRDefault="00850453" w:rsidP="00F92DB1">
      <w:pPr>
        <w:pStyle w:val="FootnoteText"/>
      </w:pPr>
      <w:r>
        <w:rPr>
          <w:rStyle w:val="FootnoteReference"/>
        </w:rPr>
        <w:footnoteRef/>
      </w:r>
      <w:r>
        <w:t xml:space="preserve"> </w:t>
      </w:r>
      <w:r w:rsidRPr="000A1509">
        <w:rPr>
          <w:i/>
        </w:rPr>
        <w:t>I</w:t>
      </w:r>
      <w:r>
        <w:rPr>
          <w:i/>
        </w:rPr>
        <w:t xml:space="preserve">ncentive </w:t>
      </w:r>
      <w:r w:rsidRPr="000A1509">
        <w:rPr>
          <w:i/>
        </w:rPr>
        <w:t>A</w:t>
      </w:r>
      <w:r>
        <w:rPr>
          <w:i/>
        </w:rPr>
        <w:t>uction</w:t>
      </w:r>
      <w:r w:rsidRPr="000A1509">
        <w:rPr>
          <w:i/>
        </w:rPr>
        <w:t xml:space="preserve"> R&amp;O</w:t>
      </w:r>
      <w:r>
        <w:t>, 29 FCC Rcd at 6643-44, paras. 164-65 (discussing full power stations’ “service area” and Class A stations’ “protected contour”).</w:t>
      </w:r>
    </w:p>
  </w:footnote>
  <w:footnote w:id="230">
    <w:p w14:paraId="0631D232" w14:textId="77777777" w:rsidR="00850453" w:rsidRDefault="00850453" w:rsidP="00E07717">
      <w:pPr>
        <w:pStyle w:val="FootnoteText"/>
      </w:pPr>
      <w:r>
        <w:rPr>
          <w:rStyle w:val="FootnoteReference"/>
        </w:rPr>
        <w:footnoteRef/>
      </w:r>
      <w:r>
        <w:t xml:space="preserve"> The Commission has long applied a 0.5 percent interference threshold to “pairwise” interference between television stations, consistent with the repacking approach we adopted in the </w:t>
      </w:r>
      <w:r>
        <w:rPr>
          <w:i/>
        </w:rPr>
        <w:t>Incentive Auction R&amp;O.</w:t>
      </w:r>
      <w:r>
        <w:t xml:space="preserve">  </w:t>
      </w:r>
      <w:r w:rsidRPr="006F602E">
        <w:rPr>
          <w:i/>
        </w:rPr>
        <w:t xml:space="preserve">See </w:t>
      </w:r>
      <w:r>
        <w:rPr>
          <w:i/>
        </w:rPr>
        <w:t>Incentive Auction R&amp;O</w:t>
      </w:r>
      <w:r w:rsidRPr="006F602E">
        <w:t xml:space="preserve"> at </w:t>
      </w:r>
      <w:r>
        <w:t>29 FCC Rcd at 6649-51, paras. 176-82.</w:t>
      </w:r>
    </w:p>
  </w:footnote>
  <w:footnote w:id="231">
    <w:p w14:paraId="405984C8" w14:textId="77777777" w:rsidR="00850453" w:rsidRDefault="00850453" w:rsidP="00036217">
      <w:pPr>
        <w:pStyle w:val="FootnoteText"/>
      </w:pPr>
      <w:r>
        <w:rPr>
          <w:rStyle w:val="FootnoteReference"/>
        </w:rPr>
        <w:footnoteRef/>
      </w:r>
      <w:r>
        <w:t xml:space="preserve"> We conclude in the companion </w:t>
      </w:r>
      <w:r>
        <w:rPr>
          <w:i/>
        </w:rPr>
        <w:t xml:space="preserve">Second Report &amp; Order </w:t>
      </w:r>
      <w:r>
        <w:t xml:space="preserve">that an aggregate cap on interference to television stations in the repacking process is not only unnecessary but would threaten our goal of a successful auction by unduly slowing down the reverse auction bidding process.   </w:t>
      </w:r>
      <w:r w:rsidRPr="006A744E">
        <w:rPr>
          <w:i/>
        </w:rPr>
        <w:t>See supra</w:t>
      </w:r>
      <w:r>
        <w:rPr>
          <w:i/>
        </w:rPr>
        <w:t>,</w:t>
      </w:r>
      <w:r>
        <w:t xml:space="preserve"> para.</w:t>
      </w:r>
      <w:r>
        <w:fldChar w:fldCharType="begin"/>
      </w:r>
      <w:r>
        <w:instrText xml:space="preserve"> REF _Ref270235743 \r \h </w:instrText>
      </w:r>
      <w:r>
        <w:fldChar w:fldCharType="separate"/>
      </w:r>
      <w:r>
        <w:t>16</w:t>
      </w:r>
      <w:r>
        <w:fldChar w:fldCharType="end"/>
      </w:r>
      <w:r>
        <w:t xml:space="preserve">. The proposed zero percent threshold would apply following the incentive auction, however, and should not impact our ability to repurpose spectrum through the repacking process.  </w:t>
      </w:r>
    </w:p>
  </w:footnote>
  <w:footnote w:id="232">
    <w:p w14:paraId="4547C479" w14:textId="77777777" w:rsidR="00850453" w:rsidRDefault="00850453">
      <w:pPr>
        <w:pStyle w:val="FootnoteText"/>
      </w:pPr>
      <w:r>
        <w:rPr>
          <w:rStyle w:val="FootnoteReference"/>
        </w:rPr>
        <w:footnoteRef/>
      </w:r>
      <w:r>
        <w:t xml:space="preserve"> </w:t>
      </w:r>
      <w:r w:rsidRPr="006A744E">
        <w:rPr>
          <w:i/>
        </w:rPr>
        <w:t>See supra</w:t>
      </w:r>
      <w:r>
        <w:rPr>
          <w:i/>
        </w:rPr>
        <w:t>,</w:t>
      </w:r>
      <w:r>
        <w:t xml:space="preserve"> paras. </w:t>
      </w:r>
      <w:r>
        <w:fldChar w:fldCharType="begin"/>
      </w:r>
      <w:r>
        <w:instrText xml:space="preserve"> REF _Ref398031264 \r \h </w:instrText>
      </w:r>
      <w:r>
        <w:fldChar w:fldCharType="separate"/>
      </w:r>
      <w:r>
        <w:t>5</w:t>
      </w:r>
      <w:r>
        <w:fldChar w:fldCharType="end"/>
      </w:r>
      <w:r>
        <w:t xml:space="preserve">, </w:t>
      </w:r>
      <w:r>
        <w:fldChar w:fldCharType="begin"/>
      </w:r>
      <w:r>
        <w:instrText xml:space="preserve"> REF _Ref270235735 \r \h </w:instrText>
      </w:r>
      <w:r>
        <w:fldChar w:fldCharType="separate"/>
      </w:r>
      <w:r>
        <w:t>14</w:t>
      </w:r>
      <w:r>
        <w:fldChar w:fldCharType="end"/>
      </w:r>
      <w:r>
        <w:t>-</w:t>
      </w:r>
      <w:r>
        <w:fldChar w:fldCharType="begin"/>
      </w:r>
      <w:r>
        <w:instrText xml:space="preserve"> REF _Ref398031288 \r \h </w:instrText>
      </w:r>
      <w:r>
        <w:fldChar w:fldCharType="separate"/>
      </w:r>
      <w:r>
        <w:t>15</w:t>
      </w:r>
      <w:r>
        <w:fldChar w:fldCharType="end"/>
      </w:r>
      <w:r>
        <w:t>.</w:t>
      </w:r>
    </w:p>
  </w:footnote>
  <w:footnote w:id="233">
    <w:p w14:paraId="6D492B4C" w14:textId="77777777" w:rsidR="00850453" w:rsidRDefault="00850453">
      <w:pPr>
        <w:pStyle w:val="FootnoteText"/>
      </w:pPr>
      <w:r>
        <w:rPr>
          <w:rStyle w:val="FootnoteReference"/>
        </w:rPr>
        <w:footnoteRef/>
      </w:r>
      <w:r>
        <w:t xml:space="preserve"> </w:t>
      </w:r>
      <w:r w:rsidRPr="00862954">
        <w:rPr>
          <w:i/>
        </w:rPr>
        <w:t>See supra</w:t>
      </w:r>
      <w:r>
        <w:rPr>
          <w:i/>
        </w:rPr>
        <w:t>,</w:t>
      </w:r>
      <w:r>
        <w:t xml:space="preserve"> para. </w:t>
      </w:r>
      <w:r>
        <w:fldChar w:fldCharType="begin"/>
      </w:r>
      <w:r>
        <w:instrText xml:space="preserve"> REF _Ref398031312 \r \h </w:instrText>
      </w:r>
      <w:r>
        <w:fldChar w:fldCharType="separate"/>
      </w:r>
      <w:r>
        <w:t>29</w:t>
      </w:r>
      <w:r>
        <w:fldChar w:fldCharType="end"/>
      </w:r>
      <w:r>
        <w:t>.</w:t>
      </w:r>
    </w:p>
  </w:footnote>
  <w:footnote w:id="234">
    <w:p w14:paraId="2B0EFE8B" w14:textId="77777777" w:rsidR="00850453" w:rsidRPr="00B00AE6" w:rsidRDefault="00850453">
      <w:pPr>
        <w:pStyle w:val="FootnoteText"/>
      </w:pPr>
      <w:r>
        <w:rPr>
          <w:rStyle w:val="FootnoteReference"/>
        </w:rPr>
        <w:footnoteRef/>
      </w:r>
      <w:r>
        <w:t xml:space="preserve"> </w:t>
      </w:r>
      <w:r w:rsidRPr="00F3761A">
        <w:rPr>
          <w:i/>
        </w:rPr>
        <w:t>See</w:t>
      </w:r>
      <w:r>
        <w:rPr>
          <w:i/>
        </w:rPr>
        <w:t xml:space="preserve"> </w:t>
      </w:r>
      <w:r>
        <w:t>47 C.F.R. § 73.616(e).</w:t>
      </w:r>
    </w:p>
  </w:footnote>
  <w:footnote w:id="235">
    <w:p w14:paraId="7947DEC1" w14:textId="77777777" w:rsidR="00850453" w:rsidRDefault="00850453" w:rsidP="00F92DB1">
      <w:pPr>
        <w:pStyle w:val="FootnoteText"/>
      </w:pPr>
      <w:r>
        <w:rPr>
          <w:rStyle w:val="FootnoteReference"/>
        </w:rPr>
        <w:footnoteRef/>
      </w:r>
      <w:r>
        <w:t xml:space="preserve"> As in the </w:t>
      </w:r>
      <w:r w:rsidRPr="005E53A3">
        <w:rPr>
          <w:i/>
        </w:rPr>
        <w:t xml:space="preserve">Second Report </w:t>
      </w:r>
      <w:r>
        <w:rPr>
          <w:i/>
        </w:rPr>
        <w:t xml:space="preserve">&amp; </w:t>
      </w:r>
      <w:r w:rsidRPr="005E53A3">
        <w:rPr>
          <w:i/>
        </w:rPr>
        <w:t>Order</w:t>
      </w:r>
      <w:r>
        <w:t xml:space="preserve">, the term “contour” refers to either the “noise-limited contour” for full power television stations or “protected contour” for Class A television stations.  </w:t>
      </w:r>
      <w:r w:rsidRPr="00D20288">
        <w:rPr>
          <w:i/>
        </w:rPr>
        <w:t>See</w:t>
      </w:r>
      <w:r>
        <w:t xml:space="preserve"> 47 C.F.R. §§ 73.622(e), 73.6010.</w:t>
      </w:r>
    </w:p>
  </w:footnote>
  <w:footnote w:id="236">
    <w:p w14:paraId="55397E29" w14:textId="77777777" w:rsidR="00850453" w:rsidRDefault="00850453" w:rsidP="00F92DB1">
      <w:pPr>
        <w:pStyle w:val="FootnoteText"/>
      </w:pPr>
      <w:r w:rsidRPr="009030D9">
        <w:rPr>
          <w:rStyle w:val="FootnoteReference"/>
        </w:rPr>
        <w:footnoteRef/>
      </w:r>
      <w:r w:rsidRPr="009030D9">
        <w:t xml:space="preserve"> </w:t>
      </w:r>
      <w:r w:rsidRPr="004321F5">
        <w:t xml:space="preserve">A culling distance is a contour-to-site distance, whereby wireless base stations beyond this distance are culled from further analysis, because their interference contribution to DTV service within the contour would not be considered significant. </w:t>
      </w:r>
    </w:p>
  </w:footnote>
  <w:footnote w:id="237">
    <w:p w14:paraId="19A9C20A" w14:textId="77777777" w:rsidR="00850453" w:rsidRPr="006B67AA" w:rsidRDefault="00850453" w:rsidP="00F92DB1">
      <w:pPr>
        <w:pStyle w:val="FootnoteText"/>
      </w:pPr>
      <w:r>
        <w:rPr>
          <w:rStyle w:val="FootnoteReference"/>
        </w:rPr>
        <w:footnoteRef/>
      </w:r>
      <w:r>
        <w:t xml:space="preserve"> </w:t>
      </w:r>
      <w:r w:rsidRPr="00A24C98">
        <w:rPr>
          <w:bCs/>
        </w:rPr>
        <w:t>The distances in the table were calculated based on the FCC UHF F(50,10) curves, ERP, HAAT</w:t>
      </w:r>
      <w:r>
        <w:rPr>
          <w:bCs/>
        </w:rPr>
        <w:t>,</w:t>
      </w:r>
      <w:r w:rsidRPr="00A24C98">
        <w:rPr>
          <w:bCs/>
        </w:rPr>
        <w:t xml:space="preserve"> and an interfering field strength determined from the equation 41 dBµ - 23 dB + OFR(</w:t>
      </w:r>
      <w:r>
        <w:rPr>
          <w:bCs/>
        </w:rPr>
        <w:t>dB</w:t>
      </w:r>
      <w:r w:rsidRPr="00A24C98">
        <w:rPr>
          <w:bCs/>
        </w:rPr>
        <w:t xml:space="preserve">).  The OFR values as a function of the wireless to DTV channel spectral overlap are those adopted </w:t>
      </w:r>
      <w:r>
        <w:rPr>
          <w:bCs/>
        </w:rPr>
        <w:t>for</w:t>
      </w:r>
      <w:r w:rsidRPr="00A24C98">
        <w:rPr>
          <w:bCs/>
        </w:rPr>
        <w:t xml:space="preserve"> ISIX Case 3 and specified in Table 5 </w:t>
      </w:r>
      <w:r w:rsidRPr="006B67AA">
        <w:rPr>
          <w:bCs/>
        </w:rPr>
        <w:t>of the attached proposed OET</w:t>
      </w:r>
      <w:r>
        <w:rPr>
          <w:bCs/>
        </w:rPr>
        <w:t>-</w:t>
      </w:r>
      <w:r w:rsidRPr="006B67AA">
        <w:rPr>
          <w:bCs/>
        </w:rPr>
        <w:t>74</w:t>
      </w:r>
      <w:r w:rsidRPr="004158D3">
        <w:rPr>
          <w:bCs/>
        </w:rPr>
        <w:t xml:space="preserve">.  </w:t>
      </w:r>
      <w:r w:rsidRPr="00BA0309">
        <w:rPr>
          <w:bCs/>
          <w:i/>
        </w:rPr>
        <w:t xml:space="preserve">See </w:t>
      </w:r>
      <w:r w:rsidRPr="00BA0309">
        <w:rPr>
          <w:bCs/>
        </w:rPr>
        <w:t>Appendix E, Proposed OET Bulletin No. 74 at 91-93, Tables 7-13.</w:t>
      </w:r>
      <w:r w:rsidRPr="00F3761A">
        <w:rPr>
          <w:bCs/>
        </w:rPr>
        <w:t xml:space="preserve"> </w:t>
      </w:r>
    </w:p>
  </w:footnote>
  <w:footnote w:id="238">
    <w:p w14:paraId="2085B6A0" w14:textId="77777777" w:rsidR="00850453" w:rsidRDefault="00850453" w:rsidP="00F92DB1">
      <w:pPr>
        <w:pStyle w:val="FootnoteText"/>
      </w:pPr>
      <w:r>
        <w:rPr>
          <w:rStyle w:val="FootnoteReference"/>
        </w:rPr>
        <w:footnoteRef/>
      </w:r>
      <w:r>
        <w:t xml:space="preserve"> As explained in the </w:t>
      </w:r>
      <w:r w:rsidRPr="00B764E3">
        <w:rPr>
          <w:i/>
        </w:rPr>
        <w:t xml:space="preserve">Second Report </w:t>
      </w:r>
      <w:r>
        <w:rPr>
          <w:i/>
        </w:rPr>
        <w:t>&amp;</w:t>
      </w:r>
      <w:r w:rsidRPr="00B764E3">
        <w:rPr>
          <w:i/>
        </w:rPr>
        <w:t xml:space="preserve"> Order</w:t>
      </w:r>
      <w:r>
        <w:t xml:space="preserve">, the impairments identified at the time of the auction will be based on the hypothetical placement of wireless base stations on a ten-by-ten kilometer grid operating with typical technical parameters.  </w:t>
      </w:r>
      <w:r w:rsidRPr="00B764E3">
        <w:rPr>
          <w:i/>
        </w:rPr>
        <w:t>See supra</w:t>
      </w:r>
      <w:r>
        <w:rPr>
          <w:i/>
        </w:rPr>
        <w:t>,</w:t>
      </w:r>
      <w:r>
        <w:t xml:space="preserve"> paras. </w:t>
      </w:r>
      <w:r>
        <w:fldChar w:fldCharType="begin"/>
      </w:r>
      <w:r>
        <w:instrText xml:space="preserve"> REF _Ref398033295 \r \h </w:instrText>
      </w:r>
      <w:r>
        <w:fldChar w:fldCharType="separate"/>
      </w:r>
      <w:r>
        <w:t>51</w:t>
      </w:r>
      <w:r>
        <w:fldChar w:fldCharType="end"/>
      </w:r>
      <w:r>
        <w:t>-</w:t>
      </w:r>
      <w:r>
        <w:fldChar w:fldCharType="begin"/>
      </w:r>
      <w:r>
        <w:instrText xml:space="preserve"> REF _Ref398033301 \r \h </w:instrText>
      </w:r>
      <w:r>
        <w:fldChar w:fldCharType="separate"/>
      </w:r>
      <w:r>
        <w:t>53</w:t>
      </w:r>
      <w:r>
        <w:fldChar w:fldCharType="end"/>
      </w:r>
      <w:r>
        <w:t xml:space="preserve">; </w:t>
      </w:r>
      <w:r w:rsidRPr="00BA0309">
        <w:rPr>
          <w:i/>
        </w:rPr>
        <w:t>see also</w:t>
      </w:r>
      <w:r>
        <w:t xml:space="preserve"> App. A, Technical Appendix at para. </w:t>
      </w:r>
      <w:r>
        <w:fldChar w:fldCharType="begin"/>
      </w:r>
      <w:r>
        <w:instrText xml:space="preserve"> REF _Ref398033392 \r \h </w:instrText>
      </w:r>
      <w:r>
        <w:fldChar w:fldCharType="separate"/>
      </w:r>
      <w:r>
        <w:t>16</w:t>
      </w:r>
      <w:r>
        <w:fldChar w:fldCharType="end"/>
      </w:r>
      <w:r>
        <w:t xml:space="preserve">.  In the </w:t>
      </w:r>
      <w:r w:rsidRPr="00731C4F">
        <w:rPr>
          <w:i/>
        </w:rPr>
        <w:t>Comment PN</w:t>
      </w:r>
      <w:r>
        <w:rPr>
          <w:i/>
        </w:rPr>
        <w:t xml:space="preserve"> </w:t>
      </w:r>
      <w:r w:rsidRPr="00F3761A">
        <w:t>on final auction procedures</w:t>
      </w:r>
      <w:r>
        <w:t xml:space="preserve">, we will propose in more specific detail the information forward auction bidders will be provided about impairments during the auction.  These impairments may be different once a wireless licensee analyzes its actual network deployment inputs.  </w:t>
      </w:r>
    </w:p>
  </w:footnote>
  <w:footnote w:id="239">
    <w:p w14:paraId="44BBEC6B" w14:textId="77777777" w:rsidR="00850453" w:rsidRDefault="00850453" w:rsidP="00F92DB1">
      <w:pPr>
        <w:pStyle w:val="FootnoteText"/>
      </w:pPr>
      <w:r>
        <w:rPr>
          <w:rStyle w:val="FootnoteReference"/>
        </w:rPr>
        <w:footnoteRef/>
      </w:r>
      <w:r>
        <w:t xml:space="preserve"> </w:t>
      </w:r>
      <w:r w:rsidRPr="00A30161">
        <w:t>As</w:t>
      </w:r>
      <w:r>
        <w:t xml:space="preserve"> the Joint Broadcasters </w:t>
      </w:r>
      <w:r w:rsidRPr="00A30161">
        <w:t>note</w:t>
      </w:r>
      <w:r>
        <w:t>,</w:t>
      </w:r>
      <w:r w:rsidRPr="00A30161">
        <w:t xml:space="preserve"> </w:t>
      </w:r>
      <w:r>
        <w:t xml:space="preserve">the separation distances needed </w:t>
      </w:r>
      <w:r w:rsidRPr="00A30161">
        <w:t xml:space="preserve">for </w:t>
      </w:r>
      <w:r>
        <w:t xml:space="preserve">the protection of broadcast </w:t>
      </w:r>
      <w:r w:rsidRPr="00A30161">
        <w:t xml:space="preserve">television </w:t>
      </w:r>
      <w:r>
        <w:t xml:space="preserve">stations </w:t>
      </w:r>
      <w:r w:rsidRPr="00A30161">
        <w:t xml:space="preserve">are affected by the technical characteristics of the stations involved, such as </w:t>
      </w:r>
      <w:r>
        <w:t xml:space="preserve">the </w:t>
      </w:r>
      <w:r w:rsidRPr="00A30161">
        <w:t xml:space="preserve">transmitting height and power of </w:t>
      </w:r>
      <w:r>
        <w:t xml:space="preserve">the </w:t>
      </w:r>
      <w:r w:rsidRPr="00A30161">
        <w:t>DTV stations and wireless base stations</w:t>
      </w:r>
      <w:r>
        <w:t xml:space="preserve"> in the area</w:t>
      </w:r>
      <w:r w:rsidRPr="00A30161">
        <w:t>.</w:t>
      </w:r>
      <w:r>
        <w:t xml:space="preserve">  </w:t>
      </w:r>
      <w:r w:rsidRPr="004638EE">
        <w:rPr>
          <w:i/>
        </w:rPr>
        <w:t>See</w:t>
      </w:r>
      <w:r>
        <w:t xml:space="preserve"> Joint Broadcasters Comments at 30.  </w:t>
      </w:r>
    </w:p>
  </w:footnote>
  <w:footnote w:id="240">
    <w:p w14:paraId="7869ABF8" w14:textId="77777777" w:rsidR="00850453" w:rsidRDefault="00850453" w:rsidP="00F92DB1">
      <w:pPr>
        <w:pStyle w:val="FootnoteText"/>
      </w:pPr>
      <w:r>
        <w:rPr>
          <w:rStyle w:val="FootnoteReference"/>
        </w:rPr>
        <w:footnoteRef/>
      </w:r>
      <w:r>
        <w:t xml:space="preserve"> </w:t>
      </w:r>
      <w:r w:rsidRPr="00E1577B">
        <w:rPr>
          <w:i/>
        </w:rPr>
        <w:t xml:space="preserve">See </w:t>
      </w:r>
      <w:r w:rsidRPr="00E1577B">
        <w:t>Appendix E, Proposed OET Bulletin No. 74, at 86.  We</w:t>
      </w:r>
      <w:r>
        <w:t xml:space="preserve"> note that our proposal here is distinguishable from our decision in the companion </w:t>
      </w:r>
      <w:r w:rsidRPr="006A744E">
        <w:rPr>
          <w:i/>
        </w:rPr>
        <w:t>Second Report &amp; Order</w:t>
      </w:r>
      <w:r>
        <w:rPr>
          <w:i/>
        </w:rPr>
        <w:t xml:space="preserve"> </w:t>
      </w:r>
      <w:r>
        <w:t xml:space="preserve">not to impose a cap on the aggregate new interference that any one television station can receive from other stations as a result of the repacking process because the varying degrees of potential spectral overlap between television channels and wireless spectrum blocks, as well as the different technical facilities employed by television and wireless services, make predicting inter-service interference a different enterprise from predicting interference between television stations.  </w:t>
      </w:r>
      <w:r w:rsidRPr="006A744E">
        <w:rPr>
          <w:i/>
        </w:rPr>
        <w:t>See supra</w:t>
      </w:r>
      <w:r>
        <w:t xml:space="preserve">, para. </w:t>
      </w:r>
      <w:r>
        <w:fldChar w:fldCharType="begin"/>
      </w:r>
      <w:r>
        <w:instrText xml:space="preserve"> REF _Ref398031312 \r \h </w:instrText>
      </w:r>
      <w:r>
        <w:fldChar w:fldCharType="separate"/>
      </w:r>
      <w:r>
        <w:t>29</w:t>
      </w:r>
      <w:r>
        <w:fldChar w:fldCharType="end"/>
      </w:r>
      <w:r>
        <w:t>.</w:t>
      </w:r>
    </w:p>
  </w:footnote>
  <w:footnote w:id="241">
    <w:p w14:paraId="08F746E7" w14:textId="77777777" w:rsidR="00850453" w:rsidRDefault="00850453" w:rsidP="00F92DB1">
      <w:pPr>
        <w:pStyle w:val="FootnoteText"/>
        <w:ind w:left="360" w:hanging="360"/>
      </w:pPr>
      <w:r>
        <w:rPr>
          <w:rStyle w:val="FootnoteReference"/>
        </w:rPr>
        <w:footnoteRef/>
      </w:r>
      <w:r>
        <w:t xml:space="preserve"> </w:t>
      </w:r>
      <w:r w:rsidRPr="0067496D">
        <w:rPr>
          <w:i/>
        </w:rPr>
        <w:t>See</w:t>
      </w:r>
      <w:r>
        <w:t xml:space="preserve">, </w:t>
      </w:r>
      <w:r w:rsidRPr="0033005E">
        <w:rPr>
          <w:i/>
        </w:rPr>
        <w:t>e.g.</w:t>
      </w:r>
      <w:r>
        <w:t xml:space="preserve">, SBE Comments at 6, Joint Broadcasters Comments </w:t>
      </w:r>
      <w:r w:rsidRPr="00914863">
        <w:t>at</w:t>
      </w:r>
      <w:r>
        <w:t>, 15-18.</w:t>
      </w:r>
    </w:p>
  </w:footnote>
  <w:footnote w:id="242">
    <w:p w14:paraId="1167BE7F" w14:textId="77777777" w:rsidR="00850453" w:rsidRDefault="00850453" w:rsidP="00F92DB1">
      <w:pPr>
        <w:pStyle w:val="FootnoteText"/>
      </w:pPr>
      <w:r>
        <w:rPr>
          <w:rStyle w:val="FootnoteReference"/>
        </w:rPr>
        <w:footnoteRef/>
      </w:r>
      <w:r>
        <w:t xml:space="preserve"> </w:t>
      </w:r>
      <w:r w:rsidRPr="00E11D6C">
        <w:rPr>
          <w:i/>
        </w:rPr>
        <w:t>See supra</w:t>
      </w:r>
      <w:r>
        <w:rPr>
          <w:i/>
        </w:rPr>
        <w:t>,</w:t>
      </w:r>
      <w:r>
        <w:t xml:space="preserve"> para. </w:t>
      </w:r>
      <w:r>
        <w:fldChar w:fldCharType="begin"/>
      </w:r>
      <w:r>
        <w:instrText xml:space="preserve"> REF _Ref398031675 \r \h </w:instrText>
      </w:r>
      <w:r>
        <w:fldChar w:fldCharType="separate"/>
      </w:r>
      <w:r>
        <w:t>55</w:t>
      </w:r>
      <w:r>
        <w:fldChar w:fldCharType="end"/>
      </w:r>
      <w:r w:rsidRPr="009617B5">
        <w:t>.</w:t>
      </w:r>
    </w:p>
  </w:footnote>
  <w:footnote w:id="243">
    <w:p w14:paraId="5403D8EA" w14:textId="77777777" w:rsidR="00850453" w:rsidRDefault="00850453" w:rsidP="00F92DB1">
      <w:pPr>
        <w:pStyle w:val="FootnoteText"/>
      </w:pPr>
      <w:r>
        <w:rPr>
          <w:rStyle w:val="FootnoteReference"/>
        </w:rPr>
        <w:footnoteRef/>
      </w:r>
      <w:r>
        <w:t xml:space="preserve"> </w:t>
      </w:r>
      <w:r w:rsidRPr="00AF3B91">
        <w:rPr>
          <w:i/>
        </w:rPr>
        <w:t>See</w:t>
      </w:r>
      <w:r>
        <w:t xml:space="preserve"> App. E</w:t>
      </w:r>
      <w:r w:rsidRPr="00E1577B">
        <w:t>, Proposed</w:t>
      </w:r>
      <w:r>
        <w:t xml:space="preserve"> OET Bullet No. </w:t>
      </w:r>
      <w:r w:rsidRPr="001758E9">
        <w:t xml:space="preserve">74 at </w:t>
      </w:r>
      <w:r>
        <w:t>81, 86.</w:t>
      </w:r>
    </w:p>
  </w:footnote>
  <w:footnote w:id="244">
    <w:p w14:paraId="32A56D7D" w14:textId="77777777" w:rsidR="00850453" w:rsidRDefault="00850453" w:rsidP="00F92DB1">
      <w:pPr>
        <w:pStyle w:val="FootnoteText"/>
      </w:pPr>
      <w:r>
        <w:rPr>
          <w:rStyle w:val="FootnoteReference"/>
        </w:rPr>
        <w:footnoteRef/>
      </w:r>
      <w:r>
        <w:t xml:space="preserve"> </w:t>
      </w:r>
      <w:r w:rsidRPr="00E941C5">
        <w:rPr>
          <w:i/>
        </w:rPr>
        <w:t>See</w:t>
      </w:r>
      <w:r>
        <w:t xml:space="preserve"> </w:t>
      </w:r>
      <w:r w:rsidRPr="006A744E">
        <w:rPr>
          <w:i/>
        </w:rPr>
        <w:t>supra</w:t>
      </w:r>
      <w:r>
        <w:rPr>
          <w:i/>
        </w:rPr>
        <w:t>,</w:t>
      </w:r>
      <w:r>
        <w:t xml:space="preserve"> paras. </w:t>
      </w:r>
      <w:r>
        <w:fldChar w:fldCharType="begin"/>
      </w:r>
      <w:r>
        <w:instrText xml:space="preserve"> REF _Ref398031686 \r \h </w:instrText>
      </w:r>
      <w:r>
        <w:fldChar w:fldCharType="separate"/>
      </w:r>
      <w:r>
        <w:t>42</w:t>
      </w:r>
      <w:r>
        <w:fldChar w:fldCharType="end"/>
      </w:r>
      <w:r>
        <w:t>-</w:t>
      </w:r>
      <w:r>
        <w:fldChar w:fldCharType="begin"/>
      </w:r>
      <w:r>
        <w:instrText xml:space="preserve"> REF _Ref398031719 \r \h </w:instrText>
      </w:r>
      <w:r>
        <w:fldChar w:fldCharType="separate"/>
      </w:r>
      <w:r>
        <w:t>44</w:t>
      </w:r>
      <w:r>
        <w:fldChar w:fldCharType="end"/>
      </w:r>
      <w:r>
        <w:t xml:space="preserve">; </w:t>
      </w:r>
      <w:r w:rsidRPr="009617B5">
        <w:rPr>
          <w:i/>
        </w:rPr>
        <w:t>see also</w:t>
      </w:r>
      <w:r>
        <w:t>, App. A, Technical Appendix at 62, Table 7 and 65, Table 12</w:t>
      </w:r>
      <w:r w:rsidRPr="00F3761A">
        <w:t>.</w:t>
      </w:r>
    </w:p>
  </w:footnote>
  <w:footnote w:id="245">
    <w:p w14:paraId="0F661E25" w14:textId="77777777" w:rsidR="00850453" w:rsidRDefault="00850453">
      <w:pPr>
        <w:pStyle w:val="FootnoteText"/>
      </w:pPr>
      <w:r>
        <w:rPr>
          <w:rStyle w:val="FootnoteReference"/>
        </w:rPr>
        <w:footnoteRef/>
      </w:r>
      <w:r>
        <w:t xml:space="preserve"> </w:t>
      </w:r>
      <w:r w:rsidRPr="006A744E">
        <w:rPr>
          <w:i/>
        </w:rPr>
        <w:t>See supra</w:t>
      </w:r>
      <w:r>
        <w:rPr>
          <w:i/>
        </w:rPr>
        <w:t>,</w:t>
      </w:r>
      <w:r>
        <w:t xml:space="preserve"> paras. </w:t>
      </w:r>
      <w:r>
        <w:fldChar w:fldCharType="begin"/>
      </w:r>
      <w:r>
        <w:instrText xml:space="preserve"> REF _Ref398031686 \r \h </w:instrText>
      </w:r>
      <w:r>
        <w:fldChar w:fldCharType="separate"/>
      </w:r>
      <w:r>
        <w:t>42</w:t>
      </w:r>
      <w:r>
        <w:fldChar w:fldCharType="end"/>
      </w:r>
      <w:r>
        <w:t>-</w:t>
      </w:r>
      <w:r>
        <w:fldChar w:fldCharType="begin"/>
      </w:r>
      <w:r>
        <w:instrText xml:space="preserve"> REF _Ref398031882 \r \h </w:instrText>
      </w:r>
      <w:r>
        <w:fldChar w:fldCharType="separate"/>
      </w:r>
      <w:r>
        <w:t>47</w:t>
      </w:r>
      <w:r>
        <w:fldChar w:fldCharType="end"/>
      </w:r>
      <w:r>
        <w:t>.</w:t>
      </w:r>
    </w:p>
  </w:footnote>
  <w:footnote w:id="246">
    <w:p w14:paraId="5B9F1ABA" w14:textId="1B947604" w:rsidR="00850453" w:rsidRPr="00F3761A" w:rsidRDefault="00850453" w:rsidP="00F3761A">
      <w:pPr>
        <w:pStyle w:val="FootnoteText"/>
      </w:pPr>
      <w:r>
        <w:rPr>
          <w:rStyle w:val="FootnoteReference"/>
        </w:rPr>
        <w:footnoteRef/>
      </w:r>
      <w:r>
        <w:t xml:space="preserve"> As stated above, w</w:t>
      </w:r>
      <w:r w:rsidRPr="00F3761A">
        <w:t xml:space="preserve">e will use </w:t>
      </w:r>
      <w:r w:rsidRPr="00F3761A">
        <w:rPr>
          <w:i/>
        </w:rPr>
        <w:t>TVStudy</w:t>
      </w:r>
      <w:r w:rsidRPr="00F3761A">
        <w:t xml:space="preserve"> to run the ISIX calculations during the incentive auction.  </w:t>
      </w:r>
      <w:r w:rsidRPr="006A744E">
        <w:rPr>
          <w:i/>
        </w:rPr>
        <w:t>See supra</w:t>
      </w:r>
      <w:r>
        <w:t xml:space="preserve">, n. </w:t>
      </w:r>
      <w:r>
        <w:fldChar w:fldCharType="begin"/>
      </w:r>
      <w:r>
        <w:instrText xml:space="preserve"> NOTEREF _Ref398031926 \h </w:instrText>
      </w:r>
      <w:r>
        <w:fldChar w:fldCharType="separate"/>
      </w:r>
      <w:r>
        <w:t>78</w:t>
      </w:r>
      <w:r>
        <w:fldChar w:fldCharType="end"/>
      </w:r>
      <w:r>
        <w:t>.</w:t>
      </w:r>
      <w:r w:rsidRPr="00F3761A">
        <w:t xml:space="preserve">Wireless </w:t>
      </w:r>
      <w:r>
        <w:t>licensees</w:t>
      </w:r>
      <w:r w:rsidRPr="00F3761A">
        <w:t xml:space="preserve"> may either download </w:t>
      </w:r>
      <w:r w:rsidRPr="00F3761A">
        <w:rPr>
          <w:i/>
        </w:rPr>
        <w:t>TVStudy</w:t>
      </w:r>
      <w:r w:rsidRPr="00F3761A">
        <w:t xml:space="preserve"> available at </w:t>
      </w:r>
      <w:hyperlink r:id="rId9" w:history="1">
        <w:r w:rsidRPr="00F3761A">
          <w:t>http://data.fcc.gov/download/incentive-auctions/OET-69/</w:t>
        </w:r>
      </w:hyperlink>
      <w:r w:rsidRPr="00F3761A">
        <w:t xml:space="preserve"> or incorporate the Longley-Rice Fortran code included with the </w:t>
      </w:r>
      <w:r w:rsidRPr="00F3761A">
        <w:rPr>
          <w:i/>
        </w:rPr>
        <w:t>TVStudy</w:t>
      </w:r>
      <w:r w:rsidRPr="00F3761A">
        <w:t xml:space="preserve"> source code in their network planning software.</w:t>
      </w:r>
    </w:p>
  </w:footnote>
  <w:footnote w:id="247">
    <w:p w14:paraId="01D12EA3" w14:textId="77777777" w:rsidR="00850453" w:rsidRDefault="00850453">
      <w:pPr>
        <w:pStyle w:val="FootnoteText"/>
      </w:pPr>
      <w:r>
        <w:rPr>
          <w:rStyle w:val="FootnoteReference"/>
        </w:rPr>
        <w:footnoteRef/>
      </w:r>
      <w:r>
        <w:t xml:space="preserve"> </w:t>
      </w:r>
      <w:r w:rsidRPr="00F3761A">
        <w:rPr>
          <w:i/>
        </w:rPr>
        <w:t>See</w:t>
      </w:r>
      <w:r>
        <w:t xml:space="preserve"> Incentive Auction R&amp;O, 29 FCC Rcd at </w:t>
      </w:r>
      <w:r w:rsidRPr="001758E9">
        <w:t>6597</w:t>
      </w:r>
      <w:r w:rsidRPr="00EA7939">
        <w:t>,</w:t>
      </w:r>
      <w:r w:rsidRPr="001758E9">
        <w:t xml:space="preserve"> para. 71.</w:t>
      </w:r>
    </w:p>
  </w:footnote>
  <w:footnote w:id="248">
    <w:p w14:paraId="50F6C741" w14:textId="77777777" w:rsidR="00850453" w:rsidRDefault="00850453" w:rsidP="00F92DB1">
      <w:pPr>
        <w:pStyle w:val="FootnoteText"/>
      </w:pPr>
      <w:r>
        <w:rPr>
          <w:rStyle w:val="FootnoteReference"/>
        </w:rPr>
        <w:footnoteRef/>
      </w:r>
      <w:r>
        <w:t xml:space="preserve"> </w:t>
      </w:r>
      <w:r w:rsidRPr="00385488">
        <w:rPr>
          <w:i/>
        </w:rPr>
        <w:t>See supra</w:t>
      </w:r>
      <w:r>
        <w:rPr>
          <w:i/>
        </w:rPr>
        <w:t>,</w:t>
      </w:r>
      <w:r>
        <w:t xml:space="preserve"> paras. </w:t>
      </w:r>
      <w:r>
        <w:fldChar w:fldCharType="begin"/>
      </w:r>
      <w:r>
        <w:instrText xml:space="preserve"> REF _Ref398030204 \r \h </w:instrText>
      </w:r>
      <w:r>
        <w:fldChar w:fldCharType="separate"/>
      </w:r>
      <w:r>
        <w:t>56</w:t>
      </w:r>
      <w:r>
        <w:fldChar w:fldCharType="end"/>
      </w:r>
      <w:r>
        <w:t>-</w:t>
      </w:r>
      <w:r>
        <w:fldChar w:fldCharType="begin"/>
      </w:r>
      <w:r>
        <w:instrText xml:space="preserve"> REF _Ref398030212 \r \h </w:instrText>
      </w:r>
      <w:r>
        <w:fldChar w:fldCharType="separate"/>
      </w:r>
      <w:r>
        <w:t>58</w:t>
      </w:r>
      <w:r>
        <w:fldChar w:fldCharType="end"/>
      </w:r>
      <w:r w:rsidRPr="00DB26FD">
        <w:t>.</w:t>
      </w:r>
    </w:p>
  </w:footnote>
  <w:footnote w:id="249">
    <w:p w14:paraId="2646F09E" w14:textId="77777777" w:rsidR="00850453" w:rsidRDefault="00850453">
      <w:pPr>
        <w:pStyle w:val="FootnoteText"/>
      </w:pPr>
      <w:r>
        <w:rPr>
          <w:rStyle w:val="FootnoteReference"/>
        </w:rPr>
        <w:footnoteRef/>
      </w:r>
      <w:r>
        <w:t xml:space="preserve"> </w:t>
      </w:r>
      <w:r w:rsidRPr="00F07005">
        <w:t>In the forward auction, we will offer licenses for the 600 MHz Band on a geographic area basis.  The service area for these licenses will be Partial Economic Areas (“PEAs”).</w:t>
      </w:r>
      <w:r w:rsidRPr="00E44A5C">
        <w:rPr>
          <w:i/>
          <w:iCs/>
          <w:spacing w:val="-2"/>
        </w:rPr>
        <w:t xml:space="preserve"> </w:t>
      </w:r>
      <w:r>
        <w:rPr>
          <w:i/>
          <w:iCs/>
          <w:spacing w:val="-2"/>
        </w:rPr>
        <w:t>See Wireless Telecommunications Bureau Provides Details About Partial Economic Areas,</w:t>
      </w:r>
      <w:r>
        <w:rPr>
          <w:spacing w:val="-2"/>
        </w:rPr>
        <w:t xml:space="preserve"> GN Docket No. 12-268, Public Notice, DA 14-759 (rel. June 2, 2014) (</w:t>
      </w:r>
      <w:r>
        <w:rPr>
          <w:i/>
          <w:iCs/>
          <w:spacing w:val="-2"/>
        </w:rPr>
        <w:t>PEAs PN</w:t>
      </w:r>
      <w:r>
        <w:rPr>
          <w:spacing w:val="-2"/>
        </w:rPr>
        <w:t xml:space="preserve">).  </w:t>
      </w:r>
      <w:r>
        <w:rPr>
          <w:i/>
          <w:iCs/>
          <w:spacing w:val="-2"/>
        </w:rPr>
        <w:t>See</w:t>
      </w:r>
      <w:r>
        <w:rPr>
          <w:spacing w:val="-2"/>
        </w:rPr>
        <w:t xml:space="preserve"> 47 C.F.R. § 27.6(l).</w:t>
      </w:r>
    </w:p>
  </w:footnote>
  <w:footnote w:id="250">
    <w:p w14:paraId="0A89AC60" w14:textId="77777777" w:rsidR="00850453" w:rsidRDefault="00850453" w:rsidP="00F92DB1">
      <w:pPr>
        <w:pStyle w:val="FootnoteText"/>
      </w:pPr>
      <w:r>
        <w:rPr>
          <w:rStyle w:val="FootnoteReference"/>
        </w:rPr>
        <w:footnoteRef/>
      </w:r>
      <w:r>
        <w:t xml:space="preserve"> </w:t>
      </w:r>
      <w:r w:rsidRPr="009A588B">
        <w:rPr>
          <w:i/>
        </w:rPr>
        <w:t>Incentive Auction R</w:t>
      </w:r>
      <w:r>
        <w:rPr>
          <w:i/>
        </w:rPr>
        <w:t>&amp;O</w:t>
      </w:r>
      <w:r>
        <w:t>, 29 FCC Rcd</w:t>
      </w:r>
      <w:r w:rsidRPr="009A588B">
        <w:rPr>
          <w:i/>
        </w:rPr>
        <w:t xml:space="preserve"> </w:t>
      </w:r>
      <w:r>
        <w:t>at 6606, para. 86.</w:t>
      </w:r>
    </w:p>
  </w:footnote>
  <w:footnote w:id="251">
    <w:p w14:paraId="5EA6A395" w14:textId="77777777" w:rsidR="00850453" w:rsidRPr="00310E60" w:rsidRDefault="00850453" w:rsidP="00F92DB1">
      <w:pPr>
        <w:pStyle w:val="FootnoteText"/>
      </w:pPr>
      <w:r w:rsidRPr="00310E60">
        <w:rPr>
          <w:rStyle w:val="FootnoteReference"/>
        </w:rPr>
        <w:footnoteRef/>
      </w:r>
      <w:r w:rsidRPr="00310E60">
        <w:t xml:space="preserve"> </w:t>
      </w:r>
      <w:r>
        <w:t xml:space="preserve">Pursuant to existing rules regarding secondary market transactions, any party who obtains a license through a secondary market transaction is required to provide wireless services consistent with the underlying license authorization.  </w:t>
      </w:r>
      <w:r w:rsidRPr="00E369CF">
        <w:rPr>
          <w:i/>
        </w:rPr>
        <w:t>Incentive Auction R&amp;O</w:t>
      </w:r>
      <w:r>
        <w:t xml:space="preserve">, 22 FCC Rcd at 6891, paras. 802-803.  Therefore, </w:t>
      </w:r>
      <w:r>
        <w:rPr>
          <w:snapToGrid w:val="0"/>
        </w:rPr>
        <w:t>a</w:t>
      </w:r>
      <w:r w:rsidRPr="00310E60">
        <w:rPr>
          <w:snapToGrid w:val="0"/>
        </w:rPr>
        <w:t>ny entity holding an impair</w:t>
      </w:r>
      <w:r>
        <w:rPr>
          <w:snapToGrid w:val="0"/>
        </w:rPr>
        <w:t>ed license--</w:t>
      </w:r>
      <w:r w:rsidRPr="00310E60">
        <w:rPr>
          <w:snapToGrid w:val="0"/>
        </w:rPr>
        <w:t xml:space="preserve"> including </w:t>
      </w:r>
      <w:r>
        <w:rPr>
          <w:snapToGrid w:val="0"/>
        </w:rPr>
        <w:t>entities receiving a</w:t>
      </w:r>
      <w:r w:rsidRPr="00310E60">
        <w:rPr>
          <w:snapToGrid w:val="0"/>
        </w:rPr>
        <w:t xml:space="preserve"> license through secondary market transactions such as leasing; partitioning; disaggregation; merger or acquisition</w:t>
      </w:r>
      <w:r>
        <w:rPr>
          <w:snapToGrid w:val="0"/>
        </w:rPr>
        <w:t>--</w:t>
      </w:r>
      <w:r w:rsidRPr="00310E60">
        <w:rPr>
          <w:snapToGrid w:val="0"/>
        </w:rPr>
        <w:t xml:space="preserve">must meet all applicable rules regarding impaired licenses, including protection of </w:t>
      </w:r>
      <w:r>
        <w:rPr>
          <w:snapToGrid w:val="0"/>
        </w:rPr>
        <w:t>a</w:t>
      </w:r>
      <w:r w:rsidRPr="00310E60">
        <w:rPr>
          <w:snapToGrid w:val="0"/>
        </w:rPr>
        <w:t xml:space="preserve"> Broadcast Television station</w:t>
      </w:r>
      <w:r>
        <w:rPr>
          <w:snapToGrid w:val="0"/>
        </w:rPr>
        <w:t xml:space="preserve"> (or stations)</w:t>
      </w:r>
      <w:r w:rsidRPr="00310E60">
        <w:rPr>
          <w:snapToGrid w:val="0"/>
        </w:rPr>
        <w:t xml:space="preserve"> within the licensed area.  </w:t>
      </w:r>
      <w:r w:rsidRPr="00E369CF">
        <w:rPr>
          <w:i/>
          <w:snapToGrid w:val="0"/>
        </w:rPr>
        <w:t>Incentive Auction R&amp;O</w:t>
      </w:r>
      <w:r>
        <w:rPr>
          <w:snapToGrid w:val="0"/>
        </w:rPr>
        <w:t>, 22 FCC Rcd at 6606, para. 86.</w:t>
      </w:r>
    </w:p>
  </w:footnote>
  <w:footnote w:id="252">
    <w:p w14:paraId="39DE7A9F" w14:textId="77777777" w:rsidR="00850453" w:rsidRDefault="00850453" w:rsidP="00F92DB1">
      <w:pPr>
        <w:pStyle w:val="FootnoteText"/>
      </w:pPr>
      <w:r>
        <w:rPr>
          <w:rStyle w:val="FootnoteReference"/>
        </w:rPr>
        <w:footnoteRef/>
      </w:r>
      <w:r>
        <w:t xml:space="preserve"> </w:t>
      </w:r>
      <w:r w:rsidRPr="0003112B">
        <w:rPr>
          <w:i/>
        </w:rPr>
        <w:t xml:space="preserve">Incentive Auction </w:t>
      </w:r>
      <w:r>
        <w:rPr>
          <w:i/>
        </w:rPr>
        <w:t>R&amp;O</w:t>
      </w:r>
      <w:r>
        <w:t xml:space="preserve">, 29 FCC Rcd at 6606, para. 86 n. 276. </w:t>
      </w:r>
    </w:p>
  </w:footnote>
  <w:footnote w:id="253">
    <w:p w14:paraId="27130A64" w14:textId="77777777" w:rsidR="00850453" w:rsidRDefault="00850453" w:rsidP="00F92DB1">
      <w:pPr>
        <w:pStyle w:val="FootnoteText"/>
      </w:pPr>
      <w:r>
        <w:rPr>
          <w:rStyle w:val="FootnoteReference"/>
        </w:rPr>
        <w:footnoteRef/>
      </w:r>
      <w:r w:rsidRPr="0003112B">
        <w:rPr>
          <w:i/>
        </w:rPr>
        <w:t xml:space="preserve"> Incentive Auction </w:t>
      </w:r>
      <w:r>
        <w:rPr>
          <w:i/>
        </w:rPr>
        <w:t>R&amp;O,</w:t>
      </w:r>
      <w:r>
        <w:t xml:space="preserve"> 29 FCC Rcd at 6606, para. 86.  This means that licensees must meet the build-out requirements only in areas in which they will not cause or receive harmful interference, using the ISIX Methodology and OET Bulletin 74. </w:t>
      </w:r>
    </w:p>
  </w:footnote>
  <w:footnote w:id="254">
    <w:p w14:paraId="208275FF" w14:textId="77777777" w:rsidR="00850453" w:rsidRDefault="00850453" w:rsidP="00F92DB1">
      <w:pPr>
        <w:pStyle w:val="FootnoteText"/>
      </w:pPr>
      <w:r>
        <w:rPr>
          <w:rStyle w:val="FootnoteReference"/>
        </w:rPr>
        <w:footnoteRef/>
      </w:r>
      <w:r>
        <w:t xml:space="preserve"> </w:t>
      </w:r>
      <w:r w:rsidRPr="002D551C">
        <w:rPr>
          <w:i/>
        </w:rPr>
        <w:t xml:space="preserve">Incentive Auction </w:t>
      </w:r>
      <w:r>
        <w:rPr>
          <w:i/>
        </w:rPr>
        <w:t xml:space="preserve">R&amp;O, </w:t>
      </w:r>
      <w:r>
        <w:t>29 FCC Rcd at 6883, para. 778; 47 C.F.R. § 1.946(d).</w:t>
      </w:r>
    </w:p>
  </w:footnote>
  <w:footnote w:id="255">
    <w:p w14:paraId="47F57F0B" w14:textId="77777777" w:rsidR="00850453" w:rsidRDefault="00850453" w:rsidP="00F92DB1">
      <w:pPr>
        <w:pStyle w:val="FootnoteText"/>
      </w:pPr>
      <w:r>
        <w:rPr>
          <w:rStyle w:val="FootnoteReference"/>
        </w:rPr>
        <w:footnoteRef/>
      </w:r>
      <w:r>
        <w:t xml:space="preserve"> </w:t>
      </w:r>
      <w:r w:rsidRPr="002D551C">
        <w:rPr>
          <w:i/>
        </w:rPr>
        <w:t xml:space="preserve">Incentive Auction </w:t>
      </w:r>
      <w:r>
        <w:rPr>
          <w:i/>
        </w:rPr>
        <w:t xml:space="preserve">R&amp;O, </w:t>
      </w:r>
      <w:r w:rsidRPr="00F3761A">
        <w:t>29 FCC</w:t>
      </w:r>
      <w:r>
        <w:rPr>
          <w:i/>
        </w:rPr>
        <w:t xml:space="preserve"> </w:t>
      </w:r>
      <w:r>
        <w:t>Rcd at 6884, para. 781.</w:t>
      </w:r>
    </w:p>
  </w:footnote>
  <w:footnote w:id="256">
    <w:p w14:paraId="3017A6CF" w14:textId="77777777" w:rsidR="00850453" w:rsidRDefault="00850453" w:rsidP="00F92DB1">
      <w:pPr>
        <w:pStyle w:val="FootnoteText"/>
      </w:pPr>
      <w:r>
        <w:rPr>
          <w:rStyle w:val="FootnoteReference"/>
        </w:rPr>
        <w:footnoteRef/>
      </w:r>
      <w:r>
        <w:t xml:space="preserve"> For example, along with the analysis from OET Bulletin 74, the licensee would need to provide population data for the areas it can and cannot serve, with a detailed explanation of the impairment, in addition to any other relevant information to demonstrate that it has met its performance benchmarks in the permitted boundaries of its license area.</w:t>
      </w:r>
      <w:r w:rsidRPr="00FF0C5A">
        <w:rPr>
          <w:i/>
        </w:rPr>
        <w:t xml:space="preserve"> </w:t>
      </w:r>
      <w:r w:rsidRPr="0003112B">
        <w:rPr>
          <w:i/>
        </w:rPr>
        <w:t xml:space="preserve">Incentive Auction </w:t>
      </w:r>
      <w:r>
        <w:rPr>
          <w:i/>
        </w:rPr>
        <w:t xml:space="preserve">R&amp;O, </w:t>
      </w:r>
      <w:r>
        <w:t>29 FCC Rcd at 6606, 6884, paras. 86, 781.</w:t>
      </w:r>
    </w:p>
  </w:footnote>
  <w:footnote w:id="257">
    <w:p w14:paraId="16671690" w14:textId="77777777" w:rsidR="00850453" w:rsidRDefault="00850453" w:rsidP="00F92DB1">
      <w:pPr>
        <w:pStyle w:val="FootnoteText"/>
      </w:pPr>
      <w:r>
        <w:rPr>
          <w:rStyle w:val="FootnoteReference"/>
        </w:rPr>
        <w:footnoteRef/>
      </w:r>
      <w:r>
        <w:t xml:space="preserve"> </w:t>
      </w:r>
      <w:r w:rsidRPr="009A588B">
        <w:rPr>
          <w:i/>
        </w:rPr>
        <w:t xml:space="preserve">Incentive Auction </w:t>
      </w:r>
      <w:r>
        <w:rPr>
          <w:i/>
        </w:rPr>
        <w:t>R&amp;O,</w:t>
      </w:r>
      <w:r>
        <w:t xml:space="preserve"> 29 FCC Rcd at 6606, para. 86 n. 277.</w:t>
      </w:r>
    </w:p>
  </w:footnote>
  <w:footnote w:id="258">
    <w:p w14:paraId="0BD9511B" w14:textId="77777777" w:rsidR="00850453" w:rsidRDefault="00850453" w:rsidP="00BB0F2B">
      <w:pPr>
        <w:pStyle w:val="FootnoteText"/>
      </w:pPr>
      <w:r>
        <w:rPr>
          <w:rStyle w:val="FootnoteReference"/>
        </w:rPr>
        <w:footnoteRef/>
      </w:r>
      <w:r>
        <w:t xml:space="preserve"> </w:t>
      </w:r>
      <w:r w:rsidRPr="00D2448E">
        <w:rPr>
          <w:i/>
        </w:rPr>
        <w:t xml:space="preserve">Incentive Auction </w:t>
      </w:r>
      <w:r>
        <w:rPr>
          <w:i/>
        </w:rPr>
        <w:t xml:space="preserve">R&amp;O, </w:t>
      </w:r>
      <w:r w:rsidRPr="00F3761A">
        <w:t>29 FCC Rcd</w:t>
      </w:r>
      <w:r>
        <w:rPr>
          <w:i/>
        </w:rPr>
        <w:t xml:space="preserve"> </w:t>
      </w:r>
      <w:r>
        <w:t xml:space="preserve">at 6606, para. 87.  </w:t>
      </w:r>
    </w:p>
  </w:footnote>
  <w:footnote w:id="259">
    <w:p w14:paraId="2B093487" w14:textId="77777777" w:rsidR="00850453" w:rsidRPr="00CE7AD7" w:rsidRDefault="00850453" w:rsidP="00BB0F2B">
      <w:pPr>
        <w:pStyle w:val="FootnoteText"/>
      </w:pPr>
      <w:r>
        <w:rPr>
          <w:rStyle w:val="FootnoteReference"/>
        </w:rPr>
        <w:footnoteRef/>
      </w:r>
      <w:r>
        <w:t xml:space="preserve"> </w:t>
      </w:r>
      <w:r w:rsidRPr="00CE7AD7">
        <w:t xml:space="preserve">As in the </w:t>
      </w:r>
      <w:r w:rsidRPr="00CE7AD7">
        <w:rPr>
          <w:i/>
        </w:rPr>
        <w:t>Incentive Auction R&amp;O</w:t>
      </w:r>
      <w:r w:rsidRPr="00CE7AD7">
        <w:t xml:space="preserve">, we recognize that there may be extraordinary circumstances beyond the control </w:t>
      </w:r>
      <w:r w:rsidRPr="005172C0">
        <w:t>of a television licensee that will result in an expansion of its contour in the direction of the wireless license area, and</w:t>
      </w:r>
      <w:r w:rsidRPr="00CE7AD7">
        <w:t xml:space="preserve"> we will consider requests for waiver of our rules in such situation and encourage television and wireless licensees to work cooperatively to find an equitable solution.  </w:t>
      </w:r>
      <w:r w:rsidRPr="00CE7AD7">
        <w:rPr>
          <w:i/>
        </w:rPr>
        <w:t>Id.</w:t>
      </w:r>
    </w:p>
  </w:footnote>
  <w:footnote w:id="260">
    <w:p w14:paraId="1B30EFF8" w14:textId="77777777" w:rsidR="00850453" w:rsidRPr="004D22FD" w:rsidRDefault="00850453">
      <w:pPr>
        <w:pStyle w:val="FootnoteText"/>
      </w:pPr>
      <w:r>
        <w:rPr>
          <w:rStyle w:val="FootnoteReference"/>
        </w:rPr>
        <w:footnoteRef/>
      </w:r>
      <w:r>
        <w:t xml:space="preserve"> Broadcast television stations that are not reassigned to new channels during the repacking process, i.e., stations that remain on their existing channels in the 600 MHz Band, will maintain their original contours.  </w:t>
      </w:r>
      <w:r w:rsidRPr="004D22FD">
        <w:t>The</w:t>
      </w:r>
      <w:r w:rsidRPr="00EA7939">
        <w:rPr>
          <w:i/>
        </w:rPr>
        <w:t xml:space="preserve"> Channel Reassignment PN</w:t>
      </w:r>
      <w:r>
        <w:rPr>
          <w:i/>
        </w:rPr>
        <w:t xml:space="preserve"> </w:t>
      </w:r>
      <w:r w:rsidRPr="00EA7939">
        <w:t>will</w:t>
      </w:r>
      <w:r>
        <w:t xml:space="preserve"> announce the results of the incentive auction identify the new channel assignments for full power and Class A stations that have been reassigned to different channels, and will establish the 39-month transition period.  </w:t>
      </w:r>
      <w:r w:rsidRPr="00EA7939">
        <w:rPr>
          <w:i/>
        </w:rPr>
        <w:t>See Incentive Auction R&amp;O</w:t>
      </w:r>
      <w:r>
        <w:t>, 29 FCC Rcd at 6782, para. 525.</w:t>
      </w:r>
      <w:r>
        <w:rPr>
          <w:i/>
        </w:rPr>
        <w:t xml:space="preserve"> </w:t>
      </w:r>
    </w:p>
  </w:footnote>
  <w:footnote w:id="261">
    <w:p w14:paraId="3F72B72A" w14:textId="77777777" w:rsidR="00850453" w:rsidRDefault="00850453" w:rsidP="00DA6F7D">
      <w:pPr>
        <w:pStyle w:val="FootnoteText"/>
      </w:pPr>
      <w:r>
        <w:rPr>
          <w:rStyle w:val="FootnoteReference"/>
        </w:rPr>
        <w:footnoteRef/>
      </w:r>
      <w:r>
        <w:t xml:space="preserve"> </w:t>
      </w:r>
      <w:r w:rsidRPr="00E93284">
        <w:rPr>
          <w:i/>
        </w:rPr>
        <w:t>See Incentive Auction R&amp;O</w:t>
      </w:r>
      <w:r>
        <w:rPr>
          <w:i/>
        </w:rPr>
        <w:t xml:space="preserve">, </w:t>
      </w:r>
      <w:r>
        <w:t>29 FCC Rcd at 6791, paras. 547-48.</w:t>
      </w:r>
    </w:p>
  </w:footnote>
  <w:footnote w:id="262">
    <w:p w14:paraId="2EE99755" w14:textId="77777777" w:rsidR="00850453" w:rsidRDefault="00850453" w:rsidP="00D402D8">
      <w:pPr>
        <w:pStyle w:val="FootnoteText"/>
      </w:pPr>
      <w:r>
        <w:rPr>
          <w:rStyle w:val="FootnoteReference"/>
        </w:rPr>
        <w:footnoteRef/>
      </w:r>
      <w:r>
        <w:t xml:space="preserve"> </w:t>
      </w:r>
      <w:r w:rsidRPr="00E369CF">
        <w:rPr>
          <w:i/>
        </w:rPr>
        <w:t>See</w:t>
      </w:r>
      <w:r>
        <w:t xml:space="preserve"> </w:t>
      </w:r>
      <w:r w:rsidRPr="00E369CF">
        <w:rPr>
          <w:i/>
        </w:rPr>
        <w:t>Incentive Auction R&amp;O</w:t>
      </w:r>
      <w:r>
        <w:t>, 29 FCC Rcd at 6791, para. 548.</w:t>
      </w:r>
    </w:p>
  </w:footnote>
  <w:footnote w:id="263">
    <w:p w14:paraId="525F5FE2" w14:textId="77777777" w:rsidR="00850453" w:rsidRDefault="00850453" w:rsidP="00DA6F7D">
      <w:pPr>
        <w:pStyle w:val="FootnoteText"/>
      </w:pPr>
      <w:r>
        <w:rPr>
          <w:rStyle w:val="FootnoteReference"/>
        </w:rPr>
        <w:footnoteRef/>
      </w:r>
      <w:r>
        <w:t xml:space="preserve"> </w:t>
      </w:r>
      <w:r w:rsidRPr="00AE1A91">
        <w:rPr>
          <w:i/>
        </w:rPr>
        <w:t>See id</w:t>
      </w:r>
      <w:r>
        <w:t>. at 6793, para. 553.</w:t>
      </w:r>
    </w:p>
  </w:footnote>
  <w:footnote w:id="264">
    <w:p w14:paraId="2FEE504C" w14:textId="77777777" w:rsidR="00850453" w:rsidRDefault="00850453" w:rsidP="00F92DB1">
      <w:pPr>
        <w:pStyle w:val="FootnoteText"/>
      </w:pPr>
      <w:r>
        <w:rPr>
          <w:rStyle w:val="FootnoteReference"/>
        </w:rPr>
        <w:footnoteRef/>
      </w:r>
      <w:r>
        <w:t xml:space="preserve"> The Post-Auction Transition Period is the </w:t>
      </w:r>
      <w:r w:rsidRPr="00970B9B">
        <w:rPr>
          <w:szCs w:val="22"/>
        </w:rPr>
        <w:t xml:space="preserve">39-month period </w:t>
      </w:r>
      <w:r w:rsidRPr="00970B9B">
        <w:rPr>
          <w:rFonts w:eastAsia="TimesNewRoman"/>
          <w:color w:val="010101"/>
          <w:szCs w:val="22"/>
        </w:rPr>
        <w:t xml:space="preserve">commencing upon the public release of the </w:t>
      </w:r>
      <w:r w:rsidRPr="00362D29">
        <w:rPr>
          <w:rFonts w:eastAsia="TimesNewRoman"/>
          <w:i/>
          <w:color w:val="010101"/>
          <w:szCs w:val="22"/>
        </w:rPr>
        <w:t>Channel Reassignment Public Notice</w:t>
      </w:r>
      <w:r>
        <w:rPr>
          <w:rFonts w:eastAsia="TimesNewRoman"/>
          <w:color w:val="010101"/>
          <w:szCs w:val="22"/>
        </w:rPr>
        <w:t xml:space="preserve">.  </w:t>
      </w:r>
      <w:r w:rsidRPr="00362D29">
        <w:rPr>
          <w:rFonts w:eastAsia="TimesNewRoman"/>
          <w:i/>
          <w:color w:val="010101"/>
          <w:szCs w:val="22"/>
        </w:rPr>
        <w:t>See</w:t>
      </w:r>
      <w:r>
        <w:rPr>
          <w:rFonts w:eastAsia="TimesNewRoman"/>
          <w:color w:val="010101"/>
          <w:szCs w:val="22"/>
        </w:rPr>
        <w:t xml:space="preserve"> 47 C.F.R. </w:t>
      </w:r>
      <w:r w:rsidRPr="00970B9B">
        <w:rPr>
          <w:rFonts w:eastAsia="TimesNewRoman"/>
          <w:color w:val="010101"/>
          <w:szCs w:val="22"/>
        </w:rPr>
        <w:t xml:space="preserve">§ </w:t>
      </w:r>
      <w:r>
        <w:rPr>
          <w:rFonts w:eastAsia="TimesNewRoman"/>
          <w:color w:val="010101"/>
          <w:szCs w:val="22"/>
        </w:rPr>
        <w:t>27.4.</w:t>
      </w:r>
    </w:p>
  </w:footnote>
  <w:footnote w:id="265">
    <w:p w14:paraId="648B3C5D" w14:textId="77777777" w:rsidR="00850453" w:rsidRDefault="00850453" w:rsidP="007F0F57">
      <w:pPr>
        <w:pStyle w:val="FootnoteText"/>
      </w:pPr>
      <w:r>
        <w:rPr>
          <w:rStyle w:val="FootnoteReference"/>
        </w:rPr>
        <w:footnoteRef/>
      </w:r>
      <w:r>
        <w:t xml:space="preserve"> </w:t>
      </w:r>
      <w:r w:rsidRPr="00FD2E03">
        <w:t>The Commission</w:t>
      </w:r>
      <w:r>
        <w:t xml:space="preserve">, however, did not define the term “commence operations” in the </w:t>
      </w:r>
      <w:r w:rsidRPr="009928C7">
        <w:rPr>
          <w:i/>
        </w:rPr>
        <w:t xml:space="preserve">Incentive Auction </w:t>
      </w:r>
      <w:r>
        <w:rPr>
          <w:i/>
        </w:rPr>
        <w:t>R&amp;O</w:t>
      </w:r>
      <w:r>
        <w:t xml:space="preserve">, instead stating that this term would be defined in the 600 MHz Band pre-auction process.  </w:t>
      </w:r>
      <w:r w:rsidRPr="00077A00">
        <w:rPr>
          <w:i/>
        </w:rPr>
        <w:t>See</w:t>
      </w:r>
      <w:r>
        <w:t xml:space="preserve"> </w:t>
      </w:r>
      <w:r w:rsidRPr="0097297A">
        <w:rPr>
          <w:i/>
        </w:rPr>
        <w:t xml:space="preserve">Incentive Auction </w:t>
      </w:r>
      <w:r>
        <w:rPr>
          <w:i/>
        </w:rPr>
        <w:t>R&amp;O</w:t>
      </w:r>
      <w:r>
        <w:t xml:space="preserve"> at para. 668 n.1861.  </w:t>
      </w:r>
    </w:p>
  </w:footnote>
  <w:footnote w:id="266">
    <w:p w14:paraId="4C97A3EF" w14:textId="77777777" w:rsidR="00850453" w:rsidRDefault="00850453" w:rsidP="00F92DB1">
      <w:pPr>
        <w:pStyle w:val="FootnoteText"/>
      </w:pPr>
      <w:r>
        <w:rPr>
          <w:rStyle w:val="FootnoteReference"/>
        </w:rPr>
        <w:footnoteRef/>
      </w:r>
      <w:r>
        <w:t xml:space="preserve"> </w:t>
      </w:r>
      <w:r>
        <w:rPr>
          <w:i/>
        </w:rPr>
        <w:t>See Incentive Auction R&amp;O</w:t>
      </w:r>
      <w:r>
        <w:t>, 29 FCC Rcd at 6839-40, para. 668 and n.1863.</w:t>
      </w:r>
    </w:p>
  </w:footnote>
  <w:footnote w:id="267">
    <w:p w14:paraId="7078F418" w14:textId="77777777" w:rsidR="00850453" w:rsidRDefault="00850453" w:rsidP="00F92DB1">
      <w:pPr>
        <w:pStyle w:val="FootnoteText"/>
      </w:pPr>
      <w:r>
        <w:rPr>
          <w:rStyle w:val="FootnoteReference"/>
        </w:rPr>
        <w:footnoteRef/>
      </w:r>
      <w:r>
        <w:t xml:space="preserve"> </w:t>
      </w:r>
      <w:r w:rsidRPr="005956AE">
        <w:rPr>
          <w:i/>
        </w:rPr>
        <w:t>See supra</w:t>
      </w:r>
      <w:r>
        <w:rPr>
          <w:i/>
        </w:rPr>
        <w:t xml:space="preserve">, </w:t>
      </w:r>
      <w:r w:rsidRPr="007D29AF">
        <w:t>para</w:t>
      </w:r>
      <w:r>
        <w:t xml:space="preserve">s. </w:t>
      </w:r>
      <w:r>
        <w:fldChar w:fldCharType="begin"/>
      </w:r>
      <w:r>
        <w:instrText xml:space="preserve"> REF _Ref398030359 \r \h </w:instrText>
      </w:r>
      <w:r>
        <w:fldChar w:fldCharType="separate"/>
      </w:r>
      <w:r>
        <w:t>36</w:t>
      </w:r>
      <w:r>
        <w:fldChar w:fldCharType="end"/>
      </w:r>
      <w:r>
        <w:t>-</w:t>
      </w:r>
      <w:r>
        <w:fldChar w:fldCharType="begin"/>
      </w:r>
      <w:r>
        <w:instrText xml:space="preserve"> REF _Ref398032341 \r \h </w:instrText>
      </w:r>
      <w:r>
        <w:fldChar w:fldCharType="separate"/>
      </w:r>
      <w:r>
        <w:t>41</w:t>
      </w:r>
      <w:r>
        <w:fldChar w:fldCharType="end"/>
      </w:r>
      <w:r>
        <w:t xml:space="preserve"> (Case 1 and Case 2).</w:t>
      </w:r>
    </w:p>
  </w:footnote>
  <w:footnote w:id="268">
    <w:p w14:paraId="6B39289D" w14:textId="77777777" w:rsidR="00850453" w:rsidRDefault="00850453" w:rsidP="00F92DB1">
      <w:pPr>
        <w:pStyle w:val="FootnoteText"/>
      </w:pPr>
      <w:r>
        <w:rPr>
          <w:rStyle w:val="FootnoteReference"/>
        </w:rPr>
        <w:footnoteRef/>
      </w:r>
      <w:r>
        <w:t xml:space="preserve"> </w:t>
      </w:r>
      <w:r w:rsidRPr="00AF7EEC">
        <w:rPr>
          <w:i/>
          <w:iCs/>
        </w:rPr>
        <w:t>See generally</w:t>
      </w:r>
      <w:r w:rsidRPr="00AF7EEC">
        <w:t>, 47 C.F.R.  § 74.793</w:t>
      </w:r>
      <w:r>
        <w:t>.</w:t>
      </w:r>
    </w:p>
  </w:footnote>
  <w:footnote w:id="269">
    <w:p w14:paraId="0AD7FE75" w14:textId="77777777" w:rsidR="00850453" w:rsidRDefault="00850453" w:rsidP="00F92DB1">
      <w:pPr>
        <w:pStyle w:val="FootnoteText"/>
      </w:pPr>
      <w:r>
        <w:rPr>
          <w:rStyle w:val="FootnoteReference"/>
        </w:rPr>
        <w:footnoteRef/>
      </w:r>
      <w:r>
        <w:t xml:space="preserve"> </w:t>
      </w:r>
      <w:r w:rsidRPr="007E5B08">
        <w:rPr>
          <w:i/>
        </w:rPr>
        <w:t>See</w:t>
      </w:r>
      <w:r w:rsidRPr="00AF7EEC">
        <w:t xml:space="preserve"> 47 C.F.R. §</w:t>
      </w:r>
      <w:r>
        <w:t>§</w:t>
      </w:r>
      <w:r w:rsidRPr="00AF7EEC">
        <w:t xml:space="preserve"> 74.793(c)</w:t>
      </w:r>
      <w:r>
        <w:t xml:space="preserve">, </w:t>
      </w:r>
      <w:r w:rsidRPr="00AF7EEC">
        <w:t>74.794</w:t>
      </w:r>
      <w:r>
        <w:t>.</w:t>
      </w:r>
    </w:p>
  </w:footnote>
  <w:footnote w:id="270">
    <w:p w14:paraId="1B4985E1" w14:textId="77777777" w:rsidR="00850453" w:rsidRDefault="00850453" w:rsidP="00F92DB1">
      <w:pPr>
        <w:pStyle w:val="FootnoteText"/>
      </w:pPr>
      <w:r>
        <w:rPr>
          <w:rStyle w:val="FootnoteReference"/>
        </w:rPr>
        <w:footnoteRef/>
      </w:r>
      <w:r>
        <w:t xml:space="preserve"> </w:t>
      </w:r>
      <w:r w:rsidRPr="00F3761A">
        <w:rPr>
          <w:i/>
        </w:rPr>
        <w:t>See</w:t>
      </w:r>
      <w:r>
        <w:t xml:space="preserve"> 47 C.F.R. § 74.793(d)</w:t>
      </w:r>
      <w:r w:rsidRPr="00AF7EEC">
        <w:t>.</w:t>
      </w:r>
    </w:p>
  </w:footnote>
  <w:footnote w:id="271">
    <w:p w14:paraId="6EA1C521" w14:textId="77777777" w:rsidR="00850453" w:rsidRDefault="00850453" w:rsidP="00F92DB1">
      <w:pPr>
        <w:pStyle w:val="FootnoteText"/>
      </w:pPr>
      <w:r>
        <w:rPr>
          <w:rStyle w:val="FootnoteReference"/>
        </w:rPr>
        <w:footnoteRef/>
      </w:r>
      <w:r>
        <w:rPr>
          <w:iCs/>
        </w:rPr>
        <w:t xml:space="preserve"> </w:t>
      </w:r>
      <w:r w:rsidRPr="00940DE8">
        <w:rPr>
          <w:iCs/>
        </w:rPr>
        <w:t xml:space="preserve">The values for OFR were derived using the NTIA’s MSAM FDR computer program using the FCC’s emission limits, and DTV and LTE receiver performance standards published by ATSC and 3GPP, respectively. </w:t>
      </w:r>
      <w:r w:rsidRPr="00B35C4F">
        <w:t xml:space="preserve"> </w:t>
      </w:r>
      <w:r w:rsidRPr="00AA5CD0">
        <w:rPr>
          <w:i/>
        </w:rPr>
        <w:t>See</w:t>
      </w:r>
      <w:r w:rsidRPr="00B35C4F">
        <w:t xml:space="preserve"> </w:t>
      </w:r>
      <w:r>
        <w:t>App. A, Technical Appendix at 43, n.</w:t>
      </w:r>
      <w:r>
        <w:fldChar w:fldCharType="begin"/>
      </w:r>
      <w:r>
        <w:instrText xml:space="preserve"> NOTEREF _Ref398032673 \h </w:instrText>
      </w:r>
      <w:r>
        <w:fldChar w:fldCharType="separate"/>
      </w:r>
      <w:r>
        <w:t>13</w:t>
      </w:r>
      <w:r>
        <w:fldChar w:fldCharType="end"/>
      </w:r>
      <w:r>
        <w:t>.</w:t>
      </w:r>
    </w:p>
  </w:footnote>
  <w:footnote w:id="272">
    <w:p w14:paraId="4F146C43" w14:textId="3214B734" w:rsidR="00850453" w:rsidRDefault="00850453">
      <w:pPr>
        <w:pStyle w:val="FootnoteText"/>
      </w:pPr>
      <w:r>
        <w:rPr>
          <w:rStyle w:val="FootnoteReference"/>
        </w:rPr>
        <w:footnoteRef/>
      </w:r>
      <w:r>
        <w:t xml:space="preserve"> The Consolidated Database System (CDBS) is the Commission’s database of broadcast station information.  The CDBS is available at </w:t>
      </w:r>
      <w:hyperlink r:id="rId10" w:history="1">
        <w:r w:rsidRPr="00B64457">
          <w:rPr>
            <w:rStyle w:val="Hyperlink"/>
          </w:rPr>
          <w:t>http://www.fcc.gov/encyclopedia/media-bureau-filing-systems-and-databases</w:t>
        </w:r>
      </w:hyperlink>
      <w:r>
        <w:t xml:space="preserve">. </w:t>
      </w:r>
    </w:p>
  </w:footnote>
  <w:footnote w:id="273">
    <w:p w14:paraId="5D8A281F" w14:textId="40C99C30" w:rsidR="00850453" w:rsidRPr="004E5B55" w:rsidRDefault="00850453" w:rsidP="004E5B55">
      <w:pPr>
        <w:pStyle w:val="FootnoteText"/>
      </w:pPr>
      <w:r>
        <w:rPr>
          <w:rStyle w:val="FootnoteReference"/>
        </w:rPr>
        <w:footnoteRef/>
      </w:r>
      <w:r>
        <w:t xml:space="preserve"> </w:t>
      </w:r>
      <w:r w:rsidRPr="00F92DB1">
        <w:t xml:space="preserve">The ISIX Methodology adopted in the </w:t>
      </w:r>
      <w:r w:rsidRPr="00F92DB1">
        <w:rPr>
          <w:i/>
        </w:rPr>
        <w:t>Second Report and Order</w:t>
      </w:r>
      <w:r w:rsidRPr="00F92DB1">
        <w:t xml:space="preserve"> is designed for evaluating interference involving digital television signals, but LPTV and TV translator stations may continue operate in analog until at least September 1, 2015</w:t>
      </w:r>
      <w:r>
        <w:t xml:space="preserve">. The digital transition deadline for analog LPTV and TV translator stations is September 1, 2015, with the opportunity for individual stations to request a six-month extension.  </w:t>
      </w:r>
      <w:r w:rsidRPr="00F136FE">
        <w:rPr>
          <w:i/>
          <w:iCs/>
          <w:snapToGrid w:val="0"/>
        </w:rPr>
        <w:t>See Amendment of Parts 73 and 74 of the Commission’s Rules to Establish Rules for Digital Low Power Television, Television Translator, and Television Booster Stations and to Amend Rules for Digital Class A Television Stations</w:t>
      </w:r>
      <w:r w:rsidRPr="00F136FE">
        <w:rPr>
          <w:snapToGrid w:val="0"/>
        </w:rPr>
        <w:t>, MB Docket No. 03-185, Second Report and Order, 26 FCC Rcd 10732 (2011); 47 C.F.R. § 74.788(c)(3</w:t>
      </w:r>
      <w:r w:rsidRPr="00435828">
        <w:t xml:space="preserve">.  </w:t>
      </w:r>
      <w:r w:rsidRPr="00BB71D8">
        <w:t xml:space="preserve">Moreover, we recently issued a Third NPRM tentatively concluding that we should postpone this deadline.  </w:t>
      </w:r>
      <w:r w:rsidRPr="00BB71D8">
        <w:rPr>
          <w:i/>
          <w:iCs/>
        </w:rPr>
        <w:t>See Amendment of Parts 73 and 74 of the Commission’s Rules for Digital Low Power Television, Television Translators and Television Booster Stations</w:t>
      </w:r>
      <w:r w:rsidRPr="00BB71D8">
        <w:t>, MB Docket No. 03-185, Third Notice of Proposed Rulemaking, FCC 14-151 (rel. Oct. 10, 2014).</w:t>
      </w:r>
    </w:p>
  </w:footnote>
  <w:footnote w:id="274">
    <w:p w14:paraId="183208AD" w14:textId="77777777" w:rsidR="00850453" w:rsidRDefault="00850453" w:rsidP="00F92DB1">
      <w:pPr>
        <w:pStyle w:val="FootnoteText"/>
      </w:pPr>
      <w:r>
        <w:rPr>
          <w:rStyle w:val="FootnoteReference"/>
        </w:rPr>
        <w:footnoteRef/>
      </w:r>
      <w:r>
        <w:t xml:space="preserve"> </w:t>
      </w:r>
      <w:r w:rsidRPr="00940DE8">
        <w:rPr>
          <w:i/>
        </w:rPr>
        <w:t>Incentive Auction R&amp;O</w:t>
      </w:r>
      <w:r>
        <w:t>, 29 FCC Rcd at 6782, para. 525.</w:t>
      </w:r>
    </w:p>
  </w:footnote>
  <w:footnote w:id="275">
    <w:p w14:paraId="52839F67" w14:textId="77777777" w:rsidR="00850453" w:rsidRDefault="00850453">
      <w:pPr>
        <w:pStyle w:val="FootnoteText"/>
      </w:pPr>
      <w:r>
        <w:rPr>
          <w:rStyle w:val="FootnoteReference"/>
        </w:rPr>
        <w:footnoteRef/>
      </w:r>
      <w:r>
        <w:t xml:space="preserve"> Post-auction protection of international broadcasters and wireless operations along the border are subject to the bilateral agreements with Canada and Mexico.</w:t>
      </w:r>
    </w:p>
  </w:footnote>
  <w:footnote w:id="276">
    <w:p w14:paraId="1E8701FF" w14:textId="77777777" w:rsidR="00850453" w:rsidRDefault="00850453" w:rsidP="00F92DB1">
      <w:pPr>
        <w:pStyle w:val="FootnoteText"/>
      </w:pPr>
      <w:r>
        <w:rPr>
          <w:rStyle w:val="FootnoteReference"/>
        </w:rPr>
        <w:footnoteRef/>
      </w:r>
      <w:r>
        <w:t xml:space="preserve"> </w:t>
      </w:r>
      <w:r w:rsidRPr="00940DE8">
        <w:rPr>
          <w:i/>
        </w:rPr>
        <w:t>See supra</w:t>
      </w:r>
      <w:r>
        <w:t xml:space="preserve">, para. </w:t>
      </w:r>
      <w:r>
        <w:fldChar w:fldCharType="begin"/>
      </w:r>
      <w:r>
        <w:instrText xml:space="preserve"> REF _Ref399163976 \r \h </w:instrText>
      </w:r>
      <w:r>
        <w:fldChar w:fldCharType="separate"/>
      </w:r>
      <w:r>
        <w:t>81</w:t>
      </w:r>
      <w:r>
        <w:fldChar w:fldCharType="end"/>
      </w:r>
      <w:r>
        <w:t>-</w:t>
      </w:r>
      <w:r>
        <w:fldChar w:fldCharType="begin"/>
      </w:r>
      <w:r>
        <w:instrText xml:space="preserve"> REF _Ref399163988 \r \h </w:instrText>
      </w:r>
      <w:r>
        <w:fldChar w:fldCharType="separate"/>
      </w:r>
      <w:r>
        <w:t>84</w:t>
      </w:r>
      <w:r>
        <w:fldChar w:fldCharType="end"/>
      </w:r>
      <w:r>
        <w:t>.</w:t>
      </w:r>
    </w:p>
  </w:footnote>
  <w:footnote w:id="277">
    <w:p w14:paraId="3C64435E" w14:textId="77777777" w:rsidR="00850453" w:rsidRPr="00915324" w:rsidRDefault="00850453" w:rsidP="00B604D6">
      <w:pPr>
        <w:pStyle w:val="FootnoteText"/>
      </w:pPr>
      <w:r w:rsidRPr="00E31980">
        <w:rPr>
          <w:rStyle w:val="FootnoteReference"/>
        </w:rPr>
        <w:footnoteRef/>
      </w:r>
      <w:r w:rsidRPr="00E31980">
        <w:t xml:space="preserve"> </w:t>
      </w:r>
      <w:r w:rsidRPr="00915324">
        <w:t xml:space="preserve">47 C.F.R. §§ 1.1200 </w:t>
      </w:r>
      <w:r w:rsidRPr="00915324">
        <w:rPr>
          <w:i/>
        </w:rPr>
        <w:t>et seq</w:t>
      </w:r>
      <w:r w:rsidRPr="00915324">
        <w:t>.</w:t>
      </w:r>
    </w:p>
  </w:footnote>
  <w:footnote w:id="278">
    <w:p w14:paraId="6D793BAC" w14:textId="77777777" w:rsidR="00850453" w:rsidRPr="00915324" w:rsidRDefault="00850453" w:rsidP="00B604D6">
      <w:pPr>
        <w:pStyle w:val="FootnoteText"/>
      </w:pPr>
      <w:r>
        <w:rPr>
          <w:rStyle w:val="FootnoteReference"/>
        </w:rPr>
        <w:footnoteRef/>
      </w:r>
      <w:r>
        <w:t xml:space="preserve"> </w:t>
      </w:r>
      <w:r w:rsidRPr="00915324">
        <w:rPr>
          <w:i/>
        </w:rPr>
        <w:t>See</w:t>
      </w:r>
      <w:r w:rsidRPr="00915324">
        <w:t xml:space="preserve"> 5 U.S.C. § 801(a)(1)(A).</w:t>
      </w:r>
    </w:p>
  </w:footnote>
  <w:footnote w:id="279">
    <w:p w14:paraId="5EF31D1C" w14:textId="77777777" w:rsidR="00850453" w:rsidRPr="00AE34B4" w:rsidRDefault="00850453" w:rsidP="008F2405">
      <w:pPr>
        <w:pStyle w:val="FootnoteText"/>
      </w:pPr>
      <w:r w:rsidRPr="00F91790">
        <w:rPr>
          <w:rStyle w:val="FootnoteReference"/>
        </w:rPr>
        <w:footnoteRef/>
      </w:r>
      <w:r>
        <w:t xml:space="preserve"> </w:t>
      </w:r>
      <w:r w:rsidRPr="00AE34B4">
        <w:rPr>
          <w:i/>
        </w:rPr>
        <w:t>See</w:t>
      </w:r>
      <w:r w:rsidRPr="00AE34B4">
        <w:t xml:space="preserve"> 47 C.F.R. </w:t>
      </w:r>
      <w:r w:rsidRPr="00AE34B4">
        <w:rPr>
          <w:rFonts w:ascii="Calibri" w:hAnsi="Calibri" w:cs="Calibri"/>
        </w:rPr>
        <w:t>§</w:t>
      </w:r>
      <w:r w:rsidRPr="00AE34B4">
        <w:t xml:space="preserve"> 73.682(d).</w:t>
      </w:r>
    </w:p>
  </w:footnote>
  <w:footnote w:id="280">
    <w:p w14:paraId="2FB09D1B" w14:textId="77777777" w:rsidR="00850453" w:rsidRPr="00AE34B4" w:rsidRDefault="00850453" w:rsidP="008F2405">
      <w:pPr>
        <w:pStyle w:val="FootnoteText"/>
      </w:pPr>
      <w:r w:rsidRPr="00AE34B4">
        <w:rPr>
          <w:rStyle w:val="FootnoteReference"/>
        </w:rPr>
        <w:footnoteRef/>
      </w:r>
      <w:r w:rsidRPr="00AE34B4">
        <w:t xml:space="preserve"> For analog NTSC television transmission standards, </w:t>
      </w:r>
      <w:r w:rsidRPr="00AE34B4">
        <w:rPr>
          <w:i/>
        </w:rPr>
        <w:t>see</w:t>
      </w:r>
      <w:r w:rsidRPr="00AE34B4">
        <w:t>,</w:t>
      </w:r>
      <w:r w:rsidRPr="00AE34B4">
        <w:rPr>
          <w:i/>
        </w:rPr>
        <w:t xml:space="preserve"> e.g.</w:t>
      </w:r>
      <w:r w:rsidRPr="00AE34B4">
        <w:t xml:space="preserve">, 28 FR 13676.  Domestically, low-power television stations, including Class A and television translators, are the only remaining over-the-air broadcast television service permitted to transmit analog signals.  However, these stations will be  required to cease analog operation and convert to digital operation (currently by September 1, 2015).  </w:t>
      </w:r>
      <w:r w:rsidRPr="00AE34B4">
        <w:rPr>
          <w:i/>
          <w:iCs/>
        </w:rPr>
        <w:t xml:space="preserve">See </w:t>
      </w:r>
      <w:r w:rsidRPr="00AE34B4">
        <w:t xml:space="preserve">Amendment of Parts 73 and 74 of the Commission’s Rules to Establish Rules for Digital Low Power Television, Television Translator, and Television Booster Stations and to Amend Rules for Digital Class A Television Stations, </w:t>
      </w:r>
      <w:r w:rsidRPr="00AE34B4">
        <w:rPr>
          <w:i/>
          <w:iCs/>
        </w:rPr>
        <w:t>Second Report and Order</w:t>
      </w:r>
      <w:r w:rsidRPr="00AE34B4">
        <w:t>, 26 FCC Rcd 10732 (2011).</w:t>
      </w:r>
    </w:p>
  </w:footnote>
  <w:footnote w:id="281">
    <w:p w14:paraId="2587D7CC" w14:textId="62157CD1" w:rsidR="00850453" w:rsidRPr="00AE34B4" w:rsidRDefault="00850453" w:rsidP="008F2405">
      <w:pPr>
        <w:pStyle w:val="FootnoteText"/>
      </w:pPr>
      <w:r w:rsidRPr="00AE34B4">
        <w:rPr>
          <w:rStyle w:val="FootnoteReference"/>
        </w:rPr>
        <w:footnoteRef/>
      </w:r>
      <w:r w:rsidRPr="00AE34B4">
        <w:t xml:space="preserve"> Specifically, we reference the radio access layer of the 3GPP LTE technical specification, Release 10.  </w:t>
      </w:r>
      <w:r w:rsidRPr="00AE34B4">
        <w:rPr>
          <w:i/>
        </w:rPr>
        <w:t>See</w:t>
      </w:r>
      <w:r w:rsidRPr="00AE34B4">
        <w:t xml:space="preserve"> Evolved Universal Terrestrial Radio Access (E-UTRA); Base Station (BS) radio transmission and reception, 3GPP specification detail, </w:t>
      </w:r>
      <w:hyperlink r:id="rId11" w:history="1">
        <w:r w:rsidRPr="00AE34B4">
          <w:rPr>
            <w:rStyle w:val="Hyperlink"/>
          </w:rPr>
          <w:t>http://www.3gpp.org/DynaReport/36104.htm</w:t>
        </w:r>
      </w:hyperlink>
      <w:r w:rsidRPr="00AE34B4">
        <w:t xml:space="preserve">, Version 10.11.0.  </w:t>
      </w:r>
      <w:r w:rsidRPr="00AE34B4">
        <w:rPr>
          <w:i/>
        </w:rPr>
        <w:t>See also</w:t>
      </w:r>
      <w:r w:rsidRPr="00AE34B4">
        <w:t xml:space="preserve"> Evolved Universal Terrestrial Radio Access (E-UTRA); User Equipment (UE) radio transmission and reception, 3GPP specification detail, </w:t>
      </w:r>
      <w:hyperlink r:id="rId12" w:history="1">
        <w:r w:rsidRPr="00AE34B4">
          <w:rPr>
            <w:rStyle w:val="Hyperlink"/>
          </w:rPr>
          <w:t>http://www.3gpp.org/DynaReport/36101.htm</w:t>
        </w:r>
      </w:hyperlink>
      <w:r w:rsidRPr="00AE34B4">
        <w:t>, Version 10.12.0.</w:t>
      </w:r>
    </w:p>
  </w:footnote>
  <w:footnote w:id="282">
    <w:p w14:paraId="676E6F6B" w14:textId="0BDBAA83" w:rsidR="00850453" w:rsidRPr="00AE34B4" w:rsidRDefault="00850453" w:rsidP="008F2405">
      <w:pPr>
        <w:pStyle w:val="FootnoteText"/>
      </w:pPr>
      <w:r w:rsidRPr="00AE34B4">
        <w:rPr>
          <w:rStyle w:val="FootnoteReference"/>
        </w:rPr>
        <w:footnoteRef/>
      </w:r>
      <w:r w:rsidRPr="00AE34B4">
        <w:t xml:space="preserve"> Version 1.2.2 of the National Telecommunications and Information Administration (NTIA) Institute for Telecommunication Sciences (ITS) Irregular Terrain Model (ITM), known as the Longley-Rice model after Anita Longley and Phil Rice who developed the original version of the model, is available at </w:t>
      </w:r>
      <w:hyperlink r:id="rId13" w:history="1">
        <w:r w:rsidRPr="00AE34B4">
          <w:rPr>
            <w:rStyle w:val="Hyperlink"/>
          </w:rPr>
          <w:t>http://www.its.bldrdoc.gov/resources/radio-propagation-software/itm/itm.aspx</w:t>
        </w:r>
      </w:hyperlink>
      <w:r w:rsidRPr="00AE34B4">
        <w:t>.  The source code for this version of the Longley-Rice model, used by the Commission in several other contexts including OET Bulletin Nos. 69, 72 and 73, is available in FORTRAN, C++, and in algorithm form at the website cited above.</w:t>
      </w:r>
    </w:p>
  </w:footnote>
  <w:footnote w:id="283">
    <w:p w14:paraId="12B55290" w14:textId="042AEE0B" w:rsidR="00850453" w:rsidRPr="00F91790" w:rsidRDefault="00850453" w:rsidP="008F2405">
      <w:pPr>
        <w:pStyle w:val="FootnoteText"/>
      </w:pPr>
      <w:r w:rsidRPr="00AE34B4">
        <w:rPr>
          <w:rStyle w:val="FootnoteReference"/>
        </w:rPr>
        <w:footnoteRef/>
      </w:r>
      <w:r w:rsidRPr="00AE34B4">
        <w:t xml:space="preserve"> </w:t>
      </w:r>
      <w:r w:rsidRPr="0089605E">
        <w:rPr>
          <w:i/>
        </w:rPr>
        <w:t>See</w:t>
      </w:r>
      <w:r w:rsidRPr="00F91790">
        <w:t xml:space="preserve"> </w:t>
      </w:r>
      <w:r w:rsidRPr="00F91790">
        <w:rPr>
          <w:i/>
        </w:rPr>
        <w:t>TVStudy Manual</w:t>
      </w:r>
      <w:r w:rsidRPr="00F91790">
        <w:t xml:space="preserve"> at </w:t>
      </w:r>
      <w:hyperlink r:id="rId14" w:history="1">
        <w:r w:rsidRPr="00F91790">
          <w:rPr>
            <w:rStyle w:val="Hyperlink"/>
          </w:rPr>
          <w:t>http://data.fcc.gov/download/incentive-auctions/OET-69/2014Apr_TVStudyManual.pdf</w:t>
        </w:r>
      </w:hyperlink>
      <w:r w:rsidRPr="00F91790">
        <w:t>.  The latitude size of cells is fixed for any grid type based on the specified cell size, but for a global grid the longitude size varies in steps according to latitude range (up to 75 degrees latitude).  Breaks in latitude bands defining the northern and southern edges of cells are targeted to occur when the cell area changes by 2% across a band.  However, incrementing the integer longitude size by a whole number of seconds will lead to an actual area change by more than 2%.  For a 2-kilometer target cell size, the change in area is actually 3.25%, meaning the area of cells varies from 4.07 km</w:t>
      </w:r>
      <w:r w:rsidRPr="00F91790">
        <w:rPr>
          <w:vertAlign w:val="superscript"/>
        </w:rPr>
        <w:t>2</w:t>
      </w:r>
      <w:r w:rsidRPr="00F91790">
        <w:t xml:space="preserve"> at the south edge to 3.94 km</w:t>
      </w:r>
      <w:r w:rsidRPr="00F91790">
        <w:rPr>
          <w:vertAlign w:val="superscript"/>
        </w:rPr>
        <w:t>2</w:t>
      </w:r>
      <w:r w:rsidRPr="00F91790">
        <w:t xml:space="preserve"> at the north edge of a band.  The actual area of each cell is to be used when cell areas are summed to determine a contour or service areas, so the changes in cell areas across a grid latitude band do not result in cumulative summation errors.  Cells are referenced by their southeast corner, beginning with zero degrees latitude, zero degrees longitude.</w:t>
      </w:r>
      <w:r w:rsidRPr="00AE34B4">
        <w:t xml:space="preserve">  </w:t>
      </w:r>
    </w:p>
  </w:footnote>
  <w:footnote w:id="284">
    <w:p w14:paraId="512D06FF" w14:textId="4D2C8181" w:rsidR="00850453" w:rsidRPr="00F91790" w:rsidRDefault="00850453" w:rsidP="008F2405">
      <w:pPr>
        <w:pStyle w:val="FootnoteText"/>
      </w:pPr>
      <w:r w:rsidRPr="00F91790">
        <w:rPr>
          <w:rStyle w:val="FootnoteReference"/>
        </w:rPr>
        <w:footnoteRef/>
      </w:r>
      <w:r w:rsidRPr="00F91790">
        <w:t xml:space="preserve"> The FCC’s </w:t>
      </w:r>
      <w:r w:rsidRPr="00F91790">
        <w:rPr>
          <w:i/>
        </w:rPr>
        <w:t>TVStudy</w:t>
      </w:r>
      <w:r w:rsidRPr="00F91790">
        <w:t xml:space="preserve"> software provides analysis of coverage and interference of full-service digital and Class A television stations, with enhanced features and user functionality from previous versions of software implementing the Longley-Rice model.  The FCC is using its </w:t>
      </w:r>
      <w:r w:rsidRPr="00F91790">
        <w:rPr>
          <w:i/>
        </w:rPr>
        <w:t>TVStudy</w:t>
      </w:r>
      <w:r w:rsidRPr="00F91790">
        <w:t xml:space="preserve"> software in connection with the proposed broadcast television spectrum incentive auction.  </w:t>
      </w:r>
      <w:r w:rsidRPr="00F91790">
        <w:rPr>
          <w:i/>
        </w:rPr>
        <w:t>See</w:t>
      </w:r>
      <w:r w:rsidRPr="00F91790">
        <w:t xml:space="preserve"> </w:t>
      </w:r>
      <w:hyperlink r:id="rId15" w:history="1">
        <w:r w:rsidRPr="00F91790">
          <w:rPr>
            <w:rStyle w:val="Hyperlink"/>
          </w:rPr>
          <w:t>http://www.fcc.gov/document/oet-announces-release-updated-oet-69-software</w:t>
        </w:r>
      </w:hyperlink>
      <w:r w:rsidRPr="00F91790">
        <w:t xml:space="preserve">.  The Longley-Rice Fortran code implementing the Longley-Rice model is used in the FCC’s </w:t>
      </w:r>
      <w:r w:rsidRPr="00F91790">
        <w:rPr>
          <w:i/>
        </w:rPr>
        <w:t>TVStudy</w:t>
      </w:r>
      <w:r w:rsidRPr="00F91790">
        <w:t xml:space="preserve"> software.  As the Longley-Rice Fortran code is complex, many of its options are configurable through the FCC’s </w:t>
      </w:r>
      <w:r w:rsidRPr="00F91790">
        <w:rPr>
          <w:i/>
        </w:rPr>
        <w:t>TVStudy</w:t>
      </w:r>
      <w:r w:rsidRPr="00F91790">
        <w:t xml:space="preserve"> software, available for download at </w:t>
      </w:r>
      <w:hyperlink r:id="rId16" w:history="1">
        <w:r w:rsidRPr="00F91790">
          <w:rPr>
            <w:rStyle w:val="Hyperlink"/>
          </w:rPr>
          <w:t>http://data.fcc.gov/download/incentive-auctions/OET-69/</w:t>
        </w:r>
      </w:hyperlink>
      <w:r w:rsidRPr="00F91790">
        <w:t>.  Parties installing this software should have computer programming skills and experience as a system administrator of the computer system on which it is to be installed.</w:t>
      </w:r>
    </w:p>
  </w:footnote>
  <w:footnote w:id="285">
    <w:p w14:paraId="477256AD" w14:textId="65A7503C" w:rsidR="00850453" w:rsidRPr="00D23CDA" w:rsidRDefault="00850453" w:rsidP="008F2405">
      <w:pPr>
        <w:pStyle w:val="FootnoteText"/>
      </w:pPr>
      <w:r>
        <w:rPr>
          <w:rStyle w:val="FootnoteReference"/>
        </w:rPr>
        <w:footnoteRef/>
      </w:r>
      <w:r>
        <w:t xml:space="preserve"> There are 416 PEAs that will be licensed.  Each PEA is comprised by one or more US counties. </w:t>
      </w:r>
      <w:r w:rsidRPr="00F91790">
        <w:rPr>
          <w:i/>
        </w:rPr>
        <w:t>See</w:t>
      </w:r>
      <w:r w:rsidRPr="00F91790">
        <w:t xml:space="preserve"> </w:t>
      </w:r>
      <w:hyperlink r:id="rId17" w:history="1">
        <w:r w:rsidRPr="00F91790">
          <w:rPr>
            <w:rStyle w:val="Hyperlink"/>
          </w:rPr>
          <w:t>http://transition.fcc.gov/oet/info/maps/areas/</w:t>
        </w:r>
      </w:hyperlink>
    </w:p>
  </w:footnote>
  <w:footnote w:id="286">
    <w:p w14:paraId="08741639" w14:textId="77777777" w:rsidR="00850453" w:rsidRPr="00D23CDA" w:rsidRDefault="00850453" w:rsidP="008F2405">
      <w:pPr>
        <w:pStyle w:val="FootnoteText"/>
      </w:pPr>
      <w:r>
        <w:rPr>
          <w:rStyle w:val="FootnoteReference"/>
        </w:rPr>
        <w:footnoteRef/>
      </w:r>
      <w:r>
        <w:t xml:space="preserve"> The term “contour”, unless otherwise noted, refers to either the noise-limited or protected contour of a full-power or Class A TV station, respectively.</w:t>
      </w:r>
    </w:p>
  </w:footnote>
  <w:footnote w:id="287">
    <w:p w14:paraId="68854758" w14:textId="77777777" w:rsidR="00850453" w:rsidRPr="00AE34B4" w:rsidRDefault="00850453" w:rsidP="008F2405">
      <w:pPr>
        <w:pStyle w:val="FootnoteText"/>
      </w:pPr>
      <w:r w:rsidRPr="00AE34B4">
        <w:rPr>
          <w:rStyle w:val="FootnoteReference"/>
        </w:rPr>
        <w:footnoteRef/>
      </w:r>
      <w:r>
        <w:t xml:space="preserve"> </w:t>
      </w:r>
      <w:r w:rsidRPr="00893A00">
        <w:rPr>
          <w:i/>
        </w:rPr>
        <w:t xml:space="preserve">TVStudy </w:t>
      </w:r>
      <w:r>
        <w:t xml:space="preserve">only calculates field strength within a DTV station’s service contour, therefore for Cases 1 or 2 we set the service contour threshold to 0 dBµV/m, use the F(50,10) curves and </w:t>
      </w:r>
      <w:r w:rsidRPr="00AE34B4">
        <w:t>a minimum HAAT of 50 meters</w:t>
      </w:r>
      <w:r>
        <w:t xml:space="preserve"> to achieve the largest calculation area possible</w:t>
      </w:r>
      <w:r w:rsidRPr="00AE34B4">
        <w:t xml:space="preserve">.  This generally equates to a maximum distance of about 500 km but varies based on the terrain </w:t>
      </w:r>
      <w:r>
        <w:t xml:space="preserve">near the DTV facility (contours only consider terrain elevations between 2 and 10 miles from the DTV facility), </w:t>
      </w:r>
      <w:r w:rsidRPr="00AE34B4">
        <w:t xml:space="preserve">and DTV facility parameters, such as ERP and HAAT.  </w:t>
      </w:r>
    </w:p>
  </w:footnote>
  <w:footnote w:id="288">
    <w:p w14:paraId="5C0EF57A" w14:textId="46271367" w:rsidR="00850453" w:rsidRPr="003B0E22" w:rsidRDefault="00850453" w:rsidP="003B0E22">
      <w:pPr>
        <w:pStyle w:val="FootnoteText"/>
      </w:pPr>
      <w:r>
        <w:rPr>
          <w:rStyle w:val="FootnoteReference"/>
        </w:rPr>
        <w:footnoteRef/>
      </w:r>
      <w:r>
        <w:t xml:space="preserve"> </w:t>
      </w:r>
      <w:r w:rsidRPr="00EE61F6">
        <w:rPr>
          <w:rFonts w:eastAsia="Calibri"/>
        </w:rPr>
        <w:t>Channel 38 is selected as the proxy channel because it is approximately in the middle of where a repacked DTV station may potentially be in the 600 MHz Band.  This channel will be used in estimating the contours of DTV stations when determining impairments to wireless licenses.  We note that the use of a proxy channel in this ISIX methodology differs from the approach adopted by the Commission in the Incentive Auction R&amp;O for determining TV-to-TV interference, where the coverage area and interference between stations is calculated on every possible channel that could be assigned during the repacking process.   </w:t>
      </w:r>
      <w:r w:rsidRPr="00EE61F6">
        <w:rPr>
          <w:rFonts w:eastAsia="Calibri"/>
          <w:i/>
          <w:iCs/>
        </w:rPr>
        <w:t>See Incentive Auction R&amp;O</w:t>
      </w:r>
      <w:r w:rsidRPr="00EE61F6">
        <w:rPr>
          <w:rFonts w:eastAsia="Calibri"/>
        </w:rPr>
        <w:t>, 29 FCC Rcd</w:t>
      </w:r>
      <w:r w:rsidRPr="00EE61F6">
        <w:rPr>
          <w:rFonts w:eastAsia="Calibri"/>
          <w:i/>
          <w:iCs/>
        </w:rPr>
        <w:t xml:space="preserve"> </w:t>
      </w:r>
      <w:r w:rsidRPr="00EE61F6">
        <w:rPr>
          <w:rFonts w:eastAsia="Calibri"/>
        </w:rPr>
        <w:t xml:space="preserve">at 6620, para. 115.  A different approach is used in the ISIX Methodology for two reasons.  Any potential improvement in the accuracy of estimating wireless license impairments obtained by using actual channels would be limited by the fact that we are calculating interference in Cases 1 and 2 with the assumption that the wireless base station or user equipment is operating at or near receiver sensitivity (non-optimal configurations) and in Case 3 we are using hypothetical base station locations and configurations.  Second, as noted above, the </w:t>
      </w:r>
      <w:r w:rsidRPr="00EE61F6">
        <w:rPr>
          <w:rFonts w:eastAsia="Calibri"/>
          <w:i/>
          <w:iCs/>
        </w:rPr>
        <w:t>Comment PN</w:t>
      </w:r>
      <w:r w:rsidRPr="00EE61F6">
        <w:rPr>
          <w:rFonts w:eastAsia="Calibri"/>
        </w:rPr>
        <w:t xml:space="preserve"> will address how we define categories of fungible wireless licenses, and it is likely that the impairment calculations will require some level of aggregation to limit the number of license categories offered in the forward auction.  However, we propose to use actual channels for post-auction interference predictions as described in the FNPRM.  Once the final channel assignments are determined post-auction, using actual channels will be feasible because the specific DTV station and the location and configurations of the actual (as opposed to hypothetical) base stations will be known. </w:t>
      </w:r>
    </w:p>
  </w:footnote>
  <w:footnote w:id="289">
    <w:p w14:paraId="44EC227C" w14:textId="77777777" w:rsidR="00850453" w:rsidRPr="00137ABC" w:rsidRDefault="00850453" w:rsidP="008F2405">
      <w:pPr>
        <w:pStyle w:val="FootnoteText"/>
      </w:pPr>
      <w:r>
        <w:rPr>
          <w:rStyle w:val="FootnoteReference"/>
        </w:rPr>
        <w:footnoteRef/>
      </w:r>
      <w:r>
        <w:t xml:space="preserve"> All field strength predictions for Cases 1 or 2 are median situations which means that Longley-Rice statistical parameters are set for median situations (50% confidence), for 50% of the locations, 50% of the time (i.e. F(50,50))</w:t>
      </w:r>
    </w:p>
  </w:footnote>
  <w:footnote w:id="290">
    <w:p w14:paraId="31F3CEBB" w14:textId="77777777" w:rsidR="00850453" w:rsidRPr="00F91790" w:rsidRDefault="00850453" w:rsidP="00E1577B">
      <w:pPr>
        <w:pStyle w:val="FootnoteText"/>
      </w:pPr>
      <w:r w:rsidRPr="00F91790">
        <w:rPr>
          <w:rStyle w:val="FootnoteReference"/>
        </w:rPr>
        <w:footnoteRef/>
      </w:r>
      <w:r w:rsidRPr="00F91790">
        <w:t xml:space="preserve"> </w:t>
      </w:r>
      <w:r w:rsidRPr="00AE34B4">
        <w:rPr>
          <w:i/>
        </w:rPr>
        <w:t xml:space="preserve">See </w:t>
      </w:r>
      <w:r w:rsidRPr="00AE34B4">
        <w:t>OET Bulletin No. 69, Table 3.  The adjustment, K</w:t>
      </w:r>
      <w:r w:rsidRPr="00AE34B4">
        <w:rPr>
          <w:vertAlign w:val="subscript"/>
        </w:rPr>
        <w:t>a</w:t>
      </w:r>
      <w:r w:rsidRPr="00AE34B4">
        <w:t xml:space="preserve"> = 20 log[615/(channel mid-frequency in MHz)], is added to K</w:t>
      </w:r>
      <w:r w:rsidRPr="00AE34B4">
        <w:rPr>
          <w:vertAlign w:val="subscript"/>
        </w:rPr>
        <w:t>d</w:t>
      </w:r>
      <w:r w:rsidRPr="00AE34B4">
        <w:t xml:space="preserve"> to account for the fact that field strength requirements are greater for UHF channels above the geometric mean frequency of the UHF band and smaller for UHF channels below that frequency.  The geometric mean frequency, 615 MHz, is approximately the mid-frequency of channel 38. </w:t>
      </w:r>
    </w:p>
  </w:footnote>
  <w:footnote w:id="291">
    <w:p w14:paraId="714EB40C" w14:textId="0C66AF68" w:rsidR="00850453" w:rsidRPr="00360EC6" w:rsidRDefault="00850453" w:rsidP="008F2405">
      <w:pPr>
        <w:pStyle w:val="FootnoteText"/>
      </w:pPr>
      <w:r>
        <w:rPr>
          <w:rStyle w:val="FootnoteReference"/>
        </w:rPr>
        <w:footnoteRef/>
      </w:r>
      <w:r>
        <w:t xml:space="preserve"> </w:t>
      </w:r>
      <w:r w:rsidRPr="00F91790">
        <w:t xml:space="preserve">The International Telecommunications Union (ITU) has accepted frequency-dependent rejection (FDR) as an established technique in measuring the combination of receiver selectivity and unwanted transmitter emissions for calculating distance and frequency separations at acceptable interference levels in its publication ITU-R SM.337-6 (2008), available at: </w:t>
      </w:r>
      <w:hyperlink r:id="rId18" w:history="1">
        <w:r w:rsidRPr="00F91790">
          <w:rPr>
            <w:rStyle w:val="Hyperlink"/>
          </w:rPr>
          <w:t>http://www.itu.int/dms_pubrec/itu-r/rec/sm/R-REC-SM.337-6-200810-I!!PDF-E.pdf</w:t>
        </w:r>
      </w:hyperlink>
      <w:r w:rsidRPr="00F91790">
        <w:t xml:space="preserve">.  National Telecommunications and Information Administration (NTIA)’s FDR is a computer-based implementation of this widely-accepted method available in its Microcomputer Spectrum Analysis Models (MSAM) software suite.  </w:t>
      </w:r>
      <w:r w:rsidRPr="00F91790">
        <w:rPr>
          <w:i/>
        </w:rPr>
        <w:t>See</w:t>
      </w:r>
      <w:r w:rsidRPr="00F91790">
        <w:t xml:space="preserve">, </w:t>
      </w:r>
      <w:r w:rsidRPr="00F91790">
        <w:rPr>
          <w:i/>
        </w:rPr>
        <w:t>e.g.</w:t>
      </w:r>
      <w:r w:rsidRPr="00F91790">
        <w:t xml:space="preserve">, Communications Receiver Performance Degradation Handbook, </w:t>
      </w:r>
      <w:hyperlink r:id="rId19" w:history="1">
        <w:r w:rsidRPr="00F91790">
          <w:rPr>
            <w:rStyle w:val="Hyperlink"/>
          </w:rPr>
          <w:t>http://www.ntia.doc.gov/files/ntia/publications/jsc-cr-10-004final.pdf at 28-31</w:t>
        </w:r>
      </w:hyperlink>
      <w:r w:rsidRPr="00F91790">
        <w:t>at 28–31(last visited Apr. 17, 2014); NTIA Technical Memo TM-09-461 (</w:t>
      </w:r>
      <w:hyperlink r:id="rId20" w:history="1">
        <w:r w:rsidRPr="00F91790">
          <w:rPr>
            <w:rStyle w:val="Hyperlink"/>
          </w:rPr>
          <w:t>http://www.its.bldrdoc.gov/publications/2498.aspx</w:t>
        </w:r>
      </w:hyperlink>
      <w:r w:rsidRPr="00F91790">
        <w:t xml:space="preserve"> ) at 5–8, 5–9 (last visited Apr. 17, 2014); Frequency Dependent Rejection (FDR) Overview, </w:t>
      </w:r>
      <w:hyperlink r:id="rId21" w:history="1">
        <w:r w:rsidRPr="00F91790">
          <w:rPr>
            <w:rStyle w:val="Hyperlink"/>
          </w:rPr>
          <w:t>http://ntiacsd.ntia.doc.gov/msam/FDR/FDRoverview.htm</w:t>
        </w:r>
      </w:hyperlink>
      <w:r w:rsidRPr="00F91790">
        <w:t xml:space="preserve"> (last visited Apr. 17, 2014).</w:t>
      </w:r>
    </w:p>
  </w:footnote>
  <w:footnote w:id="292">
    <w:p w14:paraId="735E2193" w14:textId="77777777" w:rsidR="00850453" w:rsidRPr="00360EC6" w:rsidRDefault="00850453" w:rsidP="008F2405">
      <w:pPr>
        <w:pStyle w:val="FootnoteText"/>
      </w:pPr>
      <w:r>
        <w:rPr>
          <w:rStyle w:val="FootnoteReference"/>
        </w:rPr>
        <w:footnoteRef/>
      </w:r>
      <w:r>
        <w:t xml:space="preserve"> </w:t>
      </w:r>
      <w:r w:rsidRPr="00F91790">
        <w:rPr>
          <w:i/>
        </w:rPr>
        <w:t xml:space="preserve">See </w:t>
      </w:r>
      <w:r w:rsidRPr="00F91790">
        <w:t>47 C.F.R. §§ 27.53(g) and 73.623(h).</w:t>
      </w:r>
    </w:p>
  </w:footnote>
  <w:footnote w:id="293">
    <w:p w14:paraId="7D3AEFEC" w14:textId="2CFD3204" w:rsidR="00850453" w:rsidRPr="00360EC6" w:rsidRDefault="00850453" w:rsidP="008F2405">
      <w:pPr>
        <w:pStyle w:val="FootnoteText"/>
      </w:pPr>
      <w:r>
        <w:rPr>
          <w:rStyle w:val="FootnoteReference"/>
        </w:rPr>
        <w:footnoteRef/>
      </w:r>
      <w:r>
        <w:t xml:space="preserve"> </w:t>
      </w:r>
      <w:r w:rsidRPr="00F91790">
        <w:rPr>
          <w:i/>
        </w:rPr>
        <w:t>See</w:t>
      </w:r>
      <w:r w:rsidRPr="00F91790">
        <w:t xml:space="preserve"> ATSC Recommended Practice A/74: Receiver Performance Guidelines, section 5.4.2, Adjacent Channel Rejection, 7 Apr. 2010, available at </w:t>
      </w:r>
      <w:hyperlink r:id="rId22" w:history="1">
        <w:r w:rsidRPr="00F91790">
          <w:rPr>
            <w:rStyle w:val="Hyperlink"/>
          </w:rPr>
          <w:t>http://www.atsc.org/cms/standards/a_74-2010.pdf</w:t>
        </w:r>
      </w:hyperlink>
      <w:r w:rsidRPr="00F91790">
        <w:t xml:space="preserve"> (last visited May 1, 2014).</w:t>
      </w:r>
    </w:p>
  </w:footnote>
  <w:footnote w:id="294">
    <w:p w14:paraId="591323C0" w14:textId="77777777" w:rsidR="00850453" w:rsidRPr="004E3A8D" w:rsidRDefault="00850453">
      <w:pPr>
        <w:pStyle w:val="FootnoteText"/>
      </w:pPr>
      <w:r>
        <w:rPr>
          <w:rStyle w:val="FootnoteReference"/>
        </w:rPr>
        <w:footnoteRef/>
      </w:r>
      <w:r>
        <w:t xml:space="preserve"> </w:t>
      </w:r>
      <w:r w:rsidRPr="00E70EE8">
        <w:rPr>
          <w:i/>
        </w:rPr>
        <w:t>See</w:t>
      </w:r>
      <w:r>
        <w:rPr>
          <w:i/>
        </w:rPr>
        <w:t xml:space="preserve"> supra, Second Report &amp; Order</w:t>
      </w:r>
      <w:r w:rsidRPr="004E3A8D">
        <w:t>, para</w:t>
      </w:r>
      <w:r>
        <w:t xml:space="preserve">. </w:t>
      </w:r>
      <w:r>
        <w:fldChar w:fldCharType="begin"/>
      </w:r>
      <w:r>
        <w:instrText xml:space="preserve"> REF _Ref398034368 \r \h </w:instrText>
      </w:r>
      <w:r>
        <w:fldChar w:fldCharType="separate"/>
      </w:r>
      <w:r>
        <w:t>54</w:t>
      </w:r>
      <w:r>
        <w:fldChar w:fldCharType="end"/>
      </w:r>
      <w:r>
        <w:t>.</w:t>
      </w:r>
      <w:r>
        <w:rPr>
          <w:i/>
        </w:rPr>
        <w:t xml:space="preserve"> </w:t>
      </w:r>
      <w:r>
        <w:t xml:space="preserve"> </w:t>
      </w:r>
    </w:p>
  </w:footnote>
  <w:footnote w:id="295">
    <w:p w14:paraId="4E4F4FB2" w14:textId="77777777" w:rsidR="00850453" w:rsidRPr="00137ABC" w:rsidRDefault="00850453" w:rsidP="008F2405">
      <w:pPr>
        <w:pStyle w:val="FootnoteText"/>
      </w:pPr>
      <w:r>
        <w:rPr>
          <w:rStyle w:val="FootnoteReference"/>
        </w:rPr>
        <w:footnoteRef/>
      </w:r>
      <w:r>
        <w:t xml:space="preserve"> </w:t>
      </w:r>
      <w:r w:rsidRPr="00137ABC">
        <w:t>We use the county boundary files from the 2010 US Census</w:t>
      </w:r>
      <w:r>
        <w:t xml:space="preserve"> available at </w:t>
      </w:r>
      <w:r w:rsidRPr="00137ABC">
        <w:t>ftp://ftp2.census.gov/geo/tiger/TIGER2010/COUNTY/2010/</w:t>
      </w:r>
    </w:p>
  </w:footnote>
  <w:footnote w:id="296">
    <w:p w14:paraId="53B13C6D" w14:textId="77777777" w:rsidR="00850453" w:rsidRPr="00137ABC" w:rsidRDefault="00850453" w:rsidP="008F2405">
      <w:pPr>
        <w:pStyle w:val="FootnoteText"/>
      </w:pPr>
      <w:r>
        <w:rPr>
          <w:rStyle w:val="FootnoteReference"/>
        </w:rPr>
        <w:footnoteRef/>
      </w:r>
      <w:r>
        <w:t xml:space="preserve"> </w:t>
      </w:r>
      <w:r>
        <w:tab/>
      </w:r>
      <w:r w:rsidRPr="003C4952">
        <w:rPr>
          <w:lang w:eastAsia="ja-JP"/>
        </w:rPr>
        <w:t xml:space="preserve">Because impaired locations are a result of TV stations in the 600 MHz Band, we can assume that the TV channel for which we want to predict wireless </w:t>
      </w:r>
      <w:r>
        <w:rPr>
          <w:lang w:eastAsia="ja-JP"/>
        </w:rPr>
        <w:t xml:space="preserve">license </w:t>
      </w:r>
      <w:r w:rsidRPr="003C4952">
        <w:rPr>
          <w:lang w:eastAsia="ja-JP"/>
        </w:rPr>
        <w:t xml:space="preserve">impairments is at least above TV channel 26, which corresponds with the largest clearing target in the </w:t>
      </w:r>
      <w:r w:rsidRPr="003C4952">
        <w:rPr>
          <w:i/>
          <w:lang w:eastAsia="ja-JP"/>
        </w:rPr>
        <w:t>I</w:t>
      </w:r>
      <w:r>
        <w:rPr>
          <w:i/>
          <w:lang w:eastAsia="ja-JP"/>
        </w:rPr>
        <w:t xml:space="preserve">ncentive Auctions R&amp;O.  See Incentive Auctions R&amp;O, </w:t>
      </w:r>
      <w:r>
        <w:rPr>
          <w:lang w:eastAsia="ja-JP"/>
        </w:rPr>
        <w:t xml:space="preserve">29 FCC Rcd at 7018, App. C, Technical Appendix. </w:t>
      </w:r>
      <w:r>
        <w:rPr>
          <w:i/>
          <w:lang w:eastAsia="ja-JP"/>
        </w:rPr>
        <w:t xml:space="preserve"> </w:t>
      </w:r>
      <w:r w:rsidRPr="003C4952">
        <w:rPr>
          <w:lang w:eastAsia="ja-JP"/>
        </w:rPr>
        <w:t xml:space="preserve">Impaired locations </w:t>
      </w:r>
      <w:r w:rsidRPr="003C4952">
        <w:t>could</w:t>
      </w:r>
      <w:r w:rsidRPr="003C4952">
        <w:rPr>
          <w:lang w:eastAsia="ja-JP"/>
        </w:rPr>
        <w:t xml:space="preserve"> be anywhere in the re-purposed wireless spectrum, especially with respect to cases caused by international TV stations.  We will use TV channel 38 to replicate all DTV stations for purposes of estimating their contours after repacking and potential wireless </w:t>
      </w:r>
      <w:r>
        <w:rPr>
          <w:lang w:eastAsia="ja-JP"/>
        </w:rPr>
        <w:t xml:space="preserve">license </w:t>
      </w:r>
      <w:r w:rsidRPr="003C4952">
        <w:rPr>
          <w:lang w:eastAsia="ja-JP"/>
        </w:rPr>
        <w:t xml:space="preserve">impairments during the auction.  </w:t>
      </w:r>
      <w:r w:rsidRPr="005150C4">
        <w:t>However, we propose to use actual TV channels for post-auction interference prediction, as described in the FNPRM.</w:t>
      </w:r>
      <w:r>
        <w:t xml:space="preserve"> </w:t>
      </w:r>
      <w:r w:rsidRPr="00E70EE8">
        <w:rPr>
          <w:i/>
        </w:rPr>
        <w:t>See</w:t>
      </w:r>
      <w:r>
        <w:t xml:space="preserve"> </w:t>
      </w:r>
      <w:r w:rsidRPr="00E70EE8">
        <w:rPr>
          <w:i/>
        </w:rPr>
        <w:t>supra</w:t>
      </w:r>
      <w:r>
        <w:t xml:space="preserve">, </w:t>
      </w:r>
      <w:r w:rsidRPr="00E70EE8">
        <w:rPr>
          <w:i/>
        </w:rPr>
        <w:t>FNPRM</w:t>
      </w:r>
      <w:r>
        <w:t xml:space="preserve"> at para. </w:t>
      </w:r>
      <w:r>
        <w:fldChar w:fldCharType="begin"/>
      </w:r>
      <w:r>
        <w:instrText xml:space="preserve"> REF _Ref398035040 \r \h </w:instrText>
      </w:r>
      <w:r>
        <w:fldChar w:fldCharType="separate"/>
      </w:r>
      <w:r>
        <w:t>69</w:t>
      </w:r>
      <w:r>
        <w:fldChar w:fldCharType="end"/>
      </w:r>
      <w:r>
        <w:t xml:space="preserve">. </w:t>
      </w:r>
    </w:p>
  </w:footnote>
  <w:footnote w:id="297">
    <w:p w14:paraId="5167F67E" w14:textId="77777777" w:rsidR="00850453" w:rsidRPr="00F91790" w:rsidRDefault="00850453" w:rsidP="008F2405">
      <w:pPr>
        <w:pStyle w:val="FootnoteText"/>
      </w:pPr>
      <w:r w:rsidRPr="00AE34B4">
        <w:rPr>
          <w:rStyle w:val="FootnoteReference"/>
        </w:rPr>
        <w:footnoteRef/>
      </w:r>
      <w:r w:rsidRPr="00AE34B4">
        <w:t xml:space="preserve"> </w:t>
      </w:r>
      <w:r w:rsidRPr="00AE34B4">
        <w:tab/>
        <w:t xml:space="preserve">The 3GPP LTE standard supports a maximum cell radius of 100 kilometers.  In practice, however, cell radii vary from fraction of a kilometer in dense urban environments to tens of kilometers in sparsely populated rural areas.  </w:t>
      </w:r>
      <w:r w:rsidRPr="00AE34B4">
        <w:rPr>
          <w:i/>
        </w:rPr>
        <w:t>See</w:t>
      </w:r>
      <w:r w:rsidRPr="00AE34B4">
        <w:t xml:space="preserve"> Commerce Spectrum Management Advisory Committee (CSMAC), Final Report, Working Group 1 – 1695-1710 MHz Meteorological-Satellite, Rev. 1, July 23, 2013, Appendix 3.  The uniform10-kilometer spacing for base station transmitting sites we describe in this appendix approaches a practical limit on computation.  The area surrounding each 10-kilometer base station can be thought of as a square with dimensions approximately 10 kilometers on each side, for a total area of 100 square kilometers associated with each hypothetical wireless site.</w:t>
      </w:r>
    </w:p>
  </w:footnote>
  <w:footnote w:id="298">
    <w:p w14:paraId="1C6811E6" w14:textId="77777777" w:rsidR="00850453" w:rsidRPr="00AE34B4" w:rsidRDefault="00850453" w:rsidP="008F2405">
      <w:pPr>
        <w:pStyle w:val="FootnoteText"/>
      </w:pPr>
      <w:r w:rsidRPr="00AE34B4">
        <w:rPr>
          <w:rStyle w:val="FootnoteReference"/>
        </w:rPr>
        <w:footnoteRef/>
      </w:r>
      <w:r w:rsidRPr="00AE34B4">
        <w:t xml:space="preserve"> </w:t>
      </w:r>
      <w:r w:rsidRPr="00AE34B4">
        <w:tab/>
        <w:t>The antenna height above average terrain (HAAT) is determined by the average elevation of between 3.2-16.1 kilometers (2-10 miles) from an antenna site for 8 radials at each 45 degrees of azimuth starting with the True North, using a terrain sampling interval of 0.1 kilometer along each radial.</w:t>
      </w:r>
    </w:p>
  </w:footnote>
  <w:footnote w:id="299">
    <w:p w14:paraId="5F835B07" w14:textId="77777777" w:rsidR="00850453" w:rsidRPr="00AE34B4" w:rsidRDefault="00850453" w:rsidP="008F2405">
      <w:pPr>
        <w:pStyle w:val="FootnoteText"/>
      </w:pPr>
      <w:r w:rsidRPr="00F91790">
        <w:rPr>
          <w:rStyle w:val="FootnoteReference"/>
        </w:rPr>
        <w:footnoteRef/>
      </w:r>
      <w:r w:rsidRPr="00F91790">
        <w:t xml:space="preserve"> </w:t>
      </w:r>
      <w:r w:rsidRPr="00AE34B4">
        <w:t>We assume -33 dB adjacent channel rejection for the DTV receiver and 43 + 10 log(P) in a 100 kHz bandwidth attenuation for the wireless emission mask.  These flat response curves lead to a constant OFR rejection at spectral overlaps less than 0 MHz.</w:t>
      </w:r>
    </w:p>
  </w:footnote>
  <w:footnote w:id="300">
    <w:p w14:paraId="4D47F768" w14:textId="77777777" w:rsidR="00850453" w:rsidRPr="00F91790" w:rsidRDefault="00850453" w:rsidP="008F2405">
      <w:pPr>
        <w:pStyle w:val="FootnoteText"/>
      </w:pPr>
      <w:r w:rsidRPr="00F91790">
        <w:rPr>
          <w:rStyle w:val="FootnoteReference"/>
        </w:rPr>
        <w:footnoteRef/>
      </w:r>
      <w:r w:rsidRPr="00F91790">
        <w:t xml:space="preserve"> </w:t>
      </w:r>
      <w:r w:rsidRPr="00F91790">
        <w:rPr>
          <w:i/>
          <w:iCs/>
        </w:rPr>
        <w:t>See</w:t>
      </w:r>
      <w:r w:rsidRPr="00F91790">
        <w:t xml:space="preserve"> Daniel, W. and Wong, H., “Propagation in Suburban Areas at Distances less than Ten Miles,” </w:t>
      </w:r>
      <w:r w:rsidRPr="00F91790">
        <w:rPr>
          <w:u w:val="single"/>
        </w:rPr>
        <w:t>FCC/OET TM 91-1</w:t>
      </w:r>
      <w:r w:rsidRPr="00F91790">
        <w:t xml:space="preserve">, Federal Communications Commission, Office of Engineering and Technology, January 25, 1991.”  Assuming 18 dBµV/m (41 dBµV/m – 23 dB) as a sufficient field strength threshold to protect co-channel DTV and 51 dBµV/m (41 dBµV/m – 23 dB + 33 dB) as a sufficient field strength threshold to protect adjacent-channel DTV, as well as outdoor propagation from user equipment operating at 23 dBm (-9.2 dBW assuming a </w:t>
      </w:r>
      <w:r>
        <w:br/>
      </w:r>
      <w:r w:rsidRPr="00F91790">
        <w:t>-2.2 dBd antenna gain), with a transmit height above ground of 1.5 meters and a receive antenna height above ground of 10 meters, the resulting separation distances from the 41 dBµV/m DTV  service contour are 2.8 kilometers for co-channel and 0.4 kilometers for adjacent-channel operation.  While the user equipment could be higher above ground resulting in a larger separation distance, this simple analysis does not consider other factors such as building attenuation, clutter losses from other obstacles, transmit antenna inefficiencies, transmit power control, or receive antenna discrimination.</w:t>
      </w:r>
    </w:p>
  </w:footnote>
  <w:footnote w:id="301">
    <w:p w14:paraId="5CEB1EC8" w14:textId="77777777" w:rsidR="00850453" w:rsidRDefault="00850453">
      <w:pPr>
        <w:pStyle w:val="FootnoteText"/>
      </w:pPr>
      <w:r>
        <w:rPr>
          <w:rStyle w:val="FootnoteReference"/>
        </w:rPr>
        <w:footnoteRef/>
      </w:r>
      <w:r>
        <w:t xml:space="preserve"> </w:t>
      </w:r>
      <w:r w:rsidRPr="008F2405">
        <w:t>The relevant curves for predicting these fields are the F(50, 90) curves found by the formula F(50, 90) = F(50, 50) - [F(50, 10) - F(50, 50)], using the radio propagation curves in 47 C.F.R. § 73.699.</w:t>
      </w:r>
    </w:p>
  </w:footnote>
  <w:footnote w:id="302">
    <w:p w14:paraId="4308BBDE" w14:textId="77777777" w:rsidR="00850453" w:rsidRDefault="00850453">
      <w:pPr>
        <w:pStyle w:val="FootnoteText"/>
      </w:pPr>
      <w:r>
        <w:rPr>
          <w:rStyle w:val="FootnoteReference"/>
        </w:rPr>
        <w:footnoteRef/>
      </w:r>
      <w:r>
        <w:t xml:space="preserve"> </w:t>
      </w:r>
      <w:r w:rsidRPr="008F2405">
        <w:t>The relevant curves for predicting these fields are the F(50, 90) curves found by the formula F(50, 90) = F(50, 50) - [F(50, 10) - F(50, 50)], using the radio propagation curves in 47 C.F.R. § 73.699.</w:t>
      </w:r>
    </w:p>
  </w:footnote>
  <w:footnote w:id="303">
    <w:p w14:paraId="411C0BFD" w14:textId="77777777" w:rsidR="00850453" w:rsidRPr="0075126C" w:rsidRDefault="00850453" w:rsidP="008F2405">
      <w:pPr>
        <w:pStyle w:val="FootnoteText"/>
        <w:ind w:left="270" w:hanging="270"/>
      </w:pPr>
      <w:r>
        <w:rPr>
          <w:rStyle w:val="FootnoteReference"/>
        </w:rPr>
        <w:footnoteRef/>
      </w:r>
      <w:r>
        <w:t xml:space="preserve"> </w:t>
      </w:r>
      <w:r w:rsidRPr="005222A4">
        <w:rPr>
          <w:i/>
        </w:rPr>
        <w:t xml:space="preserve"> </w:t>
      </w:r>
      <w:r w:rsidRPr="008D55CE">
        <w:rPr>
          <w:i/>
        </w:rPr>
        <w:t>See</w:t>
      </w:r>
      <w:r>
        <w:rPr>
          <w:i/>
        </w:rPr>
        <w:t xml:space="preserve"> supra, Second Report &amp;Order</w:t>
      </w:r>
      <w:r w:rsidRPr="00435828">
        <w:t xml:space="preserve">, para </w:t>
      </w:r>
      <w:r w:rsidRPr="00435828">
        <w:fldChar w:fldCharType="begin"/>
      </w:r>
      <w:r w:rsidRPr="00435828">
        <w:instrText xml:space="preserve"> REF _Ref398034368 \r \h </w:instrText>
      </w:r>
      <w:r>
        <w:instrText xml:space="preserve"> \* MERGEFORMAT </w:instrText>
      </w:r>
      <w:r w:rsidRPr="00435828">
        <w:fldChar w:fldCharType="separate"/>
      </w:r>
      <w:r>
        <w:t>54</w:t>
      </w:r>
      <w:r w:rsidRPr="00435828">
        <w:fldChar w:fldCharType="end"/>
      </w:r>
      <w:r w:rsidRPr="00435828">
        <w:t>.</w:t>
      </w:r>
    </w:p>
  </w:footnote>
  <w:footnote w:id="304">
    <w:p w14:paraId="6C04C8AB" w14:textId="63B59299" w:rsidR="00850453" w:rsidRPr="00F91790" w:rsidRDefault="00850453" w:rsidP="008F2405">
      <w:pPr>
        <w:pStyle w:val="FootnoteText"/>
      </w:pPr>
      <w:r w:rsidRPr="00F91790">
        <w:rPr>
          <w:rStyle w:val="FootnoteReference"/>
        </w:rPr>
        <w:footnoteRef/>
      </w:r>
      <w:r w:rsidRPr="00F91790">
        <w:t xml:space="preserve"> The International Telecommunications Union (ITU) has accepted frequency-dependent rejection (FDR) as an established technique in measuring the combination of receiver selectivity and unwanted transmitter emissions for calculating distance and frequency separations at acceptable interference levels in its publication ITU-R SM.337-6 (2008), available at: </w:t>
      </w:r>
      <w:hyperlink r:id="rId23" w:history="1">
        <w:r w:rsidRPr="00F91790">
          <w:rPr>
            <w:rStyle w:val="Hyperlink"/>
          </w:rPr>
          <w:t>http://www.itu.int/dms_pubrec/itu-r/rec/sm/R-REC-SM.337-6-200810-I!!PDF-E.pdf</w:t>
        </w:r>
      </w:hyperlink>
      <w:r w:rsidRPr="00F91790">
        <w:t xml:space="preserve">.  National Telecommunications and Information Administration (NTIA)’s FDR is a computer-based implementation of this widely-accepted method available in its Microcomputer Spectrum Analysis Models (MSAM) software suite.  </w:t>
      </w:r>
      <w:r w:rsidRPr="00F91790">
        <w:rPr>
          <w:i/>
        </w:rPr>
        <w:t>See</w:t>
      </w:r>
      <w:r w:rsidRPr="00F91790">
        <w:t xml:space="preserve">, </w:t>
      </w:r>
      <w:r w:rsidRPr="00F91790">
        <w:rPr>
          <w:i/>
        </w:rPr>
        <w:t>e.g.</w:t>
      </w:r>
      <w:r w:rsidRPr="00F91790">
        <w:t xml:space="preserve">, Communications Receiver Performance Degradation Handbook, </w:t>
      </w:r>
      <w:hyperlink r:id="rId24" w:history="1">
        <w:r w:rsidRPr="00F91790">
          <w:rPr>
            <w:rStyle w:val="Hyperlink"/>
          </w:rPr>
          <w:t>http://www.ntia.doc.gov/files/ntia/publications/jsc-cr-10-004final.pdf at 28-31</w:t>
        </w:r>
      </w:hyperlink>
      <w:r w:rsidRPr="00F91790">
        <w:t>at 28–31(last visited Apr. 17, 2014); NTIA Technical Memo TM-09-461 (</w:t>
      </w:r>
      <w:hyperlink r:id="rId25" w:history="1">
        <w:r w:rsidRPr="00F91790">
          <w:rPr>
            <w:rStyle w:val="Hyperlink"/>
          </w:rPr>
          <w:t>http://www.its.bldrdoc.gov/publications/2498.aspx</w:t>
        </w:r>
      </w:hyperlink>
      <w:r w:rsidRPr="00F91790">
        <w:t xml:space="preserve"> ) at 5–8, 5–9 (last visited Apr. 17, 2014); Frequency Dependent Rejection (FDR) Overview, </w:t>
      </w:r>
      <w:hyperlink r:id="rId26" w:history="1">
        <w:r w:rsidRPr="00F91790">
          <w:rPr>
            <w:rStyle w:val="Hyperlink"/>
          </w:rPr>
          <w:t>http://ntiacsd.ntia.doc.gov/msam/FDR/FDRoverview.htm</w:t>
        </w:r>
      </w:hyperlink>
      <w:r w:rsidRPr="00F91790">
        <w:t xml:space="preserve"> (last visited Apr. 17, 2014).</w:t>
      </w:r>
    </w:p>
  </w:footnote>
  <w:footnote w:id="305">
    <w:p w14:paraId="0E932735" w14:textId="77777777" w:rsidR="00850453" w:rsidRPr="00F91790" w:rsidRDefault="00850453" w:rsidP="008F2405">
      <w:pPr>
        <w:pStyle w:val="FootnoteText"/>
      </w:pPr>
      <w:r w:rsidRPr="00F91790">
        <w:rPr>
          <w:rStyle w:val="FootnoteReference"/>
        </w:rPr>
        <w:footnoteRef/>
      </w:r>
      <w:r w:rsidRPr="00F91790">
        <w:t xml:space="preserve"> </w:t>
      </w:r>
      <w:r w:rsidRPr="00F91790">
        <w:rPr>
          <w:i/>
        </w:rPr>
        <w:t xml:space="preserve">See </w:t>
      </w:r>
      <w:r>
        <w:t>47 C.F.R. §</w:t>
      </w:r>
      <w:r w:rsidRPr="00F91790">
        <w:t xml:space="preserve"> 27.53(g).</w:t>
      </w:r>
    </w:p>
  </w:footnote>
  <w:footnote w:id="306">
    <w:p w14:paraId="3E53E310" w14:textId="15175ACD" w:rsidR="00850453" w:rsidRPr="00F91790" w:rsidRDefault="00850453" w:rsidP="008F2405">
      <w:pPr>
        <w:pStyle w:val="FootnoteText"/>
      </w:pPr>
      <w:r w:rsidRPr="00F91790">
        <w:rPr>
          <w:rStyle w:val="FootnoteReference"/>
        </w:rPr>
        <w:footnoteRef/>
      </w:r>
      <w:r w:rsidRPr="00F91790">
        <w:t xml:space="preserve"> </w:t>
      </w:r>
      <w:r w:rsidRPr="00F91790">
        <w:rPr>
          <w:i/>
        </w:rPr>
        <w:t>See</w:t>
      </w:r>
      <w:r w:rsidRPr="00F91790">
        <w:t xml:space="preserve"> ATSC Recommended Practice A/74: Receiver Performance Guidelines, section 5.4.2, Adjacent Channel Rejection, 7 Apr. 2010, available at </w:t>
      </w:r>
      <w:hyperlink r:id="rId27" w:history="1">
        <w:r w:rsidRPr="00F91790">
          <w:rPr>
            <w:rStyle w:val="Hyperlink"/>
          </w:rPr>
          <w:t>http://www.atsc.org/cms/standards/a_74-2010.pdf</w:t>
        </w:r>
      </w:hyperlink>
      <w:r w:rsidRPr="00F91790">
        <w:t xml:space="preserve"> (last visited May 1, 2014).</w:t>
      </w:r>
    </w:p>
  </w:footnote>
  <w:footnote w:id="307">
    <w:p w14:paraId="333AA93E" w14:textId="77777777" w:rsidR="00850453" w:rsidRPr="00F91790" w:rsidRDefault="00850453" w:rsidP="008F2405">
      <w:pPr>
        <w:pStyle w:val="FootnoteText"/>
      </w:pPr>
      <w:r w:rsidRPr="00F91790">
        <w:rPr>
          <w:rStyle w:val="FootnoteReference"/>
        </w:rPr>
        <w:footnoteRef/>
      </w:r>
      <w:r w:rsidRPr="00F91790">
        <w:t xml:space="preserve"> </w:t>
      </w:r>
      <w:r w:rsidRPr="00AE34B4">
        <w:t>ERP of 720 W = 120 W/MHz x 6 MHz.  This adds an additional 0.8 dB of interference power in the wireless block to simulate operations of wireless base stations transmitting across contiguous adjacent wireless blocks affecting one 6 MHz TV channel.</w:t>
      </w:r>
    </w:p>
  </w:footnote>
  <w:footnote w:id="308">
    <w:p w14:paraId="6C7B6D7D" w14:textId="77777777" w:rsidR="00850453" w:rsidRPr="00F91790" w:rsidRDefault="00850453" w:rsidP="008F2405">
      <w:pPr>
        <w:pStyle w:val="FootnoteText"/>
      </w:pPr>
      <w:r w:rsidRPr="00F91790">
        <w:rPr>
          <w:rStyle w:val="FootnoteReference"/>
        </w:rPr>
        <w:footnoteRef/>
      </w:r>
      <w:r w:rsidRPr="00F91790">
        <w:t xml:space="preserve"> </w:t>
      </w:r>
      <w:r w:rsidRPr="00F91790">
        <w:rPr>
          <w:i/>
        </w:rPr>
        <w:t>See</w:t>
      </w:r>
      <w:r w:rsidRPr="00F91790">
        <w:t xml:space="preserve"> OET Bulletin No. 69 at 9.</w:t>
      </w:r>
    </w:p>
  </w:footnote>
  <w:footnote w:id="309">
    <w:p w14:paraId="56243691" w14:textId="77777777" w:rsidR="00850453" w:rsidRPr="00F91790" w:rsidRDefault="00850453" w:rsidP="008F2405">
      <w:pPr>
        <w:pStyle w:val="FootnoteText"/>
      </w:pPr>
      <w:r w:rsidRPr="00F91790">
        <w:rPr>
          <w:rStyle w:val="FootnoteReference"/>
        </w:rPr>
        <w:footnoteRef/>
      </w:r>
      <w:r w:rsidRPr="00F91790">
        <w:t xml:space="preserve"> </w:t>
      </w:r>
      <w:r w:rsidRPr="00AE34B4">
        <w:t>Approximately 41.5° at Low VHF, 45° at High VHF, and 48.1° and UHF.</w:t>
      </w:r>
    </w:p>
  </w:footnote>
  <w:footnote w:id="310">
    <w:p w14:paraId="464E30B7" w14:textId="34038E85" w:rsidR="00850453" w:rsidRPr="003776AE" w:rsidRDefault="00850453" w:rsidP="00C90867">
      <w:pPr>
        <w:pStyle w:val="FootnoteText"/>
        <w:ind w:left="360" w:hanging="360"/>
      </w:pPr>
      <w:r>
        <w:rPr>
          <w:rStyle w:val="FootnoteReference"/>
        </w:rPr>
        <w:footnoteRef/>
      </w:r>
      <w:r>
        <w:t xml:space="preserve"> </w:t>
      </w:r>
      <w:r>
        <w:tab/>
        <w:t xml:space="preserve">Version 1.2.2 of the National Telecommunications and Information Administration (NTIA) Institute for Telecommunication Sciences (ITS) Irregular Terrain Model (ITM), known as the Longley-Rice model after </w:t>
      </w:r>
      <w:r w:rsidRPr="003B64FB">
        <w:t xml:space="preserve">Anita Longley </w:t>
      </w:r>
      <w:r>
        <w:t>and</w:t>
      </w:r>
      <w:r w:rsidRPr="003B64FB">
        <w:t xml:space="preserve"> Phil Rice</w:t>
      </w:r>
      <w:r>
        <w:t xml:space="preserve"> who developed the original version of the model</w:t>
      </w:r>
      <w:r w:rsidRPr="003B64FB">
        <w:t xml:space="preserve">, </w:t>
      </w:r>
      <w:r>
        <w:t xml:space="preserve">is available at </w:t>
      </w:r>
      <w:hyperlink r:id="rId28" w:history="1">
        <w:r w:rsidRPr="00104B82">
          <w:rPr>
            <w:rStyle w:val="Hyperlink"/>
          </w:rPr>
          <w:t>http://www.its.bldrdoc.gov/resources/radio-propagation-software/itm/itm.aspx</w:t>
        </w:r>
      </w:hyperlink>
      <w:r>
        <w:t xml:space="preserve">.  The source code for this version of the Longley-Rice model, </w:t>
      </w:r>
      <w:r w:rsidRPr="003776AE">
        <w:t xml:space="preserve">used </w:t>
      </w:r>
      <w:r>
        <w:t>by the Commission</w:t>
      </w:r>
      <w:r w:rsidRPr="003776AE">
        <w:t xml:space="preserve"> in several </w:t>
      </w:r>
      <w:r>
        <w:t xml:space="preserve">other </w:t>
      </w:r>
      <w:r w:rsidRPr="003776AE">
        <w:t>contexts including OET Bulletin Nos. 69, 72 and 73</w:t>
      </w:r>
      <w:r>
        <w:t>, is available in FORTRAN, C++, and in algorithm form at the website cited above</w:t>
      </w:r>
      <w:r w:rsidRPr="003776AE">
        <w:t>.</w:t>
      </w:r>
    </w:p>
  </w:footnote>
  <w:footnote w:id="311">
    <w:p w14:paraId="40AFC6BB" w14:textId="77777777" w:rsidR="00850453" w:rsidRPr="003776AE" w:rsidRDefault="00850453" w:rsidP="00C90867">
      <w:pPr>
        <w:pStyle w:val="FootnoteText"/>
        <w:ind w:left="360" w:hanging="360"/>
      </w:pPr>
      <w:r>
        <w:rPr>
          <w:rStyle w:val="FootnoteReference"/>
        </w:rPr>
        <w:footnoteRef/>
      </w:r>
      <w:r>
        <w:t xml:space="preserve"> </w:t>
      </w:r>
      <w:r>
        <w:tab/>
      </w:r>
      <w:r w:rsidRPr="003776AE">
        <w:rPr>
          <w:i/>
        </w:rPr>
        <w:t>See</w:t>
      </w:r>
      <w:r w:rsidRPr="003776AE">
        <w:t xml:space="preserve"> 47 C.F.R. </w:t>
      </w:r>
      <w:r w:rsidRPr="003776AE">
        <w:rPr>
          <w:rFonts w:ascii="Calibri" w:hAnsi="Calibri" w:cs="Calibri"/>
        </w:rPr>
        <w:t>§</w:t>
      </w:r>
      <w:r w:rsidRPr="003776AE">
        <w:t xml:space="preserve"> 73.682(d).</w:t>
      </w:r>
    </w:p>
  </w:footnote>
  <w:footnote w:id="312">
    <w:p w14:paraId="3267BD24" w14:textId="77777777" w:rsidR="00850453" w:rsidRPr="003776AE" w:rsidRDefault="00850453" w:rsidP="00C90867">
      <w:pPr>
        <w:pStyle w:val="FootnoteText"/>
        <w:spacing w:after="60"/>
        <w:ind w:left="360" w:hanging="360"/>
      </w:pPr>
      <w:r w:rsidRPr="003776AE">
        <w:rPr>
          <w:rStyle w:val="FootnoteReference"/>
        </w:rPr>
        <w:footnoteRef/>
      </w:r>
      <w:r w:rsidRPr="003776AE">
        <w:t xml:space="preserve"> </w:t>
      </w:r>
      <w:r w:rsidRPr="003776AE">
        <w:tab/>
        <w:t xml:space="preserve">For analog NTSC television transmission standards, </w:t>
      </w:r>
      <w:r w:rsidRPr="003776AE">
        <w:rPr>
          <w:i/>
        </w:rPr>
        <w:t>see</w:t>
      </w:r>
      <w:r w:rsidRPr="003776AE">
        <w:t>,</w:t>
      </w:r>
      <w:r w:rsidRPr="003776AE">
        <w:rPr>
          <w:i/>
        </w:rPr>
        <w:t xml:space="preserve"> e.g.</w:t>
      </w:r>
      <w:r w:rsidRPr="003776AE">
        <w:t xml:space="preserve">, 28 FR 13676.  Domestically, low-power television stations, including Class A and television translators, are the only remaining over-the-air broadcast television service permitted to transmit analog signals.  However, they are required to cease analog operation and convert to digital by September 1, 2015.  </w:t>
      </w:r>
      <w:r w:rsidRPr="003776AE">
        <w:rPr>
          <w:i/>
          <w:iCs/>
        </w:rPr>
        <w:t xml:space="preserve">See </w:t>
      </w:r>
      <w:r w:rsidRPr="003776AE">
        <w:t xml:space="preserve">Amendment of Parts 73 and 74 of the Commission’s Rules to Establish Rules for Digital Low Power Television, Television Translator, and Television Booster Stations and to Amend Rules for Digital Class A Television Stations, </w:t>
      </w:r>
      <w:r w:rsidRPr="003776AE">
        <w:rPr>
          <w:i/>
          <w:iCs/>
        </w:rPr>
        <w:t>Second Report and Order</w:t>
      </w:r>
      <w:r w:rsidRPr="003776AE">
        <w:t>, 26 FCC Rcd 10732 (2011).</w:t>
      </w:r>
    </w:p>
  </w:footnote>
  <w:footnote w:id="313">
    <w:p w14:paraId="50CFD350" w14:textId="77777777" w:rsidR="00850453" w:rsidRDefault="00850453" w:rsidP="00C90867">
      <w:pPr>
        <w:pStyle w:val="FootnoteText"/>
        <w:ind w:left="360" w:hanging="360"/>
      </w:pPr>
      <w:r>
        <w:rPr>
          <w:rStyle w:val="FootnoteReference"/>
        </w:rPr>
        <w:footnoteRef/>
      </w:r>
      <w:r>
        <w:t xml:space="preserve"> </w:t>
      </w:r>
      <w:r>
        <w:tab/>
      </w:r>
      <w:r>
        <w:rPr>
          <w:i/>
        </w:rPr>
        <w:t>See</w:t>
      </w:r>
      <w:r>
        <w:t xml:space="preserve"> NTIA Report 82-100,  </w:t>
      </w:r>
      <w:r>
        <w:rPr>
          <w:i/>
        </w:rPr>
        <w:t>A Guide to the Use of the ITS Irregular Terrain  Model in the Area Prediction Mode</w:t>
      </w:r>
      <w:r>
        <w:t>, G.A. Hufford, A.G. Longley and W.A. Kissick, U.S. Department of Commerce, April 1982.  The broadcast (area) prediction mode is described in this report as best suited to determine the proper co-channel spacing of broadcast stations and/or wireless base stations.</w:t>
      </w:r>
    </w:p>
  </w:footnote>
  <w:footnote w:id="314">
    <w:p w14:paraId="4FEA779B" w14:textId="77777777" w:rsidR="00850453" w:rsidRDefault="00850453" w:rsidP="00C90867">
      <w:pPr>
        <w:pStyle w:val="FootnoteText"/>
        <w:ind w:left="360" w:hanging="360"/>
      </w:pPr>
      <w:r>
        <w:rPr>
          <w:rStyle w:val="FootnoteReference"/>
        </w:rPr>
        <w:footnoteRef/>
      </w:r>
      <w:r>
        <w:t xml:space="preserve"> </w:t>
      </w:r>
      <w:r>
        <w:tab/>
      </w:r>
      <w:r w:rsidRPr="008A0B6E">
        <w:rPr>
          <w:i/>
        </w:rPr>
        <w:t>See</w:t>
      </w:r>
      <w:r>
        <w:t xml:space="preserve"> </w:t>
      </w:r>
      <w:r w:rsidRPr="00E07386">
        <w:t>47 C</w:t>
      </w:r>
      <w:r>
        <w:t>.</w:t>
      </w:r>
      <w:r w:rsidRPr="00E07386">
        <w:t>F</w:t>
      </w:r>
      <w:r>
        <w:t>.</w:t>
      </w:r>
      <w:r w:rsidRPr="00E07386">
        <w:t>R</w:t>
      </w:r>
      <w:r>
        <w:t>.</w:t>
      </w:r>
      <w:r w:rsidRPr="00E07386">
        <w:t xml:space="preserve"> §§ 73.6</w:t>
      </w:r>
      <w:r>
        <w:t>22</w:t>
      </w:r>
      <w:r w:rsidRPr="00E07386">
        <w:t>(</w:t>
      </w:r>
      <w:r>
        <w:t>e</w:t>
      </w:r>
      <w:r w:rsidRPr="00E07386">
        <w:t>), 73.6010</w:t>
      </w:r>
      <w:r>
        <w:t>(c)</w:t>
      </w:r>
      <w:r w:rsidRPr="00E07386">
        <w:t>.</w:t>
      </w:r>
    </w:p>
  </w:footnote>
  <w:footnote w:id="315">
    <w:p w14:paraId="70FB6373" w14:textId="77777777" w:rsidR="00850453" w:rsidRPr="003776AE" w:rsidRDefault="00850453" w:rsidP="00C90867">
      <w:pPr>
        <w:pStyle w:val="FootnoteText"/>
        <w:ind w:left="360" w:hanging="360"/>
      </w:pPr>
      <w:r w:rsidRPr="00DA7E13">
        <w:rPr>
          <w:rStyle w:val="FootnoteReference"/>
        </w:rPr>
        <w:footnoteRef/>
      </w:r>
      <w:r w:rsidRPr="003776AE">
        <w:t xml:space="preserve"> </w:t>
      </w:r>
      <w:r w:rsidRPr="003776AE">
        <w:tab/>
      </w:r>
      <w:r w:rsidRPr="003776AE">
        <w:rPr>
          <w:i/>
        </w:rPr>
        <w:t>See</w:t>
      </w:r>
      <w:r w:rsidRPr="003776AE">
        <w:t xml:space="preserve"> 47 C</w:t>
      </w:r>
      <w:r>
        <w:t>.</w:t>
      </w:r>
      <w:r w:rsidRPr="003776AE">
        <w:t>F</w:t>
      </w:r>
      <w:r>
        <w:t>.</w:t>
      </w:r>
      <w:r w:rsidRPr="003776AE">
        <w:t>R</w:t>
      </w:r>
      <w:r>
        <w:t>.</w:t>
      </w:r>
      <w:r w:rsidRPr="003776AE">
        <w:t xml:space="preserve"> § </w:t>
      </w:r>
      <w:r>
        <w:t>73.623(c).</w:t>
      </w:r>
      <w:r w:rsidRPr="003776AE">
        <w:t xml:space="preserve">  </w:t>
      </w:r>
      <w:r w:rsidRPr="003776AE">
        <w:rPr>
          <w:i/>
        </w:rPr>
        <w:t>See also</w:t>
      </w:r>
      <w:r w:rsidRPr="003776AE">
        <w:t xml:space="preserve"> OET Bulletin No. 69, Table 5A.</w:t>
      </w:r>
    </w:p>
  </w:footnote>
  <w:footnote w:id="316">
    <w:p w14:paraId="7723336D" w14:textId="77777777" w:rsidR="00850453" w:rsidRPr="003776AE" w:rsidRDefault="00850453" w:rsidP="00C90867">
      <w:pPr>
        <w:pStyle w:val="FootnoteText"/>
        <w:ind w:left="360" w:hanging="360"/>
      </w:pPr>
      <w:r w:rsidRPr="00302750">
        <w:rPr>
          <w:rStyle w:val="FootnoteReference"/>
        </w:rPr>
        <w:footnoteRef/>
      </w:r>
      <w:r w:rsidRPr="00302750">
        <w:t xml:space="preserve"> </w:t>
      </w:r>
      <w:r>
        <w:tab/>
      </w:r>
      <w:r>
        <w:rPr>
          <w:i/>
        </w:rPr>
        <w:t>See</w:t>
      </w:r>
      <w:r>
        <w:t xml:space="preserve"> Stephen R. Martin, “Interference Rejection Thresholds of Consumer Digital Television Receivers Available in 2005 and 2006,” </w:t>
      </w:r>
      <w:r>
        <w:rPr>
          <w:u w:val="single"/>
        </w:rPr>
        <w:t>FCC/OET Report 07-TR-1003</w:t>
      </w:r>
      <w:r>
        <w:t xml:space="preserve">, March 30, 2007.  </w:t>
      </w:r>
      <w:r>
        <w:rPr>
          <w:i/>
        </w:rPr>
        <w:t>See also,</w:t>
      </w:r>
      <w:r>
        <w:t xml:space="preserve"> “Tests of ATSC 8-VSB Reception Performance of Consumer Digital Television Receivers Available in 2005,” </w:t>
      </w:r>
      <w:r>
        <w:rPr>
          <w:u w:val="single"/>
        </w:rPr>
        <w:t>FCC/OET Report TR-05-1017</w:t>
      </w:r>
      <w:r>
        <w:t xml:space="preserve"> November 2, 2005. </w:t>
      </w:r>
    </w:p>
  </w:footnote>
  <w:footnote w:id="317">
    <w:p w14:paraId="1C78D828" w14:textId="35A7F1CC" w:rsidR="00850453" w:rsidRDefault="00850453" w:rsidP="00C90867">
      <w:pPr>
        <w:pStyle w:val="FootnoteText"/>
        <w:ind w:left="360" w:hanging="360"/>
      </w:pPr>
      <w:r>
        <w:rPr>
          <w:rStyle w:val="FootnoteReference"/>
        </w:rPr>
        <w:footnoteRef/>
      </w:r>
      <w:r>
        <w:t xml:space="preserve"> </w:t>
      </w:r>
      <w:r>
        <w:tab/>
      </w:r>
      <w:r w:rsidRPr="003776AE">
        <w:rPr>
          <w:i/>
        </w:rPr>
        <w:t>See</w:t>
      </w:r>
      <w:r w:rsidRPr="003776AE">
        <w:t xml:space="preserve"> </w:t>
      </w:r>
      <w:hyperlink r:id="rId29" w:history="1">
        <w:r w:rsidRPr="009D75FC">
          <w:rPr>
            <w:rStyle w:val="Hyperlink"/>
          </w:rPr>
          <w:t>http://www.fcc.gov/guides/dtv-transition-and-lptv-class-translator-stations</w:t>
        </w:r>
      </w:hyperlink>
      <w:r>
        <w:t>.</w:t>
      </w:r>
    </w:p>
  </w:footnote>
  <w:footnote w:id="318">
    <w:p w14:paraId="63093E3C" w14:textId="77777777" w:rsidR="00850453" w:rsidRPr="004D6FC7" w:rsidRDefault="00850453" w:rsidP="00C90867">
      <w:pPr>
        <w:pStyle w:val="FootnoteText"/>
        <w:ind w:left="360" w:hanging="360"/>
      </w:pPr>
      <w:r>
        <w:rPr>
          <w:rStyle w:val="FootnoteReference"/>
        </w:rPr>
        <w:footnoteRef/>
      </w:r>
      <w:r>
        <w:t xml:space="preserve"> </w:t>
      </w:r>
      <w:r>
        <w:tab/>
        <w:t>The relevant curves for predicting these fields are the F(50, 90) curves found</w:t>
      </w:r>
      <w:r w:rsidRPr="007022C4">
        <w:t xml:space="preserve"> by the formula</w:t>
      </w:r>
      <w:r>
        <w:t xml:space="preserve"> </w:t>
      </w:r>
      <w:r w:rsidRPr="007022C4">
        <w:t>F(50, 90) = F(50, 50) - [F(50, 10) - F(50, 50)]</w:t>
      </w:r>
      <w:r>
        <w:t xml:space="preserve">, using the radio propagation curves </w:t>
      </w:r>
      <w:r w:rsidRPr="007022C4">
        <w:t xml:space="preserve">in </w:t>
      </w:r>
      <w:r w:rsidRPr="00326671">
        <w:t>47 C.F.R. § 73.699</w:t>
      </w:r>
      <w:r w:rsidRPr="007022C4">
        <w:t>.</w:t>
      </w:r>
      <w:r>
        <w:t xml:space="preserve">  </w:t>
      </w:r>
      <w:r w:rsidRPr="00934BAD">
        <w:rPr>
          <w:i/>
        </w:rPr>
        <w:t>See</w:t>
      </w:r>
      <w:r>
        <w:rPr>
          <w:i/>
        </w:rPr>
        <w:t xml:space="preserve"> </w:t>
      </w:r>
      <w:r>
        <w:t>47 C.F.R. § 73.699.</w:t>
      </w:r>
    </w:p>
  </w:footnote>
  <w:footnote w:id="319">
    <w:p w14:paraId="74A57D7A" w14:textId="77777777" w:rsidR="00850453" w:rsidRPr="004D6FC7" w:rsidRDefault="00850453" w:rsidP="00C90867">
      <w:pPr>
        <w:pStyle w:val="FootnoteText"/>
        <w:ind w:left="360" w:hanging="360"/>
      </w:pPr>
      <w:r>
        <w:rPr>
          <w:rStyle w:val="FootnoteReference"/>
        </w:rPr>
        <w:footnoteRef/>
      </w:r>
      <w:r>
        <w:t xml:space="preserve"> </w:t>
      </w:r>
      <w:r>
        <w:tab/>
        <w:t>The relevant curves for predicting these fields are the F(50, 90) curves found</w:t>
      </w:r>
      <w:r w:rsidRPr="007022C4">
        <w:t xml:space="preserve"> by the formula</w:t>
      </w:r>
      <w:r>
        <w:t xml:space="preserve"> </w:t>
      </w:r>
      <w:r w:rsidRPr="007022C4">
        <w:t>F(50, 90) = F(50, 50) - [F(50, 10) - F(50, 50)]</w:t>
      </w:r>
      <w:r>
        <w:t xml:space="preserve">, using the radio propagation curves in 47 C.F.R. § 73.699. </w:t>
      </w:r>
      <w:r w:rsidRPr="00934BAD">
        <w:rPr>
          <w:i/>
        </w:rPr>
        <w:t>See</w:t>
      </w:r>
      <w:r>
        <w:t xml:space="preserve"> 47 C.F.R. § 73.699.</w:t>
      </w:r>
    </w:p>
  </w:footnote>
  <w:footnote w:id="320">
    <w:p w14:paraId="0BCBB0ED" w14:textId="2E79B13E" w:rsidR="00850453" w:rsidRDefault="00850453" w:rsidP="00C90867">
      <w:pPr>
        <w:pStyle w:val="FootnoteText"/>
        <w:ind w:left="360" w:hanging="360"/>
      </w:pPr>
      <w:r>
        <w:rPr>
          <w:rStyle w:val="FootnoteReference"/>
        </w:rPr>
        <w:footnoteRef/>
      </w:r>
      <w:r>
        <w:t xml:space="preserve"> </w:t>
      </w:r>
      <w:r>
        <w:tab/>
        <w:t xml:space="preserve">See </w:t>
      </w:r>
      <w:r w:rsidRPr="00A60FDA">
        <w:rPr>
          <w:i/>
        </w:rPr>
        <w:t>TVStudy Manual</w:t>
      </w:r>
      <w:r>
        <w:t xml:space="preserve"> at </w:t>
      </w:r>
      <w:hyperlink r:id="rId30" w:history="1">
        <w:r w:rsidRPr="00104B82">
          <w:rPr>
            <w:rStyle w:val="Hyperlink"/>
          </w:rPr>
          <w:t>http://data.fcc.gov/download/incentive-auctions/OET-69/2014Apr_TVStudyManual.pdf</w:t>
        </w:r>
      </w:hyperlink>
      <w:r>
        <w:t>.  The latitude size of cells is fixed for any grid type based on the specified cell size, but for a global grid the longitude size varies in steps according to latitude range (up to 75 degrees latitude).  Breaks in latitude bands defining the northern and southern edges of cells are targeted to occur when the cell area changes by 2% across a band.  However, incrementing the integer longitude size by a whole number of seconds will lead to an actual area change by more than 2%.  For a 2-kilometer target cell size, the change in area is actually 3.25%, meaning the area of cells varies from 4.07 km</w:t>
      </w:r>
      <w:r w:rsidRPr="00BA4F47">
        <w:rPr>
          <w:vertAlign w:val="superscript"/>
        </w:rPr>
        <w:t>2</w:t>
      </w:r>
      <w:r>
        <w:t xml:space="preserve"> at the south edge to 3.94 km</w:t>
      </w:r>
      <w:r w:rsidRPr="00BA4F47">
        <w:rPr>
          <w:vertAlign w:val="superscript"/>
        </w:rPr>
        <w:t>2</w:t>
      </w:r>
      <w:r>
        <w:t xml:space="preserve"> at the north edge of a band.  The actual area of each cell is to be used w</w:t>
      </w:r>
      <w:r w:rsidRPr="00BA4F47">
        <w:t xml:space="preserve">hen cell areas are summed to determine </w:t>
      </w:r>
      <w:r>
        <w:t xml:space="preserve">a </w:t>
      </w:r>
      <w:r w:rsidRPr="00BA4F47">
        <w:t>contour</w:t>
      </w:r>
      <w:r>
        <w:t xml:space="preserve"> or service</w:t>
      </w:r>
      <w:r w:rsidRPr="00BA4F47">
        <w:t xml:space="preserve"> areas</w:t>
      </w:r>
      <w:r>
        <w:t>, s</w:t>
      </w:r>
      <w:r w:rsidRPr="00BA4F47">
        <w:t xml:space="preserve">o the changes in cell areas across a </w:t>
      </w:r>
      <w:r>
        <w:t>grid latitude band do not result in cumulative summation error</w:t>
      </w:r>
      <w:r w:rsidRPr="00BA4F47">
        <w:t>s</w:t>
      </w:r>
      <w:r>
        <w:t>.  Cells are referenced by their southeast corner, beginning with zero degrees latitude, zero degrees longitude.</w:t>
      </w:r>
    </w:p>
  </w:footnote>
  <w:footnote w:id="321">
    <w:p w14:paraId="204F3477" w14:textId="4FD79EDC" w:rsidR="00850453" w:rsidRPr="00D64EB7" w:rsidRDefault="00850453" w:rsidP="00C90867">
      <w:pPr>
        <w:pStyle w:val="FootnoteText"/>
        <w:ind w:left="360" w:hanging="360"/>
        <w:rPr>
          <w:color w:val="0000FF"/>
          <w:u w:val="single"/>
        </w:rPr>
      </w:pPr>
      <w:r>
        <w:rPr>
          <w:rStyle w:val="FootnoteReference"/>
        </w:rPr>
        <w:footnoteRef/>
      </w:r>
      <w:r>
        <w:t xml:space="preserve"> </w:t>
      </w:r>
      <w:r>
        <w:tab/>
        <w:t xml:space="preserve">The FCC’s </w:t>
      </w:r>
      <w:r w:rsidRPr="008A0B6E">
        <w:rPr>
          <w:i/>
        </w:rPr>
        <w:t>TVStudy</w:t>
      </w:r>
      <w:r>
        <w:t xml:space="preserve"> software </w:t>
      </w:r>
      <w:r w:rsidRPr="000D6B5D">
        <w:t>provides analysis of coverage and interference of full-service digital and Class A television stations</w:t>
      </w:r>
      <w:r>
        <w:t>, with enhanced features and user functionality from previous versions of software implementing the Longley-Rice model</w:t>
      </w:r>
      <w:r w:rsidRPr="000D6B5D">
        <w:t>.</w:t>
      </w:r>
      <w:r>
        <w:t xml:space="preserve">  The FCC is using</w:t>
      </w:r>
      <w:r w:rsidRPr="000D6B5D">
        <w:t xml:space="preserve"> </w:t>
      </w:r>
      <w:r>
        <w:t xml:space="preserve">its </w:t>
      </w:r>
      <w:r w:rsidRPr="008A0B6E">
        <w:rPr>
          <w:i/>
        </w:rPr>
        <w:t>TVStudy</w:t>
      </w:r>
      <w:r w:rsidRPr="000D6B5D">
        <w:t xml:space="preserve"> software in connection with the proposed broadcast television spectrum incentive auction</w:t>
      </w:r>
      <w:r>
        <w:t xml:space="preserve">.  </w:t>
      </w:r>
      <w:r w:rsidRPr="00D06F04">
        <w:rPr>
          <w:i/>
        </w:rPr>
        <w:t>See</w:t>
      </w:r>
      <w:r>
        <w:t xml:space="preserve"> </w:t>
      </w:r>
      <w:hyperlink r:id="rId31" w:history="1">
        <w:r w:rsidRPr="00104B82">
          <w:rPr>
            <w:rStyle w:val="Hyperlink"/>
          </w:rPr>
          <w:t>http://www.fcc.gov/document/oet-announces-release-updated-oet-69-software</w:t>
        </w:r>
      </w:hyperlink>
      <w:r w:rsidRPr="00690B69">
        <w:t xml:space="preserve">.  The Longley-Rice Fortran code implementing the Longley-Rice model is used in the FCC’s </w:t>
      </w:r>
      <w:r w:rsidRPr="00690B69">
        <w:rPr>
          <w:i/>
        </w:rPr>
        <w:t>TVStudy</w:t>
      </w:r>
      <w:r w:rsidRPr="00690B69">
        <w:t xml:space="preserve"> software.  As the Longley-Rice Fortran code is complex, many of its options are configurable through the FCC’s </w:t>
      </w:r>
      <w:r w:rsidRPr="00690B69">
        <w:rPr>
          <w:i/>
        </w:rPr>
        <w:t>TVStudy</w:t>
      </w:r>
      <w:r w:rsidRPr="00690B69">
        <w:t xml:space="preserve"> software, available for download at </w:t>
      </w:r>
      <w:hyperlink r:id="rId32" w:history="1">
        <w:r w:rsidRPr="00690B69">
          <w:rPr>
            <w:rStyle w:val="Hyperlink"/>
          </w:rPr>
          <w:t>http://data.fcc.gov/download/incentive-auctions/OET-69/</w:t>
        </w:r>
      </w:hyperlink>
      <w:r w:rsidRPr="00690B69">
        <w:t>.  The individual installing this should have computer programming skills and experience as a system administrator of the computer system on which it is to be installed.</w:t>
      </w:r>
    </w:p>
    <w:p w14:paraId="199C6DD5" w14:textId="77777777" w:rsidR="00850453" w:rsidRDefault="00850453" w:rsidP="00C90867">
      <w:pPr>
        <w:pStyle w:val="FootnoteText"/>
        <w:ind w:left="360" w:hanging="360"/>
      </w:pPr>
      <w:r>
        <w:t>.</w:t>
      </w:r>
    </w:p>
  </w:footnote>
  <w:footnote w:id="322">
    <w:p w14:paraId="212E4B7D" w14:textId="59606C9A" w:rsidR="00850453" w:rsidRDefault="00850453" w:rsidP="00C90867">
      <w:pPr>
        <w:pStyle w:val="FootnoteText"/>
        <w:ind w:left="360" w:hanging="360"/>
      </w:pPr>
      <w:r>
        <w:rPr>
          <w:rStyle w:val="FootnoteReference"/>
        </w:rPr>
        <w:footnoteRef/>
      </w:r>
      <w:r>
        <w:t xml:space="preserve"> </w:t>
      </w:r>
      <w:r>
        <w:tab/>
        <w:t>T</w:t>
      </w:r>
      <w:r w:rsidRPr="00A057EC">
        <w:t xml:space="preserve">he International Telecommunications Union (ITU) has accepted frequency-dependent rejection (FDR) as an established technique in measuring the combination of receiver selectivity and unwanted transmitter emissions for calculating distance and frequency separations at acceptable interference levels in its publication ITU-R SM.337-6 (2008), available at: </w:t>
      </w:r>
      <w:hyperlink r:id="rId33" w:history="1">
        <w:r w:rsidRPr="00A057EC">
          <w:rPr>
            <w:rStyle w:val="Hyperlink"/>
          </w:rPr>
          <w:t>http://www.itu.int/dms_pubrec/itu-r/rec/sm/R-REC-SM.337-6-200810-I!!PDF-E.pdf</w:t>
        </w:r>
      </w:hyperlink>
      <w:r w:rsidRPr="00A057EC">
        <w:t xml:space="preserve">.  </w:t>
      </w:r>
      <w:r>
        <w:t>National Telecommunications and Information Administration (</w:t>
      </w:r>
      <w:r w:rsidRPr="00A057EC">
        <w:t>NTIA</w:t>
      </w:r>
      <w:r>
        <w:t>)</w:t>
      </w:r>
      <w:r w:rsidRPr="00A057EC">
        <w:t xml:space="preserve">’s FDR is a computer-based implementation of this widely-accepted method available in its </w:t>
      </w:r>
      <w:r w:rsidRPr="005E3220">
        <w:t xml:space="preserve">Microcomputer Spectrum Analysis Models </w:t>
      </w:r>
      <w:r>
        <w:t>(</w:t>
      </w:r>
      <w:r w:rsidRPr="00A057EC">
        <w:t>MSAM</w:t>
      </w:r>
      <w:r>
        <w:t>)</w:t>
      </w:r>
      <w:r w:rsidRPr="00A057EC">
        <w:t xml:space="preserve"> software suite.  </w:t>
      </w:r>
      <w:r w:rsidRPr="00A057EC">
        <w:rPr>
          <w:i/>
        </w:rPr>
        <w:t>See</w:t>
      </w:r>
      <w:r w:rsidRPr="00A057EC">
        <w:t xml:space="preserve">, </w:t>
      </w:r>
      <w:r w:rsidRPr="00A057EC">
        <w:rPr>
          <w:i/>
        </w:rPr>
        <w:t>e.g.</w:t>
      </w:r>
      <w:r w:rsidRPr="00A057EC">
        <w:t xml:space="preserve">, </w:t>
      </w:r>
      <w:r>
        <w:t xml:space="preserve">Communications Receiver Performance Degradation Handbook, </w:t>
      </w:r>
      <w:hyperlink r:id="rId34" w:history="1">
        <w:r w:rsidRPr="00464153">
          <w:rPr>
            <w:rStyle w:val="Hyperlink"/>
          </w:rPr>
          <w:t>http://www.ntia.doc.gov/files/ntia/publications/jsc-cr-10-004final.pdf at 28-31</w:t>
        </w:r>
      </w:hyperlink>
      <w:r>
        <w:t>at 28–31(last visited Apr. 17, 2014); NTIA Technical Memo TM-09-461 (</w:t>
      </w:r>
      <w:hyperlink r:id="rId35" w:history="1">
        <w:r>
          <w:rPr>
            <w:rStyle w:val="Hyperlink"/>
          </w:rPr>
          <w:t>http://www.its.bldrdoc.gov/publications/2498.aspx</w:t>
        </w:r>
      </w:hyperlink>
      <w:r>
        <w:t xml:space="preserve"> ) at 5–8, 5–9 (last visited Apr. 17, 2014); Frequency Dependent Rejection (FDR) Overview, </w:t>
      </w:r>
      <w:hyperlink r:id="rId36" w:history="1">
        <w:r w:rsidRPr="00A057EC">
          <w:rPr>
            <w:rStyle w:val="Hyperlink"/>
          </w:rPr>
          <w:t>http://ntiacsd.ntia.doc.gov/msam/FDR/FDRoverview.htm</w:t>
        </w:r>
      </w:hyperlink>
      <w:r>
        <w:t xml:space="preserve"> (last visited Apr. 17, 2014)</w:t>
      </w:r>
      <w:r w:rsidRPr="00A057EC">
        <w:t>.</w:t>
      </w:r>
    </w:p>
  </w:footnote>
  <w:footnote w:id="323">
    <w:p w14:paraId="0812BC5A" w14:textId="77777777" w:rsidR="00850453" w:rsidRDefault="00850453" w:rsidP="00C90867">
      <w:pPr>
        <w:pStyle w:val="FootnoteText"/>
        <w:ind w:left="360" w:hanging="360"/>
      </w:pPr>
      <w:r>
        <w:rPr>
          <w:rStyle w:val="FootnoteReference"/>
        </w:rPr>
        <w:footnoteRef/>
      </w:r>
      <w:r>
        <w:t xml:space="preserve"> </w:t>
      </w:r>
      <w:r>
        <w:tab/>
      </w:r>
      <w:r w:rsidRPr="005E3220">
        <w:rPr>
          <w:i/>
        </w:rPr>
        <w:t xml:space="preserve">See </w:t>
      </w:r>
      <w:r>
        <w:t xml:space="preserve">47 C.F.R. </w:t>
      </w:r>
      <w:r w:rsidRPr="005E3220">
        <w:t>§</w:t>
      </w:r>
      <w:r>
        <w:t xml:space="preserve"> 27.53(g).</w:t>
      </w:r>
    </w:p>
  </w:footnote>
  <w:footnote w:id="324">
    <w:p w14:paraId="51D0762D" w14:textId="5A5FCB76" w:rsidR="00850453" w:rsidRDefault="00850453" w:rsidP="00C90867">
      <w:pPr>
        <w:pStyle w:val="FootnoteText"/>
        <w:ind w:left="360" w:hanging="360"/>
      </w:pPr>
      <w:r>
        <w:rPr>
          <w:rStyle w:val="FootnoteReference"/>
        </w:rPr>
        <w:footnoteRef/>
      </w:r>
      <w:r>
        <w:t xml:space="preserve"> </w:t>
      </w:r>
      <w:r>
        <w:tab/>
      </w:r>
      <w:r w:rsidRPr="005E3220">
        <w:rPr>
          <w:i/>
        </w:rPr>
        <w:t>See</w:t>
      </w:r>
      <w:r w:rsidRPr="005E3220">
        <w:t xml:space="preserve"> ATSC Recommended Practice A/74: Receiver Performance Guidelines, section 5.4.2, Adjacent Channel Rejection, 7 Apr. 2010, available at </w:t>
      </w:r>
      <w:hyperlink r:id="rId37" w:history="1">
        <w:r w:rsidRPr="005E3220">
          <w:rPr>
            <w:rStyle w:val="Hyperlink"/>
          </w:rPr>
          <w:t>http://www.atsc.org/cms/standards/a_74-2010.pdf</w:t>
        </w:r>
      </w:hyperlink>
      <w:r w:rsidRPr="005E3220">
        <w:t xml:space="preserve"> (last visited May 1, 2014).</w:t>
      </w:r>
    </w:p>
  </w:footnote>
  <w:footnote w:id="325">
    <w:p w14:paraId="45528001" w14:textId="77777777" w:rsidR="00850453" w:rsidRDefault="00850453" w:rsidP="00C90867">
      <w:pPr>
        <w:pStyle w:val="FootnoteText"/>
        <w:ind w:left="360" w:hanging="360"/>
      </w:pPr>
      <w:r>
        <w:rPr>
          <w:rStyle w:val="FootnoteReference"/>
        </w:rPr>
        <w:footnoteRef/>
      </w:r>
      <w:r>
        <w:t xml:space="preserve"> </w:t>
      </w:r>
      <w:r>
        <w:tab/>
        <w:t>-33 dB adjacent channel rejection is used for the DTV receiver and 43+10logP in a 100 kHz bandwidth attenuation is used for the wireless emission mask.  These flat response curves lead to a constant OFR at spectral overlaps less than 0 MHz.</w:t>
      </w:r>
    </w:p>
  </w:footnote>
  <w:footnote w:id="326">
    <w:p w14:paraId="0905702C" w14:textId="77777777" w:rsidR="00850453" w:rsidRDefault="00850453" w:rsidP="00C90867">
      <w:pPr>
        <w:pStyle w:val="FootnoteText"/>
        <w:ind w:left="360" w:hanging="360"/>
      </w:pPr>
      <w:r>
        <w:rPr>
          <w:rStyle w:val="FootnoteReference"/>
        </w:rPr>
        <w:footnoteRef/>
      </w:r>
      <w:r>
        <w:t xml:space="preserve"> </w:t>
      </w:r>
      <w:r>
        <w:tab/>
      </w:r>
      <w:r w:rsidRPr="006F6FE7">
        <w:rPr>
          <w:i/>
        </w:rPr>
        <w:t xml:space="preserve">See </w:t>
      </w:r>
      <w:r>
        <w:t>OET Bulletin No. 69 at 9.</w:t>
      </w:r>
    </w:p>
  </w:footnote>
  <w:footnote w:id="327">
    <w:p w14:paraId="30ACF83D" w14:textId="77777777" w:rsidR="00850453" w:rsidRDefault="00850453" w:rsidP="00C90867">
      <w:pPr>
        <w:pStyle w:val="FootnoteText"/>
        <w:ind w:left="360" w:hanging="360"/>
      </w:pPr>
      <w:r>
        <w:rPr>
          <w:rStyle w:val="FootnoteReference"/>
        </w:rPr>
        <w:footnoteRef/>
      </w:r>
      <w:r>
        <w:t xml:space="preserve"> </w:t>
      </w:r>
      <w:r>
        <w:tab/>
      </w:r>
      <w:r w:rsidRPr="003776AE">
        <w:t>Approximately 41.5° at Low VHF, 45° at High VHF, and 48.1° and UHF.</w:t>
      </w:r>
    </w:p>
  </w:footnote>
  <w:footnote w:id="328">
    <w:p w14:paraId="76BC1519" w14:textId="77777777" w:rsidR="00850453" w:rsidRDefault="00850453" w:rsidP="00C90867">
      <w:pPr>
        <w:pStyle w:val="FootnoteText"/>
      </w:pPr>
      <w:r>
        <w:rPr>
          <w:rStyle w:val="FootnoteReference"/>
        </w:rPr>
        <w:footnoteRef/>
      </w:r>
      <w:r>
        <w:t xml:space="preserve"> For full-power UHF DTV stations, </w:t>
      </w:r>
      <w:r w:rsidRPr="00592D88">
        <w:rPr>
          <w:i/>
        </w:rPr>
        <w:t>see</w:t>
      </w:r>
      <w:r>
        <w:t xml:space="preserve"> Table 8 of OET Bulletin No. 69.  However, for Class A UHF DTV stations, </w:t>
      </w:r>
      <w:r w:rsidRPr="00592D88">
        <w:rPr>
          <w:i/>
        </w:rPr>
        <w:t>see</w:t>
      </w:r>
      <w:r>
        <w:t xml:space="preserve"> 47 C. F. R. § 74.793(d).</w:t>
      </w:r>
    </w:p>
  </w:footnote>
  <w:footnote w:id="329">
    <w:p w14:paraId="2882513A" w14:textId="77777777" w:rsidR="00850453" w:rsidRDefault="00850453" w:rsidP="001E6416">
      <w:pPr>
        <w:pStyle w:val="FootnoteText"/>
      </w:pPr>
      <w:r>
        <w:rPr>
          <w:rStyle w:val="FootnoteReference"/>
        </w:rPr>
        <w:footnoteRef/>
      </w:r>
      <w:r>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 and the Small Business Jobs Act of 2010, Public Law No. 111-240, 124 Stat. 2504 (2010).</w:t>
      </w:r>
    </w:p>
  </w:footnote>
  <w:footnote w:id="330">
    <w:p w14:paraId="2A72DC56" w14:textId="77777777" w:rsidR="00850453" w:rsidRDefault="00850453" w:rsidP="001E6416">
      <w:pPr>
        <w:pStyle w:val="FootnoteText"/>
      </w:pPr>
      <w:r>
        <w:rPr>
          <w:rStyle w:val="FootnoteReference"/>
        </w:rPr>
        <w:footnoteRef/>
      </w:r>
      <w:r>
        <w:t xml:space="preserve"> </w:t>
      </w:r>
      <w:r w:rsidRPr="00FE6B52">
        <w:rPr>
          <w:i/>
        </w:rPr>
        <w:t>See</w:t>
      </w:r>
      <w:r>
        <w:t xml:space="preserve"> </w:t>
      </w:r>
      <w:r w:rsidRPr="00DC387F">
        <w:rPr>
          <w:i/>
        </w:rPr>
        <w:t>Expanding the Economic and Innovation Opportunities of Spectrum through Incentive Auctions</w:t>
      </w:r>
      <w:r>
        <w:t>, GN Docket No. 12-268, Notice of Proposed Rulemaking, 27 FCC Rcd 12357 (2012).</w:t>
      </w:r>
    </w:p>
  </w:footnote>
  <w:footnote w:id="331">
    <w:p w14:paraId="137BA6E9" w14:textId="77777777" w:rsidR="00850453" w:rsidRPr="00FE6B52" w:rsidRDefault="00850453" w:rsidP="001E6416">
      <w:pPr>
        <w:pStyle w:val="FootnoteText"/>
      </w:pPr>
      <w:r>
        <w:rPr>
          <w:rStyle w:val="FootnoteReference"/>
        </w:rPr>
        <w:footnoteRef/>
      </w:r>
      <w:r>
        <w:t xml:space="preserve"> Additional comment on the specific proposals addressed in the </w:t>
      </w:r>
      <w:r w:rsidRPr="00FE6B52">
        <w:rPr>
          <w:i/>
        </w:rPr>
        <w:t>Second Report &amp; Order</w:t>
      </w:r>
      <w:r>
        <w:t xml:space="preserve"> was sought with the issuance of three separate Public Notices.  </w:t>
      </w:r>
      <w:r w:rsidRPr="00FE6B52">
        <w:rPr>
          <w:i/>
        </w:rPr>
        <w:t>See</w:t>
      </w:r>
      <w:r>
        <w:t xml:space="preserve"> </w:t>
      </w:r>
      <w:r w:rsidRPr="00FE6B52">
        <w:rPr>
          <w:i/>
        </w:rPr>
        <w:t>Incentive Auction Task Forces Releases Updated Constraint File Data Using Actual Channels and Staff Analysis Regarding Pairwise Approach to Preserving Population Served</w:t>
      </w:r>
      <w:r>
        <w:t xml:space="preserve">, GN Docket No. 12-268, ET Docket No. 13-26, Public Notice, 29 FCC Rcd 5687 (2014).  </w:t>
      </w:r>
      <w:r w:rsidRPr="00FE6B52">
        <w:rPr>
          <w:i/>
        </w:rPr>
        <w:t>See</w:t>
      </w:r>
      <w:r>
        <w:rPr>
          <w:i/>
        </w:rPr>
        <w:t xml:space="preserve"> also Office of Engineering and Technology Seeks to Supplement the Incentive Auction Proceeding record Regarding Potential Interference Between Broadcast Television and Wireless Services,</w:t>
      </w:r>
      <w:r>
        <w:t xml:space="preserve"> GN Docket No. 12-268, ET Docket No. 14-14, Public Notice, 29 FCC Rcd 712 (2014); </w:t>
      </w:r>
      <w:r>
        <w:rPr>
          <w:i/>
        </w:rPr>
        <w:t xml:space="preserve">Office of Engineering and Technology Seeks Comment on Measurements of LTE into DTV Interference, </w:t>
      </w:r>
      <w:r>
        <w:t>Public Notice,</w:t>
      </w:r>
      <w:r>
        <w:rPr>
          <w:i/>
        </w:rPr>
        <w:t xml:space="preserve"> </w:t>
      </w:r>
      <w:r w:rsidRPr="00E96ECB">
        <w:t>GN Docket No. 12-268, ET Docket No. 14-</w:t>
      </w:r>
      <w:r w:rsidRPr="005327FE">
        <w:t>14,</w:t>
      </w:r>
      <w:r w:rsidRPr="005327FE">
        <w:rPr>
          <w:i/>
        </w:rPr>
        <w:t xml:space="preserve"> </w:t>
      </w:r>
      <w:r w:rsidRPr="005327FE">
        <w:t>DA 14-852 (</w:t>
      </w:r>
      <w:r>
        <w:t>2014).</w:t>
      </w:r>
    </w:p>
  </w:footnote>
  <w:footnote w:id="332">
    <w:p w14:paraId="09BF000E" w14:textId="77777777" w:rsidR="00850453" w:rsidRDefault="00850453" w:rsidP="001E6416">
      <w:pPr>
        <w:pStyle w:val="FootnoteText"/>
      </w:pPr>
      <w:r>
        <w:rPr>
          <w:rStyle w:val="FootnoteReference"/>
        </w:rPr>
        <w:footnoteRef/>
      </w:r>
      <w:r>
        <w:t xml:space="preserve"> </w:t>
      </w:r>
      <w:r>
        <w:rPr>
          <w:i/>
        </w:rPr>
        <w:t>See</w:t>
      </w:r>
      <w:r>
        <w:t xml:space="preserve"> 5 U.S.C. § 604.</w:t>
      </w:r>
    </w:p>
  </w:footnote>
  <w:footnote w:id="333">
    <w:p w14:paraId="7F71D088" w14:textId="77777777" w:rsidR="00850453" w:rsidRDefault="00850453" w:rsidP="001E6416">
      <w:pPr>
        <w:pStyle w:val="FootnoteText"/>
      </w:pPr>
      <w:r>
        <w:rPr>
          <w:rStyle w:val="FootnoteReference"/>
        </w:rPr>
        <w:footnoteRef/>
      </w:r>
      <w:r>
        <w:t xml:space="preserve"> </w:t>
      </w:r>
      <w:r>
        <w:rPr>
          <w:i/>
        </w:rPr>
        <w:t xml:space="preserve">See </w:t>
      </w:r>
      <w:r w:rsidRPr="004B69BB">
        <w:rPr>
          <w:i/>
        </w:rPr>
        <w:t>Expanding the Economic</w:t>
      </w:r>
      <w:r>
        <w:rPr>
          <w:i/>
        </w:rPr>
        <w:t xml:space="preserve"> </w:t>
      </w:r>
      <w:r w:rsidRPr="004B69BB">
        <w:rPr>
          <w:i/>
        </w:rPr>
        <w:t xml:space="preserve">and Innovation Opportunities of Spectrum Through Incentive Auctions, </w:t>
      </w:r>
      <w:r w:rsidRPr="004B69BB">
        <w:t xml:space="preserve">GN Docket No. 12-268, </w:t>
      </w:r>
      <w:r>
        <w:t>Report and Order</w:t>
      </w:r>
      <w:r w:rsidRPr="004B69BB">
        <w:t>, 2</w:t>
      </w:r>
      <w:r>
        <w:t>9</w:t>
      </w:r>
      <w:r w:rsidRPr="004B69BB">
        <w:t xml:space="preserve"> FCC Rcd </w:t>
      </w:r>
      <w:r>
        <w:t xml:space="preserve">6567 </w:t>
      </w:r>
      <w:r w:rsidRPr="004B69BB">
        <w:t>(201</w:t>
      </w:r>
      <w:r>
        <w:t>4</w:t>
      </w:r>
      <w:r w:rsidRPr="004B69BB">
        <w:t>) (</w:t>
      </w:r>
      <w:r>
        <w:rPr>
          <w:i/>
        </w:rPr>
        <w:t>Incentive Auction R&amp;O</w:t>
      </w:r>
      <w:r w:rsidRPr="004B69BB">
        <w:t>).</w:t>
      </w:r>
    </w:p>
  </w:footnote>
  <w:footnote w:id="334">
    <w:p w14:paraId="4C59DB21" w14:textId="77777777" w:rsidR="00850453" w:rsidRPr="009278BF" w:rsidRDefault="00850453" w:rsidP="001E6416">
      <w:pPr>
        <w:pStyle w:val="FootnoteText"/>
      </w:pPr>
      <w:r>
        <w:rPr>
          <w:rStyle w:val="FootnoteReference"/>
        </w:rPr>
        <w:footnoteRef/>
      </w:r>
      <w:r>
        <w:t xml:space="preserve"> </w:t>
      </w:r>
      <w:r>
        <w:rPr>
          <w:i/>
        </w:rPr>
        <w:t xml:space="preserve">See id. </w:t>
      </w:r>
      <w:r>
        <w:t xml:space="preserve">at 6651, para. 182.  We adopted a 0.5 percent “pairwise” or station-to-station limit on any new interference as a result of the repacking process in the </w:t>
      </w:r>
      <w:r>
        <w:rPr>
          <w:i/>
        </w:rPr>
        <w:t>Incentive Auction R&amp;O</w:t>
      </w:r>
      <w:r>
        <w:t xml:space="preserve">.  </w:t>
      </w:r>
      <w:r>
        <w:rPr>
          <w:i/>
        </w:rPr>
        <w:t xml:space="preserve">See id. </w:t>
      </w:r>
      <w:r>
        <w:t xml:space="preserve">at 6649-51, paras. 179-81. </w:t>
      </w:r>
    </w:p>
  </w:footnote>
  <w:footnote w:id="335">
    <w:p w14:paraId="2E386638" w14:textId="77777777" w:rsidR="00850453" w:rsidRPr="00380B69" w:rsidRDefault="00850453" w:rsidP="001E6416">
      <w:pPr>
        <w:pStyle w:val="FootnoteText"/>
      </w:pPr>
      <w:r>
        <w:rPr>
          <w:rStyle w:val="FootnoteReference"/>
        </w:rPr>
        <w:footnoteRef/>
      </w:r>
      <w:r>
        <w:t xml:space="preserve"> </w:t>
      </w:r>
      <w:r>
        <w:rPr>
          <w:i/>
        </w:rPr>
        <w:t xml:space="preserve">See id. </w:t>
      </w:r>
      <w:r>
        <w:t xml:space="preserve">at 6605-6, paras. 82-84.  We will address the specific uses to be made of the interference predictions in the forthcoming </w:t>
      </w:r>
      <w:r>
        <w:rPr>
          <w:i/>
        </w:rPr>
        <w:t xml:space="preserve">Comment PN </w:t>
      </w:r>
      <w:r>
        <w:t xml:space="preserve">on final auction procedures.  </w:t>
      </w:r>
      <w:r>
        <w:rPr>
          <w:i/>
        </w:rPr>
        <w:t>See infra</w:t>
      </w:r>
      <w:r>
        <w:t xml:space="preserve"> note </w:t>
      </w:r>
      <w:r>
        <w:fldChar w:fldCharType="begin"/>
      </w:r>
      <w:r>
        <w:instrText xml:space="preserve"> NOTEREF _Ref271552171 \h </w:instrText>
      </w:r>
      <w:r>
        <w:fldChar w:fldCharType="separate"/>
      </w:r>
      <w:r>
        <w:t>79</w:t>
      </w:r>
      <w:r>
        <w:fldChar w:fldCharType="end"/>
      </w:r>
      <w:r>
        <w:t>.</w:t>
      </w:r>
    </w:p>
  </w:footnote>
  <w:footnote w:id="336">
    <w:p w14:paraId="44B63508" w14:textId="77777777" w:rsidR="00850453" w:rsidRDefault="00850453" w:rsidP="001E6416">
      <w:pPr>
        <w:pStyle w:val="FootnoteText"/>
      </w:pPr>
      <w:r>
        <w:rPr>
          <w:rStyle w:val="FootnoteReference"/>
        </w:rPr>
        <w:footnoteRef/>
      </w:r>
      <w:r>
        <w:t xml:space="preserve"> </w:t>
      </w:r>
      <w:r>
        <w:rPr>
          <w:i/>
        </w:rPr>
        <w:t>Id</w:t>
      </w:r>
      <w:r>
        <w:t>. at § 603(b)(3).</w:t>
      </w:r>
    </w:p>
  </w:footnote>
  <w:footnote w:id="337">
    <w:p w14:paraId="1D1D40B6" w14:textId="77777777" w:rsidR="00850453" w:rsidRDefault="00850453" w:rsidP="001E6416">
      <w:pPr>
        <w:pStyle w:val="FootnoteText"/>
      </w:pPr>
      <w:r>
        <w:rPr>
          <w:rStyle w:val="FootnoteReference"/>
          <w:spacing w:val="-2"/>
        </w:rPr>
        <w:footnoteRef/>
      </w:r>
      <w:r>
        <w:rPr>
          <w:spacing w:val="-2"/>
        </w:rPr>
        <w:t>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338">
    <w:p w14:paraId="06484091" w14:textId="77777777" w:rsidR="00850453" w:rsidRDefault="00850453" w:rsidP="001E6416">
      <w:pPr>
        <w:pStyle w:val="FootnoteText"/>
      </w:pPr>
      <w:r>
        <w:rPr>
          <w:rStyle w:val="FootnoteReference"/>
          <w:spacing w:val="-2"/>
        </w:rPr>
        <w:footnoteRef/>
      </w:r>
      <w:r>
        <w:rPr>
          <w:spacing w:val="-2"/>
        </w:rPr>
        <w:t> Small Business Act, 15 U.S.C. § 632 (1996).</w:t>
      </w:r>
    </w:p>
  </w:footnote>
  <w:footnote w:id="339">
    <w:p w14:paraId="1CE1A1DE" w14:textId="0F3A9965" w:rsidR="00850453" w:rsidRPr="00F206DB" w:rsidRDefault="00850453" w:rsidP="001E6416">
      <w:pPr>
        <w:pStyle w:val="FootnoteText"/>
      </w:pPr>
      <w:r w:rsidRPr="00F206DB">
        <w:rPr>
          <w:rStyle w:val="FootnoteReference"/>
        </w:rPr>
        <w:footnoteRef/>
      </w:r>
      <w:r w:rsidRPr="00F206DB">
        <w:t xml:space="preserve"> U.S. Census Bureau, </w:t>
      </w:r>
      <w:r w:rsidRPr="00F206DB">
        <w:rPr>
          <w:i/>
        </w:rPr>
        <w:t xml:space="preserve">2012 NAICS Definitions: </w:t>
      </w:r>
      <w:r w:rsidRPr="00F206DB">
        <w:rPr>
          <w:bCs/>
          <w:i/>
        </w:rPr>
        <w:t>515120 Television Broadcasting</w:t>
      </w:r>
      <w:r w:rsidRPr="00F206DB">
        <w:rPr>
          <w:bCs/>
        </w:rPr>
        <w:t xml:space="preserve">, </w:t>
      </w:r>
      <w:hyperlink r:id="rId38" w:history="1">
        <w:r w:rsidRPr="00F206DB">
          <w:rPr>
            <w:rStyle w:val="Hyperlink"/>
          </w:rPr>
          <w:t>http://www.census.gov/cgi-bin/sssd/naics/naicsrch?code=515120&amp;search=2012</w:t>
        </w:r>
      </w:hyperlink>
      <w:r w:rsidRPr="00F206DB">
        <w:rPr>
          <w:bCs/>
        </w:rPr>
        <w:t xml:space="preserve"> (last visited Mar. 6, 2014).</w:t>
      </w:r>
    </w:p>
  </w:footnote>
  <w:footnote w:id="340">
    <w:p w14:paraId="170B750D" w14:textId="77777777" w:rsidR="00850453" w:rsidRPr="00F206DB" w:rsidRDefault="00850453" w:rsidP="001E6416">
      <w:pPr>
        <w:pStyle w:val="FootnoteText"/>
      </w:pPr>
      <w:r w:rsidRPr="00F206DB">
        <w:rPr>
          <w:rStyle w:val="FootnoteReference"/>
        </w:rPr>
        <w:footnoteRef/>
      </w:r>
      <w:r w:rsidRPr="00F206DB">
        <w:t xml:space="preserve"> 13 C.F.R. § 121.201 (NAICS code 515120) (updated for inflation in 2010).</w:t>
      </w:r>
    </w:p>
  </w:footnote>
  <w:footnote w:id="341">
    <w:p w14:paraId="2D963E6D" w14:textId="7608C22B" w:rsidR="00850453" w:rsidRPr="00F206DB" w:rsidRDefault="00850453" w:rsidP="001E6416">
      <w:pPr>
        <w:pStyle w:val="FootnoteText"/>
      </w:pPr>
      <w:r w:rsidRPr="00F206DB">
        <w:rPr>
          <w:rStyle w:val="FootnoteReference"/>
        </w:rPr>
        <w:footnoteRef/>
      </w:r>
      <w:r w:rsidRPr="00F206DB">
        <w:t xml:space="preserve"> </w:t>
      </w:r>
      <w:r w:rsidRPr="00F206DB">
        <w:rPr>
          <w:i/>
        </w:rPr>
        <w:t>See</w:t>
      </w:r>
      <w:r w:rsidRPr="00F206DB">
        <w:t xml:space="preserve"> FCC News Release, Broadcast Station Totals as of December 31, 2013 (rel. Jan. 8, 2014), </w:t>
      </w:r>
      <w:hyperlink r:id="rId39" w:history="1">
        <w:r w:rsidRPr="00F206DB">
          <w:rPr>
            <w:rStyle w:val="Hyperlink"/>
          </w:rPr>
          <w:t>http://transition.fcc.gov/Daily_Releases/Daily_Business/2014/db0108/DOC-325039A1.pdf</w:t>
        </w:r>
      </w:hyperlink>
      <w:r w:rsidRPr="00F206DB">
        <w:t>.</w:t>
      </w:r>
    </w:p>
  </w:footnote>
  <w:footnote w:id="342">
    <w:p w14:paraId="77E5B91B" w14:textId="77777777" w:rsidR="00850453" w:rsidRPr="00F206DB" w:rsidRDefault="00850453" w:rsidP="001E6416">
      <w:pPr>
        <w:pStyle w:val="FootnoteText"/>
      </w:pPr>
      <w:r w:rsidRPr="00F206DB">
        <w:rPr>
          <w:rStyle w:val="FootnoteReference"/>
        </w:rPr>
        <w:footnoteRef/>
      </w:r>
      <w:r w:rsidRPr="00F206DB">
        <w:t xml:space="preserve"> We recognize that BIA’s estimate differs slightly from the FCC total given the information provided above.</w:t>
      </w:r>
    </w:p>
  </w:footnote>
  <w:footnote w:id="343">
    <w:p w14:paraId="42FB3506" w14:textId="77777777" w:rsidR="00850453" w:rsidRPr="00F206DB" w:rsidRDefault="00850453" w:rsidP="001E6416">
      <w:pPr>
        <w:pStyle w:val="FootnoteText"/>
      </w:pPr>
      <w:r w:rsidRPr="00F206DB">
        <w:rPr>
          <w:rStyle w:val="FootnoteReference"/>
        </w:rPr>
        <w:footnoteRef/>
      </w:r>
      <w:r w:rsidRPr="00F206DB">
        <w:t xml:space="preserve"> “[Business concerns] are affiliates of each other when one concern controls or has the power to control the other, or a third party or parties controls or has the power to control both.”  13 C.F.R. § 121.103(a)(1).</w:t>
      </w:r>
    </w:p>
  </w:footnote>
  <w:footnote w:id="344">
    <w:p w14:paraId="3A2DF688" w14:textId="25A8FE59" w:rsidR="00850453" w:rsidRPr="00F206DB" w:rsidRDefault="00850453" w:rsidP="001E6416">
      <w:pPr>
        <w:pStyle w:val="FootnoteText"/>
      </w:pPr>
      <w:r w:rsidRPr="00F206DB">
        <w:rPr>
          <w:rStyle w:val="FootnoteReference"/>
        </w:rPr>
        <w:footnoteRef/>
      </w:r>
      <w:r w:rsidRPr="00F206DB">
        <w:t xml:space="preserve"> </w:t>
      </w:r>
      <w:r w:rsidRPr="00F206DB">
        <w:rPr>
          <w:i/>
        </w:rPr>
        <w:t>See</w:t>
      </w:r>
      <w:r w:rsidRPr="00F206DB">
        <w:t xml:space="preserve"> FCC News Release, Broadcast Station Totals as of December 31, 2013 (rel. Jan. 8, 2014), </w:t>
      </w:r>
      <w:hyperlink r:id="rId40" w:history="1">
        <w:r w:rsidRPr="00F206DB">
          <w:rPr>
            <w:rStyle w:val="Hyperlink"/>
          </w:rPr>
          <w:t>http://transition.fcc.gov/Daily_Releases/Daily_Business/2014/db0108/DOC-325039A1.pdf</w:t>
        </w:r>
      </w:hyperlink>
      <w:r w:rsidRPr="00F206DB">
        <w:t xml:space="preserve">. </w:t>
      </w:r>
    </w:p>
  </w:footnote>
  <w:footnote w:id="345">
    <w:p w14:paraId="10578099" w14:textId="77777777" w:rsidR="00850453" w:rsidRPr="00F206DB" w:rsidRDefault="00850453" w:rsidP="001E6416">
      <w:pPr>
        <w:pStyle w:val="FootnoteText"/>
      </w:pPr>
      <w:r w:rsidRPr="00F206DB">
        <w:rPr>
          <w:rStyle w:val="FootnoteReference"/>
        </w:rPr>
        <w:footnoteRef/>
      </w:r>
      <w:r w:rsidRPr="00F206DB">
        <w:t xml:space="preserve"> </w:t>
      </w:r>
      <w:r w:rsidRPr="00F206DB">
        <w:rPr>
          <w:i/>
        </w:rPr>
        <w:t>See generally</w:t>
      </w:r>
      <w:r w:rsidRPr="00F206DB">
        <w:t xml:space="preserve"> 5 U.S.C. §§ 601(4), (6).</w:t>
      </w:r>
    </w:p>
  </w:footnote>
  <w:footnote w:id="346">
    <w:p w14:paraId="07ED221C" w14:textId="093F2935" w:rsidR="00850453" w:rsidRPr="00F206DB" w:rsidRDefault="00850453" w:rsidP="001E6416">
      <w:pPr>
        <w:pStyle w:val="FootnoteText"/>
      </w:pPr>
      <w:r w:rsidRPr="00F206DB">
        <w:rPr>
          <w:rStyle w:val="FootnoteReference"/>
        </w:rPr>
        <w:footnoteRef/>
      </w:r>
      <w:r w:rsidRPr="00F206DB">
        <w:t xml:space="preserve"> </w:t>
      </w:r>
      <w:r w:rsidRPr="00F206DB">
        <w:rPr>
          <w:i/>
        </w:rPr>
        <w:t>See</w:t>
      </w:r>
      <w:r w:rsidRPr="00F206DB">
        <w:t xml:space="preserve"> FCC News Release, Broadcast Station Totals as of December 31, 2013 (rel. January 8, 2014), </w:t>
      </w:r>
      <w:hyperlink r:id="rId41" w:history="1">
        <w:r w:rsidRPr="00F206DB">
          <w:rPr>
            <w:rStyle w:val="Hyperlink"/>
          </w:rPr>
          <w:t>http://transition.fcc.gov/Daily_Releases/Daily_Business/2014/db0108/DOC-325039A1.pdf</w:t>
        </w:r>
      </w:hyperlink>
      <w:r w:rsidRPr="00F206DB">
        <w:t>.</w:t>
      </w:r>
    </w:p>
  </w:footnote>
  <w:footnote w:id="347">
    <w:p w14:paraId="2F424C50" w14:textId="2AF49803" w:rsidR="00850453" w:rsidRPr="00F206DB" w:rsidRDefault="00850453" w:rsidP="001E6416">
      <w:pPr>
        <w:pStyle w:val="FootnoteText"/>
      </w:pPr>
      <w:r w:rsidRPr="00F206DB">
        <w:rPr>
          <w:rStyle w:val="FootnoteReference"/>
        </w:rPr>
        <w:footnoteRef/>
      </w:r>
      <w:r w:rsidRPr="00F206DB">
        <w:t xml:space="preserve"> U.S. Census Bureau,</w:t>
      </w:r>
      <w:r w:rsidRPr="00F206DB">
        <w:rPr>
          <w:i/>
        </w:rPr>
        <w:t xml:space="preserve"> 2012 NAICS Definitions: </w:t>
      </w:r>
      <w:r w:rsidRPr="00F206DB">
        <w:rPr>
          <w:bCs/>
          <w:i/>
        </w:rPr>
        <w:t>517210 Wireless Telecommunications Carriers (except Satellite)</w:t>
      </w:r>
      <w:r w:rsidRPr="00F206DB">
        <w:rPr>
          <w:bCs/>
        </w:rPr>
        <w:t>,</w:t>
      </w:r>
      <w:r w:rsidRPr="00F206DB">
        <w:t xml:space="preserve"> </w:t>
      </w:r>
      <w:hyperlink r:id="rId42" w:history="1">
        <w:r w:rsidRPr="00F206DB">
          <w:rPr>
            <w:rStyle w:val="Hyperlink"/>
          </w:rPr>
          <w:t>http://www.census.gov/cgi-bin/sssd/naics/naicsrch?code=517210&amp;search=2012</w:t>
        </w:r>
      </w:hyperlink>
      <w:r w:rsidRPr="00F206DB">
        <w:t xml:space="preserve"> (last visited Mar. 6, 2014).</w:t>
      </w:r>
    </w:p>
  </w:footnote>
  <w:footnote w:id="348">
    <w:p w14:paraId="1D765F1F" w14:textId="77777777" w:rsidR="00850453" w:rsidRPr="00F206DB" w:rsidRDefault="00850453" w:rsidP="001E6416">
      <w:pPr>
        <w:pStyle w:val="FootnoteText"/>
      </w:pPr>
      <w:r w:rsidRPr="00F206DB">
        <w:rPr>
          <w:rStyle w:val="FootnoteReference"/>
        </w:rPr>
        <w:footnoteRef/>
      </w:r>
      <w:r w:rsidRPr="00F206DB">
        <w:t xml:space="preserve"> 13 C.F.R. § 121.201 (NAICS code 517210).</w:t>
      </w:r>
    </w:p>
  </w:footnote>
  <w:footnote w:id="349">
    <w:p w14:paraId="612BFBBB" w14:textId="3C64C3CB" w:rsidR="00850453" w:rsidRPr="00F206DB" w:rsidRDefault="00850453" w:rsidP="001E6416">
      <w:pPr>
        <w:pStyle w:val="FootnoteText"/>
      </w:pPr>
      <w:r w:rsidRPr="00F206DB">
        <w:rPr>
          <w:rStyle w:val="FootnoteReference"/>
        </w:rPr>
        <w:footnoteRef/>
      </w:r>
      <w:r w:rsidRPr="00F206DB">
        <w:t xml:space="preserve"> U.S. Census Bureau, Table No. EC0751SSSZ5, </w:t>
      </w:r>
      <w:r w:rsidRPr="00F206DB">
        <w:rPr>
          <w:i/>
        </w:rPr>
        <w:t>Information: Subject Series - Establishment and Firm Size: Employment Size of Firms for the United States: 2007</w:t>
      </w:r>
      <w:r w:rsidRPr="00F206DB">
        <w:t xml:space="preserve"> (NAICS code 517210), </w:t>
      </w:r>
      <w:hyperlink r:id="rId43" w:history="1">
        <w:r w:rsidRPr="00F206DB">
          <w:rPr>
            <w:rStyle w:val="Hyperlink"/>
          </w:rPr>
          <w:t>http://factfinder2.census.gov/faces/tableservices/jsf/pages/productview.xhtml?pid=ECN_2007_US_51SSSZ5</w:t>
        </w:r>
      </w:hyperlink>
      <w:r w:rsidRPr="00F206DB">
        <w:t xml:space="preserve">.  </w:t>
      </w:r>
    </w:p>
  </w:footnote>
  <w:footnote w:id="350">
    <w:p w14:paraId="6F651C1B" w14:textId="77777777" w:rsidR="00850453" w:rsidRPr="00F206DB" w:rsidRDefault="00850453" w:rsidP="001E6416">
      <w:pPr>
        <w:pStyle w:val="FootnoteText"/>
      </w:pPr>
      <w:r w:rsidRPr="00F206DB">
        <w:rPr>
          <w:rStyle w:val="FootnoteReference"/>
        </w:rPr>
        <w:footnoteRef/>
      </w:r>
      <w:r w:rsidRPr="00F206DB">
        <w:t xml:space="preserve"> </w:t>
      </w:r>
      <w:r w:rsidRPr="00F206DB">
        <w:rPr>
          <w:i/>
        </w:rPr>
        <w:t>Id</w:t>
      </w:r>
      <w:r w:rsidRPr="00F206DB">
        <w:t>.  Available census data do not provide a more precise estimate of the number of firms that have employment of 1,500 or fewer employees; the largest category provided is for firms with 1000 employees or more.</w:t>
      </w:r>
    </w:p>
  </w:footnote>
  <w:footnote w:id="351">
    <w:p w14:paraId="14F43C96" w14:textId="77777777" w:rsidR="00850453" w:rsidRPr="00F206DB" w:rsidRDefault="00850453" w:rsidP="001E6416">
      <w:pPr>
        <w:pStyle w:val="FootnoteText"/>
        <w:rPr>
          <w:color w:val="000000"/>
        </w:rPr>
      </w:pPr>
      <w:r w:rsidRPr="00F206DB">
        <w:rPr>
          <w:rStyle w:val="FootnoteReference"/>
          <w:color w:val="000000"/>
        </w:rPr>
        <w:footnoteRef/>
      </w:r>
      <w:r w:rsidRPr="00F206DB">
        <w:rPr>
          <w:color w:val="000000"/>
        </w:rPr>
        <w:t xml:space="preserve"> </w:t>
      </w:r>
      <w:r w:rsidRPr="00F206DB">
        <w:rPr>
          <w:i/>
          <w:color w:val="000000"/>
        </w:rPr>
        <w:t>See Trends in Telephone Service</w:t>
      </w:r>
      <w:r w:rsidRPr="00F206DB">
        <w:rPr>
          <w:color w:val="000000"/>
        </w:rPr>
        <w:t xml:space="preserve"> at Table 5.3.</w:t>
      </w:r>
    </w:p>
  </w:footnote>
  <w:footnote w:id="352">
    <w:p w14:paraId="78C4F4DF" w14:textId="77777777" w:rsidR="00850453" w:rsidRPr="00F206DB" w:rsidRDefault="00850453" w:rsidP="001E6416">
      <w:pPr>
        <w:pStyle w:val="FootnoteText"/>
      </w:pPr>
      <w:r w:rsidRPr="00F206DB">
        <w:rPr>
          <w:rStyle w:val="FootnoteReference"/>
        </w:rPr>
        <w:footnoteRef/>
      </w:r>
      <w:r w:rsidRPr="00F206DB">
        <w:t xml:space="preserve"> </w:t>
      </w:r>
      <w:r w:rsidRPr="00F206DB">
        <w:rPr>
          <w:i/>
        </w:rPr>
        <w:t>See id</w:t>
      </w:r>
      <w:r w:rsidRPr="00F206DB">
        <w:t>.</w:t>
      </w:r>
    </w:p>
  </w:footnote>
  <w:footnote w:id="353">
    <w:p w14:paraId="36F2F990" w14:textId="77777777" w:rsidR="00850453" w:rsidRDefault="00850453" w:rsidP="001E6416">
      <w:pPr>
        <w:pStyle w:val="FootnoteText"/>
      </w:pPr>
      <w:r>
        <w:rPr>
          <w:rStyle w:val="FootnoteReference"/>
        </w:rPr>
        <w:footnoteRef/>
      </w:r>
      <w:r>
        <w:t xml:space="preserve"> </w:t>
      </w:r>
      <w:r>
        <w:rPr>
          <w:color w:val="000000"/>
        </w:rPr>
        <w:t>5 U.S.C. § 603(c).</w:t>
      </w:r>
    </w:p>
  </w:footnote>
  <w:footnote w:id="354">
    <w:p w14:paraId="225CC82E" w14:textId="77777777" w:rsidR="00850453" w:rsidRDefault="00850453" w:rsidP="001E6416">
      <w:pPr>
        <w:pStyle w:val="FootnoteText"/>
      </w:pPr>
      <w:r>
        <w:rPr>
          <w:rStyle w:val="FootnoteReference"/>
        </w:rPr>
        <w:footnoteRef/>
      </w:r>
      <w:r>
        <w:t xml:space="preserve"> </w:t>
      </w:r>
      <w:r>
        <w:rPr>
          <w:rFonts w:cs="TimesNewRoman,Italic"/>
          <w:i/>
          <w:iCs/>
          <w:color w:val="010101"/>
        </w:rPr>
        <w:t xml:space="preserve">See </w:t>
      </w:r>
      <w:r>
        <w:rPr>
          <w:rFonts w:cs="TimesNewRoman"/>
          <w:color w:val="010101"/>
        </w:rPr>
        <w:t>5 U.S.C. § 801(a)(1)(A).</w:t>
      </w:r>
    </w:p>
  </w:footnote>
  <w:footnote w:id="355">
    <w:p w14:paraId="5C784F65" w14:textId="77777777" w:rsidR="00850453" w:rsidRPr="002C283B" w:rsidRDefault="00850453" w:rsidP="001E6416">
      <w:pPr>
        <w:pStyle w:val="FootnoteText"/>
        <w:tabs>
          <w:tab w:val="left" w:pos="-720"/>
        </w:tabs>
        <w:rPr>
          <w:spacing w:val="-2"/>
        </w:rPr>
      </w:pPr>
      <w:r w:rsidRPr="002C283B">
        <w:rPr>
          <w:rStyle w:val="FootnoteReference"/>
        </w:rPr>
        <w:footnoteRef/>
      </w:r>
      <w:r w:rsidRPr="002C283B">
        <w:rPr>
          <w:spacing w:val="-2"/>
        </w:rPr>
        <w:t xml:space="preserve"> </w:t>
      </w:r>
      <w:r w:rsidRPr="002C283B">
        <w:rPr>
          <w:i/>
          <w:iCs/>
          <w:spacing w:val="-2"/>
        </w:rPr>
        <w:t>See</w:t>
      </w:r>
      <w:r w:rsidRPr="002C283B">
        <w:rPr>
          <w:spacing w:val="-2"/>
        </w:rPr>
        <w:t xml:space="preserve"> 5 U.S.C. § 603.  The RFA, </w:t>
      </w:r>
      <w:r w:rsidRPr="002C283B">
        <w:rPr>
          <w:i/>
          <w:iCs/>
          <w:spacing w:val="-2"/>
        </w:rPr>
        <w:t>see</w:t>
      </w:r>
      <w:r w:rsidRPr="002C283B">
        <w:rPr>
          <w:spacing w:val="-2"/>
        </w:rPr>
        <w:t xml:space="preserve"> 5 U.S.C. § 601 – 612, has been amended by the Small Business Regulatory Enforcement Fairness Act of 1996 (SBREFA), Pub. L. No. 104-121, Title II, 110 Stat. 857 (1996).</w:t>
      </w:r>
    </w:p>
  </w:footnote>
  <w:footnote w:id="356">
    <w:p w14:paraId="0E8AC8DC" w14:textId="77777777" w:rsidR="00850453" w:rsidRPr="002C283B" w:rsidRDefault="00850453" w:rsidP="001E6416">
      <w:pPr>
        <w:pStyle w:val="FootnoteText"/>
      </w:pPr>
      <w:r w:rsidRPr="002C283B">
        <w:rPr>
          <w:rStyle w:val="FootnoteReference"/>
        </w:rPr>
        <w:footnoteRef/>
      </w:r>
      <w:r w:rsidRPr="002C283B">
        <w:t xml:space="preserve"> </w:t>
      </w:r>
      <w:r w:rsidRPr="002C283B">
        <w:rPr>
          <w:i/>
          <w:spacing w:val="-3"/>
        </w:rPr>
        <w:t>See</w:t>
      </w:r>
      <w:r w:rsidRPr="002C283B">
        <w:rPr>
          <w:spacing w:val="-3"/>
        </w:rPr>
        <w:t xml:space="preserve"> 5 U.S.C. § 603(a).</w:t>
      </w:r>
    </w:p>
  </w:footnote>
  <w:footnote w:id="357">
    <w:p w14:paraId="7D485A5D" w14:textId="77777777" w:rsidR="00850453" w:rsidRPr="002C283B" w:rsidRDefault="00850453" w:rsidP="001E6416">
      <w:pPr>
        <w:pStyle w:val="FootnoteText"/>
      </w:pPr>
      <w:r w:rsidRPr="002C283B">
        <w:rPr>
          <w:rStyle w:val="FootnoteReference"/>
        </w:rPr>
        <w:footnoteRef/>
      </w:r>
      <w:r w:rsidRPr="002C283B">
        <w:t xml:space="preserve"> </w:t>
      </w:r>
      <w:r w:rsidRPr="002C283B">
        <w:rPr>
          <w:i/>
          <w:spacing w:val="-3"/>
        </w:rPr>
        <w:t>See id.</w:t>
      </w:r>
    </w:p>
  </w:footnote>
  <w:footnote w:id="358">
    <w:p w14:paraId="5BBF95B3" w14:textId="77777777" w:rsidR="00850453" w:rsidRPr="00C7693D" w:rsidRDefault="00850453" w:rsidP="001E6416">
      <w:pPr>
        <w:pStyle w:val="FootnoteText"/>
      </w:pPr>
      <w:r>
        <w:rPr>
          <w:rStyle w:val="FootnoteReference"/>
        </w:rPr>
        <w:footnoteRef/>
      </w:r>
      <w:r>
        <w:t xml:space="preserve"> </w:t>
      </w:r>
      <w:r w:rsidRPr="00C7693D">
        <w:rPr>
          <w:i/>
          <w:spacing w:val="-2"/>
        </w:rPr>
        <w:t>See</w:t>
      </w:r>
      <w:r>
        <w:rPr>
          <w:i/>
          <w:spacing w:val="-2"/>
        </w:rPr>
        <w:t xml:space="preserve"> Expanding the Economic and Innovation Opportunities of Spectrum Through Incentive Auctions,</w:t>
      </w:r>
      <w:r>
        <w:rPr>
          <w:spacing w:val="-2"/>
        </w:rPr>
        <w:t xml:space="preserve"> GN Docket No. 12-268, Report and Order, 29 FCC Rcd 6567 (2014) (</w:t>
      </w:r>
      <w:r w:rsidRPr="00C7693D">
        <w:rPr>
          <w:i/>
          <w:spacing w:val="-2"/>
        </w:rPr>
        <w:t>Incentive Auction R&amp;O</w:t>
      </w:r>
      <w:r>
        <w:rPr>
          <w:spacing w:val="-2"/>
        </w:rPr>
        <w:t>).</w:t>
      </w:r>
    </w:p>
  </w:footnote>
  <w:footnote w:id="359">
    <w:p w14:paraId="5FDECDDD" w14:textId="77777777" w:rsidR="00850453" w:rsidRPr="00000603" w:rsidRDefault="00850453" w:rsidP="001E6416">
      <w:pPr>
        <w:pStyle w:val="FootnoteText"/>
      </w:pPr>
      <w:r>
        <w:rPr>
          <w:rStyle w:val="FootnoteReference"/>
        </w:rPr>
        <w:footnoteRef/>
      </w:r>
      <w:r>
        <w:t xml:space="preserve"> </w:t>
      </w:r>
      <w:r w:rsidRPr="000563FE">
        <w:rPr>
          <w:i/>
          <w:spacing w:val="-2"/>
        </w:rPr>
        <w:t>Incentive Auction R&amp;O</w:t>
      </w:r>
      <w:r w:rsidRPr="001C0EB8">
        <w:rPr>
          <w:spacing w:val="-2"/>
        </w:rPr>
        <w:t>, 29 FCC Rcd at 6605, para. 82 (discussing how the 600 MHz Band Plan can accommodate market variation to avoid restricting the amount of repurposed spectrum that is available in most areas nationwide).</w:t>
      </w:r>
    </w:p>
  </w:footnote>
  <w:footnote w:id="360">
    <w:p w14:paraId="018C8F53" w14:textId="77777777" w:rsidR="00850453" w:rsidRPr="00351CCB" w:rsidRDefault="00850453" w:rsidP="001E6416">
      <w:pPr>
        <w:pStyle w:val="FootnoteText"/>
      </w:pPr>
      <w:r>
        <w:rPr>
          <w:rStyle w:val="FootnoteReference"/>
        </w:rPr>
        <w:footnoteRef/>
      </w:r>
      <w:r>
        <w:t xml:space="preserve"> </w:t>
      </w:r>
      <w:r w:rsidRPr="001C0EB8">
        <w:rPr>
          <w:i/>
          <w:spacing w:val="-2"/>
        </w:rPr>
        <w:t>See Incentive Auction R&amp;O</w:t>
      </w:r>
      <w:r w:rsidRPr="001C0EB8">
        <w:rPr>
          <w:spacing w:val="-2"/>
        </w:rPr>
        <w:t>, 29 FCC Rcd at 6604-6607, paras. 81-87.</w:t>
      </w:r>
    </w:p>
  </w:footnote>
  <w:footnote w:id="361">
    <w:p w14:paraId="0863162F" w14:textId="77777777" w:rsidR="00850453" w:rsidRPr="002C283B" w:rsidRDefault="00850453" w:rsidP="001E6416">
      <w:pPr>
        <w:pStyle w:val="FootnoteText"/>
      </w:pPr>
      <w:r w:rsidRPr="002C283B">
        <w:rPr>
          <w:rStyle w:val="FootnoteReference"/>
          <w:spacing w:val="-2"/>
        </w:rPr>
        <w:footnoteRef/>
      </w:r>
      <w:r w:rsidRPr="002C283B">
        <w:rPr>
          <w:spacing w:val="-2"/>
        </w:rPr>
        <w:t> 5 U.S.C. § 603(b)(3).</w:t>
      </w:r>
    </w:p>
  </w:footnote>
  <w:footnote w:id="362">
    <w:p w14:paraId="5C56B0F0" w14:textId="77777777" w:rsidR="00850453" w:rsidRPr="002C283B" w:rsidRDefault="00850453" w:rsidP="001E6416">
      <w:pPr>
        <w:pStyle w:val="FootnoteText"/>
      </w:pPr>
      <w:r w:rsidRPr="002C283B">
        <w:rPr>
          <w:rStyle w:val="FootnoteReference"/>
          <w:spacing w:val="-2"/>
        </w:rPr>
        <w:footnoteRef/>
      </w:r>
      <w:r w:rsidRPr="002C283B">
        <w:rPr>
          <w:spacing w:val="-2"/>
        </w:rPr>
        <w:t> 5 U.S.C. § 601(6).</w:t>
      </w:r>
    </w:p>
  </w:footnote>
  <w:footnote w:id="363">
    <w:p w14:paraId="04CEBE72" w14:textId="77777777" w:rsidR="00850453" w:rsidRPr="002C283B" w:rsidRDefault="00850453" w:rsidP="001E6416">
      <w:pPr>
        <w:pStyle w:val="FootnoteText"/>
      </w:pPr>
      <w:r w:rsidRPr="002C283B">
        <w:rPr>
          <w:rStyle w:val="FootnoteReference"/>
          <w:spacing w:val="-2"/>
        </w:rPr>
        <w:footnoteRef/>
      </w:r>
      <w:r w:rsidRPr="002C283B">
        <w:rPr>
          <w:spacing w:val="-2"/>
        </w:rPr>
        <w:t>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364">
    <w:p w14:paraId="0A6CCFB8" w14:textId="77777777" w:rsidR="00850453" w:rsidRPr="002C283B" w:rsidRDefault="00850453" w:rsidP="001E6416">
      <w:pPr>
        <w:pStyle w:val="FootnoteText"/>
      </w:pPr>
      <w:r w:rsidRPr="002C283B">
        <w:rPr>
          <w:rStyle w:val="FootnoteReference"/>
          <w:spacing w:val="-2"/>
        </w:rPr>
        <w:footnoteRef/>
      </w:r>
      <w:r w:rsidRPr="002C283B">
        <w:rPr>
          <w:spacing w:val="-2"/>
        </w:rPr>
        <w:t> Small Business Act, 15 U.S.C. § 632 (1996).</w:t>
      </w:r>
    </w:p>
  </w:footnote>
  <w:footnote w:id="365">
    <w:p w14:paraId="0B697115" w14:textId="4778AB1A" w:rsidR="00850453" w:rsidRPr="00F206DB" w:rsidRDefault="00850453" w:rsidP="001E6416">
      <w:pPr>
        <w:pStyle w:val="FootnoteText"/>
      </w:pPr>
      <w:r w:rsidRPr="00F206DB">
        <w:rPr>
          <w:rStyle w:val="FootnoteReference"/>
        </w:rPr>
        <w:footnoteRef/>
      </w:r>
      <w:r w:rsidRPr="00F206DB">
        <w:t xml:space="preserve"> U.S. Census Bureau, </w:t>
      </w:r>
      <w:r w:rsidRPr="00F206DB">
        <w:rPr>
          <w:i/>
        </w:rPr>
        <w:t xml:space="preserve">2012 NAICS Definitions: </w:t>
      </w:r>
      <w:r w:rsidRPr="00F206DB">
        <w:rPr>
          <w:bCs/>
          <w:i/>
        </w:rPr>
        <w:t>515120 Television Broadcasting</w:t>
      </w:r>
      <w:r w:rsidRPr="00F206DB">
        <w:rPr>
          <w:bCs/>
        </w:rPr>
        <w:t xml:space="preserve">, </w:t>
      </w:r>
      <w:hyperlink r:id="rId44" w:history="1">
        <w:r w:rsidRPr="00F206DB">
          <w:rPr>
            <w:rStyle w:val="Hyperlink"/>
            <w:bCs/>
          </w:rPr>
          <w:t>http://www.census.gov/cgi-bin/sssd/naics/naicsrch?code=515120&amp;search=2012</w:t>
        </w:r>
      </w:hyperlink>
      <w:r w:rsidRPr="00F206DB">
        <w:rPr>
          <w:bCs/>
        </w:rPr>
        <w:t xml:space="preserve"> (last visited Mar. 6, 2014).</w:t>
      </w:r>
    </w:p>
  </w:footnote>
  <w:footnote w:id="366">
    <w:p w14:paraId="6723DEAF" w14:textId="77777777" w:rsidR="00850453" w:rsidRPr="00F206DB" w:rsidRDefault="00850453" w:rsidP="001E6416">
      <w:pPr>
        <w:pStyle w:val="FootnoteText"/>
      </w:pPr>
      <w:r w:rsidRPr="00F206DB">
        <w:rPr>
          <w:rStyle w:val="FootnoteReference"/>
        </w:rPr>
        <w:footnoteRef/>
      </w:r>
      <w:r w:rsidRPr="00F206DB">
        <w:t xml:space="preserve"> 13 C.F.R. § 121.201 (NAICS code 515120) (updated for inflation in 2010).</w:t>
      </w:r>
    </w:p>
  </w:footnote>
  <w:footnote w:id="367">
    <w:p w14:paraId="6622D848" w14:textId="79F8096E" w:rsidR="00850453" w:rsidRPr="00F206DB" w:rsidRDefault="00850453" w:rsidP="001E6416">
      <w:pPr>
        <w:pStyle w:val="FootnoteText"/>
      </w:pPr>
      <w:r w:rsidRPr="00F206DB">
        <w:rPr>
          <w:rStyle w:val="FootnoteReference"/>
        </w:rPr>
        <w:footnoteRef/>
      </w:r>
      <w:r w:rsidRPr="00F206DB">
        <w:t xml:space="preserve"> </w:t>
      </w:r>
      <w:r w:rsidRPr="00F206DB">
        <w:rPr>
          <w:i/>
        </w:rPr>
        <w:t>See</w:t>
      </w:r>
      <w:r w:rsidRPr="00F206DB">
        <w:t xml:space="preserve"> FCC News Release, Broadcast Station Totals as of December 31, 2013 (rel. Jan. 8, 2014), </w:t>
      </w:r>
      <w:hyperlink r:id="rId45" w:history="1">
        <w:r w:rsidRPr="00F206DB">
          <w:rPr>
            <w:rStyle w:val="Hyperlink"/>
          </w:rPr>
          <w:t>http://transition.fcc.gov/Daily_Releases/Daily_Business/2014/db0108/DOC-325039A1.pdf</w:t>
        </w:r>
      </w:hyperlink>
      <w:r w:rsidRPr="00F206DB">
        <w:t>.</w:t>
      </w:r>
    </w:p>
  </w:footnote>
  <w:footnote w:id="368">
    <w:p w14:paraId="61D033E5" w14:textId="77777777" w:rsidR="00850453" w:rsidRPr="00F206DB" w:rsidRDefault="00850453" w:rsidP="001E6416">
      <w:pPr>
        <w:pStyle w:val="FootnoteText"/>
      </w:pPr>
      <w:r w:rsidRPr="00F206DB">
        <w:rPr>
          <w:rStyle w:val="FootnoteReference"/>
        </w:rPr>
        <w:footnoteRef/>
      </w:r>
      <w:r w:rsidRPr="00F206DB">
        <w:t xml:space="preserve"> We recognize that BIA’s estimate differs slightly from the FCC total given the information provided above.</w:t>
      </w:r>
    </w:p>
  </w:footnote>
  <w:footnote w:id="369">
    <w:p w14:paraId="0B63CE0F" w14:textId="77777777" w:rsidR="00850453" w:rsidRPr="00F206DB" w:rsidRDefault="00850453" w:rsidP="001E6416">
      <w:pPr>
        <w:pStyle w:val="FootnoteText"/>
      </w:pPr>
      <w:r w:rsidRPr="00F206DB">
        <w:rPr>
          <w:rStyle w:val="FootnoteReference"/>
        </w:rPr>
        <w:footnoteRef/>
      </w:r>
      <w:r w:rsidRPr="00F206DB">
        <w:t xml:space="preserve"> “[Business concerns] are affiliates of each other when one concern controls or has the power to control the other, or a third party or parties controls or has the power to control both.”  13 C.F.R. § 121.103(a)(1).</w:t>
      </w:r>
    </w:p>
  </w:footnote>
  <w:footnote w:id="370">
    <w:p w14:paraId="0EE4BE37" w14:textId="31656BC7" w:rsidR="00850453" w:rsidRPr="00F206DB" w:rsidRDefault="00850453" w:rsidP="001E6416">
      <w:pPr>
        <w:pStyle w:val="FootnoteText"/>
      </w:pPr>
      <w:r w:rsidRPr="00F206DB">
        <w:rPr>
          <w:rStyle w:val="FootnoteReference"/>
        </w:rPr>
        <w:footnoteRef/>
      </w:r>
      <w:r w:rsidRPr="00F206DB">
        <w:t xml:space="preserve"> </w:t>
      </w:r>
      <w:r w:rsidRPr="00F206DB">
        <w:rPr>
          <w:i/>
        </w:rPr>
        <w:t>See</w:t>
      </w:r>
      <w:r w:rsidRPr="00F206DB">
        <w:t xml:space="preserve"> FCC News Release, Broadcast Station Totals as of December 31, 2013 (rel. Jan. 8, 2014), </w:t>
      </w:r>
      <w:hyperlink r:id="rId46" w:history="1">
        <w:r w:rsidRPr="00F206DB">
          <w:rPr>
            <w:rStyle w:val="Hyperlink"/>
          </w:rPr>
          <w:t>http://transition.fcc.gov/Daily_Releases/Daily_Business/2014/db0108/DOC-325039A1.pdf</w:t>
        </w:r>
      </w:hyperlink>
      <w:r w:rsidRPr="00F206DB">
        <w:t xml:space="preserve">. </w:t>
      </w:r>
    </w:p>
  </w:footnote>
  <w:footnote w:id="371">
    <w:p w14:paraId="7861F043" w14:textId="77777777" w:rsidR="00850453" w:rsidRPr="00F206DB" w:rsidRDefault="00850453" w:rsidP="001E6416">
      <w:pPr>
        <w:pStyle w:val="FootnoteText"/>
      </w:pPr>
      <w:r w:rsidRPr="00F206DB">
        <w:rPr>
          <w:rStyle w:val="FootnoteReference"/>
        </w:rPr>
        <w:footnoteRef/>
      </w:r>
      <w:r w:rsidRPr="00F206DB">
        <w:t xml:space="preserve"> </w:t>
      </w:r>
      <w:r w:rsidRPr="00F206DB">
        <w:rPr>
          <w:i/>
        </w:rPr>
        <w:t>See generally</w:t>
      </w:r>
      <w:r w:rsidRPr="00F206DB">
        <w:t xml:space="preserve"> 5 U.S.C. §§ 601(4), (6).</w:t>
      </w:r>
    </w:p>
  </w:footnote>
  <w:footnote w:id="372">
    <w:p w14:paraId="604B2197" w14:textId="68CCC71E" w:rsidR="00850453" w:rsidRPr="00F206DB" w:rsidRDefault="00850453" w:rsidP="001E6416">
      <w:pPr>
        <w:pStyle w:val="FootnoteText"/>
      </w:pPr>
      <w:r w:rsidRPr="00F206DB">
        <w:rPr>
          <w:rStyle w:val="FootnoteReference"/>
        </w:rPr>
        <w:footnoteRef/>
      </w:r>
      <w:r w:rsidRPr="00F206DB">
        <w:t xml:space="preserve"> </w:t>
      </w:r>
      <w:r w:rsidRPr="00F206DB">
        <w:rPr>
          <w:i/>
        </w:rPr>
        <w:t>See</w:t>
      </w:r>
      <w:r w:rsidRPr="00F206DB">
        <w:t xml:space="preserve"> FCC News Release, Broadcast Station Totals as of December 31, 2013 (rel. January 8, 2014), </w:t>
      </w:r>
      <w:hyperlink r:id="rId47" w:history="1">
        <w:r w:rsidRPr="00F206DB">
          <w:rPr>
            <w:rStyle w:val="Hyperlink"/>
          </w:rPr>
          <w:t>http://transition.fcc.gov/Daily_Releases/Daily_Business/2014/db0108/DOC-325039A1.pdf</w:t>
        </w:r>
      </w:hyperlink>
      <w:r w:rsidRPr="00F206DB">
        <w:t>.</w:t>
      </w:r>
    </w:p>
  </w:footnote>
  <w:footnote w:id="373">
    <w:p w14:paraId="3D548362" w14:textId="05245CE2" w:rsidR="00850453" w:rsidRPr="00F206DB" w:rsidRDefault="00850453" w:rsidP="001E6416">
      <w:pPr>
        <w:pStyle w:val="FootnoteText"/>
      </w:pPr>
      <w:r w:rsidRPr="00F206DB">
        <w:rPr>
          <w:rStyle w:val="FootnoteReference"/>
        </w:rPr>
        <w:footnoteRef/>
      </w:r>
      <w:r w:rsidRPr="00F206DB">
        <w:t xml:space="preserve"> U.S. Census Bureau,</w:t>
      </w:r>
      <w:r w:rsidRPr="00F206DB">
        <w:rPr>
          <w:i/>
        </w:rPr>
        <w:t xml:space="preserve"> 2012 NAICS Definitions: </w:t>
      </w:r>
      <w:r w:rsidRPr="00F206DB">
        <w:rPr>
          <w:bCs/>
          <w:i/>
        </w:rPr>
        <w:t>517210 Wireless Telecommunications Carriers (except Satellite)</w:t>
      </w:r>
      <w:r w:rsidRPr="00F206DB">
        <w:rPr>
          <w:bCs/>
        </w:rPr>
        <w:t>,</w:t>
      </w:r>
      <w:r w:rsidRPr="00F206DB">
        <w:t xml:space="preserve"> </w:t>
      </w:r>
      <w:hyperlink r:id="rId48" w:history="1">
        <w:r w:rsidRPr="00F206DB">
          <w:rPr>
            <w:rStyle w:val="Hyperlink"/>
          </w:rPr>
          <w:t>http://www.census.gov/cgi-bin/sssd/naics/naicsrch?code=517210&amp;search=2012</w:t>
        </w:r>
      </w:hyperlink>
      <w:r w:rsidRPr="00F206DB">
        <w:t xml:space="preserve"> (last visited Mar. 6, 2014).</w:t>
      </w:r>
    </w:p>
  </w:footnote>
  <w:footnote w:id="374">
    <w:p w14:paraId="6E412529" w14:textId="77777777" w:rsidR="00850453" w:rsidRPr="00F206DB" w:rsidRDefault="00850453" w:rsidP="001E6416">
      <w:pPr>
        <w:pStyle w:val="FootnoteText"/>
      </w:pPr>
      <w:r w:rsidRPr="00F206DB">
        <w:rPr>
          <w:rStyle w:val="FootnoteReference"/>
        </w:rPr>
        <w:footnoteRef/>
      </w:r>
      <w:r w:rsidRPr="00F206DB">
        <w:t xml:space="preserve"> 13 C.F.R. § 121.201 (NAICS code 517210).</w:t>
      </w:r>
    </w:p>
  </w:footnote>
  <w:footnote w:id="375">
    <w:p w14:paraId="543B7893" w14:textId="0094A846" w:rsidR="00850453" w:rsidRPr="00F206DB" w:rsidRDefault="00850453" w:rsidP="001E6416">
      <w:pPr>
        <w:pStyle w:val="FootnoteText"/>
      </w:pPr>
      <w:r w:rsidRPr="00F206DB">
        <w:rPr>
          <w:rStyle w:val="FootnoteReference"/>
        </w:rPr>
        <w:footnoteRef/>
      </w:r>
      <w:r w:rsidRPr="00F206DB">
        <w:t xml:space="preserve"> U.S. Census Bureau, Table No. EC0751SSSZ5, </w:t>
      </w:r>
      <w:r w:rsidRPr="00F206DB">
        <w:rPr>
          <w:i/>
        </w:rPr>
        <w:t>Information: Subject Series - Establishment and Firm Size: Employment Size of Firms for the United States: 2007</w:t>
      </w:r>
      <w:r w:rsidRPr="00F206DB">
        <w:t xml:space="preserve"> (NAICS code 517210), </w:t>
      </w:r>
      <w:hyperlink r:id="rId49" w:history="1">
        <w:r w:rsidRPr="00F206DB">
          <w:rPr>
            <w:rStyle w:val="Hyperlink"/>
          </w:rPr>
          <w:t>http://factfinder2.census.gov/faces/tableservices/jsf/pages/productview.xhtml?pid=ECN_2007_US_51SSSZ5</w:t>
        </w:r>
      </w:hyperlink>
      <w:r w:rsidRPr="00F206DB">
        <w:t xml:space="preserve">.  </w:t>
      </w:r>
    </w:p>
  </w:footnote>
  <w:footnote w:id="376">
    <w:p w14:paraId="088D81C9" w14:textId="77777777" w:rsidR="00850453" w:rsidRPr="00F206DB" w:rsidRDefault="00850453" w:rsidP="001E6416">
      <w:pPr>
        <w:pStyle w:val="FootnoteText"/>
      </w:pPr>
      <w:r w:rsidRPr="00F206DB">
        <w:rPr>
          <w:rStyle w:val="FootnoteReference"/>
        </w:rPr>
        <w:footnoteRef/>
      </w:r>
      <w:r w:rsidRPr="00F206DB">
        <w:t xml:space="preserve"> </w:t>
      </w:r>
      <w:r w:rsidRPr="00F206DB">
        <w:rPr>
          <w:i/>
        </w:rPr>
        <w:t>Id</w:t>
      </w:r>
      <w:r w:rsidRPr="00F206DB">
        <w:t>.  Available census data do not provide a more precise estimate of the number of firms that have employment of 1,500 or fewer employees; the largest category provided is for firms with 1000 employees or more.</w:t>
      </w:r>
    </w:p>
  </w:footnote>
  <w:footnote w:id="377">
    <w:p w14:paraId="37B8C274" w14:textId="77777777" w:rsidR="00850453" w:rsidRPr="00F206DB" w:rsidRDefault="00850453" w:rsidP="001E6416">
      <w:pPr>
        <w:pStyle w:val="FootnoteText"/>
        <w:rPr>
          <w:color w:val="000000"/>
        </w:rPr>
      </w:pPr>
      <w:r w:rsidRPr="00F206DB">
        <w:rPr>
          <w:rStyle w:val="FootnoteReference"/>
          <w:color w:val="000000"/>
        </w:rPr>
        <w:footnoteRef/>
      </w:r>
      <w:r w:rsidRPr="00F206DB">
        <w:rPr>
          <w:color w:val="000000"/>
        </w:rPr>
        <w:t xml:space="preserve"> </w:t>
      </w:r>
      <w:r w:rsidRPr="00F206DB">
        <w:rPr>
          <w:i/>
          <w:color w:val="000000"/>
        </w:rPr>
        <w:t>See Trends in Telephone Service</w:t>
      </w:r>
      <w:r w:rsidRPr="00F206DB">
        <w:rPr>
          <w:color w:val="000000"/>
        </w:rPr>
        <w:t xml:space="preserve"> at Table 5.3.</w:t>
      </w:r>
    </w:p>
  </w:footnote>
  <w:footnote w:id="378">
    <w:p w14:paraId="4608AC17" w14:textId="77777777" w:rsidR="00850453" w:rsidRPr="00F206DB" w:rsidRDefault="00850453" w:rsidP="001E6416">
      <w:pPr>
        <w:pStyle w:val="FootnoteText"/>
      </w:pPr>
      <w:r w:rsidRPr="00F206DB">
        <w:rPr>
          <w:rStyle w:val="FootnoteReference"/>
        </w:rPr>
        <w:footnoteRef/>
      </w:r>
      <w:r w:rsidRPr="00F206DB">
        <w:t xml:space="preserve"> </w:t>
      </w:r>
      <w:r w:rsidRPr="00F206DB">
        <w:rPr>
          <w:i/>
        </w:rPr>
        <w:t>See id</w:t>
      </w:r>
      <w:r w:rsidRPr="00F206DB">
        <w:t>.</w:t>
      </w:r>
    </w:p>
  </w:footnote>
  <w:footnote w:id="379">
    <w:p w14:paraId="55BEC0ED" w14:textId="77777777" w:rsidR="00850453" w:rsidRPr="00F206DB" w:rsidRDefault="00850453" w:rsidP="001E6416">
      <w:pPr>
        <w:pStyle w:val="FootnoteText"/>
      </w:pPr>
      <w:r w:rsidRPr="00F206DB">
        <w:rPr>
          <w:rStyle w:val="FootnoteReference"/>
        </w:rPr>
        <w:footnoteRef/>
      </w:r>
      <w:r w:rsidRPr="00F206DB">
        <w:t xml:space="preserve"> </w:t>
      </w:r>
      <w:r w:rsidRPr="00F206DB">
        <w:rPr>
          <w:i/>
        </w:rPr>
        <w:t>See</w:t>
      </w:r>
      <w:r w:rsidRPr="00F206DB">
        <w:t xml:space="preserve"> 5 U.S.C. § 603(c).</w:t>
      </w:r>
    </w:p>
  </w:footnote>
  <w:footnote w:id="380">
    <w:p w14:paraId="52F53EC1" w14:textId="77777777" w:rsidR="00850453" w:rsidRPr="00BF3FD1" w:rsidRDefault="00850453" w:rsidP="00853252">
      <w:pPr>
        <w:pStyle w:val="FootnoteText"/>
      </w:pPr>
      <w:r w:rsidRPr="00BF3FD1">
        <w:rPr>
          <w:rStyle w:val="FootnoteReference"/>
        </w:rPr>
        <w:footnoteRef/>
      </w:r>
      <w:r w:rsidRPr="00BF3FD1">
        <w:t xml:space="preserve"> </w:t>
      </w:r>
      <w:r w:rsidRPr="00BF3FD1">
        <w:rPr>
          <w:i/>
        </w:rPr>
        <w:t>See, e.g.</w:t>
      </w:r>
      <w:r w:rsidRPr="00BF3FD1">
        <w:t>, Opening Remarks of Commissioner Ajit Pai at CTIA 2013’s Panel on the Spectrum Incentive Auctions: Step Right Up!, Las Vegas, Nevada (May 22, 2013)</w:t>
      </w:r>
      <w:r>
        <w:t xml:space="preserve">, </w:t>
      </w:r>
      <w:r w:rsidRPr="00C308DF">
        <w:t>http://go.usa.gov/fBfC</w:t>
      </w:r>
      <w:r w:rsidRPr="00BF3FD1">
        <w:t>.</w:t>
      </w:r>
    </w:p>
  </w:footnote>
  <w:footnote w:id="381">
    <w:p w14:paraId="257544E9" w14:textId="77777777" w:rsidR="00850453" w:rsidRPr="00BF3FD1" w:rsidRDefault="00850453" w:rsidP="00853252">
      <w:pPr>
        <w:pStyle w:val="FootnoteText"/>
      </w:pPr>
      <w:r w:rsidRPr="00BF3FD1">
        <w:rPr>
          <w:rStyle w:val="FootnoteReference"/>
        </w:rPr>
        <w:footnoteRef/>
      </w:r>
      <w:r w:rsidRPr="00BF3FD1">
        <w:t xml:space="preserve"> </w:t>
      </w:r>
      <w:r w:rsidRPr="00BF3FD1">
        <w:rPr>
          <w:i/>
        </w:rPr>
        <w:t>See</w:t>
      </w:r>
      <w:r w:rsidRPr="00BF3FD1">
        <w:t xml:space="preserve"> Second Report and Order and Further Notice of P</w:t>
      </w:r>
      <w:r>
        <w:t>roposed Rulemaking at para.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767D" w14:textId="77777777" w:rsidR="00980D89" w:rsidRDefault="00980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6D061" w14:textId="703E2CCE" w:rsidR="00850453" w:rsidRDefault="00850453" w:rsidP="00810B6F">
    <w:pPr>
      <w:pStyle w:val="Header"/>
      <w:rPr>
        <w:b w:val="0"/>
      </w:rPr>
    </w:pPr>
    <w:r>
      <w:tab/>
      <w:t>Federal Communications Commission</w:t>
    </w:r>
    <w:r>
      <w:tab/>
      <w:t>14-157</w:t>
    </w:r>
  </w:p>
  <w:p w14:paraId="29A4F40E" w14:textId="77777777" w:rsidR="00850453" w:rsidRDefault="0085045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2C7DACBD" wp14:editId="6C589C0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9D5BB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8337642" w14:textId="77777777" w:rsidR="00850453" w:rsidRDefault="0085045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479E" w14:textId="315C00F2" w:rsidR="00850453" w:rsidRDefault="00850453"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E67DDA4" wp14:editId="11AEAF8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8C2B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FCC 14-157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87"/>
    <w:multiLevelType w:val="hybridMultilevel"/>
    <w:tmpl w:val="158E3268"/>
    <w:lvl w:ilvl="0" w:tplc="4DCCE696">
      <w:start w:val="1"/>
      <w:numFmt w:val="decimal"/>
      <w:lvlText w:val="%1."/>
      <w:lvlJc w:val="left"/>
      <w:pPr>
        <w:tabs>
          <w:tab w:val="num" w:pos="1260"/>
        </w:tabs>
        <w:ind w:left="180" w:firstLine="720"/>
      </w:pPr>
      <w:rPr>
        <w:rFonts w:ascii="Times New Roman" w:hAnsi="Times New Roman" w:cs="Times New Roman" w:hint="default"/>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21266BA"/>
    <w:multiLevelType w:val="hybridMultilevel"/>
    <w:tmpl w:val="956CD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FA0D5C"/>
    <w:multiLevelType w:val="multilevel"/>
    <w:tmpl w:val="703C1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8D82263"/>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2B1A4C70"/>
    <w:multiLevelType w:val="hybridMultilevel"/>
    <w:tmpl w:val="68005F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D0532B1"/>
    <w:multiLevelType w:val="hybridMultilevel"/>
    <w:tmpl w:val="158E3268"/>
    <w:lvl w:ilvl="0" w:tplc="4DCCE696">
      <w:start w:val="1"/>
      <w:numFmt w:val="decimal"/>
      <w:lvlText w:val="%1."/>
      <w:lvlJc w:val="left"/>
      <w:pPr>
        <w:tabs>
          <w:tab w:val="num" w:pos="1260"/>
        </w:tabs>
        <w:ind w:left="180" w:firstLine="720"/>
      </w:pPr>
      <w:rPr>
        <w:rFonts w:ascii="Times New Roman" w:hAnsi="Times New Roman" w:cs="Times New Roman" w:hint="default"/>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5A069A6"/>
    <w:multiLevelType w:val="hybridMultilevel"/>
    <w:tmpl w:val="41E0B2D8"/>
    <w:lvl w:ilvl="0" w:tplc="B5F8A0D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812F91"/>
    <w:multiLevelType w:val="singleLevel"/>
    <w:tmpl w:val="2C32E72E"/>
    <w:lvl w:ilvl="0">
      <w:start w:val="5"/>
      <w:numFmt w:val="upperLetter"/>
      <w:lvlText w:val="%1."/>
      <w:lvlJc w:val="left"/>
      <w:pPr>
        <w:tabs>
          <w:tab w:val="num" w:pos="720"/>
        </w:tabs>
        <w:ind w:left="720" w:hanging="720"/>
      </w:p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3"/>
  </w:num>
  <w:num w:numId="2">
    <w:abstractNumId w:val="6"/>
  </w:num>
  <w:num w:numId="3">
    <w:abstractNumId w:val="9"/>
  </w:num>
  <w:num w:numId="4">
    <w:abstractNumId w:val="16"/>
  </w:num>
  <w:num w:numId="5">
    <w:abstractNumId w:val="2"/>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num>
  <w:num w:numId="14">
    <w:abstractNumId w:val="14"/>
  </w:num>
  <w:num w:numId="15">
    <w:abstractNumId w:val="10"/>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5"/>
  </w:num>
  <w:num w:numId="31">
    <w:abstractNumId w:val="1"/>
  </w:num>
  <w:num w:numId="32">
    <w:abstractNumId w:val="0"/>
  </w:num>
  <w:num w:numId="3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num>
  <w:num w:numId="36">
    <w:abstractNumId w:val="6"/>
  </w:num>
  <w:num w:numId="37">
    <w:abstractNumId w:val="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A1"/>
    <w:rsid w:val="00001B77"/>
    <w:rsid w:val="00006673"/>
    <w:rsid w:val="000066B7"/>
    <w:rsid w:val="00010CF7"/>
    <w:rsid w:val="00011D51"/>
    <w:rsid w:val="000153C6"/>
    <w:rsid w:val="00022AB3"/>
    <w:rsid w:val="000302DB"/>
    <w:rsid w:val="0003112B"/>
    <w:rsid w:val="00031AC9"/>
    <w:rsid w:val="00034CAE"/>
    <w:rsid w:val="00036034"/>
    <w:rsid w:val="00036039"/>
    <w:rsid w:val="00036217"/>
    <w:rsid w:val="0003726F"/>
    <w:rsid w:val="00037F90"/>
    <w:rsid w:val="000434F1"/>
    <w:rsid w:val="00043B3C"/>
    <w:rsid w:val="00047126"/>
    <w:rsid w:val="00047CF2"/>
    <w:rsid w:val="00051402"/>
    <w:rsid w:val="00051A53"/>
    <w:rsid w:val="00054CFC"/>
    <w:rsid w:val="00061808"/>
    <w:rsid w:val="0006226A"/>
    <w:rsid w:val="00066F0D"/>
    <w:rsid w:val="00067422"/>
    <w:rsid w:val="00067A19"/>
    <w:rsid w:val="00073222"/>
    <w:rsid w:val="00073DA8"/>
    <w:rsid w:val="00080560"/>
    <w:rsid w:val="00083B34"/>
    <w:rsid w:val="00083E73"/>
    <w:rsid w:val="000875BF"/>
    <w:rsid w:val="00093B5D"/>
    <w:rsid w:val="0009433C"/>
    <w:rsid w:val="00095346"/>
    <w:rsid w:val="00096D8C"/>
    <w:rsid w:val="000A21E8"/>
    <w:rsid w:val="000A307F"/>
    <w:rsid w:val="000A5365"/>
    <w:rsid w:val="000A6C52"/>
    <w:rsid w:val="000A74BA"/>
    <w:rsid w:val="000B04F9"/>
    <w:rsid w:val="000B3FDE"/>
    <w:rsid w:val="000B4EF3"/>
    <w:rsid w:val="000B6539"/>
    <w:rsid w:val="000B6D5E"/>
    <w:rsid w:val="000C088F"/>
    <w:rsid w:val="000C099E"/>
    <w:rsid w:val="000C0B65"/>
    <w:rsid w:val="000C42E0"/>
    <w:rsid w:val="000D381B"/>
    <w:rsid w:val="000D558A"/>
    <w:rsid w:val="000D6090"/>
    <w:rsid w:val="000E0050"/>
    <w:rsid w:val="000E05FE"/>
    <w:rsid w:val="000E187C"/>
    <w:rsid w:val="000E1B76"/>
    <w:rsid w:val="000E3D42"/>
    <w:rsid w:val="000E4696"/>
    <w:rsid w:val="000E4B70"/>
    <w:rsid w:val="000E5C3D"/>
    <w:rsid w:val="000E62DC"/>
    <w:rsid w:val="000F32EF"/>
    <w:rsid w:val="000F4A90"/>
    <w:rsid w:val="000F58E2"/>
    <w:rsid w:val="000F6CA2"/>
    <w:rsid w:val="00100DDE"/>
    <w:rsid w:val="001022A3"/>
    <w:rsid w:val="001037AE"/>
    <w:rsid w:val="00106C25"/>
    <w:rsid w:val="001103BD"/>
    <w:rsid w:val="0011133E"/>
    <w:rsid w:val="00111E66"/>
    <w:rsid w:val="00115DB7"/>
    <w:rsid w:val="00116718"/>
    <w:rsid w:val="0011720F"/>
    <w:rsid w:val="00122BD5"/>
    <w:rsid w:val="0013232C"/>
    <w:rsid w:val="00132693"/>
    <w:rsid w:val="00133549"/>
    <w:rsid w:val="00133F79"/>
    <w:rsid w:val="00135488"/>
    <w:rsid w:val="001365CA"/>
    <w:rsid w:val="00141501"/>
    <w:rsid w:val="00141995"/>
    <w:rsid w:val="0014274D"/>
    <w:rsid w:val="00143769"/>
    <w:rsid w:val="00144017"/>
    <w:rsid w:val="0014483F"/>
    <w:rsid w:val="00150C15"/>
    <w:rsid w:val="0015280D"/>
    <w:rsid w:val="00153C83"/>
    <w:rsid w:val="001543DE"/>
    <w:rsid w:val="001550D7"/>
    <w:rsid w:val="00155846"/>
    <w:rsid w:val="001562A1"/>
    <w:rsid w:val="00156509"/>
    <w:rsid w:val="00157E59"/>
    <w:rsid w:val="00161990"/>
    <w:rsid w:val="00163C31"/>
    <w:rsid w:val="0016677F"/>
    <w:rsid w:val="0017361E"/>
    <w:rsid w:val="001758E9"/>
    <w:rsid w:val="001769BE"/>
    <w:rsid w:val="00181AFC"/>
    <w:rsid w:val="00181EC9"/>
    <w:rsid w:val="00182D2E"/>
    <w:rsid w:val="001855C4"/>
    <w:rsid w:val="001858FB"/>
    <w:rsid w:val="00191B44"/>
    <w:rsid w:val="00192B23"/>
    <w:rsid w:val="00194A66"/>
    <w:rsid w:val="00195A8B"/>
    <w:rsid w:val="00197C45"/>
    <w:rsid w:val="001A1AF6"/>
    <w:rsid w:val="001A4338"/>
    <w:rsid w:val="001A5769"/>
    <w:rsid w:val="001A5B36"/>
    <w:rsid w:val="001A780C"/>
    <w:rsid w:val="001B1D8A"/>
    <w:rsid w:val="001B49A5"/>
    <w:rsid w:val="001B73D8"/>
    <w:rsid w:val="001C4464"/>
    <w:rsid w:val="001C7606"/>
    <w:rsid w:val="001D1DBD"/>
    <w:rsid w:val="001D230E"/>
    <w:rsid w:val="001D260F"/>
    <w:rsid w:val="001D30A0"/>
    <w:rsid w:val="001D69DD"/>
    <w:rsid w:val="001D6BCF"/>
    <w:rsid w:val="001E01CA"/>
    <w:rsid w:val="001E6416"/>
    <w:rsid w:val="001E7A9B"/>
    <w:rsid w:val="00201B70"/>
    <w:rsid w:val="0020418A"/>
    <w:rsid w:val="00204DA8"/>
    <w:rsid w:val="002063F1"/>
    <w:rsid w:val="0020787C"/>
    <w:rsid w:val="0021052B"/>
    <w:rsid w:val="00215EAE"/>
    <w:rsid w:val="00222307"/>
    <w:rsid w:val="00224398"/>
    <w:rsid w:val="00225FE0"/>
    <w:rsid w:val="0023010C"/>
    <w:rsid w:val="0023655F"/>
    <w:rsid w:val="0023697F"/>
    <w:rsid w:val="00236F43"/>
    <w:rsid w:val="00237066"/>
    <w:rsid w:val="0024268D"/>
    <w:rsid w:val="00242CA3"/>
    <w:rsid w:val="00243ED0"/>
    <w:rsid w:val="00244757"/>
    <w:rsid w:val="00245BCD"/>
    <w:rsid w:val="0024764D"/>
    <w:rsid w:val="00247A6F"/>
    <w:rsid w:val="002501E6"/>
    <w:rsid w:val="002511AA"/>
    <w:rsid w:val="00252D73"/>
    <w:rsid w:val="00254BDF"/>
    <w:rsid w:val="00254F44"/>
    <w:rsid w:val="00257A6E"/>
    <w:rsid w:val="002601E0"/>
    <w:rsid w:val="00260D65"/>
    <w:rsid w:val="0026139E"/>
    <w:rsid w:val="00262F30"/>
    <w:rsid w:val="00264F29"/>
    <w:rsid w:val="00267C24"/>
    <w:rsid w:val="002725D6"/>
    <w:rsid w:val="00273D1D"/>
    <w:rsid w:val="00275CF5"/>
    <w:rsid w:val="0027608A"/>
    <w:rsid w:val="0028301F"/>
    <w:rsid w:val="00283742"/>
    <w:rsid w:val="00285017"/>
    <w:rsid w:val="00285A6B"/>
    <w:rsid w:val="002869D7"/>
    <w:rsid w:val="00290AF8"/>
    <w:rsid w:val="002916A3"/>
    <w:rsid w:val="00294892"/>
    <w:rsid w:val="00295B7B"/>
    <w:rsid w:val="00297410"/>
    <w:rsid w:val="00297EF2"/>
    <w:rsid w:val="002A2557"/>
    <w:rsid w:val="002A2D2E"/>
    <w:rsid w:val="002A3EBE"/>
    <w:rsid w:val="002A435B"/>
    <w:rsid w:val="002A6F5D"/>
    <w:rsid w:val="002A6FAD"/>
    <w:rsid w:val="002B0715"/>
    <w:rsid w:val="002B150F"/>
    <w:rsid w:val="002B39C6"/>
    <w:rsid w:val="002B5D72"/>
    <w:rsid w:val="002B7488"/>
    <w:rsid w:val="002C00E8"/>
    <w:rsid w:val="002C0E93"/>
    <w:rsid w:val="002C45B5"/>
    <w:rsid w:val="002C544B"/>
    <w:rsid w:val="002C6B3D"/>
    <w:rsid w:val="002D244F"/>
    <w:rsid w:val="002D2B33"/>
    <w:rsid w:val="002D3B0B"/>
    <w:rsid w:val="002D551C"/>
    <w:rsid w:val="002D6402"/>
    <w:rsid w:val="002E01AC"/>
    <w:rsid w:val="002E1CB4"/>
    <w:rsid w:val="002E38E6"/>
    <w:rsid w:val="002E4AC6"/>
    <w:rsid w:val="002E65CE"/>
    <w:rsid w:val="002F43EC"/>
    <w:rsid w:val="002F70B0"/>
    <w:rsid w:val="00301310"/>
    <w:rsid w:val="003014B0"/>
    <w:rsid w:val="0030183C"/>
    <w:rsid w:val="0030352D"/>
    <w:rsid w:val="00306E53"/>
    <w:rsid w:val="00307311"/>
    <w:rsid w:val="00310E60"/>
    <w:rsid w:val="00312864"/>
    <w:rsid w:val="0031552E"/>
    <w:rsid w:val="00316687"/>
    <w:rsid w:val="00316DB7"/>
    <w:rsid w:val="00317C52"/>
    <w:rsid w:val="00317F0B"/>
    <w:rsid w:val="003200DD"/>
    <w:rsid w:val="00322669"/>
    <w:rsid w:val="0032587A"/>
    <w:rsid w:val="00326714"/>
    <w:rsid w:val="0033141B"/>
    <w:rsid w:val="00331857"/>
    <w:rsid w:val="00333A98"/>
    <w:rsid w:val="00336348"/>
    <w:rsid w:val="00336FC1"/>
    <w:rsid w:val="00337C43"/>
    <w:rsid w:val="003412ED"/>
    <w:rsid w:val="00343749"/>
    <w:rsid w:val="003445CD"/>
    <w:rsid w:val="00344928"/>
    <w:rsid w:val="00345739"/>
    <w:rsid w:val="003469A7"/>
    <w:rsid w:val="00347BCA"/>
    <w:rsid w:val="00350384"/>
    <w:rsid w:val="003503BE"/>
    <w:rsid w:val="00351CCB"/>
    <w:rsid w:val="00352696"/>
    <w:rsid w:val="003534C9"/>
    <w:rsid w:val="00353E5C"/>
    <w:rsid w:val="00354157"/>
    <w:rsid w:val="00355B81"/>
    <w:rsid w:val="00357610"/>
    <w:rsid w:val="00357F6B"/>
    <w:rsid w:val="00360634"/>
    <w:rsid w:val="00362C7E"/>
    <w:rsid w:val="003660ED"/>
    <w:rsid w:val="00366AFA"/>
    <w:rsid w:val="00367A19"/>
    <w:rsid w:val="003707D4"/>
    <w:rsid w:val="003730FA"/>
    <w:rsid w:val="00374C8F"/>
    <w:rsid w:val="003754FB"/>
    <w:rsid w:val="00377916"/>
    <w:rsid w:val="00382889"/>
    <w:rsid w:val="00384518"/>
    <w:rsid w:val="003845DF"/>
    <w:rsid w:val="00384B8C"/>
    <w:rsid w:val="00391499"/>
    <w:rsid w:val="00391D9A"/>
    <w:rsid w:val="003943AB"/>
    <w:rsid w:val="003A107D"/>
    <w:rsid w:val="003A14A9"/>
    <w:rsid w:val="003A5013"/>
    <w:rsid w:val="003A6388"/>
    <w:rsid w:val="003A6449"/>
    <w:rsid w:val="003A69FA"/>
    <w:rsid w:val="003B0550"/>
    <w:rsid w:val="003B0577"/>
    <w:rsid w:val="003B0E22"/>
    <w:rsid w:val="003B2B6E"/>
    <w:rsid w:val="003B694F"/>
    <w:rsid w:val="003C7440"/>
    <w:rsid w:val="003C7550"/>
    <w:rsid w:val="003D0E32"/>
    <w:rsid w:val="003D125A"/>
    <w:rsid w:val="003D1E65"/>
    <w:rsid w:val="003E11E1"/>
    <w:rsid w:val="003E5E98"/>
    <w:rsid w:val="003F171C"/>
    <w:rsid w:val="003F2C2B"/>
    <w:rsid w:val="003F4CB5"/>
    <w:rsid w:val="003F6F97"/>
    <w:rsid w:val="003F7394"/>
    <w:rsid w:val="003F7FE8"/>
    <w:rsid w:val="004009C2"/>
    <w:rsid w:val="00401B15"/>
    <w:rsid w:val="00401E73"/>
    <w:rsid w:val="00403A69"/>
    <w:rsid w:val="00405B32"/>
    <w:rsid w:val="00406052"/>
    <w:rsid w:val="00412FC5"/>
    <w:rsid w:val="00413895"/>
    <w:rsid w:val="004158D3"/>
    <w:rsid w:val="00420A99"/>
    <w:rsid w:val="00420B6F"/>
    <w:rsid w:val="00421997"/>
    <w:rsid w:val="00422276"/>
    <w:rsid w:val="00423120"/>
    <w:rsid w:val="004242F1"/>
    <w:rsid w:val="00424886"/>
    <w:rsid w:val="004259B0"/>
    <w:rsid w:val="0043174B"/>
    <w:rsid w:val="0043393D"/>
    <w:rsid w:val="00435828"/>
    <w:rsid w:val="00437C17"/>
    <w:rsid w:val="004424DD"/>
    <w:rsid w:val="00445A00"/>
    <w:rsid w:val="0044644D"/>
    <w:rsid w:val="0045124D"/>
    <w:rsid w:val="00451B0F"/>
    <w:rsid w:val="00451D87"/>
    <w:rsid w:val="0045399E"/>
    <w:rsid w:val="0045441F"/>
    <w:rsid w:val="00457857"/>
    <w:rsid w:val="00462D79"/>
    <w:rsid w:val="0046433F"/>
    <w:rsid w:val="0046652F"/>
    <w:rsid w:val="004666B0"/>
    <w:rsid w:val="004706BB"/>
    <w:rsid w:val="00470CCE"/>
    <w:rsid w:val="00470D28"/>
    <w:rsid w:val="0047264E"/>
    <w:rsid w:val="004748B5"/>
    <w:rsid w:val="00490C94"/>
    <w:rsid w:val="00493F4E"/>
    <w:rsid w:val="0049778A"/>
    <w:rsid w:val="00497906"/>
    <w:rsid w:val="004A0A06"/>
    <w:rsid w:val="004A401F"/>
    <w:rsid w:val="004A5600"/>
    <w:rsid w:val="004A6771"/>
    <w:rsid w:val="004B00C7"/>
    <w:rsid w:val="004B0975"/>
    <w:rsid w:val="004B1FE4"/>
    <w:rsid w:val="004B445E"/>
    <w:rsid w:val="004B677F"/>
    <w:rsid w:val="004B7367"/>
    <w:rsid w:val="004B7F4C"/>
    <w:rsid w:val="004C03EA"/>
    <w:rsid w:val="004C0C5A"/>
    <w:rsid w:val="004C1A55"/>
    <w:rsid w:val="004C2891"/>
    <w:rsid w:val="004C2EE3"/>
    <w:rsid w:val="004C48BF"/>
    <w:rsid w:val="004C673F"/>
    <w:rsid w:val="004D22FD"/>
    <w:rsid w:val="004D4544"/>
    <w:rsid w:val="004D5FF4"/>
    <w:rsid w:val="004D6A3E"/>
    <w:rsid w:val="004E1388"/>
    <w:rsid w:val="004E1639"/>
    <w:rsid w:val="004E1E1F"/>
    <w:rsid w:val="004E3079"/>
    <w:rsid w:val="004E3A8D"/>
    <w:rsid w:val="004E424D"/>
    <w:rsid w:val="004E4A22"/>
    <w:rsid w:val="004E4BE3"/>
    <w:rsid w:val="004E5B55"/>
    <w:rsid w:val="004E5F4F"/>
    <w:rsid w:val="004E6A54"/>
    <w:rsid w:val="004F07A6"/>
    <w:rsid w:val="004F12E7"/>
    <w:rsid w:val="004F1677"/>
    <w:rsid w:val="004F24EA"/>
    <w:rsid w:val="004F75FA"/>
    <w:rsid w:val="00501BB1"/>
    <w:rsid w:val="00503E22"/>
    <w:rsid w:val="00506441"/>
    <w:rsid w:val="00510887"/>
    <w:rsid w:val="00511968"/>
    <w:rsid w:val="00511DBA"/>
    <w:rsid w:val="00515237"/>
    <w:rsid w:val="00515FC7"/>
    <w:rsid w:val="005172C0"/>
    <w:rsid w:val="00521B8C"/>
    <w:rsid w:val="00522149"/>
    <w:rsid w:val="005222A4"/>
    <w:rsid w:val="00522489"/>
    <w:rsid w:val="005249EE"/>
    <w:rsid w:val="005258AC"/>
    <w:rsid w:val="00527345"/>
    <w:rsid w:val="00531706"/>
    <w:rsid w:val="0053294A"/>
    <w:rsid w:val="00536971"/>
    <w:rsid w:val="005377B2"/>
    <w:rsid w:val="00541883"/>
    <w:rsid w:val="00542007"/>
    <w:rsid w:val="00542E3F"/>
    <w:rsid w:val="00544D32"/>
    <w:rsid w:val="005474ED"/>
    <w:rsid w:val="00550310"/>
    <w:rsid w:val="00550CF2"/>
    <w:rsid w:val="00551693"/>
    <w:rsid w:val="00554D4F"/>
    <w:rsid w:val="0055614C"/>
    <w:rsid w:val="00564828"/>
    <w:rsid w:val="00564A9C"/>
    <w:rsid w:val="00564DE2"/>
    <w:rsid w:val="00566DF0"/>
    <w:rsid w:val="00567AD1"/>
    <w:rsid w:val="00572623"/>
    <w:rsid w:val="0057537B"/>
    <w:rsid w:val="00577C08"/>
    <w:rsid w:val="00585CE6"/>
    <w:rsid w:val="0059592F"/>
    <w:rsid w:val="005A679D"/>
    <w:rsid w:val="005A7AA0"/>
    <w:rsid w:val="005B10F9"/>
    <w:rsid w:val="005B1467"/>
    <w:rsid w:val="005B1E53"/>
    <w:rsid w:val="005B2AB4"/>
    <w:rsid w:val="005B39A5"/>
    <w:rsid w:val="005B4C0E"/>
    <w:rsid w:val="005B7381"/>
    <w:rsid w:val="005B745C"/>
    <w:rsid w:val="005C0F75"/>
    <w:rsid w:val="005C3657"/>
    <w:rsid w:val="005C5228"/>
    <w:rsid w:val="005C640D"/>
    <w:rsid w:val="005D3E5A"/>
    <w:rsid w:val="005D6E68"/>
    <w:rsid w:val="005E01CF"/>
    <w:rsid w:val="005E0AFC"/>
    <w:rsid w:val="005E14C2"/>
    <w:rsid w:val="005E371C"/>
    <w:rsid w:val="005E783C"/>
    <w:rsid w:val="005F19AC"/>
    <w:rsid w:val="005F4C18"/>
    <w:rsid w:val="005F5F98"/>
    <w:rsid w:val="005F701D"/>
    <w:rsid w:val="0060104A"/>
    <w:rsid w:val="006015B9"/>
    <w:rsid w:val="006019EC"/>
    <w:rsid w:val="00607BA5"/>
    <w:rsid w:val="0061180A"/>
    <w:rsid w:val="006140AB"/>
    <w:rsid w:val="0061627C"/>
    <w:rsid w:val="00620FC6"/>
    <w:rsid w:val="0062543C"/>
    <w:rsid w:val="00626EB6"/>
    <w:rsid w:val="00630A83"/>
    <w:rsid w:val="006315B3"/>
    <w:rsid w:val="0063379C"/>
    <w:rsid w:val="0063459D"/>
    <w:rsid w:val="00636552"/>
    <w:rsid w:val="0064236F"/>
    <w:rsid w:val="00642556"/>
    <w:rsid w:val="00644703"/>
    <w:rsid w:val="00644F5A"/>
    <w:rsid w:val="00646A3E"/>
    <w:rsid w:val="006510FF"/>
    <w:rsid w:val="006511AA"/>
    <w:rsid w:val="006535F6"/>
    <w:rsid w:val="0065494F"/>
    <w:rsid w:val="00655D03"/>
    <w:rsid w:val="00656C31"/>
    <w:rsid w:val="00656F50"/>
    <w:rsid w:val="0066116B"/>
    <w:rsid w:val="006624DC"/>
    <w:rsid w:val="00662F7B"/>
    <w:rsid w:val="0066449C"/>
    <w:rsid w:val="006649CC"/>
    <w:rsid w:val="00665E4D"/>
    <w:rsid w:val="00667359"/>
    <w:rsid w:val="006730D0"/>
    <w:rsid w:val="0067365E"/>
    <w:rsid w:val="006773E5"/>
    <w:rsid w:val="00677C42"/>
    <w:rsid w:val="006808EE"/>
    <w:rsid w:val="00681308"/>
    <w:rsid w:val="00683388"/>
    <w:rsid w:val="00683926"/>
    <w:rsid w:val="00683F84"/>
    <w:rsid w:val="00683FD3"/>
    <w:rsid w:val="00684B31"/>
    <w:rsid w:val="006873A6"/>
    <w:rsid w:val="0069349E"/>
    <w:rsid w:val="0069764B"/>
    <w:rsid w:val="006A1CE1"/>
    <w:rsid w:val="006A2DCA"/>
    <w:rsid w:val="006A4D42"/>
    <w:rsid w:val="006A6A81"/>
    <w:rsid w:val="006A744E"/>
    <w:rsid w:val="006A7918"/>
    <w:rsid w:val="006B3244"/>
    <w:rsid w:val="006C39E8"/>
    <w:rsid w:val="006D1983"/>
    <w:rsid w:val="006D5ACE"/>
    <w:rsid w:val="006E09C9"/>
    <w:rsid w:val="006E1399"/>
    <w:rsid w:val="006E4351"/>
    <w:rsid w:val="006E4685"/>
    <w:rsid w:val="006E5D3C"/>
    <w:rsid w:val="006E5F69"/>
    <w:rsid w:val="006E6769"/>
    <w:rsid w:val="006E6BD1"/>
    <w:rsid w:val="006F17A6"/>
    <w:rsid w:val="006F602E"/>
    <w:rsid w:val="006F6FE7"/>
    <w:rsid w:val="006F7393"/>
    <w:rsid w:val="0070224F"/>
    <w:rsid w:val="0070235E"/>
    <w:rsid w:val="0070311D"/>
    <w:rsid w:val="0070533B"/>
    <w:rsid w:val="00705BB8"/>
    <w:rsid w:val="0070748D"/>
    <w:rsid w:val="00710785"/>
    <w:rsid w:val="007115F7"/>
    <w:rsid w:val="007148A9"/>
    <w:rsid w:val="00715F5F"/>
    <w:rsid w:val="0071654C"/>
    <w:rsid w:val="007173FA"/>
    <w:rsid w:val="00721E3C"/>
    <w:rsid w:val="00722F26"/>
    <w:rsid w:val="00723112"/>
    <w:rsid w:val="00723F11"/>
    <w:rsid w:val="00725460"/>
    <w:rsid w:val="00726CCF"/>
    <w:rsid w:val="007316A1"/>
    <w:rsid w:val="00736E86"/>
    <w:rsid w:val="00740356"/>
    <w:rsid w:val="0074096C"/>
    <w:rsid w:val="007436B5"/>
    <w:rsid w:val="00744ECE"/>
    <w:rsid w:val="007457DA"/>
    <w:rsid w:val="00746FCB"/>
    <w:rsid w:val="0074704F"/>
    <w:rsid w:val="00747452"/>
    <w:rsid w:val="00750678"/>
    <w:rsid w:val="0075349D"/>
    <w:rsid w:val="00753BA3"/>
    <w:rsid w:val="00757A00"/>
    <w:rsid w:val="007634AD"/>
    <w:rsid w:val="00764FF5"/>
    <w:rsid w:val="0076506F"/>
    <w:rsid w:val="007661ED"/>
    <w:rsid w:val="007671EE"/>
    <w:rsid w:val="0076756D"/>
    <w:rsid w:val="00767D70"/>
    <w:rsid w:val="0077042B"/>
    <w:rsid w:val="00771955"/>
    <w:rsid w:val="00771983"/>
    <w:rsid w:val="007736BB"/>
    <w:rsid w:val="007738D4"/>
    <w:rsid w:val="00774BEF"/>
    <w:rsid w:val="00774E14"/>
    <w:rsid w:val="00777F96"/>
    <w:rsid w:val="00785689"/>
    <w:rsid w:val="00785D5A"/>
    <w:rsid w:val="00786F9B"/>
    <w:rsid w:val="00787CDA"/>
    <w:rsid w:val="00793137"/>
    <w:rsid w:val="0079754B"/>
    <w:rsid w:val="00797622"/>
    <w:rsid w:val="007A1867"/>
    <w:rsid w:val="007A1E6D"/>
    <w:rsid w:val="007A4A91"/>
    <w:rsid w:val="007A7321"/>
    <w:rsid w:val="007A7E8D"/>
    <w:rsid w:val="007B0EB2"/>
    <w:rsid w:val="007B2711"/>
    <w:rsid w:val="007B5FB4"/>
    <w:rsid w:val="007B6F88"/>
    <w:rsid w:val="007B71E8"/>
    <w:rsid w:val="007C1689"/>
    <w:rsid w:val="007C35DF"/>
    <w:rsid w:val="007C3B8C"/>
    <w:rsid w:val="007C3BA0"/>
    <w:rsid w:val="007C4195"/>
    <w:rsid w:val="007C6717"/>
    <w:rsid w:val="007C7CF9"/>
    <w:rsid w:val="007D0FBC"/>
    <w:rsid w:val="007D29AF"/>
    <w:rsid w:val="007D2C50"/>
    <w:rsid w:val="007D329E"/>
    <w:rsid w:val="007D3429"/>
    <w:rsid w:val="007D4973"/>
    <w:rsid w:val="007D58EF"/>
    <w:rsid w:val="007E41B2"/>
    <w:rsid w:val="007E4F81"/>
    <w:rsid w:val="007E51D3"/>
    <w:rsid w:val="007F0F57"/>
    <w:rsid w:val="007F1368"/>
    <w:rsid w:val="007F287F"/>
    <w:rsid w:val="007F3655"/>
    <w:rsid w:val="007F55F4"/>
    <w:rsid w:val="007F67E7"/>
    <w:rsid w:val="0080130C"/>
    <w:rsid w:val="0080327D"/>
    <w:rsid w:val="008033FF"/>
    <w:rsid w:val="00804BBD"/>
    <w:rsid w:val="00805A02"/>
    <w:rsid w:val="00806533"/>
    <w:rsid w:val="00806F11"/>
    <w:rsid w:val="008104BA"/>
    <w:rsid w:val="00810B6F"/>
    <w:rsid w:val="00811FF4"/>
    <w:rsid w:val="00816314"/>
    <w:rsid w:val="00820DCF"/>
    <w:rsid w:val="00822CE0"/>
    <w:rsid w:val="00822E88"/>
    <w:rsid w:val="00822F1E"/>
    <w:rsid w:val="00825CA5"/>
    <w:rsid w:val="00830B28"/>
    <w:rsid w:val="00833523"/>
    <w:rsid w:val="00833DCC"/>
    <w:rsid w:val="008355CF"/>
    <w:rsid w:val="008363F6"/>
    <w:rsid w:val="008374D8"/>
    <w:rsid w:val="00841AB1"/>
    <w:rsid w:val="00842556"/>
    <w:rsid w:val="00843335"/>
    <w:rsid w:val="008438DB"/>
    <w:rsid w:val="00845EF9"/>
    <w:rsid w:val="00847FAD"/>
    <w:rsid w:val="00850453"/>
    <w:rsid w:val="008519FC"/>
    <w:rsid w:val="00853252"/>
    <w:rsid w:val="008533E7"/>
    <w:rsid w:val="008535CB"/>
    <w:rsid w:val="00854036"/>
    <w:rsid w:val="00854FCE"/>
    <w:rsid w:val="0086107E"/>
    <w:rsid w:val="00862954"/>
    <w:rsid w:val="00863DA9"/>
    <w:rsid w:val="00864DEB"/>
    <w:rsid w:val="00865E6C"/>
    <w:rsid w:val="00866AC4"/>
    <w:rsid w:val="008704F1"/>
    <w:rsid w:val="00872535"/>
    <w:rsid w:val="00875E03"/>
    <w:rsid w:val="0087675A"/>
    <w:rsid w:val="00876786"/>
    <w:rsid w:val="00876E5F"/>
    <w:rsid w:val="00877552"/>
    <w:rsid w:val="0088319D"/>
    <w:rsid w:val="008837C2"/>
    <w:rsid w:val="00890ECE"/>
    <w:rsid w:val="008920AB"/>
    <w:rsid w:val="00892A84"/>
    <w:rsid w:val="00892FDD"/>
    <w:rsid w:val="00895B5F"/>
    <w:rsid w:val="00897EBD"/>
    <w:rsid w:val="00897FBD"/>
    <w:rsid w:val="008A305C"/>
    <w:rsid w:val="008A5A71"/>
    <w:rsid w:val="008A7171"/>
    <w:rsid w:val="008B1DD7"/>
    <w:rsid w:val="008B21F4"/>
    <w:rsid w:val="008B26B1"/>
    <w:rsid w:val="008B2CE7"/>
    <w:rsid w:val="008B2DBE"/>
    <w:rsid w:val="008B3961"/>
    <w:rsid w:val="008B4A18"/>
    <w:rsid w:val="008B5A7C"/>
    <w:rsid w:val="008B685A"/>
    <w:rsid w:val="008C000B"/>
    <w:rsid w:val="008C133D"/>
    <w:rsid w:val="008C65E0"/>
    <w:rsid w:val="008C68F1"/>
    <w:rsid w:val="008C7390"/>
    <w:rsid w:val="008C79D6"/>
    <w:rsid w:val="008D0E5F"/>
    <w:rsid w:val="008D2639"/>
    <w:rsid w:val="008D43D4"/>
    <w:rsid w:val="008D7FBB"/>
    <w:rsid w:val="008E1C7D"/>
    <w:rsid w:val="008E1DA0"/>
    <w:rsid w:val="008E1EBD"/>
    <w:rsid w:val="008E270B"/>
    <w:rsid w:val="008F1277"/>
    <w:rsid w:val="008F2405"/>
    <w:rsid w:val="008F59CE"/>
    <w:rsid w:val="00901820"/>
    <w:rsid w:val="009042B9"/>
    <w:rsid w:val="00905439"/>
    <w:rsid w:val="00910241"/>
    <w:rsid w:val="00910934"/>
    <w:rsid w:val="00911D72"/>
    <w:rsid w:val="00911E86"/>
    <w:rsid w:val="009145C8"/>
    <w:rsid w:val="00914863"/>
    <w:rsid w:val="00917185"/>
    <w:rsid w:val="00921803"/>
    <w:rsid w:val="0092584B"/>
    <w:rsid w:val="009258FD"/>
    <w:rsid w:val="00926503"/>
    <w:rsid w:val="00936DF4"/>
    <w:rsid w:val="00936F2A"/>
    <w:rsid w:val="0093742C"/>
    <w:rsid w:val="009375FF"/>
    <w:rsid w:val="00940748"/>
    <w:rsid w:val="00940AC0"/>
    <w:rsid w:val="00940DE8"/>
    <w:rsid w:val="00943A6A"/>
    <w:rsid w:val="00946651"/>
    <w:rsid w:val="00947BF4"/>
    <w:rsid w:val="00950FD0"/>
    <w:rsid w:val="009511A6"/>
    <w:rsid w:val="00954DED"/>
    <w:rsid w:val="009617B5"/>
    <w:rsid w:val="00962EFE"/>
    <w:rsid w:val="00963F0C"/>
    <w:rsid w:val="00964AA0"/>
    <w:rsid w:val="009654F8"/>
    <w:rsid w:val="00965E01"/>
    <w:rsid w:val="00972492"/>
    <w:rsid w:val="009726D8"/>
    <w:rsid w:val="00974E18"/>
    <w:rsid w:val="00975F2B"/>
    <w:rsid w:val="009768D8"/>
    <w:rsid w:val="009771DD"/>
    <w:rsid w:val="0097755A"/>
    <w:rsid w:val="00980D89"/>
    <w:rsid w:val="00986FD4"/>
    <w:rsid w:val="00987035"/>
    <w:rsid w:val="00990A4F"/>
    <w:rsid w:val="00994505"/>
    <w:rsid w:val="00994DDB"/>
    <w:rsid w:val="00996EC5"/>
    <w:rsid w:val="009A136C"/>
    <w:rsid w:val="009A3113"/>
    <w:rsid w:val="009A33BB"/>
    <w:rsid w:val="009B082E"/>
    <w:rsid w:val="009B2E35"/>
    <w:rsid w:val="009B50CB"/>
    <w:rsid w:val="009C0F67"/>
    <w:rsid w:val="009C1910"/>
    <w:rsid w:val="009C2D65"/>
    <w:rsid w:val="009C2FB6"/>
    <w:rsid w:val="009C5F73"/>
    <w:rsid w:val="009C60D7"/>
    <w:rsid w:val="009C7681"/>
    <w:rsid w:val="009D32D0"/>
    <w:rsid w:val="009D4197"/>
    <w:rsid w:val="009D5994"/>
    <w:rsid w:val="009D681D"/>
    <w:rsid w:val="009D6901"/>
    <w:rsid w:val="009E227F"/>
    <w:rsid w:val="009E37A5"/>
    <w:rsid w:val="009E566F"/>
    <w:rsid w:val="009E62F9"/>
    <w:rsid w:val="009E667B"/>
    <w:rsid w:val="009F189E"/>
    <w:rsid w:val="009F19F0"/>
    <w:rsid w:val="009F2971"/>
    <w:rsid w:val="009F4F0D"/>
    <w:rsid w:val="009F76DB"/>
    <w:rsid w:val="009F7C9F"/>
    <w:rsid w:val="00A02EAD"/>
    <w:rsid w:val="00A05A0A"/>
    <w:rsid w:val="00A061F6"/>
    <w:rsid w:val="00A063C0"/>
    <w:rsid w:val="00A10119"/>
    <w:rsid w:val="00A10312"/>
    <w:rsid w:val="00A12C14"/>
    <w:rsid w:val="00A135D8"/>
    <w:rsid w:val="00A15354"/>
    <w:rsid w:val="00A15C29"/>
    <w:rsid w:val="00A16E52"/>
    <w:rsid w:val="00A16F59"/>
    <w:rsid w:val="00A17E2C"/>
    <w:rsid w:val="00A2387E"/>
    <w:rsid w:val="00A27C56"/>
    <w:rsid w:val="00A31E2B"/>
    <w:rsid w:val="00A32C3B"/>
    <w:rsid w:val="00A339D7"/>
    <w:rsid w:val="00A34B4B"/>
    <w:rsid w:val="00A445A6"/>
    <w:rsid w:val="00A45E01"/>
    <w:rsid w:val="00A45F4F"/>
    <w:rsid w:val="00A46107"/>
    <w:rsid w:val="00A461E1"/>
    <w:rsid w:val="00A52084"/>
    <w:rsid w:val="00A560D5"/>
    <w:rsid w:val="00A600A9"/>
    <w:rsid w:val="00A614B8"/>
    <w:rsid w:val="00A624EC"/>
    <w:rsid w:val="00A639EA"/>
    <w:rsid w:val="00A64819"/>
    <w:rsid w:val="00A65DFB"/>
    <w:rsid w:val="00A677F5"/>
    <w:rsid w:val="00A710D7"/>
    <w:rsid w:val="00A72810"/>
    <w:rsid w:val="00A72C31"/>
    <w:rsid w:val="00A73259"/>
    <w:rsid w:val="00A75CDC"/>
    <w:rsid w:val="00A76133"/>
    <w:rsid w:val="00A768C8"/>
    <w:rsid w:val="00A84278"/>
    <w:rsid w:val="00A87332"/>
    <w:rsid w:val="00A878D6"/>
    <w:rsid w:val="00A9063C"/>
    <w:rsid w:val="00A90FFB"/>
    <w:rsid w:val="00A9224C"/>
    <w:rsid w:val="00A92936"/>
    <w:rsid w:val="00A93E66"/>
    <w:rsid w:val="00A962EE"/>
    <w:rsid w:val="00A97F98"/>
    <w:rsid w:val="00AA0CCF"/>
    <w:rsid w:val="00AA3902"/>
    <w:rsid w:val="00AA3CDA"/>
    <w:rsid w:val="00AA3E95"/>
    <w:rsid w:val="00AA5306"/>
    <w:rsid w:val="00AA55B7"/>
    <w:rsid w:val="00AA5B9E"/>
    <w:rsid w:val="00AA6FB2"/>
    <w:rsid w:val="00AB2407"/>
    <w:rsid w:val="00AB50F9"/>
    <w:rsid w:val="00AB53DF"/>
    <w:rsid w:val="00AB5D58"/>
    <w:rsid w:val="00AB6ED1"/>
    <w:rsid w:val="00AC1C93"/>
    <w:rsid w:val="00AC1CC5"/>
    <w:rsid w:val="00AC4F8E"/>
    <w:rsid w:val="00AC71D9"/>
    <w:rsid w:val="00AD14A0"/>
    <w:rsid w:val="00AD4EB0"/>
    <w:rsid w:val="00AD65F5"/>
    <w:rsid w:val="00AD6CD5"/>
    <w:rsid w:val="00AE5595"/>
    <w:rsid w:val="00AE5C01"/>
    <w:rsid w:val="00AE6EF6"/>
    <w:rsid w:val="00AF0994"/>
    <w:rsid w:val="00AF1B2F"/>
    <w:rsid w:val="00AF265D"/>
    <w:rsid w:val="00AF2F28"/>
    <w:rsid w:val="00AF3256"/>
    <w:rsid w:val="00AF3841"/>
    <w:rsid w:val="00B00AE6"/>
    <w:rsid w:val="00B05890"/>
    <w:rsid w:val="00B07E5C"/>
    <w:rsid w:val="00B1051A"/>
    <w:rsid w:val="00B13F6D"/>
    <w:rsid w:val="00B14373"/>
    <w:rsid w:val="00B15122"/>
    <w:rsid w:val="00B16A4E"/>
    <w:rsid w:val="00B2045D"/>
    <w:rsid w:val="00B211B2"/>
    <w:rsid w:val="00B21AAC"/>
    <w:rsid w:val="00B23FEA"/>
    <w:rsid w:val="00B260B3"/>
    <w:rsid w:val="00B30F57"/>
    <w:rsid w:val="00B32615"/>
    <w:rsid w:val="00B32965"/>
    <w:rsid w:val="00B331D3"/>
    <w:rsid w:val="00B35C4F"/>
    <w:rsid w:val="00B37D49"/>
    <w:rsid w:val="00B42797"/>
    <w:rsid w:val="00B45382"/>
    <w:rsid w:val="00B4716E"/>
    <w:rsid w:val="00B47F85"/>
    <w:rsid w:val="00B50AC8"/>
    <w:rsid w:val="00B51A45"/>
    <w:rsid w:val="00B5229B"/>
    <w:rsid w:val="00B53368"/>
    <w:rsid w:val="00B56065"/>
    <w:rsid w:val="00B604D6"/>
    <w:rsid w:val="00B64CC4"/>
    <w:rsid w:val="00B708E9"/>
    <w:rsid w:val="00B70DE4"/>
    <w:rsid w:val="00B807A7"/>
    <w:rsid w:val="00B808CF"/>
    <w:rsid w:val="00B811F7"/>
    <w:rsid w:val="00B8507C"/>
    <w:rsid w:val="00B86F9C"/>
    <w:rsid w:val="00B876A9"/>
    <w:rsid w:val="00B9077C"/>
    <w:rsid w:val="00B964F6"/>
    <w:rsid w:val="00B96F15"/>
    <w:rsid w:val="00B97522"/>
    <w:rsid w:val="00BA0005"/>
    <w:rsid w:val="00BA0309"/>
    <w:rsid w:val="00BA2DFF"/>
    <w:rsid w:val="00BA2E93"/>
    <w:rsid w:val="00BA3E6D"/>
    <w:rsid w:val="00BA5DC6"/>
    <w:rsid w:val="00BA6196"/>
    <w:rsid w:val="00BA6AA4"/>
    <w:rsid w:val="00BA6FD6"/>
    <w:rsid w:val="00BB0F2B"/>
    <w:rsid w:val="00BB15EB"/>
    <w:rsid w:val="00BB2D63"/>
    <w:rsid w:val="00BB3ACA"/>
    <w:rsid w:val="00BB3C4A"/>
    <w:rsid w:val="00BB4053"/>
    <w:rsid w:val="00BB71D8"/>
    <w:rsid w:val="00BB7C84"/>
    <w:rsid w:val="00BC57A0"/>
    <w:rsid w:val="00BC648B"/>
    <w:rsid w:val="00BC6D8C"/>
    <w:rsid w:val="00BD0841"/>
    <w:rsid w:val="00BD14A0"/>
    <w:rsid w:val="00BD5071"/>
    <w:rsid w:val="00BD53C7"/>
    <w:rsid w:val="00BD7DC8"/>
    <w:rsid w:val="00BD7FC7"/>
    <w:rsid w:val="00BE1257"/>
    <w:rsid w:val="00BE25AE"/>
    <w:rsid w:val="00BE6E3F"/>
    <w:rsid w:val="00BF13D4"/>
    <w:rsid w:val="00BF4166"/>
    <w:rsid w:val="00BF4F5D"/>
    <w:rsid w:val="00BF75EB"/>
    <w:rsid w:val="00C0110C"/>
    <w:rsid w:val="00C0217D"/>
    <w:rsid w:val="00C1425F"/>
    <w:rsid w:val="00C1483B"/>
    <w:rsid w:val="00C201F7"/>
    <w:rsid w:val="00C21836"/>
    <w:rsid w:val="00C21C0C"/>
    <w:rsid w:val="00C27B14"/>
    <w:rsid w:val="00C27E2D"/>
    <w:rsid w:val="00C30F9C"/>
    <w:rsid w:val="00C31462"/>
    <w:rsid w:val="00C31DC4"/>
    <w:rsid w:val="00C3217E"/>
    <w:rsid w:val="00C33B1F"/>
    <w:rsid w:val="00C33DAD"/>
    <w:rsid w:val="00C34006"/>
    <w:rsid w:val="00C3620D"/>
    <w:rsid w:val="00C36BC2"/>
    <w:rsid w:val="00C421E5"/>
    <w:rsid w:val="00C426B1"/>
    <w:rsid w:val="00C4397C"/>
    <w:rsid w:val="00C47D53"/>
    <w:rsid w:val="00C50AD9"/>
    <w:rsid w:val="00C552A8"/>
    <w:rsid w:val="00C55AEE"/>
    <w:rsid w:val="00C61795"/>
    <w:rsid w:val="00C62E2D"/>
    <w:rsid w:val="00C64A68"/>
    <w:rsid w:val="00C65C4A"/>
    <w:rsid w:val="00C66160"/>
    <w:rsid w:val="00C702FF"/>
    <w:rsid w:val="00C721AC"/>
    <w:rsid w:val="00C7412E"/>
    <w:rsid w:val="00C74F38"/>
    <w:rsid w:val="00C7663E"/>
    <w:rsid w:val="00C77533"/>
    <w:rsid w:val="00C80467"/>
    <w:rsid w:val="00C836E6"/>
    <w:rsid w:val="00C84787"/>
    <w:rsid w:val="00C8547B"/>
    <w:rsid w:val="00C901BD"/>
    <w:rsid w:val="00C90867"/>
    <w:rsid w:val="00C9098D"/>
    <w:rsid w:val="00C90D6A"/>
    <w:rsid w:val="00C90F00"/>
    <w:rsid w:val="00C91582"/>
    <w:rsid w:val="00C91699"/>
    <w:rsid w:val="00C9626B"/>
    <w:rsid w:val="00C96F98"/>
    <w:rsid w:val="00C973DD"/>
    <w:rsid w:val="00CA247E"/>
    <w:rsid w:val="00CA252B"/>
    <w:rsid w:val="00CA2B18"/>
    <w:rsid w:val="00CA45B9"/>
    <w:rsid w:val="00CA5A53"/>
    <w:rsid w:val="00CA666A"/>
    <w:rsid w:val="00CB0FF0"/>
    <w:rsid w:val="00CB30CE"/>
    <w:rsid w:val="00CB3B44"/>
    <w:rsid w:val="00CB5281"/>
    <w:rsid w:val="00CB55C6"/>
    <w:rsid w:val="00CC062A"/>
    <w:rsid w:val="00CC3097"/>
    <w:rsid w:val="00CC44D2"/>
    <w:rsid w:val="00CC4B91"/>
    <w:rsid w:val="00CC5E45"/>
    <w:rsid w:val="00CC60E8"/>
    <w:rsid w:val="00CC72B6"/>
    <w:rsid w:val="00CC7825"/>
    <w:rsid w:val="00CD0634"/>
    <w:rsid w:val="00CD072C"/>
    <w:rsid w:val="00CD34C8"/>
    <w:rsid w:val="00CD6891"/>
    <w:rsid w:val="00CD7587"/>
    <w:rsid w:val="00CE33DC"/>
    <w:rsid w:val="00CE4A0C"/>
    <w:rsid w:val="00CE4A1D"/>
    <w:rsid w:val="00CE5353"/>
    <w:rsid w:val="00CE6636"/>
    <w:rsid w:val="00CE721A"/>
    <w:rsid w:val="00CE7668"/>
    <w:rsid w:val="00CE7C02"/>
    <w:rsid w:val="00CF2152"/>
    <w:rsid w:val="00CF662F"/>
    <w:rsid w:val="00CF6F5F"/>
    <w:rsid w:val="00D01FE7"/>
    <w:rsid w:val="00D0218D"/>
    <w:rsid w:val="00D0573A"/>
    <w:rsid w:val="00D15BD6"/>
    <w:rsid w:val="00D160F2"/>
    <w:rsid w:val="00D17EF4"/>
    <w:rsid w:val="00D20288"/>
    <w:rsid w:val="00D23238"/>
    <w:rsid w:val="00D25FB5"/>
    <w:rsid w:val="00D25FC1"/>
    <w:rsid w:val="00D37BB2"/>
    <w:rsid w:val="00D401C4"/>
    <w:rsid w:val="00D402D8"/>
    <w:rsid w:val="00D402F8"/>
    <w:rsid w:val="00D417C0"/>
    <w:rsid w:val="00D41C86"/>
    <w:rsid w:val="00D44223"/>
    <w:rsid w:val="00D44C70"/>
    <w:rsid w:val="00D44D9A"/>
    <w:rsid w:val="00D456DA"/>
    <w:rsid w:val="00D458EC"/>
    <w:rsid w:val="00D4730B"/>
    <w:rsid w:val="00D47954"/>
    <w:rsid w:val="00D500D5"/>
    <w:rsid w:val="00D50682"/>
    <w:rsid w:val="00D5193A"/>
    <w:rsid w:val="00D52D12"/>
    <w:rsid w:val="00D55798"/>
    <w:rsid w:val="00D574CB"/>
    <w:rsid w:val="00D575F6"/>
    <w:rsid w:val="00D579A4"/>
    <w:rsid w:val="00D71EBA"/>
    <w:rsid w:val="00D722D1"/>
    <w:rsid w:val="00D72881"/>
    <w:rsid w:val="00D7469E"/>
    <w:rsid w:val="00D747EF"/>
    <w:rsid w:val="00D76705"/>
    <w:rsid w:val="00D773F1"/>
    <w:rsid w:val="00D8081D"/>
    <w:rsid w:val="00D835D6"/>
    <w:rsid w:val="00D84C1E"/>
    <w:rsid w:val="00D8728C"/>
    <w:rsid w:val="00D90440"/>
    <w:rsid w:val="00D912FE"/>
    <w:rsid w:val="00D938B4"/>
    <w:rsid w:val="00D95630"/>
    <w:rsid w:val="00D96221"/>
    <w:rsid w:val="00DA2529"/>
    <w:rsid w:val="00DA3341"/>
    <w:rsid w:val="00DA4D5A"/>
    <w:rsid w:val="00DA64F3"/>
    <w:rsid w:val="00DA6F7D"/>
    <w:rsid w:val="00DB130A"/>
    <w:rsid w:val="00DB205F"/>
    <w:rsid w:val="00DB26FD"/>
    <w:rsid w:val="00DB2EBB"/>
    <w:rsid w:val="00DB4244"/>
    <w:rsid w:val="00DB6375"/>
    <w:rsid w:val="00DC0FF3"/>
    <w:rsid w:val="00DC10A1"/>
    <w:rsid w:val="00DC162B"/>
    <w:rsid w:val="00DC655F"/>
    <w:rsid w:val="00DC66A6"/>
    <w:rsid w:val="00DC7787"/>
    <w:rsid w:val="00DD0B59"/>
    <w:rsid w:val="00DD2563"/>
    <w:rsid w:val="00DD2564"/>
    <w:rsid w:val="00DD2B96"/>
    <w:rsid w:val="00DD3A32"/>
    <w:rsid w:val="00DD3A5B"/>
    <w:rsid w:val="00DD48FB"/>
    <w:rsid w:val="00DD4AE9"/>
    <w:rsid w:val="00DD7C39"/>
    <w:rsid w:val="00DD7EBD"/>
    <w:rsid w:val="00DE0B7D"/>
    <w:rsid w:val="00DE262E"/>
    <w:rsid w:val="00DE2CDA"/>
    <w:rsid w:val="00DE5109"/>
    <w:rsid w:val="00DF0574"/>
    <w:rsid w:val="00DF1D38"/>
    <w:rsid w:val="00DF339D"/>
    <w:rsid w:val="00DF4EEE"/>
    <w:rsid w:val="00DF62B6"/>
    <w:rsid w:val="00DF698A"/>
    <w:rsid w:val="00DF7368"/>
    <w:rsid w:val="00E018EC"/>
    <w:rsid w:val="00E020F9"/>
    <w:rsid w:val="00E0343C"/>
    <w:rsid w:val="00E06F82"/>
    <w:rsid w:val="00E07225"/>
    <w:rsid w:val="00E07717"/>
    <w:rsid w:val="00E1577B"/>
    <w:rsid w:val="00E17F41"/>
    <w:rsid w:val="00E2149B"/>
    <w:rsid w:val="00E235BC"/>
    <w:rsid w:val="00E23CAC"/>
    <w:rsid w:val="00E252B7"/>
    <w:rsid w:val="00E26D51"/>
    <w:rsid w:val="00E30616"/>
    <w:rsid w:val="00E3613F"/>
    <w:rsid w:val="00E4341A"/>
    <w:rsid w:val="00E43935"/>
    <w:rsid w:val="00E43F0C"/>
    <w:rsid w:val="00E448ED"/>
    <w:rsid w:val="00E44A5C"/>
    <w:rsid w:val="00E47439"/>
    <w:rsid w:val="00E50477"/>
    <w:rsid w:val="00E50985"/>
    <w:rsid w:val="00E52207"/>
    <w:rsid w:val="00E522E0"/>
    <w:rsid w:val="00E5334D"/>
    <w:rsid w:val="00E5409F"/>
    <w:rsid w:val="00E5460F"/>
    <w:rsid w:val="00E54B9F"/>
    <w:rsid w:val="00E601E0"/>
    <w:rsid w:val="00E6294A"/>
    <w:rsid w:val="00E70343"/>
    <w:rsid w:val="00E70EE8"/>
    <w:rsid w:val="00E72001"/>
    <w:rsid w:val="00E7311B"/>
    <w:rsid w:val="00E7342B"/>
    <w:rsid w:val="00E73888"/>
    <w:rsid w:val="00E760BE"/>
    <w:rsid w:val="00E76DEC"/>
    <w:rsid w:val="00E77123"/>
    <w:rsid w:val="00E77D22"/>
    <w:rsid w:val="00E80C33"/>
    <w:rsid w:val="00E81C23"/>
    <w:rsid w:val="00E82B06"/>
    <w:rsid w:val="00E90B9F"/>
    <w:rsid w:val="00E91ABD"/>
    <w:rsid w:val="00E925B4"/>
    <w:rsid w:val="00E93121"/>
    <w:rsid w:val="00E9611D"/>
    <w:rsid w:val="00EA0D75"/>
    <w:rsid w:val="00EA281E"/>
    <w:rsid w:val="00EA2A66"/>
    <w:rsid w:val="00EA2CD3"/>
    <w:rsid w:val="00EA33AC"/>
    <w:rsid w:val="00EA4677"/>
    <w:rsid w:val="00EA5603"/>
    <w:rsid w:val="00EA6854"/>
    <w:rsid w:val="00EA7939"/>
    <w:rsid w:val="00EA7A5B"/>
    <w:rsid w:val="00EA7DD5"/>
    <w:rsid w:val="00EB20EF"/>
    <w:rsid w:val="00EC125D"/>
    <w:rsid w:val="00EC4373"/>
    <w:rsid w:val="00EC4894"/>
    <w:rsid w:val="00EC4914"/>
    <w:rsid w:val="00EC4AB4"/>
    <w:rsid w:val="00EC5498"/>
    <w:rsid w:val="00ED11DD"/>
    <w:rsid w:val="00ED4302"/>
    <w:rsid w:val="00ED50DE"/>
    <w:rsid w:val="00ED5888"/>
    <w:rsid w:val="00ED66E1"/>
    <w:rsid w:val="00ED701B"/>
    <w:rsid w:val="00EE1543"/>
    <w:rsid w:val="00EE52EA"/>
    <w:rsid w:val="00EE5402"/>
    <w:rsid w:val="00EE61F6"/>
    <w:rsid w:val="00EE6488"/>
    <w:rsid w:val="00EF04F7"/>
    <w:rsid w:val="00EF118F"/>
    <w:rsid w:val="00EF3075"/>
    <w:rsid w:val="00F0005E"/>
    <w:rsid w:val="00F021FA"/>
    <w:rsid w:val="00F02D12"/>
    <w:rsid w:val="00F044E8"/>
    <w:rsid w:val="00F07005"/>
    <w:rsid w:val="00F0761F"/>
    <w:rsid w:val="00F10C2C"/>
    <w:rsid w:val="00F1278A"/>
    <w:rsid w:val="00F16953"/>
    <w:rsid w:val="00F20304"/>
    <w:rsid w:val="00F20471"/>
    <w:rsid w:val="00F24D7E"/>
    <w:rsid w:val="00F3368B"/>
    <w:rsid w:val="00F34BBE"/>
    <w:rsid w:val="00F34E51"/>
    <w:rsid w:val="00F3761A"/>
    <w:rsid w:val="00F40DA2"/>
    <w:rsid w:val="00F40F82"/>
    <w:rsid w:val="00F438B0"/>
    <w:rsid w:val="00F4561D"/>
    <w:rsid w:val="00F45644"/>
    <w:rsid w:val="00F57EB5"/>
    <w:rsid w:val="00F61A41"/>
    <w:rsid w:val="00F62E97"/>
    <w:rsid w:val="00F639A0"/>
    <w:rsid w:val="00F64209"/>
    <w:rsid w:val="00F64D8F"/>
    <w:rsid w:val="00F71C18"/>
    <w:rsid w:val="00F71C2C"/>
    <w:rsid w:val="00F7269D"/>
    <w:rsid w:val="00F7342B"/>
    <w:rsid w:val="00F7430B"/>
    <w:rsid w:val="00F75D84"/>
    <w:rsid w:val="00F76AE1"/>
    <w:rsid w:val="00F76D18"/>
    <w:rsid w:val="00F77635"/>
    <w:rsid w:val="00F80D87"/>
    <w:rsid w:val="00F825C6"/>
    <w:rsid w:val="00F8670D"/>
    <w:rsid w:val="00F92DB1"/>
    <w:rsid w:val="00F93BF5"/>
    <w:rsid w:val="00F94EF7"/>
    <w:rsid w:val="00F95EFD"/>
    <w:rsid w:val="00F96BF8"/>
    <w:rsid w:val="00FA3C78"/>
    <w:rsid w:val="00FA4460"/>
    <w:rsid w:val="00FA697C"/>
    <w:rsid w:val="00FB4444"/>
    <w:rsid w:val="00FC1DCF"/>
    <w:rsid w:val="00FC2BE2"/>
    <w:rsid w:val="00FC4B17"/>
    <w:rsid w:val="00FC4C2C"/>
    <w:rsid w:val="00FC7CCB"/>
    <w:rsid w:val="00FD0847"/>
    <w:rsid w:val="00FD18EB"/>
    <w:rsid w:val="00FD376D"/>
    <w:rsid w:val="00FE0472"/>
    <w:rsid w:val="00FE238A"/>
    <w:rsid w:val="00FE2FC7"/>
    <w:rsid w:val="00FF3141"/>
    <w:rsid w:val="00FF416D"/>
    <w:rsid w:val="00FF4C80"/>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53A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DB"/>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
    <w:basedOn w:val="Normal"/>
    <w:next w:val="ParaNum"/>
    <w:link w:val="Heading1Char"/>
    <w:qFormat/>
    <w:rsid w:val="000302D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1"/>
    <w:autoRedefine/>
    <w:qFormat/>
    <w:rsid w:val="000302DB"/>
    <w:pPr>
      <w:keepNext/>
      <w:numPr>
        <w:ilvl w:val="1"/>
        <w:numId w:val="2"/>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
    <w:basedOn w:val="Normal"/>
    <w:next w:val="ParaNum"/>
    <w:link w:val="Heading3Char"/>
    <w:qFormat/>
    <w:rsid w:val="000302DB"/>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0302DB"/>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302DB"/>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302DB"/>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02DB"/>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302D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302D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02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02DB"/>
  </w:style>
  <w:style w:type="paragraph" w:customStyle="1" w:styleId="ParaNum">
    <w:name w:val="ParaNum"/>
    <w:basedOn w:val="Normal"/>
    <w:link w:val="ParaNumChar"/>
    <w:rsid w:val="000302DB"/>
    <w:pPr>
      <w:numPr>
        <w:numId w:val="1"/>
      </w:numPr>
      <w:tabs>
        <w:tab w:val="clear" w:pos="1080"/>
        <w:tab w:val="num" w:pos="1440"/>
      </w:tabs>
      <w:spacing w:after="120"/>
    </w:pPr>
  </w:style>
  <w:style w:type="paragraph" w:styleId="EndnoteText">
    <w:name w:val="endnote text"/>
    <w:basedOn w:val="Normal"/>
    <w:link w:val="EndnoteTextChar"/>
    <w:rsid w:val="000302DB"/>
    <w:rPr>
      <w:sz w:val="20"/>
    </w:rPr>
  </w:style>
  <w:style w:type="character" w:styleId="EndnoteReference">
    <w:name w:val="endnote reference"/>
    <w:rsid w:val="000302DB"/>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link w:val="FootnoteTextChar"/>
    <w:rsid w:val="000302DB"/>
    <w:pPr>
      <w:spacing w:after="120"/>
    </w:pPr>
  </w:style>
  <w:style w:type="character" w:styleId="FootnoteReference">
    <w:name w:val="footnote reference"/>
    <w:aliases w:val="Style 124,Appel note de bas de p,Style 12,(NECG) Footnote Reference,o,fr,Style 3,Style 17,FR,Style 13,Footnote Reference/,Style 6,Style 4,Style 7"/>
    <w:rsid w:val="000302DB"/>
    <w:rPr>
      <w:rFonts w:ascii="Times New Roman" w:hAnsi="Times New Roman"/>
      <w:dstrike w:val="0"/>
      <w:color w:val="auto"/>
      <w:sz w:val="20"/>
      <w:vertAlign w:val="superscript"/>
    </w:rPr>
  </w:style>
  <w:style w:type="paragraph" w:styleId="TOC1">
    <w:name w:val="toc 1"/>
    <w:basedOn w:val="Normal"/>
    <w:next w:val="Normal"/>
    <w:rsid w:val="000302DB"/>
    <w:pPr>
      <w:tabs>
        <w:tab w:val="left" w:pos="360"/>
        <w:tab w:val="right" w:leader="dot" w:pos="9360"/>
      </w:tabs>
      <w:suppressAutoHyphens/>
      <w:ind w:left="360" w:right="720" w:hanging="360"/>
    </w:pPr>
    <w:rPr>
      <w:caps/>
      <w:noProof/>
    </w:rPr>
  </w:style>
  <w:style w:type="paragraph" w:styleId="TOC2">
    <w:name w:val="toc 2"/>
    <w:basedOn w:val="Normal"/>
    <w:next w:val="Normal"/>
    <w:rsid w:val="000302DB"/>
    <w:pPr>
      <w:tabs>
        <w:tab w:val="left" w:pos="720"/>
        <w:tab w:val="right" w:leader="dot" w:pos="9360"/>
      </w:tabs>
      <w:suppressAutoHyphens/>
      <w:ind w:left="720" w:right="720" w:hanging="360"/>
    </w:pPr>
    <w:rPr>
      <w:noProof/>
    </w:rPr>
  </w:style>
  <w:style w:type="paragraph" w:styleId="TOC3">
    <w:name w:val="toc 3"/>
    <w:basedOn w:val="Normal"/>
    <w:next w:val="Normal"/>
    <w:rsid w:val="000302D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302D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302D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302DB"/>
    <w:pPr>
      <w:tabs>
        <w:tab w:val="left" w:pos="2160"/>
        <w:tab w:val="right" w:leader="dot" w:pos="9360"/>
      </w:tabs>
      <w:suppressAutoHyphens/>
      <w:ind w:left="2160" w:hanging="360"/>
    </w:pPr>
    <w:rPr>
      <w:noProof/>
    </w:rPr>
  </w:style>
  <w:style w:type="paragraph" w:styleId="TOC7">
    <w:name w:val="toc 7"/>
    <w:basedOn w:val="Normal"/>
    <w:next w:val="Normal"/>
    <w:autoRedefine/>
    <w:rsid w:val="000302DB"/>
    <w:pPr>
      <w:tabs>
        <w:tab w:val="left" w:pos="2520"/>
        <w:tab w:val="right" w:leader="dot" w:pos="9360"/>
      </w:tabs>
      <w:suppressAutoHyphens/>
      <w:ind w:left="2520" w:hanging="360"/>
    </w:pPr>
    <w:rPr>
      <w:noProof/>
    </w:rPr>
  </w:style>
  <w:style w:type="paragraph" w:styleId="TOC8">
    <w:name w:val="toc 8"/>
    <w:basedOn w:val="Normal"/>
    <w:next w:val="Normal"/>
    <w:autoRedefine/>
    <w:rsid w:val="000302DB"/>
    <w:pPr>
      <w:tabs>
        <w:tab w:val="left" w:pos="2880"/>
        <w:tab w:val="right" w:leader="dot" w:pos="9360"/>
      </w:tabs>
      <w:suppressAutoHyphens/>
      <w:ind w:left="2880" w:hanging="360"/>
    </w:pPr>
    <w:rPr>
      <w:noProof/>
    </w:rPr>
  </w:style>
  <w:style w:type="paragraph" w:styleId="TOC9">
    <w:name w:val="toc 9"/>
    <w:basedOn w:val="Normal"/>
    <w:next w:val="Normal"/>
    <w:autoRedefine/>
    <w:rsid w:val="000302DB"/>
    <w:pPr>
      <w:tabs>
        <w:tab w:val="left" w:pos="3240"/>
        <w:tab w:val="right" w:leader="dot" w:pos="9360"/>
      </w:tabs>
      <w:suppressAutoHyphens/>
      <w:ind w:left="3240" w:hanging="360"/>
    </w:pPr>
    <w:rPr>
      <w:noProof/>
    </w:rPr>
  </w:style>
  <w:style w:type="paragraph" w:styleId="TOAHeading">
    <w:name w:val="toa heading"/>
    <w:basedOn w:val="Normal"/>
    <w:next w:val="Normal"/>
    <w:rsid w:val="000302DB"/>
    <w:pPr>
      <w:tabs>
        <w:tab w:val="right" w:pos="9360"/>
      </w:tabs>
      <w:suppressAutoHyphens/>
    </w:pPr>
  </w:style>
  <w:style w:type="character" w:customStyle="1" w:styleId="EquationCaption">
    <w:name w:val="_Equation Caption"/>
    <w:rsid w:val="000302DB"/>
  </w:style>
  <w:style w:type="paragraph" w:styleId="Header">
    <w:name w:val="header"/>
    <w:basedOn w:val="Normal"/>
    <w:autoRedefine/>
    <w:rsid w:val="000302DB"/>
    <w:pPr>
      <w:tabs>
        <w:tab w:val="center" w:pos="4680"/>
        <w:tab w:val="right" w:pos="9360"/>
      </w:tabs>
    </w:pPr>
    <w:rPr>
      <w:b/>
    </w:rPr>
  </w:style>
  <w:style w:type="paragraph" w:styleId="Footer">
    <w:name w:val="footer"/>
    <w:basedOn w:val="Normal"/>
    <w:link w:val="FooterChar"/>
    <w:rsid w:val="000302DB"/>
    <w:pPr>
      <w:tabs>
        <w:tab w:val="center" w:pos="4320"/>
        <w:tab w:val="right" w:pos="8640"/>
      </w:tabs>
    </w:pPr>
  </w:style>
  <w:style w:type="character" w:styleId="PageNumber">
    <w:name w:val="page number"/>
    <w:basedOn w:val="DefaultParagraphFont"/>
    <w:rsid w:val="000302DB"/>
  </w:style>
  <w:style w:type="paragraph" w:styleId="BlockText">
    <w:name w:val="Block Text"/>
    <w:basedOn w:val="Normal"/>
    <w:rsid w:val="000302DB"/>
    <w:pPr>
      <w:spacing w:after="240"/>
      <w:ind w:left="1440" w:right="1440"/>
    </w:pPr>
  </w:style>
  <w:style w:type="paragraph" w:customStyle="1" w:styleId="Paratitle">
    <w:name w:val="Para title"/>
    <w:basedOn w:val="Normal"/>
    <w:rsid w:val="000302DB"/>
    <w:pPr>
      <w:tabs>
        <w:tab w:val="center" w:pos="9270"/>
      </w:tabs>
      <w:spacing w:after="240"/>
    </w:pPr>
    <w:rPr>
      <w:spacing w:val="-2"/>
    </w:rPr>
  </w:style>
  <w:style w:type="paragraph" w:customStyle="1" w:styleId="Bullet">
    <w:name w:val="Bullet"/>
    <w:basedOn w:val="Normal"/>
    <w:rsid w:val="000302DB"/>
    <w:pPr>
      <w:tabs>
        <w:tab w:val="left" w:pos="2160"/>
      </w:tabs>
      <w:spacing w:after="220"/>
      <w:ind w:left="2160" w:hanging="720"/>
    </w:pPr>
  </w:style>
  <w:style w:type="paragraph" w:customStyle="1" w:styleId="TableFormat">
    <w:name w:val="TableFormat"/>
    <w:basedOn w:val="Bullet"/>
    <w:rsid w:val="000302DB"/>
    <w:pPr>
      <w:tabs>
        <w:tab w:val="clear" w:pos="2160"/>
        <w:tab w:val="left" w:pos="5040"/>
      </w:tabs>
      <w:ind w:left="5040" w:hanging="3600"/>
    </w:pPr>
  </w:style>
  <w:style w:type="paragraph" w:customStyle="1" w:styleId="TOCTitle">
    <w:name w:val="TOC Title"/>
    <w:basedOn w:val="Normal"/>
    <w:rsid w:val="000302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02DB"/>
    <w:pPr>
      <w:jc w:val="center"/>
    </w:pPr>
    <w:rPr>
      <w:rFonts w:ascii="Times New Roman Bold" w:hAnsi="Times New Roman Bold"/>
      <w:b/>
      <w:bCs/>
      <w:caps/>
      <w:szCs w:val="22"/>
    </w:rPr>
  </w:style>
  <w:style w:type="character" w:styleId="Hyperlink">
    <w:name w:val="Hyperlink"/>
    <w:rsid w:val="000302DB"/>
    <w:rPr>
      <w:color w:val="0000FF"/>
      <w:u w:val="single"/>
    </w:rPr>
  </w:style>
  <w:style w:type="paragraph" w:styleId="BalloonText">
    <w:name w:val="Balloon Text"/>
    <w:basedOn w:val="Normal"/>
    <w:link w:val="BalloonTextChar"/>
    <w:rsid w:val="003730FA"/>
    <w:rPr>
      <w:rFonts w:ascii="Tahoma" w:hAnsi="Tahoma" w:cs="Tahoma"/>
      <w:snapToGrid/>
      <w:sz w:val="16"/>
      <w:szCs w:val="16"/>
    </w:rPr>
  </w:style>
  <w:style w:type="character" w:customStyle="1" w:styleId="BalloonTextChar">
    <w:name w:val="Balloon Text Char"/>
    <w:basedOn w:val="DefaultParagraphFont"/>
    <w:link w:val="BalloonText"/>
    <w:rsid w:val="003730FA"/>
    <w:rPr>
      <w:rFonts w:ascii="Tahoma" w:hAnsi="Tahoma" w:cs="Tahoma"/>
      <w:snapToGrid w:val="0"/>
      <w:kern w:val="28"/>
      <w:sz w:val="16"/>
      <w:szCs w:val="16"/>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6873A6"/>
  </w:style>
  <w:style w:type="character" w:styleId="CommentReference">
    <w:name w:val="annotation reference"/>
    <w:basedOn w:val="DefaultParagraphFont"/>
    <w:uiPriority w:val="99"/>
    <w:unhideWhenUsed/>
    <w:rsid w:val="00B4716E"/>
    <w:rPr>
      <w:sz w:val="16"/>
      <w:szCs w:val="16"/>
    </w:rPr>
  </w:style>
  <w:style w:type="paragraph" w:styleId="CommentText">
    <w:name w:val="annotation text"/>
    <w:basedOn w:val="Normal"/>
    <w:link w:val="CommentTextChar"/>
    <w:uiPriority w:val="99"/>
    <w:unhideWhenUsed/>
    <w:rsid w:val="00B4716E"/>
    <w:rPr>
      <w:sz w:val="20"/>
    </w:rPr>
  </w:style>
  <w:style w:type="character" w:customStyle="1" w:styleId="CommentTextChar">
    <w:name w:val="Comment Text Char"/>
    <w:basedOn w:val="DefaultParagraphFont"/>
    <w:link w:val="CommentText"/>
    <w:uiPriority w:val="99"/>
    <w:rsid w:val="00B4716E"/>
  </w:style>
  <w:style w:type="paragraph" w:styleId="CommentSubject">
    <w:name w:val="annotation subject"/>
    <w:basedOn w:val="CommentText"/>
    <w:next w:val="CommentText"/>
    <w:link w:val="CommentSubjectChar"/>
    <w:rsid w:val="0003112B"/>
    <w:rPr>
      <w:b/>
      <w:bCs/>
      <w:snapToGrid/>
    </w:rPr>
  </w:style>
  <w:style w:type="character" w:customStyle="1" w:styleId="CommentSubjectChar">
    <w:name w:val="Comment Subject Char"/>
    <w:basedOn w:val="CommentTextChar"/>
    <w:link w:val="CommentSubject"/>
    <w:rsid w:val="0003112B"/>
    <w:rPr>
      <w:b/>
      <w:bCs/>
      <w:snapToGrid w:val="0"/>
      <w:kern w:val="28"/>
    </w:rPr>
  </w:style>
  <w:style w:type="paragraph" w:styleId="Revision">
    <w:name w:val="Revision"/>
    <w:hidden/>
    <w:uiPriority w:val="71"/>
    <w:semiHidden/>
    <w:rsid w:val="009145C8"/>
    <w:rPr>
      <w:sz w:val="22"/>
    </w:rPr>
  </w:style>
  <w:style w:type="character" w:styleId="Emphasis">
    <w:name w:val="Emphasis"/>
    <w:basedOn w:val="DefaultParagraphFont"/>
    <w:qFormat/>
    <w:rsid w:val="007E51D3"/>
    <w:rPr>
      <w:i/>
      <w:iCs/>
    </w:rPr>
  </w:style>
  <w:style w:type="character" w:customStyle="1" w:styleId="apple-converted-space">
    <w:name w:val="apple-converted-space"/>
    <w:basedOn w:val="DefaultParagraphFont"/>
    <w:rsid w:val="00E70343"/>
  </w:style>
  <w:style w:type="paragraph" w:styleId="TOCHeading">
    <w:name w:val="TOC Heading"/>
    <w:basedOn w:val="Heading1"/>
    <w:next w:val="Normal"/>
    <w:uiPriority w:val="39"/>
    <w:unhideWhenUsed/>
    <w:qFormat/>
    <w:rsid w:val="00C90867"/>
    <w:pPr>
      <w:keepLines/>
      <w:widowControl/>
      <w:numPr>
        <w:numId w:val="0"/>
      </w:numPr>
      <w:tabs>
        <w:tab w:val="left" w:pos="720"/>
      </w:tabs>
      <w:suppressAutoHyphens w:val="0"/>
      <w:spacing w:before="480" w:after="0"/>
      <w:outlineLvl w:val="9"/>
    </w:pPr>
    <w:rPr>
      <w:rFonts w:asciiTheme="majorHAnsi" w:eastAsiaTheme="majorEastAsia" w:hAnsiTheme="majorHAnsi" w:cstheme="majorBidi"/>
      <w:bCs/>
      <w:caps w:val="0"/>
      <w:snapToGrid/>
      <w:color w:val="365F91" w:themeColor="accent1" w:themeShade="BF"/>
      <w:kern w:val="0"/>
      <w:sz w:val="28"/>
      <w:szCs w:val="28"/>
    </w:rPr>
  </w:style>
  <w:style w:type="numbering" w:customStyle="1" w:styleId="NoList1">
    <w:name w:val="No List1"/>
    <w:next w:val="NoList"/>
    <w:uiPriority w:val="99"/>
    <w:semiHidden/>
    <w:unhideWhenUsed/>
    <w:rsid w:val="00C90867"/>
  </w:style>
  <w:style w:type="character" w:customStyle="1" w:styleId="ParaNumChar">
    <w:name w:val="ParaNum Char"/>
    <w:link w:val="ParaNum"/>
    <w:rsid w:val="005B4C0E"/>
    <w:rPr>
      <w:snapToGrid w:val="0"/>
      <w:kern w:val="28"/>
      <w:sz w:val="22"/>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
    <w:link w:val="Heading1"/>
    <w:rsid w:val="005B4C0E"/>
    <w:rPr>
      <w:rFonts w:ascii="Times New Roman Bold" w:hAnsi="Times New Roman Bold"/>
      <w:b/>
      <w:caps/>
      <w:snapToGrid w:val="0"/>
      <w:kern w:val="28"/>
      <w:sz w:val="22"/>
    </w:rPr>
  </w:style>
  <w:style w:type="character" w:customStyle="1" w:styleId="Heading2Char">
    <w:name w:val="Heading 2 Char"/>
    <w:rsid w:val="00C90867"/>
    <w:rPr>
      <w:b/>
      <w:snapToGrid w:val="0"/>
      <w:kern w:val="28"/>
      <w:sz w:val="24"/>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
    <w:link w:val="Heading3"/>
    <w:rsid w:val="00C90867"/>
    <w:rPr>
      <w:b/>
      <w:snapToGrid w:val="0"/>
      <w:kern w:val="28"/>
      <w:sz w:val="22"/>
    </w:rPr>
  </w:style>
  <w:style w:type="character" w:customStyle="1" w:styleId="Heading4Char">
    <w:name w:val="Heading 4 Char"/>
    <w:link w:val="Heading4"/>
    <w:rsid w:val="00C90867"/>
    <w:rPr>
      <w:b/>
      <w:snapToGrid w:val="0"/>
      <w:kern w:val="28"/>
      <w:sz w:val="22"/>
    </w:rPr>
  </w:style>
  <w:style w:type="character" w:customStyle="1" w:styleId="Heading5Char">
    <w:name w:val="Heading 5 Char"/>
    <w:link w:val="Heading5"/>
    <w:rsid w:val="00C90867"/>
    <w:rPr>
      <w:b/>
      <w:snapToGrid w:val="0"/>
      <w:kern w:val="28"/>
      <w:sz w:val="22"/>
    </w:rPr>
  </w:style>
  <w:style w:type="character" w:customStyle="1" w:styleId="Heading6Char">
    <w:name w:val="Heading 6 Char"/>
    <w:link w:val="Heading6"/>
    <w:rsid w:val="00C90867"/>
    <w:rPr>
      <w:b/>
      <w:snapToGrid w:val="0"/>
      <w:kern w:val="28"/>
      <w:sz w:val="22"/>
    </w:rPr>
  </w:style>
  <w:style w:type="character" w:customStyle="1" w:styleId="Heading7Char">
    <w:name w:val="Heading 7 Char"/>
    <w:link w:val="Heading7"/>
    <w:rsid w:val="00C90867"/>
    <w:rPr>
      <w:b/>
      <w:snapToGrid w:val="0"/>
      <w:kern w:val="28"/>
      <w:sz w:val="22"/>
    </w:rPr>
  </w:style>
  <w:style w:type="character" w:customStyle="1" w:styleId="Heading8Char">
    <w:name w:val="Heading 8 Char"/>
    <w:link w:val="Heading8"/>
    <w:rsid w:val="00C90867"/>
    <w:rPr>
      <w:b/>
      <w:snapToGrid w:val="0"/>
      <w:kern w:val="28"/>
      <w:sz w:val="22"/>
    </w:rPr>
  </w:style>
  <w:style w:type="character" w:customStyle="1" w:styleId="Heading9Char">
    <w:name w:val="Heading 9 Char"/>
    <w:link w:val="Heading9"/>
    <w:rsid w:val="00C90867"/>
    <w:rPr>
      <w:b/>
      <w:snapToGrid w:val="0"/>
      <w:kern w:val="28"/>
      <w:sz w:val="22"/>
    </w:rPr>
  </w:style>
  <w:style w:type="paragraph" w:customStyle="1" w:styleId="FreeForm">
    <w:name w:val="Free Form"/>
    <w:rsid w:val="00C90867"/>
    <w:rPr>
      <w:rFonts w:eastAsia="ヒラギノ角ゴ Pro W3"/>
      <w:color w:val="000000"/>
    </w:rPr>
  </w:style>
  <w:style w:type="paragraph" w:customStyle="1" w:styleId="Default">
    <w:name w:val="Default"/>
    <w:autoRedefine/>
    <w:rsid w:val="00C90867"/>
    <w:pPr>
      <w:widowControl w:val="0"/>
    </w:pPr>
    <w:rPr>
      <w:rFonts w:eastAsia="ヒラギノ角ゴ Pro W3"/>
      <w:color w:val="000000"/>
      <w:sz w:val="24"/>
    </w:rPr>
  </w:style>
  <w:style w:type="paragraph" w:customStyle="1" w:styleId="Heading1A">
    <w:name w:val="Heading 1 A"/>
    <w:next w:val="Normal"/>
    <w:autoRedefine/>
    <w:rsid w:val="00C90867"/>
    <w:pPr>
      <w:keepNext/>
      <w:spacing w:before="240" w:after="60"/>
      <w:outlineLvl w:val="0"/>
    </w:pPr>
    <w:rPr>
      <w:rFonts w:ascii="Arial" w:eastAsia="ヒラギノ角ゴ Pro W3" w:hAnsi="Arial"/>
      <w:b/>
      <w:color w:val="000000"/>
      <w:kern w:val="32"/>
      <w:sz w:val="32"/>
    </w:rPr>
  </w:style>
  <w:style w:type="character" w:customStyle="1" w:styleId="EndnoteTextChar">
    <w:name w:val="Endnote Text Char"/>
    <w:link w:val="EndnoteText"/>
    <w:rsid w:val="00C90867"/>
    <w:rPr>
      <w:snapToGrid w:val="0"/>
      <w:kern w:val="28"/>
    </w:rPr>
  </w:style>
  <w:style w:type="paragraph" w:customStyle="1" w:styleId="StyleParaNum">
    <w:name w:val="Style ParaNum"/>
    <w:basedOn w:val="ParaNum"/>
    <w:link w:val="StyleParaNumChar"/>
    <w:autoRedefine/>
    <w:rsid w:val="00C90867"/>
    <w:pPr>
      <w:tabs>
        <w:tab w:val="num" w:pos="810"/>
        <w:tab w:val="left" w:pos="1440"/>
      </w:tabs>
      <w:spacing w:after="220"/>
      <w:ind w:left="-270"/>
      <w:jc w:val="both"/>
    </w:pPr>
    <w:rPr>
      <w:rFonts w:eastAsia="Batang"/>
      <w:snapToGrid/>
      <w:kern w:val="0"/>
      <w:lang w:eastAsia="ja-JP"/>
    </w:rPr>
  </w:style>
  <w:style w:type="character" w:customStyle="1" w:styleId="StyleParaNumChar">
    <w:name w:val="Style ParaNum Char"/>
    <w:link w:val="StyleParaNum"/>
    <w:rsid w:val="00C90867"/>
    <w:rPr>
      <w:rFonts w:eastAsia="Batang"/>
      <w:sz w:val="22"/>
      <w:lang w:eastAsia="ja-JP"/>
    </w:rPr>
  </w:style>
  <w:style w:type="paragraph" w:styleId="Caption">
    <w:name w:val="caption"/>
    <w:basedOn w:val="Normal"/>
    <w:next w:val="Normal"/>
    <w:uiPriority w:val="35"/>
    <w:qFormat/>
    <w:rsid w:val="00C90867"/>
    <w:pPr>
      <w:spacing w:before="120" w:after="120"/>
    </w:pPr>
    <w:rPr>
      <w:b/>
      <w:lang w:eastAsia="ja-JP"/>
    </w:rPr>
  </w:style>
  <w:style w:type="character" w:customStyle="1" w:styleId="FootnoteCharacters">
    <w:name w:val="Footnote Characters"/>
    <w:rsid w:val="00C90867"/>
    <w:rPr>
      <w:vertAlign w:val="superscript"/>
    </w:rPr>
  </w:style>
  <w:style w:type="character" w:customStyle="1" w:styleId="a">
    <w:name w:val="脚注番号"/>
    <w:rsid w:val="00C90867"/>
    <w:rPr>
      <w:vertAlign w:val="superscript"/>
    </w:rPr>
  </w:style>
  <w:style w:type="paragraph" w:customStyle="1" w:styleId="header2">
    <w:name w:val="header2"/>
    <w:rsid w:val="00C90867"/>
    <w:pPr>
      <w:widowControl w:val="0"/>
      <w:tabs>
        <w:tab w:val="left" w:pos="1440"/>
        <w:tab w:val="center" w:pos="4320"/>
        <w:tab w:val="right" w:pos="8640"/>
      </w:tabs>
      <w:suppressAutoHyphens/>
      <w:jc w:val="center"/>
    </w:pPr>
    <w:rPr>
      <w:b/>
      <w:snapToGrid w:val="0"/>
      <w:sz w:val="24"/>
    </w:rPr>
  </w:style>
  <w:style w:type="paragraph" w:customStyle="1" w:styleId="ParaNumChar1Char">
    <w:name w:val="ParaNum Char1 Char"/>
    <w:basedOn w:val="Normal"/>
    <w:link w:val="ParaNumChar1CharChar"/>
    <w:rsid w:val="00C90867"/>
    <w:pPr>
      <w:tabs>
        <w:tab w:val="num" w:pos="1080"/>
        <w:tab w:val="left" w:pos="1440"/>
      </w:tabs>
      <w:spacing w:after="220"/>
      <w:ind w:firstLine="720"/>
    </w:pPr>
  </w:style>
  <w:style w:type="character" w:customStyle="1" w:styleId="ParaNumChar1CharChar">
    <w:name w:val="ParaNum Char1 Char Char"/>
    <w:link w:val="ParaNumChar1Char"/>
    <w:rsid w:val="00C90867"/>
    <w:rPr>
      <w:sz w:val="22"/>
    </w:rPr>
  </w:style>
  <w:style w:type="paragraph" w:customStyle="1" w:styleId="Statement">
    <w:name w:val="Statement"/>
    <w:basedOn w:val="Normal"/>
    <w:rsid w:val="00C90867"/>
    <w:pPr>
      <w:spacing w:before="120" w:line="360" w:lineRule="auto"/>
      <w:ind w:firstLine="630"/>
      <w:jc w:val="both"/>
    </w:pPr>
    <w:rPr>
      <w:sz w:val="24"/>
      <w:szCs w:val="24"/>
      <w:lang w:bidi="en-U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sid w:val="00C90867"/>
    <w:rPr>
      <w:sz w:val="24"/>
      <w:lang w:val="en-US" w:eastAsia="en-US" w:bidi="ar-SA"/>
    </w:rPr>
  </w:style>
  <w:style w:type="paragraph" w:customStyle="1" w:styleId="TableText">
    <w:name w:val="Table Text"/>
    <w:basedOn w:val="Normal"/>
    <w:rsid w:val="00C90867"/>
    <w:pPr>
      <w:spacing w:before="60" w:after="60"/>
    </w:pPr>
    <w:rPr>
      <w:sz w:val="24"/>
    </w:rPr>
  </w:style>
  <w:style w:type="character" w:styleId="FollowedHyperlink">
    <w:name w:val="FollowedHyperlink"/>
    <w:basedOn w:val="DefaultParagraphFont"/>
    <w:uiPriority w:val="99"/>
    <w:rsid w:val="00C90867"/>
    <w:rPr>
      <w:color w:val="800080" w:themeColor="followedHyperlink"/>
      <w:u w:val="single"/>
    </w:rPr>
  </w:style>
  <w:style w:type="table" w:styleId="TableGrid">
    <w:name w:val="Table Grid"/>
    <w:basedOn w:val="TableNormal"/>
    <w:uiPriority w:val="59"/>
    <w:rsid w:val="00C90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867"/>
    <w:pPr>
      <w:ind w:left="720"/>
      <w:contextualSpacing/>
    </w:pPr>
    <w:rPr>
      <w:rFonts w:eastAsia="ヒラギノ角ゴ Pro W3"/>
      <w:color w:val="000000"/>
      <w:sz w:val="24"/>
      <w:szCs w:val="24"/>
    </w:rPr>
  </w:style>
  <w:style w:type="character" w:customStyle="1" w:styleId="Heading2Char1">
    <w:name w:val="Heading 2 Char1"/>
    <w:aliases w:val="Heading 2 Char4 Char,Heading 2 Char1 Char Char,Heading 2 Char Char Char Char,Heading 2 Char1 Char Char Char Char,Heading 2 Char Char Char Char Char Char,Heading 2 Char2 Char Char Char Char Char Char,Heading 2 Ch Char"/>
    <w:basedOn w:val="DefaultParagraphFont"/>
    <w:link w:val="Heading2"/>
    <w:rsid w:val="00D50682"/>
    <w:rPr>
      <w:b/>
      <w:snapToGrid w:val="0"/>
      <w:kern w:val="28"/>
      <w:sz w:val="22"/>
    </w:rPr>
  </w:style>
  <w:style w:type="numbering" w:customStyle="1" w:styleId="NoList2">
    <w:name w:val="No List2"/>
    <w:next w:val="NoList"/>
    <w:uiPriority w:val="99"/>
    <w:semiHidden/>
    <w:unhideWhenUsed/>
    <w:rsid w:val="008F2405"/>
  </w:style>
  <w:style w:type="character" w:customStyle="1" w:styleId="FooterChar">
    <w:name w:val="Footer Char"/>
    <w:basedOn w:val="DefaultParagraphFont"/>
    <w:link w:val="Footer"/>
    <w:rsid w:val="008F2405"/>
    <w:rPr>
      <w:snapToGrid w:val="0"/>
      <w:kern w:val="28"/>
      <w:sz w:val="22"/>
    </w:rPr>
  </w:style>
  <w:style w:type="paragraph" w:customStyle="1" w:styleId="NumberedList">
    <w:name w:val="Numbered List"/>
    <w:basedOn w:val="Normal"/>
    <w:rsid w:val="008F2405"/>
    <w:pPr>
      <w:numPr>
        <w:numId w:val="8"/>
      </w:numPr>
      <w:tabs>
        <w:tab w:val="clear" w:pos="1080"/>
      </w:tabs>
      <w:spacing w:after="220"/>
      <w:ind w:firstLine="0"/>
    </w:pPr>
    <w:rPr>
      <w:snapToGrid/>
    </w:rPr>
  </w:style>
  <w:style w:type="paragraph" w:customStyle="1" w:styleId="Paranum0">
    <w:name w:val="Paranum"/>
    <w:basedOn w:val="Normal"/>
    <w:rsid w:val="008F2405"/>
    <w:pPr>
      <w:spacing w:after="220"/>
      <w:ind w:firstLine="720"/>
      <w:jc w:val="both"/>
    </w:pPr>
    <w:rPr>
      <w:snapToGrid/>
    </w:rPr>
  </w:style>
  <w:style w:type="paragraph" w:customStyle="1" w:styleId="TableFormat0">
    <w:name w:val="Table Format"/>
    <w:basedOn w:val="Normal"/>
    <w:rsid w:val="008F2405"/>
    <w:pPr>
      <w:tabs>
        <w:tab w:val="left" w:pos="5040"/>
      </w:tabs>
      <w:spacing w:after="220"/>
      <w:ind w:left="5040" w:hanging="3600"/>
      <w:jc w:val="both"/>
    </w:pPr>
    <w:rPr>
      <w:snapToGrid/>
    </w:rPr>
  </w:style>
  <w:style w:type="paragraph" w:styleId="NormalWeb">
    <w:name w:val="Normal (Web)"/>
    <w:basedOn w:val="Normal"/>
    <w:uiPriority w:val="99"/>
    <w:rsid w:val="008F2405"/>
    <w:pPr>
      <w:spacing w:before="100" w:beforeAutospacing="1" w:after="100" w:afterAutospacing="1"/>
    </w:pPr>
    <w:rPr>
      <w:snapToGrid/>
      <w:sz w:val="24"/>
      <w:szCs w:val="24"/>
    </w:rPr>
  </w:style>
  <w:style w:type="paragraph" w:customStyle="1" w:styleId="MediumGrid1-Accent21">
    <w:name w:val="Medium Grid 1 - Accent 21"/>
    <w:basedOn w:val="Normal"/>
    <w:uiPriority w:val="34"/>
    <w:qFormat/>
    <w:rsid w:val="008F2405"/>
    <w:pPr>
      <w:ind w:left="720"/>
    </w:pPr>
    <w:rPr>
      <w:snapToGrid/>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locked/>
    <w:rsid w:val="008F2405"/>
  </w:style>
  <w:style w:type="character" w:styleId="SubtleEmphasis">
    <w:name w:val="Subtle Emphasis"/>
    <w:basedOn w:val="DefaultParagraphFont"/>
    <w:uiPriority w:val="65"/>
    <w:qFormat/>
    <w:rsid w:val="008F2405"/>
    <w:rPr>
      <w:i/>
      <w:iCs/>
      <w:color w:val="808080" w:themeColor="text1" w:themeTint="7F"/>
    </w:rPr>
  </w:style>
  <w:style w:type="character" w:styleId="PlaceholderText">
    <w:name w:val="Placeholder Text"/>
    <w:basedOn w:val="DefaultParagraphFont"/>
    <w:uiPriority w:val="99"/>
    <w:semiHidden/>
    <w:rsid w:val="001D23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DB"/>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
    <w:basedOn w:val="Normal"/>
    <w:next w:val="ParaNum"/>
    <w:link w:val="Heading1Char"/>
    <w:qFormat/>
    <w:rsid w:val="000302D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1"/>
    <w:autoRedefine/>
    <w:qFormat/>
    <w:rsid w:val="000302DB"/>
    <w:pPr>
      <w:keepNext/>
      <w:numPr>
        <w:ilvl w:val="1"/>
        <w:numId w:val="2"/>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
    <w:basedOn w:val="Normal"/>
    <w:next w:val="ParaNum"/>
    <w:link w:val="Heading3Char"/>
    <w:qFormat/>
    <w:rsid w:val="000302DB"/>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0302DB"/>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302DB"/>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302DB"/>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02DB"/>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302D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302D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02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02DB"/>
  </w:style>
  <w:style w:type="paragraph" w:customStyle="1" w:styleId="ParaNum">
    <w:name w:val="ParaNum"/>
    <w:basedOn w:val="Normal"/>
    <w:link w:val="ParaNumChar"/>
    <w:rsid w:val="000302DB"/>
    <w:pPr>
      <w:numPr>
        <w:numId w:val="1"/>
      </w:numPr>
      <w:tabs>
        <w:tab w:val="clear" w:pos="1080"/>
        <w:tab w:val="num" w:pos="1440"/>
      </w:tabs>
      <w:spacing w:after="120"/>
    </w:pPr>
  </w:style>
  <w:style w:type="paragraph" w:styleId="EndnoteText">
    <w:name w:val="endnote text"/>
    <w:basedOn w:val="Normal"/>
    <w:link w:val="EndnoteTextChar"/>
    <w:rsid w:val="000302DB"/>
    <w:rPr>
      <w:sz w:val="20"/>
    </w:rPr>
  </w:style>
  <w:style w:type="character" w:styleId="EndnoteReference">
    <w:name w:val="endnote reference"/>
    <w:rsid w:val="000302DB"/>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link w:val="FootnoteTextChar"/>
    <w:rsid w:val="000302DB"/>
    <w:pPr>
      <w:spacing w:after="120"/>
    </w:pPr>
  </w:style>
  <w:style w:type="character" w:styleId="FootnoteReference">
    <w:name w:val="footnote reference"/>
    <w:aliases w:val="Style 124,Appel note de bas de p,Style 12,(NECG) Footnote Reference,o,fr,Style 3,Style 17,FR,Style 13,Footnote Reference/,Style 6,Style 4,Style 7"/>
    <w:rsid w:val="000302DB"/>
    <w:rPr>
      <w:rFonts w:ascii="Times New Roman" w:hAnsi="Times New Roman"/>
      <w:dstrike w:val="0"/>
      <w:color w:val="auto"/>
      <w:sz w:val="20"/>
      <w:vertAlign w:val="superscript"/>
    </w:rPr>
  </w:style>
  <w:style w:type="paragraph" w:styleId="TOC1">
    <w:name w:val="toc 1"/>
    <w:basedOn w:val="Normal"/>
    <w:next w:val="Normal"/>
    <w:rsid w:val="000302DB"/>
    <w:pPr>
      <w:tabs>
        <w:tab w:val="left" w:pos="360"/>
        <w:tab w:val="right" w:leader="dot" w:pos="9360"/>
      </w:tabs>
      <w:suppressAutoHyphens/>
      <w:ind w:left="360" w:right="720" w:hanging="360"/>
    </w:pPr>
    <w:rPr>
      <w:caps/>
      <w:noProof/>
    </w:rPr>
  </w:style>
  <w:style w:type="paragraph" w:styleId="TOC2">
    <w:name w:val="toc 2"/>
    <w:basedOn w:val="Normal"/>
    <w:next w:val="Normal"/>
    <w:rsid w:val="000302DB"/>
    <w:pPr>
      <w:tabs>
        <w:tab w:val="left" w:pos="720"/>
        <w:tab w:val="right" w:leader="dot" w:pos="9360"/>
      </w:tabs>
      <w:suppressAutoHyphens/>
      <w:ind w:left="720" w:right="720" w:hanging="360"/>
    </w:pPr>
    <w:rPr>
      <w:noProof/>
    </w:rPr>
  </w:style>
  <w:style w:type="paragraph" w:styleId="TOC3">
    <w:name w:val="toc 3"/>
    <w:basedOn w:val="Normal"/>
    <w:next w:val="Normal"/>
    <w:rsid w:val="000302D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302D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302D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302DB"/>
    <w:pPr>
      <w:tabs>
        <w:tab w:val="left" w:pos="2160"/>
        <w:tab w:val="right" w:leader="dot" w:pos="9360"/>
      </w:tabs>
      <w:suppressAutoHyphens/>
      <w:ind w:left="2160" w:hanging="360"/>
    </w:pPr>
    <w:rPr>
      <w:noProof/>
    </w:rPr>
  </w:style>
  <w:style w:type="paragraph" w:styleId="TOC7">
    <w:name w:val="toc 7"/>
    <w:basedOn w:val="Normal"/>
    <w:next w:val="Normal"/>
    <w:autoRedefine/>
    <w:rsid w:val="000302DB"/>
    <w:pPr>
      <w:tabs>
        <w:tab w:val="left" w:pos="2520"/>
        <w:tab w:val="right" w:leader="dot" w:pos="9360"/>
      </w:tabs>
      <w:suppressAutoHyphens/>
      <w:ind w:left="2520" w:hanging="360"/>
    </w:pPr>
    <w:rPr>
      <w:noProof/>
    </w:rPr>
  </w:style>
  <w:style w:type="paragraph" w:styleId="TOC8">
    <w:name w:val="toc 8"/>
    <w:basedOn w:val="Normal"/>
    <w:next w:val="Normal"/>
    <w:autoRedefine/>
    <w:rsid w:val="000302DB"/>
    <w:pPr>
      <w:tabs>
        <w:tab w:val="left" w:pos="2880"/>
        <w:tab w:val="right" w:leader="dot" w:pos="9360"/>
      </w:tabs>
      <w:suppressAutoHyphens/>
      <w:ind w:left="2880" w:hanging="360"/>
    </w:pPr>
    <w:rPr>
      <w:noProof/>
    </w:rPr>
  </w:style>
  <w:style w:type="paragraph" w:styleId="TOC9">
    <w:name w:val="toc 9"/>
    <w:basedOn w:val="Normal"/>
    <w:next w:val="Normal"/>
    <w:autoRedefine/>
    <w:rsid w:val="000302DB"/>
    <w:pPr>
      <w:tabs>
        <w:tab w:val="left" w:pos="3240"/>
        <w:tab w:val="right" w:leader="dot" w:pos="9360"/>
      </w:tabs>
      <w:suppressAutoHyphens/>
      <w:ind w:left="3240" w:hanging="360"/>
    </w:pPr>
    <w:rPr>
      <w:noProof/>
    </w:rPr>
  </w:style>
  <w:style w:type="paragraph" w:styleId="TOAHeading">
    <w:name w:val="toa heading"/>
    <w:basedOn w:val="Normal"/>
    <w:next w:val="Normal"/>
    <w:rsid w:val="000302DB"/>
    <w:pPr>
      <w:tabs>
        <w:tab w:val="right" w:pos="9360"/>
      </w:tabs>
      <w:suppressAutoHyphens/>
    </w:pPr>
  </w:style>
  <w:style w:type="character" w:customStyle="1" w:styleId="EquationCaption">
    <w:name w:val="_Equation Caption"/>
    <w:rsid w:val="000302DB"/>
  </w:style>
  <w:style w:type="paragraph" w:styleId="Header">
    <w:name w:val="header"/>
    <w:basedOn w:val="Normal"/>
    <w:autoRedefine/>
    <w:rsid w:val="000302DB"/>
    <w:pPr>
      <w:tabs>
        <w:tab w:val="center" w:pos="4680"/>
        <w:tab w:val="right" w:pos="9360"/>
      </w:tabs>
    </w:pPr>
    <w:rPr>
      <w:b/>
    </w:rPr>
  </w:style>
  <w:style w:type="paragraph" w:styleId="Footer">
    <w:name w:val="footer"/>
    <w:basedOn w:val="Normal"/>
    <w:link w:val="FooterChar"/>
    <w:rsid w:val="000302DB"/>
    <w:pPr>
      <w:tabs>
        <w:tab w:val="center" w:pos="4320"/>
        <w:tab w:val="right" w:pos="8640"/>
      </w:tabs>
    </w:pPr>
  </w:style>
  <w:style w:type="character" w:styleId="PageNumber">
    <w:name w:val="page number"/>
    <w:basedOn w:val="DefaultParagraphFont"/>
    <w:rsid w:val="000302DB"/>
  </w:style>
  <w:style w:type="paragraph" w:styleId="BlockText">
    <w:name w:val="Block Text"/>
    <w:basedOn w:val="Normal"/>
    <w:rsid w:val="000302DB"/>
    <w:pPr>
      <w:spacing w:after="240"/>
      <w:ind w:left="1440" w:right="1440"/>
    </w:pPr>
  </w:style>
  <w:style w:type="paragraph" w:customStyle="1" w:styleId="Paratitle">
    <w:name w:val="Para title"/>
    <w:basedOn w:val="Normal"/>
    <w:rsid w:val="000302DB"/>
    <w:pPr>
      <w:tabs>
        <w:tab w:val="center" w:pos="9270"/>
      </w:tabs>
      <w:spacing w:after="240"/>
    </w:pPr>
    <w:rPr>
      <w:spacing w:val="-2"/>
    </w:rPr>
  </w:style>
  <w:style w:type="paragraph" w:customStyle="1" w:styleId="Bullet">
    <w:name w:val="Bullet"/>
    <w:basedOn w:val="Normal"/>
    <w:rsid w:val="000302DB"/>
    <w:pPr>
      <w:tabs>
        <w:tab w:val="left" w:pos="2160"/>
      </w:tabs>
      <w:spacing w:after="220"/>
      <w:ind w:left="2160" w:hanging="720"/>
    </w:pPr>
  </w:style>
  <w:style w:type="paragraph" w:customStyle="1" w:styleId="TableFormat">
    <w:name w:val="TableFormat"/>
    <w:basedOn w:val="Bullet"/>
    <w:rsid w:val="000302DB"/>
    <w:pPr>
      <w:tabs>
        <w:tab w:val="clear" w:pos="2160"/>
        <w:tab w:val="left" w:pos="5040"/>
      </w:tabs>
      <w:ind w:left="5040" w:hanging="3600"/>
    </w:pPr>
  </w:style>
  <w:style w:type="paragraph" w:customStyle="1" w:styleId="TOCTitle">
    <w:name w:val="TOC Title"/>
    <w:basedOn w:val="Normal"/>
    <w:rsid w:val="000302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02DB"/>
    <w:pPr>
      <w:jc w:val="center"/>
    </w:pPr>
    <w:rPr>
      <w:rFonts w:ascii="Times New Roman Bold" w:hAnsi="Times New Roman Bold"/>
      <w:b/>
      <w:bCs/>
      <w:caps/>
      <w:szCs w:val="22"/>
    </w:rPr>
  </w:style>
  <w:style w:type="character" w:styleId="Hyperlink">
    <w:name w:val="Hyperlink"/>
    <w:rsid w:val="000302DB"/>
    <w:rPr>
      <w:color w:val="0000FF"/>
      <w:u w:val="single"/>
    </w:rPr>
  </w:style>
  <w:style w:type="paragraph" w:styleId="BalloonText">
    <w:name w:val="Balloon Text"/>
    <w:basedOn w:val="Normal"/>
    <w:link w:val="BalloonTextChar"/>
    <w:rsid w:val="003730FA"/>
    <w:rPr>
      <w:rFonts w:ascii="Tahoma" w:hAnsi="Tahoma" w:cs="Tahoma"/>
      <w:snapToGrid/>
      <w:sz w:val="16"/>
      <w:szCs w:val="16"/>
    </w:rPr>
  </w:style>
  <w:style w:type="character" w:customStyle="1" w:styleId="BalloonTextChar">
    <w:name w:val="Balloon Text Char"/>
    <w:basedOn w:val="DefaultParagraphFont"/>
    <w:link w:val="BalloonText"/>
    <w:rsid w:val="003730FA"/>
    <w:rPr>
      <w:rFonts w:ascii="Tahoma" w:hAnsi="Tahoma" w:cs="Tahoma"/>
      <w:snapToGrid w:val="0"/>
      <w:kern w:val="28"/>
      <w:sz w:val="16"/>
      <w:szCs w:val="16"/>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6873A6"/>
  </w:style>
  <w:style w:type="character" w:styleId="CommentReference">
    <w:name w:val="annotation reference"/>
    <w:basedOn w:val="DefaultParagraphFont"/>
    <w:uiPriority w:val="99"/>
    <w:unhideWhenUsed/>
    <w:rsid w:val="00B4716E"/>
    <w:rPr>
      <w:sz w:val="16"/>
      <w:szCs w:val="16"/>
    </w:rPr>
  </w:style>
  <w:style w:type="paragraph" w:styleId="CommentText">
    <w:name w:val="annotation text"/>
    <w:basedOn w:val="Normal"/>
    <w:link w:val="CommentTextChar"/>
    <w:uiPriority w:val="99"/>
    <w:unhideWhenUsed/>
    <w:rsid w:val="00B4716E"/>
    <w:rPr>
      <w:sz w:val="20"/>
    </w:rPr>
  </w:style>
  <w:style w:type="character" w:customStyle="1" w:styleId="CommentTextChar">
    <w:name w:val="Comment Text Char"/>
    <w:basedOn w:val="DefaultParagraphFont"/>
    <w:link w:val="CommentText"/>
    <w:uiPriority w:val="99"/>
    <w:rsid w:val="00B4716E"/>
  </w:style>
  <w:style w:type="paragraph" w:styleId="CommentSubject">
    <w:name w:val="annotation subject"/>
    <w:basedOn w:val="CommentText"/>
    <w:next w:val="CommentText"/>
    <w:link w:val="CommentSubjectChar"/>
    <w:rsid w:val="0003112B"/>
    <w:rPr>
      <w:b/>
      <w:bCs/>
      <w:snapToGrid/>
    </w:rPr>
  </w:style>
  <w:style w:type="character" w:customStyle="1" w:styleId="CommentSubjectChar">
    <w:name w:val="Comment Subject Char"/>
    <w:basedOn w:val="CommentTextChar"/>
    <w:link w:val="CommentSubject"/>
    <w:rsid w:val="0003112B"/>
    <w:rPr>
      <w:b/>
      <w:bCs/>
      <w:snapToGrid w:val="0"/>
      <w:kern w:val="28"/>
    </w:rPr>
  </w:style>
  <w:style w:type="paragraph" w:styleId="Revision">
    <w:name w:val="Revision"/>
    <w:hidden/>
    <w:uiPriority w:val="71"/>
    <w:semiHidden/>
    <w:rsid w:val="009145C8"/>
    <w:rPr>
      <w:sz w:val="22"/>
    </w:rPr>
  </w:style>
  <w:style w:type="character" w:styleId="Emphasis">
    <w:name w:val="Emphasis"/>
    <w:basedOn w:val="DefaultParagraphFont"/>
    <w:qFormat/>
    <w:rsid w:val="007E51D3"/>
    <w:rPr>
      <w:i/>
      <w:iCs/>
    </w:rPr>
  </w:style>
  <w:style w:type="character" w:customStyle="1" w:styleId="apple-converted-space">
    <w:name w:val="apple-converted-space"/>
    <w:basedOn w:val="DefaultParagraphFont"/>
    <w:rsid w:val="00E70343"/>
  </w:style>
  <w:style w:type="paragraph" w:styleId="TOCHeading">
    <w:name w:val="TOC Heading"/>
    <w:basedOn w:val="Heading1"/>
    <w:next w:val="Normal"/>
    <w:uiPriority w:val="39"/>
    <w:unhideWhenUsed/>
    <w:qFormat/>
    <w:rsid w:val="00C90867"/>
    <w:pPr>
      <w:keepLines/>
      <w:widowControl/>
      <w:numPr>
        <w:numId w:val="0"/>
      </w:numPr>
      <w:tabs>
        <w:tab w:val="left" w:pos="720"/>
      </w:tabs>
      <w:suppressAutoHyphens w:val="0"/>
      <w:spacing w:before="480" w:after="0"/>
      <w:outlineLvl w:val="9"/>
    </w:pPr>
    <w:rPr>
      <w:rFonts w:asciiTheme="majorHAnsi" w:eastAsiaTheme="majorEastAsia" w:hAnsiTheme="majorHAnsi" w:cstheme="majorBidi"/>
      <w:bCs/>
      <w:caps w:val="0"/>
      <w:snapToGrid/>
      <w:color w:val="365F91" w:themeColor="accent1" w:themeShade="BF"/>
      <w:kern w:val="0"/>
      <w:sz w:val="28"/>
      <w:szCs w:val="28"/>
    </w:rPr>
  </w:style>
  <w:style w:type="numbering" w:customStyle="1" w:styleId="NoList1">
    <w:name w:val="No List1"/>
    <w:next w:val="NoList"/>
    <w:uiPriority w:val="99"/>
    <w:semiHidden/>
    <w:unhideWhenUsed/>
    <w:rsid w:val="00C90867"/>
  </w:style>
  <w:style w:type="character" w:customStyle="1" w:styleId="ParaNumChar">
    <w:name w:val="ParaNum Char"/>
    <w:link w:val="ParaNum"/>
    <w:rsid w:val="005B4C0E"/>
    <w:rPr>
      <w:snapToGrid w:val="0"/>
      <w:kern w:val="28"/>
      <w:sz w:val="22"/>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
    <w:link w:val="Heading1"/>
    <w:rsid w:val="005B4C0E"/>
    <w:rPr>
      <w:rFonts w:ascii="Times New Roman Bold" w:hAnsi="Times New Roman Bold"/>
      <w:b/>
      <w:caps/>
      <w:snapToGrid w:val="0"/>
      <w:kern w:val="28"/>
      <w:sz w:val="22"/>
    </w:rPr>
  </w:style>
  <w:style w:type="character" w:customStyle="1" w:styleId="Heading2Char">
    <w:name w:val="Heading 2 Char"/>
    <w:rsid w:val="00C90867"/>
    <w:rPr>
      <w:b/>
      <w:snapToGrid w:val="0"/>
      <w:kern w:val="28"/>
      <w:sz w:val="24"/>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
    <w:link w:val="Heading3"/>
    <w:rsid w:val="00C90867"/>
    <w:rPr>
      <w:b/>
      <w:snapToGrid w:val="0"/>
      <w:kern w:val="28"/>
      <w:sz w:val="22"/>
    </w:rPr>
  </w:style>
  <w:style w:type="character" w:customStyle="1" w:styleId="Heading4Char">
    <w:name w:val="Heading 4 Char"/>
    <w:link w:val="Heading4"/>
    <w:rsid w:val="00C90867"/>
    <w:rPr>
      <w:b/>
      <w:snapToGrid w:val="0"/>
      <w:kern w:val="28"/>
      <w:sz w:val="22"/>
    </w:rPr>
  </w:style>
  <w:style w:type="character" w:customStyle="1" w:styleId="Heading5Char">
    <w:name w:val="Heading 5 Char"/>
    <w:link w:val="Heading5"/>
    <w:rsid w:val="00C90867"/>
    <w:rPr>
      <w:b/>
      <w:snapToGrid w:val="0"/>
      <w:kern w:val="28"/>
      <w:sz w:val="22"/>
    </w:rPr>
  </w:style>
  <w:style w:type="character" w:customStyle="1" w:styleId="Heading6Char">
    <w:name w:val="Heading 6 Char"/>
    <w:link w:val="Heading6"/>
    <w:rsid w:val="00C90867"/>
    <w:rPr>
      <w:b/>
      <w:snapToGrid w:val="0"/>
      <w:kern w:val="28"/>
      <w:sz w:val="22"/>
    </w:rPr>
  </w:style>
  <w:style w:type="character" w:customStyle="1" w:styleId="Heading7Char">
    <w:name w:val="Heading 7 Char"/>
    <w:link w:val="Heading7"/>
    <w:rsid w:val="00C90867"/>
    <w:rPr>
      <w:b/>
      <w:snapToGrid w:val="0"/>
      <w:kern w:val="28"/>
      <w:sz w:val="22"/>
    </w:rPr>
  </w:style>
  <w:style w:type="character" w:customStyle="1" w:styleId="Heading8Char">
    <w:name w:val="Heading 8 Char"/>
    <w:link w:val="Heading8"/>
    <w:rsid w:val="00C90867"/>
    <w:rPr>
      <w:b/>
      <w:snapToGrid w:val="0"/>
      <w:kern w:val="28"/>
      <w:sz w:val="22"/>
    </w:rPr>
  </w:style>
  <w:style w:type="character" w:customStyle="1" w:styleId="Heading9Char">
    <w:name w:val="Heading 9 Char"/>
    <w:link w:val="Heading9"/>
    <w:rsid w:val="00C90867"/>
    <w:rPr>
      <w:b/>
      <w:snapToGrid w:val="0"/>
      <w:kern w:val="28"/>
      <w:sz w:val="22"/>
    </w:rPr>
  </w:style>
  <w:style w:type="paragraph" w:customStyle="1" w:styleId="FreeForm">
    <w:name w:val="Free Form"/>
    <w:rsid w:val="00C90867"/>
    <w:rPr>
      <w:rFonts w:eastAsia="ヒラギノ角ゴ Pro W3"/>
      <w:color w:val="000000"/>
    </w:rPr>
  </w:style>
  <w:style w:type="paragraph" w:customStyle="1" w:styleId="Default">
    <w:name w:val="Default"/>
    <w:autoRedefine/>
    <w:rsid w:val="00C90867"/>
    <w:pPr>
      <w:widowControl w:val="0"/>
    </w:pPr>
    <w:rPr>
      <w:rFonts w:eastAsia="ヒラギノ角ゴ Pro W3"/>
      <w:color w:val="000000"/>
      <w:sz w:val="24"/>
    </w:rPr>
  </w:style>
  <w:style w:type="paragraph" w:customStyle="1" w:styleId="Heading1A">
    <w:name w:val="Heading 1 A"/>
    <w:next w:val="Normal"/>
    <w:autoRedefine/>
    <w:rsid w:val="00C90867"/>
    <w:pPr>
      <w:keepNext/>
      <w:spacing w:before="240" w:after="60"/>
      <w:outlineLvl w:val="0"/>
    </w:pPr>
    <w:rPr>
      <w:rFonts w:ascii="Arial" w:eastAsia="ヒラギノ角ゴ Pro W3" w:hAnsi="Arial"/>
      <w:b/>
      <w:color w:val="000000"/>
      <w:kern w:val="32"/>
      <w:sz w:val="32"/>
    </w:rPr>
  </w:style>
  <w:style w:type="character" w:customStyle="1" w:styleId="EndnoteTextChar">
    <w:name w:val="Endnote Text Char"/>
    <w:link w:val="EndnoteText"/>
    <w:rsid w:val="00C90867"/>
    <w:rPr>
      <w:snapToGrid w:val="0"/>
      <w:kern w:val="28"/>
    </w:rPr>
  </w:style>
  <w:style w:type="paragraph" w:customStyle="1" w:styleId="StyleParaNum">
    <w:name w:val="Style ParaNum"/>
    <w:basedOn w:val="ParaNum"/>
    <w:link w:val="StyleParaNumChar"/>
    <w:autoRedefine/>
    <w:rsid w:val="00C90867"/>
    <w:pPr>
      <w:tabs>
        <w:tab w:val="num" w:pos="810"/>
        <w:tab w:val="left" w:pos="1440"/>
      </w:tabs>
      <w:spacing w:after="220"/>
      <w:ind w:left="-270"/>
      <w:jc w:val="both"/>
    </w:pPr>
    <w:rPr>
      <w:rFonts w:eastAsia="Batang"/>
      <w:snapToGrid/>
      <w:kern w:val="0"/>
      <w:lang w:eastAsia="ja-JP"/>
    </w:rPr>
  </w:style>
  <w:style w:type="character" w:customStyle="1" w:styleId="StyleParaNumChar">
    <w:name w:val="Style ParaNum Char"/>
    <w:link w:val="StyleParaNum"/>
    <w:rsid w:val="00C90867"/>
    <w:rPr>
      <w:rFonts w:eastAsia="Batang"/>
      <w:sz w:val="22"/>
      <w:lang w:eastAsia="ja-JP"/>
    </w:rPr>
  </w:style>
  <w:style w:type="paragraph" w:styleId="Caption">
    <w:name w:val="caption"/>
    <w:basedOn w:val="Normal"/>
    <w:next w:val="Normal"/>
    <w:uiPriority w:val="35"/>
    <w:qFormat/>
    <w:rsid w:val="00C90867"/>
    <w:pPr>
      <w:spacing w:before="120" w:after="120"/>
    </w:pPr>
    <w:rPr>
      <w:b/>
      <w:lang w:eastAsia="ja-JP"/>
    </w:rPr>
  </w:style>
  <w:style w:type="character" w:customStyle="1" w:styleId="FootnoteCharacters">
    <w:name w:val="Footnote Characters"/>
    <w:rsid w:val="00C90867"/>
    <w:rPr>
      <w:vertAlign w:val="superscript"/>
    </w:rPr>
  </w:style>
  <w:style w:type="character" w:customStyle="1" w:styleId="a">
    <w:name w:val="脚注番号"/>
    <w:rsid w:val="00C90867"/>
    <w:rPr>
      <w:vertAlign w:val="superscript"/>
    </w:rPr>
  </w:style>
  <w:style w:type="paragraph" w:customStyle="1" w:styleId="header2">
    <w:name w:val="header2"/>
    <w:rsid w:val="00C90867"/>
    <w:pPr>
      <w:widowControl w:val="0"/>
      <w:tabs>
        <w:tab w:val="left" w:pos="1440"/>
        <w:tab w:val="center" w:pos="4320"/>
        <w:tab w:val="right" w:pos="8640"/>
      </w:tabs>
      <w:suppressAutoHyphens/>
      <w:jc w:val="center"/>
    </w:pPr>
    <w:rPr>
      <w:b/>
      <w:snapToGrid w:val="0"/>
      <w:sz w:val="24"/>
    </w:rPr>
  </w:style>
  <w:style w:type="paragraph" w:customStyle="1" w:styleId="ParaNumChar1Char">
    <w:name w:val="ParaNum Char1 Char"/>
    <w:basedOn w:val="Normal"/>
    <w:link w:val="ParaNumChar1CharChar"/>
    <w:rsid w:val="00C90867"/>
    <w:pPr>
      <w:tabs>
        <w:tab w:val="num" w:pos="1080"/>
        <w:tab w:val="left" w:pos="1440"/>
      </w:tabs>
      <w:spacing w:after="220"/>
      <w:ind w:firstLine="720"/>
    </w:pPr>
  </w:style>
  <w:style w:type="character" w:customStyle="1" w:styleId="ParaNumChar1CharChar">
    <w:name w:val="ParaNum Char1 Char Char"/>
    <w:link w:val="ParaNumChar1Char"/>
    <w:rsid w:val="00C90867"/>
    <w:rPr>
      <w:sz w:val="22"/>
    </w:rPr>
  </w:style>
  <w:style w:type="paragraph" w:customStyle="1" w:styleId="Statement">
    <w:name w:val="Statement"/>
    <w:basedOn w:val="Normal"/>
    <w:rsid w:val="00C90867"/>
    <w:pPr>
      <w:spacing w:before="120" w:line="360" w:lineRule="auto"/>
      <w:ind w:firstLine="630"/>
      <w:jc w:val="both"/>
    </w:pPr>
    <w:rPr>
      <w:sz w:val="24"/>
      <w:szCs w:val="24"/>
      <w:lang w:bidi="en-U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sid w:val="00C90867"/>
    <w:rPr>
      <w:sz w:val="24"/>
      <w:lang w:val="en-US" w:eastAsia="en-US" w:bidi="ar-SA"/>
    </w:rPr>
  </w:style>
  <w:style w:type="paragraph" w:customStyle="1" w:styleId="TableText">
    <w:name w:val="Table Text"/>
    <w:basedOn w:val="Normal"/>
    <w:rsid w:val="00C90867"/>
    <w:pPr>
      <w:spacing w:before="60" w:after="60"/>
    </w:pPr>
    <w:rPr>
      <w:sz w:val="24"/>
    </w:rPr>
  </w:style>
  <w:style w:type="character" w:styleId="FollowedHyperlink">
    <w:name w:val="FollowedHyperlink"/>
    <w:basedOn w:val="DefaultParagraphFont"/>
    <w:uiPriority w:val="99"/>
    <w:rsid w:val="00C90867"/>
    <w:rPr>
      <w:color w:val="800080" w:themeColor="followedHyperlink"/>
      <w:u w:val="single"/>
    </w:rPr>
  </w:style>
  <w:style w:type="table" w:styleId="TableGrid">
    <w:name w:val="Table Grid"/>
    <w:basedOn w:val="TableNormal"/>
    <w:uiPriority w:val="59"/>
    <w:rsid w:val="00C90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867"/>
    <w:pPr>
      <w:ind w:left="720"/>
      <w:contextualSpacing/>
    </w:pPr>
    <w:rPr>
      <w:rFonts w:eastAsia="ヒラギノ角ゴ Pro W3"/>
      <w:color w:val="000000"/>
      <w:sz w:val="24"/>
      <w:szCs w:val="24"/>
    </w:rPr>
  </w:style>
  <w:style w:type="character" w:customStyle="1" w:styleId="Heading2Char1">
    <w:name w:val="Heading 2 Char1"/>
    <w:aliases w:val="Heading 2 Char4 Char,Heading 2 Char1 Char Char,Heading 2 Char Char Char Char,Heading 2 Char1 Char Char Char Char,Heading 2 Char Char Char Char Char Char,Heading 2 Char2 Char Char Char Char Char Char,Heading 2 Ch Char"/>
    <w:basedOn w:val="DefaultParagraphFont"/>
    <w:link w:val="Heading2"/>
    <w:rsid w:val="00D50682"/>
    <w:rPr>
      <w:b/>
      <w:snapToGrid w:val="0"/>
      <w:kern w:val="28"/>
      <w:sz w:val="22"/>
    </w:rPr>
  </w:style>
  <w:style w:type="numbering" w:customStyle="1" w:styleId="NoList2">
    <w:name w:val="No List2"/>
    <w:next w:val="NoList"/>
    <w:uiPriority w:val="99"/>
    <w:semiHidden/>
    <w:unhideWhenUsed/>
    <w:rsid w:val="008F2405"/>
  </w:style>
  <w:style w:type="character" w:customStyle="1" w:styleId="FooterChar">
    <w:name w:val="Footer Char"/>
    <w:basedOn w:val="DefaultParagraphFont"/>
    <w:link w:val="Footer"/>
    <w:rsid w:val="008F2405"/>
    <w:rPr>
      <w:snapToGrid w:val="0"/>
      <w:kern w:val="28"/>
      <w:sz w:val="22"/>
    </w:rPr>
  </w:style>
  <w:style w:type="paragraph" w:customStyle="1" w:styleId="NumberedList">
    <w:name w:val="Numbered List"/>
    <w:basedOn w:val="Normal"/>
    <w:rsid w:val="008F2405"/>
    <w:pPr>
      <w:numPr>
        <w:numId w:val="8"/>
      </w:numPr>
      <w:tabs>
        <w:tab w:val="clear" w:pos="1080"/>
      </w:tabs>
      <w:spacing w:after="220"/>
      <w:ind w:firstLine="0"/>
    </w:pPr>
    <w:rPr>
      <w:snapToGrid/>
    </w:rPr>
  </w:style>
  <w:style w:type="paragraph" w:customStyle="1" w:styleId="Paranum0">
    <w:name w:val="Paranum"/>
    <w:basedOn w:val="Normal"/>
    <w:rsid w:val="008F2405"/>
    <w:pPr>
      <w:spacing w:after="220"/>
      <w:ind w:firstLine="720"/>
      <w:jc w:val="both"/>
    </w:pPr>
    <w:rPr>
      <w:snapToGrid/>
    </w:rPr>
  </w:style>
  <w:style w:type="paragraph" w:customStyle="1" w:styleId="TableFormat0">
    <w:name w:val="Table Format"/>
    <w:basedOn w:val="Normal"/>
    <w:rsid w:val="008F2405"/>
    <w:pPr>
      <w:tabs>
        <w:tab w:val="left" w:pos="5040"/>
      </w:tabs>
      <w:spacing w:after="220"/>
      <w:ind w:left="5040" w:hanging="3600"/>
      <w:jc w:val="both"/>
    </w:pPr>
    <w:rPr>
      <w:snapToGrid/>
    </w:rPr>
  </w:style>
  <w:style w:type="paragraph" w:styleId="NormalWeb">
    <w:name w:val="Normal (Web)"/>
    <w:basedOn w:val="Normal"/>
    <w:uiPriority w:val="99"/>
    <w:rsid w:val="008F2405"/>
    <w:pPr>
      <w:spacing w:before="100" w:beforeAutospacing="1" w:after="100" w:afterAutospacing="1"/>
    </w:pPr>
    <w:rPr>
      <w:snapToGrid/>
      <w:sz w:val="24"/>
      <w:szCs w:val="24"/>
    </w:rPr>
  </w:style>
  <w:style w:type="paragraph" w:customStyle="1" w:styleId="MediumGrid1-Accent21">
    <w:name w:val="Medium Grid 1 - Accent 21"/>
    <w:basedOn w:val="Normal"/>
    <w:uiPriority w:val="34"/>
    <w:qFormat/>
    <w:rsid w:val="008F2405"/>
    <w:pPr>
      <w:ind w:left="720"/>
    </w:pPr>
    <w:rPr>
      <w:snapToGrid/>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locked/>
    <w:rsid w:val="008F2405"/>
  </w:style>
  <w:style w:type="character" w:styleId="SubtleEmphasis">
    <w:name w:val="Subtle Emphasis"/>
    <w:basedOn w:val="DefaultParagraphFont"/>
    <w:uiPriority w:val="65"/>
    <w:qFormat/>
    <w:rsid w:val="008F2405"/>
    <w:rPr>
      <w:i/>
      <w:iCs/>
      <w:color w:val="808080" w:themeColor="text1" w:themeTint="7F"/>
    </w:rPr>
  </w:style>
  <w:style w:type="character" w:styleId="PlaceholderText">
    <w:name w:val="Placeholder Text"/>
    <w:basedOn w:val="DefaultParagraphFont"/>
    <w:uiPriority w:val="99"/>
    <w:semiHidden/>
    <w:rsid w:val="001D23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10177">
      <w:bodyDiv w:val="1"/>
      <w:marLeft w:val="0"/>
      <w:marRight w:val="0"/>
      <w:marTop w:val="0"/>
      <w:marBottom w:val="0"/>
      <w:divBdr>
        <w:top w:val="none" w:sz="0" w:space="0" w:color="auto"/>
        <w:left w:val="none" w:sz="0" w:space="0" w:color="auto"/>
        <w:bottom w:val="none" w:sz="0" w:space="0" w:color="auto"/>
        <w:right w:val="none" w:sz="0" w:space="0" w:color="auto"/>
      </w:divBdr>
    </w:div>
    <w:div w:id="502009216">
      <w:bodyDiv w:val="1"/>
      <w:marLeft w:val="0"/>
      <w:marRight w:val="0"/>
      <w:marTop w:val="0"/>
      <w:marBottom w:val="0"/>
      <w:divBdr>
        <w:top w:val="none" w:sz="0" w:space="0" w:color="auto"/>
        <w:left w:val="none" w:sz="0" w:space="0" w:color="auto"/>
        <w:bottom w:val="none" w:sz="0" w:space="0" w:color="auto"/>
        <w:right w:val="none" w:sz="0" w:space="0" w:color="auto"/>
      </w:divBdr>
    </w:div>
    <w:div w:id="1025211395">
      <w:bodyDiv w:val="1"/>
      <w:marLeft w:val="0"/>
      <w:marRight w:val="0"/>
      <w:marTop w:val="0"/>
      <w:marBottom w:val="0"/>
      <w:divBdr>
        <w:top w:val="none" w:sz="0" w:space="0" w:color="auto"/>
        <w:left w:val="none" w:sz="0" w:space="0" w:color="auto"/>
        <w:bottom w:val="none" w:sz="0" w:space="0" w:color="auto"/>
        <w:right w:val="none" w:sz="0" w:space="0" w:color="auto"/>
      </w:divBdr>
    </w:div>
    <w:div w:id="1102725324">
      <w:bodyDiv w:val="1"/>
      <w:marLeft w:val="0"/>
      <w:marRight w:val="0"/>
      <w:marTop w:val="0"/>
      <w:marBottom w:val="0"/>
      <w:divBdr>
        <w:top w:val="none" w:sz="0" w:space="0" w:color="auto"/>
        <w:left w:val="none" w:sz="0" w:space="0" w:color="auto"/>
        <w:bottom w:val="none" w:sz="0" w:space="0" w:color="auto"/>
        <w:right w:val="none" w:sz="0" w:space="0" w:color="auto"/>
      </w:divBdr>
    </w:div>
    <w:div w:id="1520662297">
      <w:bodyDiv w:val="1"/>
      <w:marLeft w:val="0"/>
      <w:marRight w:val="0"/>
      <w:marTop w:val="0"/>
      <w:marBottom w:val="0"/>
      <w:divBdr>
        <w:top w:val="none" w:sz="0" w:space="0" w:color="auto"/>
        <w:left w:val="none" w:sz="0" w:space="0" w:color="auto"/>
        <w:bottom w:val="none" w:sz="0" w:space="0" w:color="auto"/>
        <w:right w:val="none" w:sz="0" w:space="0" w:color="auto"/>
      </w:divBdr>
    </w:div>
    <w:div w:id="1591697768">
      <w:bodyDiv w:val="1"/>
      <w:marLeft w:val="0"/>
      <w:marRight w:val="0"/>
      <w:marTop w:val="0"/>
      <w:marBottom w:val="0"/>
      <w:divBdr>
        <w:top w:val="none" w:sz="0" w:space="0" w:color="auto"/>
        <w:left w:val="none" w:sz="0" w:space="0" w:color="auto"/>
        <w:bottom w:val="none" w:sz="0" w:space="0" w:color="auto"/>
        <w:right w:val="none" w:sz="0" w:space="0" w:color="auto"/>
      </w:divBdr>
    </w:div>
    <w:div w:id="1597975616">
      <w:bodyDiv w:val="1"/>
      <w:marLeft w:val="0"/>
      <w:marRight w:val="0"/>
      <w:marTop w:val="0"/>
      <w:marBottom w:val="0"/>
      <w:divBdr>
        <w:top w:val="none" w:sz="0" w:space="0" w:color="auto"/>
        <w:left w:val="none" w:sz="0" w:space="0" w:color="auto"/>
        <w:bottom w:val="none" w:sz="0" w:space="0" w:color="auto"/>
        <w:right w:val="none" w:sz="0" w:space="0" w:color="auto"/>
      </w:divBdr>
    </w:div>
    <w:div w:id="1600260731">
      <w:bodyDiv w:val="1"/>
      <w:marLeft w:val="0"/>
      <w:marRight w:val="0"/>
      <w:marTop w:val="0"/>
      <w:marBottom w:val="0"/>
      <w:divBdr>
        <w:top w:val="none" w:sz="0" w:space="0" w:color="auto"/>
        <w:left w:val="none" w:sz="0" w:space="0" w:color="auto"/>
        <w:bottom w:val="none" w:sz="0" w:space="0" w:color="auto"/>
        <w:right w:val="none" w:sz="0" w:space="0" w:color="auto"/>
      </w:divBdr>
    </w:div>
    <w:div w:id="1622423020">
      <w:bodyDiv w:val="1"/>
      <w:marLeft w:val="0"/>
      <w:marRight w:val="0"/>
      <w:marTop w:val="0"/>
      <w:marBottom w:val="0"/>
      <w:divBdr>
        <w:top w:val="none" w:sz="0" w:space="0" w:color="auto"/>
        <w:left w:val="none" w:sz="0" w:space="0" w:color="auto"/>
        <w:bottom w:val="none" w:sz="0" w:space="0" w:color="auto"/>
        <w:right w:val="none" w:sz="0" w:space="0" w:color="auto"/>
      </w:divBdr>
    </w:div>
    <w:div w:id="1838107361">
      <w:bodyDiv w:val="1"/>
      <w:marLeft w:val="0"/>
      <w:marRight w:val="0"/>
      <w:marTop w:val="0"/>
      <w:marBottom w:val="0"/>
      <w:divBdr>
        <w:top w:val="none" w:sz="0" w:space="0" w:color="auto"/>
        <w:left w:val="none" w:sz="0" w:space="0" w:color="auto"/>
        <w:bottom w:val="none" w:sz="0" w:space="0" w:color="auto"/>
        <w:right w:val="none" w:sz="0" w:space="0" w:color="auto"/>
      </w:divBdr>
    </w:div>
    <w:div w:id="1977025044">
      <w:bodyDiv w:val="1"/>
      <w:marLeft w:val="0"/>
      <w:marRight w:val="0"/>
      <w:marTop w:val="0"/>
      <w:marBottom w:val="0"/>
      <w:divBdr>
        <w:top w:val="none" w:sz="0" w:space="0" w:color="auto"/>
        <w:left w:val="none" w:sz="0" w:space="0" w:color="auto"/>
        <w:bottom w:val="none" w:sz="0" w:space="0" w:color="auto"/>
        <w:right w:val="none" w:sz="0" w:space="0" w:color="auto"/>
      </w:divBdr>
    </w:div>
    <w:div w:id="20132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hyperlink" Target="ftp://ftp.fcc.gov/pub/Bureaus/MB/Databases/cdb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hyperlink" Target="http://www.fcc.gov/mb/video/tvq.html" TargetMode="Externa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pasia.Paroutsas@fcc.gov" TargetMode="Externa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tp://ftp.fcc.gov/pub/Bureaus/MB/Databases/cdbs/"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yperlink" Target="mailto:fcc504@fcc.gov" TargetMode="External"/><Relationship Id="rId19" Type="http://schemas.openxmlformats.org/officeDocument/2006/relationships/hyperlink" Target="http://www.fcc.gov/mb/video/tvq.html" TargetMode="External"/><Relationship Id="rId31" Type="http://schemas.openxmlformats.org/officeDocument/2006/relationships/hyperlink" Target="http://www.its.bldrdoc.gov/resources/radio-propagation-software/itm/itm.aspx" TargetMode="Externa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footer" Target="footer1.xml"/><Relationship Id="rId22" Type="http://schemas.openxmlformats.org/officeDocument/2006/relationships/hyperlink" Target="http://www.fcc.gov/mb/video/tvq.html" TargetMode="External"/><Relationship Id="rId27" Type="http://schemas.openxmlformats.org/officeDocument/2006/relationships/footer" Target="footer5.xml"/><Relationship Id="rId30" Type="http://schemas.openxmlformats.org/officeDocument/2006/relationships/hyperlink" Target="http://www.its.bldrdoc.gov/resources/radio-propagation-software/itm/itm.aspx" TargetMode="External"/><Relationship Id="rId35" Type="http://schemas.openxmlformats.org/officeDocument/2006/relationships/hyperlink" Target="http://data.fcc.gov/download/incentive-auctions/OET-69/"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its.bldrdoc.gov/resources/radio-propagation-software/itm/itm.aspx" TargetMode="External"/><Relationship Id="rId18" Type="http://schemas.openxmlformats.org/officeDocument/2006/relationships/hyperlink" Target="http://www.itu.int/dms_pubrec/itu-r/rec/sm/R-REC-SM.337-6-200810-I!!PDF-E.pdf" TargetMode="External"/><Relationship Id="rId26" Type="http://schemas.openxmlformats.org/officeDocument/2006/relationships/hyperlink" Target="http://ntiacsd.ntia.doc.gov/msam/FDR/FDRoverview.htm" TargetMode="External"/><Relationship Id="rId39" Type="http://schemas.openxmlformats.org/officeDocument/2006/relationships/hyperlink" Target="http://transition.fcc.gov/Daily_Releases/Daily_Business/2014/db0108/DOC-325039A1.pdf" TargetMode="External"/><Relationship Id="rId3" Type="http://schemas.openxmlformats.org/officeDocument/2006/relationships/hyperlink" Target="http://www.ntia.doc.gov/files/ntia/meetings/lte_technical_characteristics_0.doc" TargetMode="External"/><Relationship Id="rId21" Type="http://schemas.openxmlformats.org/officeDocument/2006/relationships/hyperlink" Target="http://ntiacsd.ntia.doc.gov/msam/FDR/FDRoverview.htm" TargetMode="External"/><Relationship Id="rId34" Type="http://schemas.openxmlformats.org/officeDocument/2006/relationships/hyperlink" Target="http://www.ntia.doc.gov/files/ntia/publications/jsc-cr-10-004final.pdf%20at%2028-31" TargetMode="External"/><Relationship Id="rId42" Type="http://schemas.openxmlformats.org/officeDocument/2006/relationships/hyperlink" Target="http://www.census.gov/cgi-bin/sssd/naics/naicsrch?code=517210&amp;search=2012" TargetMode="External"/><Relationship Id="rId47" Type="http://schemas.openxmlformats.org/officeDocument/2006/relationships/hyperlink" Target="http://transition.fcc.gov/Daily_Releases/Daily_Business/2014/db0108/DOC-325039A1.pdf" TargetMode="External"/><Relationship Id="rId7" Type="http://schemas.openxmlformats.org/officeDocument/2006/relationships/hyperlink" Target="http://www.fcc.gov/oet/info/documents/technical/tm91-1.pdf" TargetMode="External"/><Relationship Id="rId12" Type="http://schemas.openxmlformats.org/officeDocument/2006/relationships/hyperlink" Target="http://www.3gpp.org/DynaReport/36101.htm" TargetMode="External"/><Relationship Id="rId17" Type="http://schemas.openxmlformats.org/officeDocument/2006/relationships/hyperlink" Target="http://transition.fcc.gov/oet/info/maps/areas/" TargetMode="External"/><Relationship Id="rId25" Type="http://schemas.openxmlformats.org/officeDocument/2006/relationships/hyperlink" Target="http://www.its.bldrdoc.gov/publications/2498.aspx" TargetMode="External"/><Relationship Id="rId33" Type="http://schemas.openxmlformats.org/officeDocument/2006/relationships/hyperlink" Target="http://www.itu.int/dms_pubrec/itu-r/rec/sm/R-REC-SM.337-6-200810-I!!PDF-E.pdf" TargetMode="External"/><Relationship Id="rId38" Type="http://schemas.openxmlformats.org/officeDocument/2006/relationships/hyperlink" Target="http://www.census.gov/cgi-bin/sssd/naics/naicsrch?code=515120&amp;search=2012" TargetMode="External"/><Relationship Id="rId46" Type="http://schemas.openxmlformats.org/officeDocument/2006/relationships/hyperlink" Target="http://transition.fcc.gov/Daily_Releases/Daily_Business/2014/db0108/DOC-325039A1.pdf" TargetMode="External"/><Relationship Id="rId2" Type="http://schemas.openxmlformats.org/officeDocument/2006/relationships/hyperlink" Target="http://ieeexplore.ieee.org/stamp/stamp.jsp?arnumber=1622772&amp;isnumber=34048" TargetMode="External"/><Relationship Id="rId16" Type="http://schemas.openxmlformats.org/officeDocument/2006/relationships/hyperlink" Target="http://data.fcc.gov/download/incentive-auctions/OET-69/" TargetMode="External"/><Relationship Id="rId20" Type="http://schemas.openxmlformats.org/officeDocument/2006/relationships/hyperlink" Target="http://www.its.bldrdoc.gov/publications/2498.aspx" TargetMode="External"/><Relationship Id="rId29" Type="http://schemas.openxmlformats.org/officeDocument/2006/relationships/hyperlink" Target="http://www.fcc.gov/guides/dtv-transition-and-lptv-class-translator-stations" TargetMode="External"/><Relationship Id="rId41" Type="http://schemas.openxmlformats.org/officeDocument/2006/relationships/hyperlink" Target="http://transition.fcc.gov/Daily_Releases/Daily_Business/2014/db0108/DOC-325039A1.pdf" TargetMode="External"/><Relationship Id="rId1" Type="http://schemas.openxmlformats.org/officeDocument/2006/relationships/hyperlink" Target="http://www.its.bldrdoc.gov/media/35869/itm.pdf" TargetMode="External"/><Relationship Id="rId6" Type="http://schemas.openxmlformats.org/officeDocument/2006/relationships/hyperlink" Target="http://www.wirelessestimator.com/t_content.cfm?pagename=US-Cell-Tower-Companies-Complete-List" TargetMode="External"/><Relationship Id="rId11" Type="http://schemas.openxmlformats.org/officeDocument/2006/relationships/hyperlink" Target="http://www.3gpp.org/DynaReport/36104.htm" TargetMode="External"/><Relationship Id="rId24" Type="http://schemas.openxmlformats.org/officeDocument/2006/relationships/hyperlink" Target="http://www.ntia.doc.gov/files/ntia/publications/jsc-cr-10-004final.pdf%20at%2028-31" TargetMode="External"/><Relationship Id="rId32" Type="http://schemas.openxmlformats.org/officeDocument/2006/relationships/hyperlink" Target="http://data.fcc.gov/download/incentive-auctions/OET-69/" TargetMode="External"/><Relationship Id="rId37" Type="http://schemas.openxmlformats.org/officeDocument/2006/relationships/hyperlink" Target="http://www.atsc.org/cms/standards/a_74-2010.pdf" TargetMode="External"/><Relationship Id="rId40" Type="http://schemas.openxmlformats.org/officeDocument/2006/relationships/hyperlink" Target="http://transition.fcc.gov/Daily_Releases/Daily_Business/2014/db0108/DOC-325039A1.pdf" TargetMode="External"/><Relationship Id="rId45" Type="http://schemas.openxmlformats.org/officeDocument/2006/relationships/hyperlink" Target="http://transition.fcc.gov/Daily_Releases/Daily_Business/2014/db0108/DOC-325039A1.pdf" TargetMode="External"/><Relationship Id="rId5" Type="http://schemas.openxmlformats.org/officeDocument/2006/relationships/hyperlink" Target="http://www.ntia.doc.gov/files/ntia/publications/wg1_report_07232013.pdf" TargetMode="External"/><Relationship Id="rId15" Type="http://schemas.openxmlformats.org/officeDocument/2006/relationships/hyperlink" Target="http://www.fcc.gov/document/oet-announces-release-updated-oet-69-software" TargetMode="External"/><Relationship Id="rId23" Type="http://schemas.openxmlformats.org/officeDocument/2006/relationships/hyperlink" Target="http://www.itu.int/dms_pubrec/itu-r/rec/sm/R-REC-SM.337-6-200810-I!!PDF-E.pdf" TargetMode="External"/><Relationship Id="rId28" Type="http://schemas.openxmlformats.org/officeDocument/2006/relationships/hyperlink" Target="http://www.its.bldrdoc.gov/resources/radio-propagation-software/itm/itm.aspx" TargetMode="External"/><Relationship Id="rId36" Type="http://schemas.openxmlformats.org/officeDocument/2006/relationships/hyperlink" Target="http://ntiacsd.ntia.doc.gov/msam/FDR/FDRoverview.htm" TargetMode="External"/><Relationship Id="rId49" Type="http://schemas.openxmlformats.org/officeDocument/2006/relationships/hyperlink" Target="http://factfinder2.census.gov/faces/tableservices/jsf/pages/productview.xhtml?pid=ECN_2007_US_51SSSZ5" TargetMode="External"/><Relationship Id="rId10" Type="http://schemas.openxmlformats.org/officeDocument/2006/relationships/hyperlink" Target="http://www.fcc.gov/encyclopedia/media-bureau-filing-systems-and-databases" TargetMode="External"/><Relationship Id="rId19" Type="http://schemas.openxmlformats.org/officeDocument/2006/relationships/hyperlink" Target="http://www.ntia.doc.gov/files/ntia/publications/jsc-cr-10-004final.pdf%20at%2028-31" TargetMode="External"/><Relationship Id="rId31" Type="http://schemas.openxmlformats.org/officeDocument/2006/relationships/hyperlink" Target="http://www.fcc.gov/document/oet-announces-release-updated-oet-69-software" TargetMode="External"/><Relationship Id="rId44" Type="http://schemas.openxmlformats.org/officeDocument/2006/relationships/hyperlink" Target="http://www.census.gov/cgi-bin/sssd/naics/naicsrch?code=515120&amp;search=2012" TargetMode="External"/><Relationship Id="rId4" Type="http://schemas.openxmlformats.org/officeDocument/2006/relationships/hyperlink" Target="http://www.alcatel-lucent.com/products/multi-carrier-remote-radio-head" TargetMode="External"/><Relationship Id="rId9" Type="http://schemas.openxmlformats.org/officeDocument/2006/relationships/hyperlink" Target="http://data.fcc.gov/download/incentive-auctions/OET-69/" TargetMode="External"/><Relationship Id="rId14" Type="http://schemas.openxmlformats.org/officeDocument/2006/relationships/hyperlink" Target="http://data.fcc.gov/download/incentive-auctions/OET-69/2014Apr_TVStudyManual.pdf" TargetMode="External"/><Relationship Id="rId22" Type="http://schemas.openxmlformats.org/officeDocument/2006/relationships/hyperlink" Target="http://www.atsc.org/cms/standards/a_74-2010.pdf" TargetMode="External"/><Relationship Id="rId27" Type="http://schemas.openxmlformats.org/officeDocument/2006/relationships/hyperlink" Target="http://www.atsc.org/cms/standards/a_74-2010.pdf" TargetMode="External"/><Relationship Id="rId30" Type="http://schemas.openxmlformats.org/officeDocument/2006/relationships/hyperlink" Target="http://data.fcc.gov/download/incentive-auctions/OET-69/2014Apr_TVStudyManual.pdf" TargetMode="External"/><Relationship Id="rId35" Type="http://schemas.openxmlformats.org/officeDocument/2006/relationships/hyperlink" Target="http://www.its.bldrdoc.gov/publications/2498.aspx" TargetMode="External"/><Relationship Id="rId43" Type="http://schemas.openxmlformats.org/officeDocument/2006/relationships/hyperlink" Target="http://factfinder2.census.gov/faces/tableservices/jsf/pages/productview.xhtml?pid=ECN_2007_US_51SSSZ5" TargetMode="External"/><Relationship Id="rId48" Type="http://schemas.openxmlformats.org/officeDocument/2006/relationships/hyperlink" Target="http://www.census.gov/cgi-bin/sssd/naics/naicsrch?code=517210&amp;search=2012" TargetMode="External"/><Relationship Id="rId8" Type="http://schemas.openxmlformats.org/officeDocument/2006/relationships/hyperlink" Target="http://www.fcc.gov/oet/info/documents/technical/tm9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33236</Words>
  <Characters>179499</Characters>
  <Application>Microsoft Office Word</Application>
  <DocSecurity>0</DocSecurity>
  <Lines>4184</Lines>
  <Paragraphs>1942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211915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2014-10-17T16:33:00Z</cp:lastPrinted>
  <dcterms:created xsi:type="dcterms:W3CDTF">2014-10-24T19:30:00Z</dcterms:created>
  <dcterms:modified xsi:type="dcterms:W3CDTF">2014-10-24T19:30:00Z</dcterms:modified>
  <cp:category> </cp:category>
  <cp:contentStatus> </cp:contentStatus>
</cp:coreProperties>
</file>