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2D13" w14:textId="77777777" w:rsidR="00D151F1" w:rsidRDefault="00D151F1">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E2ADD6F" w14:textId="77777777" w:rsidR="00D151F1" w:rsidRDefault="00D151F1" w:rsidP="00921803">
      <w:pPr>
        <w:pStyle w:val="StyleBoldCentered"/>
      </w:pPr>
      <w:r>
        <w:t>F</w:t>
      </w:r>
      <w:r>
        <w:rPr>
          <w:caps w:val="0"/>
        </w:rPr>
        <w:t>ederal Communications Commission</w:t>
      </w:r>
    </w:p>
    <w:p w14:paraId="2D7DD99F" w14:textId="77777777" w:rsidR="00D151F1" w:rsidRDefault="00D151F1" w:rsidP="00096D8C">
      <w:pPr>
        <w:pStyle w:val="StyleBoldCentered"/>
      </w:pPr>
      <w:r>
        <w:rPr>
          <w:caps w:val="0"/>
        </w:rPr>
        <w:t>Washington, D.C. 20554</w:t>
      </w:r>
    </w:p>
    <w:p w14:paraId="50126A9F" w14:textId="77777777" w:rsidR="00D151F1" w:rsidRDefault="00D151F1" w:rsidP="0070224F"/>
    <w:tbl>
      <w:tblPr>
        <w:tblW w:w="0" w:type="auto"/>
        <w:tblLayout w:type="fixed"/>
        <w:tblLook w:val="0000" w:firstRow="0" w:lastRow="0" w:firstColumn="0" w:lastColumn="0" w:noHBand="0" w:noVBand="0"/>
      </w:tblPr>
      <w:tblGrid>
        <w:gridCol w:w="4698"/>
        <w:gridCol w:w="630"/>
        <w:gridCol w:w="4248"/>
      </w:tblGrid>
      <w:tr w:rsidR="00D151F1" w14:paraId="12183376" w14:textId="77777777">
        <w:tc>
          <w:tcPr>
            <w:tcW w:w="4698" w:type="dxa"/>
          </w:tcPr>
          <w:p w14:paraId="6D914900" w14:textId="77777777" w:rsidR="00D151F1" w:rsidRDefault="00D151F1">
            <w:pPr>
              <w:tabs>
                <w:tab w:val="center" w:pos="4680"/>
              </w:tabs>
              <w:suppressAutoHyphens/>
              <w:rPr>
                <w:spacing w:val="-2"/>
              </w:rPr>
            </w:pPr>
            <w:r>
              <w:rPr>
                <w:spacing w:val="-2"/>
              </w:rPr>
              <w:t>In the Matter of</w:t>
            </w:r>
          </w:p>
          <w:p w14:paraId="79AA6CC6" w14:textId="77777777" w:rsidR="00D151F1" w:rsidRDefault="00D151F1">
            <w:pPr>
              <w:tabs>
                <w:tab w:val="center" w:pos="4680"/>
              </w:tabs>
              <w:suppressAutoHyphens/>
              <w:rPr>
                <w:spacing w:val="-2"/>
              </w:rPr>
            </w:pPr>
          </w:p>
          <w:p w14:paraId="1A1BD7CD" w14:textId="52834F1C" w:rsidR="00D151F1" w:rsidRPr="007115F7" w:rsidRDefault="00281B44" w:rsidP="00917973">
            <w:pPr>
              <w:tabs>
                <w:tab w:val="center" w:pos="4680"/>
              </w:tabs>
              <w:suppressAutoHyphens/>
              <w:rPr>
                <w:spacing w:val="-2"/>
              </w:rPr>
            </w:pPr>
            <w:r>
              <w:rPr>
                <w:spacing w:val="-2"/>
              </w:rPr>
              <w:t xml:space="preserve">Midessa Television </w:t>
            </w:r>
            <w:r w:rsidR="00917973">
              <w:rPr>
                <w:spacing w:val="-2"/>
              </w:rPr>
              <w:t>Limited Partnership</w:t>
            </w:r>
          </w:p>
        </w:tc>
        <w:tc>
          <w:tcPr>
            <w:tcW w:w="630" w:type="dxa"/>
          </w:tcPr>
          <w:p w14:paraId="39328E4B" w14:textId="77777777" w:rsidR="00D151F1" w:rsidRDefault="00D151F1">
            <w:pPr>
              <w:tabs>
                <w:tab w:val="center" w:pos="4680"/>
              </w:tabs>
              <w:suppressAutoHyphens/>
              <w:rPr>
                <w:b/>
                <w:spacing w:val="-2"/>
              </w:rPr>
            </w:pPr>
            <w:r>
              <w:rPr>
                <w:b/>
                <w:spacing w:val="-2"/>
              </w:rPr>
              <w:t>)</w:t>
            </w:r>
          </w:p>
          <w:p w14:paraId="63899D46" w14:textId="77777777" w:rsidR="00D151F1" w:rsidRDefault="00D151F1">
            <w:pPr>
              <w:tabs>
                <w:tab w:val="center" w:pos="4680"/>
              </w:tabs>
              <w:suppressAutoHyphens/>
              <w:rPr>
                <w:b/>
                <w:spacing w:val="-2"/>
              </w:rPr>
            </w:pPr>
            <w:r>
              <w:rPr>
                <w:b/>
                <w:spacing w:val="-2"/>
              </w:rPr>
              <w:t>)</w:t>
            </w:r>
          </w:p>
          <w:p w14:paraId="316371F4" w14:textId="77777777" w:rsidR="00D151F1" w:rsidRDefault="00D151F1">
            <w:pPr>
              <w:tabs>
                <w:tab w:val="center" w:pos="4680"/>
              </w:tabs>
              <w:suppressAutoHyphens/>
              <w:rPr>
                <w:b/>
                <w:spacing w:val="-2"/>
              </w:rPr>
            </w:pPr>
            <w:r>
              <w:rPr>
                <w:b/>
                <w:spacing w:val="-2"/>
              </w:rPr>
              <w:t>)</w:t>
            </w:r>
          </w:p>
          <w:p w14:paraId="4F176A37" w14:textId="77777777" w:rsidR="00D151F1" w:rsidRDefault="00D151F1">
            <w:pPr>
              <w:tabs>
                <w:tab w:val="center" w:pos="4680"/>
              </w:tabs>
              <w:suppressAutoHyphens/>
              <w:rPr>
                <w:b/>
                <w:spacing w:val="-2"/>
              </w:rPr>
            </w:pPr>
            <w:r>
              <w:rPr>
                <w:b/>
                <w:spacing w:val="-2"/>
              </w:rPr>
              <w:t>)</w:t>
            </w:r>
          </w:p>
          <w:p w14:paraId="5052B23F" w14:textId="77777777" w:rsidR="00D151F1" w:rsidRDefault="00D151F1">
            <w:pPr>
              <w:tabs>
                <w:tab w:val="center" w:pos="4680"/>
              </w:tabs>
              <w:suppressAutoHyphens/>
              <w:rPr>
                <w:b/>
                <w:spacing w:val="-2"/>
              </w:rPr>
            </w:pPr>
            <w:r>
              <w:rPr>
                <w:b/>
                <w:spacing w:val="-2"/>
              </w:rPr>
              <w:t>)</w:t>
            </w:r>
          </w:p>
          <w:p w14:paraId="0F8CF4CE" w14:textId="77777777" w:rsidR="00D151F1" w:rsidRDefault="00D151F1">
            <w:pPr>
              <w:tabs>
                <w:tab w:val="center" w:pos="4680"/>
              </w:tabs>
              <w:suppressAutoHyphens/>
              <w:rPr>
                <w:spacing w:val="-2"/>
              </w:rPr>
            </w:pPr>
          </w:p>
        </w:tc>
        <w:tc>
          <w:tcPr>
            <w:tcW w:w="4248" w:type="dxa"/>
          </w:tcPr>
          <w:p w14:paraId="2D98351D" w14:textId="77777777" w:rsidR="00D151F1" w:rsidRDefault="00D151F1" w:rsidP="006E0C7E">
            <w:pPr>
              <w:tabs>
                <w:tab w:val="center" w:pos="4680"/>
              </w:tabs>
              <w:suppressAutoHyphens/>
              <w:ind w:firstLine="432"/>
              <w:rPr>
                <w:spacing w:val="-2"/>
              </w:rPr>
            </w:pPr>
            <w:r>
              <w:rPr>
                <w:spacing w:val="-2"/>
              </w:rPr>
              <w:t>File No</w:t>
            </w:r>
            <w:r w:rsidRPr="009B6DA2">
              <w:rPr>
                <w:spacing w:val="-2"/>
              </w:rPr>
              <w:t>.:  EB-SED-14-000</w:t>
            </w:r>
            <w:r w:rsidR="009B6DA2" w:rsidRPr="009B6DA2">
              <w:rPr>
                <w:spacing w:val="-2"/>
              </w:rPr>
              <w:t>16720</w:t>
            </w:r>
            <w:r w:rsidRPr="009B6DA2">
              <w:rPr>
                <w:rStyle w:val="FootnoteReference"/>
                <w:spacing w:val="-2"/>
              </w:rPr>
              <w:footnoteReference w:id="2"/>
            </w:r>
          </w:p>
          <w:p w14:paraId="433A6ECE" w14:textId="77777777" w:rsidR="00D151F1" w:rsidRDefault="00D151F1" w:rsidP="006E0C7E">
            <w:pPr>
              <w:pStyle w:val="TOAHeading"/>
              <w:tabs>
                <w:tab w:val="clear" w:pos="9360"/>
                <w:tab w:val="center" w:pos="4680"/>
              </w:tabs>
              <w:ind w:firstLine="432"/>
              <w:rPr>
                <w:spacing w:val="-2"/>
              </w:rPr>
            </w:pPr>
          </w:p>
          <w:p w14:paraId="33B9A370" w14:textId="76215F6F" w:rsidR="00D151F1" w:rsidRDefault="00D151F1" w:rsidP="006E0C7E">
            <w:pPr>
              <w:tabs>
                <w:tab w:val="center" w:pos="4680"/>
              </w:tabs>
              <w:suppressAutoHyphens/>
              <w:ind w:firstLine="432"/>
              <w:rPr>
                <w:spacing w:val="-2"/>
              </w:rPr>
            </w:pPr>
            <w:r>
              <w:rPr>
                <w:spacing w:val="-2"/>
              </w:rPr>
              <w:t xml:space="preserve">NAL/Acct. No.: </w:t>
            </w:r>
            <w:r w:rsidR="0078188B">
              <w:rPr>
                <w:spacing w:val="-2"/>
              </w:rPr>
              <w:t xml:space="preserve"> </w:t>
            </w:r>
            <w:r w:rsidR="0078188B" w:rsidRPr="0078188B">
              <w:rPr>
                <w:spacing w:val="-2"/>
              </w:rPr>
              <w:t>201432100028</w:t>
            </w:r>
          </w:p>
          <w:p w14:paraId="73BFC7EA" w14:textId="77777777" w:rsidR="00D151F1" w:rsidRDefault="00D151F1" w:rsidP="006E0C7E">
            <w:pPr>
              <w:tabs>
                <w:tab w:val="center" w:pos="4680"/>
              </w:tabs>
              <w:suppressAutoHyphens/>
              <w:ind w:firstLine="432"/>
              <w:rPr>
                <w:spacing w:val="-2"/>
              </w:rPr>
            </w:pPr>
          </w:p>
          <w:p w14:paraId="1F65601C" w14:textId="77777777" w:rsidR="00D151F1" w:rsidRDefault="00D151F1" w:rsidP="006E0C7E">
            <w:pPr>
              <w:tabs>
                <w:tab w:val="center" w:pos="4680"/>
              </w:tabs>
              <w:suppressAutoHyphens/>
              <w:ind w:firstLine="432"/>
              <w:rPr>
                <w:spacing w:val="-2"/>
              </w:rPr>
            </w:pPr>
            <w:r>
              <w:rPr>
                <w:spacing w:val="-2"/>
              </w:rPr>
              <w:t xml:space="preserve">FRN:  </w:t>
            </w:r>
            <w:r w:rsidR="00BF26B1">
              <w:rPr>
                <w:spacing w:val="-2"/>
              </w:rPr>
              <w:t>0001663863</w:t>
            </w:r>
          </w:p>
          <w:p w14:paraId="0F24CEA4" w14:textId="77777777" w:rsidR="00D151F1" w:rsidRDefault="00D151F1">
            <w:pPr>
              <w:tabs>
                <w:tab w:val="center" w:pos="4680"/>
              </w:tabs>
              <w:suppressAutoHyphens/>
              <w:rPr>
                <w:spacing w:val="-2"/>
              </w:rPr>
            </w:pPr>
          </w:p>
        </w:tc>
      </w:tr>
    </w:tbl>
    <w:p w14:paraId="457AED17" w14:textId="77777777" w:rsidR="00D151F1" w:rsidRDefault="00D151F1" w:rsidP="00F021FA">
      <w:pPr>
        <w:pStyle w:val="StyleBoldCentered"/>
      </w:pPr>
      <w:r>
        <w:t>NOTICE OF APPARENT LIABILITY FOR FORFEITURE</w:t>
      </w:r>
    </w:p>
    <w:p w14:paraId="17E6602D" w14:textId="77777777" w:rsidR="00D151F1" w:rsidRDefault="00D151F1">
      <w:pPr>
        <w:tabs>
          <w:tab w:val="left" w:pos="-720"/>
        </w:tabs>
        <w:suppressAutoHyphens/>
        <w:spacing w:line="227" w:lineRule="auto"/>
        <w:rPr>
          <w:spacing w:val="-2"/>
        </w:rPr>
      </w:pPr>
    </w:p>
    <w:p w14:paraId="7C04697F" w14:textId="53DF6F1B" w:rsidR="00D151F1" w:rsidRDefault="003D3383" w:rsidP="00133F79">
      <w:pPr>
        <w:tabs>
          <w:tab w:val="left" w:pos="720"/>
          <w:tab w:val="right" w:pos="9360"/>
        </w:tabs>
        <w:suppressAutoHyphens/>
        <w:spacing w:line="227" w:lineRule="auto"/>
        <w:rPr>
          <w:spacing w:val="-2"/>
        </w:rPr>
      </w:pPr>
      <w:r>
        <w:rPr>
          <w:b/>
          <w:spacing w:val="-2"/>
        </w:rPr>
        <w:t xml:space="preserve">Adopted:  </w:t>
      </w:r>
      <w:r w:rsidR="008F020D">
        <w:rPr>
          <w:b/>
          <w:spacing w:val="-2"/>
        </w:rPr>
        <w:t xml:space="preserve">October </w:t>
      </w:r>
      <w:r w:rsidR="003511DF">
        <w:rPr>
          <w:b/>
          <w:spacing w:val="-2"/>
        </w:rPr>
        <w:t>14</w:t>
      </w:r>
      <w:r w:rsidR="008F020D">
        <w:rPr>
          <w:b/>
          <w:spacing w:val="-2"/>
        </w:rPr>
        <w:t>, 2014</w:t>
      </w:r>
      <w:r w:rsidR="00D151F1">
        <w:rPr>
          <w:b/>
          <w:spacing w:val="-2"/>
        </w:rPr>
        <w:tab/>
        <w:t xml:space="preserve">Released:  </w:t>
      </w:r>
      <w:r w:rsidR="008F020D">
        <w:rPr>
          <w:b/>
          <w:spacing w:val="-2"/>
        </w:rPr>
        <w:t xml:space="preserve">October </w:t>
      </w:r>
      <w:r w:rsidR="003511DF">
        <w:rPr>
          <w:b/>
          <w:spacing w:val="-2"/>
        </w:rPr>
        <w:t>14</w:t>
      </w:r>
      <w:r w:rsidR="008F020D">
        <w:rPr>
          <w:b/>
          <w:spacing w:val="-2"/>
        </w:rPr>
        <w:t>, 2014</w:t>
      </w:r>
    </w:p>
    <w:p w14:paraId="50503475" w14:textId="77777777" w:rsidR="00D151F1" w:rsidRDefault="00D151F1"/>
    <w:p w14:paraId="2FF94824" w14:textId="77777777" w:rsidR="00D151F1" w:rsidRDefault="00D151F1">
      <w:pPr>
        <w:rPr>
          <w:spacing w:val="-2"/>
        </w:rPr>
      </w:pPr>
      <w:r>
        <w:t xml:space="preserve">By the </w:t>
      </w:r>
      <w:r w:rsidR="00983125">
        <w:rPr>
          <w:spacing w:val="-2"/>
        </w:rPr>
        <w:t>Commission</w:t>
      </w:r>
      <w:r>
        <w:rPr>
          <w:spacing w:val="-2"/>
        </w:rPr>
        <w:t>:</w:t>
      </w:r>
    </w:p>
    <w:p w14:paraId="09516C8A" w14:textId="77777777" w:rsidR="00D151F1" w:rsidRDefault="00D151F1" w:rsidP="00412FC5"/>
    <w:p w14:paraId="13BDAD59" w14:textId="77777777" w:rsidR="00D151F1" w:rsidRDefault="00D151F1" w:rsidP="008F020D">
      <w:pPr>
        <w:pStyle w:val="Heading1"/>
      </w:pPr>
      <w:r>
        <w:t>INTRODUCTION</w:t>
      </w:r>
    </w:p>
    <w:p w14:paraId="6EAFE02F" w14:textId="3421E46A" w:rsidR="00D151F1" w:rsidRDefault="003D3383" w:rsidP="008F020D">
      <w:pPr>
        <w:pStyle w:val="ParaNum"/>
      </w:pPr>
      <w:r>
        <w:t xml:space="preserve">We propose a penalty of $86,400 against </w:t>
      </w:r>
      <w:r w:rsidR="006B42FF">
        <w:t xml:space="preserve">Midessa Television </w:t>
      </w:r>
      <w:r w:rsidR="00917973">
        <w:t xml:space="preserve">Limited Partnership </w:t>
      </w:r>
      <w:r w:rsidR="006B42FF">
        <w:t xml:space="preserve">(Midessa) for apparently operating three </w:t>
      </w:r>
      <w:r>
        <w:t>broadcast a</w:t>
      </w:r>
      <w:r w:rsidR="00700405">
        <w:t>uxiliary service</w:t>
      </w:r>
      <w:r w:rsidR="0042392A">
        <w:t>s</w:t>
      </w:r>
      <w:r w:rsidR="006B42FF">
        <w:t xml:space="preserve"> (BAS)</w:t>
      </w:r>
      <w:r w:rsidR="00700405">
        <w:t xml:space="preserve"> stations</w:t>
      </w:r>
      <w:r w:rsidR="006B42FF">
        <w:t xml:space="preserve"> without authorization</w:t>
      </w:r>
      <w:r w:rsidR="002E1DF3">
        <w:t>s</w:t>
      </w:r>
      <w:r w:rsidR="006B42FF">
        <w:t xml:space="preserve"> and </w:t>
      </w:r>
      <w:r w:rsidR="00917973">
        <w:t>operating</w:t>
      </w:r>
      <w:r>
        <w:t xml:space="preserve"> </w:t>
      </w:r>
      <w:r w:rsidR="00957BAD">
        <w:t xml:space="preserve">an additional six </w:t>
      </w:r>
      <w:r>
        <w:t xml:space="preserve">BAS </w:t>
      </w:r>
      <w:r w:rsidR="00F6724C">
        <w:t xml:space="preserve">stations </w:t>
      </w:r>
      <w:r w:rsidR="00917973">
        <w:t>at variance with their respective authorizations</w:t>
      </w:r>
      <w:r w:rsidR="00F6455E">
        <w:t>, all in conjunction with its full power and low power television stations</w:t>
      </w:r>
      <w:r w:rsidR="00957BAD">
        <w:t xml:space="preserve">.  </w:t>
      </w:r>
      <w:r>
        <w:t>We take this action as</w:t>
      </w:r>
      <w:r w:rsidR="00D151F1">
        <w:t xml:space="preserve"> part of our duty to prevent unlicensed radio operations from potentially interfering with authorized radio communications in the United States</w:t>
      </w:r>
      <w:r w:rsidR="006736E8">
        <w:t xml:space="preserve">, including emergency communications </w:t>
      </w:r>
      <w:r w:rsidR="000327D8">
        <w:t>between f</w:t>
      </w:r>
      <w:r w:rsidR="006736E8">
        <w:t xml:space="preserve">irst responders, such as public safety, law enforcement, emergency </w:t>
      </w:r>
      <w:r w:rsidR="00062577">
        <w:t xml:space="preserve">medical, and emergency </w:t>
      </w:r>
      <w:r w:rsidR="006736E8">
        <w:t>personnel,</w:t>
      </w:r>
      <w:r w:rsidR="00D151F1">
        <w:t xml:space="preserve"> and to </w:t>
      </w:r>
      <w:r w:rsidR="00730A2F">
        <w:t xml:space="preserve">ensure </w:t>
      </w:r>
      <w:r w:rsidR="00D151F1">
        <w:t xml:space="preserve">the efficient administration </w:t>
      </w:r>
      <w:r w:rsidR="00730A2F">
        <w:t xml:space="preserve">and management </w:t>
      </w:r>
      <w:r w:rsidR="00D151F1">
        <w:t xml:space="preserve">of wireless radio </w:t>
      </w:r>
      <w:r w:rsidR="00730A2F">
        <w:t>frequencies</w:t>
      </w:r>
      <w:r w:rsidR="00957BAD">
        <w:t>.</w:t>
      </w:r>
      <w:r w:rsidR="006B42FF">
        <w:t xml:space="preserve">  Midessa’s apparent violations continued for a number of years, including </w:t>
      </w:r>
      <w:r w:rsidR="004C6952">
        <w:t xml:space="preserve">for </w:t>
      </w:r>
      <w:r w:rsidR="006B42FF">
        <w:t xml:space="preserve">a substantial </w:t>
      </w:r>
      <w:r w:rsidR="00E02061">
        <w:t>time</w:t>
      </w:r>
      <w:r w:rsidR="006B42FF">
        <w:t xml:space="preserve"> after it became aware of </w:t>
      </w:r>
      <w:r w:rsidR="00E02061">
        <w:t>its</w:t>
      </w:r>
      <w:r w:rsidR="006B42FF">
        <w:t xml:space="preserve"> unauthorized operations, </w:t>
      </w:r>
      <w:r w:rsidR="00E02061">
        <w:t xml:space="preserve">thus </w:t>
      </w:r>
      <w:r w:rsidR="006B42FF">
        <w:t xml:space="preserve">warranting </w:t>
      </w:r>
      <w:r w:rsidR="004C6952">
        <w:t>a significant</w:t>
      </w:r>
      <w:r w:rsidR="00062577">
        <w:t>ly increased</w:t>
      </w:r>
      <w:r w:rsidR="00F6724C">
        <w:t xml:space="preserve"> </w:t>
      </w:r>
      <w:r w:rsidR="004C6952">
        <w:t>penalty.</w:t>
      </w:r>
    </w:p>
    <w:p w14:paraId="6C385565" w14:textId="1745B3EB" w:rsidR="00D151F1" w:rsidRDefault="00D151F1" w:rsidP="00367B25">
      <w:pPr>
        <w:pStyle w:val="ParaNum"/>
        <w:widowControl/>
      </w:pPr>
      <w:r>
        <w:t xml:space="preserve">As discussed below, </w:t>
      </w:r>
      <w:r w:rsidR="00281B44">
        <w:t>Midessa</w:t>
      </w:r>
      <w:r>
        <w:rPr>
          <w:rStyle w:val="FootnoteReference"/>
        </w:rPr>
        <w:footnoteReference w:id="3"/>
      </w:r>
      <w:r>
        <w:t xml:space="preserve"> apparently willfully and repeatedly violated Section 301 of the Communications Act of 1934, as amended (Act)</w:t>
      </w:r>
      <w:r w:rsidR="004C6952">
        <w:t>,</w:t>
      </w:r>
      <w:r w:rsidR="005145B8">
        <w:rPr>
          <w:rStyle w:val="FootnoteReference"/>
        </w:rPr>
        <w:footnoteReference w:id="4"/>
      </w:r>
      <w:r w:rsidR="004C6952">
        <w:t xml:space="preserve"> and </w:t>
      </w:r>
      <w:r>
        <w:t>Section</w:t>
      </w:r>
      <w:r w:rsidR="004C6952">
        <w:t>s</w:t>
      </w:r>
      <w:r>
        <w:t xml:space="preserve"> 1.903(a) </w:t>
      </w:r>
      <w:r w:rsidR="004C6952">
        <w:t xml:space="preserve">and 1.947(a) </w:t>
      </w:r>
      <w:r>
        <w:t>of the Commission’s rules (Rules)</w:t>
      </w:r>
      <w:r w:rsidR="004C6952">
        <w:t>.</w:t>
      </w:r>
      <w:r>
        <w:rPr>
          <w:rStyle w:val="FootnoteReference"/>
        </w:rPr>
        <w:footnoteReference w:id="5"/>
      </w:r>
      <w:r w:rsidR="005F42C7">
        <w:t xml:space="preserve">  </w:t>
      </w:r>
      <w:r w:rsidR="00B65C4E">
        <w:t xml:space="preserve"> </w:t>
      </w:r>
    </w:p>
    <w:p w14:paraId="4830FA4D" w14:textId="77777777" w:rsidR="00D151F1" w:rsidRDefault="00D151F1" w:rsidP="008F020D">
      <w:pPr>
        <w:pStyle w:val="Heading1"/>
      </w:pPr>
      <w:r>
        <w:t>BACKGROUND</w:t>
      </w:r>
    </w:p>
    <w:p w14:paraId="19FF4A7F" w14:textId="082D56C0" w:rsidR="00707EEB" w:rsidRPr="00707EEB" w:rsidRDefault="00760C57" w:rsidP="008F020D">
      <w:pPr>
        <w:pStyle w:val="ParaNum"/>
      </w:pPr>
      <w:r>
        <w:t>O</w:t>
      </w:r>
      <w:r w:rsidRPr="00707EEB">
        <w:t xml:space="preserve">n April 23, 2013, Midessa </w:t>
      </w:r>
      <w:r>
        <w:t>submitted applications</w:t>
      </w:r>
      <w:r w:rsidRPr="00707EEB">
        <w:t xml:space="preserve"> for three new “</w:t>
      </w:r>
      <w:r w:rsidR="004C6952">
        <w:t>as built” stations (</w:t>
      </w:r>
      <w:r w:rsidRPr="00707EEB">
        <w:t xml:space="preserve">WQRY297, </w:t>
      </w:r>
      <w:r>
        <w:t>WQRY299</w:t>
      </w:r>
      <w:r w:rsidR="004C6952">
        <w:t>,</w:t>
      </w:r>
      <w:r>
        <w:t xml:space="preserve"> and WQRY300</w:t>
      </w:r>
      <w:r w:rsidRPr="00707EEB">
        <w:t>)</w:t>
      </w:r>
      <w:r>
        <w:rPr>
          <w:rStyle w:val="FootnoteReference"/>
        </w:rPr>
        <w:footnoteReference w:id="6"/>
      </w:r>
      <w:r w:rsidRPr="00707EEB">
        <w:t xml:space="preserve"> and six modified stations</w:t>
      </w:r>
      <w:r>
        <w:t xml:space="preserve"> (KWT86, KWT87, </w:t>
      </w:r>
      <w:r w:rsidRPr="00707EEB">
        <w:t>K</w:t>
      </w:r>
      <w:r>
        <w:t>W</w:t>
      </w:r>
      <w:r w:rsidRPr="00707EEB">
        <w:t>U20, WLE595, WLE613</w:t>
      </w:r>
      <w:r w:rsidR="004C6952">
        <w:t>,</w:t>
      </w:r>
      <w:r w:rsidRPr="00707EEB">
        <w:t xml:space="preserve"> and WLG239).</w:t>
      </w:r>
      <w:r>
        <w:rPr>
          <w:rStyle w:val="FootnoteReference"/>
        </w:rPr>
        <w:footnoteReference w:id="7"/>
      </w:r>
      <w:r w:rsidRPr="00707EEB">
        <w:t xml:space="preserve">  The modifications primarily involved updates to the licensed </w:t>
      </w:r>
      <w:r w:rsidR="00062577">
        <w:lastRenderedPageBreak/>
        <w:t>locations of several of Midessa’s</w:t>
      </w:r>
      <w:r w:rsidRPr="00707EEB">
        <w:t xml:space="preserve"> transmit/receive sites to reflect the as-built locations</w:t>
      </w:r>
      <w:r>
        <w:t>, changes to the authorized frequenc</w:t>
      </w:r>
      <w:r w:rsidR="006D67D4">
        <w:t>ies</w:t>
      </w:r>
      <w:r>
        <w:t xml:space="preserve">, </w:t>
      </w:r>
      <w:r w:rsidRPr="00707EEB">
        <w:t>and recharacterization of sites from analog to digital.</w:t>
      </w:r>
      <w:r>
        <w:rPr>
          <w:rStyle w:val="FootnoteReference"/>
        </w:rPr>
        <w:footnoteReference w:id="8"/>
      </w:r>
      <w:r w:rsidRPr="00707EEB">
        <w:t xml:space="preserve">  </w:t>
      </w:r>
      <w:r>
        <w:t xml:space="preserve">In the applications, Midessa disclosed that it </w:t>
      </w:r>
      <w:r w:rsidR="00700405">
        <w:t xml:space="preserve">had operated three BAS stations </w:t>
      </w:r>
      <w:r>
        <w:t>without a</w:t>
      </w:r>
      <w:r w:rsidR="00700405">
        <w:t>n authorization and six BAS stations at</w:t>
      </w:r>
      <w:r w:rsidR="00062577">
        <w:t xml:space="preserve"> variance from its</w:t>
      </w:r>
      <w:r>
        <w:t xml:space="preserve"> authorization.</w:t>
      </w:r>
      <w:r>
        <w:rPr>
          <w:rStyle w:val="FootnoteReference"/>
        </w:rPr>
        <w:footnoteReference w:id="9"/>
      </w:r>
      <w:r>
        <w:t xml:space="preserve"> </w:t>
      </w:r>
    </w:p>
    <w:p w14:paraId="71D99A8A" w14:textId="13447347" w:rsidR="00D151F1" w:rsidRDefault="00D151F1" w:rsidP="008F020D">
      <w:pPr>
        <w:pStyle w:val="ParaNum"/>
      </w:pPr>
      <w:r>
        <w:t xml:space="preserve">Because it appeared that </w:t>
      </w:r>
      <w:r w:rsidR="00F750AC">
        <w:t xml:space="preserve">Midessa operated its BAS </w:t>
      </w:r>
      <w:r w:rsidR="00720D57">
        <w:t xml:space="preserve">facilities </w:t>
      </w:r>
      <w:r w:rsidR="00F750AC">
        <w:t xml:space="preserve">in violation of the Rules, </w:t>
      </w:r>
      <w:r>
        <w:t xml:space="preserve">the </w:t>
      </w:r>
      <w:r w:rsidR="00F750AC">
        <w:t xml:space="preserve">FCC’s </w:t>
      </w:r>
      <w:r>
        <w:t xml:space="preserve">Wireless </w:t>
      </w:r>
      <w:r w:rsidR="006D67D4">
        <w:t xml:space="preserve">Telecommunications </w:t>
      </w:r>
      <w:r>
        <w:t>Bureau referred this matter to the Enforcement Bureau (Bureau) for investigation and possible enforcement action.  On November</w:t>
      </w:r>
      <w:r w:rsidR="00F750AC">
        <w:t xml:space="preserve"> 7</w:t>
      </w:r>
      <w:r>
        <w:t>, 2013, the Bureau’s Spectrum</w:t>
      </w:r>
      <w:r w:rsidR="005D1FF1">
        <w:t xml:space="preserve"> Enforcement Division directed</w:t>
      </w:r>
      <w:r>
        <w:t xml:space="preserve"> the company to submit a sworn written response to a series of questi</w:t>
      </w:r>
      <w:r w:rsidR="00F750AC">
        <w:t>ons relating to Midessa</w:t>
      </w:r>
      <w:r>
        <w:t xml:space="preserve">’s </w:t>
      </w:r>
      <w:r w:rsidR="006D67D4">
        <w:t>apparent unauthorized operations</w:t>
      </w:r>
      <w:r w:rsidR="00F750AC">
        <w:t>.</w:t>
      </w:r>
      <w:r>
        <w:rPr>
          <w:rStyle w:val="FootnoteReference"/>
        </w:rPr>
        <w:footnoteReference w:id="10"/>
      </w:r>
    </w:p>
    <w:p w14:paraId="440A8702" w14:textId="6CFB06AA" w:rsidR="00D151F1" w:rsidRDefault="00F750AC" w:rsidP="008F020D">
      <w:pPr>
        <w:pStyle w:val="ParaNum"/>
      </w:pPr>
      <w:r>
        <w:t>Midessa</w:t>
      </w:r>
      <w:r w:rsidR="005D1FF1">
        <w:t xml:space="preserve"> responded </w:t>
      </w:r>
      <w:r w:rsidR="00D151F1">
        <w:t xml:space="preserve">on </w:t>
      </w:r>
      <w:r>
        <w:t xml:space="preserve">January 31, </w:t>
      </w:r>
      <w:r w:rsidR="0010358C">
        <w:t>2014</w:t>
      </w:r>
      <w:r w:rsidR="005D1FF1">
        <w:t>, and</w:t>
      </w:r>
      <w:r w:rsidR="00957BAD">
        <w:t xml:space="preserve"> </w:t>
      </w:r>
      <w:r w:rsidR="00785DD0">
        <w:t>admitted</w:t>
      </w:r>
      <w:r w:rsidR="00D151F1">
        <w:t xml:space="preserve"> that </w:t>
      </w:r>
      <w:r w:rsidR="007252BA">
        <w:t xml:space="preserve">it operated three BAS </w:t>
      </w:r>
      <w:r w:rsidR="00E50B73">
        <w:t>facilities</w:t>
      </w:r>
      <w:r w:rsidR="007252BA">
        <w:t xml:space="preserve"> with</w:t>
      </w:r>
      <w:r w:rsidR="00062577">
        <w:t>out authorization and</w:t>
      </w:r>
      <w:r w:rsidR="007252BA">
        <w:t xml:space="preserve"> failed to operate six BAS </w:t>
      </w:r>
      <w:r w:rsidR="00E50B73">
        <w:t>facilities</w:t>
      </w:r>
      <w:r w:rsidR="007252BA">
        <w:t xml:space="preserve"> in accordance with </w:t>
      </w:r>
      <w:r w:rsidR="00E50B73">
        <w:t xml:space="preserve">their respective </w:t>
      </w:r>
      <w:r w:rsidR="007252BA">
        <w:t>authorization</w:t>
      </w:r>
      <w:r w:rsidR="006D67D4">
        <w:t>s</w:t>
      </w:r>
      <w:r w:rsidR="007252BA">
        <w:t>.</w:t>
      </w:r>
      <w:r w:rsidR="007252BA">
        <w:rPr>
          <w:rStyle w:val="FootnoteReference"/>
        </w:rPr>
        <w:footnoteReference w:id="11"/>
      </w:r>
      <w:r w:rsidR="007252BA">
        <w:t xml:space="preserve">  </w:t>
      </w:r>
      <w:r w:rsidR="00C30574">
        <w:t>Midessa noted that it l</w:t>
      </w:r>
      <w:r w:rsidR="005D1FF1">
        <w:t>earned of the violations in May</w:t>
      </w:r>
      <w:r w:rsidR="00C30574">
        <w:t xml:space="preserve"> 2012</w:t>
      </w:r>
      <w:r w:rsidR="002D6685">
        <w:t xml:space="preserve"> in the course of conducting an audit of its BAS facilities.</w:t>
      </w:r>
      <w:r w:rsidR="002D6685">
        <w:rPr>
          <w:rStyle w:val="FootnoteReference"/>
        </w:rPr>
        <w:footnoteReference w:id="12"/>
      </w:r>
      <w:r w:rsidR="002D6685">
        <w:t xml:space="preserve">  </w:t>
      </w:r>
      <w:r w:rsidR="007252BA">
        <w:t>Midessa stated that,</w:t>
      </w:r>
      <w:r w:rsidR="007252BA" w:rsidRPr="00680FE7">
        <w:t xml:space="preserve"> </w:t>
      </w:r>
      <w:r w:rsidR="007252BA">
        <w:t>even after interviewing former station staff, it</w:t>
      </w:r>
      <w:r w:rsidR="007252BA" w:rsidRPr="00680FE7">
        <w:t xml:space="preserve"> could not identify</w:t>
      </w:r>
      <w:r w:rsidR="007252BA">
        <w:t xml:space="preserve"> the</w:t>
      </w:r>
      <w:r w:rsidR="007252BA" w:rsidRPr="00680FE7">
        <w:t xml:space="preserve"> exact dates </w:t>
      </w:r>
      <w:r w:rsidR="007252BA">
        <w:t xml:space="preserve">the violations occurred, </w:t>
      </w:r>
      <w:r w:rsidR="007252BA" w:rsidRPr="00680FE7">
        <w:t>but</w:t>
      </w:r>
      <w:r w:rsidR="007252BA">
        <w:t xml:space="preserve"> that they </w:t>
      </w:r>
      <w:r w:rsidR="005D1FF1">
        <w:t xml:space="preserve">probably </w:t>
      </w:r>
      <w:r w:rsidR="007252BA" w:rsidRPr="00680FE7">
        <w:t xml:space="preserve">were ongoing </w:t>
      </w:r>
      <w:r w:rsidR="007252BA">
        <w:t xml:space="preserve">at various times </w:t>
      </w:r>
      <w:r w:rsidR="007252BA" w:rsidRPr="00680FE7">
        <w:t>for at least four years</w:t>
      </w:r>
      <w:r w:rsidR="007252BA">
        <w:t>.</w:t>
      </w:r>
      <w:r w:rsidR="00B04087">
        <w:rPr>
          <w:rStyle w:val="FootnoteReference"/>
        </w:rPr>
        <w:footnoteReference w:id="13"/>
      </w:r>
      <w:r w:rsidR="007252BA">
        <w:t xml:space="preserve">  Further, </w:t>
      </w:r>
      <w:r w:rsidR="00BD23E5">
        <w:t>Midessa</w:t>
      </w:r>
      <w:r w:rsidR="007252BA">
        <w:t xml:space="preserve"> </w:t>
      </w:r>
      <w:r w:rsidR="005B3AE8">
        <w:t xml:space="preserve">stated that it </w:t>
      </w:r>
      <w:r w:rsidR="007252BA">
        <w:t xml:space="preserve">could not rule out the possibility that some of </w:t>
      </w:r>
      <w:r w:rsidR="005D1FF1">
        <w:t xml:space="preserve">the </w:t>
      </w:r>
      <w:r w:rsidR="007252BA">
        <w:t>stations were noncompliant at the time</w:t>
      </w:r>
      <w:r w:rsidR="006D67D4">
        <w:t>s</w:t>
      </w:r>
      <w:r w:rsidR="007252BA">
        <w:t xml:space="preserve"> of their acquisition</w:t>
      </w:r>
      <w:r w:rsidR="006D67D4">
        <w:t>s</w:t>
      </w:r>
      <w:r w:rsidR="007252BA">
        <w:t xml:space="preserve"> in 1991</w:t>
      </w:r>
      <w:r w:rsidR="00F2247B">
        <w:t xml:space="preserve"> and 2001</w:t>
      </w:r>
      <w:r w:rsidR="007252BA">
        <w:t>.</w:t>
      </w:r>
      <w:r w:rsidR="00B04087">
        <w:rPr>
          <w:rStyle w:val="FootnoteReference"/>
        </w:rPr>
        <w:footnoteReference w:id="14"/>
      </w:r>
      <w:r w:rsidR="007252BA">
        <w:t xml:space="preserve">  </w:t>
      </w:r>
    </w:p>
    <w:p w14:paraId="62EA40B3" w14:textId="77777777" w:rsidR="00D151F1" w:rsidRDefault="00D151F1" w:rsidP="00367B25">
      <w:pPr>
        <w:pStyle w:val="Heading1"/>
      </w:pPr>
      <w:r>
        <w:t>DISCUSSION</w:t>
      </w:r>
    </w:p>
    <w:p w14:paraId="4FC0FF39" w14:textId="77777777" w:rsidR="00D151F1" w:rsidRPr="002372FD" w:rsidRDefault="00D151F1" w:rsidP="008F020D">
      <w:pPr>
        <w:pStyle w:val="Heading2"/>
      </w:pPr>
      <w:r w:rsidRPr="002372FD">
        <w:t xml:space="preserve">Operation of </w:t>
      </w:r>
      <w:r w:rsidR="00477C4A">
        <w:t>Unauthorized BAS Licenses</w:t>
      </w:r>
    </w:p>
    <w:p w14:paraId="3A0C12A3" w14:textId="0861FEC7" w:rsidR="00D151F1" w:rsidRPr="006E28F8" w:rsidRDefault="00D151F1" w:rsidP="008F020D">
      <w:pPr>
        <w:pStyle w:val="ParaNum"/>
        <w:widowControl/>
      </w:pPr>
      <w:r w:rsidRPr="006E28F8">
        <w:t xml:space="preserve">Section 301 of the </w:t>
      </w:r>
      <w:r>
        <w:t>Act</w:t>
      </w:r>
      <w:r>
        <w:rPr>
          <w:rStyle w:val="FootnoteReference"/>
        </w:rPr>
        <w:footnoteReference w:id="15"/>
      </w:r>
      <w:r w:rsidRPr="006E28F8">
        <w:t xml:space="preserve"> and Section 1.903(a) of the Rules</w:t>
      </w:r>
      <w:r w:rsidR="00CA0A6A">
        <w:rPr>
          <w:rStyle w:val="FootnoteReference"/>
        </w:rPr>
        <w:footnoteReference w:id="16"/>
      </w:r>
      <w:r w:rsidRPr="006E28F8">
        <w:t xml:space="preserve"> prohibit the use or operation of any apparatus for the transmission of energy or communications or signals by radio except under, and in accordance with, a Commission-granted authorization.  </w:t>
      </w:r>
      <w:r w:rsidR="005F4058">
        <w:rPr>
          <w:color w:val="000000"/>
          <w:spacing w:val="-2"/>
          <w:szCs w:val="22"/>
          <w:u w:color="000000"/>
        </w:rPr>
        <w:t>Section 301 of the Act requires that “</w:t>
      </w:r>
      <w:r w:rsidR="005F4058">
        <w:rPr>
          <w:iCs/>
          <w:color w:val="000000"/>
          <w:u w:color="000000"/>
        </w:rPr>
        <w:t>[n]o person shall use or operate any apparatus for the transmission of energy or communications or signals by radio … except under and in accordance with this Act and with a license in that behalf granted under the provisions of this Act.”</w:t>
      </w:r>
      <w:r w:rsidR="00CA0A6A">
        <w:rPr>
          <w:rStyle w:val="FootnoteReference"/>
          <w:iCs/>
          <w:u w:color="000000"/>
        </w:rPr>
        <w:footnoteReference w:id="17"/>
      </w:r>
      <w:r w:rsidR="005F4058">
        <w:rPr>
          <w:color w:val="000000"/>
          <w:spacing w:val="-2"/>
          <w:szCs w:val="22"/>
          <w:u w:color="000000"/>
        </w:rPr>
        <w:t xml:space="preserve">  </w:t>
      </w:r>
      <w:r w:rsidR="00B92014" w:rsidRPr="00B92014">
        <w:t xml:space="preserve">Section 1.947(a) of the Rules </w:t>
      </w:r>
      <w:r w:rsidR="006D67D4">
        <w:t>states</w:t>
      </w:r>
      <w:r w:rsidR="006D67D4" w:rsidRPr="00B92014">
        <w:t xml:space="preserve"> </w:t>
      </w:r>
      <w:r w:rsidR="00B92014" w:rsidRPr="00B92014">
        <w:t xml:space="preserve">that all </w:t>
      </w:r>
      <w:r w:rsidR="005D1FF1">
        <w:t>“</w:t>
      </w:r>
      <w:r w:rsidR="00B92014" w:rsidRPr="00B92014">
        <w:t>major modifications</w:t>
      </w:r>
      <w:r w:rsidR="005D1FF1">
        <w:t>”</w:t>
      </w:r>
      <w:r w:rsidR="00B92014" w:rsidRPr="00B92014">
        <w:t xml:space="preserve"> </w:t>
      </w:r>
      <w:r w:rsidR="005D1FF1">
        <w:t xml:space="preserve">to BAS licenses </w:t>
      </w:r>
      <w:r w:rsidR="00B92014" w:rsidRPr="00B92014">
        <w:t>require prior Commission approval.</w:t>
      </w:r>
      <w:r w:rsidR="00B92014">
        <w:rPr>
          <w:rStyle w:val="FootnoteReference"/>
        </w:rPr>
        <w:footnoteReference w:id="18"/>
      </w:r>
      <w:r w:rsidR="00044874">
        <w:t xml:space="preserve"> </w:t>
      </w:r>
      <w:r w:rsidR="004924BE">
        <w:t xml:space="preserve"> </w:t>
      </w:r>
      <w:r w:rsidR="009047A8" w:rsidRPr="00F02738">
        <w:t xml:space="preserve">Section 1.929(d)(1) </w:t>
      </w:r>
      <w:r w:rsidR="00700405">
        <w:t xml:space="preserve">of the Rules </w:t>
      </w:r>
      <w:r w:rsidR="009047A8" w:rsidRPr="00F02738">
        <w:t xml:space="preserve">specifies that </w:t>
      </w:r>
      <w:r w:rsidR="005F4058">
        <w:t xml:space="preserve">the types of </w:t>
      </w:r>
      <w:r w:rsidR="005F4058">
        <w:lastRenderedPageBreak/>
        <w:t>modifications that occurred here—</w:t>
      </w:r>
      <w:r w:rsidR="009047A8" w:rsidRPr="00F02738">
        <w:t>ch</w:t>
      </w:r>
      <w:r w:rsidR="00700405">
        <w:t xml:space="preserve">anges to television BAS </w:t>
      </w:r>
      <w:r w:rsidR="009047A8" w:rsidRPr="00F02738">
        <w:t>coordinates, frequency, bandwidth, antenna height,</w:t>
      </w:r>
      <w:r w:rsidR="00700405">
        <w:t xml:space="preserve"> and emission type</w:t>
      </w:r>
      <w:r w:rsidR="005F4058">
        <w:t>—</w:t>
      </w:r>
      <w:r w:rsidR="004924BE">
        <w:t>are</w:t>
      </w:r>
      <w:r w:rsidR="009047A8" w:rsidRPr="00F02738">
        <w:t xml:space="preserve"> </w:t>
      </w:r>
      <w:r w:rsidR="003D3383">
        <w:t>considered</w:t>
      </w:r>
      <w:r w:rsidR="009047A8" w:rsidRPr="00F02738">
        <w:t xml:space="preserve"> major modifications</w:t>
      </w:r>
      <w:r w:rsidR="009047A8">
        <w:t>.</w:t>
      </w:r>
      <w:r w:rsidR="009047A8">
        <w:rPr>
          <w:rStyle w:val="FootnoteReference"/>
        </w:rPr>
        <w:footnoteReference w:id="19"/>
      </w:r>
      <w:r w:rsidR="00044874">
        <w:t xml:space="preserve"> </w:t>
      </w:r>
    </w:p>
    <w:p w14:paraId="7C33C463" w14:textId="622BC6BA" w:rsidR="00D151F1" w:rsidRDefault="00D151F1" w:rsidP="008F020D">
      <w:pPr>
        <w:pStyle w:val="ParaNum"/>
      </w:pPr>
      <w:r w:rsidRPr="006E28F8">
        <w:t xml:space="preserve">As a Commission licensee, </w:t>
      </w:r>
      <w:r w:rsidR="003E59C5">
        <w:t>Midessa</w:t>
      </w:r>
      <w:r w:rsidRPr="006E28F8">
        <w:t xml:space="preserve"> was required to maintain</w:t>
      </w:r>
      <w:r w:rsidR="00E50B73">
        <w:t xml:space="preserve"> and operate</w:t>
      </w:r>
      <w:r w:rsidRPr="006E28F8">
        <w:t xml:space="preserve"> its </w:t>
      </w:r>
      <w:r w:rsidR="003E59C5">
        <w:t xml:space="preserve">BAS </w:t>
      </w:r>
      <w:r w:rsidR="00E50B73">
        <w:t xml:space="preserve">facilities </w:t>
      </w:r>
      <w:r w:rsidR="00477C4A">
        <w:t xml:space="preserve">as authorized </w:t>
      </w:r>
      <w:r w:rsidR="003E59C5">
        <w:t>in order to continue to operate</w:t>
      </w:r>
      <w:r w:rsidRPr="006E28F8">
        <w:t>.</w:t>
      </w:r>
      <w:r w:rsidR="009A3ED8">
        <w:t xml:space="preserve">  </w:t>
      </w:r>
      <w:r w:rsidR="003E59C5">
        <w:t>Midessa</w:t>
      </w:r>
      <w:r>
        <w:t xml:space="preserve"> </w:t>
      </w:r>
      <w:r w:rsidR="003E59C5">
        <w:t xml:space="preserve">admitted that it </w:t>
      </w:r>
      <w:r w:rsidR="003E59C5" w:rsidRPr="003E59C5">
        <w:t xml:space="preserve">operated three BAS </w:t>
      </w:r>
      <w:r w:rsidR="00E50B73">
        <w:t>facilities</w:t>
      </w:r>
      <w:r w:rsidR="003E59C5" w:rsidRPr="003E59C5">
        <w:t xml:space="preserve"> without an authorization and that it operate</w:t>
      </w:r>
      <w:r w:rsidR="00235F7D">
        <w:t>d</w:t>
      </w:r>
      <w:r w:rsidR="003E59C5" w:rsidRPr="003E59C5">
        <w:t xml:space="preserve"> six </w:t>
      </w:r>
      <w:r w:rsidR="00E50B73">
        <w:t xml:space="preserve">other </w:t>
      </w:r>
      <w:r w:rsidR="003E59C5" w:rsidRPr="003E59C5">
        <w:t xml:space="preserve">BAS </w:t>
      </w:r>
      <w:r w:rsidR="00E50B73">
        <w:t>facilities</w:t>
      </w:r>
      <w:r w:rsidR="003E59C5" w:rsidRPr="003E59C5">
        <w:t xml:space="preserve"> </w:t>
      </w:r>
      <w:r w:rsidR="00235F7D">
        <w:t>at variance with their authorizations</w:t>
      </w:r>
      <w:r w:rsidR="00F40161">
        <w:t>.</w:t>
      </w:r>
      <w:r w:rsidR="004C149C">
        <w:rPr>
          <w:rStyle w:val="FootnoteReference"/>
        </w:rPr>
        <w:footnoteReference w:id="20"/>
      </w:r>
      <w:r w:rsidR="00F40161">
        <w:t xml:space="preserve">  In addition, </w:t>
      </w:r>
      <w:r w:rsidR="004C149C">
        <w:t xml:space="preserve">although Midessa is not clear as to the precise duration of the violations, it </w:t>
      </w:r>
      <w:r w:rsidR="00F40161">
        <w:t xml:space="preserve">admitted </w:t>
      </w:r>
      <w:r w:rsidRPr="006E28F8">
        <w:t xml:space="preserve">that it continued to operate the </w:t>
      </w:r>
      <w:r w:rsidR="00F40161">
        <w:t xml:space="preserve">BAS </w:t>
      </w:r>
      <w:r w:rsidR="00E50B73">
        <w:t xml:space="preserve">facilities </w:t>
      </w:r>
      <w:r w:rsidRPr="006E28F8">
        <w:t xml:space="preserve">without Commission authority </w:t>
      </w:r>
      <w:r w:rsidR="004C149C">
        <w:t xml:space="preserve">from May 2012, when it claimed to have first learned of the violations, until </w:t>
      </w:r>
      <w:r w:rsidR="008F2EF1">
        <w:t>April 23, 2013</w:t>
      </w:r>
      <w:r w:rsidR="004C149C">
        <w:t xml:space="preserve">, when </w:t>
      </w:r>
      <w:r w:rsidR="001779E0">
        <w:t xml:space="preserve">it submitted its applications.  </w:t>
      </w:r>
      <w:r w:rsidR="004C149C">
        <w:t>Moreover, Midessa conceded that some of the stations may have been operated in violation of the Rules f</w:t>
      </w:r>
      <w:r w:rsidR="005F25EF">
        <w:t xml:space="preserve">or </w:t>
      </w:r>
      <w:r w:rsidR="004C149C">
        <w:t xml:space="preserve">at least four, but possibly </w:t>
      </w:r>
      <w:r w:rsidR="003D3383">
        <w:t>as many as</w:t>
      </w:r>
      <w:r w:rsidR="003E59C5">
        <w:t xml:space="preserve"> twenty-two years</w:t>
      </w:r>
      <w:r w:rsidR="004C149C">
        <w:t xml:space="preserve">. </w:t>
      </w:r>
      <w:r w:rsidRPr="006E28F8">
        <w:t xml:space="preserve"> </w:t>
      </w:r>
      <w:r w:rsidR="00CB71DE">
        <w:t xml:space="preserve">By operating three stations </w:t>
      </w:r>
      <w:r w:rsidR="005F4058">
        <w:t>(</w:t>
      </w:r>
      <w:r w:rsidR="005F4058" w:rsidRPr="00707EEB">
        <w:t xml:space="preserve">WQRY297, </w:t>
      </w:r>
      <w:r w:rsidR="005F4058">
        <w:t>WQRY299</w:t>
      </w:r>
      <w:r w:rsidR="009C4A40">
        <w:t>,</w:t>
      </w:r>
      <w:r w:rsidR="005F4058">
        <w:t xml:space="preserve"> and WQRY300) </w:t>
      </w:r>
      <w:r w:rsidR="00CB71DE">
        <w:t xml:space="preserve">without an authorization, </w:t>
      </w:r>
      <w:r w:rsidR="009675F3">
        <w:t xml:space="preserve">Midessa apparently violated Section 301 of the Act and Section 1.903(a) of the Rules; </w:t>
      </w:r>
      <w:r w:rsidR="00CB71DE">
        <w:t xml:space="preserve">and </w:t>
      </w:r>
      <w:r w:rsidR="005F4058">
        <w:t xml:space="preserve">by </w:t>
      </w:r>
      <w:r w:rsidR="002E1DF3">
        <w:t>operating</w:t>
      </w:r>
      <w:r w:rsidR="00CB71DE">
        <w:t xml:space="preserve"> six </w:t>
      </w:r>
      <w:r w:rsidR="00720D57">
        <w:t xml:space="preserve">other </w:t>
      </w:r>
      <w:r w:rsidR="00CB71DE">
        <w:t>stations</w:t>
      </w:r>
      <w:r w:rsidR="005F4058">
        <w:t xml:space="preserve"> (</w:t>
      </w:r>
      <w:r w:rsidR="00CB71DE">
        <w:t xml:space="preserve">KWT86, KWT87, </w:t>
      </w:r>
      <w:r w:rsidR="00CB71DE" w:rsidRPr="00707EEB">
        <w:t>K</w:t>
      </w:r>
      <w:r w:rsidR="00CB71DE">
        <w:t>W</w:t>
      </w:r>
      <w:r w:rsidR="00CB71DE" w:rsidRPr="00707EEB">
        <w:t>U20, WLE595, WLE613</w:t>
      </w:r>
      <w:r w:rsidR="009C4A40">
        <w:t>,</w:t>
      </w:r>
      <w:r w:rsidR="00CB71DE" w:rsidRPr="00707EEB">
        <w:t xml:space="preserve"> and WLG239</w:t>
      </w:r>
      <w:r w:rsidR="005F4058">
        <w:t>)</w:t>
      </w:r>
      <w:r w:rsidR="00477C4A">
        <w:t xml:space="preserve"> </w:t>
      </w:r>
      <w:r w:rsidR="002E1DF3">
        <w:t>at variance</w:t>
      </w:r>
      <w:r w:rsidR="00CB71DE">
        <w:t xml:space="preserve"> with </w:t>
      </w:r>
      <w:r w:rsidR="00424D5D">
        <w:t xml:space="preserve">their </w:t>
      </w:r>
      <w:r w:rsidR="00E50B73">
        <w:t xml:space="preserve">respective </w:t>
      </w:r>
      <w:r w:rsidR="00CB71DE">
        <w:t>authorizations,</w:t>
      </w:r>
      <w:r w:rsidR="00F40161">
        <w:t xml:space="preserve"> </w:t>
      </w:r>
      <w:r w:rsidR="00CB71DE">
        <w:t xml:space="preserve">Midessa </w:t>
      </w:r>
      <w:r>
        <w:t>a</w:t>
      </w:r>
      <w:r w:rsidRPr="006E28F8">
        <w:t>pparently violated Section 301 of the Act and Section</w:t>
      </w:r>
      <w:r w:rsidR="003E59C5">
        <w:t xml:space="preserve"> 1.947(a) </w:t>
      </w:r>
      <w:r w:rsidRPr="006E28F8">
        <w:t>of the Rules</w:t>
      </w:r>
      <w:r w:rsidR="00CB71DE">
        <w:t>.</w:t>
      </w:r>
      <w:r>
        <w:rPr>
          <w:rStyle w:val="FootnoteReference"/>
        </w:rPr>
        <w:footnoteReference w:id="21"/>
      </w:r>
      <w:r w:rsidRPr="006E28F8">
        <w:t xml:space="preserve"> </w:t>
      </w:r>
    </w:p>
    <w:p w14:paraId="69020D9D" w14:textId="77777777" w:rsidR="00D151F1" w:rsidRPr="006E28F8" w:rsidRDefault="00D151F1" w:rsidP="00367B25">
      <w:pPr>
        <w:pStyle w:val="Heading2"/>
      </w:pPr>
      <w:r>
        <w:t>Proposed Forfeiture</w:t>
      </w:r>
    </w:p>
    <w:p w14:paraId="0ED11F6C" w14:textId="2A630436" w:rsidR="00D151F1" w:rsidRPr="006E28F8" w:rsidRDefault="00D151F1" w:rsidP="008F020D">
      <w:pPr>
        <w:pStyle w:val="ParaNum"/>
      </w:pPr>
      <w:r w:rsidRPr="006740E7">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6740E7">
        <w:rPr>
          <w:rStyle w:val="FootnoteReference"/>
          <w:color w:val="000000"/>
          <w:spacing w:val="-3"/>
          <w:szCs w:val="22"/>
        </w:rPr>
        <w:footnoteReference w:id="22"/>
      </w:r>
      <w:r w:rsidR="009A3ED8">
        <w:t xml:space="preserve">  </w:t>
      </w:r>
      <w:r w:rsidRPr="006740E7">
        <w:t>Section 312(f)(1) of the Act defines “willful” as the “conscious and deliberate commission or omission of [any] act, irrespective of any intent to violate” the law.</w:t>
      </w:r>
      <w:bookmarkStart w:id="1" w:name="_Ref396137605"/>
      <w:r w:rsidRPr="006740E7">
        <w:rPr>
          <w:rStyle w:val="FootnoteReference"/>
          <w:color w:val="000000"/>
          <w:spacing w:val="-3"/>
          <w:szCs w:val="22"/>
        </w:rPr>
        <w:footnoteReference w:id="23"/>
      </w:r>
      <w:bookmarkEnd w:id="1"/>
      <w:r w:rsidRPr="006740E7">
        <w:t xml:space="preserve">  The Commission may also assess a forfeiture for violations that are merely repeated, and not willful.</w:t>
      </w:r>
      <w:r w:rsidRPr="006740E7">
        <w:rPr>
          <w:rStyle w:val="FootnoteReference"/>
          <w:color w:val="000000"/>
          <w:szCs w:val="22"/>
        </w:rPr>
        <w:footnoteReference w:id="24"/>
      </w:r>
      <w:r w:rsidRPr="006740E7">
        <w:t xml:space="preserve">  The term “repeated” means the commission or omission of such act more than once or for more than one day.</w:t>
      </w:r>
      <w:r w:rsidRPr="006740E7">
        <w:rPr>
          <w:rStyle w:val="FootnoteReference"/>
          <w:color w:val="000000"/>
          <w:spacing w:val="-3"/>
          <w:szCs w:val="22"/>
        </w:rPr>
        <w:footnoteReference w:id="25"/>
      </w:r>
      <w:r>
        <w:t xml:space="preserve">  </w:t>
      </w:r>
      <w:r w:rsidR="009A3ED8">
        <w:t xml:space="preserve">Based on the record before us, </w:t>
      </w:r>
      <w:r w:rsidR="00477C4A">
        <w:t>Midessa’s</w:t>
      </w:r>
      <w:r>
        <w:t xml:space="preserve"> </w:t>
      </w:r>
      <w:r w:rsidRPr="006E28F8">
        <w:t>apparent viola</w:t>
      </w:r>
      <w:r w:rsidR="00477C4A">
        <w:t>tions of Section 301 of the Act</w:t>
      </w:r>
      <w:r w:rsidRPr="006E28F8">
        <w:t xml:space="preserve"> </w:t>
      </w:r>
      <w:r w:rsidR="00477C4A">
        <w:t xml:space="preserve">and </w:t>
      </w:r>
      <w:r w:rsidRPr="006E28F8">
        <w:t>Section</w:t>
      </w:r>
      <w:r w:rsidR="00477C4A">
        <w:t>s</w:t>
      </w:r>
      <w:r w:rsidRPr="006E28F8">
        <w:t xml:space="preserve"> 1.903(a)</w:t>
      </w:r>
      <w:r w:rsidR="00477C4A">
        <w:t xml:space="preserve"> and 1.947(a) of the Rules</w:t>
      </w:r>
      <w:r w:rsidRPr="006E28F8">
        <w:t xml:space="preserve"> are both willful and repeated.</w:t>
      </w:r>
    </w:p>
    <w:p w14:paraId="07AF2E7B" w14:textId="02781D1F" w:rsidR="00D151F1" w:rsidRDefault="00D151F1" w:rsidP="008F020D">
      <w:pPr>
        <w:pStyle w:val="ParaNum"/>
      </w:pPr>
      <w:r w:rsidRPr="006E28F8">
        <w:t>In determining the appropriate forfeiture amount, Section 503(b)(2)(E) of the Act directs us to consider factors such as “the nature, circumstances, extent, and gravity of the violation and, with respect to the violator, the degree of culpability, any history of prior offenses, ability to pay, and such other matters as justice may require.”</w:t>
      </w:r>
      <w:r w:rsidRPr="006E28F8">
        <w:rPr>
          <w:rStyle w:val="FootnoteReference"/>
        </w:rPr>
        <w:footnoteReference w:id="26"/>
      </w:r>
      <w:r w:rsidRPr="006E28F8">
        <w:t xml:space="preserve">  Section 1.80(b</w:t>
      </w:r>
      <w:r w:rsidRPr="006E28F8">
        <w:rPr>
          <w:spacing w:val="-2"/>
        </w:rPr>
        <w:t>)</w:t>
      </w:r>
      <w:r w:rsidRPr="006E28F8">
        <w:t xml:space="preserve"> of the Rules sets a base forfeiture of $10,000 for operation of a station without Commission authority an</w:t>
      </w:r>
      <w:r w:rsidR="00477C4A">
        <w:t>d a base forfeiture of $4</w:t>
      </w:r>
      <w:r w:rsidRPr="006E28F8">
        <w:t xml:space="preserve">,000 for </w:t>
      </w:r>
      <w:r w:rsidR="005F25EF">
        <w:t xml:space="preserve">unauthorized emissions, </w:t>
      </w:r>
      <w:r w:rsidR="0081301B">
        <w:t>using an unauthorized frequency</w:t>
      </w:r>
      <w:r w:rsidR="009C4A40">
        <w:t>,</w:t>
      </w:r>
      <w:r w:rsidR="0081301B">
        <w:t xml:space="preserve"> and construction or operation at </w:t>
      </w:r>
      <w:r w:rsidR="009A3ED8">
        <w:t xml:space="preserve">an </w:t>
      </w:r>
      <w:r w:rsidR="0081301B">
        <w:t>unauthorized location.</w:t>
      </w:r>
      <w:r w:rsidRPr="006E28F8">
        <w:rPr>
          <w:rStyle w:val="FootnoteReference"/>
        </w:rPr>
        <w:footnoteReference w:id="27"/>
      </w:r>
      <w:r w:rsidRPr="006E28F8">
        <w:t xml:space="preserve"> </w:t>
      </w:r>
      <w:r w:rsidR="00C82129">
        <w:t xml:space="preserve"> Given the apparent violations at issue here, the base forfeiture is $54,000 ($30,000 for the three BAS stations operated without authorization plus $24,000 for the six BAS stations that were not operating as authorized).</w:t>
      </w:r>
      <w:r w:rsidRPr="006E28F8">
        <w:t xml:space="preserve"> </w:t>
      </w:r>
    </w:p>
    <w:p w14:paraId="6696D9A8" w14:textId="55C6E74E" w:rsidR="00E82BF1" w:rsidRDefault="008369C2" w:rsidP="008F020D">
      <w:pPr>
        <w:pStyle w:val="ParaNum"/>
      </w:pPr>
      <w:r>
        <w:t xml:space="preserve">Midessa asserts that a $4,000 base forfeiture should </w:t>
      </w:r>
      <w:r w:rsidR="00CA0B21">
        <w:t>apply</w:t>
      </w:r>
      <w:r>
        <w:t xml:space="preserve"> </w:t>
      </w:r>
      <w:r w:rsidR="0002672D">
        <w:t xml:space="preserve">to </w:t>
      </w:r>
      <w:r>
        <w:t xml:space="preserve">the </w:t>
      </w:r>
      <w:r w:rsidR="00F761A3">
        <w:t xml:space="preserve">three </w:t>
      </w:r>
      <w:r w:rsidR="0002672D">
        <w:t xml:space="preserve">violations for operating BAS </w:t>
      </w:r>
      <w:r w:rsidR="00BD4035">
        <w:t>stations</w:t>
      </w:r>
      <w:r w:rsidR="0002672D">
        <w:t xml:space="preserve"> without authorization</w:t>
      </w:r>
      <w:r w:rsidR="00E50B73">
        <w:t>s</w:t>
      </w:r>
      <w:r>
        <w:t>.</w:t>
      </w:r>
      <w:r>
        <w:rPr>
          <w:rStyle w:val="FootnoteReference"/>
        </w:rPr>
        <w:footnoteReference w:id="28"/>
      </w:r>
      <w:r>
        <w:t xml:space="preserve">  Midessa </w:t>
      </w:r>
      <w:r w:rsidR="00424D5D">
        <w:t>argues that its situation is akin to</w:t>
      </w:r>
      <w:r>
        <w:t xml:space="preserve"> </w:t>
      </w:r>
      <w:r w:rsidRPr="00392B46">
        <w:t>case</w:t>
      </w:r>
      <w:r>
        <w:t xml:space="preserve">s involving </w:t>
      </w:r>
      <w:r w:rsidRPr="00392B46">
        <w:t>BAS studio transmitter link</w:t>
      </w:r>
      <w:r>
        <w:t>s</w:t>
      </w:r>
      <w:r w:rsidRPr="00392B46">
        <w:t xml:space="preserve"> in which the Commission assessed a $4,000</w:t>
      </w:r>
      <w:r>
        <w:t xml:space="preserve">, as opposed to </w:t>
      </w:r>
      <w:r w:rsidR="00BD4035">
        <w:t xml:space="preserve">a </w:t>
      </w:r>
      <w:r>
        <w:t>$10,000,</w:t>
      </w:r>
      <w:r w:rsidRPr="00392B46">
        <w:t xml:space="preserve"> </w:t>
      </w:r>
      <w:r>
        <w:t>penalty</w:t>
      </w:r>
      <w:r w:rsidRPr="00392B46">
        <w:t xml:space="preserve"> after determining that the licensee had color of authority </w:t>
      </w:r>
      <w:r w:rsidR="00CD4CE4">
        <w:t xml:space="preserve">to operate the BAS studio transmitter links </w:t>
      </w:r>
      <w:r w:rsidRPr="00392B46">
        <w:t xml:space="preserve">pursuant to its </w:t>
      </w:r>
      <w:r w:rsidR="00720D57">
        <w:t>existing</w:t>
      </w:r>
      <w:r w:rsidR="00720D57" w:rsidRPr="00392B46">
        <w:t xml:space="preserve"> </w:t>
      </w:r>
      <w:r w:rsidRPr="00392B46">
        <w:t>license for its full-power station.</w:t>
      </w:r>
      <w:r>
        <w:rPr>
          <w:rStyle w:val="FootnoteReference"/>
        </w:rPr>
        <w:footnoteReference w:id="29"/>
      </w:r>
      <w:r w:rsidR="00F35781">
        <w:t xml:space="preserve">  </w:t>
      </w:r>
      <w:r w:rsidR="00392B46">
        <w:t>We disagree</w:t>
      </w:r>
      <w:r w:rsidR="00424D5D">
        <w:t xml:space="preserve">.  </w:t>
      </w:r>
      <w:r w:rsidR="00E50B73">
        <w:t>Our</w:t>
      </w:r>
      <w:r w:rsidR="00392B46" w:rsidRPr="00392B46">
        <w:t xml:space="preserve"> review of Commission precedent</w:t>
      </w:r>
      <w:r w:rsidR="00392B46">
        <w:t xml:space="preserve"> </w:t>
      </w:r>
      <w:r w:rsidR="00424D5D">
        <w:t>shows that the</w:t>
      </w:r>
      <w:r w:rsidR="00CD4CE4">
        <w:t xml:space="preserve"> Bureau’s most recent enforcement actions have</w:t>
      </w:r>
      <w:r w:rsidR="00392B46" w:rsidRPr="00392B46">
        <w:t xml:space="preserve"> consistently </w:t>
      </w:r>
      <w:r w:rsidR="00424D5D">
        <w:t>applied a</w:t>
      </w:r>
      <w:r w:rsidR="00392B46" w:rsidRPr="00392B46">
        <w:t xml:space="preserve"> $10,000 base forfeiture </w:t>
      </w:r>
      <w:r w:rsidR="00BD4035">
        <w:t>for</w:t>
      </w:r>
      <w:r w:rsidR="00424D5D">
        <w:t xml:space="preserve"> unlicensed BAS operations</w:t>
      </w:r>
      <w:r w:rsidR="00CD4CE4">
        <w:t>,</w:t>
      </w:r>
      <w:r w:rsidR="00BD23E5">
        <w:t xml:space="preserve"> even whe</w:t>
      </w:r>
      <w:r w:rsidR="00BD4035">
        <w:t>n</w:t>
      </w:r>
      <w:r w:rsidR="00BD23E5">
        <w:t xml:space="preserve"> the</w:t>
      </w:r>
      <w:r w:rsidR="006319AC">
        <w:t xml:space="preserve"> licensee </w:t>
      </w:r>
      <w:r w:rsidR="006319AC" w:rsidRPr="006319AC">
        <w:t xml:space="preserve">had </w:t>
      </w:r>
      <w:r w:rsidR="006319AC">
        <w:t>a</w:t>
      </w:r>
      <w:r w:rsidR="006319AC" w:rsidRPr="006319AC">
        <w:t xml:space="preserve"> valid license for its </w:t>
      </w:r>
      <w:r w:rsidR="00235F7D">
        <w:t xml:space="preserve">associated </w:t>
      </w:r>
      <w:r w:rsidR="006319AC" w:rsidRPr="006319AC">
        <w:t>full-power station</w:t>
      </w:r>
      <w:r w:rsidR="00392B46">
        <w:t>.</w:t>
      </w:r>
      <w:r w:rsidR="00392B46">
        <w:rPr>
          <w:rStyle w:val="FootnoteReference"/>
        </w:rPr>
        <w:footnoteReference w:id="30"/>
      </w:r>
      <w:r w:rsidR="00392B46" w:rsidRPr="00392B46">
        <w:t xml:space="preserve"> </w:t>
      </w:r>
    </w:p>
    <w:p w14:paraId="70F1CFE0" w14:textId="7C513515" w:rsidR="00BA1A6B" w:rsidRDefault="00D151F1" w:rsidP="008F020D">
      <w:pPr>
        <w:pStyle w:val="ParaNum"/>
      </w:pPr>
      <w:r>
        <w:t xml:space="preserve">Given </w:t>
      </w:r>
      <w:r w:rsidRPr="006E28F8">
        <w:t xml:space="preserve">the totality of the circumstances, and consistent with the </w:t>
      </w:r>
      <w:r w:rsidRPr="0086046B">
        <w:rPr>
          <w:i/>
        </w:rPr>
        <w:t>Forfeiture Policy Statement</w:t>
      </w:r>
      <w:r w:rsidRPr="006E28F8">
        <w:t xml:space="preserve">, we </w:t>
      </w:r>
      <w:r w:rsidR="00BD4035">
        <w:t xml:space="preserve">also </w:t>
      </w:r>
      <w:r w:rsidRPr="006E28F8">
        <w:t>conclude that a</w:t>
      </w:r>
      <w:r>
        <w:t xml:space="preserve">n </w:t>
      </w:r>
      <w:r w:rsidRPr="006E28F8">
        <w:t xml:space="preserve">upward adjustment of </w:t>
      </w:r>
      <w:r w:rsidR="00C82129">
        <w:t>$32,400</w:t>
      </w:r>
      <w:r w:rsidRPr="006E28F8">
        <w:t xml:space="preserve"> is warranted</w:t>
      </w:r>
      <w:r w:rsidR="00455D74">
        <w:t xml:space="preserve"> for the </w:t>
      </w:r>
      <w:r w:rsidR="009C4A40">
        <w:t>extended</w:t>
      </w:r>
      <w:r w:rsidR="00455D74">
        <w:t xml:space="preserve"> duration of the violations</w:t>
      </w:r>
      <w:r w:rsidRPr="006E28F8">
        <w:t>.</w:t>
      </w:r>
      <w:r w:rsidR="009C4A40">
        <w:rPr>
          <w:rStyle w:val="FootnoteReference"/>
        </w:rPr>
        <w:footnoteReference w:id="31"/>
      </w:r>
      <w:r>
        <w:t xml:space="preserve"> </w:t>
      </w:r>
      <w:r w:rsidRPr="006E28F8">
        <w:t xml:space="preserve"> In this regard, we are particularly mindful that </w:t>
      </w:r>
      <w:r w:rsidR="009A3ED8">
        <w:t>Midessa</w:t>
      </w:r>
      <w:r>
        <w:t xml:space="preserve">’s </w:t>
      </w:r>
      <w:r w:rsidR="008369C2">
        <w:t>unlicensed and unauthorized</w:t>
      </w:r>
      <w:r w:rsidR="00B0288B">
        <w:t xml:space="preserve"> operation continued for </w:t>
      </w:r>
      <w:r w:rsidR="009A3ED8">
        <w:t>at least four years</w:t>
      </w:r>
      <w:r w:rsidR="006B42FF">
        <w:t>,</w:t>
      </w:r>
      <w:r w:rsidR="008369C2">
        <w:t xml:space="preserve"> including a substantial period after becoming aware of the violations</w:t>
      </w:r>
      <w:r w:rsidR="00B0288B">
        <w:t>.</w:t>
      </w:r>
      <w:r w:rsidR="00297DCF">
        <w:t xml:space="preserve">  </w:t>
      </w:r>
      <w:r w:rsidR="00785DD0" w:rsidRPr="00785DD0">
        <w:t xml:space="preserve">In applying the applicable statutory factors, we also consider whether there is any basis for a downward adjustment of the proposed forfeiture.  Here, we </w:t>
      </w:r>
      <w:r w:rsidR="00730A2F">
        <w:t xml:space="preserve">do not </w:t>
      </w:r>
      <w:r w:rsidR="00785DD0" w:rsidRPr="00785DD0">
        <w:t xml:space="preserve">find </w:t>
      </w:r>
      <w:r w:rsidR="00730A2F">
        <w:t>a basis for a downward a</w:t>
      </w:r>
      <w:r w:rsidR="00297DCF">
        <w:t>djustment of the proposed penalty</w:t>
      </w:r>
      <w:r w:rsidR="00785DD0" w:rsidRPr="00785DD0">
        <w:t xml:space="preserve">.  </w:t>
      </w:r>
      <w:r w:rsidR="00530DF8" w:rsidRPr="006E28F8">
        <w:t xml:space="preserve">Consistent with Section 301 of the Act, licensees who find themselves out of compliance with the licensing requirements should immediately cease unauthorized operation and seek operating authority </w:t>
      </w:r>
      <w:r w:rsidR="00530DF8">
        <w:t xml:space="preserve">and/or modify their authorizations </w:t>
      </w:r>
      <w:r w:rsidR="00530DF8" w:rsidRPr="006E28F8">
        <w:t>before continuing to operate.</w:t>
      </w:r>
      <w:r w:rsidR="00297DCF">
        <w:rPr>
          <w:rStyle w:val="FootnoteReference"/>
        </w:rPr>
        <w:footnoteReference w:id="32"/>
      </w:r>
      <w:r w:rsidR="00530DF8">
        <w:t xml:space="preserve"> </w:t>
      </w:r>
      <w:r w:rsidR="00785DD0">
        <w:t xml:space="preserve"> Even though Midessa</w:t>
      </w:r>
      <w:r w:rsidR="00785DD0" w:rsidRPr="00785DD0">
        <w:t xml:space="preserve"> disclosed the violations prior t</w:t>
      </w:r>
      <w:r w:rsidR="00785DD0">
        <w:t>o our investigation, Midessa</w:t>
      </w:r>
      <w:r w:rsidR="00785DD0" w:rsidRPr="00785DD0">
        <w:t xml:space="preserve"> acknowledged in its LOI Response that it became aware of the </w:t>
      </w:r>
      <w:r w:rsidR="00785DD0">
        <w:t>violations in May</w:t>
      </w:r>
      <w:r w:rsidR="00297DCF">
        <w:t xml:space="preserve"> </w:t>
      </w:r>
      <w:r w:rsidR="00785DD0" w:rsidRPr="00785DD0">
        <w:t xml:space="preserve">2012, approximately </w:t>
      </w:r>
      <w:r w:rsidR="00785DD0">
        <w:t xml:space="preserve">one year prior to </w:t>
      </w:r>
      <w:r w:rsidR="00297DCF">
        <w:t xml:space="preserve">its disclosure </w:t>
      </w:r>
      <w:r w:rsidR="002D6685">
        <w:t xml:space="preserve">in its </w:t>
      </w:r>
      <w:r w:rsidR="00785DD0">
        <w:t>license applications and modifications</w:t>
      </w:r>
      <w:r w:rsidR="00747958">
        <w:t xml:space="preserve">, yet continued its unauthorized operation of the nine </w:t>
      </w:r>
      <w:r w:rsidR="005B3AE8">
        <w:t xml:space="preserve">BAS </w:t>
      </w:r>
      <w:r w:rsidR="00747958">
        <w:t>stations</w:t>
      </w:r>
      <w:r w:rsidR="0081226F">
        <w:t xml:space="preserve"> in violation of the Act and the Rules</w:t>
      </w:r>
      <w:r w:rsidR="00785DD0">
        <w:t>.</w:t>
      </w:r>
      <w:r w:rsidR="00297DCF">
        <w:rPr>
          <w:rStyle w:val="FootnoteReference"/>
        </w:rPr>
        <w:footnoteReference w:id="33"/>
      </w:r>
      <w:r w:rsidR="00785DD0">
        <w:t xml:space="preserve"> </w:t>
      </w:r>
      <w:r w:rsidR="00A25198">
        <w:t xml:space="preserve"> </w:t>
      </w:r>
      <w:r w:rsidR="00297DCF">
        <w:t xml:space="preserve">Consistent with precedent, </w:t>
      </w:r>
      <w:r w:rsidR="00424D5D">
        <w:t xml:space="preserve">we decline to downwardly adjust the proposed forfeiture in light of </w:t>
      </w:r>
      <w:r w:rsidR="00297DCF">
        <w:t>Midessa’s</w:t>
      </w:r>
      <w:r w:rsidR="00785DD0" w:rsidRPr="00785DD0">
        <w:t xml:space="preserve"> delayed disclosure of the violations</w:t>
      </w:r>
      <w:r w:rsidR="00F6455E">
        <w:t xml:space="preserve"> and its lengthy unauthorized operation</w:t>
      </w:r>
      <w:r w:rsidR="00785DD0" w:rsidRPr="00785DD0">
        <w:t>.</w:t>
      </w:r>
      <w:r w:rsidR="00785DD0" w:rsidRPr="00785DD0">
        <w:rPr>
          <w:vertAlign w:val="superscript"/>
        </w:rPr>
        <w:footnoteReference w:id="34"/>
      </w:r>
      <w:r w:rsidR="00785DD0" w:rsidRPr="00785DD0">
        <w:t xml:space="preserve">  </w:t>
      </w:r>
      <w:r w:rsidR="00530DF8">
        <w:t xml:space="preserve"> </w:t>
      </w:r>
    </w:p>
    <w:p w14:paraId="07C0C076" w14:textId="2FBE3DE3" w:rsidR="00D151F1" w:rsidRPr="00A27DD3" w:rsidRDefault="00D151F1" w:rsidP="008F020D">
      <w:pPr>
        <w:pStyle w:val="ParaNum"/>
      </w:pPr>
      <w:r>
        <w:t>Therefore, after a</w:t>
      </w:r>
      <w:r w:rsidRPr="00B156D6">
        <w:t xml:space="preserve">pplying the </w:t>
      </w:r>
      <w:r w:rsidRPr="00B156D6">
        <w:rPr>
          <w:i/>
        </w:rPr>
        <w:t>Forfeiture Policy Statement</w:t>
      </w:r>
      <w:r w:rsidRPr="00B156D6">
        <w:t xml:space="preserve">, Section 1.80 of the Rules, and the statutory factors, </w:t>
      </w:r>
      <w:r>
        <w:t>and in view of the particular facts and circumstances of this case, w</w:t>
      </w:r>
      <w:r w:rsidR="00BA1A6B">
        <w:t>e conclude that Midessa</w:t>
      </w:r>
      <w:r>
        <w:t xml:space="preserve"> is apparently liable for a </w:t>
      </w:r>
      <w:r w:rsidR="00C82129">
        <w:t xml:space="preserve">total </w:t>
      </w:r>
      <w:r>
        <w:t xml:space="preserve">forfeiture </w:t>
      </w:r>
      <w:r w:rsidR="00C82129">
        <w:t>of</w:t>
      </w:r>
      <w:r>
        <w:t xml:space="preserve"> </w:t>
      </w:r>
      <w:r w:rsidR="00BA1A6B" w:rsidRPr="0053096C">
        <w:rPr>
          <w:szCs w:val="22"/>
        </w:rPr>
        <w:t>$86,4</w:t>
      </w:r>
      <w:r w:rsidRPr="0053096C">
        <w:rPr>
          <w:szCs w:val="22"/>
        </w:rPr>
        <w:t>00</w:t>
      </w:r>
      <w:r>
        <w:rPr>
          <w:szCs w:val="22"/>
        </w:rPr>
        <w:t xml:space="preserve"> </w:t>
      </w:r>
      <w:r w:rsidR="006642E3">
        <w:t>for its</w:t>
      </w:r>
      <w:r>
        <w:t xml:space="preserve"> unauthorized operation of </w:t>
      </w:r>
      <w:r w:rsidR="00700405">
        <w:t xml:space="preserve">three BAS </w:t>
      </w:r>
      <w:r w:rsidR="0042392A">
        <w:t xml:space="preserve">stations </w:t>
      </w:r>
      <w:r w:rsidR="00BA1A6B">
        <w:t>and its failure to operate six additional BAS licenses in accordance with its authorization.</w:t>
      </w:r>
    </w:p>
    <w:p w14:paraId="08A41A8E" w14:textId="77777777" w:rsidR="00D151F1" w:rsidRDefault="00D151F1" w:rsidP="00367B25">
      <w:pPr>
        <w:pStyle w:val="Heading1"/>
      </w:pPr>
      <w:r>
        <w:t>ORDERING CLAUSES</w:t>
      </w:r>
    </w:p>
    <w:p w14:paraId="1A9B6918" w14:textId="3CFD367B" w:rsidR="00D151F1" w:rsidRPr="00ED6E29" w:rsidRDefault="00D151F1" w:rsidP="008F020D">
      <w:pPr>
        <w:pStyle w:val="ParaNum"/>
      </w:pPr>
      <w:r>
        <w:t xml:space="preserve">Accordingly, </w:t>
      </w:r>
      <w:r>
        <w:rPr>
          <w:b/>
        </w:rPr>
        <w:t>IT IS ORDERED</w:t>
      </w:r>
      <w:r>
        <w:t xml:space="preserve"> that, pursuant to Section 503(b) of the Communications Act of 1934, as amended,</w:t>
      </w:r>
      <w:r>
        <w:rPr>
          <w:rStyle w:val="FootnoteReference"/>
          <w:szCs w:val="22"/>
        </w:rPr>
        <w:footnoteReference w:id="35"/>
      </w:r>
      <w:r>
        <w:t xml:space="preserve"> and 1.80 of the Commission’s rules,</w:t>
      </w:r>
      <w:r>
        <w:rPr>
          <w:rStyle w:val="FootnoteReference"/>
          <w:szCs w:val="22"/>
        </w:rPr>
        <w:footnoteReference w:id="36"/>
      </w:r>
      <w:r>
        <w:t xml:space="preserve"> </w:t>
      </w:r>
      <w:r w:rsidR="00BA1A6B">
        <w:t>Midessa Television L</w:t>
      </w:r>
      <w:r w:rsidR="002432DE">
        <w:t xml:space="preserve">imited </w:t>
      </w:r>
      <w:r w:rsidR="00BA1A6B">
        <w:t>P</w:t>
      </w:r>
      <w:r w:rsidR="002432DE">
        <w:t>artnership</w:t>
      </w:r>
      <w:r w:rsidR="00BA1A6B">
        <w:t xml:space="preserve"> </w:t>
      </w:r>
      <w:r w:rsidR="0042392A">
        <w:t xml:space="preserve">is </w:t>
      </w:r>
      <w:r>
        <w:t xml:space="preserve">hereby </w:t>
      </w:r>
      <w:r w:rsidRPr="00D6342F">
        <w:rPr>
          <w:b/>
        </w:rPr>
        <w:t>NOTIFIED</w:t>
      </w:r>
      <w:r>
        <w:t xml:space="preserve"> of its </w:t>
      </w:r>
      <w:r w:rsidRPr="00D6342F">
        <w:rPr>
          <w:b/>
        </w:rPr>
        <w:t>APPARENT LIABILITY FOR A FORFEITURE</w:t>
      </w:r>
      <w:r>
        <w:t xml:space="preserve"> in the amount of </w:t>
      </w:r>
      <w:r w:rsidR="00BA1A6B" w:rsidRPr="0053096C">
        <w:t>eighty-six</w:t>
      </w:r>
      <w:r w:rsidRPr="0053096C">
        <w:t xml:space="preserve"> thousand </w:t>
      </w:r>
      <w:r w:rsidR="00BA1A6B" w:rsidRPr="0053096C">
        <w:t>four hundred dollars ($86,4</w:t>
      </w:r>
      <w:r w:rsidRPr="0053096C">
        <w:t>00)</w:t>
      </w:r>
      <w:r>
        <w:t xml:space="preserve"> for willful and repeated violation of Section 301 of the Communications Act of 1934, as amended,</w:t>
      </w:r>
      <w:r>
        <w:rPr>
          <w:rStyle w:val="FootnoteReference"/>
          <w:szCs w:val="22"/>
        </w:rPr>
        <w:footnoteReference w:id="37"/>
      </w:r>
      <w:r>
        <w:t xml:space="preserve"> </w:t>
      </w:r>
      <w:r w:rsidR="00BA1A6B">
        <w:t xml:space="preserve">and </w:t>
      </w:r>
      <w:r>
        <w:t>Section</w:t>
      </w:r>
      <w:r w:rsidR="00BA1A6B">
        <w:t>s</w:t>
      </w:r>
      <w:r>
        <w:t xml:space="preserve"> 1.903(a) </w:t>
      </w:r>
      <w:r w:rsidR="00BA1A6B">
        <w:t xml:space="preserve">and 1.947(a) </w:t>
      </w:r>
      <w:r>
        <w:t>of the Commission’s rules</w:t>
      </w:r>
      <w:r w:rsidR="00BA1A6B">
        <w:t>.</w:t>
      </w:r>
      <w:r>
        <w:rPr>
          <w:rStyle w:val="FootnoteReference"/>
          <w:szCs w:val="22"/>
        </w:rPr>
        <w:footnoteReference w:id="38"/>
      </w:r>
      <w:r>
        <w:t xml:space="preserve"> </w:t>
      </w:r>
    </w:p>
    <w:p w14:paraId="571B7756" w14:textId="7150CCB8" w:rsidR="00D151F1" w:rsidRPr="00ED6E29" w:rsidRDefault="00D151F1" w:rsidP="008F020D">
      <w:pPr>
        <w:pStyle w:val="ParaNum"/>
      </w:pPr>
      <w:r>
        <w:rPr>
          <w:b/>
        </w:rPr>
        <w:t>IT IS FURTHER ORDERED</w:t>
      </w:r>
      <w:r>
        <w:t xml:space="preserve"> that, pursuant to Section 1.80 of the Commission’s rules,</w:t>
      </w:r>
      <w:r>
        <w:rPr>
          <w:rStyle w:val="FootnoteReference"/>
          <w:szCs w:val="22"/>
        </w:rPr>
        <w:footnoteReference w:id="39"/>
      </w:r>
      <w:r>
        <w:t xml:space="preserve"> within thirty (30) days of the release date of this Notice of Apparent Liability for Forfeiture, </w:t>
      </w:r>
      <w:r w:rsidR="009B6DA2">
        <w:t>Midessa Television L</w:t>
      </w:r>
      <w:r w:rsidR="002432DE">
        <w:t xml:space="preserve">imited </w:t>
      </w:r>
      <w:r w:rsidR="009B6DA2">
        <w:t>P</w:t>
      </w:r>
      <w:r w:rsidR="002432DE">
        <w:t>artnership</w:t>
      </w:r>
      <w:r>
        <w:t xml:space="preserve"> </w:t>
      </w:r>
      <w:r>
        <w:rPr>
          <w:b/>
        </w:rPr>
        <w:t>SHALL PAY</w:t>
      </w:r>
      <w:r>
        <w:t xml:space="preserve"> the full amount of the proposed forfeiture or </w:t>
      </w:r>
      <w:r>
        <w:rPr>
          <w:b/>
        </w:rPr>
        <w:t xml:space="preserve">SHALL FILE </w:t>
      </w:r>
      <w:r>
        <w:t>a written statement seeking reduction or cancellation of the proposed forfeit</w:t>
      </w:r>
      <w:r w:rsidR="0042392A">
        <w:t>ure consistent with paragraph 17</w:t>
      </w:r>
      <w:r>
        <w:t xml:space="preserve"> below.</w:t>
      </w:r>
    </w:p>
    <w:p w14:paraId="53BE123B" w14:textId="49BA8905" w:rsidR="00D151F1" w:rsidRPr="00626BA2" w:rsidRDefault="00D151F1" w:rsidP="008F020D">
      <w:pPr>
        <w:pStyle w:val="ParaNum"/>
        <w:rPr>
          <w:rFonts w:eastAsia="MS Mincho"/>
        </w:rPr>
      </w:pPr>
      <w:r>
        <w:rPr>
          <w:rFonts w:eastAsia="MS Mincho"/>
        </w:rPr>
        <w:t>P</w:t>
      </w:r>
      <w:r w:rsidRPr="00626BA2">
        <w:rPr>
          <w:rFonts w:eastAsia="MS Mincho"/>
        </w:rPr>
        <w:t xml:space="preserve">ayment </w:t>
      </w:r>
      <w:r>
        <w:rPr>
          <w:rFonts w:eastAsia="MS Mincho"/>
        </w:rPr>
        <w:t xml:space="preserve">of the forfeiture </w:t>
      </w:r>
      <w:r w:rsidRPr="00626BA2">
        <w:rPr>
          <w:rFonts w:eastAsia="MS Mincho"/>
        </w:rPr>
        <w:t>must be made by check or similar instrument, wire transfer,</w:t>
      </w:r>
      <w:r>
        <w:rPr>
          <w:rFonts w:eastAsia="MS Mincho"/>
        </w:rPr>
        <w:t xml:space="preserve"> </w:t>
      </w:r>
      <w:r w:rsidRPr="00626BA2">
        <w:rPr>
          <w:rFonts w:eastAsia="MS Mincho"/>
        </w:rPr>
        <w:t xml:space="preserve">or credit card, and must include the NAL/Account </w:t>
      </w:r>
      <w:r>
        <w:rPr>
          <w:rFonts w:eastAsia="MS Mincho"/>
        </w:rPr>
        <w:t>N</w:t>
      </w:r>
      <w:r w:rsidRPr="00626BA2">
        <w:rPr>
          <w:rFonts w:eastAsia="MS Mincho"/>
        </w:rPr>
        <w:t>umber and FRN referenced above.</w:t>
      </w:r>
      <w:r>
        <w:rPr>
          <w:rFonts w:eastAsia="MS Mincho"/>
        </w:rPr>
        <w:t xml:space="preserve">  </w:t>
      </w:r>
      <w:r w:rsidR="009B6DA2">
        <w:rPr>
          <w:rFonts w:eastAsia="MS Mincho"/>
        </w:rPr>
        <w:t>Midessa Television L</w:t>
      </w:r>
      <w:r w:rsidR="002432DE">
        <w:rPr>
          <w:rFonts w:eastAsia="MS Mincho"/>
        </w:rPr>
        <w:t xml:space="preserve">imited </w:t>
      </w:r>
      <w:r w:rsidR="009B6DA2">
        <w:rPr>
          <w:rFonts w:eastAsia="MS Mincho"/>
        </w:rPr>
        <w:t>P</w:t>
      </w:r>
      <w:r w:rsidR="002432DE">
        <w:rPr>
          <w:rFonts w:eastAsia="MS Mincho"/>
        </w:rPr>
        <w:t>artnership</w:t>
      </w:r>
      <w:r>
        <w:rPr>
          <w:rFonts w:eastAsia="MS Mincho"/>
        </w:rPr>
        <w:t xml:space="preserve"> </w:t>
      </w:r>
      <w:r w:rsidRPr="00D72D84">
        <w:rPr>
          <w:rFonts w:eastAsia="MS Mincho"/>
        </w:rPr>
        <w:t xml:space="preserve">shall send electronic notification </w:t>
      </w:r>
      <w:r>
        <w:rPr>
          <w:rFonts w:eastAsia="MS Mincho"/>
        </w:rPr>
        <w:t xml:space="preserve">of payment </w:t>
      </w:r>
      <w:r w:rsidRPr="00D72D84">
        <w:rPr>
          <w:rFonts w:eastAsia="MS Mincho"/>
        </w:rPr>
        <w:t xml:space="preserve">to </w:t>
      </w:r>
      <w:r w:rsidR="00D67F3C">
        <w:rPr>
          <w:rFonts w:eastAsia="MS Mincho"/>
        </w:rPr>
        <w:t>Ricardo Durham</w:t>
      </w:r>
      <w:r>
        <w:rPr>
          <w:rFonts w:eastAsia="MS Mincho"/>
        </w:rPr>
        <w:t xml:space="preserve"> at </w:t>
      </w:r>
      <w:r w:rsidR="00D67F3C">
        <w:rPr>
          <w:rFonts w:eastAsia="MS Mincho"/>
        </w:rPr>
        <w:t>Ricardo.Durham</w:t>
      </w:r>
      <w:r w:rsidRPr="00A46D54">
        <w:rPr>
          <w:rFonts w:eastAsia="MS Mincho"/>
        </w:rPr>
        <w:t>@fcc.gov</w:t>
      </w:r>
      <w:r>
        <w:rPr>
          <w:rFonts w:eastAsia="MS Mincho"/>
        </w:rPr>
        <w:t xml:space="preserve">, </w:t>
      </w:r>
      <w:r w:rsidR="00BA1A6B">
        <w:rPr>
          <w:rFonts w:eastAsia="MS Mincho"/>
        </w:rPr>
        <w:t xml:space="preserve">Josh Zeldis </w:t>
      </w:r>
      <w:r>
        <w:rPr>
          <w:rFonts w:eastAsia="MS Mincho"/>
        </w:rPr>
        <w:t xml:space="preserve">at </w:t>
      </w:r>
      <w:r w:rsidR="00BA1A6B">
        <w:rPr>
          <w:rFonts w:eastAsia="MS Mincho"/>
        </w:rPr>
        <w:t>Josh.Zeldis</w:t>
      </w:r>
      <w:r w:rsidRPr="00A46D54">
        <w:rPr>
          <w:rFonts w:eastAsia="MS Mincho"/>
        </w:rPr>
        <w:t>@fcc.gov</w:t>
      </w:r>
      <w:r>
        <w:rPr>
          <w:rFonts w:eastAsia="MS Mincho"/>
        </w:rPr>
        <w:t xml:space="preserve">, and Samantha Peoples at </w:t>
      </w:r>
      <w:r w:rsidRPr="00A46D54">
        <w:rPr>
          <w:rFonts w:eastAsia="MS Mincho"/>
        </w:rPr>
        <w:t>Sam.Peoples@fcc.gov</w:t>
      </w:r>
      <w:r>
        <w:rPr>
          <w:rFonts w:eastAsia="MS Mincho"/>
        </w:rPr>
        <w:t xml:space="preserve"> </w:t>
      </w:r>
      <w:r w:rsidRPr="00D72D84">
        <w:rPr>
          <w:rFonts w:eastAsia="MS Mincho"/>
        </w:rPr>
        <w:t>on the date said payment is made.</w:t>
      </w:r>
      <w:r>
        <w:rPr>
          <w:rFonts w:eastAsia="MS Mincho"/>
        </w:rPr>
        <w:t xml:space="preserve">  </w:t>
      </w:r>
      <w:r w:rsidRPr="00626BA2">
        <w:rPr>
          <w:rFonts w:eastAsia="MS Mincho"/>
        </w:rPr>
        <w:t xml:space="preserve">Regardless of the form of payment, a completed FCC Form 159 (Remittance Advice) must </w:t>
      </w:r>
      <w:r>
        <w:rPr>
          <w:rFonts w:eastAsia="MS Mincho"/>
        </w:rPr>
        <w:t>be submitted.</w:t>
      </w:r>
      <w:r>
        <w:rPr>
          <w:rStyle w:val="FootnoteReference"/>
          <w:rFonts w:eastAsia="MS Mincho" w:cs="Arial"/>
        </w:rPr>
        <w:footnoteReference w:id="40"/>
      </w:r>
      <w:r>
        <w:rPr>
          <w:rFonts w:eastAsia="MS Mincho"/>
        </w:rPr>
        <w:t xml:space="preserve">  </w:t>
      </w:r>
      <w:r w:rsidRPr="00626BA2">
        <w:rPr>
          <w:rFonts w:eastAsia="MS Mincho"/>
        </w:rPr>
        <w:t>When completing the FCC Form 159, enter the Account Number in block number 23A (call sign/other ID) and enter the letters “FORF” in block number 24A (payment type code).</w:t>
      </w:r>
      <w:r>
        <w:rPr>
          <w:rFonts w:eastAsia="MS Mincho"/>
        </w:rPr>
        <w:t xml:space="preserve">  </w:t>
      </w:r>
      <w:r>
        <w:rPr>
          <w:color w:val="000000"/>
          <w:szCs w:val="22"/>
        </w:rPr>
        <w:t>Below are additional in</w:t>
      </w:r>
      <w:r w:rsidR="00BA1A6B">
        <w:rPr>
          <w:color w:val="000000"/>
          <w:szCs w:val="22"/>
        </w:rPr>
        <w:t xml:space="preserve">structions </w:t>
      </w:r>
      <w:r w:rsidR="00367B25">
        <w:rPr>
          <w:color w:val="000000"/>
          <w:szCs w:val="22"/>
        </w:rPr>
        <w:t xml:space="preserve">that </w:t>
      </w:r>
      <w:r w:rsidR="00367B25" w:rsidRPr="007A1687">
        <w:rPr>
          <w:rFonts w:eastAsia="MS Mincho"/>
        </w:rPr>
        <w:t>Midessa</w:t>
      </w:r>
      <w:r w:rsidR="00367B25">
        <w:rPr>
          <w:rFonts w:eastAsia="MS Mincho"/>
        </w:rPr>
        <w:t xml:space="preserve"> Television L</w:t>
      </w:r>
      <w:r w:rsidR="002432DE">
        <w:rPr>
          <w:rFonts w:eastAsia="MS Mincho"/>
        </w:rPr>
        <w:t xml:space="preserve">imited </w:t>
      </w:r>
      <w:r w:rsidR="00367B25">
        <w:rPr>
          <w:rFonts w:eastAsia="MS Mincho"/>
        </w:rPr>
        <w:t>P</w:t>
      </w:r>
      <w:r w:rsidR="002432DE">
        <w:rPr>
          <w:rFonts w:eastAsia="MS Mincho"/>
        </w:rPr>
        <w:t>artnership</w:t>
      </w:r>
      <w:r w:rsidR="00367B25">
        <w:rPr>
          <w:color w:val="000000"/>
          <w:szCs w:val="22"/>
        </w:rPr>
        <w:t xml:space="preserve"> </w:t>
      </w:r>
      <w:r>
        <w:rPr>
          <w:color w:val="000000"/>
          <w:szCs w:val="22"/>
        </w:rPr>
        <w:t>should follow based on the form of payment it selects:</w:t>
      </w:r>
    </w:p>
    <w:p w14:paraId="3DCE422B" w14:textId="77777777" w:rsidR="00D151F1" w:rsidRPr="00626BA2" w:rsidRDefault="00D151F1" w:rsidP="00367B25">
      <w:pPr>
        <w:pStyle w:val="ParaNum"/>
        <w:numPr>
          <w:ilvl w:val="0"/>
          <w:numId w:val="21"/>
        </w:numPr>
        <w:rPr>
          <w:rFonts w:eastAsia="MS Mincho"/>
        </w:rPr>
      </w:pPr>
      <w:r>
        <w:rPr>
          <w:rFonts w:eastAsia="MS Mincho"/>
        </w:rPr>
        <w:t>P</w:t>
      </w:r>
      <w:r w:rsidRPr="00626BA2">
        <w:rPr>
          <w:rFonts w:eastAsia="MS Mincho"/>
        </w:rPr>
        <w:t>ayment by check or money order must be made payable to the order of the Federal Communications Commission.</w:t>
      </w:r>
      <w:r>
        <w:rPr>
          <w:rFonts w:eastAsia="MS Mincho"/>
        </w:rPr>
        <w:t xml:space="preserve">  </w:t>
      </w:r>
      <w:r w:rsidRPr="00626BA2">
        <w:rPr>
          <w:rFonts w:eastAsia="MS Mincho"/>
        </w:rPr>
        <w:t>Such payments</w:t>
      </w:r>
      <w:r>
        <w:rPr>
          <w:rFonts w:eastAsia="MS Mincho"/>
        </w:rPr>
        <w:t xml:space="preserve"> </w:t>
      </w:r>
      <w:r w:rsidRPr="00626BA2">
        <w:rPr>
          <w:rFonts w:eastAsia="MS Mincho"/>
        </w:rPr>
        <w:t>(along with the completed Form 159)</w:t>
      </w:r>
      <w:r>
        <w:rPr>
          <w:rFonts w:eastAsia="MS Mincho"/>
        </w:rPr>
        <w:t xml:space="preserve"> must</w:t>
      </w:r>
      <w:r w:rsidRPr="00626BA2">
        <w:rPr>
          <w:rFonts w:eastAsia="MS Mincho"/>
        </w:rPr>
        <w:t xml:space="preserve"> be mailed to Federal Communications Commission, P.O. Box 979088, St. Louis, MO 63197-9000, or sent via</w:t>
      </w:r>
      <w:r>
        <w:rPr>
          <w:rFonts w:eastAsia="MS Mincho"/>
        </w:rPr>
        <w:t xml:space="preserve"> </w:t>
      </w:r>
      <w:r w:rsidRPr="00626BA2">
        <w:rPr>
          <w:rFonts w:eastAsia="MS Mincho"/>
        </w:rPr>
        <w:t>overnight mail</w:t>
      </w:r>
      <w:r>
        <w:rPr>
          <w:rFonts w:eastAsia="MS Mincho"/>
        </w:rPr>
        <w:t xml:space="preserve"> </w:t>
      </w:r>
      <w:r w:rsidRPr="00626BA2">
        <w:rPr>
          <w:rFonts w:eastAsia="MS Mincho"/>
        </w:rPr>
        <w:t xml:space="preserve">to U.S. Bank – Government Lockbox #979088, SL-MO-C2-GL, 1005 Convention Plaza, St. Louis, MO 63101. </w:t>
      </w:r>
    </w:p>
    <w:p w14:paraId="2CCD3234" w14:textId="77777777" w:rsidR="00D151F1" w:rsidRPr="00626BA2" w:rsidRDefault="00D151F1" w:rsidP="00367B25">
      <w:pPr>
        <w:pStyle w:val="ParaNum"/>
        <w:numPr>
          <w:ilvl w:val="0"/>
          <w:numId w:val="21"/>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w:t>
      </w:r>
      <w:r>
        <w:rPr>
          <w:rFonts w:eastAsia="MS Mincho"/>
        </w:rPr>
        <w:t xml:space="preserve"> </w:t>
      </w:r>
      <w:r w:rsidRPr="00626BA2">
        <w:rPr>
          <w:rFonts w:eastAsia="MS Mincho"/>
        </w:rPr>
        <w:t xml:space="preserve">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14:paraId="570BD2C6" w14:textId="7836F00F" w:rsidR="00D151F1" w:rsidRPr="00626BA2" w:rsidRDefault="00D151F1" w:rsidP="007A1687">
      <w:pPr>
        <w:pStyle w:val="ParaNum"/>
        <w:widowControl/>
        <w:numPr>
          <w:ilvl w:val="0"/>
          <w:numId w:val="21"/>
        </w:numPr>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w:t>
      </w:r>
      <w:r>
        <w:rPr>
          <w:rFonts w:eastAsia="MS Mincho"/>
        </w:rPr>
        <w:t xml:space="preserve"> </w:t>
      </w:r>
      <w:r w:rsidRPr="00626BA2">
        <w:rPr>
          <w:rFonts w:eastAsia="MS Mincho"/>
        </w:rPr>
        <w:t>and dating</w:t>
      </w:r>
      <w:r>
        <w:rPr>
          <w:rFonts w:eastAsia="MS Mincho"/>
        </w:rPr>
        <w:t xml:space="preserve"> </w:t>
      </w:r>
      <w:r w:rsidRPr="00626BA2">
        <w:rPr>
          <w:rFonts w:eastAsia="MS Mincho"/>
        </w:rPr>
        <w:t>the Form 159 to authorize</w:t>
      </w:r>
      <w:r>
        <w:rPr>
          <w:rFonts w:eastAsia="MS Mincho"/>
        </w:rPr>
        <w:t xml:space="preserve"> </w:t>
      </w:r>
      <w:r w:rsidRPr="00626BA2">
        <w:rPr>
          <w:rFonts w:eastAsia="MS Mincho"/>
        </w:rPr>
        <w:t>the credit card payment.</w:t>
      </w:r>
      <w:r w:rsidR="00367B25">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sent via</w:t>
      </w:r>
      <w:r>
        <w:rPr>
          <w:rFonts w:eastAsia="MS Mincho"/>
        </w:rPr>
        <w:t xml:space="preserve"> </w:t>
      </w:r>
      <w:r w:rsidRPr="00626BA2">
        <w:rPr>
          <w:rFonts w:eastAsia="MS Mincho"/>
        </w:rPr>
        <w:t>overnight mail</w:t>
      </w:r>
      <w:r>
        <w:rPr>
          <w:rFonts w:eastAsia="MS Mincho"/>
        </w:rPr>
        <w:t xml:space="preserve"> </w:t>
      </w:r>
      <w:r w:rsidRPr="00626BA2">
        <w:rPr>
          <w:rFonts w:eastAsia="MS Mincho"/>
        </w:rPr>
        <w:t xml:space="preserve">to U.S. Bank – Government Lockbox #979088, SL-MO-C2-GL, 1005 Convention Plaza, St. Louis, MO 63101. </w:t>
      </w:r>
    </w:p>
    <w:p w14:paraId="7BA1E69E" w14:textId="4627BC0A" w:rsidR="00D151F1" w:rsidRPr="00197635" w:rsidRDefault="00D151F1" w:rsidP="008F020D">
      <w:pPr>
        <w:pStyle w:val="ParaNum"/>
      </w:pPr>
      <w:r>
        <w:rPr>
          <w:rFonts w:eastAsia="MS Mincho"/>
        </w:rPr>
        <w:t>Any r</w:t>
      </w:r>
      <w:r w:rsidRPr="00626BA2">
        <w:rPr>
          <w:rFonts w:eastAsia="MS Mincho"/>
        </w:rPr>
        <w:t xml:space="preserve">equest for </w:t>
      </w:r>
      <w:r w:rsidR="00367B25">
        <w:rPr>
          <w:rFonts w:eastAsia="MS Mincho"/>
        </w:rPr>
        <w:t xml:space="preserve">making </w:t>
      </w:r>
      <w:r w:rsidRPr="00626BA2">
        <w:rPr>
          <w:rFonts w:eastAsia="MS Mincho"/>
        </w:rPr>
        <w:t xml:space="preserve">full payment </w:t>
      </w:r>
      <w:r w:rsidR="00367B25">
        <w:rPr>
          <w:rFonts w:eastAsia="MS Mincho"/>
        </w:rPr>
        <w:t xml:space="preserve">over time </w:t>
      </w:r>
      <w:r w:rsidRPr="009D3176">
        <w:rPr>
          <w:rFonts w:eastAsia="MS Mincho" w:cs="Arial"/>
        </w:rPr>
        <w:t>under</w:t>
      </w:r>
      <w:r w:rsidRPr="00626BA2">
        <w:rPr>
          <w:rFonts w:eastAsia="MS Mincho"/>
        </w:rPr>
        <w:t xml:space="preserve"> an installment plan should be sent to:</w:t>
      </w:r>
      <w:r>
        <w:rPr>
          <w:rFonts w:eastAsia="MS Mincho"/>
        </w:rPr>
        <w:t xml:space="preserve">  </w:t>
      </w:r>
      <w:r w:rsidRPr="00626BA2">
        <w:rPr>
          <w:rFonts w:eastAsia="MS Mincho"/>
        </w:rPr>
        <w:t xml:space="preserve">Chief Financial Officer—Financial Operations, </w:t>
      </w:r>
      <w:r w:rsidRPr="00BF0439">
        <w:rPr>
          <w:rFonts w:eastAsia="MS Mincho" w:cs="Arial"/>
        </w:rPr>
        <w:t>Federal</w:t>
      </w:r>
      <w:r w:rsidRPr="00626BA2">
        <w:rPr>
          <w:rFonts w:eastAsia="MS Mincho"/>
        </w:rPr>
        <w:t xml:space="preserve"> Communications Commission, 445 12th Street, S.W., Room 1-A625, Washington, D.C.</w:t>
      </w:r>
      <w:r>
        <w:rPr>
          <w:rFonts w:eastAsia="MS Mincho"/>
        </w:rPr>
        <w:t xml:space="preserve"> </w:t>
      </w:r>
      <w:r w:rsidRPr="00626BA2">
        <w:rPr>
          <w:rFonts w:eastAsia="MS Mincho"/>
        </w:rPr>
        <w:t xml:space="preserve"> 20554.</w:t>
      </w:r>
      <w:r>
        <w:rPr>
          <w:rStyle w:val="FootnoteReference"/>
          <w:rFonts w:eastAsia="MS Mincho"/>
        </w:rPr>
        <w:footnoteReference w:id="41"/>
      </w:r>
      <w:r>
        <w:rPr>
          <w:rFonts w:eastAsia="MS Mincho"/>
        </w:rPr>
        <w:t xml:space="preserve">  </w:t>
      </w:r>
      <w:r w:rsidRPr="00626BA2">
        <w:rPr>
          <w:rFonts w:eastAsia="MS Mincho"/>
        </w:rPr>
        <w:t xml:space="preserve">If </w:t>
      </w:r>
      <w:r w:rsidR="000E32B7">
        <w:rPr>
          <w:rFonts w:eastAsia="MS Mincho"/>
        </w:rPr>
        <w:t>Midessa Television</w:t>
      </w:r>
      <w:r w:rsidR="00BA1A6B">
        <w:rPr>
          <w:rFonts w:eastAsia="MS Mincho"/>
        </w:rPr>
        <w:t xml:space="preserve"> L</w:t>
      </w:r>
      <w:r w:rsidR="002432DE">
        <w:rPr>
          <w:rFonts w:eastAsia="MS Mincho"/>
        </w:rPr>
        <w:t xml:space="preserve">imited </w:t>
      </w:r>
      <w:r w:rsidR="00BA1A6B">
        <w:rPr>
          <w:rFonts w:eastAsia="MS Mincho"/>
        </w:rPr>
        <w:t>P</w:t>
      </w:r>
      <w:r w:rsidR="002432DE">
        <w:rPr>
          <w:rFonts w:eastAsia="MS Mincho"/>
        </w:rPr>
        <w:t>artnership</w:t>
      </w:r>
      <w:r>
        <w:rPr>
          <w:rFonts w:eastAsia="MS Mincho"/>
        </w:rPr>
        <w:t xml:space="preserve"> </w:t>
      </w:r>
      <w:r w:rsidRPr="00626BA2">
        <w:rPr>
          <w:rFonts w:eastAsia="MS Mincho"/>
        </w:rPr>
        <w:t>ha</w:t>
      </w:r>
      <w:r>
        <w:rPr>
          <w:rFonts w:eastAsia="MS Mincho"/>
        </w:rPr>
        <w:t>s</w:t>
      </w:r>
      <w:r w:rsidRPr="00626BA2">
        <w:rPr>
          <w:rFonts w:eastAsia="MS Mincho"/>
        </w:rPr>
        <w:t xml:space="preserve"> questions regarding payment procedures, please contact the Financial Operations Group Help Desk</w:t>
      </w:r>
      <w:r>
        <w:rPr>
          <w:rFonts w:eastAsia="MS Mincho"/>
        </w:rPr>
        <w:t xml:space="preserve"> </w:t>
      </w:r>
      <w:r w:rsidRPr="00626BA2">
        <w:rPr>
          <w:rFonts w:eastAsia="MS Mincho"/>
        </w:rPr>
        <w:t>by phone,</w:t>
      </w:r>
      <w:r>
        <w:rPr>
          <w:rFonts w:eastAsia="MS Mincho"/>
        </w:rPr>
        <w:t xml:space="preserve"> </w:t>
      </w:r>
      <w:r w:rsidRPr="00626BA2">
        <w:rPr>
          <w:rFonts w:eastAsia="MS Mincho"/>
        </w:rPr>
        <w:t>1-877-480-3201, or</w:t>
      </w:r>
      <w:r>
        <w:rPr>
          <w:rFonts w:eastAsia="MS Mincho"/>
        </w:rPr>
        <w:t xml:space="preserve"> </w:t>
      </w:r>
      <w:r w:rsidRPr="00626BA2">
        <w:rPr>
          <w:rFonts w:eastAsia="MS Mincho"/>
        </w:rPr>
        <w:t>by e</w:t>
      </w:r>
      <w:r>
        <w:rPr>
          <w:rFonts w:eastAsia="MS Mincho"/>
        </w:rPr>
        <w:noBreakHyphen/>
      </w:r>
      <w:r w:rsidRPr="00626BA2">
        <w:rPr>
          <w:rFonts w:eastAsia="MS Mincho"/>
        </w:rPr>
        <w:t>mail,</w:t>
      </w:r>
      <w:r>
        <w:rPr>
          <w:rFonts w:eastAsia="MS Mincho"/>
        </w:rPr>
        <w:t xml:space="preserve"> </w:t>
      </w:r>
      <w:r w:rsidRPr="00197635">
        <w:rPr>
          <w:rFonts w:eastAsia="MS Mincho" w:cs="Arial"/>
        </w:rPr>
        <w:t>ARINQUIRIES@fcc.gov</w:t>
      </w:r>
      <w:r w:rsidRPr="00626BA2">
        <w:rPr>
          <w:rFonts w:eastAsia="MS Mincho"/>
        </w:rPr>
        <w:t>.</w:t>
      </w:r>
    </w:p>
    <w:p w14:paraId="0D1942CC" w14:textId="3592C909" w:rsidR="00367B25" w:rsidRDefault="00D151F1" w:rsidP="008F020D">
      <w:pPr>
        <w:pStyle w:val="ParaNum"/>
      </w:pPr>
      <w:r w:rsidRPr="006E28F8">
        <w:t>The written statement seeking reduction or cancellation of the proposed forfeiture, if any, must include a detailed factual statement supported by appropriate documentation and affidavits purs</w:t>
      </w:r>
      <w:r w:rsidR="00367B25">
        <w:t xml:space="preserve">uant to Sections </w:t>
      </w:r>
      <w:r w:rsidRPr="006E28F8">
        <w:t xml:space="preserve">1.16 </w:t>
      </w:r>
      <w:r w:rsidR="00367B25">
        <w:t xml:space="preserve">and 1.80(f)(3) </w:t>
      </w:r>
      <w:r w:rsidRPr="006E28F8">
        <w:t xml:space="preserve">of the </w:t>
      </w:r>
      <w:r>
        <w:t>Commission’s r</w:t>
      </w:r>
      <w:r w:rsidRPr="006E28F8">
        <w:t>ules.</w:t>
      </w:r>
      <w:r w:rsidRPr="006E28F8">
        <w:rPr>
          <w:rStyle w:val="FootnoteReference"/>
        </w:rPr>
        <w:footnoteReference w:id="42"/>
      </w:r>
      <w:r w:rsidRPr="006E28F8">
        <w:t xml:space="preserve">  The written statement must be mailed to the Office of the Secretary, Federal Communications Commission, 445 12th Street, S.W., Washington, DC 20554, ATTN:  Enforcement Bureau – Spectrum Enforcement Division, and must include the NAL/Account Number referenced in the caption. </w:t>
      </w:r>
      <w:r>
        <w:t xml:space="preserve"> </w:t>
      </w:r>
      <w:r w:rsidRPr="006E28F8">
        <w:t>The statement must also be e</w:t>
      </w:r>
      <w:r>
        <w:t>-</w:t>
      </w:r>
      <w:r w:rsidR="00BA1A6B">
        <w:t>mailed to Ricardo Durham at Ricardo.Durham</w:t>
      </w:r>
      <w:r w:rsidRPr="006E28F8">
        <w:t xml:space="preserve">@fcc.gov and to </w:t>
      </w:r>
      <w:r w:rsidR="00BA1A6B">
        <w:t>Josh Zeldis</w:t>
      </w:r>
      <w:r>
        <w:t xml:space="preserve"> </w:t>
      </w:r>
      <w:r w:rsidRPr="006E28F8">
        <w:t xml:space="preserve">at </w:t>
      </w:r>
      <w:r w:rsidR="00BA1A6B">
        <w:t>Josh.Zeldis</w:t>
      </w:r>
      <w:r w:rsidRPr="006E28F8">
        <w:t xml:space="preserve">@fcc.gov. </w:t>
      </w:r>
      <w:r>
        <w:t xml:space="preserve"> </w:t>
      </w:r>
    </w:p>
    <w:p w14:paraId="1D244847" w14:textId="77777777" w:rsidR="00D151F1" w:rsidRDefault="00D151F1" w:rsidP="008F020D">
      <w:pPr>
        <w:pStyle w:val="ParaNum"/>
      </w:pPr>
      <w:r w:rsidRPr="006E28F8">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14:paraId="13F5A02A" w14:textId="60485923" w:rsidR="00D151F1" w:rsidRDefault="00D151F1" w:rsidP="008F020D">
      <w:pPr>
        <w:pStyle w:val="ParaNum"/>
        <w:rPr>
          <w:szCs w:val="24"/>
        </w:rPr>
      </w:pPr>
      <w:r w:rsidRPr="001E3120">
        <w:rPr>
          <w:b/>
        </w:rPr>
        <w:t>IT IS FURTHER ORDERED</w:t>
      </w:r>
      <w:r>
        <w:t xml:space="preserve"> that a copy of this Notice of Apparent Liability for Forfeiture shall be sent by first class mail and certified mail, return receipt requested, to </w:t>
      </w:r>
      <w:r w:rsidR="00D67F3C">
        <w:t>Robert H. Drewry, Vice</w:t>
      </w:r>
      <w:r>
        <w:rPr>
          <w:szCs w:val="24"/>
        </w:rPr>
        <w:t xml:space="preserve"> Presi</w:t>
      </w:r>
      <w:r w:rsidR="00D67F3C">
        <w:rPr>
          <w:szCs w:val="24"/>
        </w:rPr>
        <w:t>dent</w:t>
      </w:r>
      <w:r>
        <w:rPr>
          <w:szCs w:val="24"/>
        </w:rPr>
        <w:t xml:space="preserve">, </w:t>
      </w:r>
      <w:r w:rsidR="00D67F3C">
        <w:rPr>
          <w:szCs w:val="24"/>
        </w:rPr>
        <w:t>Midessa Television L</w:t>
      </w:r>
      <w:r w:rsidR="002432DE">
        <w:rPr>
          <w:szCs w:val="24"/>
        </w:rPr>
        <w:t xml:space="preserve">imited </w:t>
      </w:r>
      <w:r w:rsidR="00D67F3C">
        <w:rPr>
          <w:szCs w:val="24"/>
        </w:rPr>
        <w:t>P</w:t>
      </w:r>
      <w:r w:rsidR="002432DE">
        <w:rPr>
          <w:szCs w:val="24"/>
        </w:rPr>
        <w:t>artnership</w:t>
      </w:r>
      <w:r>
        <w:rPr>
          <w:szCs w:val="24"/>
        </w:rPr>
        <w:t xml:space="preserve">, </w:t>
      </w:r>
      <w:r w:rsidR="00D67F3C">
        <w:rPr>
          <w:szCs w:val="24"/>
        </w:rPr>
        <w:t>500 Montgomery Square, Suite 305, Lawton, Oklahoma 735</w:t>
      </w:r>
      <w:r w:rsidR="00367B25">
        <w:rPr>
          <w:szCs w:val="24"/>
        </w:rPr>
        <w:t>01 and to David D. Oxenford, Esq</w:t>
      </w:r>
      <w:r w:rsidR="00D67F3C">
        <w:rPr>
          <w:szCs w:val="24"/>
        </w:rPr>
        <w:t>., Counsel for Midessa Television L</w:t>
      </w:r>
      <w:r w:rsidR="002432DE">
        <w:rPr>
          <w:szCs w:val="24"/>
        </w:rPr>
        <w:t xml:space="preserve">imited </w:t>
      </w:r>
      <w:r w:rsidR="00D67F3C">
        <w:rPr>
          <w:szCs w:val="24"/>
        </w:rPr>
        <w:t>P</w:t>
      </w:r>
      <w:r w:rsidR="002432DE">
        <w:rPr>
          <w:szCs w:val="24"/>
        </w:rPr>
        <w:t>artnership</w:t>
      </w:r>
      <w:r w:rsidR="00D67F3C">
        <w:rPr>
          <w:szCs w:val="24"/>
        </w:rPr>
        <w:t>, Wilkinson Barker Knauer, LLP, 2300 N Street, N.W., Suite 700, Washington, DC 20037.</w:t>
      </w:r>
    </w:p>
    <w:p w14:paraId="510E32F7" w14:textId="77777777" w:rsidR="003E697A" w:rsidRPr="00B1158A" w:rsidRDefault="003E697A" w:rsidP="003E697A">
      <w:pPr>
        <w:pStyle w:val="ParaNum"/>
        <w:numPr>
          <w:ilvl w:val="0"/>
          <w:numId w:val="0"/>
        </w:numPr>
        <w:ind w:left="720"/>
        <w:rPr>
          <w:szCs w:val="22"/>
        </w:rPr>
      </w:pPr>
    </w:p>
    <w:p w14:paraId="0A137DB8" w14:textId="77777777" w:rsidR="008F020D" w:rsidRDefault="008F020D" w:rsidP="008F020D">
      <w:r>
        <w:tab/>
      </w:r>
      <w:r>
        <w:tab/>
      </w:r>
      <w:r>
        <w:tab/>
      </w:r>
      <w:r>
        <w:tab/>
      </w:r>
      <w:r>
        <w:tab/>
      </w:r>
      <w:r>
        <w:tab/>
        <w:t>FEDERAL COMMUNICATIONS COMMISSION</w:t>
      </w:r>
    </w:p>
    <w:p w14:paraId="28CAB491" w14:textId="77777777" w:rsidR="008F020D" w:rsidRDefault="008F020D" w:rsidP="008F020D"/>
    <w:p w14:paraId="037DE56A" w14:textId="77777777" w:rsidR="008F020D" w:rsidRDefault="008F020D" w:rsidP="008F020D"/>
    <w:p w14:paraId="0FD6B29B" w14:textId="77777777" w:rsidR="008F020D" w:rsidRDefault="008F020D" w:rsidP="008F020D"/>
    <w:p w14:paraId="3A8EA665" w14:textId="77777777" w:rsidR="008F020D" w:rsidRDefault="008F020D" w:rsidP="008F020D"/>
    <w:p w14:paraId="0D92527A" w14:textId="77777777" w:rsidR="008F020D" w:rsidRDefault="008F020D" w:rsidP="008F020D">
      <w:r>
        <w:tab/>
      </w:r>
      <w:r>
        <w:tab/>
      </w:r>
      <w:r>
        <w:tab/>
      </w:r>
      <w:r>
        <w:tab/>
      </w:r>
      <w:r>
        <w:tab/>
      </w:r>
      <w:r>
        <w:tab/>
        <w:t>Marlene H. Dortch</w:t>
      </w:r>
    </w:p>
    <w:p w14:paraId="4172C75F" w14:textId="77777777" w:rsidR="008F020D" w:rsidRDefault="008F020D" w:rsidP="008F020D">
      <w:r>
        <w:tab/>
      </w:r>
      <w:r>
        <w:tab/>
      </w:r>
      <w:r>
        <w:tab/>
      </w:r>
      <w:r>
        <w:tab/>
      </w:r>
      <w:r>
        <w:tab/>
      </w:r>
      <w:r>
        <w:tab/>
        <w:t>Secretary</w:t>
      </w:r>
    </w:p>
    <w:p w14:paraId="31289ED6" w14:textId="3B06AC79" w:rsidR="003E697A" w:rsidRPr="007A1687" w:rsidRDefault="003E697A" w:rsidP="008F020D">
      <w:pPr>
        <w:tabs>
          <w:tab w:val="left" w:pos="0"/>
          <w:tab w:val="num" w:pos="1440"/>
        </w:tabs>
        <w:suppressAutoHyphens/>
        <w:spacing w:line="240" w:lineRule="atLeast"/>
        <w:rPr>
          <w:spacing w:val="-2"/>
        </w:rPr>
      </w:pPr>
    </w:p>
    <w:sectPr w:rsidR="003E697A" w:rsidRPr="007A1687" w:rsidSect="009E637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C1F80" w14:textId="77777777" w:rsidR="00D544FA" w:rsidRDefault="00D544FA">
      <w:pPr>
        <w:spacing w:line="20" w:lineRule="exact"/>
      </w:pPr>
    </w:p>
  </w:endnote>
  <w:endnote w:type="continuationSeparator" w:id="0">
    <w:p w14:paraId="61D6882C" w14:textId="77777777" w:rsidR="00D544FA" w:rsidRDefault="00D544FA">
      <w:r>
        <w:t xml:space="preserve"> </w:t>
      </w:r>
    </w:p>
  </w:endnote>
  <w:endnote w:type="continuationNotice" w:id="1">
    <w:p w14:paraId="7F9088AF" w14:textId="77777777" w:rsidR="00D544FA" w:rsidRDefault="00D544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4F80" w14:textId="77777777" w:rsidR="006F0015" w:rsidRDefault="006F0015" w:rsidP="0055614C">
    <w:pPr>
      <w:pStyle w:val="Footer"/>
      <w:framePr w:wrap="around" w:vAnchor="text" w:hAnchor="margin" w:xAlign="center" w:y="1"/>
    </w:pPr>
    <w:r>
      <w:fldChar w:fldCharType="begin"/>
    </w:r>
    <w:r>
      <w:instrText xml:space="preserve">PAGE  </w:instrText>
    </w:r>
    <w:r>
      <w:fldChar w:fldCharType="end"/>
    </w:r>
  </w:p>
  <w:p w14:paraId="1F2ED33E" w14:textId="77777777" w:rsidR="006F0015" w:rsidRDefault="006F0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D24E" w14:textId="77777777" w:rsidR="006F0015" w:rsidRDefault="006F0015" w:rsidP="0055614C">
    <w:pPr>
      <w:pStyle w:val="Footer"/>
      <w:framePr w:wrap="around" w:vAnchor="text" w:hAnchor="margin" w:xAlign="center" w:y="1"/>
    </w:pPr>
    <w:r>
      <w:fldChar w:fldCharType="begin"/>
    </w:r>
    <w:r>
      <w:instrText xml:space="preserve">PAGE  </w:instrText>
    </w:r>
    <w:r>
      <w:fldChar w:fldCharType="separate"/>
    </w:r>
    <w:r w:rsidR="009441E3">
      <w:rPr>
        <w:noProof/>
      </w:rPr>
      <w:t>2</w:t>
    </w:r>
    <w:r>
      <w:rPr>
        <w:noProof/>
      </w:rPr>
      <w:fldChar w:fldCharType="end"/>
    </w:r>
  </w:p>
  <w:p w14:paraId="0D3FCCFC" w14:textId="1A021A77" w:rsidR="006F0015" w:rsidRPr="00850152" w:rsidRDefault="006F0015" w:rsidP="008F020D">
    <w:pPr>
      <w:suppressAutoHyphens/>
      <w:spacing w:line="227" w:lineRule="auto"/>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57A5" w14:textId="77777777" w:rsidR="006F0015" w:rsidRDefault="006F001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082E5" w14:textId="77777777" w:rsidR="00D544FA" w:rsidRDefault="00D544FA">
      <w:r>
        <w:separator/>
      </w:r>
    </w:p>
  </w:footnote>
  <w:footnote w:type="continuationSeparator" w:id="0">
    <w:p w14:paraId="36BAED9E" w14:textId="77777777" w:rsidR="00D544FA" w:rsidRDefault="00D544FA" w:rsidP="00C721AC">
      <w:pPr>
        <w:spacing w:before="120"/>
        <w:rPr>
          <w:sz w:val="20"/>
        </w:rPr>
      </w:pPr>
      <w:r>
        <w:rPr>
          <w:sz w:val="20"/>
        </w:rPr>
        <w:t xml:space="preserve">(Continued from previous page)  </w:t>
      </w:r>
      <w:r>
        <w:rPr>
          <w:sz w:val="20"/>
        </w:rPr>
        <w:separator/>
      </w:r>
    </w:p>
  </w:footnote>
  <w:footnote w:type="continuationNotice" w:id="1">
    <w:p w14:paraId="2EF4436A" w14:textId="77777777" w:rsidR="00D544FA" w:rsidRDefault="00D544FA" w:rsidP="00C721AC">
      <w:pPr>
        <w:jc w:val="right"/>
        <w:rPr>
          <w:sz w:val="20"/>
        </w:rPr>
      </w:pPr>
      <w:r>
        <w:rPr>
          <w:sz w:val="20"/>
        </w:rPr>
        <w:t>(continued….)</w:t>
      </w:r>
    </w:p>
  </w:footnote>
  <w:footnote w:id="2">
    <w:p w14:paraId="653CA6A5" w14:textId="483CECD9" w:rsidR="006F0015" w:rsidRDefault="006F0015">
      <w:pPr>
        <w:pStyle w:val="FootnoteText"/>
      </w:pPr>
      <w:r>
        <w:rPr>
          <w:rStyle w:val="FootnoteReference"/>
        </w:rPr>
        <w:footnoteRef/>
      </w:r>
      <w:r>
        <w:t xml:space="preserve"> The investigation initiated under File No. EB-SED-13-00010511 was subsequently assigned File No. EB-SED-14-00016720.  Any future correspondence with the FCC concerning this matter should reflect the new case number.</w:t>
      </w:r>
    </w:p>
  </w:footnote>
  <w:footnote w:id="3">
    <w:p w14:paraId="62D1E394" w14:textId="16F093A3" w:rsidR="006F0015" w:rsidRDefault="006F0015" w:rsidP="00CE520F">
      <w:pPr>
        <w:pStyle w:val="FootnoteText"/>
      </w:pPr>
      <w:r>
        <w:rPr>
          <w:rStyle w:val="FootnoteReference"/>
        </w:rPr>
        <w:footnoteRef/>
      </w:r>
      <w:r>
        <w:t xml:space="preserve"> Midessa operates KWES-TV, channel 9, the NBC affiliated television station in the Midland/Odessa, Texas, television market.  Midessa also operates KWAB-TV, a satellite station of KWES-TV</w:t>
      </w:r>
      <w:r w:rsidR="009C4A40">
        <w:t>,</w:t>
      </w:r>
      <w:r w:rsidR="00A72FCD" w:rsidRPr="00A72FCD">
        <w:t xml:space="preserve"> </w:t>
      </w:r>
      <w:r w:rsidR="00A72FCD">
        <w:t>and KTLE-LP, a low-power television station in Odessa, Texas</w:t>
      </w:r>
      <w:r w:rsidR="009C4A40">
        <w:t>,</w:t>
      </w:r>
      <w:r w:rsidR="00A72FCD">
        <w:t xml:space="preserve"> that is an affiliate of Spanish-language network Telemundo</w:t>
      </w:r>
      <w:r w:rsidR="0078188B">
        <w:t xml:space="preserve">.  </w:t>
      </w:r>
      <w:r w:rsidRPr="005145B8">
        <w:t>The company uses BAS facilities (e.g., TV Intercity Relays and TV Studio Transmitter links) to provide audio and video feeds between its studio and transmitter sites to support its broadcasting operations.</w:t>
      </w:r>
      <w:r>
        <w:t xml:space="preserve">   </w:t>
      </w:r>
    </w:p>
  </w:footnote>
  <w:footnote w:id="4">
    <w:p w14:paraId="2914843A" w14:textId="13DDEAB4" w:rsidR="006F0015" w:rsidRDefault="006F0015">
      <w:pPr>
        <w:pStyle w:val="FootnoteText"/>
      </w:pPr>
      <w:r>
        <w:rPr>
          <w:rStyle w:val="FootnoteReference"/>
        </w:rPr>
        <w:footnoteRef/>
      </w:r>
      <w:r>
        <w:t xml:space="preserve"> 47 U.S.C. § 301.</w:t>
      </w:r>
    </w:p>
  </w:footnote>
  <w:footnote w:id="5">
    <w:p w14:paraId="03AA6960" w14:textId="47D01A03" w:rsidR="006F0015" w:rsidRDefault="006F0015">
      <w:pPr>
        <w:pStyle w:val="FootnoteText"/>
      </w:pPr>
      <w:r>
        <w:rPr>
          <w:rStyle w:val="FootnoteReference"/>
        </w:rPr>
        <w:footnoteRef/>
      </w:r>
      <w:r>
        <w:t xml:space="preserve"> 47 C.F.R. §§ 1.903(a), 1.947(a).</w:t>
      </w:r>
    </w:p>
  </w:footnote>
  <w:footnote w:id="6">
    <w:p w14:paraId="3B994BD6" w14:textId="320B79F9" w:rsidR="006F0015" w:rsidRDefault="006F0015" w:rsidP="00760C57">
      <w:pPr>
        <w:pStyle w:val="FootnoteText"/>
      </w:pPr>
      <w:r>
        <w:rPr>
          <w:rStyle w:val="FootnoteReference"/>
        </w:rPr>
        <w:footnoteRef/>
      </w:r>
      <w:r>
        <w:t xml:space="preserve"> </w:t>
      </w:r>
      <w:r w:rsidRPr="00555837">
        <w:rPr>
          <w:i/>
        </w:rPr>
        <w:t>See</w:t>
      </w:r>
      <w:r w:rsidRPr="00555837">
        <w:t xml:space="preserve"> Universal Licen</w:t>
      </w:r>
      <w:r>
        <w:t>sing System (ULS) File Nos. 0005751019</w:t>
      </w:r>
      <w:r w:rsidRPr="00555837">
        <w:t xml:space="preserve"> (</w:t>
      </w:r>
      <w:r>
        <w:t>WQRY297</w:t>
      </w:r>
      <w:r w:rsidRPr="00555837">
        <w:t>) (</w:t>
      </w:r>
      <w:r>
        <w:t xml:space="preserve">license </w:t>
      </w:r>
      <w:r w:rsidRPr="00555837">
        <w:t xml:space="preserve">granted </w:t>
      </w:r>
      <w:r>
        <w:t xml:space="preserve">Aug. 14, 2013); 0005751023 </w:t>
      </w:r>
      <w:r w:rsidRPr="00555837">
        <w:t>(</w:t>
      </w:r>
      <w:r>
        <w:t>WQRY299</w:t>
      </w:r>
      <w:r w:rsidRPr="00555837">
        <w:t>) (</w:t>
      </w:r>
      <w:r>
        <w:t xml:space="preserve">license </w:t>
      </w:r>
      <w:r w:rsidRPr="00555837">
        <w:t xml:space="preserve">granted </w:t>
      </w:r>
      <w:r>
        <w:t>August 14, 2013); 0005751027 (WQRY300) (license granted Aug. 14, 2013).</w:t>
      </w:r>
      <w:r w:rsidRPr="00555837">
        <w:t xml:space="preserve"> </w:t>
      </w:r>
    </w:p>
  </w:footnote>
  <w:footnote w:id="7">
    <w:p w14:paraId="02FF20EB" w14:textId="77777777" w:rsidR="006F0015" w:rsidRPr="000F515B" w:rsidRDefault="006F0015" w:rsidP="00760C57">
      <w:pPr>
        <w:pStyle w:val="FootnoteText"/>
        <w:rPr>
          <w:i/>
        </w:rPr>
      </w:pPr>
      <w:r>
        <w:rPr>
          <w:rStyle w:val="FootnoteReference"/>
        </w:rPr>
        <w:footnoteRef/>
      </w:r>
      <w:r>
        <w:t xml:space="preserve"> </w:t>
      </w:r>
      <w:r w:rsidRPr="00555837">
        <w:rPr>
          <w:i/>
        </w:rPr>
        <w:t>See</w:t>
      </w:r>
      <w:r w:rsidRPr="00555837">
        <w:t xml:space="preserve"> Universal Licen</w:t>
      </w:r>
      <w:r>
        <w:t>sing System (ULS) File Nos. 0005750934 (KWT86) (license modified Aug. 14, 2013); 0005750934 (KWT87) (license modified August 14, 2013); 0005750978 (KWU20) (license modified Aug. 14, 2013); 0005751000 (WLE595) (license modified August 14, 2013); 0005751005 (WLE613) (license modified Aug. 14, 2013); 0005751010 (WLG239) (license modified Aug. 14, 2013).</w:t>
      </w:r>
    </w:p>
  </w:footnote>
  <w:footnote w:id="8">
    <w:p w14:paraId="109E987D" w14:textId="77777777" w:rsidR="006F0015" w:rsidRPr="000F515B" w:rsidRDefault="006F0015" w:rsidP="00760C57">
      <w:pPr>
        <w:pStyle w:val="FootnoteText"/>
      </w:pPr>
      <w:r>
        <w:rPr>
          <w:rStyle w:val="FootnoteReference"/>
        </w:rPr>
        <w:footnoteRef/>
      </w:r>
      <w:r>
        <w:t xml:space="preserve"> </w:t>
      </w:r>
      <w:r>
        <w:rPr>
          <w:i/>
        </w:rPr>
        <w:t>Id.</w:t>
      </w:r>
    </w:p>
  </w:footnote>
  <w:footnote w:id="9">
    <w:p w14:paraId="2F4CA0F8" w14:textId="77777777" w:rsidR="006F0015" w:rsidRPr="00760C57" w:rsidRDefault="006F0015">
      <w:pPr>
        <w:pStyle w:val="FootnoteText"/>
      </w:pPr>
      <w:r>
        <w:rPr>
          <w:rStyle w:val="FootnoteReference"/>
        </w:rPr>
        <w:footnoteRef/>
      </w:r>
      <w:r>
        <w:t xml:space="preserve"> </w:t>
      </w:r>
      <w:r>
        <w:rPr>
          <w:i/>
        </w:rPr>
        <w:t>Id.</w:t>
      </w:r>
    </w:p>
  </w:footnote>
  <w:footnote w:id="10">
    <w:p w14:paraId="29C8255C" w14:textId="77777777" w:rsidR="006F0015" w:rsidRDefault="006F0015">
      <w:pPr>
        <w:pStyle w:val="FootnoteText"/>
      </w:pPr>
      <w:r>
        <w:rPr>
          <w:rStyle w:val="FootnoteReference"/>
        </w:rPr>
        <w:footnoteRef/>
      </w:r>
      <w:r>
        <w:t xml:space="preserve"> </w:t>
      </w:r>
      <w:r w:rsidRPr="009F3F56">
        <w:rPr>
          <w:i/>
        </w:rPr>
        <w:t>See</w:t>
      </w:r>
      <w:r>
        <w:t xml:space="preserve"> Letter from John D. Poutasse, Chief, Spectrum Enforcement Division, FCC Enforcement Bureau, to Robert H. Drewry, Vice President, LCI Television of Texas, Inc. (Nov. 7, 2013) (on </w:t>
      </w:r>
      <w:r w:rsidRPr="00065F39">
        <w:t>file in EB-SED-14-00016720).</w:t>
      </w:r>
    </w:p>
  </w:footnote>
  <w:footnote w:id="11">
    <w:p w14:paraId="100B1274" w14:textId="74DCB018" w:rsidR="006F0015" w:rsidRDefault="006F0015">
      <w:pPr>
        <w:pStyle w:val="FootnoteText"/>
      </w:pPr>
      <w:r>
        <w:rPr>
          <w:rStyle w:val="FootnoteReference"/>
        </w:rPr>
        <w:footnoteRef/>
      </w:r>
      <w:r>
        <w:t xml:space="preserve"> </w:t>
      </w:r>
      <w:r w:rsidRPr="00F567D1">
        <w:rPr>
          <w:i/>
          <w:iCs/>
        </w:rPr>
        <w:t>See</w:t>
      </w:r>
      <w:r w:rsidRPr="00F567D1">
        <w:t xml:space="preserve"> E-mail from </w:t>
      </w:r>
      <w:r>
        <w:t>Kelly Donohue, Wilkinson Barker Knauer, LLP</w:t>
      </w:r>
      <w:r w:rsidRPr="00F567D1">
        <w:t xml:space="preserve">, Counsel for </w:t>
      </w:r>
      <w:r>
        <w:t>Midessa Television L</w:t>
      </w:r>
      <w:r w:rsidR="002432DE">
        <w:t xml:space="preserve">imited </w:t>
      </w:r>
      <w:r>
        <w:t>P</w:t>
      </w:r>
      <w:r w:rsidR="002432DE">
        <w:t>artnership</w:t>
      </w:r>
      <w:r>
        <w:t xml:space="preserve">, to </w:t>
      </w:r>
      <w:r w:rsidRPr="00F567D1">
        <w:t xml:space="preserve">John D. Poutasse, Chief, Spectrum Enforcement Division, FCC Enforcement Bureau, </w:t>
      </w:r>
      <w:r>
        <w:t xml:space="preserve">Attachment at 2–4 </w:t>
      </w:r>
      <w:r w:rsidRPr="00F567D1">
        <w:t>(</w:t>
      </w:r>
      <w:r>
        <w:t>Jan. 31, 2014</w:t>
      </w:r>
      <w:r w:rsidRPr="00F567D1">
        <w:t xml:space="preserve">) (on file in </w:t>
      </w:r>
      <w:r w:rsidRPr="00B475DC">
        <w:t>EB-SED-14-00016720</w:t>
      </w:r>
      <w:r>
        <w:t>) (LOI Response).</w:t>
      </w:r>
    </w:p>
  </w:footnote>
  <w:footnote w:id="12">
    <w:p w14:paraId="13CF9B20" w14:textId="2A4ABA43" w:rsidR="006F0015" w:rsidRDefault="006F0015">
      <w:pPr>
        <w:pStyle w:val="FootnoteText"/>
      </w:pPr>
      <w:r>
        <w:rPr>
          <w:rStyle w:val="FootnoteReference"/>
        </w:rPr>
        <w:footnoteRef/>
      </w:r>
      <w:r>
        <w:t xml:space="preserve"> </w:t>
      </w:r>
      <w:r>
        <w:rPr>
          <w:i/>
        </w:rPr>
        <w:t>Id.</w:t>
      </w:r>
      <w:r>
        <w:t>, Attachment at 1.</w:t>
      </w:r>
    </w:p>
  </w:footnote>
  <w:footnote w:id="13">
    <w:p w14:paraId="1E7EC9D5" w14:textId="77777777" w:rsidR="006F0015" w:rsidRPr="00B04087" w:rsidRDefault="006F0015">
      <w:pPr>
        <w:pStyle w:val="FootnoteText"/>
      </w:pPr>
      <w:r>
        <w:rPr>
          <w:rStyle w:val="FootnoteReference"/>
        </w:rPr>
        <w:footnoteRef/>
      </w:r>
      <w:r>
        <w:t xml:space="preserve"> </w:t>
      </w:r>
      <w:r>
        <w:rPr>
          <w:i/>
        </w:rPr>
        <w:t>Id.</w:t>
      </w:r>
      <w:r>
        <w:t>, Attachment at 3.</w:t>
      </w:r>
    </w:p>
  </w:footnote>
  <w:footnote w:id="14">
    <w:p w14:paraId="0111B47E" w14:textId="77777777" w:rsidR="006F0015" w:rsidRPr="00B04087" w:rsidRDefault="006F0015">
      <w:pPr>
        <w:pStyle w:val="FootnoteText"/>
      </w:pPr>
      <w:r>
        <w:rPr>
          <w:rStyle w:val="FootnoteReference"/>
        </w:rPr>
        <w:footnoteRef/>
      </w:r>
      <w:r>
        <w:t xml:space="preserve"> </w:t>
      </w:r>
      <w:r>
        <w:rPr>
          <w:i/>
        </w:rPr>
        <w:t>Id.</w:t>
      </w:r>
    </w:p>
  </w:footnote>
  <w:footnote w:id="15">
    <w:p w14:paraId="1F45FD86" w14:textId="77777777" w:rsidR="006F0015" w:rsidRDefault="006F0015" w:rsidP="002A0AAB">
      <w:pPr>
        <w:pStyle w:val="FootnoteText"/>
      </w:pPr>
      <w:r>
        <w:rPr>
          <w:rStyle w:val="FootnoteReference"/>
        </w:rPr>
        <w:footnoteRef/>
      </w:r>
      <w:r>
        <w:t xml:space="preserve"> 47 U.S.C. § 301.</w:t>
      </w:r>
    </w:p>
  </w:footnote>
  <w:footnote w:id="16">
    <w:p w14:paraId="77B7BA84" w14:textId="381F70B0" w:rsidR="006F0015" w:rsidRDefault="006F0015">
      <w:pPr>
        <w:pStyle w:val="FootnoteText"/>
      </w:pPr>
      <w:r>
        <w:rPr>
          <w:rStyle w:val="FootnoteReference"/>
        </w:rPr>
        <w:footnoteRef/>
      </w:r>
      <w:r>
        <w:t xml:space="preserve"> 47 C.F.R. § 1.903(a).</w:t>
      </w:r>
    </w:p>
  </w:footnote>
  <w:footnote w:id="17">
    <w:p w14:paraId="3277C0AE" w14:textId="30F6C071" w:rsidR="006F0015" w:rsidRDefault="006F0015">
      <w:pPr>
        <w:pStyle w:val="FootnoteText"/>
      </w:pPr>
      <w:r>
        <w:rPr>
          <w:rStyle w:val="FootnoteReference"/>
        </w:rPr>
        <w:footnoteRef/>
      </w:r>
      <w:r>
        <w:t xml:space="preserve"> 47 U.S.C. § 301.</w:t>
      </w:r>
    </w:p>
  </w:footnote>
  <w:footnote w:id="18">
    <w:p w14:paraId="4ABC3185" w14:textId="77777777" w:rsidR="006F0015" w:rsidRDefault="006F0015">
      <w:pPr>
        <w:pStyle w:val="FootnoteText"/>
      </w:pPr>
      <w:r>
        <w:rPr>
          <w:rStyle w:val="FootnoteReference"/>
        </w:rPr>
        <w:footnoteRef/>
      </w:r>
      <w:r>
        <w:t xml:space="preserve"> 47 C.F.R. § 1.947(a).</w:t>
      </w:r>
    </w:p>
  </w:footnote>
  <w:footnote w:id="19">
    <w:p w14:paraId="30C48E43" w14:textId="77777777" w:rsidR="006F0015" w:rsidRDefault="006F0015">
      <w:pPr>
        <w:pStyle w:val="FootnoteText"/>
      </w:pPr>
      <w:r>
        <w:rPr>
          <w:rStyle w:val="FootnoteReference"/>
        </w:rPr>
        <w:footnoteRef/>
      </w:r>
      <w:r>
        <w:t xml:space="preserve"> </w:t>
      </w:r>
      <w:r w:rsidRPr="009047A8">
        <w:t>47 C.F.R. § 1.</w:t>
      </w:r>
      <w:r>
        <w:t>929(d)(1).</w:t>
      </w:r>
    </w:p>
  </w:footnote>
  <w:footnote w:id="20">
    <w:p w14:paraId="437DCDE7" w14:textId="657F1D2B" w:rsidR="004C149C" w:rsidRDefault="004C149C" w:rsidP="004C149C">
      <w:pPr>
        <w:pStyle w:val="FootnoteText"/>
      </w:pPr>
      <w:r>
        <w:rPr>
          <w:rStyle w:val="FootnoteReference"/>
        </w:rPr>
        <w:footnoteRef/>
      </w:r>
      <w:r>
        <w:t xml:space="preserve"> </w:t>
      </w:r>
      <w:r w:rsidR="00D26E02">
        <w:t xml:space="preserve">Midessa acknowledges that the six </w:t>
      </w:r>
      <w:r w:rsidR="002E2132">
        <w:t xml:space="preserve">BAS stations </w:t>
      </w:r>
      <w:r w:rsidR="00D26E02">
        <w:t xml:space="preserve">were not </w:t>
      </w:r>
      <w:r w:rsidR="002E2132">
        <w:t>operated</w:t>
      </w:r>
      <w:r w:rsidR="00D26E02">
        <w:t xml:space="preserve"> as authorized.  Specifically, </w:t>
      </w:r>
      <w:r w:rsidR="000372D7">
        <w:t xml:space="preserve">as indicated in </w:t>
      </w:r>
      <w:r w:rsidR="009C4A40">
        <w:t>its</w:t>
      </w:r>
      <w:r w:rsidR="000372D7">
        <w:t xml:space="preserve"> applications and as </w:t>
      </w:r>
      <w:r w:rsidR="00D26E02">
        <w:t>Midessa notes</w:t>
      </w:r>
      <w:r w:rsidR="000372D7">
        <w:t xml:space="preserve">, </w:t>
      </w:r>
      <w:r w:rsidR="00D26E02">
        <w:t xml:space="preserve">the following six </w:t>
      </w:r>
      <w:r w:rsidR="002E2132">
        <w:t xml:space="preserve">major </w:t>
      </w:r>
      <w:r w:rsidR="00D26E02">
        <w:t xml:space="preserve">modification applications were submitted  </w:t>
      </w:r>
      <w:r w:rsidR="002E2132">
        <w:t xml:space="preserve">to bring the licenses into conformance with the stations’ </w:t>
      </w:r>
      <w:r w:rsidR="009F63B8">
        <w:t xml:space="preserve">existing </w:t>
      </w:r>
      <w:r w:rsidR="002E2132">
        <w:t>operations:</w:t>
      </w:r>
      <w:r w:rsidR="007656BC">
        <w:t xml:space="preserve"> </w:t>
      </w:r>
      <w:r>
        <w:t>KW</w:t>
      </w:r>
      <w:r w:rsidR="00302B0D">
        <w:t xml:space="preserve">T86 (change to emission type and increase in </w:t>
      </w:r>
      <w:r>
        <w:t>antenna height</w:t>
      </w:r>
      <w:r w:rsidR="00302B0D">
        <w:t xml:space="preserve"> greater than 3 meters); </w:t>
      </w:r>
      <w:r>
        <w:t>KWT87 (change</w:t>
      </w:r>
      <w:r w:rsidR="00B2417C">
        <w:t>s</w:t>
      </w:r>
      <w:r>
        <w:t xml:space="preserve"> </w:t>
      </w:r>
      <w:r w:rsidR="00302B0D">
        <w:t xml:space="preserve">to </w:t>
      </w:r>
      <w:r w:rsidR="00B2417C">
        <w:t xml:space="preserve">emission type, assigned </w:t>
      </w:r>
      <w:r w:rsidR="00302B0D">
        <w:t>frequency</w:t>
      </w:r>
      <w:r w:rsidR="009C4A40">
        <w:t>,</w:t>
      </w:r>
      <w:r w:rsidR="00302B0D">
        <w:t xml:space="preserve"> and coordinates of operation</w:t>
      </w:r>
      <w:r w:rsidR="00B2417C">
        <w:t>)</w:t>
      </w:r>
      <w:r>
        <w:t>; KWU20 (change</w:t>
      </w:r>
      <w:r w:rsidR="00B2417C">
        <w:t>s to emission type, assigned frequency</w:t>
      </w:r>
      <w:r w:rsidR="009C4A40">
        <w:t>,</w:t>
      </w:r>
      <w:r w:rsidR="00B2417C">
        <w:t xml:space="preserve"> and coordinates of operation and increases</w:t>
      </w:r>
      <w:r>
        <w:t xml:space="preserve"> in </w:t>
      </w:r>
      <w:r w:rsidR="00B2417C">
        <w:t xml:space="preserve">antenna beamwidth, </w:t>
      </w:r>
      <w:r w:rsidR="001149F6">
        <w:t xml:space="preserve">antenna </w:t>
      </w:r>
      <w:r w:rsidR="00B2417C">
        <w:t>azimuth greater than 1 degree</w:t>
      </w:r>
      <w:r w:rsidR="009C4A40">
        <w:t>,</w:t>
      </w:r>
      <w:r w:rsidR="00B2417C">
        <w:t xml:space="preserve"> and </w:t>
      </w:r>
      <w:r>
        <w:t>antenna height</w:t>
      </w:r>
      <w:r w:rsidR="00B2417C">
        <w:t xml:space="preserve"> greater than 3 meters</w:t>
      </w:r>
      <w:r>
        <w:t xml:space="preserve">); </w:t>
      </w:r>
      <w:r w:rsidR="00017EC7">
        <w:t xml:space="preserve">WLE595 </w:t>
      </w:r>
      <w:r>
        <w:t>(change</w:t>
      </w:r>
      <w:r w:rsidR="000372D7">
        <w:t xml:space="preserve"> to coordinates of operation)</w:t>
      </w:r>
      <w:r w:rsidR="004678D3">
        <w:t>;</w:t>
      </w:r>
      <w:r>
        <w:t xml:space="preserve"> WLE613 (</w:t>
      </w:r>
      <w:r w:rsidR="001149F6">
        <w:t>change to emission type)</w:t>
      </w:r>
      <w:r w:rsidR="00EE6933">
        <w:t xml:space="preserve">; </w:t>
      </w:r>
      <w:r>
        <w:t>and WLG239 (</w:t>
      </w:r>
      <w:r w:rsidR="00EE6933">
        <w:t>changes to emission type, assigned frequency</w:t>
      </w:r>
      <w:r w:rsidR="009C4A40">
        <w:t>,</w:t>
      </w:r>
      <w:r w:rsidR="00C274C5">
        <w:t xml:space="preserve"> and </w:t>
      </w:r>
      <w:r w:rsidR="00EE6933">
        <w:t>coordinates of operation and increase</w:t>
      </w:r>
      <w:r w:rsidR="00C274C5">
        <w:t>s</w:t>
      </w:r>
      <w:r w:rsidR="00EE6933">
        <w:t xml:space="preserve"> to antenna height greater than 3</w:t>
      </w:r>
      <w:r w:rsidR="009C4A40">
        <w:t> </w:t>
      </w:r>
      <w:r w:rsidR="00EE6933">
        <w:t>meters</w:t>
      </w:r>
      <w:r w:rsidR="00C274C5">
        <w:t xml:space="preserve"> and EIRP greater than 3 dB</w:t>
      </w:r>
      <w:r w:rsidR="00EE6933">
        <w:t>)</w:t>
      </w:r>
      <w:r w:rsidR="00C274C5">
        <w:t xml:space="preserve">.  </w:t>
      </w:r>
      <w:r w:rsidRPr="00555837">
        <w:rPr>
          <w:i/>
        </w:rPr>
        <w:t>See</w:t>
      </w:r>
      <w:r w:rsidRPr="00555837">
        <w:t xml:space="preserve"> </w:t>
      </w:r>
      <w:r w:rsidR="00C274C5">
        <w:t>LOI Response, Attachment at 2;</w:t>
      </w:r>
      <w:r w:rsidR="00C274C5">
        <w:rPr>
          <w:i/>
        </w:rPr>
        <w:t xml:space="preserve"> </w:t>
      </w:r>
      <w:r w:rsidRPr="00555837">
        <w:t>Universal Licen</w:t>
      </w:r>
      <w:r>
        <w:t>sing System (ULS) File Nos. 0005750934 (KWT86) (license modified Aug. 14, 2013); 0005750934 (KWT87) (license modified August 14, 2013); 0005750978 (KWU20) (license modified Aug. 14, 2013); 0005751000 (WLE595) (license modified August 14, 2013); 0005751005 (WLE613) (license modified Aug. 14, 2013); 0005751010 (WLG239) (license modified Aug. 14, 2013).</w:t>
      </w:r>
    </w:p>
  </w:footnote>
  <w:footnote w:id="21">
    <w:p w14:paraId="31D62357" w14:textId="0FD8634D" w:rsidR="006F0015" w:rsidRDefault="006F0015">
      <w:pPr>
        <w:pStyle w:val="FootnoteText"/>
      </w:pPr>
      <w:r>
        <w:rPr>
          <w:rStyle w:val="FootnoteReference"/>
        </w:rPr>
        <w:footnoteRef/>
      </w:r>
      <w:r>
        <w:t xml:space="preserve"> 47 U.S.C. § 301; 47 C.F.R. §§ 1.903(a), 1.947(a).  </w:t>
      </w:r>
    </w:p>
  </w:footnote>
  <w:footnote w:id="22">
    <w:p w14:paraId="7F1692CC" w14:textId="77777777" w:rsidR="006F0015" w:rsidRDefault="006F0015" w:rsidP="00F3197A">
      <w:pPr>
        <w:pStyle w:val="FootnoteText"/>
      </w:pPr>
      <w:r>
        <w:rPr>
          <w:rStyle w:val="FootnoteReference"/>
        </w:rPr>
        <w:footnoteRef/>
      </w:r>
      <w:r>
        <w:t xml:space="preserve"> 47 U.S.C. § 503(b).</w:t>
      </w:r>
    </w:p>
  </w:footnote>
  <w:footnote w:id="23">
    <w:p w14:paraId="200AA648" w14:textId="78960B10" w:rsidR="006F0015" w:rsidRDefault="006F0015" w:rsidP="00F3197A">
      <w:pPr>
        <w:pStyle w:val="FootnoteText"/>
      </w:pPr>
      <w:r>
        <w:rPr>
          <w:rStyle w:val="FootnoteReference"/>
        </w:rPr>
        <w:footnoteRef/>
      </w:r>
      <w:r>
        <w:t xml:space="preserve"> 47 U.S.</w:t>
      </w:r>
      <w:r w:rsidRPr="007A1687">
        <w:t xml:space="preserve">C. </w:t>
      </w:r>
      <w:r>
        <w:t xml:space="preserve">§ 312(f)(1).  </w:t>
      </w:r>
      <w:r w:rsidRPr="006740E7">
        <w:rPr>
          <w:color w:val="000000"/>
          <w:spacing w:val="-3"/>
          <w:szCs w:val="22"/>
        </w:rPr>
        <w:t>The legislative history to Section 312(f)(1) of the Act clarifies that this definition of willful applies to both Sections 312 and 503(b) of the Act, and the Commission has so interpreted the term in the Section 503(b) context.</w:t>
      </w:r>
      <w:r>
        <w:rPr>
          <w:color w:val="000000"/>
          <w:spacing w:val="-3"/>
          <w:szCs w:val="22"/>
        </w:rP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r>
        <w:rPr>
          <w:rStyle w:val="documentbody"/>
        </w:rPr>
        <w:t xml:space="preserve">; </w:t>
      </w:r>
      <w:r>
        <w:rPr>
          <w:i/>
        </w:rPr>
        <w:t>see, e.g.</w:t>
      </w:r>
      <w:r w:rsidRPr="00D77668">
        <w:t>,</w:t>
      </w:r>
      <w:r>
        <w:rPr>
          <w:i/>
        </w:rPr>
        <w:t xml:space="preserve"> S. Cal. Broad. Co.</w:t>
      </w:r>
      <w:r>
        <w:t xml:space="preserve">, Memorandum Opinion and Order, 6 FCC Rcd 4387, 4388, para. 5 (1991), </w:t>
      </w:r>
      <w:r>
        <w:rPr>
          <w:i/>
        </w:rPr>
        <w:t>recons. denied</w:t>
      </w:r>
      <w:r w:rsidRPr="00D77668">
        <w:t>,</w:t>
      </w:r>
      <w:r>
        <w:rPr>
          <w:i/>
        </w:rPr>
        <w:t xml:space="preserve"> </w:t>
      </w:r>
      <w:r>
        <w:t>7 FCC Rcd 3454 (1992).</w:t>
      </w:r>
      <w:r w:rsidRPr="006740E7">
        <w:rPr>
          <w:color w:val="000000"/>
          <w:spacing w:val="-3"/>
          <w:szCs w:val="22"/>
        </w:rPr>
        <w:t xml:space="preserve">  </w:t>
      </w:r>
    </w:p>
  </w:footnote>
  <w:footnote w:id="24">
    <w:p w14:paraId="0D167422" w14:textId="77777777" w:rsidR="006F0015" w:rsidRDefault="006F0015" w:rsidP="00F3197A">
      <w:pPr>
        <w:pStyle w:val="FootnoteText"/>
      </w:pPr>
      <w:r>
        <w:rPr>
          <w:rStyle w:val="FootnoteReference"/>
        </w:rPr>
        <w:footnoteRef/>
      </w:r>
      <w:r>
        <w:t xml:space="preserve"> </w:t>
      </w:r>
      <w:r>
        <w:rPr>
          <w:i/>
        </w:rPr>
        <w:t>See, e.g.</w:t>
      </w:r>
      <w:r w:rsidRPr="007A1687">
        <w:t>,</w:t>
      </w:r>
      <w:r>
        <w:t xml:space="preserve"> </w:t>
      </w:r>
      <w:r>
        <w:rPr>
          <w:i/>
        </w:rPr>
        <w:t>Callais Cablevision, Inc.</w:t>
      </w:r>
      <w:r>
        <w:t>, Notice of Apparent Liability for Monetary Forfeiture, 16 FCC Rcd 1359, 1362, para. 10 (2001) (</w:t>
      </w:r>
      <w:r>
        <w:rPr>
          <w:i/>
        </w:rPr>
        <w:t>Callais Cablevision, Inc.</w:t>
      </w:r>
      <w:r>
        <w:t xml:space="preserve">) (proposing a forfeiture for, </w:t>
      </w:r>
      <w:r>
        <w:rPr>
          <w:i/>
        </w:rPr>
        <w:t>inter alia</w:t>
      </w:r>
      <w:r>
        <w:t xml:space="preserve">, a cable television operator’s repeated signal leakage). </w:t>
      </w:r>
    </w:p>
  </w:footnote>
  <w:footnote w:id="25">
    <w:p w14:paraId="31720017" w14:textId="5B1E5756" w:rsidR="006F0015" w:rsidRDefault="006F0015" w:rsidP="00F3197A">
      <w:pPr>
        <w:pStyle w:val="FootnoteText"/>
      </w:pPr>
      <w:r>
        <w:rPr>
          <w:rStyle w:val="FootnoteReference"/>
        </w:rPr>
        <w:footnoteRef/>
      </w:r>
      <w:r>
        <w:t xml:space="preserve"> </w:t>
      </w:r>
      <w:r w:rsidRPr="007A1687">
        <w:rPr>
          <w:i/>
        </w:rPr>
        <w:t>See</w:t>
      </w:r>
      <w:r>
        <w:t xml:space="preserve"> 47 U.S.C. § 312(f)(2);</w:t>
      </w:r>
      <w:r>
        <w:rPr>
          <w:i/>
        </w:rPr>
        <w:t xml:space="preserve"> Callais Cablevision, Inc.</w:t>
      </w:r>
      <w:r>
        <w:t>, 16 FCC Rcd</w:t>
      </w:r>
      <w:r>
        <w:rPr>
          <w:i/>
        </w:rPr>
        <w:t xml:space="preserve"> </w:t>
      </w:r>
      <w:r>
        <w:t xml:space="preserve">at 1362, para. 9; </w:t>
      </w:r>
      <w:r w:rsidRPr="007A1687">
        <w:rPr>
          <w:i/>
        </w:rPr>
        <w:t>supra</w:t>
      </w:r>
      <w:r>
        <w:t xml:space="preserve"> n.</w:t>
      </w:r>
      <w:r>
        <w:rPr>
          <w:highlight w:val="yellow"/>
        </w:rPr>
        <w:fldChar w:fldCharType="begin"/>
      </w:r>
      <w:r>
        <w:instrText xml:space="preserve"> NOTEREF _Ref396137605 \h </w:instrText>
      </w:r>
      <w:r>
        <w:rPr>
          <w:highlight w:val="yellow"/>
        </w:rPr>
      </w:r>
      <w:r>
        <w:rPr>
          <w:highlight w:val="yellow"/>
        </w:rPr>
        <w:fldChar w:fldCharType="separate"/>
      </w:r>
      <w:r w:rsidR="00567ABD">
        <w:t>22</w:t>
      </w:r>
      <w:r>
        <w:rPr>
          <w:highlight w:val="yellow"/>
        </w:rPr>
        <w:fldChar w:fldCharType="end"/>
      </w:r>
      <w:r w:rsidRPr="007A1687">
        <w:t xml:space="preserve">. </w:t>
      </w:r>
    </w:p>
  </w:footnote>
  <w:footnote w:id="26">
    <w:p w14:paraId="7D7A2D9F" w14:textId="71524575" w:rsidR="006F0015" w:rsidRDefault="006F0015" w:rsidP="00F3197A">
      <w:pPr>
        <w:pStyle w:val="FootnoteText"/>
      </w:pPr>
      <w:r w:rsidRPr="00B257F1">
        <w:rPr>
          <w:rStyle w:val="FootnoteReference"/>
        </w:rPr>
        <w:footnoteRef/>
      </w:r>
      <w:r w:rsidRPr="00B257F1">
        <w:t xml:space="preserve"> 47 U.S.C. § 503(b)(2)(E).  </w:t>
      </w:r>
      <w:r w:rsidRPr="00B257F1">
        <w:rPr>
          <w:i/>
        </w:rPr>
        <w:t xml:space="preserve">See also </w:t>
      </w:r>
      <w:r w:rsidRPr="00B257F1">
        <w:t>47 C.F.R. § 1.80(b)(8)</w:t>
      </w:r>
      <w:r w:rsidRPr="00B257F1">
        <w:rPr>
          <w:rFonts w:eastAsia="Batang"/>
        </w:rPr>
        <w:t xml:space="preserve">; </w:t>
      </w:r>
      <w:r w:rsidRPr="006162C2">
        <w:rPr>
          <w:i/>
        </w:rPr>
        <w:t>The Commission’s Forfeiture Policy Statement and Amendment of Section 1.80 of the Rules to Incorporate the Forfeiture Guidelines</w:t>
      </w:r>
      <w:r w:rsidRPr="006162C2">
        <w:t>, Report and Order, 12 FCC Rcd 17087</w:t>
      </w:r>
      <w:r>
        <w:t>, 17100–01, para. 27</w:t>
      </w:r>
      <w:r w:rsidRPr="006162C2">
        <w:t xml:space="preserve"> (1997) (</w:t>
      </w:r>
      <w:r w:rsidRPr="006162C2">
        <w:rPr>
          <w:i/>
        </w:rPr>
        <w:t>Forfeiture Policy Statement</w:t>
      </w:r>
      <w:r w:rsidRPr="006162C2">
        <w:t xml:space="preserve">), </w:t>
      </w:r>
      <w:r w:rsidRPr="006162C2">
        <w:rPr>
          <w:i/>
        </w:rPr>
        <w:t>recons. denied</w:t>
      </w:r>
      <w:r w:rsidRPr="006162C2">
        <w:t>, 15 FCC Rcd 303 (1999)</w:t>
      </w:r>
      <w:r w:rsidRPr="00B257F1">
        <w:t>.</w:t>
      </w:r>
    </w:p>
  </w:footnote>
  <w:footnote w:id="27">
    <w:p w14:paraId="5335209A" w14:textId="7C3F8EC3" w:rsidR="006F0015" w:rsidRDefault="006F0015" w:rsidP="00F3197A">
      <w:pPr>
        <w:pStyle w:val="FootnoteText"/>
      </w:pPr>
      <w:r w:rsidRPr="00B257F1">
        <w:rPr>
          <w:rStyle w:val="FootnoteReference"/>
        </w:rPr>
        <w:footnoteRef/>
      </w:r>
      <w:r w:rsidRPr="00B257F1">
        <w:t xml:space="preserve"> 47 C.F.R. § 1.80(b).  </w:t>
      </w:r>
      <w:r w:rsidRPr="00B257F1">
        <w:rPr>
          <w:i/>
          <w:color w:val="000000"/>
        </w:rPr>
        <w:t>See also Forfeiture Policy Statement</w:t>
      </w:r>
      <w:r w:rsidRPr="007A1687">
        <w:rPr>
          <w:color w:val="000000"/>
        </w:rPr>
        <w:t>,</w:t>
      </w:r>
      <w:r>
        <w:rPr>
          <w:color w:val="000000"/>
        </w:rPr>
        <w:t xml:space="preserve"> 12 FCC Rcd at 17098–</w:t>
      </w:r>
      <w:r w:rsidRPr="00B257F1">
        <w:rPr>
          <w:color w:val="000000"/>
        </w:rPr>
        <w:t xml:space="preserve">99, para. 22 (noting that “[a]lthough we have adopted the base forfeiture amounts as guidelines to provide a measure of predictability to the </w:t>
      </w:r>
      <w:r w:rsidRPr="00B257F1">
        <w:t>forfeiture process, we retain our discretion to depart from the guidelines and issue forfeitures on a case-by-case basis, under our general forfeiture authority contained in Section 503 of the Act”).</w:t>
      </w:r>
    </w:p>
  </w:footnote>
  <w:footnote w:id="28">
    <w:p w14:paraId="383086E4" w14:textId="725A34E1" w:rsidR="006F0015" w:rsidRDefault="006F0015" w:rsidP="008369C2">
      <w:pPr>
        <w:pStyle w:val="FootnoteText"/>
      </w:pPr>
      <w:r>
        <w:rPr>
          <w:rStyle w:val="FootnoteReference"/>
        </w:rPr>
        <w:footnoteRef/>
      </w:r>
      <w:r>
        <w:t xml:space="preserve"> </w:t>
      </w:r>
      <w:r w:rsidRPr="00F567D1">
        <w:rPr>
          <w:i/>
          <w:iCs/>
        </w:rPr>
        <w:t>See</w:t>
      </w:r>
      <w:r w:rsidRPr="00F567D1">
        <w:t xml:space="preserve"> E-mail from </w:t>
      </w:r>
      <w:r>
        <w:t>Kelly Donohue, Wilkinson Barker Knauer, LLP</w:t>
      </w:r>
      <w:r w:rsidRPr="00F567D1">
        <w:t xml:space="preserve">, Counsel for </w:t>
      </w:r>
      <w:r w:rsidR="00A25198">
        <w:t>Midessa Television Limited Partnership</w:t>
      </w:r>
      <w:r>
        <w:t xml:space="preserve">, to </w:t>
      </w:r>
      <w:r w:rsidRPr="00F567D1">
        <w:t>John D. Poutasse, Chief, Spectrum Enforcement D</w:t>
      </w:r>
      <w:r>
        <w:t>ivision, FCC Enforcement Bureau</w:t>
      </w:r>
      <w:r w:rsidRPr="00F567D1">
        <w:t xml:space="preserve"> (</w:t>
      </w:r>
      <w:r>
        <w:t>Feb. 14, 2014</w:t>
      </w:r>
      <w:r w:rsidRPr="00F567D1">
        <w:t xml:space="preserve">) (on file in </w:t>
      </w:r>
      <w:r w:rsidRPr="00B475DC">
        <w:t>EB-SED-14-00016720</w:t>
      </w:r>
      <w:r>
        <w:t>).</w:t>
      </w:r>
    </w:p>
  </w:footnote>
  <w:footnote w:id="29">
    <w:p w14:paraId="38B3B597" w14:textId="77777777" w:rsidR="006F0015" w:rsidRPr="00C72FDD" w:rsidRDefault="006F0015" w:rsidP="008369C2">
      <w:pPr>
        <w:pStyle w:val="FootnoteText"/>
        <w:rPr>
          <w:i/>
        </w:rPr>
      </w:pPr>
      <w:r>
        <w:rPr>
          <w:rStyle w:val="FootnoteReference"/>
        </w:rPr>
        <w:footnoteRef/>
      </w:r>
      <w:r>
        <w:t xml:space="preserve"> </w:t>
      </w:r>
      <w:r>
        <w:rPr>
          <w:i/>
        </w:rPr>
        <w:t>Id.</w:t>
      </w:r>
    </w:p>
  </w:footnote>
  <w:footnote w:id="30">
    <w:p w14:paraId="614A36BF" w14:textId="6132670E" w:rsidR="006F0015" w:rsidRPr="006C5473" w:rsidRDefault="006F0015">
      <w:pPr>
        <w:pStyle w:val="FootnoteText"/>
      </w:pPr>
      <w:r>
        <w:rPr>
          <w:rStyle w:val="FootnoteReference"/>
        </w:rPr>
        <w:footnoteRef/>
      </w:r>
      <w:r>
        <w:t xml:space="preserve"> </w:t>
      </w:r>
      <w:r>
        <w:rPr>
          <w:i/>
        </w:rPr>
        <w:t>See Jeannine M. Mason</w:t>
      </w:r>
      <w:r>
        <w:t>, Notice of Apparent Liability for Forfeiture, 28 FCC Rcd</w:t>
      </w:r>
      <w:r w:rsidR="00906FFB">
        <w:t xml:space="preserve"> </w:t>
      </w:r>
      <w:r>
        <w:t>10748, 10750, para 7 (Enf. Bur. 2013) (proposing a penalty of $10,000 for operating a BAS associated with a full-power station without authorization)</w:t>
      </w:r>
      <w:r w:rsidR="0078188B">
        <w:t>,</w:t>
      </w:r>
      <w:r w:rsidR="0078188B" w:rsidRPr="0078188B">
        <w:rPr>
          <w:rFonts w:ascii="Calibri" w:eastAsiaTheme="minorHAnsi" w:hAnsi="Calibri"/>
          <w:i/>
          <w:iCs/>
          <w:szCs w:val="22"/>
          <w:lang w:bidi="he-IL"/>
        </w:rPr>
        <w:t xml:space="preserve"> </w:t>
      </w:r>
      <w:r w:rsidR="0078188B" w:rsidRPr="0078188B">
        <w:rPr>
          <w:i/>
          <w:iCs/>
        </w:rPr>
        <w:t>aff’d</w:t>
      </w:r>
      <w:r w:rsidR="0078188B" w:rsidRPr="0078188B">
        <w:t>, Forfeiture Order, DA 14-1213 (Enf. Bur. Aug. 22, 2014) (reducing forfeiture to impose no monetary penalty due to demonstrated inability to pay)</w:t>
      </w:r>
      <w:r>
        <w:t xml:space="preserve">; </w:t>
      </w:r>
      <w:r>
        <w:rPr>
          <w:i/>
        </w:rPr>
        <w:t>Mt. Rushmore Broad., Inc.</w:t>
      </w:r>
      <w:r>
        <w:t>, Notice of Apparent Liability for Forfeiture and Order, 27 FCC Rcd 8278, 8280, para. 6 (Enf. Bur. 2012) (proposing a total forfeiture of $20,000 for operating a BAS associated with a full-power station</w:t>
      </w:r>
      <w:r w:rsidRPr="008B1BBA">
        <w:t xml:space="preserve"> </w:t>
      </w:r>
      <w:r>
        <w:t xml:space="preserve">without a license for at least 15 years); </w:t>
      </w:r>
      <w:r>
        <w:rPr>
          <w:i/>
        </w:rPr>
        <w:t>Mt. Rushmore Broad., Inc.</w:t>
      </w:r>
      <w:r>
        <w:t xml:space="preserve">, Notice of Apparent Liability for Forfeiture and Order, 27 FCC Rcd 8273, 8275, para. 6 (Enf. Bur. 2012) (proposing a total forfeiture of $20,000 for operating a BAS associated with a full-power station without a license for at least 10 years); </w:t>
      </w:r>
      <w:r>
        <w:rPr>
          <w:i/>
        </w:rPr>
        <w:t>Mt. Rushmore Broad., Inc.</w:t>
      </w:r>
      <w:r>
        <w:t>, Notice of Apparent Liability for Forfeiture and Order, 27 FCC Rcd 8268, 8270, para. 6 (Enf. Bur. 2012) (proposing a total forfeiture of $20,000 for operating a BAS associated with a full-power station without a license for at least 15 years).</w:t>
      </w:r>
    </w:p>
  </w:footnote>
  <w:footnote w:id="31">
    <w:p w14:paraId="75D4565B" w14:textId="29AD19BB" w:rsidR="009C4A40" w:rsidRPr="009C4A40" w:rsidRDefault="009C4A40">
      <w:pPr>
        <w:pStyle w:val="FootnoteText"/>
      </w:pPr>
      <w:r>
        <w:rPr>
          <w:rStyle w:val="FootnoteReference"/>
        </w:rPr>
        <w:footnoteRef/>
      </w:r>
      <w:r>
        <w:t xml:space="preserve"> </w:t>
      </w:r>
      <w:r>
        <w:rPr>
          <w:i/>
        </w:rPr>
        <w:t>See</w:t>
      </w:r>
      <w:r>
        <w:t xml:space="preserve"> 47 U.S.C. § 503(b)(2)(E); 47 C.F.R. § 1.80(b)(8).</w:t>
      </w:r>
    </w:p>
  </w:footnote>
  <w:footnote w:id="32">
    <w:p w14:paraId="772335DE" w14:textId="77777777" w:rsidR="006F0015" w:rsidRPr="00297DCF" w:rsidRDefault="006F0015">
      <w:pPr>
        <w:pStyle w:val="FootnoteText"/>
      </w:pPr>
      <w:r>
        <w:rPr>
          <w:rStyle w:val="FootnoteReference"/>
        </w:rPr>
        <w:footnoteRef/>
      </w:r>
      <w:r>
        <w:t xml:space="preserve"> </w:t>
      </w:r>
      <w:r>
        <w:rPr>
          <w:i/>
        </w:rPr>
        <w:t xml:space="preserve">See </w:t>
      </w:r>
      <w:r>
        <w:t>47 U.S.C. § 301.</w:t>
      </w:r>
    </w:p>
  </w:footnote>
  <w:footnote w:id="33">
    <w:p w14:paraId="1CD688DA" w14:textId="50E18CDF" w:rsidR="006F0015" w:rsidRPr="00297DCF" w:rsidRDefault="006F0015">
      <w:pPr>
        <w:pStyle w:val="FootnoteText"/>
        <w:rPr>
          <w:b/>
        </w:rPr>
      </w:pPr>
      <w:r>
        <w:rPr>
          <w:rStyle w:val="FootnoteReference"/>
        </w:rPr>
        <w:footnoteRef/>
      </w:r>
      <w:r>
        <w:t xml:space="preserve"> </w:t>
      </w:r>
      <w:r w:rsidRPr="005C2498">
        <w:t>LOI Response, Attachment at 1.</w:t>
      </w:r>
    </w:p>
  </w:footnote>
  <w:footnote w:id="34">
    <w:p w14:paraId="6D4CC8C4" w14:textId="6ADA3977" w:rsidR="006F0015" w:rsidRPr="007C08F9" w:rsidRDefault="006F0015" w:rsidP="00785DD0">
      <w:pPr>
        <w:pStyle w:val="FootnoteText"/>
      </w:pPr>
      <w:r w:rsidRPr="005816FB">
        <w:rPr>
          <w:rStyle w:val="FootnoteReference"/>
        </w:rPr>
        <w:footnoteRef/>
      </w:r>
      <w:r>
        <w:t xml:space="preserve"> I</w:t>
      </w:r>
      <w:r w:rsidRPr="006A1849">
        <w:t>n several analogous cases the Bureau, under delegated authority, has declined to downwardly adjust a proposed forfeiture when the violator</w:t>
      </w:r>
      <w:r>
        <w:t>’</w:t>
      </w:r>
      <w:r w:rsidRPr="006A1849">
        <w:t xml:space="preserve">s attempts to come into compliance were dilatory, as is the circumstance here.  </w:t>
      </w:r>
      <w:r w:rsidRPr="006A1849">
        <w:rPr>
          <w:i/>
        </w:rPr>
        <w:t>See</w:t>
      </w:r>
      <w:r w:rsidRPr="006A1849">
        <w:t xml:space="preserve">, </w:t>
      </w:r>
      <w:r w:rsidRPr="006A1849">
        <w:rPr>
          <w:i/>
        </w:rPr>
        <w:t>e.g.</w:t>
      </w:r>
      <w:r w:rsidRPr="006A1849">
        <w:t xml:space="preserve">, </w:t>
      </w:r>
      <w:r w:rsidRPr="006A1849">
        <w:rPr>
          <w:i/>
        </w:rPr>
        <w:t>Miller Breweries East, Inc.</w:t>
      </w:r>
      <w:r w:rsidRPr="006A1849">
        <w:t xml:space="preserve">, Notice of Apparent Liability for Forfeiture, 23 FCC Rcd 127, 130, para. 12 (Enf. Bur. 2008) (finding that a downward adjustment was unwarranted when the violator waited seven months to notify Commission staff and seek authority to operate the station); </w:t>
      </w:r>
      <w:r w:rsidRPr="006A1849">
        <w:rPr>
          <w:i/>
        </w:rPr>
        <w:t>Domtar Indus., Inc.</w:t>
      </w:r>
      <w:r w:rsidRPr="006A1849">
        <w:t xml:space="preserve">, Notice of Apparent Liability for Forfeiture, 21 FCC Rcd 13811, 13816, para. 15 (Enf. Bur. 2006) (finding that a downward adjustment was unwarranted when the violator waited eight months to notify Commission staff and seek authority to operate the station); </w:t>
      </w:r>
      <w:r w:rsidRPr="006A1849">
        <w:rPr>
          <w:i/>
          <w:iCs/>
        </w:rPr>
        <w:t>Am. Paging Inc.</w:t>
      </w:r>
      <w:r w:rsidRPr="006A1849">
        <w:t>, Memorandum Opinion and Order, 12 FCC Rcd 10417, 10420, para. 12 (Wi</w:t>
      </w:r>
      <w:r>
        <w:t xml:space="preserve">reless Telecomm. Bur. </w:t>
      </w:r>
      <w:r w:rsidRPr="006A1849">
        <w:t xml:space="preserve">1997) (finding that a </w:t>
      </w:r>
      <w:r w:rsidRPr="006A1849">
        <w:rPr>
          <w:bCs/>
        </w:rPr>
        <w:t>downward</w:t>
      </w:r>
      <w:r w:rsidRPr="006A1849">
        <w:t xml:space="preserve"> </w:t>
      </w:r>
      <w:r w:rsidRPr="006A1849">
        <w:rPr>
          <w:bCs/>
        </w:rPr>
        <w:t>adjustment</w:t>
      </w:r>
      <w:r w:rsidRPr="006A1849">
        <w:t xml:space="preserve"> for </w:t>
      </w:r>
      <w:r w:rsidRPr="006A1849">
        <w:rPr>
          <w:bCs/>
        </w:rPr>
        <w:t>voluntary</w:t>
      </w:r>
      <w:r w:rsidRPr="006A1849">
        <w:t xml:space="preserve"> </w:t>
      </w:r>
      <w:r w:rsidRPr="006A1849">
        <w:rPr>
          <w:bCs/>
        </w:rPr>
        <w:t>disclosure</w:t>
      </w:r>
      <w:r w:rsidRPr="006A1849">
        <w:t xml:space="preserve"> was unwarranted when the violator did not reveal its violation until approximately one month after having various conversations wit</w:t>
      </w:r>
      <w:r>
        <w:t>h Commission staff regarding Special Temporary Authority (</w:t>
      </w:r>
      <w:r w:rsidRPr="006A1849">
        <w:t>STA</w:t>
      </w:r>
      <w:r>
        <w:t>)</w:t>
      </w:r>
      <w:r w:rsidRPr="006A1849">
        <w:t xml:space="preserve"> and that a </w:t>
      </w:r>
      <w:r w:rsidRPr="006A1849">
        <w:rPr>
          <w:bCs/>
        </w:rPr>
        <w:t>downward</w:t>
      </w:r>
      <w:r w:rsidRPr="006A1849">
        <w:t xml:space="preserve"> </w:t>
      </w:r>
      <w:r w:rsidRPr="006A1849">
        <w:rPr>
          <w:bCs/>
        </w:rPr>
        <w:t>adjustment</w:t>
      </w:r>
      <w:r w:rsidRPr="006A1849">
        <w:t xml:space="preserve"> for </w:t>
      </w:r>
      <w:r w:rsidRPr="006A1849">
        <w:rPr>
          <w:bCs/>
        </w:rPr>
        <w:t>good</w:t>
      </w:r>
      <w:r w:rsidRPr="006A1849">
        <w:t xml:space="preserve"> </w:t>
      </w:r>
      <w:r w:rsidRPr="006A1849">
        <w:rPr>
          <w:bCs/>
        </w:rPr>
        <w:t>faith</w:t>
      </w:r>
      <w:r w:rsidRPr="006A1849">
        <w:t xml:space="preserve"> attempts to comply was unwarranted when the violator continued to operate the station without authorization after its STA request had been denied).</w:t>
      </w:r>
      <w:r w:rsidRPr="006A1849">
        <w:rPr>
          <w:i/>
        </w:rPr>
        <w:t xml:space="preserve"> </w:t>
      </w:r>
    </w:p>
  </w:footnote>
  <w:footnote w:id="35">
    <w:p w14:paraId="35BF0289" w14:textId="77777777" w:rsidR="006F0015" w:rsidRDefault="006F0015">
      <w:pPr>
        <w:pStyle w:val="FootnoteText"/>
      </w:pPr>
      <w:r>
        <w:rPr>
          <w:rStyle w:val="FootnoteReference"/>
        </w:rPr>
        <w:footnoteRef/>
      </w:r>
      <w:r>
        <w:t xml:space="preserve"> 47 U.S.C. § 503(b).</w:t>
      </w:r>
    </w:p>
  </w:footnote>
  <w:footnote w:id="36">
    <w:p w14:paraId="7BD11B01" w14:textId="39420966" w:rsidR="006F0015" w:rsidRDefault="006F0015">
      <w:pPr>
        <w:pStyle w:val="FootnoteText"/>
      </w:pPr>
      <w:r>
        <w:rPr>
          <w:rStyle w:val="FootnoteReference"/>
        </w:rPr>
        <w:footnoteRef/>
      </w:r>
      <w:r>
        <w:t xml:space="preserve"> 47 C.F.R. § 1.80.</w:t>
      </w:r>
    </w:p>
  </w:footnote>
  <w:footnote w:id="37">
    <w:p w14:paraId="20060261" w14:textId="77777777" w:rsidR="006F0015" w:rsidRDefault="006F0015">
      <w:pPr>
        <w:pStyle w:val="FootnoteText"/>
      </w:pPr>
      <w:r>
        <w:rPr>
          <w:rStyle w:val="FootnoteReference"/>
        </w:rPr>
        <w:footnoteRef/>
      </w:r>
      <w:r>
        <w:t xml:space="preserve"> 47 U.S.C. § 301.</w:t>
      </w:r>
    </w:p>
  </w:footnote>
  <w:footnote w:id="38">
    <w:p w14:paraId="21961763" w14:textId="356F6DAA" w:rsidR="006F0015" w:rsidRDefault="006F0015">
      <w:pPr>
        <w:pStyle w:val="FootnoteText"/>
      </w:pPr>
      <w:r>
        <w:rPr>
          <w:rStyle w:val="FootnoteReference"/>
        </w:rPr>
        <w:footnoteRef/>
      </w:r>
      <w:r>
        <w:t xml:space="preserve"> 47 C.F.R. §§</w:t>
      </w:r>
      <w:r w:rsidRPr="001C51BD">
        <w:t xml:space="preserve"> 1.903(a)</w:t>
      </w:r>
      <w:r>
        <w:t>, 1.947(a)</w:t>
      </w:r>
      <w:r w:rsidRPr="001C51BD">
        <w:t>.</w:t>
      </w:r>
    </w:p>
  </w:footnote>
  <w:footnote w:id="39">
    <w:p w14:paraId="160BE3C5" w14:textId="77777777" w:rsidR="006F0015" w:rsidRDefault="006F0015">
      <w:pPr>
        <w:pStyle w:val="FootnoteText"/>
      </w:pPr>
      <w:r>
        <w:rPr>
          <w:rStyle w:val="FootnoteReference"/>
        </w:rPr>
        <w:footnoteRef/>
      </w:r>
      <w:r>
        <w:t xml:space="preserve"> 47 C.F.R. § 1.80.</w:t>
      </w:r>
    </w:p>
  </w:footnote>
  <w:footnote w:id="40">
    <w:p w14:paraId="612DB5E3" w14:textId="77777777" w:rsidR="006F0015" w:rsidRDefault="006F0015" w:rsidP="00A46D54">
      <w:pPr>
        <w:pStyle w:val="FootnoteText"/>
      </w:pPr>
      <w:r>
        <w:rPr>
          <w:rStyle w:val="FootnoteReference"/>
        </w:rPr>
        <w:footnoteRef/>
      </w:r>
      <w:r>
        <w:t xml:space="preserve"> </w:t>
      </w:r>
      <w:r w:rsidRPr="00626BA2">
        <w:rPr>
          <w:rFonts w:eastAsia="MS Mincho" w:cs="Arial"/>
        </w:rPr>
        <w:t>An FCC Form 159</w:t>
      </w:r>
      <w:r>
        <w:rPr>
          <w:rFonts w:eastAsia="MS Mincho" w:cs="Arial"/>
        </w:rPr>
        <w:t xml:space="preserve"> and detailed </w:t>
      </w:r>
      <w:r w:rsidRPr="00626BA2">
        <w:rPr>
          <w:rFonts w:eastAsia="MS Mincho" w:cs="Arial"/>
        </w:rPr>
        <w:t>instructions</w:t>
      </w:r>
      <w:r>
        <w:rPr>
          <w:rFonts w:eastAsia="MS Mincho" w:cs="Arial"/>
        </w:rPr>
        <w:t xml:space="preserve"> </w:t>
      </w:r>
      <w:r w:rsidRPr="00626BA2">
        <w:rPr>
          <w:rFonts w:eastAsia="MS Mincho" w:cs="Arial"/>
        </w:rPr>
        <w:t>for completing the form may be obtained at http://www.fcc.gov/Forms/Form159/159.pdf.</w:t>
      </w:r>
    </w:p>
  </w:footnote>
  <w:footnote w:id="41">
    <w:p w14:paraId="31A79D95" w14:textId="77777777" w:rsidR="006F0015" w:rsidRDefault="006F0015" w:rsidP="00A46D54">
      <w:pPr>
        <w:pStyle w:val="FootnoteText"/>
      </w:pPr>
      <w:r>
        <w:rPr>
          <w:rStyle w:val="FootnoteReference"/>
        </w:rPr>
        <w:footnoteRef/>
      </w:r>
      <w:r>
        <w:t xml:space="preserve"> </w:t>
      </w:r>
      <w:r w:rsidRPr="00D70F1F">
        <w:rPr>
          <w:i/>
        </w:rPr>
        <w:t>See</w:t>
      </w:r>
      <w:r>
        <w:t xml:space="preserve"> 47 C.F.R. § 1.1914.</w:t>
      </w:r>
    </w:p>
  </w:footnote>
  <w:footnote w:id="42">
    <w:p w14:paraId="065527FC" w14:textId="320A0A42" w:rsidR="006F0015" w:rsidRDefault="006F0015" w:rsidP="00197635">
      <w:pPr>
        <w:pStyle w:val="FootnoteText"/>
      </w:pPr>
      <w:r w:rsidRPr="00B257F1">
        <w:rPr>
          <w:rStyle w:val="FootnoteReference"/>
        </w:rPr>
        <w:footnoteRef/>
      </w:r>
      <w:r w:rsidRPr="00B257F1">
        <w:t xml:space="preserve"> </w:t>
      </w:r>
      <w:r>
        <w:t>47 C.F.R</w:t>
      </w:r>
      <w:r w:rsidRPr="007A1687">
        <w:t xml:space="preserve">. </w:t>
      </w:r>
      <w:r>
        <w:t xml:space="preserve">§§ </w:t>
      </w:r>
      <w:r w:rsidRPr="00B257F1">
        <w:t>1.16</w:t>
      </w:r>
      <w:r>
        <w:t>, 1.80(f)(3)</w:t>
      </w:r>
      <w:r w:rsidRPr="00B257F1">
        <w:t>.</w:t>
      </w:r>
      <w:r w:rsidRPr="0040210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3708B" w14:textId="77777777" w:rsidR="00C8529F" w:rsidRDefault="00C85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2486" w14:textId="4FAF8069" w:rsidR="006F0015" w:rsidRPr="00F61523" w:rsidRDefault="006F0015" w:rsidP="005B596A">
    <w:pPr>
      <w:pStyle w:val="Header"/>
      <w:rPr>
        <w:b w:val="0"/>
        <w:szCs w:val="22"/>
      </w:rPr>
    </w:pPr>
    <w:r>
      <w:tab/>
    </w:r>
    <w:r w:rsidRPr="00F61523">
      <w:rPr>
        <w:szCs w:val="22"/>
      </w:rPr>
      <w:t>Federal Communications Commission</w:t>
    </w:r>
    <w:r w:rsidRPr="00F61523">
      <w:rPr>
        <w:szCs w:val="22"/>
      </w:rPr>
      <w:tab/>
    </w:r>
    <w:r>
      <w:rPr>
        <w:szCs w:val="22"/>
      </w:rPr>
      <w:t>FCC</w:t>
    </w:r>
    <w:r w:rsidRPr="00F61523">
      <w:rPr>
        <w:szCs w:val="22"/>
      </w:rPr>
      <w:t xml:space="preserve"> 14-</w:t>
    </w:r>
    <w:r w:rsidR="00240D6A">
      <w:rPr>
        <w:szCs w:val="22"/>
      </w:rPr>
      <w:t>159</w:t>
    </w:r>
  </w:p>
  <w:p w14:paraId="3F350CA2" w14:textId="77777777" w:rsidR="006F0015" w:rsidRPr="00F61523" w:rsidRDefault="009441E3">
    <w:pPr>
      <w:tabs>
        <w:tab w:val="left" w:pos="-720"/>
      </w:tabs>
      <w:suppressAutoHyphens/>
      <w:spacing w:line="19" w:lineRule="exact"/>
      <w:rPr>
        <w:b/>
        <w:spacing w:val="-2"/>
        <w:szCs w:val="22"/>
      </w:rPr>
    </w:pPr>
    <w:r>
      <w:rPr>
        <w:b/>
        <w:noProof/>
        <w:szCs w:val="22"/>
      </w:rPr>
      <w:pict w14:anchorId="0E93B3CA">
        <v:rect id="Rectangle 1" o:spid="_x0000_s2049" style="position:absolute;margin-left:0;margin-top:0;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713288AD" w14:textId="77777777" w:rsidR="006F0015" w:rsidRDefault="006F001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A7B4" w14:textId="7ECE18D7" w:rsidR="006F0015" w:rsidRPr="00F61523" w:rsidRDefault="009441E3" w:rsidP="005B596A">
    <w:pPr>
      <w:pStyle w:val="Header"/>
      <w:rPr>
        <w:b w:val="0"/>
        <w:szCs w:val="22"/>
      </w:rPr>
    </w:pPr>
    <w:r>
      <w:rPr>
        <w:b w:val="0"/>
        <w:noProof/>
        <w:szCs w:val="22"/>
      </w:rPr>
      <w:pict w14:anchorId="5365034E">
        <v:rect id="Rectangle 3" o:spid="_x0000_s2050" style="position:absolute;margin-left:.6pt;margin-top:12.65pt;width:468pt;height:.95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F0015" w:rsidRPr="00F61523">
      <w:rPr>
        <w:szCs w:val="22"/>
      </w:rPr>
      <w:tab/>
      <w:t>Federal Communications Commission</w:t>
    </w:r>
    <w:r w:rsidR="006F0015" w:rsidRPr="00F61523">
      <w:rPr>
        <w:szCs w:val="22"/>
      </w:rPr>
      <w:tab/>
    </w:r>
    <w:r w:rsidR="006F0015">
      <w:rPr>
        <w:szCs w:val="22"/>
      </w:rPr>
      <w:t>FCC</w:t>
    </w:r>
    <w:r w:rsidR="006F0015" w:rsidRPr="00F61523">
      <w:rPr>
        <w:szCs w:val="22"/>
      </w:rPr>
      <w:t xml:space="preserve"> 14-</w:t>
    </w:r>
    <w:r w:rsidR="00240D6A">
      <w:rPr>
        <w:szCs w:val="22"/>
      </w:rPr>
      <w:t>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9">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0">
    <w:nsid w:val="77CF1DB5"/>
    <w:multiLevelType w:val="hybridMultilevel"/>
    <w:tmpl w:val="79900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9"/>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num>
  <w:num w:numId="21">
    <w:abstractNumId w:val="4"/>
  </w:num>
  <w:num w:numId="22">
    <w:abstractNumId w:val="7"/>
  </w:num>
  <w:num w:numId="23">
    <w:abstractNumId w:val="7"/>
  </w:num>
  <w:num w:numId="24">
    <w:abstractNumId w:val="7"/>
  </w:num>
  <w:num w:numId="25">
    <w:abstractNumId w:val="7"/>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2B19"/>
    <w:rsid w:val="000006B8"/>
    <w:rsid w:val="00013784"/>
    <w:rsid w:val="00017EC7"/>
    <w:rsid w:val="00025DC7"/>
    <w:rsid w:val="0002672D"/>
    <w:rsid w:val="000327D8"/>
    <w:rsid w:val="00036039"/>
    <w:rsid w:val="000372D7"/>
    <w:rsid w:val="00037F90"/>
    <w:rsid w:val="00044874"/>
    <w:rsid w:val="00062577"/>
    <w:rsid w:val="00065F39"/>
    <w:rsid w:val="000720B4"/>
    <w:rsid w:val="00085C11"/>
    <w:rsid w:val="000875BF"/>
    <w:rsid w:val="00092DA7"/>
    <w:rsid w:val="00092E10"/>
    <w:rsid w:val="000959D1"/>
    <w:rsid w:val="00096D8C"/>
    <w:rsid w:val="000A6D73"/>
    <w:rsid w:val="000C0B65"/>
    <w:rsid w:val="000D3006"/>
    <w:rsid w:val="000E05FE"/>
    <w:rsid w:val="000E32B7"/>
    <w:rsid w:val="000E3D42"/>
    <w:rsid w:val="000E582D"/>
    <w:rsid w:val="000F4D44"/>
    <w:rsid w:val="000F515B"/>
    <w:rsid w:val="0010358C"/>
    <w:rsid w:val="00107EEF"/>
    <w:rsid w:val="001149F6"/>
    <w:rsid w:val="00122BD5"/>
    <w:rsid w:val="00126B9C"/>
    <w:rsid w:val="00130B45"/>
    <w:rsid w:val="00133F79"/>
    <w:rsid w:val="00143C1A"/>
    <w:rsid w:val="001471A9"/>
    <w:rsid w:val="00152F1C"/>
    <w:rsid w:val="001619AD"/>
    <w:rsid w:val="00163FE2"/>
    <w:rsid w:val="00165963"/>
    <w:rsid w:val="00165CC1"/>
    <w:rsid w:val="0017591A"/>
    <w:rsid w:val="001767BF"/>
    <w:rsid w:val="001779E0"/>
    <w:rsid w:val="00187352"/>
    <w:rsid w:val="00194A66"/>
    <w:rsid w:val="00197635"/>
    <w:rsid w:val="001A1485"/>
    <w:rsid w:val="001A4030"/>
    <w:rsid w:val="001A4B0C"/>
    <w:rsid w:val="001C372E"/>
    <w:rsid w:val="001C51BD"/>
    <w:rsid w:val="001D6BCF"/>
    <w:rsid w:val="001E01CA"/>
    <w:rsid w:val="001E3120"/>
    <w:rsid w:val="001E5D93"/>
    <w:rsid w:val="001E62FE"/>
    <w:rsid w:val="001F7988"/>
    <w:rsid w:val="001F7EE0"/>
    <w:rsid w:val="00201BFC"/>
    <w:rsid w:val="00221E8C"/>
    <w:rsid w:val="002229F2"/>
    <w:rsid w:val="00223978"/>
    <w:rsid w:val="00235F7D"/>
    <w:rsid w:val="00236520"/>
    <w:rsid w:val="002372FD"/>
    <w:rsid w:val="00240D6A"/>
    <w:rsid w:val="0024300A"/>
    <w:rsid w:val="002432DE"/>
    <w:rsid w:val="002474D2"/>
    <w:rsid w:val="002504FF"/>
    <w:rsid w:val="00250DF0"/>
    <w:rsid w:val="00256C2B"/>
    <w:rsid w:val="00262327"/>
    <w:rsid w:val="00264D25"/>
    <w:rsid w:val="00271148"/>
    <w:rsid w:val="00275CF5"/>
    <w:rsid w:val="00281B44"/>
    <w:rsid w:val="0028301F"/>
    <w:rsid w:val="00285017"/>
    <w:rsid w:val="00286895"/>
    <w:rsid w:val="00290012"/>
    <w:rsid w:val="002969F1"/>
    <w:rsid w:val="00297DCF"/>
    <w:rsid w:val="002A0AAB"/>
    <w:rsid w:val="002A2D2E"/>
    <w:rsid w:val="002C00E8"/>
    <w:rsid w:val="002C1C64"/>
    <w:rsid w:val="002D6685"/>
    <w:rsid w:val="002E1414"/>
    <w:rsid w:val="002E1DF3"/>
    <w:rsid w:val="002E2132"/>
    <w:rsid w:val="002E4452"/>
    <w:rsid w:val="002F427A"/>
    <w:rsid w:val="0030201C"/>
    <w:rsid w:val="00302B0D"/>
    <w:rsid w:val="00310941"/>
    <w:rsid w:val="00317D67"/>
    <w:rsid w:val="00324308"/>
    <w:rsid w:val="00326BA5"/>
    <w:rsid w:val="003273E5"/>
    <w:rsid w:val="0033405B"/>
    <w:rsid w:val="0033537F"/>
    <w:rsid w:val="00335F05"/>
    <w:rsid w:val="00336E10"/>
    <w:rsid w:val="003404C7"/>
    <w:rsid w:val="0034201F"/>
    <w:rsid w:val="00343749"/>
    <w:rsid w:val="003467C7"/>
    <w:rsid w:val="003511DF"/>
    <w:rsid w:val="003660ED"/>
    <w:rsid w:val="00367B25"/>
    <w:rsid w:val="00371119"/>
    <w:rsid w:val="0037699D"/>
    <w:rsid w:val="00387145"/>
    <w:rsid w:val="00392B46"/>
    <w:rsid w:val="003931E5"/>
    <w:rsid w:val="003A323A"/>
    <w:rsid w:val="003A51D0"/>
    <w:rsid w:val="003B0550"/>
    <w:rsid w:val="003B694F"/>
    <w:rsid w:val="003C7703"/>
    <w:rsid w:val="003D09FD"/>
    <w:rsid w:val="003D3383"/>
    <w:rsid w:val="003D7F6E"/>
    <w:rsid w:val="003E59C5"/>
    <w:rsid w:val="003E697A"/>
    <w:rsid w:val="003F0F1C"/>
    <w:rsid w:val="003F171C"/>
    <w:rsid w:val="00402104"/>
    <w:rsid w:val="00405526"/>
    <w:rsid w:val="004105D4"/>
    <w:rsid w:val="00412FC5"/>
    <w:rsid w:val="00422276"/>
    <w:rsid w:val="00423395"/>
    <w:rsid w:val="0042392A"/>
    <w:rsid w:val="004242F1"/>
    <w:rsid w:val="00424D5D"/>
    <w:rsid w:val="004254FD"/>
    <w:rsid w:val="00440E3C"/>
    <w:rsid w:val="00445A00"/>
    <w:rsid w:val="00451B0F"/>
    <w:rsid w:val="00455D74"/>
    <w:rsid w:val="0046661D"/>
    <w:rsid w:val="004678D3"/>
    <w:rsid w:val="0047388E"/>
    <w:rsid w:val="00474778"/>
    <w:rsid w:val="004779FA"/>
    <w:rsid w:val="00477C4A"/>
    <w:rsid w:val="004924BE"/>
    <w:rsid w:val="00493898"/>
    <w:rsid w:val="004A10E3"/>
    <w:rsid w:val="004B45CF"/>
    <w:rsid w:val="004C149C"/>
    <w:rsid w:val="004C2EE3"/>
    <w:rsid w:val="004C6952"/>
    <w:rsid w:val="004D0EE7"/>
    <w:rsid w:val="004D522E"/>
    <w:rsid w:val="004E3015"/>
    <w:rsid w:val="004E4A22"/>
    <w:rsid w:val="005024F1"/>
    <w:rsid w:val="00511968"/>
    <w:rsid w:val="0051209F"/>
    <w:rsid w:val="005145B8"/>
    <w:rsid w:val="00515A37"/>
    <w:rsid w:val="005178CF"/>
    <w:rsid w:val="0053096C"/>
    <w:rsid w:val="00530DF8"/>
    <w:rsid w:val="00530EA3"/>
    <w:rsid w:val="00533FE1"/>
    <w:rsid w:val="00537B12"/>
    <w:rsid w:val="005453D5"/>
    <w:rsid w:val="00547631"/>
    <w:rsid w:val="00555837"/>
    <w:rsid w:val="0055598F"/>
    <w:rsid w:val="0055614C"/>
    <w:rsid w:val="005675FA"/>
    <w:rsid w:val="00567ABD"/>
    <w:rsid w:val="005703CA"/>
    <w:rsid w:val="00596467"/>
    <w:rsid w:val="005A1ECE"/>
    <w:rsid w:val="005A649B"/>
    <w:rsid w:val="005B3AE8"/>
    <w:rsid w:val="005B596A"/>
    <w:rsid w:val="005C2498"/>
    <w:rsid w:val="005D1FF1"/>
    <w:rsid w:val="005D61D4"/>
    <w:rsid w:val="005E14C2"/>
    <w:rsid w:val="005E2FD9"/>
    <w:rsid w:val="005E42A7"/>
    <w:rsid w:val="005F25EF"/>
    <w:rsid w:val="005F4058"/>
    <w:rsid w:val="005F42C7"/>
    <w:rsid w:val="005F711C"/>
    <w:rsid w:val="00607BA5"/>
    <w:rsid w:val="0061180A"/>
    <w:rsid w:val="00622660"/>
    <w:rsid w:val="00623F68"/>
    <w:rsid w:val="00626BA2"/>
    <w:rsid w:val="00626EB6"/>
    <w:rsid w:val="006319AC"/>
    <w:rsid w:val="00640DBC"/>
    <w:rsid w:val="006556EA"/>
    <w:rsid w:val="00655D03"/>
    <w:rsid w:val="006642E3"/>
    <w:rsid w:val="0066649C"/>
    <w:rsid w:val="006736E8"/>
    <w:rsid w:val="006740E7"/>
    <w:rsid w:val="00675177"/>
    <w:rsid w:val="00677DF8"/>
    <w:rsid w:val="00683357"/>
    <w:rsid w:val="00683388"/>
    <w:rsid w:val="00683F84"/>
    <w:rsid w:val="006A259B"/>
    <w:rsid w:val="006A6A81"/>
    <w:rsid w:val="006A79F5"/>
    <w:rsid w:val="006B42FF"/>
    <w:rsid w:val="006C3888"/>
    <w:rsid w:val="006C5473"/>
    <w:rsid w:val="006D4B01"/>
    <w:rsid w:val="006D67D4"/>
    <w:rsid w:val="006E0C7E"/>
    <w:rsid w:val="006E28F8"/>
    <w:rsid w:val="006E35DB"/>
    <w:rsid w:val="006F0015"/>
    <w:rsid w:val="006F50A7"/>
    <w:rsid w:val="006F532C"/>
    <w:rsid w:val="006F7393"/>
    <w:rsid w:val="00700405"/>
    <w:rsid w:val="0070224F"/>
    <w:rsid w:val="00703AA4"/>
    <w:rsid w:val="00707912"/>
    <w:rsid w:val="00707EEB"/>
    <w:rsid w:val="007115F7"/>
    <w:rsid w:val="00713519"/>
    <w:rsid w:val="00717105"/>
    <w:rsid w:val="00720D57"/>
    <w:rsid w:val="007252BA"/>
    <w:rsid w:val="00730A2F"/>
    <w:rsid w:val="007325EC"/>
    <w:rsid w:val="007363CD"/>
    <w:rsid w:val="00747958"/>
    <w:rsid w:val="007522CC"/>
    <w:rsid w:val="007541D5"/>
    <w:rsid w:val="00760C57"/>
    <w:rsid w:val="007613F0"/>
    <w:rsid w:val="00764684"/>
    <w:rsid w:val="007656BC"/>
    <w:rsid w:val="00767CB9"/>
    <w:rsid w:val="00771863"/>
    <w:rsid w:val="00771998"/>
    <w:rsid w:val="00777FE9"/>
    <w:rsid w:val="007803AD"/>
    <w:rsid w:val="0078188B"/>
    <w:rsid w:val="00785689"/>
    <w:rsid w:val="00785DD0"/>
    <w:rsid w:val="007863C6"/>
    <w:rsid w:val="007944D8"/>
    <w:rsid w:val="00795CC2"/>
    <w:rsid w:val="00796ECE"/>
    <w:rsid w:val="0079754B"/>
    <w:rsid w:val="00797D93"/>
    <w:rsid w:val="007A1687"/>
    <w:rsid w:val="007A1E6D"/>
    <w:rsid w:val="007A5797"/>
    <w:rsid w:val="007B0EB2"/>
    <w:rsid w:val="007C08F9"/>
    <w:rsid w:val="007C12FE"/>
    <w:rsid w:val="007C2F7A"/>
    <w:rsid w:val="007C6D25"/>
    <w:rsid w:val="007F3207"/>
    <w:rsid w:val="007F6400"/>
    <w:rsid w:val="00802901"/>
    <w:rsid w:val="00810826"/>
    <w:rsid w:val="00810B6F"/>
    <w:rsid w:val="00811CB2"/>
    <w:rsid w:val="0081226F"/>
    <w:rsid w:val="0081301B"/>
    <w:rsid w:val="00822A1C"/>
    <w:rsid w:val="00822CE0"/>
    <w:rsid w:val="008369C2"/>
    <w:rsid w:val="00841065"/>
    <w:rsid w:val="00841AB1"/>
    <w:rsid w:val="00842A82"/>
    <w:rsid w:val="0084757F"/>
    <w:rsid w:val="00850152"/>
    <w:rsid w:val="0086046B"/>
    <w:rsid w:val="008807E2"/>
    <w:rsid w:val="00891846"/>
    <w:rsid w:val="00896311"/>
    <w:rsid w:val="008A43B7"/>
    <w:rsid w:val="008B1BBA"/>
    <w:rsid w:val="008C275C"/>
    <w:rsid w:val="008C68F1"/>
    <w:rsid w:val="008D36B0"/>
    <w:rsid w:val="008D5B62"/>
    <w:rsid w:val="008F020D"/>
    <w:rsid w:val="008F2EF1"/>
    <w:rsid w:val="009015BE"/>
    <w:rsid w:val="009047A8"/>
    <w:rsid w:val="00905DFB"/>
    <w:rsid w:val="00906FFB"/>
    <w:rsid w:val="00917973"/>
    <w:rsid w:val="00921803"/>
    <w:rsid w:val="00922734"/>
    <w:rsid w:val="00926503"/>
    <w:rsid w:val="00932B19"/>
    <w:rsid w:val="009349B5"/>
    <w:rsid w:val="009430B8"/>
    <w:rsid w:val="009441E3"/>
    <w:rsid w:val="00954AC6"/>
    <w:rsid w:val="00957BAD"/>
    <w:rsid w:val="00966DE1"/>
    <w:rsid w:val="009675F3"/>
    <w:rsid w:val="0097043A"/>
    <w:rsid w:val="00972116"/>
    <w:rsid w:val="009726D8"/>
    <w:rsid w:val="0097655F"/>
    <w:rsid w:val="009804F9"/>
    <w:rsid w:val="00983125"/>
    <w:rsid w:val="00985BC4"/>
    <w:rsid w:val="0098680F"/>
    <w:rsid w:val="00994B75"/>
    <w:rsid w:val="009A15F4"/>
    <w:rsid w:val="009A3ED8"/>
    <w:rsid w:val="009A5B93"/>
    <w:rsid w:val="009A6748"/>
    <w:rsid w:val="009B6DA2"/>
    <w:rsid w:val="009C4796"/>
    <w:rsid w:val="009C4A40"/>
    <w:rsid w:val="009D13AC"/>
    <w:rsid w:val="009D3176"/>
    <w:rsid w:val="009E1B13"/>
    <w:rsid w:val="009E637C"/>
    <w:rsid w:val="009F3F56"/>
    <w:rsid w:val="009F63B8"/>
    <w:rsid w:val="009F76DB"/>
    <w:rsid w:val="00A13820"/>
    <w:rsid w:val="00A241A3"/>
    <w:rsid w:val="00A25198"/>
    <w:rsid w:val="00A26ABC"/>
    <w:rsid w:val="00A27DD3"/>
    <w:rsid w:val="00A32C3B"/>
    <w:rsid w:val="00A45F4F"/>
    <w:rsid w:val="00A46D54"/>
    <w:rsid w:val="00A600A9"/>
    <w:rsid w:val="00A715C5"/>
    <w:rsid w:val="00A71FBE"/>
    <w:rsid w:val="00A72FCD"/>
    <w:rsid w:val="00A96A96"/>
    <w:rsid w:val="00AA55B7"/>
    <w:rsid w:val="00AA5B9E"/>
    <w:rsid w:val="00AB18EC"/>
    <w:rsid w:val="00AB2292"/>
    <w:rsid w:val="00AB2407"/>
    <w:rsid w:val="00AB30FB"/>
    <w:rsid w:val="00AB53DF"/>
    <w:rsid w:val="00AD0A71"/>
    <w:rsid w:val="00AD2EFF"/>
    <w:rsid w:val="00AE3047"/>
    <w:rsid w:val="00AE3525"/>
    <w:rsid w:val="00AE5DB2"/>
    <w:rsid w:val="00AE7A62"/>
    <w:rsid w:val="00B0288B"/>
    <w:rsid w:val="00B02DDE"/>
    <w:rsid w:val="00B04087"/>
    <w:rsid w:val="00B07E5C"/>
    <w:rsid w:val="00B11CAF"/>
    <w:rsid w:val="00B156D6"/>
    <w:rsid w:val="00B200A0"/>
    <w:rsid w:val="00B2417C"/>
    <w:rsid w:val="00B257F1"/>
    <w:rsid w:val="00B2678F"/>
    <w:rsid w:val="00B31B59"/>
    <w:rsid w:val="00B36548"/>
    <w:rsid w:val="00B36DF9"/>
    <w:rsid w:val="00B40EF0"/>
    <w:rsid w:val="00B46AA2"/>
    <w:rsid w:val="00B475DC"/>
    <w:rsid w:val="00B60B23"/>
    <w:rsid w:val="00B65C4E"/>
    <w:rsid w:val="00B811F7"/>
    <w:rsid w:val="00B85244"/>
    <w:rsid w:val="00B853E3"/>
    <w:rsid w:val="00B86F12"/>
    <w:rsid w:val="00B9035A"/>
    <w:rsid w:val="00B92014"/>
    <w:rsid w:val="00B97485"/>
    <w:rsid w:val="00B97DBE"/>
    <w:rsid w:val="00BA1A6B"/>
    <w:rsid w:val="00BA26C7"/>
    <w:rsid w:val="00BA43E6"/>
    <w:rsid w:val="00BA5DC6"/>
    <w:rsid w:val="00BA6196"/>
    <w:rsid w:val="00BB6FFB"/>
    <w:rsid w:val="00BC6D8C"/>
    <w:rsid w:val="00BD23E5"/>
    <w:rsid w:val="00BD4035"/>
    <w:rsid w:val="00BD70C4"/>
    <w:rsid w:val="00BE2A8E"/>
    <w:rsid w:val="00BE7DCF"/>
    <w:rsid w:val="00BF0439"/>
    <w:rsid w:val="00BF26B1"/>
    <w:rsid w:val="00BF6978"/>
    <w:rsid w:val="00C04D37"/>
    <w:rsid w:val="00C22CDB"/>
    <w:rsid w:val="00C274C5"/>
    <w:rsid w:val="00C30036"/>
    <w:rsid w:val="00C30574"/>
    <w:rsid w:val="00C30B47"/>
    <w:rsid w:val="00C34006"/>
    <w:rsid w:val="00C426B1"/>
    <w:rsid w:val="00C44A4E"/>
    <w:rsid w:val="00C46C71"/>
    <w:rsid w:val="00C47959"/>
    <w:rsid w:val="00C66160"/>
    <w:rsid w:val="00C721AC"/>
    <w:rsid w:val="00C72FDD"/>
    <w:rsid w:val="00C82129"/>
    <w:rsid w:val="00C83996"/>
    <w:rsid w:val="00C8529F"/>
    <w:rsid w:val="00C86C05"/>
    <w:rsid w:val="00C90934"/>
    <w:rsid w:val="00C90D6A"/>
    <w:rsid w:val="00CA0A6A"/>
    <w:rsid w:val="00CA0B21"/>
    <w:rsid w:val="00CA247E"/>
    <w:rsid w:val="00CA5535"/>
    <w:rsid w:val="00CB1FB4"/>
    <w:rsid w:val="00CB4FEE"/>
    <w:rsid w:val="00CB56AE"/>
    <w:rsid w:val="00CB6353"/>
    <w:rsid w:val="00CB71DE"/>
    <w:rsid w:val="00CC0284"/>
    <w:rsid w:val="00CC72B6"/>
    <w:rsid w:val="00CD4CE4"/>
    <w:rsid w:val="00CD7643"/>
    <w:rsid w:val="00CE520F"/>
    <w:rsid w:val="00CF3FFD"/>
    <w:rsid w:val="00CF56E0"/>
    <w:rsid w:val="00D0218D"/>
    <w:rsid w:val="00D104AC"/>
    <w:rsid w:val="00D11417"/>
    <w:rsid w:val="00D11BF6"/>
    <w:rsid w:val="00D12366"/>
    <w:rsid w:val="00D151F1"/>
    <w:rsid w:val="00D22B42"/>
    <w:rsid w:val="00D255AC"/>
    <w:rsid w:val="00D25FB5"/>
    <w:rsid w:val="00D26E02"/>
    <w:rsid w:val="00D32E17"/>
    <w:rsid w:val="00D44223"/>
    <w:rsid w:val="00D45E13"/>
    <w:rsid w:val="00D50AD2"/>
    <w:rsid w:val="00D544FA"/>
    <w:rsid w:val="00D54F6D"/>
    <w:rsid w:val="00D61045"/>
    <w:rsid w:val="00D62024"/>
    <w:rsid w:val="00D6342F"/>
    <w:rsid w:val="00D676C7"/>
    <w:rsid w:val="00D67F3C"/>
    <w:rsid w:val="00D70F1F"/>
    <w:rsid w:val="00D72D84"/>
    <w:rsid w:val="00D75DEE"/>
    <w:rsid w:val="00D83558"/>
    <w:rsid w:val="00D83EF4"/>
    <w:rsid w:val="00DA2529"/>
    <w:rsid w:val="00DA6BF5"/>
    <w:rsid w:val="00DB130A"/>
    <w:rsid w:val="00DB2EBB"/>
    <w:rsid w:val="00DC10A1"/>
    <w:rsid w:val="00DC655F"/>
    <w:rsid w:val="00DD0B59"/>
    <w:rsid w:val="00DD2CA3"/>
    <w:rsid w:val="00DD7EBD"/>
    <w:rsid w:val="00DE7F21"/>
    <w:rsid w:val="00DF2920"/>
    <w:rsid w:val="00DF62B6"/>
    <w:rsid w:val="00E01735"/>
    <w:rsid w:val="00E02061"/>
    <w:rsid w:val="00E060E8"/>
    <w:rsid w:val="00E06B03"/>
    <w:rsid w:val="00E07225"/>
    <w:rsid w:val="00E1530A"/>
    <w:rsid w:val="00E2488C"/>
    <w:rsid w:val="00E25A2D"/>
    <w:rsid w:val="00E2652E"/>
    <w:rsid w:val="00E26EB5"/>
    <w:rsid w:val="00E44EB7"/>
    <w:rsid w:val="00E46954"/>
    <w:rsid w:val="00E50B73"/>
    <w:rsid w:val="00E5409F"/>
    <w:rsid w:val="00E82BF1"/>
    <w:rsid w:val="00E90583"/>
    <w:rsid w:val="00E920F6"/>
    <w:rsid w:val="00EA2D62"/>
    <w:rsid w:val="00EB0E1E"/>
    <w:rsid w:val="00EB61BA"/>
    <w:rsid w:val="00EB7598"/>
    <w:rsid w:val="00EB7DE3"/>
    <w:rsid w:val="00EC4226"/>
    <w:rsid w:val="00EC4ADF"/>
    <w:rsid w:val="00ED56FC"/>
    <w:rsid w:val="00ED6E29"/>
    <w:rsid w:val="00EE6488"/>
    <w:rsid w:val="00EE6933"/>
    <w:rsid w:val="00F021FA"/>
    <w:rsid w:val="00F114C4"/>
    <w:rsid w:val="00F121AB"/>
    <w:rsid w:val="00F14BC9"/>
    <w:rsid w:val="00F21E51"/>
    <w:rsid w:val="00F2247B"/>
    <w:rsid w:val="00F307F1"/>
    <w:rsid w:val="00F3197A"/>
    <w:rsid w:val="00F35781"/>
    <w:rsid w:val="00F36C86"/>
    <w:rsid w:val="00F40161"/>
    <w:rsid w:val="00F46D50"/>
    <w:rsid w:val="00F56643"/>
    <w:rsid w:val="00F568D2"/>
    <w:rsid w:val="00F61523"/>
    <w:rsid w:val="00F61D98"/>
    <w:rsid w:val="00F62798"/>
    <w:rsid w:val="00F62E97"/>
    <w:rsid w:val="00F64209"/>
    <w:rsid w:val="00F6455E"/>
    <w:rsid w:val="00F6724C"/>
    <w:rsid w:val="00F70421"/>
    <w:rsid w:val="00F750AC"/>
    <w:rsid w:val="00F761A3"/>
    <w:rsid w:val="00F93394"/>
    <w:rsid w:val="00F93BF5"/>
    <w:rsid w:val="00F962EE"/>
    <w:rsid w:val="00FC6484"/>
    <w:rsid w:val="00FD0165"/>
    <w:rsid w:val="00FD3C79"/>
    <w:rsid w:val="00FD62D4"/>
    <w:rsid w:val="00FF5CB4"/>
    <w:rsid w:val="00FF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392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41E3"/>
    <w:pPr>
      <w:widowControl w:val="0"/>
    </w:pPr>
    <w:rPr>
      <w:snapToGrid w:val="0"/>
      <w:kern w:val="28"/>
      <w:szCs w:val="20"/>
    </w:rPr>
  </w:style>
  <w:style w:type="paragraph" w:styleId="Heading1">
    <w:name w:val="heading 1"/>
    <w:basedOn w:val="Normal"/>
    <w:next w:val="ParaNum"/>
    <w:link w:val="Heading1Char"/>
    <w:qFormat/>
    <w:rsid w:val="009441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441E3"/>
    <w:pPr>
      <w:keepNext/>
      <w:numPr>
        <w:ilvl w:val="1"/>
        <w:numId w:val="3"/>
      </w:numPr>
      <w:spacing w:after="120"/>
      <w:outlineLvl w:val="1"/>
    </w:pPr>
    <w:rPr>
      <w:b/>
    </w:rPr>
  </w:style>
  <w:style w:type="paragraph" w:styleId="Heading3">
    <w:name w:val="heading 3"/>
    <w:basedOn w:val="Normal"/>
    <w:next w:val="ParaNum"/>
    <w:link w:val="Heading3Char"/>
    <w:qFormat/>
    <w:rsid w:val="009441E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441E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441E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441E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441E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441E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441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441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41E3"/>
  </w:style>
  <w:style w:type="character" w:customStyle="1" w:styleId="Heading1Char">
    <w:name w:val="Heading 1 Char"/>
    <w:basedOn w:val="DefaultParagraphFont"/>
    <w:link w:val="Heading1"/>
    <w:locked/>
    <w:rsid w:val="00F3197A"/>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2372FD"/>
    <w:rPr>
      <w:b/>
      <w:snapToGrid w:val="0"/>
      <w:kern w:val="28"/>
      <w:szCs w:val="20"/>
    </w:rPr>
  </w:style>
  <w:style w:type="character" w:customStyle="1" w:styleId="Heading3Char">
    <w:name w:val="Heading 3 Char"/>
    <w:basedOn w:val="DefaultParagraphFont"/>
    <w:link w:val="Heading3"/>
    <w:locked/>
    <w:rsid w:val="00DF2920"/>
    <w:rPr>
      <w:b/>
      <w:snapToGrid w:val="0"/>
      <w:kern w:val="28"/>
      <w:szCs w:val="20"/>
    </w:rPr>
  </w:style>
  <w:style w:type="character" w:customStyle="1" w:styleId="Heading4Char">
    <w:name w:val="Heading 4 Char"/>
    <w:basedOn w:val="DefaultParagraphFont"/>
    <w:link w:val="Heading4"/>
    <w:locked/>
    <w:rsid w:val="00DF2920"/>
    <w:rPr>
      <w:b/>
      <w:snapToGrid w:val="0"/>
      <w:kern w:val="28"/>
      <w:szCs w:val="20"/>
    </w:rPr>
  </w:style>
  <w:style w:type="character" w:customStyle="1" w:styleId="Heading5Char">
    <w:name w:val="Heading 5 Char"/>
    <w:basedOn w:val="DefaultParagraphFont"/>
    <w:link w:val="Heading5"/>
    <w:locked/>
    <w:rsid w:val="00DF2920"/>
    <w:rPr>
      <w:b/>
      <w:snapToGrid w:val="0"/>
      <w:kern w:val="28"/>
      <w:szCs w:val="20"/>
    </w:rPr>
  </w:style>
  <w:style w:type="character" w:customStyle="1" w:styleId="Heading6Char">
    <w:name w:val="Heading 6 Char"/>
    <w:basedOn w:val="DefaultParagraphFont"/>
    <w:link w:val="Heading6"/>
    <w:locked/>
    <w:rsid w:val="00DF2920"/>
    <w:rPr>
      <w:b/>
      <w:snapToGrid w:val="0"/>
      <w:kern w:val="28"/>
      <w:szCs w:val="20"/>
    </w:rPr>
  </w:style>
  <w:style w:type="character" w:customStyle="1" w:styleId="Heading7Char">
    <w:name w:val="Heading 7 Char"/>
    <w:basedOn w:val="DefaultParagraphFont"/>
    <w:link w:val="Heading7"/>
    <w:locked/>
    <w:rsid w:val="00DF2920"/>
    <w:rPr>
      <w:b/>
      <w:snapToGrid w:val="0"/>
      <w:kern w:val="28"/>
      <w:szCs w:val="20"/>
    </w:rPr>
  </w:style>
  <w:style w:type="character" w:customStyle="1" w:styleId="Heading8Char">
    <w:name w:val="Heading 8 Char"/>
    <w:basedOn w:val="DefaultParagraphFont"/>
    <w:link w:val="Heading8"/>
    <w:locked/>
    <w:rsid w:val="00DF2920"/>
    <w:rPr>
      <w:b/>
      <w:snapToGrid w:val="0"/>
      <w:kern w:val="28"/>
      <w:szCs w:val="20"/>
    </w:rPr>
  </w:style>
  <w:style w:type="character" w:customStyle="1" w:styleId="Heading9Char">
    <w:name w:val="Heading 9 Char"/>
    <w:basedOn w:val="DefaultParagraphFont"/>
    <w:link w:val="Heading9"/>
    <w:locked/>
    <w:rsid w:val="00DF2920"/>
    <w:rPr>
      <w:b/>
      <w:snapToGrid w:val="0"/>
      <w:kern w:val="28"/>
      <w:szCs w:val="20"/>
    </w:rPr>
  </w:style>
  <w:style w:type="paragraph" w:styleId="BalloonText">
    <w:name w:val="Balloon Text"/>
    <w:basedOn w:val="Normal"/>
    <w:link w:val="BalloonTextChar"/>
    <w:uiPriority w:val="99"/>
    <w:rsid w:val="005F711C"/>
    <w:rPr>
      <w:rFonts w:ascii="Tahoma" w:hAnsi="Tahoma"/>
      <w:sz w:val="16"/>
    </w:rPr>
  </w:style>
  <w:style w:type="character" w:customStyle="1" w:styleId="BalloonTextChar">
    <w:name w:val="Balloon Text Char"/>
    <w:basedOn w:val="DefaultParagraphFont"/>
    <w:link w:val="BalloonText"/>
    <w:uiPriority w:val="99"/>
    <w:locked/>
    <w:rsid w:val="005F711C"/>
    <w:rPr>
      <w:rFonts w:ascii="Tahoma" w:hAnsi="Tahoma" w:cs="Times New Roman"/>
      <w:snapToGrid w:val="0"/>
      <w:kern w:val="28"/>
      <w:sz w:val="16"/>
    </w:rPr>
  </w:style>
  <w:style w:type="paragraph" w:customStyle="1" w:styleId="ParaNum">
    <w:name w:val="ParaNum"/>
    <w:basedOn w:val="Normal"/>
    <w:link w:val="ParaNumChar"/>
    <w:rsid w:val="009441E3"/>
    <w:pPr>
      <w:numPr>
        <w:numId w:val="2"/>
      </w:numPr>
      <w:tabs>
        <w:tab w:val="clear" w:pos="1080"/>
        <w:tab w:val="num" w:pos="1440"/>
      </w:tabs>
      <w:spacing w:after="120"/>
    </w:pPr>
  </w:style>
  <w:style w:type="paragraph" w:styleId="EndnoteText">
    <w:name w:val="endnote text"/>
    <w:basedOn w:val="Normal"/>
    <w:link w:val="EndnoteTextChar"/>
    <w:semiHidden/>
    <w:rsid w:val="009441E3"/>
    <w:rPr>
      <w:sz w:val="20"/>
    </w:rPr>
  </w:style>
  <w:style w:type="character" w:customStyle="1" w:styleId="EndnoteTextChar">
    <w:name w:val="Endnote Text Char"/>
    <w:basedOn w:val="DefaultParagraphFont"/>
    <w:link w:val="EndnoteText"/>
    <w:semiHidden/>
    <w:locked/>
    <w:rsid w:val="00DF2920"/>
    <w:rPr>
      <w:snapToGrid w:val="0"/>
      <w:kern w:val="28"/>
      <w:sz w:val="20"/>
      <w:szCs w:val="20"/>
    </w:rPr>
  </w:style>
  <w:style w:type="character" w:styleId="EndnoteReference">
    <w:name w:val="endnote reference"/>
    <w:semiHidden/>
    <w:rsid w:val="009441E3"/>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3"/>
    <w:rsid w:val="009441E3"/>
    <w:pPr>
      <w:spacing w:after="120"/>
    </w:pPr>
    <w:rPr>
      <w:sz w:val="20"/>
      <w:szCs w:val="20"/>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rrfootnote Char1"/>
    <w:basedOn w:val="DefaultParagraphFont"/>
    <w:locked/>
    <w:rsid w:val="00DF2920"/>
    <w:rPr>
      <w:rFonts w:cs="Times New Roman"/>
      <w:kern w:val="28"/>
      <w:sz w:val="20"/>
    </w:rPr>
  </w:style>
  <w:style w:type="character" w:styleId="FootnoteReference">
    <w:name w:val="footnote reference"/>
    <w:aliases w:val="Style 12,(NECG) Footnote Reference,Appel note de bas de p,Style 124,Style 4,Style 13,o,fr,Style 3"/>
    <w:rsid w:val="009441E3"/>
    <w:rPr>
      <w:rFonts w:ascii="Times New Roman" w:hAnsi="Times New Roman"/>
      <w:dstrike w:val="0"/>
      <w:color w:val="auto"/>
      <w:sz w:val="20"/>
      <w:vertAlign w:val="superscript"/>
    </w:rPr>
  </w:style>
  <w:style w:type="paragraph" w:styleId="TOC1">
    <w:name w:val="toc 1"/>
    <w:basedOn w:val="Normal"/>
    <w:next w:val="Normal"/>
    <w:semiHidden/>
    <w:rsid w:val="009441E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41E3"/>
    <w:pPr>
      <w:tabs>
        <w:tab w:val="left" w:pos="720"/>
        <w:tab w:val="right" w:leader="dot" w:pos="9360"/>
      </w:tabs>
      <w:suppressAutoHyphens/>
      <w:ind w:left="720" w:right="720" w:hanging="360"/>
    </w:pPr>
    <w:rPr>
      <w:noProof/>
    </w:rPr>
  </w:style>
  <w:style w:type="paragraph" w:styleId="TOC3">
    <w:name w:val="toc 3"/>
    <w:basedOn w:val="Normal"/>
    <w:next w:val="Normal"/>
    <w:semiHidden/>
    <w:rsid w:val="009441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41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41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41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41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41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41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41E3"/>
    <w:pPr>
      <w:tabs>
        <w:tab w:val="right" w:pos="9360"/>
      </w:tabs>
      <w:suppressAutoHyphens/>
    </w:pPr>
  </w:style>
  <w:style w:type="character" w:customStyle="1" w:styleId="EquationCaption">
    <w:name w:val="_Equation Caption"/>
    <w:rsid w:val="009441E3"/>
  </w:style>
  <w:style w:type="paragraph" w:styleId="Header">
    <w:name w:val="header"/>
    <w:basedOn w:val="Normal"/>
    <w:link w:val="HeaderChar"/>
    <w:autoRedefine/>
    <w:rsid w:val="009441E3"/>
    <w:pPr>
      <w:tabs>
        <w:tab w:val="center" w:pos="4680"/>
        <w:tab w:val="right" w:pos="9360"/>
      </w:tabs>
    </w:pPr>
    <w:rPr>
      <w:b/>
    </w:rPr>
  </w:style>
  <w:style w:type="character" w:customStyle="1" w:styleId="HeaderChar">
    <w:name w:val="Header Char"/>
    <w:basedOn w:val="DefaultParagraphFont"/>
    <w:link w:val="Header"/>
    <w:locked/>
    <w:rsid w:val="00DF2920"/>
    <w:rPr>
      <w:b/>
      <w:snapToGrid w:val="0"/>
      <w:kern w:val="28"/>
      <w:szCs w:val="20"/>
    </w:rPr>
  </w:style>
  <w:style w:type="paragraph" w:styleId="Footer">
    <w:name w:val="footer"/>
    <w:basedOn w:val="Normal"/>
    <w:link w:val="FooterChar"/>
    <w:rsid w:val="009441E3"/>
    <w:pPr>
      <w:tabs>
        <w:tab w:val="center" w:pos="4320"/>
        <w:tab w:val="right" w:pos="8640"/>
      </w:tabs>
    </w:pPr>
  </w:style>
  <w:style w:type="character" w:customStyle="1" w:styleId="FooterChar">
    <w:name w:val="Footer Char"/>
    <w:basedOn w:val="DefaultParagraphFont"/>
    <w:link w:val="Footer"/>
    <w:locked/>
    <w:rsid w:val="00DF2920"/>
    <w:rPr>
      <w:snapToGrid w:val="0"/>
      <w:kern w:val="28"/>
      <w:szCs w:val="20"/>
    </w:rPr>
  </w:style>
  <w:style w:type="character" w:styleId="PageNumber">
    <w:name w:val="page number"/>
    <w:basedOn w:val="DefaultParagraphFont"/>
    <w:rsid w:val="009441E3"/>
  </w:style>
  <w:style w:type="paragraph" w:styleId="BlockText">
    <w:name w:val="Block Text"/>
    <w:basedOn w:val="Normal"/>
    <w:rsid w:val="009441E3"/>
    <w:pPr>
      <w:spacing w:after="240"/>
      <w:ind w:left="1440" w:right="1440"/>
    </w:pPr>
  </w:style>
  <w:style w:type="paragraph" w:customStyle="1" w:styleId="Paratitle">
    <w:name w:val="Para title"/>
    <w:basedOn w:val="Normal"/>
    <w:rsid w:val="009441E3"/>
    <w:pPr>
      <w:tabs>
        <w:tab w:val="center" w:pos="9270"/>
      </w:tabs>
      <w:spacing w:after="240"/>
    </w:pPr>
    <w:rPr>
      <w:spacing w:val="-2"/>
    </w:rPr>
  </w:style>
  <w:style w:type="paragraph" w:customStyle="1" w:styleId="Bullet">
    <w:name w:val="Bullet"/>
    <w:basedOn w:val="Normal"/>
    <w:rsid w:val="009441E3"/>
    <w:pPr>
      <w:tabs>
        <w:tab w:val="left" w:pos="2160"/>
      </w:tabs>
      <w:spacing w:after="220"/>
      <w:ind w:left="2160" w:hanging="720"/>
    </w:pPr>
  </w:style>
  <w:style w:type="paragraph" w:customStyle="1" w:styleId="TableFormat">
    <w:name w:val="TableFormat"/>
    <w:basedOn w:val="Bullet"/>
    <w:rsid w:val="009441E3"/>
    <w:pPr>
      <w:tabs>
        <w:tab w:val="clear" w:pos="2160"/>
        <w:tab w:val="left" w:pos="5040"/>
      </w:tabs>
      <w:ind w:left="5040" w:hanging="3600"/>
    </w:pPr>
  </w:style>
  <w:style w:type="paragraph" w:customStyle="1" w:styleId="TOCTitle">
    <w:name w:val="TOC Title"/>
    <w:basedOn w:val="Normal"/>
    <w:rsid w:val="009441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41E3"/>
    <w:pPr>
      <w:jc w:val="center"/>
    </w:pPr>
    <w:rPr>
      <w:rFonts w:ascii="Times New Roman Bold" w:hAnsi="Times New Roman Bold"/>
      <w:b/>
      <w:bCs/>
      <w:caps/>
      <w:szCs w:val="22"/>
    </w:rPr>
  </w:style>
  <w:style w:type="character" w:styleId="Hyperlink">
    <w:name w:val="Hyperlink"/>
    <w:rsid w:val="009441E3"/>
    <w:rPr>
      <w:color w:val="0000FF"/>
      <w:u w:val="single"/>
    </w:rPr>
  </w:style>
  <w:style w:type="character" w:styleId="FollowedHyperlink">
    <w:name w:val="FollowedHyperlink"/>
    <w:basedOn w:val="DefaultParagraphFont"/>
    <w:uiPriority w:val="99"/>
    <w:rsid w:val="00126B9C"/>
    <w:rPr>
      <w:rFonts w:cs="Times New Roman"/>
      <w:color w:val="800080"/>
      <w:u w:val="single"/>
    </w:rPr>
  </w:style>
  <w:style w:type="character" w:customStyle="1" w:styleId="FootnoteTextChar3">
    <w:name w:val="Footnote Text Char3"/>
    <w:aliases w:val="Footnote Text Char2 Char1,Footnote Text Char1 Char Char1,Footnote Text Char Char Char Char1,Footnote Text Char1 Char Char Char Char1,rrfootnote Char1 Char Char Char Char1,Footnote Text Char Char Char Char Char Char1,f Char1"/>
    <w:link w:val="FootnoteText"/>
    <w:locked/>
    <w:rsid w:val="00F46D50"/>
    <w:rPr>
      <w:sz w:val="20"/>
      <w:szCs w:val="20"/>
    </w:rPr>
  </w:style>
  <w:style w:type="character" w:customStyle="1" w:styleId="FootnoteTextChar4">
    <w:name w:val="Footnote Text Char4"/>
    <w:aliases w:val="Footnote Text Char1 Char Char2,Footnote Text Char Char Char Char2,rrfootnote Char Char Char Char,Footnote Text Char1 Char Char Char Char2,Footnote Text Char Char Char Char Char Char2,Footnote Text Char1 Char Char Char Char Char Char"/>
    <w:uiPriority w:val="99"/>
    <w:rsid w:val="00922734"/>
  </w:style>
  <w:style w:type="character" w:customStyle="1" w:styleId="ParaNumChar">
    <w:name w:val="ParaNum Char"/>
    <w:link w:val="ParaNum"/>
    <w:locked/>
    <w:rsid w:val="00F3197A"/>
    <w:rPr>
      <w:snapToGrid w:val="0"/>
      <w:kern w:val="28"/>
      <w:szCs w:val="20"/>
    </w:rPr>
  </w:style>
  <w:style w:type="character" w:customStyle="1" w:styleId="documentbody">
    <w:name w:val="documentbody"/>
    <w:uiPriority w:val="99"/>
    <w:rsid w:val="00F3197A"/>
  </w:style>
  <w:style w:type="character" w:customStyle="1" w:styleId="searchterm">
    <w:name w:val="searchterm"/>
    <w:uiPriority w:val="99"/>
    <w:rsid w:val="00F3197A"/>
  </w:style>
  <w:style w:type="character" w:styleId="CommentReference">
    <w:name w:val="annotation reference"/>
    <w:basedOn w:val="DefaultParagraphFont"/>
    <w:uiPriority w:val="99"/>
    <w:semiHidden/>
    <w:locked/>
    <w:rsid w:val="00954AC6"/>
    <w:rPr>
      <w:rFonts w:cs="Times New Roman"/>
      <w:sz w:val="16"/>
    </w:rPr>
  </w:style>
  <w:style w:type="paragraph" w:styleId="CommentText">
    <w:name w:val="annotation text"/>
    <w:basedOn w:val="Normal"/>
    <w:link w:val="CommentTextChar"/>
    <w:uiPriority w:val="99"/>
    <w:semiHidden/>
    <w:locked/>
    <w:rsid w:val="00954AC6"/>
    <w:rPr>
      <w:sz w:val="20"/>
    </w:rPr>
  </w:style>
  <w:style w:type="character" w:customStyle="1" w:styleId="CommentTextChar">
    <w:name w:val="Comment Text Char"/>
    <w:basedOn w:val="DefaultParagraphFont"/>
    <w:link w:val="CommentText"/>
    <w:uiPriority w:val="99"/>
    <w:semiHidden/>
    <w:locked/>
    <w:rsid w:val="00A13820"/>
    <w:rPr>
      <w:rFonts w:cs="Times New Roman"/>
      <w:kern w:val="28"/>
      <w:sz w:val="20"/>
    </w:rPr>
  </w:style>
  <w:style w:type="paragraph" w:styleId="CommentSubject">
    <w:name w:val="annotation subject"/>
    <w:basedOn w:val="CommentText"/>
    <w:next w:val="CommentText"/>
    <w:link w:val="CommentSubjectChar"/>
    <w:uiPriority w:val="99"/>
    <w:semiHidden/>
    <w:locked/>
    <w:rsid w:val="00954AC6"/>
    <w:rPr>
      <w:b/>
      <w:bCs/>
    </w:rPr>
  </w:style>
  <w:style w:type="character" w:customStyle="1" w:styleId="CommentSubjectChar">
    <w:name w:val="Comment Subject Char"/>
    <w:basedOn w:val="CommentTextChar"/>
    <w:link w:val="CommentSubject"/>
    <w:uiPriority w:val="99"/>
    <w:semiHidden/>
    <w:locked/>
    <w:rsid w:val="00A13820"/>
    <w:rPr>
      <w:rFonts w:cs="Times New Roman"/>
      <w:b/>
      <w:kern w:val="28"/>
      <w:sz w:val="20"/>
    </w:rPr>
  </w:style>
  <w:style w:type="paragraph" w:styleId="ListParagraph">
    <w:name w:val="List Paragraph"/>
    <w:basedOn w:val="Normal"/>
    <w:uiPriority w:val="99"/>
    <w:qFormat/>
    <w:rsid w:val="00707EEB"/>
    <w:pPr>
      <w:widowControl/>
      <w:spacing w:after="240"/>
      <w:ind w:left="720"/>
      <w:contextualSpacing/>
    </w:pPr>
    <w:rPr>
      <w:kern w:val="0"/>
      <w:sz w:val="24"/>
      <w:szCs w:val="22"/>
    </w:rPr>
  </w:style>
  <w:style w:type="paragraph" w:customStyle="1" w:styleId="par1">
    <w:name w:val="par1"/>
    <w:basedOn w:val="Normal"/>
    <w:uiPriority w:val="99"/>
    <w:rsid w:val="00785DD0"/>
    <w:pPr>
      <w:numPr>
        <w:numId w:val="27"/>
      </w:numPr>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41E3"/>
    <w:pPr>
      <w:widowControl w:val="0"/>
    </w:pPr>
    <w:rPr>
      <w:snapToGrid w:val="0"/>
      <w:kern w:val="28"/>
      <w:szCs w:val="20"/>
    </w:rPr>
  </w:style>
  <w:style w:type="paragraph" w:styleId="Heading1">
    <w:name w:val="heading 1"/>
    <w:basedOn w:val="Normal"/>
    <w:next w:val="ParaNum"/>
    <w:link w:val="Heading1Char"/>
    <w:qFormat/>
    <w:rsid w:val="009441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441E3"/>
    <w:pPr>
      <w:keepNext/>
      <w:numPr>
        <w:ilvl w:val="1"/>
        <w:numId w:val="3"/>
      </w:numPr>
      <w:spacing w:after="120"/>
      <w:outlineLvl w:val="1"/>
    </w:pPr>
    <w:rPr>
      <w:b/>
    </w:rPr>
  </w:style>
  <w:style w:type="paragraph" w:styleId="Heading3">
    <w:name w:val="heading 3"/>
    <w:basedOn w:val="Normal"/>
    <w:next w:val="ParaNum"/>
    <w:link w:val="Heading3Char"/>
    <w:qFormat/>
    <w:rsid w:val="009441E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441E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441E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441E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441E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441E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441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441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41E3"/>
  </w:style>
  <w:style w:type="character" w:customStyle="1" w:styleId="Heading1Char">
    <w:name w:val="Heading 1 Char"/>
    <w:basedOn w:val="DefaultParagraphFont"/>
    <w:link w:val="Heading1"/>
    <w:locked/>
    <w:rsid w:val="00F3197A"/>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2372FD"/>
    <w:rPr>
      <w:b/>
      <w:snapToGrid w:val="0"/>
      <w:kern w:val="28"/>
      <w:szCs w:val="20"/>
    </w:rPr>
  </w:style>
  <w:style w:type="character" w:customStyle="1" w:styleId="Heading3Char">
    <w:name w:val="Heading 3 Char"/>
    <w:basedOn w:val="DefaultParagraphFont"/>
    <w:link w:val="Heading3"/>
    <w:locked/>
    <w:rsid w:val="00DF2920"/>
    <w:rPr>
      <w:b/>
      <w:snapToGrid w:val="0"/>
      <w:kern w:val="28"/>
      <w:szCs w:val="20"/>
    </w:rPr>
  </w:style>
  <w:style w:type="character" w:customStyle="1" w:styleId="Heading4Char">
    <w:name w:val="Heading 4 Char"/>
    <w:basedOn w:val="DefaultParagraphFont"/>
    <w:link w:val="Heading4"/>
    <w:locked/>
    <w:rsid w:val="00DF2920"/>
    <w:rPr>
      <w:b/>
      <w:snapToGrid w:val="0"/>
      <w:kern w:val="28"/>
      <w:szCs w:val="20"/>
    </w:rPr>
  </w:style>
  <w:style w:type="character" w:customStyle="1" w:styleId="Heading5Char">
    <w:name w:val="Heading 5 Char"/>
    <w:basedOn w:val="DefaultParagraphFont"/>
    <w:link w:val="Heading5"/>
    <w:locked/>
    <w:rsid w:val="00DF2920"/>
    <w:rPr>
      <w:b/>
      <w:snapToGrid w:val="0"/>
      <w:kern w:val="28"/>
      <w:szCs w:val="20"/>
    </w:rPr>
  </w:style>
  <w:style w:type="character" w:customStyle="1" w:styleId="Heading6Char">
    <w:name w:val="Heading 6 Char"/>
    <w:basedOn w:val="DefaultParagraphFont"/>
    <w:link w:val="Heading6"/>
    <w:locked/>
    <w:rsid w:val="00DF2920"/>
    <w:rPr>
      <w:b/>
      <w:snapToGrid w:val="0"/>
      <w:kern w:val="28"/>
      <w:szCs w:val="20"/>
    </w:rPr>
  </w:style>
  <w:style w:type="character" w:customStyle="1" w:styleId="Heading7Char">
    <w:name w:val="Heading 7 Char"/>
    <w:basedOn w:val="DefaultParagraphFont"/>
    <w:link w:val="Heading7"/>
    <w:locked/>
    <w:rsid w:val="00DF2920"/>
    <w:rPr>
      <w:b/>
      <w:snapToGrid w:val="0"/>
      <w:kern w:val="28"/>
      <w:szCs w:val="20"/>
    </w:rPr>
  </w:style>
  <w:style w:type="character" w:customStyle="1" w:styleId="Heading8Char">
    <w:name w:val="Heading 8 Char"/>
    <w:basedOn w:val="DefaultParagraphFont"/>
    <w:link w:val="Heading8"/>
    <w:locked/>
    <w:rsid w:val="00DF2920"/>
    <w:rPr>
      <w:b/>
      <w:snapToGrid w:val="0"/>
      <w:kern w:val="28"/>
      <w:szCs w:val="20"/>
    </w:rPr>
  </w:style>
  <w:style w:type="character" w:customStyle="1" w:styleId="Heading9Char">
    <w:name w:val="Heading 9 Char"/>
    <w:basedOn w:val="DefaultParagraphFont"/>
    <w:link w:val="Heading9"/>
    <w:locked/>
    <w:rsid w:val="00DF2920"/>
    <w:rPr>
      <w:b/>
      <w:snapToGrid w:val="0"/>
      <w:kern w:val="28"/>
      <w:szCs w:val="20"/>
    </w:rPr>
  </w:style>
  <w:style w:type="paragraph" w:styleId="BalloonText">
    <w:name w:val="Balloon Text"/>
    <w:basedOn w:val="Normal"/>
    <w:link w:val="BalloonTextChar"/>
    <w:uiPriority w:val="99"/>
    <w:rsid w:val="005F711C"/>
    <w:rPr>
      <w:rFonts w:ascii="Tahoma" w:hAnsi="Tahoma"/>
      <w:sz w:val="16"/>
    </w:rPr>
  </w:style>
  <w:style w:type="character" w:customStyle="1" w:styleId="BalloonTextChar">
    <w:name w:val="Balloon Text Char"/>
    <w:basedOn w:val="DefaultParagraphFont"/>
    <w:link w:val="BalloonText"/>
    <w:uiPriority w:val="99"/>
    <w:locked/>
    <w:rsid w:val="005F711C"/>
    <w:rPr>
      <w:rFonts w:ascii="Tahoma" w:hAnsi="Tahoma" w:cs="Times New Roman"/>
      <w:snapToGrid w:val="0"/>
      <w:kern w:val="28"/>
      <w:sz w:val="16"/>
    </w:rPr>
  </w:style>
  <w:style w:type="paragraph" w:customStyle="1" w:styleId="ParaNum">
    <w:name w:val="ParaNum"/>
    <w:basedOn w:val="Normal"/>
    <w:link w:val="ParaNumChar"/>
    <w:rsid w:val="009441E3"/>
    <w:pPr>
      <w:numPr>
        <w:numId w:val="2"/>
      </w:numPr>
      <w:tabs>
        <w:tab w:val="clear" w:pos="1080"/>
        <w:tab w:val="num" w:pos="1440"/>
      </w:tabs>
      <w:spacing w:after="120"/>
    </w:pPr>
  </w:style>
  <w:style w:type="paragraph" w:styleId="EndnoteText">
    <w:name w:val="endnote text"/>
    <w:basedOn w:val="Normal"/>
    <w:link w:val="EndnoteTextChar"/>
    <w:semiHidden/>
    <w:rsid w:val="009441E3"/>
    <w:rPr>
      <w:sz w:val="20"/>
    </w:rPr>
  </w:style>
  <w:style w:type="character" w:customStyle="1" w:styleId="EndnoteTextChar">
    <w:name w:val="Endnote Text Char"/>
    <w:basedOn w:val="DefaultParagraphFont"/>
    <w:link w:val="EndnoteText"/>
    <w:semiHidden/>
    <w:locked/>
    <w:rsid w:val="00DF2920"/>
    <w:rPr>
      <w:snapToGrid w:val="0"/>
      <w:kern w:val="28"/>
      <w:sz w:val="20"/>
      <w:szCs w:val="20"/>
    </w:rPr>
  </w:style>
  <w:style w:type="character" w:styleId="EndnoteReference">
    <w:name w:val="endnote reference"/>
    <w:semiHidden/>
    <w:rsid w:val="009441E3"/>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3"/>
    <w:rsid w:val="009441E3"/>
    <w:pPr>
      <w:spacing w:after="120"/>
    </w:pPr>
    <w:rPr>
      <w:sz w:val="20"/>
      <w:szCs w:val="20"/>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rrfootnote Char1"/>
    <w:basedOn w:val="DefaultParagraphFont"/>
    <w:locked/>
    <w:rsid w:val="00DF2920"/>
    <w:rPr>
      <w:rFonts w:cs="Times New Roman"/>
      <w:kern w:val="28"/>
      <w:sz w:val="20"/>
    </w:rPr>
  </w:style>
  <w:style w:type="character" w:styleId="FootnoteReference">
    <w:name w:val="footnote reference"/>
    <w:aliases w:val="Style 12,(NECG) Footnote Reference,Appel note de bas de p,Style 124,Style 4,Style 13,o,fr,Style 3"/>
    <w:rsid w:val="009441E3"/>
    <w:rPr>
      <w:rFonts w:ascii="Times New Roman" w:hAnsi="Times New Roman"/>
      <w:dstrike w:val="0"/>
      <w:color w:val="auto"/>
      <w:sz w:val="20"/>
      <w:vertAlign w:val="superscript"/>
    </w:rPr>
  </w:style>
  <w:style w:type="paragraph" w:styleId="TOC1">
    <w:name w:val="toc 1"/>
    <w:basedOn w:val="Normal"/>
    <w:next w:val="Normal"/>
    <w:semiHidden/>
    <w:rsid w:val="009441E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41E3"/>
    <w:pPr>
      <w:tabs>
        <w:tab w:val="left" w:pos="720"/>
        <w:tab w:val="right" w:leader="dot" w:pos="9360"/>
      </w:tabs>
      <w:suppressAutoHyphens/>
      <w:ind w:left="720" w:right="720" w:hanging="360"/>
    </w:pPr>
    <w:rPr>
      <w:noProof/>
    </w:rPr>
  </w:style>
  <w:style w:type="paragraph" w:styleId="TOC3">
    <w:name w:val="toc 3"/>
    <w:basedOn w:val="Normal"/>
    <w:next w:val="Normal"/>
    <w:semiHidden/>
    <w:rsid w:val="009441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41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41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41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41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41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41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41E3"/>
    <w:pPr>
      <w:tabs>
        <w:tab w:val="right" w:pos="9360"/>
      </w:tabs>
      <w:suppressAutoHyphens/>
    </w:pPr>
  </w:style>
  <w:style w:type="character" w:customStyle="1" w:styleId="EquationCaption">
    <w:name w:val="_Equation Caption"/>
    <w:rsid w:val="009441E3"/>
  </w:style>
  <w:style w:type="paragraph" w:styleId="Header">
    <w:name w:val="header"/>
    <w:basedOn w:val="Normal"/>
    <w:link w:val="HeaderChar"/>
    <w:autoRedefine/>
    <w:rsid w:val="009441E3"/>
    <w:pPr>
      <w:tabs>
        <w:tab w:val="center" w:pos="4680"/>
        <w:tab w:val="right" w:pos="9360"/>
      </w:tabs>
    </w:pPr>
    <w:rPr>
      <w:b/>
    </w:rPr>
  </w:style>
  <w:style w:type="character" w:customStyle="1" w:styleId="HeaderChar">
    <w:name w:val="Header Char"/>
    <w:basedOn w:val="DefaultParagraphFont"/>
    <w:link w:val="Header"/>
    <w:locked/>
    <w:rsid w:val="00DF2920"/>
    <w:rPr>
      <w:b/>
      <w:snapToGrid w:val="0"/>
      <w:kern w:val="28"/>
      <w:szCs w:val="20"/>
    </w:rPr>
  </w:style>
  <w:style w:type="paragraph" w:styleId="Footer">
    <w:name w:val="footer"/>
    <w:basedOn w:val="Normal"/>
    <w:link w:val="FooterChar"/>
    <w:rsid w:val="009441E3"/>
    <w:pPr>
      <w:tabs>
        <w:tab w:val="center" w:pos="4320"/>
        <w:tab w:val="right" w:pos="8640"/>
      </w:tabs>
    </w:pPr>
  </w:style>
  <w:style w:type="character" w:customStyle="1" w:styleId="FooterChar">
    <w:name w:val="Footer Char"/>
    <w:basedOn w:val="DefaultParagraphFont"/>
    <w:link w:val="Footer"/>
    <w:locked/>
    <w:rsid w:val="00DF2920"/>
    <w:rPr>
      <w:snapToGrid w:val="0"/>
      <w:kern w:val="28"/>
      <w:szCs w:val="20"/>
    </w:rPr>
  </w:style>
  <w:style w:type="character" w:styleId="PageNumber">
    <w:name w:val="page number"/>
    <w:basedOn w:val="DefaultParagraphFont"/>
    <w:rsid w:val="009441E3"/>
  </w:style>
  <w:style w:type="paragraph" w:styleId="BlockText">
    <w:name w:val="Block Text"/>
    <w:basedOn w:val="Normal"/>
    <w:rsid w:val="009441E3"/>
    <w:pPr>
      <w:spacing w:after="240"/>
      <w:ind w:left="1440" w:right="1440"/>
    </w:pPr>
  </w:style>
  <w:style w:type="paragraph" w:customStyle="1" w:styleId="Paratitle">
    <w:name w:val="Para title"/>
    <w:basedOn w:val="Normal"/>
    <w:rsid w:val="009441E3"/>
    <w:pPr>
      <w:tabs>
        <w:tab w:val="center" w:pos="9270"/>
      </w:tabs>
      <w:spacing w:after="240"/>
    </w:pPr>
    <w:rPr>
      <w:spacing w:val="-2"/>
    </w:rPr>
  </w:style>
  <w:style w:type="paragraph" w:customStyle="1" w:styleId="Bullet">
    <w:name w:val="Bullet"/>
    <w:basedOn w:val="Normal"/>
    <w:rsid w:val="009441E3"/>
    <w:pPr>
      <w:tabs>
        <w:tab w:val="left" w:pos="2160"/>
      </w:tabs>
      <w:spacing w:after="220"/>
      <w:ind w:left="2160" w:hanging="720"/>
    </w:pPr>
  </w:style>
  <w:style w:type="paragraph" w:customStyle="1" w:styleId="TableFormat">
    <w:name w:val="TableFormat"/>
    <w:basedOn w:val="Bullet"/>
    <w:rsid w:val="009441E3"/>
    <w:pPr>
      <w:tabs>
        <w:tab w:val="clear" w:pos="2160"/>
        <w:tab w:val="left" w:pos="5040"/>
      </w:tabs>
      <w:ind w:left="5040" w:hanging="3600"/>
    </w:pPr>
  </w:style>
  <w:style w:type="paragraph" w:customStyle="1" w:styleId="TOCTitle">
    <w:name w:val="TOC Title"/>
    <w:basedOn w:val="Normal"/>
    <w:rsid w:val="009441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41E3"/>
    <w:pPr>
      <w:jc w:val="center"/>
    </w:pPr>
    <w:rPr>
      <w:rFonts w:ascii="Times New Roman Bold" w:hAnsi="Times New Roman Bold"/>
      <w:b/>
      <w:bCs/>
      <w:caps/>
      <w:szCs w:val="22"/>
    </w:rPr>
  </w:style>
  <w:style w:type="character" w:styleId="Hyperlink">
    <w:name w:val="Hyperlink"/>
    <w:rsid w:val="009441E3"/>
    <w:rPr>
      <w:color w:val="0000FF"/>
      <w:u w:val="single"/>
    </w:rPr>
  </w:style>
  <w:style w:type="character" w:styleId="FollowedHyperlink">
    <w:name w:val="FollowedHyperlink"/>
    <w:basedOn w:val="DefaultParagraphFont"/>
    <w:uiPriority w:val="99"/>
    <w:rsid w:val="00126B9C"/>
    <w:rPr>
      <w:rFonts w:cs="Times New Roman"/>
      <w:color w:val="800080"/>
      <w:u w:val="single"/>
    </w:rPr>
  </w:style>
  <w:style w:type="character" w:customStyle="1" w:styleId="FootnoteTextChar3">
    <w:name w:val="Footnote Text Char3"/>
    <w:aliases w:val="Footnote Text Char2 Char1,Footnote Text Char1 Char Char1,Footnote Text Char Char Char Char1,Footnote Text Char1 Char Char Char Char1,rrfootnote Char1 Char Char Char Char1,Footnote Text Char Char Char Char Char Char1,f Char1"/>
    <w:link w:val="FootnoteText"/>
    <w:locked/>
    <w:rsid w:val="00F46D50"/>
    <w:rPr>
      <w:sz w:val="20"/>
      <w:szCs w:val="20"/>
    </w:rPr>
  </w:style>
  <w:style w:type="character" w:customStyle="1" w:styleId="FootnoteTextChar4">
    <w:name w:val="Footnote Text Char4"/>
    <w:aliases w:val="Footnote Text Char1 Char Char2,Footnote Text Char Char Char Char2,rrfootnote Char Char Char Char,Footnote Text Char1 Char Char Char Char2,Footnote Text Char Char Char Char Char Char2,Footnote Text Char1 Char Char Char Char Char Char"/>
    <w:uiPriority w:val="99"/>
    <w:rsid w:val="00922734"/>
  </w:style>
  <w:style w:type="character" w:customStyle="1" w:styleId="ParaNumChar">
    <w:name w:val="ParaNum Char"/>
    <w:link w:val="ParaNum"/>
    <w:locked/>
    <w:rsid w:val="00F3197A"/>
    <w:rPr>
      <w:snapToGrid w:val="0"/>
      <w:kern w:val="28"/>
      <w:szCs w:val="20"/>
    </w:rPr>
  </w:style>
  <w:style w:type="character" w:customStyle="1" w:styleId="documentbody">
    <w:name w:val="documentbody"/>
    <w:uiPriority w:val="99"/>
    <w:rsid w:val="00F3197A"/>
  </w:style>
  <w:style w:type="character" w:customStyle="1" w:styleId="searchterm">
    <w:name w:val="searchterm"/>
    <w:uiPriority w:val="99"/>
    <w:rsid w:val="00F3197A"/>
  </w:style>
  <w:style w:type="character" w:styleId="CommentReference">
    <w:name w:val="annotation reference"/>
    <w:basedOn w:val="DefaultParagraphFont"/>
    <w:uiPriority w:val="99"/>
    <w:semiHidden/>
    <w:locked/>
    <w:rsid w:val="00954AC6"/>
    <w:rPr>
      <w:rFonts w:cs="Times New Roman"/>
      <w:sz w:val="16"/>
    </w:rPr>
  </w:style>
  <w:style w:type="paragraph" w:styleId="CommentText">
    <w:name w:val="annotation text"/>
    <w:basedOn w:val="Normal"/>
    <w:link w:val="CommentTextChar"/>
    <w:uiPriority w:val="99"/>
    <w:semiHidden/>
    <w:locked/>
    <w:rsid w:val="00954AC6"/>
    <w:rPr>
      <w:sz w:val="20"/>
    </w:rPr>
  </w:style>
  <w:style w:type="character" w:customStyle="1" w:styleId="CommentTextChar">
    <w:name w:val="Comment Text Char"/>
    <w:basedOn w:val="DefaultParagraphFont"/>
    <w:link w:val="CommentText"/>
    <w:uiPriority w:val="99"/>
    <w:semiHidden/>
    <w:locked/>
    <w:rsid w:val="00A13820"/>
    <w:rPr>
      <w:rFonts w:cs="Times New Roman"/>
      <w:kern w:val="28"/>
      <w:sz w:val="20"/>
    </w:rPr>
  </w:style>
  <w:style w:type="paragraph" w:styleId="CommentSubject">
    <w:name w:val="annotation subject"/>
    <w:basedOn w:val="CommentText"/>
    <w:next w:val="CommentText"/>
    <w:link w:val="CommentSubjectChar"/>
    <w:uiPriority w:val="99"/>
    <w:semiHidden/>
    <w:locked/>
    <w:rsid w:val="00954AC6"/>
    <w:rPr>
      <w:b/>
      <w:bCs/>
    </w:rPr>
  </w:style>
  <w:style w:type="character" w:customStyle="1" w:styleId="CommentSubjectChar">
    <w:name w:val="Comment Subject Char"/>
    <w:basedOn w:val="CommentTextChar"/>
    <w:link w:val="CommentSubject"/>
    <w:uiPriority w:val="99"/>
    <w:semiHidden/>
    <w:locked/>
    <w:rsid w:val="00A13820"/>
    <w:rPr>
      <w:rFonts w:cs="Times New Roman"/>
      <w:b/>
      <w:kern w:val="28"/>
      <w:sz w:val="20"/>
    </w:rPr>
  </w:style>
  <w:style w:type="paragraph" w:styleId="ListParagraph">
    <w:name w:val="List Paragraph"/>
    <w:basedOn w:val="Normal"/>
    <w:uiPriority w:val="99"/>
    <w:qFormat/>
    <w:rsid w:val="00707EEB"/>
    <w:pPr>
      <w:widowControl/>
      <w:spacing w:after="240"/>
      <w:ind w:left="720"/>
      <w:contextualSpacing/>
    </w:pPr>
    <w:rPr>
      <w:kern w:val="0"/>
      <w:sz w:val="24"/>
      <w:szCs w:val="22"/>
    </w:rPr>
  </w:style>
  <w:style w:type="paragraph" w:customStyle="1" w:styleId="par1">
    <w:name w:val="par1"/>
    <w:basedOn w:val="Normal"/>
    <w:uiPriority w:val="99"/>
    <w:rsid w:val="00785DD0"/>
    <w:pPr>
      <w:numPr>
        <w:numId w:val="27"/>
      </w:numPr>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9123">
      <w:bodyDiv w:val="1"/>
      <w:marLeft w:val="0"/>
      <w:marRight w:val="0"/>
      <w:marTop w:val="0"/>
      <w:marBottom w:val="0"/>
      <w:divBdr>
        <w:top w:val="none" w:sz="0" w:space="0" w:color="auto"/>
        <w:left w:val="none" w:sz="0" w:space="0" w:color="auto"/>
        <w:bottom w:val="none" w:sz="0" w:space="0" w:color="auto"/>
        <w:right w:val="none" w:sz="0" w:space="0" w:color="auto"/>
      </w:divBdr>
    </w:div>
    <w:div w:id="675426442">
      <w:bodyDiv w:val="1"/>
      <w:marLeft w:val="0"/>
      <w:marRight w:val="0"/>
      <w:marTop w:val="0"/>
      <w:marBottom w:val="0"/>
      <w:divBdr>
        <w:top w:val="none" w:sz="0" w:space="0" w:color="auto"/>
        <w:left w:val="none" w:sz="0" w:space="0" w:color="auto"/>
        <w:bottom w:val="none" w:sz="0" w:space="0" w:color="auto"/>
        <w:right w:val="none" w:sz="0" w:space="0" w:color="auto"/>
      </w:divBdr>
    </w:div>
    <w:div w:id="1175992950">
      <w:bodyDiv w:val="1"/>
      <w:marLeft w:val="0"/>
      <w:marRight w:val="0"/>
      <w:marTop w:val="0"/>
      <w:marBottom w:val="0"/>
      <w:divBdr>
        <w:top w:val="none" w:sz="0" w:space="0" w:color="auto"/>
        <w:left w:val="none" w:sz="0" w:space="0" w:color="auto"/>
        <w:bottom w:val="none" w:sz="0" w:space="0" w:color="auto"/>
        <w:right w:val="none" w:sz="0" w:space="0" w:color="auto"/>
      </w:divBdr>
    </w:div>
    <w:div w:id="1620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2227</Words>
  <Characters>12570</Characters>
  <Application>Microsoft Office Word</Application>
  <DocSecurity>0</DocSecurity>
  <Lines>195</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2014-10-14T18:56:00Z</dcterms:created>
  <dcterms:modified xsi:type="dcterms:W3CDTF">2014-10-14T18:56:00Z</dcterms:modified>
  <cp:category> </cp:category>
  <cp:contentStatus> </cp:contentStatus>
</cp:coreProperties>
</file>