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FD7F36" w:rsidP="007115F7">
            <w:pPr>
              <w:tabs>
                <w:tab w:val="center" w:pos="4680"/>
              </w:tabs>
              <w:suppressAutoHyphens/>
              <w:rPr>
                <w:spacing w:val="-2"/>
              </w:rPr>
            </w:pPr>
            <w:r>
              <w:rPr>
                <w:spacing w:val="-2"/>
              </w:rPr>
              <w:t>JET FUEL BROADCASTING</w:t>
            </w:r>
          </w:p>
          <w:p w:rsidR="00FD7F36" w:rsidRDefault="00FD7F36" w:rsidP="007115F7">
            <w:pPr>
              <w:tabs>
                <w:tab w:val="center" w:pos="4680"/>
              </w:tabs>
              <w:suppressAutoHyphens/>
              <w:rPr>
                <w:spacing w:val="-2"/>
              </w:rPr>
            </w:pPr>
          </w:p>
          <w:p w:rsidR="00FD7F36" w:rsidRDefault="00FD7F36" w:rsidP="007115F7">
            <w:pPr>
              <w:tabs>
                <w:tab w:val="center" w:pos="4680"/>
              </w:tabs>
              <w:suppressAutoHyphens/>
              <w:rPr>
                <w:spacing w:val="-2"/>
              </w:rPr>
            </w:pPr>
            <w:r>
              <w:rPr>
                <w:spacing w:val="-2"/>
              </w:rPr>
              <w:t>Application for a New AM Broadcast Station</w:t>
            </w:r>
          </w:p>
          <w:p w:rsidR="00FD7F36" w:rsidRDefault="00FD7F36" w:rsidP="007115F7">
            <w:pPr>
              <w:tabs>
                <w:tab w:val="center" w:pos="4680"/>
              </w:tabs>
              <w:suppressAutoHyphens/>
              <w:rPr>
                <w:spacing w:val="-2"/>
              </w:rPr>
            </w:pPr>
            <w:r>
              <w:rPr>
                <w:spacing w:val="-2"/>
              </w:rPr>
              <w:t xml:space="preserve">at </w:t>
            </w:r>
            <w:r w:rsidR="007E3B3B">
              <w:rPr>
                <w:spacing w:val="-2"/>
              </w:rPr>
              <w:t>Orchard Homes</w:t>
            </w:r>
            <w:r>
              <w:rPr>
                <w:spacing w:val="-2"/>
              </w:rPr>
              <w:t>, Montana</w:t>
            </w:r>
          </w:p>
          <w:p w:rsidR="00FD7F36" w:rsidRDefault="00FD7F36" w:rsidP="007115F7">
            <w:pPr>
              <w:tabs>
                <w:tab w:val="center" w:pos="4680"/>
              </w:tabs>
              <w:suppressAutoHyphens/>
              <w:rPr>
                <w:spacing w:val="-2"/>
              </w:rPr>
            </w:pPr>
          </w:p>
          <w:p w:rsidR="00FD7F36" w:rsidRDefault="00FD7F36" w:rsidP="007115F7">
            <w:pPr>
              <w:tabs>
                <w:tab w:val="center" w:pos="4680"/>
              </w:tabs>
              <w:suppressAutoHyphens/>
              <w:rPr>
                <w:spacing w:val="-2"/>
              </w:rPr>
            </w:pPr>
            <w:r>
              <w:rPr>
                <w:spacing w:val="-2"/>
              </w:rPr>
              <w:t>and</w:t>
            </w:r>
          </w:p>
          <w:p w:rsidR="00FD7F36" w:rsidRDefault="00FD7F36" w:rsidP="007115F7">
            <w:pPr>
              <w:tabs>
                <w:tab w:val="center" w:pos="4680"/>
              </w:tabs>
              <w:suppressAutoHyphens/>
              <w:rPr>
                <w:spacing w:val="-2"/>
              </w:rPr>
            </w:pPr>
          </w:p>
          <w:p w:rsidR="00FD7F36" w:rsidRDefault="007E3B3B" w:rsidP="007115F7">
            <w:pPr>
              <w:tabs>
                <w:tab w:val="center" w:pos="4680"/>
              </w:tabs>
              <w:suppressAutoHyphens/>
              <w:rPr>
                <w:spacing w:val="-2"/>
              </w:rPr>
            </w:pPr>
            <w:r>
              <w:rPr>
                <w:spacing w:val="-2"/>
              </w:rPr>
              <w:t>BOTT COMMUNICATIONS, INC.</w:t>
            </w:r>
          </w:p>
          <w:p w:rsidR="00FD7F36" w:rsidRDefault="00FD7F36" w:rsidP="007115F7">
            <w:pPr>
              <w:tabs>
                <w:tab w:val="center" w:pos="4680"/>
              </w:tabs>
              <w:suppressAutoHyphens/>
              <w:rPr>
                <w:spacing w:val="-2"/>
              </w:rPr>
            </w:pPr>
          </w:p>
          <w:p w:rsidR="00FD7F36" w:rsidRDefault="00FD7F36" w:rsidP="007115F7">
            <w:pPr>
              <w:tabs>
                <w:tab w:val="center" w:pos="4680"/>
              </w:tabs>
              <w:suppressAutoHyphens/>
              <w:rPr>
                <w:spacing w:val="-2"/>
              </w:rPr>
            </w:pPr>
            <w:r>
              <w:rPr>
                <w:spacing w:val="-2"/>
              </w:rPr>
              <w:t>Application for a New AM Broadcast Station</w:t>
            </w:r>
          </w:p>
          <w:p w:rsidR="00FD7F36" w:rsidRPr="007115F7" w:rsidRDefault="00FD7F36" w:rsidP="007E3B3B">
            <w:pPr>
              <w:tabs>
                <w:tab w:val="center" w:pos="4680"/>
              </w:tabs>
              <w:suppressAutoHyphens/>
              <w:rPr>
                <w:spacing w:val="-2"/>
              </w:rPr>
            </w:pPr>
            <w:r>
              <w:rPr>
                <w:spacing w:val="-2"/>
              </w:rPr>
              <w:t xml:space="preserve">at </w:t>
            </w:r>
            <w:r w:rsidR="007E3B3B">
              <w:rPr>
                <w:spacing w:val="-2"/>
              </w:rPr>
              <w:t>Black Hawk, South Dakota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FD7F36" w:rsidRDefault="00FD7F36">
            <w:pPr>
              <w:tabs>
                <w:tab w:val="center" w:pos="4680"/>
              </w:tabs>
              <w:suppressAutoHyphens/>
              <w:rPr>
                <w:b/>
                <w:spacing w:val="-2"/>
              </w:rPr>
            </w:pPr>
            <w:r>
              <w:rPr>
                <w:b/>
                <w:spacing w:val="-2"/>
              </w:rPr>
              <w:t>)</w:t>
            </w:r>
          </w:p>
          <w:p w:rsidR="00FD7F36" w:rsidRDefault="00FD7F36">
            <w:pPr>
              <w:tabs>
                <w:tab w:val="center" w:pos="4680"/>
              </w:tabs>
              <w:suppressAutoHyphens/>
              <w:rPr>
                <w:b/>
                <w:spacing w:val="-2"/>
              </w:rPr>
            </w:pPr>
            <w:r>
              <w:rPr>
                <w:b/>
                <w:spacing w:val="-2"/>
              </w:rPr>
              <w:t>)</w:t>
            </w:r>
          </w:p>
          <w:p w:rsidR="00FD7F36" w:rsidRDefault="00FD7F36">
            <w:pPr>
              <w:tabs>
                <w:tab w:val="center" w:pos="4680"/>
              </w:tabs>
              <w:suppressAutoHyphens/>
              <w:rPr>
                <w:b/>
                <w:spacing w:val="-2"/>
              </w:rPr>
            </w:pPr>
            <w:r>
              <w:rPr>
                <w:b/>
                <w:spacing w:val="-2"/>
              </w:rPr>
              <w:t>)</w:t>
            </w:r>
          </w:p>
          <w:p w:rsidR="00FD7F36" w:rsidRDefault="00FD7F36">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7E3B3B">
            <w:pPr>
              <w:tabs>
                <w:tab w:val="center" w:pos="4680"/>
              </w:tabs>
              <w:suppressAutoHyphens/>
              <w:rPr>
                <w:spacing w:val="-2"/>
              </w:rPr>
            </w:pPr>
            <w:r>
              <w:rPr>
                <w:spacing w:val="-2"/>
              </w:rPr>
              <w:t>File No. BNP-20040130AQP</w:t>
            </w:r>
          </w:p>
          <w:p w:rsidR="00FD7F36" w:rsidRDefault="007E3B3B">
            <w:pPr>
              <w:tabs>
                <w:tab w:val="center" w:pos="4680"/>
              </w:tabs>
              <w:suppressAutoHyphens/>
              <w:rPr>
                <w:spacing w:val="-2"/>
              </w:rPr>
            </w:pPr>
            <w:r>
              <w:rPr>
                <w:spacing w:val="-2"/>
              </w:rPr>
              <w:t>Facility ID No. 161341</w:t>
            </w:r>
          </w:p>
          <w:p w:rsidR="00FD7F36" w:rsidRDefault="00FD7F36">
            <w:pPr>
              <w:tabs>
                <w:tab w:val="center" w:pos="4680"/>
              </w:tabs>
              <w:suppressAutoHyphens/>
              <w:rPr>
                <w:spacing w:val="-2"/>
              </w:rPr>
            </w:pPr>
          </w:p>
          <w:p w:rsidR="00FD7F36" w:rsidRDefault="00FD7F36">
            <w:pPr>
              <w:tabs>
                <w:tab w:val="center" w:pos="4680"/>
              </w:tabs>
              <w:suppressAutoHyphens/>
              <w:rPr>
                <w:spacing w:val="-2"/>
              </w:rPr>
            </w:pPr>
          </w:p>
          <w:p w:rsidR="00FD7F36" w:rsidRDefault="00FD7F36">
            <w:pPr>
              <w:tabs>
                <w:tab w:val="center" w:pos="4680"/>
              </w:tabs>
              <w:suppressAutoHyphens/>
              <w:rPr>
                <w:spacing w:val="-2"/>
              </w:rPr>
            </w:pPr>
          </w:p>
          <w:p w:rsidR="00FD7F36" w:rsidRDefault="00FD7F36">
            <w:pPr>
              <w:tabs>
                <w:tab w:val="center" w:pos="4680"/>
              </w:tabs>
              <w:suppressAutoHyphens/>
              <w:rPr>
                <w:spacing w:val="-2"/>
              </w:rPr>
            </w:pPr>
          </w:p>
          <w:p w:rsidR="00FD7F36" w:rsidRDefault="00FD7F36">
            <w:pPr>
              <w:tabs>
                <w:tab w:val="center" w:pos="4680"/>
              </w:tabs>
              <w:suppressAutoHyphens/>
              <w:rPr>
                <w:spacing w:val="-2"/>
              </w:rPr>
            </w:pPr>
          </w:p>
          <w:p w:rsidR="00FD7F36" w:rsidRDefault="007E3B3B">
            <w:pPr>
              <w:tabs>
                <w:tab w:val="center" w:pos="4680"/>
              </w:tabs>
              <w:suppressAutoHyphens/>
              <w:rPr>
                <w:spacing w:val="-2"/>
              </w:rPr>
            </w:pPr>
            <w:r>
              <w:rPr>
                <w:spacing w:val="-2"/>
              </w:rPr>
              <w:t>File No. BNP-20040130ARV</w:t>
            </w:r>
          </w:p>
          <w:p w:rsidR="00FD7F36" w:rsidRDefault="007E3B3B">
            <w:pPr>
              <w:tabs>
                <w:tab w:val="center" w:pos="4680"/>
              </w:tabs>
              <w:suppressAutoHyphens/>
              <w:rPr>
                <w:spacing w:val="-2"/>
              </w:rPr>
            </w:pPr>
            <w:r>
              <w:rPr>
                <w:spacing w:val="-2"/>
              </w:rPr>
              <w:t>File No. BNP-20071221ACG</w:t>
            </w:r>
          </w:p>
          <w:p w:rsidR="00FD7F36" w:rsidRDefault="00FD7F36">
            <w:pPr>
              <w:tabs>
                <w:tab w:val="center" w:pos="4680"/>
              </w:tabs>
              <w:suppressAutoHyphens/>
              <w:rPr>
                <w:spacing w:val="-2"/>
              </w:rPr>
            </w:pPr>
            <w:r>
              <w:rPr>
                <w:spacing w:val="-2"/>
              </w:rPr>
              <w:t>Facility ID No. 16</w:t>
            </w:r>
            <w:r w:rsidR="007E3B3B">
              <w:rPr>
                <w:spacing w:val="-2"/>
              </w:rPr>
              <w:t>0981</w:t>
            </w:r>
          </w:p>
        </w:tc>
      </w:tr>
    </w:tbl>
    <w:p w:rsidR="004C2EE3" w:rsidRDefault="004C2EE3" w:rsidP="0070224F"/>
    <w:p w:rsidR="00841AB1" w:rsidRPr="004D1FD2" w:rsidRDefault="00FD7F36" w:rsidP="00F021FA">
      <w:pPr>
        <w:pStyle w:val="StyleBoldCentered"/>
        <w:rPr>
          <w:rFonts w:ascii="Times New Roman" w:hAnsi="Times New Roman"/>
        </w:rPr>
      </w:pPr>
      <w:r w:rsidRPr="004D1FD2">
        <w:rPr>
          <w:rFonts w:ascii="Times New Roman" w:hAnsi="Times New Roman"/>
        </w:rPr>
        <w:t>MEMORANDUM OPINION AND ORDER</w:t>
      </w:r>
    </w:p>
    <w:p w:rsidR="004C2EE3" w:rsidRPr="004D1FD2" w:rsidRDefault="004C2EE3">
      <w:pPr>
        <w:tabs>
          <w:tab w:val="left" w:pos="-720"/>
        </w:tabs>
        <w:suppressAutoHyphens/>
        <w:spacing w:line="227" w:lineRule="auto"/>
        <w:rPr>
          <w:spacing w:val="-2"/>
          <w:szCs w:val="22"/>
        </w:rPr>
      </w:pPr>
    </w:p>
    <w:p w:rsidR="004C2EE3" w:rsidRPr="004D1FD2" w:rsidRDefault="004C2EE3" w:rsidP="00133F79">
      <w:pPr>
        <w:tabs>
          <w:tab w:val="left" w:pos="720"/>
          <w:tab w:val="right" w:pos="9360"/>
        </w:tabs>
        <w:suppressAutoHyphens/>
        <w:spacing w:line="227" w:lineRule="auto"/>
        <w:rPr>
          <w:spacing w:val="-2"/>
          <w:szCs w:val="22"/>
        </w:rPr>
      </w:pPr>
      <w:r w:rsidRPr="004D1FD2">
        <w:rPr>
          <w:b/>
          <w:spacing w:val="-2"/>
          <w:szCs w:val="22"/>
        </w:rPr>
        <w:t xml:space="preserve">Adopted:  </w:t>
      </w:r>
      <w:r w:rsidR="002B3F25">
        <w:rPr>
          <w:b/>
          <w:spacing w:val="-2"/>
          <w:szCs w:val="22"/>
        </w:rPr>
        <w:t>February 20</w:t>
      </w:r>
      <w:r w:rsidR="00FD7F36" w:rsidRPr="004D1FD2">
        <w:rPr>
          <w:b/>
          <w:spacing w:val="-2"/>
          <w:szCs w:val="22"/>
        </w:rPr>
        <w:t>, 2014</w:t>
      </w:r>
      <w:r w:rsidRPr="004D1FD2">
        <w:rPr>
          <w:b/>
          <w:spacing w:val="-2"/>
          <w:szCs w:val="22"/>
        </w:rPr>
        <w:tab/>
      </w:r>
      <w:r w:rsidR="00822CE0" w:rsidRPr="004D1FD2">
        <w:rPr>
          <w:b/>
          <w:spacing w:val="-2"/>
          <w:szCs w:val="22"/>
        </w:rPr>
        <w:t>Released</w:t>
      </w:r>
      <w:r w:rsidRPr="004D1FD2">
        <w:rPr>
          <w:b/>
          <w:spacing w:val="-2"/>
          <w:szCs w:val="22"/>
        </w:rPr>
        <w:t>:</w:t>
      </w:r>
      <w:r w:rsidR="00822CE0" w:rsidRPr="004D1FD2">
        <w:rPr>
          <w:b/>
          <w:spacing w:val="-2"/>
          <w:szCs w:val="22"/>
        </w:rPr>
        <w:t xml:space="preserve"> </w:t>
      </w:r>
      <w:r w:rsidRPr="004D1FD2">
        <w:rPr>
          <w:b/>
          <w:spacing w:val="-2"/>
          <w:szCs w:val="22"/>
        </w:rPr>
        <w:t xml:space="preserve"> </w:t>
      </w:r>
      <w:r w:rsidR="0040747C">
        <w:rPr>
          <w:b/>
          <w:spacing w:val="-2"/>
          <w:szCs w:val="22"/>
        </w:rPr>
        <w:t>February 20</w:t>
      </w:r>
      <w:r w:rsidR="00FD7F36" w:rsidRPr="004D1FD2">
        <w:rPr>
          <w:b/>
          <w:spacing w:val="-2"/>
          <w:szCs w:val="22"/>
        </w:rPr>
        <w:t>, 2014</w:t>
      </w:r>
    </w:p>
    <w:p w:rsidR="00822CE0" w:rsidRPr="004D1FD2" w:rsidRDefault="00822CE0">
      <w:pPr>
        <w:rPr>
          <w:szCs w:val="22"/>
        </w:rPr>
      </w:pPr>
    </w:p>
    <w:p w:rsidR="004C2EE3" w:rsidRPr="004D1FD2" w:rsidRDefault="004C2EE3">
      <w:pPr>
        <w:rPr>
          <w:spacing w:val="-2"/>
          <w:szCs w:val="22"/>
        </w:rPr>
      </w:pPr>
      <w:r w:rsidRPr="004D1FD2">
        <w:rPr>
          <w:szCs w:val="22"/>
        </w:rPr>
        <w:t xml:space="preserve">By </w:t>
      </w:r>
      <w:r w:rsidR="004E4A22" w:rsidRPr="004D1FD2">
        <w:rPr>
          <w:szCs w:val="22"/>
        </w:rPr>
        <w:t>the</w:t>
      </w:r>
      <w:r w:rsidR="002A2D2E" w:rsidRPr="004D1FD2">
        <w:rPr>
          <w:szCs w:val="22"/>
        </w:rPr>
        <w:t xml:space="preserve"> </w:t>
      </w:r>
      <w:r w:rsidR="00FD7F36" w:rsidRPr="004D1FD2">
        <w:rPr>
          <w:spacing w:val="-2"/>
          <w:szCs w:val="22"/>
        </w:rPr>
        <w:t>Commission</w:t>
      </w:r>
      <w:r w:rsidRPr="004D1FD2">
        <w:rPr>
          <w:spacing w:val="-2"/>
          <w:szCs w:val="22"/>
        </w:rPr>
        <w:t>:</w:t>
      </w:r>
    </w:p>
    <w:p w:rsidR="00822CE0" w:rsidRPr="004D1FD2" w:rsidRDefault="00822CE0">
      <w:pPr>
        <w:rPr>
          <w:spacing w:val="-2"/>
          <w:szCs w:val="22"/>
        </w:rPr>
      </w:pPr>
    </w:p>
    <w:p w:rsidR="00412FC5" w:rsidRPr="004D1FD2" w:rsidRDefault="00412FC5" w:rsidP="00412FC5">
      <w:pPr>
        <w:rPr>
          <w:szCs w:val="22"/>
        </w:rPr>
      </w:pPr>
    </w:p>
    <w:p w:rsidR="002C00E8" w:rsidRPr="004D1FD2" w:rsidRDefault="007E3B3B" w:rsidP="001D05F2">
      <w:pPr>
        <w:pStyle w:val="ParaNum"/>
        <w:widowControl/>
        <w:numPr>
          <w:ilvl w:val="0"/>
          <w:numId w:val="7"/>
        </w:numPr>
        <w:tabs>
          <w:tab w:val="left" w:pos="0"/>
        </w:tabs>
        <w:snapToGrid w:val="0"/>
        <w:ind w:left="0" w:firstLine="720"/>
        <w:rPr>
          <w:szCs w:val="22"/>
        </w:rPr>
      </w:pPr>
      <w:r>
        <w:t xml:space="preserve">In this </w:t>
      </w:r>
      <w:r w:rsidRPr="009C6716">
        <w:rPr>
          <w:i/>
        </w:rPr>
        <w:t>Memorandum Opinion and Order</w:t>
      </w:r>
      <w:r>
        <w:t>, we address the December 7, 2009, Application for Review (“AFR”) filed by Jet Fuel Broadcasting (“JFB”), applicant for a new AM broadcast station at Orchard Homes, Montana.</w:t>
      </w:r>
      <w:r>
        <w:rPr>
          <w:rStyle w:val="FootnoteReference"/>
        </w:rPr>
        <w:footnoteReference w:id="2"/>
      </w:r>
      <w:r>
        <w:t xml:space="preserve">  JFB</w:t>
      </w:r>
      <w:r w:rsidRPr="00D70BCA">
        <w:rPr>
          <w:szCs w:val="22"/>
        </w:rPr>
        <w:t xml:space="preserve"> seeks review of the</w:t>
      </w:r>
      <w:r>
        <w:rPr>
          <w:szCs w:val="22"/>
        </w:rPr>
        <w:t xml:space="preserve"> Media Bureau’s (“Bureau”)</w:t>
      </w:r>
      <w:r w:rsidRPr="00D70BCA">
        <w:rPr>
          <w:szCs w:val="22"/>
        </w:rPr>
        <w:t xml:space="preserve"> </w:t>
      </w:r>
      <w:r>
        <w:rPr>
          <w:szCs w:val="22"/>
        </w:rPr>
        <w:t>November 6, 2009</w:t>
      </w:r>
      <w:r w:rsidRPr="00D70BCA">
        <w:rPr>
          <w:szCs w:val="22"/>
        </w:rPr>
        <w:t xml:space="preserve">, </w:t>
      </w:r>
      <w:r>
        <w:rPr>
          <w:szCs w:val="22"/>
        </w:rPr>
        <w:t>order</w:t>
      </w:r>
      <w:r w:rsidRPr="00D70BCA">
        <w:rPr>
          <w:szCs w:val="22"/>
        </w:rPr>
        <w:t xml:space="preserve"> dismissing </w:t>
      </w:r>
      <w:r>
        <w:rPr>
          <w:szCs w:val="22"/>
        </w:rPr>
        <w:t>JFB</w:t>
      </w:r>
      <w:r w:rsidRPr="00D70BCA">
        <w:rPr>
          <w:szCs w:val="22"/>
        </w:rPr>
        <w:t xml:space="preserve">’s </w:t>
      </w:r>
      <w:r>
        <w:rPr>
          <w:szCs w:val="22"/>
        </w:rPr>
        <w:t>P</w:t>
      </w:r>
      <w:r w:rsidRPr="00D70BCA">
        <w:rPr>
          <w:szCs w:val="22"/>
        </w:rPr>
        <w:t xml:space="preserve">etition for </w:t>
      </w:r>
      <w:r>
        <w:rPr>
          <w:szCs w:val="22"/>
        </w:rPr>
        <w:t>R</w:t>
      </w:r>
      <w:r w:rsidRPr="00D70BCA">
        <w:rPr>
          <w:szCs w:val="22"/>
        </w:rPr>
        <w:t xml:space="preserve">econsideration of the </w:t>
      </w:r>
      <w:r>
        <w:rPr>
          <w:szCs w:val="22"/>
        </w:rPr>
        <w:t>Bureau’s grant of a preference under Section 307(b) of the Communications Act of 1934, as amended,</w:t>
      </w:r>
      <w:r>
        <w:rPr>
          <w:rStyle w:val="FootnoteReference"/>
          <w:szCs w:val="22"/>
        </w:rPr>
        <w:footnoteReference w:id="3"/>
      </w:r>
      <w:r>
        <w:rPr>
          <w:szCs w:val="22"/>
        </w:rPr>
        <w:t xml:space="preserve"> to Bott Communications, Inc. (“Bott”).</w:t>
      </w:r>
      <w:r w:rsidRPr="00D70BCA">
        <w:rPr>
          <w:rStyle w:val="FootnoteReference"/>
          <w:szCs w:val="22"/>
        </w:rPr>
        <w:footnoteReference w:id="4"/>
      </w:r>
      <w:r>
        <w:rPr>
          <w:szCs w:val="22"/>
        </w:rPr>
        <w:t xml:space="preserve">  Bott filed an application for a new AM broadcast station at Black Hawk, South Dakota, that is mutually exclusive with JFB’s Orchard Homes application</w:t>
      </w:r>
      <w:r w:rsidRPr="00D70BCA">
        <w:rPr>
          <w:szCs w:val="22"/>
        </w:rPr>
        <w:t>.</w:t>
      </w:r>
      <w:r>
        <w:rPr>
          <w:rStyle w:val="FootnoteReference"/>
          <w:szCs w:val="22"/>
        </w:rPr>
        <w:footnoteReference w:id="5"/>
      </w:r>
    </w:p>
    <w:p w:rsidR="001715E8" w:rsidRPr="004D1FD2" w:rsidRDefault="007E3B3B" w:rsidP="001D05F2">
      <w:pPr>
        <w:pStyle w:val="ParaNum"/>
        <w:widowControl/>
        <w:numPr>
          <w:ilvl w:val="0"/>
          <w:numId w:val="7"/>
        </w:numPr>
        <w:tabs>
          <w:tab w:val="left" w:pos="0"/>
        </w:tabs>
        <w:snapToGrid w:val="0"/>
        <w:ind w:left="0" w:firstLine="720"/>
        <w:rPr>
          <w:szCs w:val="22"/>
        </w:rPr>
      </w:pPr>
      <w:r w:rsidRPr="00D70BCA">
        <w:rPr>
          <w:szCs w:val="22"/>
        </w:rPr>
        <w:t xml:space="preserve">Upon review of the Application for Review and the entire record, we conclude that </w:t>
      </w:r>
      <w:r>
        <w:rPr>
          <w:szCs w:val="22"/>
        </w:rPr>
        <w:t>JFB</w:t>
      </w:r>
      <w:r w:rsidRPr="00D70BCA">
        <w:rPr>
          <w:szCs w:val="22"/>
        </w:rPr>
        <w:t xml:space="preserve"> has </w:t>
      </w:r>
      <w:r>
        <w:rPr>
          <w:szCs w:val="22"/>
        </w:rPr>
        <w:t>not</w:t>
      </w:r>
      <w:r w:rsidRPr="00D70BCA">
        <w:rPr>
          <w:szCs w:val="22"/>
        </w:rPr>
        <w:t xml:space="preserve"> demonstrate</w:t>
      </w:r>
      <w:r>
        <w:rPr>
          <w:szCs w:val="22"/>
        </w:rPr>
        <w:t>d</w:t>
      </w:r>
      <w:r w:rsidRPr="00D70BCA">
        <w:rPr>
          <w:szCs w:val="22"/>
        </w:rPr>
        <w:t xml:space="preserve"> that the Bureau erred.  </w:t>
      </w:r>
      <w:r>
        <w:rPr>
          <w:szCs w:val="22"/>
        </w:rPr>
        <w:t xml:space="preserve">The Bureau dismissed JFB’s Petition for Reconsideration on the ground that a determination under Section 307(b) is not a final decision, and Section 1.106(a)(1) of the Rules states that petitions for reconsideration of interlocutory actions </w:t>
      </w:r>
      <w:r w:rsidR="002B3F25">
        <w:rPr>
          <w:szCs w:val="22"/>
        </w:rPr>
        <w:t xml:space="preserve">generally </w:t>
      </w:r>
      <w:r>
        <w:rPr>
          <w:szCs w:val="22"/>
        </w:rPr>
        <w:t>will not be entertained.</w:t>
      </w:r>
      <w:r>
        <w:rPr>
          <w:rStyle w:val="FootnoteReference"/>
          <w:szCs w:val="22"/>
        </w:rPr>
        <w:footnoteReference w:id="6"/>
      </w:r>
      <w:r>
        <w:rPr>
          <w:szCs w:val="22"/>
        </w:rPr>
        <w:t xml:space="preserve">  An interlocutory action by definition is non-final, one that neither denies nor dismisses an application nor terminates an applicant’s right to participate in the proceeding.</w:t>
      </w:r>
      <w:r>
        <w:rPr>
          <w:rStyle w:val="FootnoteReference"/>
          <w:szCs w:val="22"/>
        </w:rPr>
        <w:footnoteReference w:id="7"/>
      </w:r>
      <w:r>
        <w:rPr>
          <w:szCs w:val="22"/>
        </w:rPr>
        <w:t xml:space="preserve">  For an agency action to </w:t>
      </w:r>
      <w:r>
        <w:rPr>
          <w:szCs w:val="22"/>
        </w:rPr>
        <w:lastRenderedPageBreak/>
        <w:t>be “final,” first, the action must mark the “consummation” of the agency’s decision making process, and not be merely of a tentative or interlocutory nature; and second, the action must be one by which rights or obligations have been determined, or from which legal consequences will flow.</w:t>
      </w:r>
      <w:r>
        <w:rPr>
          <w:rStyle w:val="FootnoteReference"/>
          <w:szCs w:val="22"/>
        </w:rPr>
        <w:footnoteReference w:id="8"/>
      </w:r>
    </w:p>
    <w:p w:rsidR="005E7CBF" w:rsidRPr="005E7CBF" w:rsidRDefault="007E3B3B" w:rsidP="001D05F2">
      <w:pPr>
        <w:pStyle w:val="ParaNum"/>
        <w:widowControl/>
        <w:numPr>
          <w:ilvl w:val="0"/>
          <w:numId w:val="7"/>
        </w:numPr>
        <w:tabs>
          <w:tab w:val="left" w:pos="0"/>
        </w:tabs>
        <w:snapToGrid w:val="0"/>
        <w:ind w:left="0" w:firstLine="720"/>
        <w:rPr>
          <w:szCs w:val="22"/>
        </w:rPr>
      </w:pPr>
      <w:r>
        <w:rPr>
          <w:szCs w:val="22"/>
        </w:rPr>
        <w:t xml:space="preserve">In the instant case, Jet Fuel sought reconsideration of a </w:t>
      </w:r>
      <w:r w:rsidRPr="00385091">
        <w:rPr>
          <w:i/>
          <w:szCs w:val="22"/>
        </w:rPr>
        <w:t>Letter Decision</w:t>
      </w:r>
      <w:r>
        <w:rPr>
          <w:szCs w:val="22"/>
        </w:rPr>
        <w:t xml:space="preserve"> that was not final.  The application process is consummated only when an authorization, such as a construction permit, is issued, or when an application is dismissed or denied.  The Bureau, in the </w:t>
      </w:r>
      <w:r w:rsidRPr="00A77DB2">
        <w:rPr>
          <w:i/>
          <w:szCs w:val="22"/>
        </w:rPr>
        <w:t>Letter Decision</w:t>
      </w:r>
      <w:r>
        <w:rPr>
          <w:szCs w:val="22"/>
        </w:rPr>
        <w:t>, neither awarded Bott an authorization nor denied or dismissed JFB’s application.  Instead, the Bureau stated that it would conduct a complete legal and technical analysis of the Bott application after issuing a public notice announcing the application’s acceptance for filing and soliciting petitions to deny the application. The Bureau noted further that the staff would dismiss the competing Jet Fuel application “upon action taken on the application filed by Bott.”</w:t>
      </w:r>
      <w:r>
        <w:rPr>
          <w:rStyle w:val="FootnoteReference"/>
          <w:szCs w:val="22"/>
        </w:rPr>
        <w:footnoteReference w:id="9"/>
      </w:r>
      <w:r>
        <w:rPr>
          <w:szCs w:val="22"/>
        </w:rPr>
        <w:t xml:space="preserve">  </w:t>
      </w:r>
      <w:r w:rsidRPr="00DF6008">
        <w:rPr>
          <w:szCs w:val="22"/>
        </w:rPr>
        <w:t>Moreover</w:t>
      </w:r>
      <w:r w:rsidRPr="00DF6008">
        <w:t xml:space="preserve">, </w:t>
      </w:r>
      <w:r w:rsidRPr="00DF6008">
        <w:rPr>
          <w:szCs w:val="22"/>
        </w:rPr>
        <w:t>as pointed out by the Bureau</w:t>
      </w:r>
      <w:r>
        <w:rPr>
          <w:szCs w:val="22"/>
        </w:rPr>
        <w:t xml:space="preserve"> in the </w:t>
      </w:r>
      <w:r w:rsidRPr="00385091">
        <w:rPr>
          <w:i/>
          <w:szCs w:val="22"/>
        </w:rPr>
        <w:t>Staff Decision</w:t>
      </w:r>
      <w:r w:rsidRPr="00DF6008">
        <w:rPr>
          <w:szCs w:val="22"/>
        </w:rPr>
        <w:t>, our Rules provide clear procedures by which a competing applicant may challenge the Form 301 application filed by a party receiving a dispositive Section 307(b) preference.</w:t>
      </w:r>
      <w:r>
        <w:rPr>
          <w:rStyle w:val="FootnoteReference"/>
          <w:szCs w:val="22"/>
        </w:rPr>
        <w:footnoteReference w:id="10"/>
      </w:r>
      <w:r w:rsidRPr="00DF6008">
        <w:rPr>
          <w:szCs w:val="22"/>
        </w:rPr>
        <w:t xml:space="preserve">  Thus, it is inaccurate for JFB to assert that its right to challenge Bott’s Section 307(b) preference has been compromised, given that JFB had the ability to present its arguments challenging the Bureau’s Section 307(b) determination before any authorization could be awarded to Bott.</w:t>
      </w:r>
      <w:r>
        <w:rPr>
          <w:rStyle w:val="FootnoteReference"/>
          <w:szCs w:val="22"/>
        </w:rPr>
        <w:footnoteReference w:id="11"/>
      </w:r>
      <w:r w:rsidRPr="00DF6008">
        <w:rPr>
          <w:szCs w:val="22"/>
        </w:rPr>
        <w:t xml:space="preserve">  The Media Bureau properly decided the matters raised, and we uphold its </w:t>
      </w:r>
      <w:r>
        <w:rPr>
          <w:szCs w:val="22"/>
        </w:rPr>
        <w:t>action</w:t>
      </w:r>
      <w:r w:rsidRPr="00DF6008">
        <w:rPr>
          <w:szCs w:val="22"/>
        </w:rPr>
        <w:t xml:space="preserve"> for the reasons stated in the </w:t>
      </w:r>
      <w:r w:rsidRPr="00DF6008">
        <w:rPr>
          <w:i/>
          <w:szCs w:val="22"/>
        </w:rPr>
        <w:t>Staff Decision</w:t>
      </w:r>
      <w:r w:rsidRPr="00DF6008">
        <w:rPr>
          <w:szCs w:val="22"/>
        </w:rPr>
        <w:t>.</w:t>
      </w:r>
      <w:r>
        <w:rPr>
          <w:rStyle w:val="FootnoteReference"/>
          <w:szCs w:val="22"/>
        </w:rPr>
        <w:footnoteReference w:id="12"/>
      </w:r>
    </w:p>
    <w:p w:rsidR="005E7CBF" w:rsidRPr="005A2C4E" w:rsidRDefault="005E7CBF" w:rsidP="001D05F2">
      <w:pPr>
        <w:pStyle w:val="ParaNum"/>
        <w:widowControl/>
        <w:numPr>
          <w:ilvl w:val="0"/>
          <w:numId w:val="7"/>
        </w:numPr>
        <w:tabs>
          <w:tab w:val="left" w:pos="0"/>
        </w:tabs>
        <w:snapToGrid w:val="0"/>
        <w:ind w:left="0" w:firstLine="720"/>
        <w:rPr>
          <w:szCs w:val="22"/>
        </w:rPr>
      </w:pPr>
      <w:r w:rsidRPr="00D70BCA">
        <w:rPr>
          <w:szCs w:val="22"/>
        </w:rPr>
        <w:t>ACCORDINGLY, IT IS ORDERED that, pursuant to Section 5(c)(5) of the Communications Act of 1934, as amended,</w:t>
      </w:r>
      <w:r w:rsidRPr="00D70BCA">
        <w:rPr>
          <w:rStyle w:val="FootnoteReference"/>
          <w:szCs w:val="22"/>
        </w:rPr>
        <w:footnoteReference w:id="13"/>
      </w:r>
      <w:r w:rsidRPr="00D70BCA">
        <w:rPr>
          <w:szCs w:val="22"/>
        </w:rPr>
        <w:t xml:space="preserve"> and Section 1.115(g) of the Commission’s rules,</w:t>
      </w:r>
      <w:r w:rsidRPr="00D70BCA">
        <w:rPr>
          <w:rStyle w:val="FootnoteReference"/>
          <w:szCs w:val="22"/>
        </w:rPr>
        <w:footnoteReference w:id="14"/>
      </w:r>
      <w:r w:rsidRPr="00D70BCA">
        <w:rPr>
          <w:szCs w:val="22"/>
        </w:rPr>
        <w:t xml:space="preserve"> the Application for Review IS DENIED.</w:t>
      </w:r>
    </w:p>
    <w:p w:rsidR="007626AD" w:rsidRPr="004D1FD2" w:rsidRDefault="007626AD" w:rsidP="007626AD">
      <w:pPr>
        <w:tabs>
          <w:tab w:val="left" w:pos="0"/>
        </w:tabs>
        <w:suppressAutoHyphens/>
        <w:ind w:left="720"/>
        <w:jc w:val="both"/>
        <w:rPr>
          <w:szCs w:val="22"/>
        </w:rPr>
      </w:pPr>
      <w:r w:rsidRPr="004D1FD2">
        <w:rPr>
          <w:szCs w:val="22"/>
        </w:rPr>
        <w:tab/>
      </w:r>
      <w:r w:rsidRPr="004D1FD2">
        <w:rPr>
          <w:szCs w:val="22"/>
        </w:rPr>
        <w:tab/>
      </w:r>
      <w:r w:rsidRPr="004D1FD2">
        <w:rPr>
          <w:szCs w:val="22"/>
        </w:rPr>
        <w:tab/>
      </w:r>
      <w:r w:rsidRPr="004D1FD2">
        <w:rPr>
          <w:szCs w:val="22"/>
        </w:rPr>
        <w:tab/>
      </w:r>
      <w:r w:rsidRPr="004D1FD2">
        <w:rPr>
          <w:szCs w:val="22"/>
        </w:rPr>
        <w:tab/>
        <w:t>FEDERAL COMMUNICATIONS COMMISSION</w:t>
      </w:r>
    </w:p>
    <w:p w:rsidR="007626AD" w:rsidRPr="004D1FD2" w:rsidRDefault="007626AD" w:rsidP="007626AD">
      <w:pPr>
        <w:pStyle w:val="ListParagraph"/>
        <w:tabs>
          <w:tab w:val="left" w:pos="0"/>
        </w:tabs>
        <w:suppressAutoHyphens/>
        <w:ind w:left="1440"/>
        <w:jc w:val="both"/>
        <w:rPr>
          <w:szCs w:val="22"/>
        </w:rPr>
      </w:pPr>
    </w:p>
    <w:p w:rsidR="007626AD" w:rsidRPr="004D1FD2" w:rsidRDefault="007626AD" w:rsidP="007626AD">
      <w:pPr>
        <w:pStyle w:val="ListParagraph"/>
        <w:tabs>
          <w:tab w:val="left" w:pos="0"/>
        </w:tabs>
        <w:suppressAutoHyphens/>
        <w:ind w:left="1440"/>
        <w:jc w:val="both"/>
        <w:rPr>
          <w:szCs w:val="22"/>
        </w:rPr>
      </w:pPr>
    </w:p>
    <w:p w:rsidR="007626AD" w:rsidRPr="004D1FD2" w:rsidRDefault="007626AD" w:rsidP="007626AD">
      <w:pPr>
        <w:pStyle w:val="ListParagraph"/>
        <w:tabs>
          <w:tab w:val="left" w:pos="0"/>
        </w:tabs>
        <w:suppressAutoHyphens/>
        <w:ind w:left="1440"/>
        <w:jc w:val="both"/>
        <w:rPr>
          <w:szCs w:val="22"/>
        </w:rPr>
      </w:pPr>
    </w:p>
    <w:p w:rsidR="007626AD" w:rsidRPr="004D1FD2" w:rsidRDefault="007626AD" w:rsidP="007626AD">
      <w:pPr>
        <w:pStyle w:val="ListParagraph"/>
        <w:tabs>
          <w:tab w:val="left" w:pos="0"/>
        </w:tabs>
        <w:suppressAutoHyphens/>
        <w:ind w:left="1440"/>
        <w:jc w:val="both"/>
        <w:rPr>
          <w:szCs w:val="22"/>
        </w:rPr>
      </w:pPr>
    </w:p>
    <w:p w:rsidR="007626AD" w:rsidRPr="004D1FD2" w:rsidRDefault="007626AD" w:rsidP="007626AD">
      <w:pPr>
        <w:pStyle w:val="ListParagraph"/>
        <w:tabs>
          <w:tab w:val="left" w:pos="4320"/>
        </w:tabs>
        <w:suppressAutoHyphens/>
        <w:ind w:left="1440"/>
        <w:jc w:val="both"/>
        <w:rPr>
          <w:szCs w:val="22"/>
        </w:rPr>
      </w:pPr>
      <w:r w:rsidRPr="004D1FD2">
        <w:rPr>
          <w:szCs w:val="22"/>
        </w:rPr>
        <w:tab/>
        <w:t xml:space="preserve">Marlene H. Dortch  </w:t>
      </w:r>
    </w:p>
    <w:p w:rsidR="007626AD" w:rsidRPr="004D1FD2" w:rsidRDefault="007626AD" w:rsidP="007626AD">
      <w:pPr>
        <w:pStyle w:val="ParaNum"/>
        <w:widowControl/>
        <w:tabs>
          <w:tab w:val="left" w:pos="0"/>
        </w:tabs>
        <w:snapToGrid w:val="0"/>
        <w:ind w:left="1440"/>
        <w:jc w:val="both"/>
        <w:rPr>
          <w:szCs w:val="22"/>
        </w:rPr>
      </w:pPr>
      <w:r w:rsidRPr="004D1FD2">
        <w:rPr>
          <w:szCs w:val="22"/>
        </w:rPr>
        <w:t xml:space="preserve">                    </w:t>
      </w:r>
      <w:r w:rsidRPr="004D1FD2">
        <w:rPr>
          <w:szCs w:val="22"/>
        </w:rPr>
        <w:tab/>
      </w:r>
      <w:r w:rsidRPr="004D1FD2">
        <w:rPr>
          <w:szCs w:val="22"/>
        </w:rPr>
        <w:tab/>
      </w:r>
      <w:r w:rsidRPr="004D1FD2">
        <w:rPr>
          <w:szCs w:val="22"/>
        </w:rPr>
        <w:tab/>
        <w:t>Secretary</w:t>
      </w:r>
    </w:p>
    <w:sectPr w:rsidR="007626AD" w:rsidRPr="004D1FD2"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0A" w:rsidRDefault="0061180A">
      <w:pPr>
        <w:spacing w:line="20" w:lineRule="exact"/>
      </w:pPr>
    </w:p>
  </w:endnote>
  <w:endnote w:type="continuationSeparator" w:id="0">
    <w:p w:rsidR="0061180A" w:rsidRDefault="0061180A">
      <w:r>
        <w:t xml:space="preserve"> </w:t>
      </w:r>
    </w:p>
  </w:endnote>
  <w:endnote w:type="continuationNotice" w:id="1">
    <w:p w:rsidR="0061180A" w:rsidRDefault="006118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476B">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0A" w:rsidRDefault="0061180A">
      <w:r>
        <w:separator/>
      </w:r>
    </w:p>
  </w:footnote>
  <w:footnote w:type="continuationSeparator" w:id="0">
    <w:p w:rsidR="0061180A" w:rsidRDefault="0061180A" w:rsidP="00C721AC">
      <w:pPr>
        <w:spacing w:before="120"/>
        <w:rPr>
          <w:sz w:val="20"/>
        </w:rPr>
      </w:pPr>
      <w:r>
        <w:rPr>
          <w:sz w:val="20"/>
        </w:rPr>
        <w:t xml:space="preserve">(Continued from previous page)  </w:t>
      </w:r>
      <w:r>
        <w:rPr>
          <w:sz w:val="20"/>
        </w:rPr>
        <w:separator/>
      </w:r>
    </w:p>
  </w:footnote>
  <w:footnote w:type="continuationNotice" w:id="1">
    <w:p w:rsidR="0061180A" w:rsidRDefault="0061180A" w:rsidP="00C721AC">
      <w:pPr>
        <w:jc w:val="right"/>
        <w:rPr>
          <w:sz w:val="20"/>
        </w:rPr>
      </w:pPr>
      <w:r>
        <w:rPr>
          <w:sz w:val="20"/>
        </w:rPr>
        <w:t>(continued….)</w:t>
      </w:r>
    </w:p>
  </w:footnote>
  <w:footnote w:id="2">
    <w:p w:rsidR="007E3B3B" w:rsidRPr="00D50264" w:rsidRDefault="007E3B3B" w:rsidP="007E3B3B">
      <w:pPr>
        <w:pStyle w:val="FootnoteText"/>
      </w:pPr>
      <w:r>
        <w:rPr>
          <w:rStyle w:val="FootnoteReference"/>
        </w:rPr>
        <w:footnoteRef/>
      </w:r>
      <w:r>
        <w:t xml:space="preserve"> File No. BNP-20040130AQP.</w:t>
      </w:r>
    </w:p>
  </w:footnote>
  <w:footnote w:id="3">
    <w:p w:rsidR="007E3B3B" w:rsidRPr="00D50264" w:rsidRDefault="007E3B3B" w:rsidP="007E3B3B">
      <w:pPr>
        <w:pStyle w:val="FootnoteText"/>
      </w:pPr>
      <w:r>
        <w:rPr>
          <w:rStyle w:val="FootnoteReference"/>
        </w:rPr>
        <w:footnoteRef/>
      </w:r>
      <w:r>
        <w:t xml:space="preserve"> 47 U.S.C. § 307(b) (“Section 307(b)”).</w:t>
      </w:r>
    </w:p>
  </w:footnote>
  <w:footnote w:id="4">
    <w:p w:rsidR="007E3B3B" w:rsidRPr="000A0654" w:rsidRDefault="007E3B3B" w:rsidP="007E3B3B">
      <w:pPr>
        <w:pStyle w:val="FootnoteText"/>
      </w:pPr>
      <w:r w:rsidRPr="000A0654">
        <w:rPr>
          <w:rStyle w:val="FootnoteReference"/>
        </w:rPr>
        <w:footnoteRef/>
      </w:r>
      <w:r w:rsidRPr="000A0654">
        <w:t xml:space="preserve"> </w:t>
      </w:r>
      <w:r>
        <w:rPr>
          <w:i/>
        </w:rPr>
        <w:t>Mr. Dave Garey and Harry C. Martin, Esq.</w:t>
      </w:r>
      <w:r w:rsidRPr="000A0654">
        <w:t xml:space="preserve">, </w:t>
      </w:r>
      <w:r>
        <w:t>24 FCC Rcd 13668</w:t>
      </w:r>
      <w:r w:rsidRPr="000A0654">
        <w:t xml:space="preserve"> (MB </w:t>
      </w:r>
      <w:r>
        <w:t>2009</w:t>
      </w:r>
      <w:r w:rsidRPr="000A0654">
        <w:t>)</w:t>
      </w:r>
      <w:r>
        <w:t xml:space="preserve"> (“</w:t>
      </w:r>
      <w:r w:rsidRPr="00B36C22">
        <w:rPr>
          <w:i/>
        </w:rPr>
        <w:t>Staff Decision</w:t>
      </w:r>
      <w:r>
        <w:t xml:space="preserve">”), dismissing Petition for Reconsideration of </w:t>
      </w:r>
      <w:r w:rsidRPr="00A77DB2">
        <w:rPr>
          <w:i/>
        </w:rPr>
        <w:t>Bott Communications, Inc. and Jet Fuel Broadcasting</w:t>
      </w:r>
      <w:r>
        <w:t>, Letter, Ref. No. 1800B3-LAS/JP (MB Oct. 31, 2007) (“</w:t>
      </w:r>
      <w:r w:rsidRPr="00A77DB2">
        <w:rPr>
          <w:i/>
        </w:rPr>
        <w:t>Letter Decision</w:t>
      </w:r>
      <w:r>
        <w:t>”).</w:t>
      </w:r>
    </w:p>
  </w:footnote>
  <w:footnote w:id="5">
    <w:p w:rsidR="007E3B3B" w:rsidRPr="00D50264" w:rsidRDefault="007E3B3B" w:rsidP="007E3B3B">
      <w:pPr>
        <w:pStyle w:val="FootnoteText"/>
      </w:pPr>
      <w:r>
        <w:rPr>
          <w:rStyle w:val="FootnoteReference"/>
        </w:rPr>
        <w:footnoteRef/>
      </w:r>
      <w:r>
        <w:t xml:space="preserve"> File No. BNP-20040130ARV.</w:t>
      </w:r>
    </w:p>
  </w:footnote>
  <w:footnote w:id="6">
    <w:p w:rsidR="007E3B3B" w:rsidRPr="00B36C22" w:rsidRDefault="007E3B3B" w:rsidP="007E3B3B">
      <w:pPr>
        <w:pStyle w:val="FootnoteText"/>
      </w:pPr>
      <w:r>
        <w:rPr>
          <w:rStyle w:val="FootnoteReference"/>
        </w:rPr>
        <w:footnoteRef/>
      </w:r>
      <w:r>
        <w:t xml:space="preserve"> 47 C.F.R. § 1.106(a)(1).</w:t>
      </w:r>
    </w:p>
  </w:footnote>
  <w:footnote w:id="7">
    <w:p w:rsidR="007E3B3B" w:rsidRPr="00DA1014" w:rsidRDefault="007E3B3B" w:rsidP="007E3B3B">
      <w:pPr>
        <w:pStyle w:val="FootnoteText"/>
      </w:pPr>
      <w:r>
        <w:rPr>
          <w:rStyle w:val="FootnoteReference"/>
        </w:rPr>
        <w:footnoteRef/>
      </w:r>
      <w:r>
        <w:t xml:space="preserve"> </w:t>
      </w:r>
      <w:r w:rsidRPr="00DA1014">
        <w:rPr>
          <w:i/>
        </w:rPr>
        <w:t>Cf. Fresno FM Limited Partnership, et al.</w:t>
      </w:r>
      <w:r>
        <w:t>, Memorandum Opinion and Order, 5 FCC Rcd 7261, 7261 (1990) (former 47 C.F.R. § 1.115(e)(1) specifically provided that applications for review of interlocutory Review Board rulings could only be filed as part of an application for review of the Board’s final decision; Memorandum Opinion and Order from which applicant sought review was interlocutory, as it neither terminated applicant’s right to participate in the proceeding nor denied applicant’s application, thus Motion for Leave to File Application for Review was denied, and accompanying Application for Review dismissed).</w:t>
      </w:r>
    </w:p>
  </w:footnote>
  <w:footnote w:id="8">
    <w:p w:rsidR="007E3B3B" w:rsidRPr="006C63D0" w:rsidRDefault="007E3B3B" w:rsidP="007E3B3B">
      <w:pPr>
        <w:pStyle w:val="FootnoteText"/>
      </w:pPr>
      <w:r>
        <w:rPr>
          <w:rStyle w:val="FootnoteReference"/>
        </w:rPr>
        <w:footnoteRef/>
      </w:r>
      <w:r>
        <w:t xml:space="preserve"> </w:t>
      </w:r>
      <w:r w:rsidRPr="006C63D0">
        <w:rPr>
          <w:i/>
        </w:rPr>
        <w:t>Bennett v. Spear</w:t>
      </w:r>
      <w:r>
        <w:t>, 520 U.S. 154, 177-78, 117 S.Ct. 1154, 1168 (1997).</w:t>
      </w:r>
    </w:p>
  </w:footnote>
  <w:footnote w:id="9">
    <w:p w:rsidR="007E3B3B" w:rsidRDefault="007E3B3B" w:rsidP="007E3B3B">
      <w:pPr>
        <w:pStyle w:val="FootnoteText"/>
      </w:pPr>
      <w:r>
        <w:rPr>
          <w:rStyle w:val="FootnoteReference"/>
        </w:rPr>
        <w:footnoteRef/>
      </w:r>
      <w:r>
        <w:t xml:space="preserve"> </w:t>
      </w:r>
      <w:r>
        <w:rPr>
          <w:i/>
        </w:rPr>
        <w:t>Letter</w:t>
      </w:r>
      <w:r w:rsidRPr="00C42577">
        <w:rPr>
          <w:i/>
        </w:rPr>
        <w:t xml:space="preserve"> Decision</w:t>
      </w:r>
      <w:r>
        <w:rPr>
          <w:i/>
        </w:rPr>
        <w:t xml:space="preserve"> supra </w:t>
      </w:r>
      <w:r>
        <w:t>at n. 11.</w:t>
      </w:r>
    </w:p>
  </w:footnote>
  <w:footnote w:id="10">
    <w:p w:rsidR="007E3B3B" w:rsidRPr="006C63D0" w:rsidRDefault="007E3B3B" w:rsidP="007E3B3B">
      <w:pPr>
        <w:pStyle w:val="FootnoteText"/>
      </w:pPr>
      <w:r>
        <w:rPr>
          <w:rStyle w:val="FootnoteReference"/>
        </w:rPr>
        <w:footnoteRef/>
      </w:r>
      <w:r>
        <w:t xml:space="preserve"> </w:t>
      </w:r>
      <w:r w:rsidRPr="00C42577">
        <w:rPr>
          <w:i/>
        </w:rPr>
        <w:t>Staff Decision</w:t>
      </w:r>
      <w:r>
        <w:t>, 24 FCC Rcd at 13670; s</w:t>
      </w:r>
      <w:r w:rsidRPr="006C63D0">
        <w:rPr>
          <w:i/>
        </w:rPr>
        <w:t>ee</w:t>
      </w:r>
      <w:r>
        <w:t xml:space="preserve"> 47 C.F.R. §§ 1.2108, 73.5006.  </w:t>
      </w:r>
    </w:p>
  </w:footnote>
  <w:footnote w:id="11">
    <w:p w:rsidR="007E3B3B" w:rsidRPr="00B35BD8" w:rsidRDefault="007E3B3B" w:rsidP="007E3B3B">
      <w:pPr>
        <w:pStyle w:val="FootnoteText"/>
      </w:pPr>
      <w:r>
        <w:rPr>
          <w:rStyle w:val="FootnoteReference"/>
        </w:rPr>
        <w:footnoteRef/>
      </w:r>
      <w:r>
        <w:t xml:space="preserve"> </w:t>
      </w:r>
      <w:r w:rsidRPr="00B36C22">
        <w:rPr>
          <w:i/>
        </w:rPr>
        <w:t xml:space="preserve">See </w:t>
      </w:r>
      <w:r w:rsidRPr="00787903">
        <w:rPr>
          <w:i/>
        </w:rPr>
        <w:t>Sharon Berlin Ingles, Powell Meredith Communications Company, and TELNS Broadcasting Company, Inc.</w:t>
      </w:r>
      <w:r>
        <w:t xml:space="preserve">, Memorandum Opinion and Order, 23 FCC Rcd 8815 (2008) (dispositive Section 307(b) preference for one of three members of MX group overturned on grant of petitions to deny; all members of group designated for auction).  In fact, Bott’s long-form application was accepted for filing on May 16, 2012.  </w:t>
      </w:r>
      <w:r w:rsidRPr="00385091">
        <w:rPr>
          <w:i/>
        </w:rPr>
        <w:t>See Broadcast Applications</w:t>
      </w:r>
      <w:r>
        <w:t xml:space="preserve">, Public Notice, Report No. 27739, at 32 (MB May 16, 2012).  However, despite the Bureau’s notation of JFB’s opportunity to file a petition to deny Bott’s FCC Form 301 application upon acceptance for filing (consistent with statements in other contemporaneous Bureau actions; </w:t>
      </w:r>
      <w:r w:rsidRPr="00385091">
        <w:rPr>
          <w:i/>
        </w:rPr>
        <w:t>see</w:t>
      </w:r>
      <w:r>
        <w:t xml:space="preserve">, </w:t>
      </w:r>
      <w:r w:rsidRPr="00385091">
        <w:rPr>
          <w:i/>
        </w:rPr>
        <w:t>e.g</w:t>
      </w:r>
      <w:r>
        <w:t xml:space="preserve">., </w:t>
      </w:r>
      <w:r w:rsidRPr="00385091">
        <w:rPr>
          <w:i/>
        </w:rPr>
        <w:t>George M. Arroyo and Dennis J. Kelly, Esq.</w:t>
      </w:r>
      <w:r>
        <w:t>, Letter, 24 FCC Rcd 11010, 11012-13 (MB 2009)), JFB failed to so file.</w:t>
      </w:r>
    </w:p>
  </w:footnote>
  <w:footnote w:id="12">
    <w:p w:rsidR="007E3B3B" w:rsidRPr="00894A3E" w:rsidRDefault="007E3B3B" w:rsidP="007E3B3B">
      <w:pPr>
        <w:pStyle w:val="FootnoteText"/>
      </w:pPr>
      <w:r>
        <w:rPr>
          <w:rStyle w:val="FootnoteReference"/>
        </w:rPr>
        <w:footnoteRef/>
      </w:r>
      <w:r>
        <w:t xml:space="preserve"> Although JFB, in its Application for Review, makes several arguments regarding the merits of the staff’s Section 307(b) decision, we decline to entertain those arguments here, as our review is limited to the Bureau’s dismissal of the Petition for Reconsideration as interlocutory.</w:t>
      </w:r>
    </w:p>
  </w:footnote>
  <w:footnote w:id="13">
    <w:p w:rsidR="005E7CBF" w:rsidRPr="000A0654" w:rsidRDefault="005E7CBF" w:rsidP="005E7CBF">
      <w:pPr>
        <w:pStyle w:val="FootnoteText"/>
      </w:pPr>
      <w:r w:rsidRPr="000A0654">
        <w:rPr>
          <w:rStyle w:val="FootnoteReference"/>
        </w:rPr>
        <w:footnoteRef/>
      </w:r>
      <w:r w:rsidRPr="000A0654">
        <w:t xml:space="preserve"> 47 U.S.C. § 155(c)(5).</w:t>
      </w:r>
    </w:p>
  </w:footnote>
  <w:footnote w:id="14">
    <w:p w:rsidR="005E7CBF" w:rsidRPr="000A0654" w:rsidRDefault="005E7CBF" w:rsidP="005E7CBF">
      <w:pPr>
        <w:pStyle w:val="FootnoteText"/>
      </w:pPr>
      <w:r w:rsidRPr="000A0654">
        <w:rPr>
          <w:rStyle w:val="FootnoteReference"/>
        </w:rPr>
        <w:footnoteRef/>
      </w:r>
      <w:r w:rsidRPr="000A0654">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75" w:rsidRDefault="00687C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D1FD2">
      <w:t>FCC 14-</w:t>
    </w:r>
    <w:r w:rsidR="002B3F25">
      <w:t>15</w:t>
    </w:r>
  </w:p>
  <w:p w:rsidR="00D25FB5" w:rsidRDefault="001D535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506C0040" wp14:editId="5A526A3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D5354"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14-</w:t>
    </w:r>
    <w:r w:rsidR="002B3F25">
      <w:rPr>
        <w:spacing w:val="-2"/>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lvlText w:val="%1."/>
      <w:lvlJc w:val="left"/>
      <w:pPr>
        <w:tabs>
          <w:tab w:val="num" w:pos="1080"/>
        </w:tabs>
        <w:ind w:left="0" w:firstLine="720"/>
      </w:pPr>
    </w:lvl>
  </w:abstractNum>
  <w:abstractNum w:abstractNumId="6">
    <w:nsid w:val="6B09008C"/>
    <w:multiLevelType w:val="hybridMultilevel"/>
    <w:tmpl w:val="4D566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C0B65"/>
    <w:rsid w:val="000E05FE"/>
    <w:rsid w:val="000E3D42"/>
    <w:rsid w:val="00122BD5"/>
    <w:rsid w:val="00133F79"/>
    <w:rsid w:val="001715E8"/>
    <w:rsid w:val="00194A66"/>
    <w:rsid w:val="001D05F2"/>
    <w:rsid w:val="001D5354"/>
    <w:rsid w:val="001D6BCF"/>
    <w:rsid w:val="001E01CA"/>
    <w:rsid w:val="00275CF5"/>
    <w:rsid w:val="0028301F"/>
    <w:rsid w:val="00285017"/>
    <w:rsid w:val="002A2D2E"/>
    <w:rsid w:val="002B3F25"/>
    <w:rsid w:val="002C00E8"/>
    <w:rsid w:val="002C1DC9"/>
    <w:rsid w:val="00343749"/>
    <w:rsid w:val="003660ED"/>
    <w:rsid w:val="003B0550"/>
    <w:rsid w:val="003B694F"/>
    <w:rsid w:val="003B7BEE"/>
    <w:rsid w:val="003C0E6B"/>
    <w:rsid w:val="003F171C"/>
    <w:rsid w:val="0040747C"/>
    <w:rsid w:val="00412FC5"/>
    <w:rsid w:val="00422276"/>
    <w:rsid w:val="004242F1"/>
    <w:rsid w:val="00445A00"/>
    <w:rsid w:val="00446EAC"/>
    <w:rsid w:val="00451B0F"/>
    <w:rsid w:val="004C2EE3"/>
    <w:rsid w:val="004D1FD2"/>
    <w:rsid w:val="004E4A22"/>
    <w:rsid w:val="00511968"/>
    <w:rsid w:val="0055614C"/>
    <w:rsid w:val="005A2C4E"/>
    <w:rsid w:val="005E14C2"/>
    <w:rsid w:val="005E7CBF"/>
    <w:rsid w:val="00607BA5"/>
    <w:rsid w:val="0061180A"/>
    <w:rsid w:val="00626EB6"/>
    <w:rsid w:val="00655D03"/>
    <w:rsid w:val="00683388"/>
    <w:rsid w:val="00683F84"/>
    <w:rsid w:val="00687C75"/>
    <w:rsid w:val="006A476B"/>
    <w:rsid w:val="006A6A81"/>
    <w:rsid w:val="006E3AA5"/>
    <w:rsid w:val="006F36C5"/>
    <w:rsid w:val="006F7393"/>
    <w:rsid w:val="0070224F"/>
    <w:rsid w:val="007115F7"/>
    <w:rsid w:val="007626AD"/>
    <w:rsid w:val="00785689"/>
    <w:rsid w:val="0079754B"/>
    <w:rsid w:val="007A1E6D"/>
    <w:rsid w:val="007B0EB2"/>
    <w:rsid w:val="007E3B3B"/>
    <w:rsid w:val="00810B6F"/>
    <w:rsid w:val="00822CE0"/>
    <w:rsid w:val="00841AB1"/>
    <w:rsid w:val="008C68F1"/>
    <w:rsid w:val="00921803"/>
    <w:rsid w:val="00926503"/>
    <w:rsid w:val="009726D8"/>
    <w:rsid w:val="009E3E54"/>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7417C"/>
    <w:rsid w:val="00F93BF5"/>
    <w:rsid w:val="00FD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link w:val="FootnoteTextChar"/>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rsid w:val="001715E8"/>
  </w:style>
  <w:style w:type="character" w:customStyle="1" w:styleId="ParaNumChar">
    <w:name w:val="ParaNum Char"/>
    <w:link w:val="ParaNum"/>
    <w:locked/>
    <w:rsid w:val="001715E8"/>
    <w:rPr>
      <w:snapToGrid w:val="0"/>
      <w:kern w:val="28"/>
      <w:sz w:val="22"/>
    </w:rPr>
  </w:style>
  <w:style w:type="character" w:customStyle="1" w:styleId="documentbody1">
    <w:name w:val="documentbody1"/>
    <w:basedOn w:val="DefaultParagraphFont"/>
    <w:rsid w:val="001715E8"/>
    <w:rPr>
      <w:rFonts w:ascii="Verdana" w:hAnsi="Verdana" w:hint="default"/>
      <w:sz w:val="19"/>
      <w:szCs w:val="19"/>
      <w:shd w:val="clear" w:color="auto" w:fill="FFFFFF"/>
    </w:rPr>
  </w:style>
  <w:style w:type="character" w:customStyle="1" w:styleId="Heading1Char">
    <w:name w:val="Heading 1 Char"/>
    <w:basedOn w:val="DefaultParagraphFont"/>
    <w:link w:val="Heading1"/>
    <w:rsid w:val="007626AD"/>
    <w:rPr>
      <w:rFonts w:ascii="Times New Roman Bold" w:hAnsi="Times New Roman Bold"/>
      <w:b/>
      <w:caps/>
      <w:snapToGrid w:val="0"/>
      <w:kern w:val="28"/>
      <w:sz w:val="22"/>
    </w:rPr>
  </w:style>
  <w:style w:type="paragraph" w:styleId="ListParagraph">
    <w:name w:val="List Paragraph"/>
    <w:basedOn w:val="Normal"/>
    <w:uiPriority w:val="34"/>
    <w:qFormat/>
    <w:rsid w:val="00762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link w:val="FootnoteTextChar"/>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rsid w:val="001715E8"/>
  </w:style>
  <w:style w:type="character" w:customStyle="1" w:styleId="ParaNumChar">
    <w:name w:val="ParaNum Char"/>
    <w:link w:val="ParaNum"/>
    <w:locked/>
    <w:rsid w:val="001715E8"/>
    <w:rPr>
      <w:snapToGrid w:val="0"/>
      <w:kern w:val="28"/>
      <w:sz w:val="22"/>
    </w:rPr>
  </w:style>
  <w:style w:type="character" w:customStyle="1" w:styleId="documentbody1">
    <w:name w:val="documentbody1"/>
    <w:basedOn w:val="DefaultParagraphFont"/>
    <w:rsid w:val="001715E8"/>
    <w:rPr>
      <w:rFonts w:ascii="Verdana" w:hAnsi="Verdana" w:hint="default"/>
      <w:sz w:val="19"/>
      <w:szCs w:val="19"/>
      <w:shd w:val="clear" w:color="auto" w:fill="FFFFFF"/>
    </w:rPr>
  </w:style>
  <w:style w:type="character" w:customStyle="1" w:styleId="Heading1Char">
    <w:name w:val="Heading 1 Char"/>
    <w:basedOn w:val="DefaultParagraphFont"/>
    <w:link w:val="Heading1"/>
    <w:rsid w:val="007626AD"/>
    <w:rPr>
      <w:rFonts w:ascii="Times New Roman Bold" w:hAnsi="Times New Roman Bold"/>
      <w:b/>
      <w:caps/>
      <w:snapToGrid w:val="0"/>
      <w:kern w:val="28"/>
      <w:sz w:val="22"/>
    </w:rPr>
  </w:style>
  <w:style w:type="paragraph" w:styleId="ListParagraph">
    <w:name w:val="List Paragraph"/>
    <w:basedOn w:val="Normal"/>
    <w:uiPriority w:val="34"/>
    <w:qFormat/>
    <w:rsid w:val="0076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3146</Characters>
  <Application>Microsoft Office Word</Application>
  <DocSecurity>0</DocSecurity>
  <Lines>91</Lines>
  <Paragraphs>39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3733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2014-02-20T16:01:00Z</cp:lastPrinted>
  <dcterms:created xsi:type="dcterms:W3CDTF">2014-02-20T18:30:00Z</dcterms:created>
  <dcterms:modified xsi:type="dcterms:W3CDTF">2014-02-20T18:30:00Z</dcterms:modified>
  <cp:category> </cp:category>
  <cp:contentStatus> </cp:contentStatus>
</cp:coreProperties>
</file>