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6C44CA" w:rsidRPr="0026364D" w:rsidRDefault="006C44CA" w:rsidP="006C44CA">
            <w:pPr>
              <w:tabs>
                <w:tab w:val="center" w:pos="4680"/>
              </w:tabs>
              <w:suppressAutoHyphens/>
              <w:rPr>
                <w:spacing w:val="-2"/>
              </w:rPr>
            </w:pPr>
            <w:r w:rsidRPr="0026364D">
              <w:rPr>
                <w:spacing w:val="-2"/>
              </w:rPr>
              <w:t>MSG Radio, Inc., Assignor</w:t>
            </w:r>
          </w:p>
          <w:p w:rsidR="006C44CA" w:rsidRPr="0026364D" w:rsidRDefault="006C44CA" w:rsidP="006C44CA">
            <w:pPr>
              <w:tabs>
                <w:tab w:val="center" w:pos="4680"/>
              </w:tabs>
              <w:suppressAutoHyphens/>
              <w:rPr>
                <w:spacing w:val="-2"/>
              </w:rPr>
            </w:pPr>
          </w:p>
          <w:p w:rsidR="006C44CA" w:rsidRPr="0026364D" w:rsidRDefault="006C44CA" w:rsidP="006C44CA">
            <w:pPr>
              <w:tabs>
                <w:tab w:val="center" w:pos="4680"/>
              </w:tabs>
              <w:suppressAutoHyphens/>
              <w:rPr>
                <w:spacing w:val="-2"/>
              </w:rPr>
            </w:pPr>
            <w:r w:rsidRPr="0026364D">
              <w:rPr>
                <w:spacing w:val="-2"/>
              </w:rPr>
              <w:t>and</w:t>
            </w:r>
          </w:p>
          <w:p w:rsidR="006C44CA" w:rsidRPr="0026364D" w:rsidRDefault="006C44CA" w:rsidP="006C44CA">
            <w:pPr>
              <w:tabs>
                <w:tab w:val="center" w:pos="4680"/>
              </w:tabs>
              <w:suppressAutoHyphens/>
              <w:rPr>
                <w:spacing w:val="-2"/>
              </w:rPr>
            </w:pPr>
          </w:p>
          <w:p w:rsidR="006C44CA" w:rsidRPr="0026364D" w:rsidRDefault="006C44CA" w:rsidP="006C44CA">
            <w:pPr>
              <w:tabs>
                <w:tab w:val="center" w:pos="4680"/>
              </w:tabs>
              <w:suppressAutoHyphens/>
              <w:rPr>
                <w:spacing w:val="-2"/>
              </w:rPr>
            </w:pPr>
            <w:r w:rsidRPr="0026364D">
              <w:rPr>
                <w:spacing w:val="-2"/>
              </w:rPr>
              <w:t>WIAC FM, Inc., Assignee</w:t>
            </w:r>
          </w:p>
          <w:p w:rsidR="006C44CA" w:rsidRPr="007C52AC" w:rsidRDefault="006C44CA" w:rsidP="006C44CA">
            <w:pPr>
              <w:tabs>
                <w:tab w:val="center" w:pos="4680"/>
              </w:tabs>
              <w:suppressAutoHyphens/>
              <w:rPr>
                <w:spacing w:val="-2"/>
              </w:rPr>
            </w:pPr>
          </w:p>
          <w:p w:rsidR="006C44CA" w:rsidRPr="007C52AC" w:rsidRDefault="006C44CA" w:rsidP="006C44CA">
            <w:pPr>
              <w:tabs>
                <w:tab w:val="center" w:pos="4680"/>
              </w:tabs>
              <w:suppressAutoHyphens/>
              <w:rPr>
                <w:spacing w:val="-2"/>
              </w:rPr>
            </w:pPr>
            <w:r w:rsidRPr="007C52AC">
              <w:rPr>
                <w:spacing w:val="-2"/>
              </w:rPr>
              <w:t xml:space="preserve">Application for Assignment of License for: </w:t>
            </w:r>
          </w:p>
          <w:p w:rsidR="006C44CA" w:rsidRPr="007C52AC" w:rsidRDefault="006C44CA" w:rsidP="006C44CA">
            <w:pPr>
              <w:tabs>
                <w:tab w:val="center" w:pos="4680"/>
              </w:tabs>
              <w:suppressAutoHyphens/>
              <w:rPr>
                <w:spacing w:val="-2"/>
              </w:rPr>
            </w:pPr>
          </w:p>
          <w:p w:rsidR="006C44CA" w:rsidRDefault="006C44CA" w:rsidP="006C44CA">
            <w:pPr>
              <w:tabs>
                <w:tab w:val="center" w:pos="4680"/>
              </w:tabs>
              <w:suppressAutoHyphens/>
              <w:rPr>
                <w:spacing w:val="-2"/>
              </w:rPr>
            </w:pPr>
            <w:r>
              <w:rPr>
                <w:spacing w:val="-2"/>
              </w:rPr>
              <w:t>WTOK-FM</w:t>
            </w:r>
            <w:r w:rsidRPr="007C52AC">
              <w:rPr>
                <w:spacing w:val="-2"/>
              </w:rPr>
              <w:t xml:space="preserve">, </w:t>
            </w:r>
            <w:r>
              <w:rPr>
                <w:spacing w:val="-2"/>
              </w:rPr>
              <w:t>San Juan, Puerto Rico</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6C44CA" w:rsidRDefault="006C44CA">
            <w:pPr>
              <w:tabs>
                <w:tab w:val="center" w:pos="4680"/>
              </w:tabs>
              <w:suppressAutoHyphens/>
              <w:rPr>
                <w:b/>
                <w:spacing w:val="-2"/>
              </w:rPr>
            </w:pPr>
            <w:r>
              <w:rPr>
                <w:b/>
                <w:spacing w:val="-2"/>
              </w:rPr>
              <w:t>)</w:t>
            </w:r>
          </w:p>
          <w:p w:rsidR="006C44CA" w:rsidRDefault="006C44CA">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9F10BC" w:rsidRDefault="009F10BC" w:rsidP="006C44CA">
            <w:pPr>
              <w:tabs>
                <w:tab w:val="center" w:pos="4680"/>
              </w:tabs>
              <w:suppressAutoHyphens/>
              <w:rPr>
                <w:spacing w:val="-2"/>
              </w:rPr>
            </w:pPr>
          </w:p>
          <w:p w:rsidR="009F10BC" w:rsidRDefault="009F10BC" w:rsidP="006C44CA">
            <w:pPr>
              <w:tabs>
                <w:tab w:val="center" w:pos="4680"/>
              </w:tabs>
              <w:suppressAutoHyphens/>
              <w:rPr>
                <w:spacing w:val="-2"/>
              </w:rPr>
            </w:pPr>
          </w:p>
          <w:p w:rsidR="009F10BC" w:rsidRDefault="009F10BC" w:rsidP="006C44CA">
            <w:pPr>
              <w:tabs>
                <w:tab w:val="center" w:pos="4680"/>
              </w:tabs>
              <w:suppressAutoHyphens/>
              <w:rPr>
                <w:spacing w:val="-2"/>
              </w:rPr>
            </w:pPr>
          </w:p>
          <w:p w:rsidR="009F10BC" w:rsidRDefault="009F10BC" w:rsidP="006C44CA">
            <w:pPr>
              <w:tabs>
                <w:tab w:val="center" w:pos="4680"/>
              </w:tabs>
              <w:suppressAutoHyphens/>
              <w:rPr>
                <w:spacing w:val="-2"/>
              </w:rPr>
            </w:pPr>
          </w:p>
          <w:p w:rsidR="009F10BC" w:rsidRDefault="009F10BC" w:rsidP="006C44CA">
            <w:pPr>
              <w:tabs>
                <w:tab w:val="center" w:pos="4680"/>
              </w:tabs>
              <w:suppressAutoHyphens/>
              <w:rPr>
                <w:spacing w:val="-2"/>
              </w:rPr>
            </w:pPr>
          </w:p>
          <w:p w:rsidR="009F10BC" w:rsidRDefault="009F10BC" w:rsidP="006C44CA">
            <w:pPr>
              <w:tabs>
                <w:tab w:val="center" w:pos="4680"/>
              </w:tabs>
              <w:suppressAutoHyphens/>
              <w:rPr>
                <w:spacing w:val="-2"/>
              </w:rPr>
            </w:pPr>
          </w:p>
          <w:p w:rsidR="006C44CA" w:rsidRPr="007C52AC" w:rsidRDefault="006C44CA" w:rsidP="006C44CA">
            <w:pPr>
              <w:tabs>
                <w:tab w:val="center" w:pos="4680"/>
              </w:tabs>
              <w:suppressAutoHyphens/>
              <w:rPr>
                <w:spacing w:val="-2"/>
              </w:rPr>
            </w:pPr>
            <w:r w:rsidRPr="007C52AC">
              <w:rPr>
                <w:spacing w:val="-2"/>
              </w:rPr>
              <w:t>File No. BALH-</w:t>
            </w:r>
            <w:r>
              <w:rPr>
                <w:spacing w:val="-2"/>
              </w:rPr>
              <w:t>20090206ACE</w:t>
            </w:r>
          </w:p>
          <w:p w:rsidR="006C44CA" w:rsidRDefault="006C44CA" w:rsidP="006C44CA">
            <w:pPr>
              <w:tabs>
                <w:tab w:val="center" w:pos="4680"/>
              </w:tabs>
              <w:suppressAutoHyphens/>
              <w:rPr>
                <w:spacing w:val="-2"/>
              </w:rPr>
            </w:pPr>
            <w:r>
              <w:rPr>
                <w:spacing w:val="-2"/>
              </w:rPr>
              <w:t>Facility ID No. 4936</w:t>
            </w:r>
          </w:p>
          <w:p w:rsidR="004C2EE3" w:rsidRDefault="004C2EE3">
            <w:pPr>
              <w:tabs>
                <w:tab w:val="center" w:pos="4680"/>
              </w:tabs>
              <w:suppressAutoHyphens/>
              <w:rPr>
                <w:spacing w:val="-2"/>
              </w:rPr>
            </w:pPr>
          </w:p>
        </w:tc>
      </w:tr>
    </w:tbl>
    <w:p w:rsidR="006C44CA" w:rsidRDefault="006C44CA" w:rsidP="006C44CA">
      <w:pPr>
        <w:pStyle w:val="StyleBoldCentered"/>
      </w:pPr>
      <w:r>
        <w:t>Memorandum Opinion and order</w:t>
      </w:r>
    </w:p>
    <w:p w:rsidR="00841AB1" w:rsidRDefault="00841AB1" w:rsidP="00F021FA">
      <w:pPr>
        <w:pStyle w:val="StyleBoldCentered"/>
      </w:pP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6364D">
        <w:rPr>
          <w:b/>
          <w:spacing w:val="-2"/>
        </w:rPr>
        <w:t>October 14</w:t>
      </w:r>
      <w:r w:rsidR="003414A6">
        <w:rPr>
          <w:b/>
          <w:spacing w:val="-2"/>
        </w:rPr>
        <w:t>, 2014</w:t>
      </w:r>
      <w:r w:rsidR="003414A6">
        <w:rPr>
          <w:b/>
          <w:spacing w:val="-2"/>
        </w:rPr>
        <w:tab/>
        <w:t>Released: October 15, 2014</w:t>
      </w:r>
    </w:p>
    <w:p w:rsidR="00822CE0" w:rsidRDefault="00822CE0"/>
    <w:p w:rsidR="004C2EE3" w:rsidRDefault="004C2EE3">
      <w:pPr>
        <w:rPr>
          <w:spacing w:val="-2"/>
        </w:rPr>
      </w:pPr>
      <w:r>
        <w:t xml:space="preserve">By </w:t>
      </w:r>
      <w:r w:rsidR="004E4A22">
        <w:t>the</w:t>
      </w:r>
      <w:r w:rsidR="002A2D2E">
        <w:t xml:space="preserve"> </w:t>
      </w:r>
      <w:r w:rsidR="006C44CA">
        <w:t>Commission</w:t>
      </w:r>
      <w:r>
        <w:rPr>
          <w:spacing w:val="-2"/>
        </w:rPr>
        <w:t>:</w:t>
      </w:r>
    </w:p>
    <w:p w:rsidR="00412FC5" w:rsidRDefault="00412FC5" w:rsidP="00412FC5"/>
    <w:p w:rsidR="002C00E8" w:rsidRDefault="006C44CA" w:rsidP="006C44CA">
      <w:pPr>
        <w:pStyle w:val="ParaNum"/>
      </w:pPr>
      <w:r>
        <w:t xml:space="preserve">In this Memorandum Opinion and Order, we deny the Application for Review filed by RAAD Broadcasting Corporation (“RAAD”) on April 17, 2013.  RAAD seeks review of a </w:t>
      </w:r>
      <w:r w:rsidR="00FC4844">
        <w:t>March 19, 2013</w:t>
      </w:r>
      <w:r w:rsidR="00553362">
        <w:t>, action by the Media Bureau</w:t>
      </w:r>
      <w:r w:rsidR="00862D44">
        <w:t xml:space="preserve"> (“Bureau”)</w:t>
      </w:r>
      <w:r w:rsidR="00553362">
        <w:t>,</w:t>
      </w:r>
      <w:r w:rsidR="00553362">
        <w:rPr>
          <w:rStyle w:val="FootnoteReference"/>
        </w:rPr>
        <w:footnoteReference w:id="2"/>
      </w:r>
      <w:r w:rsidR="00553362">
        <w:t xml:space="preserve"> which denied RAAD’s Petition </w:t>
      </w:r>
      <w:r w:rsidR="00290A6E">
        <w:t xml:space="preserve">for Reconsideration of a </w:t>
      </w:r>
      <w:r w:rsidR="00FC4844">
        <w:t>June 20</w:t>
      </w:r>
      <w:r w:rsidR="00553362">
        <w:t xml:space="preserve">, 2012, </w:t>
      </w:r>
      <w:r w:rsidR="00CA5CA9">
        <w:t xml:space="preserve">Bureau </w:t>
      </w:r>
      <w:r w:rsidR="00553362">
        <w:t>letter decision granting the above-captioned application (“Application”) of MSG Radio, Inc.</w:t>
      </w:r>
      <w:r w:rsidR="004E356B">
        <w:t xml:space="preserve"> (“MSG”) </w:t>
      </w:r>
      <w:r w:rsidR="00290A6E">
        <w:t>to assign Station WTOK-FM, San Juan, Puerto Rico, to WIAC FM, Inc. (“WFI</w:t>
      </w:r>
      <w:r w:rsidR="00553362">
        <w:t>”).</w:t>
      </w:r>
      <w:r w:rsidR="00553362">
        <w:rPr>
          <w:rStyle w:val="FootnoteReference"/>
        </w:rPr>
        <w:footnoteReference w:id="3"/>
      </w:r>
      <w:r w:rsidR="00553362">
        <w:t xml:space="preserve">  </w:t>
      </w:r>
      <w:r w:rsidR="00530113">
        <w:t>The Application included a</w:t>
      </w:r>
      <w:r w:rsidR="00725446">
        <w:t xml:space="preserve"> waiver</w:t>
      </w:r>
      <w:r w:rsidR="00530113">
        <w:t xml:space="preserve"> request </w:t>
      </w:r>
      <w:r w:rsidR="00725446">
        <w:t xml:space="preserve">to </w:t>
      </w:r>
      <w:r w:rsidR="0096003A">
        <w:t xml:space="preserve">permit </w:t>
      </w:r>
      <w:r w:rsidR="00290A6E">
        <w:t>WFI</w:t>
      </w:r>
      <w:r w:rsidR="0096003A">
        <w:t xml:space="preserve"> to demonstrate compliance </w:t>
      </w:r>
      <w:r w:rsidR="00AA5791">
        <w:t xml:space="preserve">with </w:t>
      </w:r>
      <w:r w:rsidR="00725446">
        <w:t>Section 73.355</w:t>
      </w:r>
      <w:r w:rsidR="0096003A">
        <w:t xml:space="preserve">5(a) of the Commission’s rules using the contour-overlap methodology </w:t>
      </w:r>
      <w:r w:rsidR="00725446">
        <w:t xml:space="preserve">rather than the </w:t>
      </w:r>
      <w:r w:rsidR="0096003A">
        <w:t xml:space="preserve">standard </w:t>
      </w:r>
      <w:r w:rsidR="00725446">
        <w:t xml:space="preserve">Arbitron Metro-based methodology </w:t>
      </w:r>
      <w:r w:rsidR="00921FBD">
        <w:t>(“Waiver Request”)</w:t>
      </w:r>
      <w:r w:rsidR="00725446">
        <w:t>.</w:t>
      </w:r>
      <w:r w:rsidR="00725446">
        <w:rPr>
          <w:rStyle w:val="FootnoteReference"/>
        </w:rPr>
        <w:footnoteReference w:id="4"/>
      </w:r>
      <w:r w:rsidR="00725446">
        <w:t xml:space="preserve">  </w:t>
      </w:r>
    </w:p>
    <w:p w:rsidR="00EE785C" w:rsidRDefault="00EE785C" w:rsidP="00526F93">
      <w:pPr>
        <w:pStyle w:val="ParaNum"/>
      </w:pPr>
      <w:r>
        <w:t xml:space="preserve">RAAD’s arguments in the Application for Review are the same as those raised below.  </w:t>
      </w:r>
      <w:r w:rsidR="00530113">
        <w:t xml:space="preserve">Specifically, RAAD claims that the </w:t>
      </w:r>
      <w:r w:rsidR="00FC4844">
        <w:t xml:space="preserve">Bureau’s </w:t>
      </w:r>
      <w:r w:rsidR="00290A6E">
        <w:t>grant of the Waiver Request wa</w:t>
      </w:r>
      <w:r w:rsidR="00921FBD">
        <w:t xml:space="preserve">s: (1) </w:t>
      </w:r>
      <w:r w:rsidR="009152AC">
        <w:t xml:space="preserve">outside the scope of Bureau’s delegated authority; </w:t>
      </w:r>
      <w:r w:rsidR="00921FBD">
        <w:t xml:space="preserve">(2) </w:t>
      </w:r>
      <w:r w:rsidR="00EE5FD3">
        <w:t>anti-competitive and disassociated</w:t>
      </w:r>
      <w:r w:rsidR="009152AC">
        <w:t xml:space="preserve"> from market realities in Puerto Rico; </w:t>
      </w:r>
      <w:r w:rsidR="00921FBD">
        <w:t xml:space="preserve">(3) </w:t>
      </w:r>
      <w:r w:rsidR="009152AC">
        <w:t xml:space="preserve">contrary to the Arbitron Metro-based methodology established in the </w:t>
      </w:r>
      <w:r w:rsidR="009152AC" w:rsidRPr="00526F93">
        <w:rPr>
          <w:i/>
        </w:rPr>
        <w:t>Ownership Order</w:t>
      </w:r>
      <w:r w:rsidR="009152AC">
        <w:t>; and (4) inconsistent with a</w:t>
      </w:r>
      <w:r w:rsidR="00921FBD">
        <w:t xml:space="preserve"> similar wa</w:t>
      </w:r>
      <w:r w:rsidR="003B792F">
        <w:t>iver grant for Station WMIO(FM), Cabo Rojo, Puerto Rico</w:t>
      </w:r>
      <w:r w:rsidR="00921FBD">
        <w:t>.</w:t>
      </w:r>
      <w:r w:rsidR="003B792F">
        <w:rPr>
          <w:rStyle w:val="FootnoteReference"/>
        </w:rPr>
        <w:footnoteReference w:id="5"/>
      </w:r>
      <w:r w:rsidR="00921FBD">
        <w:t xml:space="preserve">  RAAD also </w:t>
      </w:r>
      <w:r w:rsidR="00921FBD">
        <w:lastRenderedPageBreak/>
        <w:t xml:space="preserve">argues that Station WTOK-FM is under the unauthorized control of </w:t>
      </w:r>
      <w:r w:rsidR="003B792F">
        <w:t>“the Soto family.”</w:t>
      </w:r>
      <w:r w:rsidR="003B792F">
        <w:rPr>
          <w:rStyle w:val="FootnoteReference"/>
        </w:rPr>
        <w:footnoteReference w:id="6"/>
      </w:r>
      <w:r w:rsidR="003B792F">
        <w:t xml:space="preserve">  </w:t>
      </w:r>
      <w:r w:rsidRPr="00921FBD">
        <w:t>In</w:t>
      </w:r>
      <w:r>
        <w:t xml:space="preserve"> both the </w:t>
      </w:r>
      <w:r w:rsidR="00675D5F" w:rsidRPr="00526F93">
        <w:rPr>
          <w:i/>
        </w:rPr>
        <w:t>Staff Decision</w:t>
      </w:r>
      <w:r w:rsidRPr="00526F93">
        <w:rPr>
          <w:i/>
        </w:rPr>
        <w:t xml:space="preserve"> </w:t>
      </w:r>
      <w:r>
        <w:t xml:space="preserve">and </w:t>
      </w:r>
      <w:r w:rsidRPr="00526F93">
        <w:rPr>
          <w:i/>
        </w:rPr>
        <w:t>Reconsideration Decision</w:t>
      </w:r>
      <w:r>
        <w:t xml:space="preserve">, the Bureau thoroughly addressed </w:t>
      </w:r>
      <w:r w:rsidR="00921FBD">
        <w:t xml:space="preserve">and rejected </w:t>
      </w:r>
      <w:r w:rsidR="00530113">
        <w:t xml:space="preserve">each of </w:t>
      </w:r>
      <w:r w:rsidR="00921FBD">
        <w:t>these</w:t>
      </w:r>
      <w:r>
        <w:t xml:space="preserve"> contentions</w:t>
      </w:r>
      <w:r w:rsidR="0090606C">
        <w:t>.</w:t>
      </w:r>
      <w:r w:rsidR="00D33498">
        <w:rPr>
          <w:rStyle w:val="FootnoteReference"/>
        </w:rPr>
        <w:footnoteReference w:id="7"/>
      </w:r>
      <w:r w:rsidR="00D33498">
        <w:t xml:space="preserve">  </w:t>
      </w:r>
      <w:r w:rsidR="009152AC">
        <w:t xml:space="preserve">We </w:t>
      </w:r>
      <w:r w:rsidR="00073152">
        <w:t xml:space="preserve">agree with the Bureau’s analysis and conclusions.  We also </w:t>
      </w:r>
      <w:r w:rsidR="00782B2F">
        <w:t xml:space="preserve">note that </w:t>
      </w:r>
      <w:r w:rsidR="00AE73CA">
        <w:t xml:space="preserve">on March 31, 2014, </w:t>
      </w:r>
      <w:r w:rsidR="00782B2F">
        <w:t xml:space="preserve">the Commission </w:t>
      </w:r>
      <w:r w:rsidR="00AE73CA">
        <w:t>adopted</w:t>
      </w:r>
      <w:r w:rsidR="009152AC">
        <w:t xml:space="preserve"> the </w:t>
      </w:r>
      <w:r w:rsidR="00CA5CA9">
        <w:t xml:space="preserve">Further Notice of Proposed Rulemaking in the </w:t>
      </w:r>
      <w:r w:rsidR="009152AC" w:rsidRPr="00526F93">
        <w:rPr>
          <w:i/>
        </w:rPr>
        <w:t xml:space="preserve">2014 Quadrennial Regulatory </w:t>
      </w:r>
      <w:r w:rsidR="009152AC" w:rsidRPr="00526F93">
        <w:rPr>
          <w:i/>
          <w:szCs w:val="22"/>
        </w:rPr>
        <w:t>Review</w:t>
      </w:r>
      <w:r w:rsidR="00AE73CA">
        <w:rPr>
          <w:szCs w:val="22"/>
        </w:rPr>
        <w:t xml:space="preserve">, which sought </w:t>
      </w:r>
      <w:r w:rsidR="00526F93">
        <w:rPr>
          <w:szCs w:val="22"/>
        </w:rPr>
        <w:t>comment</w:t>
      </w:r>
      <w:r w:rsidR="00782B2F">
        <w:rPr>
          <w:szCs w:val="22"/>
        </w:rPr>
        <w:t xml:space="preserve"> on</w:t>
      </w:r>
      <w:r w:rsidR="00073152">
        <w:rPr>
          <w:szCs w:val="22"/>
        </w:rPr>
        <w:t xml:space="preserve">, </w:t>
      </w:r>
      <w:r w:rsidR="00073152">
        <w:rPr>
          <w:i/>
          <w:szCs w:val="22"/>
        </w:rPr>
        <w:t>inter alia</w:t>
      </w:r>
      <w:r w:rsidR="00073152">
        <w:rPr>
          <w:szCs w:val="22"/>
        </w:rPr>
        <w:t>,</w:t>
      </w:r>
      <w:r w:rsidR="00526F93">
        <w:rPr>
          <w:szCs w:val="22"/>
        </w:rPr>
        <w:t xml:space="preserve"> </w:t>
      </w:r>
      <w:r w:rsidR="002466CE">
        <w:rPr>
          <w:szCs w:val="22"/>
        </w:rPr>
        <w:t>Arso Radio Corporation’s</w:t>
      </w:r>
      <w:r w:rsidR="00526F93">
        <w:rPr>
          <w:szCs w:val="22"/>
        </w:rPr>
        <w:t xml:space="preserve"> longstanding request that </w:t>
      </w:r>
      <w:r w:rsidR="00526F93" w:rsidRPr="00526F93">
        <w:rPr>
          <w:szCs w:val="22"/>
        </w:rPr>
        <w:t>the Commission redefine local radio markets for Puerto Rico</w:t>
      </w:r>
      <w:r w:rsidR="009152AC" w:rsidRPr="00526F93">
        <w:rPr>
          <w:szCs w:val="22"/>
        </w:rPr>
        <w:t>.</w:t>
      </w:r>
      <w:r w:rsidR="009152AC" w:rsidRPr="00526F93">
        <w:rPr>
          <w:rStyle w:val="FootnoteReference"/>
          <w:sz w:val="22"/>
          <w:szCs w:val="22"/>
        </w:rPr>
        <w:footnoteReference w:id="8"/>
      </w:r>
      <w:r w:rsidR="0096003A">
        <w:rPr>
          <w:szCs w:val="22"/>
        </w:rPr>
        <w:t xml:space="preserve">  In </w:t>
      </w:r>
      <w:r w:rsidR="00AE73CA">
        <w:rPr>
          <w:szCs w:val="22"/>
        </w:rPr>
        <w:t>doing so</w:t>
      </w:r>
      <w:r w:rsidR="0096003A">
        <w:rPr>
          <w:szCs w:val="22"/>
        </w:rPr>
        <w:t>, t</w:t>
      </w:r>
      <w:r w:rsidR="00ED40D3" w:rsidRPr="00526F93">
        <w:rPr>
          <w:szCs w:val="22"/>
        </w:rPr>
        <w:t xml:space="preserve">he </w:t>
      </w:r>
      <w:r w:rsidR="00AE73CA">
        <w:rPr>
          <w:szCs w:val="22"/>
        </w:rPr>
        <w:t>Commission recognized</w:t>
      </w:r>
      <w:r w:rsidR="00526F93">
        <w:rPr>
          <w:szCs w:val="22"/>
        </w:rPr>
        <w:t xml:space="preserve"> </w:t>
      </w:r>
      <w:r w:rsidR="00ED40D3" w:rsidRPr="00526F93">
        <w:rPr>
          <w:szCs w:val="22"/>
        </w:rPr>
        <w:t xml:space="preserve">that </w:t>
      </w:r>
      <w:r w:rsidR="00AE73CA">
        <w:rPr>
          <w:szCs w:val="22"/>
        </w:rPr>
        <w:t xml:space="preserve">such </w:t>
      </w:r>
      <w:r w:rsidR="00ED40D3" w:rsidRPr="00526F93">
        <w:rPr>
          <w:szCs w:val="22"/>
        </w:rPr>
        <w:t>waivers of the Arbitron Metro rule</w:t>
      </w:r>
      <w:r w:rsidR="0096003A">
        <w:rPr>
          <w:szCs w:val="22"/>
        </w:rPr>
        <w:t xml:space="preserve"> have</w:t>
      </w:r>
      <w:r w:rsidR="00526F93" w:rsidRPr="00526F93">
        <w:rPr>
          <w:szCs w:val="22"/>
        </w:rPr>
        <w:t xml:space="preserve"> been “consistently granted</w:t>
      </w:r>
      <w:r w:rsidR="00ED40D3" w:rsidRPr="00526F93">
        <w:rPr>
          <w:szCs w:val="22"/>
        </w:rPr>
        <w:t>”</w:t>
      </w:r>
      <w:r w:rsidR="00526F93" w:rsidRPr="00526F93">
        <w:rPr>
          <w:szCs w:val="22"/>
        </w:rPr>
        <w:t xml:space="preserve"> </w:t>
      </w:r>
      <w:r w:rsidR="00782B2F">
        <w:rPr>
          <w:szCs w:val="22"/>
        </w:rPr>
        <w:t>and sought</w:t>
      </w:r>
      <w:r w:rsidR="0096003A">
        <w:rPr>
          <w:szCs w:val="22"/>
        </w:rPr>
        <w:t xml:space="preserve"> comment on the</w:t>
      </w:r>
      <w:r w:rsidR="00AE73CA">
        <w:rPr>
          <w:szCs w:val="22"/>
        </w:rPr>
        <w:t>ir</w:t>
      </w:r>
      <w:r w:rsidR="0096003A">
        <w:rPr>
          <w:szCs w:val="22"/>
        </w:rPr>
        <w:t xml:space="preserve"> effectiveness</w:t>
      </w:r>
      <w:r w:rsidR="00526F93" w:rsidRPr="00526F93">
        <w:rPr>
          <w:szCs w:val="22"/>
        </w:rPr>
        <w:t>.</w:t>
      </w:r>
      <w:r w:rsidR="00ED40D3" w:rsidRPr="00526F93">
        <w:rPr>
          <w:rStyle w:val="FootnoteReference"/>
          <w:sz w:val="22"/>
          <w:szCs w:val="22"/>
        </w:rPr>
        <w:footnoteReference w:id="9"/>
      </w:r>
      <w:r w:rsidR="00526F93" w:rsidRPr="00526F93">
        <w:rPr>
          <w:szCs w:val="22"/>
        </w:rPr>
        <w:t xml:space="preserve">  We emphasize that</w:t>
      </w:r>
      <w:r w:rsidR="00782B2F">
        <w:rPr>
          <w:szCs w:val="22"/>
        </w:rPr>
        <w:t xml:space="preserve"> </w:t>
      </w:r>
      <w:r w:rsidR="00EE5FD3">
        <w:rPr>
          <w:szCs w:val="22"/>
        </w:rPr>
        <w:t xml:space="preserve">the Bureau’s </w:t>
      </w:r>
      <w:r w:rsidR="00782B2F">
        <w:rPr>
          <w:szCs w:val="22"/>
        </w:rPr>
        <w:t>grant of</w:t>
      </w:r>
      <w:r w:rsidR="00526F93" w:rsidRPr="00526F93">
        <w:rPr>
          <w:szCs w:val="22"/>
        </w:rPr>
        <w:t xml:space="preserve"> </w:t>
      </w:r>
      <w:r w:rsidR="00FE1ED8">
        <w:rPr>
          <w:szCs w:val="22"/>
        </w:rPr>
        <w:t>the</w:t>
      </w:r>
      <w:r w:rsidR="00526F93" w:rsidRPr="00526F93">
        <w:rPr>
          <w:szCs w:val="22"/>
        </w:rPr>
        <w:t xml:space="preserve"> WTOK-FM Waiver in no way prejudges the Commission’s ultimate disposition of</w:t>
      </w:r>
      <w:r w:rsidR="00526F93">
        <w:rPr>
          <w:szCs w:val="22"/>
        </w:rPr>
        <w:t xml:space="preserve"> </w:t>
      </w:r>
      <w:r w:rsidR="00FE1ED8">
        <w:rPr>
          <w:szCs w:val="22"/>
        </w:rPr>
        <w:t>this issue</w:t>
      </w:r>
      <w:r w:rsidR="00526F93" w:rsidRPr="00526F93">
        <w:rPr>
          <w:szCs w:val="22"/>
        </w:rPr>
        <w:t>.</w:t>
      </w:r>
    </w:p>
    <w:p w:rsidR="0090606C" w:rsidRPr="00DD50B9" w:rsidRDefault="0090606C" w:rsidP="0090606C">
      <w:pPr>
        <w:pStyle w:val="ParaNum"/>
        <w:rPr>
          <w:snapToGrid/>
        </w:rPr>
      </w:pPr>
      <w:r w:rsidRPr="00A4030F">
        <w:rPr>
          <w:snapToGrid/>
        </w:rPr>
        <w:t xml:space="preserve">Upon review of the Application for Review and the entire record, we conclude </w:t>
      </w:r>
      <w:r>
        <w:rPr>
          <w:snapToGrid/>
        </w:rPr>
        <w:t xml:space="preserve">that </w:t>
      </w:r>
      <w:r w:rsidR="00E479FA">
        <w:rPr>
          <w:snapToGrid/>
        </w:rPr>
        <w:t>RAAD</w:t>
      </w:r>
      <w:r w:rsidRPr="00A4030F">
        <w:rPr>
          <w:snapToGrid/>
        </w:rPr>
        <w:t xml:space="preserve"> has not demonstrated that the Bureau erred.  The Bureau, in the </w:t>
      </w:r>
      <w:r w:rsidR="00FD5B1F">
        <w:rPr>
          <w:i/>
          <w:snapToGrid/>
        </w:rPr>
        <w:t xml:space="preserve">Staff Decision </w:t>
      </w:r>
      <w:r w:rsidR="00FD5B1F">
        <w:rPr>
          <w:snapToGrid/>
        </w:rPr>
        <w:t xml:space="preserve">and </w:t>
      </w:r>
      <w:r w:rsidRPr="00A4030F">
        <w:rPr>
          <w:i/>
          <w:snapToGrid/>
        </w:rPr>
        <w:t>Reconsideration Decision</w:t>
      </w:r>
      <w:r w:rsidRPr="00A4030F">
        <w:rPr>
          <w:snapToGrid/>
        </w:rPr>
        <w:t>, properly decide</w:t>
      </w:r>
      <w:r w:rsidRPr="00DD50B9">
        <w:rPr>
          <w:snapToGrid/>
        </w:rPr>
        <w:t>d the matters raised, and we uphold its decision for the reasons stated therein.</w:t>
      </w:r>
      <w:r w:rsidR="009F28B2">
        <w:rPr>
          <w:rStyle w:val="FootnoteReference"/>
          <w:snapToGrid/>
        </w:rPr>
        <w:footnoteReference w:id="10"/>
      </w:r>
    </w:p>
    <w:p w:rsidR="0090606C" w:rsidRDefault="0090606C" w:rsidP="0090606C">
      <w:pPr>
        <w:pStyle w:val="ParaNum"/>
        <w:rPr>
          <w:snapToGrid/>
        </w:rPr>
      </w:pPr>
      <w:r w:rsidRPr="0040710F">
        <w:rPr>
          <w:snapToGrid/>
        </w:rPr>
        <w:t>ACCORDINGLY, IT IS ORDERED that, pursuant to Section 5(c)(5) of the Communications Act of 1934, as amended,</w:t>
      </w:r>
      <w:r w:rsidRPr="0040710F">
        <w:rPr>
          <w:snapToGrid/>
          <w:vertAlign w:val="superscript"/>
        </w:rPr>
        <w:footnoteReference w:id="11"/>
      </w:r>
      <w:r w:rsidRPr="0040710F">
        <w:rPr>
          <w:snapToGrid/>
        </w:rPr>
        <w:t xml:space="preserve"> and Section 1.115(g) of the Commission’s rules,</w:t>
      </w:r>
      <w:r w:rsidRPr="0040710F">
        <w:rPr>
          <w:snapToGrid/>
          <w:vertAlign w:val="superscript"/>
        </w:rPr>
        <w:footnoteReference w:id="12"/>
      </w:r>
      <w:r w:rsidRPr="0040710F">
        <w:rPr>
          <w:snapToGrid/>
        </w:rPr>
        <w:t xml:space="preserve"> the Application for Review IS DENIED.  </w:t>
      </w:r>
    </w:p>
    <w:p w:rsidR="0090606C" w:rsidRDefault="0090606C" w:rsidP="0090606C">
      <w:r>
        <w:tab/>
      </w:r>
      <w:r>
        <w:tab/>
      </w:r>
      <w:r>
        <w:tab/>
      </w:r>
      <w:r>
        <w:tab/>
      </w:r>
      <w:r>
        <w:tab/>
      </w:r>
      <w:r>
        <w:tab/>
        <w:t>FEDERAL COMMUNICATIONS COMMISSION</w:t>
      </w:r>
    </w:p>
    <w:p w:rsidR="0090606C" w:rsidRDefault="0090606C" w:rsidP="0090606C"/>
    <w:p w:rsidR="0090606C" w:rsidRDefault="0090606C" w:rsidP="0090606C"/>
    <w:p w:rsidR="0090606C" w:rsidRDefault="0090606C" w:rsidP="0090606C"/>
    <w:p w:rsidR="0090606C" w:rsidRDefault="0090606C" w:rsidP="0090606C"/>
    <w:p w:rsidR="0090606C" w:rsidRDefault="0090606C" w:rsidP="0090606C">
      <w:r>
        <w:tab/>
      </w:r>
      <w:r>
        <w:tab/>
      </w:r>
      <w:r>
        <w:tab/>
      </w:r>
      <w:r>
        <w:tab/>
      </w:r>
      <w:r>
        <w:tab/>
      </w:r>
      <w:r>
        <w:tab/>
        <w:t>Marlene H. Dortch</w:t>
      </w:r>
    </w:p>
    <w:p w:rsidR="0090606C" w:rsidRDefault="0090606C" w:rsidP="0090606C">
      <w:r>
        <w:tab/>
      </w:r>
      <w:r>
        <w:tab/>
      </w:r>
      <w:r>
        <w:tab/>
      </w:r>
      <w:r>
        <w:tab/>
      </w:r>
      <w:r>
        <w:tab/>
      </w:r>
      <w:r>
        <w:tab/>
        <w:t>Secretary</w:t>
      </w:r>
    </w:p>
    <w:sectPr w:rsidR="0090606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85" w:rsidRDefault="00320185">
      <w:pPr>
        <w:spacing w:line="20" w:lineRule="exact"/>
      </w:pPr>
    </w:p>
  </w:endnote>
  <w:endnote w:type="continuationSeparator" w:id="0">
    <w:p w:rsidR="00320185" w:rsidRDefault="00320185">
      <w:r>
        <w:t xml:space="preserve"> </w:t>
      </w:r>
    </w:p>
  </w:endnote>
  <w:endnote w:type="continuationNotice" w:id="1">
    <w:p w:rsidR="00320185" w:rsidRDefault="003201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6E" w:rsidRDefault="00290A6E" w:rsidP="0055614C">
    <w:pPr>
      <w:pStyle w:val="Footer"/>
      <w:framePr w:wrap="around" w:vAnchor="text" w:hAnchor="margin" w:xAlign="center" w:y="1"/>
    </w:pPr>
    <w:r>
      <w:fldChar w:fldCharType="begin"/>
    </w:r>
    <w:r>
      <w:instrText xml:space="preserve">PAGE  </w:instrText>
    </w:r>
    <w:r>
      <w:fldChar w:fldCharType="end"/>
    </w:r>
  </w:p>
  <w:p w:rsidR="00290A6E" w:rsidRDefault="00290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6E" w:rsidRDefault="00290A6E" w:rsidP="0055614C">
    <w:pPr>
      <w:pStyle w:val="Footer"/>
      <w:framePr w:wrap="around" w:vAnchor="text" w:hAnchor="margin" w:xAlign="center" w:y="1"/>
    </w:pPr>
    <w:r>
      <w:fldChar w:fldCharType="begin"/>
    </w:r>
    <w:r>
      <w:instrText xml:space="preserve">PAGE  </w:instrText>
    </w:r>
    <w:r>
      <w:fldChar w:fldCharType="separate"/>
    </w:r>
    <w:r w:rsidR="00F7454E">
      <w:rPr>
        <w:noProof/>
      </w:rPr>
      <w:t>2</w:t>
    </w:r>
    <w:r>
      <w:fldChar w:fldCharType="end"/>
    </w:r>
  </w:p>
  <w:p w:rsidR="00290A6E" w:rsidRDefault="00290A6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6E" w:rsidRDefault="00290A6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85" w:rsidRDefault="00320185">
      <w:r>
        <w:separator/>
      </w:r>
    </w:p>
  </w:footnote>
  <w:footnote w:type="continuationSeparator" w:id="0">
    <w:p w:rsidR="00320185" w:rsidRDefault="00320185" w:rsidP="00C721AC">
      <w:pPr>
        <w:spacing w:before="120"/>
        <w:rPr>
          <w:sz w:val="20"/>
        </w:rPr>
      </w:pPr>
      <w:r>
        <w:rPr>
          <w:sz w:val="20"/>
        </w:rPr>
        <w:t xml:space="preserve">(Continued from previous page)  </w:t>
      </w:r>
      <w:r>
        <w:rPr>
          <w:sz w:val="20"/>
        </w:rPr>
        <w:separator/>
      </w:r>
    </w:p>
  </w:footnote>
  <w:footnote w:type="continuationNotice" w:id="1">
    <w:p w:rsidR="00320185" w:rsidRDefault="00320185" w:rsidP="00C721AC">
      <w:pPr>
        <w:jc w:val="right"/>
        <w:rPr>
          <w:sz w:val="20"/>
        </w:rPr>
      </w:pPr>
      <w:r>
        <w:rPr>
          <w:sz w:val="20"/>
        </w:rPr>
        <w:t>(continued….)</w:t>
      </w:r>
    </w:p>
  </w:footnote>
  <w:footnote w:id="2">
    <w:p w:rsidR="00290A6E" w:rsidRPr="00553362" w:rsidRDefault="00290A6E">
      <w:pPr>
        <w:pStyle w:val="FootnoteText"/>
      </w:pPr>
      <w:r>
        <w:rPr>
          <w:rStyle w:val="FootnoteReference"/>
        </w:rPr>
        <w:footnoteRef/>
      </w:r>
      <w:r>
        <w:t xml:space="preserve"> </w:t>
      </w:r>
      <w:r>
        <w:rPr>
          <w:i/>
        </w:rPr>
        <w:t>Christopher D. Imlay, Esq.</w:t>
      </w:r>
      <w:r>
        <w:t xml:space="preserve">, Letter, </w:t>
      </w:r>
      <w:r w:rsidRPr="00553362">
        <w:rPr>
          <w:iCs/>
        </w:rPr>
        <w:t>28 FCC Rcd 2860</w:t>
      </w:r>
      <w:r>
        <w:rPr>
          <w:iCs/>
        </w:rPr>
        <w:t xml:space="preserve"> (MB 2013) (“</w:t>
      </w:r>
      <w:r>
        <w:rPr>
          <w:i/>
          <w:iCs/>
        </w:rPr>
        <w:t>Reconsideration Decision</w:t>
      </w:r>
      <w:r>
        <w:rPr>
          <w:iCs/>
        </w:rPr>
        <w:t>”).</w:t>
      </w:r>
    </w:p>
  </w:footnote>
  <w:footnote w:id="3">
    <w:p w:rsidR="00290A6E" w:rsidRPr="00553362" w:rsidRDefault="00290A6E" w:rsidP="00290A6E">
      <w:pPr>
        <w:pStyle w:val="FootnoteText"/>
      </w:pPr>
      <w:r>
        <w:rPr>
          <w:rStyle w:val="FootnoteReference"/>
        </w:rPr>
        <w:footnoteRef/>
      </w:r>
      <w:r>
        <w:t xml:space="preserve"> </w:t>
      </w:r>
      <w:r>
        <w:rPr>
          <w:i/>
        </w:rPr>
        <w:t>MSG Radio, Inc.</w:t>
      </w:r>
      <w:r>
        <w:t>, Letter,</w:t>
      </w:r>
      <w:r w:rsidRPr="00EE785C">
        <w:t xml:space="preserve"> </w:t>
      </w:r>
      <w:r w:rsidRPr="00EE785C">
        <w:rPr>
          <w:iCs/>
        </w:rPr>
        <w:t>27 FCC Rcd 7066</w:t>
      </w:r>
      <w:r>
        <w:rPr>
          <w:iCs/>
        </w:rPr>
        <w:t xml:space="preserve"> (MB 2012) (“</w:t>
      </w:r>
      <w:r>
        <w:rPr>
          <w:i/>
          <w:iCs/>
        </w:rPr>
        <w:t>Staff Decision</w:t>
      </w:r>
      <w:r>
        <w:rPr>
          <w:iCs/>
        </w:rPr>
        <w:t xml:space="preserve">”).  We also have before us </w:t>
      </w:r>
      <w:r w:rsidR="003414A6">
        <w:rPr>
          <w:iCs/>
        </w:rPr>
        <w:t>a Joint Opposition to the Application for Review filed by MSG and WFI on May 9, 2013.</w:t>
      </w:r>
    </w:p>
  </w:footnote>
  <w:footnote w:id="4">
    <w:p w:rsidR="00290A6E" w:rsidRPr="00725446" w:rsidRDefault="00290A6E">
      <w:pPr>
        <w:pStyle w:val="FootnoteText"/>
      </w:pPr>
      <w:r>
        <w:rPr>
          <w:rStyle w:val="FootnoteReference"/>
        </w:rPr>
        <w:footnoteRef/>
      </w:r>
      <w:r>
        <w:t xml:space="preserve"> </w:t>
      </w:r>
      <w:r>
        <w:rPr>
          <w:i/>
        </w:rPr>
        <w:t xml:space="preserve">See </w:t>
      </w:r>
      <w:r>
        <w:t xml:space="preserve">47 C.F.R. § 73.3555(a); </w:t>
      </w:r>
      <w:r w:rsidRPr="00D75554">
        <w:rPr>
          <w:i/>
        </w:rPr>
        <w:t>2002 Biennial Regulatory Review – Review of the Commission's Broadcast Ownership Rules and Other Rules Adopted Pursuant to Section 202 of the Telecommunications Act of 1996</w:t>
      </w:r>
      <w:r w:rsidRPr="00D75554">
        <w:t>, Report and Order and Notice of Proposed Rulemaking, 18 FCC Rcd 13620, 13724-6 (2003) (“</w:t>
      </w:r>
      <w:r w:rsidRPr="00D75554">
        <w:rPr>
          <w:i/>
        </w:rPr>
        <w:t>Ownership Order</w:t>
      </w:r>
      <w:r w:rsidRPr="00D75554">
        <w:t xml:space="preserve">”), </w:t>
      </w:r>
      <w:r w:rsidRPr="00D75554">
        <w:rPr>
          <w:i/>
        </w:rPr>
        <w:t>aff'd in part and remanded in part sub nom., Prometheus Radio Project v. FCC</w:t>
      </w:r>
      <w:r w:rsidRPr="00D75554">
        <w:t xml:space="preserve">, 373 F.3d 372 (2004), </w:t>
      </w:r>
      <w:r w:rsidRPr="00D75554">
        <w:rPr>
          <w:i/>
        </w:rPr>
        <w:t>cert. denied</w:t>
      </w:r>
      <w:r w:rsidRPr="00D75554">
        <w:t>, 545 U.S. 1123 (2005).</w:t>
      </w:r>
      <w:r>
        <w:t xml:space="preserve">  The contour-overlap methodology is </w:t>
      </w:r>
      <w:r w:rsidR="001C0B8C">
        <w:t xml:space="preserve">generally </w:t>
      </w:r>
      <w:r>
        <w:t xml:space="preserve">permitted </w:t>
      </w:r>
      <w:r w:rsidR="00AA5791">
        <w:t xml:space="preserve">to define the local radio market </w:t>
      </w:r>
      <w:r>
        <w:t xml:space="preserve">only when a station’s community of license is located outside </w:t>
      </w:r>
      <w:r w:rsidR="00AA5791">
        <w:t xml:space="preserve">of an Arbitron </w:t>
      </w:r>
      <w:r>
        <w:t xml:space="preserve">Metro boundary.  </w:t>
      </w:r>
      <w:r>
        <w:rPr>
          <w:i/>
        </w:rPr>
        <w:t>Ownership Order</w:t>
      </w:r>
      <w:r>
        <w:t xml:space="preserve">, 18 FCC Rcd at 13729.  Here, the entire island of Puerto Rico is designated by Arbitron as a </w:t>
      </w:r>
      <w:r w:rsidR="00A14AC3">
        <w:t xml:space="preserve">single </w:t>
      </w:r>
      <w:r>
        <w:t>Metro market</w:t>
      </w:r>
      <w:r w:rsidR="00AA5791">
        <w:t xml:space="preserve">, and therefore use of </w:t>
      </w:r>
      <w:r w:rsidR="00776154">
        <w:t>the</w:t>
      </w:r>
      <w:r w:rsidR="00AA5791">
        <w:t xml:space="preserve"> Arbitron</w:t>
      </w:r>
      <w:r w:rsidR="00A14AC3">
        <w:t xml:space="preserve"> Metro</w:t>
      </w:r>
      <w:r w:rsidR="00AA5791">
        <w:t xml:space="preserve">-based methodology </w:t>
      </w:r>
      <w:r w:rsidR="00776154">
        <w:t xml:space="preserve">would </w:t>
      </w:r>
      <w:r w:rsidR="001C0B8C">
        <w:t>normally</w:t>
      </w:r>
      <w:r w:rsidR="00776154">
        <w:t xml:space="preserve"> be</w:t>
      </w:r>
      <w:r w:rsidR="00AA5791">
        <w:t xml:space="preserve"> appropriate</w:t>
      </w:r>
      <w:r>
        <w:t xml:space="preserve">. </w:t>
      </w:r>
    </w:p>
  </w:footnote>
  <w:footnote w:id="5">
    <w:p w:rsidR="00290A6E" w:rsidRPr="003B792F" w:rsidRDefault="00290A6E">
      <w:pPr>
        <w:pStyle w:val="FootnoteText"/>
      </w:pPr>
      <w:r>
        <w:rPr>
          <w:rStyle w:val="FootnoteReference"/>
        </w:rPr>
        <w:footnoteRef/>
      </w:r>
      <w:r>
        <w:t xml:space="preserve"> </w:t>
      </w:r>
      <w:r>
        <w:rPr>
          <w:i/>
        </w:rPr>
        <w:t>See Mr. Luis A. Soto</w:t>
      </w:r>
      <w:r>
        <w:t>,</w:t>
      </w:r>
      <w:r>
        <w:rPr>
          <w:i/>
        </w:rPr>
        <w:t xml:space="preserve"> </w:t>
      </w:r>
      <w:r>
        <w:t>Letter,</w:t>
      </w:r>
      <w:r>
        <w:rPr>
          <w:i/>
        </w:rPr>
        <w:t xml:space="preserve"> </w:t>
      </w:r>
      <w:r>
        <w:t xml:space="preserve">22 FCC Rcd 2549 (MB 2007). </w:t>
      </w:r>
    </w:p>
  </w:footnote>
  <w:footnote w:id="6">
    <w:p w:rsidR="00290A6E" w:rsidRDefault="00290A6E">
      <w:pPr>
        <w:pStyle w:val="FootnoteText"/>
      </w:pPr>
      <w:r>
        <w:rPr>
          <w:rStyle w:val="FootnoteReference"/>
        </w:rPr>
        <w:footnoteRef/>
      </w:r>
      <w:r>
        <w:t xml:space="preserve"> Application for Review at 19.</w:t>
      </w:r>
    </w:p>
  </w:footnote>
  <w:footnote w:id="7">
    <w:p w:rsidR="00290A6E" w:rsidRDefault="00290A6E">
      <w:pPr>
        <w:pStyle w:val="FootnoteText"/>
      </w:pPr>
      <w:r>
        <w:rPr>
          <w:rStyle w:val="FootnoteReference"/>
        </w:rPr>
        <w:footnoteRef/>
      </w:r>
      <w:r>
        <w:t xml:space="preserve"> To the extent that the Application for Review challenges the </w:t>
      </w:r>
      <w:r w:rsidR="00CA5CA9">
        <w:t xml:space="preserve">Bureau’s approval of the </w:t>
      </w:r>
      <w:r>
        <w:t xml:space="preserve">2008 assignment of WTOK-FM from Luis A. Mejia to MSG, that </w:t>
      </w:r>
      <w:r w:rsidR="00CA5CA9">
        <w:t xml:space="preserve">action </w:t>
      </w:r>
      <w:r>
        <w:t xml:space="preserve">is final and not subject to review.  </w:t>
      </w:r>
      <w:r>
        <w:rPr>
          <w:i/>
        </w:rPr>
        <w:t>See Reconsideration Decision</w:t>
      </w:r>
      <w:r w:rsidR="00913349">
        <w:rPr>
          <w:i/>
        </w:rPr>
        <w:t xml:space="preserve">, </w:t>
      </w:r>
      <w:r w:rsidR="00913349">
        <w:t>28 FCC Rcd at</w:t>
      </w:r>
      <w:r w:rsidR="001B66FD">
        <w:t xml:space="preserve"> 2861, </w:t>
      </w:r>
      <w:r w:rsidR="009F10BC" w:rsidRPr="009F10BC">
        <w:t>2866</w:t>
      </w:r>
      <w:r w:rsidR="009F10BC">
        <w:t xml:space="preserve">, </w:t>
      </w:r>
      <w:r w:rsidR="001B66FD">
        <w:t>n. 8</w:t>
      </w:r>
      <w:r w:rsidR="009F10BC">
        <w:t xml:space="preserve">; </w:t>
      </w:r>
      <w:r>
        <w:rPr>
          <w:i/>
        </w:rPr>
        <w:t>Staff Decision</w:t>
      </w:r>
      <w:r w:rsidR="00913349">
        <w:t>, 27 FCC Rcd at 70</w:t>
      </w:r>
      <w:r w:rsidR="001B66FD">
        <w:t xml:space="preserve">68, </w:t>
      </w:r>
      <w:r w:rsidR="009F10BC">
        <w:t xml:space="preserve">7070, </w:t>
      </w:r>
      <w:r w:rsidR="001B66FD">
        <w:t>n. 9</w:t>
      </w:r>
      <w:r>
        <w:t xml:space="preserve">. </w:t>
      </w:r>
    </w:p>
  </w:footnote>
  <w:footnote w:id="8">
    <w:p w:rsidR="00290A6E" w:rsidRPr="00ED40D3" w:rsidRDefault="00290A6E">
      <w:pPr>
        <w:pStyle w:val="FootnoteText"/>
      </w:pPr>
      <w:r>
        <w:rPr>
          <w:rStyle w:val="FootnoteReference"/>
        </w:rPr>
        <w:footnoteRef/>
      </w:r>
      <w:r>
        <w:t xml:space="preserve"> </w:t>
      </w:r>
      <w:r w:rsidRPr="00ED40D3">
        <w:rPr>
          <w:bCs/>
          <w:i/>
        </w:rPr>
        <w:t>2014 Quadrennial Regulatory Review - Review of the Commission's Broadcast Ownership Rules and Other Rules Adopted Pursuant to Section 202 of the Telecommunications Act of 1996</w:t>
      </w:r>
      <w:r>
        <w:rPr>
          <w:bCs/>
        </w:rPr>
        <w:t>, Further Notice of Proposed Rulemaking</w:t>
      </w:r>
      <w:r w:rsidR="002466CE">
        <w:rPr>
          <w:bCs/>
        </w:rPr>
        <w:t xml:space="preserve"> and Report and Order</w:t>
      </w:r>
      <w:r>
        <w:rPr>
          <w:bCs/>
        </w:rPr>
        <w:t xml:space="preserve">, 29 FCC Rcd 4371, 4411-12 (2014). </w:t>
      </w:r>
    </w:p>
  </w:footnote>
  <w:footnote w:id="9">
    <w:p w:rsidR="00290A6E" w:rsidRPr="009F10BC" w:rsidRDefault="00290A6E">
      <w:pPr>
        <w:pStyle w:val="FootnoteText"/>
      </w:pPr>
      <w:r w:rsidRPr="009F10BC">
        <w:rPr>
          <w:rStyle w:val="FootnoteReference"/>
        </w:rPr>
        <w:footnoteRef/>
      </w:r>
      <w:r w:rsidRPr="009F10BC">
        <w:t xml:space="preserve"> </w:t>
      </w:r>
      <w:r w:rsidRPr="009F10BC">
        <w:rPr>
          <w:i/>
        </w:rPr>
        <w:t>Id</w:t>
      </w:r>
      <w:r w:rsidRPr="009F10BC">
        <w:t>.</w:t>
      </w:r>
    </w:p>
  </w:footnote>
  <w:footnote w:id="10">
    <w:p w:rsidR="009F28B2" w:rsidRDefault="009F28B2">
      <w:pPr>
        <w:pStyle w:val="FootnoteText"/>
      </w:pPr>
      <w:r w:rsidRPr="009F10BC">
        <w:rPr>
          <w:rStyle w:val="FootnoteReference"/>
        </w:rPr>
        <w:footnoteRef/>
      </w:r>
      <w:r w:rsidRPr="009F10BC">
        <w:t xml:space="preserve"> Given our affirma</w:t>
      </w:r>
      <w:r w:rsidR="009F10BC">
        <w:t>nce</w:t>
      </w:r>
      <w:r w:rsidRPr="009F10BC">
        <w:t xml:space="preserve"> of the Bureau’s </w:t>
      </w:r>
      <w:r w:rsidRPr="009F10BC">
        <w:rPr>
          <w:i/>
        </w:rPr>
        <w:t>Reconsideration Decision</w:t>
      </w:r>
      <w:r w:rsidRPr="009F10BC">
        <w:t xml:space="preserve">,and </w:t>
      </w:r>
      <w:r w:rsidRPr="009F10BC">
        <w:rPr>
          <w:i/>
        </w:rPr>
        <w:t>Staff Decision</w:t>
      </w:r>
      <w:r w:rsidRPr="009F10BC">
        <w:t xml:space="preserve">, the Application for Review’s challenge to the Bureau’s delegated authority is moot.  </w:t>
      </w:r>
    </w:p>
  </w:footnote>
  <w:footnote w:id="11">
    <w:p w:rsidR="00290A6E" w:rsidRPr="00320BF6" w:rsidRDefault="00290A6E" w:rsidP="0090606C">
      <w:pPr>
        <w:pStyle w:val="FootnoteText"/>
      </w:pPr>
      <w:r w:rsidRPr="00320BF6">
        <w:rPr>
          <w:rStyle w:val="FootnoteReference"/>
        </w:rPr>
        <w:footnoteRef/>
      </w:r>
      <w:r w:rsidRPr="00320BF6">
        <w:t xml:space="preserve"> 47 U.S.C. § 155(c)(5).</w:t>
      </w:r>
    </w:p>
  </w:footnote>
  <w:footnote w:id="12">
    <w:p w:rsidR="00290A6E" w:rsidRPr="00320BF6" w:rsidRDefault="00290A6E" w:rsidP="0090606C">
      <w:pPr>
        <w:pStyle w:val="FootnoteText"/>
      </w:pPr>
      <w:r w:rsidRPr="00320BF6">
        <w:rPr>
          <w:rStyle w:val="FootnoteReference"/>
        </w:rPr>
        <w:footnoteRef/>
      </w:r>
      <w:r w:rsidRPr="00320BF6">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18" w:rsidRDefault="00760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6E" w:rsidRDefault="00290A6E" w:rsidP="00810B6F">
    <w:pPr>
      <w:pStyle w:val="Header"/>
      <w:rPr>
        <w:b w:val="0"/>
      </w:rPr>
    </w:pPr>
    <w:r>
      <w:tab/>
      <w:t>Federal Communications Commission</w:t>
    </w:r>
    <w:r>
      <w:tab/>
    </w:r>
    <w:r w:rsidR="003414A6">
      <w:t>FCC 14-161</w:t>
    </w:r>
  </w:p>
  <w:p w:rsidR="00290A6E" w:rsidRDefault="00290A6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3369D03" wp14:editId="61321DE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290A6E" w:rsidRDefault="00290A6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6E" w:rsidRDefault="00290A6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630E1E67" wp14:editId="2FB152B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3414A6">
      <w:rPr>
        <w:spacing w:val="-2"/>
      </w:rPr>
      <w:t>FCC 14-161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CA"/>
    <w:rsid w:val="00036039"/>
    <w:rsid w:val="00037F90"/>
    <w:rsid w:val="00073152"/>
    <w:rsid w:val="000875BF"/>
    <w:rsid w:val="00096D8C"/>
    <w:rsid w:val="000C0B65"/>
    <w:rsid w:val="000E05FE"/>
    <w:rsid w:val="000E3D42"/>
    <w:rsid w:val="00122BD5"/>
    <w:rsid w:val="00131007"/>
    <w:rsid w:val="00133F79"/>
    <w:rsid w:val="0019286C"/>
    <w:rsid w:val="00194A66"/>
    <w:rsid w:val="001B66FD"/>
    <w:rsid w:val="001C0B8C"/>
    <w:rsid w:val="001D6BCF"/>
    <w:rsid w:val="001E01CA"/>
    <w:rsid w:val="002466CE"/>
    <w:rsid w:val="0026364D"/>
    <w:rsid w:val="00275CF5"/>
    <w:rsid w:val="0028301F"/>
    <w:rsid w:val="00285017"/>
    <w:rsid w:val="00290A6E"/>
    <w:rsid w:val="002A2D2E"/>
    <w:rsid w:val="002C00E8"/>
    <w:rsid w:val="003064D9"/>
    <w:rsid w:val="00320185"/>
    <w:rsid w:val="003414A6"/>
    <w:rsid w:val="00343749"/>
    <w:rsid w:val="003660ED"/>
    <w:rsid w:val="00376C27"/>
    <w:rsid w:val="003850E5"/>
    <w:rsid w:val="003B0550"/>
    <w:rsid w:val="003B694F"/>
    <w:rsid w:val="003B792F"/>
    <w:rsid w:val="003C314D"/>
    <w:rsid w:val="003F171C"/>
    <w:rsid w:val="00412FC5"/>
    <w:rsid w:val="00422276"/>
    <w:rsid w:val="004242F1"/>
    <w:rsid w:val="00445A00"/>
    <w:rsid w:val="00451B0F"/>
    <w:rsid w:val="00464981"/>
    <w:rsid w:val="004C2EE3"/>
    <w:rsid w:val="004D08D4"/>
    <w:rsid w:val="004E356B"/>
    <w:rsid w:val="004E4A22"/>
    <w:rsid w:val="004F7AC2"/>
    <w:rsid w:val="00511968"/>
    <w:rsid w:val="00526F93"/>
    <w:rsid w:val="00530113"/>
    <w:rsid w:val="00553362"/>
    <w:rsid w:val="0055614C"/>
    <w:rsid w:val="005D44A7"/>
    <w:rsid w:val="005E14C2"/>
    <w:rsid w:val="00602A30"/>
    <w:rsid w:val="00607BA5"/>
    <w:rsid w:val="0061180A"/>
    <w:rsid w:val="00626EB6"/>
    <w:rsid w:val="00655D03"/>
    <w:rsid w:val="006758E4"/>
    <w:rsid w:val="00675D5F"/>
    <w:rsid w:val="00683388"/>
    <w:rsid w:val="00683F84"/>
    <w:rsid w:val="006A6A81"/>
    <w:rsid w:val="006C44CA"/>
    <w:rsid w:val="006E2046"/>
    <w:rsid w:val="006F7393"/>
    <w:rsid w:val="0070224F"/>
    <w:rsid w:val="007115F7"/>
    <w:rsid w:val="00725446"/>
    <w:rsid w:val="00760218"/>
    <w:rsid w:val="00776154"/>
    <w:rsid w:val="00782B2F"/>
    <w:rsid w:val="00785689"/>
    <w:rsid w:val="0079754B"/>
    <w:rsid w:val="007A1E6D"/>
    <w:rsid w:val="007B0EB2"/>
    <w:rsid w:val="00810B6F"/>
    <w:rsid w:val="00822CE0"/>
    <w:rsid w:val="00841AB1"/>
    <w:rsid w:val="00862D44"/>
    <w:rsid w:val="008C68F1"/>
    <w:rsid w:val="0090606C"/>
    <w:rsid w:val="00913349"/>
    <w:rsid w:val="009152AC"/>
    <w:rsid w:val="00921803"/>
    <w:rsid w:val="00921FBD"/>
    <w:rsid w:val="00926503"/>
    <w:rsid w:val="0096003A"/>
    <w:rsid w:val="009726D8"/>
    <w:rsid w:val="009F10BC"/>
    <w:rsid w:val="009F28B2"/>
    <w:rsid w:val="009F76DB"/>
    <w:rsid w:val="00A14AC3"/>
    <w:rsid w:val="00A32C3B"/>
    <w:rsid w:val="00A45F4F"/>
    <w:rsid w:val="00A600A9"/>
    <w:rsid w:val="00AA55B7"/>
    <w:rsid w:val="00AA5791"/>
    <w:rsid w:val="00AA5B9E"/>
    <w:rsid w:val="00AB2407"/>
    <w:rsid w:val="00AB53DF"/>
    <w:rsid w:val="00AE73CA"/>
    <w:rsid w:val="00B07E5C"/>
    <w:rsid w:val="00B40871"/>
    <w:rsid w:val="00B4185A"/>
    <w:rsid w:val="00B811F7"/>
    <w:rsid w:val="00BA5DC6"/>
    <w:rsid w:val="00BA6196"/>
    <w:rsid w:val="00BC6D8C"/>
    <w:rsid w:val="00C15822"/>
    <w:rsid w:val="00C34006"/>
    <w:rsid w:val="00C426B1"/>
    <w:rsid w:val="00C5603D"/>
    <w:rsid w:val="00C66160"/>
    <w:rsid w:val="00C721AC"/>
    <w:rsid w:val="00C90D6A"/>
    <w:rsid w:val="00CA247E"/>
    <w:rsid w:val="00CA5CA9"/>
    <w:rsid w:val="00CC72B6"/>
    <w:rsid w:val="00D0218D"/>
    <w:rsid w:val="00D25FB5"/>
    <w:rsid w:val="00D33498"/>
    <w:rsid w:val="00D44223"/>
    <w:rsid w:val="00DA2529"/>
    <w:rsid w:val="00DB130A"/>
    <w:rsid w:val="00DB2EBB"/>
    <w:rsid w:val="00DC10A1"/>
    <w:rsid w:val="00DC655F"/>
    <w:rsid w:val="00DD0B59"/>
    <w:rsid w:val="00DD7EBD"/>
    <w:rsid w:val="00DF62B6"/>
    <w:rsid w:val="00E07225"/>
    <w:rsid w:val="00E33017"/>
    <w:rsid w:val="00E479FA"/>
    <w:rsid w:val="00E47B47"/>
    <w:rsid w:val="00E5409F"/>
    <w:rsid w:val="00ED40D3"/>
    <w:rsid w:val="00EE5FD3"/>
    <w:rsid w:val="00EE6488"/>
    <w:rsid w:val="00EE785C"/>
    <w:rsid w:val="00F021FA"/>
    <w:rsid w:val="00F62E97"/>
    <w:rsid w:val="00F64209"/>
    <w:rsid w:val="00F7454E"/>
    <w:rsid w:val="00F93BF5"/>
    <w:rsid w:val="00FC4844"/>
    <w:rsid w:val="00FD5B1F"/>
    <w:rsid w:val="00FE1ED8"/>
    <w:rsid w:val="00FE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921FBD"/>
  </w:style>
  <w:style w:type="paragraph" w:styleId="BalloonText">
    <w:name w:val="Balloon Text"/>
    <w:basedOn w:val="Normal"/>
    <w:link w:val="BalloonTextChar"/>
    <w:rsid w:val="00AE73CA"/>
    <w:rPr>
      <w:rFonts w:ascii="Tahoma" w:hAnsi="Tahoma" w:cs="Tahoma"/>
      <w:sz w:val="16"/>
      <w:szCs w:val="16"/>
    </w:rPr>
  </w:style>
  <w:style w:type="character" w:customStyle="1" w:styleId="BalloonTextChar">
    <w:name w:val="Balloon Text Char"/>
    <w:basedOn w:val="DefaultParagraphFont"/>
    <w:link w:val="BalloonText"/>
    <w:rsid w:val="00AE73CA"/>
    <w:rPr>
      <w:rFonts w:ascii="Tahoma" w:hAnsi="Tahoma" w:cs="Tahoma"/>
      <w:snapToGrid w:val="0"/>
      <w:kern w:val="28"/>
      <w:sz w:val="16"/>
      <w:szCs w:val="16"/>
    </w:rPr>
  </w:style>
  <w:style w:type="character" w:styleId="CommentReference">
    <w:name w:val="annotation reference"/>
    <w:basedOn w:val="DefaultParagraphFont"/>
    <w:rsid w:val="00FC4844"/>
    <w:rPr>
      <w:sz w:val="16"/>
      <w:szCs w:val="16"/>
    </w:rPr>
  </w:style>
  <w:style w:type="paragraph" w:styleId="CommentText">
    <w:name w:val="annotation text"/>
    <w:basedOn w:val="Normal"/>
    <w:link w:val="CommentTextChar"/>
    <w:rsid w:val="00FC4844"/>
    <w:rPr>
      <w:sz w:val="20"/>
    </w:rPr>
  </w:style>
  <w:style w:type="character" w:customStyle="1" w:styleId="CommentTextChar">
    <w:name w:val="Comment Text Char"/>
    <w:basedOn w:val="DefaultParagraphFont"/>
    <w:link w:val="CommentText"/>
    <w:rsid w:val="00FC4844"/>
    <w:rPr>
      <w:snapToGrid w:val="0"/>
      <w:kern w:val="28"/>
    </w:rPr>
  </w:style>
  <w:style w:type="paragraph" w:styleId="CommentSubject">
    <w:name w:val="annotation subject"/>
    <w:basedOn w:val="CommentText"/>
    <w:next w:val="CommentText"/>
    <w:link w:val="CommentSubjectChar"/>
    <w:rsid w:val="00FC4844"/>
    <w:rPr>
      <w:b/>
      <w:bCs/>
    </w:rPr>
  </w:style>
  <w:style w:type="character" w:customStyle="1" w:styleId="CommentSubjectChar">
    <w:name w:val="Comment Subject Char"/>
    <w:basedOn w:val="CommentTextChar"/>
    <w:link w:val="CommentSubject"/>
    <w:rsid w:val="00FC484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921FBD"/>
  </w:style>
  <w:style w:type="paragraph" w:styleId="BalloonText">
    <w:name w:val="Balloon Text"/>
    <w:basedOn w:val="Normal"/>
    <w:link w:val="BalloonTextChar"/>
    <w:rsid w:val="00AE73CA"/>
    <w:rPr>
      <w:rFonts w:ascii="Tahoma" w:hAnsi="Tahoma" w:cs="Tahoma"/>
      <w:sz w:val="16"/>
      <w:szCs w:val="16"/>
    </w:rPr>
  </w:style>
  <w:style w:type="character" w:customStyle="1" w:styleId="BalloonTextChar">
    <w:name w:val="Balloon Text Char"/>
    <w:basedOn w:val="DefaultParagraphFont"/>
    <w:link w:val="BalloonText"/>
    <w:rsid w:val="00AE73CA"/>
    <w:rPr>
      <w:rFonts w:ascii="Tahoma" w:hAnsi="Tahoma" w:cs="Tahoma"/>
      <w:snapToGrid w:val="0"/>
      <w:kern w:val="28"/>
      <w:sz w:val="16"/>
      <w:szCs w:val="16"/>
    </w:rPr>
  </w:style>
  <w:style w:type="character" w:styleId="CommentReference">
    <w:name w:val="annotation reference"/>
    <w:basedOn w:val="DefaultParagraphFont"/>
    <w:rsid w:val="00FC4844"/>
    <w:rPr>
      <w:sz w:val="16"/>
      <w:szCs w:val="16"/>
    </w:rPr>
  </w:style>
  <w:style w:type="paragraph" w:styleId="CommentText">
    <w:name w:val="annotation text"/>
    <w:basedOn w:val="Normal"/>
    <w:link w:val="CommentTextChar"/>
    <w:rsid w:val="00FC4844"/>
    <w:rPr>
      <w:sz w:val="20"/>
    </w:rPr>
  </w:style>
  <w:style w:type="character" w:customStyle="1" w:styleId="CommentTextChar">
    <w:name w:val="Comment Text Char"/>
    <w:basedOn w:val="DefaultParagraphFont"/>
    <w:link w:val="CommentText"/>
    <w:rsid w:val="00FC4844"/>
    <w:rPr>
      <w:snapToGrid w:val="0"/>
      <w:kern w:val="28"/>
    </w:rPr>
  </w:style>
  <w:style w:type="paragraph" w:styleId="CommentSubject">
    <w:name w:val="annotation subject"/>
    <w:basedOn w:val="CommentText"/>
    <w:next w:val="CommentText"/>
    <w:link w:val="CommentSubjectChar"/>
    <w:rsid w:val="00FC4844"/>
    <w:rPr>
      <w:b/>
      <w:bCs/>
    </w:rPr>
  </w:style>
  <w:style w:type="character" w:customStyle="1" w:styleId="CommentSubjectChar">
    <w:name w:val="Comment Subject Char"/>
    <w:basedOn w:val="CommentTextChar"/>
    <w:link w:val="CommentSubject"/>
    <w:rsid w:val="00FC484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458</Words>
  <Characters>2551</Characters>
  <Application>Microsoft Office Word</Application>
  <DocSecurity>0</DocSecurity>
  <Lines>82</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2014-08-13T15:41:00Z</cp:lastPrinted>
  <dcterms:created xsi:type="dcterms:W3CDTF">2014-10-15T18:09:00Z</dcterms:created>
  <dcterms:modified xsi:type="dcterms:W3CDTF">2014-10-15T18:09:00Z</dcterms:modified>
  <cp:category> </cp:category>
  <cp:contentStatus> </cp:contentStatus>
</cp:coreProperties>
</file>