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E66A17">
        <w:tc>
          <w:tcPr>
            <w:tcW w:w="4698" w:type="dxa"/>
          </w:tcPr>
          <w:p w:rsidR="00E66A17" w:rsidRPr="00150FBA" w:rsidRDefault="00E66A17" w:rsidP="002572B6">
            <w:pPr>
              <w:ind w:right="-18"/>
              <w:rPr>
                <w:szCs w:val="22"/>
              </w:rPr>
            </w:pPr>
            <w:r w:rsidRPr="00150FBA">
              <w:rPr>
                <w:szCs w:val="22"/>
              </w:rPr>
              <w:t xml:space="preserve">In </w:t>
            </w:r>
            <w:r>
              <w:rPr>
                <w:szCs w:val="22"/>
              </w:rPr>
              <w:t>th</w:t>
            </w:r>
            <w:r w:rsidRPr="00150FBA">
              <w:rPr>
                <w:szCs w:val="22"/>
              </w:rPr>
              <w:t>e</w:t>
            </w:r>
            <w:r>
              <w:rPr>
                <w:szCs w:val="22"/>
              </w:rPr>
              <w:t xml:space="preserve"> Matter of</w:t>
            </w:r>
            <w:r w:rsidRPr="00150FBA">
              <w:rPr>
                <w:szCs w:val="22"/>
              </w:rPr>
              <w:t xml:space="preserve">  </w:t>
            </w:r>
          </w:p>
          <w:p w:rsidR="00E66A17" w:rsidRPr="00150FBA" w:rsidRDefault="00E66A17" w:rsidP="002572B6">
            <w:pPr>
              <w:ind w:right="-18"/>
              <w:rPr>
                <w:szCs w:val="22"/>
              </w:rPr>
            </w:pPr>
          </w:p>
          <w:p w:rsidR="00E66A17" w:rsidRPr="001D7234" w:rsidRDefault="0002344D" w:rsidP="002572B6">
            <w:pPr>
              <w:ind w:right="-18"/>
              <w:rPr>
                <w:szCs w:val="22"/>
              </w:rPr>
            </w:pPr>
            <w:r>
              <w:rPr>
                <w:szCs w:val="22"/>
              </w:rPr>
              <w:t>Clifford Brown Jazz Foundation</w:t>
            </w:r>
          </w:p>
          <w:p w:rsidR="00E66A17" w:rsidRDefault="00E66A17" w:rsidP="002572B6">
            <w:pPr>
              <w:ind w:right="-18"/>
              <w:rPr>
                <w:b/>
                <w:szCs w:val="22"/>
              </w:rPr>
            </w:pPr>
          </w:p>
          <w:p w:rsidR="00E66A17" w:rsidRDefault="00E66A17" w:rsidP="002572B6">
            <w:pPr>
              <w:ind w:right="-18"/>
              <w:rPr>
                <w:szCs w:val="22"/>
              </w:rPr>
            </w:pPr>
            <w:r>
              <w:rPr>
                <w:szCs w:val="22"/>
              </w:rPr>
              <w:t xml:space="preserve">Application for a New </w:t>
            </w:r>
            <w:r w:rsidR="00627DE9">
              <w:rPr>
                <w:szCs w:val="22"/>
              </w:rPr>
              <w:t>LPFM</w:t>
            </w:r>
            <w:r>
              <w:rPr>
                <w:szCs w:val="22"/>
              </w:rPr>
              <w:t xml:space="preserve"> Station at</w:t>
            </w:r>
          </w:p>
          <w:p w:rsidR="00E66A17" w:rsidRDefault="0002344D" w:rsidP="002572B6">
            <w:pPr>
              <w:ind w:right="-18"/>
              <w:rPr>
                <w:szCs w:val="22"/>
              </w:rPr>
            </w:pPr>
            <w:r>
              <w:rPr>
                <w:szCs w:val="22"/>
              </w:rPr>
              <w:t>Berkeley, California</w:t>
            </w:r>
          </w:p>
          <w:p w:rsidR="00E66A17" w:rsidRPr="00150FBA" w:rsidRDefault="00E66A17" w:rsidP="002572B6">
            <w:pPr>
              <w:ind w:right="-18"/>
              <w:rPr>
                <w:b/>
                <w:szCs w:val="22"/>
              </w:rPr>
            </w:pPr>
            <w:r w:rsidRPr="00150FBA">
              <w:rPr>
                <w:szCs w:val="22"/>
              </w:rPr>
              <w:t xml:space="preserve"> </w:t>
            </w:r>
          </w:p>
        </w:tc>
        <w:tc>
          <w:tcPr>
            <w:tcW w:w="630" w:type="dxa"/>
          </w:tcPr>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 xml:space="preserve">) </w:t>
            </w:r>
          </w:p>
        </w:tc>
        <w:tc>
          <w:tcPr>
            <w:tcW w:w="4248" w:type="dxa"/>
          </w:tcPr>
          <w:p w:rsidR="00E66A17" w:rsidRPr="00150FBA" w:rsidRDefault="00E66A17" w:rsidP="002572B6">
            <w:pPr>
              <w:rPr>
                <w:szCs w:val="22"/>
              </w:rPr>
            </w:pPr>
          </w:p>
          <w:p w:rsidR="00E66A17" w:rsidRDefault="00E66A17" w:rsidP="002572B6">
            <w:pPr>
              <w:rPr>
                <w:szCs w:val="22"/>
              </w:rPr>
            </w:pPr>
          </w:p>
          <w:p w:rsidR="00E66A17" w:rsidRDefault="00E66A17" w:rsidP="002572B6">
            <w:pPr>
              <w:rPr>
                <w:szCs w:val="22"/>
              </w:rPr>
            </w:pPr>
          </w:p>
          <w:p w:rsidR="00A13CA2" w:rsidRDefault="00A13CA2" w:rsidP="002572B6">
            <w:pPr>
              <w:rPr>
                <w:szCs w:val="22"/>
              </w:rPr>
            </w:pPr>
          </w:p>
          <w:p w:rsidR="00627DE9" w:rsidRPr="00150FBA" w:rsidRDefault="00627DE9" w:rsidP="00627DE9">
            <w:pPr>
              <w:rPr>
                <w:szCs w:val="22"/>
              </w:rPr>
            </w:pPr>
            <w:r w:rsidRPr="00150FBA">
              <w:rPr>
                <w:szCs w:val="22"/>
              </w:rPr>
              <w:t xml:space="preserve">File No. </w:t>
            </w:r>
            <w:r w:rsidR="00792287">
              <w:rPr>
                <w:szCs w:val="22"/>
              </w:rPr>
              <w:t>BNPL-</w:t>
            </w:r>
            <w:r w:rsidR="0002344D">
              <w:rPr>
                <w:szCs w:val="22"/>
              </w:rPr>
              <w:t>20131114BPU</w:t>
            </w:r>
          </w:p>
          <w:p w:rsidR="00E66A17" w:rsidRPr="00150FBA" w:rsidRDefault="00E66A17" w:rsidP="0002344D">
            <w:pPr>
              <w:rPr>
                <w:szCs w:val="22"/>
              </w:rPr>
            </w:pPr>
            <w:r w:rsidRPr="00150FBA">
              <w:rPr>
                <w:szCs w:val="22"/>
              </w:rPr>
              <w:t xml:space="preserve">Facility ID No. </w:t>
            </w:r>
            <w:r w:rsidR="0002344D">
              <w:rPr>
                <w:szCs w:val="22"/>
              </w:rPr>
              <w:t>197224</w:t>
            </w:r>
            <w:r w:rsidRPr="00150FBA">
              <w:rPr>
                <w:szCs w:val="22"/>
              </w:rPr>
              <w:t xml:space="preserve">        </w:t>
            </w:r>
          </w:p>
        </w:tc>
      </w:tr>
    </w:tbl>
    <w:p w:rsidR="007B35C9" w:rsidRDefault="007B35C9" w:rsidP="00F021FA">
      <w:pPr>
        <w:pStyle w:val="StyleBoldCentered"/>
      </w:pPr>
    </w:p>
    <w:p w:rsidR="00841AB1" w:rsidRDefault="00E66A17"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9132A">
        <w:rPr>
          <w:b/>
          <w:spacing w:val="-2"/>
        </w:rPr>
        <w:t>October 14,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9132A">
        <w:rPr>
          <w:b/>
          <w:spacing w:val="-2"/>
        </w:rPr>
        <w:t>October 15, 2014</w:t>
      </w:r>
    </w:p>
    <w:p w:rsidR="00822CE0" w:rsidRDefault="00822CE0"/>
    <w:p w:rsidR="004C2EE3" w:rsidRDefault="004C2EE3">
      <w:pPr>
        <w:rPr>
          <w:spacing w:val="-2"/>
        </w:rPr>
      </w:pPr>
      <w:r>
        <w:t xml:space="preserve">By </w:t>
      </w:r>
      <w:r w:rsidR="004E4A22">
        <w:t>the</w:t>
      </w:r>
      <w:r w:rsidR="002A2D2E">
        <w:t xml:space="preserve"> </w:t>
      </w:r>
      <w:r w:rsidR="00E66A17">
        <w:rPr>
          <w:spacing w:val="-2"/>
        </w:rPr>
        <w:t>Commission</w:t>
      </w:r>
      <w:r>
        <w:rPr>
          <w:spacing w:val="-2"/>
        </w:rPr>
        <w:t>:</w:t>
      </w:r>
    </w:p>
    <w:p w:rsidR="00412FC5" w:rsidRDefault="00412FC5" w:rsidP="00412FC5"/>
    <w:p w:rsidR="009F43BC" w:rsidRDefault="00E66A17" w:rsidP="009F43BC">
      <w:pPr>
        <w:pStyle w:val="ParaNum"/>
        <w:rPr>
          <w:szCs w:val="22"/>
        </w:rPr>
      </w:pPr>
      <w:r w:rsidRPr="00150FBA">
        <w:t xml:space="preserve">The Commission has before it </w:t>
      </w:r>
      <w:r>
        <w:t>an</w:t>
      </w:r>
      <w:r w:rsidRPr="00150FBA">
        <w:t xml:space="preserve"> Application for Review (“AFR</w:t>
      </w:r>
      <w:r>
        <w:t>”</w:t>
      </w:r>
      <w:r w:rsidRPr="00150FBA">
        <w:t xml:space="preserve">) </w:t>
      </w:r>
      <w:r>
        <w:t xml:space="preserve">filed by </w:t>
      </w:r>
      <w:r w:rsidR="009F43BC">
        <w:t>Clifford Brown Jazz Foundation (“CBJF”) on June 26, 2014.  In the AFR, CBJ</w:t>
      </w:r>
      <w:r w:rsidR="00002B53">
        <w:t>F</w:t>
      </w:r>
      <w:r w:rsidR="009F43BC">
        <w:t xml:space="preserve"> seeks review of the Media Bureau (“Bureau”) </w:t>
      </w:r>
      <w:r w:rsidR="00002B53">
        <w:t>decision</w:t>
      </w:r>
      <w:r w:rsidR="009F43BC">
        <w:t xml:space="preserve"> that affirmed the dismissal of its application </w:t>
      </w:r>
      <w:r w:rsidR="00CA7C29">
        <w:t xml:space="preserve">submitted during the October 2013 </w:t>
      </w:r>
      <w:r w:rsidR="00962DE2">
        <w:t>Low P</w:t>
      </w:r>
      <w:r w:rsidR="00CA7C29">
        <w:t xml:space="preserve">ower FM (“LPFM”) filing window </w:t>
      </w:r>
      <w:r w:rsidR="009F43BC">
        <w:t xml:space="preserve">for a new </w:t>
      </w:r>
      <w:r w:rsidR="00002B53">
        <w:t>station at Berkeley, California (“Application”).</w:t>
      </w:r>
      <w:r w:rsidR="00A41CCA">
        <w:rPr>
          <w:rStyle w:val="FootnoteReference"/>
        </w:rPr>
        <w:footnoteReference w:id="2"/>
      </w:r>
      <w:r w:rsidR="00002B53">
        <w:t xml:space="preserve">  The staff dismissed the Application</w:t>
      </w:r>
      <w:r w:rsidR="001D1539">
        <w:t xml:space="preserve"> – without </w:t>
      </w:r>
      <w:r w:rsidR="00E23B37">
        <w:t xml:space="preserve">providing CBJF the </w:t>
      </w:r>
      <w:r w:rsidR="001D1539">
        <w:t>opportunity to amend – be</w:t>
      </w:r>
      <w:r w:rsidR="00002B53">
        <w:t>cause it failed</w:t>
      </w:r>
      <w:r w:rsidR="00C8132F">
        <w:t xml:space="preserve"> to </w:t>
      </w:r>
      <w:r w:rsidR="001860D8">
        <w:t xml:space="preserve">meet the minimum </w:t>
      </w:r>
      <w:r w:rsidR="001860D8" w:rsidRPr="00FA0B28">
        <w:rPr>
          <w:szCs w:val="22"/>
        </w:rPr>
        <w:t>spacing requir</w:t>
      </w:r>
      <w:r w:rsidR="00C8132F" w:rsidRPr="00FA0B28">
        <w:rPr>
          <w:szCs w:val="22"/>
        </w:rPr>
        <w:t>e</w:t>
      </w:r>
      <w:r w:rsidR="001860D8" w:rsidRPr="00FA0B28">
        <w:rPr>
          <w:szCs w:val="22"/>
        </w:rPr>
        <w:t>ment</w:t>
      </w:r>
      <w:r w:rsidR="00C8132F" w:rsidRPr="00FA0B28">
        <w:rPr>
          <w:szCs w:val="22"/>
        </w:rPr>
        <w:t>s of Section 73.807 of the Commission’s Rules</w:t>
      </w:r>
      <w:r w:rsidR="00FA0B28">
        <w:rPr>
          <w:szCs w:val="22"/>
        </w:rPr>
        <w:t xml:space="preserve"> (“Rules”)</w:t>
      </w:r>
      <w:r w:rsidR="00C8132F" w:rsidRPr="00FA0B28">
        <w:rPr>
          <w:rStyle w:val="FootnoteReference"/>
          <w:sz w:val="22"/>
          <w:szCs w:val="22"/>
        </w:rPr>
        <w:footnoteReference w:id="3"/>
      </w:r>
      <w:r w:rsidR="00002B53">
        <w:rPr>
          <w:szCs w:val="22"/>
        </w:rPr>
        <w:t xml:space="preserve"> and </w:t>
      </w:r>
      <w:r w:rsidR="008C0E65">
        <w:rPr>
          <w:szCs w:val="22"/>
        </w:rPr>
        <w:t xml:space="preserve">CBJF </w:t>
      </w:r>
      <w:r w:rsidR="00002B53">
        <w:rPr>
          <w:szCs w:val="22"/>
        </w:rPr>
        <w:t>di</w:t>
      </w:r>
      <w:r w:rsidR="00962DE2">
        <w:rPr>
          <w:szCs w:val="22"/>
        </w:rPr>
        <w:t xml:space="preserve">d not request a </w:t>
      </w:r>
      <w:r w:rsidR="00002B53">
        <w:rPr>
          <w:szCs w:val="22"/>
        </w:rPr>
        <w:t>waiver</w:t>
      </w:r>
      <w:r w:rsidR="00962DE2">
        <w:rPr>
          <w:szCs w:val="22"/>
        </w:rPr>
        <w:t xml:space="preserve"> of </w:t>
      </w:r>
      <w:r w:rsidR="00682E27">
        <w:rPr>
          <w:szCs w:val="22"/>
        </w:rPr>
        <w:t>this rule</w:t>
      </w:r>
      <w:r w:rsidR="00002B53">
        <w:rPr>
          <w:szCs w:val="22"/>
        </w:rPr>
        <w:t>.</w:t>
      </w:r>
      <w:r w:rsidR="00002B53">
        <w:rPr>
          <w:rStyle w:val="FootnoteReference"/>
          <w:szCs w:val="22"/>
        </w:rPr>
        <w:footnoteReference w:id="4"/>
      </w:r>
      <w:r w:rsidR="001D1539">
        <w:rPr>
          <w:szCs w:val="22"/>
        </w:rPr>
        <w:t xml:space="preserve">  </w:t>
      </w:r>
    </w:p>
    <w:p w:rsidR="007E186F" w:rsidRPr="00EE776C" w:rsidRDefault="0022785D" w:rsidP="00EE776C">
      <w:pPr>
        <w:pStyle w:val="ParaNum"/>
        <w:widowControl/>
        <w:rPr>
          <w:szCs w:val="22"/>
        </w:rPr>
      </w:pPr>
      <w:r w:rsidRPr="00EE776C">
        <w:rPr>
          <w:szCs w:val="22"/>
        </w:rPr>
        <w:t>CBJ</w:t>
      </w:r>
      <w:r w:rsidR="00D2551A" w:rsidRPr="00EE776C">
        <w:rPr>
          <w:szCs w:val="22"/>
        </w:rPr>
        <w:t>F</w:t>
      </w:r>
      <w:r w:rsidRPr="00EE776C">
        <w:rPr>
          <w:szCs w:val="22"/>
        </w:rPr>
        <w:t xml:space="preserve"> </w:t>
      </w:r>
      <w:r w:rsidR="00371E4D" w:rsidRPr="00EE776C">
        <w:rPr>
          <w:szCs w:val="22"/>
        </w:rPr>
        <w:t>requests that the Commission reinstate the Application and allow it to fi</w:t>
      </w:r>
      <w:r w:rsidR="0032036A" w:rsidRPr="00EE776C">
        <w:rPr>
          <w:szCs w:val="22"/>
        </w:rPr>
        <w:t>le</w:t>
      </w:r>
      <w:r w:rsidR="00371E4D" w:rsidRPr="00EE776C">
        <w:rPr>
          <w:szCs w:val="22"/>
        </w:rPr>
        <w:t xml:space="preserve"> an amendment with a second-adjacent </w:t>
      </w:r>
      <w:r w:rsidR="00EE776C" w:rsidRPr="005F35D9">
        <w:rPr>
          <w:szCs w:val="22"/>
        </w:rPr>
        <w:t xml:space="preserve">channel </w:t>
      </w:r>
      <w:r w:rsidR="00371E4D" w:rsidRPr="005F35D9">
        <w:rPr>
          <w:szCs w:val="22"/>
        </w:rPr>
        <w:t xml:space="preserve">waiver request.  It </w:t>
      </w:r>
      <w:r w:rsidRPr="005F35D9">
        <w:rPr>
          <w:szCs w:val="22"/>
        </w:rPr>
        <w:t xml:space="preserve">argues </w:t>
      </w:r>
      <w:r w:rsidR="00FA43A3" w:rsidRPr="005F35D9">
        <w:rPr>
          <w:szCs w:val="22"/>
        </w:rPr>
        <w:t xml:space="preserve">that prohibiting LPFM applicants to </w:t>
      </w:r>
      <w:r w:rsidR="000F2926" w:rsidRPr="005F35D9">
        <w:rPr>
          <w:szCs w:val="22"/>
        </w:rPr>
        <w:t xml:space="preserve">correct </w:t>
      </w:r>
      <w:r w:rsidR="003A293C" w:rsidRPr="005F35D9">
        <w:rPr>
          <w:szCs w:val="22"/>
        </w:rPr>
        <w:t>Section 73.807</w:t>
      </w:r>
      <w:r w:rsidR="000F2926" w:rsidRPr="005F35D9">
        <w:rPr>
          <w:szCs w:val="22"/>
        </w:rPr>
        <w:t xml:space="preserve"> defects</w:t>
      </w:r>
      <w:r w:rsidR="00FA43A3" w:rsidRPr="005F35D9">
        <w:rPr>
          <w:szCs w:val="22"/>
        </w:rPr>
        <w:t>, but allowing applicants in other broadcast service</w:t>
      </w:r>
      <w:r w:rsidR="008C0E65">
        <w:rPr>
          <w:szCs w:val="22"/>
        </w:rPr>
        <w:t>s</w:t>
      </w:r>
      <w:r w:rsidR="00FA43A3" w:rsidRPr="005F35D9">
        <w:rPr>
          <w:szCs w:val="22"/>
        </w:rPr>
        <w:t xml:space="preserve"> to file similar curative amendments,</w:t>
      </w:r>
      <w:r w:rsidR="000F2926" w:rsidRPr="005F35D9">
        <w:rPr>
          <w:szCs w:val="22"/>
        </w:rPr>
        <w:t xml:space="preserve"> </w:t>
      </w:r>
      <w:r w:rsidR="00FB4CB2">
        <w:rPr>
          <w:szCs w:val="22"/>
        </w:rPr>
        <w:t>“does not comport with the directive”</w:t>
      </w:r>
      <w:r w:rsidR="000F2926" w:rsidRPr="005F35D9">
        <w:rPr>
          <w:szCs w:val="22"/>
        </w:rPr>
        <w:t xml:space="preserve"> </w:t>
      </w:r>
      <w:r w:rsidR="00E23B37">
        <w:rPr>
          <w:szCs w:val="22"/>
        </w:rPr>
        <w:t>in</w:t>
      </w:r>
      <w:r w:rsidR="002D4606" w:rsidRPr="005F35D9">
        <w:rPr>
          <w:szCs w:val="22"/>
        </w:rPr>
        <w:t xml:space="preserve"> </w:t>
      </w:r>
      <w:r w:rsidR="007E186F" w:rsidRPr="005F35D9">
        <w:rPr>
          <w:szCs w:val="22"/>
        </w:rPr>
        <w:t>Section 307</w:t>
      </w:r>
      <w:r w:rsidR="002D4606" w:rsidRPr="005F35D9">
        <w:rPr>
          <w:szCs w:val="22"/>
        </w:rPr>
        <w:t>(b)</w:t>
      </w:r>
      <w:r w:rsidR="007E186F" w:rsidRPr="005F35D9">
        <w:rPr>
          <w:szCs w:val="22"/>
        </w:rPr>
        <w:t xml:space="preserve"> of the Communications A</w:t>
      </w:r>
      <w:r w:rsidR="000F2926" w:rsidRPr="005F35D9">
        <w:rPr>
          <w:szCs w:val="22"/>
        </w:rPr>
        <w:t xml:space="preserve">ct of </w:t>
      </w:r>
      <w:r w:rsidR="000F2926" w:rsidRPr="005F35D9">
        <w:rPr>
          <w:szCs w:val="22"/>
        </w:rPr>
        <w:lastRenderedPageBreak/>
        <w:t>1934, as amended (“Act”)</w:t>
      </w:r>
      <w:r w:rsidR="0094442B" w:rsidRPr="005F35D9">
        <w:rPr>
          <w:szCs w:val="22"/>
        </w:rPr>
        <w:t xml:space="preserve"> </w:t>
      </w:r>
      <w:r w:rsidR="00E23B37">
        <w:rPr>
          <w:szCs w:val="22"/>
        </w:rPr>
        <w:t xml:space="preserve">that the Commission make a fair, efficient and equitable distribution of licenses </w:t>
      </w:r>
      <w:r w:rsidR="0094442B" w:rsidRPr="005F35D9">
        <w:rPr>
          <w:szCs w:val="22"/>
        </w:rPr>
        <w:t xml:space="preserve">by treating LPFM </w:t>
      </w:r>
      <w:r w:rsidR="00EE776C" w:rsidRPr="005F35D9">
        <w:rPr>
          <w:szCs w:val="22"/>
        </w:rPr>
        <w:t xml:space="preserve">and </w:t>
      </w:r>
      <w:r w:rsidR="008C0E65">
        <w:rPr>
          <w:szCs w:val="22"/>
        </w:rPr>
        <w:t>other services of</w:t>
      </w:r>
      <w:r w:rsidR="00EE776C" w:rsidRPr="005F35D9">
        <w:rPr>
          <w:szCs w:val="22"/>
        </w:rPr>
        <w:t xml:space="preserve"> </w:t>
      </w:r>
      <w:r w:rsidR="00E94FFB" w:rsidRPr="005F35D9">
        <w:rPr>
          <w:szCs w:val="22"/>
        </w:rPr>
        <w:t>stations</w:t>
      </w:r>
      <w:r w:rsidR="0094442B" w:rsidRPr="005F35D9">
        <w:rPr>
          <w:szCs w:val="22"/>
        </w:rPr>
        <w:t xml:space="preserve"> different</w:t>
      </w:r>
      <w:r w:rsidR="00EE776C" w:rsidRPr="005F35D9">
        <w:rPr>
          <w:szCs w:val="22"/>
        </w:rPr>
        <w:t>ly</w:t>
      </w:r>
      <w:r w:rsidR="000F2926" w:rsidRPr="005F35D9">
        <w:rPr>
          <w:szCs w:val="22"/>
        </w:rPr>
        <w:t>.</w:t>
      </w:r>
      <w:r w:rsidR="00912FDD" w:rsidRPr="006A3FBD">
        <w:rPr>
          <w:rStyle w:val="FootnoteReference"/>
          <w:sz w:val="22"/>
          <w:szCs w:val="22"/>
        </w:rPr>
        <w:footnoteReference w:id="5"/>
      </w:r>
      <w:r w:rsidR="003A293C" w:rsidRPr="00EE776C">
        <w:rPr>
          <w:szCs w:val="22"/>
        </w:rPr>
        <w:t xml:space="preserve">  </w:t>
      </w:r>
      <w:r w:rsidR="006A3FBD" w:rsidRPr="00EE776C">
        <w:rPr>
          <w:szCs w:val="22"/>
        </w:rPr>
        <w:t xml:space="preserve">We disagree.  </w:t>
      </w:r>
      <w:r w:rsidR="00395531" w:rsidRPr="005F35D9">
        <w:rPr>
          <w:szCs w:val="22"/>
        </w:rPr>
        <w:t xml:space="preserve">Section 307(b) does not require that the Commission apply uniform processing rules to </w:t>
      </w:r>
      <w:r w:rsidR="00EE776C" w:rsidRPr="005F35D9">
        <w:rPr>
          <w:szCs w:val="22"/>
        </w:rPr>
        <w:t xml:space="preserve">all radio </w:t>
      </w:r>
      <w:r w:rsidR="00395531" w:rsidRPr="005F35D9">
        <w:rPr>
          <w:szCs w:val="22"/>
        </w:rPr>
        <w:t>service</w:t>
      </w:r>
      <w:r w:rsidR="00EE776C" w:rsidRPr="005F35D9">
        <w:rPr>
          <w:szCs w:val="22"/>
        </w:rPr>
        <w:t>s</w:t>
      </w:r>
      <w:r w:rsidR="00395531" w:rsidRPr="005F35D9">
        <w:rPr>
          <w:szCs w:val="22"/>
        </w:rPr>
        <w:t>.</w:t>
      </w:r>
      <w:r w:rsidR="00395531">
        <w:rPr>
          <w:rStyle w:val="FootnoteReference"/>
          <w:szCs w:val="22"/>
        </w:rPr>
        <w:footnoteReference w:id="6"/>
      </w:r>
      <w:r w:rsidR="00395531" w:rsidRPr="00EE776C">
        <w:rPr>
          <w:szCs w:val="22"/>
        </w:rPr>
        <w:t xml:space="preserve">  The Commission retains </w:t>
      </w:r>
      <w:r w:rsidR="002158AB" w:rsidRPr="00EE776C">
        <w:rPr>
          <w:szCs w:val="22"/>
        </w:rPr>
        <w:t>the discretion</w:t>
      </w:r>
      <w:r w:rsidR="00395531" w:rsidRPr="00EE776C">
        <w:rPr>
          <w:szCs w:val="22"/>
        </w:rPr>
        <w:t xml:space="preserve"> to </w:t>
      </w:r>
      <w:r w:rsidR="002158AB" w:rsidRPr="00EE776C">
        <w:rPr>
          <w:szCs w:val="22"/>
        </w:rPr>
        <w:t xml:space="preserve">develop and </w:t>
      </w:r>
      <w:r w:rsidR="00395531" w:rsidRPr="00EE776C">
        <w:rPr>
          <w:szCs w:val="22"/>
        </w:rPr>
        <w:t xml:space="preserve">apply processing </w:t>
      </w:r>
      <w:r w:rsidR="002158AB" w:rsidRPr="00EE776C">
        <w:rPr>
          <w:szCs w:val="22"/>
        </w:rPr>
        <w:t>policies</w:t>
      </w:r>
      <w:r w:rsidR="00395531" w:rsidRPr="00EE776C">
        <w:rPr>
          <w:szCs w:val="22"/>
        </w:rPr>
        <w:t>.</w:t>
      </w:r>
      <w:r w:rsidR="00395531">
        <w:rPr>
          <w:rStyle w:val="FootnoteReference"/>
          <w:szCs w:val="22"/>
        </w:rPr>
        <w:footnoteReference w:id="7"/>
      </w:r>
      <w:r w:rsidR="00395531" w:rsidRPr="00EE776C">
        <w:rPr>
          <w:szCs w:val="22"/>
        </w:rPr>
        <w:t xml:space="preserve">  Accordingly, </w:t>
      </w:r>
      <w:r w:rsidR="00D87D98" w:rsidRPr="005F35D9">
        <w:rPr>
          <w:szCs w:val="22"/>
        </w:rPr>
        <w:t xml:space="preserve">the Commission has </w:t>
      </w:r>
      <w:r w:rsidR="00395531" w:rsidRPr="005F35D9">
        <w:rPr>
          <w:szCs w:val="22"/>
        </w:rPr>
        <w:t xml:space="preserve">adopted </w:t>
      </w:r>
      <w:r w:rsidR="00AB2722" w:rsidRPr="005F35D9">
        <w:rPr>
          <w:szCs w:val="22"/>
        </w:rPr>
        <w:t xml:space="preserve">processing </w:t>
      </w:r>
      <w:r w:rsidR="00395531" w:rsidRPr="005F35D9">
        <w:rPr>
          <w:szCs w:val="22"/>
        </w:rPr>
        <w:t>rules tailored to the unique characteristic</w:t>
      </w:r>
      <w:r w:rsidR="00B77C0F" w:rsidRPr="005F35D9">
        <w:rPr>
          <w:szCs w:val="22"/>
        </w:rPr>
        <w:t>s</w:t>
      </w:r>
      <w:r w:rsidR="00395531" w:rsidRPr="005F35D9">
        <w:rPr>
          <w:szCs w:val="22"/>
        </w:rPr>
        <w:t xml:space="preserve"> of each service, </w:t>
      </w:r>
      <w:r w:rsidR="00F0086A" w:rsidRPr="005F35D9">
        <w:rPr>
          <w:szCs w:val="22"/>
        </w:rPr>
        <w:t>particularly</w:t>
      </w:r>
      <w:r w:rsidR="00D87D98" w:rsidRPr="005F35D9">
        <w:rPr>
          <w:szCs w:val="22"/>
        </w:rPr>
        <w:t xml:space="preserve"> for</w:t>
      </w:r>
      <w:r w:rsidR="002158AB" w:rsidRPr="005F35D9">
        <w:rPr>
          <w:szCs w:val="22"/>
        </w:rPr>
        <w:t xml:space="preserve"> processing applications submitted during</w:t>
      </w:r>
      <w:r w:rsidR="00D87D98" w:rsidRPr="005F35D9">
        <w:rPr>
          <w:szCs w:val="22"/>
        </w:rPr>
        <w:t xml:space="preserve"> filing windows.</w:t>
      </w:r>
      <w:r w:rsidR="00F0086A">
        <w:rPr>
          <w:rStyle w:val="FootnoteReference"/>
          <w:szCs w:val="22"/>
        </w:rPr>
        <w:footnoteReference w:id="8"/>
      </w:r>
      <w:r w:rsidR="00EE776C" w:rsidRPr="00EE776C">
        <w:rPr>
          <w:szCs w:val="22"/>
        </w:rPr>
        <w:t xml:space="preserve">  </w:t>
      </w:r>
      <w:r w:rsidR="006F3417" w:rsidRPr="005F35D9">
        <w:rPr>
          <w:szCs w:val="22"/>
        </w:rPr>
        <w:t>Thus, when the Commission established the LPFM s</w:t>
      </w:r>
      <w:r w:rsidR="00E94FFB" w:rsidRPr="005F35D9">
        <w:rPr>
          <w:szCs w:val="22"/>
        </w:rPr>
        <w:t>ervice, it adopted Section 73.8</w:t>
      </w:r>
      <w:r w:rsidR="006F3417" w:rsidRPr="005F35D9">
        <w:rPr>
          <w:szCs w:val="22"/>
        </w:rPr>
        <w:t>7</w:t>
      </w:r>
      <w:r w:rsidR="00E94FFB" w:rsidRPr="005F35D9">
        <w:rPr>
          <w:szCs w:val="22"/>
        </w:rPr>
        <w:t>0</w:t>
      </w:r>
      <w:r w:rsidR="006F3417" w:rsidRPr="005F35D9">
        <w:rPr>
          <w:szCs w:val="22"/>
        </w:rPr>
        <w:t xml:space="preserve">(c) </w:t>
      </w:r>
      <w:r w:rsidR="00E94FFB" w:rsidRPr="005F35D9">
        <w:rPr>
          <w:szCs w:val="22"/>
        </w:rPr>
        <w:t>to prevent</w:t>
      </w:r>
      <w:r w:rsidR="006F3417" w:rsidRPr="005F35D9">
        <w:rPr>
          <w:szCs w:val="22"/>
        </w:rPr>
        <w:t xml:space="preserve"> defective applications </w:t>
      </w:r>
      <w:r w:rsidR="00E94FFB" w:rsidRPr="005F35D9">
        <w:rPr>
          <w:szCs w:val="22"/>
        </w:rPr>
        <w:t>from</w:t>
      </w:r>
      <w:r w:rsidR="006F3417" w:rsidRPr="005F35D9">
        <w:rPr>
          <w:szCs w:val="22"/>
        </w:rPr>
        <w:t xml:space="preserve"> delay</w:t>
      </w:r>
      <w:r w:rsidR="00E94FFB" w:rsidRPr="005F35D9">
        <w:rPr>
          <w:szCs w:val="22"/>
        </w:rPr>
        <w:t>ing</w:t>
      </w:r>
      <w:r w:rsidR="006F3417" w:rsidRPr="005F35D9">
        <w:rPr>
          <w:szCs w:val="22"/>
        </w:rPr>
        <w:t xml:space="preserve"> the processing of </w:t>
      </w:r>
      <w:r w:rsidR="00E94FFB" w:rsidRPr="005F35D9">
        <w:rPr>
          <w:szCs w:val="22"/>
        </w:rPr>
        <w:t xml:space="preserve">acceptable </w:t>
      </w:r>
      <w:r w:rsidR="006F3417" w:rsidRPr="005F35D9">
        <w:rPr>
          <w:szCs w:val="22"/>
        </w:rPr>
        <w:t>LPFM applications.</w:t>
      </w:r>
      <w:r w:rsidR="006F3417" w:rsidRPr="006A3FBD">
        <w:rPr>
          <w:rStyle w:val="FootnoteReference"/>
          <w:sz w:val="22"/>
          <w:szCs w:val="22"/>
        </w:rPr>
        <w:footnoteReference w:id="9"/>
      </w:r>
      <w:r w:rsidR="006F3417" w:rsidRPr="00EE776C">
        <w:rPr>
          <w:szCs w:val="22"/>
        </w:rPr>
        <w:t xml:space="preserve">  </w:t>
      </w:r>
      <w:r w:rsidR="006A3FBD" w:rsidRPr="00EE776C">
        <w:rPr>
          <w:szCs w:val="22"/>
        </w:rPr>
        <w:t xml:space="preserve">The LCRA and subsequent orders in the LPFM proceeding did not </w:t>
      </w:r>
      <w:r w:rsidR="00E94FFB" w:rsidRPr="00EE776C">
        <w:rPr>
          <w:szCs w:val="22"/>
        </w:rPr>
        <w:t xml:space="preserve">address or otherwise </w:t>
      </w:r>
      <w:r w:rsidR="006A3FBD" w:rsidRPr="005F35D9">
        <w:rPr>
          <w:szCs w:val="22"/>
        </w:rPr>
        <w:t xml:space="preserve">modify </w:t>
      </w:r>
      <w:r w:rsidR="00E94FFB" w:rsidRPr="005F35D9">
        <w:rPr>
          <w:szCs w:val="22"/>
        </w:rPr>
        <w:t>Section 73.8</w:t>
      </w:r>
      <w:r w:rsidR="006A3FBD" w:rsidRPr="005F35D9">
        <w:rPr>
          <w:szCs w:val="22"/>
        </w:rPr>
        <w:t>7</w:t>
      </w:r>
      <w:r w:rsidR="00E94FFB" w:rsidRPr="005F35D9">
        <w:rPr>
          <w:szCs w:val="22"/>
        </w:rPr>
        <w:t>0</w:t>
      </w:r>
      <w:r w:rsidR="006A3FBD" w:rsidRPr="005F35D9">
        <w:rPr>
          <w:szCs w:val="22"/>
        </w:rPr>
        <w:t xml:space="preserve">(c).  </w:t>
      </w:r>
      <w:r w:rsidR="009C02AD" w:rsidRPr="005F35D9">
        <w:rPr>
          <w:szCs w:val="22"/>
        </w:rPr>
        <w:t xml:space="preserve">Moreover, to the extent that </w:t>
      </w:r>
      <w:r w:rsidR="00E94FFB" w:rsidRPr="005F35D9">
        <w:rPr>
          <w:szCs w:val="22"/>
        </w:rPr>
        <w:t>CBJF believes that Section 73.8</w:t>
      </w:r>
      <w:r w:rsidR="009C02AD" w:rsidRPr="005F35D9">
        <w:rPr>
          <w:szCs w:val="22"/>
        </w:rPr>
        <w:t>7</w:t>
      </w:r>
      <w:r w:rsidR="00E94FFB" w:rsidRPr="005F35D9">
        <w:rPr>
          <w:szCs w:val="22"/>
        </w:rPr>
        <w:t>0(c)</w:t>
      </w:r>
      <w:r w:rsidR="009C02AD" w:rsidRPr="005F35D9">
        <w:rPr>
          <w:szCs w:val="22"/>
        </w:rPr>
        <w:t xml:space="preserve"> should be altered, the proper forum is a </w:t>
      </w:r>
      <w:r w:rsidR="003C7443" w:rsidRPr="005F35D9">
        <w:rPr>
          <w:szCs w:val="22"/>
        </w:rPr>
        <w:t xml:space="preserve">notice and comment </w:t>
      </w:r>
      <w:r w:rsidR="006F3417" w:rsidRPr="005F35D9">
        <w:rPr>
          <w:szCs w:val="22"/>
        </w:rPr>
        <w:t>rule-making proceeding.</w:t>
      </w:r>
      <w:r w:rsidR="005609CF" w:rsidRPr="00526CCC">
        <w:rPr>
          <w:rStyle w:val="FootnoteReference"/>
          <w:color w:val="000000"/>
          <w:szCs w:val="22"/>
        </w:rPr>
        <w:footnoteReference w:id="10"/>
      </w:r>
    </w:p>
    <w:p w:rsidR="005F4E1B" w:rsidRPr="005F4E1B" w:rsidRDefault="00F4659A" w:rsidP="007E186F">
      <w:pPr>
        <w:pStyle w:val="ParaNum"/>
        <w:widowControl/>
      </w:pPr>
      <w:r>
        <w:lastRenderedPageBreak/>
        <w:t>CBJ</w:t>
      </w:r>
      <w:r w:rsidR="00D2551A">
        <w:t>F</w:t>
      </w:r>
      <w:r>
        <w:t xml:space="preserve"> also argu</w:t>
      </w:r>
      <w:r w:rsidR="00C172A1">
        <w:t>es, for the first time on review, that Section 5 of the</w:t>
      </w:r>
      <w:r>
        <w:t xml:space="preserve"> </w:t>
      </w:r>
      <w:r w:rsidR="00F77987">
        <w:t xml:space="preserve">LCRA </w:t>
      </w:r>
      <w:r w:rsidR="00D2551A">
        <w:t>requires that</w:t>
      </w:r>
      <w:r w:rsidR="005458BC">
        <w:t xml:space="preserve"> LPFM and FM translator stations</w:t>
      </w:r>
      <w:r w:rsidR="00C172A1">
        <w:t xml:space="preserve"> </w:t>
      </w:r>
      <w:r w:rsidR="00D2551A">
        <w:t>be treated</w:t>
      </w:r>
      <w:r w:rsidR="00C172A1">
        <w:t xml:space="preserve"> equal</w:t>
      </w:r>
      <w:r w:rsidR="00D2551A">
        <w:t>ly</w:t>
      </w:r>
      <w:r w:rsidR="00C172A1">
        <w:t xml:space="preserve">, </w:t>
      </w:r>
      <w:r w:rsidR="0023203E">
        <w:t xml:space="preserve">and thus </w:t>
      </w:r>
      <w:r w:rsidR="00C172A1">
        <w:t>“allowing translators curative amendment while barring LPFM applications the same option means translator applicants are given preferential filing treatment.”</w:t>
      </w:r>
      <w:r w:rsidR="00C172A1">
        <w:rPr>
          <w:rStyle w:val="FootnoteReference"/>
        </w:rPr>
        <w:footnoteReference w:id="11"/>
      </w:r>
      <w:r w:rsidR="009C02AD">
        <w:t xml:space="preserve">  </w:t>
      </w:r>
      <w:r w:rsidR="00FA0B28" w:rsidRPr="00FA0B28">
        <w:t>Section 5(c)(5) of the Act and Section 1.115(c) of the Rules bar applications for review that rely “on questions of fact or law upon which the [designated authority issuing the decision] has been afforded no opportunity to pass.”</w:t>
      </w:r>
      <w:r w:rsidR="00FA0B28" w:rsidRPr="00FA0B28">
        <w:rPr>
          <w:rStyle w:val="FootnoteReference"/>
          <w:sz w:val="22"/>
          <w:szCs w:val="22"/>
        </w:rPr>
        <w:footnoteReference w:id="12"/>
      </w:r>
      <w:r w:rsidR="00FA0B28" w:rsidRPr="00FA0B28">
        <w:t xml:space="preserve">  </w:t>
      </w:r>
      <w:r w:rsidR="00AF70A9">
        <w:t>CBJF</w:t>
      </w:r>
      <w:r w:rsidR="00DE7652" w:rsidRPr="00FA0B28">
        <w:t xml:space="preserve"> </w:t>
      </w:r>
      <w:r w:rsidR="005F4E1B" w:rsidRPr="00FA0B28">
        <w:t>never</w:t>
      </w:r>
      <w:r w:rsidR="005F4E1B">
        <w:t xml:space="preserve"> </w:t>
      </w:r>
      <w:r w:rsidR="00FA0B28">
        <w:t xml:space="preserve">presented to the Bureau its argument that </w:t>
      </w:r>
      <w:r w:rsidR="00E94FFB">
        <w:t xml:space="preserve">Section 5 of the </w:t>
      </w:r>
      <w:r w:rsidR="00AF70A9">
        <w:t xml:space="preserve">LCRA requires allowing LPFMs to file </w:t>
      </w:r>
      <w:r w:rsidR="003C69C9">
        <w:t>amendments</w:t>
      </w:r>
      <w:r w:rsidR="006529E2">
        <w:t xml:space="preserve"> curing second-adjacent spacing defects</w:t>
      </w:r>
      <w:r w:rsidR="00AF70A9">
        <w:t>.</w:t>
      </w:r>
      <w:r w:rsidR="005F4E1B">
        <w:t xml:space="preserve"> </w:t>
      </w:r>
      <w:r w:rsidR="00FA0B28">
        <w:t xml:space="preserve"> </w:t>
      </w:r>
      <w:r w:rsidR="005F4E1B">
        <w:t xml:space="preserve">Accordingly, we will dismiss the </w:t>
      </w:r>
      <w:r w:rsidR="00FA0B28">
        <w:t>AFR</w:t>
      </w:r>
      <w:r w:rsidR="00E94FFB">
        <w:t xml:space="preserve"> to the extent it relies on this argument</w:t>
      </w:r>
      <w:r w:rsidR="00FA0B28">
        <w:t>.</w:t>
      </w:r>
      <w:r w:rsidR="003C7443">
        <w:rPr>
          <w:rStyle w:val="FootnoteReference"/>
        </w:rPr>
        <w:footnoteReference w:id="13"/>
      </w:r>
      <w:r w:rsidR="005F4E1B">
        <w:t xml:space="preserve">  </w:t>
      </w:r>
    </w:p>
    <w:p w:rsidR="00D03AD7" w:rsidRPr="00EC5899" w:rsidRDefault="00D03AD7" w:rsidP="00D03AD7">
      <w:pPr>
        <w:pStyle w:val="ParaNum"/>
        <w:spacing w:after="220"/>
      </w:pPr>
      <w:r w:rsidRPr="007B7840">
        <w:t>ACCORDINGLY, IT IS ORDERED that</w:t>
      </w:r>
      <w:r>
        <w:t xml:space="preserve"> the Application for Review filed </w:t>
      </w:r>
      <w:r w:rsidR="00EB4159">
        <w:t xml:space="preserve">on June 26 2014, </w:t>
      </w:r>
      <w:r>
        <w:t xml:space="preserve">by Clifford Brown Jazz Foundation: </w:t>
      </w:r>
      <w:r w:rsidRPr="007B7840">
        <w:t xml:space="preserve"> </w:t>
      </w:r>
      <w:r>
        <w:t xml:space="preserve">(1) </w:t>
      </w:r>
      <w:r w:rsidRPr="007B7840">
        <w:t xml:space="preserve">IS DISMISSED, pursuant to </w:t>
      </w:r>
      <w:r>
        <w:t>Section 5(c)(5) of the Communications Act of 1934, as amended, and Section 1.115(c) of the Commission’s Rules</w:t>
      </w:r>
      <w:r w:rsidRPr="007B7840">
        <w:t>,</w:t>
      </w:r>
      <w:r>
        <w:rPr>
          <w:rStyle w:val="FootnoteReference"/>
        </w:rPr>
        <w:footnoteReference w:id="14"/>
      </w:r>
      <w:r w:rsidRPr="007B7840">
        <w:t xml:space="preserve"> to the extent that it relies on questions of fact or law not previously presented to the Bureau; and (2) otherwise IS DENIED, pursuant to </w:t>
      </w:r>
      <w:r>
        <w:t>S</w:t>
      </w:r>
      <w:r w:rsidRPr="007B7840">
        <w:t xml:space="preserve">ection 5(c)(5) of the Communications Act of 1934, as amended, and </w:t>
      </w:r>
      <w:r>
        <w:t>S</w:t>
      </w:r>
      <w:r w:rsidRPr="007B7840">
        <w:t>ectio</w:t>
      </w:r>
      <w:r>
        <w:t>n 1.115(g) of the Commission’s Rules.</w:t>
      </w:r>
      <w:r w:rsidRPr="007B7840">
        <w:t xml:space="preserve"> </w:t>
      </w:r>
    </w:p>
    <w:p w:rsidR="00E66A17" w:rsidRPr="006358C3" w:rsidRDefault="00E66A17" w:rsidP="00E66A17">
      <w:r w:rsidRPr="006358C3">
        <w:tab/>
      </w:r>
      <w:r w:rsidRPr="006358C3">
        <w:tab/>
      </w:r>
      <w:r w:rsidRPr="006358C3">
        <w:tab/>
      </w:r>
      <w:r w:rsidRPr="006358C3">
        <w:tab/>
      </w:r>
      <w:r w:rsidRPr="006358C3">
        <w:tab/>
      </w:r>
      <w:r w:rsidRPr="006358C3">
        <w:tab/>
        <w:t>FEDERAL COMMUNICATIONS COMMISSION</w:t>
      </w:r>
    </w:p>
    <w:p w:rsidR="00E66A17" w:rsidRDefault="00E66A17" w:rsidP="00E66A17"/>
    <w:p w:rsidR="00E66A17" w:rsidRDefault="00E66A17" w:rsidP="00E66A17"/>
    <w:p w:rsidR="00E66A17" w:rsidRDefault="00E66A17" w:rsidP="00E66A17"/>
    <w:p w:rsidR="008F3DB3" w:rsidRPr="006358C3" w:rsidRDefault="008F3DB3" w:rsidP="00E66A17"/>
    <w:p w:rsidR="00E66A17" w:rsidRPr="006358C3" w:rsidRDefault="00E66A17" w:rsidP="00E66A17">
      <w:r>
        <w:t xml:space="preserve"> </w:t>
      </w:r>
      <w:r>
        <w:tab/>
      </w:r>
      <w:r>
        <w:tab/>
      </w:r>
      <w:r>
        <w:tab/>
      </w:r>
      <w:r>
        <w:tab/>
      </w:r>
      <w:r>
        <w:tab/>
      </w:r>
      <w:r>
        <w:tab/>
      </w:r>
      <w:r w:rsidRPr="006358C3">
        <w:t>Marlene H. Dortch</w:t>
      </w:r>
    </w:p>
    <w:p w:rsidR="002C00E8" w:rsidRPr="002C00E8" w:rsidRDefault="00E66A17" w:rsidP="007B35C9">
      <w:r>
        <w:t xml:space="preserve"> </w:t>
      </w:r>
      <w:r>
        <w:tab/>
      </w:r>
      <w:r>
        <w:tab/>
      </w:r>
      <w:r>
        <w:tab/>
      </w:r>
      <w:r>
        <w:tab/>
      </w:r>
      <w:r>
        <w:tab/>
      </w:r>
      <w:r>
        <w:tab/>
      </w:r>
      <w:r w:rsidRPr="006358C3">
        <w:t>Secretary</w:t>
      </w:r>
    </w:p>
    <w:sectPr w:rsidR="002C00E8" w:rsidRPr="002C00E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B92" w:rsidRDefault="00425B92">
      <w:pPr>
        <w:spacing w:line="20" w:lineRule="exact"/>
      </w:pPr>
    </w:p>
  </w:endnote>
  <w:endnote w:type="continuationSeparator" w:id="0">
    <w:p w:rsidR="00425B92" w:rsidRDefault="00425B92">
      <w:r>
        <w:t xml:space="preserve"> </w:t>
      </w:r>
    </w:p>
  </w:endnote>
  <w:endnote w:type="continuationNotice" w:id="1">
    <w:p w:rsidR="00425B92" w:rsidRDefault="00425B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E0A9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B92" w:rsidRDefault="00425B92">
      <w:r>
        <w:separator/>
      </w:r>
    </w:p>
  </w:footnote>
  <w:footnote w:type="continuationSeparator" w:id="0">
    <w:p w:rsidR="00425B92" w:rsidRDefault="00425B92" w:rsidP="00C721AC">
      <w:pPr>
        <w:spacing w:before="120"/>
        <w:rPr>
          <w:sz w:val="20"/>
        </w:rPr>
      </w:pPr>
      <w:r>
        <w:rPr>
          <w:sz w:val="20"/>
        </w:rPr>
        <w:t xml:space="preserve">(Continued from previous page)  </w:t>
      </w:r>
      <w:r>
        <w:rPr>
          <w:sz w:val="20"/>
        </w:rPr>
        <w:separator/>
      </w:r>
    </w:p>
  </w:footnote>
  <w:footnote w:type="continuationNotice" w:id="1">
    <w:p w:rsidR="00425B92" w:rsidRDefault="00425B92" w:rsidP="00C721AC">
      <w:pPr>
        <w:jc w:val="right"/>
        <w:rPr>
          <w:sz w:val="20"/>
        </w:rPr>
      </w:pPr>
      <w:r>
        <w:rPr>
          <w:sz w:val="20"/>
        </w:rPr>
        <w:t>(continued….)</w:t>
      </w:r>
    </w:p>
  </w:footnote>
  <w:footnote w:id="2">
    <w:p w:rsidR="00A41CCA" w:rsidRPr="005609CF" w:rsidRDefault="00A41CCA" w:rsidP="00A41CCA">
      <w:pPr>
        <w:pStyle w:val="FootnoteText"/>
      </w:pPr>
      <w:r w:rsidRPr="005609CF">
        <w:rPr>
          <w:rStyle w:val="FootnoteReference"/>
        </w:rPr>
        <w:footnoteRef/>
      </w:r>
      <w:r w:rsidRPr="005609CF">
        <w:t xml:space="preserve"> </w:t>
      </w:r>
      <w:r w:rsidRPr="005609CF">
        <w:rPr>
          <w:i/>
        </w:rPr>
        <w:t>Letter to Clifford Brown Jazz Foundation from James D. Bradshaw</w:t>
      </w:r>
      <w:r w:rsidRPr="005609CF">
        <w:t>, Ref-1800 (MB May 21, 2014) (“</w:t>
      </w:r>
      <w:r w:rsidRPr="005609CF">
        <w:rPr>
          <w:i/>
        </w:rPr>
        <w:t>Reconsideration Decision</w:t>
      </w:r>
      <w:r w:rsidRPr="005609CF">
        <w:t xml:space="preserve">”); </w:t>
      </w:r>
      <w:r w:rsidRPr="005609CF">
        <w:rPr>
          <w:i/>
        </w:rPr>
        <w:t>Letter to Clifford Brown Jazz Foundation from James D. Bradshaw</w:t>
      </w:r>
      <w:r w:rsidRPr="005609CF">
        <w:t>, Ref-1800 (MB Mar. 13, 2014) (“</w:t>
      </w:r>
      <w:r w:rsidRPr="005609CF">
        <w:rPr>
          <w:i/>
        </w:rPr>
        <w:t>Dismissal Letter</w:t>
      </w:r>
      <w:r w:rsidRPr="005609CF">
        <w:t xml:space="preserve">”).  </w:t>
      </w:r>
      <w:r w:rsidRPr="005609CF">
        <w:tab/>
      </w:r>
    </w:p>
  </w:footnote>
  <w:footnote w:id="3">
    <w:p w:rsidR="00C8132F" w:rsidRPr="005609CF" w:rsidRDefault="00C8132F">
      <w:pPr>
        <w:pStyle w:val="FootnoteText"/>
      </w:pPr>
      <w:r w:rsidRPr="005609CF">
        <w:rPr>
          <w:rStyle w:val="FootnoteReference"/>
        </w:rPr>
        <w:footnoteRef/>
      </w:r>
      <w:r w:rsidR="005609CF">
        <w:t xml:space="preserve"> 47 C.F.R. § 73.</w:t>
      </w:r>
      <w:r w:rsidRPr="005609CF">
        <w:t xml:space="preserve">807.  </w:t>
      </w:r>
      <w:r w:rsidR="00A41CCA" w:rsidRPr="005609CF">
        <w:t xml:space="preserve">As discussed in the </w:t>
      </w:r>
      <w:r w:rsidR="00A41CCA" w:rsidRPr="005609CF">
        <w:rPr>
          <w:i/>
        </w:rPr>
        <w:t>Dismissal Letter</w:t>
      </w:r>
      <w:r w:rsidR="00A41CCA" w:rsidRPr="005609CF">
        <w:t>, t</w:t>
      </w:r>
      <w:r w:rsidR="00B77C0F">
        <w:t>he Station</w:t>
      </w:r>
      <w:r w:rsidR="00756417" w:rsidRPr="005609CF">
        <w:t>’</w:t>
      </w:r>
      <w:r w:rsidR="00B77C0F">
        <w:t>s</w:t>
      </w:r>
      <w:r w:rsidR="00756417" w:rsidRPr="005609CF">
        <w:t xml:space="preserve"> proposed site was found to be 24.7 kilometer</w:t>
      </w:r>
      <w:r w:rsidR="00B77C0F">
        <w:t>s</w:t>
      </w:r>
      <w:r w:rsidR="00756417" w:rsidRPr="005609CF">
        <w:t xml:space="preserve"> from the licensed facility of Station KRZZ(FM), San Francisco, California, and 8.6 kilometers from the licensed facility of Station KPFA(FM), Berkeley, California</w:t>
      </w:r>
      <w:r w:rsidR="00170DAB">
        <w:t>, a finding that CBJF does not dispute.</w:t>
      </w:r>
      <w:r w:rsidR="00AE0FC5">
        <w:t xml:space="preserve">  </w:t>
      </w:r>
      <w:r w:rsidR="008C0E65">
        <w:t>AFR at 1</w:t>
      </w:r>
      <w:r w:rsidR="00756417" w:rsidRPr="005609CF">
        <w:t xml:space="preserve">.  The minimum spacing requirement is 93 kilometers.  </w:t>
      </w:r>
      <w:r w:rsidR="00756417" w:rsidRPr="005609CF">
        <w:rPr>
          <w:i/>
        </w:rPr>
        <w:t xml:space="preserve">See </w:t>
      </w:r>
      <w:r w:rsidR="00756417" w:rsidRPr="005609CF">
        <w:t xml:space="preserve">47 C.F.R. § 73.807(a)(1).  </w:t>
      </w:r>
      <w:r w:rsidR="00DE3828" w:rsidRPr="005609CF">
        <w:rPr>
          <w:i/>
        </w:rPr>
        <w:t xml:space="preserve">See also </w:t>
      </w:r>
      <w:r w:rsidR="00DE3828" w:rsidRPr="005609CF">
        <w:t xml:space="preserve">47 C.F.R. </w:t>
      </w:r>
      <w:r w:rsidR="00FB4CB2" w:rsidRPr="005609CF">
        <w:t>§</w:t>
      </w:r>
      <w:r w:rsidR="00FB4CB2">
        <w:t xml:space="preserve"> </w:t>
      </w:r>
      <w:r w:rsidR="00DE3828" w:rsidRPr="005609CF">
        <w:t>73.870(c) (applications submitted during an LPFM filing window that fail to meet the spacing requirements of Section 73.807 will be dismissed “without any opportunity to amend.”).</w:t>
      </w:r>
    </w:p>
  </w:footnote>
  <w:footnote w:id="4">
    <w:p w:rsidR="00002B53" w:rsidRPr="005609CF" w:rsidRDefault="00002B53">
      <w:pPr>
        <w:pStyle w:val="FootnoteText"/>
      </w:pPr>
      <w:r w:rsidRPr="005609CF">
        <w:rPr>
          <w:rStyle w:val="FootnoteReference"/>
        </w:rPr>
        <w:footnoteRef/>
      </w:r>
      <w:r w:rsidRPr="005609CF">
        <w:t xml:space="preserve"> </w:t>
      </w:r>
      <w:r w:rsidR="006A3FBD" w:rsidRPr="005609CF">
        <w:t xml:space="preserve">Section 3(b)(2)(A) of </w:t>
      </w:r>
      <w:r w:rsidRPr="005609CF">
        <w:t xml:space="preserve"> Local Community Radio Act </w:t>
      </w:r>
      <w:r w:rsidR="009A3F84" w:rsidRPr="005609CF">
        <w:t xml:space="preserve">of 2010 </w:t>
      </w:r>
      <w:r w:rsidRPr="005609CF">
        <w:t xml:space="preserve">(“LCRA”) granted the Commission the authority to waive Section 73.807.  </w:t>
      </w:r>
      <w:r w:rsidR="006A3FBD" w:rsidRPr="005609CF">
        <w:rPr>
          <w:i/>
        </w:rPr>
        <w:t xml:space="preserve">See </w:t>
      </w:r>
      <w:r w:rsidR="009A3F84" w:rsidRPr="005609CF">
        <w:t>Pub. L. No. 111-371, 124 Stat. 4072 (2011).</w:t>
      </w:r>
      <w:r w:rsidR="006A3FBD" w:rsidRPr="005609CF">
        <w:t xml:space="preserve"> </w:t>
      </w:r>
      <w:r w:rsidRPr="005609CF">
        <w:t xml:space="preserve"> </w:t>
      </w:r>
      <w:r w:rsidRPr="005609CF">
        <w:rPr>
          <w:i/>
        </w:rPr>
        <w:t>See also Creation of a Low Power Radio Service</w:t>
      </w:r>
      <w:r w:rsidRPr="005609CF">
        <w:t xml:space="preserve">, Fifth Order on Reconsideration and Sixth Report and Order, 27 FCC Rcd 15402, 15425 (2012) (implementing Section 3(b)(2)(A) of the LCRA).  As discussed in the </w:t>
      </w:r>
      <w:r w:rsidRPr="005609CF">
        <w:rPr>
          <w:i/>
        </w:rPr>
        <w:t>Reconsideration Decision</w:t>
      </w:r>
      <w:r w:rsidRPr="005609CF">
        <w:t xml:space="preserve">, LPFM </w:t>
      </w:r>
      <w:r w:rsidR="001D1539" w:rsidRPr="005609CF">
        <w:t xml:space="preserve">applicants were </w:t>
      </w:r>
      <w:r w:rsidR="00695731" w:rsidRPr="005609CF">
        <w:t>advised that a</w:t>
      </w:r>
      <w:r w:rsidRPr="005609CF">
        <w:t xml:space="preserve"> failure to file a </w:t>
      </w:r>
      <w:r w:rsidR="001D1539" w:rsidRPr="005609CF">
        <w:t xml:space="preserve">second-adjacent </w:t>
      </w:r>
      <w:r w:rsidRPr="005609CF">
        <w:t xml:space="preserve">waiver </w:t>
      </w:r>
      <w:r w:rsidR="004B5FE1" w:rsidRPr="005609CF">
        <w:t>request</w:t>
      </w:r>
      <w:r w:rsidR="00695731" w:rsidRPr="005609CF">
        <w:t xml:space="preserve"> </w:t>
      </w:r>
      <w:r w:rsidR="004B5FE1" w:rsidRPr="005609CF">
        <w:t>would result in dismissal of the application without an opportunity to amend.</w:t>
      </w:r>
      <w:r w:rsidRPr="005609CF">
        <w:t xml:space="preserve">  </w:t>
      </w:r>
      <w:r w:rsidRPr="005609CF">
        <w:rPr>
          <w:i/>
        </w:rPr>
        <w:t xml:space="preserve">See </w:t>
      </w:r>
      <w:r w:rsidR="00DB4070" w:rsidRPr="005609CF">
        <w:rPr>
          <w:i/>
        </w:rPr>
        <w:t xml:space="preserve">Media </w:t>
      </w:r>
      <w:r w:rsidR="004B5FE1" w:rsidRPr="005609CF">
        <w:rPr>
          <w:i/>
        </w:rPr>
        <w:t xml:space="preserve">Bureau Announces </w:t>
      </w:r>
      <w:r w:rsidR="00DB4070" w:rsidRPr="005609CF">
        <w:rPr>
          <w:i/>
        </w:rPr>
        <w:t>Availability</w:t>
      </w:r>
      <w:r w:rsidR="004B5FE1" w:rsidRPr="005609CF">
        <w:rPr>
          <w:i/>
        </w:rPr>
        <w:t xml:space="preserve"> of the Revised FCC Form 318 and the Filing </w:t>
      </w:r>
      <w:r w:rsidR="00DB4070" w:rsidRPr="005609CF">
        <w:rPr>
          <w:i/>
        </w:rPr>
        <w:t>Procedures for Octobe</w:t>
      </w:r>
      <w:r w:rsidR="004B5FE1" w:rsidRPr="005609CF">
        <w:rPr>
          <w:i/>
        </w:rPr>
        <w:t>r 15 – October 29, 2013 Low Power Filing Window</w:t>
      </w:r>
      <w:r w:rsidR="004B5FE1" w:rsidRPr="005609CF">
        <w:t>, Public Notice, 28 FCC Rcd 8854, 8856 (MB 2013)</w:t>
      </w:r>
      <w:r w:rsidR="00DB4070" w:rsidRPr="005609CF">
        <w:t xml:space="preserve"> (“</w:t>
      </w:r>
      <w:r w:rsidR="00DB4070" w:rsidRPr="005609CF">
        <w:rPr>
          <w:bCs/>
        </w:rPr>
        <w:t xml:space="preserve">Following the close of the window, the Commission staff will return and/or dismiss applications and amendments not submitted in accordance with the procedures described in this Public Notice.  </w:t>
      </w:r>
      <w:r w:rsidR="00DB4070" w:rsidRPr="00AE0FC5">
        <w:rPr>
          <w:bCs/>
          <w:i/>
        </w:rPr>
        <w:t>No curative amendments for such applications and amendments will be accepted after the close of the window</w:t>
      </w:r>
      <w:r w:rsidR="00DB4070" w:rsidRPr="00AE0FC5">
        <w:rPr>
          <w:i/>
        </w:rPr>
        <w:t>. . . .</w:t>
      </w:r>
      <w:r w:rsidR="00DB4070" w:rsidRPr="005609CF">
        <w:t xml:space="preserve">  An applicant should consider using a consulting engineer or a party familiar with the LPFM technical rules to determine the technical acceptability of its application, particularly if the applicant is requesting a second-adjacent channel spacing waiver.”)</w:t>
      </w:r>
      <w:r w:rsidR="00BD26F4">
        <w:t>(emphasis added).</w:t>
      </w:r>
      <w:r w:rsidR="001D1539" w:rsidRPr="005609CF">
        <w:t xml:space="preserve">  </w:t>
      </w:r>
    </w:p>
  </w:footnote>
  <w:footnote w:id="5">
    <w:p w:rsidR="00912FDD" w:rsidRPr="005609CF" w:rsidRDefault="00912FDD">
      <w:pPr>
        <w:pStyle w:val="FootnoteText"/>
      </w:pPr>
      <w:r w:rsidRPr="005609CF">
        <w:rPr>
          <w:rStyle w:val="FootnoteReference"/>
        </w:rPr>
        <w:footnoteRef/>
      </w:r>
      <w:r w:rsidRPr="005609CF">
        <w:t xml:space="preserve"> AF</w:t>
      </w:r>
      <w:r w:rsidR="00E94FFB" w:rsidRPr="005609CF">
        <w:t xml:space="preserve">R at 2, citing 47 U.S.C. </w:t>
      </w:r>
      <w:r w:rsidR="00FB4CB2" w:rsidRPr="005609CF">
        <w:t>§</w:t>
      </w:r>
      <w:r w:rsidR="00FB4CB2">
        <w:t xml:space="preserve"> </w:t>
      </w:r>
      <w:r w:rsidR="00E94FFB" w:rsidRPr="005609CF">
        <w:t>307(b).</w:t>
      </w:r>
    </w:p>
  </w:footnote>
  <w:footnote w:id="6">
    <w:p w:rsidR="00395531" w:rsidRPr="005609CF" w:rsidRDefault="00395531" w:rsidP="00395531">
      <w:pPr>
        <w:pStyle w:val="FootnoteText"/>
      </w:pPr>
      <w:r w:rsidRPr="005609CF">
        <w:rPr>
          <w:rStyle w:val="FootnoteReference"/>
        </w:rPr>
        <w:footnoteRef/>
      </w:r>
      <w:r w:rsidRPr="005609CF">
        <w:t xml:space="preserve"> </w:t>
      </w:r>
      <w:r w:rsidR="003B4EBF">
        <w:t xml:space="preserve">CBJF’s argument fails to recognize that Section 73.870(c) of the Rules </w:t>
      </w:r>
      <w:r w:rsidR="006C2530">
        <w:t xml:space="preserve">imposes </w:t>
      </w:r>
      <w:r w:rsidR="003B4EBF">
        <w:t xml:space="preserve">merely a processing policy.  It does not preclude second-adjacent waiver requests by LPFM applicants, but instead requires that </w:t>
      </w:r>
      <w:r w:rsidR="00604241">
        <w:t xml:space="preserve">such </w:t>
      </w:r>
      <w:r w:rsidR="003B4EBF">
        <w:t>requests be submitted in the LFPM filing window rather than subsequently th</w:t>
      </w:r>
      <w:r w:rsidR="00604241">
        <w:t>r</w:t>
      </w:r>
      <w:r w:rsidR="003B4EBF">
        <w:t>ough an amendment.  Such a processing policy does not constitute a Section 307(b) distribution of licenses or frequencies.</w:t>
      </w:r>
      <w:r w:rsidR="006C2530">
        <w:t xml:space="preserve"> CBJF claims that it “mistakenly forgot to </w:t>
      </w:r>
      <w:r w:rsidR="00310FF7">
        <w:t>include”</w:t>
      </w:r>
      <w:r w:rsidR="006C2530">
        <w:t xml:space="preserve"> such a waiver request</w:t>
      </w:r>
      <w:r w:rsidR="00310FF7">
        <w:t xml:space="preserve"> with</w:t>
      </w:r>
      <w:r w:rsidR="006C2530">
        <w:t xml:space="preserve"> its Application. Petition for Reconsideration at 1 (</w:t>
      </w:r>
      <w:r w:rsidR="00310FF7">
        <w:t>dated Mar. 13, 2014).</w:t>
      </w:r>
    </w:p>
  </w:footnote>
  <w:footnote w:id="7">
    <w:p w:rsidR="00395531" w:rsidRPr="005609CF" w:rsidRDefault="00395531" w:rsidP="00395531">
      <w:pPr>
        <w:spacing w:after="120"/>
        <w:rPr>
          <w:sz w:val="20"/>
        </w:rPr>
      </w:pPr>
      <w:r w:rsidRPr="005609CF">
        <w:rPr>
          <w:rStyle w:val="FootnoteReference"/>
        </w:rPr>
        <w:footnoteRef/>
      </w:r>
      <w:r w:rsidRPr="005609CF">
        <w:t xml:space="preserve"> </w:t>
      </w:r>
      <w:r w:rsidRPr="005609CF">
        <w:rPr>
          <w:sz w:val="20"/>
        </w:rPr>
        <w:t>47 U.S.C. §</w:t>
      </w:r>
      <w:r w:rsidR="00BD26F4" w:rsidRPr="005609CF">
        <w:rPr>
          <w:sz w:val="20"/>
        </w:rPr>
        <w:t>§</w:t>
      </w:r>
      <w:r w:rsidR="00BD26F4">
        <w:rPr>
          <w:sz w:val="20"/>
        </w:rPr>
        <w:t xml:space="preserve"> 15</w:t>
      </w:r>
      <w:r w:rsidRPr="005609CF">
        <w:rPr>
          <w:sz w:val="20"/>
        </w:rPr>
        <w:t xml:space="preserve">4(i) and (j).  Section 4(i) of the Act authorizes the Commission to “perform any and all acts, make such rules and regulations, and issue such orders, not inconsistent [with the express provisions of the Act], as may be necessary in the execution of its functions.” </w:t>
      </w:r>
      <w:r w:rsidR="00D729EB">
        <w:rPr>
          <w:sz w:val="20"/>
        </w:rPr>
        <w:t xml:space="preserve"> </w:t>
      </w:r>
      <w:r w:rsidRPr="005609CF">
        <w:rPr>
          <w:sz w:val="20"/>
        </w:rPr>
        <w:t xml:space="preserve">47 U.S.C. § 154(i).  </w:t>
      </w:r>
      <w:r w:rsidRPr="005609CF">
        <w:rPr>
          <w:i/>
          <w:sz w:val="20"/>
        </w:rPr>
        <w:t>See New England Tel. &amp; Tel. Co. v. FCC</w:t>
      </w:r>
      <w:r w:rsidRPr="005609CF">
        <w:rPr>
          <w:sz w:val="20"/>
        </w:rPr>
        <w:t>, 826 F.2d 1101, 1108 (D.C. Cir. 1987) (the “wide-ranging source of authority” in Section 4(i) empowers the Commission to take “appropriate and reasonable” actions in furtherance of its regulatory responsibilities).  Additionally, Section 4(j) of the Act gives the Commission authority to “conduct its proceedings in such manner as will best conduce to the proper dispatch of business and to the ends of justice.”  47 U.S.C. § 154(j).</w:t>
      </w:r>
    </w:p>
  </w:footnote>
  <w:footnote w:id="8">
    <w:p w:rsidR="00F0086A" w:rsidRPr="005609CF" w:rsidRDefault="00F0086A">
      <w:pPr>
        <w:pStyle w:val="FootnoteText"/>
      </w:pPr>
      <w:r w:rsidRPr="005609CF">
        <w:rPr>
          <w:rStyle w:val="FootnoteReference"/>
        </w:rPr>
        <w:footnoteRef/>
      </w:r>
      <w:r w:rsidRPr="005609CF">
        <w:t xml:space="preserve"> For example, the </w:t>
      </w:r>
      <w:r w:rsidR="0007347D" w:rsidRPr="005609CF">
        <w:t>Commission</w:t>
      </w:r>
      <w:r w:rsidR="005609CF">
        <w:t xml:space="preserve"> will allow applicants in</w:t>
      </w:r>
      <w:r w:rsidRPr="005609CF">
        <w:t xml:space="preserve"> commercial </w:t>
      </w:r>
      <w:r w:rsidR="005609CF" w:rsidRPr="005609CF">
        <w:t>auction</w:t>
      </w:r>
      <w:r w:rsidR="005609CF">
        <w:t>s</w:t>
      </w:r>
      <w:r w:rsidRPr="005609CF">
        <w:t xml:space="preserve"> to c</w:t>
      </w:r>
      <w:r w:rsidR="005609CF">
        <w:t xml:space="preserve">ure </w:t>
      </w:r>
      <w:r w:rsidR="0007347D" w:rsidRPr="005609CF">
        <w:t>site availability defect</w:t>
      </w:r>
      <w:r w:rsidR="005609CF">
        <w:t>s</w:t>
      </w:r>
      <w:r w:rsidR="005A3974">
        <w:t xml:space="preserve">, but does </w:t>
      </w:r>
      <w:r w:rsidR="00B77C0F">
        <w:t xml:space="preserve">not </w:t>
      </w:r>
      <w:r w:rsidR="005A3974">
        <w:t>allow similar curative amendments for noncommercial educational (“NCE”) applicants</w:t>
      </w:r>
      <w:r w:rsidR="0007347D" w:rsidRPr="005609CF">
        <w:t xml:space="preserve">.  </w:t>
      </w:r>
      <w:r w:rsidR="005A3974">
        <w:rPr>
          <w:i/>
        </w:rPr>
        <w:t>See</w:t>
      </w:r>
      <w:r w:rsidR="005609CF" w:rsidRPr="005609CF">
        <w:rPr>
          <w:i/>
        </w:rPr>
        <w:t xml:space="preserve"> Christopher Falle</w:t>
      </w:r>
      <w:r w:rsidR="001D5E77">
        <w:rPr>
          <w:i/>
        </w:rPr>
        <w:t>t</w:t>
      </w:r>
      <w:r w:rsidR="005609CF" w:rsidRPr="005609CF">
        <w:rPr>
          <w:i/>
        </w:rPr>
        <w:t>ti</w:t>
      </w:r>
      <w:r w:rsidR="005609CF" w:rsidRPr="005609CF">
        <w:t xml:space="preserve">, Letter, 28 FCC Rcd 6269 (MB 2013) (auction-winning applicant allowed to cure site availability defect); </w:t>
      </w:r>
      <w:r w:rsidR="008A5574" w:rsidRPr="005609CF">
        <w:rPr>
          <w:i/>
        </w:rPr>
        <w:t>MX Group 23</w:t>
      </w:r>
      <w:r w:rsidR="008A5574" w:rsidRPr="005609CF">
        <w:t xml:space="preserve">, </w:t>
      </w:r>
      <w:r w:rsidR="00783EF7" w:rsidRPr="005609CF">
        <w:t>Letter</w:t>
      </w:r>
      <w:r w:rsidR="008A5574" w:rsidRPr="005609CF">
        <w:t xml:space="preserve">, </w:t>
      </w:r>
      <w:hyperlink r:id="rId1" w:tgtFrame="_top" w:history="1">
        <w:r w:rsidR="008A5574" w:rsidRPr="005609CF">
          <w:rPr>
            <w:rStyle w:val="Hyperlink"/>
            <w:color w:val="auto"/>
            <w:u w:val="none"/>
            <w:shd w:val="clear" w:color="auto" w:fill="FFFFFF"/>
          </w:rPr>
          <w:t>26 FCC Rcd 15135, 15140 (MB 2011)</w:t>
        </w:r>
      </w:hyperlink>
      <w:r w:rsidR="008A5574" w:rsidRPr="005609CF">
        <w:rPr>
          <w:rStyle w:val="apple-converted-space"/>
          <w:shd w:val="clear" w:color="auto" w:fill="FFFFFF"/>
        </w:rPr>
        <w:t> </w:t>
      </w:r>
      <w:r w:rsidR="008A5574" w:rsidRPr="005609CF">
        <w:rPr>
          <w:shd w:val="clear" w:color="auto" w:fill="FFFFFF"/>
        </w:rPr>
        <w:t xml:space="preserve">(disallowing amendment of </w:t>
      </w:r>
      <w:r w:rsidR="00D729EB" w:rsidRPr="005609CF">
        <w:rPr>
          <w:shd w:val="clear" w:color="auto" w:fill="FFFFFF"/>
        </w:rPr>
        <w:t>a</w:t>
      </w:r>
      <w:r w:rsidR="00D729EB">
        <w:rPr>
          <w:shd w:val="clear" w:color="auto" w:fill="FFFFFF"/>
        </w:rPr>
        <w:t xml:space="preserve"> new </w:t>
      </w:r>
      <w:r w:rsidR="00D729EB" w:rsidRPr="005609CF">
        <w:rPr>
          <w:shd w:val="clear" w:color="auto" w:fill="FFFFFF"/>
        </w:rPr>
        <w:t>NCE</w:t>
      </w:r>
      <w:r w:rsidR="005609CF">
        <w:rPr>
          <w:shd w:val="clear" w:color="auto" w:fill="FFFFFF"/>
        </w:rPr>
        <w:t xml:space="preserve"> </w:t>
      </w:r>
      <w:r w:rsidR="008A5574" w:rsidRPr="005609CF">
        <w:rPr>
          <w:shd w:val="clear" w:color="auto" w:fill="FFFFFF"/>
        </w:rPr>
        <w:t>station application that lacked reasonable assurance of site availability).</w:t>
      </w:r>
      <w:r w:rsidR="00783EF7" w:rsidRPr="005609CF">
        <w:t xml:space="preserve"> </w:t>
      </w:r>
      <w:r w:rsidR="000B5284" w:rsidRPr="005609CF">
        <w:t xml:space="preserve"> </w:t>
      </w:r>
      <w:r w:rsidR="005A3974">
        <w:t>Similarly</w:t>
      </w:r>
      <w:r w:rsidR="005609CF">
        <w:t>, in adopting new comparative procedures for NCE applicants, the Commission acknowledged that applications file</w:t>
      </w:r>
      <w:r w:rsidR="008866CC">
        <w:t>d</w:t>
      </w:r>
      <w:r w:rsidR="005609CF">
        <w:t xml:space="preserve"> during different filing </w:t>
      </w:r>
      <w:r w:rsidR="008866CC">
        <w:t>period</w:t>
      </w:r>
      <w:r w:rsidR="008C0E65">
        <w:t>s</w:t>
      </w:r>
      <w:r w:rsidR="005609CF">
        <w:t xml:space="preserve"> would be subject to different processing procedures.  </w:t>
      </w:r>
      <w:r w:rsidR="000B5284" w:rsidRPr="005609CF">
        <w:rPr>
          <w:i/>
          <w:iCs/>
        </w:rPr>
        <w:t xml:space="preserve">See, e.g., </w:t>
      </w:r>
      <w:r w:rsidR="005E4103">
        <w:rPr>
          <w:i/>
          <w:iCs/>
        </w:rPr>
        <w:t>Reexamination of Competitive Standards for Noncommercial Educational Applicants</w:t>
      </w:r>
      <w:r w:rsidR="000B5284" w:rsidRPr="005609CF">
        <w:t>,</w:t>
      </w:r>
      <w:r w:rsidR="001F61E1">
        <w:t xml:space="preserve"> Memorandum Opinion and Second Order on Reconsideration,</w:t>
      </w:r>
      <w:r w:rsidR="000B5284" w:rsidRPr="005609CF">
        <w:t xml:space="preserve"> 17 FCC Rcd </w:t>
      </w:r>
      <w:r w:rsidR="001F61E1">
        <w:t xml:space="preserve">13132, </w:t>
      </w:r>
      <w:r w:rsidR="000B5284" w:rsidRPr="005609CF">
        <w:t>13136 (2002) (differences between applications filed under A/B cut-off procedures and those submitted in</w:t>
      </w:r>
      <w:r w:rsidR="005609CF">
        <w:t xml:space="preserve"> filing windows</w:t>
      </w:r>
      <w:bookmarkStart w:id="1" w:name="SR;3962"/>
      <w:bookmarkStart w:id="2" w:name="SR;3963"/>
      <w:bookmarkEnd w:id="1"/>
      <w:bookmarkEnd w:id="2"/>
      <w:r w:rsidR="001F61E1">
        <w:t xml:space="preserve"> justify different processing policies</w:t>
      </w:r>
      <w:r w:rsidR="000B5284" w:rsidRPr="005609CF">
        <w:t>).</w:t>
      </w:r>
      <w:r w:rsidR="005609CF">
        <w:t xml:space="preserve">  </w:t>
      </w:r>
    </w:p>
  </w:footnote>
  <w:footnote w:id="9">
    <w:p w:rsidR="006F3417" w:rsidRPr="005609CF" w:rsidRDefault="006F3417" w:rsidP="006F3417">
      <w:pPr>
        <w:pStyle w:val="FootnoteText"/>
      </w:pPr>
      <w:r w:rsidRPr="005609CF">
        <w:rPr>
          <w:rStyle w:val="FootnoteReference"/>
        </w:rPr>
        <w:footnoteRef/>
      </w:r>
      <w:r w:rsidRPr="005609CF">
        <w:t xml:space="preserve"> </w:t>
      </w:r>
      <w:r w:rsidRPr="005609CF">
        <w:rPr>
          <w:i/>
        </w:rPr>
        <w:t>See Creation of a Low Power Radio Service</w:t>
      </w:r>
      <w:r w:rsidRPr="005609CF">
        <w:t xml:space="preserve">, </w:t>
      </w:r>
      <w:r w:rsidR="00DE3828" w:rsidRPr="005609CF">
        <w:t>Report and Order</w:t>
      </w:r>
      <w:r w:rsidRPr="005609CF">
        <w:t>, 15 FCC Rcd 2205, 2257 (2000) (“In accordance with our window filing procedure for commercial broadcast applications, after the LPFM window closes, the staff initially will screen applications for the purpose of identifying those that are mutually exclusive and those that fail to protect existing broadcast stations in accordance with the standards adopted herein.  Applications that fail to properly protect these existing stations will be dismissed without the applicant being afforded an opportunity to amend.  This will increase the speed and efficiency with which LPFM applications can be processed by the staff.”).</w:t>
      </w:r>
      <w:r w:rsidR="00DE3828" w:rsidRPr="005609CF">
        <w:t xml:space="preserve">  </w:t>
      </w:r>
      <w:r w:rsidR="00DE3828" w:rsidRPr="005609CF">
        <w:rPr>
          <w:i/>
        </w:rPr>
        <w:t>See also</w:t>
      </w:r>
      <w:r w:rsidR="00DE3828" w:rsidRPr="005609CF">
        <w:t xml:space="preserve"> </w:t>
      </w:r>
      <w:r w:rsidR="00DE3828" w:rsidRPr="005609CF">
        <w:rPr>
          <w:i/>
        </w:rPr>
        <w:t>Creation of a Low Power Radio Service</w:t>
      </w:r>
      <w:r w:rsidR="00DE3828" w:rsidRPr="005609CF">
        <w:t xml:space="preserve">, </w:t>
      </w:r>
      <w:r w:rsidR="00B10C5B" w:rsidRPr="005609CF">
        <w:t xml:space="preserve">Memorandum Opinion and Order on Reconsideration, </w:t>
      </w:r>
      <w:r w:rsidR="00DE3828" w:rsidRPr="005609CF">
        <w:t>15 FCC 19208</w:t>
      </w:r>
      <w:r w:rsidR="00085599" w:rsidRPr="005609CF">
        <w:t>, 19264</w:t>
      </w:r>
      <w:r w:rsidR="00DE3828" w:rsidRPr="005609CF">
        <w:t xml:space="preserve"> (2000)</w:t>
      </w:r>
      <w:r w:rsidR="00085599" w:rsidRPr="005609CF">
        <w:t xml:space="preserve"> (establishing Section 73.870</w:t>
      </w:r>
      <w:r w:rsidR="00B10C5B" w:rsidRPr="005609CF">
        <w:t>(c)</w:t>
      </w:r>
      <w:r w:rsidR="00085599" w:rsidRPr="005609CF">
        <w:t>).</w:t>
      </w:r>
    </w:p>
  </w:footnote>
  <w:footnote w:id="10">
    <w:p w:rsidR="005609CF" w:rsidRPr="005609CF" w:rsidRDefault="005609CF" w:rsidP="005609CF">
      <w:pPr>
        <w:pStyle w:val="FootnoteText"/>
        <w:rPr>
          <w:i/>
        </w:rPr>
      </w:pPr>
      <w:r w:rsidRPr="005609CF">
        <w:rPr>
          <w:rStyle w:val="FootnoteReference"/>
        </w:rPr>
        <w:footnoteRef/>
      </w:r>
      <w:r w:rsidRPr="005609CF">
        <w:t xml:space="preserve"> </w:t>
      </w:r>
      <w:r w:rsidRPr="005609CF">
        <w:rPr>
          <w:i/>
        </w:rPr>
        <w:t>See, e.g</w:t>
      </w:r>
      <w:r w:rsidRPr="005609CF">
        <w:t xml:space="preserve">., </w:t>
      </w:r>
      <w:r w:rsidRPr="005609CF">
        <w:rPr>
          <w:i/>
        </w:rPr>
        <w:t>Community Television of Southern California v. Gottfried</w:t>
      </w:r>
      <w:r w:rsidRPr="005609CF">
        <w:t xml:space="preserve">, 459 U.S. 498, 511 (1984) (citation omitted) (“rulemaking is generally a ‘better, fairer and more effective’ method of implementing a new industry-wide policy”); </w:t>
      </w:r>
      <w:r w:rsidRPr="005609CF">
        <w:rPr>
          <w:i/>
        </w:rPr>
        <w:t>Sunburst Media L.P.</w:t>
      </w:r>
      <w:r w:rsidRPr="005609CF">
        <w:t>, Memorandum Opinion and Order, 17 FCC Rcd 1366 (2001) (stating “it has long been Commission practice to make decisions that alter fundamental components of broadly applicable regulatory</w:t>
      </w:r>
      <w:r>
        <w:t xml:space="preserve"> schemes in the context of rule</w:t>
      </w:r>
      <w:r w:rsidRPr="005609CF">
        <w:t xml:space="preserve">making proceedings, not adjudications”); </w:t>
      </w:r>
      <w:r w:rsidRPr="005609CF">
        <w:rPr>
          <w:i/>
          <w:iCs/>
        </w:rPr>
        <w:t xml:space="preserve">Great Empire Broadcasting, Inc., </w:t>
      </w:r>
      <w:r w:rsidRPr="005609CF">
        <w:rPr>
          <w:iCs/>
        </w:rPr>
        <w:t xml:space="preserve">Memorandum Opinion and Order, 14 FCC Rcd 11145, 11148 (1999), </w:t>
      </w:r>
      <w:r w:rsidRPr="005609CF">
        <w:t xml:space="preserve">citing </w:t>
      </w:r>
      <w:r w:rsidRPr="005609CF">
        <w:rPr>
          <w:i/>
          <w:iCs/>
        </w:rPr>
        <w:t>Capital Cities/ABC, Inc.,</w:t>
      </w:r>
      <w:r w:rsidRPr="005609CF">
        <w:rPr>
          <w:iCs/>
        </w:rPr>
        <w:t xml:space="preserve"> Memorandum Opinion and Order,</w:t>
      </w:r>
      <w:r w:rsidRPr="005609CF">
        <w:rPr>
          <w:i/>
          <w:iCs/>
        </w:rPr>
        <w:t xml:space="preserve"> </w:t>
      </w:r>
      <w:r w:rsidRPr="005609CF">
        <w:rPr>
          <w:iCs/>
        </w:rPr>
        <w:t>11 FCC Rcd 5841, 5888 (1996)</w:t>
      </w:r>
      <w:r w:rsidRPr="005609CF">
        <w:t xml:space="preserve"> (it is generally inappropriate to address arguments for a change in rules “where third parties, including those with substantial stakes in the outcome, have had no opportunity to participate, and in which we, as a result, have not had the benefit of a full and well-counseled record”).</w:t>
      </w:r>
    </w:p>
  </w:footnote>
  <w:footnote w:id="11">
    <w:p w:rsidR="00C172A1" w:rsidRPr="005609CF" w:rsidRDefault="00C172A1">
      <w:pPr>
        <w:pStyle w:val="FootnoteText"/>
      </w:pPr>
      <w:r w:rsidRPr="005609CF">
        <w:rPr>
          <w:rStyle w:val="FootnoteReference"/>
        </w:rPr>
        <w:footnoteRef/>
      </w:r>
      <w:r w:rsidRPr="005609CF">
        <w:t xml:space="preserve"> AFR at 2.</w:t>
      </w:r>
    </w:p>
  </w:footnote>
  <w:footnote w:id="12">
    <w:p w:rsidR="00FA0B28" w:rsidRPr="005609CF" w:rsidRDefault="00FA0B28" w:rsidP="00FA0B28">
      <w:pPr>
        <w:pStyle w:val="FootnoteText"/>
      </w:pPr>
      <w:r w:rsidRPr="005609CF">
        <w:rPr>
          <w:rStyle w:val="FootnoteReference"/>
        </w:rPr>
        <w:footnoteRef/>
      </w:r>
      <w:r w:rsidRPr="005609CF">
        <w:t xml:space="preserve"> </w:t>
      </w:r>
      <w:r w:rsidRPr="005609CF">
        <w:rPr>
          <w:i/>
          <w:iCs/>
        </w:rPr>
        <w:t>See</w:t>
      </w:r>
      <w:r w:rsidRPr="005609CF">
        <w:t xml:space="preserve"> 47 U.S.C. § 155(c)(5); 47 C.F.R. § 1.115(c); </w:t>
      </w:r>
      <w:r w:rsidRPr="005609CF">
        <w:rPr>
          <w:i/>
        </w:rPr>
        <w:t xml:space="preserve">BDPCS, Inc. v. FCC, </w:t>
      </w:r>
      <w:r w:rsidRPr="005609CF">
        <w:t>351 F.3d 1177, 1184 (D.C. Cir. 2003) (upholding Commission’s order dismissing arguments under Section 1.115(c) because that rule does not allow the Commission to grant an application for review if it relies upon arguments that were not presented below).</w:t>
      </w:r>
    </w:p>
  </w:footnote>
  <w:footnote w:id="13">
    <w:p w:rsidR="003C7443" w:rsidRPr="005609CF" w:rsidRDefault="003C7443" w:rsidP="003C7443">
      <w:pPr>
        <w:pStyle w:val="FootnoteText"/>
      </w:pPr>
      <w:r w:rsidRPr="005609CF">
        <w:rPr>
          <w:rStyle w:val="FootnoteReference"/>
        </w:rPr>
        <w:footnoteRef/>
      </w:r>
      <w:r w:rsidRPr="005609CF">
        <w:t xml:space="preserve"> CBJF also argues that</w:t>
      </w:r>
      <w:r w:rsidR="00EB4159" w:rsidRPr="005609CF">
        <w:t xml:space="preserve"> the</w:t>
      </w:r>
      <w:r w:rsidRPr="005609CF">
        <w:t xml:space="preserve"> </w:t>
      </w:r>
      <w:r w:rsidR="00EB4159" w:rsidRPr="005609CF">
        <w:t>A</w:t>
      </w:r>
      <w:r w:rsidRPr="005609CF">
        <w:t>pplication, if amended, could be made a singleton.</w:t>
      </w:r>
      <w:r w:rsidR="002006F5" w:rsidRPr="005609CF">
        <w:t xml:space="preserve"> </w:t>
      </w:r>
      <w:r w:rsidRPr="005609CF">
        <w:t xml:space="preserve"> </w:t>
      </w:r>
      <w:r w:rsidR="00371E4D" w:rsidRPr="005609CF">
        <w:t xml:space="preserve">AFR at 3. </w:t>
      </w:r>
      <w:r w:rsidRPr="005609CF">
        <w:t xml:space="preserve"> Because we are denying </w:t>
      </w:r>
      <w:r w:rsidR="00EB4159" w:rsidRPr="005609CF">
        <w:t>CBJF’s</w:t>
      </w:r>
      <w:r w:rsidRPr="005609CF">
        <w:t xml:space="preserve"> request for reinsta</w:t>
      </w:r>
      <w:r w:rsidR="009F7B9A" w:rsidRPr="005609CF">
        <w:t>te</w:t>
      </w:r>
      <w:r w:rsidRPr="005609CF">
        <w:t>m</w:t>
      </w:r>
      <w:r w:rsidR="009F7B9A" w:rsidRPr="005609CF">
        <w:t>e</w:t>
      </w:r>
      <w:r w:rsidRPr="005609CF">
        <w:t xml:space="preserve">nt </w:t>
      </w:r>
      <w:r w:rsidR="002D4606" w:rsidRPr="005609CF">
        <w:t>pursuant to Section 73.8</w:t>
      </w:r>
      <w:r w:rsidRPr="005609CF">
        <w:t>7</w:t>
      </w:r>
      <w:r w:rsidR="00DA0D3F" w:rsidRPr="005609CF">
        <w:t>0</w:t>
      </w:r>
      <w:r w:rsidR="002D4606" w:rsidRPr="005609CF">
        <w:t>(c)</w:t>
      </w:r>
      <w:r w:rsidRPr="005609CF">
        <w:t>, we need not consider this argument.</w:t>
      </w:r>
      <w:r w:rsidR="00310FF7">
        <w:t xml:space="preserve"> </w:t>
      </w:r>
    </w:p>
  </w:footnote>
  <w:footnote w:id="14">
    <w:p w:rsidR="00D03AD7" w:rsidRPr="005609CF" w:rsidRDefault="00D03AD7" w:rsidP="00D03AD7">
      <w:pPr>
        <w:pStyle w:val="FootnoteText"/>
      </w:pPr>
      <w:r w:rsidRPr="005609CF">
        <w:rPr>
          <w:rStyle w:val="FootnoteReference"/>
        </w:rPr>
        <w:footnoteRef/>
      </w:r>
      <w:r w:rsidRPr="005609CF">
        <w:t xml:space="preserve"> 47 U.S.C. § 155(c)(5); 47 C.F.R. § 1.115(c).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F9" w:rsidRDefault="00EB1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9132A">
      <w:t>FCC 14-162</w:t>
    </w:r>
  </w:p>
  <w:p w:rsidR="00D25FB5" w:rsidRDefault="00E66A1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1F414CF" wp14:editId="7BCF298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66A17"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9132A">
      <w:rPr>
        <w:spacing w:val="-2"/>
      </w:rPr>
      <w:t>FCC 14-162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50B23DE6"/>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2B53"/>
    <w:rsid w:val="00015E43"/>
    <w:rsid w:val="00020A77"/>
    <w:rsid w:val="0002344D"/>
    <w:rsid w:val="00036039"/>
    <w:rsid w:val="00037F90"/>
    <w:rsid w:val="00041DD6"/>
    <w:rsid w:val="00041F00"/>
    <w:rsid w:val="00050C33"/>
    <w:rsid w:val="00061834"/>
    <w:rsid w:val="000633EE"/>
    <w:rsid w:val="0007347D"/>
    <w:rsid w:val="00085599"/>
    <w:rsid w:val="000875BF"/>
    <w:rsid w:val="00096D8C"/>
    <w:rsid w:val="000B5284"/>
    <w:rsid w:val="000B570F"/>
    <w:rsid w:val="000C0B65"/>
    <w:rsid w:val="000C7B27"/>
    <w:rsid w:val="000E05FE"/>
    <w:rsid w:val="000E0A7C"/>
    <w:rsid w:val="000E3D42"/>
    <w:rsid w:val="000F087B"/>
    <w:rsid w:val="000F2926"/>
    <w:rsid w:val="00101CE0"/>
    <w:rsid w:val="001037C9"/>
    <w:rsid w:val="00105D13"/>
    <w:rsid w:val="00122925"/>
    <w:rsid w:val="00122BD5"/>
    <w:rsid w:val="00126D3C"/>
    <w:rsid w:val="00133F79"/>
    <w:rsid w:val="0013739A"/>
    <w:rsid w:val="00137A75"/>
    <w:rsid w:val="00153928"/>
    <w:rsid w:val="0015742E"/>
    <w:rsid w:val="00161DC2"/>
    <w:rsid w:val="00170DAB"/>
    <w:rsid w:val="0017154F"/>
    <w:rsid w:val="001856CD"/>
    <w:rsid w:val="0018580D"/>
    <w:rsid w:val="001860D8"/>
    <w:rsid w:val="0019132A"/>
    <w:rsid w:val="001949F2"/>
    <w:rsid w:val="00194A66"/>
    <w:rsid w:val="001A156C"/>
    <w:rsid w:val="001A34C8"/>
    <w:rsid w:val="001A3DD3"/>
    <w:rsid w:val="001B6FB8"/>
    <w:rsid w:val="001C0A21"/>
    <w:rsid w:val="001D1539"/>
    <w:rsid w:val="001D2302"/>
    <w:rsid w:val="001D5E77"/>
    <w:rsid w:val="001D6BCF"/>
    <w:rsid w:val="001D7234"/>
    <w:rsid w:val="001E01CA"/>
    <w:rsid w:val="001E57F0"/>
    <w:rsid w:val="001E7E90"/>
    <w:rsid w:val="001F4889"/>
    <w:rsid w:val="001F61E1"/>
    <w:rsid w:val="001F6C78"/>
    <w:rsid w:val="002006F5"/>
    <w:rsid w:val="0020726B"/>
    <w:rsid w:val="002158AB"/>
    <w:rsid w:val="00224768"/>
    <w:rsid w:val="002262CE"/>
    <w:rsid w:val="0022785D"/>
    <w:rsid w:val="0023203E"/>
    <w:rsid w:val="00234010"/>
    <w:rsid w:val="00243BF4"/>
    <w:rsid w:val="00252E16"/>
    <w:rsid w:val="002534D7"/>
    <w:rsid w:val="00255FFF"/>
    <w:rsid w:val="002679A2"/>
    <w:rsid w:val="0027548F"/>
    <w:rsid w:val="00275CF5"/>
    <w:rsid w:val="0028301F"/>
    <w:rsid w:val="00285017"/>
    <w:rsid w:val="00294204"/>
    <w:rsid w:val="00296A04"/>
    <w:rsid w:val="00296F10"/>
    <w:rsid w:val="002A09FF"/>
    <w:rsid w:val="002A2D2E"/>
    <w:rsid w:val="002A7619"/>
    <w:rsid w:val="002B2C5F"/>
    <w:rsid w:val="002B7443"/>
    <w:rsid w:val="002B7FC6"/>
    <w:rsid w:val="002C00E8"/>
    <w:rsid w:val="002C360E"/>
    <w:rsid w:val="002D4606"/>
    <w:rsid w:val="002F0FB0"/>
    <w:rsid w:val="002F3759"/>
    <w:rsid w:val="002F44EC"/>
    <w:rsid w:val="00303244"/>
    <w:rsid w:val="00310FF7"/>
    <w:rsid w:val="003118EF"/>
    <w:rsid w:val="0031390A"/>
    <w:rsid w:val="00313F05"/>
    <w:rsid w:val="0032036A"/>
    <w:rsid w:val="00331DF6"/>
    <w:rsid w:val="00343749"/>
    <w:rsid w:val="0035295B"/>
    <w:rsid w:val="00360054"/>
    <w:rsid w:val="003660ED"/>
    <w:rsid w:val="00371E4D"/>
    <w:rsid w:val="00387346"/>
    <w:rsid w:val="00390B82"/>
    <w:rsid w:val="00391657"/>
    <w:rsid w:val="00392367"/>
    <w:rsid w:val="00395531"/>
    <w:rsid w:val="003A293C"/>
    <w:rsid w:val="003B0550"/>
    <w:rsid w:val="003B3213"/>
    <w:rsid w:val="003B4EBF"/>
    <w:rsid w:val="003B694F"/>
    <w:rsid w:val="003C385B"/>
    <w:rsid w:val="003C69C9"/>
    <w:rsid w:val="003C7443"/>
    <w:rsid w:val="003D2024"/>
    <w:rsid w:val="003E260E"/>
    <w:rsid w:val="003F0F04"/>
    <w:rsid w:val="003F137E"/>
    <w:rsid w:val="003F171C"/>
    <w:rsid w:val="003F4D1D"/>
    <w:rsid w:val="00402552"/>
    <w:rsid w:val="00412FC5"/>
    <w:rsid w:val="00414505"/>
    <w:rsid w:val="00422276"/>
    <w:rsid w:val="004242F1"/>
    <w:rsid w:val="00425B92"/>
    <w:rsid w:val="004304B5"/>
    <w:rsid w:val="0043453B"/>
    <w:rsid w:val="00435A0C"/>
    <w:rsid w:val="00445A00"/>
    <w:rsid w:val="00451B0F"/>
    <w:rsid w:val="00490081"/>
    <w:rsid w:val="0049659A"/>
    <w:rsid w:val="004B1BFC"/>
    <w:rsid w:val="004B38A1"/>
    <w:rsid w:val="004B5FE1"/>
    <w:rsid w:val="004C2EE3"/>
    <w:rsid w:val="004C7B99"/>
    <w:rsid w:val="004E4A22"/>
    <w:rsid w:val="004F276C"/>
    <w:rsid w:val="00511968"/>
    <w:rsid w:val="00523ED5"/>
    <w:rsid w:val="005315B3"/>
    <w:rsid w:val="00537ECA"/>
    <w:rsid w:val="005458BC"/>
    <w:rsid w:val="00550CDF"/>
    <w:rsid w:val="0055614C"/>
    <w:rsid w:val="005609CF"/>
    <w:rsid w:val="00567A12"/>
    <w:rsid w:val="005805B8"/>
    <w:rsid w:val="005916A0"/>
    <w:rsid w:val="00596F40"/>
    <w:rsid w:val="005A18AC"/>
    <w:rsid w:val="005A20C2"/>
    <w:rsid w:val="005A3974"/>
    <w:rsid w:val="005B7770"/>
    <w:rsid w:val="005C699F"/>
    <w:rsid w:val="005E14C2"/>
    <w:rsid w:val="005E3FAC"/>
    <w:rsid w:val="005E4103"/>
    <w:rsid w:val="005E4A6F"/>
    <w:rsid w:val="005E6396"/>
    <w:rsid w:val="005F35D9"/>
    <w:rsid w:val="005F4E1B"/>
    <w:rsid w:val="00604241"/>
    <w:rsid w:val="00605A2C"/>
    <w:rsid w:val="00606F6C"/>
    <w:rsid w:val="00607304"/>
    <w:rsid w:val="00607BA5"/>
    <w:rsid w:val="0061180A"/>
    <w:rsid w:val="00612E9A"/>
    <w:rsid w:val="00626EB6"/>
    <w:rsid w:val="00627DE9"/>
    <w:rsid w:val="006316CA"/>
    <w:rsid w:val="00632015"/>
    <w:rsid w:val="00650E85"/>
    <w:rsid w:val="006529E2"/>
    <w:rsid w:val="00653650"/>
    <w:rsid w:val="00655D03"/>
    <w:rsid w:val="0067193A"/>
    <w:rsid w:val="00682E27"/>
    <w:rsid w:val="00683388"/>
    <w:rsid w:val="00683F84"/>
    <w:rsid w:val="00695731"/>
    <w:rsid w:val="006A3FBD"/>
    <w:rsid w:val="006A6A81"/>
    <w:rsid w:val="006B4A4C"/>
    <w:rsid w:val="006C2530"/>
    <w:rsid w:val="006C38CF"/>
    <w:rsid w:val="006C5460"/>
    <w:rsid w:val="006C56C2"/>
    <w:rsid w:val="006D10A3"/>
    <w:rsid w:val="006D58CA"/>
    <w:rsid w:val="006E4F37"/>
    <w:rsid w:val="006F3417"/>
    <w:rsid w:val="006F7393"/>
    <w:rsid w:val="0070224F"/>
    <w:rsid w:val="00702ACE"/>
    <w:rsid w:val="007115F7"/>
    <w:rsid w:val="007147B5"/>
    <w:rsid w:val="007171F6"/>
    <w:rsid w:val="00723292"/>
    <w:rsid w:val="00726BE0"/>
    <w:rsid w:val="00734E43"/>
    <w:rsid w:val="00754D43"/>
    <w:rsid w:val="00756417"/>
    <w:rsid w:val="007567EC"/>
    <w:rsid w:val="007807BA"/>
    <w:rsid w:val="00783EF7"/>
    <w:rsid w:val="00785689"/>
    <w:rsid w:val="00785CD1"/>
    <w:rsid w:val="00792287"/>
    <w:rsid w:val="0079754B"/>
    <w:rsid w:val="007A1E6D"/>
    <w:rsid w:val="007B0EB2"/>
    <w:rsid w:val="007B35C9"/>
    <w:rsid w:val="007B7A68"/>
    <w:rsid w:val="007D433B"/>
    <w:rsid w:val="007E186F"/>
    <w:rsid w:val="007F4B30"/>
    <w:rsid w:val="00810B6F"/>
    <w:rsid w:val="00815531"/>
    <w:rsid w:val="00822CE0"/>
    <w:rsid w:val="008307C5"/>
    <w:rsid w:val="00830F22"/>
    <w:rsid w:val="00837CEA"/>
    <w:rsid w:val="00841AB1"/>
    <w:rsid w:val="0084279E"/>
    <w:rsid w:val="0084529A"/>
    <w:rsid w:val="00851857"/>
    <w:rsid w:val="0087493E"/>
    <w:rsid w:val="00883697"/>
    <w:rsid w:val="00885637"/>
    <w:rsid w:val="008866CC"/>
    <w:rsid w:val="008A27C6"/>
    <w:rsid w:val="008A5574"/>
    <w:rsid w:val="008C0E65"/>
    <w:rsid w:val="008C68F1"/>
    <w:rsid w:val="008E00BE"/>
    <w:rsid w:val="008F3C4A"/>
    <w:rsid w:val="008F3DB3"/>
    <w:rsid w:val="008F529E"/>
    <w:rsid w:val="0090562F"/>
    <w:rsid w:val="00907233"/>
    <w:rsid w:val="009106B2"/>
    <w:rsid w:val="00911527"/>
    <w:rsid w:val="00912FDD"/>
    <w:rsid w:val="00920606"/>
    <w:rsid w:val="00921803"/>
    <w:rsid w:val="00926503"/>
    <w:rsid w:val="00927443"/>
    <w:rsid w:val="0094442B"/>
    <w:rsid w:val="00946EE4"/>
    <w:rsid w:val="00946FB4"/>
    <w:rsid w:val="009509EF"/>
    <w:rsid w:val="00962DE2"/>
    <w:rsid w:val="009726D8"/>
    <w:rsid w:val="00976EE8"/>
    <w:rsid w:val="009865BE"/>
    <w:rsid w:val="009A3F84"/>
    <w:rsid w:val="009C02AD"/>
    <w:rsid w:val="009E0A9B"/>
    <w:rsid w:val="009E52DC"/>
    <w:rsid w:val="009E71BE"/>
    <w:rsid w:val="009F43BC"/>
    <w:rsid w:val="009F76DB"/>
    <w:rsid w:val="009F7B9A"/>
    <w:rsid w:val="00A10779"/>
    <w:rsid w:val="00A116CC"/>
    <w:rsid w:val="00A13CA2"/>
    <w:rsid w:val="00A32C3B"/>
    <w:rsid w:val="00A41CCA"/>
    <w:rsid w:val="00A45F4F"/>
    <w:rsid w:val="00A5171B"/>
    <w:rsid w:val="00A544DB"/>
    <w:rsid w:val="00A600A9"/>
    <w:rsid w:val="00A71B74"/>
    <w:rsid w:val="00A75E78"/>
    <w:rsid w:val="00A95AC4"/>
    <w:rsid w:val="00AA55B7"/>
    <w:rsid w:val="00AA5B9E"/>
    <w:rsid w:val="00AB2407"/>
    <w:rsid w:val="00AB2722"/>
    <w:rsid w:val="00AB53DF"/>
    <w:rsid w:val="00AB621F"/>
    <w:rsid w:val="00AC6DDE"/>
    <w:rsid w:val="00AE0FC5"/>
    <w:rsid w:val="00AE2DC0"/>
    <w:rsid w:val="00AE64C3"/>
    <w:rsid w:val="00AF70A9"/>
    <w:rsid w:val="00AF7BA5"/>
    <w:rsid w:val="00B04B79"/>
    <w:rsid w:val="00B07E5C"/>
    <w:rsid w:val="00B10C5B"/>
    <w:rsid w:val="00B117D6"/>
    <w:rsid w:val="00B12573"/>
    <w:rsid w:val="00B14AC3"/>
    <w:rsid w:val="00B35CCB"/>
    <w:rsid w:val="00B6122B"/>
    <w:rsid w:val="00B71A7E"/>
    <w:rsid w:val="00B7728F"/>
    <w:rsid w:val="00B77C0F"/>
    <w:rsid w:val="00B811F7"/>
    <w:rsid w:val="00B86770"/>
    <w:rsid w:val="00B94371"/>
    <w:rsid w:val="00B96AD6"/>
    <w:rsid w:val="00B96AFB"/>
    <w:rsid w:val="00B97E6C"/>
    <w:rsid w:val="00BA5DC6"/>
    <w:rsid w:val="00BA6196"/>
    <w:rsid w:val="00BB01DB"/>
    <w:rsid w:val="00BC6D8C"/>
    <w:rsid w:val="00BD1EF8"/>
    <w:rsid w:val="00BD26F4"/>
    <w:rsid w:val="00BD4808"/>
    <w:rsid w:val="00BF2BD6"/>
    <w:rsid w:val="00BF4C3F"/>
    <w:rsid w:val="00C172A1"/>
    <w:rsid w:val="00C276B6"/>
    <w:rsid w:val="00C320E1"/>
    <w:rsid w:val="00C34006"/>
    <w:rsid w:val="00C426B1"/>
    <w:rsid w:val="00C431C7"/>
    <w:rsid w:val="00C54986"/>
    <w:rsid w:val="00C57194"/>
    <w:rsid w:val="00C66160"/>
    <w:rsid w:val="00C721AC"/>
    <w:rsid w:val="00C73651"/>
    <w:rsid w:val="00C8132F"/>
    <w:rsid w:val="00C90D6A"/>
    <w:rsid w:val="00CA247E"/>
    <w:rsid w:val="00CA5513"/>
    <w:rsid w:val="00CA7341"/>
    <w:rsid w:val="00CA7C29"/>
    <w:rsid w:val="00CC622B"/>
    <w:rsid w:val="00CC72B6"/>
    <w:rsid w:val="00CC77B3"/>
    <w:rsid w:val="00CE467E"/>
    <w:rsid w:val="00CF0D91"/>
    <w:rsid w:val="00D01A98"/>
    <w:rsid w:val="00D0218D"/>
    <w:rsid w:val="00D03AD7"/>
    <w:rsid w:val="00D14616"/>
    <w:rsid w:val="00D20539"/>
    <w:rsid w:val="00D243ED"/>
    <w:rsid w:val="00D2551A"/>
    <w:rsid w:val="00D25FB5"/>
    <w:rsid w:val="00D35DED"/>
    <w:rsid w:val="00D44223"/>
    <w:rsid w:val="00D45600"/>
    <w:rsid w:val="00D4629A"/>
    <w:rsid w:val="00D56E80"/>
    <w:rsid w:val="00D729EB"/>
    <w:rsid w:val="00D80517"/>
    <w:rsid w:val="00D87D98"/>
    <w:rsid w:val="00DA0D3F"/>
    <w:rsid w:val="00DA2140"/>
    <w:rsid w:val="00DA2529"/>
    <w:rsid w:val="00DB130A"/>
    <w:rsid w:val="00DB2EBB"/>
    <w:rsid w:val="00DB4070"/>
    <w:rsid w:val="00DC0E91"/>
    <w:rsid w:val="00DC10A1"/>
    <w:rsid w:val="00DC655F"/>
    <w:rsid w:val="00DD0B59"/>
    <w:rsid w:val="00DD7EBD"/>
    <w:rsid w:val="00DE0DDA"/>
    <w:rsid w:val="00DE25E9"/>
    <w:rsid w:val="00DE3828"/>
    <w:rsid w:val="00DE3D81"/>
    <w:rsid w:val="00DE7652"/>
    <w:rsid w:val="00DF62B6"/>
    <w:rsid w:val="00E03701"/>
    <w:rsid w:val="00E04ECE"/>
    <w:rsid w:val="00E07225"/>
    <w:rsid w:val="00E153D4"/>
    <w:rsid w:val="00E16DDA"/>
    <w:rsid w:val="00E17E46"/>
    <w:rsid w:val="00E22BC6"/>
    <w:rsid w:val="00E23B37"/>
    <w:rsid w:val="00E40C6F"/>
    <w:rsid w:val="00E51741"/>
    <w:rsid w:val="00E5409F"/>
    <w:rsid w:val="00E574A3"/>
    <w:rsid w:val="00E66A17"/>
    <w:rsid w:val="00E80AA5"/>
    <w:rsid w:val="00E94FFB"/>
    <w:rsid w:val="00EA1272"/>
    <w:rsid w:val="00EA43E1"/>
    <w:rsid w:val="00EB1CF9"/>
    <w:rsid w:val="00EB4159"/>
    <w:rsid w:val="00EB5E29"/>
    <w:rsid w:val="00EC4C84"/>
    <w:rsid w:val="00ED0347"/>
    <w:rsid w:val="00ED7710"/>
    <w:rsid w:val="00EE0482"/>
    <w:rsid w:val="00EE6488"/>
    <w:rsid w:val="00EE6ABE"/>
    <w:rsid w:val="00EE776C"/>
    <w:rsid w:val="00EF1FC0"/>
    <w:rsid w:val="00F0086A"/>
    <w:rsid w:val="00F021FA"/>
    <w:rsid w:val="00F111C8"/>
    <w:rsid w:val="00F20DDD"/>
    <w:rsid w:val="00F270BE"/>
    <w:rsid w:val="00F4088A"/>
    <w:rsid w:val="00F456B4"/>
    <w:rsid w:val="00F45A84"/>
    <w:rsid w:val="00F4659A"/>
    <w:rsid w:val="00F62E97"/>
    <w:rsid w:val="00F64209"/>
    <w:rsid w:val="00F67BC4"/>
    <w:rsid w:val="00F67E13"/>
    <w:rsid w:val="00F70BAE"/>
    <w:rsid w:val="00F77987"/>
    <w:rsid w:val="00F77F4F"/>
    <w:rsid w:val="00F84455"/>
    <w:rsid w:val="00F93BF5"/>
    <w:rsid w:val="00FA0B28"/>
    <w:rsid w:val="00FA43A3"/>
    <w:rsid w:val="00FB4CB2"/>
    <w:rsid w:val="00FD33D2"/>
    <w:rsid w:val="00FF0312"/>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0E3D42"/>
    <w:pPr>
      <w:spacing w:after="120"/>
    </w:pPr>
  </w:style>
  <w:style w:type="character" w:styleId="FootnoteReference">
    <w:name w:val="footnote reference"/>
    <w:aliases w:val="Style 12,(NECG) Footnote Reference,Appel note de bas de p,Style 124,o,fr,Style 3,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2B7FC6"/>
    <w:rPr>
      <w:rFonts w:ascii="Tahoma" w:hAnsi="Tahoma" w:cs="Tahoma"/>
      <w:sz w:val="16"/>
      <w:szCs w:val="16"/>
    </w:rPr>
  </w:style>
  <w:style w:type="character" w:customStyle="1" w:styleId="BalloonTextChar">
    <w:name w:val="Balloon Text Char"/>
    <w:basedOn w:val="DefaultParagraphFont"/>
    <w:link w:val="BalloonText"/>
    <w:rsid w:val="002B7FC6"/>
    <w:rPr>
      <w:rFonts w:ascii="Tahoma" w:hAnsi="Tahoma" w:cs="Tahoma"/>
      <w:snapToGrid w:val="0"/>
      <w:kern w:val="28"/>
      <w:sz w:val="16"/>
      <w:szCs w:val="16"/>
    </w:rPr>
  </w:style>
  <w:style w:type="character" w:styleId="CommentReference">
    <w:name w:val="annotation reference"/>
    <w:basedOn w:val="DefaultParagraphFont"/>
    <w:rsid w:val="008F3C4A"/>
    <w:rPr>
      <w:sz w:val="16"/>
      <w:szCs w:val="16"/>
    </w:rPr>
  </w:style>
  <w:style w:type="paragraph" w:styleId="CommentText">
    <w:name w:val="annotation text"/>
    <w:basedOn w:val="Normal"/>
    <w:link w:val="CommentTextChar"/>
    <w:rsid w:val="008F3C4A"/>
    <w:rPr>
      <w:sz w:val="20"/>
    </w:rPr>
  </w:style>
  <w:style w:type="character" w:customStyle="1" w:styleId="CommentTextChar">
    <w:name w:val="Comment Text Char"/>
    <w:basedOn w:val="DefaultParagraphFont"/>
    <w:link w:val="CommentText"/>
    <w:rsid w:val="008F3C4A"/>
    <w:rPr>
      <w:snapToGrid w:val="0"/>
      <w:kern w:val="28"/>
    </w:rPr>
  </w:style>
  <w:style w:type="paragraph" w:styleId="CommentSubject">
    <w:name w:val="annotation subject"/>
    <w:basedOn w:val="CommentText"/>
    <w:next w:val="CommentText"/>
    <w:link w:val="CommentSubjectChar"/>
    <w:rsid w:val="008F3C4A"/>
    <w:rPr>
      <w:b/>
      <w:bCs/>
    </w:rPr>
  </w:style>
  <w:style w:type="character" w:customStyle="1" w:styleId="CommentSubjectChar">
    <w:name w:val="Comment Subject Char"/>
    <w:basedOn w:val="CommentTextChar"/>
    <w:link w:val="CommentSubject"/>
    <w:rsid w:val="008F3C4A"/>
    <w:rPr>
      <w:b/>
      <w:bCs/>
      <w:snapToGrid w:val="0"/>
      <w:kern w:val="28"/>
    </w:rPr>
  </w:style>
  <w:style w:type="paragraph" w:styleId="ListParagraph">
    <w:name w:val="List Paragraph"/>
    <w:basedOn w:val="Normal"/>
    <w:uiPriority w:val="34"/>
    <w:qFormat/>
    <w:rsid w:val="005315B3"/>
    <w:pPr>
      <w:ind w:left="720"/>
      <w:contextualSpacing/>
    </w:p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w:basedOn w:val="DefaultParagraphFont"/>
    <w:rsid w:val="005F4E1B"/>
  </w:style>
  <w:style w:type="character" w:styleId="Emphasis">
    <w:name w:val="Emphasis"/>
    <w:basedOn w:val="DefaultParagraphFont"/>
    <w:qFormat/>
    <w:rsid w:val="00783EF7"/>
    <w:rPr>
      <w:i/>
      <w:iCs/>
    </w:rPr>
  </w:style>
  <w:style w:type="character" w:customStyle="1" w:styleId="apple-converted-space">
    <w:name w:val="apple-converted-space"/>
    <w:basedOn w:val="DefaultParagraphFont"/>
    <w:rsid w:val="008A5574"/>
  </w:style>
  <w:style w:type="character" w:customStyle="1" w:styleId="rrfootnoteChar2">
    <w:name w:val="rrfootnote Char2"/>
    <w:aliases w:val="Footnote Text Char1 Char2,Footnote Text Char Char Char2,rrfootnote Char Char Char2,Footnote Text Char1 Char Char Char2,Footnote Text Char Char Char Char Char2,rrfootnote Char Char Char Char Char2,Footnote Text Ch Char"/>
    <w:rsid w:val="00395531"/>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0E3D42"/>
    <w:pPr>
      <w:spacing w:after="120"/>
    </w:pPr>
  </w:style>
  <w:style w:type="character" w:styleId="FootnoteReference">
    <w:name w:val="footnote reference"/>
    <w:aliases w:val="Style 12,(NECG) Footnote Reference,Appel note de bas de p,Style 124,o,fr,Style 3,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2B7FC6"/>
    <w:rPr>
      <w:rFonts w:ascii="Tahoma" w:hAnsi="Tahoma" w:cs="Tahoma"/>
      <w:sz w:val="16"/>
      <w:szCs w:val="16"/>
    </w:rPr>
  </w:style>
  <w:style w:type="character" w:customStyle="1" w:styleId="BalloonTextChar">
    <w:name w:val="Balloon Text Char"/>
    <w:basedOn w:val="DefaultParagraphFont"/>
    <w:link w:val="BalloonText"/>
    <w:rsid w:val="002B7FC6"/>
    <w:rPr>
      <w:rFonts w:ascii="Tahoma" w:hAnsi="Tahoma" w:cs="Tahoma"/>
      <w:snapToGrid w:val="0"/>
      <w:kern w:val="28"/>
      <w:sz w:val="16"/>
      <w:szCs w:val="16"/>
    </w:rPr>
  </w:style>
  <w:style w:type="character" w:styleId="CommentReference">
    <w:name w:val="annotation reference"/>
    <w:basedOn w:val="DefaultParagraphFont"/>
    <w:rsid w:val="008F3C4A"/>
    <w:rPr>
      <w:sz w:val="16"/>
      <w:szCs w:val="16"/>
    </w:rPr>
  </w:style>
  <w:style w:type="paragraph" w:styleId="CommentText">
    <w:name w:val="annotation text"/>
    <w:basedOn w:val="Normal"/>
    <w:link w:val="CommentTextChar"/>
    <w:rsid w:val="008F3C4A"/>
    <w:rPr>
      <w:sz w:val="20"/>
    </w:rPr>
  </w:style>
  <w:style w:type="character" w:customStyle="1" w:styleId="CommentTextChar">
    <w:name w:val="Comment Text Char"/>
    <w:basedOn w:val="DefaultParagraphFont"/>
    <w:link w:val="CommentText"/>
    <w:rsid w:val="008F3C4A"/>
    <w:rPr>
      <w:snapToGrid w:val="0"/>
      <w:kern w:val="28"/>
    </w:rPr>
  </w:style>
  <w:style w:type="paragraph" w:styleId="CommentSubject">
    <w:name w:val="annotation subject"/>
    <w:basedOn w:val="CommentText"/>
    <w:next w:val="CommentText"/>
    <w:link w:val="CommentSubjectChar"/>
    <w:rsid w:val="008F3C4A"/>
    <w:rPr>
      <w:b/>
      <w:bCs/>
    </w:rPr>
  </w:style>
  <w:style w:type="character" w:customStyle="1" w:styleId="CommentSubjectChar">
    <w:name w:val="Comment Subject Char"/>
    <w:basedOn w:val="CommentTextChar"/>
    <w:link w:val="CommentSubject"/>
    <w:rsid w:val="008F3C4A"/>
    <w:rPr>
      <w:b/>
      <w:bCs/>
      <w:snapToGrid w:val="0"/>
      <w:kern w:val="28"/>
    </w:rPr>
  </w:style>
  <w:style w:type="paragraph" w:styleId="ListParagraph">
    <w:name w:val="List Paragraph"/>
    <w:basedOn w:val="Normal"/>
    <w:uiPriority w:val="34"/>
    <w:qFormat/>
    <w:rsid w:val="005315B3"/>
    <w:pPr>
      <w:ind w:left="720"/>
      <w:contextualSpacing/>
    </w:p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w:basedOn w:val="DefaultParagraphFont"/>
    <w:rsid w:val="005F4E1B"/>
  </w:style>
  <w:style w:type="character" w:styleId="Emphasis">
    <w:name w:val="Emphasis"/>
    <w:basedOn w:val="DefaultParagraphFont"/>
    <w:qFormat/>
    <w:rsid w:val="00783EF7"/>
    <w:rPr>
      <w:i/>
      <w:iCs/>
    </w:rPr>
  </w:style>
  <w:style w:type="character" w:customStyle="1" w:styleId="apple-converted-space">
    <w:name w:val="apple-converted-space"/>
    <w:basedOn w:val="DefaultParagraphFont"/>
    <w:rsid w:val="008A5574"/>
  </w:style>
  <w:style w:type="character" w:customStyle="1" w:styleId="rrfootnoteChar2">
    <w:name w:val="rrfootnote Char2"/>
    <w:aliases w:val="Footnote Text Char1 Char2,Footnote Text Char Char Char2,rrfootnote Char Char Char2,Footnote Text Char1 Char Char Char2,Footnote Text Char Char Char Char Char2,rrfootnote Char Char Char Char Char2,Footnote Text Ch Char"/>
    <w:rsid w:val="00395531"/>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Westlaw&amp;db=0004493&amp;tc=-1&amp;rp=%2ffind%2fdefault.wl&amp;findtype=Y&amp;ordoc=2030468553&amp;serialnum=2026404176&amp;vr=2.0&amp;fn=_top&amp;sv=Split&amp;tf=-1&amp;referencepositiontype=S&amp;pbc=CE305D0D&amp;referenceposition=15140&amp;rs=WLW14.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566</Words>
  <Characters>3151</Characters>
  <Application>Microsoft Office Word</Application>
  <DocSecurity>0</DocSecurity>
  <Lines>72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2014-10-15T17:06:00Z</dcterms:created>
  <dcterms:modified xsi:type="dcterms:W3CDTF">2014-10-15T17:06:00Z</dcterms:modified>
  <cp:category> </cp:category>
  <cp:contentStatus> </cp:contentStatus>
</cp:coreProperties>
</file>