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Pr="00696FAD" w:rsidRDefault="004C2EE3">
            <w:pPr>
              <w:tabs>
                <w:tab w:val="center" w:pos="4680"/>
              </w:tabs>
              <w:suppressAutoHyphens/>
              <w:rPr>
                <w:spacing w:val="-2"/>
              </w:rPr>
            </w:pPr>
            <w:r w:rsidRPr="00696FAD">
              <w:rPr>
                <w:spacing w:val="-2"/>
              </w:rPr>
              <w:t>In the Matter of</w:t>
            </w:r>
          </w:p>
          <w:p w:rsidR="004C2EE3" w:rsidRPr="00696FAD" w:rsidRDefault="004C2EE3">
            <w:pPr>
              <w:tabs>
                <w:tab w:val="center" w:pos="4680"/>
              </w:tabs>
              <w:suppressAutoHyphens/>
              <w:rPr>
                <w:spacing w:val="-2"/>
              </w:rPr>
            </w:pPr>
          </w:p>
          <w:p w:rsidR="004C2EE3" w:rsidRPr="00696FAD" w:rsidRDefault="000F5474" w:rsidP="007115F7">
            <w:pPr>
              <w:tabs>
                <w:tab w:val="center" w:pos="4680"/>
              </w:tabs>
              <w:suppressAutoHyphens/>
              <w:rPr>
                <w:spacing w:val="-2"/>
              </w:rPr>
            </w:pPr>
            <w:r w:rsidRPr="00696FAD">
              <w:rPr>
                <w:spacing w:val="-2"/>
              </w:rPr>
              <w:t>DALLAS INGEMUNSON, ASSIGNOR</w:t>
            </w:r>
          </w:p>
          <w:p w:rsidR="000F5474" w:rsidRPr="00696FAD" w:rsidRDefault="000F5474" w:rsidP="007115F7">
            <w:pPr>
              <w:tabs>
                <w:tab w:val="center" w:pos="4680"/>
              </w:tabs>
              <w:suppressAutoHyphens/>
              <w:rPr>
                <w:spacing w:val="-2"/>
              </w:rPr>
            </w:pPr>
          </w:p>
          <w:p w:rsidR="000F5474" w:rsidRPr="00696FAD" w:rsidRDefault="000F5474" w:rsidP="007115F7">
            <w:pPr>
              <w:tabs>
                <w:tab w:val="center" w:pos="4680"/>
              </w:tabs>
              <w:suppressAutoHyphens/>
              <w:rPr>
                <w:spacing w:val="-2"/>
              </w:rPr>
            </w:pPr>
            <w:r w:rsidRPr="00696FAD">
              <w:rPr>
                <w:spacing w:val="-2"/>
              </w:rPr>
              <w:t>and</w:t>
            </w:r>
          </w:p>
          <w:p w:rsidR="000F5474" w:rsidRPr="00696FAD" w:rsidRDefault="000F5474" w:rsidP="007115F7">
            <w:pPr>
              <w:tabs>
                <w:tab w:val="center" w:pos="4680"/>
              </w:tabs>
              <w:suppressAutoHyphens/>
              <w:rPr>
                <w:spacing w:val="-2"/>
              </w:rPr>
            </w:pPr>
          </w:p>
          <w:p w:rsidR="000F5474" w:rsidRPr="00696FAD" w:rsidRDefault="000F5474" w:rsidP="007115F7">
            <w:pPr>
              <w:tabs>
                <w:tab w:val="center" w:pos="4680"/>
              </w:tabs>
              <w:suppressAutoHyphens/>
              <w:rPr>
                <w:spacing w:val="-2"/>
              </w:rPr>
            </w:pPr>
            <w:r w:rsidRPr="00696FAD">
              <w:rPr>
                <w:spacing w:val="-2"/>
              </w:rPr>
              <w:t>JENNIFER BECKMAN, ASSIGNEE</w:t>
            </w:r>
          </w:p>
          <w:p w:rsidR="000F5474" w:rsidRPr="00696FAD" w:rsidRDefault="000F5474" w:rsidP="007115F7">
            <w:pPr>
              <w:tabs>
                <w:tab w:val="center" w:pos="4680"/>
              </w:tabs>
              <w:suppressAutoHyphens/>
              <w:rPr>
                <w:spacing w:val="-2"/>
              </w:rPr>
            </w:pPr>
          </w:p>
          <w:p w:rsidR="000F5474" w:rsidRPr="00696FAD" w:rsidRDefault="000F5474" w:rsidP="007115F7">
            <w:pPr>
              <w:tabs>
                <w:tab w:val="center" w:pos="4680"/>
              </w:tabs>
              <w:suppressAutoHyphens/>
              <w:rPr>
                <w:spacing w:val="-2"/>
              </w:rPr>
            </w:pPr>
            <w:r w:rsidRPr="00696FAD">
              <w:rPr>
                <w:spacing w:val="-2"/>
              </w:rPr>
              <w:t>Application for Assignment of Permit for New (AM) Broadcast Station at Casa Grande, Arizona</w:t>
            </w:r>
          </w:p>
          <w:p w:rsidR="000F5474" w:rsidRPr="00696FAD" w:rsidRDefault="000F5474" w:rsidP="007115F7">
            <w:pPr>
              <w:tabs>
                <w:tab w:val="center" w:pos="4680"/>
              </w:tabs>
              <w:suppressAutoHyphens/>
              <w:rPr>
                <w:spacing w:val="-2"/>
              </w:rPr>
            </w:pPr>
          </w:p>
          <w:p w:rsidR="000F5474" w:rsidRPr="00696FAD" w:rsidRDefault="000F5474" w:rsidP="0054162C">
            <w:pPr>
              <w:tabs>
                <w:tab w:val="center" w:pos="4680"/>
              </w:tabs>
              <w:suppressAutoHyphens/>
              <w:rPr>
                <w:spacing w:val="-2"/>
              </w:rPr>
            </w:pPr>
          </w:p>
        </w:tc>
        <w:tc>
          <w:tcPr>
            <w:tcW w:w="630" w:type="dxa"/>
          </w:tcPr>
          <w:p w:rsidR="004C2EE3" w:rsidRPr="00696FAD" w:rsidRDefault="004C2EE3">
            <w:pPr>
              <w:tabs>
                <w:tab w:val="center" w:pos="4680"/>
              </w:tabs>
              <w:suppressAutoHyphens/>
              <w:rPr>
                <w:b/>
                <w:spacing w:val="-2"/>
              </w:rPr>
            </w:pPr>
            <w:r w:rsidRPr="00696FAD">
              <w:rPr>
                <w:b/>
                <w:spacing w:val="-2"/>
              </w:rPr>
              <w:t>)</w:t>
            </w:r>
          </w:p>
          <w:p w:rsidR="004C2EE3" w:rsidRPr="00696FAD" w:rsidRDefault="004C2EE3">
            <w:pPr>
              <w:tabs>
                <w:tab w:val="center" w:pos="4680"/>
              </w:tabs>
              <w:suppressAutoHyphens/>
              <w:rPr>
                <w:b/>
                <w:spacing w:val="-2"/>
              </w:rPr>
            </w:pPr>
            <w:r w:rsidRPr="00696FAD">
              <w:rPr>
                <w:b/>
                <w:spacing w:val="-2"/>
              </w:rPr>
              <w:t>)</w:t>
            </w:r>
          </w:p>
          <w:p w:rsidR="004C2EE3" w:rsidRPr="00696FAD" w:rsidRDefault="004C2EE3">
            <w:pPr>
              <w:tabs>
                <w:tab w:val="center" w:pos="4680"/>
              </w:tabs>
              <w:suppressAutoHyphens/>
              <w:rPr>
                <w:b/>
                <w:spacing w:val="-2"/>
              </w:rPr>
            </w:pPr>
            <w:r w:rsidRPr="00696FAD">
              <w:rPr>
                <w:b/>
                <w:spacing w:val="-2"/>
              </w:rPr>
              <w:t>)</w:t>
            </w:r>
          </w:p>
          <w:p w:rsidR="004C2EE3" w:rsidRPr="00696FAD" w:rsidRDefault="004C2EE3">
            <w:pPr>
              <w:tabs>
                <w:tab w:val="center" w:pos="4680"/>
              </w:tabs>
              <w:suppressAutoHyphens/>
              <w:rPr>
                <w:b/>
                <w:spacing w:val="-2"/>
              </w:rPr>
            </w:pPr>
            <w:r w:rsidRPr="00696FAD">
              <w:rPr>
                <w:b/>
                <w:spacing w:val="-2"/>
              </w:rPr>
              <w:t>)</w:t>
            </w:r>
          </w:p>
          <w:p w:rsidR="004C2EE3" w:rsidRPr="00696FAD" w:rsidRDefault="004C2EE3">
            <w:pPr>
              <w:tabs>
                <w:tab w:val="center" w:pos="4680"/>
              </w:tabs>
              <w:suppressAutoHyphens/>
              <w:rPr>
                <w:b/>
                <w:spacing w:val="-2"/>
              </w:rPr>
            </w:pPr>
            <w:r w:rsidRPr="00696FAD">
              <w:rPr>
                <w:b/>
                <w:spacing w:val="-2"/>
              </w:rPr>
              <w:t>)</w:t>
            </w:r>
          </w:p>
          <w:p w:rsidR="004C2EE3" w:rsidRPr="00696FAD" w:rsidRDefault="004C2EE3">
            <w:pPr>
              <w:tabs>
                <w:tab w:val="center" w:pos="4680"/>
              </w:tabs>
              <w:suppressAutoHyphens/>
              <w:rPr>
                <w:b/>
                <w:spacing w:val="-2"/>
              </w:rPr>
            </w:pPr>
            <w:r w:rsidRPr="00696FAD">
              <w:rPr>
                <w:b/>
                <w:spacing w:val="-2"/>
              </w:rPr>
              <w:t>)</w:t>
            </w:r>
          </w:p>
          <w:p w:rsidR="004C2EE3" w:rsidRPr="00696FAD" w:rsidRDefault="004C2EE3">
            <w:pPr>
              <w:tabs>
                <w:tab w:val="center" w:pos="4680"/>
              </w:tabs>
              <w:suppressAutoHyphens/>
              <w:rPr>
                <w:b/>
                <w:spacing w:val="-2"/>
              </w:rPr>
            </w:pPr>
            <w:r w:rsidRPr="00696FAD">
              <w:rPr>
                <w:b/>
                <w:spacing w:val="-2"/>
              </w:rPr>
              <w:t>)</w:t>
            </w:r>
          </w:p>
          <w:p w:rsidR="004C2EE3" w:rsidRPr="00696FAD" w:rsidRDefault="004C2EE3">
            <w:pPr>
              <w:tabs>
                <w:tab w:val="center" w:pos="4680"/>
              </w:tabs>
              <w:suppressAutoHyphens/>
              <w:rPr>
                <w:b/>
                <w:spacing w:val="-2"/>
              </w:rPr>
            </w:pPr>
            <w:r w:rsidRPr="00696FAD">
              <w:rPr>
                <w:b/>
                <w:spacing w:val="-2"/>
              </w:rPr>
              <w:t>)</w:t>
            </w:r>
          </w:p>
          <w:p w:rsidR="000F5474" w:rsidRPr="00696FAD" w:rsidRDefault="000F5474">
            <w:pPr>
              <w:tabs>
                <w:tab w:val="center" w:pos="4680"/>
              </w:tabs>
              <w:suppressAutoHyphens/>
              <w:rPr>
                <w:b/>
                <w:spacing w:val="-2"/>
              </w:rPr>
            </w:pPr>
            <w:r w:rsidRPr="00696FAD">
              <w:rPr>
                <w:b/>
                <w:spacing w:val="-2"/>
              </w:rPr>
              <w:t>)</w:t>
            </w:r>
          </w:p>
          <w:p w:rsidR="000F5474" w:rsidRPr="00696FAD" w:rsidRDefault="000F5474">
            <w:pPr>
              <w:tabs>
                <w:tab w:val="center" w:pos="4680"/>
              </w:tabs>
              <w:suppressAutoHyphens/>
              <w:rPr>
                <w:b/>
                <w:spacing w:val="-2"/>
              </w:rPr>
            </w:pPr>
            <w:r w:rsidRPr="00696FAD">
              <w:rPr>
                <w:b/>
                <w:spacing w:val="-2"/>
              </w:rPr>
              <w:t>)</w:t>
            </w:r>
          </w:p>
          <w:p w:rsidR="004C2EE3" w:rsidRPr="00696FAD" w:rsidRDefault="004C2EE3">
            <w:pPr>
              <w:tabs>
                <w:tab w:val="center" w:pos="4680"/>
              </w:tabs>
              <w:suppressAutoHyphens/>
              <w:rPr>
                <w:spacing w:val="-2"/>
              </w:rPr>
            </w:pPr>
          </w:p>
        </w:tc>
        <w:tc>
          <w:tcPr>
            <w:tcW w:w="4248" w:type="dxa"/>
          </w:tcPr>
          <w:p w:rsidR="004C2EE3" w:rsidRPr="00696FAD" w:rsidRDefault="004C2EE3">
            <w:pPr>
              <w:tabs>
                <w:tab w:val="center" w:pos="4680"/>
              </w:tabs>
              <w:suppressAutoHyphens/>
              <w:rPr>
                <w:spacing w:val="-2"/>
              </w:rPr>
            </w:pPr>
          </w:p>
          <w:p w:rsidR="004C2EE3" w:rsidRPr="00696FAD" w:rsidRDefault="004C2EE3">
            <w:pPr>
              <w:pStyle w:val="TOAHeading"/>
              <w:tabs>
                <w:tab w:val="clear" w:pos="9360"/>
                <w:tab w:val="center" w:pos="4680"/>
              </w:tabs>
              <w:rPr>
                <w:spacing w:val="-2"/>
              </w:rPr>
            </w:pPr>
          </w:p>
          <w:p w:rsidR="008408E7" w:rsidRPr="00696FAD" w:rsidRDefault="008408E7">
            <w:pPr>
              <w:tabs>
                <w:tab w:val="center" w:pos="4680"/>
              </w:tabs>
              <w:suppressAutoHyphens/>
              <w:rPr>
                <w:spacing w:val="-2"/>
              </w:rPr>
            </w:pPr>
          </w:p>
          <w:p w:rsidR="008408E7" w:rsidRPr="00696FAD" w:rsidRDefault="008408E7" w:rsidP="008408E7">
            <w:pPr>
              <w:tabs>
                <w:tab w:val="center" w:pos="4680"/>
              </w:tabs>
              <w:suppressAutoHyphens/>
              <w:rPr>
                <w:spacing w:val="-2"/>
              </w:rPr>
            </w:pPr>
          </w:p>
          <w:p w:rsidR="008408E7" w:rsidRPr="00696FAD" w:rsidRDefault="008408E7" w:rsidP="008408E7">
            <w:pPr>
              <w:tabs>
                <w:tab w:val="center" w:pos="4680"/>
              </w:tabs>
              <w:suppressAutoHyphens/>
              <w:rPr>
                <w:spacing w:val="-2"/>
              </w:rPr>
            </w:pPr>
            <w:r w:rsidRPr="00696FAD">
              <w:rPr>
                <w:spacing w:val="-2"/>
              </w:rPr>
              <w:t>Facility ID No. 129580</w:t>
            </w:r>
          </w:p>
          <w:p w:rsidR="008408E7" w:rsidRPr="00696FAD" w:rsidRDefault="008408E7">
            <w:pPr>
              <w:tabs>
                <w:tab w:val="center" w:pos="4680"/>
              </w:tabs>
              <w:suppressAutoHyphens/>
              <w:rPr>
                <w:spacing w:val="-2"/>
              </w:rPr>
            </w:pPr>
          </w:p>
          <w:p w:rsidR="004C2EE3" w:rsidRPr="00696FAD" w:rsidRDefault="00814312">
            <w:pPr>
              <w:tabs>
                <w:tab w:val="center" w:pos="4680"/>
              </w:tabs>
              <w:suppressAutoHyphens/>
              <w:rPr>
                <w:spacing w:val="-2"/>
              </w:rPr>
            </w:pPr>
            <w:r w:rsidRPr="00696FAD">
              <w:rPr>
                <w:spacing w:val="-2"/>
              </w:rPr>
              <w:t>File No. BAP-20110510ADS</w:t>
            </w:r>
          </w:p>
          <w:p w:rsidR="00814312" w:rsidRPr="00696FAD" w:rsidRDefault="0054162C">
            <w:pPr>
              <w:tabs>
                <w:tab w:val="center" w:pos="4680"/>
              </w:tabs>
              <w:suppressAutoHyphens/>
              <w:rPr>
                <w:spacing w:val="-2"/>
              </w:rPr>
            </w:pPr>
            <w:r w:rsidRPr="00696FAD">
              <w:rPr>
                <w:spacing w:val="-2"/>
              </w:rPr>
              <w:t xml:space="preserve">Permit </w:t>
            </w:r>
            <w:r w:rsidR="00814312" w:rsidRPr="00696FAD">
              <w:rPr>
                <w:spacing w:val="-2"/>
              </w:rPr>
              <w:t>No. BNP-20001023ADB</w:t>
            </w:r>
          </w:p>
        </w:tc>
      </w:tr>
    </w:tbl>
    <w:p w:rsidR="00841AB1" w:rsidRDefault="00814312" w:rsidP="00F021FA">
      <w:pPr>
        <w:pStyle w:val="StyleBoldCentered"/>
      </w:pPr>
      <w:r>
        <w:t>MEMORANDUM OPINION AND O</w:t>
      </w:r>
      <w:r w:rsidR="006220FF">
        <w:t>R</w:t>
      </w:r>
      <w:r>
        <w:t>DER</w:t>
      </w:r>
    </w:p>
    <w:p w:rsidR="004C2EE3" w:rsidRDefault="004C2EE3">
      <w:pPr>
        <w:tabs>
          <w:tab w:val="left" w:pos="-720"/>
        </w:tabs>
        <w:suppressAutoHyphens/>
        <w:spacing w:line="227" w:lineRule="auto"/>
        <w:rPr>
          <w:spacing w:val="-2"/>
        </w:rPr>
      </w:pPr>
    </w:p>
    <w:p w:rsidR="004C2EE3" w:rsidRPr="00696FAD" w:rsidRDefault="004C2EE3" w:rsidP="00133F79">
      <w:pPr>
        <w:tabs>
          <w:tab w:val="left" w:pos="720"/>
          <w:tab w:val="right" w:pos="9360"/>
        </w:tabs>
        <w:suppressAutoHyphens/>
        <w:spacing w:line="227" w:lineRule="auto"/>
        <w:rPr>
          <w:spacing w:val="-2"/>
        </w:rPr>
      </w:pPr>
      <w:r w:rsidRPr="00696FAD">
        <w:rPr>
          <w:b/>
          <w:spacing w:val="-2"/>
        </w:rPr>
        <w:t xml:space="preserve">Adopted:  </w:t>
      </w:r>
      <w:r w:rsidR="00FD1E66">
        <w:rPr>
          <w:b/>
          <w:spacing w:val="-2"/>
        </w:rPr>
        <w:t>October 16</w:t>
      </w:r>
      <w:r w:rsidR="00814312" w:rsidRPr="00696FAD">
        <w:rPr>
          <w:b/>
          <w:spacing w:val="-2"/>
        </w:rPr>
        <w:t>, 2014</w:t>
      </w:r>
      <w:r w:rsidRPr="00696FAD">
        <w:rPr>
          <w:b/>
          <w:spacing w:val="-2"/>
        </w:rPr>
        <w:tab/>
      </w:r>
      <w:r w:rsidR="00822CE0" w:rsidRPr="00696FAD">
        <w:rPr>
          <w:b/>
          <w:spacing w:val="-2"/>
        </w:rPr>
        <w:t>Released</w:t>
      </w:r>
      <w:r w:rsidRPr="00696FAD">
        <w:rPr>
          <w:b/>
          <w:spacing w:val="-2"/>
        </w:rPr>
        <w:t>:</w:t>
      </w:r>
      <w:r w:rsidR="00822CE0" w:rsidRPr="00696FAD">
        <w:rPr>
          <w:b/>
          <w:spacing w:val="-2"/>
        </w:rPr>
        <w:t xml:space="preserve"> </w:t>
      </w:r>
      <w:r w:rsidRPr="00696FAD">
        <w:rPr>
          <w:b/>
          <w:spacing w:val="-2"/>
        </w:rPr>
        <w:t xml:space="preserve"> </w:t>
      </w:r>
      <w:r w:rsidR="00FD1E66">
        <w:rPr>
          <w:b/>
          <w:spacing w:val="-2"/>
        </w:rPr>
        <w:t>October 17</w:t>
      </w:r>
      <w:r w:rsidR="00814312" w:rsidRPr="00696FAD">
        <w:rPr>
          <w:b/>
          <w:spacing w:val="-2"/>
        </w:rPr>
        <w:t>, 2014</w:t>
      </w:r>
    </w:p>
    <w:p w:rsidR="00822CE0" w:rsidRPr="00696FAD" w:rsidRDefault="00822CE0"/>
    <w:p w:rsidR="004C2EE3" w:rsidRPr="00696FAD" w:rsidRDefault="004C2EE3">
      <w:pPr>
        <w:rPr>
          <w:spacing w:val="-2"/>
        </w:rPr>
      </w:pPr>
      <w:r w:rsidRPr="00696FAD">
        <w:t xml:space="preserve">By </w:t>
      </w:r>
      <w:r w:rsidR="004E4A22" w:rsidRPr="00696FAD">
        <w:t>the</w:t>
      </w:r>
      <w:r w:rsidR="00814312" w:rsidRPr="00696FAD">
        <w:t xml:space="preserve"> Commission</w:t>
      </w:r>
      <w:r w:rsidRPr="00696FAD">
        <w:rPr>
          <w:spacing w:val="-2"/>
        </w:rPr>
        <w:t>:</w:t>
      </w:r>
    </w:p>
    <w:p w:rsidR="00822CE0" w:rsidRDefault="00822CE0">
      <w:pPr>
        <w:rPr>
          <w:spacing w:val="-2"/>
        </w:rPr>
      </w:pPr>
    </w:p>
    <w:p w:rsidR="002C00E8" w:rsidRDefault="00814312" w:rsidP="00A32CA8">
      <w:pPr>
        <w:pStyle w:val="ParaNum"/>
        <w:widowControl/>
      </w:pPr>
      <w:r>
        <w:t>The Commission has before it</w:t>
      </w:r>
      <w:r w:rsidR="0058015D">
        <w:t xml:space="preserve"> a</w:t>
      </w:r>
      <w:r w:rsidR="00774B73">
        <w:t xml:space="preserve"> November 3, 2011,</w:t>
      </w:r>
      <w:r w:rsidR="0058015D">
        <w:t xml:space="preserve"> Application for Review (“AFR”) filed by Jennifer Beckman (“Beckman”).  Beckman seeks review of the Media Bureau’s (“Bureau”) September 30, 2011, decision</w:t>
      </w:r>
      <w:r w:rsidR="0058015D">
        <w:rPr>
          <w:rStyle w:val="FootnoteReference"/>
        </w:rPr>
        <w:footnoteReference w:id="2"/>
      </w:r>
      <w:r w:rsidR="00EC758D">
        <w:t xml:space="preserve"> </w:t>
      </w:r>
      <w:r w:rsidR="008B757F">
        <w:t xml:space="preserve">denying </w:t>
      </w:r>
      <w:r w:rsidR="00D54290">
        <w:t>Beckman’s</w:t>
      </w:r>
      <w:r w:rsidR="00F62174">
        <w:t xml:space="preserve"> </w:t>
      </w:r>
      <w:r w:rsidR="00D54290">
        <w:t>July 30, 2011,</w:t>
      </w:r>
      <w:r w:rsidR="002A0E58">
        <w:t xml:space="preserve"> </w:t>
      </w:r>
      <w:r w:rsidR="008B757F">
        <w:t>“</w:t>
      </w:r>
      <w:r w:rsidR="002A0E58">
        <w:t>Petition</w:t>
      </w:r>
      <w:r w:rsidR="00AE0470">
        <w:t xml:space="preserve"> </w:t>
      </w:r>
      <w:r w:rsidR="008B757F">
        <w:t xml:space="preserve">for Partial Reconsideration” </w:t>
      </w:r>
      <w:r w:rsidR="00744720">
        <w:t>(“Petition”)</w:t>
      </w:r>
      <w:r w:rsidR="00F425B0">
        <w:t xml:space="preserve"> </w:t>
      </w:r>
      <w:r w:rsidR="00F62174">
        <w:t xml:space="preserve">of </w:t>
      </w:r>
      <w:r w:rsidR="00EC758D">
        <w:t xml:space="preserve">the </w:t>
      </w:r>
      <w:r w:rsidR="008B757F">
        <w:t xml:space="preserve">Bureau’s </w:t>
      </w:r>
      <w:r w:rsidR="00EC758D">
        <w:t>condition</w:t>
      </w:r>
      <w:r w:rsidR="008B757F">
        <w:t>al</w:t>
      </w:r>
      <w:r w:rsidR="00EC758D">
        <w:t xml:space="preserve"> grant of the </w:t>
      </w:r>
      <w:r w:rsidR="008B757F">
        <w:t>caption</w:t>
      </w:r>
      <w:r w:rsidR="00F62174">
        <w:t>ed application for</w:t>
      </w:r>
      <w:r w:rsidR="00F425B0">
        <w:t xml:space="preserve"> consent to the</w:t>
      </w:r>
      <w:r w:rsidR="00F62174">
        <w:t xml:space="preserve"> </w:t>
      </w:r>
      <w:r w:rsidR="00AE0470">
        <w:t xml:space="preserve">assignment of </w:t>
      </w:r>
      <w:r w:rsidR="008B757F">
        <w:t xml:space="preserve">a new AM station </w:t>
      </w:r>
      <w:r w:rsidR="008E01E0">
        <w:t xml:space="preserve">construction permit </w:t>
      </w:r>
      <w:r w:rsidR="008B757F">
        <w:t>in Casa Grande, Arizona</w:t>
      </w:r>
      <w:r w:rsidR="00835072">
        <w:t xml:space="preserve"> (the “Permit”)</w:t>
      </w:r>
      <w:r w:rsidR="008B757F">
        <w:t>, from Dallas Ingemunson</w:t>
      </w:r>
      <w:r w:rsidR="00CC747B">
        <w:t xml:space="preserve"> (“Ingemunson”)</w:t>
      </w:r>
      <w:r w:rsidR="008B757F">
        <w:t xml:space="preserve"> </w:t>
      </w:r>
      <w:r w:rsidR="00AE0470">
        <w:t>to Beckman</w:t>
      </w:r>
      <w:r w:rsidR="00FE52BC">
        <w:t xml:space="preserve"> (“Assignment Application”)</w:t>
      </w:r>
      <w:r w:rsidR="00EC758D">
        <w:t xml:space="preserve">.  The </w:t>
      </w:r>
      <w:r w:rsidR="00EC758D" w:rsidRPr="005E328E">
        <w:rPr>
          <w:i/>
        </w:rPr>
        <w:t>Staff Decision</w:t>
      </w:r>
      <w:r w:rsidR="00EC758D">
        <w:t xml:space="preserve"> also denied Beckman’s </w:t>
      </w:r>
      <w:r w:rsidR="00D54290">
        <w:t>July 5, 2011</w:t>
      </w:r>
      <w:r w:rsidR="009739AA">
        <w:t>,</w:t>
      </w:r>
      <w:r w:rsidR="00D54290">
        <w:t xml:space="preserve"> </w:t>
      </w:r>
      <w:r w:rsidR="0054162C">
        <w:t xml:space="preserve">request that the </w:t>
      </w:r>
      <w:r w:rsidR="00835072">
        <w:t>P</w:t>
      </w:r>
      <w:r w:rsidR="0054162C">
        <w:t xml:space="preserve">ermit be tolled </w:t>
      </w:r>
      <w:r w:rsidR="00D54290">
        <w:t>(“Tolling Request”)</w:t>
      </w:r>
      <w:r w:rsidR="004614C8">
        <w:rPr>
          <w:rStyle w:val="FootnoteReference"/>
        </w:rPr>
        <w:footnoteReference w:id="3"/>
      </w:r>
      <w:r w:rsidR="00EC758D">
        <w:t xml:space="preserve"> and found that the Permit </w:t>
      </w:r>
      <w:r w:rsidR="00F62174">
        <w:t xml:space="preserve">had </w:t>
      </w:r>
      <w:r w:rsidR="007845C9">
        <w:t>expired</w:t>
      </w:r>
      <w:r w:rsidR="00475800">
        <w:t xml:space="preserve"> on July 6, 2011</w:t>
      </w:r>
      <w:r w:rsidR="007845C9">
        <w:t>.</w:t>
      </w:r>
      <w:r w:rsidR="0035325A">
        <w:t xml:space="preserve">  </w:t>
      </w:r>
      <w:r w:rsidR="00D90902">
        <w:t>For the reasons set forth below, we dismiss in part and deny in part the Application for Review.</w:t>
      </w:r>
      <w:r w:rsidR="00F425B0" w:rsidRPr="00F425B0">
        <w:rPr>
          <w:rStyle w:val="FootnoteReference"/>
        </w:rPr>
        <w:t xml:space="preserve"> </w:t>
      </w:r>
      <w:r w:rsidR="00F425B0">
        <w:rPr>
          <w:rStyle w:val="FootnoteReference"/>
        </w:rPr>
        <w:footnoteReference w:id="4"/>
      </w:r>
      <w:r w:rsidR="007845C9">
        <w:t xml:space="preserve"> </w:t>
      </w:r>
    </w:p>
    <w:p w:rsidR="00361752" w:rsidRDefault="00D1308E" w:rsidP="00632893">
      <w:pPr>
        <w:pStyle w:val="ParaNum"/>
      </w:pPr>
      <w:r>
        <w:rPr>
          <w:i/>
          <w:szCs w:val="22"/>
        </w:rPr>
        <w:t>Background.</w:t>
      </w:r>
      <w:r>
        <w:t xml:space="preserve">  </w:t>
      </w:r>
      <w:r w:rsidR="00BC63D3">
        <w:rPr>
          <w:szCs w:val="22"/>
        </w:rPr>
        <w:t>Section 73.3598</w:t>
      </w:r>
      <w:r w:rsidR="00CC747B">
        <w:rPr>
          <w:szCs w:val="22"/>
        </w:rPr>
        <w:t>(a)</w:t>
      </w:r>
      <w:r w:rsidR="00BC63D3">
        <w:rPr>
          <w:szCs w:val="22"/>
        </w:rPr>
        <w:t xml:space="preserve"> requires that </w:t>
      </w:r>
      <w:r w:rsidR="00F56A16">
        <w:rPr>
          <w:szCs w:val="22"/>
        </w:rPr>
        <w:t xml:space="preserve">broadcast </w:t>
      </w:r>
      <w:r w:rsidR="00BC63D3">
        <w:rPr>
          <w:szCs w:val="22"/>
        </w:rPr>
        <w:t>construction permit</w:t>
      </w:r>
      <w:r w:rsidR="00F56A16">
        <w:rPr>
          <w:szCs w:val="22"/>
        </w:rPr>
        <w:t>s</w:t>
      </w:r>
      <w:r w:rsidR="00BC63D3">
        <w:rPr>
          <w:szCs w:val="22"/>
        </w:rPr>
        <w:t xml:space="preserve"> specify a period of three years from the date of issuance within which construction shall be completed and an application for license filed.</w:t>
      </w:r>
      <w:r w:rsidR="00BC63D3">
        <w:rPr>
          <w:rStyle w:val="FootnoteReference"/>
          <w:szCs w:val="22"/>
        </w:rPr>
        <w:footnoteReference w:id="5"/>
      </w:r>
      <w:r w:rsidR="00BC63D3">
        <w:rPr>
          <w:szCs w:val="22"/>
        </w:rPr>
        <w:t xml:space="preserve">  </w:t>
      </w:r>
      <w:r w:rsidR="004B00C8">
        <w:t xml:space="preserve">On March 5, 2008, the Commission adopted changes to the Rules to </w:t>
      </w:r>
      <w:r w:rsidR="004B00C8">
        <w:lastRenderedPageBreak/>
        <w:t>facilitate broadcast ownership diversity.</w:t>
      </w:r>
      <w:r w:rsidR="004B00C8">
        <w:rPr>
          <w:rStyle w:val="FootnoteReference"/>
        </w:rPr>
        <w:footnoteReference w:id="6"/>
      </w:r>
      <w:r w:rsidR="004B00C8">
        <w:t xml:space="preserve">  </w:t>
      </w:r>
      <w:r w:rsidR="008E01E0">
        <w:t xml:space="preserve">These included a provision allowing </w:t>
      </w:r>
      <w:r w:rsidR="004B00C8">
        <w:t xml:space="preserve">“eligible entities,” who acquired outstanding construction permits </w:t>
      </w:r>
      <w:r w:rsidR="008E01E0">
        <w:t>up to an additional “</w:t>
      </w:r>
      <w:r w:rsidR="004B00C8">
        <w:t>eighteen months from the consummation of the assignment or transfer on control . . . to complete construction . . . .”</w:t>
      </w:r>
      <w:r w:rsidR="004B00C8">
        <w:rPr>
          <w:rStyle w:val="FootnoteReference"/>
        </w:rPr>
        <w:footnoteReference w:id="7"/>
      </w:r>
      <w:r w:rsidR="004B00C8">
        <w:t xml:space="preserve">  </w:t>
      </w:r>
    </w:p>
    <w:p w:rsidR="00BC63D3" w:rsidRDefault="00835072" w:rsidP="00632893">
      <w:pPr>
        <w:pStyle w:val="ParaNum"/>
      </w:pPr>
      <w:r>
        <w:t>On July 8, 2005, the staff granted the Permit with a</w:t>
      </w:r>
      <w:r w:rsidR="00CB1BD6">
        <w:t>n</w:t>
      </w:r>
      <w:r>
        <w:t xml:space="preserve"> expiration date of July 8, 2008, to Green Valley Broadcasters, Inc. (“Green Valley”).</w:t>
      </w:r>
      <w:r>
        <w:rPr>
          <w:rStyle w:val="FootnoteReference"/>
        </w:rPr>
        <w:footnoteReference w:id="8"/>
      </w:r>
      <w:r>
        <w:t xml:space="preserve">  </w:t>
      </w:r>
      <w:r w:rsidR="004B00C8">
        <w:t>T</w:t>
      </w:r>
      <w:r>
        <w:t xml:space="preserve">he Permit was </w:t>
      </w:r>
      <w:r w:rsidR="004B00C8">
        <w:t xml:space="preserve">then </w:t>
      </w:r>
      <w:r>
        <w:t>assi</w:t>
      </w:r>
      <w:r w:rsidR="00063E34">
        <w:t xml:space="preserve">gned twice, with each assignee </w:t>
      </w:r>
      <w:r>
        <w:t>receiving an additional 18 months from consummation to complete construction</w:t>
      </w:r>
      <w:r w:rsidR="003E54D5">
        <w:t>,</w:t>
      </w:r>
      <w:r>
        <w:rPr>
          <w:rStyle w:val="FootnoteReference"/>
        </w:rPr>
        <w:footnoteReference w:id="9"/>
      </w:r>
      <w:r w:rsidR="003E54D5">
        <w:t xml:space="preserve"> culminating in a revised expiration date of July 6, 2011.</w:t>
      </w:r>
      <w:r>
        <w:t xml:space="preserve">  </w:t>
      </w:r>
    </w:p>
    <w:p w:rsidR="008F38B0" w:rsidRDefault="00630777" w:rsidP="00391C19">
      <w:pPr>
        <w:pStyle w:val="ParaNum"/>
      </w:pPr>
      <w:r>
        <w:t>On May 10, 2011, Ingemunson and Beckman filed the Assignment Application.  In it, Beckman claimed to be an eligible entity entitled to a full 18 months to construct the station.</w:t>
      </w:r>
      <w:r>
        <w:rPr>
          <w:rStyle w:val="FootnoteReference"/>
        </w:rPr>
        <w:footnoteReference w:id="10"/>
      </w:r>
      <w:r>
        <w:t xml:space="preserve">  </w:t>
      </w:r>
      <w:r w:rsidR="00BF47E7">
        <w:t>On June 24, 2011, t</w:t>
      </w:r>
      <w:r>
        <w:t>he Bureau staff granted the application</w:t>
      </w:r>
      <w:r w:rsidR="00D96067">
        <w:t>,</w:t>
      </w:r>
      <w:r w:rsidR="00BF47E7">
        <w:rPr>
          <w:rStyle w:val="FootnoteReference"/>
        </w:rPr>
        <w:footnoteReference w:id="11"/>
      </w:r>
      <w:r w:rsidR="00D96067">
        <w:t xml:space="preserve"> </w:t>
      </w:r>
      <w:r w:rsidR="003E54D5">
        <w:t xml:space="preserve">but </w:t>
      </w:r>
      <w:r w:rsidR="00BF47E7">
        <w:t xml:space="preserve">stipulated </w:t>
      </w:r>
      <w:r w:rsidR="003E54D5">
        <w:t xml:space="preserve">that “[C]onsummation of the assignment . . .  will not extend the </w:t>
      </w:r>
      <w:r w:rsidR="00EF4022">
        <w:t xml:space="preserve">[July 6, 2011] </w:t>
      </w:r>
      <w:r w:rsidR="003E54D5">
        <w:t>expiration date of the permit.</w:t>
      </w:r>
      <w:r w:rsidR="00E40998">
        <w:t>”</w:t>
      </w:r>
      <w:r w:rsidR="00647A1F">
        <w:rPr>
          <w:rStyle w:val="FootnoteReference"/>
        </w:rPr>
        <w:footnoteReference w:id="12"/>
      </w:r>
      <w:r w:rsidR="00E40998">
        <w:t xml:space="preserve">  </w:t>
      </w:r>
    </w:p>
    <w:p w:rsidR="00391C19" w:rsidRDefault="00D96067" w:rsidP="00391C19">
      <w:pPr>
        <w:pStyle w:val="ParaNum"/>
      </w:pPr>
      <w:r>
        <w:t>O</w:t>
      </w:r>
      <w:r w:rsidR="005B743C">
        <w:t>n July 7, 2011</w:t>
      </w:r>
      <w:r w:rsidR="00391C19">
        <w:t xml:space="preserve">, the United States Court of Appeals for the Third Circuit vacated the Commission’s “eligible entity” </w:t>
      </w:r>
      <w:r w:rsidR="00FD2B2A">
        <w:t xml:space="preserve">definition </w:t>
      </w:r>
      <w:r w:rsidR="00391C19">
        <w:t xml:space="preserve">and remanded those provisions of the </w:t>
      </w:r>
      <w:r w:rsidR="00391C19">
        <w:rPr>
          <w:i/>
        </w:rPr>
        <w:t>Diversity Order</w:t>
      </w:r>
      <w:r w:rsidR="00391C19">
        <w:t xml:space="preserve"> that rely on the “eligible entity” definition.</w:t>
      </w:r>
      <w:r w:rsidR="00391C19">
        <w:rPr>
          <w:rStyle w:val="FootnoteReference"/>
        </w:rPr>
        <w:footnoteReference w:id="13"/>
      </w:r>
      <w:r w:rsidR="00391C19">
        <w:t xml:space="preserve">  On July 25, 2011, in response to </w:t>
      </w:r>
      <w:r w:rsidR="00391C19" w:rsidRPr="00F35319">
        <w:rPr>
          <w:i/>
        </w:rPr>
        <w:t>Prometheus Radio</w:t>
      </w:r>
      <w:r w:rsidR="00391C19">
        <w:t>, the Bureau “suspended application of the eligible entity rule provisions and policies in all contexts.”</w:t>
      </w:r>
      <w:r w:rsidR="00391C19">
        <w:rPr>
          <w:rStyle w:val="FootnoteReference"/>
        </w:rPr>
        <w:footnoteReference w:id="14"/>
      </w:r>
      <w:r w:rsidR="00391C19">
        <w:t xml:space="preserve">  In so doing, the Bureau </w:t>
      </w:r>
      <w:r w:rsidR="008E01E0">
        <w:t xml:space="preserve">established the following processing policy </w:t>
      </w:r>
      <w:r w:rsidR="00391C19">
        <w:t>for assignments that were granted, but not final</w:t>
      </w:r>
      <w:r w:rsidR="00806D2D">
        <w:t>,</w:t>
      </w:r>
      <w:r w:rsidR="00391C19">
        <w:rPr>
          <w:rStyle w:val="FootnoteReference"/>
        </w:rPr>
        <w:footnoteReference w:id="15"/>
      </w:r>
      <w:r w:rsidR="00391C19">
        <w:t xml:space="preserve"> when the </w:t>
      </w:r>
      <w:r w:rsidR="00806D2D">
        <w:t xml:space="preserve">court issued its </w:t>
      </w:r>
      <w:r w:rsidR="00391C19" w:rsidRPr="00F35319">
        <w:rPr>
          <w:i/>
        </w:rPr>
        <w:t>Prometheus Radio</w:t>
      </w:r>
      <w:r w:rsidR="00391C19">
        <w:t xml:space="preserve"> mandate</w:t>
      </w:r>
      <w:r w:rsidR="00806D2D">
        <w:t>:</w:t>
      </w:r>
    </w:p>
    <w:p w:rsidR="004B68ED" w:rsidRPr="00437140" w:rsidRDefault="00391C19" w:rsidP="00437140">
      <w:pPr>
        <w:pStyle w:val="ParaNum"/>
        <w:numPr>
          <w:ilvl w:val="0"/>
          <w:numId w:val="0"/>
        </w:numPr>
        <w:ind w:left="720" w:right="720"/>
        <w:rPr>
          <w:color w:val="000000"/>
          <w:szCs w:val="22"/>
        </w:rPr>
      </w:pPr>
      <w:r>
        <w:rPr>
          <w:rStyle w:val="Strong"/>
          <w:b w:val="0"/>
          <w:bCs w:val="0"/>
          <w:color w:val="000000"/>
          <w:szCs w:val="22"/>
        </w:rPr>
        <w:t>In all cases in which construction was not completed prior to the original construction permit expiration date, the construction permit is automatically forfeited upon expiration without any further affirmative cancellation by the Commission.</w:t>
      </w:r>
      <w:r>
        <w:rPr>
          <w:rStyle w:val="FootnoteReference"/>
          <w:color w:val="000000"/>
          <w:szCs w:val="22"/>
        </w:rPr>
        <w:footnoteReference w:id="16"/>
      </w:r>
      <w:r>
        <w:rPr>
          <w:rStyle w:val="Strong"/>
          <w:b w:val="0"/>
          <w:bCs w:val="0"/>
          <w:color w:val="000000"/>
          <w:szCs w:val="22"/>
        </w:rPr>
        <w:t xml:space="preserve"> </w:t>
      </w:r>
      <w:r w:rsidR="00E057B9">
        <w:rPr>
          <w:rStyle w:val="Strong"/>
          <w:b w:val="0"/>
          <w:bCs w:val="0"/>
          <w:color w:val="000000"/>
          <w:szCs w:val="22"/>
        </w:rPr>
        <w:t xml:space="preserve">. . . </w:t>
      </w:r>
      <w:r>
        <w:rPr>
          <w:rStyle w:val="Strong"/>
          <w:b w:val="0"/>
          <w:bCs w:val="0"/>
          <w:color w:val="000000"/>
          <w:szCs w:val="22"/>
        </w:rPr>
        <w:t xml:space="preserve"> The prior extension of a permit pursuant to a non-final application grant will not provide the basis for any additional construction time.</w:t>
      </w:r>
      <w:r w:rsidR="00CC747B">
        <w:rPr>
          <w:rStyle w:val="FootnoteReference"/>
          <w:szCs w:val="22"/>
        </w:rPr>
        <w:footnoteReference w:id="17"/>
      </w:r>
    </w:p>
    <w:p w:rsidR="00E40998" w:rsidRDefault="00647A1F" w:rsidP="00304425">
      <w:pPr>
        <w:pStyle w:val="ParaNum"/>
        <w:widowControl/>
      </w:pPr>
      <w:r>
        <w:lastRenderedPageBreak/>
        <w:t xml:space="preserve">On July 5, 2011, </w:t>
      </w:r>
      <w:r w:rsidR="00CC550D">
        <w:t xml:space="preserve">one day prior to the Permit’s expiration date, </w:t>
      </w:r>
      <w:r>
        <w:t xml:space="preserve">Beckman filed </w:t>
      </w:r>
      <w:r w:rsidR="00A73E44">
        <w:t xml:space="preserve">the </w:t>
      </w:r>
      <w:r>
        <w:t>Tolling Request</w:t>
      </w:r>
      <w:r w:rsidR="00D732C7">
        <w:t>,</w:t>
      </w:r>
      <w:r w:rsidR="00361752">
        <w:t xml:space="preserve"> </w:t>
      </w:r>
      <w:r w:rsidR="00D732C7">
        <w:t>indicating</w:t>
      </w:r>
      <w:r w:rsidR="00CC550D">
        <w:t xml:space="preserve"> that her “counsel is preparing and will file a timely petition for reconsideration of the action withholding the CP extension.”</w:t>
      </w:r>
      <w:r w:rsidR="00CC550D">
        <w:rPr>
          <w:rStyle w:val="FootnoteReference"/>
        </w:rPr>
        <w:footnoteReference w:id="18"/>
      </w:r>
      <w:r w:rsidR="00CC550D">
        <w:t xml:space="preserve">  She </w:t>
      </w:r>
      <w:r w:rsidR="00D732C7">
        <w:t xml:space="preserve">requested that the Bureau </w:t>
      </w:r>
      <w:r w:rsidR="008F69D6">
        <w:t>“</w:t>
      </w:r>
      <w:r w:rsidR="00CC550D">
        <w:t>toll the construction per</w:t>
      </w:r>
      <w:r w:rsidR="00272408">
        <w:t>iod . . . until the petition for reconsideration is resolved as a final order.”</w:t>
      </w:r>
      <w:r w:rsidR="00272408">
        <w:rPr>
          <w:rStyle w:val="FootnoteReference"/>
        </w:rPr>
        <w:footnoteReference w:id="19"/>
      </w:r>
      <w:r w:rsidR="00272408">
        <w:t xml:space="preserve">  </w:t>
      </w:r>
      <w:r w:rsidR="00E55453">
        <w:t xml:space="preserve">Subsequently, on July 30, 2011, </w:t>
      </w:r>
      <w:r w:rsidR="00744720">
        <w:t xml:space="preserve">Beckman </w:t>
      </w:r>
      <w:r w:rsidR="005B743C">
        <w:t xml:space="preserve">filed </w:t>
      </w:r>
      <w:r w:rsidR="00E55453">
        <w:t xml:space="preserve">her </w:t>
      </w:r>
      <w:r w:rsidR="005B743C">
        <w:t>Petition</w:t>
      </w:r>
      <w:r w:rsidR="00E55453">
        <w:t>,</w:t>
      </w:r>
      <w:r w:rsidR="005B743C">
        <w:t xml:space="preserve"> </w:t>
      </w:r>
      <w:r w:rsidR="00744720">
        <w:t>argu</w:t>
      </w:r>
      <w:r w:rsidR="005B743C">
        <w:t>ing</w:t>
      </w:r>
      <w:r w:rsidR="00744720">
        <w:t xml:space="preserve"> that the Bureau erred in specifying that the Permit would not be extended upon consummation, because Section 73.359</w:t>
      </w:r>
      <w:r w:rsidR="008E7CED">
        <w:t>8 of the Rules did not bar 18-month extensions to successor eligible entities</w:t>
      </w:r>
      <w:r w:rsidR="00744720">
        <w:t xml:space="preserve">.  </w:t>
      </w:r>
    </w:p>
    <w:p w:rsidR="003637B9" w:rsidRPr="003637B9" w:rsidRDefault="001C1B17" w:rsidP="003637B9">
      <w:pPr>
        <w:pStyle w:val="ParaNum"/>
      </w:pPr>
      <w:r>
        <w:t>On September 15, 2011, the court issued its mandate</w:t>
      </w:r>
      <w:r w:rsidR="00774B73">
        <w:t xml:space="preserve"> (“Eligible Entity Mandate”)</w:t>
      </w:r>
      <w:r>
        <w:t xml:space="preserve"> in </w:t>
      </w:r>
      <w:r w:rsidRPr="003637B9">
        <w:rPr>
          <w:i/>
        </w:rPr>
        <w:t>Prometheus Radio</w:t>
      </w:r>
      <w:r>
        <w:t xml:space="preserve">.  </w:t>
      </w:r>
      <w:r w:rsidR="00EF4022">
        <w:t>I</w:t>
      </w:r>
      <w:r w:rsidR="00632893">
        <w:t xml:space="preserve">n the </w:t>
      </w:r>
      <w:r w:rsidR="00EF4022">
        <w:t xml:space="preserve">September 30, 2011, </w:t>
      </w:r>
      <w:r w:rsidR="008C7419" w:rsidRPr="003637B9">
        <w:rPr>
          <w:i/>
        </w:rPr>
        <w:t>Staff Decision</w:t>
      </w:r>
      <w:r w:rsidR="00BB61D6" w:rsidRPr="003637B9">
        <w:rPr>
          <w:i/>
        </w:rPr>
        <w:t>,</w:t>
      </w:r>
      <w:r w:rsidR="009A5F0B" w:rsidRPr="003637B9">
        <w:rPr>
          <w:i/>
        </w:rPr>
        <w:t xml:space="preserve"> </w:t>
      </w:r>
      <w:r w:rsidR="004A0AAF">
        <w:t>t</w:t>
      </w:r>
      <w:r w:rsidR="009A5F0B">
        <w:t xml:space="preserve">he </w:t>
      </w:r>
      <w:r w:rsidR="007D3067">
        <w:t>Bureau denied Beckman’s Petition</w:t>
      </w:r>
      <w:r w:rsidR="007D3067">
        <w:rPr>
          <w:rStyle w:val="FootnoteReference"/>
        </w:rPr>
        <w:footnoteReference w:id="20"/>
      </w:r>
      <w:r w:rsidR="007D3067">
        <w:t xml:space="preserve"> and Tolling Request, </w:t>
      </w:r>
      <w:r w:rsidR="009A5F0B">
        <w:t>h</w:t>
      </w:r>
      <w:r w:rsidR="007D3067">
        <w:t>olding</w:t>
      </w:r>
      <w:r w:rsidR="009A5F0B">
        <w:t xml:space="preserve"> that, in light of the </w:t>
      </w:r>
      <w:r w:rsidR="00C34293" w:rsidRPr="003637B9">
        <w:rPr>
          <w:i/>
        </w:rPr>
        <w:t>Eligible Entity Suspension Public Notice</w:t>
      </w:r>
      <w:r w:rsidR="00683F8B">
        <w:t>,</w:t>
      </w:r>
      <w:r w:rsidR="00197B3D" w:rsidRPr="003637B9">
        <w:rPr>
          <w:i/>
        </w:rPr>
        <w:t xml:space="preserve"> </w:t>
      </w:r>
      <w:r w:rsidR="009A5F0B">
        <w:t xml:space="preserve">Beckman’s </w:t>
      </w:r>
      <w:r w:rsidR="00E55453">
        <w:t xml:space="preserve">reading </w:t>
      </w:r>
      <w:r w:rsidR="009A5F0B">
        <w:t xml:space="preserve">of Section 73.3598(a) of the Rules </w:t>
      </w:r>
      <w:r w:rsidR="00BF72DF">
        <w:t>wa</w:t>
      </w:r>
      <w:r w:rsidR="009A5F0B">
        <w:t xml:space="preserve">s </w:t>
      </w:r>
      <w:r w:rsidR="00806D2D">
        <w:t>“</w:t>
      </w:r>
      <w:r w:rsidR="009A5F0B">
        <w:t>immaterial</w:t>
      </w:r>
      <w:r w:rsidR="00806D2D">
        <w:t>”</w:t>
      </w:r>
      <w:r w:rsidR="009A5F0B">
        <w:t xml:space="preserve"> and that the Permit expired on July 6, 2011</w:t>
      </w:r>
      <w:r w:rsidR="00BC5B2F">
        <w:t xml:space="preserve">.  </w:t>
      </w:r>
      <w:r w:rsidR="00BF72DF">
        <w:t>T</w:t>
      </w:r>
      <w:r w:rsidR="00C61472">
        <w:t xml:space="preserve">he </w:t>
      </w:r>
      <w:r w:rsidR="00365FEB">
        <w:t xml:space="preserve">Bureau </w:t>
      </w:r>
      <w:r w:rsidR="00BF72DF">
        <w:t xml:space="preserve">also </w:t>
      </w:r>
      <w:r w:rsidR="00365FEB">
        <w:t xml:space="preserve">rejected </w:t>
      </w:r>
      <w:r w:rsidR="00E057B9">
        <w:t xml:space="preserve">Beckman’s </w:t>
      </w:r>
      <w:r w:rsidR="00365FEB">
        <w:t xml:space="preserve">Tolling Request </w:t>
      </w:r>
      <w:r w:rsidR="00BC5B2F">
        <w:t>based on</w:t>
      </w:r>
      <w:r w:rsidR="00365FEB">
        <w:t xml:space="preserve"> </w:t>
      </w:r>
      <w:r w:rsidR="00BC5B2F">
        <w:t>“</w:t>
      </w:r>
      <w:r w:rsidR="00365FEB">
        <w:t>administrative review</w:t>
      </w:r>
      <w:r w:rsidR="00BC5B2F">
        <w:t>”</w:t>
      </w:r>
      <w:r w:rsidR="00BA3E25">
        <w:rPr>
          <w:rStyle w:val="FootnoteReference"/>
        </w:rPr>
        <w:footnoteReference w:id="21"/>
      </w:r>
      <w:r w:rsidR="00365FEB">
        <w:t xml:space="preserve"> because </w:t>
      </w:r>
      <w:r w:rsidR="00806D2D">
        <w:t>the Petition</w:t>
      </w:r>
      <w:r w:rsidR="00365FEB">
        <w:t xml:space="preserve"> did not “question the grant of the Permit, but rather the denial of an eligib</w:t>
      </w:r>
      <w:r w:rsidR="006146B1">
        <w:t>le</w:t>
      </w:r>
      <w:r w:rsidR="00365FEB">
        <w:t xml:space="preserve"> entity extension.”</w:t>
      </w:r>
      <w:r w:rsidR="00365FEB">
        <w:rPr>
          <w:rStyle w:val="FootnoteReference"/>
        </w:rPr>
        <w:footnoteReference w:id="22"/>
      </w:r>
      <w:r w:rsidR="00247085">
        <w:t xml:space="preserve">  </w:t>
      </w:r>
    </w:p>
    <w:p w:rsidR="004B68ED" w:rsidRDefault="00591294" w:rsidP="00395641">
      <w:pPr>
        <w:pStyle w:val="ParaNum"/>
      </w:pPr>
      <w:r>
        <w:t>O</w:t>
      </w:r>
      <w:r w:rsidR="00E34001">
        <w:t xml:space="preserve">n review, Beckman </w:t>
      </w:r>
      <w:r w:rsidR="00611EA0">
        <w:t xml:space="preserve">argues that the grant of the </w:t>
      </w:r>
      <w:r w:rsidR="002A2954">
        <w:t xml:space="preserve">Assignment </w:t>
      </w:r>
      <w:r w:rsidR="00611EA0">
        <w:t xml:space="preserve">Application became final on August 8, 2011, </w:t>
      </w:r>
      <w:r w:rsidR="002A2954">
        <w:t xml:space="preserve">prior to </w:t>
      </w:r>
      <w:r w:rsidR="00611EA0">
        <w:t xml:space="preserve">the </w:t>
      </w:r>
      <w:r w:rsidR="00570B29">
        <w:t xml:space="preserve">issuance of the </w:t>
      </w:r>
      <w:r w:rsidR="008B75F6">
        <w:t>Eligible Entity Mandate</w:t>
      </w:r>
      <w:r w:rsidR="00611EA0">
        <w:t xml:space="preserve">. </w:t>
      </w:r>
      <w:r w:rsidR="00BC7653">
        <w:t xml:space="preserve"> </w:t>
      </w:r>
      <w:r w:rsidR="0022239E">
        <w:t xml:space="preserve"> </w:t>
      </w:r>
      <w:r w:rsidR="000F2882">
        <w:t xml:space="preserve">She </w:t>
      </w:r>
      <w:r w:rsidR="000F2882" w:rsidRPr="00C66B37">
        <w:t>contends that her Petition for Partial Reconsideration did not affect the finality of the</w:t>
      </w:r>
      <w:r w:rsidR="000F2882">
        <w:t xml:space="preserve"> assignment </w:t>
      </w:r>
      <w:r w:rsidR="000F2882" w:rsidRPr="00C66B37">
        <w:t xml:space="preserve">because </w:t>
      </w:r>
      <w:r w:rsidR="0045437F">
        <w:t xml:space="preserve">it </w:t>
      </w:r>
      <w:r w:rsidR="00DE57CB">
        <w:t>“did not challenge the Commission’s grant as made with regard to finding the parties qualified in all respects concerning the assignment of the CP.</w:t>
      </w:r>
      <w:r w:rsidR="00A22E2B">
        <w:t>”  Rather,</w:t>
      </w:r>
      <w:r w:rsidR="00DE57CB">
        <w:t xml:space="preserve"> Beckman</w:t>
      </w:r>
      <w:r w:rsidR="00A22E2B">
        <w:t xml:space="preserve"> claims that she</w:t>
      </w:r>
      <w:r w:rsidR="00DE57CB">
        <w:t xml:space="preserve"> sought reconsideration </w:t>
      </w:r>
      <w:r w:rsidR="00A22E2B">
        <w:t>only of “</w:t>
      </w:r>
      <w:r w:rsidR="00A22E2B" w:rsidRPr="00395641">
        <w:rPr>
          <w:szCs w:val="22"/>
        </w:rPr>
        <w:t>a separate and distinct action of the Bureau withholding an eligible entity extension, which issue is not required to consummate the assignment . . . .”</w:t>
      </w:r>
      <w:r w:rsidR="00A22E2B" w:rsidRPr="00C84A67">
        <w:rPr>
          <w:rStyle w:val="FootnoteReference"/>
          <w:sz w:val="22"/>
          <w:szCs w:val="22"/>
        </w:rPr>
        <w:footnoteReference w:id="23"/>
      </w:r>
      <w:r w:rsidR="00A22E2B" w:rsidRPr="00395641">
        <w:rPr>
          <w:szCs w:val="22"/>
        </w:rPr>
        <w:t xml:space="preserve">  </w:t>
      </w:r>
      <w:r w:rsidR="0022239E">
        <w:t xml:space="preserve">Thus, Beckman concludes that </w:t>
      </w:r>
      <w:r w:rsidR="00611EA0">
        <w:t xml:space="preserve">the </w:t>
      </w:r>
      <w:r w:rsidR="00611EA0" w:rsidRPr="00395641">
        <w:rPr>
          <w:i/>
        </w:rPr>
        <w:t xml:space="preserve">Staff Decision </w:t>
      </w:r>
      <w:r w:rsidR="0022239E">
        <w:t xml:space="preserve">erroneously </w:t>
      </w:r>
      <w:r w:rsidR="00611EA0">
        <w:t>appli</w:t>
      </w:r>
      <w:r w:rsidR="00BD0DF5">
        <w:t>e</w:t>
      </w:r>
      <w:r w:rsidR="002A2954">
        <w:t>d</w:t>
      </w:r>
      <w:r w:rsidR="00611EA0">
        <w:t xml:space="preserve"> “non-final application grant or p</w:t>
      </w:r>
      <w:r w:rsidR="00BD0DF5">
        <w:t>e</w:t>
      </w:r>
      <w:r w:rsidR="00611EA0">
        <w:t>nding application processing standards to Beckman.”</w:t>
      </w:r>
      <w:r w:rsidR="00611EA0">
        <w:rPr>
          <w:rStyle w:val="FootnoteReference"/>
        </w:rPr>
        <w:footnoteReference w:id="24"/>
      </w:r>
      <w:r w:rsidR="00611EA0">
        <w:t xml:space="preserve">  </w:t>
      </w:r>
    </w:p>
    <w:p w:rsidR="00E34001" w:rsidRDefault="00CB1BD6" w:rsidP="00E36832">
      <w:pPr>
        <w:pStyle w:val="ParaNum"/>
      </w:pPr>
      <w:r>
        <w:t>Beckman</w:t>
      </w:r>
      <w:r w:rsidR="0005259F">
        <w:t xml:space="preserve"> </w:t>
      </w:r>
      <w:r w:rsidR="00A73E44">
        <w:t xml:space="preserve">also </w:t>
      </w:r>
      <w:r w:rsidR="0005259F">
        <w:t xml:space="preserve">contends </w:t>
      </w:r>
      <w:r w:rsidR="007E6A04">
        <w:t xml:space="preserve">that the Bureau erred in </w:t>
      </w:r>
      <w:r w:rsidR="00A73E44">
        <w:t>denying her Tolling Request</w:t>
      </w:r>
      <w:r w:rsidR="00206981">
        <w:t>,</w:t>
      </w:r>
      <w:r w:rsidR="00A73E44">
        <w:t xml:space="preserve"> </w:t>
      </w:r>
      <w:r w:rsidR="0022239E">
        <w:t>stating</w:t>
      </w:r>
      <w:r w:rsidR="007D7820">
        <w:t xml:space="preserve"> that “the denial of the eligible entity extension, a matter now under administrative review, is beyond the permittee’s control . .  . .”</w:t>
      </w:r>
      <w:r w:rsidR="007D7820">
        <w:rPr>
          <w:rStyle w:val="FootnoteReference"/>
        </w:rPr>
        <w:footnoteReference w:id="25"/>
      </w:r>
      <w:r w:rsidR="0005259F">
        <w:t xml:space="preserve">  Beckman </w:t>
      </w:r>
      <w:r w:rsidR="00A73E44">
        <w:t xml:space="preserve">further </w:t>
      </w:r>
      <w:r w:rsidR="0005259F">
        <w:t xml:space="preserve">argues that the Bureau </w:t>
      </w:r>
      <w:r w:rsidR="0022239E">
        <w:t xml:space="preserve">also erred in rejecting her interpretation of and reliance on the language of </w:t>
      </w:r>
      <w:r w:rsidR="00540E21">
        <w:t>Section</w:t>
      </w:r>
      <w:r w:rsidR="0022239E">
        <w:t xml:space="preserve"> 73.3598(a) to extend the Permit’s construction deadline</w:t>
      </w:r>
      <w:r w:rsidR="001233F6">
        <w:t>.</w:t>
      </w:r>
      <w:r w:rsidR="00F24BB3">
        <w:rPr>
          <w:rStyle w:val="FootnoteReference"/>
        </w:rPr>
        <w:footnoteReference w:id="26"/>
      </w:r>
      <w:r w:rsidR="0005259F">
        <w:t xml:space="preserve"> </w:t>
      </w:r>
      <w:r w:rsidR="007D7820">
        <w:t xml:space="preserve">   </w:t>
      </w:r>
      <w:r w:rsidR="007E6A04">
        <w:t xml:space="preserve">    </w:t>
      </w:r>
    </w:p>
    <w:p w:rsidR="00C852C3" w:rsidRPr="00C84A67" w:rsidRDefault="00D1308E" w:rsidP="00C852C3">
      <w:pPr>
        <w:pStyle w:val="ParaNum"/>
        <w:rPr>
          <w:szCs w:val="22"/>
        </w:rPr>
      </w:pPr>
      <w:r w:rsidRPr="00C84A67">
        <w:rPr>
          <w:i/>
          <w:szCs w:val="22"/>
        </w:rPr>
        <w:t xml:space="preserve">Discussion.  </w:t>
      </w:r>
      <w:r w:rsidR="00DD6F93" w:rsidRPr="00C84A67">
        <w:rPr>
          <w:szCs w:val="22"/>
        </w:rPr>
        <w:t>We find Beckman’s</w:t>
      </w:r>
      <w:r w:rsidR="005C347C" w:rsidRPr="00C84A67">
        <w:rPr>
          <w:szCs w:val="22"/>
        </w:rPr>
        <w:t xml:space="preserve"> arguments to be </w:t>
      </w:r>
      <w:r w:rsidR="00D66582" w:rsidRPr="00C84A67">
        <w:rPr>
          <w:szCs w:val="22"/>
        </w:rPr>
        <w:t>meritless</w:t>
      </w:r>
      <w:r w:rsidR="005C347C" w:rsidRPr="00C84A67">
        <w:rPr>
          <w:szCs w:val="22"/>
        </w:rPr>
        <w:t>.</w:t>
      </w:r>
      <w:r w:rsidR="000A302D">
        <w:rPr>
          <w:rStyle w:val="FootnoteReference"/>
          <w:szCs w:val="22"/>
        </w:rPr>
        <w:footnoteReference w:id="27"/>
      </w:r>
      <w:r w:rsidR="005C347C" w:rsidRPr="00C84A67">
        <w:rPr>
          <w:szCs w:val="22"/>
        </w:rPr>
        <w:t xml:space="preserve">  </w:t>
      </w:r>
      <w:r w:rsidR="0035641E" w:rsidRPr="00C84A67">
        <w:rPr>
          <w:szCs w:val="22"/>
        </w:rPr>
        <w:t xml:space="preserve">In this case, </w:t>
      </w:r>
      <w:r w:rsidR="00247085" w:rsidRPr="00C84A67">
        <w:rPr>
          <w:szCs w:val="22"/>
        </w:rPr>
        <w:t xml:space="preserve">it is undisputed that the Permit was not constructed by its </w:t>
      </w:r>
      <w:r w:rsidR="006C3B7C" w:rsidRPr="00C84A67">
        <w:rPr>
          <w:szCs w:val="22"/>
        </w:rPr>
        <w:t>July 6, 2011</w:t>
      </w:r>
      <w:r w:rsidR="00247085" w:rsidRPr="00C84A67">
        <w:rPr>
          <w:szCs w:val="22"/>
        </w:rPr>
        <w:t>, expiration date</w:t>
      </w:r>
      <w:r w:rsidR="00DD6F93" w:rsidRPr="00C84A67">
        <w:rPr>
          <w:szCs w:val="22"/>
        </w:rPr>
        <w:t>.</w:t>
      </w:r>
      <w:r w:rsidR="005C347C" w:rsidRPr="00C84A67">
        <w:rPr>
          <w:rStyle w:val="FootnoteReference"/>
          <w:sz w:val="22"/>
          <w:szCs w:val="22"/>
        </w:rPr>
        <w:footnoteReference w:id="28"/>
      </w:r>
      <w:r w:rsidR="00D4142A" w:rsidRPr="00C84A67">
        <w:rPr>
          <w:szCs w:val="22"/>
        </w:rPr>
        <w:t xml:space="preserve">  </w:t>
      </w:r>
      <w:r w:rsidR="00A22E2B">
        <w:rPr>
          <w:szCs w:val="22"/>
        </w:rPr>
        <w:t xml:space="preserve">Additionally, the grant of the Assignment Application was non-final as of the issuance of the Eligible Entity Mandate on September 15, 2011, because the Petition remained pending on that date.  Therefore, the Bureau correctly rejected Beckman’s </w:t>
      </w:r>
      <w:r w:rsidR="00212522">
        <w:rPr>
          <w:szCs w:val="22"/>
        </w:rPr>
        <w:t>Petition</w:t>
      </w:r>
      <w:r w:rsidR="00A22E2B">
        <w:rPr>
          <w:szCs w:val="22"/>
        </w:rPr>
        <w:t xml:space="preserve">.  </w:t>
      </w:r>
      <w:r w:rsidR="00DE57CB" w:rsidRPr="00C84A67">
        <w:rPr>
          <w:szCs w:val="22"/>
        </w:rPr>
        <w:t xml:space="preserve">We </w:t>
      </w:r>
      <w:r w:rsidR="00A22E2B">
        <w:rPr>
          <w:szCs w:val="22"/>
        </w:rPr>
        <w:t xml:space="preserve">specifically </w:t>
      </w:r>
      <w:r w:rsidR="007A779E">
        <w:rPr>
          <w:szCs w:val="22"/>
        </w:rPr>
        <w:t>deny</w:t>
      </w:r>
      <w:r w:rsidR="00DE57CB" w:rsidRPr="00C84A67">
        <w:rPr>
          <w:szCs w:val="22"/>
        </w:rPr>
        <w:t xml:space="preserve"> Beckman’s </w:t>
      </w:r>
      <w:r w:rsidR="00325D39" w:rsidRPr="00C84A67">
        <w:rPr>
          <w:szCs w:val="22"/>
        </w:rPr>
        <w:t xml:space="preserve">claim </w:t>
      </w:r>
      <w:r w:rsidR="003563A6" w:rsidRPr="00C84A67">
        <w:rPr>
          <w:szCs w:val="22"/>
        </w:rPr>
        <w:t xml:space="preserve">that </w:t>
      </w:r>
      <w:r w:rsidR="00806F26" w:rsidRPr="00C84A67">
        <w:rPr>
          <w:szCs w:val="22"/>
        </w:rPr>
        <w:t>she accepted in full the grant of assignment</w:t>
      </w:r>
      <w:r w:rsidR="00A22E2B">
        <w:rPr>
          <w:szCs w:val="22"/>
        </w:rPr>
        <w:t>, which</w:t>
      </w:r>
      <w:r w:rsidR="000020ED">
        <w:rPr>
          <w:szCs w:val="22"/>
        </w:rPr>
        <w:t>, she claims,</w:t>
      </w:r>
      <w:r w:rsidR="00A22E2B">
        <w:rPr>
          <w:szCs w:val="22"/>
        </w:rPr>
        <w:t xml:space="preserve"> subsequently </w:t>
      </w:r>
      <w:r w:rsidR="00C0689E" w:rsidRPr="00C84A67">
        <w:rPr>
          <w:szCs w:val="22"/>
        </w:rPr>
        <w:t>became a final order</w:t>
      </w:r>
      <w:r w:rsidR="00806F26" w:rsidRPr="00C84A67">
        <w:rPr>
          <w:szCs w:val="22"/>
        </w:rPr>
        <w:t xml:space="preserve">, but </w:t>
      </w:r>
      <w:r w:rsidR="00325D39" w:rsidRPr="00C84A67">
        <w:rPr>
          <w:szCs w:val="22"/>
        </w:rPr>
        <w:t xml:space="preserve">merely </w:t>
      </w:r>
      <w:r w:rsidR="00A22E2B">
        <w:rPr>
          <w:szCs w:val="22"/>
        </w:rPr>
        <w:t xml:space="preserve">challenged </w:t>
      </w:r>
      <w:r w:rsidR="00806F26" w:rsidRPr="00C84A67">
        <w:rPr>
          <w:szCs w:val="22"/>
        </w:rPr>
        <w:t xml:space="preserve">a separate </w:t>
      </w:r>
      <w:r w:rsidR="00A22E2B">
        <w:rPr>
          <w:szCs w:val="22"/>
        </w:rPr>
        <w:t xml:space="preserve">matter, the “ancillary application” of Section 73.3598(a) to her as a qualified eligible entity. </w:t>
      </w:r>
      <w:r w:rsidR="00325D39" w:rsidRPr="00C84A67">
        <w:rPr>
          <w:szCs w:val="22"/>
        </w:rPr>
        <w:t xml:space="preserve"> </w:t>
      </w:r>
      <w:r w:rsidR="00006070">
        <w:rPr>
          <w:szCs w:val="22"/>
        </w:rPr>
        <w:t xml:space="preserve">Beckman provides no support for this novel contention.  </w:t>
      </w:r>
      <w:r w:rsidR="00325D39" w:rsidRPr="00C84A67">
        <w:rPr>
          <w:szCs w:val="22"/>
        </w:rPr>
        <w:t xml:space="preserve">Here, </w:t>
      </w:r>
      <w:r w:rsidR="00006070">
        <w:rPr>
          <w:szCs w:val="22"/>
        </w:rPr>
        <w:t>grant of the Assignment Application</w:t>
      </w:r>
      <w:r w:rsidR="00325D39" w:rsidRPr="00C84A67">
        <w:rPr>
          <w:szCs w:val="22"/>
        </w:rPr>
        <w:t xml:space="preserve"> </w:t>
      </w:r>
      <w:r w:rsidR="00806F26" w:rsidRPr="00C84A67">
        <w:rPr>
          <w:szCs w:val="22"/>
        </w:rPr>
        <w:t xml:space="preserve">explicitly </w:t>
      </w:r>
      <w:r w:rsidR="00006070">
        <w:rPr>
          <w:szCs w:val="22"/>
        </w:rPr>
        <w:t>contained the condition</w:t>
      </w:r>
      <w:r w:rsidR="00325D39" w:rsidRPr="00C84A67">
        <w:rPr>
          <w:szCs w:val="22"/>
        </w:rPr>
        <w:t xml:space="preserve"> that </w:t>
      </w:r>
      <w:r w:rsidR="00806F26" w:rsidRPr="00C84A67">
        <w:rPr>
          <w:szCs w:val="22"/>
        </w:rPr>
        <w:t>“consummation of the assignment consented to herein will not extend th</w:t>
      </w:r>
      <w:r w:rsidR="00006070">
        <w:rPr>
          <w:szCs w:val="22"/>
        </w:rPr>
        <w:t>e expiration date of the permit</w:t>
      </w:r>
      <w:r w:rsidR="00EC1D1F">
        <w:rPr>
          <w:szCs w:val="22"/>
        </w:rPr>
        <w:t>.</w:t>
      </w:r>
      <w:r w:rsidR="00806F26" w:rsidRPr="00C84A67">
        <w:rPr>
          <w:szCs w:val="22"/>
        </w:rPr>
        <w:t>”</w:t>
      </w:r>
      <w:r w:rsidR="00006070">
        <w:rPr>
          <w:szCs w:val="22"/>
        </w:rPr>
        <w:t xml:space="preserve"> </w:t>
      </w:r>
      <w:r w:rsidR="00EC1D1F">
        <w:rPr>
          <w:szCs w:val="22"/>
        </w:rPr>
        <w:t xml:space="preserve">Accordingly, the </w:t>
      </w:r>
      <w:r w:rsidR="00E73EA7">
        <w:rPr>
          <w:szCs w:val="22"/>
        </w:rPr>
        <w:t xml:space="preserve">conditional </w:t>
      </w:r>
      <w:r w:rsidR="00006070">
        <w:rPr>
          <w:szCs w:val="22"/>
        </w:rPr>
        <w:t xml:space="preserve">grant could not become final while the Petition challenging </w:t>
      </w:r>
      <w:r w:rsidR="00E73EA7">
        <w:rPr>
          <w:szCs w:val="22"/>
        </w:rPr>
        <w:t xml:space="preserve">it </w:t>
      </w:r>
      <w:r w:rsidR="00AE5F7B">
        <w:rPr>
          <w:szCs w:val="22"/>
        </w:rPr>
        <w:t>remained</w:t>
      </w:r>
      <w:r w:rsidR="00006070">
        <w:rPr>
          <w:szCs w:val="22"/>
        </w:rPr>
        <w:t xml:space="preserve"> pending.</w:t>
      </w:r>
      <w:r w:rsidR="004C4E41">
        <w:rPr>
          <w:rStyle w:val="FootnoteReference"/>
          <w:szCs w:val="22"/>
        </w:rPr>
        <w:footnoteReference w:id="29"/>
      </w:r>
    </w:p>
    <w:p w:rsidR="00BF71B6" w:rsidRPr="00395641" w:rsidRDefault="00203AE9" w:rsidP="00395641">
      <w:pPr>
        <w:pStyle w:val="ParaNum"/>
        <w:widowControl/>
      </w:pPr>
      <w:r>
        <w:t>W</w:t>
      </w:r>
      <w:r w:rsidR="009712EA">
        <w:t xml:space="preserve">ith respect to Beckman’s request for tolling of the Permit due to </w:t>
      </w:r>
      <w:r w:rsidR="0035641E">
        <w:t>“</w:t>
      </w:r>
      <w:r>
        <w:t>administrative review</w:t>
      </w:r>
      <w:r w:rsidR="00BE171D">
        <w:t>,</w:t>
      </w:r>
      <w:r w:rsidR="0035641E">
        <w:t>”</w:t>
      </w:r>
      <w:r w:rsidR="003C3164">
        <w:rPr>
          <w:rStyle w:val="FootnoteReference"/>
        </w:rPr>
        <w:footnoteReference w:id="30"/>
      </w:r>
      <w:r w:rsidR="0035641E">
        <w:t xml:space="preserve"> </w:t>
      </w:r>
      <w:r w:rsidR="009712EA">
        <w:t xml:space="preserve">Beckman filed the Tolling Request on July 5, 2011, but </w:t>
      </w:r>
      <w:r w:rsidR="003C3164">
        <w:t xml:space="preserve">did not file the </w:t>
      </w:r>
      <w:r w:rsidR="009712EA">
        <w:t xml:space="preserve">Petition, seeking reconsideration of the denial of the </w:t>
      </w:r>
      <w:r w:rsidR="008746E8">
        <w:t>Bureau’s refusal</w:t>
      </w:r>
      <w:r w:rsidR="003C3164">
        <w:t xml:space="preserve"> to extend the Permit </w:t>
      </w:r>
      <w:r w:rsidR="009712EA">
        <w:t xml:space="preserve">until July 30, 2011.  </w:t>
      </w:r>
      <w:r w:rsidR="0022239E">
        <w:t>A</w:t>
      </w:r>
      <w:r w:rsidR="009712EA">
        <w:t xml:space="preserve">ssuming </w:t>
      </w:r>
      <w:r w:rsidR="009712EA" w:rsidRPr="00395641">
        <w:rPr>
          <w:i/>
        </w:rPr>
        <w:t>arguendo</w:t>
      </w:r>
      <w:r w:rsidR="009712EA">
        <w:t xml:space="preserve"> that we would treat the Petition </w:t>
      </w:r>
      <w:r w:rsidR="003C3164">
        <w:t xml:space="preserve">as </w:t>
      </w:r>
      <w:r w:rsidR="0022239E">
        <w:t xml:space="preserve">falling within the scope of the “administrative review” tolling standard, that filing did not occur </w:t>
      </w:r>
      <w:r w:rsidR="003C3164">
        <w:t xml:space="preserve">until </w:t>
      </w:r>
      <w:r w:rsidR="008746E8">
        <w:t xml:space="preserve">well </w:t>
      </w:r>
      <w:r w:rsidR="003C3164">
        <w:t xml:space="preserve">after the Permit’s July 6, 2011, expiration date.  Thus, </w:t>
      </w:r>
      <w:r w:rsidR="00570B29">
        <w:t xml:space="preserve">the </w:t>
      </w:r>
      <w:r w:rsidR="003C3164">
        <w:t xml:space="preserve">grounds upon which Beckman seeks </w:t>
      </w:r>
      <w:r w:rsidR="00570B29">
        <w:t xml:space="preserve">relief </w:t>
      </w:r>
      <w:r w:rsidR="003C3164">
        <w:t xml:space="preserve">in the Tolling Request </w:t>
      </w:r>
      <w:r w:rsidR="00570B29">
        <w:t>cannot be granted</w:t>
      </w:r>
      <w:r w:rsidR="003C3164">
        <w:t>.</w:t>
      </w:r>
      <w:r w:rsidR="009C3076">
        <w:t xml:space="preserve">  </w:t>
      </w:r>
    </w:p>
    <w:p w:rsidR="006220FF" w:rsidRDefault="006220FF" w:rsidP="006220FF">
      <w:pPr>
        <w:pStyle w:val="ParaNum"/>
      </w:pPr>
      <w:r>
        <w:rPr>
          <w:i/>
        </w:rPr>
        <w:t xml:space="preserve">Conclusion/Actions.  </w:t>
      </w:r>
      <w:r>
        <w:t xml:space="preserve">Upon review of the AFR and the entire record, we </w:t>
      </w:r>
      <w:r w:rsidR="000020ED">
        <w:t>affirm the Bureau’s action for the reasons stated herein</w:t>
      </w:r>
      <w:r>
        <w:t>.  ACCORDINGLY, IT IS ORDERED that, pursuant to Section 5(c)(5) of the Communications Act of 1934, as amended,</w:t>
      </w:r>
      <w:r>
        <w:rPr>
          <w:rStyle w:val="FootnoteReference"/>
        </w:rPr>
        <w:footnoteReference w:id="31"/>
      </w:r>
      <w:r>
        <w:t xml:space="preserve"> and Sections 1.115(c) and (g) of the Commission’s rules,</w:t>
      </w:r>
      <w:r>
        <w:rPr>
          <w:rStyle w:val="FootnoteReference"/>
        </w:rPr>
        <w:footnoteReference w:id="32"/>
      </w:r>
      <w:r>
        <w:t xml:space="preserve"> the Application for Review IS DISMISSED for the reasons stated herein and IS otherwise DENIED.</w:t>
      </w:r>
    </w:p>
    <w:p w:rsidR="00772B31" w:rsidRPr="00696FAD" w:rsidRDefault="00772B31" w:rsidP="00E36832">
      <w:pPr>
        <w:pStyle w:val="ParaNum"/>
        <w:numPr>
          <w:ilvl w:val="0"/>
          <w:numId w:val="0"/>
        </w:numPr>
      </w:pPr>
      <w:bookmarkStart w:id="15" w:name="FN[FN78]"/>
      <w:bookmarkEnd w:id="15"/>
      <w:r>
        <w:tab/>
      </w:r>
      <w:r>
        <w:tab/>
      </w:r>
      <w:r>
        <w:tab/>
      </w:r>
      <w:r>
        <w:tab/>
      </w:r>
      <w:r>
        <w:tab/>
      </w:r>
      <w:r>
        <w:tab/>
      </w:r>
      <w:r w:rsidRPr="00696FAD">
        <w:t>FEDERAL COMMUNICATIONS COMMISSION</w:t>
      </w:r>
    </w:p>
    <w:p w:rsidR="00772B31" w:rsidRPr="00696FAD" w:rsidRDefault="00772B31" w:rsidP="00EC758D"/>
    <w:p w:rsidR="00772B31" w:rsidRPr="00696FAD" w:rsidRDefault="00772B31" w:rsidP="00EC758D"/>
    <w:p w:rsidR="00772B31" w:rsidRPr="00696FAD" w:rsidRDefault="00772B31" w:rsidP="00EC758D"/>
    <w:p w:rsidR="00772B31" w:rsidRPr="00696FAD" w:rsidRDefault="00772B31" w:rsidP="00EC758D"/>
    <w:p w:rsidR="00772B31" w:rsidRPr="00696FAD" w:rsidRDefault="00772B31" w:rsidP="00EC758D">
      <w:r w:rsidRPr="00696FAD">
        <w:tab/>
      </w:r>
      <w:r w:rsidRPr="00696FAD">
        <w:tab/>
      </w:r>
      <w:r w:rsidRPr="00696FAD">
        <w:tab/>
      </w:r>
      <w:r w:rsidRPr="00696FAD">
        <w:tab/>
      </w:r>
      <w:r w:rsidRPr="00696FAD">
        <w:tab/>
      </w:r>
      <w:r w:rsidRPr="00696FAD">
        <w:tab/>
        <w:t>Marlene H. Dortch</w:t>
      </w:r>
    </w:p>
    <w:p w:rsidR="00772B31" w:rsidRPr="00696FAD" w:rsidRDefault="00772B31" w:rsidP="00EC758D">
      <w:r w:rsidRPr="00696FAD">
        <w:tab/>
      </w:r>
      <w:r w:rsidRPr="00696FAD">
        <w:tab/>
      </w:r>
      <w:r w:rsidRPr="00696FAD">
        <w:tab/>
      </w:r>
      <w:r w:rsidRPr="00696FAD">
        <w:tab/>
      </w:r>
      <w:r w:rsidRPr="00696FAD">
        <w:tab/>
      </w:r>
      <w:r w:rsidRPr="00696FAD">
        <w:tab/>
        <w:t>Secretary</w:t>
      </w:r>
    </w:p>
    <w:sectPr w:rsidR="00772B31" w:rsidRPr="00696FAD"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913" w:rsidRDefault="001A7913">
      <w:pPr>
        <w:spacing w:line="20" w:lineRule="exact"/>
      </w:pPr>
    </w:p>
  </w:endnote>
  <w:endnote w:type="continuationSeparator" w:id="0">
    <w:p w:rsidR="001A7913" w:rsidRDefault="001A7913">
      <w:r>
        <w:t xml:space="preserve"> </w:t>
      </w:r>
    </w:p>
  </w:endnote>
  <w:endnote w:type="continuationNotice" w:id="1">
    <w:p w:rsidR="001A7913" w:rsidRDefault="001A791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42A" w:rsidRDefault="00D4142A" w:rsidP="0055614C">
    <w:pPr>
      <w:pStyle w:val="Footer"/>
      <w:framePr w:wrap="around" w:vAnchor="text" w:hAnchor="margin" w:xAlign="center" w:y="1"/>
    </w:pPr>
    <w:r>
      <w:fldChar w:fldCharType="begin"/>
    </w:r>
    <w:r>
      <w:instrText xml:space="preserve">PAGE  </w:instrText>
    </w:r>
    <w:r>
      <w:fldChar w:fldCharType="end"/>
    </w:r>
  </w:p>
  <w:p w:rsidR="00D4142A" w:rsidRDefault="00D414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42A" w:rsidRDefault="00D4142A" w:rsidP="0055614C">
    <w:pPr>
      <w:pStyle w:val="Footer"/>
      <w:framePr w:wrap="around" w:vAnchor="text" w:hAnchor="margin" w:xAlign="center" w:y="1"/>
    </w:pPr>
    <w:r>
      <w:fldChar w:fldCharType="begin"/>
    </w:r>
    <w:r>
      <w:instrText xml:space="preserve">PAGE  </w:instrText>
    </w:r>
    <w:r>
      <w:fldChar w:fldCharType="separate"/>
    </w:r>
    <w:r w:rsidR="006A61ED">
      <w:rPr>
        <w:noProof/>
      </w:rPr>
      <w:t>2</w:t>
    </w:r>
    <w:r>
      <w:fldChar w:fldCharType="end"/>
    </w:r>
  </w:p>
  <w:p w:rsidR="00D4142A" w:rsidRDefault="00D4142A">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42A" w:rsidRDefault="00D4142A">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913" w:rsidRDefault="001A7913">
      <w:r>
        <w:separator/>
      </w:r>
    </w:p>
  </w:footnote>
  <w:footnote w:type="continuationSeparator" w:id="0">
    <w:p w:rsidR="001A7913" w:rsidRDefault="001A7913" w:rsidP="00C721AC">
      <w:pPr>
        <w:spacing w:before="120"/>
        <w:rPr>
          <w:sz w:val="20"/>
        </w:rPr>
      </w:pPr>
      <w:r>
        <w:rPr>
          <w:sz w:val="20"/>
        </w:rPr>
        <w:t xml:space="preserve">(Continued from previous page)  </w:t>
      </w:r>
      <w:r>
        <w:rPr>
          <w:sz w:val="20"/>
        </w:rPr>
        <w:separator/>
      </w:r>
    </w:p>
  </w:footnote>
  <w:footnote w:type="continuationNotice" w:id="1">
    <w:p w:rsidR="001A7913" w:rsidRDefault="001A7913" w:rsidP="00C721AC">
      <w:pPr>
        <w:jc w:val="right"/>
        <w:rPr>
          <w:sz w:val="20"/>
        </w:rPr>
      </w:pPr>
      <w:r>
        <w:rPr>
          <w:sz w:val="20"/>
        </w:rPr>
        <w:t>(continued….)</w:t>
      </w:r>
    </w:p>
  </w:footnote>
  <w:footnote w:id="2">
    <w:p w:rsidR="00D4142A" w:rsidRPr="005712BA" w:rsidRDefault="00D4142A">
      <w:pPr>
        <w:pStyle w:val="FootnoteText"/>
      </w:pPr>
      <w:r>
        <w:rPr>
          <w:rStyle w:val="FootnoteReference"/>
        </w:rPr>
        <w:footnoteRef/>
      </w:r>
      <w:r>
        <w:t xml:space="preserve"> </w:t>
      </w:r>
      <w:r w:rsidR="00EB2869">
        <w:rPr>
          <w:i/>
        </w:rPr>
        <w:t>New(AM), Casa Grande, AZ,</w:t>
      </w:r>
      <w:r w:rsidR="00EB2869">
        <w:t xml:space="preserve"> </w:t>
      </w:r>
      <w:r w:rsidR="00CC747B">
        <w:t>L</w:t>
      </w:r>
      <w:r w:rsidR="00EB2869">
        <w:t>etter</w:t>
      </w:r>
      <w:r>
        <w:t>, Ref. 1800B3-SS (MB Sep. 30, 2011) (“</w:t>
      </w:r>
      <w:r>
        <w:rPr>
          <w:i/>
        </w:rPr>
        <w:t>Staff Decision</w:t>
      </w:r>
      <w:r>
        <w:t xml:space="preserve">”).  </w:t>
      </w:r>
      <w:r>
        <w:rPr>
          <w:i/>
        </w:rPr>
        <w:t>See Broadcast Actions</w:t>
      </w:r>
      <w:r>
        <w:t>, Public Notice, Report No. 47586 (rel. Oct. 5, 2011).</w:t>
      </w:r>
    </w:p>
  </w:footnote>
  <w:footnote w:id="3">
    <w:p w:rsidR="004614C8" w:rsidRPr="004614C8" w:rsidRDefault="004614C8" w:rsidP="004614C8">
      <w:pPr>
        <w:pStyle w:val="FootnoteText"/>
        <w:jc w:val="both"/>
      </w:pPr>
      <w:r>
        <w:rPr>
          <w:rStyle w:val="FootnoteReference"/>
        </w:rPr>
        <w:footnoteRef/>
      </w:r>
      <w:r>
        <w:t xml:space="preserve"> </w:t>
      </w:r>
      <w:r>
        <w:rPr>
          <w:i/>
        </w:rPr>
        <w:t xml:space="preserve">Letter from John S. Neely, Esq. </w:t>
      </w:r>
      <w:r>
        <w:t>(Jul. 5, 2011).</w:t>
      </w:r>
    </w:p>
  </w:footnote>
  <w:footnote w:id="4">
    <w:p w:rsidR="00F425B0" w:rsidRPr="002A0E58" w:rsidRDefault="00F425B0" w:rsidP="00F425B0">
      <w:pPr>
        <w:pStyle w:val="FootnoteText"/>
      </w:pPr>
      <w:r w:rsidRPr="002A0E58">
        <w:rPr>
          <w:rStyle w:val="FootnoteReference"/>
        </w:rPr>
        <w:footnoteRef/>
      </w:r>
      <w:r>
        <w:t xml:space="preserve"> We reject as procedurally improper the incorporation by reference and attachment to the AFR of the Petition and </w:t>
      </w:r>
      <w:r w:rsidR="00CC747B">
        <w:t xml:space="preserve">the </w:t>
      </w:r>
      <w:r>
        <w:t xml:space="preserve">“Supplement to Petition for Partial Reconsideration” (“Supplement”).  </w:t>
      </w:r>
      <w:r w:rsidR="00143907">
        <w:rPr>
          <w:i/>
        </w:rPr>
        <w:t xml:space="preserve">See </w:t>
      </w:r>
      <w:r>
        <w:t xml:space="preserve">AFR at 6 </w:t>
      </w:r>
      <w:r w:rsidR="002204DD">
        <w:t>n.</w:t>
      </w:r>
      <w:r>
        <w:t>5</w:t>
      </w:r>
      <w:r w:rsidR="004A1F5C">
        <w:t xml:space="preserve"> </w:t>
      </w:r>
      <w:r>
        <w:t>and Exhibit.</w:t>
      </w:r>
      <w:bookmarkStart w:id="1" w:name="SR;4825"/>
      <w:bookmarkStart w:id="2" w:name="SR;4827"/>
      <w:bookmarkStart w:id="3" w:name="FN[FN86]"/>
      <w:bookmarkEnd w:id="1"/>
      <w:bookmarkEnd w:id="2"/>
      <w:bookmarkEnd w:id="3"/>
      <w:r>
        <w:t xml:space="preserve">  T</w:t>
      </w:r>
      <w:r w:rsidRPr="002A0E58">
        <w:rPr>
          <w:color w:val="000000"/>
          <w:shd w:val="clear" w:color="auto" w:fill="FFFFFF"/>
        </w:rPr>
        <w:t xml:space="preserve">he </w:t>
      </w:r>
      <w:r>
        <w:rPr>
          <w:color w:val="000000"/>
          <w:shd w:val="clear" w:color="auto" w:fill="FFFFFF"/>
        </w:rPr>
        <w:t>Commission’s r</w:t>
      </w:r>
      <w:r w:rsidRPr="002A0E58">
        <w:rPr>
          <w:color w:val="000000"/>
          <w:shd w:val="clear" w:color="auto" w:fill="FFFFFF"/>
        </w:rPr>
        <w:t>ules</w:t>
      </w:r>
      <w:r>
        <w:rPr>
          <w:color w:val="000000"/>
          <w:shd w:val="clear" w:color="auto" w:fill="FFFFFF"/>
        </w:rPr>
        <w:t xml:space="preserve"> (“Rules”) </w:t>
      </w:r>
      <w:r w:rsidRPr="002A0E58">
        <w:rPr>
          <w:color w:val="000000"/>
          <w:shd w:val="clear" w:color="auto" w:fill="FFFFFF"/>
        </w:rPr>
        <w:t>do not allow incorporation by reference</w:t>
      </w:r>
      <w:r w:rsidR="00C85DEC">
        <w:rPr>
          <w:color w:val="000000"/>
          <w:shd w:val="clear" w:color="auto" w:fill="FFFFFF"/>
        </w:rPr>
        <w:t>.</w:t>
      </w:r>
      <w:r>
        <w:rPr>
          <w:color w:val="000000"/>
          <w:shd w:val="clear" w:color="auto" w:fill="FFFFFF"/>
        </w:rPr>
        <w:t xml:space="preserve"> </w:t>
      </w:r>
      <w:r w:rsidR="00C85DEC">
        <w:rPr>
          <w:color w:val="000000"/>
          <w:shd w:val="clear" w:color="auto" w:fill="FFFFFF"/>
        </w:rPr>
        <w:t xml:space="preserve"> R</w:t>
      </w:r>
      <w:r>
        <w:rPr>
          <w:color w:val="000000"/>
          <w:shd w:val="clear" w:color="auto" w:fill="FFFFFF"/>
        </w:rPr>
        <w:t xml:space="preserve">ather an application for review must set forth fully the applicant’s arguments and all underlying </w:t>
      </w:r>
      <w:bookmarkStart w:id="4" w:name="SR;4850"/>
      <w:bookmarkStart w:id="5" w:name="SR;4852"/>
      <w:bookmarkStart w:id="6" w:name="FN[FN87]"/>
      <w:bookmarkEnd w:id="4"/>
      <w:bookmarkEnd w:id="5"/>
      <w:bookmarkEnd w:id="6"/>
      <w:r>
        <w:rPr>
          <w:color w:val="000000"/>
          <w:shd w:val="clear" w:color="auto" w:fill="FFFFFF"/>
        </w:rPr>
        <w:t xml:space="preserve">facts.  </w:t>
      </w:r>
      <w:r>
        <w:rPr>
          <w:i/>
          <w:color w:val="000000"/>
          <w:shd w:val="clear" w:color="auto" w:fill="FFFFFF"/>
        </w:rPr>
        <w:t xml:space="preserve">See </w:t>
      </w:r>
      <w:r>
        <w:rPr>
          <w:color w:val="000000"/>
          <w:shd w:val="clear" w:color="auto" w:fill="FFFFFF"/>
        </w:rPr>
        <w:t xml:space="preserve">47 C.F.R §1.115(b).  </w:t>
      </w:r>
      <w:r w:rsidRPr="00F64600">
        <w:rPr>
          <w:i/>
          <w:color w:val="000000"/>
          <w:shd w:val="clear" w:color="auto" w:fill="FFFFFF"/>
        </w:rPr>
        <w:t>See e.g</w:t>
      </w:r>
      <w:r>
        <w:rPr>
          <w:color w:val="000000"/>
          <w:shd w:val="clear" w:color="auto" w:fill="FFFFFF"/>
        </w:rPr>
        <w:t xml:space="preserve">. </w:t>
      </w:r>
      <w:r w:rsidRPr="009640F5">
        <w:rPr>
          <w:i/>
          <w:color w:val="000000"/>
          <w:shd w:val="clear" w:color="auto" w:fill="FFFFFF"/>
        </w:rPr>
        <w:t>Tamara Radio Licenses of Tampa, Florida, Inc</w:t>
      </w:r>
      <w:r>
        <w:rPr>
          <w:color w:val="000000"/>
          <w:shd w:val="clear" w:color="auto" w:fill="FFFFFF"/>
        </w:rPr>
        <w:t xml:space="preserve">., Memorandum Opinion and Order, 25 FCC Rcd 7588, 7589 (2010) (“The Commission is not required to sift through an applicant’s prior pleadings to supply the reasoning that our rules require to be provided in the application for review.”); and </w:t>
      </w:r>
      <w:r>
        <w:rPr>
          <w:i/>
          <w:color w:val="000000"/>
          <w:shd w:val="clear" w:color="auto" w:fill="FFFFFF"/>
        </w:rPr>
        <w:t>Red Hot Radio</w:t>
      </w:r>
      <w:r>
        <w:rPr>
          <w:color w:val="000000"/>
          <w:shd w:val="clear" w:color="auto" w:fill="FFFFFF"/>
        </w:rPr>
        <w:t xml:space="preserve">, Memorandum Opinion and Order, 19 FCC Rcd 6737, 6746 n.63 (2004) </w:t>
      </w:r>
      <w:r w:rsidRPr="00A041E0">
        <w:rPr>
          <w:color w:val="000000"/>
        </w:rPr>
        <w:t>(“Such incorporation by reference is not allowed under our rules.</w:t>
      </w:r>
      <w:r>
        <w:rPr>
          <w:color w:val="000000"/>
        </w:rPr>
        <w:t>”</w:t>
      </w:r>
      <w:bookmarkStart w:id="7" w:name="SR;10732"/>
      <w:bookmarkStart w:id="8" w:name="SR;10734"/>
      <w:bookmarkStart w:id="9" w:name="SR;10755"/>
      <w:bookmarkStart w:id="10" w:name="SR;10757"/>
      <w:bookmarkEnd w:id="7"/>
      <w:bookmarkEnd w:id="8"/>
      <w:bookmarkEnd w:id="9"/>
      <w:bookmarkEnd w:id="10"/>
      <w:r w:rsidRPr="00A041E0">
        <w:rPr>
          <w:color w:val="000000"/>
        </w:rPr>
        <w:t>).</w:t>
      </w:r>
      <w:r w:rsidRPr="00F64600">
        <w:rPr>
          <w:color w:val="000000"/>
          <w:shd w:val="clear" w:color="auto" w:fill="FFFFFF"/>
        </w:rPr>
        <w:t xml:space="preserve"> T</w:t>
      </w:r>
      <w:r w:rsidRPr="002A0E58">
        <w:rPr>
          <w:color w:val="000000"/>
          <w:shd w:val="clear" w:color="auto" w:fill="FFFFFF"/>
        </w:rPr>
        <w:t>heref</w:t>
      </w:r>
      <w:r>
        <w:rPr>
          <w:color w:val="000000"/>
          <w:shd w:val="clear" w:color="auto" w:fill="FFFFFF"/>
        </w:rPr>
        <w:t>ore, we will dismiss this portion of the AFR</w:t>
      </w:r>
      <w:bookmarkStart w:id="11" w:name="SR;4874"/>
      <w:bookmarkStart w:id="12" w:name="SR;4876"/>
      <w:bookmarkEnd w:id="11"/>
      <w:bookmarkEnd w:id="12"/>
      <w:r w:rsidRPr="002A0E58">
        <w:rPr>
          <w:color w:val="000000"/>
          <w:shd w:val="clear" w:color="auto" w:fill="FFFFFF"/>
        </w:rPr>
        <w:t>.</w:t>
      </w:r>
    </w:p>
  </w:footnote>
  <w:footnote w:id="5">
    <w:p w:rsidR="00BC63D3" w:rsidRDefault="00BC63D3" w:rsidP="00BC63D3">
      <w:pPr>
        <w:pStyle w:val="FootnoteText"/>
      </w:pPr>
      <w:r>
        <w:rPr>
          <w:rStyle w:val="FootnoteReference"/>
        </w:rPr>
        <w:footnoteRef/>
      </w:r>
      <w:r>
        <w:t xml:space="preserve"> 47 C.F.R. § 73.3598(a).</w:t>
      </w:r>
    </w:p>
  </w:footnote>
  <w:footnote w:id="6">
    <w:p w:rsidR="004B00C8" w:rsidRDefault="004B00C8" w:rsidP="004B00C8">
      <w:pPr>
        <w:pStyle w:val="FootnoteText"/>
      </w:pPr>
      <w:r>
        <w:rPr>
          <w:rStyle w:val="FootnoteReference"/>
        </w:rPr>
        <w:footnoteRef/>
      </w:r>
      <w:r>
        <w:t xml:space="preserve"> </w:t>
      </w:r>
      <w:r w:rsidRPr="00804D6C">
        <w:rPr>
          <w:i/>
        </w:rPr>
        <w:t>See In the Matter of Promoting Diversification of Ownership in the Broadcast Services</w:t>
      </w:r>
      <w:r>
        <w:t>, Report and Order and Third Notice of Proposed Rulemaking, 23 FCC Rcd 5922 (2008)</w:t>
      </w:r>
      <w:r w:rsidR="000F50D8">
        <w:t>.</w:t>
      </w:r>
      <w:r>
        <w:t xml:space="preserve"> (“</w:t>
      </w:r>
      <w:r>
        <w:rPr>
          <w:i/>
        </w:rPr>
        <w:t>Diversity Order</w:t>
      </w:r>
      <w:r>
        <w:t xml:space="preserve">”).    </w:t>
      </w:r>
    </w:p>
  </w:footnote>
  <w:footnote w:id="7">
    <w:p w:rsidR="004B00C8" w:rsidRDefault="004B00C8" w:rsidP="004B00C8">
      <w:pPr>
        <w:pStyle w:val="FootnoteText"/>
      </w:pPr>
      <w:r>
        <w:rPr>
          <w:rStyle w:val="FootnoteReference"/>
        </w:rPr>
        <w:footnoteRef/>
      </w:r>
      <w:r>
        <w:t xml:space="preserve"> </w:t>
      </w:r>
      <w:r>
        <w:rPr>
          <w:i/>
        </w:rPr>
        <w:t>Id.</w:t>
      </w:r>
      <w:r>
        <w:t xml:space="preserve"> at 5963.  </w:t>
      </w:r>
      <w:r>
        <w:rPr>
          <w:i/>
        </w:rPr>
        <w:t>See also</w:t>
      </w:r>
      <w:r>
        <w:t xml:space="preserve"> 47 C.F.R. § 73.3598(a).</w:t>
      </w:r>
    </w:p>
  </w:footnote>
  <w:footnote w:id="8">
    <w:p w:rsidR="00835072" w:rsidRPr="009B5250" w:rsidRDefault="00835072" w:rsidP="00835072">
      <w:pPr>
        <w:pStyle w:val="FootnoteText"/>
      </w:pPr>
      <w:r>
        <w:rPr>
          <w:rStyle w:val="FootnoteReference"/>
        </w:rPr>
        <w:footnoteRef/>
      </w:r>
      <w:r>
        <w:t xml:space="preserve"> File No. BNP-20001023ADB.  </w:t>
      </w:r>
      <w:r>
        <w:rPr>
          <w:i/>
        </w:rPr>
        <w:t>See Broadcast Actions</w:t>
      </w:r>
      <w:r>
        <w:t>, Public Notice, Report No. 46025 (rel. Jul 13, 2005).</w:t>
      </w:r>
    </w:p>
  </w:footnote>
  <w:footnote w:id="9">
    <w:p w:rsidR="00835072" w:rsidRPr="00CC10C3" w:rsidRDefault="00835072" w:rsidP="00835072">
      <w:pPr>
        <w:pStyle w:val="FootnoteText"/>
      </w:pPr>
      <w:r>
        <w:rPr>
          <w:rStyle w:val="FootnoteReference"/>
        </w:rPr>
        <w:footnoteRef/>
      </w:r>
      <w:r>
        <w:t xml:space="preserve"> On June 25, 2008, the staff granted Green Valley’s application for consent to assignment of Permit to Everything Groundwave (“EG”), File No. BAP-20080522ABG, which was consummated on July 7, 2008.  On January 5, 2010, the staff granted an application for consent to assignment of the</w:t>
      </w:r>
      <w:r w:rsidR="00560197">
        <w:t xml:space="preserve"> Permit from EG to Ingemunson, </w:t>
      </w:r>
      <w:r>
        <w:t>File No. BAP-20091118AGH, which was consummated on January 6, 20</w:t>
      </w:r>
      <w:r w:rsidR="00DE20A8">
        <w:t>1</w:t>
      </w:r>
      <w:r w:rsidR="003B4BBD">
        <w:t>0</w:t>
      </w:r>
      <w:r>
        <w:t xml:space="preserve">.  </w:t>
      </w:r>
      <w:r w:rsidR="00CC10C3">
        <w:t xml:space="preserve">  </w:t>
      </w:r>
    </w:p>
  </w:footnote>
  <w:footnote w:id="10">
    <w:p w:rsidR="00630777" w:rsidRDefault="00630777">
      <w:pPr>
        <w:pStyle w:val="FootnoteText"/>
      </w:pPr>
      <w:r>
        <w:rPr>
          <w:rStyle w:val="FootnoteReference"/>
        </w:rPr>
        <w:footnoteRef/>
      </w:r>
      <w:r>
        <w:t xml:space="preserve"> Assignment Application, Exhibit 20. </w:t>
      </w:r>
    </w:p>
  </w:footnote>
  <w:footnote w:id="11">
    <w:p w:rsidR="00BF47E7" w:rsidRPr="00E40998" w:rsidRDefault="00BF47E7" w:rsidP="00BF47E7">
      <w:pPr>
        <w:pStyle w:val="FootnoteText"/>
      </w:pPr>
      <w:r>
        <w:rPr>
          <w:rStyle w:val="FootnoteReference"/>
        </w:rPr>
        <w:footnoteRef/>
      </w:r>
      <w:r>
        <w:t xml:space="preserve"> </w:t>
      </w:r>
      <w:r>
        <w:rPr>
          <w:i/>
        </w:rPr>
        <w:t>See Broadcast Actions,</w:t>
      </w:r>
      <w:r>
        <w:t xml:space="preserve"> Public Notice, Report No. 47518 (rel. Jun. 29, 2011).</w:t>
      </w:r>
    </w:p>
  </w:footnote>
  <w:footnote w:id="12">
    <w:p w:rsidR="00647A1F" w:rsidRDefault="00647A1F">
      <w:pPr>
        <w:pStyle w:val="FootnoteText"/>
      </w:pPr>
      <w:r>
        <w:rPr>
          <w:rStyle w:val="FootnoteReference"/>
        </w:rPr>
        <w:footnoteRef/>
      </w:r>
      <w:r>
        <w:t xml:space="preserve"> On July 1, 2011, I</w:t>
      </w:r>
      <w:r w:rsidR="00666FCF">
        <w:t>n</w:t>
      </w:r>
      <w:r>
        <w:t xml:space="preserve">gemunson and Beckman consummated the assignment. </w:t>
      </w:r>
    </w:p>
  </w:footnote>
  <w:footnote w:id="13">
    <w:p w:rsidR="00391C19" w:rsidRPr="00C228FD" w:rsidRDefault="00391C19" w:rsidP="00391C19">
      <w:pPr>
        <w:pStyle w:val="FootnoteText"/>
      </w:pPr>
      <w:r>
        <w:rPr>
          <w:rStyle w:val="FootnoteReference"/>
        </w:rPr>
        <w:footnoteRef/>
      </w:r>
      <w:r>
        <w:t xml:space="preserve"> </w:t>
      </w:r>
      <w:r>
        <w:rPr>
          <w:i/>
        </w:rPr>
        <w:t>See Prometheus Radio Project v. FCC</w:t>
      </w:r>
      <w:r>
        <w:t>, 652 F.3d 431, 465-471 (3</w:t>
      </w:r>
      <w:r w:rsidRPr="00356717">
        <w:rPr>
          <w:vertAlign w:val="superscript"/>
        </w:rPr>
        <w:t>rd</w:t>
      </w:r>
      <w:r>
        <w:t xml:space="preserve"> Cir. 2011). (“</w:t>
      </w:r>
      <w:r>
        <w:rPr>
          <w:i/>
        </w:rPr>
        <w:t>Prometheus Radio</w:t>
      </w:r>
      <w:r>
        <w:t>”).</w:t>
      </w:r>
    </w:p>
  </w:footnote>
  <w:footnote w:id="14">
    <w:p w:rsidR="00391C19" w:rsidRPr="007A5F7E" w:rsidRDefault="00391C19" w:rsidP="00391C19">
      <w:pPr>
        <w:pStyle w:val="FootnoteText"/>
      </w:pPr>
      <w:r>
        <w:rPr>
          <w:rStyle w:val="FootnoteReference"/>
        </w:rPr>
        <w:footnoteRef/>
      </w:r>
      <w:r>
        <w:t xml:space="preserve"> </w:t>
      </w:r>
      <w:r>
        <w:rPr>
          <w:i/>
        </w:rPr>
        <w:t>See Media Bureau Provides Notice of Suspension of Eligible Entity Rule Changes and Guidance on the Assignment of Broadcast Station Construction Permits to Eligible Entities</w:t>
      </w:r>
      <w:r>
        <w:t>, Public Notice, 26 FCC Rcd 10370 (MB 2011). (“</w:t>
      </w:r>
      <w:r w:rsidRPr="00C34293">
        <w:rPr>
          <w:i/>
        </w:rPr>
        <w:t xml:space="preserve">Eligible Entity </w:t>
      </w:r>
      <w:r>
        <w:rPr>
          <w:i/>
        </w:rPr>
        <w:t xml:space="preserve">Suspension </w:t>
      </w:r>
      <w:r w:rsidRPr="00C34293">
        <w:rPr>
          <w:i/>
        </w:rPr>
        <w:t>Public Notice</w:t>
      </w:r>
      <w:r>
        <w:t>”).</w:t>
      </w:r>
    </w:p>
  </w:footnote>
  <w:footnote w:id="15">
    <w:p w:rsidR="00391C19" w:rsidRPr="00FF4A55" w:rsidRDefault="00391C19" w:rsidP="00391C19">
      <w:pPr>
        <w:pStyle w:val="FootnoteText"/>
        <w:rPr>
          <w:i/>
        </w:rPr>
      </w:pPr>
      <w:r>
        <w:rPr>
          <w:rStyle w:val="FootnoteReference"/>
        </w:rPr>
        <w:footnoteRef/>
      </w:r>
      <w:r>
        <w:t xml:space="preserve"> A granted application becomes final 40 days after public notice of the grant unless a petition for reconsideration or application for review is timely filed, o</w:t>
      </w:r>
      <w:r w:rsidR="008F38B0">
        <w:t>r</w:t>
      </w:r>
      <w:r>
        <w:t xml:space="preserve"> the Commission otherwise sets aside the grant.  </w:t>
      </w:r>
      <w:r>
        <w:rPr>
          <w:i/>
        </w:rPr>
        <w:t xml:space="preserve">See </w:t>
      </w:r>
      <w:r>
        <w:t>47 C.F.R. §§ 1.106, 1.115, 1.117.</w:t>
      </w:r>
      <w:r w:rsidR="00FF4A55">
        <w:t xml:space="preserve">  The Bureau indicated in the </w:t>
      </w:r>
      <w:r w:rsidR="00FF4A55" w:rsidRPr="00C34293">
        <w:rPr>
          <w:i/>
        </w:rPr>
        <w:t xml:space="preserve">Eligible Entity </w:t>
      </w:r>
      <w:r w:rsidR="00FF4A55">
        <w:rPr>
          <w:i/>
        </w:rPr>
        <w:t xml:space="preserve">Suspension </w:t>
      </w:r>
      <w:r w:rsidR="00FF4A55" w:rsidRPr="00C34293">
        <w:rPr>
          <w:i/>
        </w:rPr>
        <w:t>Public Notice</w:t>
      </w:r>
      <w:r w:rsidR="00FF4A55">
        <w:t xml:space="preserve"> that, if the grant</w:t>
      </w:r>
      <w:r w:rsidR="00FD2B2A">
        <w:t xml:space="preserve"> of an assignment application was</w:t>
      </w:r>
      <w:r w:rsidR="00FF4A55">
        <w:t xml:space="preserve"> final when the Court issues its </w:t>
      </w:r>
      <w:r w:rsidR="00FF4A55">
        <w:rPr>
          <w:i/>
        </w:rPr>
        <w:t xml:space="preserve">Prometheus Radio </w:t>
      </w:r>
      <w:r w:rsidR="00FF4A55">
        <w:t xml:space="preserve">mandate, “an assignment of a construction permit to an eligible entity is unaffected” by the court decision.  </w:t>
      </w:r>
    </w:p>
  </w:footnote>
  <w:footnote w:id="16">
    <w:p w:rsidR="00391C19" w:rsidRDefault="00391C19" w:rsidP="00391C19">
      <w:pPr>
        <w:pStyle w:val="FootnoteText"/>
        <w:spacing w:after="80"/>
      </w:pPr>
      <w:r>
        <w:rPr>
          <w:rStyle w:val="FootnoteReference"/>
        </w:rPr>
        <w:footnoteRef/>
      </w:r>
      <w:r>
        <w:t xml:space="preserve"> 47 C.F.R. § 73.3598(e).</w:t>
      </w:r>
    </w:p>
  </w:footnote>
  <w:footnote w:id="17">
    <w:p w:rsidR="00CC747B" w:rsidRPr="00696FAD" w:rsidRDefault="00CC747B">
      <w:pPr>
        <w:pStyle w:val="FootnoteText"/>
      </w:pPr>
      <w:r>
        <w:rPr>
          <w:rStyle w:val="FootnoteReference"/>
        </w:rPr>
        <w:footnoteRef/>
      </w:r>
      <w:r>
        <w:t xml:space="preserve"> </w:t>
      </w:r>
      <w:r w:rsidRPr="00C34293">
        <w:rPr>
          <w:i/>
        </w:rPr>
        <w:t xml:space="preserve">Eligible Entity </w:t>
      </w:r>
      <w:r>
        <w:rPr>
          <w:i/>
        </w:rPr>
        <w:t xml:space="preserve">Suspension </w:t>
      </w:r>
      <w:r w:rsidRPr="00C34293">
        <w:rPr>
          <w:i/>
        </w:rPr>
        <w:t>Public Notice</w:t>
      </w:r>
      <w:r>
        <w:rPr>
          <w:i/>
        </w:rPr>
        <w:t>,</w:t>
      </w:r>
      <w:r>
        <w:t xml:space="preserve"> 26 FCC Rcd at 10371.</w:t>
      </w:r>
    </w:p>
  </w:footnote>
  <w:footnote w:id="18">
    <w:p w:rsidR="00CC550D" w:rsidRDefault="00CC550D">
      <w:pPr>
        <w:pStyle w:val="FootnoteText"/>
      </w:pPr>
      <w:r>
        <w:rPr>
          <w:rStyle w:val="FootnoteReference"/>
        </w:rPr>
        <w:footnoteRef/>
      </w:r>
      <w:r>
        <w:t xml:space="preserve"> Tolling Request at 1.</w:t>
      </w:r>
    </w:p>
  </w:footnote>
  <w:footnote w:id="19">
    <w:p w:rsidR="00272408" w:rsidRPr="00BA3E25" w:rsidRDefault="00272408">
      <w:pPr>
        <w:pStyle w:val="FootnoteText"/>
      </w:pPr>
      <w:r>
        <w:rPr>
          <w:rStyle w:val="FootnoteReference"/>
        </w:rPr>
        <w:footnoteRef/>
      </w:r>
      <w:r>
        <w:t xml:space="preserve"> </w:t>
      </w:r>
      <w:r>
        <w:rPr>
          <w:i/>
        </w:rPr>
        <w:t>Id.</w:t>
      </w:r>
      <w:r w:rsidR="00BA3E25">
        <w:rPr>
          <w:i/>
        </w:rPr>
        <w:t xml:space="preserve">  </w:t>
      </w:r>
    </w:p>
  </w:footnote>
  <w:footnote w:id="20">
    <w:p w:rsidR="007D3067" w:rsidRDefault="007D3067" w:rsidP="007D3067">
      <w:pPr>
        <w:pStyle w:val="FootnoteText"/>
      </w:pPr>
      <w:r>
        <w:rPr>
          <w:rStyle w:val="FootnoteReference"/>
        </w:rPr>
        <w:footnoteRef/>
      </w:r>
      <w:r>
        <w:t xml:space="preserve"> On August 18, 2011, Beckman, without a motion for leave to amend, filed an untimely Supplement to the Petition, arguing that the </w:t>
      </w:r>
      <w:r w:rsidRPr="00AC1E0D">
        <w:rPr>
          <w:i/>
        </w:rPr>
        <w:t>Public Notice</w:t>
      </w:r>
      <w:r>
        <w:t xml:space="preserve"> did not apply because the Assignment Application reached finality before the mandate was issued.  </w:t>
      </w:r>
      <w:r>
        <w:rPr>
          <w:color w:val="000000"/>
          <w:shd w:val="clear" w:color="auto" w:fill="FFFFFF"/>
        </w:rPr>
        <w:t>Section 1.106(f) provides that</w:t>
      </w:r>
      <w:r w:rsidRPr="00544194">
        <w:rPr>
          <w:color w:val="000000"/>
          <w:shd w:val="clear" w:color="auto" w:fill="FFFFFF"/>
        </w:rPr>
        <w:t xml:space="preserve">: “No supplement </w:t>
      </w:r>
      <w:r>
        <w:rPr>
          <w:color w:val="000000"/>
          <w:shd w:val="clear" w:color="auto" w:fill="FFFFFF"/>
        </w:rPr>
        <w:t xml:space="preserve"> . . . </w:t>
      </w:r>
      <w:r w:rsidRPr="00544194">
        <w:rPr>
          <w:color w:val="000000"/>
          <w:shd w:val="clear" w:color="auto" w:fill="FFFFFF"/>
        </w:rPr>
        <w:t>to a petition for</w:t>
      </w:r>
      <w:r>
        <w:rPr>
          <w:color w:val="000000"/>
          <w:shd w:val="clear" w:color="auto" w:fill="FFFFFF"/>
        </w:rPr>
        <w:t xml:space="preserve"> reconsideration </w:t>
      </w:r>
      <w:r w:rsidRPr="00544194">
        <w:rPr>
          <w:rStyle w:val="apple-converted-space"/>
          <w:color w:val="000000"/>
          <w:shd w:val="clear" w:color="auto" w:fill="FFFFFF"/>
        </w:rPr>
        <w:t> </w:t>
      </w:r>
      <w:r w:rsidRPr="00544194">
        <w:rPr>
          <w:color w:val="000000"/>
          <w:shd w:val="clear" w:color="auto" w:fill="FFFFFF"/>
        </w:rPr>
        <w:t>... filed after expiration of the 30 day period [[for filing such a petition], will be considered except upon leave granted upon a</w:t>
      </w:r>
      <w:r w:rsidRPr="00544194">
        <w:rPr>
          <w:rStyle w:val="apple-converted-space"/>
          <w:color w:val="000000"/>
          <w:shd w:val="clear" w:color="auto" w:fill="FFFFFF"/>
        </w:rPr>
        <w:t> </w:t>
      </w:r>
      <w:r w:rsidRPr="00544194">
        <w:rPr>
          <w:iCs/>
          <w:color w:val="000000"/>
          <w:shd w:val="clear" w:color="auto" w:fill="FFFFFF"/>
        </w:rPr>
        <w:t>separate pleading</w:t>
      </w:r>
      <w:r w:rsidRPr="00544194">
        <w:rPr>
          <w:rStyle w:val="apple-converted-space"/>
          <w:color w:val="000000"/>
          <w:shd w:val="clear" w:color="auto" w:fill="FFFFFF"/>
        </w:rPr>
        <w:t> </w:t>
      </w:r>
      <w:r w:rsidRPr="00544194">
        <w:rPr>
          <w:color w:val="000000"/>
          <w:shd w:val="clear" w:color="auto" w:fill="FFFFFF"/>
        </w:rPr>
        <w:t>for leave to file, which shall state the grounds therefor.”</w:t>
      </w:r>
      <w:r>
        <w:rPr>
          <w:color w:val="000000"/>
          <w:shd w:val="clear" w:color="auto" w:fill="FFFFFF"/>
        </w:rPr>
        <w:t xml:space="preserve"> 47 C.F.R. § 1.106(f)   The Bureau did not consider this untimely Supplement in the </w:t>
      </w:r>
      <w:r>
        <w:rPr>
          <w:i/>
          <w:color w:val="000000"/>
          <w:shd w:val="clear" w:color="auto" w:fill="FFFFFF"/>
        </w:rPr>
        <w:t>Staff Decision.</w:t>
      </w:r>
      <w:r>
        <w:t xml:space="preserve">  </w:t>
      </w:r>
      <w:r>
        <w:rPr>
          <w:color w:val="000000"/>
          <w:shd w:val="clear" w:color="auto" w:fill="FFFFFF"/>
        </w:rPr>
        <w:t>Because t</w:t>
      </w:r>
      <w:r w:rsidRPr="00544194">
        <w:rPr>
          <w:color w:val="000000"/>
          <w:shd w:val="clear" w:color="auto" w:fill="FFFFFF"/>
        </w:rPr>
        <w:t xml:space="preserve">he Supplement was unaccompanied by a </w:t>
      </w:r>
      <w:r>
        <w:rPr>
          <w:color w:val="000000"/>
          <w:shd w:val="clear" w:color="auto" w:fill="FFFFFF"/>
        </w:rPr>
        <w:t xml:space="preserve">motion </w:t>
      </w:r>
      <w:r w:rsidRPr="00544194">
        <w:rPr>
          <w:color w:val="000000"/>
          <w:shd w:val="clear" w:color="auto" w:fill="FFFFFF"/>
        </w:rPr>
        <w:t>seeking leave to file</w:t>
      </w:r>
      <w:r>
        <w:rPr>
          <w:color w:val="000000"/>
          <w:shd w:val="clear" w:color="auto" w:fill="FFFFFF"/>
        </w:rPr>
        <w:t xml:space="preserve">, </w:t>
      </w:r>
      <w:r w:rsidR="0006545B">
        <w:rPr>
          <w:color w:val="000000"/>
          <w:shd w:val="clear" w:color="auto" w:fill="FFFFFF"/>
        </w:rPr>
        <w:t xml:space="preserve">and therefore was procedurally defective, </w:t>
      </w:r>
      <w:r>
        <w:rPr>
          <w:color w:val="000000"/>
          <w:shd w:val="clear" w:color="auto" w:fill="FFFFFF"/>
        </w:rPr>
        <w:t>we find the Bureau</w:t>
      </w:r>
      <w:r w:rsidR="00E74005">
        <w:rPr>
          <w:color w:val="000000"/>
          <w:shd w:val="clear" w:color="auto" w:fill="FFFFFF"/>
        </w:rPr>
        <w:t>’s</w:t>
      </w:r>
      <w:r>
        <w:rPr>
          <w:color w:val="000000"/>
          <w:shd w:val="clear" w:color="auto" w:fill="FFFFFF"/>
        </w:rPr>
        <w:t xml:space="preserve"> failure to </w:t>
      </w:r>
      <w:r w:rsidR="00E74005">
        <w:rPr>
          <w:color w:val="000000"/>
          <w:shd w:val="clear" w:color="auto" w:fill="FFFFFF"/>
        </w:rPr>
        <w:t xml:space="preserve">dispose of </w:t>
      </w:r>
      <w:r>
        <w:rPr>
          <w:color w:val="000000"/>
          <w:shd w:val="clear" w:color="auto" w:fill="FFFFFF"/>
        </w:rPr>
        <w:t xml:space="preserve"> this unauthorized pleading was “harmless error.”  </w:t>
      </w:r>
      <w:r>
        <w:rPr>
          <w:i/>
          <w:color w:val="000000"/>
          <w:shd w:val="clear" w:color="auto" w:fill="FFFFFF"/>
        </w:rPr>
        <w:t>See also e.g., Smile FM</w:t>
      </w:r>
      <w:r>
        <w:rPr>
          <w:color w:val="000000"/>
          <w:shd w:val="clear" w:color="auto" w:fill="FFFFFF"/>
        </w:rPr>
        <w:t xml:space="preserve">, Memorandum Opinion and Order, 29 FCC Rcd 6467 (2014) (affirming the dismissal of a supplement to a petition for reconsideration filed without a motion for leave to amend).  Moreover, even if we were to consider the defective Supplement we find Beckman’s argument regarding finality of the Assignment Application </w:t>
      </w:r>
      <w:r w:rsidR="0022239E">
        <w:rPr>
          <w:color w:val="000000"/>
          <w:shd w:val="clear" w:color="auto" w:fill="FFFFFF"/>
        </w:rPr>
        <w:t>is without merit</w:t>
      </w:r>
      <w:r>
        <w:rPr>
          <w:color w:val="000000"/>
          <w:shd w:val="clear" w:color="auto" w:fill="FFFFFF"/>
        </w:rPr>
        <w:t xml:space="preserve">, as discussed in Paragraph </w:t>
      </w:r>
      <w:r w:rsidR="00102CCD">
        <w:rPr>
          <w:color w:val="000000"/>
          <w:shd w:val="clear" w:color="auto" w:fill="FFFFFF"/>
        </w:rPr>
        <w:t>10</w:t>
      </w:r>
      <w:r>
        <w:rPr>
          <w:color w:val="000000"/>
          <w:shd w:val="clear" w:color="auto" w:fill="FFFFFF"/>
        </w:rPr>
        <w:t xml:space="preserve"> below.  </w:t>
      </w:r>
    </w:p>
  </w:footnote>
  <w:footnote w:id="21">
    <w:p w:rsidR="00BA3E25" w:rsidRDefault="00BA3E25">
      <w:pPr>
        <w:pStyle w:val="FootnoteText"/>
      </w:pPr>
      <w:r>
        <w:rPr>
          <w:rStyle w:val="FootnoteReference"/>
        </w:rPr>
        <w:footnoteRef/>
      </w:r>
      <w:r>
        <w:t xml:space="preserve"> 47 C.F.R. § 73.3598(b)(2) provides that a permit’s expiration date may be tolled when “the grant of the permit is the subject of administrative or judicial review.”</w:t>
      </w:r>
    </w:p>
  </w:footnote>
  <w:footnote w:id="22">
    <w:p w:rsidR="00D4142A" w:rsidRPr="00D4142A" w:rsidRDefault="00D4142A">
      <w:pPr>
        <w:pStyle w:val="FootnoteText"/>
      </w:pPr>
      <w:r>
        <w:rPr>
          <w:rStyle w:val="FootnoteReference"/>
        </w:rPr>
        <w:footnoteRef/>
      </w:r>
      <w:r>
        <w:t xml:space="preserve"> </w:t>
      </w:r>
      <w:r w:rsidR="00BF47E7">
        <w:rPr>
          <w:i/>
        </w:rPr>
        <w:t>Staff Decision</w:t>
      </w:r>
      <w:r>
        <w:rPr>
          <w:i/>
        </w:rPr>
        <w:t xml:space="preserve">. </w:t>
      </w:r>
      <w:r>
        <w:t xml:space="preserve">at 3. </w:t>
      </w:r>
    </w:p>
  </w:footnote>
  <w:footnote w:id="23">
    <w:p w:rsidR="00A22E2B" w:rsidRDefault="00A22E2B" w:rsidP="00A22E2B">
      <w:pPr>
        <w:pStyle w:val="FootnoteText"/>
      </w:pPr>
      <w:r>
        <w:rPr>
          <w:rStyle w:val="FootnoteReference"/>
        </w:rPr>
        <w:footnoteRef/>
      </w:r>
      <w:r>
        <w:t xml:space="preserve"> AFR at 5.</w:t>
      </w:r>
    </w:p>
  </w:footnote>
  <w:footnote w:id="24">
    <w:p w:rsidR="00611EA0" w:rsidRPr="00C567E7" w:rsidRDefault="00611EA0">
      <w:pPr>
        <w:pStyle w:val="FootnoteText"/>
      </w:pPr>
      <w:r w:rsidRPr="00C567E7">
        <w:rPr>
          <w:rStyle w:val="FootnoteReference"/>
        </w:rPr>
        <w:footnoteRef/>
      </w:r>
      <w:r w:rsidRPr="00C567E7">
        <w:t xml:space="preserve"> </w:t>
      </w:r>
      <w:r w:rsidR="0045437F">
        <w:rPr>
          <w:i/>
        </w:rPr>
        <w:t>Id</w:t>
      </w:r>
      <w:r w:rsidRPr="00C567E7">
        <w:t xml:space="preserve">. </w:t>
      </w:r>
    </w:p>
  </w:footnote>
  <w:footnote w:id="25">
    <w:p w:rsidR="00D4142A" w:rsidRPr="007D7820" w:rsidRDefault="00D4142A">
      <w:pPr>
        <w:pStyle w:val="FootnoteText"/>
      </w:pPr>
      <w:bookmarkStart w:id="13" w:name="SR;667"/>
      <w:bookmarkStart w:id="14" w:name="SR;2170"/>
      <w:bookmarkEnd w:id="13"/>
      <w:bookmarkEnd w:id="14"/>
      <w:r>
        <w:rPr>
          <w:rStyle w:val="FootnoteReference"/>
        </w:rPr>
        <w:footnoteRef/>
      </w:r>
      <w:r>
        <w:t xml:space="preserve"> </w:t>
      </w:r>
      <w:r w:rsidR="00DE4B2F">
        <w:rPr>
          <w:i/>
        </w:rPr>
        <w:t>Id.</w:t>
      </w:r>
      <w:r w:rsidR="00117F05">
        <w:t xml:space="preserve"> </w:t>
      </w:r>
      <w:r>
        <w:t>at 8.</w:t>
      </w:r>
    </w:p>
  </w:footnote>
  <w:footnote w:id="26">
    <w:p w:rsidR="00D4142A" w:rsidRPr="00F24BB3" w:rsidRDefault="00D4142A">
      <w:pPr>
        <w:pStyle w:val="FootnoteText"/>
      </w:pPr>
      <w:r>
        <w:rPr>
          <w:rStyle w:val="FootnoteReference"/>
        </w:rPr>
        <w:footnoteRef/>
      </w:r>
      <w:r>
        <w:t xml:space="preserve"> </w:t>
      </w:r>
      <w:r>
        <w:rPr>
          <w:i/>
        </w:rPr>
        <w:t>Id.</w:t>
      </w:r>
      <w:r>
        <w:t xml:space="preserve"> at </w:t>
      </w:r>
      <w:r w:rsidR="00DE4B2F">
        <w:t>9.</w:t>
      </w:r>
    </w:p>
  </w:footnote>
  <w:footnote w:id="27">
    <w:p w:rsidR="000A302D" w:rsidRDefault="000A302D">
      <w:pPr>
        <w:pStyle w:val="FootnoteText"/>
      </w:pPr>
      <w:r>
        <w:rPr>
          <w:rStyle w:val="FootnoteReference"/>
        </w:rPr>
        <w:footnoteRef/>
      </w:r>
      <w:r>
        <w:t xml:space="preserve"> </w:t>
      </w:r>
      <w:r w:rsidR="00C97520">
        <w:t>C</w:t>
      </w:r>
      <w:r>
        <w:t xml:space="preserve">ontrary to Beckman’s speculation, in denying her Petition in the </w:t>
      </w:r>
      <w:r w:rsidRPr="00E36832">
        <w:rPr>
          <w:i/>
        </w:rPr>
        <w:t>Staff Decision</w:t>
      </w:r>
      <w:r>
        <w:t xml:space="preserve">, the Bureau did not rely on Section 1.110 of the Rules, 47 C.F.R. § 1.110.  AFR at 4.  Accordingly, we need not respond to her discussion of the Rule. </w:t>
      </w:r>
      <w:r w:rsidR="00B81551">
        <w:rPr>
          <w:i/>
        </w:rPr>
        <w:t xml:space="preserve">Id. </w:t>
      </w:r>
      <w:r w:rsidR="00B81551" w:rsidRPr="00177547">
        <w:t xml:space="preserve">at </w:t>
      </w:r>
      <w:r>
        <w:t xml:space="preserve"> 4-6. </w:t>
      </w:r>
    </w:p>
  </w:footnote>
  <w:footnote w:id="28">
    <w:p w:rsidR="00D4142A" w:rsidRPr="005C347C" w:rsidRDefault="00D4142A">
      <w:pPr>
        <w:pStyle w:val="FootnoteText"/>
      </w:pPr>
      <w:r>
        <w:rPr>
          <w:rStyle w:val="FootnoteReference"/>
        </w:rPr>
        <w:footnoteRef/>
      </w:r>
      <w:r w:rsidR="00616407">
        <w:t xml:space="preserve"> 47 C.F.R. § 73.3598(e</w:t>
      </w:r>
      <w:r>
        <w:t>) (“Any construction permit for which construction has not been completed and for which an application for license has not been filed, shall be automatically forfeited upon expiration without any further affirmative cancellation by the Commission.).</w:t>
      </w:r>
      <w:r w:rsidR="00616407">
        <w:t xml:space="preserve">  </w:t>
      </w:r>
      <w:r>
        <w:rPr>
          <w:i/>
        </w:rPr>
        <w:t>See also Jet Fuel Broadcasting</w:t>
      </w:r>
      <w:r>
        <w:t>, Memorandum Opinion and Order, 25 FCC Rcd 12935, 12939 (2010).</w:t>
      </w:r>
    </w:p>
  </w:footnote>
  <w:footnote w:id="29">
    <w:p w:rsidR="004C4E41" w:rsidRPr="000020ED" w:rsidRDefault="004C4E41">
      <w:pPr>
        <w:pStyle w:val="FootnoteText"/>
        <w:rPr>
          <w:b/>
        </w:rPr>
      </w:pPr>
      <w:r>
        <w:rPr>
          <w:rStyle w:val="FootnoteReference"/>
        </w:rPr>
        <w:footnoteRef/>
      </w:r>
      <w:r>
        <w:t xml:space="preserve"> There is no “Petition for Partial Reconsideration” authorized in the Rules.  </w:t>
      </w:r>
      <w:r w:rsidR="00D062FB">
        <w:t xml:space="preserve">The Commission, and the staff, are not swayed by pleading titles and typically treat such filings as Petitions for Reconsideration under 47 C.F.R. § 1.106.  </w:t>
      </w:r>
      <w:r w:rsidR="00D062FB">
        <w:rPr>
          <w:i/>
        </w:rPr>
        <w:t>See, e.g., Fireside Media</w:t>
      </w:r>
      <w:r w:rsidR="00D062FB">
        <w:t xml:space="preserve">, 225 FCC Rcd 2453, 2455-56 (2010) (dismissing “Petition for Partial Reconsideration” as untimely under 47 U.S.C. §405 and 47 C.F.R. § 1.106); </w:t>
      </w:r>
      <w:r w:rsidR="00D062FB">
        <w:rPr>
          <w:i/>
        </w:rPr>
        <w:t>WHNR(AM), Cypress Gardens, Florida</w:t>
      </w:r>
      <w:r w:rsidR="00D062FB">
        <w:t xml:space="preserve">, Letter, 28 FCC Rcd 16653, 16656 (MB 2013) (treating “Petition for Partial Reconsideration” under 47 C.F.R. §1.106 and denying it.) </w:t>
      </w:r>
      <w:r w:rsidR="000020ED">
        <w:t xml:space="preserve"> </w:t>
      </w:r>
    </w:p>
  </w:footnote>
  <w:footnote w:id="30">
    <w:p w:rsidR="003C3164" w:rsidRPr="00696FAD" w:rsidRDefault="003C3164" w:rsidP="00437140">
      <w:pPr>
        <w:pStyle w:val="FootnoteText"/>
        <w:rPr>
          <w:i/>
        </w:rPr>
      </w:pPr>
      <w:r>
        <w:rPr>
          <w:rStyle w:val="FootnoteReference"/>
        </w:rPr>
        <w:footnoteRef/>
      </w:r>
      <w:r>
        <w:t xml:space="preserve"> </w:t>
      </w:r>
      <w:r w:rsidRPr="00696FAD">
        <w:rPr>
          <w:i/>
        </w:rPr>
        <w:t>See</w:t>
      </w:r>
      <w:r w:rsidRPr="00696FAD">
        <w:t xml:space="preserve"> 47 C.F.R. §73.3598(b)</w:t>
      </w:r>
      <w:r w:rsidR="006E5487" w:rsidRPr="00696FAD">
        <w:t>(</w:t>
      </w:r>
      <w:r w:rsidR="006E5487">
        <w:t>2</w:t>
      </w:r>
      <w:r w:rsidR="006E5487" w:rsidRPr="00696FAD">
        <w:t>)</w:t>
      </w:r>
      <w:r w:rsidRPr="00696FAD">
        <w:t xml:space="preserve">.  </w:t>
      </w:r>
    </w:p>
  </w:footnote>
  <w:footnote w:id="31">
    <w:p w:rsidR="006220FF" w:rsidRDefault="006220FF" w:rsidP="006220FF">
      <w:pPr>
        <w:pStyle w:val="FootnoteText"/>
      </w:pPr>
      <w:r>
        <w:rPr>
          <w:rStyle w:val="FootnoteReference"/>
        </w:rPr>
        <w:footnoteRef/>
      </w:r>
      <w:r>
        <w:t xml:space="preserve"> 47 U.S.C. §155(c)(5).</w:t>
      </w:r>
    </w:p>
  </w:footnote>
  <w:footnote w:id="32">
    <w:p w:rsidR="006220FF" w:rsidRDefault="006220FF" w:rsidP="006220FF">
      <w:pPr>
        <w:pStyle w:val="FootnoteText"/>
      </w:pPr>
      <w:r>
        <w:rPr>
          <w:rStyle w:val="FootnoteReference"/>
        </w:rPr>
        <w:footnoteRef/>
      </w:r>
      <w:r>
        <w:t xml:space="preserve"> 47 C.F.R. §§1.115(c) and (g).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043" w:rsidRDefault="006650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42A" w:rsidRDefault="00D4142A" w:rsidP="00810B6F">
    <w:pPr>
      <w:pStyle w:val="Header"/>
      <w:rPr>
        <w:b w:val="0"/>
      </w:rPr>
    </w:pPr>
    <w:r>
      <w:tab/>
      <w:t>Federal Communications Commission</w:t>
    </w:r>
    <w:r>
      <w:tab/>
    </w:r>
    <w:r w:rsidR="003B7CA8">
      <w:t>FCC 14-165</w:t>
    </w:r>
  </w:p>
  <w:p w:rsidR="00D4142A" w:rsidRDefault="00D4142A">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6427E29E" wp14:editId="692DB192">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4142A" w:rsidRDefault="00D4142A">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42A" w:rsidRDefault="00D4142A"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32C5DEA9" wp14:editId="6BFBBF9A">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3B7CA8">
      <w:t>FCC 14-165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56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8A"/>
    <w:rsid w:val="000020ED"/>
    <w:rsid w:val="0000438B"/>
    <w:rsid w:val="00006070"/>
    <w:rsid w:val="00023F3D"/>
    <w:rsid w:val="00024216"/>
    <w:rsid w:val="00025F17"/>
    <w:rsid w:val="0002637D"/>
    <w:rsid w:val="00027A59"/>
    <w:rsid w:val="00031C6B"/>
    <w:rsid w:val="000333A7"/>
    <w:rsid w:val="00036039"/>
    <w:rsid w:val="00036A1B"/>
    <w:rsid w:val="00037F90"/>
    <w:rsid w:val="0004259B"/>
    <w:rsid w:val="0005259F"/>
    <w:rsid w:val="00056C0B"/>
    <w:rsid w:val="00062286"/>
    <w:rsid w:val="00063E34"/>
    <w:rsid w:val="0006545B"/>
    <w:rsid w:val="000875BF"/>
    <w:rsid w:val="00092D3C"/>
    <w:rsid w:val="00096D8C"/>
    <w:rsid w:val="000A302D"/>
    <w:rsid w:val="000C0B65"/>
    <w:rsid w:val="000C52DC"/>
    <w:rsid w:val="000D3476"/>
    <w:rsid w:val="000D41E3"/>
    <w:rsid w:val="000E05FE"/>
    <w:rsid w:val="000E3D42"/>
    <w:rsid w:val="000F2882"/>
    <w:rsid w:val="000F3591"/>
    <w:rsid w:val="000F4213"/>
    <w:rsid w:val="000F50D8"/>
    <w:rsid w:val="000F5474"/>
    <w:rsid w:val="00102CCD"/>
    <w:rsid w:val="00117F05"/>
    <w:rsid w:val="001201C9"/>
    <w:rsid w:val="00120CC0"/>
    <w:rsid w:val="00122BD5"/>
    <w:rsid w:val="001233F6"/>
    <w:rsid w:val="00133F79"/>
    <w:rsid w:val="00134D69"/>
    <w:rsid w:val="0013733F"/>
    <w:rsid w:val="00137F84"/>
    <w:rsid w:val="00143907"/>
    <w:rsid w:val="00147D53"/>
    <w:rsid w:val="00155707"/>
    <w:rsid w:val="00177547"/>
    <w:rsid w:val="0017757D"/>
    <w:rsid w:val="00194A66"/>
    <w:rsid w:val="00197B3D"/>
    <w:rsid w:val="001A2A3F"/>
    <w:rsid w:val="001A5B17"/>
    <w:rsid w:val="001A7913"/>
    <w:rsid w:val="001B2B88"/>
    <w:rsid w:val="001C0F6A"/>
    <w:rsid w:val="001C1B17"/>
    <w:rsid w:val="001C5008"/>
    <w:rsid w:val="001C7671"/>
    <w:rsid w:val="001D6BCF"/>
    <w:rsid w:val="001E01CA"/>
    <w:rsid w:val="001F76A7"/>
    <w:rsid w:val="00203AE9"/>
    <w:rsid w:val="00206981"/>
    <w:rsid w:val="0020706D"/>
    <w:rsid w:val="00212522"/>
    <w:rsid w:val="002204DD"/>
    <w:rsid w:val="0022239E"/>
    <w:rsid w:val="00230C05"/>
    <w:rsid w:val="00233C7E"/>
    <w:rsid w:val="0023406F"/>
    <w:rsid w:val="00247085"/>
    <w:rsid w:val="00247D09"/>
    <w:rsid w:val="002509E7"/>
    <w:rsid w:val="00260D00"/>
    <w:rsid w:val="00272408"/>
    <w:rsid w:val="00273265"/>
    <w:rsid w:val="00275CF5"/>
    <w:rsid w:val="0028301F"/>
    <w:rsid w:val="00283680"/>
    <w:rsid w:val="00285017"/>
    <w:rsid w:val="002A0E58"/>
    <w:rsid w:val="002A2954"/>
    <w:rsid w:val="002A2D2E"/>
    <w:rsid w:val="002C00E8"/>
    <w:rsid w:val="002C0139"/>
    <w:rsid w:val="002D2973"/>
    <w:rsid w:val="002D35E3"/>
    <w:rsid w:val="002F6FF6"/>
    <w:rsid w:val="00304425"/>
    <w:rsid w:val="00307CDF"/>
    <w:rsid w:val="00310DC5"/>
    <w:rsid w:val="003221A9"/>
    <w:rsid w:val="00322D50"/>
    <w:rsid w:val="00325D39"/>
    <w:rsid w:val="00341279"/>
    <w:rsid w:val="00343749"/>
    <w:rsid w:val="00344773"/>
    <w:rsid w:val="00347450"/>
    <w:rsid w:val="0035325A"/>
    <w:rsid w:val="003563A6"/>
    <w:rsid w:val="0035641E"/>
    <w:rsid w:val="00356717"/>
    <w:rsid w:val="00360B97"/>
    <w:rsid w:val="00361752"/>
    <w:rsid w:val="003637B9"/>
    <w:rsid w:val="0036596C"/>
    <w:rsid w:val="00365FEB"/>
    <w:rsid w:val="003660ED"/>
    <w:rsid w:val="00380C36"/>
    <w:rsid w:val="0038163E"/>
    <w:rsid w:val="00391C19"/>
    <w:rsid w:val="00395641"/>
    <w:rsid w:val="003B0550"/>
    <w:rsid w:val="003B4BBD"/>
    <w:rsid w:val="003B61E4"/>
    <w:rsid w:val="003B694F"/>
    <w:rsid w:val="003B7CA8"/>
    <w:rsid w:val="003C3164"/>
    <w:rsid w:val="003D0A33"/>
    <w:rsid w:val="003E0BF3"/>
    <w:rsid w:val="003E4DD0"/>
    <w:rsid w:val="003E54D5"/>
    <w:rsid w:val="003F0AC1"/>
    <w:rsid w:val="003F171C"/>
    <w:rsid w:val="003F6592"/>
    <w:rsid w:val="00412FC5"/>
    <w:rsid w:val="00422276"/>
    <w:rsid w:val="004242F1"/>
    <w:rsid w:val="0043174D"/>
    <w:rsid w:val="00437140"/>
    <w:rsid w:val="00441ABF"/>
    <w:rsid w:val="0044519E"/>
    <w:rsid w:val="00445A00"/>
    <w:rsid w:val="00451B0F"/>
    <w:rsid w:val="004529B0"/>
    <w:rsid w:val="00453538"/>
    <w:rsid w:val="0045437F"/>
    <w:rsid w:val="004572AE"/>
    <w:rsid w:val="00461087"/>
    <w:rsid w:val="004614C8"/>
    <w:rsid w:val="00466AE4"/>
    <w:rsid w:val="004719D5"/>
    <w:rsid w:val="00475800"/>
    <w:rsid w:val="004A0AAF"/>
    <w:rsid w:val="004A1F5C"/>
    <w:rsid w:val="004B00C8"/>
    <w:rsid w:val="004B49CE"/>
    <w:rsid w:val="004B68ED"/>
    <w:rsid w:val="004C044B"/>
    <w:rsid w:val="004C2EE3"/>
    <w:rsid w:val="004C4E41"/>
    <w:rsid w:val="004C58C5"/>
    <w:rsid w:val="004E2A13"/>
    <w:rsid w:val="004E2C12"/>
    <w:rsid w:val="004E4A22"/>
    <w:rsid w:val="004E5FD9"/>
    <w:rsid w:val="004E6331"/>
    <w:rsid w:val="00500636"/>
    <w:rsid w:val="00511968"/>
    <w:rsid w:val="005312D1"/>
    <w:rsid w:val="005349E2"/>
    <w:rsid w:val="00540E21"/>
    <w:rsid w:val="0054162C"/>
    <w:rsid w:val="0055614C"/>
    <w:rsid w:val="00560197"/>
    <w:rsid w:val="005612D2"/>
    <w:rsid w:val="00570B29"/>
    <w:rsid w:val="005712BA"/>
    <w:rsid w:val="0058015D"/>
    <w:rsid w:val="00581445"/>
    <w:rsid w:val="00591294"/>
    <w:rsid w:val="005A1FC1"/>
    <w:rsid w:val="005B743C"/>
    <w:rsid w:val="005C347C"/>
    <w:rsid w:val="005E14C2"/>
    <w:rsid w:val="005E316A"/>
    <w:rsid w:val="005E328E"/>
    <w:rsid w:val="00604849"/>
    <w:rsid w:val="006074CC"/>
    <w:rsid w:val="00607BA5"/>
    <w:rsid w:val="0061180A"/>
    <w:rsid w:val="00611EA0"/>
    <w:rsid w:val="006146B1"/>
    <w:rsid w:val="00616407"/>
    <w:rsid w:val="006220FF"/>
    <w:rsid w:val="00626EB6"/>
    <w:rsid w:val="00630777"/>
    <w:rsid w:val="00632893"/>
    <w:rsid w:val="00647A1F"/>
    <w:rsid w:val="00653E19"/>
    <w:rsid w:val="00655D03"/>
    <w:rsid w:val="0066076C"/>
    <w:rsid w:val="00665043"/>
    <w:rsid w:val="00666FCF"/>
    <w:rsid w:val="006802DA"/>
    <w:rsid w:val="0068320E"/>
    <w:rsid w:val="00683388"/>
    <w:rsid w:val="00683F84"/>
    <w:rsid w:val="00683F8B"/>
    <w:rsid w:val="00696FAD"/>
    <w:rsid w:val="00697D2B"/>
    <w:rsid w:val="006A61ED"/>
    <w:rsid w:val="006A6A81"/>
    <w:rsid w:val="006B5A40"/>
    <w:rsid w:val="006B69E6"/>
    <w:rsid w:val="006C2998"/>
    <w:rsid w:val="006C3B7C"/>
    <w:rsid w:val="006E213F"/>
    <w:rsid w:val="006E3CC8"/>
    <w:rsid w:val="006E4B7F"/>
    <w:rsid w:val="006E5487"/>
    <w:rsid w:val="006E5BBE"/>
    <w:rsid w:val="006F7393"/>
    <w:rsid w:val="0070224F"/>
    <w:rsid w:val="0070771F"/>
    <w:rsid w:val="007115F7"/>
    <w:rsid w:val="00723DBA"/>
    <w:rsid w:val="00743D2B"/>
    <w:rsid w:val="00744720"/>
    <w:rsid w:val="00745164"/>
    <w:rsid w:val="007520C1"/>
    <w:rsid w:val="00756DBF"/>
    <w:rsid w:val="00760015"/>
    <w:rsid w:val="00772B31"/>
    <w:rsid w:val="00774B73"/>
    <w:rsid w:val="007826E0"/>
    <w:rsid w:val="007845C9"/>
    <w:rsid w:val="00785689"/>
    <w:rsid w:val="00795C4C"/>
    <w:rsid w:val="0079754B"/>
    <w:rsid w:val="007A1E6D"/>
    <w:rsid w:val="007A3256"/>
    <w:rsid w:val="007A5F7E"/>
    <w:rsid w:val="007A779E"/>
    <w:rsid w:val="007B0EB2"/>
    <w:rsid w:val="007C7EF6"/>
    <w:rsid w:val="007D3067"/>
    <w:rsid w:val="007D5F4D"/>
    <w:rsid w:val="007D7820"/>
    <w:rsid w:val="007E6A04"/>
    <w:rsid w:val="007E6EC2"/>
    <w:rsid w:val="00801F30"/>
    <w:rsid w:val="00804D6C"/>
    <w:rsid w:val="00806D2D"/>
    <w:rsid w:val="00806F26"/>
    <w:rsid w:val="00810B6F"/>
    <w:rsid w:val="00814312"/>
    <w:rsid w:val="0082042F"/>
    <w:rsid w:val="00821E0C"/>
    <w:rsid w:val="00822CE0"/>
    <w:rsid w:val="0083300F"/>
    <w:rsid w:val="00833951"/>
    <w:rsid w:val="00835072"/>
    <w:rsid w:val="008408E7"/>
    <w:rsid w:val="00841AB1"/>
    <w:rsid w:val="00851CA7"/>
    <w:rsid w:val="00862F1E"/>
    <w:rsid w:val="00864C16"/>
    <w:rsid w:val="008746E8"/>
    <w:rsid w:val="008941C4"/>
    <w:rsid w:val="0089596E"/>
    <w:rsid w:val="008B757F"/>
    <w:rsid w:val="008B75F6"/>
    <w:rsid w:val="008C1066"/>
    <w:rsid w:val="008C68F1"/>
    <w:rsid w:val="008C726A"/>
    <w:rsid w:val="008C7419"/>
    <w:rsid w:val="008E01E0"/>
    <w:rsid w:val="008E5BF7"/>
    <w:rsid w:val="008E7CED"/>
    <w:rsid w:val="008F30E4"/>
    <w:rsid w:val="008F38B0"/>
    <w:rsid w:val="008F3DB5"/>
    <w:rsid w:val="008F69D6"/>
    <w:rsid w:val="009014B3"/>
    <w:rsid w:val="00921803"/>
    <w:rsid w:val="00926503"/>
    <w:rsid w:val="00947176"/>
    <w:rsid w:val="009640F5"/>
    <w:rsid w:val="009712EA"/>
    <w:rsid w:val="009726D8"/>
    <w:rsid w:val="009739AA"/>
    <w:rsid w:val="009830AB"/>
    <w:rsid w:val="009926DA"/>
    <w:rsid w:val="0099385D"/>
    <w:rsid w:val="009A31FA"/>
    <w:rsid w:val="009A3AAD"/>
    <w:rsid w:val="009A5CC9"/>
    <w:rsid w:val="009A5F0B"/>
    <w:rsid w:val="009B2BA3"/>
    <w:rsid w:val="009B5250"/>
    <w:rsid w:val="009C260F"/>
    <w:rsid w:val="009C3076"/>
    <w:rsid w:val="009E70E3"/>
    <w:rsid w:val="009F76DB"/>
    <w:rsid w:val="00A22E2B"/>
    <w:rsid w:val="00A261F5"/>
    <w:rsid w:val="00A32C3B"/>
    <w:rsid w:val="00A32CA8"/>
    <w:rsid w:val="00A363DF"/>
    <w:rsid w:val="00A36F2E"/>
    <w:rsid w:val="00A408F6"/>
    <w:rsid w:val="00A45F4F"/>
    <w:rsid w:val="00A5320D"/>
    <w:rsid w:val="00A600A9"/>
    <w:rsid w:val="00A73E44"/>
    <w:rsid w:val="00AA2420"/>
    <w:rsid w:val="00AA490B"/>
    <w:rsid w:val="00AA55B7"/>
    <w:rsid w:val="00AA5B9E"/>
    <w:rsid w:val="00AB2407"/>
    <w:rsid w:val="00AB53DF"/>
    <w:rsid w:val="00AB7244"/>
    <w:rsid w:val="00AC1E0D"/>
    <w:rsid w:val="00AC2E9E"/>
    <w:rsid w:val="00AD27EE"/>
    <w:rsid w:val="00AE0470"/>
    <w:rsid w:val="00AE5F7B"/>
    <w:rsid w:val="00AF686E"/>
    <w:rsid w:val="00AF6A5D"/>
    <w:rsid w:val="00B07E5C"/>
    <w:rsid w:val="00B17366"/>
    <w:rsid w:val="00B41559"/>
    <w:rsid w:val="00B438B8"/>
    <w:rsid w:val="00B44C97"/>
    <w:rsid w:val="00B6706B"/>
    <w:rsid w:val="00B7223D"/>
    <w:rsid w:val="00B724B9"/>
    <w:rsid w:val="00B811F7"/>
    <w:rsid w:val="00B81551"/>
    <w:rsid w:val="00B816E7"/>
    <w:rsid w:val="00BA3E25"/>
    <w:rsid w:val="00BA5DC6"/>
    <w:rsid w:val="00BA6196"/>
    <w:rsid w:val="00BA74E8"/>
    <w:rsid w:val="00BA797B"/>
    <w:rsid w:val="00BB2216"/>
    <w:rsid w:val="00BB61D6"/>
    <w:rsid w:val="00BC5B2F"/>
    <w:rsid w:val="00BC63D3"/>
    <w:rsid w:val="00BC6D8C"/>
    <w:rsid w:val="00BC7653"/>
    <w:rsid w:val="00BD0DF5"/>
    <w:rsid w:val="00BE07CB"/>
    <w:rsid w:val="00BE171D"/>
    <w:rsid w:val="00BF3141"/>
    <w:rsid w:val="00BF47E7"/>
    <w:rsid w:val="00BF4BCC"/>
    <w:rsid w:val="00BF4CB6"/>
    <w:rsid w:val="00BF71B6"/>
    <w:rsid w:val="00BF72DF"/>
    <w:rsid w:val="00C0689E"/>
    <w:rsid w:val="00C07A37"/>
    <w:rsid w:val="00C20924"/>
    <w:rsid w:val="00C20E96"/>
    <w:rsid w:val="00C21C2B"/>
    <w:rsid w:val="00C228FD"/>
    <w:rsid w:val="00C27721"/>
    <w:rsid w:val="00C34006"/>
    <w:rsid w:val="00C34293"/>
    <w:rsid w:val="00C426B1"/>
    <w:rsid w:val="00C51748"/>
    <w:rsid w:val="00C567E7"/>
    <w:rsid w:val="00C61472"/>
    <w:rsid w:val="00C66160"/>
    <w:rsid w:val="00C67FB0"/>
    <w:rsid w:val="00C721AC"/>
    <w:rsid w:val="00C748D3"/>
    <w:rsid w:val="00C75249"/>
    <w:rsid w:val="00C762D0"/>
    <w:rsid w:val="00C7750E"/>
    <w:rsid w:val="00C84A67"/>
    <w:rsid w:val="00C852C3"/>
    <w:rsid w:val="00C85DEC"/>
    <w:rsid w:val="00C90909"/>
    <w:rsid w:val="00C90D6A"/>
    <w:rsid w:val="00C94584"/>
    <w:rsid w:val="00C97520"/>
    <w:rsid w:val="00C97741"/>
    <w:rsid w:val="00CA0935"/>
    <w:rsid w:val="00CA247E"/>
    <w:rsid w:val="00CB12A2"/>
    <w:rsid w:val="00CB1BD6"/>
    <w:rsid w:val="00CC10C3"/>
    <w:rsid w:val="00CC550D"/>
    <w:rsid w:val="00CC72B6"/>
    <w:rsid w:val="00CC747B"/>
    <w:rsid w:val="00CF6BCC"/>
    <w:rsid w:val="00D0218D"/>
    <w:rsid w:val="00D062FB"/>
    <w:rsid w:val="00D1186A"/>
    <w:rsid w:val="00D1308E"/>
    <w:rsid w:val="00D16CBC"/>
    <w:rsid w:val="00D173D9"/>
    <w:rsid w:val="00D209C4"/>
    <w:rsid w:val="00D22C49"/>
    <w:rsid w:val="00D25FB5"/>
    <w:rsid w:val="00D4142A"/>
    <w:rsid w:val="00D44223"/>
    <w:rsid w:val="00D5092B"/>
    <w:rsid w:val="00D54290"/>
    <w:rsid w:val="00D5560B"/>
    <w:rsid w:val="00D64FCF"/>
    <w:rsid w:val="00D66582"/>
    <w:rsid w:val="00D66736"/>
    <w:rsid w:val="00D67CEC"/>
    <w:rsid w:val="00D719C5"/>
    <w:rsid w:val="00D732C7"/>
    <w:rsid w:val="00D90902"/>
    <w:rsid w:val="00D96067"/>
    <w:rsid w:val="00DA2529"/>
    <w:rsid w:val="00DB1059"/>
    <w:rsid w:val="00DB130A"/>
    <w:rsid w:val="00DB2EBB"/>
    <w:rsid w:val="00DB3860"/>
    <w:rsid w:val="00DC10A1"/>
    <w:rsid w:val="00DC655F"/>
    <w:rsid w:val="00DD0B59"/>
    <w:rsid w:val="00DD6F93"/>
    <w:rsid w:val="00DD7EBD"/>
    <w:rsid w:val="00DE20A8"/>
    <w:rsid w:val="00DE3BE1"/>
    <w:rsid w:val="00DE4B2F"/>
    <w:rsid w:val="00DE57CB"/>
    <w:rsid w:val="00DF002A"/>
    <w:rsid w:val="00DF3B58"/>
    <w:rsid w:val="00DF62B6"/>
    <w:rsid w:val="00E021C7"/>
    <w:rsid w:val="00E057B9"/>
    <w:rsid w:val="00E07225"/>
    <w:rsid w:val="00E14E8F"/>
    <w:rsid w:val="00E2411E"/>
    <w:rsid w:val="00E3184E"/>
    <w:rsid w:val="00E34001"/>
    <w:rsid w:val="00E36832"/>
    <w:rsid w:val="00E40998"/>
    <w:rsid w:val="00E53E4E"/>
    <w:rsid w:val="00E5409F"/>
    <w:rsid w:val="00E55453"/>
    <w:rsid w:val="00E72393"/>
    <w:rsid w:val="00E73EA7"/>
    <w:rsid w:val="00E74005"/>
    <w:rsid w:val="00E848A5"/>
    <w:rsid w:val="00E87973"/>
    <w:rsid w:val="00EB2869"/>
    <w:rsid w:val="00EC1D1F"/>
    <w:rsid w:val="00EC758D"/>
    <w:rsid w:val="00ED4996"/>
    <w:rsid w:val="00EE4224"/>
    <w:rsid w:val="00EE6488"/>
    <w:rsid w:val="00EF4022"/>
    <w:rsid w:val="00EF58C5"/>
    <w:rsid w:val="00F0118A"/>
    <w:rsid w:val="00F021FA"/>
    <w:rsid w:val="00F0769C"/>
    <w:rsid w:val="00F10559"/>
    <w:rsid w:val="00F17713"/>
    <w:rsid w:val="00F20168"/>
    <w:rsid w:val="00F24BB3"/>
    <w:rsid w:val="00F35319"/>
    <w:rsid w:val="00F3598C"/>
    <w:rsid w:val="00F4202C"/>
    <w:rsid w:val="00F425B0"/>
    <w:rsid w:val="00F505B3"/>
    <w:rsid w:val="00F50FF7"/>
    <w:rsid w:val="00F547C5"/>
    <w:rsid w:val="00F56A16"/>
    <w:rsid w:val="00F62174"/>
    <w:rsid w:val="00F62E97"/>
    <w:rsid w:val="00F64209"/>
    <w:rsid w:val="00F64600"/>
    <w:rsid w:val="00F773EC"/>
    <w:rsid w:val="00F93BF5"/>
    <w:rsid w:val="00F971E9"/>
    <w:rsid w:val="00FD1E66"/>
    <w:rsid w:val="00FD2B2A"/>
    <w:rsid w:val="00FD4862"/>
    <w:rsid w:val="00FE2546"/>
    <w:rsid w:val="00FE4EEC"/>
    <w:rsid w:val="00FE52BC"/>
    <w:rsid w:val="00FF4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61ED"/>
    <w:pPr>
      <w:widowControl w:val="0"/>
    </w:pPr>
    <w:rPr>
      <w:snapToGrid w:val="0"/>
      <w:kern w:val="28"/>
      <w:sz w:val="22"/>
    </w:rPr>
  </w:style>
  <w:style w:type="paragraph" w:styleId="Heading1">
    <w:name w:val="heading 1"/>
    <w:basedOn w:val="Normal"/>
    <w:next w:val="ParaNum"/>
    <w:qFormat/>
    <w:rsid w:val="006A61E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A61ED"/>
    <w:pPr>
      <w:keepNext/>
      <w:numPr>
        <w:ilvl w:val="1"/>
        <w:numId w:val="3"/>
      </w:numPr>
      <w:spacing w:after="120"/>
      <w:outlineLvl w:val="1"/>
    </w:pPr>
    <w:rPr>
      <w:b/>
    </w:rPr>
  </w:style>
  <w:style w:type="paragraph" w:styleId="Heading3">
    <w:name w:val="heading 3"/>
    <w:basedOn w:val="Normal"/>
    <w:next w:val="ParaNum"/>
    <w:qFormat/>
    <w:rsid w:val="006A61ED"/>
    <w:pPr>
      <w:keepNext/>
      <w:numPr>
        <w:ilvl w:val="2"/>
        <w:numId w:val="3"/>
      </w:numPr>
      <w:tabs>
        <w:tab w:val="left" w:pos="2160"/>
      </w:tabs>
      <w:spacing w:after="120"/>
      <w:outlineLvl w:val="2"/>
    </w:pPr>
    <w:rPr>
      <w:b/>
    </w:rPr>
  </w:style>
  <w:style w:type="paragraph" w:styleId="Heading4">
    <w:name w:val="heading 4"/>
    <w:basedOn w:val="Normal"/>
    <w:next w:val="ParaNum"/>
    <w:qFormat/>
    <w:rsid w:val="006A61ED"/>
    <w:pPr>
      <w:keepNext/>
      <w:numPr>
        <w:ilvl w:val="3"/>
        <w:numId w:val="3"/>
      </w:numPr>
      <w:tabs>
        <w:tab w:val="left" w:pos="2880"/>
      </w:tabs>
      <w:spacing w:after="120"/>
      <w:outlineLvl w:val="3"/>
    </w:pPr>
    <w:rPr>
      <w:b/>
    </w:rPr>
  </w:style>
  <w:style w:type="paragraph" w:styleId="Heading5">
    <w:name w:val="heading 5"/>
    <w:basedOn w:val="Normal"/>
    <w:next w:val="ParaNum"/>
    <w:qFormat/>
    <w:rsid w:val="006A61E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A61ED"/>
    <w:pPr>
      <w:numPr>
        <w:ilvl w:val="5"/>
        <w:numId w:val="3"/>
      </w:numPr>
      <w:tabs>
        <w:tab w:val="left" w:pos="4320"/>
      </w:tabs>
      <w:spacing w:after="120"/>
      <w:outlineLvl w:val="5"/>
    </w:pPr>
    <w:rPr>
      <w:b/>
    </w:rPr>
  </w:style>
  <w:style w:type="paragraph" w:styleId="Heading7">
    <w:name w:val="heading 7"/>
    <w:basedOn w:val="Normal"/>
    <w:next w:val="ParaNum"/>
    <w:qFormat/>
    <w:rsid w:val="006A61E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A61E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A61E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A61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61ED"/>
  </w:style>
  <w:style w:type="paragraph" w:customStyle="1" w:styleId="ParaNum">
    <w:name w:val="ParaNum"/>
    <w:basedOn w:val="Normal"/>
    <w:rsid w:val="006A61ED"/>
    <w:pPr>
      <w:numPr>
        <w:numId w:val="2"/>
      </w:numPr>
      <w:tabs>
        <w:tab w:val="clear" w:pos="1080"/>
        <w:tab w:val="num" w:pos="1440"/>
      </w:tabs>
      <w:spacing w:after="120"/>
    </w:pPr>
  </w:style>
  <w:style w:type="paragraph" w:styleId="EndnoteText">
    <w:name w:val="endnote text"/>
    <w:basedOn w:val="Normal"/>
    <w:semiHidden/>
    <w:rsid w:val="006A61ED"/>
    <w:rPr>
      <w:sz w:val="20"/>
    </w:rPr>
  </w:style>
  <w:style w:type="character" w:styleId="EndnoteReference">
    <w:name w:val="endnote reference"/>
    <w:semiHidden/>
    <w:rsid w:val="006A61ED"/>
    <w:rPr>
      <w:vertAlign w:val="superscript"/>
    </w:rPr>
  </w:style>
  <w:style w:type="paragraph" w:styleId="FootnoteText">
    <w:name w:val="footnote text"/>
    <w:aliases w:val="Footnote Text Char1 Char,Footnote Text Char Char Char,Footnote Text Char1 Char Char Char,Footnote Text Char Char Char Char Char,Footnote Text Char1 Char Char Char Char Char,rrfootnote Char Char Char Char Char Char,f,fn,Footnote Text Char2"/>
    <w:link w:val="FootnoteTextChar"/>
    <w:rsid w:val="006A61ED"/>
    <w:pPr>
      <w:spacing w:after="120"/>
    </w:pPr>
  </w:style>
  <w:style w:type="character" w:styleId="FootnoteReference">
    <w:name w:val="footnote reference"/>
    <w:aliases w:val="Style 12,(NECG) Footnote Reference,o,fr,Style 3,Appel note de bas de p,Style 124,Style 13"/>
    <w:rsid w:val="006A61ED"/>
    <w:rPr>
      <w:rFonts w:ascii="Times New Roman" w:hAnsi="Times New Roman"/>
      <w:dstrike w:val="0"/>
      <w:color w:val="auto"/>
      <w:sz w:val="20"/>
      <w:vertAlign w:val="superscript"/>
    </w:rPr>
  </w:style>
  <w:style w:type="paragraph" w:styleId="TOC1">
    <w:name w:val="toc 1"/>
    <w:basedOn w:val="Normal"/>
    <w:next w:val="Normal"/>
    <w:semiHidden/>
    <w:rsid w:val="006A61E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A61ED"/>
    <w:pPr>
      <w:tabs>
        <w:tab w:val="left" w:pos="720"/>
        <w:tab w:val="right" w:leader="dot" w:pos="9360"/>
      </w:tabs>
      <w:suppressAutoHyphens/>
      <w:ind w:left="720" w:right="720" w:hanging="360"/>
    </w:pPr>
    <w:rPr>
      <w:noProof/>
    </w:rPr>
  </w:style>
  <w:style w:type="paragraph" w:styleId="TOC3">
    <w:name w:val="toc 3"/>
    <w:basedOn w:val="Normal"/>
    <w:next w:val="Normal"/>
    <w:semiHidden/>
    <w:rsid w:val="006A61E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A61E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A61E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A61E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A61E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A61E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A61E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A61ED"/>
    <w:pPr>
      <w:tabs>
        <w:tab w:val="right" w:pos="9360"/>
      </w:tabs>
      <w:suppressAutoHyphens/>
    </w:pPr>
  </w:style>
  <w:style w:type="character" w:customStyle="1" w:styleId="EquationCaption">
    <w:name w:val="_Equation Caption"/>
    <w:rsid w:val="006A61ED"/>
  </w:style>
  <w:style w:type="paragraph" w:styleId="Header">
    <w:name w:val="header"/>
    <w:basedOn w:val="Normal"/>
    <w:autoRedefine/>
    <w:rsid w:val="006A61ED"/>
    <w:pPr>
      <w:tabs>
        <w:tab w:val="center" w:pos="4680"/>
        <w:tab w:val="right" w:pos="9360"/>
      </w:tabs>
    </w:pPr>
    <w:rPr>
      <w:b/>
    </w:rPr>
  </w:style>
  <w:style w:type="paragraph" w:styleId="Footer">
    <w:name w:val="footer"/>
    <w:basedOn w:val="Normal"/>
    <w:rsid w:val="006A61ED"/>
    <w:pPr>
      <w:tabs>
        <w:tab w:val="center" w:pos="4320"/>
        <w:tab w:val="right" w:pos="8640"/>
      </w:tabs>
    </w:pPr>
  </w:style>
  <w:style w:type="character" w:styleId="PageNumber">
    <w:name w:val="page number"/>
    <w:basedOn w:val="DefaultParagraphFont"/>
    <w:rsid w:val="006A61ED"/>
  </w:style>
  <w:style w:type="paragraph" w:styleId="BlockText">
    <w:name w:val="Block Text"/>
    <w:basedOn w:val="Normal"/>
    <w:rsid w:val="006A61ED"/>
    <w:pPr>
      <w:spacing w:after="240"/>
      <w:ind w:left="1440" w:right="1440"/>
    </w:pPr>
  </w:style>
  <w:style w:type="paragraph" w:customStyle="1" w:styleId="Paratitle">
    <w:name w:val="Para title"/>
    <w:basedOn w:val="Normal"/>
    <w:rsid w:val="006A61ED"/>
    <w:pPr>
      <w:tabs>
        <w:tab w:val="center" w:pos="9270"/>
      </w:tabs>
      <w:spacing w:after="240"/>
    </w:pPr>
    <w:rPr>
      <w:spacing w:val="-2"/>
    </w:rPr>
  </w:style>
  <w:style w:type="paragraph" w:customStyle="1" w:styleId="Bullet">
    <w:name w:val="Bullet"/>
    <w:basedOn w:val="Normal"/>
    <w:rsid w:val="006A61ED"/>
    <w:pPr>
      <w:tabs>
        <w:tab w:val="left" w:pos="2160"/>
      </w:tabs>
      <w:spacing w:after="220"/>
      <w:ind w:left="2160" w:hanging="720"/>
    </w:pPr>
  </w:style>
  <w:style w:type="paragraph" w:customStyle="1" w:styleId="TableFormat">
    <w:name w:val="TableFormat"/>
    <w:basedOn w:val="Bullet"/>
    <w:rsid w:val="006A61ED"/>
    <w:pPr>
      <w:tabs>
        <w:tab w:val="clear" w:pos="2160"/>
        <w:tab w:val="left" w:pos="5040"/>
      </w:tabs>
      <w:ind w:left="5040" w:hanging="3600"/>
    </w:pPr>
  </w:style>
  <w:style w:type="paragraph" w:customStyle="1" w:styleId="TOCTitle">
    <w:name w:val="TOC Title"/>
    <w:basedOn w:val="Normal"/>
    <w:rsid w:val="006A61E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A61ED"/>
    <w:pPr>
      <w:jc w:val="center"/>
    </w:pPr>
    <w:rPr>
      <w:rFonts w:ascii="Times New Roman Bold" w:hAnsi="Times New Roman Bold"/>
      <w:b/>
      <w:bCs/>
      <w:caps/>
      <w:szCs w:val="22"/>
    </w:rPr>
  </w:style>
  <w:style w:type="character" w:styleId="Hyperlink">
    <w:name w:val="Hyperlink"/>
    <w:rsid w:val="006A61ED"/>
    <w:rPr>
      <w:color w:val="0000FF"/>
      <w:u w:val="single"/>
    </w:rPr>
  </w:style>
  <w:style w:type="character" w:customStyle="1" w:styleId="searchterm">
    <w:name w:val="searchterm"/>
    <w:basedOn w:val="DefaultParagraphFont"/>
    <w:rsid w:val="002A0E58"/>
  </w:style>
  <w:style w:type="character" w:customStyle="1" w:styleId="apple-converted-space">
    <w:name w:val="apple-converted-space"/>
    <w:basedOn w:val="DefaultParagraphFont"/>
    <w:rsid w:val="002A0E58"/>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 Char,fn Char"/>
    <w:link w:val="FootnoteText"/>
    <w:rsid w:val="00947176"/>
  </w:style>
  <w:style w:type="paragraph" w:styleId="BalloonText">
    <w:name w:val="Balloon Text"/>
    <w:basedOn w:val="Normal"/>
    <w:link w:val="BalloonTextChar"/>
    <w:rsid w:val="000D3476"/>
    <w:rPr>
      <w:rFonts w:ascii="Tahoma" w:hAnsi="Tahoma" w:cs="Tahoma"/>
      <w:snapToGrid/>
      <w:sz w:val="16"/>
      <w:szCs w:val="16"/>
    </w:rPr>
  </w:style>
  <w:style w:type="character" w:customStyle="1" w:styleId="BalloonTextChar">
    <w:name w:val="Balloon Text Char"/>
    <w:basedOn w:val="DefaultParagraphFont"/>
    <w:link w:val="BalloonText"/>
    <w:rsid w:val="000D3476"/>
    <w:rPr>
      <w:rFonts w:ascii="Tahoma" w:hAnsi="Tahoma" w:cs="Tahoma"/>
      <w:snapToGrid w:val="0"/>
      <w:kern w:val="28"/>
      <w:sz w:val="16"/>
      <w:szCs w:val="16"/>
    </w:rPr>
  </w:style>
  <w:style w:type="character" w:styleId="Strong">
    <w:name w:val="Strong"/>
    <w:basedOn w:val="DefaultParagraphFont"/>
    <w:qFormat/>
    <w:rsid w:val="00056C0B"/>
    <w:rPr>
      <w:b/>
      <w:bCs/>
    </w:rPr>
  </w:style>
  <w:style w:type="character" w:customStyle="1" w:styleId="FootnoteTextChar1Char1">
    <w:name w:val="Footnote Text Char1 Char1"/>
    <w:aliases w:val="Footnote Text Char1 Char Char1 Char,Footnote Text Char Char Char Char1 Char,Footnote Text Char3 Char Char Char Char1 Char,Footnote Text Char Char Char Char1 Char Char Char"/>
    <w:semiHidden/>
    <w:rsid w:val="00BC63D3"/>
    <w:rPr>
      <w:lang w:val="en-US" w:eastAsia="en-US" w:bidi="ar-SA"/>
    </w:rPr>
  </w:style>
  <w:style w:type="character" w:styleId="CommentReference">
    <w:name w:val="annotation reference"/>
    <w:basedOn w:val="DefaultParagraphFont"/>
    <w:rsid w:val="00F505B3"/>
    <w:rPr>
      <w:sz w:val="16"/>
      <w:szCs w:val="16"/>
    </w:rPr>
  </w:style>
  <w:style w:type="paragraph" w:styleId="CommentText">
    <w:name w:val="annotation text"/>
    <w:basedOn w:val="Normal"/>
    <w:link w:val="CommentTextChar"/>
    <w:rsid w:val="00F505B3"/>
    <w:rPr>
      <w:sz w:val="20"/>
    </w:rPr>
  </w:style>
  <w:style w:type="character" w:customStyle="1" w:styleId="CommentTextChar">
    <w:name w:val="Comment Text Char"/>
    <w:basedOn w:val="DefaultParagraphFont"/>
    <w:link w:val="CommentText"/>
    <w:rsid w:val="00F505B3"/>
    <w:rPr>
      <w:rFonts w:ascii="Calibri" w:eastAsiaTheme="minorHAnsi" w:hAnsi="Calibri"/>
    </w:rPr>
  </w:style>
  <w:style w:type="paragraph" w:styleId="CommentSubject">
    <w:name w:val="annotation subject"/>
    <w:basedOn w:val="CommentText"/>
    <w:next w:val="CommentText"/>
    <w:link w:val="CommentSubjectChar"/>
    <w:rsid w:val="00F505B3"/>
    <w:rPr>
      <w:b/>
      <w:bCs/>
    </w:rPr>
  </w:style>
  <w:style w:type="character" w:customStyle="1" w:styleId="CommentSubjectChar">
    <w:name w:val="Comment Subject Char"/>
    <w:basedOn w:val="CommentTextChar"/>
    <w:link w:val="CommentSubject"/>
    <w:rsid w:val="00F505B3"/>
    <w:rPr>
      <w:rFonts w:ascii="Calibri" w:eastAsiaTheme="minorHAnsi" w:hAnsi="Calibri"/>
      <w:b/>
      <w:bCs/>
    </w:rPr>
  </w:style>
  <w:style w:type="paragraph" w:styleId="Revision">
    <w:name w:val="Revision"/>
    <w:hidden/>
    <w:uiPriority w:val="99"/>
    <w:semiHidden/>
    <w:rsid w:val="0089596E"/>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61ED"/>
    <w:pPr>
      <w:widowControl w:val="0"/>
    </w:pPr>
    <w:rPr>
      <w:snapToGrid w:val="0"/>
      <w:kern w:val="28"/>
      <w:sz w:val="22"/>
    </w:rPr>
  </w:style>
  <w:style w:type="paragraph" w:styleId="Heading1">
    <w:name w:val="heading 1"/>
    <w:basedOn w:val="Normal"/>
    <w:next w:val="ParaNum"/>
    <w:qFormat/>
    <w:rsid w:val="006A61E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A61ED"/>
    <w:pPr>
      <w:keepNext/>
      <w:numPr>
        <w:ilvl w:val="1"/>
        <w:numId w:val="3"/>
      </w:numPr>
      <w:spacing w:after="120"/>
      <w:outlineLvl w:val="1"/>
    </w:pPr>
    <w:rPr>
      <w:b/>
    </w:rPr>
  </w:style>
  <w:style w:type="paragraph" w:styleId="Heading3">
    <w:name w:val="heading 3"/>
    <w:basedOn w:val="Normal"/>
    <w:next w:val="ParaNum"/>
    <w:qFormat/>
    <w:rsid w:val="006A61ED"/>
    <w:pPr>
      <w:keepNext/>
      <w:numPr>
        <w:ilvl w:val="2"/>
        <w:numId w:val="3"/>
      </w:numPr>
      <w:tabs>
        <w:tab w:val="left" w:pos="2160"/>
      </w:tabs>
      <w:spacing w:after="120"/>
      <w:outlineLvl w:val="2"/>
    </w:pPr>
    <w:rPr>
      <w:b/>
    </w:rPr>
  </w:style>
  <w:style w:type="paragraph" w:styleId="Heading4">
    <w:name w:val="heading 4"/>
    <w:basedOn w:val="Normal"/>
    <w:next w:val="ParaNum"/>
    <w:qFormat/>
    <w:rsid w:val="006A61ED"/>
    <w:pPr>
      <w:keepNext/>
      <w:numPr>
        <w:ilvl w:val="3"/>
        <w:numId w:val="3"/>
      </w:numPr>
      <w:tabs>
        <w:tab w:val="left" w:pos="2880"/>
      </w:tabs>
      <w:spacing w:after="120"/>
      <w:outlineLvl w:val="3"/>
    </w:pPr>
    <w:rPr>
      <w:b/>
    </w:rPr>
  </w:style>
  <w:style w:type="paragraph" w:styleId="Heading5">
    <w:name w:val="heading 5"/>
    <w:basedOn w:val="Normal"/>
    <w:next w:val="ParaNum"/>
    <w:qFormat/>
    <w:rsid w:val="006A61E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A61ED"/>
    <w:pPr>
      <w:numPr>
        <w:ilvl w:val="5"/>
        <w:numId w:val="3"/>
      </w:numPr>
      <w:tabs>
        <w:tab w:val="left" w:pos="4320"/>
      </w:tabs>
      <w:spacing w:after="120"/>
      <w:outlineLvl w:val="5"/>
    </w:pPr>
    <w:rPr>
      <w:b/>
    </w:rPr>
  </w:style>
  <w:style w:type="paragraph" w:styleId="Heading7">
    <w:name w:val="heading 7"/>
    <w:basedOn w:val="Normal"/>
    <w:next w:val="ParaNum"/>
    <w:qFormat/>
    <w:rsid w:val="006A61E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A61E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A61E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A61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61ED"/>
  </w:style>
  <w:style w:type="paragraph" w:customStyle="1" w:styleId="ParaNum">
    <w:name w:val="ParaNum"/>
    <w:basedOn w:val="Normal"/>
    <w:rsid w:val="006A61ED"/>
    <w:pPr>
      <w:numPr>
        <w:numId w:val="2"/>
      </w:numPr>
      <w:tabs>
        <w:tab w:val="clear" w:pos="1080"/>
        <w:tab w:val="num" w:pos="1440"/>
      </w:tabs>
      <w:spacing w:after="120"/>
    </w:pPr>
  </w:style>
  <w:style w:type="paragraph" w:styleId="EndnoteText">
    <w:name w:val="endnote text"/>
    <w:basedOn w:val="Normal"/>
    <w:semiHidden/>
    <w:rsid w:val="006A61ED"/>
    <w:rPr>
      <w:sz w:val="20"/>
    </w:rPr>
  </w:style>
  <w:style w:type="character" w:styleId="EndnoteReference">
    <w:name w:val="endnote reference"/>
    <w:semiHidden/>
    <w:rsid w:val="006A61ED"/>
    <w:rPr>
      <w:vertAlign w:val="superscript"/>
    </w:rPr>
  </w:style>
  <w:style w:type="paragraph" w:styleId="FootnoteText">
    <w:name w:val="footnote text"/>
    <w:aliases w:val="Footnote Text Char1 Char,Footnote Text Char Char Char,Footnote Text Char1 Char Char Char,Footnote Text Char Char Char Char Char,Footnote Text Char1 Char Char Char Char Char,rrfootnote Char Char Char Char Char Char,f,fn,Footnote Text Char2"/>
    <w:link w:val="FootnoteTextChar"/>
    <w:rsid w:val="006A61ED"/>
    <w:pPr>
      <w:spacing w:after="120"/>
    </w:pPr>
  </w:style>
  <w:style w:type="character" w:styleId="FootnoteReference">
    <w:name w:val="footnote reference"/>
    <w:aliases w:val="Style 12,(NECG) Footnote Reference,o,fr,Style 3,Appel note de bas de p,Style 124,Style 13"/>
    <w:rsid w:val="006A61ED"/>
    <w:rPr>
      <w:rFonts w:ascii="Times New Roman" w:hAnsi="Times New Roman"/>
      <w:dstrike w:val="0"/>
      <w:color w:val="auto"/>
      <w:sz w:val="20"/>
      <w:vertAlign w:val="superscript"/>
    </w:rPr>
  </w:style>
  <w:style w:type="paragraph" w:styleId="TOC1">
    <w:name w:val="toc 1"/>
    <w:basedOn w:val="Normal"/>
    <w:next w:val="Normal"/>
    <w:semiHidden/>
    <w:rsid w:val="006A61E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A61ED"/>
    <w:pPr>
      <w:tabs>
        <w:tab w:val="left" w:pos="720"/>
        <w:tab w:val="right" w:leader="dot" w:pos="9360"/>
      </w:tabs>
      <w:suppressAutoHyphens/>
      <w:ind w:left="720" w:right="720" w:hanging="360"/>
    </w:pPr>
    <w:rPr>
      <w:noProof/>
    </w:rPr>
  </w:style>
  <w:style w:type="paragraph" w:styleId="TOC3">
    <w:name w:val="toc 3"/>
    <w:basedOn w:val="Normal"/>
    <w:next w:val="Normal"/>
    <w:semiHidden/>
    <w:rsid w:val="006A61E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A61E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A61E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A61E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A61E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A61E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A61E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A61ED"/>
    <w:pPr>
      <w:tabs>
        <w:tab w:val="right" w:pos="9360"/>
      </w:tabs>
      <w:suppressAutoHyphens/>
    </w:pPr>
  </w:style>
  <w:style w:type="character" w:customStyle="1" w:styleId="EquationCaption">
    <w:name w:val="_Equation Caption"/>
    <w:rsid w:val="006A61ED"/>
  </w:style>
  <w:style w:type="paragraph" w:styleId="Header">
    <w:name w:val="header"/>
    <w:basedOn w:val="Normal"/>
    <w:autoRedefine/>
    <w:rsid w:val="006A61ED"/>
    <w:pPr>
      <w:tabs>
        <w:tab w:val="center" w:pos="4680"/>
        <w:tab w:val="right" w:pos="9360"/>
      </w:tabs>
    </w:pPr>
    <w:rPr>
      <w:b/>
    </w:rPr>
  </w:style>
  <w:style w:type="paragraph" w:styleId="Footer">
    <w:name w:val="footer"/>
    <w:basedOn w:val="Normal"/>
    <w:rsid w:val="006A61ED"/>
    <w:pPr>
      <w:tabs>
        <w:tab w:val="center" w:pos="4320"/>
        <w:tab w:val="right" w:pos="8640"/>
      </w:tabs>
    </w:pPr>
  </w:style>
  <w:style w:type="character" w:styleId="PageNumber">
    <w:name w:val="page number"/>
    <w:basedOn w:val="DefaultParagraphFont"/>
    <w:rsid w:val="006A61ED"/>
  </w:style>
  <w:style w:type="paragraph" w:styleId="BlockText">
    <w:name w:val="Block Text"/>
    <w:basedOn w:val="Normal"/>
    <w:rsid w:val="006A61ED"/>
    <w:pPr>
      <w:spacing w:after="240"/>
      <w:ind w:left="1440" w:right="1440"/>
    </w:pPr>
  </w:style>
  <w:style w:type="paragraph" w:customStyle="1" w:styleId="Paratitle">
    <w:name w:val="Para title"/>
    <w:basedOn w:val="Normal"/>
    <w:rsid w:val="006A61ED"/>
    <w:pPr>
      <w:tabs>
        <w:tab w:val="center" w:pos="9270"/>
      </w:tabs>
      <w:spacing w:after="240"/>
    </w:pPr>
    <w:rPr>
      <w:spacing w:val="-2"/>
    </w:rPr>
  </w:style>
  <w:style w:type="paragraph" w:customStyle="1" w:styleId="Bullet">
    <w:name w:val="Bullet"/>
    <w:basedOn w:val="Normal"/>
    <w:rsid w:val="006A61ED"/>
    <w:pPr>
      <w:tabs>
        <w:tab w:val="left" w:pos="2160"/>
      </w:tabs>
      <w:spacing w:after="220"/>
      <w:ind w:left="2160" w:hanging="720"/>
    </w:pPr>
  </w:style>
  <w:style w:type="paragraph" w:customStyle="1" w:styleId="TableFormat">
    <w:name w:val="TableFormat"/>
    <w:basedOn w:val="Bullet"/>
    <w:rsid w:val="006A61ED"/>
    <w:pPr>
      <w:tabs>
        <w:tab w:val="clear" w:pos="2160"/>
        <w:tab w:val="left" w:pos="5040"/>
      </w:tabs>
      <w:ind w:left="5040" w:hanging="3600"/>
    </w:pPr>
  </w:style>
  <w:style w:type="paragraph" w:customStyle="1" w:styleId="TOCTitle">
    <w:name w:val="TOC Title"/>
    <w:basedOn w:val="Normal"/>
    <w:rsid w:val="006A61E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A61ED"/>
    <w:pPr>
      <w:jc w:val="center"/>
    </w:pPr>
    <w:rPr>
      <w:rFonts w:ascii="Times New Roman Bold" w:hAnsi="Times New Roman Bold"/>
      <w:b/>
      <w:bCs/>
      <w:caps/>
      <w:szCs w:val="22"/>
    </w:rPr>
  </w:style>
  <w:style w:type="character" w:styleId="Hyperlink">
    <w:name w:val="Hyperlink"/>
    <w:rsid w:val="006A61ED"/>
    <w:rPr>
      <w:color w:val="0000FF"/>
      <w:u w:val="single"/>
    </w:rPr>
  </w:style>
  <w:style w:type="character" w:customStyle="1" w:styleId="searchterm">
    <w:name w:val="searchterm"/>
    <w:basedOn w:val="DefaultParagraphFont"/>
    <w:rsid w:val="002A0E58"/>
  </w:style>
  <w:style w:type="character" w:customStyle="1" w:styleId="apple-converted-space">
    <w:name w:val="apple-converted-space"/>
    <w:basedOn w:val="DefaultParagraphFont"/>
    <w:rsid w:val="002A0E58"/>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 Char,fn Char"/>
    <w:link w:val="FootnoteText"/>
    <w:rsid w:val="00947176"/>
  </w:style>
  <w:style w:type="paragraph" w:styleId="BalloonText">
    <w:name w:val="Balloon Text"/>
    <w:basedOn w:val="Normal"/>
    <w:link w:val="BalloonTextChar"/>
    <w:rsid w:val="000D3476"/>
    <w:rPr>
      <w:rFonts w:ascii="Tahoma" w:hAnsi="Tahoma" w:cs="Tahoma"/>
      <w:snapToGrid/>
      <w:sz w:val="16"/>
      <w:szCs w:val="16"/>
    </w:rPr>
  </w:style>
  <w:style w:type="character" w:customStyle="1" w:styleId="BalloonTextChar">
    <w:name w:val="Balloon Text Char"/>
    <w:basedOn w:val="DefaultParagraphFont"/>
    <w:link w:val="BalloonText"/>
    <w:rsid w:val="000D3476"/>
    <w:rPr>
      <w:rFonts w:ascii="Tahoma" w:hAnsi="Tahoma" w:cs="Tahoma"/>
      <w:snapToGrid w:val="0"/>
      <w:kern w:val="28"/>
      <w:sz w:val="16"/>
      <w:szCs w:val="16"/>
    </w:rPr>
  </w:style>
  <w:style w:type="character" w:styleId="Strong">
    <w:name w:val="Strong"/>
    <w:basedOn w:val="DefaultParagraphFont"/>
    <w:qFormat/>
    <w:rsid w:val="00056C0B"/>
    <w:rPr>
      <w:b/>
      <w:bCs/>
    </w:rPr>
  </w:style>
  <w:style w:type="character" w:customStyle="1" w:styleId="FootnoteTextChar1Char1">
    <w:name w:val="Footnote Text Char1 Char1"/>
    <w:aliases w:val="Footnote Text Char1 Char Char1 Char,Footnote Text Char Char Char Char1 Char,Footnote Text Char3 Char Char Char Char1 Char,Footnote Text Char Char Char Char1 Char Char Char"/>
    <w:semiHidden/>
    <w:rsid w:val="00BC63D3"/>
    <w:rPr>
      <w:lang w:val="en-US" w:eastAsia="en-US" w:bidi="ar-SA"/>
    </w:rPr>
  </w:style>
  <w:style w:type="character" w:styleId="CommentReference">
    <w:name w:val="annotation reference"/>
    <w:basedOn w:val="DefaultParagraphFont"/>
    <w:rsid w:val="00F505B3"/>
    <w:rPr>
      <w:sz w:val="16"/>
      <w:szCs w:val="16"/>
    </w:rPr>
  </w:style>
  <w:style w:type="paragraph" w:styleId="CommentText">
    <w:name w:val="annotation text"/>
    <w:basedOn w:val="Normal"/>
    <w:link w:val="CommentTextChar"/>
    <w:rsid w:val="00F505B3"/>
    <w:rPr>
      <w:sz w:val="20"/>
    </w:rPr>
  </w:style>
  <w:style w:type="character" w:customStyle="1" w:styleId="CommentTextChar">
    <w:name w:val="Comment Text Char"/>
    <w:basedOn w:val="DefaultParagraphFont"/>
    <w:link w:val="CommentText"/>
    <w:rsid w:val="00F505B3"/>
    <w:rPr>
      <w:rFonts w:ascii="Calibri" w:eastAsiaTheme="minorHAnsi" w:hAnsi="Calibri"/>
    </w:rPr>
  </w:style>
  <w:style w:type="paragraph" w:styleId="CommentSubject">
    <w:name w:val="annotation subject"/>
    <w:basedOn w:val="CommentText"/>
    <w:next w:val="CommentText"/>
    <w:link w:val="CommentSubjectChar"/>
    <w:rsid w:val="00F505B3"/>
    <w:rPr>
      <w:b/>
      <w:bCs/>
    </w:rPr>
  </w:style>
  <w:style w:type="character" w:customStyle="1" w:styleId="CommentSubjectChar">
    <w:name w:val="Comment Subject Char"/>
    <w:basedOn w:val="CommentTextChar"/>
    <w:link w:val="CommentSubject"/>
    <w:rsid w:val="00F505B3"/>
    <w:rPr>
      <w:rFonts w:ascii="Calibri" w:eastAsiaTheme="minorHAnsi" w:hAnsi="Calibri"/>
      <w:b/>
      <w:bCs/>
    </w:rPr>
  </w:style>
  <w:style w:type="paragraph" w:styleId="Revision">
    <w:name w:val="Revision"/>
    <w:hidden/>
    <w:uiPriority w:val="99"/>
    <w:semiHidden/>
    <w:rsid w:val="0089596E"/>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590193">
      <w:bodyDiv w:val="1"/>
      <w:marLeft w:val="0"/>
      <w:marRight w:val="0"/>
      <w:marTop w:val="0"/>
      <w:marBottom w:val="0"/>
      <w:divBdr>
        <w:top w:val="none" w:sz="0" w:space="0" w:color="auto"/>
        <w:left w:val="none" w:sz="0" w:space="0" w:color="auto"/>
        <w:bottom w:val="none" w:sz="0" w:space="0" w:color="auto"/>
        <w:right w:val="none" w:sz="0" w:space="0" w:color="auto"/>
      </w:divBdr>
    </w:div>
    <w:div w:id="462624462">
      <w:bodyDiv w:val="1"/>
      <w:marLeft w:val="0"/>
      <w:marRight w:val="0"/>
      <w:marTop w:val="0"/>
      <w:marBottom w:val="0"/>
      <w:divBdr>
        <w:top w:val="none" w:sz="0" w:space="0" w:color="auto"/>
        <w:left w:val="none" w:sz="0" w:space="0" w:color="auto"/>
        <w:bottom w:val="none" w:sz="0" w:space="0" w:color="auto"/>
        <w:right w:val="none" w:sz="0" w:space="0" w:color="auto"/>
      </w:divBdr>
    </w:div>
    <w:div w:id="155218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1239</Words>
  <Characters>6761</Characters>
  <Application>Microsoft Office Word</Application>
  <DocSecurity>0</DocSecurity>
  <Lines>131</Lines>
  <Paragraphs>40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8038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2014-09-18T17:33:00Z</cp:lastPrinted>
  <dcterms:created xsi:type="dcterms:W3CDTF">2014-10-17T15:36:00Z</dcterms:created>
  <dcterms:modified xsi:type="dcterms:W3CDTF">2014-10-17T15:36:00Z</dcterms:modified>
  <cp:category> </cp:category>
  <cp:contentStatus> </cp:contentStatus>
</cp:coreProperties>
</file>