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E66A17" w:rsidRPr="00595BF9">
        <w:tc>
          <w:tcPr>
            <w:tcW w:w="4698" w:type="dxa"/>
          </w:tcPr>
          <w:p w:rsidR="00C32E08" w:rsidRPr="00595BF9" w:rsidRDefault="00C32E08" w:rsidP="00C32E08">
            <w:pPr>
              <w:ind w:right="-18"/>
              <w:rPr>
                <w:szCs w:val="22"/>
              </w:rPr>
            </w:pPr>
            <w:r w:rsidRPr="00595BF9">
              <w:rPr>
                <w:szCs w:val="22"/>
              </w:rPr>
              <w:t xml:space="preserve">In </w:t>
            </w:r>
            <w:r>
              <w:rPr>
                <w:szCs w:val="22"/>
              </w:rPr>
              <w:t>the Matter of</w:t>
            </w:r>
            <w:r w:rsidRPr="00595BF9">
              <w:rPr>
                <w:szCs w:val="22"/>
              </w:rPr>
              <w:t xml:space="preserve">  </w:t>
            </w:r>
          </w:p>
          <w:p w:rsidR="00C32E08" w:rsidRPr="00595BF9" w:rsidRDefault="00C32E08" w:rsidP="00C32E08">
            <w:pPr>
              <w:ind w:right="-18"/>
              <w:rPr>
                <w:szCs w:val="22"/>
              </w:rPr>
            </w:pPr>
          </w:p>
          <w:p w:rsidR="00C32E08" w:rsidRDefault="00D14623" w:rsidP="00C32E08">
            <w:pPr>
              <w:ind w:right="-18"/>
              <w:rPr>
                <w:szCs w:val="22"/>
              </w:rPr>
            </w:pPr>
            <w:r>
              <w:rPr>
                <w:szCs w:val="22"/>
              </w:rPr>
              <w:t>Christian Music Network</w:t>
            </w:r>
          </w:p>
          <w:p w:rsidR="00D14623" w:rsidRDefault="00D14623" w:rsidP="00C32E08">
            <w:pPr>
              <w:ind w:right="-18"/>
              <w:rPr>
                <w:szCs w:val="22"/>
              </w:rPr>
            </w:pPr>
          </w:p>
          <w:p w:rsidR="00C32E08" w:rsidRPr="00595BF9" w:rsidRDefault="00C32E08" w:rsidP="00C32E08">
            <w:pPr>
              <w:ind w:right="-18"/>
              <w:rPr>
                <w:szCs w:val="22"/>
              </w:rPr>
            </w:pPr>
            <w:r>
              <w:rPr>
                <w:szCs w:val="22"/>
              </w:rPr>
              <w:t xml:space="preserve">Application </w:t>
            </w:r>
            <w:r w:rsidRPr="00595BF9">
              <w:rPr>
                <w:szCs w:val="22"/>
              </w:rPr>
              <w:t>for a New NCE FM Station at</w:t>
            </w:r>
          </w:p>
          <w:p w:rsidR="00C32E08" w:rsidRPr="00595BF9" w:rsidRDefault="00D14623" w:rsidP="00C32E08">
            <w:pPr>
              <w:ind w:right="-18"/>
              <w:rPr>
                <w:szCs w:val="22"/>
              </w:rPr>
            </w:pPr>
            <w:r>
              <w:rPr>
                <w:szCs w:val="22"/>
              </w:rPr>
              <w:t>Gloucester</w:t>
            </w:r>
            <w:r w:rsidR="00C32E08">
              <w:rPr>
                <w:szCs w:val="22"/>
              </w:rPr>
              <w:t xml:space="preserve">, </w:t>
            </w:r>
            <w:r>
              <w:rPr>
                <w:szCs w:val="22"/>
              </w:rPr>
              <w:t>Massachusetts</w:t>
            </w:r>
          </w:p>
          <w:p w:rsidR="00C32E08" w:rsidRPr="00595BF9" w:rsidRDefault="00C32E08" w:rsidP="00C32E08">
            <w:pPr>
              <w:ind w:right="-18"/>
              <w:rPr>
                <w:szCs w:val="22"/>
              </w:rPr>
            </w:pPr>
          </w:p>
          <w:p w:rsidR="00E66A17" w:rsidRPr="00266970" w:rsidRDefault="00E66A17" w:rsidP="00D14623">
            <w:pPr>
              <w:ind w:right="-18"/>
              <w:rPr>
                <w:szCs w:val="22"/>
              </w:rPr>
            </w:pPr>
          </w:p>
        </w:tc>
        <w:tc>
          <w:tcPr>
            <w:tcW w:w="630" w:type="dxa"/>
          </w:tcPr>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C32E08" w:rsidRPr="00595BF9" w:rsidRDefault="00E66A17" w:rsidP="00D14623">
            <w:pPr>
              <w:rPr>
                <w:b/>
                <w:szCs w:val="22"/>
              </w:rPr>
            </w:pPr>
            <w:r w:rsidRPr="00595BF9">
              <w:rPr>
                <w:b/>
                <w:szCs w:val="22"/>
              </w:rPr>
              <w:t>)</w:t>
            </w:r>
          </w:p>
        </w:tc>
        <w:tc>
          <w:tcPr>
            <w:tcW w:w="4248" w:type="dxa"/>
          </w:tcPr>
          <w:p w:rsidR="00E66A17" w:rsidRPr="00595BF9" w:rsidRDefault="00E66A17" w:rsidP="00DB6BF4">
            <w:pPr>
              <w:rPr>
                <w:szCs w:val="22"/>
              </w:rPr>
            </w:pPr>
          </w:p>
          <w:p w:rsidR="00E66A17" w:rsidRPr="00595BF9" w:rsidRDefault="00E66A17" w:rsidP="00DB6BF4">
            <w:pPr>
              <w:rPr>
                <w:szCs w:val="22"/>
              </w:rPr>
            </w:pPr>
          </w:p>
          <w:p w:rsidR="00C32E08" w:rsidRDefault="00D14623" w:rsidP="00C32E08">
            <w:pPr>
              <w:rPr>
                <w:szCs w:val="22"/>
              </w:rPr>
            </w:pPr>
            <w:r>
              <w:rPr>
                <w:szCs w:val="22"/>
              </w:rPr>
              <w:t>NCE MX Group 363</w:t>
            </w:r>
          </w:p>
          <w:p w:rsidR="00C32E08" w:rsidRDefault="00C32E08" w:rsidP="00C32E08">
            <w:pPr>
              <w:rPr>
                <w:szCs w:val="22"/>
              </w:rPr>
            </w:pPr>
          </w:p>
          <w:p w:rsidR="00C32E08" w:rsidRPr="00595BF9" w:rsidRDefault="00C32E08" w:rsidP="00C32E08">
            <w:pPr>
              <w:rPr>
                <w:szCs w:val="22"/>
              </w:rPr>
            </w:pPr>
            <w:r w:rsidRPr="00595BF9">
              <w:rPr>
                <w:szCs w:val="22"/>
              </w:rPr>
              <w:t xml:space="preserve">File No. </w:t>
            </w:r>
            <w:r>
              <w:rPr>
                <w:szCs w:val="22"/>
              </w:rPr>
              <w:t>BNPED-200710</w:t>
            </w:r>
            <w:r w:rsidR="00D14623">
              <w:rPr>
                <w:szCs w:val="22"/>
              </w:rPr>
              <w:t>12AEE</w:t>
            </w:r>
          </w:p>
          <w:p w:rsidR="00E66A17" w:rsidRPr="00595BF9" w:rsidRDefault="00C32E08" w:rsidP="00D14623">
            <w:pPr>
              <w:rPr>
                <w:szCs w:val="22"/>
              </w:rPr>
            </w:pPr>
            <w:r w:rsidRPr="00595BF9">
              <w:rPr>
                <w:szCs w:val="22"/>
              </w:rPr>
              <w:t xml:space="preserve">Facility I.D. No. </w:t>
            </w:r>
            <w:r w:rsidR="00D14623">
              <w:rPr>
                <w:szCs w:val="22"/>
              </w:rPr>
              <w:t>165651</w:t>
            </w:r>
            <w:r w:rsidRPr="00595BF9">
              <w:rPr>
                <w:szCs w:val="22"/>
              </w:rPr>
              <w:t xml:space="preserve">              </w:t>
            </w:r>
          </w:p>
        </w:tc>
      </w:tr>
    </w:tbl>
    <w:p w:rsidR="00841AB1" w:rsidRPr="00595BF9" w:rsidRDefault="00E66A17" w:rsidP="00F021FA">
      <w:pPr>
        <w:pStyle w:val="StyleBoldCentered"/>
        <w:rPr>
          <w:rFonts w:ascii="Times New Roman" w:hAnsi="Times New Roman"/>
        </w:rPr>
      </w:pPr>
      <w:r w:rsidRPr="00595BF9">
        <w:rPr>
          <w:rFonts w:ascii="Times New Roman" w:hAnsi="Times New Roman"/>
        </w:rPr>
        <w:t>MEMORANDUM OPINION AND ORDER</w:t>
      </w:r>
    </w:p>
    <w:p w:rsidR="004C2EE3" w:rsidRPr="00595BF9" w:rsidRDefault="004C2EE3">
      <w:pPr>
        <w:tabs>
          <w:tab w:val="left" w:pos="-720"/>
        </w:tabs>
        <w:suppressAutoHyphens/>
        <w:spacing w:line="227" w:lineRule="auto"/>
        <w:rPr>
          <w:spacing w:val="-2"/>
        </w:rPr>
      </w:pPr>
    </w:p>
    <w:p w:rsidR="004C2EE3" w:rsidRPr="00595BF9" w:rsidRDefault="004C2EE3" w:rsidP="00133F79">
      <w:pPr>
        <w:tabs>
          <w:tab w:val="left" w:pos="720"/>
          <w:tab w:val="right" w:pos="9360"/>
        </w:tabs>
        <w:suppressAutoHyphens/>
        <w:spacing w:line="227" w:lineRule="auto"/>
        <w:rPr>
          <w:spacing w:val="-2"/>
        </w:rPr>
      </w:pPr>
      <w:r w:rsidRPr="00595BF9">
        <w:rPr>
          <w:b/>
          <w:spacing w:val="-2"/>
        </w:rPr>
        <w:t xml:space="preserve">Adopted:  </w:t>
      </w:r>
      <w:r w:rsidR="00795C34">
        <w:rPr>
          <w:b/>
          <w:spacing w:val="-2"/>
        </w:rPr>
        <w:t>October</w:t>
      </w:r>
      <w:r w:rsidR="002F3DF4">
        <w:rPr>
          <w:b/>
          <w:spacing w:val="-2"/>
        </w:rPr>
        <w:t xml:space="preserve"> </w:t>
      </w:r>
      <w:r w:rsidR="00795C34">
        <w:rPr>
          <w:b/>
          <w:spacing w:val="-2"/>
        </w:rPr>
        <w:t>16</w:t>
      </w:r>
      <w:r w:rsidR="004E62E3">
        <w:rPr>
          <w:b/>
          <w:spacing w:val="-2"/>
        </w:rPr>
        <w:t>, 2014</w:t>
      </w:r>
      <w:r w:rsidRPr="00595BF9">
        <w:rPr>
          <w:b/>
          <w:spacing w:val="-2"/>
        </w:rPr>
        <w:tab/>
      </w:r>
      <w:r w:rsidR="00822CE0" w:rsidRPr="00595BF9">
        <w:rPr>
          <w:b/>
          <w:spacing w:val="-2"/>
        </w:rPr>
        <w:t>Released</w:t>
      </w:r>
      <w:r w:rsidRPr="00595BF9">
        <w:rPr>
          <w:b/>
          <w:spacing w:val="-2"/>
        </w:rPr>
        <w:t>:</w:t>
      </w:r>
      <w:r w:rsidR="00822CE0" w:rsidRPr="00595BF9">
        <w:rPr>
          <w:b/>
          <w:spacing w:val="-2"/>
        </w:rPr>
        <w:t xml:space="preserve"> </w:t>
      </w:r>
      <w:r w:rsidRPr="00595BF9">
        <w:rPr>
          <w:b/>
          <w:spacing w:val="-2"/>
        </w:rPr>
        <w:t xml:space="preserve"> </w:t>
      </w:r>
      <w:r w:rsidR="00795C34">
        <w:rPr>
          <w:b/>
          <w:spacing w:val="-2"/>
        </w:rPr>
        <w:t>October 17</w:t>
      </w:r>
      <w:r w:rsidR="004E62E3">
        <w:rPr>
          <w:b/>
          <w:spacing w:val="-2"/>
        </w:rPr>
        <w:t>, 2014</w:t>
      </w:r>
    </w:p>
    <w:p w:rsidR="00822CE0" w:rsidRPr="00595BF9" w:rsidRDefault="00822CE0"/>
    <w:p w:rsidR="004C2EE3" w:rsidRPr="00595BF9" w:rsidRDefault="004C2EE3">
      <w:pPr>
        <w:rPr>
          <w:spacing w:val="-2"/>
        </w:rPr>
      </w:pPr>
      <w:r w:rsidRPr="00595BF9">
        <w:t xml:space="preserve">By </w:t>
      </w:r>
      <w:r w:rsidR="004E4A22" w:rsidRPr="00595BF9">
        <w:t>the</w:t>
      </w:r>
      <w:r w:rsidR="002A2D2E" w:rsidRPr="00595BF9">
        <w:t xml:space="preserve"> </w:t>
      </w:r>
      <w:r w:rsidR="00E66A17" w:rsidRPr="00595BF9">
        <w:rPr>
          <w:spacing w:val="-2"/>
        </w:rPr>
        <w:t>Commission</w:t>
      </w:r>
      <w:r w:rsidRPr="00595BF9">
        <w:rPr>
          <w:spacing w:val="-2"/>
        </w:rPr>
        <w:t>:</w:t>
      </w:r>
    </w:p>
    <w:p w:rsidR="00822CE0" w:rsidRDefault="00822CE0">
      <w:pPr>
        <w:rPr>
          <w:spacing w:val="-2"/>
        </w:rPr>
      </w:pPr>
    </w:p>
    <w:p w:rsidR="009D2366" w:rsidRDefault="00E26F43" w:rsidP="003C0718">
      <w:pPr>
        <w:pStyle w:val="ParaNum"/>
      </w:pPr>
      <w:r>
        <w:t>We have before us</w:t>
      </w:r>
      <w:r w:rsidR="00E66A17" w:rsidRPr="009C5BEF">
        <w:t xml:space="preserve"> </w:t>
      </w:r>
      <w:r>
        <w:t>an</w:t>
      </w:r>
      <w:r w:rsidR="00E66A17" w:rsidRPr="009C5BEF">
        <w:t xml:space="preserve"> Application for Review (“AFR”) filed by </w:t>
      </w:r>
      <w:r w:rsidR="009D2366">
        <w:t>Christian Music Network, Inc. (“Christian Music”) on April 9, 2012</w:t>
      </w:r>
      <w:r w:rsidR="00E66A17" w:rsidRPr="009C5BEF">
        <w:t xml:space="preserve">.  </w:t>
      </w:r>
      <w:r w:rsidR="009D2366">
        <w:rPr>
          <w:szCs w:val="22"/>
        </w:rPr>
        <w:t>Christian Music</w:t>
      </w:r>
      <w:r w:rsidR="009D2366" w:rsidRPr="00EC5899">
        <w:rPr>
          <w:szCs w:val="22"/>
        </w:rPr>
        <w:t xml:space="preserve"> challenges the dismissal of </w:t>
      </w:r>
      <w:r w:rsidR="009D2366">
        <w:rPr>
          <w:szCs w:val="22"/>
        </w:rPr>
        <w:t>its</w:t>
      </w:r>
      <w:r w:rsidR="009D2366" w:rsidRPr="00EC5899">
        <w:rPr>
          <w:szCs w:val="22"/>
        </w:rPr>
        <w:t xml:space="preserve"> application for a new </w:t>
      </w:r>
      <w:r w:rsidR="009D2366">
        <w:rPr>
          <w:szCs w:val="22"/>
        </w:rPr>
        <w:t>noncommercial educational</w:t>
      </w:r>
      <w:r w:rsidR="005177AB">
        <w:rPr>
          <w:szCs w:val="22"/>
        </w:rPr>
        <w:t xml:space="preserve"> (“NCE”)</w:t>
      </w:r>
      <w:r w:rsidR="009D2366" w:rsidRPr="00EC5899">
        <w:rPr>
          <w:szCs w:val="22"/>
        </w:rPr>
        <w:t xml:space="preserve"> FM station at </w:t>
      </w:r>
      <w:r w:rsidR="009D2366">
        <w:rPr>
          <w:szCs w:val="22"/>
        </w:rPr>
        <w:t>Gloucester, Massachusetts</w:t>
      </w:r>
      <w:r w:rsidR="009D2366" w:rsidRPr="00EC5899">
        <w:rPr>
          <w:szCs w:val="22"/>
        </w:rPr>
        <w:t xml:space="preserve"> (“Application”).  </w:t>
      </w:r>
    </w:p>
    <w:p w:rsidR="00E10B58" w:rsidRPr="00E10B58" w:rsidRDefault="009D2366" w:rsidP="003C0718">
      <w:pPr>
        <w:pStyle w:val="ParaNum"/>
      </w:pPr>
      <w:r w:rsidRPr="00E10B58">
        <w:rPr>
          <w:szCs w:val="22"/>
        </w:rPr>
        <w:t xml:space="preserve">Christian Music </w:t>
      </w:r>
      <w:r w:rsidR="00E26F43" w:rsidRPr="00E10B58">
        <w:rPr>
          <w:szCs w:val="22"/>
        </w:rPr>
        <w:t xml:space="preserve">is one of </w:t>
      </w:r>
      <w:r w:rsidR="00D941B9" w:rsidRPr="00E10B58">
        <w:rPr>
          <w:szCs w:val="22"/>
        </w:rPr>
        <w:t>13</w:t>
      </w:r>
      <w:r w:rsidR="00E26F43" w:rsidRPr="00E10B58">
        <w:rPr>
          <w:szCs w:val="22"/>
        </w:rPr>
        <w:t xml:space="preserve"> applicants that filed competing applications to serve</w:t>
      </w:r>
      <w:r w:rsidR="00D941B9" w:rsidRPr="00E10B58">
        <w:rPr>
          <w:szCs w:val="22"/>
        </w:rPr>
        <w:t xml:space="preserve"> ten</w:t>
      </w:r>
      <w:r w:rsidR="00E26F43" w:rsidRPr="00E10B58">
        <w:rPr>
          <w:szCs w:val="22"/>
        </w:rPr>
        <w:t xml:space="preserve"> different communities in Massachusetts</w:t>
      </w:r>
      <w:r w:rsidR="00D941B9" w:rsidRPr="00E10B58">
        <w:rPr>
          <w:szCs w:val="22"/>
        </w:rPr>
        <w:t xml:space="preserve"> and</w:t>
      </w:r>
      <w:r w:rsidR="00E26F43" w:rsidRPr="00E10B58">
        <w:rPr>
          <w:szCs w:val="22"/>
        </w:rPr>
        <w:t xml:space="preserve"> New Hampshire</w:t>
      </w:r>
      <w:r w:rsidR="005177AB" w:rsidRPr="00E10B58">
        <w:rPr>
          <w:szCs w:val="22"/>
        </w:rPr>
        <w:t xml:space="preserve"> during a filing window for NCE FM applications in October 2007</w:t>
      </w:r>
      <w:r w:rsidR="00E26F43" w:rsidRPr="00E10B58">
        <w:rPr>
          <w:szCs w:val="22"/>
        </w:rPr>
        <w:t xml:space="preserve">.  </w:t>
      </w:r>
      <w:r w:rsidR="00E26F43">
        <w:t>These applications were designated NCE MX Group 363 (“Group 363”).</w:t>
      </w:r>
      <w:r w:rsidR="00E26F43" w:rsidRPr="00E10B58">
        <w:rPr>
          <w:rStyle w:val="FootnoteReference"/>
          <w:szCs w:val="22"/>
        </w:rPr>
        <w:t xml:space="preserve"> </w:t>
      </w:r>
      <w:r w:rsidR="00E26F43" w:rsidRPr="009110EE">
        <w:rPr>
          <w:rStyle w:val="FootnoteReference"/>
          <w:szCs w:val="22"/>
        </w:rPr>
        <w:footnoteReference w:id="2"/>
      </w:r>
      <w:r w:rsidR="00E26F43">
        <w:t xml:space="preserve">  P</w:t>
      </w:r>
      <w:r w:rsidR="00E26F43" w:rsidRPr="00E10B58">
        <w:rPr>
          <w:szCs w:val="22"/>
        </w:rPr>
        <w:t>ursuant to established procedures,</w:t>
      </w:r>
      <w:r w:rsidR="00E26F43" w:rsidRPr="00BA3F25">
        <w:rPr>
          <w:rStyle w:val="FootnoteReference"/>
          <w:szCs w:val="22"/>
        </w:rPr>
        <w:footnoteReference w:id="3"/>
      </w:r>
      <w:r w:rsidR="00E26F43" w:rsidRPr="00E10B58">
        <w:rPr>
          <w:szCs w:val="22"/>
        </w:rPr>
        <w:t xml:space="preserve"> the Bureau determined </w:t>
      </w:r>
      <w:r w:rsidR="00DB7774" w:rsidRPr="00E10B58">
        <w:rPr>
          <w:szCs w:val="22"/>
        </w:rPr>
        <w:t xml:space="preserve">that </w:t>
      </w:r>
      <w:r w:rsidR="00E26F43" w:rsidRPr="00E10B58">
        <w:rPr>
          <w:szCs w:val="22"/>
        </w:rPr>
        <w:t>an application</w:t>
      </w:r>
      <w:r w:rsidR="00E10B58" w:rsidRPr="00E10B58">
        <w:rPr>
          <w:szCs w:val="22"/>
        </w:rPr>
        <w:t xml:space="preserve"> (“UMass Application”)</w:t>
      </w:r>
      <w:r w:rsidR="00E26F43" w:rsidRPr="00E10B58">
        <w:rPr>
          <w:szCs w:val="22"/>
        </w:rPr>
        <w:t xml:space="preserve"> filed by the University of Massachusetts (“UMass”) was entitled to a dispositive fair distribution preference under Section 307(b) of the Communic</w:t>
      </w:r>
      <w:r w:rsidR="0060646F">
        <w:rPr>
          <w:szCs w:val="22"/>
        </w:rPr>
        <w:t>ations Act of 1934, as amended</w:t>
      </w:r>
      <w:r w:rsidR="00E26F43" w:rsidRPr="00E10B58">
        <w:rPr>
          <w:szCs w:val="22"/>
        </w:rPr>
        <w:t>.</w:t>
      </w:r>
      <w:r w:rsidR="00E26F43" w:rsidRPr="00BA3F25">
        <w:rPr>
          <w:rStyle w:val="FootnoteReference"/>
          <w:szCs w:val="22"/>
        </w:rPr>
        <w:footnoteReference w:id="4"/>
      </w:r>
      <w:r w:rsidR="00E82ADA">
        <w:rPr>
          <w:szCs w:val="22"/>
        </w:rPr>
        <w:t xml:space="preserve">  In an order released on March 31, 2009, t</w:t>
      </w:r>
      <w:r w:rsidR="00E26F43" w:rsidRPr="00526CCC">
        <w:t>he Bureau</w:t>
      </w:r>
      <w:r w:rsidR="00E26F43" w:rsidRPr="00E10B58">
        <w:rPr>
          <w:i/>
        </w:rPr>
        <w:t xml:space="preserve"> </w:t>
      </w:r>
      <w:r w:rsidR="00E26F43">
        <w:t>designated</w:t>
      </w:r>
      <w:r w:rsidR="00E26F43" w:rsidRPr="00526CCC">
        <w:t xml:space="preserve"> </w:t>
      </w:r>
      <w:r w:rsidR="00E26F43">
        <w:t>UMass</w:t>
      </w:r>
      <w:r w:rsidR="00E26F43" w:rsidRPr="00526CCC">
        <w:t xml:space="preserve"> the tentative selectee </w:t>
      </w:r>
      <w:r w:rsidR="00E10B58">
        <w:t>for</w:t>
      </w:r>
      <w:r w:rsidR="00E26F43" w:rsidRPr="00526CCC">
        <w:t xml:space="preserve"> Group </w:t>
      </w:r>
      <w:r w:rsidR="00E26F43">
        <w:t>363.</w:t>
      </w:r>
      <w:r w:rsidR="00E26F43" w:rsidRPr="00526CCC">
        <w:rPr>
          <w:rStyle w:val="FootnoteReference"/>
          <w:szCs w:val="22"/>
        </w:rPr>
        <w:footnoteReference w:id="5"/>
      </w:r>
      <w:r w:rsidR="00E26F43">
        <w:t xml:space="preserve">  </w:t>
      </w:r>
      <w:r w:rsidR="005B5144" w:rsidRPr="00E10B58">
        <w:rPr>
          <w:szCs w:val="22"/>
        </w:rPr>
        <w:t xml:space="preserve">No party filed a petition to deny the UMass application.  </w:t>
      </w:r>
    </w:p>
    <w:p w:rsidR="00E10B58" w:rsidRPr="00E10B58" w:rsidRDefault="006934BC" w:rsidP="00BF570C">
      <w:pPr>
        <w:pStyle w:val="ParaNum"/>
        <w:widowControl/>
      </w:pPr>
      <w:r w:rsidRPr="00E10B58">
        <w:rPr>
          <w:szCs w:val="22"/>
        </w:rPr>
        <w:t xml:space="preserve">On May 4, 2009, Wellspring House, Incorporated (“Wellspring”), another applicant in Group 363, voluntarily withdrew its application.  In response to this withdrawal, </w:t>
      </w:r>
      <w:r w:rsidR="00E10B58" w:rsidRPr="00E10B58">
        <w:rPr>
          <w:szCs w:val="22"/>
        </w:rPr>
        <w:t xml:space="preserve">on May 8, 2009, </w:t>
      </w:r>
      <w:r w:rsidR="0051774D" w:rsidRPr="00E10B58">
        <w:rPr>
          <w:szCs w:val="22"/>
        </w:rPr>
        <w:t>another</w:t>
      </w:r>
      <w:r w:rsidRPr="00E10B58">
        <w:rPr>
          <w:szCs w:val="22"/>
        </w:rPr>
        <w:t xml:space="preserve"> applicant in Group 363 – </w:t>
      </w:r>
      <w:r>
        <w:t>Talking Information Center (“TIC”)</w:t>
      </w:r>
      <w:r w:rsidR="0051774D">
        <w:t xml:space="preserve"> </w:t>
      </w:r>
      <w:r>
        <w:t>– filed a Petition for Severance and Grant</w:t>
      </w:r>
      <w:r w:rsidR="009D1D44">
        <w:t xml:space="preserve"> (“Severance Petition”)</w:t>
      </w:r>
      <w:r w:rsidR="00E10B58">
        <w:t>.  TIC argued</w:t>
      </w:r>
      <w:r>
        <w:t xml:space="preserve"> that, as a result of </w:t>
      </w:r>
      <w:r w:rsidR="00E10B58">
        <w:t>the Wellspring withdrawal</w:t>
      </w:r>
      <w:r>
        <w:t xml:space="preserve">, </w:t>
      </w:r>
      <w:r w:rsidR="0051774D">
        <w:t>its</w:t>
      </w:r>
      <w:r>
        <w:t xml:space="preserve"> </w:t>
      </w:r>
      <w:r w:rsidR="009D1D44">
        <w:t xml:space="preserve">application for a new NCE FM station at Middleborough Center, Massachusetts (“TIC Application”) </w:t>
      </w:r>
      <w:r>
        <w:t xml:space="preserve">and </w:t>
      </w:r>
      <w:r w:rsidR="0051774D">
        <w:t>an application filed by Home Improvement Ministries (“HIM”)</w:t>
      </w:r>
      <w:r>
        <w:t xml:space="preserve"> </w:t>
      </w:r>
      <w:r w:rsidR="009D1D44">
        <w:t xml:space="preserve">for a new NCE FM station at Middleboro, Massachusetts (“HIM Application”) </w:t>
      </w:r>
      <w:r>
        <w:t xml:space="preserve">no longer </w:t>
      </w:r>
      <w:r w:rsidR="009D1D44">
        <w:t>conflicted with any other applications in Group 363</w:t>
      </w:r>
      <w:r>
        <w:t xml:space="preserve">.  </w:t>
      </w:r>
      <w:r w:rsidR="0051774D">
        <w:t xml:space="preserve">That </w:t>
      </w:r>
      <w:r w:rsidR="0051774D">
        <w:lastRenderedPageBreak/>
        <w:t>same day,</w:t>
      </w:r>
      <w:r w:rsidR="002721A1">
        <w:t xml:space="preserve"> </w:t>
      </w:r>
      <w:r w:rsidR="005B5144" w:rsidRPr="00E10B58">
        <w:rPr>
          <w:szCs w:val="22"/>
        </w:rPr>
        <w:t>the Bureau</w:t>
      </w:r>
      <w:r w:rsidR="0051774D" w:rsidRPr="00E10B58">
        <w:rPr>
          <w:szCs w:val="22"/>
        </w:rPr>
        <w:t xml:space="preserve"> – unaware of the </w:t>
      </w:r>
      <w:r w:rsidR="009D1D44" w:rsidRPr="00E10B58">
        <w:rPr>
          <w:szCs w:val="22"/>
        </w:rPr>
        <w:t>Severance Petition</w:t>
      </w:r>
      <w:r w:rsidR="0051774D" w:rsidRPr="00E10B58">
        <w:rPr>
          <w:szCs w:val="22"/>
        </w:rPr>
        <w:t xml:space="preserve"> </w:t>
      </w:r>
      <w:r w:rsidR="009D1D44" w:rsidRPr="00E10B58">
        <w:rPr>
          <w:szCs w:val="22"/>
        </w:rPr>
        <w:t>–</w:t>
      </w:r>
      <w:r w:rsidR="005B5144" w:rsidRPr="00E10B58">
        <w:rPr>
          <w:szCs w:val="22"/>
        </w:rPr>
        <w:t xml:space="preserve"> dismisse</w:t>
      </w:r>
      <w:r w:rsidR="0051774D" w:rsidRPr="00E10B58">
        <w:rPr>
          <w:szCs w:val="22"/>
        </w:rPr>
        <w:t>d all of the applications in Group 363 except for the UMass Application</w:t>
      </w:r>
      <w:r w:rsidR="005B5144" w:rsidRPr="00E10B58">
        <w:rPr>
          <w:szCs w:val="22"/>
        </w:rPr>
        <w:t>.</w:t>
      </w:r>
      <w:r w:rsidR="00833D96">
        <w:rPr>
          <w:rStyle w:val="FootnoteReference"/>
          <w:szCs w:val="22"/>
        </w:rPr>
        <w:footnoteReference w:id="6"/>
      </w:r>
      <w:r w:rsidR="005B5144" w:rsidRPr="00E10B58">
        <w:rPr>
          <w:szCs w:val="22"/>
        </w:rPr>
        <w:t xml:space="preserve">  </w:t>
      </w:r>
    </w:p>
    <w:p w:rsidR="0051774D" w:rsidRDefault="0051774D" w:rsidP="003C0718">
      <w:pPr>
        <w:pStyle w:val="ParaNum"/>
      </w:pPr>
      <w:r>
        <w:t xml:space="preserve">TIC immediately </w:t>
      </w:r>
      <w:r w:rsidR="00E10B58">
        <w:t>challenged</w:t>
      </w:r>
      <w:r>
        <w:t xml:space="preserve"> the dismissal of its application.  It </w:t>
      </w:r>
      <w:r w:rsidR="004F4CB4">
        <w:t xml:space="preserve">then proceeded to enter </w:t>
      </w:r>
      <w:r>
        <w:t xml:space="preserve">into a settlement agreement with HIM, which provided for grant of </w:t>
      </w:r>
      <w:r w:rsidR="009D1D44">
        <w:t>the TIC Application</w:t>
      </w:r>
      <w:r>
        <w:t xml:space="preserve"> and dismissal of </w:t>
      </w:r>
      <w:r w:rsidR="009D1D44">
        <w:t>the HIM Application</w:t>
      </w:r>
      <w:r>
        <w:t xml:space="preserve">.  TIC and HIM sought </w:t>
      </w:r>
      <w:r w:rsidR="009D1D44">
        <w:t xml:space="preserve">Commission </w:t>
      </w:r>
      <w:r>
        <w:t xml:space="preserve">approval </w:t>
      </w:r>
      <w:r w:rsidR="009D1D44">
        <w:t>of</w:t>
      </w:r>
      <w:r>
        <w:t xml:space="preserve"> their settlement agreement.</w:t>
      </w:r>
      <w:r>
        <w:rPr>
          <w:rStyle w:val="FootnoteReference"/>
        </w:rPr>
        <w:footnoteReference w:id="7"/>
      </w:r>
      <w:r>
        <w:t xml:space="preserve">  </w:t>
      </w:r>
    </w:p>
    <w:p w:rsidR="006934BC" w:rsidRDefault="00AF2179" w:rsidP="003C0718">
      <w:pPr>
        <w:pStyle w:val="ParaNum"/>
      </w:pPr>
      <w:r>
        <w:t xml:space="preserve">Subsequently, </w:t>
      </w:r>
      <w:r w:rsidR="005B5144">
        <w:t xml:space="preserve">Christian Music </w:t>
      </w:r>
      <w:r w:rsidR="00646CD5">
        <w:t>filed a petition for reconsideration (“2009 Petition”)</w:t>
      </w:r>
      <w:r w:rsidR="005B5144">
        <w:t xml:space="preserve"> of the dism</w:t>
      </w:r>
      <w:r w:rsidR="00833D96">
        <w:t>i</w:t>
      </w:r>
      <w:r w:rsidR="005B5144">
        <w:t xml:space="preserve">ssal of </w:t>
      </w:r>
      <w:r w:rsidR="009D1D44">
        <w:t>the Application</w:t>
      </w:r>
      <w:r w:rsidR="004440F9">
        <w:t>.  It argued</w:t>
      </w:r>
      <w:r w:rsidR="005B5144">
        <w:t xml:space="preserve"> that </w:t>
      </w:r>
      <w:r w:rsidR="00CE1B40">
        <w:t xml:space="preserve">the Bureau could and should grant </w:t>
      </w:r>
      <w:r w:rsidR="00827ABD">
        <w:t xml:space="preserve">its </w:t>
      </w:r>
      <w:r w:rsidR="00CE1B40">
        <w:t xml:space="preserve">Application in addition to the UMass Application.  Christian Music relied on the fact that, at the same time the Bureau dismissed the Application, it dismissed </w:t>
      </w:r>
      <w:r w:rsidR="009D1D44">
        <w:t xml:space="preserve">the </w:t>
      </w:r>
      <w:r w:rsidR="00E564A5">
        <w:t xml:space="preserve">only </w:t>
      </w:r>
      <w:r w:rsidR="005B5144">
        <w:t>application</w:t>
      </w:r>
      <w:r w:rsidR="004440F9">
        <w:t xml:space="preserve"> </w:t>
      </w:r>
      <w:r w:rsidR="009D1D44">
        <w:t>from</w:t>
      </w:r>
      <w:r w:rsidR="004440F9">
        <w:t xml:space="preserve"> Group 363</w:t>
      </w:r>
      <w:r w:rsidR="00CE1B40">
        <w:t xml:space="preserve"> that </w:t>
      </w:r>
      <w:r w:rsidR="005B5144">
        <w:t xml:space="preserve">caused </w:t>
      </w:r>
      <w:r w:rsidR="004440F9">
        <w:t>the Application</w:t>
      </w:r>
      <w:r w:rsidR="005B5144">
        <w:t xml:space="preserve"> to conflict with the UMass </w:t>
      </w:r>
      <w:r w:rsidR="009D1D44">
        <w:t>A</w:t>
      </w:r>
      <w:r w:rsidR="005B5144">
        <w:t>pplication.</w:t>
      </w:r>
      <w:r w:rsidR="006934BC">
        <w:t xml:space="preserve">    </w:t>
      </w:r>
    </w:p>
    <w:p w:rsidR="005B5144" w:rsidRPr="005B5144" w:rsidRDefault="004F4CB4" w:rsidP="003C0718">
      <w:pPr>
        <w:pStyle w:val="ParaNum"/>
      </w:pPr>
      <w:r>
        <w:t>The Bureau denied the Christian Music petition, citing</w:t>
      </w:r>
      <w:r w:rsidR="0062040A" w:rsidRPr="0062040A">
        <w:t xml:space="preserve"> the Commission’s policy of granting one application per group of mutually exclusive applications</w:t>
      </w:r>
      <w:r w:rsidR="00E82ADA">
        <w:t xml:space="preserve"> resolved under the NCE comparative licensing procedures</w:t>
      </w:r>
      <w:r w:rsidR="0062040A" w:rsidRPr="0062040A">
        <w:t>.</w:t>
      </w:r>
      <w:r w:rsidR="0062040A" w:rsidRPr="0062040A">
        <w:rPr>
          <w:rStyle w:val="FootnoteReference"/>
        </w:rPr>
        <w:footnoteReference w:id="8"/>
      </w:r>
      <w:r w:rsidR="00094C2D">
        <w:t xml:space="preserve">  </w:t>
      </w:r>
      <w:r>
        <w:t xml:space="preserve">In contrast, the Bureau </w:t>
      </w:r>
      <w:r w:rsidR="00094C2D">
        <w:t xml:space="preserve">granted </w:t>
      </w:r>
      <w:r>
        <w:t xml:space="preserve">the </w:t>
      </w:r>
      <w:r w:rsidR="00094C2D">
        <w:t xml:space="preserve">petitions filed by </w:t>
      </w:r>
      <w:r>
        <w:t>TIC and HIM</w:t>
      </w:r>
      <w:r w:rsidR="00094C2D">
        <w:t xml:space="preserve"> </w:t>
      </w:r>
      <w:r>
        <w:t xml:space="preserve">and reinstated the TIC and HIM applications </w:t>
      </w:r>
      <w:r w:rsidR="00094C2D">
        <w:t xml:space="preserve">in order to consider </w:t>
      </w:r>
      <w:r>
        <w:t>their</w:t>
      </w:r>
      <w:r w:rsidR="00094C2D">
        <w:t xml:space="preserve"> </w:t>
      </w:r>
      <w:r w:rsidR="00E82ADA">
        <w:t xml:space="preserve">voluntary </w:t>
      </w:r>
      <w:r w:rsidR="00094C2D">
        <w:t>settlement agreement.</w:t>
      </w:r>
      <w:r w:rsidR="009D1D44">
        <w:rPr>
          <w:rStyle w:val="FootnoteReference"/>
        </w:rPr>
        <w:footnoteReference w:id="9"/>
      </w:r>
      <w:r w:rsidR="00094C2D">
        <w:t xml:space="preserve">  The Bureau </w:t>
      </w:r>
      <w:r>
        <w:t>found that</w:t>
      </w:r>
      <w:r w:rsidR="00094C2D">
        <w:t xml:space="preserve"> the </w:t>
      </w:r>
      <w:r w:rsidR="00E564A5">
        <w:t xml:space="preserve">voluntary </w:t>
      </w:r>
      <w:r w:rsidR="00CE1B40">
        <w:t>withdrawal</w:t>
      </w:r>
      <w:r w:rsidR="00094C2D">
        <w:t xml:space="preserve"> of </w:t>
      </w:r>
      <w:r>
        <w:t>the Wellspring application</w:t>
      </w:r>
      <w:r w:rsidR="00094C2D">
        <w:t xml:space="preserve"> </w:t>
      </w:r>
      <w:r w:rsidR="00CE1B40">
        <w:t>removed</w:t>
      </w:r>
      <w:r w:rsidR="00094C2D">
        <w:t xml:space="preserve"> </w:t>
      </w:r>
      <w:r>
        <w:t xml:space="preserve">the </w:t>
      </w:r>
      <w:r w:rsidR="00CD6988">
        <w:t>TIC and HIM Applications</w:t>
      </w:r>
      <w:r w:rsidR="00094C2D">
        <w:t xml:space="preserve"> from </w:t>
      </w:r>
      <w:r w:rsidR="008D5398">
        <w:t>Group 363</w:t>
      </w:r>
      <w:r w:rsidR="00094C2D">
        <w:t xml:space="preserve">.  It also found that </w:t>
      </w:r>
      <w:r>
        <w:t>TIC and HIM</w:t>
      </w:r>
      <w:r w:rsidR="00094C2D">
        <w:t xml:space="preserve"> were </w:t>
      </w:r>
      <w:r w:rsidR="006B3713">
        <w:t>eligible</w:t>
      </w:r>
      <w:r w:rsidR="00094C2D">
        <w:t xml:space="preserve"> to settle</w:t>
      </w:r>
      <w:r>
        <w:t xml:space="preserve">, </w:t>
      </w:r>
      <w:r w:rsidR="006B3713">
        <w:t>approved their</w:t>
      </w:r>
      <w:r w:rsidR="00094C2D">
        <w:t xml:space="preserve"> settlement agreemen</w:t>
      </w:r>
      <w:r w:rsidR="006B3713">
        <w:t>t</w:t>
      </w:r>
      <w:r>
        <w:t xml:space="preserve"> and accepted the TIC</w:t>
      </w:r>
      <w:r w:rsidR="00CD6988">
        <w:t xml:space="preserve"> A</w:t>
      </w:r>
      <w:r>
        <w:t>pplication for filing</w:t>
      </w:r>
      <w:r w:rsidR="006B3713">
        <w:t>.</w:t>
      </w:r>
      <w:r>
        <w:rPr>
          <w:rStyle w:val="FootnoteReference"/>
        </w:rPr>
        <w:footnoteReference w:id="10"/>
      </w:r>
      <w:r>
        <w:t xml:space="preserve">  </w:t>
      </w:r>
      <w:r w:rsidR="00E52B93">
        <w:t>In doing so, t</w:t>
      </w:r>
      <w:r w:rsidR="006B3713">
        <w:t xml:space="preserve">he Bureau </w:t>
      </w:r>
      <w:r w:rsidR="00E52B93">
        <w:t>explained</w:t>
      </w:r>
      <w:r w:rsidR="006B3713">
        <w:t xml:space="preserve"> that </w:t>
      </w:r>
      <w:r>
        <w:t>TIC was in “a significantly</w:t>
      </w:r>
      <w:r w:rsidR="008D5398">
        <w:t xml:space="preserve"> different procedural posture</w:t>
      </w:r>
      <w:r>
        <w:t>”</w:t>
      </w:r>
      <w:r w:rsidR="008D5398">
        <w:t xml:space="preserve"> than Christian Music.</w:t>
      </w:r>
      <w:r w:rsidR="00DF0C23">
        <w:rPr>
          <w:rStyle w:val="FootnoteReference"/>
        </w:rPr>
        <w:footnoteReference w:id="11"/>
      </w:r>
      <w:r w:rsidR="008D5398">
        <w:t xml:space="preserve">  </w:t>
      </w:r>
      <w:r>
        <w:t xml:space="preserve">Specifically, </w:t>
      </w:r>
      <w:r w:rsidR="008D5398">
        <w:t xml:space="preserve">any grant of the </w:t>
      </w:r>
      <w:r>
        <w:t xml:space="preserve">Christian Music </w:t>
      </w:r>
      <w:r w:rsidR="008D5398">
        <w:t xml:space="preserve">Application </w:t>
      </w:r>
      <w:r>
        <w:t>“</w:t>
      </w:r>
      <w:r w:rsidR="008D5398">
        <w:t xml:space="preserve">would have been premised on the dismissal as part of the comparative process of at least one other application that was mutually exclusive with the </w:t>
      </w:r>
      <w:r w:rsidR="00C177B9">
        <w:t xml:space="preserve">[Christian Music] </w:t>
      </w:r>
      <w:r w:rsidR="008D5398">
        <w:t>Application.</w:t>
      </w:r>
      <w:r w:rsidR="00C177B9">
        <w:t>”</w:t>
      </w:r>
      <w:r w:rsidR="008D5398">
        <w:t xml:space="preserve">  </w:t>
      </w:r>
      <w:r w:rsidR="00E52B93">
        <w:t xml:space="preserve">Grant </w:t>
      </w:r>
      <w:r w:rsidR="008D5398">
        <w:t xml:space="preserve">of the </w:t>
      </w:r>
      <w:r w:rsidR="00C177B9">
        <w:t xml:space="preserve">TIC </w:t>
      </w:r>
      <w:r w:rsidR="00CD6988">
        <w:t>A</w:t>
      </w:r>
      <w:r w:rsidR="00C177B9">
        <w:t>pplication</w:t>
      </w:r>
      <w:r w:rsidR="00501196">
        <w:t xml:space="preserve"> </w:t>
      </w:r>
      <w:r w:rsidR="008D5398">
        <w:t>was</w:t>
      </w:r>
      <w:r w:rsidR="00501196">
        <w:t xml:space="preserve"> not</w:t>
      </w:r>
      <w:r w:rsidR="008D5398">
        <w:t xml:space="preserve"> premised </w:t>
      </w:r>
      <w:r w:rsidR="00501196">
        <w:t xml:space="preserve">on the dismissal of any applications as part of the comparative process.  Instead, it was premised </w:t>
      </w:r>
      <w:r w:rsidR="008D5398">
        <w:t xml:space="preserve">on </w:t>
      </w:r>
      <w:r w:rsidR="00501196">
        <w:t>Wellspring’s</w:t>
      </w:r>
      <w:r w:rsidR="008D5398">
        <w:t xml:space="preserve"> </w:t>
      </w:r>
      <w:r w:rsidR="00E564A5">
        <w:t xml:space="preserve">voluntary </w:t>
      </w:r>
      <w:r w:rsidR="008D5398">
        <w:t xml:space="preserve">withdrawal of </w:t>
      </w:r>
      <w:r w:rsidR="00501196">
        <w:t>its</w:t>
      </w:r>
      <w:r w:rsidR="008D5398">
        <w:t xml:space="preserve"> application and </w:t>
      </w:r>
      <w:r w:rsidR="00827ABD">
        <w:t xml:space="preserve">the subsequent </w:t>
      </w:r>
      <w:r w:rsidR="008D5398">
        <w:t>settlement agreement</w:t>
      </w:r>
      <w:r w:rsidR="00C177B9">
        <w:t xml:space="preserve"> between TIC and HIM</w:t>
      </w:r>
      <w:r w:rsidR="008D5398">
        <w:t>.</w:t>
      </w:r>
    </w:p>
    <w:p w:rsidR="0080201A" w:rsidRDefault="005B5144" w:rsidP="00AB3DF3">
      <w:pPr>
        <w:pStyle w:val="ParaNum"/>
        <w:widowControl/>
      </w:pPr>
      <w:r>
        <w:t xml:space="preserve">Christian Music </w:t>
      </w:r>
      <w:r w:rsidR="00646CD5">
        <w:t>filed a second petition for</w:t>
      </w:r>
      <w:r>
        <w:t xml:space="preserve"> reconsideration </w:t>
      </w:r>
      <w:r w:rsidR="00646CD5">
        <w:t>(“2010 Petition”), which challenged</w:t>
      </w:r>
      <w:r>
        <w:t xml:space="preserve"> the Bureau’s denial of </w:t>
      </w:r>
      <w:r w:rsidR="00646CD5">
        <w:t>the 2009 Petition</w:t>
      </w:r>
      <w:r>
        <w:t xml:space="preserve">.  </w:t>
      </w:r>
      <w:r w:rsidR="00E64334">
        <w:t>Among other things, Christian Music</w:t>
      </w:r>
      <w:r>
        <w:t xml:space="preserve"> argued </w:t>
      </w:r>
      <w:r w:rsidR="00516A8D">
        <w:t xml:space="preserve">that it was arbitrary for the Bureau to rely on Wellspring’s </w:t>
      </w:r>
      <w:r w:rsidR="00E564A5">
        <w:t xml:space="preserve">voluntary </w:t>
      </w:r>
      <w:r w:rsidR="00516A8D">
        <w:t>withdrawal of its application as the sole</w:t>
      </w:r>
      <w:r w:rsidR="00E64334">
        <w:t xml:space="preserve"> factor distinguishing the TIC A</w:t>
      </w:r>
      <w:r w:rsidR="00516A8D">
        <w:t xml:space="preserve">pplication from </w:t>
      </w:r>
      <w:r w:rsidR="00E64334">
        <w:t>the</w:t>
      </w:r>
      <w:r w:rsidR="00516A8D">
        <w:t xml:space="preserve"> </w:t>
      </w:r>
      <w:r w:rsidR="00E64334">
        <w:t>A</w:t>
      </w:r>
      <w:r w:rsidR="00516A8D">
        <w:t xml:space="preserve">pplication.  Christian Music </w:t>
      </w:r>
      <w:r w:rsidR="00E64334">
        <w:t>asserted</w:t>
      </w:r>
      <w:r w:rsidR="0034663D">
        <w:t xml:space="preserve"> that it was </w:t>
      </w:r>
      <w:r w:rsidR="0034663D">
        <w:lastRenderedPageBreak/>
        <w:t>similarly situated to TIC and</w:t>
      </w:r>
      <w:r w:rsidR="00516A8D">
        <w:t xml:space="preserve"> that the Bureau had failed to offer a reasonable explanation for its “disparate treatment” of </w:t>
      </w:r>
      <w:r w:rsidR="00E64334">
        <w:t>the Application and the TIC Application</w:t>
      </w:r>
      <w:r w:rsidR="00516A8D">
        <w:t xml:space="preserve">.  </w:t>
      </w:r>
    </w:p>
    <w:p w:rsidR="0080201A" w:rsidRDefault="005B5144" w:rsidP="003C0718">
      <w:pPr>
        <w:pStyle w:val="ParaNum"/>
      </w:pPr>
      <w:r>
        <w:t xml:space="preserve">The Bureau </w:t>
      </w:r>
      <w:r w:rsidR="00E64334">
        <w:t>dismissed</w:t>
      </w:r>
      <w:r>
        <w:t xml:space="preserve"> </w:t>
      </w:r>
      <w:r w:rsidR="00E64334">
        <w:t>the 2010 Petition</w:t>
      </w:r>
      <w:r w:rsidR="0003155E">
        <w:t xml:space="preserve">, finding </w:t>
      </w:r>
      <w:r w:rsidR="0080201A">
        <w:t>it repetitious and thus procedurally defective.</w:t>
      </w:r>
      <w:r w:rsidR="0080201A">
        <w:rPr>
          <w:rStyle w:val="FootnoteReference"/>
        </w:rPr>
        <w:footnoteReference w:id="12"/>
      </w:r>
      <w:r w:rsidR="0003155E">
        <w:t xml:space="preserve">  </w:t>
      </w:r>
      <w:r w:rsidR="00E64334">
        <w:t>It</w:t>
      </w:r>
      <w:r w:rsidR="0003155E">
        <w:t xml:space="preserve"> went on to </w:t>
      </w:r>
      <w:r w:rsidR="0080201A">
        <w:t xml:space="preserve">state that, even if it were to consider Christian Music’s petition, it would </w:t>
      </w:r>
      <w:r w:rsidR="00E64334">
        <w:t>have found</w:t>
      </w:r>
      <w:r w:rsidR="0080201A">
        <w:t xml:space="preserve"> “it is without merit.”</w:t>
      </w:r>
      <w:r w:rsidR="00501196">
        <w:rPr>
          <w:rStyle w:val="FootnoteReference"/>
        </w:rPr>
        <w:footnoteReference w:id="13"/>
      </w:r>
      <w:r w:rsidR="0080201A">
        <w:t xml:space="preserve">  </w:t>
      </w:r>
      <w:r w:rsidR="00122C08">
        <w:t xml:space="preserve">It then </w:t>
      </w:r>
      <w:r w:rsidR="00501196">
        <w:t>discussed and rejected</w:t>
      </w:r>
      <w:r w:rsidR="00122C08">
        <w:t xml:space="preserve"> Christian Music’s argument that it and TIC were similarly situated</w:t>
      </w:r>
      <w:r w:rsidR="00501196">
        <w:t xml:space="preserve">, </w:t>
      </w:r>
      <w:r w:rsidR="0003084F">
        <w:t>explaining</w:t>
      </w:r>
      <w:r w:rsidR="00F07C15">
        <w:t xml:space="preserve"> that </w:t>
      </w:r>
      <w:r w:rsidR="00E64334">
        <w:t xml:space="preserve">Christian Music </w:t>
      </w:r>
      <w:r w:rsidR="00827ABD">
        <w:t xml:space="preserve">had </w:t>
      </w:r>
      <w:r w:rsidR="00E64334">
        <w:t>sought to rely</w:t>
      </w:r>
      <w:r w:rsidR="00122C08">
        <w:t xml:space="preserve"> on the dismissal </w:t>
      </w:r>
      <w:r w:rsidR="00E64334">
        <w:t xml:space="preserve">– as part of the comparative process – </w:t>
      </w:r>
      <w:r w:rsidR="00122C08">
        <w:t xml:space="preserve">of </w:t>
      </w:r>
      <w:r w:rsidR="00501196">
        <w:t>an</w:t>
      </w:r>
      <w:r w:rsidR="00122C08">
        <w:t xml:space="preserve"> application that linked </w:t>
      </w:r>
      <w:r w:rsidR="00E64334">
        <w:t>the Ap</w:t>
      </w:r>
      <w:r w:rsidR="00122C08">
        <w:t xml:space="preserve">plication with </w:t>
      </w:r>
      <w:r w:rsidR="00E64334">
        <w:t>the UMass Application</w:t>
      </w:r>
      <w:r w:rsidR="00122C08">
        <w:t xml:space="preserve"> while TIC </w:t>
      </w:r>
      <w:r w:rsidR="00E64334">
        <w:t>had relied</w:t>
      </w:r>
      <w:r w:rsidR="00122C08">
        <w:t xml:space="preserve"> on the </w:t>
      </w:r>
      <w:r w:rsidR="00E564A5">
        <w:t xml:space="preserve">voluntary </w:t>
      </w:r>
      <w:r w:rsidR="00122C08">
        <w:t xml:space="preserve">withdrawal of </w:t>
      </w:r>
      <w:r w:rsidR="00501196">
        <w:t>an</w:t>
      </w:r>
      <w:r w:rsidR="00122C08">
        <w:t xml:space="preserve"> application linking </w:t>
      </w:r>
      <w:r w:rsidR="00E64334">
        <w:t>the TIC Application</w:t>
      </w:r>
      <w:r w:rsidR="00122C08">
        <w:t xml:space="preserve"> with </w:t>
      </w:r>
      <w:r w:rsidR="00E64334">
        <w:t>the UMass Application</w:t>
      </w:r>
      <w:r w:rsidR="00122C08">
        <w:t>.</w:t>
      </w:r>
      <w:r w:rsidR="00BF0A7E">
        <w:rPr>
          <w:rStyle w:val="FootnoteReference"/>
        </w:rPr>
        <w:footnoteReference w:id="14"/>
      </w:r>
      <w:r w:rsidR="00122C08">
        <w:t xml:space="preserve">    </w:t>
      </w:r>
    </w:p>
    <w:p w:rsidR="00C65284" w:rsidRPr="007321BF" w:rsidRDefault="009D2366" w:rsidP="007321BF">
      <w:pPr>
        <w:pStyle w:val="ParaNum"/>
        <w:widowControl/>
      </w:pPr>
      <w:r>
        <w:t>Christian Music</w:t>
      </w:r>
      <w:r w:rsidR="005B5144">
        <w:t xml:space="preserve"> now seeks revi</w:t>
      </w:r>
      <w:r w:rsidR="0003155E">
        <w:t xml:space="preserve">ew of </w:t>
      </w:r>
      <w:r w:rsidR="00501196">
        <w:t xml:space="preserve">the </w:t>
      </w:r>
      <w:r w:rsidR="00501196">
        <w:rPr>
          <w:i/>
        </w:rPr>
        <w:t>2012 Staff Decision</w:t>
      </w:r>
      <w:r w:rsidR="0003155E">
        <w:t>.  It</w:t>
      </w:r>
      <w:r w:rsidR="00363A19">
        <w:t xml:space="preserve"> again argues that there is no factual basis for distinguishing its </w:t>
      </w:r>
      <w:r w:rsidR="00827ABD">
        <w:t>A</w:t>
      </w:r>
      <w:r w:rsidR="00363A19">
        <w:t>pplication from that of TIC</w:t>
      </w:r>
      <w:r w:rsidR="00A86566">
        <w:rPr>
          <w:rStyle w:val="FootnoteReference"/>
        </w:rPr>
        <w:footnoteReference w:id="15"/>
      </w:r>
      <w:r w:rsidR="00363A19">
        <w:t xml:space="preserve"> and thus that the Bureau’s disparate treatment of its and TIC’s applications violates the principle set forth in </w:t>
      </w:r>
      <w:r w:rsidR="00363A19" w:rsidRPr="00B51E0F">
        <w:rPr>
          <w:i/>
        </w:rPr>
        <w:t>Melody Music</w:t>
      </w:r>
      <w:r w:rsidR="00363A19">
        <w:t xml:space="preserve"> that the Commission must treat similarly situated parties similarly.</w:t>
      </w:r>
      <w:r w:rsidR="00363A19">
        <w:rPr>
          <w:rStyle w:val="FootnoteReference"/>
        </w:rPr>
        <w:footnoteReference w:id="16"/>
      </w:r>
      <w:r w:rsidR="00B51E0F">
        <w:t xml:space="preserve">  </w:t>
      </w:r>
      <w:r w:rsidR="003D3850" w:rsidRPr="00595BF9">
        <w:t xml:space="preserve">Upon review of </w:t>
      </w:r>
      <w:r w:rsidR="00DE0C4B">
        <w:t>the AFR</w:t>
      </w:r>
      <w:r w:rsidR="00B332CC" w:rsidRPr="00595BF9">
        <w:t xml:space="preserve"> and the entire record</w:t>
      </w:r>
      <w:r w:rsidR="00DE0C4B">
        <w:t>,</w:t>
      </w:r>
      <w:r w:rsidR="00B332CC" w:rsidRPr="00595BF9">
        <w:t xml:space="preserve"> we</w:t>
      </w:r>
      <w:r w:rsidR="0090297A" w:rsidRPr="00595BF9">
        <w:t xml:space="preserve"> </w:t>
      </w:r>
      <w:r w:rsidR="009815B1">
        <w:t xml:space="preserve">conclude that </w:t>
      </w:r>
      <w:r w:rsidR="00B51E0F">
        <w:t>Christian Music</w:t>
      </w:r>
      <w:r w:rsidR="009815B1">
        <w:t xml:space="preserve"> has failed to demonstrate that the Bureau erred.  </w:t>
      </w:r>
      <w:r w:rsidR="003D3850" w:rsidRPr="00595BF9">
        <w:t xml:space="preserve">We </w:t>
      </w:r>
      <w:r w:rsidR="00B332CC" w:rsidRPr="00595BF9">
        <w:t xml:space="preserve">thus </w:t>
      </w:r>
      <w:r w:rsidR="003D3850" w:rsidRPr="00595BF9">
        <w:t xml:space="preserve">uphold the Bureau’s decision for the reasons stated in the </w:t>
      </w:r>
      <w:r w:rsidR="00B51E0F">
        <w:rPr>
          <w:i/>
        </w:rPr>
        <w:t>2012 Staff Decision</w:t>
      </w:r>
      <w:r w:rsidR="007321BF" w:rsidRPr="00B51E0F">
        <w:rPr>
          <w:i/>
        </w:rPr>
        <w:t>.</w:t>
      </w:r>
    </w:p>
    <w:p w:rsidR="00ED1C63" w:rsidRPr="00595BF9" w:rsidRDefault="00ED1C63" w:rsidP="003C0718">
      <w:pPr>
        <w:pStyle w:val="ParaNum"/>
      </w:pPr>
      <w:r w:rsidRPr="00595BF9">
        <w:t>ACCORDINGLY, IT IS ORDERED that, pursuant to Section 5(c)(5) of the Communications Act of 1934, as amended,</w:t>
      </w:r>
      <w:r w:rsidRPr="00595BF9">
        <w:rPr>
          <w:rStyle w:val="FootnoteReference"/>
          <w:sz w:val="22"/>
          <w:szCs w:val="22"/>
        </w:rPr>
        <w:footnoteReference w:id="17"/>
      </w:r>
      <w:r w:rsidRPr="00595BF9">
        <w:t xml:space="preserve"> and Section 1.115(g) of the Commission’s Rules</w:t>
      </w:r>
      <w:r w:rsidR="00953FDF">
        <w:t>,</w:t>
      </w:r>
      <w:r w:rsidRPr="00595BF9">
        <w:rPr>
          <w:rStyle w:val="FootnoteReference"/>
          <w:sz w:val="22"/>
          <w:szCs w:val="22"/>
        </w:rPr>
        <w:footnoteReference w:id="18"/>
      </w:r>
      <w:r w:rsidRPr="00595BF9">
        <w:t xml:space="preserve"> the Application for Review filed by </w:t>
      </w:r>
      <w:r w:rsidR="0003155E">
        <w:t>Christian Music Network</w:t>
      </w:r>
      <w:r w:rsidR="00C61727">
        <w:t xml:space="preserve">, Inc. on </w:t>
      </w:r>
      <w:r w:rsidR="00501196">
        <w:t>April 9, 2012</w:t>
      </w:r>
      <w:r w:rsidRPr="00595BF9">
        <w:t xml:space="preserve">, IS DENIED. </w:t>
      </w:r>
    </w:p>
    <w:p w:rsidR="00A61085" w:rsidRDefault="00A61085" w:rsidP="004440F9">
      <w:r>
        <w:tab/>
      </w:r>
      <w:r>
        <w:tab/>
      </w:r>
      <w:r>
        <w:tab/>
      </w:r>
      <w:r>
        <w:tab/>
      </w:r>
      <w:r>
        <w:tab/>
      </w:r>
      <w:r>
        <w:tab/>
        <w:t>FEDERAL COMMUNICATIONS COMMISSION</w:t>
      </w:r>
    </w:p>
    <w:p w:rsidR="00A61085" w:rsidRDefault="00A61085" w:rsidP="004440F9"/>
    <w:p w:rsidR="00A61085" w:rsidRDefault="00A61085" w:rsidP="004440F9"/>
    <w:p w:rsidR="00A61085" w:rsidRDefault="00A61085" w:rsidP="004440F9"/>
    <w:p w:rsidR="00A61085" w:rsidRDefault="00A61085" w:rsidP="004440F9"/>
    <w:p w:rsidR="00A61085" w:rsidRDefault="00A61085" w:rsidP="004440F9">
      <w:r>
        <w:tab/>
      </w:r>
      <w:r>
        <w:tab/>
      </w:r>
      <w:r>
        <w:tab/>
      </w:r>
      <w:r>
        <w:tab/>
      </w:r>
      <w:r>
        <w:tab/>
      </w:r>
      <w:r>
        <w:tab/>
        <w:t>Marlene H. Dortch</w:t>
      </w:r>
    </w:p>
    <w:p w:rsidR="00A61085" w:rsidRDefault="00A61085" w:rsidP="004440F9">
      <w:r>
        <w:tab/>
      </w:r>
      <w:r>
        <w:tab/>
      </w:r>
      <w:r>
        <w:tab/>
      </w:r>
      <w:r>
        <w:tab/>
      </w:r>
      <w:r>
        <w:tab/>
      </w:r>
      <w:r>
        <w:tab/>
        <w:t>Secretary</w:t>
      </w:r>
    </w:p>
    <w:p w:rsidR="00E66A17" w:rsidRPr="006358C3" w:rsidRDefault="00E66A17" w:rsidP="00A61085">
      <w:r w:rsidRPr="006358C3">
        <w:tab/>
      </w:r>
      <w:r w:rsidRPr="006358C3">
        <w:tab/>
      </w:r>
      <w:r w:rsidRPr="006358C3">
        <w:tab/>
      </w:r>
      <w:r w:rsidRPr="006358C3">
        <w:tab/>
      </w:r>
      <w:r w:rsidRPr="006358C3">
        <w:tab/>
      </w:r>
      <w:r w:rsidRPr="006358C3">
        <w:tab/>
      </w:r>
    </w:p>
    <w:sectPr w:rsidR="00E66A17" w:rsidRPr="006358C3"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BC" w:rsidRDefault="00EA12BC">
      <w:pPr>
        <w:spacing w:line="20" w:lineRule="exact"/>
      </w:pPr>
    </w:p>
  </w:endnote>
  <w:endnote w:type="continuationSeparator" w:id="0">
    <w:p w:rsidR="00EA12BC" w:rsidRDefault="00EA12BC">
      <w:r>
        <w:t xml:space="preserve"> </w:t>
      </w:r>
    </w:p>
  </w:endnote>
  <w:endnote w:type="continuationNotice" w:id="1">
    <w:p w:rsidR="00EA12BC" w:rsidRDefault="00EA12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23" w:rsidRDefault="00EF276B" w:rsidP="0055614C">
    <w:pPr>
      <w:pStyle w:val="Footer"/>
      <w:framePr w:wrap="around" w:vAnchor="text" w:hAnchor="margin" w:xAlign="center" w:y="1"/>
    </w:pPr>
    <w:r>
      <w:fldChar w:fldCharType="begin"/>
    </w:r>
    <w:r w:rsidR="00DF0C23">
      <w:instrText xml:space="preserve">PAGE  </w:instrText>
    </w:r>
    <w:r>
      <w:fldChar w:fldCharType="end"/>
    </w:r>
  </w:p>
  <w:p w:rsidR="00DF0C23" w:rsidRDefault="00DF0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23" w:rsidRDefault="00EF276B" w:rsidP="0055614C">
    <w:pPr>
      <w:pStyle w:val="Footer"/>
      <w:framePr w:wrap="around" w:vAnchor="text" w:hAnchor="margin" w:xAlign="center" w:y="1"/>
    </w:pPr>
    <w:r>
      <w:fldChar w:fldCharType="begin"/>
    </w:r>
    <w:r w:rsidR="00DF0C23">
      <w:instrText xml:space="preserve">PAGE  </w:instrText>
    </w:r>
    <w:r>
      <w:fldChar w:fldCharType="separate"/>
    </w:r>
    <w:r w:rsidR="00DA1328">
      <w:rPr>
        <w:noProof/>
      </w:rPr>
      <w:t>3</w:t>
    </w:r>
    <w:r>
      <w:fldChar w:fldCharType="end"/>
    </w:r>
  </w:p>
  <w:p w:rsidR="00DF0C23" w:rsidRDefault="00DF0C2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23" w:rsidRDefault="00DF0C2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BC" w:rsidRDefault="00EA12BC">
      <w:r>
        <w:separator/>
      </w:r>
    </w:p>
  </w:footnote>
  <w:footnote w:type="continuationSeparator" w:id="0">
    <w:p w:rsidR="00EA12BC" w:rsidRDefault="00EA12BC" w:rsidP="00C721AC">
      <w:pPr>
        <w:spacing w:before="120"/>
        <w:rPr>
          <w:sz w:val="20"/>
        </w:rPr>
      </w:pPr>
      <w:r>
        <w:rPr>
          <w:sz w:val="20"/>
        </w:rPr>
        <w:t xml:space="preserve">(Continued from previous page)  </w:t>
      </w:r>
      <w:r>
        <w:rPr>
          <w:sz w:val="20"/>
        </w:rPr>
        <w:separator/>
      </w:r>
    </w:p>
  </w:footnote>
  <w:footnote w:type="continuationNotice" w:id="1">
    <w:p w:rsidR="00EA12BC" w:rsidRDefault="00EA12BC" w:rsidP="00C721AC">
      <w:pPr>
        <w:jc w:val="right"/>
        <w:rPr>
          <w:sz w:val="20"/>
        </w:rPr>
      </w:pPr>
      <w:r>
        <w:rPr>
          <w:sz w:val="20"/>
        </w:rPr>
        <w:t>(continued….)</w:t>
      </w:r>
    </w:p>
  </w:footnote>
  <w:footnote w:id="2">
    <w:p w:rsidR="00DF0C23" w:rsidRPr="005C35AC" w:rsidRDefault="00DF0C23" w:rsidP="00E26F43">
      <w:pPr>
        <w:pStyle w:val="FootnoteText"/>
      </w:pPr>
      <w:r w:rsidRPr="005C35AC">
        <w:rPr>
          <w:rStyle w:val="FootnoteReference"/>
        </w:rPr>
        <w:footnoteRef/>
      </w:r>
      <w:r w:rsidRPr="005C35AC">
        <w:t xml:space="preserve"> </w:t>
      </w:r>
      <w:r w:rsidRPr="007E0BA0">
        <w:rPr>
          <w:i/>
        </w:rPr>
        <w:t>See Media Bureau Identifies Groups of Mutually Exclusive Applications</w:t>
      </w:r>
      <w:r w:rsidRPr="007E0BA0">
        <w:t>, Public Notice, 23 FCC Rcd 9508 (MB 2008).</w:t>
      </w:r>
    </w:p>
  </w:footnote>
  <w:footnote w:id="3">
    <w:p w:rsidR="00DF0C23" w:rsidRPr="00B6441D" w:rsidRDefault="00DF0C23" w:rsidP="00E26F43">
      <w:pPr>
        <w:pStyle w:val="FootnoteText"/>
      </w:pPr>
      <w:r w:rsidRPr="00B6441D">
        <w:rPr>
          <w:rStyle w:val="FootnoteReference"/>
        </w:rPr>
        <w:footnoteRef/>
      </w:r>
      <w:r w:rsidRPr="00B6441D">
        <w:t xml:space="preserve"> </w:t>
      </w:r>
      <w:r w:rsidRPr="00B6441D">
        <w:rPr>
          <w:i/>
        </w:rPr>
        <w:t xml:space="preserve">See </w:t>
      </w:r>
      <w:r w:rsidRPr="00B6441D">
        <w:t xml:space="preserve">47 C.F.R. § 73.7002 (procedures for selecting among mutually exclusive applicants for stations proposing </w:t>
      </w:r>
      <w:r>
        <w:t>to serve different communities)</w:t>
      </w:r>
      <w:r w:rsidRPr="00B6441D">
        <w:t xml:space="preserve">.  </w:t>
      </w:r>
    </w:p>
  </w:footnote>
  <w:footnote w:id="4">
    <w:p w:rsidR="00DF0C23" w:rsidRPr="00D75ECB" w:rsidRDefault="00DF0C23" w:rsidP="00E26F43">
      <w:pPr>
        <w:pStyle w:val="FootnoteText"/>
        <w:rPr>
          <w:b/>
        </w:rPr>
      </w:pPr>
      <w:r w:rsidRPr="00B6441D">
        <w:rPr>
          <w:rStyle w:val="FootnoteReference"/>
        </w:rPr>
        <w:footnoteRef/>
      </w:r>
      <w:r w:rsidRPr="00B6441D">
        <w:t xml:space="preserve"> 47 U.S.C. § 307(b).  </w:t>
      </w:r>
      <w:r>
        <w:t xml:space="preserve">  </w:t>
      </w:r>
    </w:p>
  </w:footnote>
  <w:footnote w:id="5">
    <w:p w:rsidR="00DF0C23" w:rsidRPr="006F107D" w:rsidRDefault="00DF0C23" w:rsidP="00E26F43">
      <w:pPr>
        <w:pStyle w:val="FootnoteText"/>
      </w:pPr>
      <w:r w:rsidRPr="006F107D">
        <w:rPr>
          <w:rStyle w:val="FootnoteReference"/>
        </w:rPr>
        <w:footnoteRef/>
      </w:r>
      <w:r w:rsidRPr="006F107D">
        <w:t xml:space="preserve"> </w:t>
      </w:r>
      <w:r w:rsidRPr="006D7DB4">
        <w:rPr>
          <w:i/>
        </w:rPr>
        <w:t>Threshold Fair Distribution Analysis of 2</w:t>
      </w:r>
      <w:r>
        <w:rPr>
          <w:i/>
        </w:rPr>
        <w:t>1</w:t>
      </w:r>
      <w:r w:rsidRPr="006D7DB4">
        <w:rPr>
          <w:i/>
        </w:rPr>
        <w:t xml:space="preserve"> Groups of Mutually Exclusive Applications for Permits to Construct New or Modified Noncommercial Educational FM Stations Filed</w:t>
      </w:r>
      <w:r>
        <w:rPr>
          <w:i/>
        </w:rPr>
        <w:t xml:space="preserve"> </w:t>
      </w:r>
      <w:r w:rsidRPr="006D7DB4">
        <w:rPr>
          <w:i/>
        </w:rPr>
        <w:t xml:space="preserve">in October 2007 Window, </w:t>
      </w:r>
      <w:r w:rsidRPr="006D7DB4">
        <w:t xml:space="preserve">Memorandum Opinion and Order, 24 FCC Rcd </w:t>
      </w:r>
      <w:r>
        <w:t>3873</w:t>
      </w:r>
      <w:r w:rsidRPr="006D7DB4">
        <w:t xml:space="preserve">, </w:t>
      </w:r>
      <w:r>
        <w:t xml:space="preserve">3879-80 ¶ </w:t>
      </w:r>
      <w:r w:rsidRPr="00DB7774">
        <w:t>21-22</w:t>
      </w:r>
      <w:r>
        <w:t xml:space="preserve"> </w:t>
      </w:r>
      <w:r w:rsidRPr="006D7DB4">
        <w:t>(MB 2009)</w:t>
      </w:r>
      <w:r>
        <w:t xml:space="preserve"> (“</w:t>
      </w:r>
      <w:r>
        <w:rPr>
          <w:i/>
        </w:rPr>
        <w:t>Tentative Selectee Order</w:t>
      </w:r>
      <w:r>
        <w:t>”).</w:t>
      </w:r>
      <w:r w:rsidRPr="006D7DB4">
        <w:t xml:space="preserve"> </w:t>
      </w:r>
    </w:p>
  </w:footnote>
  <w:footnote w:id="6">
    <w:p w:rsidR="00DF0C23" w:rsidRPr="00833D96" w:rsidRDefault="00DF0C23">
      <w:pPr>
        <w:pStyle w:val="FootnoteText"/>
      </w:pPr>
      <w:r>
        <w:rPr>
          <w:rStyle w:val="FootnoteReference"/>
        </w:rPr>
        <w:footnoteRef/>
      </w:r>
      <w:r>
        <w:t xml:space="preserve"> </w:t>
      </w:r>
      <w:r>
        <w:rPr>
          <w:i/>
        </w:rPr>
        <w:t>Broadcast Actions</w:t>
      </w:r>
      <w:r>
        <w:t xml:space="preserve">, Public Notice, Report No. 46984 (MB May 13, 2009).  It later granted the UMass Application.  </w:t>
      </w:r>
      <w:r>
        <w:rPr>
          <w:i/>
        </w:rPr>
        <w:t>Broadcast Actions</w:t>
      </w:r>
      <w:r>
        <w:t>, Public Notice, Report No. 46999 (MB June 4, 2009).</w:t>
      </w:r>
    </w:p>
  </w:footnote>
  <w:footnote w:id="7">
    <w:p w:rsidR="00DF0C23" w:rsidRDefault="00DF0C23">
      <w:pPr>
        <w:pStyle w:val="FootnoteText"/>
      </w:pPr>
      <w:r>
        <w:rPr>
          <w:rStyle w:val="FootnoteReference"/>
        </w:rPr>
        <w:footnoteRef/>
      </w:r>
      <w:r>
        <w:t xml:space="preserve"> HIM sought reconsideration of the dismissal of its application in order to effectuate the settlement agreement.  HIM recognized that approval of the settlement agreement required its application to be pending before the Commission.  </w:t>
      </w:r>
    </w:p>
  </w:footnote>
  <w:footnote w:id="8">
    <w:p w:rsidR="00DF0C23" w:rsidRPr="0062040A" w:rsidRDefault="00DF0C23">
      <w:pPr>
        <w:pStyle w:val="FootnoteText"/>
        <w:rPr>
          <w:i/>
        </w:rPr>
      </w:pPr>
      <w:r>
        <w:rPr>
          <w:rStyle w:val="FootnoteReference"/>
        </w:rPr>
        <w:footnoteRef/>
      </w:r>
      <w:r>
        <w:t xml:space="preserve">  </w:t>
      </w:r>
      <w:r>
        <w:rPr>
          <w:i/>
        </w:rPr>
        <w:t>MX Group Number 363</w:t>
      </w:r>
      <w:r>
        <w:t>, Letter, 25 FCC Rcd 9060, 9062-63 (MB 2010) (“</w:t>
      </w:r>
      <w:r>
        <w:rPr>
          <w:i/>
        </w:rPr>
        <w:t>2010 Staff Decision</w:t>
      </w:r>
      <w:r>
        <w:t xml:space="preserve">”), </w:t>
      </w:r>
      <w:r>
        <w:rPr>
          <w:i/>
        </w:rPr>
        <w:t>citing Reexamination of the Comparative Standards for Noncommercial Educational Applicants</w:t>
      </w:r>
      <w:r>
        <w:t>, Memorandum Opinion and Order, 16 FCC Rcd 5074, 510</w:t>
      </w:r>
      <w:r w:rsidR="00B01E68">
        <w:t>4-0</w:t>
      </w:r>
      <w:r>
        <w:t xml:space="preserve">5 ¶ </w:t>
      </w:r>
      <w:r w:rsidR="00B2116F">
        <w:t>90</w:t>
      </w:r>
      <w:r>
        <w:t xml:space="preserve"> (2001)</w:t>
      </w:r>
      <w:r w:rsidR="00A832F8">
        <w:t xml:space="preserve"> (</w:t>
      </w:r>
      <w:r w:rsidR="00B01E68">
        <w:t xml:space="preserve">rejecting a proposal that would have sanctioned the tentative selection of more than one applicant in a mutually exclusive application group and explaining that </w:t>
      </w:r>
      <w:r w:rsidR="00A832F8">
        <w:t>“</w:t>
      </w:r>
      <w:r w:rsidR="00B01E68">
        <w:t>af</w:t>
      </w:r>
      <w:r w:rsidR="00A832F8">
        <w:t>ter the best qualified applicant is selected, it is possible that remaining applicants that are not mutually exclusive with this primary selectee and thus potentially secondary selectees, may also be significantly inferior to other applicants that are eliminated because they are mutually exclusive with the primary selectee.  Rather than issue authorizations to applicants whose potential for selection stems primarily from their position in the mutually exclusive chain, we believe it is appropriate to dismiss all of the remaining applicants and permit them to file again in the next filing window”)</w:t>
      </w:r>
      <w:r>
        <w:rPr>
          <w:i/>
        </w:rPr>
        <w:t>.</w:t>
      </w:r>
    </w:p>
  </w:footnote>
  <w:footnote w:id="9">
    <w:p w:rsidR="00DF0C23" w:rsidRPr="009D1D44" w:rsidRDefault="00DF0C23">
      <w:pPr>
        <w:pStyle w:val="FootnoteText"/>
      </w:pPr>
      <w:r>
        <w:rPr>
          <w:rStyle w:val="FootnoteReference"/>
        </w:rPr>
        <w:footnoteRef/>
      </w:r>
      <w:r>
        <w:t xml:space="preserve"> </w:t>
      </w:r>
      <w:r>
        <w:rPr>
          <w:i/>
        </w:rPr>
        <w:t>Id.</w:t>
      </w:r>
      <w:r>
        <w:t xml:space="preserve"> at 9063.</w:t>
      </w:r>
    </w:p>
  </w:footnote>
  <w:footnote w:id="10">
    <w:p w:rsidR="00DF0C23" w:rsidRDefault="00DF0C23">
      <w:pPr>
        <w:pStyle w:val="FootnoteText"/>
      </w:pPr>
      <w:r>
        <w:rPr>
          <w:rStyle w:val="FootnoteReference"/>
        </w:rPr>
        <w:footnoteRef/>
      </w:r>
      <w:r>
        <w:t xml:space="preserve"> </w:t>
      </w:r>
      <w:r>
        <w:rPr>
          <w:i/>
        </w:rPr>
        <w:t>Id.</w:t>
      </w:r>
      <w:r>
        <w:t xml:space="preserve"> at 9063-64.  The Bureau noted that it would grant the TIC application and dismiss the HIM application if, after the period for filing petitions to deny the TIC application had run, there was no substantial and material question concerning the grantability of the TIC application.   </w:t>
      </w:r>
      <w:r>
        <w:rPr>
          <w:i/>
        </w:rPr>
        <w:t xml:space="preserve">Id. </w:t>
      </w:r>
      <w:r>
        <w:t xml:space="preserve">at 9064.  The Bureau granted the TIC Application on September 7, 2010.  </w:t>
      </w:r>
      <w:r>
        <w:rPr>
          <w:i/>
        </w:rPr>
        <w:t>Broadcast Actions</w:t>
      </w:r>
      <w:r>
        <w:t>, Public Notice, Report No. 47318 (MB Sept. 10, 2010).</w:t>
      </w:r>
      <w:r>
        <w:rPr>
          <w:b/>
        </w:rPr>
        <w:t xml:space="preserve"> </w:t>
      </w:r>
    </w:p>
  </w:footnote>
  <w:footnote w:id="11">
    <w:p w:rsidR="00DF0C23" w:rsidRPr="00DF0C23" w:rsidRDefault="00DF0C23">
      <w:pPr>
        <w:pStyle w:val="FootnoteText"/>
      </w:pPr>
      <w:r>
        <w:rPr>
          <w:rStyle w:val="FootnoteReference"/>
        </w:rPr>
        <w:footnoteRef/>
      </w:r>
      <w:r>
        <w:t xml:space="preserve"> </w:t>
      </w:r>
      <w:r>
        <w:rPr>
          <w:i/>
        </w:rPr>
        <w:t>Id.</w:t>
      </w:r>
      <w:r>
        <w:t xml:space="preserve"> at 9063-64.</w:t>
      </w:r>
    </w:p>
  </w:footnote>
  <w:footnote w:id="12">
    <w:p w:rsidR="00DF0C23" w:rsidRPr="0080201A" w:rsidRDefault="00DF0C23">
      <w:pPr>
        <w:pStyle w:val="FootnoteText"/>
      </w:pPr>
      <w:r>
        <w:rPr>
          <w:rStyle w:val="FootnoteReference"/>
        </w:rPr>
        <w:footnoteRef/>
      </w:r>
      <w:r>
        <w:t xml:space="preserve"> </w:t>
      </w:r>
      <w:r>
        <w:rPr>
          <w:i/>
        </w:rPr>
        <w:t>MX Group Number 363</w:t>
      </w:r>
      <w:r>
        <w:t>, Letter (MB dated Mar. 9, 2012) (“</w:t>
      </w:r>
      <w:r>
        <w:rPr>
          <w:i/>
        </w:rPr>
        <w:t>2012 Staff Decision</w:t>
      </w:r>
      <w:r>
        <w:t xml:space="preserve">”), </w:t>
      </w:r>
      <w:r>
        <w:rPr>
          <w:i/>
        </w:rPr>
        <w:t xml:space="preserve">citing </w:t>
      </w:r>
      <w:r>
        <w:t xml:space="preserve">47 C.F.R. § 1.103(b)(3).  Section 1.103(b) of the Commission’s rules states that a “petition for reconsideration of an order which has been previously denied on reconsideration may be dismissed by the staff as repetitious.”  </w:t>
      </w:r>
    </w:p>
  </w:footnote>
  <w:footnote w:id="13">
    <w:p w:rsidR="00DF0C23" w:rsidRPr="00501196" w:rsidRDefault="00DF0C23">
      <w:pPr>
        <w:pStyle w:val="FootnoteText"/>
      </w:pPr>
      <w:r>
        <w:rPr>
          <w:rStyle w:val="FootnoteReference"/>
        </w:rPr>
        <w:footnoteRef/>
      </w:r>
      <w:r>
        <w:t xml:space="preserve"> </w:t>
      </w:r>
      <w:r>
        <w:rPr>
          <w:i/>
        </w:rPr>
        <w:t xml:space="preserve">2012 </w:t>
      </w:r>
      <w:r w:rsidR="00B437B1">
        <w:rPr>
          <w:i/>
        </w:rPr>
        <w:t xml:space="preserve">Staff </w:t>
      </w:r>
      <w:r>
        <w:rPr>
          <w:i/>
        </w:rPr>
        <w:t xml:space="preserve">Decision </w:t>
      </w:r>
      <w:r w:rsidR="00BF0A7E">
        <w:t>at 3</w:t>
      </w:r>
      <w:r>
        <w:t>.</w:t>
      </w:r>
    </w:p>
  </w:footnote>
  <w:footnote w:id="14">
    <w:p w:rsidR="00BF0A7E" w:rsidRPr="00BF0A7E" w:rsidRDefault="00BF0A7E">
      <w:pPr>
        <w:pStyle w:val="FootnoteText"/>
      </w:pPr>
      <w:r>
        <w:rPr>
          <w:rStyle w:val="FootnoteReference"/>
        </w:rPr>
        <w:footnoteRef/>
      </w:r>
      <w:r>
        <w:t xml:space="preserve"> </w:t>
      </w:r>
      <w:r>
        <w:rPr>
          <w:i/>
        </w:rPr>
        <w:t>Id.</w:t>
      </w:r>
      <w:r>
        <w:t xml:space="preserve"> at 3.</w:t>
      </w:r>
      <w:r w:rsidR="00F07C15">
        <w:t xml:space="preserve">  Christian Music </w:t>
      </w:r>
      <w:r w:rsidR="00FB1DBB">
        <w:t xml:space="preserve">states </w:t>
      </w:r>
      <w:r w:rsidR="00F07C15">
        <w:t xml:space="preserve">that the “Bureau’s reliance on this distinction required the disavowal of a published decision released just three months earlier, which rejected a settlement agreement which was analogous to the situation between [TIC and HIM].”  </w:t>
      </w:r>
      <w:r w:rsidR="00F07C15">
        <w:rPr>
          <w:i/>
        </w:rPr>
        <w:t xml:space="preserve">See </w:t>
      </w:r>
      <w:r w:rsidR="00F07C15">
        <w:t>AFR at 5</w:t>
      </w:r>
      <w:r w:rsidR="00511814">
        <w:t>,</w:t>
      </w:r>
      <w:r w:rsidR="00F07C15">
        <w:t xml:space="preserve"> </w:t>
      </w:r>
      <w:r w:rsidR="00F07C15">
        <w:rPr>
          <w:i/>
        </w:rPr>
        <w:t>citing The Helpline,</w:t>
      </w:r>
      <w:r w:rsidR="00F07C15">
        <w:t xml:space="preserve"> 25 FCC Rcd 2597 (MB 2010).  </w:t>
      </w:r>
      <w:r w:rsidR="00B437B1">
        <w:t>We find that the Bureau properly rejected Christian Music’s argument that it and TIC were similarly situated</w:t>
      </w:r>
      <w:r w:rsidR="00B437B1">
        <w:rPr>
          <w:i/>
        </w:rPr>
        <w:t>.</w:t>
      </w:r>
      <w:r w:rsidR="00B437B1">
        <w:t xml:space="preserve">  </w:t>
      </w:r>
      <w:r w:rsidR="00D7731F">
        <w:t xml:space="preserve">Moreover, while Christian Music claims that the Bureau’s </w:t>
      </w:r>
      <w:r w:rsidR="00B437B1">
        <w:t xml:space="preserve">decision with respect to TIC </w:t>
      </w:r>
      <w:r w:rsidR="00D7731F">
        <w:t xml:space="preserve">was inconsistent with its action in </w:t>
      </w:r>
      <w:r w:rsidR="00421982">
        <w:rPr>
          <w:i/>
        </w:rPr>
        <w:t xml:space="preserve">The </w:t>
      </w:r>
      <w:r w:rsidR="00D7731F">
        <w:rPr>
          <w:i/>
        </w:rPr>
        <w:t>Helpline,</w:t>
      </w:r>
      <w:r w:rsidR="00D7731F">
        <w:t xml:space="preserve"> staff-level decisions are not binding on the Commission.  </w:t>
      </w:r>
      <w:r w:rsidR="00D7731F">
        <w:rPr>
          <w:i/>
        </w:rPr>
        <w:t>See Comcast Corp. v. FCC,</w:t>
      </w:r>
      <w:r w:rsidR="00D7731F">
        <w:t xml:space="preserve"> 526 F.3d 763, 769 (D.C.</w:t>
      </w:r>
      <w:r w:rsidR="00E564A5">
        <w:t xml:space="preserve"> </w:t>
      </w:r>
      <w:r w:rsidR="00D7731F">
        <w:t>Cir. 2008).</w:t>
      </w:r>
      <w:r w:rsidR="00B437B1">
        <w:t xml:space="preserve">  In any event, as noted above, the Bureau disavowed </w:t>
      </w:r>
      <w:r w:rsidR="00B437B1">
        <w:rPr>
          <w:i/>
        </w:rPr>
        <w:t xml:space="preserve">The Helpline </w:t>
      </w:r>
      <w:r w:rsidR="00B437B1">
        <w:t xml:space="preserve">decision.  </w:t>
      </w:r>
      <w:r w:rsidR="00B437B1">
        <w:rPr>
          <w:i/>
        </w:rPr>
        <w:t xml:space="preserve">See </w:t>
      </w:r>
      <w:r w:rsidR="00F74178">
        <w:rPr>
          <w:i/>
        </w:rPr>
        <w:t xml:space="preserve">2010 Staff Decision </w:t>
      </w:r>
      <w:r w:rsidR="00F74178" w:rsidRPr="00C61B6E">
        <w:t>at n.</w:t>
      </w:r>
      <w:r w:rsidR="00F74178">
        <w:rPr>
          <w:i/>
        </w:rPr>
        <w:t xml:space="preserve"> 15</w:t>
      </w:r>
      <w:r w:rsidR="00161B52">
        <w:t xml:space="preserve">; </w:t>
      </w:r>
      <w:r w:rsidR="00161B52">
        <w:rPr>
          <w:i/>
        </w:rPr>
        <w:t xml:space="preserve">see also </w:t>
      </w:r>
      <w:r w:rsidR="00B437B1">
        <w:rPr>
          <w:i/>
        </w:rPr>
        <w:t xml:space="preserve">2012 </w:t>
      </w:r>
      <w:r w:rsidR="00827ABD">
        <w:rPr>
          <w:i/>
        </w:rPr>
        <w:t>Staff</w:t>
      </w:r>
      <w:r w:rsidR="00B437B1">
        <w:rPr>
          <w:i/>
        </w:rPr>
        <w:t xml:space="preserve"> Decision </w:t>
      </w:r>
      <w:r w:rsidR="00B437B1">
        <w:t xml:space="preserve">at 5.  </w:t>
      </w:r>
      <w:r w:rsidR="000B622E">
        <w:t xml:space="preserve">   </w:t>
      </w:r>
      <w:r>
        <w:t xml:space="preserve">  </w:t>
      </w:r>
    </w:p>
  </w:footnote>
  <w:footnote w:id="15">
    <w:p w:rsidR="00DF0C23" w:rsidRDefault="00DF0C23">
      <w:pPr>
        <w:pStyle w:val="FootnoteText"/>
      </w:pPr>
      <w:r>
        <w:rPr>
          <w:rStyle w:val="FootnoteReference"/>
        </w:rPr>
        <w:footnoteRef/>
      </w:r>
      <w:r>
        <w:t xml:space="preserve"> AFR at 9-10</w:t>
      </w:r>
      <w:r w:rsidR="00F07C15">
        <w:t xml:space="preserve">.  </w:t>
      </w:r>
    </w:p>
  </w:footnote>
  <w:footnote w:id="16">
    <w:p w:rsidR="00DF0C23" w:rsidRDefault="00DF0C23">
      <w:pPr>
        <w:pStyle w:val="FootnoteText"/>
      </w:pPr>
      <w:r>
        <w:rPr>
          <w:rStyle w:val="FootnoteReference"/>
        </w:rPr>
        <w:footnoteRef/>
      </w:r>
      <w:r>
        <w:t xml:space="preserve"> AFR at 11-13, </w:t>
      </w:r>
      <w:r>
        <w:rPr>
          <w:i/>
        </w:rPr>
        <w:t>citing Melody Music, Inc. v. FCC</w:t>
      </w:r>
      <w:r>
        <w:t xml:space="preserve">, 345 F.2d 730 (D.C. Cir. 1965).  Christian Music also argues that the Bureau erred in finding its second petition for reconsideration procedurally defective.  AFR at 7-9.  Given that we have </w:t>
      </w:r>
      <w:r w:rsidR="00F07C15">
        <w:t>rejected Christian Music’s</w:t>
      </w:r>
      <w:r>
        <w:t xml:space="preserve"> arguments</w:t>
      </w:r>
      <w:r w:rsidR="00F07C15">
        <w:t xml:space="preserve"> on substantive grounds</w:t>
      </w:r>
      <w:r>
        <w:t xml:space="preserve">, we </w:t>
      </w:r>
      <w:r w:rsidR="00565B50">
        <w:t>find its</w:t>
      </w:r>
      <w:r>
        <w:t xml:space="preserve"> procedural </w:t>
      </w:r>
      <w:r w:rsidR="00F07C15">
        <w:t>argument</w:t>
      </w:r>
      <w:r w:rsidR="005343E9">
        <w:t xml:space="preserve"> to be </w:t>
      </w:r>
      <w:r w:rsidR="00565B50">
        <w:t>moot.</w:t>
      </w:r>
    </w:p>
  </w:footnote>
  <w:footnote w:id="17">
    <w:p w:rsidR="00DF0C23" w:rsidRPr="00E501BB" w:rsidRDefault="00DF0C23" w:rsidP="00ED1C63">
      <w:pPr>
        <w:pStyle w:val="FootnoteText"/>
      </w:pPr>
      <w:r w:rsidRPr="00E501BB">
        <w:rPr>
          <w:rStyle w:val="FootnoteReference"/>
        </w:rPr>
        <w:footnoteRef/>
      </w:r>
      <w:r w:rsidRPr="00E501BB">
        <w:t xml:space="preserve"> 47 U.S.C. § 155(c)(5).</w:t>
      </w:r>
    </w:p>
  </w:footnote>
  <w:footnote w:id="18">
    <w:p w:rsidR="00DF0C23" w:rsidRPr="00E501BB" w:rsidRDefault="00DF0C23" w:rsidP="00ED1C63">
      <w:pPr>
        <w:pStyle w:val="FootnoteText"/>
      </w:pPr>
      <w:r w:rsidRPr="00E501BB">
        <w:rPr>
          <w:rStyle w:val="FootnoteReference"/>
        </w:rPr>
        <w:footnoteRef/>
      </w:r>
      <w:r w:rsidRPr="00E501BB">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C6" w:rsidRDefault="00AE7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23" w:rsidRDefault="00DF0C23" w:rsidP="00810B6F">
    <w:pPr>
      <w:pStyle w:val="Header"/>
      <w:rPr>
        <w:b w:val="0"/>
      </w:rPr>
    </w:pPr>
    <w:r>
      <w:tab/>
      <w:t>Federal Com</w:t>
    </w:r>
    <w:r w:rsidR="00795C34">
      <w:t>munications Commission</w:t>
    </w:r>
    <w:r w:rsidR="00795C34">
      <w:tab/>
      <w:t>FCC 14-167</w:t>
    </w:r>
  </w:p>
  <w:p w:rsidR="00DF0C23" w:rsidRDefault="00F7417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2B0155E" wp14:editId="6830A05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F0C23" w:rsidRDefault="00DF0C2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23" w:rsidRDefault="00F74178"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F0C23">
      <w:tab/>
      <w:t>Federal Communications Commission</w:t>
    </w:r>
    <w:r w:rsidR="00DF0C23">
      <w:tab/>
    </w:r>
    <w:r w:rsidR="00DF0C23">
      <w:rPr>
        <w:spacing w:val="-2"/>
      </w:rPr>
      <w:t>FCC 14-</w:t>
    </w:r>
    <w:r w:rsidR="00795C34">
      <w:rPr>
        <w:spacing w:val="-2"/>
      </w:rPr>
      <w:t>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820646"/>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084F"/>
    <w:rsid w:val="0003155E"/>
    <w:rsid w:val="00036039"/>
    <w:rsid w:val="00037F90"/>
    <w:rsid w:val="000528E7"/>
    <w:rsid w:val="000636E2"/>
    <w:rsid w:val="00083A14"/>
    <w:rsid w:val="000875BF"/>
    <w:rsid w:val="00090AA0"/>
    <w:rsid w:val="0009404C"/>
    <w:rsid w:val="00094C2D"/>
    <w:rsid w:val="00096D8C"/>
    <w:rsid w:val="000B5C39"/>
    <w:rsid w:val="000B622E"/>
    <w:rsid w:val="000C0B65"/>
    <w:rsid w:val="000C64E7"/>
    <w:rsid w:val="000C7B27"/>
    <w:rsid w:val="000D2D9D"/>
    <w:rsid w:val="000E05FE"/>
    <w:rsid w:val="000E3D42"/>
    <w:rsid w:val="000E41A4"/>
    <w:rsid w:val="000F29E3"/>
    <w:rsid w:val="00122925"/>
    <w:rsid w:val="00122BD5"/>
    <w:rsid w:val="00122C08"/>
    <w:rsid w:val="00133F79"/>
    <w:rsid w:val="0013451E"/>
    <w:rsid w:val="0013473E"/>
    <w:rsid w:val="00140352"/>
    <w:rsid w:val="0014497C"/>
    <w:rsid w:val="001478D1"/>
    <w:rsid w:val="00161B52"/>
    <w:rsid w:val="00162E75"/>
    <w:rsid w:val="00194A66"/>
    <w:rsid w:val="00194CD6"/>
    <w:rsid w:val="001B17C4"/>
    <w:rsid w:val="001B6FB8"/>
    <w:rsid w:val="001D1DEA"/>
    <w:rsid w:val="001D6BCF"/>
    <w:rsid w:val="001E01CA"/>
    <w:rsid w:val="001E4292"/>
    <w:rsid w:val="001E7B56"/>
    <w:rsid w:val="001F4889"/>
    <w:rsid w:val="002125A7"/>
    <w:rsid w:val="00214063"/>
    <w:rsid w:val="00214A92"/>
    <w:rsid w:val="00231929"/>
    <w:rsid w:val="00241C6F"/>
    <w:rsid w:val="00250ECE"/>
    <w:rsid w:val="00255FFF"/>
    <w:rsid w:val="00266970"/>
    <w:rsid w:val="002721A1"/>
    <w:rsid w:val="00275CF5"/>
    <w:rsid w:val="0028301F"/>
    <w:rsid w:val="00285017"/>
    <w:rsid w:val="002A2D2E"/>
    <w:rsid w:val="002C00E8"/>
    <w:rsid w:val="002C360E"/>
    <w:rsid w:val="002D0757"/>
    <w:rsid w:val="002F0D2C"/>
    <w:rsid w:val="002F25A3"/>
    <w:rsid w:val="002F3DF4"/>
    <w:rsid w:val="00305272"/>
    <w:rsid w:val="003131EB"/>
    <w:rsid w:val="00343749"/>
    <w:rsid w:val="0034663D"/>
    <w:rsid w:val="00352CFE"/>
    <w:rsid w:val="003623F1"/>
    <w:rsid w:val="00363A19"/>
    <w:rsid w:val="00364873"/>
    <w:rsid w:val="003660ED"/>
    <w:rsid w:val="00366768"/>
    <w:rsid w:val="0038188F"/>
    <w:rsid w:val="00387346"/>
    <w:rsid w:val="003962B4"/>
    <w:rsid w:val="003968CD"/>
    <w:rsid w:val="003B0550"/>
    <w:rsid w:val="003B694F"/>
    <w:rsid w:val="003B7597"/>
    <w:rsid w:val="003C0718"/>
    <w:rsid w:val="003D3850"/>
    <w:rsid w:val="003D5F07"/>
    <w:rsid w:val="003E5E0F"/>
    <w:rsid w:val="003F171C"/>
    <w:rsid w:val="004042F9"/>
    <w:rsid w:val="00410C24"/>
    <w:rsid w:val="00411BDE"/>
    <w:rsid w:val="00412FC5"/>
    <w:rsid w:val="00421982"/>
    <w:rsid w:val="00422276"/>
    <w:rsid w:val="004242F1"/>
    <w:rsid w:val="00424690"/>
    <w:rsid w:val="00442D1C"/>
    <w:rsid w:val="004440F9"/>
    <w:rsid w:val="00445A00"/>
    <w:rsid w:val="00451B0F"/>
    <w:rsid w:val="004558FB"/>
    <w:rsid w:val="0046523E"/>
    <w:rsid w:val="0046711A"/>
    <w:rsid w:val="0047735D"/>
    <w:rsid w:val="0047795E"/>
    <w:rsid w:val="00492430"/>
    <w:rsid w:val="004A1A4E"/>
    <w:rsid w:val="004C2EE3"/>
    <w:rsid w:val="004E3673"/>
    <w:rsid w:val="004E4A22"/>
    <w:rsid w:val="004E62E3"/>
    <w:rsid w:val="004F2394"/>
    <w:rsid w:val="004F4CB4"/>
    <w:rsid w:val="00501196"/>
    <w:rsid w:val="00507B8C"/>
    <w:rsid w:val="00511814"/>
    <w:rsid w:val="00511968"/>
    <w:rsid w:val="00516A8D"/>
    <w:rsid w:val="0051774D"/>
    <w:rsid w:val="005177AB"/>
    <w:rsid w:val="005343E9"/>
    <w:rsid w:val="0055614C"/>
    <w:rsid w:val="00565B50"/>
    <w:rsid w:val="005668F8"/>
    <w:rsid w:val="0057176D"/>
    <w:rsid w:val="00595BF9"/>
    <w:rsid w:val="005B2D6A"/>
    <w:rsid w:val="005B3623"/>
    <w:rsid w:val="005B3C67"/>
    <w:rsid w:val="005B5144"/>
    <w:rsid w:val="005B614D"/>
    <w:rsid w:val="005C1A39"/>
    <w:rsid w:val="005C7DDE"/>
    <w:rsid w:val="005D74FE"/>
    <w:rsid w:val="005E14C2"/>
    <w:rsid w:val="005E4A6F"/>
    <w:rsid w:val="005E7473"/>
    <w:rsid w:val="0060646F"/>
    <w:rsid w:val="00607BA5"/>
    <w:rsid w:val="0061180A"/>
    <w:rsid w:val="00617243"/>
    <w:rsid w:val="0062040A"/>
    <w:rsid w:val="006241D2"/>
    <w:rsid w:val="00626BAD"/>
    <w:rsid w:val="00626EB6"/>
    <w:rsid w:val="00634355"/>
    <w:rsid w:val="006426E1"/>
    <w:rsid w:val="0064328C"/>
    <w:rsid w:val="00646CD5"/>
    <w:rsid w:val="00654E2C"/>
    <w:rsid w:val="00655D03"/>
    <w:rsid w:val="00683388"/>
    <w:rsid w:val="00683F84"/>
    <w:rsid w:val="00690A43"/>
    <w:rsid w:val="006934BC"/>
    <w:rsid w:val="006A6A81"/>
    <w:rsid w:val="006A71CB"/>
    <w:rsid w:val="006B3713"/>
    <w:rsid w:val="006C10C1"/>
    <w:rsid w:val="006C26BB"/>
    <w:rsid w:val="006C6FEF"/>
    <w:rsid w:val="006D349B"/>
    <w:rsid w:val="006D4665"/>
    <w:rsid w:val="006D5D88"/>
    <w:rsid w:val="006E42E4"/>
    <w:rsid w:val="006F23CF"/>
    <w:rsid w:val="006F7393"/>
    <w:rsid w:val="0070224F"/>
    <w:rsid w:val="007115F7"/>
    <w:rsid w:val="00720BAE"/>
    <w:rsid w:val="007321BF"/>
    <w:rsid w:val="00734E43"/>
    <w:rsid w:val="007505EA"/>
    <w:rsid w:val="007611E9"/>
    <w:rsid w:val="00781C8B"/>
    <w:rsid w:val="007822E9"/>
    <w:rsid w:val="00782688"/>
    <w:rsid w:val="00785689"/>
    <w:rsid w:val="00785CD1"/>
    <w:rsid w:val="0079367E"/>
    <w:rsid w:val="00794B38"/>
    <w:rsid w:val="00795C34"/>
    <w:rsid w:val="0079754B"/>
    <w:rsid w:val="007A1E6D"/>
    <w:rsid w:val="007A7100"/>
    <w:rsid w:val="007B0EB2"/>
    <w:rsid w:val="007C017E"/>
    <w:rsid w:val="007D0AC0"/>
    <w:rsid w:val="007E0BA0"/>
    <w:rsid w:val="007E1519"/>
    <w:rsid w:val="007E417E"/>
    <w:rsid w:val="007F4B30"/>
    <w:rsid w:val="0080201A"/>
    <w:rsid w:val="00810B6F"/>
    <w:rsid w:val="00813483"/>
    <w:rsid w:val="00822CE0"/>
    <w:rsid w:val="00827ABD"/>
    <w:rsid w:val="00830F22"/>
    <w:rsid w:val="00833D96"/>
    <w:rsid w:val="00841AB1"/>
    <w:rsid w:val="00842110"/>
    <w:rsid w:val="00846ADC"/>
    <w:rsid w:val="00864F5C"/>
    <w:rsid w:val="00882963"/>
    <w:rsid w:val="008B1BF9"/>
    <w:rsid w:val="008C292E"/>
    <w:rsid w:val="008C52F1"/>
    <w:rsid w:val="008C68F1"/>
    <w:rsid w:val="008D2177"/>
    <w:rsid w:val="008D5398"/>
    <w:rsid w:val="008E4E2C"/>
    <w:rsid w:val="008E553C"/>
    <w:rsid w:val="008F183B"/>
    <w:rsid w:val="0090297A"/>
    <w:rsid w:val="009106B2"/>
    <w:rsid w:val="00912C1B"/>
    <w:rsid w:val="00921803"/>
    <w:rsid w:val="00926503"/>
    <w:rsid w:val="00945F0F"/>
    <w:rsid w:val="00953FDF"/>
    <w:rsid w:val="009675E2"/>
    <w:rsid w:val="009726D8"/>
    <w:rsid w:val="009815B1"/>
    <w:rsid w:val="0098298D"/>
    <w:rsid w:val="009923EB"/>
    <w:rsid w:val="009A39AC"/>
    <w:rsid w:val="009B1C46"/>
    <w:rsid w:val="009C0956"/>
    <w:rsid w:val="009C5BEF"/>
    <w:rsid w:val="009D1D44"/>
    <w:rsid w:val="009D2366"/>
    <w:rsid w:val="009D27FE"/>
    <w:rsid w:val="009E14C9"/>
    <w:rsid w:val="009E6AE0"/>
    <w:rsid w:val="009F03C5"/>
    <w:rsid w:val="009F06F1"/>
    <w:rsid w:val="009F119E"/>
    <w:rsid w:val="009F76DB"/>
    <w:rsid w:val="00A0401B"/>
    <w:rsid w:val="00A16840"/>
    <w:rsid w:val="00A25911"/>
    <w:rsid w:val="00A3192E"/>
    <w:rsid w:val="00A32C3B"/>
    <w:rsid w:val="00A45F4F"/>
    <w:rsid w:val="00A600A9"/>
    <w:rsid w:val="00A61085"/>
    <w:rsid w:val="00A62F0A"/>
    <w:rsid w:val="00A64B49"/>
    <w:rsid w:val="00A71B74"/>
    <w:rsid w:val="00A832F8"/>
    <w:rsid w:val="00A86566"/>
    <w:rsid w:val="00A901A9"/>
    <w:rsid w:val="00AA55B7"/>
    <w:rsid w:val="00AA5B9E"/>
    <w:rsid w:val="00AB2407"/>
    <w:rsid w:val="00AB3DF3"/>
    <w:rsid w:val="00AB53DF"/>
    <w:rsid w:val="00AD4DA5"/>
    <w:rsid w:val="00AD56D1"/>
    <w:rsid w:val="00AD59FF"/>
    <w:rsid w:val="00AE01FF"/>
    <w:rsid w:val="00AE20BC"/>
    <w:rsid w:val="00AE79C6"/>
    <w:rsid w:val="00AF2179"/>
    <w:rsid w:val="00B01E68"/>
    <w:rsid w:val="00B04B79"/>
    <w:rsid w:val="00B04C63"/>
    <w:rsid w:val="00B07E5C"/>
    <w:rsid w:val="00B129CD"/>
    <w:rsid w:val="00B14807"/>
    <w:rsid w:val="00B2116F"/>
    <w:rsid w:val="00B26CB3"/>
    <w:rsid w:val="00B332CC"/>
    <w:rsid w:val="00B40FFA"/>
    <w:rsid w:val="00B437B1"/>
    <w:rsid w:val="00B51E0F"/>
    <w:rsid w:val="00B811F7"/>
    <w:rsid w:val="00B9011A"/>
    <w:rsid w:val="00B922E2"/>
    <w:rsid w:val="00BA5DC6"/>
    <w:rsid w:val="00BA6196"/>
    <w:rsid w:val="00BB1E5D"/>
    <w:rsid w:val="00BB2DE7"/>
    <w:rsid w:val="00BC5C3D"/>
    <w:rsid w:val="00BC6D8C"/>
    <w:rsid w:val="00BD12E3"/>
    <w:rsid w:val="00BD1DBA"/>
    <w:rsid w:val="00BD33A4"/>
    <w:rsid w:val="00BE4ACE"/>
    <w:rsid w:val="00BE7A5F"/>
    <w:rsid w:val="00BF0A7E"/>
    <w:rsid w:val="00BF2FD3"/>
    <w:rsid w:val="00BF570C"/>
    <w:rsid w:val="00C10C79"/>
    <w:rsid w:val="00C133EE"/>
    <w:rsid w:val="00C1503B"/>
    <w:rsid w:val="00C177B9"/>
    <w:rsid w:val="00C22099"/>
    <w:rsid w:val="00C24DF7"/>
    <w:rsid w:val="00C320E1"/>
    <w:rsid w:val="00C32E08"/>
    <w:rsid w:val="00C34006"/>
    <w:rsid w:val="00C34932"/>
    <w:rsid w:val="00C426B1"/>
    <w:rsid w:val="00C61727"/>
    <w:rsid w:val="00C61B6E"/>
    <w:rsid w:val="00C65284"/>
    <w:rsid w:val="00C66160"/>
    <w:rsid w:val="00C708FF"/>
    <w:rsid w:val="00C721AC"/>
    <w:rsid w:val="00C76531"/>
    <w:rsid w:val="00C90D6A"/>
    <w:rsid w:val="00CA247E"/>
    <w:rsid w:val="00CA5513"/>
    <w:rsid w:val="00CC72B6"/>
    <w:rsid w:val="00CD337D"/>
    <w:rsid w:val="00CD6988"/>
    <w:rsid w:val="00CE1B40"/>
    <w:rsid w:val="00CE467E"/>
    <w:rsid w:val="00CF0D91"/>
    <w:rsid w:val="00D015B1"/>
    <w:rsid w:val="00D0218D"/>
    <w:rsid w:val="00D02441"/>
    <w:rsid w:val="00D04632"/>
    <w:rsid w:val="00D14623"/>
    <w:rsid w:val="00D24BB5"/>
    <w:rsid w:val="00D25FB5"/>
    <w:rsid w:val="00D31CAF"/>
    <w:rsid w:val="00D41C94"/>
    <w:rsid w:val="00D44223"/>
    <w:rsid w:val="00D62C33"/>
    <w:rsid w:val="00D67680"/>
    <w:rsid w:val="00D7731F"/>
    <w:rsid w:val="00D941B9"/>
    <w:rsid w:val="00DA1328"/>
    <w:rsid w:val="00DA2529"/>
    <w:rsid w:val="00DB130A"/>
    <w:rsid w:val="00DB2EBB"/>
    <w:rsid w:val="00DB3896"/>
    <w:rsid w:val="00DB6BF4"/>
    <w:rsid w:val="00DB7774"/>
    <w:rsid w:val="00DC0471"/>
    <w:rsid w:val="00DC0E91"/>
    <w:rsid w:val="00DC10A1"/>
    <w:rsid w:val="00DC19F9"/>
    <w:rsid w:val="00DC655F"/>
    <w:rsid w:val="00DD0B59"/>
    <w:rsid w:val="00DD66CF"/>
    <w:rsid w:val="00DD7EBD"/>
    <w:rsid w:val="00DE0C4B"/>
    <w:rsid w:val="00DF0C23"/>
    <w:rsid w:val="00DF62B6"/>
    <w:rsid w:val="00DF7F26"/>
    <w:rsid w:val="00E07225"/>
    <w:rsid w:val="00E077A7"/>
    <w:rsid w:val="00E10B58"/>
    <w:rsid w:val="00E21345"/>
    <w:rsid w:val="00E26F43"/>
    <w:rsid w:val="00E32530"/>
    <w:rsid w:val="00E44478"/>
    <w:rsid w:val="00E52B93"/>
    <w:rsid w:val="00E5409F"/>
    <w:rsid w:val="00E564A5"/>
    <w:rsid w:val="00E64334"/>
    <w:rsid w:val="00E66A17"/>
    <w:rsid w:val="00E73963"/>
    <w:rsid w:val="00E7439C"/>
    <w:rsid w:val="00E82ADA"/>
    <w:rsid w:val="00EA12BC"/>
    <w:rsid w:val="00EB030B"/>
    <w:rsid w:val="00EB4BD1"/>
    <w:rsid w:val="00EB633D"/>
    <w:rsid w:val="00ED1C63"/>
    <w:rsid w:val="00ED32A7"/>
    <w:rsid w:val="00EE569A"/>
    <w:rsid w:val="00EE6488"/>
    <w:rsid w:val="00EF1FC0"/>
    <w:rsid w:val="00EF276B"/>
    <w:rsid w:val="00EF7D44"/>
    <w:rsid w:val="00F021FA"/>
    <w:rsid w:val="00F07C15"/>
    <w:rsid w:val="00F315CA"/>
    <w:rsid w:val="00F318F3"/>
    <w:rsid w:val="00F60D82"/>
    <w:rsid w:val="00F62E97"/>
    <w:rsid w:val="00F64209"/>
    <w:rsid w:val="00F65E61"/>
    <w:rsid w:val="00F70BAE"/>
    <w:rsid w:val="00F70C7C"/>
    <w:rsid w:val="00F74178"/>
    <w:rsid w:val="00F77357"/>
    <w:rsid w:val="00F803B2"/>
    <w:rsid w:val="00F84455"/>
    <w:rsid w:val="00F92188"/>
    <w:rsid w:val="00F93BF5"/>
    <w:rsid w:val="00FB1DBB"/>
    <w:rsid w:val="00FD1A3B"/>
    <w:rsid w:val="00FD64EB"/>
    <w:rsid w:val="00FF6F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328"/>
    <w:pPr>
      <w:widowControl w:val="0"/>
    </w:pPr>
    <w:rPr>
      <w:snapToGrid w:val="0"/>
      <w:kern w:val="28"/>
      <w:sz w:val="22"/>
    </w:rPr>
  </w:style>
  <w:style w:type="paragraph" w:styleId="Heading1">
    <w:name w:val="heading 1"/>
    <w:basedOn w:val="Normal"/>
    <w:next w:val="ParaNum"/>
    <w:qFormat/>
    <w:rsid w:val="00DA132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A1328"/>
    <w:pPr>
      <w:keepNext/>
      <w:numPr>
        <w:ilvl w:val="1"/>
        <w:numId w:val="3"/>
      </w:numPr>
      <w:spacing w:after="120"/>
      <w:outlineLvl w:val="1"/>
    </w:pPr>
    <w:rPr>
      <w:b/>
    </w:rPr>
  </w:style>
  <w:style w:type="paragraph" w:styleId="Heading3">
    <w:name w:val="heading 3"/>
    <w:basedOn w:val="Normal"/>
    <w:next w:val="ParaNum"/>
    <w:qFormat/>
    <w:rsid w:val="00DA1328"/>
    <w:pPr>
      <w:keepNext/>
      <w:numPr>
        <w:ilvl w:val="2"/>
        <w:numId w:val="3"/>
      </w:numPr>
      <w:tabs>
        <w:tab w:val="left" w:pos="2160"/>
      </w:tabs>
      <w:spacing w:after="120"/>
      <w:outlineLvl w:val="2"/>
    </w:pPr>
    <w:rPr>
      <w:b/>
    </w:rPr>
  </w:style>
  <w:style w:type="paragraph" w:styleId="Heading4">
    <w:name w:val="heading 4"/>
    <w:basedOn w:val="Normal"/>
    <w:next w:val="ParaNum"/>
    <w:qFormat/>
    <w:rsid w:val="00DA1328"/>
    <w:pPr>
      <w:keepNext/>
      <w:numPr>
        <w:ilvl w:val="3"/>
        <w:numId w:val="3"/>
      </w:numPr>
      <w:tabs>
        <w:tab w:val="left" w:pos="2880"/>
      </w:tabs>
      <w:spacing w:after="120"/>
      <w:outlineLvl w:val="3"/>
    </w:pPr>
    <w:rPr>
      <w:b/>
    </w:rPr>
  </w:style>
  <w:style w:type="paragraph" w:styleId="Heading5">
    <w:name w:val="heading 5"/>
    <w:basedOn w:val="Normal"/>
    <w:next w:val="ParaNum"/>
    <w:qFormat/>
    <w:rsid w:val="00DA132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A1328"/>
    <w:pPr>
      <w:numPr>
        <w:ilvl w:val="5"/>
        <w:numId w:val="3"/>
      </w:numPr>
      <w:tabs>
        <w:tab w:val="left" w:pos="4320"/>
      </w:tabs>
      <w:spacing w:after="120"/>
      <w:outlineLvl w:val="5"/>
    </w:pPr>
    <w:rPr>
      <w:b/>
    </w:rPr>
  </w:style>
  <w:style w:type="paragraph" w:styleId="Heading7">
    <w:name w:val="heading 7"/>
    <w:basedOn w:val="Normal"/>
    <w:next w:val="ParaNum"/>
    <w:qFormat/>
    <w:rsid w:val="00DA132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A132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A132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13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1328"/>
  </w:style>
  <w:style w:type="paragraph" w:styleId="BalloonText">
    <w:name w:val="Balloon Text"/>
    <w:basedOn w:val="Normal"/>
    <w:link w:val="BalloonTextChar1"/>
    <w:rsid w:val="00654E2C"/>
    <w:rPr>
      <w:rFonts w:ascii="Tahoma" w:hAnsi="Tahoma" w:cs="Tahoma"/>
      <w:sz w:val="16"/>
      <w:szCs w:val="16"/>
    </w:rPr>
  </w:style>
  <w:style w:type="character" w:customStyle="1" w:styleId="BalloonTextChar">
    <w:name w:val="Balloon Text Char"/>
    <w:basedOn w:val="DefaultParagraphFont"/>
    <w:uiPriority w:val="99"/>
    <w:semiHidden/>
    <w:rsid w:val="002B2CDF"/>
    <w:rPr>
      <w:rFonts w:ascii="Lucida Grande" w:hAnsi="Lucida Grande"/>
      <w:sz w:val="18"/>
      <w:szCs w:val="18"/>
    </w:rPr>
  </w:style>
  <w:style w:type="character" w:customStyle="1" w:styleId="BalloonTextChar0">
    <w:name w:val="Balloon Text Char"/>
    <w:basedOn w:val="DefaultParagraphFont"/>
    <w:uiPriority w:val="99"/>
    <w:semiHidden/>
    <w:rsid w:val="002B2CDF"/>
    <w:rPr>
      <w:rFonts w:ascii="Lucida Grande" w:hAnsi="Lucida Grande"/>
      <w:sz w:val="18"/>
      <w:szCs w:val="18"/>
    </w:rPr>
  </w:style>
  <w:style w:type="paragraph" w:customStyle="1" w:styleId="ParaNum">
    <w:name w:val="ParaNum"/>
    <w:basedOn w:val="Normal"/>
    <w:link w:val="ParaNumChar"/>
    <w:rsid w:val="00DA1328"/>
    <w:pPr>
      <w:numPr>
        <w:numId w:val="2"/>
      </w:numPr>
      <w:tabs>
        <w:tab w:val="clear" w:pos="1080"/>
        <w:tab w:val="num" w:pos="1440"/>
      </w:tabs>
      <w:spacing w:after="120"/>
    </w:pPr>
  </w:style>
  <w:style w:type="paragraph" w:styleId="EndnoteText">
    <w:name w:val="endnote text"/>
    <w:basedOn w:val="Normal"/>
    <w:semiHidden/>
    <w:rsid w:val="00DA1328"/>
    <w:rPr>
      <w:sz w:val="20"/>
    </w:rPr>
  </w:style>
  <w:style w:type="character" w:styleId="EndnoteReference">
    <w:name w:val="endnote reference"/>
    <w:semiHidden/>
    <w:rsid w:val="00DA1328"/>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DA1328"/>
    <w:pPr>
      <w:spacing w:after="120"/>
    </w:pPr>
  </w:style>
  <w:style w:type="character" w:styleId="FootnoteReference">
    <w:name w:val="footnote reference"/>
    <w:aliases w:val="Style 12,(NECG) Footnote Reference,Appel note de bas de p,Style 124,o,fr,Style 3,Style 13"/>
    <w:rsid w:val="00DA1328"/>
    <w:rPr>
      <w:rFonts w:ascii="Times New Roman" w:hAnsi="Times New Roman"/>
      <w:dstrike w:val="0"/>
      <w:color w:val="auto"/>
      <w:sz w:val="20"/>
      <w:vertAlign w:val="superscript"/>
    </w:rPr>
  </w:style>
  <w:style w:type="paragraph" w:styleId="TOC1">
    <w:name w:val="toc 1"/>
    <w:basedOn w:val="Normal"/>
    <w:next w:val="Normal"/>
    <w:semiHidden/>
    <w:rsid w:val="00DA132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A1328"/>
    <w:pPr>
      <w:tabs>
        <w:tab w:val="left" w:pos="720"/>
        <w:tab w:val="right" w:leader="dot" w:pos="9360"/>
      </w:tabs>
      <w:suppressAutoHyphens/>
      <w:ind w:left="720" w:right="720" w:hanging="360"/>
    </w:pPr>
    <w:rPr>
      <w:noProof/>
    </w:rPr>
  </w:style>
  <w:style w:type="paragraph" w:styleId="TOC3">
    <w:name w:val="toc 3"/>
    <w:basedOn w:val="Normal"/>
    <w:next w:val="Normal"/>
    <w:semiHidden/>
    <w:rsid w:val="00DA132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A132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A132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A13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A13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A13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A132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A1328"/>
    <w:pPr>
      <w:tabs>
        <w:tab w:val="right" w:pos="9360"/>
      </w:tabs>
      <w:suppressAutoHyphens/>
    </w:pPr>
  </w:style>
  <w:style w:type="character" w:customStyle="1" w:styleId="EquationCaption">
    <w:name w:val="_Equation Caption"/>
    <w:rsid w:val="00DA1328"/>
  </w:style>
  <w:style w:type="paragraph" w:styleId="Header">
    <w:name w:val="header"/>
    <w:basedOn w:val="Normal"/>
    <w:autoRedefine/>
    <w:rsid w:val="00DA1328"/>
    <w:pPr>
      <w:tabs>
        <w:tab w:val="center" w:pos="4680"/>
        <w:tab w:val="right" w:pos="9360"/>
      </w:tabs>
    </w:pPr>
    <w:rPr>
      <w:b/>
    </w:rPr>
  </w:style>
  <w:style w:type="paragraph" w:styleId="Footer">
    <w:name w:val="footer"/>
    <w:basedOn w:val="Normal"/>
    <w:rsid w:val="00DA1328"/>
    <w:pPr>
      <w:tabs>
        <w:tab w:val="center" w:pos="4320"/>
        <w:tab w:val="right" w:pos="8640"/>
      </w:tabs>
    </w:pPr>
  </w:style>
  <w:style w:type="character" w:styleId="PageNumber">
    <w:name w:val="page number"/>
    <w:basedOn w:val="DefaultParagraphFont"/>
    <w:rsid w:val="00DA1328"/>
  </w:style>
  <w:style w:type="paragraph" w:styleId="BlockText">
    <w:name w:val="Block Text"/>
    <w:basedOn w:val="Normal"/>
    <w:rsid w:val="00DA1328"/>
    <w:pPr>
      <w:spacing w:after="240"/>
      <w:ind w:left="1440" w:right="1440"/>
    </w:pPr>
  </w:style>
  <w:style w:type="paragraph" w:customStyle="1" w:styleId="Paratitle">
    <w:name w:val="Para title"/>
    <w:basedOn w:val="Normal"/>
    <w:rsid w:val="00DA1328"/>
    <w:pPr>
      <w:tabs>
        <w:tab w:val="center" w:pos="9270"/>
      </w:tabs>
      <w:spacing w:after="240"/>
    </w:pPr>
    <w:rPr>
      <w:spacing w:val="-2"/>
    </w:rPr>
  </w:style>
  <w:style w:type="paragraph" w:customStyle="1" w:styleId="Bullet">
    <w:name w:val="Bullet"/>
    <w:basedOn w:val="Normal"/>
    <w:rsid w:val="00DA1328"/>
    <w:pPr>
      <w:tabs>
        <w:tab w:val="left" w:pos="2160"/>
      </w:tabs>
      <w:spacing w:after="220"/>
      <w:ind w:left="2160" w:hanging="720"/>
    </w:pPr>
  </w:style>
  <w:style w:type="paragraph" w:customStyle="1" w:styleId="TableFormat">
    <w:name w:val="TableFormat"/>
    <w:basedOn w:val="Bullet"/>
    <w:rsid w:val="00DA1328"/>
    <w:pPr>
      <w:tabs>
        <w:tab w:val="clear" w:pos="2160"/>
        <w:tab w:val="left" w:pos="5040"/>
      </w:tabs>
      <w:ind w:left="5040" w:hanging="3600"/>
    </w:pPr>
  </w:style>
  <w:style w:type="paragraph" w:customStyle="1" w:styleId="TOCTitle">
    <w:name w:val="TOC Title"/>
    <w:basedOn w:val="Normal"/>
    <w:rsid w:val="00DA13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1328"/>
    <w:pPr>
      <w:jc w:val="center"/>
    </w:pPr>
    <w:rPr>
      <w:rFonts w:ascii="Times New Roman Bold" w:hAnsi="Times New Roman Bold"/>
      <w:b/>
      <w:bCs/>
      <w:caps/>
      <w:szCs w:val="22"/>
    </w:rPr>
  </w:style>
  <w:style w:type="character" w:styleId="Hyperlink">
    <w:name w:val="Hyperlink"/>
    <w:rsid w:val="00DA1328"/>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character" w:customStyle="1" w:styleId="BalloonTextChar1">
    <w:name w:val="Balloon Text Char1"/>
    <w:basedOn w:val="DefaultParagraphFont"/>
    <w:link w:val="BalloonText"/>
    <w:rsid w:val="00654E2C"/>
    <w:rPr>
      <w:rFonts w:ascii="Tahoma" w:hAnsi="Tahoma" w:cs="Tahoma"/>
      <w:snapToGrid w:val="0"/>
      <w:kern w:val="28"/>
      <w:sz w:val="16"/>
      <w:szCs w:val="16"/>
    </w:rPr>
  </w:style>
  <w:style w:type="character" w:customStyle="1" w:styleId="rrfootnoteChar">
    <w:name w:val="rrfootnote Char"/>
    <w:aliases w:val="Footnote Text Char Char Char,rrfootnote Char Char Char,Footnote Text Char Char Char Char Char,rrfootnote Char Char Char Char Char,Footnote Text Ch Char"/>
    <w:rsid w:val="00E26F43"/>
    <w:rPr>
      <w:lang w:val="en-US" w:eastAsia="en-US" w:bidi="ar-SA"/>
    </w:rPr>
  </w:style>
  <w:style w:type="character" w:styleId="CommentReference">
    <w:name w:val="annotation reference"/>
    <w:basedOn w:val="DefaultParagraphFont"/>
    <w:rsid w:val="006D5D88"/>
    <w:rPr>
      <w:sz w:val="16"/>
      <w:szCs w:val="16"/>
    </w:rPr>
  </w:style>
  <w:style w:type="paragraph" w:styleId="CommentText">
    <w:name w:val="annotation text"/>
    <w:basedOn w:val="Normal"/>
    <w:link w:val="CommentTextChar"/>
    <w:rsid w:val="006D5D88"/>
    <w:rPr>
      <w:sz w:val="20"/>
    </w:rPr>
  </w:style>
  <w:style w:type="character" w:customStyle="1" w:styleId="CommentTextChar">
    <w:name w:val="Comment Text Char"/>
    <w:basedOn w:val="DefaultParagraphFont"/>
    <w:link w:val="CommentText"/>
    <w:rsid w:val="006D5D88"/>
    <w:rPr>
      <w:snapToGrid w:val="0"/>
      <w:kern w:val="28"/>
    </w:rPr>
  </w:style>
  <w:style w:type="paragraph" w:styleId="CommentSubject">
    <w:name w:val="annotation subject"/>
    <w:basedOn w:val="CommentText"/>
    <w:next w:val="CommentText"/>
    <w:link w:val="CommentSubjectChar"/>
    <w:rsid w:val="006D5D88"/>
    <w:rPr>
      <w:b/>
      <w:bCs/>
    </w:rPr>
  </w:style>
  <w:style w:type="character" w:customStyle="1" w:styleId="CommentSubjectChar">
    <w:name w:val="Comment Subject Char"/>
    <w:basedOn w:val="CommentTextChar"/>
    <w:link w:val="CommentSubject"/>
    <w:rsid w:val="006D5D88"/>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328"/>
    <w:pPr>
      <w:widowControl w:val="0"/>
    </w:pPr>
    <w:rPr>
      <w:snapToGrid w:val="0"/>
      <w:kern w:val="28"/>
      <w:sz w:val="22"/>
    </w:rPr>
  </w:style>
  <w:style w:type="paragraph" w:styleId="Heading1">
    <w:name w:val="heading 1"/>
    <w:basedOn w:val="Normal"/>
    <w:next w:val="ParaNum"/>
    <w:qFormat/>
    <w:rsid w:val="00DA132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A1328"/>
    <w:pPr>
      <w:keepNext/>
      <w:numPr>
        <w:ilvl w:val="1"/>
        <w:numId w:val="3"/>
      </w:numPr>
      <w:spacing w:after="120"/>
      <w:outlineLvl w:val="1"/>
    </w:pPr>
    <w:rPr>
      <w:b/>
    </w:rPr>
  </w:style>
  <w:style w:type="paragraph" w:styleId="Heading3">
    <w:name w:val="heading 3"/>
    <w:basedOn w:val="Normal"/>
    <w:next w:val="ParaNum"/>
    <w:qFormat/>
    <w:rsid w:val="00DA1328"/>
    <w:pPr>
      <w:keepNext/>
      <w:numPr>
        <w:ilvl w:val="2"/>
        <w:numId w:val="3"/>
      </w:numPr>
      <w:tabs>
        <w:tab w:val="left" w:pos="2160"/>
      </w:tabs>
      <w:spacing w:after="120"/>
      <w:outlineLvl w:val="2"/>
    </w:pPr>
    <w:rPr>
      <w:b/>
    </w:rPr>
  </w:style>
  <w:style w:type="paragraph" w:styleId="Heading4">
    <w:name w:val="heading 4"/>
    <w:basedOn w:val="Normal"/>
    <w:next w:val="ParaNum"/>
    <w:qFormat/>
    <w:rsid w:val="00DA1328"/>
    <w:pPr>
      <w:keepNext/>
      <w:numPr>
        <w:ilvl w:val="3"/>
        <w:numId w:val="3"/>
      </w:numPr>
      <w:tabs>
        <w:tab w:val="left" w:pos="2880"/>
      </w:tabs>
      <w:spacing w:after="120"/>
      <w:outlineLvl w:val="3"/>
    </w:pPr>
    <w:rPr>
      <w:b/>
    </w:rPr>
  </w:style>
  <w:style w:type="paragraph" w:styleId="Heading5">
    <w:name w:val="heading 5"/>
    <w:basedOn w:val="Normal"/>
    <w:next w:val="ParaNum"/>
    <w:qFormat/>
    <w:rsid w:val="00DA132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A1328"/>
    <w:pPr>
      <w:numPr>
        <w:ilvl w:val="5"/>
        <w:numId w:val="3"/>
      </w:numPr>
      <w:tabs>
        <w:tab w:val="left" w:pos="4320"/>
      </w:tabs>
      <w:spacing w:after="120"/>
      <w:outlineLvl w:val="5"/>
    </w:pPr>
    <w:rPr>
      <w:b/>
    </w:rPr>
  </w:style>
  <w:style w:type="paragraph" w:styleId="Heading7">
    <w:name w:val="heading 7"/>
    <w:basedOn w:val="Normal"/>
    <w:next w:val="ParaNum"/>
    <w:qFormat/>
    <w:rsid w:val="00DA132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A132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A132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13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1328"/>
  </w:style>
  <w:style w:type="paragraph" w:styleId="BalloonText">
    <w:name w:val="Balloon Text"/>
    <w:basedOn w:val="Normal"/>
    <w:link w:val="BalloonTextChar1"/>
    <w:rsid w:val="00654E2C"/>
    <w:rPr>
      <w:rFonts w:ascii="Tahoma" w:hAnsi="Tahoma" w:cs="Tahoma"/>
      <w:sz w:val="16"/>
      <w:szCs w:val="16"/>
    </w:rPr>
  </w:style>
  <w:style w:type="character" w:customStyle="1" w:styleId="BalloonTextChar">
    <w:name w:val="Balloon Text Char"/>
    <w:basedOn w:val="DefaultParagraphFont"/>
    <w:uiPriority w:val="99"/>
    <w:semiHidden/>
    <w:rsid w:val="002B2CDF"/>
    <w:rPr>
      <w:rFonts w:ascii="Lucida Grande" w:hAnsi="Lucida Grande"/>
      <w:sz w:val="18"/>
      <w:szCs w:val="18"/>
    </w:rPr>
  </w:style>
  <w:style w:type="character" w:customStyle="1" w:styleId="BalloonTextChar0">
    <w:name w:val="Balloon Text Char"/>
    <w:basedOn w:val="DefaultParagraphFont"/>
    <w:uiPriority w:val="99"/>
    <w:semiHidden/>
    <w:rsid w:val="002B2CDF"/>
    <w:rPr>
      <w:rFonts w:ascii="Lucida Grande" w:hAnsi="Lucida Grande"/>
      <w:sz w:val="18"/>
      <w:szCs w:val="18"/>
    </w:rPr>
  </w:style>
  <w:style w:type="paragraph" w:customStyle="1" w:styleId="ParaNum">
    <w:name w:val="ParaNum"/>
    <w:basedOn w:val="Normal"/>
    <w:link w:val="ParaNumChar"/>
    <w:rsid w:val="00DA1328"/>
    <w:pPr>
      <w:numPr>
        <w:numId w:val="2"/>
      </w:numPr>
      <w:tabs>
        <w:tab w:val="clear" w:pos="1080"/>
        <w:tab w:val="num" w:pos="1440"/>
      </w:tabs>
      <w:spacing w:after="120"/>
    </w:pPr>
  </w:style>
  <w:style w:type="paragraph" w:styleId="EndnoteText">
    <w:name w:val="endnote text"/>
    <w:basedOn w:val="Normal"/>
    <w:semiHidden/>
    <w:rsid w:val="00DA1328"/>
    <w:rPr>
      <w:sz w:val="20"/>
    </w:rPr>
  </w:style>
  <w:style w:type="character" w:styleId="EndnoteReference">
    <w:name w:val="endnote reference"/>
    <w:semiHidden/>
    <w:rsid w:val="00DA1328"/>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DA1328"/>
    <w:pPr>
      <w:spacing w:after="120"/>
    </w:pPr>
  </w:style>
  <w:style w:type="character" w:styleId="FootnoteReference">
    <w:name w:val="footnote reference"/>
    <w:aliases w:val="Style 12,(NECG) Footnote Reference,Appel note de bas de p,Style 124,o,fr,Style 3,Style 13"/>
    <w:rsid w:val="00DA1328"/>
    <w:rPr>
      <w:rFonts w:ascii="Times New Roman" w:hAnsi="Times New Roman"/>
      <w:dstrike w:val="0"/>
      <w:color w:val="auto"/>
      <w:sz w:val="20"/>
      <w:vertAlign w:val="superscript"/>
    </w:rPr>
  </w:style>
  <w:style w:type="paragraph" w:styleId="TOC1">
    <w:name w:val="toc 1"/>
    <w:basedOn w:val="Normal"/>
    <w:next w:val="Normal"/>
    <w:semiHidden/>
    <w:rsid w:val="00DA132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A1328"/>
    <w:pPr>
      <w:tabs>
        <w:tab w:val="left" w:pos="720"/>
        <w:tab w:val="right" w:leader="dot" w:pos="9360"/>
      </w:tabs>
      <w:suppressAutoHyphens/>
      <w:ind w:left="720" w:right="720" w:hanging="360"/>
    </w:pPr>
    <w:rPr>
      <w:noProof/>
    </w:rPr>
  </w:style>
  <w:style w:type="paragraph" w:styleId="TOC3">
    <w:name w:val="toc 3"/>
    <w:basedOn w:val="Normal"/>
    <w:next w:val="Normal"/>
    <w:semiHidden/>
    <w:rsid w:val="00DA132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A132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A132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A13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A13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A13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A132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A1328"/>
    <w:pPr>
      <w:tabs>
        <w:tab w:val="right" w:pos="9360"/>
      </w:tabs>
      <w:suppressAutoHyphens/>
    </w:pPr>
  </w:style>
  <w:style w:type="character" w:customStyle="1" w:styleId="EquationCaption">
    <w:name w:val="_Equation Caption"/>
    <w:rsid w:val="00DA1328"/>
  </w:style>
  <w:style w:type="paragraph" w:styleId="Header">
    <w:name w:val="header"/>
    <w:basedOn w:val="Normal"/>
    <w:autoRedefine/>
    <w:rsid w:val="00DA1328"/>
    <w:pPr>
      <w:tabs>
        <w:tab w:val="center" w:pos="4680"/>
        <w:tab w:val="right" w:pos="9360"/>
      </w:tabs>
    </w:pPr>
    <w:rPr>
      <w:b/>
    </w:rPr>
  </w:style>
  <w:style w:type="paragraph" w:styleId="Footer">
    <w:name w:val="footer"/>
    <w:basedOn w:val="Normal"/>
    <w:rsid w:val="00DA1328"/>
    <w:pPr>
      <w:tabs>
        <w:tab w:val="center" w:pos="4320"/>
        <w:tab w:val="right" w:pos="8640"/>
      </w:tabs>
    </w:pPr>
  </w:style>
  <w:style w:type="character" w:styleId="PageNumber">
    <w:name w:val="page number"/>
    <w:basedOn w:val="DefaultParagraphFont"/>
    <w:rsid w:val="00DA1328"/>
  </w:style>
  <w:style w:type="paragraph" w:styleId="BlockText">
    <w:name w:val="Block Text"/>
    <w:basedOn w:val="Normal"/>
    <w:rsid w:val="00DA1328"/>
    <w:pPr>
      <w:spacing w:after="240"/>
      <w:ind w:left="1440" w:right="1440"/>
    </w:pPr>
  </w:style>
  <w:style w:type="paragraph" w:customStyle="1" w:styleId="Paratitle">
    <w:name w:val="Para title"/>
    <w:basedOn w:val="Normal"/>
    <w:rsid w:val="00DA1328"/>
    <w:pPr>
      <w:tabs>
        <w:tab w:val="center" w:pos="9270"/>
      </w:tabs>
      <w:spacing w:after="240"/>
    </w:pPr>
    <w:rPr>
      <w:spacing w:val="-2"/>
    </w:rPr>
  </w:style>
  <w:style w:type="paragraph" w:customStyle="1" w:styleId="Bullet">
    <w:name w:val="Bullet"/>
    <w:basedOn w:val="Normal"/>
    <w:rsid w:val="00DA1328"/>
    <w:pPr>
      <w:tabs>
        <w:tab w:val="left" w:pos="2160"/>
      </w:tabs>
      <w:spacing w:after="220"/>
      <w:ind w:left="2160" w:hanging="720"/>
    </w:pPr>
  </w:style>
  <w:style w:type="paragraph" w:customStyle="1" w:styleId="TableFormat">
    <w:name w:val="TableFormat"/>
    <w:basedOn w:val="Bullet"/>
    <w:rsid w:val="00DA1328"/>
    <w:pPr>
      <w:tabs>
        <w:tab w:val="clear" w:pos="2160"/>
        <w:tab w:val="left" w:pos="5040"/>
      </w:tabs>
      <w:ind w:left="5040" w:hanging="3600"/>
    </w:pPr>
  </w:style>
  <w:style w:type="paragraph" w:customStyle="1" w:styleId="TOCTitle">
    <w:name w:val="TOC Title"/>
    <w:basedOn w:val="Normal"/>
    <w:rsid w:val="00DA13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1328"/>
    <w:pPr>
      <w:jc w:val="center"/>
    </w:pPr>
    <w:rPr>
      <w:rFonts w:ascii="Times New Roman Bold" w:hAnsi="Times New Roman Bold"/>
      <w:b/>
      <w:bCs/>
      <w:caps/>
      <w:szCs w:val="22"/>
    </w:rPr>
  </w:style>
  <w:style w:type="character" w:styleId="Hyperlink">
    <w:name w:val="Hyperlink"/>
    <w:rsid w:val="00DA1328"/>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character" w:customStyle="1" w:styleId="BalloonTextChar1">
    <w:name w:val="Balloon Text Char1"/>
    <w:basedOn w:val="DefaultParagraphFont"/>
    <w:link w:val="BalloonText"/>
    <w:rsid w:val="00654E2C"/>
    <w:rPr>
      <w:rFonts w:ascii="Tahoma" w:hAnsi="Tahoma" w:cs="Tahoma"/>
      <w:snapToGrid w:val="0"/>
      <w:kern w:val="28"/>
      <w:sz w:val="16"/>
      <w:szCs w:val="16"/>
    </w:rPr>
  </w:style>
  <w:style w:type="character" w:customStyle="1" w:styleId="rrfootnoteChar">
    <w:name w:val="rrfootnote Char"/>
    <w:aliases w:val="Footnote Text Char Char Char,rrfootnote Char Char Char,Footnote Text Char Char Char Char Char,rrfootnote Char Char Char Char Char,Footnote Text Ch Char"/>
    <w:rsid w:val="00E26F43"/>
    <w:rPr>
      <w:lang w:val="en-US" w:eastAsia="en-US" w:bidi="ar-SA"/>
    </w:rPr>
  </w:style>
  <w:style w:type="character" w:styleId="CommentReference">
    <w:name w:val="annotation reference"/>
    <w:basedOn w:val="DefaultParagraphFont"/>
    <w:rsid w:val="006D5D88"/>
    <w:rPr>
      <w:sz w:val="16"/>
      <w:szCs w:val="16"/>
    </w:rPr>
  </w:style>
  <w:style w:type="paragraph" w:styleId="CommentText">
    <w:name w:val="annotation text"/>
    <w:basedOn w:val="Normal"/>
    <w:link w:val="CommentTextChar"/>
    <w:rsid w:val="006D5D88"/>
    <w:rPr>
      <w:sz w:val="20"/>
    </w:rPr>
  </w:style>
  <w:style w:type="character" w:customStyle="1" w:styleId="CommentTextChar">
    <w:name w:val="Comment Text Char"/>
    <w:basedOn w:val="DefaultParagraphFont"/>
    <w:link w:val="CommentText"/>
    <w:rsid w:val="006D5D88"/>
    <w:rPr>
      <w:snapToGrid w:val="0"/>
      <w:kern w:val="28"/>
    </w:rPr>
  </w:style>
  <w:style w:type="paragraph" w:styleId="CommentSubject">
    <w:name w:val="annotation subject"/>
    <w:basedOn w:val="CommentText"/>
    <w:next w:val="CommentText"/>
    <w:link w:val="CommentSubjectChar"/>
    <w:rsid w:val="006D5D88"/>
    <w:rPr>
      <w:b/>
      <w:bCs/>
    </w:rPr>
  </w:style>
  <w:style w:type="character" w:customStyle="1" w:styleId="CommentSubjectChar">
    <w:name w:val="Comment Subject Char"/>
    <w:basedOn w:val="CommentTextChar"/>
    <w:link w:val="CommentSubject"/>
    <w:rsid w:val="006D5D8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960</Words>
  <Characters>5319</Characters>
  <Application>Microsoft Office Word</Application>
  <DocSecurity>0</DocSecurity>
  <Lines>103</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2014-04-17T20:00:00Z</cp:lastPrinted>
  <dcterms:created xsi:type="dcterms:W3CDTF">2014-10-17T15:13:00Z</dcterms:created>
  <dcterms:modified xsi:type="dcterms:W3CDTF">2014-10-17T15:13:00Z</dcterms:modified>
  <cp:category> </cp:category>
  <cp:contentStatus> </cp:contentStatus>
</cp:coreProperties>
</file>